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D" w:rsidRPr="00272E09" w:rsidRDefault="00772BDC" w:rsidP="00CA5734">
      <w:pPr>
        <w:rPr>
          <w:rFonts w:cs="Arial"/>
        </w:rPr>
      </w:pPr>
      <w:bookmarkStart w:id="0" w:name="_GoBack"/>
      <w:bookmarkEnd w:id="0"/>
      <w:r w:rsidRPr="00272E09">
        <w:rPr>
          <w:rFonts w:cs="Arial"/>
          <w:noProof/>
          <w:lang w:eastAsia="en-GB" w:bidi="ar-SA"/>
        </w:rPr>
        <w:drawing>
          <wp:inline distT="0" distB="0" distL="0" distR="0" wp14:anchorId="3236971C" wp14:editId="734FE79C">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00A671E6" w:rsidRPr="00272E09" w:rsidRDefault="00A671E6" w:rsidP="00A671E6"/>
    <w:p w:rsidR="00564790" w:rsidRPr="000117FD" w:rsidRDefault="000117FD" w:rsidP="00564790">
      <w:pPr>
        <w:rPr>
          <w:b/>
          <w:sz w:val="28"/>
          <w:szCs w:val="28"/>
        </w:rPr>
      </w:pPr>
      <w:r w:rsidRPr="000117FD">
        <w:rPr>
          <w:b/>
          <w:sz w:val="28"/>
          <w:szCs w:val="28"/>
        </w:rPr>
        <w:t xml:space="preserve">12 March </w:t>
      </w:r>
      <w:r w:rsidR="00B068D7" w:rsidRPr="000117FD">
        <w:rPr>
          <w:b/>
          <w:sz w:val="28"/>
          <w:szCs w:val="28"/>
        </w:rPr>
        <w:t>2014</w:t>
      </w:r>
    </w:p>
    <w:p w:rsidR="00564790" w:rsidRPr="000117FD" w:rsidRDefault="00564790" w:rsidP="00564790">
      <w:pPr>
        <w:rPr>
          <w:b/>
          <w:sz w:val="28"/>
          <w:szCs w:val="28"/>
        </w:rPr>
      </w:pPr>
      <w:r w:rsidRPr="000117FD">
        <w:rPr>
          <w:b/>
          <w:sz w:val="28"/>
          <w:szCs w:val="28"/>
        </w:rPr>
        <w:t>[</w:t>
      </w:r>
      <w:r w:rsidR="000117FD" w:rsidRPr="000117FD">
        <w:rPr>
          <w:b/>
          <w:sz w:val="28"/>
          <w:szCs w:val="28"/>
        </w:rPr>
        <w:t>04</w:t>
      </w:r>
      <w:r w:rsidRPr="000117FD">
        <w:rPr>
          <w:b/>
          <w:sz w:val="28"/>
          <w:szCs w:val="28"/>
        </w:rPr>
        <w:t>-1</w:t>
      </w:r>
      <w:r w:rsidR="00B068D7" w:rsidRPr="000117FD">
        <w:rPr>
          <w:b/>
          <w:sz w:val="28"/>
          <w:szCs w:val="28"/>
        </w:rPr>
        <w:t>4</w:t>
      </w:r>
      <w:r w:rsidRPr="000117FD">
        <w:rPr>
          <w:b/>
          <w:sz w:val="28"/>
          <w:szCs w:val="28"/>
        </w:rPr>
        <w:t>]</w:t>
      </w:r>
    </w:p>
    <w:p w:rsidR="00A671E6" w:rsidRPr="00272E09" w:rsidRDefault="00A671E6" w:rsidP="00A671E6"/>
    <w:p w:rsidR="0012388D" w:rsidRPr="00272E09" w:rsidRDefault="00B425AA" w:rsidP="00B425AA">
      <w:pPr>
        <w:pStyle w:val="FSTitle"/>
      </w:pPr>
      <w:r w:rsidRPr="00272E09">
        <w:t>A</w:t>
      </w:r>
      <w:r w:rsidR="00DD265C" w:rsidRPr="00272E09">
        <w:t>pproval</w:t>
      </w:r>
      <w:r w:rsidRPr="00272E09">
        <w:t xml:space="preserve"> R</w:t>
      </w:r>
      <w:r w:rsidR="00DD265C" w:rsidRPr="00272E09">
        <w:t>eport</w:t>
      </w:r>
      <w:r w:rsidRPr="00272E09">
        <w:t xml:space="preserve"> – </w:t>
      </w:r>
      <w:r w:rsidR="00EB6590" w:rsidRPr="00272E09">
        <w:t>A</w:t>
      </w:r>
      <w:r w:rsidR="00DD265C" w:rsidRPr="00272E09">
        <w:t>pplication</w:t>
      </w:r>
      <w:r w:rsidR="00E138A9" w:rsidRPr="00272E09">
        <w:t xml:space="preserve"> A108</w:t>
      </w:r>
      <w:r w:rsidR="00FD61B4">
        <w:t>9</w:t>
      </w:r>
    </w:p>
    <w:p w:rsidR="003A7B84" w:rsidRPr="00272E09" w:rsidRDefault="003A7B84" w:rsidP="00A671E6"/>
    <w:p w:rsidR="0012388D" w:rsidRPr="00272E09" w:rsidRDefault="009B52B3" w:rsidP="00B425AA">
      <w:pPr>
        <w:pStyle w:val="FSTitle"/>
      </w:pPr>
      <w:r w:rsidRPr="00272E09">
        <w:t>Food deri</w:t>
      </w:r>
      <w:r w:rsidR="004D25A5" w:rsidRPr="00272E09">
        <w:t xml:space="preserve">ved from </w:t>
      </w:r>
      <w:r w:rsidR="00FD61B4">
        <w:t xml:space="preserve">Herbicide-tolerant Canola </w:t>
      </w:r>
      <w:r w:rsidR="00E138A9" w:rsidRPr="00272E09">
        <w:t xml:space="preserve">Line </w:t>
      </w:r>
      <w:r w:rsidR="00FD61B4">
        <w:t>DP-073496-4</w:t>
      </w:r>
    </w:p>
    <w:p w:rsidR="008810D9" w:rsidRPr="00272E09" w:rsidRDefault="008810D9" w:rsidP="008810D9">
      <w:pPr>
        <w:pBdr>
          <w:bottom w:val="single" w:sz="12" w:space="1" w:color="auto"/>
        </w:pBdr>
        <w:spacing w:line="280" w:lineRule="exact"/>
        <w:rPr>
          <w:rFonts w:cs="Arial"/>
          <w:bCs/>
        </w:rPr>
      </w:pPr>
    </w:p>
    <w:p w:rsidR="008810D9" w:rsidRPr="00272E09" w:rsidRDefault="008810D9" w:rsidP="008810D9">
      <w:pPr>
        <w:rPr>
          <w:szCs w:val="22"/>
        </w:rPr>
      </w:pPr>
    </w:p>
    <w:p w:rsidR="00564790" w:rsidRPr="00272E09" w:rsidRDefault="003E6806" w:rsidP="009B52B3">
      <w:pPr>
        <w:rPr>
          <w:color w:val="000000" w:themeColor="text1"/>
          <w:szCs w:val="22"/>
        </w:rPr>
      </w:pPr>
      <w:r w:rsidRPr="00272E09">
        <w:rPr>
          <w:color w:val="000000" w:themeColor="text1"/>
          <w:szCs w:val="22"/>
        </w:rPr>
        <w:t>Food Standards Australia New Zealand (FSANZ) has assessed an a</w:t>
      </w:r>
      <w:r w:rsidR="00564790" w:rsidRPr="00272E09">
        <w:rPr>
          <w:color w:val="000000" w:themeColor="text1"/>
          <w:szCs w:val="22"/>
        </w:rPr>
        <w:t xml:space="preserve">pplication made by </w:t>
      </w:r>
      <w:r w:rsidR="00FD61B4">
        <w:rPr>
          <w:color w:val="000000" w:themeColor="text1"/>
          <w:szCs w:val="22"/>
        </w:rPr>
        <w:t xml:space="preserve">Pioneer Hi-Bred Australia Pty Ltd </w:t>
      </w:r>
      <w:r w:rsidR="00564790" w:rsidRPr="00272E09">
        <w:rPr>
          <w:color w:val="000000" w:themeColor="text1"/>
          <w:szCs w:val="22"/>
        </w:rPr>
        <w:t xml:space="preserve">seeking permission for food derived </w:t>
      </w:r>
      <w:r w:rsidR="00E138A9" w:rsidRPr="00272E09">
        <w:rPr>
          <w:color w:val="000000" w:themeColor="text1"/>
          <w:szCs w:val="22"/>
        </w:rPr>
        <w:t xml:space="preserve">from </w:t>
      </w:r>
      <w:r w:rsidR="00FD61B4">
        <w:rPr>
          <w:color w:val="000000" w:themeColor="text1"/>
          <w:szCs w:val="22"/>
        </w:rPr>
        <w:t xml:space="preserve">canola </w:t>
      </w:r>
      <w:r w:rsidR="00E138A9" w:rsidRPr="00272E09">
        <w:rPr>
          <w:color w:val="000000" w:themeColor="text1"/>
          <w:szCs w:val="22"/>
        </w:rPr>
        <w:t xml:space="preserve">line </w:t>
      </w:r>
      <w:r w:rsidR="00FD61B4">
        <w:rPr>
          <w:color w:val="000000" w:themeColor="text1"/>
          <w:szCs w:val="22"/>
        </w:rPr>
        <w:t>DP-073496-4</w:t>
      </w:r>
      <w:r w:rsidR="00E138A9" w:rsidRPr="00272E09">
        <w:rPr>
          <w:color w:val="000000" w:themeColor="text1"/>
          <w:szCs w:val="22"/>
        </w:rPr>
        <w:t xml:space="preserve">, which is genetically modified </w:t>
      </w:r>
      <w:r w:rsidR="00331A92">
        <w:rPr>
          <w:color w:val="000000" w:themeColor="text1"/>
          <w:szCs w:val="22"/>
        </w:rPr>
        <w:t xml:space="preserve">for tolerance to the herbicide glyphosate. </w:t>
      </w:r>
    </w:p>
    <w:p w:rsidR="00E138A9" w:rsidRPr="00272E09" w:rsidRDefault="00E138A9" w:rsidP="009B52B3">
      <w:pPr>
        <w:rPr>
          <w:szCs w:val="22"/>
        </w:rPr>
      </w:pPr>
    </w:p>
    <w:p w:rsidR="009B52B3" w:rsidRPr="00272E09" w:rsidRDefault="00E138A9" w:rsidP="009B52B3">
      <w:r w:rsidRPr="00272E09">
        <w:t xml:space="preserve">On </w:t>
      </w:r>
      <w:r w:rsidR="0054010A">
        <w:t>13</w:t>
      </w:r>
      <w:r w:rsidRPr="00272E09">
        <w:t xml:space="preserve"> </w:t>
      </w:r>
      <w:r w:rsidR="0054010A">
        <w:t>December</w:t>
      </w:r>
      <w:r w:rsidR="00564790" w:rsidRPr="00272E09">
        <w:t xml:space="preserve"> 2013</w:t>
      </w:r>
      <w:r w:rsidR="009B52B3" w:rsidRPr="00272E09">
        <w:t>, FSANZ sought submissions on</w:t>
      </w:r>
      <w:r w:rsidR="00263E20" w:rsidRPr="00272E09">
        <w:t xml:space="preserve"> a draft variation to Standard 1.5.2</w:t>
      </w:r>
      <w:r w:rsidR="009B52B3" w:rsidRPr="00272E09">
        <w:t xml:space="preserve"> and published an associat</w:t>
      </w:r>
      <w:r w:rsidR="004D25A5" w:rsidRPr="00272E09">
        <w:t xml:space="preserve">ed report. FSANZ received </w:t>
      </w:r>
      <w:r w:rsidR="00D046A2" w:rsidRPr="00292C9D">
        <w:t>six</w:t>
      </w:r>
      <w:r w:rsidR="009B52B3" w:rsidRPr="00272E09">
        <w:t xml:space="preserve"> submissions.</w:t>
      </w:r>
    </w:p>
    <w:p w:rsidR="009B52B3" w:rsidRPr="00272E09" w:rsidRDefault="009B52B3" w:rsidP="009B52B3"/>
    <w:p w:rsidR="009B52B3" w:rsidRPr="000117FD" w:rsidRDefault="009B52B3" w:rsidP="009B52B3">
      <w:r w:rsidRPr="00272E09">
        <w:t>FSANZ approved the draft variation to the Standard on</w:t>
      </w:r>
      <w:r w:rsidR="00400169" w:rsidRPr="00272E09">
        <w:t xml:space="preserve"> </w:t>
      </w:r>
      <w:r w:rsidR="000117FD" w:rsidRPr="000117FD">
        <w:t>6 March 2014</w:t>
      </w:r>
      <w:r w:rsidRPr="000117FD">
        <w:t>. The COAG Legislative and Governance Forum on Food Regulation</w:t>
      </w:r>
      <w:r w:rsidRPr="000117FD">
        <w:rPr>
          <w:vertAlign w:val="superscript"/>
        </w:rPr>
        <w:footnoteReference w:id="1"/>
      </w:r>
      <w:r w:rsidRPr="000117FD">
        <w:t xml:space="preserve"> (the Forum)</w:t>
      </w:r>
      <w:r w:rsidR="004D25A5" w:rsidRPr="000117FD">
        <w:t xml:space="preserve"> </w:t>
      </w:r>
      <w:proofErr w:type="gramStart"/>
      <w:r w:rsidRPr="000117FD">
        <w:t>was</w:t>
      </w:r>
      <w:proofErr w:type="gramEnd"/>
      <w:r w:rsidRPr="000117FD">
        <w:t xml:space="preserve"> notified of FSANZ’s decision on</w:t>
      </w:r>
      <w:r w:rsidR="000117FD" w:rsidRPr="000117FD">
        <w:t xml:space="preserve"> 11 March 2014</w:t>
      </w:r>
      <w:r w:rsidRPr="000117FD">
        <w:t>.</w:t>
      </w:r>
    </w:p>
    <w:p w:rsidR="009B52B3" w:rsidRPr="000117FD" w:rsidRDefault="009B52B3" w:rsidP="009B52B3"/>
    <w:p w:rsidR="009B52B3" w:rsidRPr="00272E09" w:rsidRDefault="009B52B3" w:rsidP="009B52B3">
      <w:r w:rsidRPr="00272E09">
        <w:t>This Report is provided pursuant to paragraph 33(1</w:t>
      </w:r>
      <w:proofErr w:type="gramStart"/>
      <w:r w:rsidRPr="00272E09">
        <w:t>)(</w:t>
      </w:r>
      <w:proofErr w:type="gramEnd"/>
      <w:r w:rsidRPr="00272E09">
        <w:t xml:space="preserve">b) of the </w:t>
      </w:r>
      <w:r w:rsidRPr="00272E09">
        <w:rPr>
          <w:i/>
        </w:rPr>
        <w:t>Food Standards Australia New Zealand Act 1991</w:t>
      </w:r>
      <w:r w:rsidRPr="00272E09">
        <w:t xml:space="preserve"> (the FSANZ Act).</w:t>
      </w:r>
    </w:p>
    <w:p w:rsidR="00F526BD" w:rsidRPr="00272E09" w:rsidRDefault="00F526BD" w:rsidP="00A671E6"/>
    <w:p w:rsidR="00EB6590" w:rsidRPr="00272E09" w:rsidRDefault="00EB6590" w:rsidP="00F526BD"/>
    <w:p w:rsidR="00A671E6" w:rsidRPr="00272E09" w:rsidRDefault="00A671E6" w:rsidP="00CC5468">
      <w:pPr>
        <w:sectPr w:rsidR="00A671E6" w:rsidRPr="00272E09" w:rsidSect="00B90B03">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rsidR="0012388D" w:rsidRPr="00272E09" w:rsidRDefault="00D15A08" w:rsidP="00EC66BB">
      <w:pPr>
        <w:jc w:val="center"/>
        <w:rPr>
          <w:sz w:val="28"/>
          <w:szCs w:val="28"/>
        </w:rPr>
      </w:pPr>
      <w:r w:rsidRPr="00272E09">
        <w:rPr>
          <w:sz w:val="28"/>
          <w:szCs w:val="28"/>
        </w:rPr>
        <w:lastRenderedPageBreak/>
        <w:t xml:space="preserve">Table of </w:t>
      </w:r>
      <w:r w:rsidR="00456B54" w:rsidRPr="00272E09">
        <w:rPr>
          <w:sz w:val="28"/>
          <w:szCs w:val="28"/>
        </w:rPr>
        <w:t>C</w:t>
      </w:r>
      <w:r w:rsidRPr="00272E09">
        <w:rPr>
          <w:sz w:val="28"/>
          <w:szCs w:val="28"/>
        </w:rPr>
        <w:t>ontents</w:t>
      </w:r>
    </w:p>
    <w:p w:rsidR="00E664ED" w:rsidRDefault="00B55714">
      <w:pPr>
        <w:pStyle w:val="TOC1"/>
        <w:tabs>
          <w:tab w:val="right" w:leader="dot" w:pos="9060"/>
        </w:tabs>
        <w:rPr>
          <w:rFonts w:eastAsiaTheme="minorEastAsia" w:cstheme="minorBidi"/>
          <w:b w:val="0"/>
          <w:bCs w:val="0"/>
          <w:caps w:val="0"/>
          <w:noProof/>
          <w:sz w:val="22"/>
          <w:szCs w:val="22"/>
          <w:lang w:eastAsia="en-GB" w:bidi="ar-SA"/>
        </w:rPr>
      </w:pPr>
      <w:r w:rsidRPr="00272E09">
        <w:rPr>
          <w:rFonts w:ascii="Arial" w:hAnsi="Arial" w:cs="Arial"/>
          <w:b w:val="0"/>
          <w:bCs w:val="0"/>
          <w:caps w:val="0"/>
          <w:smallCaps/>
        </w:rPr>
        <w:fldChar w:fldCharType="begin"/>
      </w:r>
      <w:r w:rsidRPr="00272E09">
        <w:rPr>
          <w:rFonts w:ascii="Arial" w:hAnsi="Arial" w:cs="Arial"/>
        </w:rPr>
        <w:instrText xml:space="preserve"> TOC \h \z \t "Heading 1,1,Heading 2,2,Heading 3,3" </w:instrText>
      </w:r>
      <w:r w:rsidRPr="00272E09">
        <w:rPr>
          <w:rFonts w:ascii="Arial" w:hAnsi="Arial" w:cs="Arial"/>
          <w:b w:val="0"/>
          <w:bCs w:val="0"/>
          <w:caps w:val="0"/>
          <w:smallCaps/>
        </w:rPr>
        <w:fldChar w:fldCharType="separate"/>
      </w:r>
      <w:hyperlink w:anchor="_Toc378943869" w:history="1">
        <w:r w:rsidR="00E664ED" w:rsidRPr="006537F2">
          <w:rPr>
            <w:rStyle w:val="Hyperlink"/>
            <w:noProof/>
          </w:rPr>
          <w:t>Executive summary</w:t>
        </w:r>
        <w:r w:rsidR="00E664ED">
          <w:rPr>
            <w:noProof/>
            <w:webHidden/>
          </w:rPr>
          <w:tab/>
        </w:r>
        <w:r w:rsidR="00E664ED">
          <w:rPr>
            <w:noProof/>
            <w:webHidden/>
          </w:rPr>
          <w:fldChar w:fldCharType="begin"/>
        </w:r>
        <w:r w:rsidR="00E664ED">
          <w:rPr>
            <w:noProof/>
            <w:webHidden/>
          </w:rPr>
          <w:instrText xml:space="preserve"> PAGEREF _Toc378943869 \h </w:instrText>
        </w:r>
        <w:r w:rsidR="00E664ED">
          <w:rPr>
            <w:noProof/>
            <w:webHidden/>
          </w:rPr>
        </w:r>
        <w:r w:rsidR="00E664ED">
          <w:rPr>
            <w:noProof/>
            <w:webHidden/>
          </w:rPr>
          <w:fldChar w:fldCharType="separate"/>
        </w:r>
        <w:r w:rsidR="00341CB2">
          <w:rPr>
            <w:noProof/>
            <w:webHidden/>
          </w:rPr>
          <w:t>2</w:t>
        </w:r>
        <w:r w:rsidR="00E664ED">
          <w:rPr>
            <w:noProof/>
            <w:webHidden/>
          </w:rPr>
          <w:fldChar w:fldCharType="end"/>
        </w:r>
      </w:hyperlink>
    </w:p>
    <w:p w:rsidR="00E664ED" w:rsidRDefault="00341CB2">
      <w:pPr>
        <w:pStyle w:val="TOC1"/>
        <w:tabs>
          <w:tab w:val="left" w:pos="440"/>
          <w:tab w:val="right" w:leader="dot" w:pos="9060"/>
        </w:tabs>
        <w:rPr>
          <w:rFonts w:eastAsiaTheme="minorEastAsia" w:cstheme="minorBidi"/>
          <w:b w:val="0"/>
          <w:bCs w:val="0"/>
          <w:caps w:val="0"/>
          <w:noProof/>
          <w:sz w:val="22"/>
          <w:szCs w:val="22"/>
          <w:lang w:eastAsia="en-GB" w:bidi="ar-SA"/>
        </w:rPr>
      </w:pPr>
      <w:hyperlink w:anchor="_Toc378943870" w:history="1">
        <w:r w:rsidR="00E664ED" w:rsidRPr="006537F2">
          <w:rPr>
            <w:rStyle w:val="Hyperlink"/>
            <w:noProof/>
          </w:rPr>
          <w:t>1.</w:t>
        </w:r>
        <w:r w:rsidR="00E664ED">
          <w:rPr>
            <w:rFonts w:eastAsiaTheme="minorEastAsia" w:cstheme="minorBidi"/>
            <w:b w:val="0"/>
            <w:bCs w:val="0"/>
            <w:caps w:val="0"/>
            <w:noProof/>
            <w:sz w:val="22"/>
            <w:szCs w:val="22"/>
            <w:lang w:eastAsia="en-GB" w:bidi="ar-SA"/>
          </w:rPr>
          <w:tab/>
        </w:r>
        <w:r w:rsidR="00E664ED" w:rsidRPr="006537F2">
          <w:rPr>
            <w:rStyle w:val="Hyperlink"/>
            <w:noProof/>
          </w:rPr>
          <w:t>Introduction</w:t>
        </w:r>
        <w:r w:rsidR="00E664ED">
          <w:rPr>
            <w:noProof/>
            <w:webHidden/>
          </w:rPr>
          <w:tab/>
        </w:r>
        <w:r w:rsidR="00E664ED">
          <w:rPr>
            <w:noProof/>
            <w:webHidden/>
          </w:rPr>
          <w:fldChar w:fldCharType="begin"/>
        </w:r>
        <w:r w:rsidR="00E664ED">
          <w:rPr>
            <w:noProof/>
            <w:webHidden/>
          </w:rPr>
          <w:instrText xml:space="preserve"> PAGEREF _Toc378943870 \h </w:instrText>
        </w:r>
        <w:r w:rsidR="00E664ED">
          <w:rPr>
            <w:noProof/>
            <w:webHidden/>
          </w:rPr>
        </w:r>
        <w:r w:rsidR="00E664ED">
          <w:rPr>
            <w:noProof/>
            <w:webHidden/>
          </w:rPr>
          <w:fldChar w:fldCharType="separate"/>
        </w:r>
        <w:r>
          <w:rPr>
            <w:noProof/>
            <w:webHidden/>
          </w:rPr>
          <w:t>3</w:t>
        </w:r>
        <w:r w:rsidR="00E664ED">
          <w:rPr>
            <w:noProof/>
            <w:webHidden/>
          </w:rPr>
          <w:fldChar w:fldCharType="end"/>
        </w:r>
      </w:hyperlink>
    </w:p>
    <w:p w:rsidR="00E664ED" w:rsidRDefault="00341CB2">
      <w:pPr>
        <w:pStyle w:val="TOC2"/>
        <w:tabs>
          <w:tab w:val="left" w:pos="880"/>
          <w:tab w:val="right" w:leader="dot" w:pos="9060"/>
        </w:tabs>
        <w:rPr>
          <w:rFonts w:eastAsiaTheme="minorEastAsia" w:cstheme="minorBidi"/>
          <w:smallCaps w:val="0"/>
          <w:noProof/>
          <w:sz w:val="22"/>
          <w:szCs w:val="22"/>
          <w:lang w:eastAsia="en-GB" w:bidi="ar-SA"/>
        </w:rPr>
      </w:pPr>
      <w:hyperlink w:anchor="_Toc378943871" w:history="1">
        <w:r w:rsidR="00E664ED" w:rsidRPr="006537F2">
          <w:rPr>
            <w:rStyle w:val="Hyperlink"/>
            <w:noProof/>
          </w:rPr>
          <w:t>1.1</w:t>
        </w:r>
        <w:r w:rsidR="00E664ED">
          <w:rPr>
            <w:rFonts w:eastAsiaTheme="minorEastAsia" w:cstheme="minorBidi"/>
            <w:smallCaps w:val="0"/>
            <w:noProof/>
            <w:sz w:val="22"/>
            <w:szCs w:val="22"/>
            <w:lang w:eastAsia="en-GB" w:bidi="ar-SA"/>
          </w:rPr>
          <w:tab/>
        </w:r>
        <w:r w:rsidR="00E664ED" w:rsidRPr="006537F2">
          <w:rPr>
            <w:rStyle w:val="Hyperlink"/>
            <w:noProof/>
          </w:rPr>
          <w:t>The Applicant</w:t>
        </w:r>
        <w:r w:rsidR="00E664ED">
          <w:rPr>
            <w:noProof/>
            <w:webHidden/>
          </w:rPr>
          <w:tab/>
        </w:r>
        <w:r w:rsidR="00E664ED">
          <w:rPr>
            <w:noProof/>
            <w:webHidden/>
          </w:rPr>
          <w:fldChar w:fldCharType="begin"/>
        </w:r>
        <w:r w:rsidR="00E664ED">
          <w:rPr>
            <w:noProof/>
            <w:webHidden/>
          </w:rPr>
          <w:instrText xml:space="preserve"> PAGEREF _Toc378943871 \h </w:instrText>
        </w:r>
        <w:r w:rsidR="00E664ED">
          <w:rPr>
            <w:noProof/>
            <w:webHidden/>
          </w:rPr>
        </w:r>
        <w:r w:rsidR="00E664ED">
          <w:rPr>
            <w:noProof/>
            <w:webHidden/>
          </w:rPr>
          <w:fldChar w:fldCharType="separate"/>
        </w:r>
        <w:r>
          <w:rPr>
            <w:noProof/>
            <w:webHidden/>
          </w:rPr>
          <w:t>3</w:t>
        </w:r>
        <w:r w:rsidR="00E664ED">
          <w:rPr>
            <w:noProof/>
            <w:webHidden/>
          </w:rPr>
          <w:fldChar w:fldCharType="end"/>
        </w:r>
      </w:hyperlink>
    </w:p>
    <w:p w:rsidR="00E664ED" w:rsidRDefault="00341CB2">
      <w:pPr>
        <w:pStyle w:val="TOC2"/>
        <w:tabs>
          <w:tab w:val="left" w:pos="880"/>
          <w:tab w:val="right" w:leader="dot" w:pos="9060"/>
        </w:tabs>
        <w:rPr>
          <w:rFonts w:eastAsiaTheme="minorEastAsia" w:cstheme="minorBidi"/>
          <w:smallCaps w:val="0"/>
          <w:noProof/>
          <w:sz w:val="22"/>
          <w:szCs w:val="22"/>
          <w:lang w:eastAsia="en-GB" w:bidi="ar-SA"/>
        </w:rPr>
      </w:pPr>
      <w:hyperlink w:anchor="_Toc378943872" w:history="1">
        <w:r w:rsidR="00E664ED" w:rsidRPr="006537F2">
          <w:rPr>
            <w:rStyle w:val="Hyperlink"/>
            <w:noProof/>
          </w:rPr>
          <w:t>1.2</w:t>
        </w:r>
        <w:r w:rsidR="00E664ED">
          <w:rPr>
            <w:rFonts w:eastAsiaTheme="minorEastAsia" w:cstheme="minorBidi"/>
            <w:smallCaps w:val="0"/>
            <w:noProof/>
            <w:sz w:val="22"/>
            <w:szCs w:val="22"/>
            <w:lang w:eastAsia="en-GB" w:bidi="ar-SA"/>
          </w:rPr>
          <w:tab/>
        </w:r>
        <w:r w:rsidR="00E664ED" w:rsidRPr="006537F2">
          <w:rPr>
            <w:rStyle w:val="Hyperlink"/>
            <w:noProof/>
          </w:rPr>
          <w:t>The Application</w:t>
        </w:r>
        <w:r w:rsidR="00E664ED">
          <w:rPr>
            <w:noProof/>
            <w:webHidden/>
          </w:rPr>
          <w:tab/>
        </w:r>
        <w:r w:rsidR="00E664ED">
          <w:rPr>
            <w:noProof/>
            <w:webHidden/>
          </w:rPr>
          <w:fldChar w:fldCharType="begin"/>
        </w:r>
        <w:r w:rsidR="00E664ED">
          <w:rPr>
            <w:noProof/>
            <w:webHidden/>
          </w:rPr>
          <w:instrText xml:space="preserve"> PAGEREF _Toc378943872 \h </w:instrText>
        </w:r>
        <w:r w:rsidR="00E664ED">
          <w:rPr>
            <w:noProof/>
            <w:webHidden/>
          </w:rPr>
        </w:r>
        <w:r w:rsidR="00E664ED">
          <w:rPr>
            <w:noProof/>
            <w:webHidden/>
          </w:rPr>
          <w:fldChar w:fldCharType="separate"/>
        </w:r>
        <w:r>
          <w:rPr>
            <w:noProof/>
            <w:webHidden/>
          </w:rPr>
          <w:t>3</w:t>
        </w:r>
        <w:r w:rsidR="00E664ED">
          <w:rPr>
            <w:noProof/>
            <w:webHidden/>
          </w:rPr>
          <w:fldChar w:fldCharType="end"/>
        </w:r>
      </w:hyperlink>
    </w:p>
    <w:p w:rsidR="00E664ED" w:rsidRDefault="00341CB2">
      <w:pPr>
        <w:pStyle w:val="TOC2"/>
        <w:tabs>
          <w:tab w:val="left" w:pos="880"/>
          <w:tab w:val="right" w:leader="dot" w:pos="9060"/>
        </w:tabs>
        <w:rPr>
          <w:rFonts w:eastAsiaTheme="minorEastAsia" w:cstheme="minorBidi"/>
          <w:smallCaps w:val="0"/>
          <w:noProof/>
          <w:sz w:val="22"/>
          <w:szCs w:val="22"/>
          <w:lang w:eastAsia="en-GB" w:bidi="ar-SA"/>
        </w:rPr>
      </w:pPr>
      <w:hyperlink w:anchor="_Toc378943873" w:history="1">
        <w:r w:rsidR="00E664ED" w:rsidRPr="006537F2">
          <w:rPr>
            <w:rStyle w:val="Hyperlink"/>
            <w:noProof/>
          </w:rPr>
          <w:t>1.3</w:t>
        </w:r>
        <w:r w:rsidR="00E664ED">
          <w:rPr>
            <w:rFonts w:eastAsiaTheme="minorEastAsia" w:cstheme="minorBidi"/>
            <w:smallCaps w:val="0"/>
            <w:noProof/>
            <w:sz w:val="22"/>
            <w:szCs w:val="22"/>
            <w:lang w:eastAsia="en-GB" w:bidi="ar-SA"/>
          </w:rPr>
          <w:tab/>
        </w:r>
        <w:r w:rsidR="00E664ED" w:rsidRPr="006537F2">
          <w:rPr>
            <w:rStyle w:val="Hyperlink"/>
            <w:noProof/>
          </w:rPr>
          <w:t>The current Standard</w:t>
        </w:r>
        <w:r w:rsidR="00E664ED">
          <w:rPr>
            <w:noProof/>
            <w:webHidden/>
          </w:rPr>
          <w:tab/>
        </w:r>
        <w:r w:rsidR="00E664ED">
          <w:rPr>
            <w:noProof/>
            <w:webHidden/>
          </w:rPr>
          <w:fldChar w:fldCharType="begin"/>
        </w:r>
        <w:r w:rsidR="00E664ED">
          <w:rPr>
            <w:noProof/>
            <w:webHidden/>
          </w:rPr>
          <w:instrText xml:space="preserve"> PAGEREF _Toc378943873 \h </w:instrText>
        </w:r>
        <w:r w:rsidR="00E664ED">
          <w:rPr>
            <w:noProof/>
            <w:webHidden/>
          </w:rPr>
        </w:r>
        <w:r w:rsidR="00E664ED">
          <w:rPr>
            <w:noProof/>
            <w:webHidden/>
          </w:rPr>
          <w:fldChar w:fldCharType="separate"/>
        </w:r>
        <w:r>
          <w:rPr>
            <w:noProof/>
            <w:webHidden/>
          </w:rPr>
          <w:t>3</w:t>
        </w:r>
        <w:r w:rsidR="00E664ED">
          <w:rPr>
            <w:noProof/>
            <w:webHidden/>
          </w:rPr>
          <w:fldChar w:fldCharType="end"/>
        </w:r>
      </w:hyperlink>
    </w:p>
    <w:p w:rsidR="00E664ED" w:rsidRDefault="00341CB2">
      <w:pPr>
        <w:pStyle w:val="TOC2"/>
        <w:tabs>
          <w:tab w:val="left" w:pos="880"/>
          <w:tab w:val="right" w:leader="dot" w:pos="9060"/>
        </w:tabs>
        <w:rPr>
          <w:rFonts w:eastAsiaTheme="minorEastAsia" w:cstheme="minorBidi"/>
          <w:smallCaps w:val="0"/>
          <w:noProof/>
          <w:sz w:val="22"/>
          <w:szCs w:val="22"/>
          <w:lang w:eastAsia="en-GB" w:bidi="ar-SA"/>
        </w:rPr>
      </w:pPr>
      <w:hyperlink w:anchor="_Toc378943874" w:history="1">
        <w:r w:rsidR="00E664ED" w:rsidRPr="006537F2">
          <w:rPr>
            <w:rStyle w:val="Hyperlink"/>
            <w:noProof/>
          </w:rPr>
          <w:t>1.4</w:t>
        </w:r>
        <w:r w:rsidR="00E664ED">
          <w:rPr>
            <w:rFonts w:eastAsiaTheme="minorEastAsia" w:cstheme="minorBidi"/>
            <w:smallCaps w:val="0"/>
            <w:noProof/>
            <w:sz w:val="22"/>
            <w:szCs w:val="22"/>
            <w:lang w:eastAsia="en-GB" w:bidi="ar-SA"/>
          </w:rPr>
          <w:tab/>
        </w:r>
        <w:r w:rsidR="00E664ED" w:rsidRPr="006537F2">
          <w:rPr>
            <w:rStyle w:val="Hyperlink"/>
            <w:noProof/>
          </w:rPr>
          <w:t xml:space="preserve">Reasons for accepting the </w:t>
        </w:r>
        <w:r w:rsidR="00E664ED" w:rsidRPr="006537F2">
          <w:rPr>
            <w:rStyle w:val="Hyperlink"/>
            <w:noProof/>
            <w:u w:color="FFFF00"/>
          </w:rPr>
          <w:t>Application</w:t>
        </w:r>
        <w:r w:rsidR="00E664ED">
          <w:rPr>
            <w:noProof/>
            <w:webHidden/>
          </w:rPr>
          <w:tab/>
        </w:r>
        <w:r w:rsidR="00E664ED">
          <w:rPr>
            <w:noProof/>
            <w:webHidden/>
          </w:rPr>
          <w:fldChar w:fldCharType="begin"/>
        </w:r>
        <w:r w:rsidR="00E664ED">
          <w:rPr>
            <w:noProof/>
            <w:webHidden/>
          </w:rPr>
          <w:instrText xml:space="preserve"> PAGEREF _Toc378943874 \h </w:instrText>
        </w:r>
        <w:r w:rsidR="00E664ED">
          <w:rPr>
            <w:noProof/>
            <w:webHidden/>
          </w:rPr>
        </w:r>
        <w:r w:rsidR="00E664ED">
          <w:rPr>
            <w:noProof/>
            <w:webHidden/>
          </w:rPr>
          <w:fldChar w:fldCharType="separate"/>
        </w:r>
        <w:r>
          <w:rPr>
            <w:noProof/>
            <w:webHidden/>
          </w:rPr>
          <w:t>3</w:t>
        </w:r>
        <w:r w:rsidR="00E664ED">
          <w:rPr>
            <w:noProof/>
            <w:webHidden/>
          </w:rPr>
          <w:fldChar w:fldCharType="end"/>
        </w:r>
      </w:hyperlink>
    </w:p>
    <w:p w:rsidR="00E664ED" w:rsidRDefault="00341CB2">
      <w:pPr>
        <w:pStyle w:val="TOC2"/>
        <w:tabs>
          <w:tab w:val="left" w:pos="880"/>
          <w:tab w:val="right" w:leader="dot" w:pos="9060"/>
        </w:tabs>
        <w:rPr>
          <w:rFonts w:eastAsiaTheme="minorEastAsia" w:cstheme="minorBidi"/>
          <w:smallCaps w:val="0"/>
          <w:noProof/>
          <w:sz w:val="22"/>
          <w:szCs w:val="22"/>
          <w:lang w:eastAsia="en-GB" w:bidi="ar-SA"/>
        </w:rPr>
      </w:pPr>
      <w:hyperlink w:anchor="_Toc378943875" w:history="1">
        <w:r w:rsidR="00E664ED" w:rsidRPr="006537F2">
          <w:rPr>
            <w:rStyle w:val="Hyperlink"/>
            <w:noProof/>
          </w:rPr>
          <w:t>1.5</w:t>
        </w:r>
        <w:r w:rsidR="00E664ED">
          <w:rPr>
            <w:rFonts w:eastAsiaTheme="minorEastAsia" w:cstheme="minorBidi"/>
            <w:smallCaps w:val="0"/>
            <w:noProof/>
            <w:sz w:val="22"/>
            <w:szCs w:val="22"/>
            <w:lang w:eastAsia="en-GB" w:bidi="ar-SA"/>
          </w:rPr>
          <w:tab/>
        </w:r>
        <w:r w:rsidR="00E664ED" w:rsidRPr="006537F2">
          <w:rPr>
            <w:rStyle w:val="Hyperlink"/>
            <w:noProof/>
          </w:rPr>
          <w:t>Procedure for assessment</w:t>
        </w:r>
        <w:r w:rsidR="00E664ED">
          <w:rPr>
            <w:noProof/>
            <w:webHidden/>
          </w:rPr>
          <w:tab/>
        </w:r>
        <w:r w:rsidR="00E664ED">
          <w:rPr>
            <w:noProof/>
            <w:webHidden/>
          </w:rPr>
          <w:fldChar w:fldCharType="begin"/>
        </w:r>
        <w:r w:rsidR="00E664ED">
          <w:rPr>
            <w:noProof/>
            <w:webHidden/>
          </w:rPr>
          <w:instrText xml:space="preserve"> PAGEREF _Toc378943875 \h </w:instrText>
        </w:r>
        <w:r w:rsidR="00E664ED">
          <w:rPr>
            <w:noProof/>
            <w:webHidden/>
          </w:rPr>
        </w:r>
        <w:r w:rsidR="00E664ED">
          <w:rPr>
            <w:noProof/>
            <w:webHidden/>
          </w:rPr>
          <w:fldChar w:fldCharType="separate"/>
        </w:r>
        <w:r>
          <w:rPr>
            <w:noProof/>
            <w:webHidden/>
          </w:rPr>
          <w:t>3</w:t>
        </w:r>
        <w:r w:rsidR="00E664ED">
          <w:rPr>
            <w:noProof/>
            <w:webHidden/>
          </w:rPr>
          <w:fldChar w:fldCharType="end"/>
        </w:r>
      </w:hyperlink>
    </w:p>
    <w:p w:rsidR="00E664ED" w:rsidRDefault="00341CB2">
      <w:pPr>
        <w:pStyle w:val="TOC2"/>
        <w:tabs>
          <w:tab w:val="left" w:pos="880"/>
          <w:tab w:val="right" w:leader="dot" w:pos="9060"/>
        </w:tabs>
        <w:rPr>
          <w:rFonts w:eastAsiaTheme="minorEastAsia" w:cstheme="minorBidi"/>
          <w:smallCaps w:val="0"/>
          <w:noProof/>
          <w:sz w:val="22"/>
          <w:szCs w:val="22"/>
          <w:lang w:eastAsia="en-GB" w:bidi="ar-SA"/>
        </w:rPr>
      </w:pPr>
      <w:hyperlink w:anchor="_Toc378943876" w:history="1">
        <w:r w:rsidR="00E664ED" w:rsidRPr="006537F2">
          <w:rPr>
            <w:rStyle w:val="Hyperlink"/>
            <w:noProof/>
          </w:rPr>
          <w:t>1.6</w:t>
        </w:r>
        <w:r w:rsidR="00E664ED">
          <w:rPr>
            <w:rFonts w:eastAsiaTheme="minorEastAsia" w:cstheme="minorBidi"/>
            <w:smallCaps w:val="0"/>
            <w:noProof/>
            <w:sz w:val="22"/>
            <w:szCs w:val="22"/>
            <w:lang w:eastAsia="en-GB" w:bidi="ar-SA"/>
          </w:rPr>
          <w:tab/>
        </w:r>
        <w:r w:rsidR="00E664ED" w:rsidRPr="006537F2">
          <w:rPr>
            <w:rStyle w:val="Hyperlink"/>
            <w:noProof/>
          </w:rPr>
          <w:t>Decision</w:t>
        </w:r>
        <w:r w:rsidR="00E664ED">
          <w:rPr>
            <w:noProof/>
            <w:webHidden/>
          </w:rPr>
          <w:tab/>
        </w:r>
        <w:r w:rsidR="00E664ED">
          <w:rPr>
            <w:noProof/>
            <w:webHidden/>
          </w:rPr>
          <w:fldChar w:fldCharType="begin"/>
        </w:r>
        <w:r w:rsidR="00E664ED">
          <w:rPr>
            <w:noProof/>
            <w:webHidden/>
          </w:rPr>
          <w:instrText xml:space="preserve"> PAGEREF _Toc378943876 \h </w:instrText>
        </w:r>
        <w:r w:rsidR="00E664ED">
          <w:rPr>
            <w:noProof/>
            <w:webHidden/>
          </w:rPr>
        </w:r>
        <w:r w:rsidR="00E664ED">
          <w:rPr>
            <w:noProof/>
            <w:webHidden/>
          </w:rPr>
          <w:fldChar w:fldCharType="separate"/>
        </w:r>
        <w:r>
          <w:rPr>
            <w:noProof/>
            <w:webHidden/>
          </w:rPr>
          <w:t>4</w:t>
        </w:r>
        <w:r w:rsidR="00E664ED">
          <w:rPr>
            <w:noProof/>
            <w:webHidden/>
          </w:rPr>
          <w:fldChar w:fldCharType="end"/>
        </w:r>
      </w:hyperlink>
    </w:p>
    <w:p w:rsidR="00E664ED" w:rsidRDefault="00341CB2">
      <w:pPr>
        <w:pStyle w:val="TOC1"/>
        <w:tabs>
          <w:tab w:val="left" w:pos="440"/>
          <w:tab w:val="right" w:leader="dot" w:pos="9060"/>
        </w:tabs>
        <w:rPr>
          <w:rFonts w:eastAsiaTheme="minorEastAsia" w:cstheme="minorBidi"/>
          <w:b w:val="0"/>
          <w:bCs w:val="0"/>
          <w:caps w:val="0"/>
          <w:noProof/>
          <w:sz w:val="22"/>
          <w:szCs w:val="22"/>
          <w:lang w:eastAsia="en-GB" w:bidi="ar-SA"/>
        </w:rPr>
      </w:pPr>
      <w:hyperlink w:anchor="_Toc378943877" w:history="1">
        <w:r w:rsidR="00E664ED" w:rsidRPr="006537F2">
          <w:rPr>
            <w:rStyle w:val="Hyperlink"/>
            <w:noProof/>
          </w:rPr>
          <w:t>2.</w:t>
        </w:r>
        <w:r w:rsidR="00E664ED">
          <w:rPr>
            <w:rFonts w:eastAsiaTheme="minorEastAsia" w:cstheme="minorBidi"/>
            <w:b w:val="0"/>
            <w:bCs w:val="0"/>
            <w:caps w:val="0"/>
            <w:noProof/>
            <w:sz w:val="22"/>
            <w:szCs w:val="22"/>
            <w:lang w:eastAsia="en-GB" w:bidi="ar-SA"/>
          </w:rPr>
          <w:tab/>
        </w:r>
        <w:r w:rsidR="00E664ED" w:rsidRPr="006537F2">
          <w:rPr>
            <w:rStyle w:val="Hyperlink"/>
            <w:noProof/>
          </w:rPr>
          <w:t xml:space="preserve">Summary </w:t>
        </w:r>
        <w:r w:rsidR="00E664ED" w:rsidRPr="006537F2">
          <w:rPr>
            <w:rStyle w:val="Hyperlink"/>
            <w:noProof/>
            <w:u w:color="FFFF00"/>
          </w:rPr>
          <w:t>of</w:t>
        </w:r>
        <w:r w:rsidR="00E664ED" w:rsidRPr="006537F2">
          <w:rPr>
            <w:rStyle w:val="Hyperlink"/>
            <w:noProof/>
          </w:rPr>
          <w:t xml:space="preserve"> the findings</w:t>
        </w:r>
        <w:r w:rsidR="00E664ED">
          <w:rPr>
            <w:noProof/>
            <w:webHidden/>
          </w:rPr>
          <w:tab/>
        </w:r>
        <w:r w:rsidR="00E664ED">
          <w:rPr>
            <w:noProof/>
            <w:webHidden/>
          </w:rPr>
          <w:fldChar w:fldCharType="begin"/>
        </w:r>
        <w:r w:rsidR="00E664ED">
          <w:rPr>
            <w:noProof/>
            <w:webHidden/>
          </w:rPr>
          <w:instrText xml:space="preserve"> PAGEREF _Toc378943877 \h </w:instrText>
        </w:r>
        <w:r w:rsidR="00E664ED">
          <w:rPr>
            <w:noProof/>
            <w:webHidden/>
          </w:rPr>
        </w:r>
        <w:r w:rsidR="00E664ED">
          <w:rPr>
            <w:noProof/>
            <w:webHidden/>
          </w:rPr>
          <w:fldChar w:fldCharType="separate"/>
        </w:r>
        <w:r>
          <w:rPr>
            <w:noProof/>
            <w:webHidden/>
          </w:rPr>
          <w:t>4</w:t>
        </w:r>
        <w:r w:rsidR="00E664ED">
          <w:rPr>
            <w:noProof/>
            <w:webHidden/>
          </w:rPr>
          <w:fldChar w:fldCharType="end"/>
        </w:r>
      </w:hyperlink>
    </w:p>
    <w:p w:rsidR="00E664ED" w:rsidRDefault="00341CB2">
      <w:pPr>
        <w:pStyle w:val="TOC2"/>
        <w:tabs>
          <w:tab w:val="left" w:pos="880"/>
          <w:tab w:val="right" w:leader="dot" w:pos="9060"/>
        </w:tabs>
        <w:rPr>
          <w:rFonts w:eastAsiaTheme="minorEastAsia" w:cstheme="minorBidi"/>
          <w:smallCaps w:val="0"/>
          <w:noProof/>
          <w:sz w:val="22"/>
          <w:szCs w:val="22"/>
          <w:lang w:eastAsia="en-GB" w:bidi="ar-SA"/>
        </w:rPr>
      </w:pPr>
      <w:hyperlink w:anchor="_Toc378943878" w:history="1">
        <w:r w:rsidR="00E664ED" w:rsidRPr="006537F2">
          <w:rPr>
            <w:rStyle w:val="Hyperlink"/>
            <w:noProof/>
          </w:rPr>
          <w:t>2.1</w:t>
        </w:r>
        <w:r w:rsidR="00E664ED">
          <w:rPr>
            <w:rFonts w:eastAsiaTheme="minorEastAsia" w:cstheme="minorBidi"/>
            <w:smallCaps w:val="0"/>
            <w:noProof/>
            <w:sz w:val="22"/>
            <w:szCs w:val="22"/>
            <w:lang w:eastAsia="en-GB" w:bidi="ar-SA"/>
          </w:rPr>
          <w:tab/>
        </w:r>
        <w:r w:rsidR="00E664ED" w:rsidRPr="006537F2">
          <w:rPr>
            <w:rStyle w:val="Hyperlink"/>
            <w:noProof/>
          </w:rPr>
          <w:t>Summary of issues raised in submissions</w:t>
        </w:r>
        <w:r w:rsidR="00E664ED">
          <w:rPr>
            <w:noProof/>
            <w:webHidden/>
          </w:rPr>
          <w:tab/>
        </w:r>
        <w:r w:rsidR="00E664ED">
          <w:rPr>
            <w:noProof/>
            <w:webHidden/>
          </w:rPr>
          <w:fldChar w:fldCharType="begin"/>
        </w:r>
        <w:r w:rsidR="00E664ED">
          <w:rPr>
            <w:noProof/>
            <w:webHidden/>
          </w:rPr>
          <w:instrText xml:space="preserve"> PAGEREF _Toc378943878 \h </w:instrText>
        </w:r>
        <w:r w:rsidR="00E664ED">
          <w:rPr>
            <w:noProof/>
            <w:webHidden/>
          </w:rPr>
        </w:r>
        <w:r w:rsidR="00E664ED">
          <w:rPr>
            <w:noProof/>
            <w:webHidden/>
          </w:rPr>
          <w:fldChar w:fldCharType="separate"/>
        </w:r>
        <w:r>
          <w:rPr>
            <w:noProof/>
            <w:webHidden/>
          </w:rPr>
          <w:t>4</w:t>
        </w:r>
        <w:r w:rsidR="00E664ED">
          <w:rPr>
            <w:noProof/>
            <w:webHidden/>
          </w:rPr>
          <w:fldChar w:fldCharType="end"/>
        </w:r>
      </w:hyperlink>
    </w:p>
    <w:p w:rsidR="00E664ED" w:rsidRDefault="00341CB2">
      <w:pPr>
        <w:pStyle w:val="TOC2"/>
        <w:tabs>
          <w:tab w:val="left" w:pos="880"/>
          <w:tab w:val="right" w:leader="dot" w:pos="9060"/>
        </w:tabs>
        <w:rPr>
          <w:rFonts w:eastAsiaTheme="minorEastAsia" w:cstheme="minorBidi"/>
          <w:smallCaps w:val="0"/>
          <w:noProof/>
          <w:sz w:val="22"/>
          <w:szCs w:val="22"/>
          <w:lang w:eastAsia="en-GB" w:bidi="ar-SA"/>
        </w:rPr>
      </w:pPr>
      <w:hyperlink w:anchor="_Toc378943879" w:history="1">
        <w:r w:rsidR="00E664ED" w:rsidRPr="006537F2">
          <w:rPr>
            <w:rStyle w:val="Hyperlink"/>
            <w:noProof/>
          </w:rPr>
          <w:t>2.2</w:t>
        </w:r>
        <w:r w:rsidR="00E664ED">
          <w:rPr>
            <w:rFonts w:eastAsiaTheme="minorEastAsia" w:cstheme="minorBidi"/>
            <w:smallCaps w:val="0"/>
            <w:noProof/>
            <w:sz w:val="22"/>
            <w:szCs w:val="22"/>
            <w:lang w:eastAsia="en-GB" w:bidi="ar-SA"/>
          </w:rPr>
          <w:tab/>
        </w:r>
        <w:r w:rsidR="00E664ED" w:rsidRPr="006537F2">
          <w:rPr>
            <w:rStyle w:val="Hyperlink"/>
            <w:noProof/>
          </w:rPr>
          <w:t>Safety assessment</w:t>
        </w:r>
        <w:r w:rsidR="00E664ED">
          <w:rPr>
            <w:noProof/>
            <w:webHidden/>
          </w:rPr>
          <w:tab/>
        </w:r>
        <w:r w:rsidR="00E664ED">
          <w:rPr>
            <w:noProof/>
            <w:webHidden/>
          </w:rPr>
          <w:fldChar w:fldCharType="begin"/>
        </w:r>
        <w:r w:rsidR="00E664ED">
          <w:rPr>
            <w:noProof/>
            <w:webHidden/>
          </w:rPr>
          <w:instrText xml:space="preserve"> PAGEREF _Toc378943879 \h </w:instrText>
        </w:r>
        <w:r w:rsidR="00E664ED">
          <w:rPr>
            <w:noProof/>
            <w:webHidden/>
          </w:rPr>
        </w:r>
        <w:r w:rsidR="00E664ED">
          <w:rPr>
            <w:noProof/>
            <w:webHidden/>
          </w:rPr>
          <w:fldChar w:fldCharType="separate"/>
        </w:r>
        <w:r>
          <w:rPr>
            <w:noProof/>
            <w:webHidden/>
          </w:rPr>
          <w:t>8</w:t>
        </w:r>
        <w:r w:rsidR="00E664ED">
          <w:rPr>
            <w:noProof/>
            <w:webHidden/>
          </w:rPr>
          <w:fldChar w:fldCharType="end"/>
        </w:r>
      </w:hyperlink>
    </w:p>
    <w:p w:rsidR="00E664ED" w:rsidRDefault="00341CB2">
      <w:pPr>
        <w:pStyle w:val="TOC2"/>
        <w:tabs>
          <w:tab w:val="left" w:pos="880"/>
          <w:tab w:val="right" w:leader="dot" w:pos="9060"/>
        </w:tabs>
        <w:rPr>
          <w:rFonts w:eastAsiaTheme="minorEastAsia" w:cstheme="minorBidi"/>
          <w:smallCaps w:val="0"/>
          <w:noProof/>
          <w:sz w:val="22"/>
          <w:szCs w:val="22"/>
          <w:lang w:eastAsia="en-GB" w:bidi="ar-SA"/>
        </w:rPr>
      </w:pPr>
      <w:hyperlink w:anchor="_Toc378943880" w:history="1">
        <w:r w:rsidR="00E664ED" w:rsidRPr="006537F2">
          <w:rPr>
            <w:rStyle w:val="Hyperlink"/>
            <w:noProof/>
          </w:rPr>
          <w:t>2.3</w:t>
        </w:r>
        <w:r w:rsidR="00E664ED">
          <w:rPr>
            <w:rFonts w:eastAsiaTheme="minorEastAsia" w:cstheme="minorBidi"/>
            <w:smallCaps w:val="0"/>
            <w:noProof/>
            <w:sz w:val="22"/>
            <w:szCs w:val="22"/>
            <w:lang w:eastAsia="en-GB" w:bidi="ar-SA"/>
          </w:rPr>
          <w:tab/>
        </w:r>
        <w:r w:rsidR="00E664ED" w:rsidRPr="006537F2">
          <w:rPr>
            <w:rStyle w:val="Hyperlink"/>
            <w:noProof/>
          </w:rPr>
          <w:t>Risk management</w:t>
        </w:r>
        <w:r w:rsidR="00E664ED">
          <w:rPr>
            <w:noProof/>
            <w:webHidden/>
          </w:rPr>
          <w:tab/>
        </w:r>
        <w:r w:rsidR="00E664ED">
          <w:rPr>
            <w:noProof/>
            <w:webHidden/>
          </w:rPr>
          <w:fldChar w:fldCharType="begin"/>
        </w:r>
        <w:r w:rsidR="00E664ED">
          <w:rPr>
            <w:noProof/>
            <w:webHidden/>
          </w:rPr>
          <w:instrText xml:space="preserve"> PAGEREF _Toc378943880 \h </w:instrText>
        </w:r>
        <w:r w:rsidR="00E664ED">
          <w:rPr>
            <w:noProof/>
            <w:webHidden/>
          </w:rPr>
        </w:r>
        <w:r w:rsidR="00E664ED">
          <w:rPr>
            <w:noProof/>
            <w:webHidden/>
          </w:rPr>
          <w:fldChar w:fldCharType="separate"/>
        </w:r>
        <w:r>
          <w:rPr>
            <w:noProof/>
            <w:webHidden/>
          </w:rPr>
          <w:t>9</w:t>
        </w:r>
        <w:r w:rsidR="00E664ED">
          <w:rPr>
            <w:noProof/>
            <w:webHidden/>
          </w:rPr>
          <w:fldChar w:fldCharType="end"/>
        </w:r>
      </w:hyperlink>
    </w:p>
    <w:p w:rsidR="00E664ED" w:rsidRDefault="00341CB2">
      <w:pPr>
        <w:pStyle w:val="TOC3"/>
        <w:tabs>
          <w:tab w:val="left" w:pos="1100"/>
          <w:tab w:val="right" w:leader="dot" w:pos="9060"/>
        </w:tabs>
        <w:rPr>
          <w:rFonts w:eastAsiaTheme="minorEastAsia" w:cstheme="minorBidi"/>
          <w:i w:val="0"/>
          <w:iCs w:val="0"/>
          <w:noProof/>
          <w:sz w:val="22"/>
          <w:szCs w:val="22"/>
          <w:lang w:eastAsia="en-GB" w:bidi="ar-SA"/>
        </w:rPr>
      </w:pPr>
      <w:hyperlink w:anchor="_Toc378943881" w:history="1">
        <w:r w:rsidR="00E664ED" w:rsidRPr="006537F2">
          <w:rPr>
            <w:rStyle w:val="Hyperlink"/>
            <w:noProof/>
          </w:rPr>
          <w:t>2.3.1</w:t>
        </w:r>
        <w:r w:rsidR="00E664ED">
          <w:rPr>
            <w:rFonts w:eastAsiaTheme="minorEastAsia" w:cstheme="minorBidi"/>
            <w:i w:val="0"/>
            <w:iCs w:val="0"/>
            <w:noProof/>
            <w:sz w:val="22"/>
            <w:szCs w:val="22"/>
            <w:lang w:eastAsia="en-GB" w:bidi="ar-SA"/>
          </w:rPr>
          <w:tab/>
        </w:r>
        <w:r w:rsidR="00E664ED" w:rsidRPr="006537F2">
          <w:rPr>
            <w:rStyle w:val="Hyperlink"/>
            <w:noProof/>
          </w:rPr>
          <w:t>Labelling</w:t>
        </w:r>
        <w:r w:rsidR="00E664ED">
          <w:rPr>
            <w:noProof/>
            <w:webHidden/>
          </w:rPr>
          <w:tab/>
        </w:r>
        <w:r w:rsidR="00E664ED">
          <w:rPr>
            <w:noProof/>
            <w:webHidden/>
          </w:rPr>
          <w:fldChar w:fldCharType="begin"/>
        </w:r>
        <w:r w:rsidR="00E664ED">
          <w:rPr>
            <w:noProof/>
            <w:webHidden/>
          </w:rPr>
          <w:instrText xml:space="preserve"> PAGEREF _Toc378943881 \h </w:instrText>
        </w:r>
        <w:r w:rsidR="00E664ED">
          <w:rPr>
            <w:noProof/>
            <w:webHidden/>
          </w:rPr>
        </w:r>
        <w:r w:rsidR="00E664ED">
          <w:rPr>
            <w:noProof/>
            <w:webHidden/>
          </w:rPr>
          <w:fldChar w:fldCharType="separate"/>
        </w:r>
        <w:r>
          <w:rPr>
            <w:noProof/>
            <w:webHidden/>
          </w:rPr>
          <w:t>9</w:t>
        </w:r>
        <w:r w:rsidR="00E664ED">
          <w:rPr>
            <w:noProof/>
            <w:webHidden/>
          </w:rPr>
          <w:fldChar w:fldCharType="end"/>
        </w:r>
      </w:hyperlink>
    </w:p>
    <w:p w:rsidR="00E664ED" w:rsidRDefault="00341CB2">
      <w:pPr>
        <w:pStyle w:val="TOC3"/>
        <w:tabs>
          <w:tab w:val="left" w:pos="1100"/>
          <w:tab w:val="right" w:leader="dot" w:pos="9060"/>
        </w:tabs>
        <w:rPr>
          <w:rFonts w:eastAsiaTheme="minorEastAsia" w:cstheme="minorBidi"/>
          <w:i w:val="0"/>
          <w:iCs w:val="0"/>
          <w:noProof/>
          <w:sz w:val="22"/>
          <w:szCs w:val="22"/>
          <w:lang w:eastAsia="en-GB" w:bidi="ar-SA"/>
        </w:rPr>
      </w:pPr>
      <w:hyperlink w:anchor="_Toc378943882" w:history="1">
        <w:r w:rsidR="00E664ED" w:rsidRPr="006537F2">
          <w:rPr>
            <w:rStyle w:val="Hyperlink"/>
            <w:noProof/>
          </w:rPr>
          <w:t>2.3.2</w:t>
        </w:r>
        <w:r w:rsidR="00E664ED">
          <w:rPr>
            <w:rFonts w:eastAsiaTheme="minorEastAsia" w:cstheme="minorBidi"/>
            <w:i w:val="0"/>
            <w:iCs w:val="0"/>
            <w:noProof/>
            <w:sz w:val="22"/>
            <w:szCs w:val="22"/>
            <w:lang w:eastAsia="en-GB" w:bidi="ar-SA"/>
          </w:rPr>
          <w:tab/>
        </w:r>
        <w:r w:rsidR="00E664ED" w:rsidRPr="006537F2">
          <w:rPr>
            <w:rStyle w:val="Hyperlink"/>
            <w:noProof/>
          </w:rPr>
          <w:t>Detection methodology</w:t>
        </w:r>
        <w:r w:rsidR="00E664ED">
          <w:rPr>
            <w:noProof/>
            <w:webHidden/>
          </w:rPr>
          <w:tab/>
        </w:r>
        <w:r w:rsidR="00E664ED">
          <w:rPr>
            <w:noProof/>
            <w:webHidden/>
          </w:rPr>
          <w:fldChar w:fldCharType="begin"/>
        </w:r>
        <w:r w:rsidR="00E664ED">
          <w:rPr>
            <w:noProof/>
            <w:webHidden/>
          </w:rPr>
          <w:instrText xml:space="preserve"> PAGEREF _Toc378943882 \h </w:instrText>
        </w:r>
        <w:r w:rsidR="00E664ED">
          <w:rPr>
            <w:noProof/>
            <w:webHidden/>
          </w:rPr>
        </w:r>
        <w:r w:rsidR="00E664ED">
          <w:rPr>
            <w:noProof/>
            <w:webHidden/>
          </w:rPr>
          <w:fldChar w:fldCharType="separate"/>
        </w:r>
        <w:r>
          <w:rPr>
            <w:noProof/>
            <w:webHidden/>
          </w:rPr>
          <w:t>9</w:t>
        </w:r>
        <w:r w:rsidR="00E664ED">
          <w:rPr>
            <w:noProof/>
            <w:webHidden/>
          </w:rPr>
          <w:fldChar w:fldCharType="end"/>
        </w:r>
      </w:hyperlink>
    </w:p>
    <w:p w:rsidR="00E664ED" w:rsidRDefault="00341CB2">
      <w:pPr>
        <w:pStyle w:val="TOC2"/>
        <w:tabs>
          <w:tab w:val="left" w:pos="880"/>
          <w:tab w:val="right" w:leader="dot" w:pos="9060"/>
        </w:tabs>
        <w:rPr>
          <w:rFonts w:eastAsiaTheme="minorEastAsia" w:cstheme="minorBidi"/>
          <w:smallCaps w:val="0"/>
          <w:noProof/>
          <w:sz w:val="22"/>
          <w:szCs w:val="22"/>
          <w:lang w:eastAsia="en-GB" w:bidi="ar-SA"/>
        </w:rPr>
      </w:pPr>
      <w:hyperlink w:anchor="_Toc378943883" w:history="1">
        <w:r w:rsidR="00E664ED" w:rsidRPr="006537F2">
          <w:rPr>
            <w:rStyle w:val="Hyperlink"/>
            <w:noProof/>
          </w:rPr>
          <w:t>2.4</w:t>
        </w:r>
        <w:r w:rsidR="00E664ED">
          <w:rPr>
            <w:rFonts w:eastAsiaTheme="minorEastAsia" w:cstheme="minorBidi"/>
            <w:smallCaps w:val="0"/>
            <w:noProof/>
            <w:sz w:val="22"/>
            <w:szCs w:val="22"/>
            <w:lang w:eastAsia="en-GB" w:bidi="ar-SA"/>
          </w:rPr>
          <w:tab/>
        </w:r>
        <w:r w:rsidR="00E664ED" w:rsidRPr="006537F2">
          <w:rPr>
            <w:rStyle w:val="Hyperlink"/>
            <w:noProof/>
          </w:rPr>
          <w:t>Risk communication</w:t>
        </w:r>
        <w:r w:rsidR="00E664ED">
          <w:rPr>
            <w:noProof/>
            <w:webHidden/>
          </w:rPr>
          <w:tab/>
        </w:r>
        <w:r w:rsidR="00E664ED">
          <w:rPr>
            <w:noProof/>
            <w:webHidden/>
          </w:rPr>
          <w:fldChar w:fldCharType="begin"/>
        </w:r>
        <w:r w:rsidR="00E664ED">
          <w:rPr>
            <w:noProof/>
            <w:webHidden/>
          </w:rPr>
          <w:instrText xml:space="preserve"> PAGEREF _Toc378943883 \h </w:instrText>
        </w:r>
        <w:r w:rsidR="00E664ED">
          <w:rPr>
            <w:noProof/>
            <w:webHidden/>
          </w:rPr>
        </w:r>
        <w:r w:rsidR="00E664ED">
          <w:rPr>
            <w:noProof/>
            <w:webHidden/>
          </w:rPr>
          <w:fldChar w:fldCharType="separate"/>
        </w:r>
        <w:r>
          <w:rPr>
            <w:noProof/>
            <w:webHidden/>
          </w:rPr>
          <w:t>10</w:t>
        </w:r>
        <w:r w:rsidR="00E664ED">
          <w:rPr>
            <w:noProof/>
            <w:webHidden/>
          </w:rPr>
          <w:fldChar w:fldCharType="end"/>
        </w:r>
      </w:hyperlink>
    </w:p>
    <w:p w:rsidR="00E664ED" w:rsidRDefault="00341CB2">
      <w:pPr>
        <w:pStyle w:val="TOC2"/>
        <w:tabs>
          <w:tab w:val="left" w:pos="880"/>
          <w:tab w:val="right" w:leader="dot" w:pos="9060"/>
        </w:tabs>
        <w:rPr>
          <w:rFonts w:eastAsiaTheme="minorEastAsia" w:cstheme="minorBidi"/>
          <w:smallCaps w:val="0"/>
          <w:noProof/>
          <w:sz w:val="22"/>
          <w:szCs w:val="22"/>
          <w:lang w:eastAsia="en-GB" w:bidi="ar-SA"/>
        </w:rPr>
      </w:pPr>
      <w:hyperlink w:anchor="_Toc378943884" w:history="1">
        <w:r w:rsidR="00E664ED" w:rsidRPr="006537F2">
          <w:rPr>
            <w:rStyle w:val="Hyperlink"/>
            <w:noProof/>
          </w:rPr>
          <w:t>2.5</w:t>
        </w:r>
        <w:r w:rsidR="00E664ED">
          <w:rPr>
            <w:rFonts w:eastAsiaTheme="minorEastAsia" w:cstheme="minorBidi"/>
            <w:smallCaps w:val="0"/>
            <w:noProof/>
            <w:sz w:val="22"/>
            <w:szCs w:val="22"/>
            <w:lang w:eastAsia="en-GB" w:bidi="ar-SA"/>
          </w:rPr>
          <w:tab/>
        </w:r>
        <w:r w:rsidR="00E664ED" w:rsidRPr="006537F2">
          <w:rPr>
            <w:rStyle w:val="Hyperlink"/>
            <w:noProof/>
          </w:rPr>
          <w:t>FSANZ Act assessment requirements</w:t>
        </w:r>
        <w:r w:rsidR="00E664ED">
          <w:rPr>
            <w:noProof/>
            <w:webHidden/>
          </w:rPr>
          <w:tab/>
        </w:r>
        <w:r w:rsidR="00E664ED">
          <w:rPr>
            <w:noProof/>
            <w:webHidden/>
          </w:rPr>
          <w:fldChar w:fldCharType="begin"/>
        </w:r>
        <w:r w:rsidR="00E664ED">
          <w:rPr>
            <w:noProof/>
            <w:webHidden/>
          </w:rPr>
          <w:instrText xml:space="preserve"> PAGEREF _Toc378943884 \h </w:instrText>
        </w:r>
        <w:r w:rsidR="00E664ED">
          <w:rPr>
            <w:noProof/>
            <w:webHidden/>
          </w:rPr>
        </w:r>
        <w:r w:rsidR="00E664ED">
          <w:rPr>
            <w:noProof/>
            <w:webHidden/>
          </w:rPr>
          <w:fldChar w:fldCharType="separate"/>
        </w:r>
        <w:r>
          <w:rPr>
            <w:noProof/>
            <w:webHidden/>
          </w:rPr>
          <w:t>10</w:t>
        </w:r>
        <w:r w:rsidR="00E664ED">
          <w:rPr>
            <w:noProof/>
            <w:webHidden/>
          </w:rPr>
          <w:fldChar w:fldCharType="end"/>
        </w:r>
      </w:hyperlink>
    </w:p>
    <w:p w:rsidR="00E664ED" w:rsidRDefault="00341CB2">
      <w:pPr>
        <w:pStyle w:val="TOC3"/>
        <w:tabs>
          <w:tab w:val="left" w:pos="1100"/>
          <w:tab w:val="right" w:leader="dot" w:pos="9060"/>
        </w:tabs>
        <w:rPr>
          <w:rFonts w:eastAsiaTheme="minorEastAsia" w:cstheme="minorBidi"/>
          <w:i w:val="0"/>
          <w:iCs w:val="0"/>
          <w:noProof/>
          <w:sz w:val="22"/>
          <w:szCs w:val="22"/>
          <w:lang w:eastAsia="en-GB" w:bidi="ar-SA"/>
        </w:rPr>
      </w:pPr>
      <w:hyperlink w:anchor="_Toc378943885" w:history="1">
        <w:r w:rsidR="00E664ED" w:rsidRPr="006537F2">
          <w:rPr>
            <w:rStyle w:val="Hyperlink"/>
            <w:noProof/>
          </w:rPr>
          <w:t>2.5.1</w:t>
        </w:r>
        <w:r w:rsidR="00E664ED">
          <w:rPr>
            <w:rFonts w:eastAsiaTheme="minorEastAsia" w:cstheme="minorBidi"/>
            <w:i w:val="0"/>
            <w:iCs w:val="0"/>
            <w:noProof/>
            <w:sz w:val="22"/>
            <w:szCs w:val="22"/>
            <w:lang w:eastAsia="en-GB" w:bidi="ar-SA"/>
          </w:rPr>
          <w:tab/>
        </w:r>
        <w:r w:rsidR="00E664ED" w:rsidRPr="006537F2">
          <w:rPr>
            <w:rStyle w:val="Hyperlink"/>
            <w:noProof/>
          </w:rPr>
          <w:t>Section 29</w:t>
        </w:r>
        <w:r w:rsidR="00E664ED">
          <w:rPr>
            <w:noProof/>
            <w:webHidden/>
          </w:rPr>
          <w:tab/>
        </w:r>
        <w:r w:rsidR="00E664ED">
          <w:rPr>
            <w:noProof/>
            <w:webHidden/>
          </w:rPr>
          <w:fldChar w:fldCharType="begin"/>
        </w:r>
        <w:r w:rsidR="00E664ED">
          <w:rPr>
            <w:noProof/>
            <w:webHidden/>
          </w:rPr>
          <w:instrText xml:space="preserve"> PAGEREF _Toc378943885 \h </w:instrText>
        </w:r>
        <w:r w:rsidR="00E664ED">
          <w:rPr>
            <w:noProof/>
            <w:webHidden/>
          </w:rPr>
        </w:r>
        <w:r w:rsidR="00E664ED">
          <w:rPr>
            <w:noProof/>
            <w:webHidden/>
          </w:rPr>
          <w:fldChar w:fldCharType="separate"/>
        </w:r>
        <w:r>
          <w:rPr>
            <w:noProof/>
            <w:webHidden/>
          </w:rPr>
          <w:t>10</w:t>
        </w:r>
        <w:r w:rsidR="00E664ED">
          <w:rPr>
            <w:noProof/>
            <w:webHidden/>
          </w:rPr>
          <w:fldChar w:fldCharType="end"/>
        </w:r>
      </w:hyperlink>
    </w:p>
    <w:p w:rsidR="00E664ED" w:rsidRDefault="00341CB2">
      <w:pPr>
        <w:pStyle w:val="TOC3"/>
        <w:tabs>
          <w:tab w:val="left" w:pos="1320"/>
          <w:tab w:val="right" w:leader="dot" w:pos="9060"/>
        </w:tabs>
        <w:rPr>
          <w:rFonts w:eastAsiaTheme="minorEastAsia" w:cstheme="minorBidi"/>
          <w:i w:val="0"/>
          <w:iCs w:val="0"/>
          <w:noProof/>
          <w:sz w:val="22"/>
          <w:szCs w:val="22"/>
          <w:lang w:eastAsia="en-GB" w:bidi="ar-SA"/>
        </w:rPr>
      </w:pPr>
      <w:hyperlink w:anchor="_Toc378943886" w:history="1">
        <w:r w:rsidR="00E664ED" w:rsidRPr="006537F2">
          <w:rPr>
            <w:rStyle w:val="Hyperlink"/>
            <w:noProof/>
          </w:rPr>
          <w:t>2.5.1.1</w:t>
        </w:r>
        <w:r w:rsidR="00E664ED">
          <w:rPr>
            <w:rFonts w:eastAsiaTheme="minorEastAsia" w:cstheme="minorBidi"/>
            <w:i w:val="0"/>
            <w:iCs w:val="0"/>
            <w:noProof/>
            <w:sz w:val="22"/>
            <w:szCs w:val="22"/>
            <w:lang w:eastAsia="en-GB" w:bidi="ar-SA"/>
          </w:rPr>
          <w:tab/>
        </w:r>
        <w:r w:rsidR="00E664ED" w:rsidRPr="006537F2">
          <w:rPr>
            <w:rStyle w:val="Hyperlink"/>
            <w:noProof/>
          </w:rPr>
          <w:t>Cost benefit analysis</w:t>
        </w:r>
        <w:r w:rsidR="00E664ED">
          <w:rPr>
            <w:noProof/>
            <w:webHidden/>
          </w:rPr>
          <w:tab/>
        </w:r>
        <w:r w:rsidR="00E664ED">
          <w:rPr>
            <w:noProof/>
            <w:webHidden/>
          </w:rPr>
          <w:fldChar w:fldCharType="begin"/>
        </w:r>
        <w:r w:rsidR="00E664ED">
          <w:rPr>
            <w:noProof/>
            <w:webHidden/>
          </w:rPr>
          <w:instrText xml:space="preserve"> PAGEREF _Toc378943886 \h </w:instrText>
        </w:r>
        <w:r w:rsidR="00E664ED">
          <w:rPr>
            <w:noProof/>
            <w:webHidden/>
          </w:rPr>
        </w:r>
        <w:r w:rsidR="00E664ED">
          <w:rPr>
            <w:noProof/>
            <w:webHidden/>
          </w:rPr>
          <w:fldChar w:fldCharType="separate"/>
        </w:r>
        <w:r>
          <w:rPr>
            <w:noProof/>
            <w:webHidden/>
          </w:rPr>
          <w:t>10</w:t>
        </w:r>
        <w:r w:rsidR="00E664ED">
          <w:rPr>
            <w:noProof/>
            <w:webHidden/>
          </w:rPr>
          <w:fldChar w:fldCharType="end"/>
        </w:r>
      </w:hyperlink>
    </w:p>
    <w:p w:rsidR="00E664ED" w:rsidRDefault="00341CB2">
      <w:pPr>
        <w:pStyle w:val="TOC3"/>
        <w:tabs>
          <w:tab w:val="left" w:pos="1320"/>
          <w:tab w:val="right" w:leader="dot" w:pos="9060"/>
        </w:tabs>
        <w:rPr>
          <w:rFonts w:eastAsiaTheme="minorEastAsia" w:cstheme="minorBidi"/>
          <w:i w:val="0"/>
          <w:iCs w:val="0"/>
          <w:noProof/>
          <w:sz w:val="22"/>
          <w:szCs w:val="22"/>
          <w:lang w:eastAsia="en-GB" w:bidi="ar-SA"/>
        </w:rPr>
      </w:pPr>
      <w:hyperlink w:anchor="_Toc378943887" w:history="1">
        <w:r w:rsidR="00E664ED" w:rsidRPr="006537F2">
          <w:rPr>
            <w:rStyle w:val="Hyperlink"/>
            <w:noProof/>
          </w:rPr>
          <w:t>2.5.1.2</w:t>
        </w:r>
        <w:r w:rsidR="00E664ED">
          <w:rPr>
            <w:rFonts w:eastAsiaTheme="minorEastAsia" w:cstheme="minorBidi"/>
            <w:i w:val="0"/>
            <w:iCs w:val="0"/>
            <w:noProof/>
            <w:sz w:val="22"/>
            <w:szCs w:val="22"/>
            <w:lang w:eastAsia="en-GB" w:bidi="ar-SA"/>
          </w:rPr>
          <w:tab/>
        </w:r>
        <w:r w:rsidR="00E664ED" w:rsidRPr="006537F2">
          <w:rPr>
            <w:rStyle w:val="Hyperlink"/>
            <w:noProof/>
          </w:rPr>
          <w:t>Other measures</w:t>
        </w:r>
        <w:r w:rsidR="00E664ED">
          <w:rPr>
            <w:noProof/>
            <w:webHidden/>
          </w:rPr>
          <w:tab/>
        </w:r>
        <w:r w:rsidR="00E664ED">
          <w:rPr>
            <w:noProof/>
            <w:webHidden/>
          </w:rPr>
          <w:fldChar w:fldCharType="begin"/>
        </w:r>
        <w:r w:rsidR="00E664ED">
          <w:rPr>
            <w:noProof/>
            <w:webHidden/>
          </w:rPr>
          <w:instrText xml:space="preserve"> PAGEREF _Toc378943887 \h </w:instrText>
        </w:r>
        <w:r w:rsidR="00E664ED">
          <w:rPr>
            <w:noProof/>
            <w:webHidden/>
          </w:rPr>
        </w:r>
        <w:r w:rsidR="00E664ED">
          <w:rPr>
            <w:noProof/>
            <w:webHidden/>
          </w:rPr>
          <w:fldChar w:fldCharType="separate"/>
        </w:r>
        <w:r>
          <w:rPr>
            <w:noProof/>
            <w:webHidden/>
          </w:rPr>
          <w:t>11</w:t>
        </w:r>
        <w:r w:rsidR="00E664ED">
          <w:rPr>
            <w:noProof/>
            <w:webHidden/>
          </w:rPr>
          <w:fldChar w:fldCharType="end"/>
        </w:r>
      </w:hyperlink>
    </w:p>
    <w:p w:rsidR="00E664ED" w:rsidRDefault="00341CB2">
      <w:pPr>
        <w:pStyle w:val="TOC3"/>
        <w:tabs>
          <w:tab w:val="left" w:pos="1320"/>
          <w:tab w:val="right" w:leader="dot" w:pos="9060"/>
        </w:tabs>
        <w:rPr>
          <w:rFonts w:eastAsiaTheme="minorEastAsia" w:cstheme="minorBidi"/>
          <w:i w:val="0"/>
          <w:iCs w:val="0"/>
          <w:noProof/>
          <w:sz w:val="22"/>
          <w:szCs w:val="22"/>
          <w:lang w:eastAsia="en-GB" w:bidi="ar-SA"/>
        </w:rPr>
      </w:pPr>
      <w:hyperlink w:anchor="_Toc378943888" w:history="1">
        <w:r w:rsidR="00E664ED" w:rsidRPr="006537F2">
          <w:rPr>
            <w:rStyle w:val="Hyperlink"/>
            <w:noProof/>
          </w:rPr>
          <w:t>2.5.1.3</w:t>
        </w:r>
        <w:r w:rsidR="00E664ED">
          <w:rPr>
            <w:rFonts w:eastAsiaTheme="minorEastAsia" w:cstheme="minorBidi"/>
            <w:i w:val="0"/>
            <w:iCs w:val="0"/>
            <w:noProof/>
            <w:sz w:val="22"/>
            <w:szCs w:val="22"/>
            <w:lang w:eastAsia="en-GB" w:bidi="ar-SA"/>
          </w:rPr>
          <w:tab/>
        </w:r>
        <w:r w:rsidR="00E664ED" w:rsidRPr="006537F2">
          <w:rPr>
            <w:rStyle w:val="Hyperlink"/>
            <w:noProof/>
          </w:rPr>
          <w:t>Any relevant New Zealand standards</w:t>
        </w:r>
        <w:r w:rsidR="00E664ED">
          <w:rPr>
            <w:noProof/>
            <w:webHidden/>
          </w:rPr>
          <w:tab/>
        </w:r>
        <w:r w:rsidR="00E664ED">
          <w:rPr>
            <w:noProof/>
            <w:webHidden/>
          </w:rPr>
          <w:fldChar w:fldCharType="begin"/>
        </w:r>
        <w:r w:rsidR="00E664ED">
          <w:rPr>
            <w:noProof/>
            <w:webHidden/>
          </w:rPr>
          <w:instrText xml:space="preserve"> PAGEREF _Toc378943888 \h </w:instrText>
        </w:r>
        <w:r w:rsidR="00E664ED">
          <w:rPr>
            <w:noProof/>
            <w:webHidden/>
          </w:rPr>
        </w:r>
        <w:r w:rsidR="00E664ED">
          <w:rPr>
            <w:noProof/>
            <w:webHidden/>
          </w:rPr>
          <w:fldChar w:fldCharType="separate"/>
        </w:r>
        <w:r>
          <w:rPr>
            <w:noProof/>
            <w:webHidden/>
          </w:rPr>
          <w:t>12</w:t>
        </w:r>
        <w:r w:rsidR="00E664ED">
          <w:rPr>
            <w:noProof/>
            <w:webHidden/>
          </w:rPr>
          <w:fldChar w:fldCharType="end"/>
        </w:r>
      </w:hyperlink>
    </w:p>
    <w:p w:rsidR="00E664ED" w:rsidRDefault="00341CB2">
      <w:pPr>
        <w:pStyle w:val="TOC3"/>
        <w:tabs>
          <w:tab w:val="left" w:pos="1320"/>
          <w:tab w:val="right" w:leader="dot" w:pos="9060"/>
        </w:tabs>
        <w:rPr>
          <w:rFonts w:eastAsiaTheme="minorEastAsia" w:cstheme="minorBidi"/>
          <w:i w:val="0"/>
          <w:iCs w:val="0"/>
          <w:noProof/>
          <w:sz w:val="22"/>
          <w:szCs w:val="22"/>
          <w:lang w:eastAsia="en-GB" w:bidi="ar-SA"/>
        </w:rPr>
      </w:pPr>
      <w:hyperlink w:anchor="_Toc378943889" w:history="1">
        <w:r w:rsidR="00E664ED" w:rsidRPr="006537F2">
          <w:rPr>
            <w:rStyle w:val="Hyperlink"/>
            <w:noProof/>
          </w:rPr>
          <w:t>2.5.1.4</w:t>
        </w:r>
        <w:r w:rsidR="00E664ED">
          <w:rPr>
            <w:rFonts w:eastAsiaTheme="minorEastAsia" w:cstheme="minorBidi"/>
            <w:i w:val="0"/>
            <w:iCs w:val="0"/>
            <w:noProof/>
            <w:sz w:val="22"/>
            <w:szCs w:val="22"/>
            <w:lang w:eastAsia="en-GB" w:bidi="ar-SA"/>
          </w:rPr>
          <w:tab/>
        </w:r>
        <w:r w:rsidR="00E664ED" w:rsidRPr="006537F2">
          <w:rPr>
            <w:rStyle w:val="Hyperlink"/>
            <w:noProof/>
          </w:rPr>
          <w:t>Any other relevant matters</w:t>
        </w:r>
        <w:r w:rsidR="00E664ED">
          <w:rPr>
            <w:noProof/>
            <w:webHidden/>
          </w:rPr>
          <w:tab/>
        </w:r>
        <w:r w:rsidR="00E664ED">
          <w:rPr>
            <w:noProof/>
            <w:webHidden/>
          </w:rPr>
          <w:fldChar w:fldCharType="begin"/>
        </w:r>
        <w:r w:rsidR="00E664ED">
          <w:rPr>
            <w:noProof/>
            <w:webHidden/>
          </w:rPr>
          <w:instrText xml:space="preserve"> PAGEREF _Toc378943889 \h </w:instrText>
        </w:r>
        <w:r w:rsidR="00E664ED">
          <w:rPr>
            <w:noProof/>
            <w:webHidden/>
          </w:rPr>
        </w:r>
        <w:r w:rsidR="00E664ED">
          <w:rPr>
            <w:noProof/>
            <w:webHidden/>
          </w:rPr>
          <w:fldChar w:fldCharType="separate"/>
        </w:r>
        <w:r>
          <w:rPr>
            <w:noProof/>
            <w:webHidden/>
          </w:rPr>
          <w:t>12</w:t>
        </w:r>
        <w:r w:rsidR="00E664ED">
          <w:rPr>
            <w:noProof/>
            <w:webHidden/>
          </w:rPr>
          <w:fldChar w:fldCharType="end"/>
        </w:r>
      </w:hyperlink>
    </w:p>
    <w:p w:rsidR="00E664ED" w:rsidRDefault="00341CB2">
      <w:pPr>
        <w:pStyle w:val="TOC3"/>
        <w:tabs>
          <w:tab w:val="left" w:pos="1100"/>
          <w:tab w:val="right" w:leader="dot" w:pos="9060"/>
        </w:tabs>
        <w:rPr>
          <w:rFonts w:eastAsiaTheme="minorEastAsia" w:cstheme="minorBidi"/>
          <w:i w:val="0"/>
          <w:iCs w:val="0"/>
          <w:noProof/>
          <w:sz w:val="22"/>
          <w:szCs w:val="22"/>
          <w:lang w:eastAsia="en-GB" w:bidi="ar-SA"/>
        </w:rPr>
      </w:pPr>
      <w:hyperlink w:anchor="_Toc378943890" w:history="1">
        <w:r w:rsidR="00E664ED" w:rsidRPr="006537F2">
          <w:rPr>
            <w:rStyle w:val="Hyperlink"/>
            <w:noProof/>
          </w:rPr>
          <w:t>2.5.2</w:t>
        </w:r>
        <w:r w:rsidR="00E664ED">
          <w:rPr>
            <w:rFonts w:eastAsiaTheme="minorEastAsia" w:cstheme="minorBidi"/>
            <w:i w:val="0"/>
            <w:iCs w:val="0"/>
            <w:noProof/>
            <w:sz w:val="22"/>
            <w:szCs w:val="22"/>
            <w:lang w:eastAsia="en-GB" w:bidi="ar-SA"/>
          </w:rPr>
          <w:tab/>
        </w:r>
        <w:r w:rsidR="00E664ED" w:rsidRPr="006537F2">
          <w:rPr>
            <w:rStyle w:val="Hyperlink"/>
            <w:noProof/>
          </w:rPr>
          <w:t>Subsection 18(1)</w:t>
        </w:r>
        <w:r w:rsidR="00E664ED">
          <w:rPr>
            <w:noProof/>
            <w:webHidden/>
          </w:rPr>
          <w:tab/>
        </w:r>
        <w:r w:rsidR="00E664ED">
          <w:rPr>
            <w:noProof/>
            <w:webHidden/>
          </w:rPr>
          <w:fldChar w:fldCharType="begin"/>
        </w:r>
        <w:r w:rsidR="00E664ED">
          <w:rPr>
            <w:noProof/>
            <w:webHidden/>
          </w:rPr>
          <w:instrText xml:space="preserve"> PAGEREF _Toc378943890 \h </w:instrText>
        </w:r>
        <w:r w:rsidR="00E664ED">
          <w:rPr>
            <w:noProof/>
            <w:webHidden/>
          </w:rPr>
        </w:r>
        <w:r w:rsidR="00E664ED">
          <w:rPr>
            <w:noProof/>
            <w:webHidden/>
          </w:rPr>
          <w:fldChar w:fldCharType="separate"/>
        </w:r>
        <w:r>
          <w:rPr>
            <w:noProof/>
            <w:webHidden/>
          </w:rPr>
          <w:t>12</w:t>
        </w:r>
        <w:r w:rsidR="00E664ED">
          <w:rPr>
            <w:noProof/>
            <w:webHidden/>
          </w:rPr>
          <w:fldChar w:fldCharType="end"/>
        </w:r>
      </w:hyperlink>
    </w:p>
    <w:p w:rsidR="00E664ED" w:rsidRDefault="00341CB2">
      <w:pPr>
        <w:pStyle w:val="TOC3"/>
        <w:tabs>
          <w:tab w:val="left" w:pos="1320"/>
          <w:tab w:val="right" w:leader="dot" w:pos="9060"/>
        </w:tabs>
        <w:rPr>
          <w:rFonts w:eastAsiaTheme="minorEastAsia" w:cstheme="minorBidi"/>
          <w:i w:val="0"/>
          <w:iCs w:val="0"/>
          <w:noProof/>
          <w:sz w:val="22"/>
          <w:szCs w:val="22"/>
          <w:lang w:eastAsia="en-GB" w:bidi="ar-SA"/>
        </w:rPr>
      </w:pPr>
      <w:hyperlink w:anchor="_Toc378943891" w:history="1">
        <w:r w:rsidR="00E664ED" w:rsidRPr="006537F2">
          <w:rPr>
            <w:rStyle w:val="Hyperlink"/>
            <w:noProof/>
          </w:rPr>
          <w:t>2.5.2.1</w:t>
        </w:r>
        <w:r w:rsidR="00E664ED">
          <w:rPr>
            <w:rFonts w:eastAsiaTheme="minorEastAsia" w:cstheme="minorBidi"/>
            <w:i w:val="0"/>
            <w:iCs w:val="0"/>
            <w:noProof/>
            <w:sz w:val="22"/>
            <w:szCs w:val="22"/>
            <w:lang w:eastAsia="en-GB" w:bidi="ar-SA"/>
          </w:rPr>
          <w:tab/>
        </w:r>
        <w:r w:rsidR="00E664ED" w:rsidRPr="006537F2">
          <w:rPr>
            <w:rStyle w:val="Hyperlink"/>
            <w:noProof/>
          </w:rPr>
          <w:t>Protection of public health and safety</w:t>
        </w:r>
        <w:r w:rsidR="00E664ED">
          <w:rPr>
            <w:noProof/>
            <w:webHidden/>
          </w:rPr>
          <w:tab/>
        </w:r>
        <w:r w:rsidR="00E664ED">
          <w:rPr>
            <w:noProof/>
            <w:webHidden/>
          </w:rPr>
          <w:fldChar w:fldCharType="begin"/>
        </w:r>
        <w:r w:rsidR="00E664ED">
          <w:rPr>
            <w:noProof/>
            <w:webHidden/>
          </w:rPr>
          <w:instrText xml:space="preserve"> PAGEREF _Toc378943891 \h </w:instrText>
        </w:r>
        <w:r w:rsidR="00E664ED">
          <w:rPr>
            <w:noProof/>
            <w:webHidden/>
          </w:rPr>
        </w:r>
        <w:r w:rsidR="00E664ED">
          <w:rPr>
            <w:noProof/>
            <w:webHidden/>
          </w:rPr>
          <w:fldChar w:fldCharType="separate"/>
        </w:r>
        <w:r>
          <w:rPr>
            <w:noProof/>
            <w:webHidden/>
          </w:rPr>
          <w:t>12</w:t>
        </w:r>
        <w:r w:rsidR="00E664ED">
          <w:rPr>
            <w:noProof/>
            <w:webHidden/>
          </w:rPr>
          <w:fldChar w:fldCharType="end"/>
        </w:r>
      </w:hyperlink>
    </w:p>
    <w:p w:rsidR="00E664ED" w:rsidRDefault="00341CB2">
      <w:pPr>
        <w:pStyle w:val="TOC3"/>
        <w:tabs>
          <w:tab w:val="left" w:pos="1320"/>
          <w:tab w:val="right" w:leader="dot" w:pos="9060"/>
        </w:tabs>
        <w:rPr>
          <w:rFonts w:eastAsiaTheme="minorEastAsia" w:cstheme="minorBidi"/>
          <w:i w:val="0"/>
          <w:iCs w:val="0"/>
          <w:noProof/>
          <w:sz w:val="22"/>
          <w:szCs w:val="22"/>
          <w:lang w:eastAsia="en-GB" w:bidi="ar-SA"/>
        </w:rPr>
      </w:pPr>
      <w:hyperlink w:anchor="_Toc378943892" w:history="1">
        <w:r w:rsidR="00E664ED" w:rsidRPr="006537F2">
          <w:rPr>
            <w:rStyle w:val="Hyperlink"/>
            <w:noProof/>
          </w:rPr>
          <w:t>2.5.2.2</w:t>
        </w:r>
        <w:r w:rsidR="00E664ED">
          <w:rPr>
            <w:rFonts w:eastAsiaTheme="minorEastAsia" w:cstheme="minorBidi"/>
            <w:i w:val="0"/>
            <w:iCs w:val="0"/>
            <w:noProof/>
            <w:sz w:val="22"/>
            <w:szCs w:val="22"/>
            <w:lang w:eastAsia="en-GB" w:bidi="ar-SA"/>
          </w:rPr>
          <w:tab/>
        </w:r>
        <w:r w:rsidR="00E664ED" w:rsidRPr="006537F2">
          <w:rPr>
            <w:rStyle w:val="Hyperlink"/>
            <w:noProof/>
          </w:rPr>
          <w:t>The provision of adequa</w:t>
        </w:r>
        <w:r w:rsidR="00E664ED">
          <w:rPr>
            <w:rStyle w:val="Hyperlink"/>
            <w:noProof/>
          </w:rPr>
          <w:t>te information relating to food to enable consumers to make  informed choices ………</w:t>
        </w:r>
        <w:r w:rsidR="00E664ED">
          <w:rPr>
            <w:noProof/>
            <w:webHidden/>
          </w:rPr>
          <w:t>…………………………………………………………………………………………………………………………………………….</w:t>
        </w:r>
        <w:r w:rsidR="00E664ED">
          <w:rPr>
            <w:noProof/>
            <w:webHidden/>
          </w:rPr>
          <w:fldChar w:fldCharType="begin"/>
        </w:r>
        <w:r w:rsidR="00E664ED">
          <w:rPr>
            <w:noProof/>
            <w:webHidden/>
          </w:rPr>
          <w:instrText xml:space="preserve"> PAGEREF _Toc378943892 \h </w:instrText>
        </w:r>
        <w:r w:rsidR="00E664ED">
          <w:rPr>
            <w:noProof/>
            <w:webHidden/>
          </w:rPr>
        </w:r>
        <w:r w:rsidR="00E664ED">
          <w:rPr>
            <w:noProof/>
            <w:webHidden/>
          </w:rPr>
          <w:fldChar w:fldCharType="separate"/>
        </w:r>
        <w:r>
          <w:rPr>
            <w:noProof/>
            <w:webHidden/>
          </w:rPr>
          <w:t>13</w:t>
        </w:r>
        <w:r w:rsidR="00E664ED">
          <w:rPr>
            <w:noProof/>
            <w:webHidden/>
          </w:rPr>
          <w:fldChar w:fldCharType="end"/>
        </w:r>
      </w:hyperlink>
    </w:p>
    <w:p w:rsidR="00E664ED" w:rsidRDefault="00341CB2">
      <w:pPr>
        <w:pStyle w:val="TOC3"/>
        <w:tabs>
          <w:tab w:val="left" w:pos="1320"/>
          <w:tab w:val="right" w:leader="dot" w:pos="9060"/>
        </w:tabs>
        <w:rPr>
          <w:rFonts w:eastAsiaTheme="minorEastAsia" w:cstheme="minorBidi"/>
          <w:i w:val="0"/>
          <w:iCs w:val="0"/>
          <w:noProof/>
          <w:sz w:val="22"/>
          <w:szCs w:val="22"/>
          <w:lang w:eastAsia="en-GB" w:bidi="ar-SA"/>
        </w:rPr>
      </w:pPr>
      <w:hyperlink w:anchor="_Toc378943893" w:history="1">
        <w:r w:rsidR="00E664ED" w:rsidRPr="006537F2">
          <w:rPr>
            <w:rStyle w:val="Hyperlink"/>
            <w:noProof/>
          </w:rPr>
          <w:t>2.5.2.3</w:t>
        </w:r>
        <w:r w:rsidR="00E664ED">
          <w:rPr>
            <w:rFonts w:eastAsiaTheme="minorEastAsia" w:cstheme="minorBidi"/>
            <w:i w:val="0"/>
            <w:iCs w:val="0"/>
            <w:noProof/>
            <w:sz w:val="22"/>
            <w:szCs w:val="22"/>
            <w:lang w:eastAsia="en-GB" w:bidi="ar-SA"/>
          </w:rPr>
          <w:tab/>
        </w:r>
        <w:r w:rsidR="00E664ED" w:rsidRPr="006537F2">
          <w:rPr>
            <w:rStyle w:val="Hyperlink"/>
            <w:noProof/>
          </w:rPr>
          <w:t>The prevention of misleading or deceptive conduct</w:t>
        </w:r>
        <w:r w:rsidR="00E664ED">
          <w:rPr>
            <w:noProof/>
            <w:webHidden/>
          </w:rPr>
          <w:tab/>
        </w:r>
        <w:r w:rsidR="00E664ED">
          <w:rPr>
            <w:noProof/>
            <w:webHidden/>
          </w:rPr>
          <w:fldChar w:fldCharType="begin"/>
        </w:r>
        <w:r w:rsidR="00E664ED">
          <w:rPr>
            <w:noProof/>
            <w:webHidden/>
          </w:rPr>
          <w:instrText xml:space="preserve"> PAGEREF _Toc378943893 \h </w:instrText>
        </w:r>
        <w:r w:rsidR="00E664ED">
          <w:rPr>
            <w:noProof/>
            <w:webHidden/>
          </w:rPr>
        </w:r>
        <w:r w:rsidR="00E664ED">
          <w:rPr>
            <w:noProof/>
            <w:webHidden/>
          </w:rPr>
          <w:fldChar w:fldCharType="separate"/>
        </w:r>
        <w:r>
          <w:rPr>
            <w:noProof/>
            <w:webHidden/>
          </w:rPr>
          <w:t>13</w:t>
        </w:r>
        <w:r w:rsidR="00E664ED">
          <w:rPr>
            <w:noProof/>
            <w:webHidden/>
          </w:rPr>
          <w:fldChar w:fldCharType="end"/>
        </w:r>
      </w:hyperlink>
    </w:p>
    <w:p w:rsidR="00E664ED" w:rsidRDefault="00341CB2">
      <w:pPr>
        <w:pStyle w:val="TOC1"/>
        <w:tabs>
          <w:tab w:val="left" w:pos="440"/>
          <w:tab w:val="right" w:leader="dot" w:pos="9060"/>
        </w:tabs>
        <w:rPr>
          <w:rFonts w:eastAsiaTheme="minorEastAsia" w:cstheme="minorBidi"/>
          <w:b w:val="0"/>
          <w:bCs w:val="0"/>
          <w:caps w:val="0"/>
          <w:noProof/>
          <w:sz w:val="22"/>
          <w:szCs w:val="22"/>
          <w:lang w:eastAsia="en-GB" w:bidi="ar-SA"/>
        </w:rPr>
      </w:pPr>
      <w:hyperlink w:anchor="_Toc378943894" w:history="1">
        <w:r w:rsidR="00E664ED" w:rsidRPr="006537F2">
          <w:rPr>
            <w:rStyle w:val="Hyperlink"/>
            <w:noProof/>
          </w:rPr>
          <w:t>3.</w:t>
        </w:r>
        <w:r w:rsidR="00E664ED">
          <w:rPr>
            <w:rFonts w:eastAsiaTheme="minorEastAsia" w:cstheme="minorBidi"/>
            <w:b w:val="0"/>
            <w:bCs w:val="0"/>
            <w:caps w:val="0"/>
            <w:noProof/>
            <w:sz w:val="22"/>
            <w:szCs w:val="22"/>
            <w:lang w:eastAsia="en-GB" w:bidi="ar-SA"/>
          </w:rPr>
          <w:tab/>
        </w:r>
        <w:r w:rsidR="00E664ED" w:rsidRPr="006537F2">
          <w:rPr>
            <w:rStyle w:val="Hyperlink"/>
            <w:noProof/>
          </w:rPr>
          <w:t>References</w:t>
        </w:r>
        <w:r w:rsidR="00E664ED">
          <w:rPr>
            <w:noProof/>
            <w:webHidden/>
          </w:rPr>
          <w:tab/>
        </w:r>
        <w:r w:rsidR="00E664ED">
          <w:rPr>
            <w:noProof/>
            <w:webHidden/>
          </w:rPr>
          <w:fldChar w:fldCharType="begin"/>
        </w:r>
        <w:r w:rsidR="00E664ED">
          <w:rPr>
            <w:noProof/>
            <w:webHidden/>
          </w:rPr>
          <w:instrText xml:space="preserve"> PAGEREF _Toc378943894 \h </w:instrText>
        </w:r>
        <w:r w:rsidR="00E664ED">
          <w:rPr>
            <w:noProof/>
            <w:webHidden/>
          </w:rPr>
        </w:r>
        <w:r w:rsidR="00E664ED">
          <w:rPr>
            <w:noProof/>
            <w:webHidden/>
          </w:rPr>
          <w:fldChar w:fldCharType="separate"/>
        </w:r>
        <w:r>
          <w:rPr>
            <w:noProof/>
            <w:webHidden/>
          </w:rPr>
          <w:t>14</w:t>
        </w:r>
        <w:r w:rsidR="00E664ED">
          <w:rPr>
            <w:noProof/>
            <w:webHidden/>
          </w:rPr>
          <w:fldChar w:fldCharType="end"/>
        </w:r>
      </w:hyperlink>
    </w:p>
    <w:p w:rsidR="00E664ED" w:rsidRDefault="00341CB2">
      <w:pPr>
        <w:pStyle w:val="TOC2"/>
        <w:tabs>
          <w:tab w:val="right" w:leader="dot" w:pos="9060"/>
        </w:tabs>
        <w:rPr>
          <w:rFonts w:eastAsiaTheme="minorEastAsia" w:cstheme="minorBidi"/>
          <w:smallCaps w:val="0"/>
          <w:noProof/>
          <w:sz w:val="22"/>
          <w:szCs w:val="22"/>
          <w:lang w:eastAsia="en-GB" w:bidi="ar-SA"/>
        </w:rPr>
      </w:pPr>
      <w:hyperlink w:anchor="_Toc378943895" w:history="1">
        <w:r w:rsidR="00E664ED" w:rsidRPr="006537F2">
          <w:rPr>
            <w:rStyle w:val="Hyperlink"/>
            <w:noProof/>
          </w:rPr>
          <w:t xml:space="preserve">Attachment A – Approved draft variation to the </w:t>
        </w:r>
        <w:r w:rsidR="00E664ED" w:rsidRPr="006537F2">
          <w:rPr>
            <w:rStyle w:val="Hyperlink"/>
            <w:i/>
            <w:noProof/>
          </w:rPr>
          <w:t>Australia New Zealand Food Standards Code</w:t>
        </w:r>
        <w:r w:rsidR="00E664ED">
          <w:rPr>
            <w:noProof/>
            <w:webHidden/>
          </w:rPr>
          <w:tab/>
        </w:r>
        <w:r w:rsidR="00E664ED">
          <w:rPr>
            <w:noProof/>
            <w:webHidden/>
          </w:rPr>
          <w:fldChar w:fldCharType="begin"/>
        </w:r>
        <w:r w:rsidR="00E664ED">
          <w:rPr>
            <w:noProof/>
            <w:webHidden/>
          </w:rPr>
          <w:instrText xml:space="preserve"> PAGEREF _Toc378943895 \h </w:instrText>
        </w:r>
        <w:r w:rsidR="00E664ED">
          <w:rPr>
            <w:noProof/>
            <w:webHidden/>
          </w:rPr>
        </w:r>
        <w:r w:rsidR="00E664ED">
          <w:rPr>
            <w:noProof/>
            <w:webHidden/>
          </w:rPr>
          <w:fldChar w:fldCharType="separate"/>
        </w:r>
        <w:r>
          <w:rPr>
            <w:noProof/>
            <w:webHidden/>
          </w:rPr>
          <w:t>15</w:t>
        </w:r>
        <w:r w:rsidR="00E664ED">
          <w:rPr>
            <w:noProof/>
            <w:webHidden/>
          </w:rPr>
          <w:fldChar w:fldCharType="end"/>
        </w:r>
      </w:hyperlink>
    </w:p>
    <w:p w:rsidR="00E664ED" w:rsidRDefault="00341CB2">
      <w:pPr>
        <w:pStyle w:val="TOC2"/>
        <w:tabs>
          <w:tab w:val="right" w:leader="dot" w:pos="9060"/>
        </w:tabs>
        <w:rPr>
          <w:rFonts w:eastAsiaTheme="minorEastAsia" w:cstheme="minorBidi"/>
          <w:smallCaps w:val="0"/>
          <w:noProof/>
          <w:sz w:val="22"/>
          <w:szCs w:val="22"/>
          <w:lang w:eastAsia="en-GB" w:bidi="ar-SA"/>
        </w:rPr>
      </w:pPr>
      <w:hyperlink w:anchor="_Toc378943896" w:history="1">
        <w:r w:rsidR="00E664ED" w:rsidRPr="006537F2">
          <w:rPr>
            <w:rStyle w:val="Hyperlink"/>
            <w:noProof/>
          </w:rPr>
          <w:t>Attachment B – Explanatory Statement</w:t>
        </w:r>
        <w:r w:rsidR="00E664ED">
          <w:rPr>
            <w:noProof/>
            <w:webHidden/>
          </w:rPr>
          <w:tab/>
        </w:r>
        <w:r w:rsidR="00E664ED">
          <w:rPr>
            <w:noProof/>
            <w:webHidden/>
          </w:rPr>
          <w:fldChar w:fldCharType="begin"/>
        </w:r>
        <w:r w:rsidR="00E664ED">
          <w:rPr>
            <w:noProof/>
            <w:webHidden/>
          </w:rPr>
          <w:instrText xml:space="preserve"> PAGEREF _Toc378943896 \h </w:instrText>
        </w:r>
        <w:r w:rsidR="00E664ED">
          <w:rPr>
            <w:noProof/>
            <w:webHidden/>
          </w:rPr>
        </w:r>
        <w:r w:rsidR="00E664ED">
          <w:rPr>
            <w:noProof/>
            <w:webHidden/>
          </w:rPr>
          <w:fldChar w:fldCharType="separate"/>
        </w:r>
        <w:r>
          <w:rPr>
            <w:noProof/>
            <w:webHidden/>
          </w:rPr>
          <w:t>17</w:t>
        </w:r>
        <w:r w:rsidR="00E664ED">
          <w:rPr>
            <w:noProof/>
            <w:webHidden/>
          </w:rPr>
          <w:fldChar w:fldCharType="end"/>
        </w:r>
      </w:hyperlink>
    </w:p>
    <w:p w:rsidR="0012388D" w:rsidRPr="00272E09" w:rsidRDefault="00B55714" w:rsidP="00C91C02">
      <w:r w:rsidRPr="00272E09">
        <w:rPr>
          <w:rFonts w:cs="Arial"/>
          <w:sz w:val="20"/>
          <w:szCs w:val="20"/>
        </w:rPr>
        <w:fldChar w:fldCharType="end"/>
      </w:r>
    </w:p>
    <w:p w:rsidR="007F7BF7" w:rsidRPr="00272E09" w:rsidRDefault="007F7BF7" w:rsidP="00CA5734"/>
    <w:p w:rsidR="00A671E6" w:rsidRPr="00272E09" w:rsidRDefault="00A671E6" w:rsidP="00A671E6">
      <w:pPr>
        <w:rPr>
          <w:b/>
          <w:bCs/>
        </w:rPr>
      </w:pPr>
      <w:r w:rsidRPr="00272E09">
        <w:rPr>
          <w:b/>
          <w:bCs/>
        </w:rPr>
        <w:t>S</w:t>
      </w:r>
      <w:r w:rsidR="007C22CB" w:rsidRPr="00272E09">
        <w:rPr>
          <w:b/>
          <w:bCs/>
        </w:rPr>
        <w:t>upporting</w:t>
      </w:r>
      <w:r w:rsidR="003E6806" w:rsidRPr="00272E09">
        <w:rPr>
          <w:b/>
          <w:bCs/>
        </w:rPr>
        <w:t xml:space="preserve"> document</w:t>
      </w:r>
      <w:r w:rsidR="000751CA">
        <w:rPr>
          <w:b/>
          <w:bCs/>
        </w:rPr>
        <w:t>s</w:t>
      </w:r>
      <w:r w:rsidRPr="00272E09">
        <w:rPr>
          <w:b/>
          <w:bCs/>
        </w:rPr>
        <w:t xml:space="preserve"> </w:t>
      </w:r>
    </w:p>
    <w:p w:rsidR="00A671E6" w:rsidRPr="00272E09" w:rsidRDefault="00A671E6" w:rsidP="00A671E6">
      <w:pPr>
        <w:rPr>
          <w:szCs w:val="22"/>
        </w:rPr>
      </w:pPr>
    </w:p>
    <w:p w:rsidR="00E664ED" w:rsidRDefault="00E664ED" w:rsidP="00E664ED">
      <w:pPr>
        <w:rPr>
          <w:szCs w:val="22"/>
        </w:rPr>
      </w:pPr>
      <w:r w:rsidRPr="005C18EC">
        <w:rPr>
          <w:szCs w:val="22"/>
        </w:rPr>
        <w:t xml:space="preserve">The following document </w:t>
      </w:r>
      <w:r w:rsidRPr="008F4BDF">
        <w:t>is</w:t>
      </w:r>
      <w:r w:rsidRPr="005C18EC">
        <w:rPr>
          <w:szCs w:val="22"/>
        </w:rPr>
        <w:t xml:space="preserve"> available on the FSANZ website at</w:t>
      </w:r>
      <w:r>
        <w:t xml:space="preserve"> </w:t>
      </w:r>
      <w:hyperlink r:id="rId16" w:history="1">
        <w:r w:rsidRPr="00486647">
          <w:rPr>
            <w:rStyle w:val="Hyperlink"/>
            <w:szCs w:val="22"/>
          </w:rPr>
          <w:t>http://www.foodstandards.gov.au/code/applications/Pages/A1089.aspx</w:t>
        </w:r>
      </w:hyperlink>
      <w:r>
        <w:rPr>
          <w:szCs w:val="22"/>
        </w:rPr>
        <w:t xml:space="preserve"> </w:t>
      </w:r>
    </w:p>
    <w:p w:rsidR="00E664ED" w:rsidRDefault="00E664ED" w:rsidP="00E664ED">
      <w:pPr>
        <w:rPr>
          <w:szCs w:val="22"/>
        </w:rPr>
      </w:pPr>
    </w:p>
    <w:p w:rsidR="00E664ED" w:rsidRPr="005C18EC" w:rsidRDefault="00E664ED" w:rsidP="00E664ED">
      <w:pPr>
        <w:ind w:left="1134" w:hanging="1134"/>
      </w:pPr>
      <w:r w:rsidRPr="005C18EC">
        <w:t>SD1:</w:t>
      </w:r>
      <w:r w:rsidRPr="005C18EC">
        <w:tab/>
        <w:t>Safety Assessment Report: Application A10</w:t>
      </w:r>
      <w:r>
        <w:t>89</w:t>
      </w:r>
      <w:r w:rsidRPr="005C18EC">
        <w:t xml:space="preserve"> – Food derived from Herbicide-tolerant </w:t>
      </w:r>
      <w:r>
        <w:t xml:space="preserve">Canola line DP-073496-4 </w:t>
      </w:r>
      <w:r w:rsidR="00F10AC9">
        <w:t>(at Approval)</w:t>
      </w:r>
    </w:p>
    <w:p w:rsidR="003C4969" w:rsidRPr="00272E09" w:rsidRDefault="00D15A08" w:rsidP="000751CA">
      <w:pPr>
        <w:spacing w:line="280" w:lineRule="exact"/>
        <w:outlineLvl w:val="3"/>
        <w:rPr>
          <w:vanish/>
          <w:color w:val="000000" w:themeColor="text1"/>
        </w:rPr>
      </w:pPr>
      <w:r w:rsidRPr="00272E09">
        <w:rPr>
          <w:color w:val="000000" w:themeColor="text1"/>
        </w:rPr>
        <w:br w:type="page"/>
      </w:r>
    </w:p>
    <w:p w:rsidR="0012388D" w:rsidRPr="00272E09" w:rsidRDefault="00D15A08" w:rsidP="00DD265C">
      <w:pPr>
        <w:pStyle w:val="Heading1"/>
        <w:rPr>
          <w:rFonts w:cs="Tahoma"/>
          <w:sz w:val="28"/>
        </w:rPr>
      </w:pPr>
      <w:bookmarkStart w:id="1" w:name="_Toc378943869"/>
      <w:bookmarkStart w:id="2" w:name="_Toc11735627"/>
      <w:bookmarkStart w:id="3" w:name="_Toc29883110"/>
      <w:bookmarkStart w:id="4" w:name="_Toc41906797"/>
      <w:bookmarkStart w:id="5" w:name="_Toc41907544"/>
      <w:bookmarkStart w:id="6" w:name="_Toc120358575"/>
      <w:r w:rsidRPr="00272E09">
        <w:t xml:space="preserve">Executive </w:t>
      </w:r>
      <w:r w:rsidR="007C22CB" w:rsidRPr="00272E09">
        <w:t>s</w:t>
      </w:r>
      <w:r w:rsidRPr="00272E09">
        <w:t>ummary</w:t>
      </w:r>
      <w:bookmarkEnd w:id="1"/>
    </w:p>
    <w:p w:rsidR="00E138A9" w:rsidRPr="00272E09" w:rsidRDefault="00E138A9" w:rsidP="00E138A9">
      <w:pPr>
        <w:rPr>
          <w:szCs w:val="22"/>
        </w:rPr>
      </w:pPr>
      <w:r w:rsidRPr="00272E09">
        <w:rPr>
          <w:szCs w:val="22"/>
        </w:rPr>
        <w:t xml:space="preserve">Food Standards Australia New Zealand (FSANZ) received an Application </w:t>
      </w:r>
      <w:r w:rsidRPr="00272E09">
        <w:rPr>
          <w:rFonts w:cs="Arial"/>
          <w:szCs w:val="22"/>
        </w:rPr>
        <w:t>from</w:t>
      </w:r>
      <w:r w:rsidRPr="00272E09">
        <w:rPr>
          <w:color w:val="000000" w:themeColor="text1"/>
          <w:szCs w:val="22"/>
        </w:rPr>
        <w:t xml:space="preserve"> </w:t>
      </w:r>
      <w:r w:rsidR="0094322D">
        <w:rPr>
          <w:color w:val="000000" w:themeColor="text1"/>
          <w:szCs w:val="22"/>
        </w:rPr>
        <w:t xml:space="preserve">Pioneer Hi-Bred </w:t>
      </w:r>
      <w:r w:rsidRPr="00272E09">
        <w:rPr>
          <w:color w:val="000000" w:themeColor="text1"/>
          <w:szCs w:val="22"/>
        </w:rPr>
        <w:t xml:space="preserve">Australia </w:t>
      </w:r>
      <w:r w:rsidR="0094322D">
        <w:rPr>
          <w:color w:val="000000" w:themeColor="text1"/>
          <w:szCs w:val="22"/>
        </w:rPr>
        <w:t xml:space="preserve">Pty </w:t>
      </w:r>
      <w:r w:rsidRPr="00272E09">
        <w:rPr>
          <w:color w:val="000000" w:themeColor="text1"/>
          <w:szCs w:val="22"/>
        </w:rPr>
        <w:t xml:space="preserve">Ltd </w:t>
      </w:r>
      <w:r w:rsidRPr="00272E09">
        <w:rPr>
          <w:rFonts w:cs="Arial"/>
          <w:szCs w:val="22"/>
        </w:rPr>
        <w:t xml:space="preserve">on </w:t>
      </w:r>
      <w:r w:rsidR="0094322D">
        <w:rPr>
          <w:rFonts w:cs="Arial"/>
          <w:szCs w:val="22"/>
        </w:rPr>
        <w:t xml:space="preserve">7 June </w:t>
      </w:r>
      <w:r w:rsidRPr="00272E09">
        <w:rPr>
          <w:rFonts w:cs="Arial"/>
          <w:szCs w:val="22"/>
        </w:rPr>
        <w:t xml:space="preserve">2013. The Applicant requested a variation to Standard 1.5.2 – Food produced using Gene Technology, </w:t>
      </w:r>
      <w:r w:rsidRPr="00272E09">
        <w:rPr>
          <w:szCs w:val="22"/>
        </w:rPr>
        <w:t xml:space="preserve">in the </w:t>
      </w:r>
      <w:r w:rsidRPr="00272E09">
        <w:rPr>
          <w:i/>
          <w:szCs w:val="22"/>
        </w:rPr>
        <w:t>Australia New Zealand Food Standards Code</w:t>
      </w:r>
      <w:r w:rsidRPr="00272E09">
        <w:rPr>
          <w:szCs w:val="22"/>
        </w:rPr>
        <w:t xml:space="preserve"> (the Code), to permit the sale and use of food derived from genetically modified (GM) </w:t>
      </w:r>
      <w:r w:rsidR="0094322D">
        <w:rPr>
          <w:szCs w:val="22"/>
        </w:rPr>
        <w:t xml:space="preserve">canola line DP-073496-4, tolerant to the herbicide glyphosate. </w:t>
      </w:r>
      <w:r w:rsidR="00463D57" w:rsidRPr="00463D57">
        <w:rPr>
          <w:szCs w:val="22"/>
        </w:rPr>
        <w:t xml:space="preserve">The genetic modification is intended to benefit </w:t>
      </w:r>
      <w:r w:rsidR="00D046A2">
        <w:rPr>
          <w:szCs w:val="22"/>
        </w:rPr>
        <w:t xml:space="preserve">canola </w:t>
      </w:r>
      <w:r w:rsidR="00463D57" w:rsidRPr="00463D57">
        <w:rPr>
          <w:szCs w:val="22"/>
        </w:rPr>
        <w:t xml:space="preserve">growers </w:t>
      </w:r>
      <w:r w:rsidR="00B653DE">
        <w:rPr>
          <w:rFonts w:eastAsia="Batang" w:cs="Arial"/>
          <w:color w:val="000000" w:themeColor="text1"/>
          <w:szCs w:val="22"/>
        </w:rPr>
        <w:t>by</w:t>
      </w:r>
      <w:r w:rsidR="00B653DE" w:rsidRPr="00272E09">
        <w:rPr>
          <w:rFonts w:eastAsia="Batang" w:cs="Arial"/>
          <w:color w:val="000000" w:themeColor="text1"/>
          <w:szCs w:val="22"/>
        </w:rPr>
        <w:t xml:space="preserve"> provid</w:t>
      </w:r>
      <w:r w:rsidR="00B653DE">
        <w:rPr>
          <w:rFonts w:eastAsia="Batang" w:cs="Arial"/>
          <w:color w:val="000000" w:themeColor="text1"/>
          <w:szCs w:val="22"/>
        </w:rPr>
        <w:t>ing</w:t>
      </w:r>
      <w:r w:rsidR="00B653DE" w:rsidRPr="00272E09">
        <w:rPr>
          <w:rFonts w:eastAsia="Batang" w:cs="Arial"/>
          <w:color w:val="000000" w:themeColor="text1"/>
          <w:szCs w:val="22"/>
        </w:rPr>
        <w:t xml:space="preserve"> </w:t>
      </w:r>
      <w:r w:rsidR="00344FE1">
        <w:rPr>
          <w:rFonts w:eastAsia="Batang" w:cs="Arial"/>
          <w:color w:val="000000" w:themeColor="text1"/>
          <w:szCs w:val="22"/>
        </w:rPr>
        <w:t>a</w:t>
      </w:r>
      <w:r w:rsidR="0094322D">
        <w:rPr>
          <w:rFonts w:eastAsia="Batang" w:cs="Arial"/>
          <w:color w:val="000000" w:themeColor="text1"/>
          <w:szCs w:val="22"/>
        </w:rPr>
        <w:t xml:space="preserve">lternative strategies for managing competition from weeds. </w:t>
      </w:r>
    </w:p>
    <w:p w:rsidR="009B52B3" w:rsidRPr="00272E09" w:rsidRDefault="009B52B3" w:rsidP="009B52B3"/>
    <w:p w:rsidR="009B52B3" w:rsidRPr="00272E09" w:rsidRDefault="009B52B3" w:rsidP="009B52B3">
      <w:r w:rsidRPr="00272E09">
        <w:t xml:space="preserve">The primary objective of FSANZ in developing or varying a food regulatory measure, as stated in s 18 of the </w:t>
      </w:r>
      <w:r w:rsidRPr="00272E09">
        <w:rPr>
          <w:i/>
        </w:rPr>
        <w:t>Food Standards Australia New Zealand Act 1991</w:t>
      </w:r>
      <w:r w:rsidRPr="00272E09">
        <w:t xml:space="preserve"> (FSANZ Act), is the protection of public health and safety. Accordingly, the safety assessment is central to considering an application.</w:t>
      </w:r>
    </w:p>
    <w:p w:rsidR="009B52B3" w:rsidRPr="00272E09" w:rsidRDefault="009B52B3" w:rsidP="009B52B3"/>
    <w:p w:rsidR="00E138A9" w:rsidRPr="00272E09" w:rsidRDefault="00E138A9" w:rsidP="00E138A9">
      <w:r w:rsidRPr="00272E09">
        <w:t xml:space="preserve">The safety assessment of </w:t>
      </w:r>
      <w:r w:rsidR="0094322D">
        <w:t xml:space="preserve">canola </w:t>
      </w:r>
      <w:r w:rsidRPr="00272E09">
        <w:t xml:space="preserve">line </w:t>
      </w:r>
      <w:r w:rsidR="0094322D">
        <w:t xml:space="preserve">DP-073496-4 is </w:t>
      </w:r>
      <w:r w:rsidRPr="00272E09">
        <w:t xml:space="preserve">provided in Supporting Document 1. </w:t>
      </w:r>
      <w:r w:rsidRPr="00272E09">
        <w:rPr>
          <w:rFonts w:cs="Arial"/>
          <w:szCs w:val="22"/>
        </w:rPr>
        <w:t xml:space="preserve">No potential public health and safety concerns have been identified. Based on the data provided in the present Application, and other available information, food derived from </w:t>
      </w:r>
      <w:r w:rsidR="0094322D">
        <w:rPr>
          <w:rFonts w:cs="Arial"/>
          <w:szCs w:val="22"/>
        </w:rPr>
        <w:t xml:space="preserve">herbicide-tolerant canola line DP-073496-4 </w:t>
      </w:r>
      <w:r w:rsidRPr="00272E09">
        <w:rPr>
          <w:rFonts w:cs="Arial"/>
          <w:szCs w:val="22"/>
        </w:rPr>
        <w:t xml:space="preserve">is as safe for </w:t>
      </w:r>
      <w:r w:rsidRPr="00272E09">
        <w:t xml:space="preserve">human consumption as food derived from conventional </w:t>
      </w:r>
      <w:r w:rsidR="0094322D">
        <w:t xml:space="preserve">canola </w:t>
      </w:r>
      <w:r w:rsidR="008A79E5">
        <w:t>already in the food supply.</w:t>
      </w:r>
    </w:p>
    <w:p w:rsidR="009B52B3" w:rsidRPr="00272E09" w:rsidRDefault="009B52B3" w:rsidP="009B52B3"/>
    <w:p w:rsidR="009B52B3" w:rsidRPr="00272E09" w:rsidRDefault="009B52B3" w:rsidP="009B52B3">
      <w:r w:rsidRPr="00272E09">
        <w:t>A decision has been made to approve the draft variation to Standard 1.5.2 to include food deri</w:t>
      </w:r>
      <w:r w:rsidR="00593441" w:rsidRPr="00272E09">
        <w:t>ve</w:t>
      </w:r>
      <w:r w:rsidR="00CF15C9" w:rsidRPr="00272E09">
        <w:t xml:space="preserve">d from </w:t>
      </w:r>
      <w:r w:rsidR="0094322D">
        <w:t xml:space="preserve">herbicide-tolerant canola </w:t>
      </w:r>
      <w:r w:rsidR="00E138A9" w:rsidRPr="00272E09">
        <w:t xml:space="preserve">line </w:t>
      </w:r>
      <w:r w:rsidR="0094322D">
        <w:t xml:space="preserve">DP-073496-4 </w:t>
      </w:r>
      <w:r w:rsidRPr="00272E09">
        <w:t>in the Schedule.</w:t>
      </w:r>
    </w:p>
    <w:p w:rsidR="00C836FF" w:rsidRPr="00272E09" w:rsidRDefault="00C836FF" w:rsidP="009B52B3">
      <w:r w:rsidRPr="00272E09">
        <w:br w:type="page"/>
      </w:r>
    </w:p>
    <w:p w:rsidR="00AF397D" w:rsidRPr="00272E09" w:rsidRDefault="00E138A9" w:rsidP="00AF397D">
      <w:pPr>
        <w:pStyle w:val="Heading1"/>
      </w:pPr>
      <w:bookmarkStart w:id="7" w:name="_Toc378943870"/>
      <w:r w:rsidRPr="00272E09">
        <w:lastRenderedPageBreak/>
        <w:t>1</w:t>
      </w:r>
      <w:r w:rsidR="00AC428E" w:rsidRPr="00272E09">
        <w:t>.</w:t>
      </w:r>
      <w:r w:rsidR="00AC428E" w:rsidRPr="00272E09">
        <w:tab/>
      </w:r>
      <w:r w:rsidR="00AF397D" w:rsidRPr="00272E09">
        <w:t>Introduction</w:t>
      </w:r>
      <w:bookmarkEnd w:id="7"/>
    </w:p>
    <w:p w:rsidR="00AF397D" w:rsidRPr="00272E09" w:rsidRDefault="00E138A9" w:rsidP="00AF397D">
      <w:pPr>
        <w:pStyle w:val="Heading2"/>
      </w:pPr>
      <w:bookmarkStart w:id="8" w:name="_Toc378943871"/>
      <w:r w:rsidRPr="00272E09">
        <w:t>1</w:t>
      </w:r>
      <w:r w:rsidR="00AF397D" w:rsidRPr="00272E09">
        <w:t>.1</w:t>
      </w:r>
      <w:r w:rsidR="00AF397D" w:rsidRPr="00272E09">
        <w:tab/>
        <w:t>The Applicant</w:t>
      </w:r>
      <w:bookmarkEnd w:id="8"/>
      <w:r w:rsidR="00AF397D" w:rsidRPr="00272E09">
        <w:t xml:space="preserve"> </w:t>
      </w:r>
    </w:p>
    <w:p w:rsidR="008A79E5" w:rsidRPr="008F4BDF" w:rsidRDefault="008A79E5" w:rsidP="008A79E5">
      <w:r>
        <w:t xml:space="preserve">Pioneer Hi-Bred Australia Pty Ltd </w:t>
      </w:r>
      <w:r w:rsidRPr="008F4BDF">
        <w:t xml:space="preserve">is a subsidiary of </w:t>
      </w:r>
      <w:r>
        <w:t xml:space="preserve">DuPont Pioneer, </w:t>
      </w:r>
      <w:r w:rsidRPr="008F4BDF">
        <w:t xml:space="preserve">a </w:t>
      </w:r>
      <w:r>
        <w:t xml:space="preserve">multinational seed and </w:t>
      </w:r>
      <w:r w:rsidRPr="008F4BDF">
        <w:t xml:space="preserve">technology provider to the agricultural </w:t>
      </w:r>
      <w:r>
        <w:t xml:space="preserve">sector </w:t>
      </w:r>
      <w:r w:rsidRPr="008F4BDF">
        <w:t>and food industries.</w:t>
      </w:r>
    </w:p>
    <w:p w:rsidR="00AF397D" w:rsidRPr="00272E09" w:rsidRDefault="00E138A9" w:rsidP="006D0C46">
      <w:pPr>
        <w:pStyle w:val="Heading2"/>
      </w:pPr>
      <w:bookmarkStart w:id="9" w:name="_Toc378943872"/>
      <w:r w:rsidRPr="00272E09">
        <w:t>1</w:t>
      </w:r>
      <w:r w:rsidR="00AF397D" w:rsidRPr="00272E09">
        <w:t>.2</w:t>
      </w:r>
      <w:r w:rsidR="00AF397D" w:rsidRPr="00272E09">
        <w:tab/>
        <w:t>The Application</w:t>
      </w:r>
      <w:bookmarkEnd w:id="9"/>
      <w:r w:rsidR="00CF15C9" w:rsidRPr="00272E09">
        <w:tab/>
      </w:r>
    </w:p>
    <w:p w:rsidR="00AF5A69" w:rsidRPr="005C18EC" w:rsidRDefault="00AF5A69" w:rsidP="00AF5A69">
      <w:r w:rsidRPr="005C18EC">
        <w:t>Application A10</w:t>
      </w:r>
      <w:r>
        <w:t>89</w:t>
      </w:r>
      <w:r w:rsidRPr="005C18EC">
        <w:t xml:space="preserve"> was submitted </w:t>
      </w:r>
      <w:r>
        <w:t>o</w:t>
      </w:r>
      <w:r w:rsidRPr="005C18EC">
        <w:t xml:space="preserve">n </w:t>
      </w:r>
      <w:r>
        <w:t xml:space="preserve">7 June 2013. The Application </w:t>
      </w:r>
      <w:r w:rsidRPr="005C18EC">
        <w:t>s</w:t>
      </w:r>
      <w:r>
        <w:t>eeks</w:t>
      </w:r>
      <w:r w:rsidRPr="005C18EC">
        <w:t xml:space="preserve"> approval for food derived from </w:t>
      </w:r>
      <w:r>
        <w:t xml:space="preserve">genetically modified (GM) canola </w:t>
      </w:r>
      <w:r w:rsidRPr="005C18EC">
        <w:t xml:space="preserve">line </w:t>
      </w:r>
      <w:r>
        <w:t xml:space="preserve">DP-073496-4 </w:t>
      </w:r>
      <w:r w:rsidRPr="005C18EC">
        <w:t>under Standard 1.5.2 – Food produced using Gene Technology.</w:t>
      </w:r>
    </w:p>
    <w:p w:rsidR="00AF5A69" w:rsidRPr="008F4BDF" w:rsidRDefault="00AF5A69" w:rsidP="00AF5A69"/>
    <w:p w:rsidR="00AF5A69" w:rsidRDefault="00AF5A69" w:rsidP="00AF5A69">
      <w:pPr>
        <w:rPr>
          <w:rFonts w:eastAsia="Batang"/>
        </w:rPr>
      </w:pPr>
      <w:r>
        <w:rPr>
          <w:rFonts w:eastAsia="Calibri"/>
          <w:lang w:eastAsia="en-GB"/>
        </w:rPr>
        <w:t xml:space="preserve">Canola </w:t>
      </w:r>
      <w:r w:rsidRPr="005C18EC">
        <w:rPr>
          <w:rFonts w:eastAsia="Calibri"/>
          <w:lang w:eastAsia="en-GB"/>
        </w:rPr>
        <w:t xml:space="preserve">line </w:t>
      </w:r>
      <w:r>
        <w:rPr>
          <w:rFonts w:eastAsia="Calibri"/>
          <w:lang w:eastAsia="en-GB"/>
        </w:rPr>
        <w:t xml:space="preserve">DP-073496-4 (herein abbreviated to line 73496) </w:t>
      </w:r>
      <w:r w:rsidRPr="005C18EC">
        <w:rPr>
          <w:rFonts w:eastAsia="Calibri"/>
          <w:lang w:eastAsia="en-GB"/>
        </w:rPr>
        <w:t xml:space="preserve">is tolerant to </w:t>
      </w:r>
      <w:r>
        <w:rPr>
          <w:rFonts w:eastAsia="Calibri"/>
          <w:lang w:eastAsia="en-GB"/>
        </w:rPr>
        <w:t xml:space="preserve">glyphosate herbicide through the introduction of </w:t>
      </w:r>
      <w:r w:rsidRPr="00A0711D">
        <w:rPr>
          <w:rFonts w:eastAsia="Calibri"/>
          <w:i/>
          <w:lang w:eastAsia="en-GB"/>
        </w:rPr>
        <w:t>gat4621</w:t>
      </w:r>
      <w:r>
        <w:rPr>
          <w:rFonts w:eastAsia="Calibri"/>
          <w:lang w:eastAsia="en-GB"/>
        </w:rPr>
        <w:t xml:space="preserve">, a gene constructed from native gene sequences from the bacterial species, </w:t>
      </w:r>
      <w:r w:rsidRPr="00A0711D">
        <w:rPr>
          <w:rFonts w:eastAsia="Calibri"/>
          <w:i/>
          <w:lang w:eastAsia="en-GB"/>
        </w:rPr>
        <w:t>Bacillus licheniformis.</w:t>
      </w:r>
      <w:r>
        <w:rPr>
          <w:rFonts w:eastAsia="Calibri"/>
          <w:lang w:eastAsia="en-GB"/>
        </w:rPr>
        <w:t xml:space="preserve"> </w:t>
      </w:r>
      <w:r>
        <w:rPr>
          <w:rFonts w:eastAsia="Batang"/>
        </w:rPr>
        <w:t xml:space="preserve">The introduced gene encodes GAT4621, an enzyme that chemically inactivates the herbicide, producing a metabolite with no herbicidal activity. </w:t>
      </w:r>
    </w:p>
    <w:p w:rsidR="00AF5A69" w:rsidRDefault="00AF5A69" w:rsidP="00AF5A69">
      <w:pPr>
        <w:rPr>
          <w:rFonts w:eastAsia="Batang"/>
        </w:rPr>
      </w:pPr>
    </w:p>
    <w:p w:rsidR="00AF5A69" w:rsidRPr="005C18EC" w:rsidRDefault="00AF5A69" w:rsidP="00AF5A69">
      <w:r>
        <w:rPr>
          <w:rFonts w:eastAsia="Batang"/>
        </w:rPr>
        <w:t xml:space="preserve">The GAT4621 protein is not new to the food supply. Expression of this protein has been used to confer tolerance to glyphosate in soybean (line DP-356043-5) and maize (corn line DP-098140-6), which have been assessed previously and approved by FSANZ. </w:t>
      </w:r>
    </w:p>
    <w:p w:rsidR="00AF397D" w:rsidRPr="00272E09" w:rsidRDefault="00E138A9" w:rsidP="00AF397D">
      <w:pPr>
        <w:pStyle w:val="Heading2"/>
      </w:pPr>
      <w:bookmarkStart w:id="10" w:name="_Toc378943873"/>
      <w:r w:rsidRPr="00272E09">
        <w:t>1</w:t>
      </w:r>
      <w:r w:rsidR="00AF397D" w:rsidRPr="00272E09">
        <w:t>.3</w:t>
      </w:r>
      <w:r w:rsidR="00AF397D" w:rsidRPr="00272E09">
        <w:tab/>
        <w:t>The current Standard</w:t>
      </w:r>
      <w:bookmarkEnd w:id="10"/>
    </w:p>
    <w:p w:rsidR="009B52B3" w:rsidRPr="00272E09" w:rsidRDefault="009B52B3" w:rsidP="009B52B3">
      <w:r w:rsidRPr="00272E09">
        <w:t>Pre-market approval is necessary before food derived from a</w:t>
      </w:r>
      <w:r w:rsidR="00AF5A69">
        <w:t xml:space="preserve"> GM crop </w:t>
      </w:r>
      <w:r w:rsidRPr="00272E09">
        <w:t xml:space="preserve">may enter the Australian and New Zealand food supply. Approval of GM foods under Standard 1.5.2 is contingent on completion of a comprehensive pre-market safety assessment. Foods that have been assessed </w:t>
      </w:r>
      <w:r w:rsidR="00AF5A69">
        <w:t xml:space="preserve">and </w:t>
      </w:r>
      <w:proofErr w:type="gramStart"/>
      <w:r w:rsidRPr="00272E09">
        <w:t>approved,</w:t>
      </w:r>
      <w:proofErr w:type="gramEnd"/>
      <w:r w:rsidRPr="00272E09">
        <w:t xml:space="preserve"> are listed in the Schedule to the Standard.</w:t>
      </w:r>
    </w:p>
    <w:p w:rsidR="009B52B3" w:rsidRPr="00272E09" w:rsidRDefault="009B52B3" w:rsidP="009B52B3"/>
    <w:p w:rsidR="009B52B3" w:rsidRPr="00272E09" w:rsidRDefault="009B52B3" w:rsidP="009B52B3">
      <w:pPr>
        <w:ind w:right="-330"/>
      </w:pPr>
      <w:r w:rsidRPr="00272E09">
        <w:t>Standard 1.5.2 contains specific labelling provisions for approved GM foods. GM foods and ingredients (including food additives and processing aids from GM sources) must be identified on labels with the words ‘genetical</w:t>
      </w:r>
      <w:r w:rsidR="00593441" w:rsidRPr="00272E09">
        <w:t xml:space="preserve">ly modified’, if novel DNA </w:t>
      </w:r>
      <w:r w:rsidRPr="00272E09">
        <w:t>or novel protein from an approved variety is present in the final food, or the food has altered characteristics. In the latter case, the Standard also allows for additional labelling about the nature of the altered characteristics</w:t>
      </w:r>
      <w:r w:rsidR="00AF5A69">
        <w:t>, on a case-by-case basis</w:t>
      </w:r>
      <w:r w:rsidRPr="00272E09">
        <w:t>.</w:t>
      </w:r>
    </w:p>
    <w:p w:rsidR="00AF397D" w:rsidRPr="00272E09" w:rsidRDefault="00E138A9" w:rsidP="00AF397D">
      <w:pPr>
        <w:pStyle w:val="Heading2"/>
      </w:pPr>
      <w:bookmarkStart w:id="11" w:name="_Toc378943874"/>
      <w:r w:rsidRPr="00272E09">
        <w:t>1</w:t>
      </w:r>
      <w:r w:rsidR="003428FC" w:rsidRPr="00272E09">
        <w:t>.</w:t>
      </w:r>
      <w:r w:rsidR="00AF397D" w:rsidRPr="00272E09">
        <w:t>4</w:t>
      </w:r>
      <w:r w:rsidR="00AF397D" w:rsidRPr="00272E09">
        <w:tab/>
      </w:r>
      <w:bookmarkStart w:id="12" w:name="_Toc175381432"/>
      <w:r w:rsidR="00AF397D" w:rsidRPr="00272E09">
        <w:t xml:space="preserve">Reasons for accepting the </w:t>
      </w:r>
      <w:r w:rsidR="00AF397D" w:rsidRPr="00272E09">
        <w:rPr>
          <w:u w:color="FFFF00"/>
        </w:rPr>
        <w:t>Application</w:t>
      </w:r>
      <w:bookmarkEnd w:id="11"/>
      <w:r w:rsidR="00AF397D" w:rsidRPr="00272E09">
        <w:t xml:space="preserve"> </w:t>
      </w:r>
    </w:p>
    <w:p w:rsidR="00AF397D" w:rsidRPr="00272E09" w:rsidRDefault="00AF397D" w:rsidP="00AF397D">
      <w:r w:rsidRPr="00272E09">
        <w:t xml:space="preserve">The Application was accepted for assessment </w:t>
      </w:r>
      <w:r w:rsidR="00AF5A69">
        <w:t>because</w:t>
      </w:r>
      <w:r w:rsidRPr="00272E09">
        <w:t>:</w:t>
      </w:r>
    </w:p>
    <w:p w:rsidR="00AF397D" w:rsidRPr="00272E09" w:rsidRDefault="00AF397D" w:rsidP="00AF397D"/>
    <w:bookmarkEnd w:id="12"/>
    <w:p w:rsidR="009B52B3" w:rsidRPr="00272E09" w:rsidRDefault="009B52B3" w:rsidP="009B52B3">
      <w:pPr>
        <w:pStyle w:val="FSBullet"/>
      </w:pPr>
      <w:r w:rsidRPr="00272E09">
        <w:t>it complied with the procedural requirements under subsection 22(2)</w:t>
      </w:r>
    </w:p>
    <w:p w:rsidR="009B52B3" w:rsidRPr="00272E09" w:rsidRDefault="009B52B3" w:rsidP="009B52B3">
      <w:pPr>
        <w:pStyle w:val="FSBullet"/>
      </w:pPr>
      <w:r w:rsidRPr="00272E09">
        <w:t>it related to a matter that warranted the variati</w:t>
      </w:r>
      <w:r w:rsidR="004673BE" w:rsidRPr="00272E09">
        <w:t>on of a food regulatory measure</w:t>
      </w:r>
    </w:p>
    <w:p w:rsidR="004673BE" w:rsidRPr="00272E09" w:rsidRDefault="004673BE" w:rsidP="00AD2E76">
      <w:pPr>
        <w:pStyle w:val="FSBullet1"/>
        <w:numPr>
          <w:ilvl w:val="0"/>
          <w:numId w:val="6"/>
        </w:numPr>
        <w:ind w:left="567" w:hanging="567"/>
      </w:pPr>
      <w:r w:rsidRPr="00272E09">
        <w:t xml:space="preserve">it was not so similar to a previous application for the variation of a food regulatory </w:t>
      </w:r>
    </w:p>
    <w:p w:rsidR="004673BE" w:rsidRPr="00272E09" w:rsidRDefault="004673BE" w:rsidP="00DE593C">
      <w:pPr>
        <w:pStyle w:val="FSBullet1"/>
        <w:numPr>
          <w:ilvl w:val="0"/>
          <w:numId w:val="0"/>
        </w:numPr>
        <w:ind w:left="567"/>
      </w:pPr>
      <w:proofErr w:type="gramStart"/>
      <w:r w:rsidRPr="00272E09">
        <w:t>measure</w:t>
      </w:r>
      <w:proofErr w:type="gramEnd"/>
      <w:r w:rsidRPr="00272E09">
        <w:t xml:space="preserve"> that it ought to be rejected</w:t>
      </w:r>
      <w:r w:rsidR="00451E6D" w:rsidRPr="00272E09">
        <w:t>.</w:t>
      </w:r>
    </w:p>
    <w:p w:rsidR="00AF397D" w:rsidRPr="00272E09" w:rsidRDefault="00E138A9" w:rsidP="00DE593C">
      <w:pPr>
        <w:pStyle w:val="Heading2"/>
      </w:pPr>
      <w:bookmarkStart w:id="13" w:name="_Toc378943875"/>
      <w:r w:rsidRPr="00272E09">
        <w:t>1</w:t>
      </w:r>
      <w:r w:rsidR="00AF397D" w:rsidRPr="00272E09">
        <w:t>.</w:t>
      </w:r>
      <w:r w:rsidR="003814F0" w:rsidRPr="00272E09">
        <w:t>5</w:t>
      </w:r>
      <w:r w:rsidR="00AF397D" w:rsidRPr="00272E09">
        <w:tab/>
        <w:t>Procedure for assessment</w:t>
      </w:r>
      <w:bookmarkEnd w:id="13"/>
    </w:p>
    <w:p w:rsidR="00AF397D" w:rsidRPr="00272E09" w:rsidRDefault="00AF397D" w:rsidP="00AF397D">
      <w:r w:rsidRPr="00272E09">
        <w:t>The Application was assessed under the General</w:t>
      </w:r>
      <w:r w:rsidR="000000FE" w:rsidRPr="00272E09">
        <w:t xml:space="preserve"> </w:t>
      </w:r>
      <w:r w:rsidRPr="00272E09">
        <w:t>Procedure.</w:t>
      </w:r>
    </w:p>
    <w:p w:rsidR="00DE593C" w:rsidRDefault="00DE593C" w:rsidP="00422EC9">
      <w:pPr>
        <w:pStyle w:val="Heading2"/>
      </w:pPr>
      <w:bookmarkStart w:id="14" w:name="_Toc378943876"/>
      <w:r>
        <w:br w:type="page"/>
      </w:r>
    </w:p>
    <w:p w:rsidR="00422EC9" w:rsidRPr="00272E09" w:rsidRDefault="00E138A9" w:rsidP="00422EC9">
      <w:pPr>
        <w:pStyle w:val="Heading2"/>
      </w:pPr>
      <w:r w:rsidRPr="00272E09">
        <w:lastRenderedPageBreak/>
        <w:t>1</w:t>
      </w:r>
      <w:r w:rsidR="00422EC9" w:rsidRPr="00272E09">
        <w:t>.6</w:t>
      </w:r>
      <w:r w:rsidR="00422EC9" w:rsidRPr="00272E09">
        <w:tab/>
        <w:t>Decision</w:t>
      </w:r>
      <w:bookmarkEnd w:id="14"/>
    </w:p>
    <w:p w:rsidR="000000FE" w:rsidRPr="00272E09" w:rsidRDefault="000000FE" w:rsidP="000000FE">
      <w:bookmarkStart w:id="15" w:name="_Toc11735630"/>
      <w:bookmarkStart w:id="16" w:name="_Toc29883114"/>
      <w:bookmarkStart w:id="17" w:name="_Toc41906801"/>
      <w:bookmarkStart w:id="18" w:name="_Toc41907548"/>
      <w:bookmarkStart w:id="19" w:name="_Toc120358578"/>
      <w:bookmarkStart w:id="20" w:name="_Toc175381435"/>
      <w:bookmarkEnd w:id="2"/>
      <w:bookmarkEnd w:id="3"/>
      <w:bookmarkEnd w:id="4"/>
      <w:bookmarkEnd w:id="5"/>
      <w:bookmarkEnd w:id="6"/>
      <w:r w:rsidRPr="00272E09">
        <w:t>The draft variation to Standard 1.5.2, as proposed following assessment, was approved without change.</w:t>
      </w:r>
      <w:r w:rsidR="00272E09" w:rsidRPr="00272E09">
        <w:t xml:space="preserve"> </w:t>
      </w:r>
      <w:r w:rsidR="00272E09" w:rsidRPr="00272E09">
        <w:rPr>
          <w:rFonts w:cs="Arial"/>
        </w:rPr>
        <w:t>The variation takes effect on gazettal.</w:t>
      </w:r>
    </w:p>
    <w:p w:rsidR="004673BE" w:rsidRPr="00272E09" w:rsidRDefault="004673BE" w:rsidP="000000FE"/>
    <w:p w:rsidR="000000FE" w:rsidRPr="00272E09" w:rsidRDefault="000000FE" w:rsidP="000000FE">
      <w:r w:rsidRPr="00272E09">
        <w:t xml:space="preserve">The approved </w:t>
      </w:r>
      <w:r w:rsidR="00E2362E" w:rsidRPr="00272E09">
        <w:t xml:space="preserve">draft </w:t>
      </w:r>
      <w:r w:rsidRPr="00272E09">
        <w:t xml:space="preserve">variation to the Standard is at Attachment A. </w:t>
      </w:r>
      <w:r w:rsidR="00E2362E" w:rsidRPr="00272E09">
        <w:t xml:space="preserve">The explanatory statement is at Attachment B. An explanatory statement is required to accompany an instrument if it is lodged on the Federal Register of Legislative Instruments. </w:t>
      </w:r>
    </w:p>
    <w:p w:rsidR="0012388D" w:rsidRPr="00272E09" w:rsidRDefault="00E138A9" w:rsidP="000000FE">
      <w:pPr>
        <w:pStyle w:val="Heading1"/>
      </w:pPr>
      <w:bookmarkStart w:id="21" w:name="_Toc378943877"/>
      <w:r w:rsidRPr="00272E09">
        <w:t>2</w:t>
      </w:r>
      <w:r w:rsidR="00AC428E" w:rsidRPr="00272E09">
        <w:t>.</w:t>
      </w:r>
      <w:r w:rsidR="00AC428E" w:rsidRPr="00272E09">
        <w:tab/>
      </w:r>
      <w:r w:rsidR="00AF387F" w:rsidRPr="00272E09">
        <w:t xml:space="preserve">Summary </w:t>
      </w:r>
      <w:r w:rsidR="00AF387F" w:rsidRPr="00272E09">
        <w:rPr>
          <w:u w:color="FFFF00"/>
        </w:rPr>
        <w:t>of</w:t>
      </w:r>
      <w:r w:rsidR="00AF387F" w:rsidRPr="00272E09">
        <w:t xml:space="preserve"> the findings</w:t>
      </w:r>
      <w:bookmarkEnd w:id="21"/>
    </w:p>
    <w:p w:rsidR="00DB5F1D" w:rsidRPr="00272E09" w:rsidRDefault="00E138A9" w:rsidP="00381E07">
      <w:pPr>
        <w:pStyle w:val="Heading2"/>
      </w:pPr>
      <w:bookmarkStart w:id="22" w:name="_Toc378943878"/>
      <w:bookmarkStart w:id="23" w:name="_Toc120358583"/>
      <w:bookmarkStart w:id="24" w:name="_Toc175381440"/>
      <w:r w:rsidRPr="00272E09">
        <w:t>2</w:t>
      </w:r>
      <w:r w:rsidR="00AC428E" w:rsidRPr="00272E09">
        <w:t>.1</w:t>
      </w:r>
      <w:r w:rsidR="00AC428E" w:rsidRPr="00272E09">
        <w:tab/>
      </w:r>
      <w:r w:rsidR="00DB5F1D" w:rsidRPr="00272E09">
        <w:t>Summary of issues raised in submissions</w:t>
      </w:r>
      <w:bookmarkEnd w:id="22"/>
    </w:p>
    <w:p w:rsidR="00DB5F1D" w:rsidRPr="00272E09" w:rsidRDefault="00F071E5" w:rsidP="00292C9D">
      <w:pPr>
        <w:pStyle w:val="Heading3"/>
      </w:pPr>
      <w:r w:rsidRPr="00272E09">
        <w:t>2.1.1</w:t>
      </w:r>
      <w:r w:rsidR="00193D1A" w:rsidRPr="00272E09">
        <w:t>.</w:t>
      </w:r>
      <w:r w:rsidR="00DB5F1D" w:rsidRPr="00272E09">
        <w:tab/>
        <w:t>General issues</w:t>
      </w:r>
    </w:p>
    <w:p w:rsidR="008B537E" w:rsidRDefault="00272E09" w:rsidP="00272E09">
      <w:r w:rsidRPr="00272E09">
        <w:t>The</w:t>
      </w:r>
      <w:r w:rsidR="00884C4D">
        <w:t xml:space="preserve"> </w:t>
      </w:r>
      <w:r w:rsidRPr="00272E09">
        <w:t xml:space="preserve">FSANZ assessment </w:t>
      </w:r>
      <w:r w:rsidR="00884C4D">
        <w:t xml:space="preserve">focuses on the safety of </w:t>
      </w:r>
      <w:r w:rsidRPr="00272E09">
        <w:t xml:space="preserve">GM food for human consumption. </w:t>
      </w:r>
      <w:r w:rsidR="00884C4D">
        <w:t>Some subm</w:t>
      </w:r>
      <w:r w:rsidR="00F70C2E">
        <w:t>issions received</w:t>
      </w:r>
      <w:r w:rsidR="00884C4D">
        <w:t xml:space="preserve"> for this Application </w:t>
      </w:r>
      <w:r w:rsidR="00F70C2E">
        <w:t>raised</w:t>
      </w:r>
      <w:r w:rsidRPr="00272E09">
        <w:t xml:space="preserve"> issues </w:t>
      </w:r>
      <w:r w:rsidR="00F70C2E">
        <w:t xml:space="preserve">that are outside the scope of FSANZ’s regulatory </w:t>
      </w:r>
      <w:r w:rsidR="00884C4D">
        <w:t xml:space="preserve">scrutiny. For example, </w:t>
      </w:r>
      <w:r w:rsidR="00BD02DC">
        <w:t>the application of gene</w:t>
      </w:r>
      <w:r w:rsidR="00884C4D">
        <w:t xml:space="preserve"> technology to </w:t>
      </w:r>
      <w:r w:rsidR="00BD02DC">
        <w:t>produce food, t</w:t>
      </w:r>
      <w:r w:rsidRPr="00272E09">
        <w:t xml:space="preserve">he </w:t>
      </w:r>
      <w:r w:rsidR="00EC4871">
        <w:t xml:space="preserve">potential </w:t>
      </w:r>
      <w:r w:rsidRPr="00272E09">
        <w:t xml:space="preserve">impact of </w:t>
      </w:r>
      <w:r w:rsidR="00EC4871">
        <w:t xml:space="preserve">growing </w:t>
      </w:r>
      <w:r w:rsidRPr="00272E09">
        <w:t>GM crops on</w:t>
      </w:r>
      <w:r w:rsidR="000B4664">
        <w:t xml:space="preserve"> </w:t>
      </w:r>
      <w:r w:rsidR="00EC4871">
        <w:t>organic producers,</w:t>
      </w:r>
      <w:r w:rsidRPr="00272E09">
        <w:t xml:space="preserve"> the </w:t>
      </w:r>
      <w:r w:rsidR="00EC4871">
        <w:t xml:space="preserve">environment and biodiversity, possible adverse impacts on trade, the perceived dominance of multinational </w:t>
      </w:r>
      <w:r w:rsidRPr="00272E09">
        <w:t xml:space="preserve">biotechnology developers; </w:t>
      </w:r>
      <w:r w:rsidR="00EC4871">
        <w:t xml:space="preserve">the safety of GM animal feed and products from animals that consume GM feed were all discussed as reasons for rejecting the Application. </w:t>
      </w:r>
    </w:p>
    <w:p w:rsidR="008B537E" w:rsidRDefault="008B537E" w:rsidP="00272E09"/>
    <w:p w:rsidR="00272E09" w:rsidRPr="00272E09" w:rsidRDefault="008B537E" w:rsidP="00272E09">
      <w:r>
        <w:t>Environmental i</w:t>
      </w:r>
      <w:r w:rsidR="00272E09" w:rsidRPr="00272E09">
        <w:t xml:space="preserve">ssues </w:t>
      </w:r>
      <w:r>
        <w:t xml:space="preserve">relating to the commercial </w:t>
      </w:r>
      <w:r w:rsidR="00272E09" w:rsidRPr="00272E09">
        <w:t xml:space="preserve">growing of GM crops </w:t>
      </w:r>
      <w:r>
        <w:t xml:space="preserve">including the potential for adverse impacts on other organisms and human health (in an occupational context) </w:t>
      </w:r>
      <w:r w:rsidR="00272E09" w:rsidRPr="00272E09">
        <w:t>are considered in Australia by the Office of the Gene Technology Regulator</w:t>
      </w:r>
      <w:r w:rsidR="003D7A11">
        <w:t xml:space="preserve"> (OGTR)</w:t>
      </w:r>
      <w:r w:rsidR="00272E09" w:rsidRPr="00272E09">
        <w:t>, and in New Zealand by the Environmental Protection Authority.</w:t>
      </w:r>
    </w:p>
    <w:p w:rsidR="00272E09" w:rsidRPr="00272E09" w:rsidRDefault="00272E09" w:rsidP="00272E09">
      <w:pPr>
        <w:rPr>
          <w:color w:val="000000" w:themeColor="text1"/>
        </w:rPr>
      </w:pPr>
    </w:p>
    <w:p w:rsidR="000E45B5" w:rsidRDefault="008B537E" w:rsidP="00DB5F1D">
      <w:pPr>
        <w:rPr>
          <w:color w:val="000000" w:themeColor="text1"/>
          <w:szCs w:val="22"/>
        </w:rPr>
      </w:pPr>
      <w:r>
        <w:rPr>
          <w:color w:val="000000" w:themeColor="text1"/>
          <w:szCs w:val="22"/>
        </w:rPr>
        <w:t xml:space="preserve">In terms of safety related issues, a number of concerns were expressed that do not </w:t>
      </w:r>
      <w:r w:rsidR="009C7806">
        <w:rPr>
          <w:color w:val="000000" w:themeColor="text1"/>
          <w:szCs w:val="22"/>
        </w:rPr>
        <w:t xml:space="preserve">specifically </w:t>
      </w:r>
      <w:r>
        <w:rPr>
          <w:color w:val="000000" w:themeColor="text1"/>
          <w:szCs w:val="22"/>
        </w:rPr>
        <w:t>apply to canola line 73496</w:t>
      </w:r>
      <w:r w:rsidR="009C7806">
        <w:rPr>
          <w:color w:val="000000" w:themeColor="text1"/>
          <w:szCs w:val="22"/>
        </w:rPr>
        <w:t xml:space="preserve">, but instead relate to the GM process itself, particularly the methods and genetic elements </w:t>
      </w:r>
      <w:r w:rsidR="00613BF4">
        <w:rPr>
          <w:color w:val="000000" w:themeColor="text1"/>
          <w:szCs w:val="22"/>
        </w:rPr>
        <w:t xml:space="preserve">commonly </w:t>
      </w:r>
      <w:r w:rsidR="009C7806">
        <w:rPr>
          <w:color w:val="000000" w:themeColor="text1"/>
          <w:szCs w:val="22"/>
        </w:rPr>
        <w:t>used to transform plants.</w:t>
      </w:r>
      <w:r w:rsidR="00BD02DC">
        <w:rPr>
          <w:color w:val="000000" w:themeColor="text1"/>
          <w:szCs w:val="22"/>
        </w:rPr>
        <w:t xml:space="preserve"> All of the comments received relating to </w:t>
      </w:r>
      <w:r w:rsidR="00562B7D">
        <w:rPr>
          <w:color w:val="000000" w:themeColor="text1"/>
          <w:szCs w:val="22"/>
        </w:rPr>
        <w:t xml:space="preserve">general </w:t>
      </w:r>
      <w:r w:rsidR="00BD02DC">
        <w:rPr>
          <w:color w:val="000000" w:themeColor="text1"/>
          <w:szCs w:val="22"/>
        </w:rPr>
        <w:t>safety issues have been expressed in previous submissions and have been considered by FSANZ</w:t>
      </w:r>
      <w:r w:rsidR="004E790A">
        <w:rPr>
          <w:color w:val="000000" w:themeColor="text1"/>
          <w:szCs w:val="22"/>
        </w:rPr>
        <w:t xml:space="preserve"> over the course of successive assessment</w:t>
      </w:r>
      <w:r w:rsidR="00562B7D">
        <w:rPr>
          <w:color w:val="000000" w:themeColor="text1"/>
          <w:szCs w:val="22"/>
        </w:rPr>
        <w:t>s of GM food application</w:t>
      </w:r>
      <w:r w:rsidR="004E790A">
        <w:rPr>
          <w:color w:val="000000" w:themeColor="text1"/>
          <w:szCs w:val="22"/>
        </w:rPr>
        <w:t>s</w:t>
      </w:r>
      <w:r w:rsidR="00BD02DC">
        <w:rPr>
          <w:color w:val="000000" w:themeColor="text1"/>
          <w:szCs w:val="22"/>
        </w:rPr>
        <w:t xml:space="preserve">. </w:t>
      </w:r>
      <w:r w:rsidR="000E45B5">
        <w:rPr>
          <w:color w:val="000000" w:themeColor="text1"/>
          <w:szCs w:val="22"/>
        </w:rPr>
        <w:t>FSANZ has p</w:t>
      </w:r>
      <w:r w:rsidR="008B6136">
        <w:rPr>
          <w:color w:val="000000" w:themeColor="text1"/>
          <w:szCs w:val="22"/>
        </w:rPr>
        <w:t xml:space="preserve">ublished </w:t>
      </w:r>
      <w:r w:rsidR="000E45B5">
        <w:rPr>
          <w:color w:val="000000" w:themeColor="text1"/>
          <w:szCs w:val="22"/>
        </w:rPr>
        <w:t>numerous information sheets on its website that address these issues</w:t>
      </w:r>
      <w:r w:rsidR="008B6136">
        <w:rPr>
          <w:color w:val="000000" w:themeColor="text1"/>
          <w:szCs w:val="22"/>
        </w:rPr>
        <w:t xml:space="preserve"> (see </w:t>
      </w:r>
      <w:hyperlink r:id="rId17" w:history="1">
        <w:r w:rsidR="00932B2C" w:rsidRPr="009C5A3F">
          <w:rPr>
            <w:rStyle w:val="Hyperlink"/>
          </w:rPr>
          <w:t>http://www.foodstandards.gov.au/consumer/gmfood/adverse/Pages/default.aspx</w:t>
        </w:r>
      </w:hyperlink>
      <w:r w:rsidR="008B6136" w:rsidRPr="003B0D85">
        <w:rPr>
          <w:color w:val="000000" w:themeColor="text1"/>
        </w:rPr>
        <w:t xml:space="preserve"> </w:t>
      </w:r>
      <w:r w:rsidR="008B6136">
        <w:rPr>
          <w:color w:val="000000" w:themeColor="text1"/>
        </w:rPr>
        <w:t xml:space="preserve"> and </w:t>
      </w:r>
      <w:hyperlink r:id="rId18" w:history="1">
        <w:r w:rsidR="008B6136" w:rsidRPr="00C675B3">
          <w:rPr>
            <w:rStyle w:val="Hyperlink"/>
          </w:rPr>
          <w:t>http://www.foodstandards.gov.au/consumer/gmfood/gmoverview/Pages/default.aspx</w:t>
        </w:r>
      </w:hyperlink>
      <w:r w:rsidR="008B6136">
        <w:rPr>
          <w:color w:val="000000" w:themeColor="text1"/>
        </w:rPr>
        <w:t xml:space="preserve"> ).</w:t>
      </w:r>
      <w:r w:rsidR="000E45B5">
        <w:rPr>
          <w:color w:val="000000" w:themeColor="text1"/>
          <w:szCs w:val="22"/>
        </w:rPr>
        <w:t xml:space="preserve">  </w:t>
      </w:r>
    </w:p>
    <w:p w:rsidR="000E45B5" w:rsidRDefault="000E45B5" w:rsidP="00DB5F1D">
      <w:pPr>
        <w:rPr>
          <w:color w:val="000000" w:themeColor="text1"/>
          <w:szCs w:val="22"/>
        </w:rPr>
      </w:pPr>
    </w:p>
    <w:p w:rsidR="004E790A" w:rsidRDefault="00613BF4" w:rsidP="00DB5F1D">
      <w:pPr>
        <w:rPr>
          <w:color w:val="000000" w:themeColor="text1"/>
          <w:szCs w:val="22"/>
        </w:rPr>
      </w:pPr>
      <w:r>
        <w:rPr>
          <w:color w:val="000000" w:themeColor="text1"/>
          <w:szCs w:val="22"/>
        </w:rPr>
        <w:t xml:space="preserve">Comments also frequently </w:t>
      </w:r>
      <w:r w:rsidR="004E790A">
        <w:rPr>
          <w:color w:val="000000" w:themeColor="text1"/>
          <w:szCs w:val="22"/>
        </w:rPr>
        <w:t xml:space="preserve">relate to the use of agricultural chemicals on food-producing crops. Any food safety risks associated with the use of agricultural or veterinary chemicals </w:t>
      </w:r>
      <w:r w:rsidR="00DF7749">
        <w:rPr>
          <w:color w:val="000000" w:themeColor="text1"/>
          <w:szCs w:val="22"/>
        </w:rPr>
        <w:t xml:space="preserve">on both conventional and GM crops </w:t>
      </w:r>
      <w:r w:rsidR="004E790A">
        <w:rPr>
          <w:color w:val="000000" w:themeColor="text1"/>
          <w:szCs w:val="22"/>
        </w:rPr>
        <w:t xml:space="preserve">are already effectively managed through separate and well-established regulatory </w:t>
      </w:r>
      <w:r w:rsidR="00950B35">
        <w:rPr>
          <w:color w:val="000000" w:themeColor="text1"/>
          <w:szCs w:val="22"/>
        </w:rPr>
        <w:t xml:space="preserve">processes. </w:t>
      </w:r>
      <w:r w:rsidR="006B38D0">
        <w:rPr>
          <w:color w:val="000000" w:themeColor="text1"/>
          <w:szCs w:val="22"/>
        </w:rPr>
        <w:t>Further information on the regulation of herbicide usage is in Table 1 below.</w:t>
      </w:r>
    </w:p>
    <w:p w:rsidR="004E790A" w:rsidRDefault="004E790A" w:rsidP="00DB5F1D">
      <w:pPr>
        <w:rPr>
          <w:color w:val="000000" w:themeColor="text1"/>
          <w:szCs w:val="22"/>
        </w:rPr>
      </w:pPr>
    </w:p>
    <w:p w:rsidR="00C901AB" w:rsidRPr="007140EF" w:rsidRDefault="00950B35" w:rsidP="00C901AB">
      <w:pPr>
        <w:rPr>
          <w:color w:val="000000" w:themeColor="text1"/>
          <w:szCs w:val="22"/>
        </w:rPr>
      </w:pPr>
      <w:r>
        <w:rPr>
          <w:color w:val="000000" w:themeColor="text1"/>
          <w:szCs w:val="22"/>
        </w:rPr>
        <w:t xml:space="preserve">Responses to a number of general safety issues </w:t>
      </w:r>
      <w:r w:rsidR="00DB5F1D" w:rsidRPr="00272E09">
        <w:rPr>
          <w:color w:val="000000" w:themeColor="text1"/>
          <w:szCs w:val="22"/>
        </w:rPr>
        <w:t xml:space="preserve">are </w:t>
      </w:r>
      <w:r w:rsidR="009C7806">
        <w:rPr>
          <w:color w:val="000000" w:themeColor="text1"/>
          <w:szCs w:val="22"/>
        </w:rPr>
        <w:t xml:space="preserve">summarised </w:t>
      </w:r>
      <w:r w:rsidR="00DB5F1D" w:rsidRPr="00272E09">
        <w:rPr>
          <w:color w:val="000000" w:themeColor="text1"/>
          <w:szCs w:val="22"/>
        </w:rPr>
        <w:t xml:space="preserve">in Table 1. </w:t>
      </w:r>
      <w:r w:rsidR="00C901AB">
        <w:rPr>
          <w:color w:val="000000" w:themeColor="text1"/>
          <w:szCs w:val="22"/>
        </w:rPr>
        <w:t>No</w:t>
      </w:r>
      <w:r w:rsidR="00C901AB" w:rsidRPr="007140EF">
        <w:rPr>
          <w:color w:val="000000" w:themeColor="text1"/>
          <w:szCs w:val="22"/>
        </w:rPr>
        <w:t xml:space="preserve"> changes</w:t>
      </w:r>
      <w:r w:rsidR="00C901AB">
        <w:rPr>
          <w:color w:val="000000" w:themeColor="text1"/>
          <w:szCs w:val="22"/>
        </w:rPr>
        <w:t xml:space="preserve"> </w:t>
      </w:r>
      <w:r w:rsidR="00C901AB" w:rsidRPr="007140EF">
        <w:rPr>
          <w:color w:val="000000" w:themeColor="text1"/>
          <w:szCs w:val="22"/>
        </w:rPr>
        <w:t xml:space="preserve">to the </w:t>
      </w:r>
      <w:r w:rsidR="00C901AB">
        <w:rPr>
          <w:color w:val="000000" w:themeColor="text1"/>
          <w:szCs w:val="22"/>
        </w:rPr>
        <w:t>safety assessment of canola 73496 (</w:t>
      </w:r>
      <w:r w:rsidR="00C901AB" w:rsidRPr="007140EF">
        <w:rPr>
          <w:color w:val="000000" w:themeColor="text1"/>
          <w:szCs w:val="22"/>
        </w:rPr>
        <w:t>SD1</w:t>
      </w:r>
      <w:r w:rsidR="00C901AB">
        <w:rPr>
          <w:color w:val="000000" w:themeColor="text1"/>
          <w:szCs w:val="22"/>
        </w:rPr>
        <w:t xml:space="preserve">) were considered necessary </w:t>
      </w:r>
      <w:r w:rsidR="00887E82">
        <w:rPr>
          <w:color w:val="000000" w:themeColor="text1"/>
          <w:szCs w:val="22"/>
        </w:rPr>
        <w:t xml:space="preserve">following consideration of the issues </w:t>
      </w:r>
      <w:r w:rsidR="00C901AB">
        <w:rPr>
          <w:color w:val="000000" w:themeColor="text1"/>
          <w:szCs w:val="22"/>
        </w:rPr>
        <w:t xml:space="preserve">in this case. </w:t>
      </w:r>
    </w:p>
    <w:p w:rsidR="00DB5F1D" w:rsidRPr="00272E09" w:rsidRDefault="00DB5F1D" w:rsidP="00DB5F1D">
      <w:pPr>
        <w:rPr>
          <w:color w:val="000000" w:themeColor="text1"/>
          <w:szCs w:val="22"/>
        </w:rPr>
      </w:pPr>
    </w:p>
    <w:p w:rsidR="000117FD" w:rsidRDefault="000117FD" w:rsidP="00DB5F1D">
      <w:pPr>
        <w:keepNext/>
        <w:rPr>
          <w:rFonts w:cs="Arial"/>
          <w:b/>
          <w:color w:val="000000" w:themeColor="text1"/>
        </w:rPr>
      </w:pPr>
      <w:r>
        <w:rPr>
          <w:rFonts w:cs="Arial"/>
          <w:b/>
          <w:color w:val="000000" w:themeColor="text1"/>
        </w:rPr>
        <w:br w:type="page"/>
      </w:r>
    </w:p>
    <w:p w:rsidR="00DB5F1D" w:rsidRPr="00272E09" w:rsidRDefault="00DB5F1D" w:rsidP="00DB5F1D">
      <w:pPr>
        <w:keepNext/>
        <w:rPr>
          <w:rFonts w:cs="Arial"/>
          <w:b/>
          <w:color w:val="000000" w:themeColor="text1"/>
        </w:rPr>
      </w:pPr>
      <w:r w:rsidRPr="00272E09">
        <w:rPr>
          <w:rFonts w:cs="Arial"/>
          <w:b/>
          <w:color w:val="000000" w:themeColor="text1"/>
        </w:rPr>
        <w:lastRenderedPageBreak/>
        <w:t xml:space="preserve">Table 1: Summary of general issues </w:t>
      </w:r>
      <w:proofErr w:type="gramStart"/>
      <w:r w:rsidRPr="00272E09">
        <w:rPr>
          <w:rFonts w:cs="Arial"/>
          <w:b/>
          <w:color w:val="000000" w:themeColor="text1"/>
        </w:rPr>
        <w:t>raised</w:t>
      </w:r>
      <w:proofErr w:type="gramEnd"/>
      <w:r w:rsidRPr="00272E09">
        <w:rPr>
          <w:rFonts w:cs="Arial"/>
          <w:b/>
          <w:color w:val="000000" w:themeColor="text1"/>
        </w:rPr>
        <w:t xml:space="preserve"> in submissions</w:t>
      </w:r>
    </w:p>
    <w:p w:rsidR="00DB5F1D" w:rsidRPr="00272E09" w:rsidRDefault="00DB5F1D" w:rsidP="00DB5F1D">
      <w:pPr>
        <w:keepNext/>
        <w:rPr>
          <w:rFonts w:cs="Arial"/>
          <w:b/>
          <w:color w:val="000000" w:themeColor="text1"/>
        </w:rPr>
      </w:pPr>
    </w:p>
    <w:tbl>
      <w:tblPr>
        <w:tblStyle w:val="MediumShading1-Accent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1949"/>
        <w:gridCol w:w="5067"/>
      </w:tblGrid>
      <w:tr w:rsidR="001F3AE6" w:rsidRPr="00272E09" w:rsidTr="000117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tcPr>
          <w:p w:rsidR="00DB5F1D" w:rsidRPr="005F6A76" w:rsidRDefault="00DB5F1D" w:rsidP="00810A0B">
            <w:pPr>
              <w:keepNext/>
              <w:spacing w:after="240"/>
            </w:pPr>
            <w:r w:rsidRPr="005F6A76">
              <w:rPr>
                <w:color w:val="auto"/>
              </w:rPr>
              <w:t>Issue</w:t>
            </w:r>
          </w:p>
        </w:tc>
        <w:tc>
          <w:tcPr>
            <w:tcW w:w="1984" w:type="dxa"/>
            <w:tcBorders>
              <w:top w:val="single" w:sz="4" w:space="0" w:color="auto"/>
              <w:left w:val="single" w:sz="4" w:space="0" w:color="auto"/>
              <w:bottom w:val="single" w:sz="4" w:space="0" w:color="auto"/>
              <w:right w:val="single" w:sz="4" w:space="0" w:color="auto"/>
            </w:tcBorders>
          </w:tcPr>
          <w:p w:rsidR="00DB5F1D" w:rsidRPr="005F6A76" w:rsidRDefault="00DB5F1D" w:rsidP="00810A0B">
            <w:pPr>
              <w:keepNext/>
              <w:spacing w:after="240"/>
              <w:cnfStyle w:val="100000000000" w:firstRow="1" w:lastRow="0" w:firstColumn="0" w:lastColumn="0" w:oddVBand="0" w:evenVBand="0" w:oddHBand="0" w:evenHBand="0" w:firstRowFirstColumn="0" w:firstRowLastColumn="0" w:lastRowFirstColumn="0" w:lastRowLastColumn="0"/>
            </w:pPr>
            <w:r w:rsidRPr="005F6A76">
              <w:rPr>
                <w:color w:val="auto"/>
              </w:rPr>
              <w:t>Raised by</w:t>
            </w:r>
          </w:p>
        </w:tc>
        <w:tc>
          <w:tcPr>
            <w:tcW w:w="5165" w:type="dxa"/>
            <w:tcBorders>
              <w:top w:val="single" w:sz="4" w:space="0" w:color="auto"/>
              <w:left w:val="single" w:sz="4" w:space="0" w:color="auto"/>
              <w:bottom w:val="single" w:sz="4" w:space="0" w:color="auto"/>
              <w:right w:val="single" w:sz="4" w:space="0" w:color="auto"/>
            </w:tcBorders>
          </w:tcPr>
          <w:p w:rsidR="00DB5F1D" w:rsidRPr="005F6A76" w:rsidRDefault="00DB5F1D" w:rsidP="00810A0B">
            <w:pPr>
              <w:keepNext/>
              <w:spacing w:after="240"/>
              <w:cnfStyle w:val="100000000000" w:firstRow="1" w:lastRow="0" w:firstColumn="0" w:lastColumn="0" w:oddVBand="0" w:evenVBand="0" w:oddHBand="0" w:evenHBand="0" w:firstRowFirstColumn="0" w:firstRowLastColumn="0" w:lastRowFirstColumn="0" w:lastRowLastColumn="0"/>
            </w:pPr>
            <w:r w:rsidRPr="005F6A76">
              <w:rPr>
                <w:color w:val="auto"/>
              </w:rPr>
              <w:t>FSANZ Response (including any amendments to drafting)</w:t>
            </w:r>
          </w:p>
        </w:tc>
      </w:tr>
      <w:tr w:rsidR="00DB5F1D" w:rsidRPr="00272E09" w:rsidTr="00011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bottom w:val="single" w:sz="4" w:space="0" w:color="auto"/>
              <w:right w:val="none" w:sz="0" w:space="0" w:color="auto"/>
            </w:tcBorders>
          </w:tcPr>
          <w:p w:rsidR="00DB5F1D" w:rsidRPr="00272E09" w:rsidRDefault="00237CD7" w:rsidP="005F6A76">
            <w:pPr>
              <w:pStyle w:val="Table2"/>
              <w:ind w:left="113" w:hanging="113"/>
              <w:rPr>
                <w:b w:val="0"/>
                <w:bCs/>
                <w:color w:val="000000" w:themeColor="text1"/>
              </w:rPr>
            </w:pPr>
            <w:r>
              <w:rPr>
                <w:color w:val="000000" w:themeColor="text1"/>
              </w:rPr>
              <w:t>The use of gene technology to produce food creates many safety concerns; current protocols for testing transgenic foods and inadequate.</w:t>
            </w:r>
          </w:p>
          <w:p w:rsidR="00DB5F1D" w:rsidRPr="00272E09" w:rsidRDefault="00DB5F1D" w:rsidP="00810A0B">
            <w:pPr>
              <w:pStyle w:val="Table2"/>
              <w:rPr>
                <w:color w:val="000000" w:themeColor="text1"/>
              </w:rPr>
            </w:pPr>
          </w:p>
        </w:tc>
        <w:tc>
          <w:tcPr>
            <w:tcW w:w="1984" w:type="dxa"/>
            <w:tcBorders>
              <w:top w:val="single" w:sz="4" w:space="0" w:color="auto"/>
              <w:left w:val="none" w:sz="0" w:space="0" w:color="auto"/>
              <w:bottom w:val="single" w:sz="4" w:space="0" w:color="auto"/>
              <w:right w:val="none" w:sz="0" w:space="0" w:color="auto"/>
            </w:tcBorders>
          </w:tcPr>
          <w:p w:rsidR="00B96C90" w:rsidRPr="00272E09" w:rsidRDefault="00B96C90" w:rsidP="00292C9D">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r w:rsidRPr="00272E09">
              <w:rPr>
                <w:color w:val="000000" w:themeColor="text1"/>
              </w:rPr>
              <w:t>Physicians &amp; Scientists for Global Responsibility</w:t>
            </w:r>
          </w:p>
          <w:p w:rsidR="00DB5F1D" w:rsidRPr="00272E09" w:rsidRDefault="00DB5F1D" w:rsidP="000B4664">
            <w:pPr>
              <w:pStyle w:val="Table2"/>
              <w:ind w:left="34" w:firstLine="0"/>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5165" w:type="dxa"/>
            <w:tcBorders>
              <w:top w:val="single" w:sz="4" w:space="0" w:color="auto"/>
              <w:left w:val="none" w:sz="0" w:space="0" w:color="auto"/>
              <w:bottom w:val="single" w:sz="4" w:space="0" w:color="auto"/>
            </w:tcBorders>
          </w:tcPr>
          <w:p w:rsidR="00227C2D" w:rsidRPr="00272E09" w:rsidRDefault="00227C2D" w:rsidP="005F6A76">
            <w:pPr>
              <w:pStyle w:val="Table2"/>
              <w:ind w:left="113" w:hanging="113"/>
              <w:cnfStyle w:val="000000100000" w:firstRow="0" w:lastRow="0" w:firstColumn="0" w:lastColumn="0" w:oddVBand="0" w:evenVBand="0" w:oddHBand="1" w:evenHBand="0" w:firstRowFirstColumn="0" w:firstRowLastColumn="0" w:lastRowFirstColumn="0" w:lastRowLastColumn="0"/>
            </w:pPr>
            <w:r w:rsidRPr="00272E09">
              <w:t xml:space="preserve">The approach used by FSANZ to assess the safety of GM food is based on core principles developed </w:t>
            </w:r>
            <w:r w:rsidR="00237CD7">
              <w:t xml:space="preserve">internationally </w:t>
            </w:r>
            <w:r w:rsidRPr="00272E09">
              <w:t>almost 20 years ago</w:t>
            </w:r>
            <w:r w:rsidR="00237CD7">
              <w:t>,</w:t>
            </w:r>
            <w:r w:rsidRPr="00272E09">
              <w:t xml:space="preserve"> and published as guidelines by the Codex Alimentarius Commission (Codex, 2003; Codex, 2004). Over time, the </w:t>
            </w:r>
            <w:r w:rsidR="001D410B">
              <w:t xml:space="preserve">comparative </w:t>
            </w:r>
            <w:r w:rsidRPr="00272E09">
              <w:t>assessment has been the</w:t>
            </w:r>
            <w:r w:rsidR="00B43B64" w:rsidRPr="00272E09">
              <w:t xml:space="preserve"> subject of scientific scrutiny</w:t>
            </w:r>
            <w:r w:rsidR="00237CD7">
              <w:t xml:space="preserve"> and debate</w:t>
            </w:r>
            <w:r w:rsidR="00B43B64" w:rsidRPr="00272E09">
              <w:t>;</w:t>
            </w:r>
            <w:r w:rsidRPr="00272E09">
              <w:t xml:space="preserve"> however it has proved to be a robust approach for whole food safety assessments. </w:t>
            </w:r>
            <w:r w:rsidR="001D410B">
              <w:t xml:space="preserve">It </w:t>
            </w:r>
            <w:r w:rsidRPr="00272E09">
              <w:t>is widely adopted and implemented around</w:t>
            </w:r>
            <w:r w:rsidR="00B7542A">
              <w:t xml:space="preserve"> the world. While </w:t>
            </w:r>
            <w:r w:rsidRPr="00272E09">
              <w:t xml:space="preserve">opposition to the technology remains, consumers can be confident that GM foods assessed under the protocol and approved for food use are as safe as their conventional counterparts. </w:t>
            </w:r>
          </w:p>
          <w:p w:rsidR="001D410B" w:rsidRDefault="001D410B" w:rsidP="005F6A76">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p>
          <w:p w:rsidR="008463CA" w:rsidRDefault="008463CA" w:rsidP="008463CA">
            <w:pPr>
              <w:pStyle w:val="Table2"/>
              <w:ind w:left="113" w:hanging="113"/>
              <w:cnfStyle w:val="000000100000" w:firstRow="0" w:lastRow="0" w:firstColumn="0" w:lastColumn="0" w:oddVBand="0" w:evenVBand="0" w:oddHBand="1" w:evenHBand="0" w:firstRowFirstColumn="0" w:firstRowLastColumn="0" w:lastRowFirstColumn="0" w:lastRowLastColumn="0"/>
            </w:pPr>
          </w:p>
          <w:p w:rsidR="00DF7749" w:rsidRPr="00272E09" w:rsidRDefault="00DF7749" w:rsidP="00DF7749">
            <w:pPr>
              <w:pStyle w:val="Table2"/>
              <w:ind w:left="113" w:hanging="113"/>
              <w:cnfStyle w:val="000000100000" w:firstRow="0" w:lastRow="0" w:firstColumn="0" w:lastColumn="0" w:oddVBand="0" w:evenVBand="0" w:oddHBand="1" w:evenHBand="0" w:firstRowFirstColumn="0" w:firstRowLastColumn="0" w:lastRowFirstColumn="0" w:lastRowLastColumn="0"/>
            </w:pPr>
            <w:r>
              <w:t>FSANZ’s safety assessment protocol is based on internationally recognised guidelines and technical advice (eg from the OECD), has been periodically reviewed by external experts either fully or in part, and has been refined in response to emerging scientific information.  FSANZ monitors the publication of relevant studies and evaluates their importance to the safety assessment protocol</w:t>
            </w:r>
            <w:r w:rsidRPr="0054752F">
              <w:rPr>
                <w:color w:val="000000" w:themeColor="text1"/>
              </w:rPr>
              <w:t xml:space="preserve">.  </w:t>
            </w:r>
            <w:r w:rsidRPr="00272E09">
              <w:t xml:space="preserve">A detailed description of the process used by FSANZ for the safety assessment of GM foods is available on the FSANZ website at </w:t>
            </w:r>
            <w:hyperlink r:id="rId19" w:history="1">
              <w:r w:rsidRPr="0054752F">
                <w:rPr>
                  <w:color w:val="0000FF"/>
                  <w:u w:val="single"/>
                </w:rPr>
                <w:t>http://www.foodstandards.gov.au/consumer/gmfood/safety/Pages/default.aspx</w:t>
              </w:r>
            </w:hyperlink>
          </w:p>
          <w:p w:rsidR="00DF7749" w:rsidRDefault="00DF7749" w:rsidP="008463CA">
            <w:pPr>
              <w:pStyle w:val="Table2"/>
              <w:ind w:left="113" w:hanging="113"/>
              <w:cnfStyle w:val="000000100000" w:firstRow="0" w:lastRow="0" w:firstColumn="0" w:lastColumn="0" w:oddVBand="0" w:evenVBand="0" w:oddHBand="1" w:evenHBand="0" w:firstRowFirstColumn="0" w:firstRowLastColumn="0" w:lastRowFirstColumn="0" w:lastRowLastColumn="0"/>
            </w:pPr>
          </w:p>
          <w:p w:rsidR="00DF7749" w:rsidRPr="003B0D85" w:rsidRDefault="00DF7749" w:rsidP="00DF7749">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r w:rsidRPr="003B0D85">
              <w:rPr>
                <w:color w:val="000000" w:themeColor="text1"/>
              </w:rPr>
              <w:t xml:space="preserve">In 2008, an external review of the FSANZ GM food safety assessment procedure was undertaken and identified a number of strengths (see FSANZ website at  </w:t>
            </w:r>
            <w:hyperlink r:id="rId20" w:history="1">
              <w:r w:rsidRPr="00924690">
                <w:rPr>
                  <w:color w:val="0000FF"/>
                  <w:u w:val="single"/>
                </w:rPr>
                <w:t>http://www.foodstandards.gov.au/consumer/gmfood/Pages/reviewofgeneticallym4394.aspx</w:t>
              </w:r>
            </w:hyperlink>
          </w:p>
          <w:p w:rsidR="00DF7749" w:rsidRDefault="00DF7749" w:rsidP="008463CA">
            <w:pPr>
              <w:pStyle w:val="Table2"/>
              <w:ind w:left="113" w:hanging="113"/>
              <w:cnfStyle w:val="000000100000" w:firstRow="0" w:lastRow="0" w:firstColumn="0" w:lastColumn="0" w:oddVBand="0" w:evenVBand="0" w:oddHBand="1" w:evenHBand="0" w:firstRowFirstColumn="0" w:firstRowLastColumn="0" w:lastRowFirstColumn="0" w:lastRowLastColumn="0"/>
            </w:pPr>
          </w:p>
          <w:p w:rsidR="008463CA" w:rsidRDefault="008463CA" w:rsidP="008463CA">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r w:rsidRPr="00272E09">
              <w:t>Studies cited as evidence of safety concerns with certain GM foods have been examined by FSANZ</w:t>
            </w:r>
            <w:r>
              <w:t>, other regulators</w:t>
            </w:r>
            <w:r w:rsidRPr="00272E09">
              <w:t xml:space="preserve"> and </w:t>
            </w:r>
            <w:r>
              <w:t>independent</w:t>
            </w:r>
            <w:r w:rsidRPr="00272E09">
              <w:t xml:space="preserve"> scienti</w:t>
            </w:r>
            <w:r>
              <w:t>sts</w:t>
            </w:r>
            <w:r w:rsidRPr="00272E09">
              <w:t xml:space="preserve"> around the world. </w:t>
            </w:r>
            <w:r w:rsidR="00C901AB" w:rsidRPr="003B0D85">
              <w:rPr>
                <w:color w:val="000000" w:themeColor="text1"/>
              </w:rPr>
              <w:t>The studies have been subject to significant scientific criticism and generally are not supported.</w:t>
            </w:r>
            <w:r w:rsidR="00C901AB">
              <w:rPr>
                <w:color w:val="000000" w:themeColor="text1"/>
              </w:rPr>
              <w:t xml:space="preserve"> </w:t>
            </w:r>
            <w:r w:rsidRPr="00272E09">
              <w:t xml:space="preserve">Responses to several recent publications are available on the FSANZ website </w:t>
            </w:r>
            <w:r w:rsidRPr="00272E09">
              <w:rPr>
                <w:color w:val="000000" w:themeColor="text1"/>
              </w:rPr>
              <w:t>(</w:t>
            </w:r>
            <w:hyperlink r:id="rId21" w:history="1">
              <w:r w:rsidRPr="00272E09">
                <w:rPr>
                  <w:rStyle w:val="Hyperlink"/>
                </w:rPr>
                <w:t>http://www.foodstandards.gov.au/consumer/gmfood/adverse/Pages/default.aspx</w:t>
              </w:r>
            </w:hyperlink>
            <w:r w:rsidRPr="00272E09">
              <w:rPr>
                <w:color w:val="FF0000"/>
              </w:rPr>
              <w:t xml:space="preserve"> </w:t>
            </w:r>
            <w:r w:rsidRPr="00272E09">
              <w:rPr>
                <w:color w:val="000000" w:themeColor="text1"/>
              </w:rPr>
              <w:t>).</w:t>
            </w:r>
          </w:p>
          <w:p w:rsidR="001D410B" w:rsidRPr="00272E09" w:rsidRDefault="001D410B" w:rsidP="005F6A76">
            <w:pPr>
              <w:pStyle w:val="Table2"/>
              <w:ind w:left="113" w:hanging="113"/>
              <w:cnfStyle w:val="000000100000" w:firstRow="0" w:lastRow="0" w:firstColumn="0" w:lastColumn="0" w:oddVBand="0" w:evenVBand="0" w:oddHBand="1" w:evenHBand="0" w:firstRowFirstColumn="0" w:firstRowLastColumn="0" w:lastRowFirstColumn="0" w:lastRowLastColumn="0"/>
            </w:pPr>
          </w:p>
          <w:p w:rsidR="00DB5F1D" w:rsidRPr="00272E09" w:rsidRDefault="00DB5F1D" w:rsidP="00227C2D">
            <w:pPr>
              <w:pStyle w:val="Table2"/>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p>
        </w:tc>
      </w:tr>
      <w:tr w:rsidR="00DB5F1D" w:rsidRPr="00272E09" w:rsidTr="000117F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rsidR="00DB5F1D" w:rsidRPr="00272E09" w:rsidRDefault="008463CA" w:rsidP="00292C9D">
            <w:pPr>
              <w:pStyle w:val="Table2"/>
              <w:ind w:left="113" w:hanging="113"/>
              <w:rPr>
                <w:b w:val="0"/>
                <w:bCs/>
                <w:color w:val="000000" w:themeColor="text1"/>
              </w:rPr>
            </w:pPr>
            <w:r>
              <w:rPr>
                <w:color w:val="000000" w:themeColor="text1"/>
              </w:rPr>
              <w:lastRenderedPageBreak/>
              <w:t>Farmers use more herbicides on transgenic plants. Exposure to glyphosate is related to allergic reactions, irritable bowel syndrome, digestion problems, chronic fatigue, headaches, lethargy, skin complaints such as acne and eczema. Exposure to glyphosate-tolerant canola could potentially present similar results.</w:t>
            </w:r>
          </w:p>
        </w:tc>
        <w:tc>
          <w:tcPr>
            <w:tcW w:w="1984" w:type="dxa"/>
            <w:tcBorders>
              <w:left w:val="single" w:sz="4" w:space="0" w:color="auto"/>
              <w:right w:val="single" w:sz="4" w:space="0" w:color="auto"/>
            </w:tcBorders>
          </w:tcPr>
          <w:p w:rsidR="00B96C90" w:rsidRPr="00272E09" w:rsidRDefault="00B96C90" w:rsidP="00292C9D">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rPr>
            </w:pPr>
            <w:r w:rsidRPr="00272E09">
              <w:rPr>
                <w:color w:val="000000" w:themeColor="text1"/>
              </w:rPr>
              <w:t>Physicians &amp; Scientists for Global Responsibility</w:t>
            </w:r>
          </w:p>
          <w:p w:rsidR="00B96C90" w:rsidRPr="00272E09" w:rsidRDefault="00B96C90" w:rsidP="00BC133D">
            <w:pPr>
              <w:pStyle w:val="Table2"/>
              <w:ind w:left="318" w:firstLine="0"/>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165" w:type="dxa"/>
            <w:tcBorders>
              <w:left w:val="single" w:sz="4" w:space="0" w:color="auto"/>
            </w:tcBorders>
          </w:tcPr>
          <w:p w:rsidR="00227C2D" w:rsidRDefault="008463CA" w:rsidP="005F6A76">
            <w:pPr>
              <w:pStyle w:val="Table2"/>
              <w:ind w:left="113" w:hanging="113"/>
              <w:cnfStyle w:val="000000010000" w:firstRow="0" w:lastRow="0" w:firstColumn="0" w:lastColumn="0" w:oddVBand="0" w:evenVBand="0" w:oddHBand="0" w:evenHBand="1" w:firstRowFirstColumn="0" w:firstRowLastColumn="0" w:lastRowFirstColumn="0" w:lastRowLastColumn="0"/>
            </w:pPr>
            <w:r>
              <w:t xml:space="preserve">The use of herbicide-tolerant crops typically results in a different pattern of usage of a particular herbicide, rather than an increase overall. </w:t>
            </w:r>
            <w:r w:rsidR="003B253D">
              <w:t>Glyphosate is permitted for use on over 60 food</w:t>
            </w:r>
            <w:r w:rsidR="005A01B7">
              <w:t xml:space="preserve"> plant species; </w:t>
            </w:r>
            <w:r w:rsidR="003B253D">
              <w:t>the majority of these are not genetically modified.</w:t>
            </w:r>
          </w:p>
          <w:p w:rsidR="008463CA" w:rsidRDefault="008463CA" w:rsidP="005F6A76">
            <w:pPr>
              <w:pStyle w:val="Table2"/>
              <w:ind w:left="113" w:hanging="113"/>
              <w:cnfStyle w:val="000000010000" w:firstRow="0" w:lastRow="0" w:firstColumn="0" w:lastColumn="0" w:oddVBand="0" w:evenVBand="0" w:oddHBand="0" w:evenHBand="1" w:firstRowFirstColumn="0" w:firstRowLastColumn="0" w:lastRowFirstColumn="0" w:lastRowLastColumn="0"/>
            </w:pPr>
          </w:p>
          <w:p w:rsidR="008463CA" w:rsidRPr="00DE593C" w:rsidRDefault="003B253D" w:rsidP="00DE593C">
            <w:pPr>
              <w:pStyle w:val="Table2"/>
              <w:ind w:left="113" w:hanging="113"/>
              <w:cnfStyle w:val="000000010000" w:firstRow="0" w:lastRow="0" w:firstColumn="0" w:lastColumn="0" w:oddVBand="0" w:evenVBand="0" w:oddHBand="0" w:evenHBand="1" w:firstRowFirstColumn="0" w:firstRowLastColumn="0" w:lastRowFirstColumn="0" w:lastRowLastColumn="0"/>
              <w:rPr>
                <w:rStyle w:val="Hyperlink"/>
                <w:rFonts w:cs="Arial"/>
                <w:szCs w:val="18"/>
              </w:rPr>
            </w:pPr>
            <w:r>
              <w:rPr>
                <w:rFonts w:cs="Arial"/>
                <w:color w:val="000000" w:themeColor="text1"/>
                <w:szCs w:val="18"/>
              </w:rPr>
              <w:t xml:space="preserve">Residues </w:t>
            </w:r>
            <w:r w:rsidR="008463CA" w:rsidRPr="00272E09">
              <w:rPr>
                <w:rFonts w:cs="Arial"/>
                <w:color w:val="000000" w:themeColor="text1"/>
                <w:szCs w:val="18"/>
              </w:rPr>
              <w:t xml:space="preserve">of </w:t>
            </w:r>
            <w:r>
              <w:rPr>
                <w:rFonts w:cs="Arial"/>
                <w:color w:val="000000" w:themeColor="text1"/>
                <w:szCs w:val="18"/>
              </w:rPr>
              <w:t xml:space="preserve">approved </w:t>
            </w:r>
            <w:r w:rsidR="008463CA" w:rsidRPr="00272E09">
              <w:rPr>
                <w:rFonts w:cs="Arial"/>
                <w:color w:val="000000" w:themeColor="text1"/>
                <w:szCs w:val="18"/>
              </w:rPr>
              <w:t xml:space="preserve">agricultural chemicals </w:t>
            </w:r>
            <w:r>
              <w:rPr>
                <w:rFonts w:cs="Arial"/>
                <w:color w:val="000000" w:themeColor="text1"/>
                <w:szCs w:val="18"/>
              </w:rPr>
              <w:t>are</w:t>
            </w:r>
            <w:r w:rsidR="008463CA" w:rsidRPr="00272E09">
              <w:rPr>
                <w:rFonts w:cs="Arial"/>
                <w:color w:val="000000" w:themeColor="text1"/>
                <w:szCs w:val="18"/>
              </w:rPr>
              <w:t xml:space="preserve"> subject to strict government regulation in </w:t>
            </w:r>
            <w:r>
              <w:rPr>
                <w:rFonts w:cs="Arial"/>
                <w:color w:val="000000" w:themeColor="text1"/>
                <w:szCs w:val="18"/>
              </w:rPr>
              <w:t xml:space="preserve">Australia and New Zealand and </w:t>
            </w:r>
            <w:r w:rsidR="008463CA" w:rsidRPr="00272E09">
              <w:rPr>
                <w:rFonts w:cs="Arial"/>
                <w:color w:val="000000" w:themeColor="text1"/>
                <w:szCs w:val="18"/>
              </w:rPr>
              <w:t xml:space="preserve">most trading countries. </w:t>
            </w:r>
            <w:r>
              <w:rPr>
                <w:rFonts w:cs="Arial"/>
                <w:color w:val="000000" w:themeColor="text1"/>
                <w:szCs w:val="18"/>
              </w:rPr>
              <w:t>R</w:t>
            </w:r>
            <w:r w:rsidR="008463CA" w:rsidRPr="00272E09">
              <w:rPr>
                <w:rFonts w:cs="Arial"/>
                <w:color w:val="000000" w:themeColor="text1"/>
                <w:szCs w:val="18"/>
              </w:rPr>
              <w:t xml:space="preserve">esidues are prohibited in food (both GM and non-GM) unless they comply with specific limits referred to as Maximum Residue Limits (MRLs). The setting of MRLs ensures that </w:t>
            </w:r>
            <w:r>
              <w:rPr>
                <w:rFonts w:cs="Arial"/>
                <w:color w:val="000000" w:themeColor="text1"/>
                <w:szCs w:val="18"/>
              </w:rPr>
              <w:t xml:space="preserve">any </w:t>
            </w:r>
            <w:r w:rsidR="008463CA" w:rsidRPr="00272E09">
              <w:rPr>
                <w:rFonts w:cs="Arial"/>
                <w:color w:val="000000" w:themeColor="text1"/>
                <w:szCs w:val="18"/>
              </w:rPr>
              <w:t xml:space="preserve">residues of chemicals are kept as low as possible and consistent with the approved use of </w:t>
            </w:r>
            <w:r w:rsidR="00C41592">
              <w:rPr>
                <w:rFonts w:cs="Arial"/>
                <w:color w:val="000000" w:themeColor="text1"/>
                <w:szCs w:val="18"/>
              </w:rPr>
              <w:t xml:space="preserve">the </w:t>
            </w:r>
            <w:r w:rsidR="008463CA" w:rsidRPr="00272E09">
              <w:rPr>
                <w:rFonts w:cs="Arial"/>
                <w:color w:val="000000" w:themeColor="text1"/>
                <w:szCs w:val="18"/>
              </w:rPr>
              <w:t xml:space="preserve">chemical product to control pests and diseases of plants and animals. </w:t>
            </w:r>
            <w:r w:rsidR="009A6FBC">
              <w:rPr>
                <w:rFonts w:cs="Arial"/>
                <w:color w:val="000000" w:themeColor="text1"/>
                <w:szCs w:val="18"/>
              </w:rPr>
              <w:t xml:space="preserve">As such, </w:t>
            </w:r>
            <w:r w:rsidRPr="00272E09">
              <w:rPr>
                <w:color w:val="000000" w:themeColor="text1"/>
                <w:szCs w:val="22"/>
              </w:rPr>
              <w:t xml:space="preserve">MRLs apply to </w:t>
            </w:r>
            <w:r w:rsidR="009A6FBC">
              <w:rPr>
                <w:color w:val="000000" w:themeColor="text1"/>
                <w:szCs w:val="22"/>
              </w:rPr>
              <w:t xml:space="preserve">both </w:t>
            </w:r>
            <w:r w:rsidRPr="00272E09">
              <w:rPr>
                <w:color w:val="000000" w:themeColor="text1"/>
                <w:szCs w:val="22"/>
              </w:rPr>
              <w:t xml:space="preserve">conventional </w:t>
            </w:r>
            <w:r w:rsidR="009A6FBC">
              <w:rPr>
                <w:color w:val="000000" w:themeColor="text1"/>
                <w:szCs w:val="22"/>
              </w:rPr>
              <w:t xml:space="preserve">and </w:t>
            </w:r>
            <w:r w:rsidRPr="00272E09">
              <w:rPr>
                <w:color w:val="000000" w:themeColor="text1"/>
                <w:szCs w:val="22"/>
              </w:rPr>
              <w:t>GM crop</w:t>
            </w:r>
            <w:r w:rsidR="009A6FBC">
              <w:rPr>
                <w:color w:val="000000" w:themeColor="text1"/>
                <w:szCs w:val="22"/>
              </w:rPr>
              <w:t>s alike.</w:t>
            </w:r>
            <w:r w:rsidRPr="00272E09">
              <w:rPr>
                <w:rFonts w:cs="Arial"/>
                <w:color w:val="000000" w:themeColor="text1"/>
                <w:szCs w:val="18"/>
              </w:rPr>
              <w:t xml:space="preserve"> </w:t>
            </w:r>
            <w:r w:rsidR="008463CA" w:rsidRPr="00272E09">
              <w:rPr>
                <w:rFonts w:cs="Arial"/>
                <w:color w:val="000000" w:themeColor="text1"/>
                <w:szCs w:val="18"/>
              </w:rPr>
              <w:t xml:space="preserve">For further details see the FSANZ website at </w:t>
            </w:r>
            <w:hyperlink r:id="rId22" w:history="1">
              <w:r w:rsidR="008463CA" w:rsidRPr="00272E09">
                <w:rPr>
                  <w:rStyle w:val="Hyperlink"/>
                  <w:rFonts w:cs="Arial"/>
                  <w:szCs w:val="18"/>
                </w:rPr>
                <w:t>http://www.foodstandards.gov.au/consumer/chemicals/maxresidue/Pages/default.aspx</w:t>
              </w:r>
            </w:hyperlink>
          </w:p>
          <w:p w:rsidR="00F83967" w:rsidRPr="00272E09" w:rsidRDefault="00F83967" w:rsidP="008463CA">
            <w:pPr>
              <w:pStyle w:val="Table2"/>
              <w:ind w:left="113" w:hanging="113"/>
              <w:cnfStyle w:val="000000010000" w:firstRow="0" w:lastRow="0" w:firstColumn="0" w:lastColumn="0" w:oddVBand="0" w:evenVBand="0" w:oddHBand="0" w:evenHBand="1" w:firstRowFirstColumn="0" w:firstRowLastColumn="0" w:lastRowFirstColumn="0" w:lastRowLastColumn="0"/>
            </w:pPr>
          </w:p>
        </w:tc>
      </w:tr>
      <w:tr w:rsidR="006B38D0" w:rsidRPr="00272E09" w:rsidTr="000117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rsidR="006B38D0" w:rsidRDefault="006B38D0" w:rsidP="006B38D0">
            <w:pPr>
              <w:pStyle w:val="Table2"/>
              <w:ind w:left="113" w:hanging="113"/>
              <w:rPr>
                <w:color w:val="000000" w:themeColor="text1"/>
              </w:rPr>
            </w:pPr>
            <w:r w:rsidRPr="003B0D85">
              <w:rPr>
                <w:color w:val="000000" w:themeColor="text1"/>
              </w:rPr>
              <w:t>Horizontal gene transfer to gut bacteria and safety of ingesting recombinant DNA</w:t>
            </w:r>
            <w:r>
              <w:rPr>
                <w:color w:val="000000" w:themeColor="text1"/>
              </w:rPr>
              <w:t xml:space="preserve"> / transgenes</w:t>
            </w:r>
          </w:p>
          <w:p w:rsidR="006B38D0" w:rsidRDefault="006B38D0" w:rsidP="00292C9D">
            <w:pPr>
              <w:pStyle w:val="Table2"/>
              <w:ind w:left="113" w:hanging="113"/>
              <w:rPr>
                <w:color w:val="000000" w:themeColor="text1"/>
              </w:rPr>
            </w:pPr>
          </w:p>
        </w:tc>
        <w:tc>
          <w:tcPr>
            <w:tcW w:w="1984" w:type="dxa"/>
            <w:tcBorders>
              <w:left w:val="single" w:sz="4" w:space="0" w:color="auto"/>
              <w:right w:val="single" w:sz="4" w:space="0" w:color="auto"/>
            </w:tcBorders>
          </w:tcPr>
          <w:p w:rsidR="006B38D0" w:rsidRPr="00272E09" w:rsidRDefault="006B38D0" w:rsidP="006B38D0">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r w:rsidRPr="00272E09">
              <w:rPr>
                <w:color w:val="000000" w:themeColor="text1"/>
              </w:rPr>
              <w:t>Physicians &amp; Scientists for Global Responsibility</w:t>
            </w:r>
          </w:p>
          <w:p w:rsidR="006B38D0" w:rsidRPr="00272E09" w:rsidRDefault="006B38D0" w:rsidP="00292C9D">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5165" w:type="dxa"/>
            <w:tcBorders>
              <w:left w:val="single" w:sz="4" w:space="0" w:color="auto"/>
            </w:tcBorders>
          </w:tcPr>
          <w:p w:rsidR="006B38D0" w:rsidRPr="00924690" w:rsidRDefault="006B38D0" w:rsidP="006B38D0">
            <w:pPr>
              <w:pStyle w:val="Table2"/>
              <w:ind w:left="113" w:hanging="113"/>
              <w:cnfStyle w:val="000000100000" w:firstRow="0" w:lastRow="0" w:firstColumn="0" w:lastColumn="0" w:oddVBand="0" w:evenVBand="0" w:oddHBand="1" w:evenHBand="0" w:firstRowFirstColumn="0" w:firstRowLastColumn="0" w:lastRowFirstColumn="0" w:lastRowLastColumn="0"/>
              <w:rPr>
                <w:color w:val="0000FF"/>
              </w:rPr>
            </w:pPr>
            <w:r w:rsidRPr="003B0D85">
              <w:rPr>
                <w:color w:val="000000" w:themeColor="text1"/>
              </w:rPr>
              <w:t>There is no indication that novel genetic material in food will have an impact on human health. This issue has been considered in detail by FSANZ and a summary is available on the FSANZ website -</w:t>
            </w:r>
            <w:hyperlink r:id="rId23" w:history="1">
              <w:r w:rsidRPr="00924690">
                <w:rPr>
                  <w:rStyle w:val="Hyperlink"/>
                  <w:color w:val="0000FF"/>
                </w:rPr>
                <w:t>http://www.foodstandards.gov.au/consumer/gmfood/recombinantdna/Pages/default.aspx</w:t>
              </w:r>
            </w:hyperlink>
          </w:p>
          <w:p w:rsidR="006B38D0" w:rsidRDefault="006B38D0" w:rsidP="005F6A76">
            <w:pPr>
              <w:pStyle w:val="Table2"/>
              <w:ind w:left="113" w:hanging="113"/>
              <w:cnfStyle w:val="000000100000" w:firstRow="0" w:lastRow="0" w:firstColumn="0" w:lastColumn="0" w:oddVBand="0" w:evenVBand="0" w:oddHBand="1" w:evenHBand="0" w:firstRowFirstColumn="0" w:firstRowLastColumn="0" w:lastRowFirstColumn="0" w:lastRowLastColumn="0"/>
            </w:pPr>
          </w:p>
          <w:p w:rsidR="006B38D0" w:rsidRPr="00954B4F" w:rsidRDefault="006B38D0" w:rsidP="006B38D0">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szCs w:val="18"/>
                <w:lang w:eastAsia="en-GB" w:bidi="ar-SA"/>
              </w:rPr>
            </w:pPr>
            <w:r w:rsidRPr="00954B4F">
              <w:rPr>
                <w:rFonts w:cs="Arial"/>
                <w:color w:val="000000" w:themeColor="text1"/>
                <w:szCs w:val="18"/>
                <w:lang w:eastAsia="en-GB" w:bidi="ar-SA"/>
              </w:rPr>
              <w:t>DNA is a natural</w:t>
            </w:r>
            <w:r>
              <w:rPr>
                <w:rFonts w:cs="Arial"/>
                <w:color w:val="000000" w:themeColor="text1"/>
                <w:szCs w:val="18"/>
                <w:lang w:eastAsia="en-GB" w:bidi="ar-SA"/>
              </w:rPr>
              <w:t xml:space="preserve"> component of the human diet,</w:t>
            </w:r>
            <w:r w:rsidRPr="00954B4F">
              <w:rPr>
                <w:rFonts w:cs="Arial"/>
                <w:color w:val="000000" w:themeColor="text1"/>
                <w:szCs w:val="18"/>
                <w:lang w:eastAsia="en-GB" w:bidi="ar-SA"/>
              </w:rPr>
              <w:t xml:space="preserve"> being </w:t>
            </w:r>
            <w:r w:rsidRPr="00D03929">
              <w:rPr>
                <w:rFonts w:cs="Arial"/>
                <w:color w:val="000000" w:themeColor="text1"/>
                <w:szCs w:val="22"/>
                <w:lang w:eastAsia="en-GB" w:bidi="ar-SA"/>
              </w:rPr>
              <w:t>present</w:t>
            </w:r>
            <w:r w:rsidRPr="00954B4F">
              <w:rPr>
                <w:rFonts w:cs="Arial"/>
                <w:color w:val="000000" w:themeColor="text1"/>
                <w:szCs w:val="18"/>
                <w:lang w:eastAsia="en-GB" w:bidi="ar-SA"/>
              </w:rPr>
              <w:t xml:space="preserve"> to varying degrees in many plant- and animal- derived foods</w:t>
            </w:r>
            <w:r>
              <w:rPr>
                <w:rFonts w:cs="Arial"/>
                <w:color w:val="000000" w:themeColor="text1"/>
                <w:szCs w:val="18"/>
                <w:lang w:eastAsia="en-GB" w:bidi="ar-SA"/>
              </w:rPr>
              <w:t>, especially those that have undergone minimal processing</w:t>
            </w:r>
            <w:r w:rsidR="00E5021F">
              <w:rPr>
                <w:rFonts w:cs="Arial"/>
                <w:color w:val="000000" w:themeColor="text1"/>
                <w:szCs w:val="18"/>
                <w:lang w:eastAsia="en-GB" w:bidi="ar-SA"/>
              </w:rPr>
              <w:t>, such as fresh fruit and vegetables and meat</w:t>
            </w:r>
            <w:r w:rsidRPr="00954B4F">
              <w:rPr>
                <w:rFonts w:cs="Arial"/>
                <w:color w:val="000000" w:themeColor="text1"/>
                <w:szCs w:val="18"/>
                <w:lang w:eastAsia="en-GB" w:bidi="ar-SA"/>
              </w:rPr>
              <w:t xml:space="preserve">. There is no difference in terms of </w:t>
            </w:r>
            <w:r w:rsidR="00E5021F">
              <w:rPr>
                <w:rFonts w:cs="Arial"/>
                <w:color w:val="000000" w:themeColor="text1"/>
                <w:szCs w:val="18"/>
                <w:lang w:eastAsia="en-GB" w:bidi="ar-SA"/>
              </w:rPr>
              <w:t xml:space="preserve">risk to human health </w:t>
            </w:r>
            <w:r w:rsidRPr="00954B4F">
              <w:rPr>
                <w:rFonts w:cs="Arial"/>
                <w:color w:val="000000" w:themeColor="text1"/>
                <w:szCs w:val="18"/>
                <w:lang w:eastAsia="en-GB" w:bidi="ar-SA"/>
              </w:rPr>
              <w:t xml:space="preserve">between </w:t>
            </w:r>
            <w:r w:rsidR="00E5021F">
              <w:rPr>
                <w:rFonts w:cs="Arial"/>
                <w:color w:val="000000" w:themeColor="text1"/>
                <w:szCs w:val="18"/>
                <w:lang w:eastAsia="en-GB" w:bidi="ar-SA"/>
              </w:rPr>
              <w:t xml:space="preserve">DNA from a transgenic plant </w:t>
            </w:r>
            <w:r w:rsidRPr="00954B4F">
              <w:rPr>
                <w:rFonts w:cs="Arial"/>
                <w:color w:val="000000" w:themeColor="text1"/>
                <w:szCs w:val="18"/>
                <w:lang w:eastAsia="en-GB" w:bidi="ar-SA"/>
              </w:rPr>
              <w:t>and DNA already present in our diet.</w:t>
            </w:r>
          </w:p>
          <w:p w:rsidR="006B38D0" w:rsidRDefault="006B38D0" w:rsidP="005F6A76">
            <w:pPr>
              <w:pStyle w:val="Table2"/>
              <w:ind w:left="113" w:hanging="113"/>
              <w:cnfStyle w:val="000000100000" w:firstRow="0" w:lastRow="0" w:firstColumn="0" w:lastColumn="0" w:oddVBand="0" w:evenVBand="0" w:oddHBand="1" w:evenHBand="0" w:firstRowFirstColumn="0" w:firstRowLastColumn="0" w:lastRowFirstColumn="0" w:lastRowLastColumn="0"/>
            </w:pPr>
          </w:p>
        </w:tc>
      </w:tr>
      <w:tr w:rsidR="000751CA" w:rsidRPr="00272E09" w:rsidTr="000117F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rsidR="000751CA" w:rsidRPr="003B0D85" w:rsidRDefault="000751CA" w:rsidP="006B38D0">
            <w:pPr>
              <w:pStyle w:val="Table2"/>
              <w:ind w:left="113" w:hanging="113"/>
              <w:rPr>
                <w:color w:val="000000" w:themeColor="text1"/>
              </w:rPr>
            </w:pPr>
            <w:r w:rsidRPr="007140EF">
              <w:rPr>
                <w:color w:val="000000" w:themeColor="text1"/>
              </w:rPr>
              <w:t>Potential allergenicity of GM foods</w:t>
            </w:r>
          </w:p>
        </w:tc>
        <w:tc>
          <w:tcPr>
            <w:tcW w:w="1984" w:type="dxa"/>
            <w:tcBorders>
              <w:left w:val="single" w:sz="4" w:space="0" w:color="auto"/>
              <w:right w:val="single" w:sz="4" w:space="0" w:color="auto"/>
            </w:tcBorders>
          </w:tcPr>
          <w:p w:rsidR="000751CA" w:rsidRPr="00272E09" w:rsidRDefault="000751CA" w:rsidP="000751CA">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rPr>
            </w:pPr>
            <w:r w:rsidRPr="00272E09">
              <w:rPr>
                <w:color w:val="000000" w:themeColor="text1"/>
              </w:rPr>
              <w:t>Physicians &amp; Scientists for Global Responsibility</w:t>
            </w:r>
          </w:p>
          <w:p w:rsidR="000751CA" w:rsidRPr="00272E09" w:rsidRDefault="000751CA" w:rsidP="006B38D0">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165" w:type="dxa"/>
            <w:tcBorders>
              <w:left w:val="single" w:sz="4" w:space="0" w:color="auto"/>
            </w:tcBorders>
          </w:tcPr>
          <w:p w:rsidR="000751CA" w:rsidRPr="003B0D85" w:rsidRDefault="000751CA" w:rsidP="000751CA">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rPr>
            </w:pPr>
            <w:r w:rsidRPr="003B0D85">
              <w:rPr>
                <w:color w:val="000000" w:themeColor="text1"/>
              </w:rPr>
              <w:t xml:space="preserve">The occurrence of allergies in people eating Western diets is attributed to major allergens already in the food supply – milk, eggs and nuts, particularly peanuts. These commonly allergenic foods are not associated with GM commodities. There is no credible scientific basis to support the notion that food allergies are linked to the introduction of any GM crops or that allergens can arise spontaneously as a result of the genetic modification process </w:t>
            </w:r>
            <w:r w:rsidRPr="003B0D85">
              <w:rPr>
                <w:color w:val="000000" w:themeColor="text1"/>
              </w:rPr>
              <w:fldChar w:fldCharType="begin"/>
            </w:r>
            <w:r>
              <w:rPr>
                <w:color w:val="000000" w:themeColor="text1"/>
              </w:rPr>
              <w:instrText xml:space="preserve"> ADDIN REFMGR.CITE &lt;Refman&gt;&lt;Cite&gt;&lt;Author&gt;Goodman&lt;/Author&gt;&lt;Year&gt;2011&lt;/Year&gt;&lt;RecNum&gt;1007&lt;/RecNum&gt;&lt;IDText&gt;Suggested improvements for the allergenicity assessment of genetically modified plants used in foods&lt;/IDText&gt;&lt;MDL Ref_Type="Journal"&gt;&lt;Ref_Type&gt;Journal&lt;/Ref_Type&gt;&lt;Ref_ID&gt;1007&lt;/Ref_ID&gt;&lt;Title_Primary&gt;Suggested improvements for the allergenicity assessment of genetically modified plants used in foods&lt;/Title_Primary&gt;&lt;Authors_Primary&gt;Goodman,R.E.&lt;/Authors_Primary&gt;&lt;Authors_Primary&gt;Tetteh,A.O.&lt;/Authors_Primary&gt;&lt;Date_Primary&gt;2011&lt;/Date_Primary&gt;&lt;Keywords&gt;Plants&lt;/Keywords&gt;&lt;Keywords&gt;Breeding&lt;/Keywords&gt;&lt;Keywords&gt;Mutagenesis&lt;/Keywords&gt;&lt;Keywords&gt;Safety&lt;/Keywords&gt;&lt;Keywords&gt;Genes&lt;/Keywords&gt;&lt;Keywords&gt;allergenicity&lt;/Keywords&gt;&lt;Keywords&gt;toxicity&lt;/Keywords&gt;&lt;Reprint&gt;Not in File&lt;/Reprint&gt;&lt;Start_Page&gt;317&lt;/Start_Page&gt;&lt;End_Page&gt;324&lt;/End_Page&gt;&lt;Periodical&gt;Current Allergy and Asthma Reports&lt;/Periodical&gt;&lt;Volume&gt;11&lt;/Volume&gt;&lt;Web_URL_Link2&gt;&lt;u&gt;file://F:\Risk Assessment - Chemical Safety\GMO - shared\References\GM References\Goodman &amp;amp;Tetteh_2011_allergenicity assessment of GM.pdf&lt;/u&gt;&lt;/Web_URL_Link2&gt;&lt;ZZ_JournalFull&gt;&lt;f name="System"&gt;Current Allergy and Asthma Reports&lt;/f&gt;&lt;/ZZ_JournalFull&gt;&lt;ZZ_WorkformID&gt;1&lt;/ZZ_WorkformID&gt;&lt;/MDL&gt;&lt;/Cite&gt;&lt;/Refman&gt;</w:instrText>
            </w:r>
            <w:r w:rsidRPr="003B0D85">
              <w:rPr>
                <w:color w:val="000000" w:themeColor="text1"/>
              </w:rPr>
              <w:fldChar w:fldCharType="separate"/>
            </w:r>
            <w:r w:rsidRPr="003B0D85">
              <w:rPr>
                <w:noProof/>
                <w:color w:val="000000" w:themeColor="text1"/>
              </w:rPr>
              <w:t>(Goodman and Tetteh, 2011)</w:t>
            </w:r>
            <w:r w:rsidRPr="003B0D85">
              <w:rPr>
                <w:color w:val="000000" w:themeColor="text1"/>
              </w:rPr>
              <w:fldChar w:fldCharType="end"/>
            </w:r>
            <w:r w:rsidRPr="003B0D85">
              <w:rPr>
                <w:color w:val="000000" w:themeColor="text1"/>
              </w:rPr>
              <w:t xml:space="preserve">. </w:t>
            </w:r>
          </w:p>
          <w:p w:rsidR="000751CA" w:rsidRPr="003B0D85" w:rsidRDefault="000751CA" w:rsidP="000751CA">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rPr>
            </w:pPr>
          </w:p>
          <w:p w:rsidR="000751CA" w:rsidRDefault="000751CA" w:rsidP="000751CA">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rPr>
            </w:pPr>
            <w:r w:rsidRPr="003B0D85">
              <w:rPr>
                <w:color w:val="000000" w:themeColor="text1"/>
              </w:rPr>
              <w:t>Any novel proteins likely to be present in a GM food undergo individual assessment for both allergenicity and toxicity.</w:t>
            </w:r>
          </w:p>
          <w:p w:rsidR="000751CA" w:rsidRDefault="000751CA" w:rsidP="000751CA">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rPr>
            </w:pPr>
          </w:p>
          <w:p w:rsidR="000751CA" w:rsidRPr="003B0D85" w:rsidRDefault="000751CA" w:rsidP="000751CA">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The presence of soybean, whether from a GM or non-GM source, must be declared on a label so that soy-allergic individuals can avoid the food.</w:t>
            </w:r>
          </w:p>
          <w:p w:rsidR="000751CA" w:rsidRPr="003B0D85" w:rsidRDefault="000751CA" w:rsidP="006B38D0">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rPr>
            </w:pPr>
          </w:p>
        </w:tc>
      </w:tr>
      <w:tr w:rsidR="006B38D0" w:rsidRPr="00272E09" w:rsidTr="000117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rsidR="006B38D0" w:rsidRDefault="00E5021F" w:rsidP="00292C9D">
            <w:pPr>
              <w:pStyle w:val="Table2"/>
              <w:ind w:left="113" w:hanging="113"/>
              <w:rPr>
                <w:color w:val="000000" w:themeColor="text1"/>
              </w:rPr>
            </w:pPr>
            <w:r w:rsidRPr="003B0D85">
              <w:rPr>
                <w:rFonts w:cs="Arial"/>
                <w:color w:val="000000" w:themeColor="text1"/>
                <w:szCs w:val="22"/>
                <w:lang w:eastAsia="en-GB" w:bidi="ar-SA"/>
              </w:rPr>
              <w:lastRenderedPageBreak/>
              <w:t>Lac</w:t>
            </w:r>
            <w:r>
              <w:rPr>
                <w:rFonts w:cs="Arial"/>
                <w:color w:val="000000" w:themeColor="text1"/>
                <w:szCs w:val="22"/>
                <w:lang w:eastAsia="en-GB" w:bidi="ar-SA"/>
              </w:rPr>
              <w:t xml:space="preserve">k of consideration of </w:t>
            </w:r>
            <w:r w:rsidRPr="003B0D85">
              <w:rPr>
                <w:rFonts w:cs="Arial"/>
                <w:color w:val="000000" w:themeColor="text1"/>
                <w:szCs w:val="22"/>
                <w:lang w:eastAsia="en-GB" w:bidi="ar-SA"/>
              </w:rPr>
              <w:t>feeding studies in the safety assessment</w:t>
            </w:r>
          </w:p>
        </w:tc>
        <w:tc>
          <w:tcPr>
            <w:tcW w:w="1984" w:type="dxa"/>
            <w:tcBorders>
              <w:left w:val="single" w:sz="4" w:space="0" w:color="auto"/>
              <w:right w:val="single" w:sz="4" w:space="0" w:color="auto"/>
            </w:tcBorders>
          </w:tcPr>
          <w:p w:rsidR="00E5021F" w:rsidRPr="00272E09" w:rsidRDefault="00E5021F" w:rsidP="00E5021F">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r w:rsidRPr="00272E09">
              <w:rPr>
                <w:color w:val="000000" w:themeColor="text1"/>
              </w:rPr>
              <w:t>Physicians &amp; Scientists for Global Responsibility</w:t>
            </w:r>
          </w:p>
          <w:p w:rsidR="006B38D0" w:rsidRPr="00272E09" w:rsidRDefault="006B38D0" w:rsidP="00292C9D">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5165" w:type="dxa"/>
            <w:tcBorders>
              <w:left w:val="single" w:sz="4" w:space="0" w:color="auto"/>
            </w:tcBorders>
          </w:tcPr>
          <w:p w:rsidR="00E5021F" w:rsidRPr="00FC711B" w:rsidRDefault="00E5021F" w:rsidP="00E5021F">
            <w:pPr>
              <w:pStyle w:val="Table2"/>
              <w:ind w:left="113" w:hanging="113"/>
              <w:cnfStyle w:val="000000100000" w:firstRow="0" w:lastRow="0" w:firstColumn="0" w:lastColumn="0" w:oddVBand="0" w:evenVBand="0" w:oddHBand="1" w:evenHBand="0" w:firstRowFirstColumn="0" w:firstRowLastColumn="0" w:lastRowFirstColumn="0" w:lastRowLastColumn="0"/>
              <w:rPr>
                <w:szCs w:val="18"/>
              </w:rPr>
            </w:pPr>
            <w:r w:rsidRPr="00272E09">
              <w:rPr>
                <w:szCs w:val="18"/>
              </w:rPr>
              <w:t xml:space="preserve">In 2007, FSANZ convened a workshop to formally examine </w:t>
            </w:r>
            <w:r w:rsidRPr="00272E09">
              <w:rPr>
                <w:color w:val="000000"/>
              </w:rPr>
              <w:t>the</w:t>
            </w:r>
            <w:r w:rsidRPr="00272E09">
              <w:rPr>
                <w:szCs w:val="18"/>
              </w:rPr>
              <w:t xml:space="preserve"> usefulness of animal feeding studies to support the safety assessment of GM foods (</w:t>
            </w:r>
            <w:hyperlink r:id="rId24" w:history="1">
              <w:r w:rsidRPr="00272E09">
                <w:rPr>
                  <w:rStyle w:val="Hyperlink"/>
                  <w:szCs w:val="18"/>
                </w:rPr>
                <w:t>http://www.foodstandards.gov.au/consumer/gmfood/Pages/roleofanimalfeedings3717.aspx</w:t>
              </w:r>
            </w:hyperlink>
            <w:r w:rsidRPr="00272E09">
              <w:rPr>
                <w:rStyle w:val="Hyperlink"/>
                <w:szCs w:val="18"/>
              </w:rPr>
              <w:t xml:space="preserve">). </w:t>
            </w:r>
            <w:r w:rsidRPr="00272E09">
              <w:rPr>
                <w:szCs w:val="18"/>
              </w:rPr>
              <w:t xml:space="preserve">The conclusion was that such studies do not contribute meaningful information on the long-term safety of a GM food, with the possible exception of a food in which the modification introduced a desired nutritional change. In these limited cases, the altered nutritional profile of the food may lend itself to investigation in animal diets, or in human volunteers. However, the majority of GM crops with agronomic traits have the same </w:t>
            </w:r>
            <w:r w:rsidRPr="00FC711B">
              <w:rPr>
                <w:szCs w:val="18"/>
              </w:rPr>
              <w:t>nutritional profile as conventional foods.</w:t>
            </w:r>
          </w:p>
          <w:p w:rsidR="00E5021F" w:rsidRPr="00FC711B" w:rsidRDefault="00E5021F" w:rsidP="00E5021F">
            <w:pPr>
              <w:pStyle w:val="Table2"/>
              <w:ind w:left="113" w:hanging="113"/>
              <w:cnfStyle w:val="000000100000" w:firstRow="0" w:lastRow="0" w:firstColumn="0" w:lastColumn="0" w:oddVBand="0" w:evenVBand="0" w:oddHBand="1" w:evenHBand="0" w:firstRowFirstColumn="0" w:firstRowLastColumn="0" w:lastRowFirstColumn="0" w:lastRowLastColumn="0"/>
              <w:rPr>
                <w:szCs w:val="18"/>
              </w:rPr>
            </w:pPr>
          </w:p>
          <w:p w:rsidR="00E5021F" w:rsidRPr="00535D33" w:rsidRDefault="00E5021F" w:rsidP="00E5021F">
            <w:pPr>
              <w:widowControl/>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rFonts w:cs="Arial"/>
                <w:sz w:val="18"/>
                <w:szCs w:val="18"/>
                <w:lang w:eastAsia="en-GB" w:bidi="ar-SA"/>
              </w:rPr>
            </w:pPr>
            <w:r w:rsidRPr="00535D33">
              <w:rPr>
                <w:rFonts w:cs="Arial"/>
                <w:sz w:val="18"/>
                <w:szCs w:val="18"/>
              </w:rPr>
              <w:t xml:space="preserve">While the European Food Safety Authority (EFSA) did not advocate the inclusion of a 90-day feeding study in those cases where molecular, compositional, phenotypic and agronomic analyses demonstrated equivalence of the GM food to its non-GM counterpart </w:t>
            </w:r>
            <w:r w:rsidRPr="00535D33">
              <w:rPr>
                <w:rFonts w:cs="Arial"/>
                <w:sz w:val="18"/>
                <w:szCs w:val="18"/>
              </w:rPr>
              <w:fldChar w:fldCharType="begin">
                <w:fldData xml:space="preserve">PFJlZm1hbj48Q2l0ZT48QXV0aG9yPkVGU0E8L0F1dGhvcj48WWVhcj4yMDA4PC9ZZWFyPjxSZWNO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</w:fldData>
              </w:fldChar>
            </w:r>
            <w:r>
              <w:rPr>
                <w:rFonts w:cs="Arial"/>
                <w:sz w:val="18"/>
                <w:szCs w:val="18"/>
              </w:rPr>
              <w:instrText xml:space="preserve"> ADDIN REFMGR.CITE </w:instrText>
            </w:r>
            <w:r>
              <w:rPr>
                <w:rFonts w:cs="Arial"/>
                <w:sz w:val="18"/>
                <w:szCs w:val="18"/>
              </w:rPr>
              <w:fldChar w:fldCharType="begin">
                <w:fldData xml:space="preserve">PFJlZm1hbj48Q2l0ZT48QXV0aG9yPkVGU0E8L0F1dGhvcj48WWVhcj4yMDA4PC9ZZWFyPjxSZWNO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</w:fldData>
              </w:fldChar>
            </w:r>
            <w:r>
              <w:rPr>
                <w:rFonts w:cs="Arial"/>
                <w:sz w:val="18"/>
                <w:szCs w:val="18"/>
              </w:rPr>
              <w:instrText xml:space="preserve"> ADDIN EN.CITE.DATA </w:instrText>
            </w:r>
            <w:r>
              <w:rPr>
                <w:rFonts w:cs="Arial"/>
                <w:sz w:val="18"/>
                <w:szCs w:val="18"/>
              </w:rPr>
            </w:r>
            <w:r>
              <w:rPr>
                <w:rFonts w:cs="Arial"/>
                <w:sz w:val="18"/>
                <w:szCs w:val="18"/>
              </w:rPr>
              <w:fldChar w:fldCharType="end"/>
            </w:r>
            <w:r w:rsidRPr="00535D33">
              <w:rPr>
                <w:rFonts w:cs="Arial"/>
                <w:sz w:val="18"/>
                <w:szCs w:val="18"/>
              </w:rPr>
            </w:r>
            <w:r w:rsidRPr="00535D33">
              <w:rPr>
                <w:rFonts w:cs="Arial"/>
                <w:sz w:val="18"/>
                <w:szCs w:val="18"/>
              </w:rPr>
              <w:fldChar w:fldCharType="separate"/>
            </w:r>
            <w:r w:rsidRPr="00535D33">
              <w:rPr>
                <w:rFonts w:cs="Arial"/>
                <w:noProof/>
                <w:sz w:val="18"/>
                <w:szCs w:val="18"/>
              </w:rPr>
              <w:t>(EFSA, 2008; EFSA, 2011)</w:t>
            </w:r>
            <w:r w:rsidRPr="00535D33">
              <w:rPr>
                <w:rFonts w:cs="Arial"/>
                <w:sz w:val="18"/>
                <w:szCs w:val="18"/>
              </w:rPr>
              <w:fldChar w:fldCharType="end"/>
            </w:r>
            <w:r w:rsidRPr="00535D33">
              <w:rPr>
                <w:rFonts w:cs="Arial"/>
                <w:sz w:val="18"/>
                <w:szCs w:val="18"/>
              </w:rPr>
              <w:t xml:space="preserve"> the European Commission</w:t>
            </w:r>
            <w:r>
              <w:rPr>
                <w:rFonts w:cs="Arial"/>
                <w:sz w:val="18"/>
                <w:szCs w:val="18"/>
              </w:rPr>
              <w:t xml:space="preserve"> (EC) </w:t>
            </w:r>
            <w:r w:rsidRPr="00535D33">
              <w:rPr>
                <w:rFonts w:cs="Arial"/>
                <w:sz w:val="18"/>
                <w:szCs w:val="18"/>
                <w:lang w:val="en-AU" w:eastAsia="en-GB"/>
              </w:rPr>
              <w:t xml:space="preserve">decided, in December 2013, to require a 90-day study with each GM food application, pending the </w:t>
            </w:r>
            <w:r>
              <w:rPr>
                <w:rFonts w:cs="Arial"/>
                <w:sz w:val="18"/>
                <w:szCs w:val="18"/>
                <w:lang w:val="en-AU" w:eastAsia="en-GB"/>
              </w:rPr>
              <w:t>outcome of a European Union</w:t>
            </w:r>
            <w:r w:rsidRPr="00535D33">
              <w:rPr>
                <w:rFonts w:cs="Arial"/>
                <w:sz w:val="18"/>
                <w:szCs w:val="18"/>
                <w:lang w:val="en-AU" w:eastAsia="en-GB"/>
              </w:rPr>
              <w:t xml:space="preserve"> research project on that issue by the end of 2015. </w:t>
            </w:r>
            <w:r w:rsidRPr="00535D33">
              <w:rPr>
                <w:rFonts w:cs="Arial"/>
                <w:sz w:val="18"/>
                <w:szCs w:val="18"/>
                <w:lang w:eastAsia="en-GB" w:bidi="ar-SA"/>
              </w:rPr>
              <w:t>Depe</w:t>
            </w:r>
            <w:r>
              <w:rPr>
                <w:rFonts w:cs="Arial"/>
                <w:sz w:val="18"/>
                <w:szCs w:val="18"/>
                <w:lang w:eastAsia="en-GB" w:bidi="ar-SA"/>
              </w:rPr>
              <w:t>nding on results from</w:t>
            </w:r>
            <w:r w:rsidRPr="00535D33">
              <w:rPr>
                <w:rFonts w:cs="Arial"/>
                <w:sz w:val="18"/>
                <w:szCs w:val="18"/>
                <w:lang w:eastAsia="en-GB" w:bidi="ar-SA"/>
              </w:rPr>
              <w:t xml:space="preserve"> the 90-day study</w:t>
            </w:r>
            <w:r>
              <w:rPr>
                <w:rFonts w:cs="Arial"/>
                <w:sz w:val="18"/>
                <w:szCs w:val="18"/>
                <w:lang w:eastAsia="en-GB" w:bidi="ar-SA"/>
              </w:rPr>
              <w:t xml:space="preserve"> or other available nutritional and toxicological studies</w:t>
            </w:r>
            <w:r w:rsidRPr="00535D33">
              <w:rPr>
                <w:rFonts w:cs="Arial"/>
                <w:sz w:val="18"/>
                <w:szCs w:val="18"/>
                <w:lang w:eastAsia="en-GB" w:bidi="ar-SA"/>
              </w:rPr>
              <w:t>, a 2-year study in rats may also be requested</w:t>
            </w:r>
            <w:r>
              <w:rPr>
                <w:rFonts w:cs="Arial"/>
                <w:sz w:val="18"/>
                <w:szCs w:val="18"/>
                <w:lang w:eastAsia="en-GB" w:bidi="ar-SA"/>
              </w:rPr>
              <w:t xml:space="preserve"> by the EC</w:t>
            </w:r>
            <w:r w:rsidRPr="00535D33">
              <w:rPr>
                <w:rFonts w:cs="Arial"/>
                <w:sz w:val="18"/>
                <w:szCs w:val="18"/>
                <w:lang w:eastAsia="en-GB" w:bidi="ar-SA"/>
              </w:rPr>
              <w:t xml:space="preserve"> on a case-by-case basis </w:t>
            </w:r>
            <w:r>
              <w:rPr>
                <w:rFonts w:cs="Arial"/>
                <w:sz w:val="18"/>
                <w:szCs w:val="18"/>
                <w:lang w:eastAsia="en-GB" w:bidi="ar-SA"/>
              </w:rPr>
              <w:fldChar w:fldCharType="begin"/>
            </w:r>
            <w:r>
              <w:rPr>
                <w:rFonts w:cs="Arial"/>
                <w:sz w:val="18"/>
                <w:szCs w:val="18"/>
                <w:lang w:eastAsia="en-GB" w:bidi="ar-SA"/>
              </w:rPr>
              <w:instrText xml:space="preserve"> ADDIN REFMGR.CITE &lt;Refman&gt;&lt;Cite&gt;&lt;Author&gt;EFSA&lt;/Author&gt;&lt;Year&gt;2013&lt;/Year&gt;&lt;RecNum&gt;1571&lt;/RecNum&gt;&lt;IDText&gt;Consideration of the applicability of OECD TG 453 to whole food/feed testing&lt;/IDText&gt;&lt;MDL Ref_Type="Journal (Full)"&gt;&lt;Ref_Type&gt;Journal (Full)&lt;/Ref_Type&gt;&lt;Ref_ID&gt;1571&lt;/Ref_ID&gt;&lt;Title_Primary&gt;Consideration of the applicability of OECD TG 453 to whole food/feed testing&lt;/Title_Primary&gt;&lt;Authors_Primary&gt;EFSA&lt;/Authors_Primary&gt;&lt;Date_Primary&gt;2013&lt;/Date_Primary&gt;&lt;Keywords&gt;Safety&lt;/Keywords&gt;&lt;Keywords&gt;toxicity&lt;/Keywords&gt;&lt;Keywords&gt;GMO&lt;/Keywords&gt;&lt;Keywords&gt;Diet&lt;/Keywords&gt;&lt;Keywords&gt;GLP&lt;/Keywords&gt;&lt;Keywords&gt;standards&lt;/Keywords&gt;&lt;Keywords&gt;Animals&lt;/Keywords&gt;&lt;Keywords&gt;analysis&lt;/Keywords&gt;&lt;Reprint&gt;Not in File&lt;/Reprint&gt;&lt;Start_Page&gt;3347 (18 pp)&lt;/Start_Page&gt;&lt;Periodical&gt;EFSA Journal 2013&lt;/Periodical&gt;&lt;Volume&gt;11&lt;/Volume&gt;&lt;Issue&gt;7&lt;/Issue&gt;&lt;Misc_2&gt;&lt;f name="Times New Roman"&gt;doi:10.2903/j.efsa.2013.3347&lt;/f&gt;&lt;/Misc_2&gt;&lt;Web_URL_Link2&gt;&lt;u&gt;file://F:\Risk Assessment - Chemical Safety\GMO - shared\References\GM References\EFSA_2013_Scientific Report on applyig OECD TG453 to whole food.pdf&lt;/u&gt;&lt;/Web_URL_Link2&gt;&lt;ZZ_JournalFull&gt;&lt;f name="System"&gt;EFSA Journal 2013&lt;/f&gt;&lt;/ZZ_JournalFull&gt;&lt;ZZ_WorkformID&gt;32&lt;/ZZ_WorkformID&gt;&lt;/MDL&gt;&lt;/Cite&gt;&lt;/Refman&gt;</w:instrText>
            </w:r>
            <w:r>
              <w:rPr>
                <w:rFonts w:cs="Arial"/>
                <w:sz w:val="18"/>
                <w:szCs w:val="18"/>
                <w:lang w:eastAsia="en-GB" w:bidi="ar-SA"/>
              </w:rPr>
              <w:fldChar w:fldCharType="separate"/>
            </w:r>
            <w:r>
              <w:rPr>
                <w:rFonts w:cs="Arial"/>
                <w:noProof/>
                <w:sz w:val="18"/>
                <w:szCs w:val="18"/>
                <w:lang w:eastAsia="en-GB" w:bidi="ar-SA"/>
              </w:rPr>
              <w:t>(EFSA, 2013)</w:t>
            </w:r>
            <w:r>
              <w:rPr>
                <w:rFonts w:cs="Arial"/>
                <w:sz w:val="18"/>
                <w:szCs w:val="18"/>
                <w:lang w:eastAsia="en-GB" w:bidi="ar-SA"/>
              </w:rPr>
              <w:fldChar w:fldCharType="end"/>
            </w:r>
            <w:r w:rsidRPr="00535D33">
              <w:rPr>
                <w:rFonts w:cs="Arial"/>
                <w:sz w:val="18"/>
                <w:szCs w:val="18"/>
                <w:lang w:eastAsia="en-GB" w:bidi="ar-SA"/>
              </w:rPr>
              <w:t>.</w:t>
            </w:r>
          </w:p>
          <w:p w:rsidR="00E5021F" w:rsidRPr="00FC711B" w:rsidRDefault="00E5021F" w:rsidP="00E5021F">
            <w:pPr>
              <w:pStyle w:val="Table2"/>
              <w:ind w:left="113" w:hanging="113"/>
              <w:cnfStyle w:val="000000100000" w:firstRow="0" w:lastRow="0" w:firstColumn="0" w:lastColumn="0" w:oddVBand="0" w:evenVBand="0" w:oddHBand="1" w:evenHBand="0" w:firstRowFirstColumn="0" w:firstRowLastColumn="0" w:lastRowFirstColumn="0" w:lastRowLastColumn="0"/>
              <w:rPr>
                <w:szCs w:val="18"/>
              </w:rPr>
            </w:pPr>
          </w:p>
          <w:p w:rsidR="00E5021F" w:rsidRDefault="00E5021F" w:rsidP="00E5021F">
            <w:pPr>
              <w:pStyle w:val="Table2"/>
              <w:ind w:left="113" w:hanging="113"/>
              <w:cnfStyle w:val="000000100000" w:firstRow="0" w:lastRow="0" w:firstColumn="0" w:lastColumn="0" w:oddVBand="0" w:evenVBand="0" w:oddHBand="1" w:evenHBand="0" w:firstRowFirstColumn="0" w:firstRowLastColumn="0" w:lastRowFirstColumn="0" w:lastRowLastColumn="0"/>
              <w:rPr>
                <w:szCs w:val="18"/>
                <w:highlight w:val="yellow"/>
              </w:rPr>
            </w:pPr>
            <w:r>
              <w:t>FSANZ, along with most experts in toxicology, considers that animal feeding studies are unlikely to provide additional useful information in circumstances where the compositional analysis of whole food reveals no significant differences. There are also</w:t>
            </w:r>
            <w:r w:rsidRPr="00272E09">
              <w:rPr>
                <w:szCs w:val="18"/>
              </w:rPr>
              <w:t xml:space="preserve"> concerns abo</w:t>
            </w:r>
            <w:r>
              <w:rPr>
                <w:szCs w:val="18"/>
              </w:rPr>
              <w:t xml:space="preserve">ut the unethical use of animals for </w:t>
            </w:r>
            <w:r>
              <w:t xml:space="preserve">feeding studies in the absence of any clearly identified compositional differences </w:t>
            </w:r>
            <w:r w:rsidRPr="00272E09">
              <w:rPr>
                <w:szCs w:val="18"/>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Y18yPjxXZWJfVVJMX0xpbmsyPjx1PmZpbGU6Ly9GOlxSaXNrIEFzc2Vzc21lbnQgLSBDaGVtaWNh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=
</w:fldData>
              </w:fldChar>
            </w:r>
            <w:r>
              <w:rPr>
                <w:szCs w:val="18"/>
              </w:rPr>
              <w:instrText xml:space="preserve"> ADDIN REFMGR.CITE </w:instrText>
            </w:r>
            <w:r>
              <w:rPr>
                <w:szCs w:val="18"/>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Y18yPjxXZWJfVVJMX0xpbmsyPjx1PmZpbGU6Ly9GOlxSaXNrIEFzc2Vzc21lbnQgLSBDaGVtaWNh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=
</w:fldData>
              </w:fldChar>
            </w:r>
            <w:r>
              <w:rPr>
                <w:szCs w:val="18"/>
              </w:rPr>
              <w:instrText xml:space="preserve"> ADDIN EN.CITE.DATA </w:instrText>
            </w:r>
            <w:r>
              <w:rPr>
                <w:szCs w:val="18"/>
              </w:rPr>
            </w:r>
            <w:r>
              <w:rPr>
                <w:szCs w:val="18"/>
              </w:rPr>
              <w:fldChar w:fldCharType="end"/>
            </w:r>
            <w:r w:rsidRPr="00272E09">
              <w:rPr>
                <w:szCs w:val="18"/>
              </w:rPr>
            </w:r>
            <w:r w:rsidRPr="00272E09">
              <w:rPr>
                <w:szCs w:val="18"/>
              </w:rPr>
              <w:fldChar w:fldCharType="separate"/>
            </w:r>
            <w:r w:rsidRPr="00272E09">
              <w:rPr>
                <w:noProof/>
                <w:szCs w:val="18"/>
              </w:rPr>
              <w:t xml:space="preserve">(Bartholomaeus </w:t>
            </w:r>
            <w:r w:rsidRPr="00272E09">
              <w:rPr>
                <w:i/>
                <w:noProof/>
                <w:szCs w:val="18"/>
              </w:rPr>
              <w:t>et al</w:t>
            </w:r>
            <w:r w:rsidRPr="00272E09">
              <w:rPr>
                <w:noProof/>
                <w:szCs w:val="18"/>
              </w:rPr>
              <w:t>., 2013; Rigaud, 2008)</w:t>
            </w:r>
            <w:r w:rsidRPr="00272E09">
              <w:rPr>
                <w:szCs w:val="18"/>
              </w:rPr>
              <w:fldChar w:fldCharType="end"/>
            </w:r>
            <w:r w:rsidRPr="00272E09">
              <w:rPr>
                <w:szCs w:val="18"/>
              </w:rPr>
              <w:t>.</w:t>
            </w:r>
          </w:p>
          <w:p w:rsidR="00E5021F" w:rsidRPr="00192CB3" w:rsidRDefault="00E5021F" w:rsidP="00E5021F">
            <w:pPr>
              <w:pStyle w:val="Table2"/>
              <w:ind w:left="0" w:firstLine="0"/>
              <w:cnfStyle w:val="000000100000" w:firstRow="0" w:lastRow="0" w:firstColumn="0" w:lastColumn="0" w:oddVBand="0" w:evenVBand="0" w:oddHBand="1" w:evenHBand="0" w:firstRowFirstColumn="0" w:firstRowLastColumn="0" w:lastRowFirstColumn="0" w:lastRowLastColumn="0"/>
              <w:rPr>
                <w:color w:val="000000" w:themeColor="text1"/>
                <w:szCs w:val="18"/>
              </w:rPr>
            </w:pPr>
          </w:p>
          <w:p w:rsidR="00E5021F" w:rsidRPr="00272E09" w:rsidRDefault="00E5021F" w:rsidP="00E5021F">
            <w:pPr>
              <w:pStyle w:val="Table2"/>
              <w:ind w:left="113" w:hanging="113"/>
              <w:cnfStyle w:val="000000100000" w:firstRow="0" w:lastRow="0" w:firstColumn="0" w:lastColumn="0" w:oddVBand="0" w:evenVBand="0" w:oddHBand="1" w:evenHBand="0" w:firstRowFirstColumn="0" w:firstRowLastColumn="0" w:lastRowFirstColumn="0" w:lastRowLastColumn="0"/>
              <w:rPr>
                <w:rStyle w:val="Hyperlink"/>
                <w:sz w:val="16"/>
                <w:szCs w:val="16"/>
              </w:rPr>
            </w:pPr>
            <w:r w:rsidRPr="00192CB3">
              <w:rPr>
                <w:color w:val="000000" w:themeColor="text1"/>
                <w:szCs w:val="18"/>
              </w:rPr>
              <w:t>Recent publications (</w:t>
            </w:r>
            <w:proofErr w:type="spellStart"/>
            <w:r w:rsidRPr="00192CB3">
              <w:rPr>
                <w:color w:val="000000" w:themeColor="text1"/>
                <w:szCs w:val="18"/>
              </w:rPr>
              <w:t>S</w:t>
            </w:r>
            <w:r w:rsidRPr="00192CB3">
              <w:rPr>
                <w:rFonts w:cs="Arial"/>
                <w:color w:val="000000" w:themeColor="text1"/>
                <w:szCs w:val="18"/>
              </w:rPr>
              <w:t>é</w:t>
            </w:r>
            <w:r w:rsidRPr="00192CB3">
              <w:rPr>
                <w:color w:val="000000" w:themeColor="text1"/>
                <w:szCs w:val="18"/>
              </w:rPr>
              <w:t>ralini</w:t>
            </w:r>
            <w:proofErr w:type="spellEnd"/>
            <w:r w:rsidRPr="00192CB3">
              <w:rPr>
                <w:color w:val="000000" w:themeColor="text1"/>
                <w:szCs w:val="18"/>
              </w:rPr>
              <w:t xml:space="preserve"> </w:t>
            </w:r>
            <w:r w:rsidRPr="00192CB3">
              <w:rPr>
                <w:i/>
                <w:color w:val="000000" w:themeColor="text1"/>
                <w:szCs w:val="18"/>
              </w:rPr>
              <w:t>et al</w:t>
            </w:r>
            <w:r w:rsidRPr="00192CB3">
              <w:rPr>
                <w:color w:val="000000" w:themeColor="text1"/>
                <w:szCs w:val="18"/>
              </w:rPr>
              <w:t xml:space="preserve">, Carman </w:t>
            </w:r>
            <w:r w:rsidRPr="00192CB3">
              <w:rPr>
                <w:i/>
                <w:color w:val="000000" w:themeColor="text1"/>
                <w:szCs w:val="18"/>
              </w:rPr>
              <w:t>et al</w:t>
            </w:r>
            <w:r w:rsidRPr="00192CB3">
              <w:rPr>
                <w:color w:val="000000" w:themeColor="text1"/>
                <w:szCs w:val="18"/>
              </w:rPr>
              <w:t>)</w:t>
            </w:r>
            <w:r w:rsidRPr="00192CB3">
              <w:rPr>
                <w:rStyle w:val="FootnoteReference"/>
                <w:color w:val="000000" w:themeColor="text1"/>
                <w:szCs w:val="18"/>
              </w:rPr>
              <w:footnoteReference w:id="2"/>
            </w:r>
            <w:r w:rsidRPr="00192CB3">
              <w:rPr>
                <w:color w:val="000000" w:themeColor="text1"/>
                <w:szCs w:val="18"/>
              </w:rPr>
              <w:t xml:space="preserve"> have claimed to show evidence of harm in animals fed GM food</w:t>
            </w:r>
            <w:r w:rsidRPr="00272E09">
              <w:rPr>
                <w:szCs w:val="18"/>
              </w:rPr>
              <w:t>. However, assessment of these studies by FSANZ and others indicates these claims are not supported by the data presented by the researchers. In late November 2013</w:t>
            </w:r>
            <w:proofErr w:type="gramStart"/>
            <w:r w:rsidRPr="00272E09">
              <w:rPr>
                <w:szCs w:val="18"/>
              </w:rPr>
              <w:t>,the</w:t>
            </w:r>
            <w:proofErr w:type="gramEnd"/>
            <w:r w:rsidRPr="00272E09">
              <w:rPr>
                <w:szCs w:val="18"/>
              </w:rPr>
              <w:t xml:space="preserve"> </w:t>
            </w:r>
            <w:proofErr w:type="spellStart"/>
            <w:r w:rsidRPr="00272E09">
              <w:rPr>
                <w:szCs w:val="18"/>
              </w:rPr>
              <w:t>S</w:t>
            </w:r>
            <w:r w:rsidRPr="00272E09">
              <w:rPr>
                <w:rFonts w:cs="Arial"/>
                <w:szCs w:val="18"/>
              </w:rPr>
              <w:t>é</w:t>
            </w:r>
            <w:r w:rsidRPr="00272E09">
              <w:rPr>
                <w:szCs w:val="18"/>
              </w:rPr>
              <w:t>ralini</w:t>
            </w:r>
            <w:proofErr w:type="spellEnd"/>
            <w:r w:rsidRPr="00272E09">
              <w:rPr>
                <w:szCs w:val="18"/>
              </w:rPr>
              <w:t xml:space="preserve"> </w:t>
            </w:r>
            <w:r w:rsidRPr="00272E09">
              <w:rPr>
                <w:i/>
                <w:szCs w:val="18"/>
              </w:rPr>
              <w:t>et al</w:t>
            </w:r>
            <w:r w:rsidRPr="00272E09">
              <w:rPr>
                <w:szCs w:val="18"/>
              </w:rPr>
              <w:t xml:space="preserve">  paper was retracted by the publishing journal on the grounds of poor study design (</w:t>
            </w:r>
            <w:hyperlink r:id="rId25" w:history="1">
              <w:r w:rsidRPr="00272E09">
                <w:rPr>
                  <w:rStyle w:val="Hyperlink"/>
                  <w:szCs w:val="18"/>
                </w:rPr>
                <w:t>http://www.prnewswire.co.uk/news-releases/elsevier-announces-article-retraction-from-journal-food-and-chemical-toxicology-233754961.html</w:t>
              </w:r>
            </w:hyperlink>
            <w:r w:rsidRPr="00272E09">
              <w:rPr>
                <w:rStyle w:val="Hyperlink"/>
                <w:szCs w:val="18"/>
              </w:rPr>
              <w:t>).</w:t>
            </w:r>
          </w:p>
          <w:p w:rsidR="00E5021F" w:rsidRPr="00272E09" w:rsidRDefault="00E5021F" w:rsidP="00E5021F">
            <w:pPr>
              <w:pStyle w:val="Table2"/>
              <w:ind w:left="113" w:hanging="113"/>
              <w:cnfStyle w:val="000000100000" w:firstRow="0" w:lastRow="0" w:firstColumn="0" w:lastColumn="0" w:oddVBand="0" w:evenVBand="0" w:oddHBand="1" w:evenHBand="0" w:firstRowFirstColumn="0" w:firstRowLastColumn="0" w:lastRowFirstColumn="0" w:lastRowLastColumn="0"/>
              <w:rPr>
                <w:rStyle w:val="Hyperlink"/>
                <w:sz w:val="16"/>
                <w:szCs w:val="16"/>
              </w:rPr>
            </w:pPr>
          </w:p>
          <w:p w:rsidR="00E5021F" w:rsidRPr="00272E09" w:rsidRDefault="00E5021F" w:rsidP="00E5021F">
            <w:pPr>
              <w:pStyle w:val="Table2"/>
              <w:ind w:left="113" w:hanging="113"/>
              <w:cnfStyle w:val="000000100000" w:firstRow="0" w:lastRow="0" w:firstColumn="0" w:lastColumn="0" w:oddVBand="0" w:evenVBand="0" w:oddHBand="1" w:evenHBand="0" w:firstRowFirstColumn="0" w:firstRowLastColumn="0" w:lastRowFirstColumn="0" w:lastRowLastColumn="0"/>
              <w:rPr>
                <w:szCs w:val="18"/>
              </w:rPr>
            </w:pPr>
            <w:r w:rsidRPr="00272E09">
              <w:rPr>
                <w:szCs w:val="18"/>
              </w:rPr>
              <w:t xml:space="preserve">FSANZ has published a scientific appraisal of </w:t>
            </w:r>
            <w:r>
              <w:rPr>
                <w:szCs w:val="18"/>
              </w:rPr>
              <w:t xml:space="preserve">several </w:t>
            </w:r>
            <w:r w:rsidRPr="00272E09">
              <w:rPr>
                <w:szCs w:val="18"/>
              </w:rPr>
              <w:t xml:space="preserve">studies claiming to show adverse effects in animals fed GM feed (see </w:t>
            </w:r>
            <w:hyperlink r:id="rId26" w:history="1">
              <w:r w:rsidRPr="00272E09">
                <w:rPr>
                  <w:rStyle w:val="Hyperlink"/>
                  <w:szCs w:val="18"/>
                </w:rPr>
                <w:t>http://www.foodstandards.gov.au/consumer/gmfood/Pages/Response-to-Dr-Carman's-study.aspx</w:t>
              </w:r>
            </w:hyperlink>
            <w:r w:rsidRPr="00272E09">
              <w:rPr>
                <w:szCs w:val="18"/>
              </w:rPr>
              <w:t xml:space="preserve"> ;  </w:t>
            </w:r>
            <w:hyperlink r:id="rId27" w:history="1">
              <w:r w:rsidRPr="00272E09">
                <w:rPr>
                  <w:rStyle w:val="Hyperlink"/>
                  <w:szCs w:val="18"/>
                </w:rPr>
                <w:t>http://www.foodstandards.gov.au/consumer/gmfood/seralini/Pages/default.aspx</w:t>
              </w:r>
            </w:hyperlink>
            <w:r w:rsidRPr="00272E09">
              <w:rPr>
                <w:szCs w:val="18"/>
              </w:rPr>
              <w:t xml:space="preserve"> )</w:t>
            </w:r>
          </w:p>
          <w:p w:rsidR="006B38D0" w:rsidRDefault="006B38D0" w:rsidP="005F6A76">
            <w:pPr>
              <w:pStyle w:val="Table2"/>
              <w:ind w:left="113" w:hanging="113"/>
              <w:cnfStyle w:val="000000100000" w:firstRow="0" w:lastRow="0" w:firstColumn="0" w:lastColumn="0" w:oddVBand="0" w:evenVBand="0" w:oddHBand="1" w:evenHBand="0" w:firstRowFirstColumn="0" w:firstRowLastColumn="0" w:lastRowFirstColumn="0" w:lastRowLastColumn="0"/>
            </w:pPr>
          </w:p>
        </w:tc>
      </w:tr>
    </w:tbl>
    <w:p w:rsidR="00DB5F1D" w:rsidRPr="00272E09" w:rsidRDefault="00193D1A" w:rsidP="00292C9D">
      <w:pPr>
        <w:pStyle w:val="Heading3"/>
        <w:tabs>
          <w:tab w:val="left" w:pos="851"/>
        </w:tabs>
        <w:ind w:left="0" w:firstLine="0"/>
      </w:pPr>
      <w:r w:rsidRPr="00272E09">
        <w:lastRenderedPageBreak/>
        <w:t>2.1.</w:t>
      </w:r>
      <w:r w:rsidR="00DB5F1D" w:rsidRPr="00272E09">
        <w:t>2</w:t>
      </w:r>
      <w:r w:rsidR="00DB5F1D" w:rsidRPr="00272E09">
        <w:tab/>
        <w:t>Specific issue raised</w:t>
      </w:r>
    </w:p>
    <w:p w:rsidR="00DB5F1D" w:rsidRPr="00272E09" w:rsidRDefault="00E2362E" w:rsidP="00292C9D">
      <w:pPr>
        <w:pStyle w:val="Heading4"/>
      </w:pPr>
      <w:r w:rsidRPr="00272E09">
        <w:t>2.1.2.1</w:t>
      </w:r>
      <w:r w:rsidRPr="00272E09">
        <w:tab/>
      </w:r>
      <w:r w:rsidR="001F59B4">
        <w:t>Pure canola oil could contain sma</w:t>
      </w:r>
      <w:r w:rsidR="006B38D0">
        <w:t>ll amounts of protein from seed thereby presenting a risk of allergy or food intolerance</w:t>
      </w:r>
    </w:p>
    <w:p w:rsidR="00DB5F1D" w:rsidRPr="00272E09" w:rsidRDefault="001F59B4" w:rsidP="00B96C90">
      <w:pPr>
        <w:pStyle w:val="Table2"/>
        <w:ind w:left="0" w:firstLine="0"/>
        <w:rPr>
          <w:color w:val="000000" w:themeColor="text1"/>
          <w:sz w:val="22"/>
          <w:szCs w:val="22"/>
        </w:rPr>
      </w:pPr>
      <w:r>
        <w:rPr>
          <w:color w:val="000000" w:themeColor="text1"/>
          <w:sz w:val="22"/>
          <w:szCs w:val="22"/>
        </w:rPr>
        <w:t xml:space="preserve">The </w:t>
      </w:r>
      <w:r w:rsidR="00B96C90" w:rsidRPr="00272E09">
        <w:rPr>
          <w:color w:val="000000" w:themeColor="text1"/>
          <w:sz w:val="22"/>
          <w:szCs w:val="22"/>
        </w:rPr>
        <w:t xml:space="preserve">Physicians &amp; Scientists for Global Responsibility </w:t>
      </w:r>
      <w:r>
        <w:rPr>
          <w:color w:val="000000" w:themeColor="text1"/>
          <w:sz w:val="22"/>
          <w:szCs w:val="22"/>
        </w:rPr>
        <w:t>suggested t</w:t>
      </w:r>
      <w:r w:rsidR="00BA4EB4" w:rsidRPr="00272E09">
        <w:rPr>
          <w:color w:val="000000" w:themeColor="text1"/>
          <w:sz w:val="22"/>
          <w:szCs w:val="22"/>
        </w:rPr>
        <w:t>hat</w:t>
      </w:r>
      <w:r w:rsidR="00141496">
        <w:rPr>
          <w:color w:val="000000" w:themeColor="text1"/>
          <w:sz w:val="22"/>
          <w:szCs w:val="22"/>
        </w:rPr>
        <w:t>,</w:t>
      </w:r>
      <w:r w:rsidR="00BA4EB4" w:rsidRPr="00272E09">
        <w:rPr>
          <w:color w:val="000000" w:themeColor="text1"/>
          <w:sz w:val="22"/>
          <w:szCs w:val="22"/>
        </w:rPr>
        <w:t xml:space="preserve"> while </w:t>
      </w:r>
      <w:r w:rsidR="0032192F">
        <w:rPr>
          <w:color w:val="000000" w:themeColor="text1"/>
          <w:sz w:val="22"/>
          <w:szCs w:val="22"/>
        </w:rPr>
        <w:t xml:space="preserve">in theory </w:t>
      </w:r>
      <w:r>
        <w:rPr>
          <w:color w:val="000000" w:themeColor="text1"/>
          <w:sz w:val="22"/>
          <w:szCs w:val="22"/>
        </w:rPr>
        <w:t xml:space="preserve">pure canola oil </w:t>
      </w:r>
      <w:r w:rsidR="0032192F">
        <w:rPr>
          <w:color w:val="000000" w:themeColor="text1"/>
          <w:sz w:val="22"/>
          <w:szCs w:val="22"/>
        </w:rPr>
        <w:t xml:space="preserve">would </w:t>
      </w:r>
      <w:r>
        <w:rPr>
          <w:color w:val="000000" w:themeColor="text1"/>
          <w:sz w:val="22"/>
          <w:szCs w:val="22"/>
        </w:rPr>
        <w:t>contain no novel proteins to cause allergies, small amounts of seed proteins can remain in the oil and could be sufficient to</w:t>
      </w:r>
      <w:r w:rsidR="000751CA">
        <w:rPr>
          <w:color w:val="000000" w:themeColor="text1"/>
          <w:sz w:val="22"/>
          <w:szCs w:val="22"/>
        </w:rPr>
        <w:t xml:space="preserve"> trigger an allergic reaction. </w:t>
      </w:r>
      <w:r w:rsidR="0032192F">
        <w:rPr>
          <w:color w:val="000000" w:themeColor="text1"/>
          <w:sz w:val="22"/>
          <w:szCs w:val="22"/>
        </w:rPr>
        <w:t xml:space="preserve">They further suggest that it is nevertheless more common for a person to be intolerant to canola oil, or to react to a </w:t>
      </w:r>
      <w:r w:rsidR="00940239">
        <w:rPr>
          <w:color w:val="000000" w:themeColor="text1"/>
          <w:sz w:val="22"/>
          <w:szCs w:val="22"/>
        </w:rPr>
        <w:t xml:space="preserve">common </w:t>
      </w:r>
      <w:r w:rsidR="0032192F">
        <w:rPr>
          <w:color w:val="000000" w:themeColor="text1"/>
          <w:sz w:val="22"/>
          <w:szCs w:val="22"/>
        </w:rPr>
        <w:t xml:space="preserve">preservative in the oil. </w:t>
      </w:r>
      <w:r w:rsidR="00094023">
        <w:rPr>
          <w:color w:val="000000" w:themeColor="text1"/>
          <w:sz w:val="22"/>
          <w:szCs w:val="22"/>
        </w:rPr>
        <w:t>Th</w:t>
      </w:r>
      <w:r w:rsidR="0032192F">
        <w:rPr>
          <w:color w:val="000000" w:themeColor="text1"/>
          <w:sz w:val="22"/>
          <w:szCs w:val="22"/>
        </w:rPr>
        <w:t xml:space="preserve">at canola oil is used in a substantial range of food products increases the likelihood of such a reaction. </w:t>
      </w:r>
    </w:p>
    <w:p w:rsidR="00BA4EB4" w:rsidRPr="00272E09" w:rsidRDefault="00BA4EB4" w:rsidP="00DB5F1D">
      <w:pPr>
        <w:rPr>
          <w:color w:val="000000" w:themeColor="text1"/>
        </w:rPr>
      </w:pPr>
    </w:p>
    <w:p w:rsidR="00DB5F1D" w:rsidRPr="000117FD" w:rsidRDefault="00DB5F1D" w:rsidP="00DB5F1D">
      <w:pPr>
        <w:rPr>
          <w:i/>
          <w:color w:val="000000" w:themeColor="text1"/>
        </w:rPr>
      </w:pPr>
      <w:r w:rsidRPr="000117FD">
        <w:rPr>
          <w:i/>
          <w:color w:val="000000" w:themeColor="text1"/>
        </w:rPr>
        <w:t>Response</w:t>
      </w:r>
    </w:p>
    <w:p w:rsidR="00DB5F1D" w:rsidRPr="00272E09" w:rsidRDefault="00DB5F1D" w:rsidP="00DB5F1D">
      <w:pPr>
        <w:rPr>
          <w:color w:val="000000" w:themeColor="text1"/>
        </w:rPr>
      </w:pPr>
    </w:p>
    <w:p w:rsidR="00D871CF" w:rsidRDefault="0032192F" w:rsidP="005950DF">
      <w:pPr>
        <w:rPr>
          <w:rFonts w:cs="Arial"/>
          <w:color w:val="000000" w:themeColor="text1"/>
        </w:rPr>
      </w:pPr>
      <w:r>
        <w:rPr>
          <w:rFonts w:cs="Arial"/>
          <w:color w:val="000000" w:themeColor="text1"/>
        </w:rPr>
        <w:t xml:space="preserve">It is certainly possible for small amounts of seed proteins to remain in vegetable oils, with amounts likely to be variable depending on the extraction and refining </w:t>
      </w:r>
      <w:r w:rsidR="00553C1F">
        <w:rPr>
          <w:rFonts w:cs="Arial"/>
          <w:color w:val="000000" w:themeColor="text1"/>
        </w:rPr>
        <w:t xml:space="preserve">processes used in each case. </w:t>
      </w:r>
      <w:r w:rsidR="00D871CF">
        <w:rPr>
          <w:rFonts w:cs="Arial"/>
          <w:color w:val="000000" w:themeColor="text1"/>
        </w:rPr>
        <w:t xml:space="preserve">Canola oil is generally highly refined. </w:t>
      </w:r>
      <w:r w:rsidR="00515A67">
        <w:rPr>
          <w:rFonts w:cs="Arial"/>
          <w:color w:val="000000" w:themeColor="text1"/>
        </w:rPr>
        <w:t>However, as the proportion of novel protein (from the genetic modification) is only around 0</w:t>
      </w:r>
      <w:r w:rsidR="00821C59">
        <w:rPr>
          <w:rFonts w:cs="Arial"/>
          <w:color w:val="000000" w:themeColor="text1"/>
        </w:rPr>
        <w:t>.002%</w:t>
      </w:r>
      <w:r w:rsidR="00515A67">
        <w:rPr>
          <w:rFonts w:cs="Arial"/>
          <w:color w:val="000000" w:themeColor="text1"/>
        </w:rPr>
        <w:t xml:space="preserve"> of total seed protein</w:t>
      </w:r>
      <w:r w:rsidR="00821C59">
        <w:rPr>
          <w:rFonts w:cs="Arial"/>
          <w:color w:val="000000" w:themeColor="text1"/>
        </w:rPr>
        <w:t xml:space="preserve">, </w:t>
      </w:r>
      <w:r w:rsidR="00515A67">
        <w:rPr>
          <w:rFonts w:cs="Arial"/>
          <w:color w:val="000000" w:themeColor="text1"/>
        </w:rPr>
        <w:t>dietary exposure to the novel protein</w:t>
      </w:r>
      <w:r w:rsidR="00821C59">
        <w:rPr>
          <w:rFonts w:cs="Arial"/>
          <w:color w:val="000000" w:themeColor="text1"/>
        </w:rPr>
        <w:t xml:space="preserve"> (GAT4621)</w:t>
      </w:r>
      <w:r w:rsidR="00515A67">
        <w:rPr>
          <w:rFonts w:cs="Arial"/>
          <w:color w:val="000000" w:themeColor="text1"/>
        </w:rPr>
        <w:t>, in this case</w:t>
      </w:r>
      <w:r w:rsidR="00821C59">
        <w:rPr>
          <w:rFonts w:cs="Arial"/>
          <w:color w:val="000000" w:themeColor="text1"/>
        </w:rPr>
        <w:t xml:space="preserve"> </w:t>
      </w:r>
      <w:r w:rsidR="00D871CF">
        <w:rPr>
          <w:rFonts w:cs="Arial"/>
          <w:color w:val="000000" w:themeColor="text1"/>
        </w:rPr>
        <w:t xml:space="preserve">is expected to be virtually zero (see </w:t>
      </w:r>
      <w:r w:rsidR="00821C59">
        <w:rPr>
          <w:rFonts w:cs="Arial"/>
          <w:color w:val="000000" w:themeColor="text1"/>
        </w:rPr>
        <w:t>section 4.2.1 in the Safety Assessment</w:t>
      </w:r>
      <w:r w:rsidR="00D871CF">
        <w:rPr>
          <w:rFonts w:cs="Arial"/>
          <w:color w:val="000000" w:themeColor="text1"/>
        </w:rPr>
        <w:t xml:space="preserve">; </w:t>
      </w:r>
      <w:r w:rsidR="00821C59">
        <w:rPr>
          <w:rFonts w:cs="Arial"/>
          <w:color w:val="000000" w:themeColor="text1"/>
        </w:rPr>
        <w:t>SD1)</w:t>
      </w:r>
      <w:r w:rsidR="00D871CF">
        <w:rPr>
          <w:rFonts w:cs="Arial"/>
          <w:color w:val="000000" w:themeColor="text1"/>
        </w:rPr>
        <w:t xml:space="preserve">. </w:t>
      </w:r>
    </w:p>
    <w:p w:rsidR="00D871CF" w:rsidRDefault="00D871CF" w:rsidP="005950DF">
      <w:pPr>
        <w:rPr>
          <w:rFonts w:cs="Arial"/>
          <w:color w:val="000000" w:themeColor="text1"/>
        </w:rPr>
      </w:pPr>
    </w:p>
    <w:p w:rsidR="00553C1F" w:rsidRDefault="00515A67" w:rsidP="005950DF">
      <w:pPr>
        <w:rPr>
          <w:rFonts w:cs="Arial"/>
          <w:color w:val="000000" w:themeColor="text1"/>
        </w:rPr>
      </w:pPr>
      <w:r>
        <w:rPr>
          <w:rFonts w:cs="Arial"/>
          <w:color w:val="000000" w:themeColor="text1"/>
        </w:rPr>
        <w:t xml:space="preserve">Notwithstanding </w:t>
      </w:r>
      <w:r w:rsidR="00D871CF">
        <w:rPr>
          <w:rFonts w:cs="Arial"/>
          <w:color w:val="000000" w:themeColor="text1"/>
        </w:rPr>
        <w:t xml:space="preserve">the theoretical </w:t>
      </w:r>
      <w:r>
        <w:rPr>
          <w:rFonts w:cs="Arial"/>
          <w:color w:val="000000" w:themeColor="text1"/>
        </w:rPr>
        <w:t xml:space="preserve">dietary exposure </w:t>
      </w:r>
      <w:r w:rsidR="00D871CF">
        <w:rPr>
          <w:rFonts w:cs="Arial"/>
          <w:color w:val="000000" w:themeColor="text1"/>
        </w:rPr>
        <w:t xml:space="preserve">calculations, </w:t>
      </w:r>
      <w:r>
        <w:rPr>
          <w:rFonts w:cs="Arial"/>
          <w:color w:val="000000" w:themeColor="text1"/>
        </w:rPr>
        <w:t xml:space="preserve">the assessment of potential allergenicity (see section </w:t>
      </w:r>
      <w:r w:rsidR="00D871CF">
        <w:rPr>
          <w:rFonts w:cs="Arial"/>
          <w:color w:val="000000" w:themeColor="text1"/>
        </w:rPr>
        <w:t xml:space="preserve">4.4 </w:t>
      </w:r>
      <w:r>
        <w:rPr>
          <w:rFonts w:cs="Arial"/>
          <w:color w:val="000000" w:themeColor="text1"/>
        </w:rPr>
        <w:t xml:space="preserve">in </w:t>
      </w:r>
      <w:r w:rsidR="00D871CF">
        <w:rPr>
          <w:rFonts w:cs="Arial"/>
          <w:color w:val="000000" w:themeColor="text1"/>
        </w:rPr>
        <w:t xml:space="preserve">the </w:t>
      </w:r>
      <w:r>
        <w:rPr>
          <w:rFonts w:cs="Arial"/>
          <w:color w:val="000000" w:themeColor="text1"/>
        </w:rPr>
        <w:t>S</w:t>
      </w:r>
      <w:r w:rsidR="00D871CF">
        <w:rPr>
          <w:rFonts w:cs="Arial"/>
          <w:color w:val="000000" w:themeColor="text1"/>
        </w:rPr>
        <w:t>afety Assessment</w:t>
      </w:r>
      <w:r>
        <w:rPr>
          <w:rFonts w:cs="Arial"/>
          <w:color w:val="000000" w:themeColor="text1"/>
        </w:rPr>
        <w:t xml:space="preserve">) provides convincing evidence that the </w:t>
      </w:r>
      <w:r w:rsidR="00D871CF">
        <w:rPr>
          <w:rFonts w:cs="Arial"/>
          <w:color w:val="000000" w:themeColor="text1"/>
        </w:rPr>
        <w:t xml:space="preserve">novel </w:t>
      </w:r>
      <w:r>
        <w:rPr>
          <w:rFonts w:cs="Arial"/>
          <w:color w:val="000000" w:themeColor="text1"/>
        </w:rPr>
        <w:t xml:space="preserve">protein is </w:t>
      </w:r>
      <w:r w:rsidR="00D871CF">
        <w:rPr>
          <w:rFonts w:cs="Arial"/>
          <w:color w:val="000000" w:themeColor="text1"/>
        </w:rPr>
        <w:t>readily degraded under normal digestive conditions</w:t>
      </w:r>
      <w:r w:rsidR="005A01B7">
        <w:rPr>
          <w:rFonts w:cs="Arial"/>
          <w:color w:val="000000" w:themeColor="text1"/>
        </w:rPr>
        <w:t>, and lacks characteristics of common allergens</w:t>
      </w:r>
      <w:r w:rsidR="00D871CF">
        <w:rPr>
          <w:rFonts w:cs="Arial"/>
          <w:color w:val="000000" w:themeColor="text1"/>
        </w:rPr>
        <w:t xml:space="preserve">. The conclusion from this and previous assessments of the GAT4621 protein is that it is </w:t>
      </w:r>
      <w:r w:rsidR="00757E2E">
        <w:rPr>
          <w:rFonts w:cs="Arial"/>
          <w:color w:val="000000" w:themeColor="text1"/>
        </w:rPr>
        <w:t xml:space="preserve">unlikely to be </w:t>
      </w:r>
      <w:r>
        <w:rPr>
          <w:rFonts w:cs="Arial"/>
          <w:color w:val="000000" w:themeColor="text1"/>
        </w:rPr>
        <w:t xml:space="preserve">allergenic in humans. </w:t>
      </w:r>
    </w:p>
    <w:p w:rsidR="00553C1F" w:rsidRDefault="00553C1F" w:rsidP="005950DF">
      <w:pPr>
        <w:rPr>
          <w:rFonts w:cs="Arial"/>
          <w:color w:val="000000" w:themeColor="text1"/>
        </w:rPr>
      </w:pPr>
    </w:p>
    <w:p w:rsidR="00515A67" w:rsidRDefault="00BF427B" w:rsidP="005950DF">
      <w:pPr>
        <w:rPr>
          <w:rFonts w:cs="Arial"/>
          <w:color w:val="000000" w:themeColor="text1"/>
        </w:rPr>
      </w:pPr>
      <w:r>
        <w:rPr>
          <w:rFonts w:cs="Arial"/>
          <w:color w:val="000000" w:themeColor="text1"/>
        </w:rPr>
        <w:t xml:space="preserve">The compositional analysis has confirmed no significant differences between canola line 73496 and conventional varieties already in the food supply. Oil is extracted and processed in the same way regardless of whether the seed was obtained from GM or non-GM </w:t>
      </w:r>
      <w:r w:rsidR="000E45B5">
        <w:rPr>
          <w:rFonts w:cs="Arial"/>
          <w:color w:val="000000" w:themeColor="text1"/>
        </w:rPr>
        <w:t>plants. Therefore, t</w:t>
      </w:r>
      <w:r w:rsidR="00553C1F">
        <w:rPr>
          <w:rFonts w:cs="Arial"/>
          <w:color w:val="000000" w:themeColor="text1"/>
        </w:rPr>
        <w:t xml:space="preserve">he possibility of an adverse reaction </w:t>
      </w:r>
      <w:r w:rsidR="005A01B7">
        <w:rPr>
          <w:rFonts w:cs="Arial"/>
          <w:color w:val="000000" w:themeColor="text1"/>
        </w:rPr>
        <w:t>(</w:t>
      </w:r>
      <w:r w:rsidR="005A01B7" w:rsidRPr="00BF427B">
        <w:rPr>
          <w:rFonts w:cs="Arial"/>
          <w:i/>
          <w:color w:val="000000" w:themeColor="text1"/>
        </w:rPr>
        <w:t>eg</w:t>
      </w:r>
      <w:r w:rsidR="005A01B7">
        <w:rPr>
          <w:rFonts w:cs="Arial"/>
          <w:color w:val="000000" w:themeColor="text1"/>
        </w:rPr>
        <w:t xml:space="preserve">. food intolerance or allergy) </w:t>
      </w:r>
      <w:r>
        <w:rPr>
          <w:rFonts w:cs="Arial"/>
          <w:color w:val="000000" w:themeColor="text1"/>
        </w:rPr>
        <w:t>to other substances that might be present in canola oil (</w:t>
      </w:r>
      <w:r w:rsidRPr="00BF427B">
        <w:rPr>
          <w:rFonts w:cs="Arial"/>
          <w:i/>
          <w:color w:val="000000" w:themeColor="text1"/>
        </w:rPr>
        <w:t>eg</w:t>
      </w:r>
      <w:r>
        <w:rPr>
          <w:rFonts w:cs="Arial"/>
          <w:color w:val="000000" w:themeColor="text1"/>
        </w:rPr>
        <w:t xml:space="preserve">. a preservative) </w:t>
      </w:r>
      <w:r w:rsidR="00553C1F">
        <w:rPr>
          <w:rFonts w:cs="Arial"/>
          <w:color w:val="000000" w:themeColor="text1"/>
        </w:rPr>
        <w:t>would be</w:t>
      </w:r>
      <w:r w:rsidR="00515A67">
        <w:rPr>
          <w:rFonts w:cs="Arial"/>
          <w:color w:val="000000" w:themeColor="text1"/>
        </w:rPr>
        <w:t xml:space="preserve"> the same regardless of whether the oil was derived from non-GM canola or from canola line 73496. </w:t>
      </w:r>
      <w:r w:rsidR="00094023">
        <w:rPr>
          <w:rFonts w:cs="Arial"/>
          <w:color w:val="000000" w:themeColor="text1"/>
        </w:rPr>
        <w:t xml:space="preserve">The occurrence of allergies or food intolerances in association with the consumption of canola oil therefore provides no grounds on which to reject canola line 73496. </w:t>
      </w:r>
    </w:p>
    <w:p w:rsidR="00EB6590" w:rsidRPr="00272E09" w:rsidRDefault="00193D1A" w:rsidP="00381E07">
      <w:pPr>
        <w:pStyle w:val="Heading2"/>
      </w:pPr>
      <w:bookmarkStart w:id="25" w:name="_Toc378943879"/>
      <w:r w:rsidRPr="00272E09">
        <w:t>2.2</w:t>
      </w:r>
      <w:r w:rsidR="00DB5F1D" w:rsidRPr="00272E09">
        <w:tab/>
      </w:r>
      <w:r w:rsidR="00E138A9" w:rsidRPr="00272E09">
        <w:t>Safety</w:t>
      </w:r>
      <w:r w:rsidR="004F69F6" w:rsidRPr="00272E09">
        <w:t xml:space="preserve"> </w:t>
      </w:r>
      <w:r w:rsidR="007C22CB" w:rsidRPr="00272E09">
        <w:t>a</w:t>
      </w:r>
      <w:r w:rsidR="004F69F6" w:rsidRPr="00272E09">
        <w:t>ssessment</w:t>
      </w:r>
      <w:bookmarkEnd w:id="25"/>
      <w:r w:rsidR="004F69F6" w:rsidRPr="00272E09">
        <w:t xml:space="preserve"> </w:t>
      </w:r>
      <w:bookmarkEnd w:id="23"/>
      <w:bookmarkEnd w:id="24"/>
    </w:p>
    <w:p w:rsidR="00AF5A69" w:rsidRPr="008F4BDF" w:rsidRDefault="00AF5A69" w:rsidP="00AF5A69">
      <w:bookmarkStart w:id="26" w:name="_Toc175381442"/>
      <w:r w:rsidRPr="008F4BDF">
        <w:t xml:space="preserve">The safety assessment of </w:t>
      </w:r>
      <w:r>
        <w:t xml:space="preserve">canola line 73496 </w:t>
      </w:r>
      <w:r w:rsidRPr="008F4BDF">
        <w:t xml:space="preserve">is provided in the supporting document (SD1) and included the following key elements: </w:t>
      </w:r>
    </w:p>
    <w:p w:rsidR="00AF5A69" w:rsidRPr="008F4BDF" w:rsidRDefault="00AF5A69" w:rsidP="00AF5A69">
      <w:pPr>
        <w:widowControl/>
      </w:pPr>
    </w:p>
    <w:p w:rsidR="00AF5A69" w:rsidRPr="005F36BA" w:rsidRDefault="00AF5A69" w:rsidP="00292C9D">
      <w:pPr>
        <w:pStyle w:val="FSBullet1"/>
      </w:pPr>
      <w:r w:rsidRPr="003D7734">
        <w:t>a</w:t>
      </w:r>
      <w:r w:rsidRPr="00292C9D">
        <w:t xml:space="preserve"> characterisation of the transferred gene, its origin, function and stability in the canola genome</w:t>
      </w:r>
    </w:p>
    <w:p w:rsidR="00AF5A69" w:rsidRPr="00292C9D" w:rsidRDefault="00AF5A69" w:rsidP="00292C9D">
      <w:pPr>
        <w:pStyle w:val="FSBullet1"/>
      </w:pPr>
      <w:r w:rsidRPr="00292C9D">
        <w:t>the changes at the level of DNA and protein in the whole food</w:t>
      </w:r>
    </w:p>
    <w:p w:rsidR="00AF5A69" w:rsidRPr="00292C9D" w:rsidRDefault="00AF5A69" w:rsidP="00292C9D">
      <w:pPr>
        <w:pStyle w:val="FSBullet1"/>
      </w:pPr>
      <w:r w:rsidRPr="00292C9D">
        <w:t>detailed compositional analyses</w:t>
      </w:r>
    </w:p>
    <w:p w:rsidR="00AF5A69" w:rsidRPr="00292C9D" w:rsidRDefault="00AF5A69" w:rsidP="00292C9D">
      <w:pPr>
        <w:pStyle w:val="FSBullet1"/>
      </w:pPr>
      <w:r w:rsidRPr="00292C9D">
        <w:t>evaluation of intended and unintended changes</w:t>
      </w:r>
    </w:p>
    <w:p w:rsidR="00AF5A69" w:rsidRPr="005C18EC" w:rsidRDefault="00AF5A69" w:rsidP="00292C9D">
      <w:pPr>
        <w:pStyle w:val="FSBullet1"/>
      </w:pPr>
      <w:proofErr w:type="gramStart"/>
      <w:r w:rsidRPr="00292C9D">
        <w:t>the</w:t>
      </w:r>
      <w:proofErr w:type="gramEnd"/>
      <w:r w:rsidRPr="00292C9D">
        <w:t xml:space="preserve"> </w:t>
      </w:r>
      <w:r w:rsidRPr="005C18EC">
        <w:t xml:space="preserve">potential for the newly expressed protein to be either allergenic or toxic in humans. </w:t>
      </w:r>
    </w:p>
    <w:p w:rsidR="00AF5A69" w:rsidRPr="008F4BDF" w:rsidRDefault="00AF5A69" w:rsidP="00AF5A69">
      <w:pPr>
        <w:widowControl/>
      </w:pPr>
    </w:p>
    <w:p w:rsidR="00AF5A69" w:rsidRDefault="00AF5A69" w:rsidP="00AF5A69">
      <w:pPr>
        <w:rPr>
          <w:color w:val="000000" w:themeColor="text1"/>
          <w:szCs w:val="22"/>
        </w:rPr>
      </w:pPr>
      <w:r w:rsidRPr="008F4BDF">
        <w:t xml:space="preserve">The assessment of </w:t>
      </w:r>
      <w:r>
        <w:t xml:space="preserve">canola line 73496 </w:t>
      </w:r>
      <w:r w:rsidRPr="008F4BDF">
        <w:t xml:space="preserve">was </w:t>
      </w:r>
      <w:r>
        <w:t xml:space="preserve">confined </w:t>
      </w:r>
      <w:r w:rsidRPr="008F4BDF">
        <w:t>to food</w:t>
      </w:r>
      <w:r>
        <w:t xml:space="preserve"> safety and human nutritional issues. </w:t>
      </w:r>
      <w:r w:rsidRPr="008E5D1D">
        <w:rPr>
          <w:color w:val="000000" w:themeColor="text1"/>
          <w:szCs w:val="22"/>
        </w:rPr>
        <w:t>Any</w:t>
      </w:r>
      <w:r w:rsidR="00292C9D">
        <w:rPr>
          <w:color w:val="000000" w:themeColor="text1"/>
          <w:szCs w:val="22"/>
        </w:rPr>
        <w:t xml:space="preserve"> potential</w:t>
      </w:r>
      <w:r w:rsidRPr="008E5D1D">
        <w:rPr>
          <w:color w:val="000000" w:themeColor="text1"/>
          <w:szCs w:val="22"/>
        </w:rPr>
        <w:t xml:space="preserve"> risks related to the release into the environment of GM plants</w:t>
      </w:r>
      <w:r w:rsidR="00CF4581">
        <w:rPr>
          <w:color w:val="000000" w:themeColor="text1"/>
          <w:szCs w:val="22"/>
        </w:rPr>
        <w:t xml:space="preserve">, </w:t>
      </w:r>
      <w:r w:rsidRPr="008E5D1D">
        <w:rPr>
          <w:color w:val="000000" w:themeColor="text1"/>
          <w:szCs w:val="22"/>
        </w:rPr>
        <w:t xml:space="preserve">or </w:t>
      </w:r>
      <w:r>
        <w:rPr>
          <w:color w:val="000000" w:themeColor="text1"/>
          <w:szCs w:val="22"/>
        </w:rPr>
        <w:t xml:space="preserve">their use as </w:t>
      </w:r>
      <w:r w:rsidRPr="008E5D1D">
        <w:rPr>
          <w:color w:val="000000" w:themeColor="text1"/>
          <w:szCs w:val="22"/>
        </w:rPr>
        <w:t>animal feed</w:t>
      </w:r>
      <w:r>
        <w:rPr>
          <w:color w:val="000000" w:themeColor="text1"/>
          <w:szCs w:val="22"/>
        </w:rPr>
        <w:t>,</w:t>
      </w:r>
      <w:r w:rsidRPr="008E5D1D">
        <w:rPr>
          <w:color w:val="000000" w:themeColor="text1"/>
          <w:szCs w:val="22"/>
        </w:rPr>
        <w:t xml:space="preserve"> or </w:t>
      </w:r>
      <w:r w:rsidR="00CF4581">
        <w:rPr>
          <w:color w:val="000000" w:themeColor="text1"/>
          <w:szCs w:val="22"/>
        </w:rPr>
        <w:t xml:space="preserve">the safety of foods from </w:t>
      </w:r>
      <w:r w:rsidRPr="008E5D1D">
        <w:rPr>
          <w:color w:val="000000" w:themeColor="text1"/>
          <w:szCs w:val="22"/>
        </w:rPr>
        <w:t xml:space="preserve">animals consuming </w:t>
      </w:r>
      <w:r w:rsidR="00CF4581">
        <w:rPr>
          <w:color w:val="000000" w:themeColor="text1"/>
          <w:szCs w:val="22"/>
        </w:rPr>
        <w:t xml:space="preserve">GM </w:t>
      </w:r>
      <w:r w:rsidRPr="008E5D1D">
        <w:rPr>
          <w:color w:val="000000" w:themeColor="text1"/>
          <w:szCs w:val="22"/>
        </w:rPr>
        <w:t>feed have not been addressed in this assessment.</w:t>
      </w:r>
      <w:r w:rsidR="007A3ABF">
        <w:rPr>
          <w:color w:val="000000" w:themeColor="text1"/>
          <w:szCs w:val="22"/>
        </w:rPr>
        <w:t xml:space="preserve"> These are matters for </w:t>
      </w:r>
      <w:r w:rsidR="00292C9D">
        <w:rPr>
          <w:color w:val="000000" w:themeColor="text1"/>
          <w:szCs w:val="22"/>
        </w:rPr>
        <w:t xml:space="preserve">others, such as </w:t>
      </w:r>
      <w:r w:rsidR="007A3ABF">
        <w:rPr>
          <w:color w:val="000000" w:themeColor="text1"/>
          <w:szCs w:val="22"/>
        </w:rPr>
        <w:t>the OGTR.</w:t>
      </w:r>
    </w:p>
    <w:p w:rsidR="00AF5A69" w:rsidRDefault="00AF5A69" w:rsidP="00AF5A69">
      <w:pPr>
        <w:rPr>
          <w:color w:val="000000" w:themeColor="text1"/>
          <w:szCs w:val="22"/>
        </w:rPr>
      </w:pPr>
    </w:p>
    <w:p w:rsidR="009F38D1" w:rsidRPr="00272E09" w:rsidRDefault="009F38D1" w:rsidP="009F38D1">
      <w:pPr>
        <w:rPr>
          <w:color w:val="000000" w:themeColor="text1"/>
        </w:rPr>
      </w:pPr>
      <w:r w:rsidRPr="00272E09">
        <w:rPr>
          <w:color w:val="000000" w:themeColor="text1"/>
        </w:rPr>
        <w:lastRenderedPageBreak/>
        <w:t>The Applicant for A108</w:t>
      </w:r>
      <w:r w:rsidR="00CF4581">
        <w:rPr>
          <w:color w:val="000000" w:themeColor="text1"/>
        </w:rPr>
        <w:t>9</w:t>
      </w:r>
      <w:r w:rsidRPr="00272E09">
        <w:rPr>
          <w:color w:val="000000" w:themeColor="text1"/>
        </w:rPr>
        <w:t xml:space="preserve"> </w:t>
      </w:r>
      <w:r w:rsidR="00094023">
        <w:rPr>
          <w:color w:val="000000" w:themeColor="text1"/>
        </w:rPr>
        <w:t xml:space="preserve">complied with </w:t>
      </w:r>
      <w:r w:rsidRPr="00272E09">
        <w:rPr>
          <w:color w:val="000000" w:themeColor="text1"/>
        </w:rPr>
        <w:t xml:space="preserve">all of the data requirements stipulated in the </w:t>
      </w:r>
      <w:r w:rsidRPr="00272E09">
        <w:rPr>
          <w:i/>
          <w:color w:val="000000" w:themeColor="text1"/>
        </w:rPr>
        <w:t>Application Handbook</w:t>
      </w:r>
      <w:r w:rsidRPr="00272E09">
        <w:rPr>
          <w:color w:val="000000" w:themeColor="text1"/>
        </w:rPr>
        <w:t xml:space="preserve"> </w:t>
      </w:r>
      <w:r w:rsidRPr="00272E09">
        <w:rPr>
          <w:color w:val="000000" w:themeColor="text1"/>
        </w:rPr>
        <w:fldChar w:fldCharType="begin"/>
      </w:r>
      <w:r w:rsidR="00C13F18">
        <w:rPr>
          <w:color w:val="000000" w:themeColor="text1"/>
        </w:rPr>
        <w:instrText xml:space="preserve"> ADDIN REFMGR.CITE &lt;Refman&gt;&lt;Cite&gt;&lt;Author&gt;FSANZ&lt;/Author&gt;&lt;Year&gt;2011&lt;/Year&gt;&lt;RecNum&gt;1304&lt;/RecNum&gt;&lt;IDText&gt;Application handbook&lt;/IDText&gt;&lt;MDL Ref_Type="Report"&gt;&lt;Ref_Type&gt;Report&lt;/Ref_Type&gt;&lt;Ref_ID&gt;1304&lt;/Ref_ID&gt;&lt;Title_Primary&gt;Application handbook&lt;/Title_Primary&gt;&lt;Authors_Primary&gt;FSANZ&lt;/Authors_Primary&gt;&lt;Date_Primary&gt;2011&lt;/Date_Primary&gt;&lt;Keywords&gt;standards&lt;/Keywords&gt;&lt;Reprint&gt;Not in File&lt;/Reprint&gt;&lt;Publisher&gt;Prepared by Food Standards Australia New Zealand&lt;/Publisher&gt;&lt;Web_URL&gt;&lt;u&gt;http://www.foodstandards.gov.au/foodstandards/changingthecode/applicationshandbook.cfm&lt;/u&gt;&lt;/Web_URL&gt;&lt;ZZ_WorkformID&gt;24&lt;/ZZ_WorkformID&gt;&lt;/MDL&gt;&lt;/Cite&gt;&lt;/Refman&gt;</w:instrText>
      </w:r>
      <w:r w:rsidRPr="00272E09">
        <w:rPr>
          <w:color w:val="000000" w:themeColor="text1"/>
        </w:rPr>
        <w:fldChar w:fldCharType="separate"/>
      </w:r>
      <w:r w:rsidRPr="00272E09">
        <w:rPr>
          <w:noProof/>
          <w:color w:val="000000" w:themeColor="text1"/>
        </w:rPr>
        <w:t>(FSANZ, 2011)</w:t>
      </w:r>
      <w:r w:rsidRPr="00272E09">
        <w:rPr>
          <w:color w:val="000000" w:themeColor="text1"/>
        </w:rPr>
        <w:fldChar w:fldCharType="end"/>
      </w:r>
      <w:r w:rsidRPr="00272E09">
        <w:rPr>
          <w:color w:val="000000" w:themeColor="text1"/>
        </w:rPr>
        <w:t xml:space="preserve"> for the safety assessment of GM food and, upon assessment of th</w:t>
      </w:r>
      <w:r w:rsidR="00CF4581">
        <w:rPr>
          <w:color w:val="000000" w:themeColor="text1"/>
        </w:rPr>
        <w:t>o</w:t>
      </w:r>
      <w:r w:rsidRPr="00272E09">
        <w:rPr>
          <w:color w:val="000000" w:themeColor="text1"/>
        </w:rPr>
        <w:t xml:space="preserve">se data, FSANZ is satisfied that sufficient evidence </w:t>
      </w:r>
      <w:r w:rsidR="00CF4581">
        <w:rPr>
          <w:color w:val="000000" w:themeColor="text1"/>
        </w:rPr>
        <w:t>was</w:t>
      </w:r>
      <w:r w:rsidRPr="00272E09">
        <w:rPr>
          <w:color w:val="000000" w:themeColor="text1"/>
        </w:rPr>
        <w:t xml:space="preserve"> provided to demonstrate the safety of the food. </w:t>
      </w:r>
    </w:p>
    <w:p w:rsidR="009F38D1" w:rsidRPr="00272E09" w:rsidRDefault="009F38D1" w:rsidP="00093E01"/>
    <w:p w:rsidR="00CF4581" w:rsidRDefault="00CF4581" w:rsidP="00CF4581">
      <w:r w:rsidRPr="008F4BDF">
        <w:t xml:space="preserve">On the basis of the </w:t>
      </w:r>
      <w:r>
        <w:t xml:space="preserve">scientific </w:t>
      </w:r>
      <w:r w:rsidRPr="008F4BDF">
        <w:t xml:space="preserve">data provided in the present Application, and other available information, food derived from </w:t>
      </w:r>
      <w:r>
        <w:t xml:space="preserve">canola line 73496 </w:t>
      </w:r>
      <w:r w:rsidRPr="008F4BDF">
        <w:t xml:space="preserve">is as safe for human consumption as food derived from conventional </w:t>
      </w:r>
      <w:r>
        <w:t>canola varieties</w:t>
      </w:r>
      <w:r w:rsidRPr="008F4BDF">
        <w:t>.</w:t>
      </w:r>
    </w:p>
    <w:p w:rsidR="0012388D" w:rsidRPr="00272E09" w:rsidRDefault="008A7D76" w:rsidP="000000FE">
      <w:pPr>
        <w:pStyle w:val="Heading2"/>
      </w:pPr>
      <w:bookmarkStart w:id="27" w:name="_Toc378943880"/>
      <w:r w:rsidRPr="00272E09">
        <w:t>2</w:t>
      </w:r>
      <w:r w:rsidR="00DB5F1D" w:rsidRPr="00272E09">
        <w:t>.3</w:t>
      </w:r>
      <w:r w:rsidR="00AC428E" w:rsidRPr="00272E09">
        <w:tab/>
      </w:r>
      <w:r w:rsidR="004F69F6" w:rsidRPr="00272E09">
        <w:t xml:space="preserve">Risk </w:t>
      </w:r>
      <w:r w:rsidR="007C22CB" w:rsidRPr="00272E09">
        <w:t>m</w:t>
      </w:r>
      <w:r w:rsidR="004F69F6" w:rsidRPr="00272E09">
        <w:t>anagement</w:t>
      </w:r>
      <w:bookmarkEnd w:id="26"/>
      <w:bookmarkEnd w:id="27"/>
    </w:p>
    <w:p w:rsidR="000000FE" w:rsidRPr="00272E09" w:rsidRDefault="008A7D76" w:rsidP="00307958">
      <w:pPr>
        <w:pStyle w:val="Heading3"/>
      </w:pPr>
      <w:bookmarkStart w:id="28" w:name="_Toc309742824"/>
      <w:bookmarkStart w:id="29" w:name="_Toc318448799"/>
      <w:bookmarkStart w:id="30" w:name="_Toc378943881"/>
      <w:bookmarkStart w:id="31" w:name="_Toc175381450"/>
      <w:r w:rsidRPr="00272E09">
        <w:t>2</w:t>
      </w:r>
      <w:r w:rsidR="00DB5F1D" w:rsidRPr="00272E09">
        <w:t>.3</w:t>
      </w:r>
      <w:r w:rsidR="000000FE" w:rsidRPr="00272E09">
        <w:t>.1</w:t>
      </w:r>
      <w:r w:rsidR="000000FE" w:rsidRPr="00272E09">
        <w:tab/>
        <w:t>Labelling</w:t>
      </w:r>
      <w:bookmarkEnd w:id="28"/>
      <w:bookmarkEnd w:id="29"/>
      <w:bookmarkEnd w:id="30"/>
    </w:p>
    <w:p w:rsidR="00B162A9" w:rsidRPr="005C18EC" w:rsidRDefault="00B162A9" w:rsidP="00B162A9">
      <w:r w:rsidRPr="005C18EC">
        <w:t>GM foods are labelled to help consumers make an informed choice.</w:t>
      </w:r>
    </w:p>
    <w:p w:rsidR="00B162A9" w:rsidRPr="005C18EC" w:rsidRDefault="00B162A9" w:rsidP="00B162A9"/>
    <w:p w:rsidR="000117FB" w:rsidRDefault="00344655" w:rsidP="00B102DB">
      <w:pPr>
        <w:pStyle w:val="FSBullet"/>
        <w:numPr>
          <w:ilvl w:val="0"/>
          <w:numId w:val="0"/>
        </w:numPr>
        <w:rPr>
          <w:rFonts w:eastAsia="Batang"/>
        </w:rPr>
      </w:pPr>
      <w:r>
        <w:rPr>
          <w:rFonts w:eastAsia="Batang"/>
        </w:rPr>
        <w:t>In accordance with Standard 1.5.2, a</w:t>
      </w:r>
      <w:r w:rsidR="00240F32" w:rsidRPr="00272E09">
        <w:rPr>
          <w:rFonts w:eastAsia="Batang"/>
        </w:rPr>
        <w:t xml:space="preserve">pproved GM food </w:t>
      </w:r>
      <w:r w:rsidR="00A93A66">
        <w:rPr>
          <w:rFonts w:eastAsia="Batang"/>
        </w:rPr>
        <w:t xml:space="preserve">must be labelled </w:t>
      </w:r>
      <w:r w:rsidR="00240F32" w:rsidRPr="00272E09">
        <w:rPr>
          <w:rFonts w:eastAsia="Batang"/>
        </w:rPr>
        <w:t xml:space="preserve">as </w:t>
      </w:r>
      <w:r w:rsidR="00C94581" w:rsidRPr="00272E09">
        <w:rPr>
          <w:rFonts w:eastAsia="Batang"/>
        </w:rPr>
        <w:t>‘genetically modified’ if novel DNA</w:t>
      </w:r>
      <w:r w:rsidR="00240F32" w:rsidRPr="00272E09">
        <w:rPr>
          <w:rFonts w:eastAsia="Batang"/>
        </w:rPr>
        <w:t xml:space="preserve"> or novel protein</w:t>
      </w:r>
      <w:r w:rsidR="00C94581" w:rsidRPr="00272E09">
        <w:rPr>
          <w:rFonts w:eastAsia="Batang"/>
        </w:rPr>
        <w:t xml:space="preserve"> is present in the final food</w:t>
      </w:r>
      <w:r w:rsidR="005F57AF" w:rsidRPr="00272E09">
        <w:rPr>
          <w:rFonts w:eastAsia="Batang"/>
        </w:rPr>
        <w:t xml:space="preserve">, </w:t>
      </w:r>
      <w:r w:rsidR="00BE78CF">
        <w:rPr>
          <w:rFonts w:eastAsia="Batang"/>
        </w:rPr>
        <w:t xml:space="preserve">or if it has altered characteristics. </w:t>
      </w:r>
    </w:p>
    <w:p w:rsidR="007A3FAC" w:rsidRDefault="007A3FAC" w:rsidP="007A3FAC">
      <w:pPr>
        <w:rPr>
          <w:rFonts w:eastAsia="Batang"/>
        </w:rPr>
      </w:pPr>
    </w:p>
    <w:p w:rsidR="007A3FAC" w:rsidRPr="007A3FAC" w:rsidRDefault="007A3FAC" w:rsidP="007A3FAC">
      <w:pPr>
        <w:rPr>
          <w:rFonts w:eastAsia="Batang"/>
        </w:rPr>
      </w:pPr>
      <w:r>
        <w:rPr>
          <w:rFonts w:eastAsia="Batang"/>
        </w:rPr>
        <w:t xml:space="preserve">Canola oil is the primary food product to be </w:t>
      </w:r>
      <w:r w:rsidR="004F24BC">
        <w:rPr>
          <w:rFonts w:eastAsia="Batang"/>
        </w:rPr>
        <w:t>made</w:t>
      </w:r>
      <w:r>
        <w:rPr>
          <w:rFonts w:eastAsia="Batang"/>
        </w:rPr>
        <w:t xml:space="preserve"> from canola line 73496. Refined oils typically do not contain </w:t>
      </w:r>
      <w:r w:rsidR="000A5BFD">
        <w:rPr>
          <w:rFonts w:eastAsia="Batang"/>
        </w:rPr>
        <w:t xml:space="preserve">novel protein or novel </w:t>
      </w:r>
      <w:proofErr w:type="gramStart"/>
      <w:r w:rsidR="000A5BFD">
        <w:rPr>
          <w:rFonts w:eastAsia="Batang"/>
        </w:rPr>
        <w:t>DNA</w:t>
      </w:r>
      <w:r>
        <w:rPr>
          <w:rFonts w:eastAsia="Batang"/>
        </w:rPr>
        <w:t>,</w:t>
      </w:r>
      <w:proofErr w:type="gramEnd"/>
      <w:r>
        <w:rPr>
          <w:rFonts w:eastAsia="Batang"/>
        </w:rPr>
        <w:t xml:space="preserve"> however this should be determined on a case-by-case basis by food manufacturers. </w:t>
      </w:r>
      <w:r w:rsidR="004F24BC">
        <w:rPr>
          <w:rFonts w:eastAsia="Batang"/>
        </w:rPr>
        <w:t xml:space="preserve">Minor uses </w:t>
      </w:r>
      <w:r>
        <w:rPr>
          <w:rFonts w:eastAsia="Batang"/>
        </w:rPr>
        <w:t xml:space="preserve">of whole </w:t>
      </w:r>
      <w:r w:rsidR="004F24BC">
        <w:rPr>
          <w:rFonts w:eastAsia="Batang"/>
        </w:rPr>
        <w:t xml:space="preserve">seeds from canola line 73496, for example in bakery products, </w:t>
      </w:r>
      <w:r>
        <w:rPr>
          <w:rFonts w:eastAsia="Batang"/>
        </w:rPr>
        <w:t>would</w:t>
      </w:r>
      <w:r w:rsidR="00AC305F">
        <w:rPr>
          <w:rFonts w:eastAsia="Batang"/>
        </w:rPr>
        <w:t xml:space="preserve"> </w:t>
      </w:r>
      <w:r w:rsidR="00292C9D">
        <w:rPr>
          <w:rFonts w:eastAsia="Batang"/>
        </w:rPr>
        <w:t xml:space="preserve">likely </w:t>
      </w:r>
      <w:r w:rsidR="00AC305F">
        <w:rPr>
          <w:rFonts w:eastAsia="Batang"/>
        </w:rPr>
        <w:t xml:space="preserve">require labelling </w:t>
      </w:r>
      <w:r w:rsidR="00292C9D">
        <w:rPr>
          <w:rFonts w:eastAsia="Batang"/>
        </w:rPr>
        <w:t>as ‘genetically modified’.</w:t>
      </w:r>
      <w:r w:rsidR="004F24BC">
        <w:rPr>
          <w:rFonts w:eastAsia="Batang"/>
        </w:rPr>
        <w:t xml:space="preserve"> </w:t>
      </w:r>
    </w:p>
    <w:p w:rsidR="0085461D" w:rsidRPr="00272E09" w:rsidRDefault="0085461D">
      <w:pPr>
        <w:widowControl/>
        <w:rPr>
          <w:rFonts w:eastAsia="Batang"/>
        </w:rPr>
      </w:pPr>
    </w:p>
    <w:p w:rsidR="008A7D76" w:rsidRPr="00272E09" w:rsidRDefault="008A7D76" w:rsidP="008A7D76">
      <w:pPr>
        <w:rPr>
          <w:szCs w:val="22"/>
        </w:rPr>
      </w:pPr>
      <w:r w:rsidRPr="00272E09">
        <w:rPr>
          <w:rFonts w:cs="Arial"/>
          <w:szCs w:val="22"/>
        </w:rPr>
        <w:t xml:space="preserve">Standard 1.5.2 also contains </w:t>
      </w:r>
      <w:r w:rsidR="005B519B" w:rsidRPr="00272E09">
        <w:rPr>
          <w:rFonts w:cs="Arial"/>
          <w:szCs w:val="22"/>
        </w:rPr>
        <w:t xml:space="preserve">a </w:t>
      </w:r>
      <w:r w:rsidRPr="00272E09">
        <w:rPr>
          <w:rFonts w:cs="Arial"/>
          <w:szCs w:val="22"/>
        </w:rPr>
        <w:t xml:space="preserve">provision for additional labelling requirements in cases where </w:t>
      </w:r>
      <w:r w:rsidRPr="00272E09">
        <w:rPr>
          <w:rFonts w:cs="Arial"/>
          <w:i/>
          <w:szCs w:val="22"/>
        </w:rPr>
        <w:t>the genetic modification has resulted in one or more significant composition or nutritional parameters having values outside the normal range of values for existing counterpart food not produced using gene technology</w:t>
      </w:r>
      <w:r w:rsidRPr="00272E09">
        <w:rPr>
          <w:rFonts w:cs="Arial"/>
          <w:szCs w:val="22"/>
        </w:rPr>
        <w:t>. In developing the GM food labelling standard, it was recognised there may be instances where additional labelling would be appropriate, for example where a property or characteristic of the food means that it is no longer equivalent to an existing counterpart food</w:t>
      </w:r>
      <w:r w:rsidR="004F24BC">
        <w:rPr>
          <w:rFonts w:cs="Arial"/>
          <w:szCs w:val="22"/>
        </w:rPr>
        <w:t xml:space="preserve">. </w:t>
      </w:r>
    </w:p>
    <w:p w:rsidR="008A7D76" w:rsidRPr="00272E09" w:rsidRDefault="008A7D76" w:rsidP="008A7D76"/>
    <w:p w:rsidR="007A3FAC" w:rsidRDefault="00A93A66" w:rsidP="00C13F18">
      <w:pPr>
        <w:pStyle w:val="Header"/>
        <w:rPr>
          <w:rFonts w:cs="Arial"/>
          <w:color w:val="000000" w:themeColor="text1"/>
          <w:szCs w:val="22"/>
        </w:rPr>
      </w:pPr>
      <w:r w:rsidRPr="00272E09">
        <w:rPr>
          <w:rFonts w:cs="Arial"/>
          <w:color w:val="000000" w:themeColor="text1"/>
          <w:szCs w:val="22"/>
        </w:rPr>
        <w:t>I</w:t>
      </w:r>
      <w:r>
        <w:rPr>
          <w:rFonts w:cs="Arial"/>
          <w:color w:val="000000" w:themeColor="text1"/>
          <w:szCs w:val="22"/>
        </w:rPr>
        <w:t xml:space="preserve">n the case of canola line 73496, </w:t>
      </w:r>
      <w:r w:rsidRPr="00272E09">
        <w:rPr>
          <w:rFonts w:cs="Arial"/>
          <w:color w:val="000000" w:themeColor="text1"/>
          <w:szCs w:val="22"/>
        </w:rPr>
        <w:t xml:space="preserve">the </w:t>
      </w:r>
      <w:r w:rsidR="004F24BC">
        <w:rPr>
          <w:rFonts w:cs="Arial"/>
          <w:color w:val="000000" w:themeColor="text1"/>
          <w:szCs w:val="22"/>
        </w:rPr>
        <w:t xml:space="preserve">purpose of the </w:t>
      </w:r>
      <w:r w:rsidRPr="00272E09">
        <w:rPr>
          <w:rFonts w:cs="Arial"/>
          <w:color w:val="000000" w:themeColor="text1"/>
          <w:szCs w:val="22"/>
        </w:rPr>
        <w:t xml:space="preserve">genetic modification was not to alter the nutritional profile </w:t>
      </w:r>
      <w:r>
        <w:rPr>
          <w:rFonts w:cs="Arial"/>
          <w:color w:val="000000" w:themeColor="text1"/>
          <w:szCs w:val="22"/>
        </w:rPr>
        <w:t xml:space="preserve">of the food, </w:t>
      </w:r>
      <w:r w:rsidRPr="00272E09">
        <w:rPr>
          <w:rFonts w:cs="Arial"/>
          <w:color w:val="000000" w:themeColor="text1"/>
          <w:szCs w:val="22"/>
        </w:rPr>
        <w:t xml:space="preserve">but rather to </w:t>
      </w:r>
      <w:r>
        <w:rPr>
          <w:rFonts w:cs="Arial"/>
          <w:color w:val="000000" w:themeColor="text1"/>
          <w:szCs w:val="22"/>
        </w:rPr>
        <w:t xml:space="preserve">introduce </w:t>
      </w:r>
      <w:r w:rsidRPr="00272E09">
        <w:rPr>
          <w:rFonts w:cs="Arial"/>
          <w:color w:val="000000" w:themeColor="text1"/>
          <w:szCs w:val="22"/>
        </w:rPr>
        <w:t>an agronomic trait</w:t>
      </w:r>
      <w:r>
        <w:rPr>
          <w:rFonts w:cs="Arial"/>
          <w:color w:val="000000" w:themeColor="text1"/>
          <w:szCs w:val="22"/>
        </w:rPr>
        <w:t xml:space="preserve"> of potential use to growers</w:t>
      </w:r>
      <w:r w:rsidRPr="00272E09">
        <w:rPr>
          <w:rFonts w:cs="Arial"/>
          <w:color w:val="000000" w:themeColor="text1"/>
          <w:szCs w:val="22"/>
        </w:rPr>
        <w:t xml:space="preserve">. </w:t>
      </w:r>
      <w:r w:rsidR="00AC305F">
        <w:rPr>
          <w:rFonts w:cs="Arial"/>
          <w:color w:val="000000" w:themeColor="text1"/>
          <w:szCs w:val="22"/>
        </w:rPr>
        <w:t xml:space="preserve">The compositional </w:t>
      </w:r>
      <w:r w:rsidR="004F24BC">
        <w:rPr>
          <w:rFonts w:cs="Arial"/>
          <w:color w:val="000000" w:themeColor="text1"/>
          <w:szCs w:val="22"/>
        </w:rPr>
        <w:t xml:space="preserve">analysis </w:t>
      </w:r>
      <w:r w:rsidR="00AC305F">
        <w:rPr>
          <w:rFonts w:cs="Arial"/>
          <w:color w:val="000000" w:themeColor="text1"/>
          <w:szCs w:val="22"/>
        </w:rPr>
        <w:t xml:space="preserve">of canola line 73496 </w:t>
      </w:r>
      <w:r w:rsidR="004F24BC">
        <w:rPr>
          <w:rFonts w:cs="Arial"/>
          <w:color w:val="000000" w:themeColor="text1"/>
          <w:szCs w:val="22"/>
        </w:rPr>
        <w:t xml:space="preserve">confirmed that it is not significantly different </w:t>
      </w:r>
      <w:r w:rsidR="00AC305F">
        <w:rPr>
          <w:rFonts w:cs="Arial"/>
          <w:color w:val="000000" w:themeColor="text1"/>
          <w:szCs w:val="22"/>
        </w:rPr>
        <w:t xml:space="preserve">to conventional canola </w:t>
      </w:r>
      <w:r w:rsidR="004F24BC">
        <w:rPr>
          <w:rFonts w:cs="Arial"/>
          <w:color w:val="000000" w:themeColor="text1"/>
          <w:szCs w:val="22"/>
        </w:rPr>
        <w:t xml:space="preserve">in terms of the levels of key nutrients, antinutrients and other more minor components. </w:t>
      </w:r>
      <w:r w:rsidR="00AC305F">
        <w:rPr>
          <w:rFonts w:cs="Arial"/>
          <w:color w:val="000000" w:themeColor="text1"/>
          <w:szCs w:val="22"/>
        </w:rPr>
        <w:t>Food derived fr</w:t>
      </w:r>
      <w:r w:rsidR="007A3FAC">
        <w:rPr>
          <w:rFonts w:cs="Arial"/>
          <w:color w:val="000000" w:themeColor="text1"/>
          <w:szCs w:val="22"/>
        </w:rPr>
        <w:t>om c</w:t>
      </w:r>
      <w:r>
        <w:rPr>
          <w:rFonts w:cs="Arial"/>
          <w:color w:val="000000" w:themeColor="text1"/>
          <w:szCs w:val="22"/>
        </w:rPr>
        <w:t xml:space="preserve">anola line 73496 </w:t>
      </w:r>
      <w:r w:rsidR="00BE78CF">
        <w:rPr>
          <w:rFonts w:cs="Arial"/>
          <w:color w:val="000000" w:themeColor="text1"/>
          <w:szCs w:val="22"/>
        </w:rPr>
        <w:t xml:space="preserve">is </w:t>
      </w:r>
      <w:r w:rsidRPr="00272E09">
        <w:rPr>
          <w:rFonts w:cs="Arial"/>
          <w:color w:val="000000" w:themeColor="text1"/>
          <w:szCs w:val="22"/>
        </w:rPr>
        <w:t xml:space="preserve">therefore </w:t>
      </w:r>
      <w:r w:rsidR="00BE78CF">
        <w:rPr>
          <w:rFonts w:cs="Arial"/>
          <w:color w:val="000000" w:themeColor="text1"/>
          <w:szCs w:val="22"/>
        </w:rPr>
        <w:t xml:space="preserve">not considered to have altered characteristics for the purposes of GM labelling. </w:t>
      </w:r>
    </w:p>
    <w:p w:rsidR="000000FE" w:rsidRPr="00272E09" w:rsidRDefault="008A7D76" w:rsidP="000000FE">
      <w:pPr>
        <w:pStyle w:val="Heading3"/>
      </w:pPr>
      <w:bookmarkStart w:id="32" w:name="_Toc378943882"/>
      <w:r w:rsidRPr="00272E09">
        <w:t>2</w:t>
      </w:r>
      <w:r w:rsidR="00DB5F1D" w:rsidRPr="00272E09">
        <w:t>.3</w:t>
      </w:r>
      <w:r w:rsidR="000000FE" w:rsidRPr="00272E09">
        <w:t>.2</w:t>
      </w:r>
      <w:r w:rsidR="000000FE" w:rsidRPr="00272E09">
        <w:tab/>
        <w:t>Detection methodology</w:t>
      </w:r>
      <w:bookmarkEnd w:id="32"/>
    </w:p>
    <w:p w:rsidR="00173BB9" w:rsidRPr="00272E09" w:rsidRDefault="00173BB9" w:rsidP="00173BB9">
      <w:r w:rsidRPr="00272E09">
        <w:t>An Expert Advisory Group (EAG), involving laboratory personnel and representatives of the Australian and Ne</w:t>
      </w:r>
      <w:r w:rsidR="00093E01" w:rsidRPr="00272E09">
        <w:t>w Zealand jurisdictions was</w:t>
      </w:r>
      <w:r w:rsidRPr="00272E09">
        <w:t xml:space="preserve"> formed by the Food Regulation Standing Committee</w:t>
      </w:r>
      <w:r w:rsidR="00272E09" w:rsidRPr="00272E09">
        <w:t>’s</w:t>
      </w:r>
      <w:r w:rsidRPr="00272E09">
        <w:t xml:space="preserve"> Implementation Sub-Committee</w:t>
      </w:r>
      <w:r w:rsidR="00093E01" w:rsidRPr="00272E09">
        <w:rPr>
          <w:rStyle w:val="FootnoteReference"/>
        </w:rPr>
        <w:footnoteReference w:id="3"/>
      </w:r>
      <w:r w:rsidRPr="00272E09">
        <w:t xml:space="preserve"> to identify and evaluate appropriate methods of analysis associated with all applications to FSANZ, including GM applications. </w:t>
      </w:r>
    </w:p>
    <w:p w:rsidR="00272E09" w:rsidRPr="00272E09" w:rsidRDefault="00272E09" w:rsidP="00173BB9"/>
    <w:p w:rsidR="000117FD" w:rsidRDefault="00173BB9" w:rsidP="00173BB9">
      <w:r w:rsidRPr="00272E09">
        <w:t>The EAG has indicated that for GM applications, the full DNA sequence of the insert and adjacent genomic DNA is sufficient data to be provided</w:t>
      </w:r>
      <w:r w:rsidR="00E01715" w:rsidRPr="00272E09">
        <w:t xml:space="preserve"> for analytica</w:t>
      </w:r>
      <w:r w:rsidR="005F64F3" w:rsidRPr="00272E09">
        <w:t>l purpo</w:t>
      </w:r>
      <w:r w:rsidR="00E01715" w:rsidRPr="00272E09">
        <w:t>ses</w:t>
      </w:r>
      <w:r w:rsidRPr="00272E09">
        <w:t>. Using this information, a</w:t>
      </w:r>
      <w:r w:rsidR="00E01715" w:rsidRPr="00272E09">
        <w:t xml:space="preserve"> DNA</w:t>
      </w:r>
      <w:r w:rsidRPr="00272E09">
        <w:t xml:space="preserve"> analytical laboratory would have the capability to develop a PCR-based detection method. This sequence information was suppli</w:t>
      </w:r>
      <w:r w:rsidR="00CF15C9" w:rsidRPr="00272E09">
        <w:t>ed b</w:t>
      </w:r>
      <w:r w:rsidR="008A7D76" w:rsidRPr="00272E09">
        <w:t xml:space="preserve">y the Applicant for </w:t>
      </w:r>
      <w:r w:rsidR="00AC305F">
        <w:t xml:space="preserve">canola line 73496 </w:t>
      </w:r>
      <w:r w:rsidRPr="00272E09">
        <w:t xml:space="preserve">to satisfy the requirement for detection methodology in the FSANZ </w:t>
      </w:r>
      <w:r w:rsidRPr="00272E09">
        <w:rPr>
          <w:i/>
        </w:rPr>
        <w:t>Application Handbook</w:t>
      </w:r>
      <w:r w:rsidRPr="00272E09">
        <w:t xml:space="preserve"> </w:t>
      </w:r>
      <w:r w:rsidRPr="00272E09">
        <w:fldChar w:fldCharType="begin"/>
      </w:r>
      <w:r w:rsidR="00C13F18">
        <w:instrText xml:space="preserve"> ADDIN REFMGR.CITE &lt;Refman&gt;&lt;Cite&gt;&lt;Author&gt;FSANZ&lt;/Author&gt;&lt;Year&gt;2011&lt;/Year&gt;&lt;RecNum&gt;1304&lt;/RecNum&gt;&lt;IDText&gt;Application handbook&lt;/IDText&gt;&lt;MDL Ref_Type="Report"&gt;&lt;Ref_Type&gt;Report&lt;/Ref_Type&gt;&lt;Ref_ID&gt;1304&lt;/Ref_ID&gt;&lt;Title_Primary&gt;Application handbook&lt;/Title_Primary&gt;&lt;Authors_Primary&gt;FSANZ&lt;/Authors_Primary&gt;&lt;Date_Primary&gt;2011&lt;/Date_Primary&gt;&lt;Keywords&gt;standards&lt;/Keywords&gt;&lt;Reprint&gt;Not in File&lt;/Reprint&gt;&lt;Publisher&gt;Prepared by Food Standards Australia New Zealand&lt;/Publisher&gt;&lt;Web_URL&gt;&lt;u&gt;http://www.foodstandards.gov.au/foodstandards/changingthecode/applicationshandbook.cfm&lt;/u&gt;&lt;/Web_URL&gt;&lt;ZZ_WorkformID&gt;24&lt;/ZZ_WorkformID&gt;&lt;/MDL&gt;&lt;/Cite&gt;&lt;/Refman&gt;</w:instrText>
      </w:r>
      <w:r w:rsidRPr="00272E09">
        <w:fldChar w:fldCharType="separate"/>
      </w:r>
      <w:r w:rsidR="00036E4B" w:rsidRPr="00272E09">
        <w:rPr>
          <w:noProof/>
        </w:rPr>
        <w:t>(FSANZ, 2011)</w:t>
      </w:r>
      <w:r w:rsidRPr="00272E09">
        <w:fldChar w:fldCharType="end"/>
      </w:r>
      <w:r w:rsidRPr="00272E09">
        <w:t>.</w:t>
      </w:r>
      <w:r w:rsidR="000117FD">
        <w:br w:type="page"/>
      </w:r>
    </w:p>
    <w:p w:rsidR="00674FE5" w:rsidRPr="00272E09" w:rsidRDefault="008A7D76" w:rsidP="00674FE5">
      <w:pPr>
        <w:pStyle w:val="Heading2"/>
      </w:pPr>
      <w:bookmarkStart w:id="33" w:name="_Toc378943883"/>
      <w:bookmarkStart w:id="34" w:name="_Toc175381455"/>
      <w:bookmarkEnd w:id="15"/>
      <w:bookmarkEnd w:id="16"/>
      <w:bookmarkEnd w:id="17"/>
      <w:bookmarkEnd w:id="18"/>
      <w:bookmarkEnd w:id="19"/>
      <w:bookmarkEnd w:id="20"/>
      <w:bookmarkEnd w:id="31"/>
      <w:r w:rsidRPr="00272E09">
        <w:lastRenderedPageBreak/>
        <w:t>2</w:t>
      </w:r>
      <w:r w:rsidR="00DB5F1D" w:rsidRPr="00272E09">
        <w:t>.4</w:t>
      </w:r>
      <w:r w:rsidR="00674FE5" w:rsidRPr="00272E09">
        <w:tab/>
        <w:t>Risk communication</w:t>
      </w:r>
      <w:bookmarkEnd w:id="33"/>
      <w:r w:rsidR="00674FE5" w:rsidRPr="00272E09">
        <w:t xml:space="preserve"> </w:t>
      </w:r>
    </w:p>
    <w:p w:rsidR="00FD52BA" w:rsidRDefault="00E2362E" w:rsidP="00E2362E">
      <w:pPr>
        <w:rPr>
          <w:szCs w:val="22"/>
        </w:rPr>
      </w:pPr>
      <w:r w:rsidRPr="00272E09">
        <w:rPr>
          <w:szCs w:val="22"/>
        </w:rPr>
        <w:t xml:space="preserve">Consultation is a key part of FSANZ’s standards development process. </w:t>
      </w:r>
    </w:p>
    <w:p w:rsidR="00FD52BA" w:rsidRDefault="00FD52BA" w:rsidP="00E2362E">
      <w:pPr>
        <w:rPr>
          <w:szCs w:val="22"/>
        </w:rPr>
      </w:pPr>
    </w:p>
    <w:p w:rsidR="00DE46EA" w:rsidRPr="00272E09" w:rsidRDefault="00DE46EA" w:rsidP="00DE46EA">
      <w:pPr>
        <w:rPr>
          <w:lang w:bidi="ar-SA"/>
        </w:rPr>
      </w:pPr>
      <w:r w:rsidRPr="00272E09">
        <w:rPr>
          <w:lang w:bidi="ar-SA"/>
        </w:rPr>
        <w:t>The pr</w:t>
      </w:r>
      <w:r w:rsidR="00C92C65">
        <w:rPr>
          <w:lang w:bidi="ar-SA"/>
        </w:rPr>
        <w:t>ocess by which FSANZ considers S</w:t>
      </w:r>
      <w:r w:rsidRPr="00272E09">
        <w:rPr>
          <w:lang w:bidi="ar-SA"/>
        </w:rPr>
        <w:t>tandard</w:t>
      </w:r>
      <w:r w:rsidR="00C92C65">
        <w:rPr>
          <w:lang w:bidi="ar-SA"/>
        </w:rPr>
        <w:t>s</w:t>
      </w:r>
      <w:r w:rsidRPr="00272E09">
        <w:rPr>
          <w:lang w:bidi="ar-SA"/>
        </w:rPr>
        <w:t xml:space="preserve"> matters is open, accountable, consultative and transparent. Public submissions are called to obtain the views of interested parties on issues raised by the application and the impacts of regulatory options.</w:t>
      </w:r>
    </w:p>
    <w:p w:rsidR="00DE46EA" w:rsidRDefault="00DE46EA" w:rsidP="00DE46EA">
      <w:pPr>
        <w:rPr>
          <w:color w:val="000000" w:themeColor="text1"/>
          <w:szCs w:val="22"/>
        </w:rPr>
      </w:pPr>
    </w:p>
    <w:p w:rsidR="00DE46EA" w:rsidRPr="00272E09" w:rsidRDefault="00FD52BA" w:rsidP="00DE46EA">
      <w:pPr>
        <w:rPr>
          <w:lang w:bidi="ar-SA"/>
        </w:rPr>
      </w:pPr>
      <w:r w:rsidRPr="00272E09">
        <w:rPr>
          <w:color w:val="000000" w:themeColor="text1"/>
          <w:szCs w:val="22"/>
        </w:rPr>
        <w:t xml:space="preserve">Public submissions were invited on a draft variation which was released for public comment between </w:t>
      </w:r>
      <w:r w:rsidR="009F1005">
        <w:rPr>
          <w:color w:val="000000" w:themeColor="text1"/>
          <w:szCs w:val="22"/>
        </w:rPr>
        <w:t xml:space="preserve">13 December 2013 and 31 January 2014. </w:t>
      </w:r>
      <w:r w:rsidR="00DE46EA" w:rsidRPr="00272E09">
        <w:rPr>
          <w:lang w:bidi="ar-SA"/>
        </w:rPr>
        <w:t xml:space="preserve">The call for submissions was notified via the Notification Circular, media release and through FSANZ’s social media </w:t>
      </w:r>
      <w:r w:rsidR="009F1005">
        <w:rPr>
          <w:lang w:bidi="ar-SA"/>
        </w:rPr>
        <w:t>portals</w:t>
      </w:r>
      <w:r w:rsidR="00DE46EA" w:rsidRPr="00272E09">
        <w:rPr>
          <w:lang w:bidi="ar-SA"/>
        </w:rPr>
        <w:t xml:space="preserve"> and the publication, </w:t>
      </w:r>
      <w:r w:rsidR="00DE46EA" w:rsidRPr="00272E09">
        <w:rPr>
          <w:i/>
          <w:lang w:bidi="ar-SA"/>
        </w:rPr>
        <w:t>Food Standards News</w:t>
      </w:r>
      <w:r w:rsidR="00DE46EA" w:rsidRPr="00272E09">
        <w:rPr>
          <w:lang w:bidi="ar-SA"/>
        </w:rPr>
        <w:t>. Subscribers and interested parties were also notified.</w:t>
      </w:r>
    </w:p>
    <w:p w:rsidR="00DE46EA" w:rsidRDefault="00DE46EA" w:rsidP="00FD52BA">
      <w:pPr>
        <w:outlineLvl w:val="4"/>
        <w:rPr>
          <w:color w:val="000000" w:themeColor="text1"/>
          <w:szCs w:val="22"/>
        </w:rPr>
      </w:pPr>
    </w:p>
    <w:p w:rsidR="003F2A04" w:rsidRPr="00272E09" w:rsidRDefault="003F2A04" w:rsidP="003F2A04">
      <w:pPr>
        <w:rPr>
          <w:lang w:bidi="ar-SA"/>
        </w:rPr>
      </w:pPr>
      <w:r w:rsidRPr="007F7CE3">
        <w:rPr>
          <w:color w:val="000000" w:themeColor="text1"/>
          <w:szCs w:val="22"/>
        </w:rPr>
        <w:t>Six</w:t>
      </w:r>
      <w:r w:rsidR="006E7B62" w:rsidRPr="007F7CE3">
        <w:rPr>
          <w:color w:val="000000" w:themeColor="text1"/>
          <w:szCs w:val="22"/>
        </w:rPr>
        <w:t xml:space="preserve"> </w:t>
      </w:r>
      <w:r w:rsidR="00FD52BA" w:rsidRPr="007F7CE3">
        <w:rPr>
          <w:color w:val="000000" w:themeColor="text1"/>
          <w:szCs w:val="22"/>
        </w:rPr>
        <w:t>submissions were received</w:t>
      </w:r>
      <w:r w:rsidR="006E7B62" w:rsidRPr="007F7CE3">
        <w:rPr>
          <w:color w:val="000000" w:themeColor="text1"/>
          <w:szCs w:val="22"/>
        </w:rPr>
        <w:t>; t</w:t>
      </w:r>
      <w:r w:rsidRPr="007F7CE3">
        <w:rPr>
          <w:color w:val="000000" w:themeColor="text1"/>
          <w:szCs w:val="22"/>
        </w:rPr>
        <w:t>hree</w:t>
      </w:r>
      <w:r w:rsidR="006E7B62" w:rsidRPr="007F7CE3">
        <w:rPr>
          <w:color w:val="000000" w:themeColor="text1"/>
          <w:szCs w:val="22"/>
        </w:rPr>
        <w:t xml:space="preserve"> submitters supported </w:t>
      </w:r>
      <w:r w:rsidR="007F7CE3" w:rsidRPr="007F7CE3">
        <w:rPr>
          <w:color w:val="000000" w:themeColor="text1"/>
          <w:szCs w:val="22"/>
        </w:rPr>
        <w:t>the Application</w:t>
      </w:r>
      <w:r w:rsidRPr="007F7CE3">
        <w:rPr>
          <w:color w:val="000000" w:themeColor="text1"/>
          <w:szCs w:val="22"/>
        </w:rPr>
        <w:t xml:space="preserve">, </w:t>
      </w:r>
      <w:r w:rsidR="006E7B62" w:rsidRPr="007F7CE3">
        <w:rPr>
          <w:color w:val="000000" w:themeColor="text1"/>
          <w:szCs w:val="22"/>
        </w:rPr>
        <w:t xml:space="preserve">while three </w:t>
      </w:r>
      <w:r w:rsidR="007F7CE3" w:rsidRPr="007F7CE3">
        <w:rPr>
          <w:color w:val="000000" w:themeColor="text1"/>
          <w:szCs w:val="22"/>
        </w:rPr>
        <w:t>expressed opposition to the approval of canola line 73496</w:t>
      </w:r>
      <w:r w:rsidR="007F7CE3">
        <w:rPr>
          <w:color w:val="000000" w:themeColor="text1"/>
          <w:szCs w:val="22"/>
        </w:rPr>
        <w:t xml:space="preserve"> (see section 2.1)</w:t>
      </w:r>
      <w:r w:rsidR="007F7CE3" w:rsidRPr="007F7CE3">
        <w:rPr>
          <w:color w:val="000000" w:themeColor="text1"/>
          <w:szCs w:val="22"/>
        </w:rPr>
        <w:t>.</w:t>
      </w:r>
      <w:r w:rsidRPr="007F7CE3">
        <w:rPr>
          <w:color w:val="000000" w:themeColor="text1"/>
          <w:szCs w:val="22"/>
        </w:rPr>
        <w:t xml:space="preserve"> </w:t>
      </w:r>
      <w:r w:rsidRPr="00272E09">
        <w:rPr>
          <w:lang w:bidi="ar-SA"/>
        </w:rPr>
        <w:t>Application A108</w:t>
      </w:r>
      <w:r>
        <w:rPr>
          <w:lang w:bidi="ar-SA"/>
        </w:rPr>
        <w:t>9</w:t>
      </w:r>
      <w:r w:rsidRPr="00272E09">
        <w:rPr>
          <w:lang w:bidi="ar-SA"/>
        </w:rPr>
        <w:t>, including submissions received, is available on the FSANZ website.</w:t>
      </w:r>
    </w:p>
    <w:p w:rsidR="00FD52BA" w:rsidRPr="00272E09" w:rsidRDefault="00FD52BA" w:rsidP="00FD52BA">
      <w:pPr>
        <w:outlineLvl w:val="4"/>
        <w:rPr>
          <w:rFonts w:cs="Arial"/>
          <w:color w:val="000000" w:themeColor="text1"/>
          <w:szCs w:val="22"/>
        </w:rPr>
      </w:pPr>
    </w:p>
    <w:p w:rsidR="000117FD" w:rsidRPr="002C1A3B" w:rsidRDefault="00E2362E" w:rsidP="000117FD">
      <w:pPr>
        <w:rPr>
          <w:szCs w:val="22"/>
        </w:rPr>
      </w:pPr>
      <w:r w:rsidRPr="00272E09">
        <w:rPr>
          <w:szCs w:val="22"/>
        </w:rPr>
        <w:t>FSANZ acknowledges the time taken by individuals and organisations to make submissions</w:t>
      </w:r>
      <w:r w:rsidR="009F1005">
        <w:rPr>
          <w:szCs w:val="22"/>
        </w:rPr>
        <w:t xml:space="preserve">. </w:t>
      </w:r>
      <w:bookmarkStart w:id="35" w:name="_Toc378943884"/>
      <w:r w:rsidR="000117FD" w:rsidRPr="002C1A3B">
        <w:rPr>
          <w:szCs w:val="22"/>
        </w:rPr>
        <w:t>Every submission on</w:t>
      </w:r>
      <w:r w:rsidR="000117FD">
        <w:rPr>
          <w:szCs w:val="22"/>
        </w:rPr>
        <w:t xml:space="preserve"> an application or proposal is considered</w:t>
      </w:r>
      <w:r w:rsidR="000117FD" w:rsidRPr="002C1A3B">
        <w:rPr>
          <w:szCs w:val="22"/>
        </w:rPr>
        <w:t xml:space="preserve"> by </w:t>
      </w:r>
      <w:r w:rsidR="000117FD">
        <w:rPr>
          <w:szCs w:val="22"/>
        </w:rPr>
        <w:t xml:space="preserve">the </w:t>
      </w:r>
      <w:r w:rsidR="000117FD" w:rsidRPr="002C1A3B">
        <w:rPr>
          <w:szCs w:val="22"/>
        </w:rPr>
        <w:t xml:space="preserve">FSANZ </w:t>
      </w:r>
      <w:r w:rsidR="000117FD">
        <w:rPr>
          <w:szCs w:val="22"/>
        </w:rPr>
        <w:t>Board</w:t>
      </w:r>
      <w:r w:rsidR="000117FD" w:rsidRPr="002C1A3B">
        <w:rPr>
          <w:szCs w:val="22"/>
        </w:rPr>
        <w:t xml:space="preserve">. </w:t>
      </w:r>
      <w:r w:rsidR="000117FD">
        <w:rPr>
          <w:szCs w:val="22"/>
        </w:rPr>
        <w:t>A</w:t>
      </w:r>
      <w:r w:rsidR="000117FD" w:rsidRPr="002C1A3B">
        <w:rPr>
          <w:szCs w:val="22"/>
        </w:rPr>
        <w:t xml:space="preserve">ll comments are valued and contribute to the rigour of our assessment. </w:t>
      </w:r>
    </w:p>
    <w:p w:rsidR="00DB5F1D" w:rsidRPr="00272E09" w:rsidRDefault="00DB5F1D" w:rsidP="000117FD">
      <w:pPr>
        <w:pStyle w:val="Heading2"/>
      </w:pPr>
      <w:r w:rsidRPr="00272E09">
        <w:t>2.5</w:t>
      </w:r>
      <w:r w:rsidRPr="00272E09">
        <w:tab/>
        <w:t>FSANZ Act assessment requirements</w:t>
      </w:r>
      <w:bookmarkEnd w:id="35"/>
      <w:r w:rsidRPr="00272E09">
        <w:t xml:space="preserve"> </w:t>
      </w:r>
    </w:p>
    <w:p w:rsidR="00DB5F1D" w:rsidRPr="00272E09" w:rsidRDefault="00DB5F1D" w:rsidP="00DA392F">
      <w:pPr>
        <w:pStyle w:val="Heading3"/>
      </w:pPr>
      <w:bookmarkStart w:id="36" w:name="_Toc378943885"/>
      <w:r w:rsidRPr="00272E09">
        <w:t>2.5.1</w:t>
      </w:r>
      <w:r w:rsidRPr="00272E09">
        <w:tab/>
        <w:t>Section 29</w:t>
      </w:r>
      <w:bookmarkEnd w:id="36"/>
    </w:p>
    <w:p w:rsidR="00DB5F1D" w:rsidRPr="00272E09" w:rsidRDefault="00DA392F" w:rsidP="00DB5F1D">
      <w:pPr>
        <w:pStyle w:val="Heading3"/>
        <w:rPr>
          <w:i/>
        </w:rPr>
      </w:pPr>
      <w:bookmarkStart w:id="37" w:name="_Toc378943886"/>
      <w:r w:rsidRPr="00272E09">
        <w:rPr>
          <w:i/>
        </w:rPr>
        <w:t>2.5.1.1</w:t>
      </w:r>
      <w:r w:rsidR="00DB5F1D" w:rsidRPr="00272E09">
        <w:rPr>
          <w:i/>
        </w:rPr>
        <w:tab/>
        <w:t>Cost</w:t>
      </w:r>
      <w:r w:rsidR="003D7A11">
        <w:rPr>
          <w:i/>
        </w:rPr>
        <w:t xml:space="preserve"> </w:t>
      </w:r>
      <w:r w:rsidR="00DB5F1D" w:rsidRPr="00272E09">
        <w:rPr>
          <w:i/>
        </w:rPr>
        <w:t>benefit analysis</w:t>
      </w:r>
      <w:bookmarkEnd w:id="37"/>
    </w:p>
    <w:p w:rsidR="00A4015D" w:rsidRDefault="00A4015D" w:rsidP="00A4015D">
      <w:pPr>
        <w:rPr>
          <w:rFonts w:cs="Arial"/>
          <w:szCs w:val="22"/>
        </w:rPr>
      </w:pPr>
      <w:r>
        <w:rPr>
          <w:rFonts w:cs="Arial"/>
          <w:szCs w:val="22"/>
        </w:rPr>
        <w:t xml:space="preserve">The Office of Best Practice Regulation (OBPR), in a letter to FSANZ dated 24 November 2010, granted a standing exemption from the need of the OBPR to assess if a Regulatory Impact Statement is required for the approval of additional genetically modified foods (reference 12065). This standing exemption was provided as such changes are considered as minor, machinery and deregulatory in nature. This standing exemption relates to the introduction of a food to the food supply that has been determined to be safe. </w:t>
      </w:r>
    </w:p>
    <w:p w:rsidR="00DA392F" w:rsidRPr="00272E09" w:rsidRDefault="00DA392F" w:rsidP="00DA392F">
      <w:pPr>
        <w:rPr>
          <w:lang w:eastAsia="en-AU" w:bidi="ar-SA"/>
        </w:rPr>
      </w:pPr>
    </w:p>
    <w:p w:rsidR="00DB5F1D" w:rsidRPr="00272E09" w:rsidRDefault="00DB5F1D" w:rsidP="00DB5F1D">
      <w:r w:rsidRPr="00272E09">
        <w:t xml:space="preserve">A consideration of the cost/benefit of approving the draft variation is not intended to be an exhaustive, quantitative dollar analysis of the options and, in fact,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rsidR="00DB5F1D" w:rsidRPr="00272E09" w:rsidRDefault="00DB5F1D" w:rsidP="00DB5F1D"/>
    <w:p w:rsidR="001C4395" w:rsidRDefault="00E3542B" w:rsidP="009D3703">
      <w:r>
        <w:t>T</w:t>
      </w:r>
      <w:r w:rsidR="00E203EF">
        <w:t>he Applicant</w:t>
      </w:r>
      <w:r w:rsidR="009B210D">
        <w:t xml:space="preserve"> has indicated </w:t>
      </w:r>
      <w:r>
        <w:t xml:space="preserve">that canola line 73496 would be suitable for growing in </w:t>
      </w:r>
      <w:r w:rsidR="009B210D">
        <w:t xml:space="preserve">Australia </w:t>
      </w:r>
      <w:r>
        <w:t xml:space="preserve">as well as in canola producing regions of North America. </w:t>
      </w:r>
      <w:r w:rsidR="009D3703">
        <w:rPr>
          <w:rFonts w:eastAsia="Batang"/>
        </w:rPr>
        <w:t>C</w:t>
      </w:r>
      <w:r w:rsidR="009D3703" w:rsidRPr="008F4BDF">
        <w:t xml:space="preserve">ultivation in Australia </w:t>
      </w:r>
      <w:r w:rsidR="009D3703">
        <w:t xml:space="preserve">(both field trials and commercial release) requires a separate, independent assessment </w:t>
      </w:r>
      <w:r w:rsidR="009D3703" w:rsidRPr="008F4BDF">
        <w:t xml:space="preserve">by the </w:t>
      </w:r>
      <w:r w:rsidR="009D3703">
        <w:t xml:space="preserve">OGTR, including an assessment of any environmental impact, </w:t>
      </w:r>
      <w:r w:rsidR="009D3703" w:rsidRPr="008F4BDF">
        <w:t xml:space="preserve">before commercial release could be permitted. </w:t>
      </w:r>
      <w:r w:rsidR="001F0B4E">
        <w:t>The Applicant has requested approval from the OGTR, and f</w:t>
      </w:r>
      <w:r w:rsidR="00247A7D">
        <w:t xml:space="preserve">ollowing </w:t>
      </w:r>
      <w:r w:rsidR="009D3703">
        <w:t xml:space="preserve">its </w:t>
      </w:r>
      <w:r w:rsidR="00247A7D">
        <w:t>assessment, the OGTR has approved field trials, a necessary precursor to future commercial production of the crop in Australia. There is no intention to grow canola line</w:t>
      </w:r>
      <w:r w:rsidR="001C4395">
        <w:t xml:space="preserve"> 73496 in New </w:t>
      </w:r>
      <w:proofErr w:type="gramStart"/>
      <w:r w:rsidR="001C4395">
        <w:t>Zealand,</w:t>
      </w:r>
      <w:proofErr w:type="gramEnd"/>
      <w:r w:rsidR="001C4395">
        <w:t xml:space="preserve"> however oil derived from this line could enter the food supply through imported foods, once the decision to commercialise the crop overseas has been made.</w:t>
      </w:r>
    </w:p>
    <w:p w:rsidR="001C4395" w:rsidRDefault="001C4395" w:rsidP="00AE4EA8">
      <w:pPr>
        <w:widowControl/>
        <w:autoSpaceDE w:val="0"/>
        <w:autoSpaceDN w:val="0"/>
        <w:adjustRightInd w:val="0"/>
      </w:pPr>
    </w:p>
    <w:p w:rsidR="006203A7" w:rsidRPr="00272E09" w:rsidRDefault="006203A7" w:rsidP="006203A7">
      <w:pPr>
        <w:widowControl/>
        <w:autoSpaceDE w:val="0"/>
        <w:autoSpaceDN w:val="0"/>
        <w:adjustRightInd w:val="0"/>
      </w:pPr>
      <w:r w:rsidRPr="00272E09">
        <w:t xml:space="preserve">The </w:t>
      </w:r>
      <w:r w:rsidR="00171390" w:rsidRPr="00272E09">
        <w:t xml:space="preserve">direct and indirect benefits to the community, Government </w:t>
      </w:r>
      <w:r w:rsidR="00171390">
        <w:t>and</w:t>
      </w:r>
      <w:r w:rsidR="00171390" w:rsidRPr="00272E09">
        <w:t xml:space="preserve"> industry </w:t>
      </w:r>
      <w:r w:rsidR="00171390">
        <w:t xml:space="preserve">outweigh the </w:t>
      </w:r>
      <w:r w:rsidRPr="00272E09">
        <w:t xml:space="preserve">costs that would arise from a food regulatory measure developed or varied as a result of </w:t>
      </w:r>
      <w:r w:rsidRPr="00272E09">
        <w:rPr>
          <w:color w:val="000000" w:themeColor="text1"/>
        </w:rPr>
        <w:t>the application</w:t>
      </w:r>
      <w:r w:rsidR="00171390">
        <w:rPr>
          <w:color w:val="000000" w:themeColor="text1"/>
        </w:rPr>
        <w:t>.</w:t>
      </w:r>
    </w:p>
    <w:p w:rsidR="006203A7" w:rsidRDefault="006203A7" w:rsidP="00AE4EA8">
      <w:pPr>
        <w:widowControl/>
        <w:autoSpaceDE w:val="0"/>
        <w:autoSpaceDN w:val="0"/>
        <w:adjustRightInd w:val="0"/>
      </w:pPr>
    </w:p>
    <w:p w:rsidR="000117FD" w:rsidRDefault="000117FD" w:rsidP="00A4015D">
      <w:r>
        <w:br w:type="page"/>
      </w:r>
    </w:p>
    <w:p w:rsidR="00A4015D" w:rsidRDefault="002218E9" w:rsidP="00A4015D">
      <w:r w:rsidRPr="00272E09">
        <w:lastRenderedPageBreak/>
        <w:t>The points below list the effect that approv</w:t>
      </w:r>
      <w:r w:rsidR="00A4015D">
        <w:t>i</w:t>
      </w:r>
      <w:r w:rsidRPr="00272E09">
        <w:t>ng the draft would be expected to have on various sectors.</w:t>
      </w:r>
      <w:r w:rsidR="00A4015D" w:rsidRPr="00A4015D">
        <w:t xml:space="preserve"> </w:t>
      </w:r>
      <w:r w:rsidR="00A4015D">
        <w:t>The analysis is necessarily speculative and based on the assumption that canola line 73496 will be approved for commercial cultivation in other countries (see section 2.5.1.4).</w:t>
      </w:r>
    </w:p>
    <w:p w:rsidR="00A4015D" w:rsidRPr="00400169" w:rsidRDefault="00A4015D" w:rsidP="00A4015D"/>
    <w:p w:rsidR="005F36BA" w:rsidRDefault="00DA392F" w:rsidP="00DA392F">
      <w:pPr>
        <w:ind w:left="1418" w:hanging="1418"/>
      </w:pPr>
      <w:r w:rsidRPr="00272E09">
        <w:rPr>
          <w:u w:val="single"/>
        </w:rPr>
        <w:t>Consumers:</w:t>
      </w:r>
      <w:r w:rsidRPr="00272E09">
        <w:tab/>
        <w:t xml:space="preserve">Broader availability of imported </w:t>
      </w:r>
      <w:r w:rsidR="002218E9">
        <w:t xml:space="preserve">foods containing canola, </w:t>
      </w:r>
      <w:r w:rsidR="0059515F">
        <w:t xml:space="preserve">if line </w:t>
      </w:r>
      <w:r w:rsidR="002218E9">
        <w:t>73496</w:t>
      </w:r>
      <w:r w:rsidR="0059515F">
        <w:t xml:space="preserve"> were to be approved for commercial growing overseas</w:t>
      </w:r>
      <w:r w:rsidR="000E45B5">
        <w:t>.</w:t>
      </w:r>
      <w:r w:rsidR="002218E9">
        <w:t xml:space="preserve"> </w:t>
      </w:r>
    </w:p>
    <w:p w:rsidR="00DA392F" w:rsidRDefault="00DA392F" w:rsidP="00DA392F">
      <w:pPr>
        <w:ind w:left="1418"/>
      </w:pPr>
      <w:r w:rsidRPr="00272E09">
        <w:t xml:space="preserve">The safety assessment found there would be no impact on public health and safety if </w:t>
      </w:r>
      <w:r w:rsidR="002218E9">
        <w:t xml:space="preserve">food derived from canola line 73496 were to be </w:t>
      </w:r>
      <w:r w:rsidRPr="00272E09">
        <w:t>introduced into the food supply.</w:t>
      </w:r>
    </w:p>
    <w:p w:rsidR="002218E9" w:rsidRDefault="002218E9" w:rsidP="00DA392F">
      <w:pPr>
        <w:ind w:left="1418"/>
      </w:pPr>
    </w:p>
    <w:p w:rsidR="005F36BA" w:rsidRPr="00CD3EEC" w:rsidRDefault="00F06305">
      <w:pPr>
        <w:ind w:left="1418"/>
      </w:pPr>
      <w:r w:rsidRPr="00CD3EEC">
        <w:t>For those canola line 7</w:t>
      </w:r>
      <w:r w:rsidR="00CD3EEC" w:rsidRPr="00CD3EEC">
        <w:t>34</w:t>
      </w:r>
      <w:r w:rsidRPr="00CD3EEC">
        <w:t xml:space="preserve">96 products containing novel DNA or novel protein, </w:t>
      </w:r>
      <w:r w:rsidR="000F4A69">
        <w:t>required</w:t>
      </w:r>
      <w:r w:rsidRPr="00CD3EEC">
        <w:t xml:space="preserve"> labelling would allow consumers wishing to avoid them to do so.</w:t>
      </w:r>
    </w:p>
    <w:p w:rsidR="00DA392F" w:rsidRPr="00272E09" w:rsidRDefault="00DA392F" w:rsidP="00DA392F"/>
    <w:p w:rsidR="00DA392F" w:rsidRDefault="00DA392F" w:rsidP="00DA392F">
      <w:pPr>
        <w:ind w:left="1418" w:hanging="1418"/>
      </w:pPr>
      <w:r w:rsidRPr="00272E09">
        <w:rPr>
          <w:u w:val="single"/>
        </w:rPr>
        <w:t>Government:</w:t>
      </w:r>
      <w:r w:rsidRPr="00272E09">
        <w:tab/>
        <w:t xml:space="preserve">Benefit that if </w:t>
      </w:r>
      <w:r w:rsidR="00991F30">
        <w:t xml:space="preserve">canola line 73496 </w:t>
      </w:r>
      <w:r w:rsidRPr="00272E09">
        <w:t xml:space="preserve">was detected in </w:t>
      </w:r>
      <w:r w:rsidR="00991F30">
        <w:t>canola</w:t>
      </w:r>
      <w:r w:rsidRPr="00272E09">
        <w:t xml:space="preserve"> imports, approval would ensure compliance of those products with the Code. This would ensure no potential for trade disruption on regulatory grounds.</w:t>
      </w:r>
    </w:p>
    <w:p w:rsidR="00991F30" w:rsidRPr="00272E09" w:rsidRDefault="00991F30" w:rsidP="00DA392F">
      <w:pPr>
        <w:ind w:left="1418" w:hanging="1418"/>
      </w:pPr>
    </w:p>
    <w:p w:rsidR="00DA392F" w:rsidRPr="00272E09" w:rsidRDefault="00DA392F" w:rsidP="00E57C83">
      <w:pPr>
        <w:ind w:left="1418"/>
        <w:rPr>
          <w:rFonts w:cs="Arial"/>
          <w:szCs w:val="22"/>
        </w:rPr>
      </w:pPr>
      <w:r w:rsidRPr="00272E09">
        <w:t xml:space="preserve">Approval of </w:t>
      </w:r>
      <w:r w:rsidR="00991F30">
        <w:t xml:space="preserve">canola line 73496 </w:t>
      </w:r>
      <w:r w:rsidRPr="00272E09">
        <w:t>would ensure no con</w:t>
      </w:r>
      <w:r w:rsidR="00E57C83" w:rsidRPr="00272E09">
        <w:t xml:space="preserve">flict with WTO responsibilities if the line </w:t>
      </w:r>
      <w:r w:rsidR="00E57C83" w:rsidRPr="00272E09">
        <w:rPr>
          <w:rFonts w:cs="Arial"/>
          <w:szCs w:val="22"/>
        </w:rPr>
        <w:t>is approved for commercial growing in other countries.</w:t>
      </w:r>
    </w:p>
    <w:p w:rsidR="002B390B" w:rsidRPr="00272E09" w:rsidRDefault="002B390B" w:rsidP="002B390B">
      <w:pPr>
        <w:rPr>
          <w:rFonts w:cs="Arial"/>
          <w:szCs w:val="22"/>
        </w:rPr>
      </w:pPr>
    </w:p>
    <w:p w:rsidR="00DA392F" w:rsidRDefault="00DA392F" w:rsidP="00DA392F">
      <w:pPr>
        <w:ind w:left="1418" w:hanging="1418"/>
      </w:pPr>
      <w:r w:rsidRPr="00272E09">
        <w:rPr>
          <w:u w:val="single"/>
        </w:rPr>
        <w:t>Industry:</w:t>
      </w:r>
      <w:r w:rsidRPr="00272E09">
        <w:tab/>
        <w:t xml:space="preserve">Importers of processed foods containing </w:t>
      </w:r>
      <w:r w:rsidR="00991F30">
        <w:t xml:space="preserve">canola line 73496 </w:t>
      </w:r>
      <w:r w:rsidRPr="00272E09">
        <w:t xml:space="preserve">would benefit as foods derived from </w:t>
      </w:r>
      <w:r w:rsidR="00991F30">
        <w:t xml:space="preserve">this line </w:t>
      </w:r>
      <w:r w:rsidRPr="00272E09">
        <w:t>would be compliant with the Code, allowing broader market access and increased choice in raw materials.</w:t>
      </w:r>
    </w:p>
    <w:p w:rsidR="00991F30" w:rsidRPr="00272E09" w:rsidRDefault="00991F30" w:rsidP="00DA392F">
      <w:pPr>
        <w:ind w:left="1418" w:hanging="1418"/>
      </w:pPr>
    </w:p>
    <w:p w:rsidR="00991F30" w:rsidRDefault="00DA392F" w:rsidP="00DA392F">
      <w:pPr>
        <w:ind w:left="1418"/>
      </w:pPr>
      <w:r w:rsidRPr="00272E09">
        <w:t xml:space="preserve">Retailers may be able to offer a broader range of </w:t>
      </w:r>
      <w:r w:rsidR="00991F30">
        <w:t>imported food pr</w:t>
      </w:r>
      <w:r w:rsidRPr="00272E09">
        <w:t xml:space="preserve">oducts manufactured </w:t>
      </w:r>
      <w:r w:rsidR="00991F30">
        <w:t xml:space="preserve">overseas </w:t>
      </w:r>
      <w:r w:rsidRPr="00272E09">
        <w:t>using derivatives</w:t>
      </w:r>
      <w:r w:rsidR="00991F30">
        <w:t xml:space="preserve"> of canola line 73496</w:t>
      </w:r>
      <w:r w:rsidRPr="00272E09">
        <w:t>.</w:t>
      </w:r>
      <w:r w:rsidR="00991F30">
        <w:t xml:space="preserve"> </w:t>
      </w:r>
    </w:p>
    <w:p w:rsidR="00991F30" w:rsidRDefault="00991F30" w:rsidP="00DA392F">
      <w:pPr>
        <w:ind w:left="1418"/>
      </w:pPr>
    </w:p>
    <w:p w:rsidR="00DA392F" w:rsidRDefault="00991F30" w:rsidP="00DA392F">
      <w:pPr>
        <w:ind w:left="1418"/>
      </w:pPr>
      <w:r>
        <w:t>Possible cost to the food industry as some foods containing canola line 73496 would require labelling according to the provisions in the Code.</w:t>
      </w:r>
    </w:p>
    <w:p w:rsidR="00C13F18" w:rsidRDefault="00C13F18" w:rsidP="00DA392F">
      <w:pPr>
        <w:ind w:left="1418"/>
      </w:pPr>
    </w:p>
    <w:p w:rsidR="00A4015D" w:rsidRPr="00272E09" w:rsidRDefault="00A4015D" w:rsidP="00A4015D">
      <w:pPr>
        <w:ind w:left="1418"/>
      </w:pPr>
      <w:r w:rsidRPr="00C75EF3">
        <w:t xml:space="preserve">The segregation of raw agricultural commodity of </w:t>
      </w:r>
      <w:r w:rsidR="006203A7">
        <w:t>canola line 73496</w:t>
      </w:r>
      <w:r w:rsidRPr="00C75EF3">
        <w:t>, as for any GM crop, will be driven by industry, based on market preferences. Implicit in this will be a due regard to the costs of maintaining various levels of purity.</w:t>
      </w:r>
    </w:p>
    <w:p w:rsidR="0059515F" w:rsidRDefault="0059515F">
      <w:pPr>
        <w:widowControl/>
      </w:pPr>
    </w:p>
    <w:p w:rsidR="00AE4EA8" w:rsidRPr="00272E09" w:rsidRDefault="00AE4EA8" w:rsidP="00AE4EA8">
      <w:r w:rsidRPr="00272E09">
        <w:t xml:space="preserve">As food </w:t>
      </w:r>
      <w:r w:rsidR="00991F30">
        <w:t xml:space="preserve">derived </w:t>
      </w:r>
      <w:r w:rsidRPr="00272E09">
        <w:t xml:space="preserve">from </w:t>
      </w:r>
      <w:r w:rsidR="00991F30">
        <w:t xml:space="preserve">canola line 73496 </w:t>
      </w:r>
      <w:r w:rsidRPr="00272E09">
        <w:t xml:space="preserve">has been found to be as safe as food from conventional </w:t>
      </w:r>
      <w:r w:rsidR="00991F30">
        <w:t xml:space="preserve">canola varieties, </w:t>
      </w:r>
      <w:r w:rsidRPr="00272E09">
        <w:t xml:space="preserve">not </w:t>
      </w:r>
      <w:r w:rsidR="009D3703">
        <w:t>approving</w:t>
      </w:r>
      <w:r w:rsidRPr="00272E09">
        <w:t xml:space="preserve"> a draft variation would offer little benefit to consumers, as approval of </w:t>
      </w:r>
      <w:r w:rsidR="00845B7F">
        <w:t xml:space="preserve">canola line 73496 </w:t>
      </w:r>
      <w:r w:rsidRPr="00272E09">
        <w:t>by other countries could limit the availability of imported products in the Australian and New Zealand markets.</w:t>
      </w:r>
      <w:r w:rsidR="00845B7F">
        <w:t xml:space="preserve"> </w:t>
      </w:r>
      <w:r w:rsidRPr="00272E09">
        <w:t xml:space="preserve">In addition, this option would result in the requirement for segregation of any products containing </w:t>
      </w:r>
      <w:r w:rsidR="00845B7F">
        <w:t xml:space="preserve">canola line 73496, </w:t>
      </w:r>
      <w:r w:rsidRPr="00272E09">
        <w:t>which would be likely to increase the costs of import</w:t>
      </w:r>
      <w:r w:rsidR="00845B7F">
        <w:t>ing foods</w:t>
      </w:r>
      <w:r w:rsidRPr="00272E09">
        <w:t xml:space="preserve">. </w:t>
      </w:r>
    </w:p>
    <w:p w:rsidR="00AE4EA8" w:rsidRPr="00272E09" w:rsidRDefault="00AE4EA8" w:rsidP="00AE4EA8"/>
    <w:p w:rsidR="00D32733" w:rsidRDefault="00D32733" w:rsidP="00AE4EA8">
      <w:pPr>
        <w:rPr>
          <w:rFonts w:cs="Arial"/>
          <w:szCs w:val="22"/>
        </w:rPr>
      </w:pPr>
      <w:r w:rsidRPr="00272E09">
        <w:rPr>
          <w:rFonts w:cs="Arial"/>
          <w:szCs w:val="22"/>
        </w:rPr>
        <w:t xml:space="preserve">Also, not </w:t>
      </w:r>
      <w:r w:rsidR="009D3703">
        <w:rPr>
          <w:rFonts w:cs="Arial"/>
          <w:szCs w:val="22"/>
        </w:rPr>
        <w:t xml:space="preserve">approving </w:t>
      </w:r>
      <w:r w:rsidRPr="00272E09">
        <w:rPr>
          <w:rFonts w:cs="Arial"/>
          <w:szCs w:val="22"/>
        </w:rPr>
        <w:t xml:space="preserve">a draft variation is likely to be inconsistent with Australia’s and New Zealand’s WTO obligations if </w:t>
      </w:r>
      <w:r w:rsidR="009D3703">
        <w:t xml:space="preserve">canola line 73496 </w:t>
      </w:r>
      <w:r w:rsidRPr="00272E09">
        <w:rPr>
          <w:rFonts w:cs="Arial"/>
          <w:szCs w:val="22"/>
        </w:rPr>
        <w:t>is approved for commercial growing in other countries.</w:t>
      </w:r>
      <w:r w:rsidR="009D3703">
        <w:rPr>
          <w:rFonts w:cs="Arial"/>
          <w:szCs w:val="22"/>
        </w:rPr>
        <w:t xml:space="preserve"> </w:t>
      </w:r>
    </w:p>
    <w:p w:rsidR="009D3703" w:rsidRDefault="009D3703" w:rsidP="00AE4EA8">
      <w:pPr>
        <w:rPr>
          <w:rFonts w:cs="Arial"/>
          <w:szCs w:val="22"/>
        </w:rPr>
      </w:pPr>
    </w:p>
    <w:p w:rsidR="006203A7" w:rsidRPr="006F53A8" w:rsidRDefault="006203A7" w:rsidP="006203A7">
      <w:pPr>
        <w:rPr>
          <w:rFonts w:cs="Arial"/>
          <w:color w:val="000000" w:themeColor="text1"/>
          <w:szCs w:val="22"/>
        </w:rPr>
      </w:pPr>
      <w:r w:rsidRPr="00400169">
        <w:rPr>
          <w:rFonts w:cs="Arial"/>
          <w:szCs w:val="22"/>
        </w:rPr>
        <w:t xml:space="preserve">Based on the conclusions of the safety assessment, the potential benefits of approving the </w:t>
      </w:r>
      <w:r w:rsidRPr="006F53A8">
        <w:rPr>
          <w:rFonts w:cs="Arial"/>
          <w:color w:val="000000" w:themeColor="text1"/>
          <w:szCs w:val="22"/>
        </w:rPr>
        <w:t>variation outweighed the potential costs.</w:t>
      </w:r>
    </w:p>
    <w:p w:rsidR="00AE4EA8" w:rsidRPr="00272E09" w:rsidRDefault="00AE4EA8" w:rsidP="00AE4EA8">
      <w:pPr>
        <w:pStyle w:val="Heading3"/>
        <w:rPr>
          <w:i/>
        </w:rPr>
      </w:pPr>
      <w:bookmarkStart w:id="38" w:name="_Toc378943887"/>
      <w:r w:rsidRPr="00272E09">
        <w:rPr>
          <w:i/>
        </w:rPr>
        <w:t>2.5.1.2</w:t>
      </w:r>
      <w:r w:rsidRPr="00272E09">
        <w:rPr>
          <w:i/>
        </w:rPr>
        <w:tab/>
        <w:t>Other measures</w:t>
      </w:r>
      <w:bookmarkEnd w:id="38"/>
    </w:p>
    <w:p w:rsidR="000117FD" w:rsidRDefault="00AE4EA8" w:rsidP="00AE4EA8">
      <w:r w:rsidRPr="00272E09">
        <w:t>There were no measures that could achieve the same result other than an amendment to Standard 1.5.2.</w:t>
      </w:r>
      <w:r w:rsidR="000117FD">
        <w:br w:type="page"/>
      </w:r>
    </w:p>
    <w:p w:rsidR="00AE4EA8" w:rsidRPr="00272E09" w:rsidRDefault="00AE4EA8" w:rsidP="00AE4EA8">
      <w:pPr>
        <w:pStyle w:val="Heading3"/>
        <w:rPr>
          <w:i/>
        </w:rPr>
      </w:pPr>
      <w:bookmarkStart w:id="39" w:name="_Toc378943888"/>
      <w:r w:rsidRPr="00272E09">
        <w:rPr>
          <w:i/>
        </w:rPr>
        <w:lastRenderedPageBreak/>
        <w:t>2.5.1.3</w:t>
      </w:r>
      <w:r w:rsidRPr="00272E09">
        <w:rPr>
          <w:i/>
        </w:rPr>
        <w:tab/>
        <w:t>Any relevant New Zealand standards</w:t>
      </w:r>
      <w:bookmarkEnd w:id="39"/>
    </w:p>
    <w:p w:rsidR="00AE4EA8" w:rsidRPr="00272E09" w:rsidRDefault="00AE4EA8" w:rsidP="00AE4EA8">
      <w:r w:rsidRPr="00272E09">
        <w:t>Standard 1.5.2 applies in New Zealand.</w:t>
      </w:r>
    </w:p>
    <w:p w:rsidR="00AE4EA8" w:rsidRPr="00272E09" w:rsidRDefault="00AE4EA8" w:rsidP="00AE4EA8">
      <w:pPr>
        <w:pStyle w:val="Heading3"/>
        <w:rPr>
          <w:i/>
        </w:rPr>
      </w:pPr>
      <w:bookmarkStart w:id="40" w:name="_Toc378943889"/>
      <w:r w:rsidRPr="00272E09">
        <w:rPr>
          <w:i/>
        </w:rPr>
        <w:t>2.5.1.4</w:t>
      </w:r>
      <w:r w:rsidRPr="00272E09">
        <w:rPr>
          <w:i/>
        </w:rPr>
        <w:tab/>
        <w:t>Any other relevant matters</w:t>
      </w:r>
      <w:bookmarkEnd w:id="40"/>
    </w:p>
    <w:p w:rsidR="009F1005" w:rsidRDefault="009F1005" w:rsidP="009F1005">
      <w:pPr>
        <w:rPr>
          <w:color w:val="000000"/>
        </w:rPr>
      </w:pPr>
      <w:r w:rsidRPr="005C18EC">
        <w:rPr>
          <w:color w:val="000000"/>
        </w:rPr>
        <w:t>The Applicant</w:t>
      </w:r>
      <w:r>
        <w:rPr>
          <w:color w:val="000000"/>
        </w:rPr>
        <w:t xml:space="preserve"> is seeking regulatory approval of </w:t>
      </w:r>
      <w:r>
        <w:t xml:space="preserve">canola line 73496 </w:t>
      </w:r>
      <w:r>
        <w:rPr>
          <w:color w:val="000000"/>
        </w:rPr>
        <w:t xml:space="preserve">in several other countries, as listed in Table </w:t>
      </w:r>
      <w:r w:rsidR="009E7541">
        <w:rPr>
          <w:color w:val="000000"/>
        </w:rPr>
        <w:t>2</w:t>
      </w:r>
      <w:r>
        <w:rPr>
          <w:color w:val="000000"/>
        </w:rPr>
        <w:t>. In addition to the jurisdictions listed</w:t>
      </w:r>
      <w:r w:rsidR="009E7541">
        <w:rPr>
          <w:color w:val="000000"/>
        </w:rPr>
        <w:t xml:space="preserve">, </w:t>
      </w:r>
      <w:r>
        <w:rPr>
          <w:color w:val="000000"/>
        </w:rPr>
        <w:t>th</w:t>
      </w:r>
      <w:r w:rsidRPr="005C18EC">
        <w:rPr>
          <w:color w:val="000000"/>
        </w:rPr>
        <w:t xml:space="preserve">e Applicant has indicated that submissions </w:t>
      </w:r>
      <w:r>
        <w:rPr>
          <w:color w:val="000000"/>
        </w:rPr>
        <w:t xml:space="preserve">will </w:t>
      </w:r>
      <w:r w:rsidRPr="005C18EC">
        <w:rPr>
          <w:color w:val="000000"/>
        </w:rPr>
        <w:t xml:space="preserve">be made </w:t>
      </w:r>
      <w:r>
        <w:rPr>
          <w:color w:val="000000"/>
        </w:rPr>
        <w:t>for import approvals in other international markets where established regulatory review processes are in place.</w:t>
      </w:r>
    </w:p>
    <w:p w:rsidR="009F1005" w:rsidRDefault="009F1005" w:rsidP="009F1005">
      <w:pPr>
        <w:rPr>
          <w:color w:val="000000"/>
        </w:rPr>
      </w:pPr>
    </w:p>
    <w:p w:rsidR="009F1005" w:rsidRDefault="009F1005" w:rsidP="009F1005">
      <w:r w:rsidRPr="008F4BDF">
        <w:rPr>
          <w:rFonts w:eastAsia="Batang"/>
        </w:rPr>
        <w:t xml:space="preserve">It is the Applicant’s intention that </w:t>
      </w:r>
      <w:r>
        <w:rPr>
          <w:rFonts w:eastAsia="Batang"/>
        </w:rPr>
        <w:t xml:space="preserve">canola </w:t>
      </w:r>
      <w:r>
        <w:t xml:space="preserve">line 73496 </w:t>
      </w:r>
      <w:r>
        <w:rPr>
          <w:rFonts w:eastAsia="Batang"/>
        </w:rPr>
        <w:t xml:space="preserve">will </w:t>
      </w:r>
      <w:r w:rsidRPr="008F4BDF">
        <w:rPr>
          <w:rFonts w:eastAsia="Batang"/>
        </w:rPr>
        <w:t xml:space="preserve">be commercially cultivated </w:t>
      </w:r>
      <w:r>
        <w:rPr>
          <w:rFonts w:eastAsia="Batang"/>
        </w:rPr>
        <w:t xml:space="preserve">in major canola growing regions in Canada, other parts of North America and in Australia, but not in </w:t>
      </w:r>
      <w:r w:rsidRPr="008F4BDF">
        <w:rPr>
          <w:rFonts w:eastAsia="Batang"/>
        </w:rPr>
        <w:t xml:space="preserve">New Zealand. </w:t>
      </w:r>
    </w:p>
    <w:p w:rsidR="00C365AF" w:rsidRDefault="00C365AF">
      <w:pPr>
        <w:widowControl/>
        <w:rPr>
          <w:rFonts w:eastAsia="Batang"/>
          <w:b/>
          <w:i/>
        </w:rPr>
      </w:pPr>
    </w:p>
    <w:p w:rsidR="009F1005" w:rsidRDefault="009F1005" w:rsidP="00292C9D">
      <w:pPr>
        <w:widowControl/>
        <w:rPr>
          <w:rFonts w:eastAsia="Batang"/>
          <w:b/>
        </w:rPr>
      </w:pPr>
      <w:r w:rsidRPr="00292C9D">
        <w:rPr>
          <w:rFonts w:eastAsia="Batang"/>
          <w:b/>
        </w:rPr>
        <w:t xml:space="preserve">Table </w:t>
      </w:r>
      <w:r w:rsidR="009E7541" w:rsidRPr="00292C9D">
        <w:rPr>
          <w:rFonts w:eastAsia="Batang"/>
          <w:b/>
        </w:rPr>
        <w:t>2</w:t>
      </w:r>
      <w:r w:rsidRPr="00292C9D">
        <w:rPr>
          <w:rFonts w:eastAsia="Batang"/>
          <w:b/>
        </w:rPr>
        <w:t xml:space="preserve">: List of countries to whom applications for regulatory approval of </w:t>
      </w:r>
      <w:r w:rsidRPr="00292C9D">
        <w:rPr>
          <w:b/>
        </w:rPr>
        <w:t xml:space="preserve">canola line 73496 </w:t>
      </w:r>
      <w:r w:rsidRPr="00292C9D">
        <w:rPr>
          <w:rFonts w:eastAsia="Batang"/>
          <w:b/>
        </w:rPr>
        <w:t>have been submitted</w:t>
      </w:r>
      <w:r w:rsidR="00D71702" w:rsidRPr="00292C9D">
        <w:rPr>
          <w:rFonts w:eastAsia="Batang"/>
          <w:b/>
        </w:rPr>
        <w:t xml:space="preserve"> (updated 31 January 2014)</w:t>
      </w:r>
    </w:p>
    <w:p w:rsidR="005F36BA" w:rsidRPr="00292C9D" w:rsidRDefault="005F36BA" w:rsidP="00292C9D">
      <w:pPr>
        <w:widowControl/>
        <w:rPr>
          <w:rFonts w:eastAsia="Batang"/>
        </w:rPr>
      </w:pPr>
    </w:p>
    <w:tbl>
      <w:tblPr>
        <w:tblW w:w="9072" w:type="dxa"/>
        <w:tblInd w:w="-15" w:type="dxa"/>
        <w:tblCellMar>
          <w:left w:w="0" w:type="dxa"/>
          <w:right w:w="0" w:type="dxa"/>
        </w:tblCellMar>
        <w:tblLook w:val="04A0" w:firstRow="1" w:lastRow="0" w:firstColumn="1" w:lastColumn="0" w:noHBand="0" w:noVBand="1"/>
      </w:tblPr>
      <w:tblGrid>
        <w:gridCol w:w="1600"/>
        <w:gridCol w:w="4659"/>
        <w:gridCol w:w="2813"/>
      </w:tblGrid>
      <w:tr w:rsidR="009F1005" w:rsidTr="00292C9D">
        <w:trPr>
          <w:trHeight w:val="330"/>
          <w:tblHeader/>
        </w:trPr>
        <w:tc>
          <w:tcPr>
            <w:tcW w:w="1400" w:type="dxa"/>
            <w:tcBorders>
              <w:bottom w:val="single" w:sz="8" w:space="0" w:color="626469"/>
            </w:tcBorders>
            <w:noWrap/>
            <w:tcMar>
              <w:top w:w="0" w:type="dxa"/>
              <w:left w:w="108" w:type="dxa"/>
              <w:bottom w:w="0" w:type="dxa"/>
              <w:right w:w="108" w:type="dxa"/>
            </w:tcMar>
            <w:vAlign w:val="center"/>
            <w:hideMark/>
          </w:tcPr>
          <w:p w:rsidR="009F1005" w:rsidRPr="00A33A60" w:rsidRDefault="009F1005" w:rsidP="00884C4D">
            <w:pPr>
              <w:rPr>
                <w:rFonts w:eastAsiaTheme="minorHAnsi" w:cs="Arial"/>
                <w:sz w:val="20"/>
                <w:szCs w:val="20"/>
              </w:rPr>
            </w:pPr>
            <w:r w:rsidRPr="00A33A60">
              <w:rPr>
                <w:rFonts w:cs="Arial"/>
                <w:b/>
                <w:bCs/>
                <w:color w:val="000000"/>
                <w:sz w:val="20"/>
                <w:szCs w:val="20"/>
              </w:rPr>
              <w:t>Country</w:t>
            </w:r>
          </w:p>
        </w:tc>
        <w:tc>
          <w:tcPr>
            <w:tcW w:w="4535" w:type="dxa"/>
            <w:tcBorders>
              <w:bottom w:val="single" w:sz="8" w:space="0" w:color="626469"/>
            </w:tcBorders>
            <w:noWrap/>
            <w:tcMar>
              <w:top w:w="0" w:type="dxa"/>
              <w:left w:w="108" w:type="dxa"/>
              <w:bottom w:w="0" w:type="dxa"/>
              <w:right w:w="108" w:type="dxa"/>
            </w:tcMar>
            <w:vAlign w:val="center"/>
            <w:hideMark/>
          </w:tcPr>
          <w:p w:rsidR="009F1005" w:rsidRPr="00A33A60" w:rsidRDefault="009F1005" w:rsidP="00884C4D">
            <w:pPr>
              <w:rPr>
                <w:rFonts w:eastAsiaTheme="minorHAnsi" w:cs="Arial"/>
                <w:sz w:val="20"/>
                <w:szCs w:val="20"/>
              </w:rPr>
            </w:pPr>
            <w:r w:rsidRPr="00A33A60">
              <w:rPr>
                <w:rFonts w:cs="Arial"/>
                <w:b/>
                <w:bCs/>
                <w:color w:val="000000"/>
                <w:sz w:val="20"/>
                <w:szCs w:val="20"/>
              </w:rPr>
              <w:t>Agency</w:t>
            </w:r>
          </w:p>
        </w:tc>
        <w:tc>
          <w:tcPr>
            <w:tcW w:w="2738" w:type="dxa"/>
            <w:tcBorders>
              <w:bottom w:val="single" w:sz="8" w:space="0" w:color="626469"/>
            </w:tcBorders>
            <w:noWrap/>
            <w:tcMar>
              <w:top w:w="0" w:type="dxa"/>
              <w:left w:w="108" w:type="dxa"/>
              <w:bottom w:w="0" w:type="dxa"/>
              <w:right w:w="108" w:type="dxa"/>
            </w:tcMar>
            <w:vAlign w:val="center"/>
            <w:hideMark/>
          </w:tcPr>
          <w:p w:rsidR="009F1005" w:rsidRPr="00A33A60" w:rsidRDefault="009F1005" w:rsidP="00884C4D">
            <w:pPr>
              <w:rPr>
                <w:rFonts w:eastAsiaTheme="minorHAnsi" w:cs="Arial"/>
                <w:sz w:val="20"/>
                <w:szCs w:val="20"/>
              </w:rPr>
            </w:pPr>
            <w:r>
              <w:rPr>
                <w:rFonts w:cs="Arial"/>
                <w:b/>
                <w:bCs/>
                <w:color w:val="000000"/>
                <w:sz w:val="20"/>
                <w:szCs w:val="20"/>
              </w:rPr>
              <w:t>Request/status</w:t>
            </w:r>
          </w:p>
        </w:tc>
      </w:tr>
      <w:tr w:rsidR="009F1005" w:rsidTr="00292C9D">
        <w:trPr>
          <w:trHeight w:val="315"/>
        </w:trPr>
        <w:tc>
          <w:tcPr>
            <w:tcW w:w="1400" w:type="dxa"/>
            <w:vMerge w:val="restart"/>
            <w:tcBorders>
              <w:top w:val="single" w:sz="8" w:space="0" w:color="626469"/>
              <w:left w:val="nil"/>
              <w:bottom w:val="single" w:sz="8" w:space="0" w:color="626469"/>
              <w:right w:val="nil"/>
            </w:tcBorders>
            <w:tcMar>
              <w:top w:w="0" w:type="dxa"/>
              <w:left w:w="108" w:type="dxa"/>
              <w:bottom w:w="0" w:type="dxa"/>
              <w:right w:w="108" w:type="dxa"/>
            </w:tcMar>
            <w:vAlign w:val="center"/>
            <w:hideMark/>
          </w:tcPr>
          <w:p w:rsidR="009F1005" w:rsidRPr="00A33A60" w:rsidRDefault="009F1005" w:rsidP="00884C4D">
            <w:pPr>
              <w:rPr>
                <w:rFonts w:eastAsiaTheme="minorHAnsi" w:cs="Arial"/>
                <w:sz w:val="20"/>
                <w:szCs w:val="20"/>
              </w:rPr>
            </w:pPr>
            <w:r w:rsidRPr="00A33A60">
              <w:rPr>
                <w:rFonts w:cs="Arial"/>
                <w:sz w:val="20"/>
                <w:szCs w:val="20"/>
              </w:rPr>
              <w:t>US</w:t>
            </w:r>
            <w:r>
              <w:rPr>
                <w:rFonts w:cs="Arial"/>
                <w:sz w:val="20"/>
                <w:szCs w:val="20"/>
              </w:rPr>
              <w:t>A</w:t>
            </w:r>
          </w:p>
        </w:tc>
        <w:tc>
          <w:tcPr>
            <w:tcW w:w="4535" w:type="dxa"/>
            <w:tcBorders>
              <w:top w:val="single" w:sz="8" w:space="0" w:color="626469"/>
              <w:left w:val="nil"/>
              <w:bottom w:val="single" w:sz="8" w:space="0" w:color="626469"/>
              <w:right w:val="nil"/>
            </w:tcBorders>
            <w:tcMar>
              <w:top w:w="0" w:type="dxa"/>
              <w:left w:w="108" w:type="dxa"/>
              <w:bottom w:w="0" w:type="dxa"/>
              <w:right w:w="108" w:type="dxa"/>
            </w:tcMar>
            <w:vAlign w:val="center"/>
            <w:hideMark/>
          </w:tcPr>
          <w:p w:rsidR="009F1005" w:rsidRPr="00A33A60" w:rsidRDefault="009F1005" w:rsidP="00884C4D">
            <w:pPr>
              <w:rPr>
                <w:rFonts w:eastAsiaTheme="minorHAnsi" w:cs="Arial"/>
                <w:sz w:val="20"/>
                <w:szCs w:val="20"/>
              </w:rPr>
            </w:pPr>
            <w:r w:rsidRPr="00A33A60">
              <w:rPr>
                <w:rFonts w:cs="Arial"/>
                <w:sz w:val="20"/>
                <w:szCs w:val="20"/>
              </w:rPr>
              <w:t>Department of Agriculture</w:t>
            </w:r>
            <w:r>
              <w:rPr>
                <w:rFonts w:cs="Arial"/>
                <w:sz w:val="20"/>
                <w:szCs w:val="20"/>
              </w:rPr>
              <w:t xml:space="preserve"> (USDA) </w:t>
            </w:r>
          </w:p>
        </w:tc>
        <w:tc>
          <w:tcPr>
            <w:tcW w:w="2738" w:type="dxa"/>
            <w:tcBorders>
              <w:top w:val="single" w:sz="8" w:space="0" w:color="626469"/>
              <w:left w:val="nil"/>
              <w:bottom w:val="single" w:sz="8" w:space="0" w:color="626469"/>
              <w:right w:val="nil"/>
            </w:tcBorders>
            <w:tcMar>
              <w:top w:w="0" w:type="dxa"/>
              <w:left w:w="108" w:type="dxa"/>
              <w:bottom w:w="0" w:type="dxa"/>
              <w:right w:w="108" w:type="dxa"/>
            </w:tcMar>
            <w:vAlign w:val="center"/>
          </w:tcPr>
          <w:p w:rsidR="009F1005" w:rsidRPr="00906021" w:rsidRDefault="00C365AF" w:rsidP="00C365AF">
            <w:pPr>
              <w:rPr>
                <w:rFonts w:eastAsiaTheme="minorHAnsi" w:cs="Arial"/>
                <w:sz w:val="20"/>
                <w:szCs w:val="20"/>
              </w:rPr>
            </w:pPr>
            <w:r>
              <w:rPr>
                <w:rFonts w:eastAsiaTheme="minorHAnsi" w:cs="Arial"/>
                <w:sz w:val="20"/>
                <w:szCs w:val="20"/>
              </w:rPr>
              <w:t xml:space="preserve">Cultivation – </w:t>
            </w:r>
            <w:r w:rsidR="009E7541">
              <w:rPr>
                <w:rFonts w:eastAsiaTheme="minorHAnsi" w:cs="Arial"/>
                <w:sz w:val="20"/>
                <w:szCs w:val="20"/>
              </w:rPr>
              <w:t>approved July 2013.</w:t>
            </w:r>
          </w:p>
        </w:tc>
      </w:tr>
      <w:tr w:rsidR="009F1005" w:rsidTr="00292C9D">
        <w:trPr>
          <w:trHeight w:val="315"/>
        </w:trPr>
        <w:tc>
          <w:tcPr>
            <w:tcW w:w="1400" w:type="dxa"/>
            <w:vMerge/>
            <w:tcBorders>
              <w:top w:val="single" w:sz="8" w:space="0" w:color="626469"/>
              <w:left w:val="nil"/>
              <w:bottom w:val="single" w:sz="8" w:space="0" w:color="626469"/>
              <w:right w:val="nil"/>
            </w:tcBorders>
            <w:tcMar>
              <w:top w:w="0" w:type="dxa"/>
              <w:left w:w="108" w:type="dxa"/>
              <w:bottom w:w="0" w:type="dxa"/>
              <w:right w:w="108" w:type="dxa"/>
            </w:tcMar>
            <w:vAlign w:val="center"/>
          </w:tcPr>
          <w:p w:rsidR="009F1005" w:rsidRPr="00A33A60" w:rsidRDefault="009F1005" w:rsidP="00884C4D">
            <w:pPr>
              <w:rPr>
                <w:rFonts w:cs="Arial"/>
                <w:sz w:val="20"/>
                <w:szCs w:val="20"/>
              </w:rPr>
            </w:pPr>
          </w:p>
        </w:tc>
        <w:tc>
          <w:tcPr>
            <w:tcW w:w="4535" w:type="dxa"/>
            <w:tcBorders>
              <w:top w:val="single" w:sz="8" w:space="0" w:color="626469"/>
              <w:left w:val="nil"/>
              <w:bottom w:val="single" w:sz="8" w:space="0" w:color="626469"/>
              <w:right w:val="nil"/>
            </w:tcBorders>
            <w:tcMar>
              <w:top w:w="0" w:type="dxa"/>
              <w:left w:w="108" w:type="dxa"/>
              <w:bottom w:w="0" w:type="dxa"/>
              <w:right w:w="108" w:type="dxa"/>
            </w:tcMar>
            <w:vAlign w:val="center"/>
          </w:tcPr>
          <w:p w:rsidR="009F1005" w:rsidRPr="00A33A60" w:rsidRDefault="009F1005" w:rsidP="00884C4D">
            <w:pPr>
              <w:rPr>
                <w:rFonts w:cs="Arial"/>
                <w:sz w:val="20"/>
                <w:szCs w:val="20"/>
              </w:rPr>
            </w:pPr>
            <w:r>
              <w:rPr>
                <w:rFonts w:cs="Arial"/>
                <w:sz w:val="20"/>
                <w:szCs w:val="20"/>
              </w:rPr>
              <w:t>Environmental Protection Agency (EPA)</w:t>
            </w:r>
          </w:p>
        </w:tc>
        <w:tc>
          <w:tcPr>
            <w:tcW w:w="2738" w:type="dxa"/>
            <w:tcBorders>
              <w:top w:val="single" w:sz="8" w:space="0" w:color="626469"/>
              <w:left w:val="nil"/>
              <w:bottom w:val="single" w:sz="8" w:space="0" w:color="626469"/>
              <w:right w:val="nil"/>
            </w:tcBorders>
            <w:tcMar>
              <w:top w:w="0" w:type="dxa"/>
              <w:left w:w="108" w:type="dxa"/>
              <w:bottom w:w="0" w:type="dxa"/>
              <w:right w:w="108" w:type="dxa"/>
            </w:tcMar>
            <w:vAlign w:val="center"/>
          </w:tcPr>
          <w:p w:rsidR="009F1005" w:rsidRPr="00906021" w:rsidRDefault="009F1005" w:rsidP="00884C4D">
            <w:pPr>
              <w:rPr>
                <w:rFonts w:eastAsiaTheme="minorHAnsi" w:cs="Arial"/>
                <w:sz w:val="20"/>
                <w:szCs w:val="20"/>
              </w:rPr>
            </w:pPr>
            <w:r>
              <w:rPr>
                <w:rFonts w:eastAsiaTheme="minorHAnsi" w:cs="Arial"/>
                <w:sz w:val="20"/>
                <w:szCs w:val="20"/>
              </w:rPr>
              <w:t>Amend residue definition, submitted February 2011</w:t>
            </w:r>
            <w:r w:rsidR="00C365AF">
              <w:rPr>
                <w:rFonts w:eastAsiaTheme="minorHAnsi" w:cs="Arial"/>
                <w:sz w:val="20"/>
                <w:szCs w:val="20"/>
              </w:rPr>
              <w:t>.</w:t>
            </w:r>
          </w:p>
        </w:tc>
      </w:tr>
      <w:tr w:rsidR="009F1005" w:rsidTr="00292C9D">
        <w:trPr>
          <w:trHeight w:val="315"/>
        </w:trPr>
        <w:tc>
          <w:tcPr>
            <w:tcW w:w="0" w:type="auto"/>
            <w:vMerge/>
            <w:tcBorders>
              <w:top w:val="single" w:sz="8" w:space="0" w:color="626469"/>
              <w:left w:val="nil"/>
              <w:bottom w:val="single" w:sz="8" w:space="0" w:color="626469"/>
              <w:right w:val="nil"/>
            </w:tcBorders>
            <w:vAlign w:val="center"/>
            <w:hideMark/>
          </w:tcPr>
          <w:p w:rsidR="009F1005" w:rsidRPr="00A33A60" w:rsidRDefault="009F1005" w:rsidP="00884C4D">
            <w:pPr>
              <w:rPr>
                <w:rFonts w:eastAsiaTheme="minorHAnsi" w:cs="Arial"/>
                <w:sz w:val="20"/>
                <w:szCs w:val="20"/>
              </w:rPr>
            </w:pPr>
          </w:p>
        </w:tc>
        <w:tc>
          <w:tcPr>
            <w:tcW w:w="4535" w:type="dxa"/>
            <w:tcBorders>
              <w:top w:val="nil"/>
              <w:left w:val="nil"/>
              <w:bottom w:val="single" w:sz="8" w:space="0" w:color="626469"/>
              <w:right w:val="nil"/>
            </w:tcBorders>
            <w:tcMar>
              <w:top w:w="0" w:type="dxa"/>
              <w:left w:w="108" w:type="dxa"/>
              <w:bottom w:w="0" w:type="dxa"/>
              <w:right w:w="108" w:type="dxa"/>
            </w:tcMar>
            <w:vAlign w:val="center"/>
            <w:hideMark/>
          </w:tcPr>
          <w:p w:rsidR="009F1005" w:rsidRPr="00A33A60" w:rsidRDefault="009F1005" w:rsidP="00884C4D">
            <w:pPr>
              <w:rPr>
                <w:rFonts w:eastAsiaTheme="minorHAnsi" w:cs="Arial"/>
                <w:sz w:val="20"/>
                <w:szCs w:val="20"/>
              </w:rPr>
            </w:pPr>
            <w:r w:rsidRPr="00A33A60">
              <w:rPr>
                <w:rFonts w:cs="Arial"/>
                <w:sz w:val="20"/>
                <w:szCs w:val="20"/>
              </w:rPr>
              <w:t>Food and Drug Administration</w:t>
            </w:r>
            <w:r>
              <w:rPr>
                <w:rFonts w:cs="Arial"/>
                <w:sz w:val="20"/>
                <w:szCs w:val="20"/>
              </w:rPr>
              <w:t xml:space="preserve"> (USFDA)</w:t>
            </w:r>
          </w:p>
        </w:tc>
        <w:tc>
          <w:tcPr>
            <w:tcW w:w="2738" w:type="dxa"/>
            <w:tcBorders>
              <w:top w:val="nil"/>
              <w:left w:val="nil"/>
              <w:bottom w:val="single" w:sz="8" w:space="0" w:color="626469"/>
              <w:right w:val="nil"/>
            </w:tcBorders>
            <w:tcMar>
              <w:top w:w="0" w:type="dxa"/>
              <w:left w:w="108" w:type="dxa"/>
              <w:bottom w:w="0" w:type="dxa"/>
              <w:right w:w="108" w:type="dxa"/>
            </w:tcMar>
            <w:vAlign w:val="center"/>
            <w:hideMark/>
          </w:tcPr>
          <w:p w:rsidR="009F1005" w:rsidRPr="00906021" w:rsidRDefault="009F1005" w:rsidP="009E7541">
            <w:pPr>
              <w:rPr>
                <w:rFonts w:eastAsiaTheme="minorHAnsi" w:cs="Arial"/>
                <w:sz w:val="20"/>
                <w:szCs w:val="20"/>
              </w:rPr>
            </w:pPr>
            <w:r w:rsidRPr="00906021">
              <w:rPr>
                <w:rFonts w:cs="Arial"/>
                <w:sz w:val="20"/>
                <w:szCs w:val="20"/>
              </w:rPr>
              <w:t>Food and feed safety</w:t>
            </w:r>
            <w:r>
              <w:rPr>
                <w:rFonts w:cs="Arial"/>
                <w:sz w:val="20"/>
                <w:szCs w:val="20"/>
              </w:rPr>
              <w:t>,</w:t>
            </w:r>
            <w:r w:rsidRPr="00906021">
              <w:rPr>
                <w:rFonts w:cs="Arial"/>
                <w:sz w:val="20"/>
                <w:szCs w:val="20"/>
              </w:rPr>
              <w:t xml:space="preserve"> completed in May 201</w:t>
            </w:r>
            <w:r w:rsidR="009E7541">
              <w:rPr>
                <w:rFonts w:cs="Arial"/>
                <w:sz w:val="20"/>
                <w:szCs w:val="20"/>
              </w:rPr>
              <w:t>2</w:t>
            </w:r>
            <w:r w:rsidRPr="00906021">
              <w:rPr>
                <w:rFonts w:cs="Arial"/>
                <w:sz w:val="20"/>
                <w:szCs w:val="20"/>
              </w:rPr>
              <w:t>.</w:t>
            </w:r>
          </w:p>
        </w:tc>
      </w:tr>
      <w:tr w:rsidR="009F1005" w:rsidTr="00292C9D">
        <w:trPr>
          <w:trHeight w:val="315"/>
        </w:trPr>
        <w:tc>
          <w:tcPr>
            <w:tcW w:w="1400" w:type="dxa"/>
            <w:vMerge w:val="restart"/>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9F1005" w:rsidRPr="00A33A60" w:rsidRDefault="009F1005" w:rsidP="00884C4D">
            <w:pPr>
              <w:rPr>
                <w:rFonts w:eastAsiaTheme="minorHAnsi" w:cs="Arial"/>
                <w:sz w:val="20"/>
                <w:szCs w:val="20"/>
              </w:rPr>
            </w:pPr>
            <w:r w:rsidRPr="00A33A60">
              <w:rPr>
                <w:rFonts w:cs="Arial"/>
                <w:sz w:val="20"/>
                <w:szCs w:val="20"/>
              </w:rPr>
              <w:t>Canada</w:t>
            </w:r>
          </w:p>
        </w:tc>
        <w:tc>
          <w:tcPr>
            <w:tcW w:w="4535"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9F1005" w:rsidRPr="00A33A60" w:rsidRDefault="009F1005" w:rsidP="00884C4D">
            <w:pPr>
              <w:rPr>
                <w:rFonts w:eastAsiaTheme="minorHAnsi" w:cs="Arial"/>
                <w:sz w:val="20"/>
                <w:szCs w:val="20"/>
              </w:rPr>
            </w:pPr>
            <w:r>
              <w:rPr>
                <w:rFonts w:cs="Arial"/>
                <w:sz w:val="20"/>
                <w:szCs w:val="20"/>
              </w:rPr>
              <w:t xml:space="preserve">Canadian </w:t>
            </w:r>
            <w:r w:rsidRPr="00A33A60">
              <w:rPr>
                <w:rFonts w:cs="Arial"/>
                <w:sz w:val="20"/>
                <w:szCs w:val="20"/>
              </w:rPr>
              <w:t>Food Inspection Agency (</w:t>
            </w:r>
            <w:r>
              <w:rPr>
                <w:rFonts w:cs="Arial"/>
                <w:sz w:val="20"/>
                <w:szCs w:val="20"/>
              </w:rPr>
              <w:t>CFIA</w:t>
            </w:r>
            <w:r w:rsidRPr="00A33A60">
              <w:rPr>
                <w:rFonts w:cs="Arial"/>
                <w:sz w:val="20"/>
                <w:szCs w:val="20"/>
              </w:rPr>
              <w:t>)</w:t>
            </w:r>
          </w:p>
        </w:tc>
        <w:tc>
          <w:tcPr>
            <w:tcW w:w="2738"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9F1005" w:rsidRPr="00906021" w:rsidRDefault="009F1005" w:rsidP="00884C4D">
            <w:pPr>
              <w:rPr>
                <w:rFonts w:eastAsiaTheme="minorHAnsi" w:cs="Arial"/>
                <w:sz w:val="20"/>
                <w:szCs w:val="20"/>
              </w:rPr>
            </w:pPr>
            <w:r w:rsidRPr="00906021">
              <w:rPr>
                <w:rFonts w:cs="Arial"/>
                <w:sz w:val="20"/>
                <w:szCs w:val="20"/>
              </w:rPr>
              <w:t xml:space="preserve">Environment and animal </w:t>
            </w:r>
            <w:proofErr w:type="gramStart"/>
            <w:r w:rsidRPr="00906021">
              <w:rPr>
                <w:rFonts w:cs="Arial"/>
                <w:sz w:val="20"/>
                <w:szCs w:val="20"/>
              </w:rPr>
              <w:t>feed</w:t>
            </w:r>
            <w:r>
              <w:rPr>
                <w:rFonts w:cs="Arial"/>
                <w:sz w:val="20"/>
                <w:szCs w:val="20"/>
              </w:rPr>
              <w:t>,</w:t>
            </w:r>
            <w:proofErr w:type="gramEnd"/>
            <w:r>
              <w:rPr>
                <w:rFonts w:cs="Arial"/>
                <w:sz w:val="20"/>
                <w:szCs w:val="20"/>
              </w:rPr>
              <w:t xml:space="preserve"> </w:t>
            </w:r>
            <w:r w:rsidRPr="00906021">
              <w:rPr>
                <w:rFonts w:cs="Arial"/>
                <w:sz w:val="20"/>
                <w:szCs w:val="20"/>
              </w:rPr>
              <w:t>approv</w:t>
            </w:r>
            <w:r>
              <w:rPr>
                <w:rFonts w:cs="Arial"/>
                <w:sz w:val="20"/>
                <w:szCs w:val="20"/>
              </w:rPr>
              <w:t>ed</w:t>
            </w:r>
            <w:r w:rsidRPr="00906021">
              <w:rPr>
                <w:rFonts w:cs="Arial"/>
                <w:sz w:val="20"/>
                <w:szCs w:val="20"/>
              </w:rPr>
              <w:t xml:space="preserve"> May </w:t>
            </w:r>
            <w:r>
              <w:rPr>
                <w:rFonts w:cs="Arial"/>
                <w:sz w:val="20"/>
                <w:szCs w:val="20"/>
              </w:rPr>
              <w:t>2</w:t>
            </w:r>
            <w:r w:rsidRPr="00906021">
              <w:rPr>
                <w:rFonts w:cs="Arial"/>
                <w:sz w:val="20"/>
                <w:szCs w:val="20"/>
              </w:rPr>
              <w:t>012.</w:t>
            </w:r>
          </w:p>
        </w:tc>
      </w:tr>
      <w:tr w:rsidR="009F1005" w:rsidTr="00292C9D">
        <w:trPr>
          <w:trHeight w:val="315"/>
        </w:trPr>
        <w:tc>
          <w:tcPr>
            <w:tcW w:w="0" w:type="auto"/>
            <w:vMerge/>
            <w:tcBorders>
              <w:top w:val="nil"/>
              <w:left w:val="nil"/>
              <w:bottom w:val="single" w:sz="8" w:space="0" w:color="626469"/>
              <w:right w:val="nil"/>
            </w:tcBorders>
            <w:vAlign w:val="center"/>
            <w:hideMark/>
          </w:tcPr>
          <w:p w:rsidR="009F1005" w:rsidRPr="00A33A60" w:rsidRDefault="009F1005" w:rsidP="00884C4D">
            <w:pPr>
              <w:rPr>
                <w:rFonts w:eastAsiaTheme="minorHAnsi" w:cs="Arial"/>
                <w:sz w:val="20"/>
                <w:szCs w:val="20"/>
              </w:rPr>
            </w:pPr>
          </w:p>
        </w:tc>
        <w:tc>
          <w:tcPr>
            <w:tcW w:w="4535"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9F1005" w:rsidRPr="00A33A60" w:rsidRDefault="009F1005" w:rsidP="00884C4D">
            <w:pPr>
              <w:rPr>
                <w:rFonts w:eastAsiaTheme="minorHAnsi" w:cs="Arial"/>
                <w:sz w:val="20"/>
                <w:szCs w:val="20"/>
              </w:rPr>
            </w:pPr>
            <w:r w:rsidRPr="00A33A60">
              <w:rPr>
                <w:rFonts w:cs="Arial"/>
                <w:sz w:val="20"/>
                <w:szCs w:val="20"/>
              </w:rPr>
              <w:t>Health Canada</w:t>
            </w:r>
            <w:r>
              <w:rPr>
                <w:rFonts w:cs="Arial"/>
                <w:sz w:val="20"/>
                <w:szCs w:val="20"/>
              </w:rPr>
              <w:t xml:space="preserve"> (HC)</w:t>
            </w:r>
          </w:p>
        </w:tc>
        <w:tc>
          <w:tcPr>
            <w:tcW w:w="2738"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9F1005" w:rsidRPr="00906021" w:rsidRDefault="009F1005" w:rsidP="00884C4D">
            <w:pPr>
              <w:rPr>
                <w:rFonts w:eastAsiaTheme="minorHAnsi" w:cs="Arial"/>
                <w:sz w:val="20"/>
                <w:szCs w:val="20"/>
              </w:rPr>
            </w:pPr>
            <w:r w:rsidRPr="00906021">
              <w:rPr>
                <w:rFonts w:cs="Arial"/>
                <w:sz w:val="20"/>
                <w:szCs w:val="20"/>
              </w:rPr>
              <w:t>Food</w:t>
            </w:r>
            <w:r>
              <w:rPr>
                <w:rFonts w:cs="Arial"/>
                <w:sz w:val="20"/>
                <w:szCs w:val="20"/>
              </w:rPr>
              <w:t>, a</w:t>
            </w:r>
            <w:r w:rsidRPr="00906021">
              <w:rPr>
                <w:rFonts w:cs="Arial"/>
                <w:sz w:val="20"/>
                <w:szCs w:val="20"/>
              </w:rPr>
              <w:t>pprov</w:t>
            </w:r>
            <w:r>
              <w:rPr>
                <w:rFonts w:cs="Arial"/>
                <w:sz w:val="20"/>
                <w:szCs w:val="20"/>
              </w:rPr>
              <w:t xml:space="preserve">ed </w:t>
            </w:r>
            <w:r w:rsidR="00C365AF">
              <w:rPr>
                <w:rFonts w:cs="Arial"/>
                <w:sz w:val="20"/>
                <w:szCs w:val="20"/>
              </w:rPr>
              <w:t xml:space="preserve">May </w:t>
            </w:r>
            <w:r w:rsidRPr="00906021">
              <w:rPr>
                <w:rFonts w:cs="Arial"/>
                <w:sz w:val="20"/>
                <w:szCs w:val="20"/>
              </w:rPr>
              <w:t>2012.</w:t>
            </w:r>
          </w:p>
        </w:tc>
      </w:tr>
      <w:tr w:rsidR="009F1005" w:rsidTr="00292C9D">
        <w:trPr>
          <w:trHeight w:val="315"/>
        </w:trPr>
        <w:tc>
          <w:tcPr>
            <w:tcW w:w="1400" w:type="dxa"/>
            <w:vMerge w:val="restart"/>
            <w:tcBorders>
              <w:top w:val="nil"/>
              <w:left w:val="nil"/>
              <w:right w:val="nil"/>
            </w:tcBorders>
            <w:shd w:val="clear" w:color="auto" w:fill="auto"/>
            <w:tcMar>
              <w:top w:w="0" w:type="dxa"/>
              <w:left w:w="108" w:type="dxa"/>
              <w:bottom w:w="0" w:type="dxa"/>
              <w:right w:w="108" w:type="dxa"/>
            </w:tcMar>
            <w:vAlign w:val="center"/>
            <w:hideMark/>
          </w:tcPr>
          <w:p w:rsidR="009F1005" w:rsidRPr="00A33A60" w:rsidRDefault="009F1005" w:rsidP="00884C4D">
            <w:pPr>
              <w:rPr>
                <w:rFonts w:eastAsiaTheme="minorHAnsi" w:cs="Arial"/>
                <w:sz w:val="20"/>
                <w:szCs w:val="20"/>
              </w:rPr>
            </w:pPr>
            <w:r w:rsidRPr="00A33A60">
              <w:rPr>
                <w:rFonts w:cs="Arial"/>
                <w:sz w:val="20"/>
                <w:szCs w:val="20"/>
              </w:rPr>
              <w:t>Japan</w:t>
            </w:r>
          </w:p>
        </w:tc>
        <w:tc>
          <w:tcPr>
            <w:tcW w:w="4535" w:type="dxa"/>
            <w:tcBorders>
              <w:top w:val="nil"/>
              <w:left w:val="nil"/>
              <w:bottom w:val="single" w:sz="8" w:space="0" w:color="626469"/>
              <w:right w:val="nil"/>
            </w:tcBorders>
            <w:shd w:val="clear" w:color="auto" w:fill="auto"/>
            <w:tcMar>
              <w:top w:w="0" w:type="dxa"/>
              <w:left w:w="108" w:type="dxa"/>
              <w:bottom w:w="0" w:type="dxa"/>
              <w:right w:w="108" w:type="dxa"/>
            </w:tcMar>
            <w:vAlign w:val="center"/>
            <w:hideMark/>
          </w:tcPr>
          <w:p w:rsidR="009F1005" w:rsidRPr="00A33A60" w:rsidRDefault="009F1005" w:rsidP="00884C4D">
            <w:pPr>
              <w:rPr>
                <w:rFonts w:eastAsiaTheme="minorHAnsi" w:cs="Arial"/>
                <w:sz w:val="20"/>
                <w:szCs w:val="20"/>
              </w:rPr>
            </w:pPr>
            <w:r w:rsidRPr="00A33A60">
              <w:rPr>
                <w:rFonts w:cs="Arial"/>
                <w:sz w:val="20"/>
                <w:szCs w:val="20"/>
              </w:rPr>
              <w:t>Ministry of Health, Labor, and Welfare (</w:t>
            </w:r>
            <w:r>
              <w:rPr>
                <w:rFonts w:cs="Arial"/>
                <w:sz w:val="20"/>
                <w:szCs w:val="20"/>
              </w:rPr>
              <w:t>MHLW</w:t>
            </w:r>
            <w:r w:rsidRPr="00A33A60">
              <w:rPr>
                <w:rFonts w:cs="Arial"/>
                <w:sz w:val="20"/>
                <w:szCs w:val="20"/>
              </w:rPr>
              <w:t>)</w:t>
            </w:r>
          </w:p>
        </w:tc>
        <w:tc>
          <w:tcPr>
            <w:tcW w:w="2738" w:type="dxa"/>
            <w:tcBorders>
              <w:top w:val="nil"/>
              <w:left w:val="nil"/>
              <w:bottom w:val="single" w:sz="8" w:space="0" w:color="626469"/>
              <w:right w:val="nil"/>
            </w:tcBorders>
            <w:shd w:val="clear" w:color="auto" w:fill="auto"/>
            <w:tcMar>
              <w:top w:w="0" w:type="dxa"/>
              <w:left w:w="108" w:type="dxa"/>
              <w:bottom w:w="0" w:type="dxa"/>
              <w:right w:w="108" w:type="dxa"/>
            </w:tcMar>
            <w:vAlign w:val="center"/>
            <w:hideMark/>
          </w:tcPr>
          <w:p w:rsidR="009F1005" w:rsidRPr="00906021" w:rsidRDefault="009F1005" w:rsidP="00C365AF">
            <w:pPr>
              <w:rPr>
                <w:rFonts w:eastAsiaTheme="minorHAnsi" w:cs="Arial"/>
                <w:sz w:val="20"/>
                <w:szCs w:val="20"/>
              </w:rPr>
            </w:pPr>
            <w:r w:rsidRPr="00906021">
              <w:rPr>
                <w:rFonts w:cs="Arial"/>
                <w:sz w:val="20"/>
                <w:szCs w:val="20"/>
              </w:rPr>
              <w:t xml:space="preserve">Food use, submitted </w:t>
            </w:r>
            <w:r w:rsidR="00C365AF">
              <w:rPr>
                <w:rFonts w:cs="Arial"/>
                <w:sz w:val="20"/>
                <w:szCs w:val="20"/>
              </w:rPr>
              <w:t xml:space="preserve">January </w:t>
            </w:r>
            <w:r w:rsidRPr="00906021">
              <w:rPr>
                <w:rFonts w:cs="Arial"/>
                <w:sz w:val="20"/>
                <w:szCs w:val="20"/>
              </w:rPr>
              <w:t>2013.</w:t>
            </w:r>
          </w:p>
        </w:tc>
      </w:tr>
      <w:tr w:rsidR="009F1005" w:rsidTr="00292C9D">
        <w:trPr>
          <w:trHeight w:val="315"/>
        </w:trPr>
        <w:tc>
          <w:tcPr>
            <w:tcW w:w="1400" w:type="dxa"/>
            <w:vMerge/>
            <w:tcBorders>
              <w:left w:val="nil"/>
              <w:bottom w:val="single" w:sz="8" w:space="0" w:color="626469"/>
              <w:right w:val="nil"/>
            </w:tcBorders>
            <w:shd w:val="clear" w:color="auto" w:fill="auto"/>
            <w:tcMar>
              <w:top w:w="0" w:type="dxa"/>
              <w:left w:w="108" w:type="dxa"/>
              <w:bottom w:w="0" w:type="dxa"/>
              <w:right w:w="108" w:type="dxa"/>
            </w:tcMar>
            <w:vAlign w:val="center"/>
          </w:tcPr>
          <w:p w:rsidR="009F1005" w:rsidRPr="00A33A60" w:rsidRDefault="009F1005" w:rsidP="00884C4D">
            <w:pPr>
              <w:rPr>
                <w:rFonts w:cs="Arial"/>
                <w:sz w:val="20"/>
                <w:szCs w:val="20"/>
              </w:rPr>
            </w:pPr>
          </w:p>
        </w:tc>
        <w:tc>
          <w:tcPr>
            <w:tcW w:w="4535" w:type="dxa"/>
            <w:tcBorders>
              <w:top w:val="nil"/>
              <w:left w:val="nil"/>
              <w:bottom w:val="single" w:sz="8" w:space="0" w:color="626469"/>
              <w:right w:val="nil"/>
            </w:tcBorders>
            <w:shd w:val="clear" w:color="auto" w:fill="auto"/>
            <w:tcMar>
              <w:top w:w="0" w:type="dxa"/>
              <w:left w:w="108" w:type="dxa"/>
              <w:bottom w:w="0" w:type="dxa"/>
              <w:right w:w="108" w:type="dxa"/>
            </w:tcMar>
            <w:vAlign w:val="center"/>
          </w:tcPr>
          <w:p w:rsidR="009F1005" w:rsidRPr="00A33A60" w:rsidRDefault="009F1005" w:rsidP="00884C4D">
            <w:pPr>
              <w:rPr>
                <w:rFonts w:cs="Arial"/>
                <w:sz w:val="20"/>
                <w:szCs w:val="20"/>
              </w:rPr>
            </w:pPr>
            <w:r>
              <w:rPr>
                <w:rFonts w:cs="Arial"/>
                <w:sz w:val="20"/>
                <w:szCs w:val="20"/>
              </w:rPr>
              <w:t>Ministry of Agriculture, Forestry and Fisheries (MAFF)</w:t>
            </w:r>
          </w:p>
        </w:tc>
        <w:tc>
          <w:tcPr>
            <w:tcW w:w="2738" w:type="dxa"/>
            <w:tcBorders>
              <w:top w:val="nil"/>
              <w:left w:val="nil"/>
              <w:bottom w:val="single" w:sz="8" w:space="0" w:color="626469"/>
              <w:right w:val="nil"/>
            </w:tcBorders>
            <w:shd w:val="clear" w:color="auto" w:fill="auto"/>
            <w:tcMar>
              <w:top w:w="0" w:type="dxa"/>
              <w:left w:w="108" w:type="dxa"/>
              <w:bottom w:w="0" w:type="dxa"/>
              <w:right w:w="108" w:type="dxa"/>
            </w:tcMar>
            <w:vAlign w:val="center"/>
          </w:tcPr>
          <w:p w:rsidR="009F1005" w:rsidRPr="00906021" w:rsidRDefault="009F1005" w:rsidP="00C365AF">
            <w:pPr>
              <w:rPr>
                <w:rFonts w:cs="Arial"/>
                <w:sz w:val="20"/>
                <w:szCs w:val="20"/>
              </w:rPr>
            </w:pPr>
            <w:r w:rsidRPr="00906021">
              <w:rPr>
                <w:rFonts w:cs="Arial"/>
                <w:sz w:val="20"/>
                <w:szCs w:val="20"/>
              </w:rPr>
              <w:t>Environment</w:t>
            </w:r>
            <w:r w:rsidR="00C365AF">
              <w:rPr>
                <w:rFonts w:cs="Arial"/>
                <w:sz w:val="20"/>
                <w:szCs w:val="20"/>
              </w:rPr>
              <w:t>/import and feed</w:t>
            </w:r>
            <w:r w:rsidRPr="00906021">
              <w:rPr>
                <w:rFonts w:cs="Arial"/>
                <w:sz w:val="20"/>
                <w:szCs w:val="20"/>
              </w:rPr>
              <w:t xml:space="preserve">, submitted </w:t>
            </w:r>
            <w:r w:rsidR="00C365AF">
              <w:rPr>
                <w:rFonts w:cs="Arial"/>
                <w:sz w:val="20"/>
                <w:szCs w:val="20"/>
              </w:rPr>
              <w:t xml:space="preserve">July </w:t>
            </w:r>
            <w:r w:rsidRPr="00906021">
              <w:rPr>
                <w:rFonts w:cs="Arial"/>
                <w:sz w:val="20"/>
                <w:szCs w:val="20"/>
              </w:rPr>
              <w:t>2012</w:t>
            </w:r>
            <w:r w:rsidR="00C365AF">
              <w:rPr>
                <w:rFonts w:cs="Arial"/>
                <w:sz w:val="20"/>
                <w:szCs w:val="20"/>
              </w:rPr>
              <w:t xml:space="preserve"> and April 2013 respectively</w:t>
            </w:r>
            <w:r w:rsidRPr="00906021">
              <w:rPr>
                <w:rFonts w:cs="Arial"/>
                <w:sz w:val="20"/>
                <w:szCs w:val="20"/>
              </w:rPr>
              <w:t xml:space="preserve">. </w:t>
            </w:r>
          </w:p>
        </w:tc>
      </w:tr>
      <w:tr w:rsidR="009F1005" w:rsidTr="00292C9D">
        <w:trPr>
          <w:trHeight w:val="315"/>
        </w:trPr>
        <w:tc>
          <w:tcPr>
            <w:tcW w:w="1400" w:type="dxa"/>
            <w:vMerge w:val="restart"/>
            <w:tcBorders>
              <w:top w:val="nil"/>
              <w:left w:val="nil"/>
              <w:bottom w:val="single" w:sz="8" w:space="0" w:color="626469"/>
              <w:right w:val="nil"/>
            </w:tcBorders>
            <w:shd w:val="clear" w:color="auto" w:fill="D9D9D9" w:themeFill="background1" w:themeFillShade="D9"/>
            <w:tcMar>
              <w:top w:w="0" w:type="dxa"/>
              <w:left w:w="108" w:type="dxa"/>
              <w:bottom w:w="0" w:type="dxa"/>
              <w:right w:w="108" w:type="dxa"/>
            </w:tcMar>
            <w:vAlign w:val="center"/>
            <w:hideMark/>
          </w:tcPr>
          <w:p w:rsidR="009F1005" w:rsidRPr="00A33A60" w:rsidRDefault="009F1005" w:rsidP="00884C4D">
            <w:pPr>
              <w:rPr>
                <w:rFonts w:eastAsiaTheme="minorHAnsi" w:cs="Arial"/>
                <w:sz w:val="20"/>
                <w:szCs w:val="20"/>
              </w:rPr>
            </w:pPr>
            <w:r w:rsidRPr="00A33A60">
              <w:rPr>
                <w:rFonts w:cs="Arial"/>
                <w:sz w:val="20"/>
                <w:szCs w:val="20"/>
              </w:rPr>
              <w:t>Korea</w:t>
            </w:r>
          </w:p>
        </w:tc>
        <w:tc>
          <w:tcPr>
            <w:tcW w:w="4535" w:type="dxa"/>
            <w:tcBorders>
              <w:top w:val="nil"/>
              <w:left w:val="nil"/>
              <w:bottom w:val="single" w:sz="8" w:space="0" w:color="626469"/>
              <w:right w:val="nil"/>
            </w:tcBorders>
            <w:shd w:val="clear" w:color="auto" w:fill="D9D9D9" w:themeFill="background1" w:themeFillShade="D9"/>
            <w:tcMar>
              <w:top w:w="0" w:type="dxa"/>
              <w:left w:w="108" w:type="dxa"/>
              <w:bottom w:w="0" w:type="dxa"/>
              <w:right w:w="108" w:type="dxa"/>
            </w:tcMar>
            <w:vAlign w:val="center"/>
            <w:hideMark/>
          </w:tcPr>
          <w:p w:rsidR="009F1005" w:rsidRPr="00A33A60" w:rsidRDefault="009F1005" w:rsidP="00884C4D">
            <w:pPr>
              <w:rPr>
                <w:rFonts w:eastAsiaTheme="minorHAnsi" w:cs="Arial"/>
                <w:sz w:val="20"/>
                <w:szCs w:val="20"/>
              </w:rPr>
            </w:pPr>
            <w:r w:rsidRPr="00A33A60">
              <w:rPr>
                <w:rFonts w:cs="Arial"/>
                <w:sz w:val="20"/>
                <w:szCs w:val="20"/>
              </w:rPr>
              <w:t>Ministry of Food and Drug Safety (Formerly Korea Food and Drug Administration)</w:t>
            </w:r>
          </w:p>
        </w:tc>
        <w:tc>
          <w:tcPr>
            <w:tcW w:w="2738" w:type="dxa"/>
            <w:tcBorders>
              <w:top w:val="nil"/>
              <w:left w:val="nil"/>
              <w:bottom w:val="single" w:sz="8" w:space="0" w:color="626469"/>
              <w:right w:val="nil"/>
            </w:tcBorders>
            <w:shd w:val="clear" w:color="auto" w:fill="D9D9D9" w:themeFill="background1" w:themeFillShade="D9"/>
            <w:tcMar>
              <w:top w:w="0" w:type="dxa"/>
              <w:left w:w="108" w:type="dxa"/>
              <w:bottom w:w="0" w:type="dxa"/>
              <w:right w:w="108" w:type="dxa"/>
            </w:tcMar>
            <w:vAlign w:val="center"/>
            <w:hideMark/>
          </w:tcPr>
          <w:p w:rsidR="009F1005" w:rsidRPr="00906021" w:rsidRDefault="009F1005" w:rsidP="00884C4D">
            <w:pPr>
              <w:rPr>
                <w:rFonts w:eastAsiaTheme="minorHAnsi" w:cs="Arial"/>
                <w:sz w:val="20"/>
                <w:szCs w:val="20"/>
              </w:rPr>
            </w:pPr>
            <w:r w:rsidRPr="00906021">
              <w:rPr>
                <w:rFonts w:cs="Arial"/>
                <w:sz w:val="20"/>
                <w:szCs w:val="20"/>
              </w:rPr>
              <w:t>Food approval</w:t>
            </w:r>
            <w:r>
              <w:rPr>
                <w:rFonts w:cs="Arial"/>
                <w:sz w:val="20"/>
                <w:szCs w:val="20"/>
              </w:rPr>
              <w:t xml:space="preserve">, submitted </w:t>
            </w:r>
            <w:r w:rsidR="00C365AF">
              <w:rPr>
                <w:rFonts w:cs="Arial"/>
                <w:sz w:val="20"/>
                <w:szCs w:val="20"/>
              </w:rPr>
              <w:t xml:space="preserve">November </w:t>
            </w:r>
            <w:r>
              <w:rPr>
                <w:rFonts w:cs="Arial"/>
                <w:sz w:val="20"/>
                <w:szCs w:val="20"/>
              </w:rPr>
              <w:t>2012.</w:t>
            </w:r>
          </w:p>
        </w:tc>
      </w:tr>
      <w:tr w:rsidR="009F1005" w:rsidTr="00292C9D">
        <w:trPr>
          <w:trHeight w:val="315"/>
        </w:trPr>
        <w:tc>
          <w:tcPr>
            <w:tcW w:w="0" w:type="auto"/>
            <w:vMerge/>
            <w:tcBorders>
              <w:top w:val="nil"/>
              <w:left w:val="nil"/>
              <w:bottom w:val="single" w:sz="4" w:space="0" w:color="auto"/>
              <w:right w:val="nil"/>
            </w:tcBorders>
            <w:shd w:val="clear" w:color="auto" w:fill="D9D9D9" w:themeFill="background1" w:themeFillShade="D9"/>
            <w:vAlign w:val="center"/>
            <w:hideMark/>
          </w:tcPr>
          <w:p w:rsidR="009F1005" w:rsidRPr="00A33A60" w:rsidRDefault="009F1005" w:rsidP="00884C4D">
            <w:pPr>
              <w:rPr>
                <w:rFonts w:eastAsiaTheme="minorHAnsi" w:cs="Arial"/>
                <w:sz w:val="20"/>
                <w:szCs w:val="20"/>
              </w:rPr>
            </w:pPr>
          </w:p>
        </w:tc>
        <w:tc>
          <w:tcPr>
            <w:tcW w:w="4535" w:type="dxa"/>
            <w:tcBorders>
              <w:top w:val="nil"/>
              <w:left w:val="nil"/>
              <w:bottom w:val="single" w:sz="4" w:space="0" w:color="auto"/>
              <w:right w:val="nil"/>
            </w:tcBorders>
            <w:shd w:val="clear" w:color="auto" w:fill="D9D9D9" w:themeFill="background1" w:themeFillShade="D9"/>
            <w:tcMar>
              <w:top w:w="0" w:type="dxa"/>
              <w:left w:w="108" w:type="dxa"/>
              <w:bottom w:w="0" w:type="dxa"/>
              <w:right w:w="108" w:type="dxa"/>
            </w:tcMar>
            <w:vAlign w:val="center"/>
            <w:hideMark/>
          </w:tcPr>
          <w:p w:rsidR="009F1005" w:rsidRPr="00A33A60" w:rsidRDefault="009F1005" w:rsidP="00884C4D">
            <w:pPr>
              <w:rPr>
                <w:rFonts w:eastAsiaTheme="minorHAnsi" w:cs="Arial"/>
                <w:sz w:val="20"/>
                <w:szCs w:val="20"/>
              </w:rPr>
            </w:pPr>
            <w:r w:rsidRPr="00A33A60">
              <w:rPr>
                <w:rFonts w:cs="Arial"/>
                <w:sz w:val="20"/>
                <w:szCs w:val="20"/>
              </w:rPr>
              <w:t>Rural Development Administration (</w:t>
            </w:r>
            <w:r>
              <w:rPr>
                <w:rFonts w:cs="Arial"/>
                <w:sz w:val="20"/>
                <w:szCs w:val="20"/>
              </w:rPr>
              <w:t>RDA</w:t>
            </w:r>
            <w:r w:rsidRPr="00A33A60">
              <w:rPr>
                <w:rFonts w:cs="Arial"/>
                <w:sz w:val="20"/>
                <w:szCs w:val="20"/>
              </w:rPr>
              <w:t>)</w:t>
            </w:r>
          </w:p>
        </w:tc>
        <w:tc>
          <w:tcPr>
            <w:tcW w:w="2738" w:type="dxa"/>
            <w:tcBorders>
              <w:top w:val="nil"/>
              <w:left w:val="nil"/>
              <w:bottom w:val="single" w:sz="4" w:space="0" w:color="auto"/>
              <w:right w:val="nil"/>
            </w:tcBorders>
            <w:shd w:val="clear" w:color="auto" w:fill="D9D9D9" w:themeFill="background1" w:themeFillShade="D9"/>
            <w:tcMar>
              <w:top w:w="0" w:type="dxa"/>
              <w:left w:w="108" w:type="dxa"/>
              <w:bottom w:w="0" w:type="dxa"/>
              <w:right w:w="108" w:type="dxa"/>
            </w:tcMar>
            <w:vAlign w:val="center"/>
            <w:hideMark/>
          </w:tcPr>
          <w:p w:rsidR="009F1005" w:rsidRPr="00906021" w:rsidRDefault="009F1005" w:rsidP="00884C4D">
            <w:pPr>
              <w:rPr>
                <w:rFonts w:eastAsiaTheme="minorHAnsi" w:cs="Arial"/>
                <w:sz w:val="20"/>
                <w:szCs w:val="20"/>
              </w:rPr>
            </w:pPr>
            <w:r w:rsidRPr="00906021">
              <w:rPr>
                <w:rFonts w:cs="Arial"/>
                <w:sz w:val="20"/>
                <w:szCs w:val="20"/>
              </w:rPr>
              <w:t>Feed approval</w:t>
            </w:r>
            <w:r>
              <w:rPr>
                <w:rFonts w:cs="Arial"/>
                <w:sz w:val="20"/>
                <w:szCs w:val="20"/>
              </w:rPr>
              <w:t xml:space="preserve">, submitted </w:t>
            </w:r>
            <w:r w:rsidR="00C365AF">
              <w:rPr>
                <w:rFonts w:cs="Arial"/>
                <w:sz w:val="20"/>
                <w:szCs w:val="20"/>
              </w:rPr>
              <w:t xml:space="preserve">November </w:t>
            </w:r>
            <w:r>
              <w:rPr>
                <w:rFonts w:cs="Arial"/>
                <w:sz w:val="20"/>
                <w:szCs w:val="20"/>
              </w:rPr>
              <w:t>2012.</w:t>
            </w:r>
          </w:p>
        </w:tc>
      </w:tr>
      <w:tr w:rsidR="009F1005" w:rsidTr="00292C9D">
        <w:trPr>
          <w:trHeight w:val="315"/>
        </w:trPr>
        <w:tc>
          <w:tcPr>
            <w:tcW w:w="0" w:type="auto"/>
            <w:tcBorders>
              <w:top w:val="single" w:sz="4" w:space="0" w:color="auto"/>
              <w:left w:val="nil"/>
              <w:bottom w:val="single" w:sz="4" w:space="0" w:color="auto"/>
              <w:right w:val="nil"/>
            </w:tcBorders>
            <w:shd w:val="clear" w:color="auto" w:fill="auto"/>
            <w:vAlign w:val="center"/>
          </w:tcPr>
          <w:p w:rsidR="009F1005" w:rsidRPr="00A33A60" w:rsidRDefault="009F1005" w:rsidP="009F1005">
            <w:pPr>
              <w:rPr>
                <w:rFonts w:eastAsiaTheme="minorHAnsi" w:cs="Arial"/>
                <w:sz w:val="20"/>
                <w:szCs w:val="20"/>
              </w:rPr>
            </w:pPr>
            <w:r>
              <w:rPr>
                <w:rFonts w:eastAsiaTheme="minorHAnsi" w:cs="Arial"/>
                <w:sz w:val="20"/>
                <w:szCs w:val="20"/>
              </w:rPr>
              <w:t xml:space="preserve">  Mexico</w:t>
            </w:r>
          </w:p>
        </w:tc>
        <w:tc>
          <w:tcPr>
            <w:tcW w:w="4535" w:type="dxa"/>
            <w:tcBorders>
              <w:top w:val="single" w:sz="4" w:space="0" w:color="auto"/>
              <w:left w:val="nil"/>
              <w:bottom w:val="single" w:sz="4" w:space="0" w:color="auto"/>
              <w:right w:val="nil"/>
            </w:tcBorders>
            <w:shd w:val="clear" w:color="auto" w:fill="auto"/>
            <w:tcMar>
              <w:top w:w="0" w:type="dxa"/>
              <w:left w:w="108" w:type="dxa"/>
              <w:bottom w:w="0" w:type="dxa"/>
              <w:right w:w="108" w:type="dxa"/>
            </w:tcMar>
            <w:vAlign w:val="center"/>
          </w:tcPr>
          <w:p w:rsidR="009F1005" w:rsidRPr="00A33A60" w:rsidRDefault="009F1005" w:rsidP="00884C4D">
            <w:pPr>
              <w:rPr>
                <w:rFonts w:cs="Arial"/>
                <w:sz w:val="20"/>
                <w:szCs w:val="20"/>
              </w:rPr>
            </w:pPr>
            <w:r>
              <w:rPr>
                <w:rFonts w:cs="Arial"/>
                <w:sz w:val="20"/>
                <w:szCs w:val="20"/>
              </w:rPr>
              <w:t>Department of Health</w:t>
            </w:r>
          </w:p>
        </w:tc>
        <w:tc>
          <w:tcPr>
            <w:tcW w:w="2738" w:type="dxa"/>
            <w:tcBorders>
              <w:top w:val="single" w:sz="4" w:space="0" w:color="auto"/>
              <w:left w:val="nil"/>
              <w:bottom w:val="single" w:sz="4" w:space="0" w:color="auto"/>
              <w:right w:val="nil"/>
            </w:tcBorders>
            <w:shd w:val="clear" w:color="auto" w:fill="auto"/>
            <w:tcMar>
              <w:top w:w="0" w:type="dxa"/>
              <w:left w:w="108" w:type="dxa"/>
              <w:bottom w:w="0" w:type="dxa"/>
              <w:right w:w="108" w:type="dxa"/>
            </w:tcMar>
            <w:vAlign w:val="center"/>
          </w:tcPr>
          <w:p w:rsidR="009F1005" w:rsidRPr="00906021" w:rsidRDefault="009F1005" w:rsidP="00884C4D">
            <w:pPr>
              <w:rPr>
                <w:rFonts w:cs="Arial"/>
                <w:sz w:val="20"/>
                <w:szCs w:val="20"/>
              </w:rPr>
            </w:pPr>
            <w:r>
              <w:rPr>
                <w:rFonts w:cs="Arial"/>
                <w:sz w:val="20"/>
                <w:szCs w:val="20"/>
              </w:rPr>
              <w:t xml:space="preserve">Food and feed, approved in July 2012. </w:t>
            </w:r>
          </w:p>
        </w:tc>
      </w:tr>
      <w:tr w:rsidR="009F1005" w:rsidTr="00292C9D">
        <w:trPr>
          <w:trHeight w:val="315"/>
        </w:trPr>
        <w:tc>
          <w:tcPr>
            <w:tcW w:w="0" w:type="auto"/>
            <w:tcBorders>
              <w:top w:val="single" w:sz="4" w:space="0" w:color="auto"/>
              <w:left w:val="nil"/>
              <w:bottom w:val="nil"/>
              <w:right w:val="nil"/>
            </w:tcBorders>
            <w:shd w:val="clear" w:color="auto" w:fill="D9D9D9" w:themeFill="background1" w:themeFillShade="D9"/>
            <w:vAlign w:val="center"/>
          </w:tcPr>
          <w:p w:rsidR="009F1005" w:rsidRPr="00A33A60" w:rsidRDefault="009F1005" w:rsidP="00884C4D">
            <w:pPr>
              <w:ind w:left="123" w:hanging="123"/>
              <w:rPr>
                <w:rFonts w:eastAsiaTheme="minorHAnsi" w:cs="Arial"/>
                <w:sz w:val="20"/>
                <w:szCs w:val="20"/>
              </w:rPr>
            </w:pPr>
            <w:r>
              <w:rPr>
                <w:rFonts w:eastAsiaTheme="minorHAnsi" w:cs="Arial"/>
                <w:sz w:val="20"/>
                <w:szCs w:val="20"/>
              </w:rPr>
              <w:t xml:space="preserve">  European Union</w:t>
            </w:r>
          </w:p>
        </w:tc>
        <w:tc>
          <w:tcPr>
            <w:tcW w:w="4535" w:type="dxa"/>
            <w:tcBorders>
              <w:top w:val="single" w:sz="4" w:space="0" w:color="auto"/>
              <w:left w:val="nil"/>
              <w:bottom w:val="nil"/>
              <w:right w:val="nil"/>
            </w:tcBorders>
            <w:shd w:val="clear" w:color="auto" w:fill="D9D9D9" w:themeFill="background1" w:themeFillShade="D9"/>
            <w:tcMar>
              <w:top w:w="0" w:type="dxa"/>
              <w:left w:w="108" w:type="dxa"/>
              <w:bottom w:w="0" w:type="dxa"/>
              <w:right w:w="108" w:type="dxa"/>
            </w:tcMar>
            <w:vAlign w:val="center"/>
          </w:tcPr>
          <w:p w:rsidR="009F1005" w:rsidRPr="00A33A60" w:rsidRDefault="009F1005" w:rsidP="00884C4D">
            <w:pPr>
              <w:rPr>
                <w:rFonts w:cs="Arial"/>
                <w:sz w:val="20"/>
                <w:szCs w:val="20"/>
              </w:rPr>
            </w:pPr>
            <w:r>
              <w:rPr>
                <w:rFonts w:cs="Arial"/>
                <w:sz w:val="20"/>
                <w:szCs w:val="20"/>
              </w:rPr>
              <w:t>European Food Safety Authority (EFSA)</w:t>
            </w:r>
          </w:p>
        </w:tc>
        <w:tc>
          <w:tcPr>
            <w:tcW w:w="2738" w:type="dxa"/>
            <w:tcBorders>
              <w:top w:val="single" w:sz="4" w:space="0" w:color="auto"/>
              <w:left w:val="nil"/>
              <w:bottom w:val="nil"/>
              <w:right w:val="nil"/>
            </w:tcBorders>
            <w:shd w:val="clear" w:color="auto" w:fill="D9D9D9" w:themeFill="background1" w:themeFillShade="D9"/>
            <w:tcMar>
              <w:top w:w="0" w:type="dxa"/>
              <w:left w:w="108" w:type="dxa"/>
              <w:bottom w:w="0" w:type="dxa"/>
              <w:right w:w="108" w:type="dxa"/>
            </w:tcMar>
            <w:vAlign w:val="center"/>
          </w:tcPr>
          <w:p w:rsidR="009F1005" w:rsidRPr="00906021" w:rsidRDefault="009F1005" w:rsidP="00C365AF">
            <w:pPr>
              <w:rPr>
                <w:rFonts w:cs="Arial"/>
                <w:sz w:val="20"/>
                <w:szCs w:val="20"/>
              </w:rPr>
            </w:pPr>
            <w:r>
              <w:rPr>
                <w:rFonts w:cs="Arial"/>
                <w:sz w:val="20"/>
                <w:szCs w:val="20"/>
              </w:rPr>
              <w:t>Food</w:t>
            </w:r>
            <w:r w:rsidR="00C365AF">
              <w:rPr>
                <w:rFonts w:cs="Arial"/>
                <w:sz w:val="20"/>
                <w:szCs w:val="20"/>
              </w:rPr>
              <w:t xml:space="preserve"> and </w:t>
            </w:r>
            <w:r>
              <w:rPr>
                <w:rFonts w:cs="Arial"/>
                <w:sz w:val="20"/>
                <w:szCs w:val="20"/>
              </w:rPr>
              <w:t>feed</w:t>
            </w:r>
            <w:r w:rsidR="00C365AF">
              <w:rPr>
                <w:rFonts w:cs="Arial"/>
                <w:sz w:val="20"/>
                <w:szCs w:val="20"/>
              </w:rPr>
              <w:t xml:space="preserve"> for</w:t>
            </w:r>
            <w:r>
              <w:rPr>
                <w:rFonts w:cs="Arial"/>
                <w:sz w:val="20"/>
                <w:szCs w:val="20"/>
              </w:rPr>
              <w:t xml:space="preserve"> import</w:t>
            </w:r>
            <w:r w:rsidR="00C365AF">
              <w:rPr>
                <w:rFonts w:cs="Arial"/>
                <w:sz w:val="20"/>
                <w:szCs w:val="20"/>
              </w:rPr>
              <w:t xml:space="preserve">, </w:t>
            </w:r>
            <w:r>
              <w:rPr>
                <w:rFonts w:cs="Arial"/>
                <w:sz w:val="20"/>
                <w:szCs w:val="20"/>
              </w:rPr>
              <w:t>submitted May 2012.</w:t>
            </w:r>
          </w:p>
        </w:tc>
      </w:tr>
    </w:tbl>
    <w:p w:rsidR="00AE4EA8" w:rsidRPr="00272E09" w:rsidRDefault="00AE4EA8" w:rsidP="00AE4EA8">
      <w:pPr>
        <w:pStyle w:val="Heading3"/>
      </w:pPr>
      <w:bookmarkStart w:id="41" w:name="_Toc378943890"/>
      <w:r w:rsidRPr="00272E09">
        <w:t>2.5.2</w:t>
      </w:r>
      <w:r w:rsidRPr="00272E09">
        <w:tab/>
        <w:t>Subsection 18(1)</w:t>
      </w:r>
      <w:bookmarkEnd w:id="41"/>
    </w:p>
    <w:p w:rsidR="00AE4EA8" w:rsidRPr="00272E09" w:rsidRDefault="00AE4EA8" w:rsidP="00AE4EA8">
      <w:r w:rsidRPr="00272E09">
        <w:rPr>
          <w:rFonts w:cs="Arial"/>
        </w:rPr>
        <w:t xml:space="preserve">FSANZ has </w:t>
      </w:r>
      <w:r w:rsidR="005F36BA">
        <w:rPr>
          <w:rFonts w:cs="Arial"/>
        </w:rPr>
        <w:t xml:space="preserve">also </w:t>
      </w:r>
      <w:r w:rsidRPr="00272E09">
        <w:t>considered the three objectives in subsection 18(1) of the FSANZ Act during the assessment.</w:t>
      </w:r>
    </w:p>
    <w:p w:rsidR="007009C6" w:rsidRPr="00272E09" w:rsidRDefault="007009C6" w:rsidP="007009C6">
      <w:pPr>
        <w:pStyle w:val="Heading3"/>
        <w:rPr>
          <w:i/>
        </w:rPr>
      </w:pPr>
      <w:bookmarkStart w:id="42" w:name="_Toc297029117"/>
      <w:bookmarkStart w:id="43" w:name="_Toc378943891"/>
      <w:r w:rsidRPr="00272E09">
        <w:rPr>
          <w:i/>
        </w:rPr>
        <w:t>2.5.2.1</w:t>
      </w:r>
      <w:r w:rsidRPr="00272E09">
        <w:rPr>
          <w:i/>
        </w:rPr>
        <w:tab/>
        <w:t>Protection of public health and safety</w:t>
      </w:r>
      <w:bookmarkEnd w:id="42"/>
      <w:bookmarkEnd w:id="43"/>
    </w:p>
    <w:p w:rsidR="00B162A9" w:rsidRPr="005C18EC" w:rsidRDefault="00B162A9" w:rsidP="00B162A9">
      <w:r w:rsidRPr="005C18EC">
        <w:t xml:space="preserve">Food derived from </w:t>
      </w:r>
      <w:r>
        <w:t xml:space="preserve">canola line 73496 </w:t>
      </w:r>
      <w:r w:rsidRPr="005C18EC">
        <w:t xml:space="preserve">has been assessed according to the safety assessment guidelines prepared by FSANZ </w:t>
      </w:r>
      <w:r w:rsidRPr="005C18EC">
        <w:fldChar w:fldCharType="begin"/>
      </w:r>
      <w:r w:rsidRPr="005C18EC">
        <w:instrText xml:space="preserve"> ADDIN REFMGR.CITE &lt;Refman&gt;&lt;Cite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Document&lt;/Title_Primary&gt;&lt;Authors_Primary&gt;FSANZ&lt;/Authors_Primary&gt;&lt;Date_Primary&gt;2007&lt;/Date_Primary&gt;&lt;Keywords&gt;Safety&lt;/Keywords&gt;&lt;Reprint&gt;Not in File&lt;/Reprint&gt;&lt;Publisher&gt;Document prepared by Food Standards Australia New Zealand&lt;/Publisher&gt;&lt;Web_URL&gt;&lt;u&gt;http://www.foodstandards.gov.au/_srcfiles/GM%20FINAL%20Sept%2007L%20_2_.pdf&lt;/u&gt;&lt;/Web_URL&gt;&lt;ZZ_WorkformID&gt;24&lt;/ZZ_WorkformID&gt;&lt;/MDL&gt;&lt;/Cite&gt;&lt;Cite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Document&lt;/Title_Primary&gt;&lt;Authors_Primary&gt;FSANZ&lt;/Authors_Primary&gt;&lt;Date_Primary&gt;2007&lt;/Date_Primary&gt;&lt;Keywords&gt;Safety&lt;/Keywords&gt;&lt;Reprint&gt;Not in File&lt;/Reprint&gt;&lt;Publisher&gt;Document prepared by Food Standards Australia New Zealand&lt;/Publisher&gt;&lt;Web_URL&gt;&lt;u&gt;http://www.foodstandards.gov.au/_srcfiles/GM%20FINAL%20Sept%2007L%20_2_.pdf&lt;/u&gt;&lt;/Web_URL&gt;&lt;ZZ_WorkformID&gt;24&lt;/ZZ_WorkformID&gt;&lt;/MDL&gt;&lt;/Cite&gt;&lt;/Refman&gt;</w:instrText>
      </w:r>
      <w:r w:rsidRPr="005C18EC">
        <w:fldChar w:fldCharType="separate"/>
      </w:r>
      <w:r w:rsidRPr="005C18EC">
        <w:rPr>
          <w:noProof/>
        </w:rPr>
        <w:t>(2007</w:t>
      </w:r>
      <w:r>
        <w:rPr>
          <w:noProof/>
        </w:rPr>
        <w:t>b</w:t>
      </w:r>
      <w:r w:rsidRPr="005C18EC">
        <w:rPr>
          <w:noProof/>
        </w:rPr>
        <w:t>)</w:t>
      </w:r>
      <w:r w:rsidRPr="005C18EC">
        <w:fldChar w:fldCharType="end"/>
      </w:r>
      <w:r w:rsidRPr="005C18EC">
        <w:t>.</w:t>
      </w:r>
    </w:p>
    <w:p w:rsidR="00B162A9" w:rsidRPr="008F4BDF" w:rsidRDefault="00B162A9" w:rsidP="00B162A9"/>
    <w:p w:rsidR="000117FD" w:rsidRDefault="00B162A9" w:rsidP="00B162A9">
      <w:r w:rsidRPr="008F4BDF">
        <w:t>No public health and safety concerns were identified in this assessment.</w:t>
      </w:r>
      <w:r>
        <w:t xml:space="preserve"> </w:t>
      </w:r>
      <w:r w:rsidRPr="008F4BDF">
        <w:t xml:space="preserve">Based on the available </w:t>
      </w:r>
      <w:r>
        <w:t xml:space="preserve">scientific </w:t>
      </w:r>
      <w:r w:rsidRPr="008F4BDF">
        <w:t xml:space="preserve">evidence, including detailed studies provided by the Applicant, food derived from </w:t>
      </w:r>
      <w:r>
        <w:t xml:space="preserve">canola </w:t>
      </w:r>
      <w:r w:rsidRPr="008F4BDF">
        <w:t>line</w:t>
      </w:r>
      <w:r>
        <w:t xml:space="preserve"> 73496 </w:t>
      </w:r>
      <w:r w:rsidRPr="008F4BDF">
        <w:t xml:space="preserve">is as safe as food derived from other commercial </w:t>
      </w:r>
      <w:r>
        <w:t xml:space="preserve">canola varieties already in the food supply. </w:t>
      </w:r>
      <w:r w:rsidR="000117FD">
        <w:br w:type="page"/>
      </w:r>
    </w:p>
    <w:p w:rsidR="007009C6" w:rsidRPr="00272E09" w:rsidRDefault="007009C6" w:rsidP="007009C6">
      <w:pPr>
        <w:pStyle w:val="Heading3"/>
        <w:ind w:left="1134" w:hanging="1134"/>
        <w:rPr>
          <w:i/>
        </w:rPr>
      </w:pPr>
      <w:bookmarkStart w:id="44" w:name="_Toc378943892"/>
      <w:r w:rsidRPr="00272E09">
        <w:rPr>
          <w:i/>
        </w:rPr>
        <w:lastRenderedPageBreak/>
        <w:t>2.5.2.2</w:t>
      </w:r>
      <w:r w:rsidRPr="00272E09">
        <w:rPr>
          <w:i/>
        </w:rPr>
        <w:tab/>
        <w:t>The provision of adequate information relating to food to enable consumers to make informed choices</w:t>
      </w:r>
      <w:bookmarkEnd w:id="44"/>
    </w:p>
    <w:p w:rsidR="00B162A9" w:rsidRDefault="00B162A9" w:rsidP="00B162A9">
      <w:pPr>
        <w:pStyle w:val="FSBullet"/>
        <w:numPr>
          <w:ilvl w:val="0"/>
          <w:numId w:val="0"/>
        </w:numPr>
        <w:rPr>
          <w:color w:val="000000" w:themeColor="text1"/>
        </w:rPr>
      </w:pPr>
      <w:r w:rsidRPr="005C18EC">
        <w:rPr>
          <w:color w:val="000000" w:themeColor="text1"/>
        </w:rPr>
        <w:t>In accordance with Standard 1.5.2, food derived from</w:t>
      </w:r>
      <w:r w:rsidRPr="005C18EC">
        <w:rPr>
          <w:color w:val="000000" w:themeColor="text1"/>
          <w:szCs w:val="22"/>
        </w:rPr>
        <w:t xml:space="preserve"> </w:t>
      </w:r>
      <w:r>
        <w:rPr>
          <w:color w:val="000000" w:themeColor="text1"/>
          <w:szCs w:val="22"/>
        </w:rPr>
        <w:t xml:space="preserve">canola </w:t>
      </w:r>
      <w:r w:rsidRPr="005C18EC">
        <w:rPr>
          <w:color w:val="000000" w:themeColor="text1"/>
          <w:szCs w:val="22"/>
        </w:rPr>
        <w:t xml:space="preserve">line </w:t>
      </w:r>
      <w:r>
        <w:rPr>
          <w:color w:val="000000" w:themeColor="text1"/>
          <w:szCs w:val="22"/>
        </w:rPr>
        <w:t xml:space="preserve">73496 </w:t>
      </w:r>
      <w:r w:rsidRPr="005C18EC">
        <w:rPr>
          <w:color w:val="000000" w:themeColor="text1"/>
        </w:rPr>
        <w:t xml:space="preserve">would be required to be labelled as </w:t>
      </w:r>
      <w:r>
        <w:rPr>
          <w:color w:val="000000" w:themeColor="text1"/>
        </w:rPr>
        <w:t>‘</w:t>
      </w:r>
      <w:r w:rsidRPr="005C18EC">
        <w:rPr>
          <w:color w:val="000000" w:themeColor="text1"/>
        </w:rPr>
        <w:t>genetically modified</w:t>
      </w:r>
      <w:r>
        <w:rPr>
          <w:color w:val="000000" w:themeColor="text1"/>
        </w:rPr>
        <w:t>’</w:t>
      </w:r>
      <w:r w:rsidRPr="005C18EC">
        <w:rPr>
          <w:color w:val="000000" w:themeColor="text1"/>
        </w:rPr>
        <w:t xml:space="preserve"> if it contains novel DNA or novel protein</w:t>
      </w:r>
      <w:r>
        <w:rPr>
          <w:color w:val="000000" w:themeColor="text1"/>
        </w:rPr>
        <w:t>,</w:t>
      </w:r>
      <w:r w:rsidRPr="005C18EC">
        <w:rPr>
          <w:color w:val="000000" w:themeColor="text1"/>
        </w:rPr>
        <w:t xml:space="preserve"> or if it has altered characteristics. </w:t>
      </w:r>
      <w:r>
        <w:rPr>
          <w:color w:val="000000" w:themeColor="text1"/>
        </w:rPr>
        <w:t xml:space="preserve">Food derived from canola line 73496 </w:t>
      </w:r>
      <w:r w:rsidRPr="005C18EC">
        <w:rPr>
          <w:color w:val="000000" w:themeColor="text1"/>
        </w:rPr>
        <w:t>does not have altered characteristics.</w:t>
      </w:r>
    </w:p>
    <w:p w:rsidR="00B162A9" w:rsidRDefault="00B162A9" w:rsidP="00B162A9"/>
    <w:p w:rsidR="007009C6" w:rsidRPr="00272E09" w:rsidRDefault="00B162A9" w:rsidP="00B162A9">
      <w:pPr>
        <w:rPr>
          <w:b/>
          <w:bCs/>
        </w:rPr>
      </w:pPr>
      <w:r>
        <w:t xml:space="preserve">Oil from canola line 73496 would be the primary food product. Canola oil is typically highly refined, and novel protein and novel DNA are unlikely to be present. Minor use of whole canola seeds as ingredients in bakery products has been observed. Whole seeds from canola line 73496 would likely contain novel protein and novel DNA, and would therefore require labelling </w:t>
      </w:r>
      <w:r w:rsidR="007009C6" w:rsidRPr="00272E09">
        <w:t>(see Section 2.3.1).</w:t>
      </w:r>
    </w:p>
    <w:p w:rsidR="007009C6" w:rsidRPr="00272E09" w:rsidRDefault="007009C6" w:rsidP="007009C6">
      <w:pPr>
        <w:pStyle w:val="Heading3"/>
        <w:rPr>
          <w:i/>
        </w:rPr>
      </w:pPr>
      <w:bookmarkStart w:id="45" w:name="_Toc378943893"/>
      <w:r w:rsidRPr="00272E09">
        <w:rPr>
          <w:i/>
        </w:rPr>
        <w:t>2.5.2.3</w:t>
      </w:r>
      <w:r w:rsidRPr="00272E09">
        <w:rPr>
          <w:i/>
        </w:rPr>
        <w:tab/>
        <w:t>The prevention of misleading or deceptive conduct</w:t>
      </w:r>
      <w:bookmarkEnd w:id="45"/>
    </w:p>
    <w:p w:rsidR="007009C6" w:rsidRPr="00272E09" w:rsidRDefault="007009C6" w:rsidP="007009C6">
      <w:pPr>
        <w:rPr>
          <w:lang w:eastAsia="en-AU" w:bidi="ar-SA"/>
        </w:rPr>
      </w:pPr>
      <w:r w:rsidRPr="00272E09">
        <w:rPr>
          <w:lang w:eastAsia="en-AU" w:bidi="ar-SA"/>
        </w:rPr>
        <w:t xml:space="preserve">The requirement for detection methodology </w:t>
      </w:r>
      <w:r w:rsidR="00B162A9">
        <w:rPr>
          <w:lang w:eastAsia="en-AU" w:bidi="ar-SA"/>
        </w:rPr>
        <w:t xml:space="preserve">as outlined in </w:t>
      </w:r>
      <w:r w:rsidRPr="00272E09">
        <w:rPr>
          <w:lang w:eastAsia="en-AU" w:bidi="ar-SA"/>
        </w:rPr>
        <w:t>Section 2.3.2 address</w:t>
      </w:r>
      <w:r w:rsidR="00B162A9">
        <w:rPr>
          <w:lang w:eastAsia="en-AU" w:bidi="ar-SA"/>
        </w:rPr>
        <w:t>es</w:t>
      </w:r>
      <w:r w:rsidRPr="00272E09">
        <w:rPr>
          <w:lang w:eastAsia="en-AU" w:bidi="ar-SA"/>
        </w:rPr>
        <w:t xml:space="preserve"> this objective.</w:t>
      </w:r>
    </w:p>
    <w:p w:rsidR="007009C6" w:rsidRPr="00272E09" w:rsidRDefault="007009C6" w:rsidP="007009C6">
      <w:pPr>
        <w:pStyle w:val="Heading4"/>
        <w:rPr>
          <w:i w:val="0"/>
        </w:rPr>
      </w:pPr>
      <w:r w:rsidRPr="00272E09">
        <w:rPr>
          <w:i w:val="0"/>
        </w:rPr>
        <w:t>2.5.3</w:t>
      </w:r>
      <w:r w:rsidRPr="00272E09">
        <w:rPr>
          <w:i w:val="0"/>
        </w:rPr>
        <w:tab/>
        <w:t>Subsection 18(2) considerations</w:t>
      </w:r>
    </w:p>
    <w:p w:rsidR="007009C6" w:rsidRPr="00272E09" w:rsidRDefault="007009C6" w:rsidP="007009C6">
      <w:pPr>
        <w:rPr>
          <w:rFonts w:cs="Arial"/>
        </w:rPr>
      </w:pPr>
      <w:r w:rsidRPr="00272E09">
        <w:rPr>
          <w:rFonts w:cs="Arial"/>
        </w:rPr>
        <w:t>FSANZ has also had regard to:</w:t>
      </w:r>
    </w:p>
    <w:p w:rsidR="007009C6" w:rsidRPr="00272E09" w:rsidRDefault="007009C6" w:rsidP="007009C6">
      <w:pPr>
        <w:rPr>
          <w:rFonts w:cs="Arial"/>
        </w:rPr>
      </w:pPr>
    </w:p>
    <w:p w:rsidR="007009C6" w:rsidRPr="00272E09" w:rsidRDefault="007009C6" w:rsidP="007009C6">
      <w:pPr>
        <w:pStyle w:val="FSBullet1"/>
        <w:rPr>
          <w:b/>
        </w:rPr>
      </w:pPr>
      <w:r w:rsidRPr="00272E09">
        <w:rPr>
          <w:b/>
        </w:rPr>
        <w:t>The need for standards to be based on risk analysis using the best available scientific evidence</w:t>
      </w:r>
    </w:p>
    <w:p w:rsidR="007009C6" w:rsidRPr="00272E09" w:rsidRDefault="007009C6" w:rsidP="007009C6">
      <w:pPr>
        <w:pStyle w:val="FSBullet1"/>
        <w:numPr>
          <w:ilvl w:val="0"/>
          <w:numId w:val="0"/>
        </w:numPr>
        <w:ind w:left="567"/>
      </w:pPr>
    </w:p>
    <w:p w:rsidR="007009C6" w:rsidRPr="00272E09" w:rsidRDefault="007009C6" w:rsidP="005047D6">
      <w:pPr>
        <w:rPr>
          <w:color w:val="000000" w:themeColor="text1"/>
          <w:szCs w:val="22"/>
        </w:rPr>
      </w:pPr>
      <w:r w:rsidRPr="00272E09">
        <w:rPr>
          <w:color w:val="000000" w:themeColor="text1"/>
        </w:rPr>
        <w:t xml:space="preserve">FSANZ’s approach to the safety assessment of all GM foods applies concepts and principles outlined in the Codex General Principles for the Risk Analysis of Foods derived from Biotechnology </w:t>
      </w:r>
      <w:r w:rsidRPr="00272E09">
        <w:rPr>
          <w:color w:val="000000" w:themeColor="text1"/>
        </w:rPr>
        <w:fldChar w:fldCharType="begin"/>
      </w:r>
      <w:r w:rsidR="00C13F18">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biotechnology&lt;/Title_Primary&gt;&lt;Authors_Primary&gt;Codex&lt;/Authors_Primary&gt;&lt;Date_Primary&gt;2004&lt;/Date_Primary&gt;&lt;Keywords&gt;analysis&lt;/Keywords&gt;&lt;Keywords&gt;Biotechnology&lt;/Keywords&gt;&lt;Reprint&gt;In File&lt;/Reprint&gt;&lt;Volume&gt;CAC/GL 44-2003&lt;/Volume&gt;&lt;Pub_Place&gt;Rome&lt;/Pub_Place&gt;&lt;Publisher&gt;Codex Alimentarius Commission&lt;/Publisher&gt;&lt;Web_URL&gt;&lt;u&gt;http://www.codexalimentarius.net/web/standard_list.do?lang=en&lt;/u&gt;&lt;/Web_URL&gt;&lt;Web_URL_Link2&gt;&lt;u&gt;file://F:\Risk Assessment - Chemical Safety\GMO - shared\References\GM References\Codex_2004_Principles for the risk analysis of foods derived from modern biotech.pdf&lt;/u&gt;&lt;/Web_URL_Link2&gt;&lt;ZZ_WorkformID&gt;24&lt;/ZZ_WorkformID&gt;&lt;/MDL&gt;&lt;/Cite&gt;&lt;/Refman&gt;</w:instrText>
      </w:r>
      <w:r w:rsidRPr="00272E09">
        <w:rPr>
          <w:color w:val="000000" w:themeColor="text1"/>
        </w:rPr>
        <w:fldChar w:fldCharType="separate"/>
      </w:r>
      <w:r w:rsidRPr="00272E09">
        <w:rPr>
          <w:noProof/>
          <w:color w:val="000000" w:themeColor="text1"/>
        </w:rPr>
        <w:t>(Codex, 2004)</w:t>
      </w:r>
      <w:r w:rsidRPr="00272E09">
        <w:rPr>
          <w:color w:val="000000" w:themeColor="text1"/>
        </w:rPr>
        <w:fldChar w:fldCharType="end"/>
      </w:r>
      <w:r w:rsidRPr="00272E09">
        <w:rPr>
          <w:color w:val="000000" w:themeColor="text1"/>
        </w:rPr>
        <w:t xml:space="preserve">. Based on these principles, the risk analysis undertaken for </w:t>
      </w:r>
      <w:r w:rsidR="00B162A9">
        <w:rPr>
          <w:color w:val="000000" w:themeColor="text1"/>
        </w:rPr>
        <w:t xml:space="preserve">canola line 73496 </w:t>
      </w:r>
      <w:r w:rsidRPr="00272E09">
        <w:rPr>
          <w:color w:val="000000" w:themeColor="text1"/>
        </w:rPr>
        <w:t xml:space="preserve">used the best scientific evidence available. The Applicant submitted to FSANZ, a comprehensive dossier of quality-assured raw experimental data. </w:t>
      </w:r>
      <w:r w:rsidRPr="00272E09">
        <w:rPr>
          <w:color w:val="000000" w:themeColor="text1"/>
          <w:szCs w:val="22"/>
        </w:rPr>
        <w:t>In addition to the information supplied by the Applicant, other available resource material including published scientific literature and general technical information w</w:t>
      </w:r>
      <w:r w:rsidR="00B162A9">
        <w:rPr>
          <w:color w:val="000000" w:themeColor="text1"/>
          <w:szCs w:val="22"/>
        </w:rPr>
        <w:t>ere</w:t>
      </w:r>
      <w:r w:rsidRPr="00272E09">
        <w:rPr>
          <w:color w:val="000000" w:themeColor="text1"/>
          <w:szCs w:val="22"/>
        </w:rPr>
        <w:t xml:space="preserve"> used in the safety assessment.</w:t>
      </w:r>
    </w:p>
    <w:p w:rsidR="007009C6" w:rsidRPr="00272E09" w:rsidRDefault="007009C6" w:rsidP="007009C6">
      <w:pPr>
        <w:rPr>
          <w:lang w:bidi="ar-SA"/>
        </w:rPr>
      </w:pPr>
    </w:p>
    <w:p w:rsidR="007009C6" w:rsidRPr="00272E09" w:rsidRDefault="007009C6" w:rsidP="007009C6">
      <w:pPr>
        <w:pStyle w:val="FSBullet1"/>
        <w:rPr>
          <w:b/>
        </w:rPr>
      </w:pPr>
      <w:r w:rsidRPr="00272E09">
        <w:rPr>
          <w:b/>
        </w:rPr>
        <w:t>The promotion of consistency between domestic and international food standards</w:t>
      </w:r>
    </w:p>
    <w:p w:rsidR="007009C6" w:rsidRPr="00272E09" w:rsidRDefault="007009C6" w:rsidP="007009C6">
      <w:pPr>
        <w:rPr>
          <w:lang w:bidi="ar-SA"/>
        </w:rPr>
      </w:pPr>
    </w:p>
    <w:p w:rsidR="007009C6" w:rsidRPr="00272E09" w:rsidRDefault="007009C6" w:rsidP="005047D6">
      <w:r w:rsidRPr="00272E09">
        <w:t>This is not a consideration as there are no relevant international standards.</w:t>
      </w:r>
    </w:p>
    <w:p w:rsidR="00D32733" w:rsidRPr="00272E09" w:rsidRDefault="00D32733">
      <w:pPr>
        <w:widowControl/>
        <w:rPr>
          <w:rFonts w:cs="Arial"/>
          <w:b/>
          <w:lang w:bidi="ar-SA"/>
        </w:rPr>
      </w:pPr>
    </w:p>
    <w:p w:rsidR="007009C6" w:rsidRPr="00272E09" w:rsidRDefault="007009C6" w:rsidP="007009C6">
      <w:pPr>
        <w:pStyle w:val="FSBullet1"/>
        <w:rPr>
          <w:b/>
        </w:rPr>
      </w:pPr>
      <w:r w:rsidRPr="00272E09">
        <w:rPr>
          <w:b/>
        </w:rPr>
        <w:t>The desirability of an efficient and internationally competitive food industry</w:t>
      </w:r>
    </w:p>
    <w:p w:rsidR="007009C6" w:rsidRPr="00272E09" w:rsidRDefault="007009C6" w:rsidP="007009C6">
      <w:pPr>
        <w:ind w:left="567"/>
        <w:rPr>
          <w:lang w:bidi="ar-SA"/>
        </w:rPr>
      </w:pPr>
    </w:p>
    <w:p w:rsidR="007009C6" w:rsidRPr="00272E09" w:rsidRDefault="007009C6" w:rsidP="005047D6">
      <w:pPr>
        <w:rPr>
          <w:lang w:bidi="ar-SA"/>
        </w:rPr>
      </w:pPr>
      <w:r w:rsidRPr="00272E09">
        <w:rPr>
          <w:lang w:bidi="ar-SA"/>
        </w:rPr>
        <w:t xml:space="preserve">The inclusion of genetically modified foods in the food supply, where </w:t>
      </w:r>
      <w:r w:rsidR="00B162A9">
        <w:rPr>
          <w:lang w:bidi="ar-SA"/>
        </w:rPr>
        <w:t xml:space="preserve">an assessment has found </w:t>
      </w:r>
      <w:r w:rsidRPr="00272E09">
        <w:rPr>
          <w:lang w:bidi="ar-SA"/>
        </w:rPr>
        <w:t xml:space="preserve">no safety concerns, generally allows for innovation by developers and a widening of the technological base for the production of foods. </w:t>
      </w:r>
      <w:r w:rsidR="00B162A9">
        <w:rPr>
          <w:lang w:bidi="ar-SA"/>
        </w:rPr>
        <w:t xml:space="preserve">Canola </w:t>
      </w:r>
      <w:r w:rsidRPr="00272E09">
        <w:rPr>
          <w:lang w:bidi="ar-SA"/>
        </w:rPr>
        <w:t xml:space="preserve">line </w:t>
      </w:r>
      <w:r w:rsidR="00B162A9">
        <w:rPr>
          <w:lang w:bidi="ar-SA"/>
        </w:rPr>
        <w:t>73496</w:t>
      </w:r>
      <w:r w:rsidRPr="00272E09">
        <w:rPr>
          <w:lang w:bidi="ar-SA"/>
        </w:rPr>
        <w:t xml:space="preserve"> is </w:t>
      </w:r>
      <w:r w:rsidR="00B162A9">
        <w:rPr>
          <w:lang w:bidi="ar-SA"/>
        </w:rPr>
        <w:t xml:space="preserve">a new crop </w:t>
      </w:r>
      <w:r w:rsidRPr="00272E09">
        <w:rPr>
          <w:lang w:bidi="ar-SA"/>
        </w:rPr>
        <w:t xml:space="preserve">intended </w:t>
      </w:r>
      <w:r w:rsidR="00B162A9">
        <w:rPr>
          <w:lang w:bidi="ar-SA"/>
        </w:rPr>
        <w:t xml:space="preserve">to provide growers of canola with an alternative to existing weed management strategies. </w:t>
      </w:r>
    </w:p>
    <w:p w:rsidR="00D32733" w:rsidRPr="00272E09" w:rsidRDefault="00D32733" w:rsidP="00D32733">
      <w:pPr>
        <w:rPr>
          <w:lang w:bidi="ar-SA"/>
        </w:rPr>
      </w:pPr>
    </w:p>
    <w:p w:rsidR="007009C6" w:rsidRPr="00272E09" w:rsidRDefault="007009C6" w:rsidP="007009C6">
      <w:pPr>
        <w:pStyle w:val="FSBullet1"/>
        <w:rPr>
          <w:b/>
        </w:rPr>
      </w:pPr>
      <w:r w:rsidRPr="00272E09">
        <w:rPr>
          <w:b/>
        </w:rPr>
        <w:t>The promotion of fair trading in food</w:t>
      </w:r>
    </w:p>
    <w:p w:rsidR="007009C6" w:rsidRPr="00272E09" w:rsidRDefault="007009C6" w:rsidP="007009C6">
      <w:pPr>
        <w:rPr>
          <w:lang w:bidi="ar-SA"/>
        </w:rPr>
      </w:pPr>
    </w:p>
    <w:p w:rsidR="007009C6" w:rsidRPr="00272E09" w:rsidRDefault="00A27EE6" w:rsidP="005047D6">
      <w:pPr>
        <w:rPr>
          <w:lang w:bidi="ar-SA"/>
        </w:rPr>
      </w:pPr>
      <w:r>
        <w:rPr>
          <w:lang w:bidi="ar-SA"/>
        </w:rPr>
        <w:t>The cost/benefit analysis in s</w:t>
      </w:r>
      <w:r w:rsidR="007009C6" w:rsidRPr="00272E09">
        <w:rPr>
          <w:lang w:bidi="ar-SA"/>
        </w:rPr>
        <w:t xml:space="preserve">ection 2.5.1.1 lists a number of considerations that address fair trading with respect to </w:t>
      </w:r>
      <w:r w:rsidR="00A25D14" w:rsidRPr="00272E09">
        <w:rPr>
          <w:lang w:bidi="ar-SA"/>
        </w:rPr>
        <w:t xml:space="preserve">food derived from </w:t>
      </w:r>
      <w:r>
        <w:rPr>
          <w:lang w:bidi="ar-SA"/>
        </w:rPr>
        <w:t>canola line 73496.</w:t>
      </w:r>
    </w:p>
    <w:p w:rsidR="007009C6" w:rsidRPr="00272E09" w:rsidRDefault="007009C6" w:rsidP="007009C6">
      <w:pPr>
        <w:rPr>
          <w:lang w:bidi="ar-SA"/>
        </w:rPr>
      </w:pPr>
    </w:p>
    <w:p w:rsidR="005F36BA" w:rsidRDefault="005F36BA" w:rsidP="007009C6">
      <w:pPr>
        <w:pStyle w:val="FSBullet1"/>
        <w:rPr>
          <w:b/>
        </w:rPr>
      </w:pPr>
      <w:r>
        <w:rPr>
          <w:b/>
        </w:rPr>
        <w:br w:type="page"/>
      </w:r>
    </w:p>
    <w:p w:rsidR="007009C6" w:rsidRPr="00272E09" w:rsidRDefault="007009C6" w:rsidP="007009C6">
      <w:pPr>
        <w:pStyle w:val="FSBullet1"/>
        <w:rPr>
          <w:b/>
        </w:rPr>
      </w:pPr>
      <w:r w:rsidRPr="00272E09">
        <w:rPr>
          <w:b/>
        </w:rPr>
        <w:lastRenderedPageBreak/>
        <w:t xml:space="preserve">Any written policy guidelines formulated by the </w:t>
      </w:r>
      <w:r w:rsidR="005F36BA" w:rsidRPr="005F36BA">
        <w:rPr>
          <w:rFonts w:cs="Times New Roman"/>
          <w:b/>
          <w:lang w:bidi="en-US"/>
        </w:rPr>
        <w:t>Ministerial Council</w:t>
      </w:r>
      <w:r w:rsidR="005F36BA" w:rsidRPr="005F36BA">
        <w:rPr>
          <w:rFonts w:cs="Times New Roman"/>
          <w:b/>
          <w:vertAlign w:val="superscript"/>
          <w:lang w:bidi="en-US"/>
        </w:rPr>
        <w:footnoteReference w:id="4"/>
      </w:r>
    </w:p>
    <w:p w:rsidR="007009C6" w:rsidRPr="00272E09" w:rsidRDefault="007009C6" w:rsidP="007009C6">
      <w:pPr>
        <w:rPr>
          <w:lang w:bidi="ar-SA"/>
        </w:rPr>
      </w:pPr>
    </w:p>
    <w:p w:rsidR="007009C6" w:rsidRPr="00272E09" w:rsidRDefault="007009C6" w:rsidP="005047D6">
      <w:pPr>
        <w:rPr>
          <w:lang w:bidi="ar-SA"/>
        </w:rPr>
      </w:pPr>
      <w:r w:rsidRPr="005047D6">
        <w:t>No specific policy guidelines have been developed since Standard 1.5.2 commenced</w:t>
      </w:r>
      <w:r w:rsidRPr="00272E09">
        <w:rPr>
          <w:i/>
          <w:color w:val="000000" w:themeColor="text1"/>
        </w:rPr>
        <w:t>.</w:t>
      </w:r>
    </w:p>
    <w:p w:rsidR="001122EC" w:rsidRPr="00272E09" w:rsidRDefault="00200BE6" w:rsidP="00272E09">
      <w:pPr>
        <w:pStyle w:val="Heading1"/>
      </w:pPr>
      <w:bookmarkStart w:id="46" w:name="_Toc378943894"/>
      <w:bookmarkEnd w:id="34"/>
      <w:r w:rsidRPr="00272E09">
        <w:t>3.</w:t>
      </w:r>
      <w:r w:rsidRPr="00272E09">
        <w:tab/>
      </w:r>
      <w:bookmarkStart w:id="47" w:name="_Toc11735643"/>
      <w:bookmarkStart w:id="48" w:name="_Toc29883130"/>
      <w:bookmarkStart w:id="49" w:name="_Toc41906817"/>
      <w:bookmarkStart w:id="50" w:name="_Toc41907564"/>
      <w:bookmarkStart w:id="51" w:name="_Toc43112360"/>
      <w:r w:rsidR="001122EC" w:rsidRPr="00272E09">
        <w:t>R</w:t>
      </w:r>
      <w:r w:rsidR="000B427A" w:rsidRPr="00272E09">
        <w:t>eferences</w:t>
      </w:r>
      <w:bookmarkEnd w:id="46"/>
    </w:p>
    <w:bookmarkEnd w:id="47"/>
    <w:bookmarkEnd w:id="48"/>
    <w:bookmarkEnd w:id="49"/>
    <w:bookmarkEnd w:id="50"/>
    <w:bookmarkEnd w:id="51"/>
    <w:p w:rsidR="000751CA" w:rsidRDefault="000751CA" w:rsidP="00C13F18">
      <w:pPr>
        <w:tabs>
          <w:tab w:val="left" w:pos="0"/>
        </w:tabs>
        <w:spacing w:after="240"/>
        <w:rPr>
          <w:rFonts w:cs="Arial"/>
          <w:sz w:val="20"/>
          <w:szCs w:val="20"/>
        </w:rPr>
      </w:pPr>
      <w:r w:rsidRPr="00B41F4E">
        <w:rPr>
          <w:rFonts w:cs="Arial"/>
          <w:noProof/>
          <w:color w:val="000000" w:themeColor="text1"/>
          <w:sz w:val="20"/>
          <w:szCs w:val="20"/>
        </w:rPr>
        <w:t xml:space="preserve">Bartholomaeus, A., Parrott, W., Bondy, G. and Walker, K. (2013) The use of whole food animal studies in the safety assessment of genetically modified crops: Limitations and recommendations. </w:t>
      </w:r>
      <w:r w:rsidRPr="00B41F4E">
        <w:rPr>
          <w:rFonts w:cs="Arial"/>
          <w:i/>
          <w:noProof/>
          <w:color w:val="000000" w:themeColor="text1"/>
          <w:sz w:val="20"/>
          <w:szCs w:val="20"/>
        </w:rPr>
        <w:t xml:space="preserve">Critical Reviews in Toxicology </w:t>
      </w:r>
      <w:r w:rsidRPr="00B41F4E">
        <w:rPr>
          <w:rFonts w:cs="Arial"/>
          <w:noProof/>
          <w:color w:val="000000" w:themeColor="text1"/>
          <w:sz w:val="20"/>
          <w:szCs w:val="20"/>
        </w:rPr>
        <w:t>43(S2):1-24.</w:t>
      </w:r>
    </w:p>
    <w:p w:rsidR="00C13F18" w:rsidRPr="00D3238B" w:rsidRDefault="00643BA9" w:rsidP="00C13F18">
      <w:pPr>
        <w:tabs>
          <w:tab w:val="left" w:pos="0"/>
        </w:tabs>
        <w:spacing w:after="240"/>
        <w:rPr>
          <w:rFonts w:cs="Arial"/>
          <w:noProof/>
          <w:sz w:val="20"/>
          <w:szCs w:val="20"/>
        </w:rPr>
      </w:pPr>
      <w:r w:rsidRPr="00D3238B">
        <w:rPr>
          <w:rFonts w:cs="Arial"/>
          <w:sz w:val="20"/>
          <w:szCs w:val="20"/>
        </w:rPr>
        <w:fldChar w:fldCharType="begin"/>
      </w:r>
      <w:r w:rsidRPr="00D3238B">
        <w:rPr>
          <w:rFonts w:cs="Arial"/>
          <w:sz w:val="20"/>
          <w:szCs w:val="20"/>
        </w:rPr>
        <w:instrText xml:space="preserve"> ADDIN REFMGR.REFLIST </w:instrText>
      </w:r>
      <w:r w:rsidRPr="00D3238B">
        <w:rPr>
          <w:rFonts w:cs="Arial"/>
          <w:sz w:val="20"/>
          <w:szCs w:val="20"/>
        </w:rPr>
        <w:fldChar w:fldCharType="separate"/>
      </w:r>
      <w:r w:rsidR="00C13F18" w:rsidRPr="00D3238B">
        <w:rPr>
          <w:rFonts w:cs="Arial"/>
          <w:noProof/>
          <w:sz w:val="20"/>
          <w:szCs w:val="20"/>
        </w:rPr>
        <w:t xml:space="preserve">Codex (2004) </w:t>
      </w:r>
      <w:r w:rsidR="00C13F18" w:rsidRPr="00D3238B">
        <w:rPr>
          <w:rFonts w:cs="Arial"/>
          <w:i/>
          <w:noProof/>
          <w:sz w:val="20"/>
          <w:szCs w:val="20"/>
        </w:rPr>
        <w:t>Principles for the risk analysis of foods derived from modern biotechnology</w:t>
      </w:r>
      <w:r w:rsidR="00C13F18" w:rsidRPr="00D3238B">
        <w:rPr>
          <w:rFonts w:cs="Arial"/>
          <w:noProof/>
          <w:sz w:val="20"/>
          <w:szCs w:val="20"/>
        </w:rPr>
        <w:t xml:space="preserve">. Report No. CAC/GL 44-2003, Codex Alimentarius Commission, Rome. </w:t>
      </w:r>
      <w:hyperlink r:id="rId28" w:history="1">
        <w:r w:rsidR="00C13F18" w:rsidRPr="00D3238B">
          <w:rPr>
            <w:rStyle w:val="Hyperlink"/>
            <w:rFonts w:cs="Arial"/>
            <w:noProof/>
            <w:sz w:val="20"/>
            <w:szCs w:val="20"/>
          </w:rPr>
          <w:t>http://www.codexalimentarius.net/web/standard_list.do?lang=en</w:t>
        </w:r>
      </w:hyperlink>
      <w:r w:rsidR="00C13F18" w:rsidRPr="00D3238B">
        <w:rPr>
          <w:rFonts w:cs="Arial"/>
          <w:noProof/>
          <w:sz w:val="20"/>
          <w:szCs w:val="20"/>
        </w:rPr>
        <w:t xml:space="preserve">. </w:t>
      </w:r>
    </w:p>
    <w:p w:rsidR="000751CA" w:rsidRPr="00B41F4E" w:rsidRDefault="000751CA" w:rsidP="000751CA">
      <w:pPr>
        <w:tabs>
          <w:tab w:val="left" w:pos="0"/>
        </w:tabs>
        <w:spacing w:after="240"/>
        <w:rPr>
          <w:rFonts w:cs="Arial"/>
          <w:noProof/>
          <w:color w:val="000000" w:themeColor="text1"/>
          <w:sz w:val="20"/>
          <w:szCs w:val="20"/>
        </w:rPr>
      </w:pPr>
      <w:r w:rsidRPr="00B41F4E">
        <w:rPr>
          <w:rFonts w:cs="Arial"/>
          <w:noProof/>
          <w:color w:val="000000" w:themeColor="text1"/>
          <w:sz w:val="20"/>
          <w:szCs w:val="20"/>
        </w:rPr>
        <w:t xml:space="preserve">EFSA. (2008) Safety and nutritional assessment of GM plants and derived food and feed: The role of animal feeding trials. </w:t>
      </w:r>
      <w:r w:rsidRPr="00B41F4E">
        <w:rPr>
          <w:rFonts w:cs="Arial"/>
          <w:i/>
          <w:noProof/>
          <w:color w:val="000000" w:themeColor="text1"/>
          <w:sz w:val="20"/>
          <w:szCs w:val="20"/>
        </w:rPr>
        <w:t xml:space="preserve">Food and Chemical Toxicology </w:t>
      </w:r>
      <w:r w:rsidRPr="00B41F4E">
        <w:rPr>
          <w:rFonts w:cs="Arial"/>
          <w:noProof/>
          <w:color w:val="000000" w:themeColor="text1"/>
          <w:sz w:val="20"/>
          <w:szCs w:val="20"/>
        </w:rPr>
        <w:t>46:S1-S70, doi:10.1016/j.fct.2008.02.008.</w:t>
      </w:r>
    </w:p>
    <w:p w:rsidR="000751CA" w:rsidRPr="00B41F4E" w:rsidRDefault="000751CA" w:rsidP="000751CA">
      <w:pPr>
        <w:tabs>
          <w:tab w:val="left" w:pos="0"/>
        </w:tabs>
        <w:spacing w:after="240"/>
        <w:rPr>
          <w:rFonts w:cs="Arial"/>
          <w:noProof/>
          <w:color w:val="000000" w:themeColor="text1"/>
          <w:sz w:val="20"/>
          <w:szCs w:val="20"/>
        </w:rPr>
      </w:pPr>
      <w:r w:rsidRPr="00B41F4E">
        <w:rPr>
          <w:rFonts w:cs="Arial"/>
          <w:noProof/>
          <w:color w:val="000000" w:themeColor="text1"/>
          <w:sz w:val="20"/>
          <w:szCs w:val="20"/>
        </w:rPr>
        <w:t xml:space="preserve">EFSA. (2011) Guidance for risk assessment of food and feed from genetically modified plants. </w:t>
      </w:r>
      <w:r w:rsidRPr="00B41F4E">
        <w:rPr>
          <w:rFonts w:cs="Arial"/>
          <w:i/>
          <w:noProof/>
          <w:color w:val="000000" w:themeColor="text1"/>
          <w:sz w:val="20"/>
          <w:szCs w:val="20"/>
        </w:rPr>
        <w:t xml:space="preserve">EFSA Journal 2011 </w:t>
      </w:r>
      <w:r w:rsidRPr="00B41F4E">
        <w:rPr>
          <w:rFonts w:cs="Arial"/>
          <w:noProof/>
          <w:color w:val="000000" w:themeColor="text1"/>
          <w:sz w:val="20"/>
          <w:szCs w:val="20"/>
        </w:rPr>
        <w:t>9(5):2150.</w:t>
      </w:r>
    </w:p>
    <w:p w:rsidR="000751CA" w:rsidRDefault="000751CA" w:rsidP="000751CA">
      <w:pPr>
        <w:tabs>
          <w:tab w:val="left" w:pos="0"/>
        </w:tabs>
        <w:spacing w:after="240"/>
        <w:rPr>
          <w:rFonts w:cs="Arial"/>
          <w:noProof/>
          <w:sz w:val="20"/>
          <w:szCs w:val="20"/>
        </w:rPr>
      </w:pPr>
      <w:r w:rsidRPr="00B41F4E">
        <w:rPr>
          <w:rFonts w:cs="Arial"/>
          <w:noProof/>
          <w:color w:val="000000" w:themeColor="text1"/>
          <w:sz w:val="20"/>
          <w:szCs w:val="20"/>
        </w:rPr>
        <w:t xml:space="preserve">EFSA. (2013) Consideration of the applicability of OECD TG 453 to whole food/feed testing. </w:t>
      </w:r>
      <w:r w:rsidRPr="00B41F4E">
        <w:rPr>
          <w:rFonts w:cs="Arial"/>
          <w:i/>
          <w:noProof/>
          <w:color w:val="000000" w:themeColor="text1"/>
          <w:sz w:val="20"/>
          <w:szCs w:val="20"/>
        </w:rPr>
        <w:t xml:space="preserve">EFSA Journal 2013 </w:t>
      </w:r>
      <w:r w:rsidRPr="00B41F4E">
        <w:rPr>
          <w:rFonts w:cs="Arial"/>
          <w:noProof/>
          <w:color w:val="000000" w:themeColor="text1"/>
          <w:sz w:val="20"/>
          <w:szCs w:val="20"/>
        </w:rPr>
        <w:t>11(7):3347 (18 pp).</w:t>
      </w:r>
    </w:p>
    <w:p w:rsidR="00C13F18" w:rsidRDefault="00C13F18" w:rsidP="00C13F18">
      <w:pPr>
        <w:tabs>
          <w:tab w:val="left" w:pos="0"/>
        </w:tabs>
        <w:spacing w:after="240"/>
        <w:rPr>
          <w:rFonts w:cs="Arial"/>
          <w:noProof/>
          <w:sz w:val="20"/>
          <w:szCs w:val="20"/>
        </w:rPr>
      </w:pPr>
      <w:r w:rsidRPr="00D3238B">
        <w:rPr>
          <w:rFonts w:cs="Arial"/>
          <w:noProof/>
          <w:sz w:val="20"/>
          <w:szCs w:val="20"/>
        </w:rPr>
        <w:t xml:space="preserve">FSANZ (2007) </w:t>
      </w:r>
      <w:r w:rsidRPr="00D3238B">
        <w:rPr>
          <w:rFonts w:cs="Arial"/>
          <w:i/>
          <w:noProof/>
          <w:sz w:val="20"/>
          <w:szCs w:val="20"/>
        </w:rPr>
        <w:t>Safety assessment of genetically modified foods – Guidance document</w:t>
      </w:r>
      <w:r w:rsidRPr="00D3238B">
        <w:rPr>
          <w:rFonts w:cs="Arial"/>
          <w:noProof/>
          <w:sz w:val="20"/>
          <w:szCs w:val="20"/>
        </w:rPr>
        <w:t xml:space="preserve">. Document prepared by Food Standards Australia New Zealand. </w:t>
      </w:r>
      <w:hyperlink r:id="rId29" w:history="1">
        <w:r w:rsidRPr="00D3238B">
          <w:rPr>
            <w:rStyle w:val="Hyperlink"/>
            <w:rFonts w:cs="Arial"/>
            <w:noProof/>
            <w:sz w:val="20"/>
            <w:szCs w:val="20"/>
          </w:rPr>
          <w:t>http://www.foodstandards.gov.au/_srcfiles/GM%20FINAL%20Sept%2007L%20_2_.pdf</w:t>
        </w:r>
      </w:hyperlink>
      <w:r w:rsidRPr="00D3238B">
        <w:rPr>
          <w:rFonts w:cs="Arial"/>
          <w:noProof/>
          <w:sz w:val="20"/>
          <w:szCs w:val="20"/>
        </w:rPr>
        <w:t xml:space="preserve">. </w:t>
      </w:r>
    </w:p>
    <w:p w:rsidR="000751CA" w:rsidRDefault="00C13F18" w:rsidP="00C13F18">
      <w:pPr>
        <w:tabs>
          <w:tab w:val="left" w:pos="0"/>
        </w:tabs>
        <w:spacing w:after="240"/>
        <w:rPr>
          <w:rFonts w:cs="Arial"/>
          <w:noProof/>
          <w:sz w:val="20"/>
          <w:szCs w:val="20"/>
        </w:rPr>
      </w:pPr>
      <w:r w:rsidRPr="00D3238B">
        <w:rPr>
          <w:rFonts w:cs="Arial"/>
          <w:noProof/>
          <w:sz w:val="20"/>
          <w:szCs w:val="20"/>
        </w:rPr>
        <w:t xml:space="preserve">FSANZ (2011) </w:t>
      </w:r>
      <w:r w:rsidRPr="00D3238B">
        <w:rPr>
          <w:rFonts w:cs="Arial"/>
          <w:i/>
          <w:noProof/>
          <w:sz w:val="20"/>
          <w:szCs w:val="20"/>
        </w:rPr>
        <w:t>Application handbook</w:t>
      </w:r>
      <w:r w:rsidRPr="00D3238B">
        <w:rPr>
          <w:rFonts w:cs="Arial"/>
          <w:noProof/>
          <w:sz w:val="20"/>
          <w:szCs w:val="20"/>
        </w:rPr>
        <w:t xml:space="preserve">. Prepared by Food Standards Australia New Zealand. </w:t>
      </w:r>
      <w:hyperlink r:id="rId30" w:history="1">
        <w:r w:rsidRPr="00D3238B">
          <w:rPr>
            <w:rStyle w:val="Hyperlink"/>
            <w:rFonts w:cs="Arial"/>
            <w:noProof/>
            <w:sz w:val="20"/>
            <w:szCs w:val="20"/>
          </w:rPr>
          <w:t>http://www.foodstandards.gov.au/foodstandards/changingthecode/applicationshandbook.cfm</w:t>
        </w:r>
      </w:hyperlink>
      <w:r w:rsidRPr="00D3238B">
        <w:rPr>
          <w:rFonts w:cs="Arial"/>
          <w:noProof/>
          <w:sz w:val="20"/>
          <w:szCs w:val="20"/>
        </w:rPr>
        <w:t>.</w:t>
      </w:r>
    </w:p>
    <w:p w:rsidR="000751CA" w:rsidRDefault="000751CA" w:rsidP="00C13F18">
      <w:pPr>
        <w:tabs>
          <w:tab w:val="left" w:pos="0"/>
        </w:tabs>
        <w:spacing w:after="240"/>
        <w:rPr>
          <w:rFonts w:cs="Arial"/>
          <w:noProof/>
          <w:sz w:val="20"/>
          <w:szCs w:val="20"/>
        </w:rPr>
      </w:pPr>
      <w:r w:rsidRPr="00B41F4E">
        <w:rPr>
          <w:rFonts w:cs="Arial"/>
          <w:noProof/>
          <w:color w:val="000000" w:themeColor="text1"/>
          <w:sz w:val="20"/>
          <w:szCs w:val="20"/>
        </w:rPr>
        <w:t xml:space="preserve">Goodman, R.E. and Tetteh, A.O. (2011) Suggested improvements for the allergenicity assessment of genetically modified plants used in foods. </w:t>
      </w:r>
      <w:r w:rsidRPr="00B41F4E">
        <w:rPr>
          <w:rFonts w:cs="Arial"/>
          <w:i/>
          <w:noProof/>
          <w:color w:val="000000" w:themeColor="text1"/>
          <w:sz w:val="20"/>
          <w:szCs w:val="20"/>
        </w:rPr>
        <w:t xml:space="preserve">Current Allergy and Asthma Reports </w:t>
      </w:r>
      <w:r w:rsidRPr="00B41F4E">
        <w:rPr>
          <w:rFonts w:cs="Arial"/>
          <w:noProof/>
          <w:color w:val="000000" w:themeColor="text1"/>
          <w:sz w:val="20"/>
          <w:szCs w:val="20"/>
        </w:rPr>
        <w:t>11:317-324.</w:t>
      </w:r>
    </w:p>
    <w:p w:rsidR="00C13F18" w:rsidRPr="00D3238B" w:rsidRDefault="000751CA" w:rsidP="00C13F18">
      <w:pPr>
        <w:tabs>
          <w:tab w:val="left" w:pos="0"/>
        </w:tabs>
        <w:spacing w:after="240"/>
        <w:rPr>
          <w:rFonts w:cs="Arial"/>
          <w:noProof/>
          <w:sz w:val="20"/>
          <w:szCs w:val="20"/>
        </w:rPr>
      </w:pPr>
      <w:r w:rsidRPr="00B41F4E">
        <w:rPr>
          <w:rFonts w:cs="Arial"/>
          <w:noProof/>
          <w:color w:val="000000" w:themeColor="text1"/>
          <w:sz w:val="20"/>
          <w:szCs w:val="20"/>
        </w:rPr>
        <w:t xml:space="preserve">Rigaud, N. (2008) </w:t>
      </w:r>
      <w:r w:rsidRPr="00B41F4E">
        <w:rPr>
          <w:rFonts w:cs="Arial"/>
          <w:i/>
          <w:noProof/>
          <w:color w:val="000000" w:themeColor="text1"/>
          <w:sz w:val="20"/>
          <w:szCs w:val="20"/>
        </w:rPr>
        <w:t>Biotechnology: ethical and social debates</w:t>
      </w:r>
      <w:r w:rsidRPr="00B41F4E">
        <w:rPr>
          <w:rFonts w:cs="Arial"/>
          <w:noProof/>
          <w:color w:val="000000" w:themeColor="text1"/>
          <w:sz w:val="20"/>
          <w:szCs w:val="20"/>
        </w:rPr>
        <w:t xml:space="preserve">. OECD International Futures Project on "The Bioeconomy to 2030: Designing a Policy Agenda". </w:t>
      </w:r>
      <w:hyperlink r:id="rId31" w:history="1">
        <w:r w:rsidRPr="00B41F4E">
          <w:rPr>
            <w:rStyle w:val="Hyperlink"/>
            <w:rFonts w:cs="Arial"/>
            <w:noProof/>
            <w:sz w:val="20"/>
            <w:szCs w:val="20"/>
          </w:rPr>
          <w:t>http://www.oecd.org/futures/long-termtechnologicalsocietalchallenges/40926844.pdf</w:t>
        </w:r>
      </w:hyperlink>
      <w:r w:rsidRPr="00B41F4E">
        <w:rPr>
          <w:rFonts w:cs="Arial"/>
          <w:noProof/>
          <w:color w:val="000000" w:themeColor="text1"/>
          <w:sz w:val="20"/>
          <w:szCs w:val="20"/>
        </w:rPr>
        <w:t>.</w:t>
      </w:r>
      <w:r w:rsidR="00C13F18" w:rsidRPr="00D3238B">
        <w:rPr>
          <w:rFonts w:cs="Arial"/>
          <w:noProof/>
          <w:sz w:val="20"/>
          <w:szCs w:val="20"/>
        </w:rPr>
        <w:t xml:space="preserve"> </w:t>
      </w:r>
    </w:p>
    <w:p w:rsidR="00F20964" w:rsidRPr="00272E09" w:rsidRDefault="00643BA9" w:rsidP="00643BA9">
      <w:pPr>
        <w:spacing w:before="240"/>
        <w:rPr>
          <w:rFonts w:cs="Arial"/>
          <w:sz w:val="20"/>
          <w:szCs w:val="20"/>
        </w:rPr>
      </w:pPr>
      <w:r w:rsidRPr="00D3238B">
        <w:rPr>
          <w:rFonts w:cs="Arial"/>
          <w:sz w:val="20"/>
          <w:szCs w:val="20"/>
        </w:rPr>
        <w:fldChar w:fldCharType="end"/>
      </w:r>
      <w:r w:rsidR="00F20964" w:rsidRPr="00272E09">
        <w:rPr>
          <w:b/>
          <w:sz w:val="28"/>
          <w:szCs w:val="28"/>
        </w:rPr>
        <w:t>Attachments</w:t>
      </w:r>
    </w:p>
    <w:p w:rsidR="00F20964" w:rsidRPr="00272E09" w:rsidRDefault="00F20964" w:rsidP="00755F02"/>
    <w:p w:rsidR="0012388D" w:rsidRPr="00272E09" w:rsidRDefault="00755F02" w:rsidP="009A2699">
      <w:pPr>
        <w:ind w:left="567" w:hanging="567"/>
      </w:pPr>
      <w:r w:rsidRPr="00272E09">
        <w:t>A.</w:t>
      </w:r>
      <w:r w:rsidRPr="00272E09">
        <w:tab/>
      </w:r>
      <w:r w:rsidR="009A2699" w:rsidRPr="00272E09">
        <w:t xml:space="preserve">Approved </w:t>
      </w:r>
      <w:r w:rsidR="00272E09" w:rsidRPr="00272E09">
        <w:t xml:space="preserve">draft </w:t>
      </w:r>
      <w:r w:rsidR="000576EB" w:rsidRPr="00272E09">
        <w:t xml:space="preserve">variation to the </w:t>
      </w:r>
      <w:r w:rsidR="000576EB" w:rsidRPr="00272E09">
        <w:rPr>
          <w:i/>
        </w:rPr>
        <w:t>Australia New Zealand Food Standards Code</w:t>
      </w:r>
      <w:r w:rsidR="00486C66" w:rsidRPr="00272E09">
        <w:t xml:space="preserve"> </w:t>
      </w:r>
    </w:p>
    <w:p w:rsidR="00795D86" w:rsidRPr="00272E09" w:rsidRDefault="00795D86" w:rsidP="00755F02">
      <w:r w:rsidRPr="00272E09">
        <w:t>B.</w:t>
      </w:r>
      <w:r w:rsidRPr="00272E09">
        <w:tab/>
        <w:t>Explanatory Statement</w:t>
      </w:r>
    </w:p>
    <w:p w:rsidR="0012388D" w:rsidRPr="00272E09" w:rsidRDefault="003C4969" w:rsidP="007D0189">
      <w:pPr>
        <w:pStyle w:val="Heading2"/>
        <w:ind w:left="0" w:firstLine="0"/>
      </w:pPr>
      <w:r w:rsidRPr="00272E09">
        <w:br w:type="page"/>
      </w:r>
      <w:bookmarkStart w:id="52" w:name="_Toc29883131"/>
      <w:bookmarkStart w:id="53" w:name="_Toc41906818"/>
      <w:bookmarkStart w:id="54" w:name="_Toc41907565"/>
      <w:bookmarkStart w:id="55" w:name="_Toc120358596"/>
      <w:bookmarkStart w:id="56" w:name="_Toc175381458"/>
      <w:bookmarkStart w:id="57" w:name="_Toc11735644"/>
      <w:bookmarkStart w:id="58" w:name="_Toc378943895"/>
      <w:r w:rsidRPr="00272E09">
        <w:lastRenderedPageBreak/>
        <w:t xml:space="preserve">Attachment </w:t>
      </w:r>
      <w:bookmarkEnd w:id="52"/>
      <w:bookmarkEnd w:id="53"/>
      <w:bookmarkEnd w:id="54"/>
      <w:bookmarkEnd w:id="55"/>
      <w:bookmarkEnd w:id="56"/>
      <w:r w:rsidR="00456B54" w:rsidRPr="00272E09">
        <w:t>A</w:t>
      </w:r>
      <w:bookmarkStart w:id="59" w:name="_Toc120358597"/>
      <w:bookmarkStart w:id="60" w:name="_Toc175381459"/>
      <w:bookmarkEnd w:id="57"/>
      <w:r w:rsidR="00755F02" w:rsidRPr="00272E09">
        <w:t xml:space="preserve"> – </w:t>
      </w:r>
      <w:r w:rsidR="009A2699" w:rsidRPr="00272E09">
        <w:t>Approved</w:t>
      </w:r>
      <w:r w:rsidRPr="00272E09">
        <w:t xml:space="preserve"> </w:t>
      </w:r>
      <w:r w:rsidR="00272E09" w:rsidRPr="00272E09">
        <w:t xml:space="preserve">draft </w:t>
      </w:r>
      <w:r w:rsidRPr="00272E09">
        <w:t xml:space="preserve">variation to the </w:t>
      </w:r>
      <w:r w:rsidR="00D15A08" w:rsidRPr="00272E09">
        <w:rPr>
          <w:i/>
        </w:rPr>
        <w:t>Australia New Zealand Food Standards Code</w:t>
      </w:r>
      <w:bookmarkEnd w:id="59"/>
      <w:bookmarkEnd w:id="60"/>
      <w:bookmarkEnd w:id="58"/>
    </w:p>
    <w:p w:rsidR="00200BE6" w:rsidRPr="00FD52BA" w:rsidRDefault="00200BE6" w:rsidP="00200BE6">
      <w:pPr>
        <w:rPr>
          <w:noProof/>
          <w:sz w:val="20"/>
          <w:lang w:eastAsia="en-AU"/>
        </w:rPr>
      </w:pPr>
      <w:r w:rsidRPr="00272E09">
        <w:rPr>
          <w:noProof/>
          <w:sz w:val="20"/>
          <w:lang w:eastAsia="en-GB" w:bidi="ar-SA"/>
        </w:rPr>
        <w:drawing>
          <wp:inline distT="0" distB="0" distL="0" distR="0" wp14:anchorId="5B752EBA" wp14:editId="398E745B">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200BE6" w:rsidRPr="00272E09" w:rsidRDefault="00200BE6" w:rsidP="00200BE6">
      <w:pPr>
        <w:pStyle w:val="Title"/>
        <w:pBdr>
          <w:bottom w:val="single" w:sz="4" w:space="1" w:color="auto"/>
        </w:pBdr>
        <w:rPr>
          <w:b w:val="0"/>
          <w:bCs w:val="0"/>
          <w:szCs w:val="20"/>
          <w:lang w:val="en-GB"/>
        </w:rPr>
      </w:pPr>
    </w:p>
    <w:p w:rsidR="007F4740" w:rsidRDefault="007F4740" w:rsidP="007F4740">
      <w:pPr>
        <w:pBdr>
          <w:bottom w:val="single" w:sz="4" w:space="1" w:color="auto"/>
        </w:pBdr>
        <w:rPr>
          <w:b/>
          <w:sz w:val="20"/>
        </w:rPr>
      </w:pPr>
      <w:r w:rsidRPr="006153A1">
        <w:rPr>
          <w:b/>
          <w:sz w:val="20"/>
        </w:rPr>
        <w:t>Food Standards (</w:t>
      </w:r>
      <w:r w:rsidRPr="00F618DF">
        <w:rPr>
          <w:b/>
          <w:sz w:val="20"/>
        </w:rPr>
        <w:t xml:space="preserve">Application </w:t>
      </w:r>
      <w:r>
        <w:rPr>
          <w:b/>
          <w:sz w:val="20"/>
        </w:rPr>
        <w:t>A1089</w:t>
      </w:r>
      <w:r w:rsidRPr="007852C7">
        <w:rPr>
          <w:b/>
          <w:sz w:val="20"/>
        </w:rPr>
        <w:t xml:space="preserve"> – </w:t>
      </w:r>
      <w:r w:rsidRPr="009B7A5A">
        <w:rPr>
          <w:b/>
          <w:i/>
          <w:sz w:val="20"/>
        </w:rPr>
        <w:t>Foo</w:t>
      </w:r>
      <w:r>
        <w:rPr>
          <w:b/>
          <w:i/>
          <w:sz w:val="20"/>
        </w:rPr>
        <w:t>d derived from Herbicide-tolerant Canola Line DP</w:t>
      </w:r>
      <w:r>
        <w:rPr>
          <w:b/>
          <w:i/>
          <w:sz w:val="20"/>
        </w:rPr>
        <w:noBreakHyphen/>
        <w:t>073496-4</w:t>
      </w:r>
      <w:r>
        <w:rPr>
          <w:b/>
          <w:iCs/>
          <w:sz w:val="20"/>
        </w:rPr>
        <w:t>)</w:t>
      </w:r>
      <w:r>
        <w:rPr>
          <w:b/>
          <w:i/>
          <w:sz w:val="20"/>
        </w:rPr>
        <w:t xml:space="preserve"> </w:t>
      </w:r>
      <w:r w:rsidRPr="00D3581B">
        <w:rPr>
          <w:b/>
          <w:sz w:val="20"/>
        </w:rPr>
        <w:t>Variation</w:t>
      </w:r>
    </w:p>
    <w:p w:rsidR="00272E09" w:rsidRPr="00272E09" w:rsidRDefault="00272E09" w:rsidP="00200BE6">
      <w:pPr>
        <w:pBdr>
          <w:bottom w:val="single" w:sz="4" w:space="1" w:color="auto"/>
        </w:pBdr>
        <w:rPr>
          <w:b/>
          <w:sz w:val="20"/>
        </w:rPr>
      </w:pPr>
    </w:p>
    <w:p w:rsidR="00200BE6" w:rsidRPr="00272E09" w:rsidRDefault="00200BE6" w:rsidP="00200BE6">
      <w:pPr>
        <w:rPr>
          <w:sz w:val="20"/>
        </w:rPr>
      </w:pPr>
    </w:p>
    <w:p w:rsidR="00200BE6" w:rsidRPr="00272E09" w:rsidRDefault="00200BE6" w:rsidP="00200BE6">
      <w:pPr>
        <w:rPr>
          <w:sz w:val="20"/>
        </w:rPr>
      </w:pPr>
      <w:r w:rsidRPr="00272E09">
        <w:rPr>
          <w:sz w:val="20"/>
        </w:rPr>
        <w:t xml:space="preserve">The Board of Food Standards Australia New Zealand gives notice of the making of this variation under section 92 of the </w:t>
      </w:r>
      <w:r w:rsidRPr="00272E09">
        <w:rPr>
          <w:i/>
          <w:sz w:val="20"/>
        </w:rPr>
        <w:t>Food Standards Australia New Zealand Act 1991</w:t>
      </w:r>
      <w:r w:rsidRPr="00272E09">
        <w:rPr>
          <w:sz w:val="20"/>
        </w:rPr>
        <w:t>.  The Standard commences on the date specified in clause 3 of this variation.</w:t>
      </w:r>
    </w:p>
    <w:p w:rsidR="00200BE6" w:rsidRPr="00272E09" w:rsidRDefault="00200BE6" w:rsidP="00200BE6">
      <w:pPr>
        <w:rPr>
          <w:sz w:val="20"/>
        </w:rPr>
      </w:pPr>
    </w:p>
    <w:p w:rsidR="00200BE6" w:rsidRPr="00272E09" w:rsidRDefault="00200BE6" w:rsidP="00200BE6">
      <w:pPr>
        <w:rPr>
          <w:sz w:val="20"/>
        </w:rPr>
      </w:pPr>
      <w:r w:rsidRPr="00272E09">
        <w:rPr>
          <w:sz w:val="20"/>
        </w:rPr>
        <w:t>Dated [To be completed by Standards Management Officer]</w:t>
      </w:r>
    </w:p>
    <w:p w:rsidR="00200BE6" w:rsidRPr="00272E09" w:rsidRDefault="00200BE6" w:rsidP="00200BE6">
      <w:pPr>
        <w:rPr>
          <w:sz w:val="20"/>
        </w:rPr>
      </w:pPr>
    </w:p>
    <w:p w:rsidR="00200BE6" w:rsidRPr="00272E09" w:rsidRDefault="00200BE6" w:rsidP="00200BE6">
      <w:pPr>
        <w:rPr>
          <w:sz w:val="20"/>
        </w:rPr>
      </w:pPr>
    </w:p>
    <w:p w:rsidR="00200BE6" w:rsidRPr="00272E09" w:rsidRDefault="00200BE6" w:rsidP="00200BE6">
      <w:pPr>
        <w:rPr>
          <w:sz w:val="20"/>
        </w:rPr>
      </w:pPr>
    </w:p>
    <w:p w:rsidR="00200BE6" w:rsidRPr="00272E09" w:rsidRDefault="00200BE6" w:rsidP="00200BE6">
      <w:pPr>
        <w:rPr>
          <w:sz w:val="20"/>
        </w:rPr>
      </w:pPr>
    </w:p>
    <w:p w:rsidR="00200BE6" w:rsidRPr="00272E09" w:rsidRDefault="00200BE6" w:rsidP="00200BE6">
      <w:pPr>
        <w:rPr>
          <w:sz w:val="20"/>
        </w:rPr>
      </w:pPr>
    </w:p>
    <w:p w:rsidR="00200BE6" w:rsidRPr="00272E09" w:rsidRDefault="00200BE6" w:rsidP="00200BE6">
      <w:pPr>
        <w:rPr>
          <w:sz w:val="20"/>
        </w:rPr>
      </w:pPr>
      <w:r w:rsidRPr="00272E09">
        <w:rPr>
          <w:sz w:val="20"/>
        </w:rPr>
        <w:t>Standards Management Officer</w:t>
      </w:r>
    </w:p>
    <w:p w:rsidR="00200BE6" w:rsidRPr="00272E09" w:rsidRDefault="00200BE6" w:rsidP="00200BE6">
      <w:pPr>
        <w:rPr>
          <w:sz w:val="20"/>
        </w:rPr>
      </w:pPr>
      <w:r w:rsidRPr="00272E09">
        <w:rPr>
          <w:sz w:val="20"/>
        </w:rPr>
        <w:t>Delegate of the Board of Food Standards Australia New Zealand</w:t>
      </w:r>
    </w:p>
    <w:p w:rsidR="00200BE6" w:rsidRPr="00272E09" w:rsidRDefault="00200BE6" w:rsidP="00200BE6">
      <w:pPr>
        <w:rPr>
          <w:sz w:val="20"/>
        </w:rPr>
      </w:pPr>
    </w:p>
    <w:p w:rsidR="00200BE6" w:rsidRPr="00272E09" w:rsidRDefault="00200BE6" w:rsidP="00200BE6">
      <w:pPr>
        <w:rPr>
          <w:sz w:val="20"/>
        </w:rPr>
      </w:pPr>
    </w:p>
    <w:p w:rsidR="00200BE6" w:rsidRPr="00272E09" w:rsidRDefault="00200BE6" w:rsidP="00200BE6">
      <w:pPr>
        <w:rPr>
          <w:sz w:val="20"/>
        </w:rPr>
      </w:pPr>
    </w:p>
    <w:p w:rsidR="00200BE6" w:rsidRPr="00272E09" w:rsidRDefault="00200BE6" w:rsidP="00200BE6">
      <w:pPr>
        <w:rPr>
          <w:sz w:val="20"/>
        </w:rPr>
      </w:pPr>
    </w:p>
    <w:p w:rsidR="00200BE6" w:rsidRPr="00272E09" w:rsidRDefault="00200BE6" w:rsidP="00200BE6">
      <w:pPr>
        <w:rPr>
          <w:sz w:val="20"/>
        </w:rPr>
      </w:pPr>
    </w:p>
    <w:p w:rsidR="00200BE6" w:rsidRPr="009F38D1" w:rsidRDefault="00200BE6" w:rsidP="00200BE6">
      <w:pPr>
        <w:pStyle w:val="EditorialNoteLine1"/>
      </w:pPr>
      <w:r w:rsidRPr="009F38D1">
        <w:t xml:space="preserve">Note:  </w:t>
      </w:r>
    </w:p>
    <w:p w:rsidR="00200BE6" w:rsidRPr="009F38D1" w:rsidRDefault="00200BE6" w:rsidP="00200BE6">
      <w:pPr>
        <w:pStyle w:val="EditorialNotetext"/>
      </w:pPr>
    </w:p>
    <w:p w:rsidR="00200BE6" w:rsidRPr="009F38D1" w:rsidRDefault="00200BE6" w:rsidP="00200BE6">
      <w:pPr>
        <w:pStyle w:val="EditorialNotetext"/>
      </w:pPr>
      <w:r w:rsidRPr="009F38D1">
        <w:t xml:space="preserve">This variation will be published in the Commonwealth of Australia Gazette No. </w:t>
      </w:r>
      <w:proofErr w:type="gramStart"/>
      <w:r w:rsidRPr="009F38D1">
        <w:t xml:space="preserve">FSC </w:t>
      </w:r>
      <w:r w:rsidRPr="009F38D1">
        <w:rPr>
          <w:color w:val="FF0000"/>
        </w:rPr>
        <w:t>XX on XX Month 20XX</w:t>
      </w:r>
      <w:r w:rsidRPr="009F38D1">
        <w:t>.</w:t>
      </w:r>
      <w:proofErr w:type="gramEnd"/>
      <w:r w:rsidRPr="009F38D1">
        <w:t xml:space="preserve"> This means that this date is the gazettal date for the purposes of clause 3 of the variation. </w:t>
      </w:r>
    </w:p>
    <w:p w:rsidR="00200BE6" w:rsidRPr="00272E09" w:rsidRDefault="00200BE6" w:rsidP="00200BE6">
      <w:pPr>
        <w:rPr>
          <w:sz w:val="20"/>
        </w:rPr>
      </w:pPr>
    </w:p>
    <w:p w:rsidR="002F241A" w:rsidRPr="00272E09" w:rsidRDefault="00200BE6" w:rsidP="002F241A">
      <w:pPr>
        <w:widowControl/>
        <w:rPr>
          <w:sz w:val="20"/>
        </w:rPr>
      </w:pPr>
      <w:r w:rsidRPr="00272E09">
        <w:rPr>
          <w:sz w:val="20"/>
        </w:rPr>
        <w:br w:type="page"/>
      </w:r>
    </w:p>
    <w:p w:rsidR="00200BE6" w:rsidRPr="00272E09" w:rsidRDefault="00200BE6" w:rsidP="00200BE6">
      <w:pPr>
        <w:pStyle w:val="Clauseheading"/>
      </w:pPr>
      <w:bookmarkStart w:id="61" w:name="_Toc120358598"/>
      <w:bookmarkStart w:id="62" w:name="_Toc175381460"/>
      <w:r w:rsidRPr="00272E09">
        <w:lastRenderedPageBreak/>
        <w:t>1</w:t>
      </w:r>
      <w:r w:rsidRPr="00272E09">
        <w:tab/>
        <w:t>Name</w:t>
      </w:r>
    </w:p>
    <w:p w:rsidR="00200BE6" w:rsidRPr="00272E09" w:rsidRDefault="00200BE6" w:rsidP="00200BE6">
      <w:pPr>
        <w:pStyle w:val="Clause"/>
      </w:pPr>
    </w:p>
    <w:p w:rsidR="007F4740" w:rsidRPr="00F618DF" w:rsidRDefault="007F4740" w:rsidP="007F4740">
      <w:pPr>
        <w:pStyle w:val="Clause"/>
      </w:pPr>
      <w:r w:rsidRPr="00DB170D">
        <w:t xml:space="preserve">This instrument is the </w:t>
      </w:r>
      <w:r>
        <w:rPr>
          <w:i/>
        </w:rPr>
        <w:t xml:space="preserve">Food Standards </w:t>
      </w:r>
      <w:r w:rsidRPr="00F618DF">
        <w:rPr>
          <w:i/>
        </w:rPr>
        <w:t>(</w:t>
      </w:r>
      <w:r w:rsidRPr="006E729D">
        <w:rPr>
          <w:i/>
        </w:rPr>
        <w:t>Application A1089 – Food derived from Herbicide-tolera</w:t>
      </w:r>
      <w:r>
        <w:rPr>
          <w:i/>
        </w:rPr>
        <w:t>n</w:t>
      </w:r>
      <w:r w:rsidRPr="006E729D">
        <w:rPr>
          <w:i/>
        </w:rPr>
        <w:t>t Canola Line DP</w:t>
      </w:r>
      <w:r>
        <w:rPr>
          <w:i/>
        </w:rPr>
        <w:t>-</w:t>
      </w:r>
      <w:r w:rsidRPr="006E729D">
        <w:rPr>
          <w:i/>
        </w:rPr>
        <w:t>073496-4</w:t>
      </w:r>
      <w:r w:rsidRPr="001F6F1A">
        <w:rPr>
          <w:i/>
        </w:rPr>
        <w:t>)</w:t>
      </w:r>
      <w:r>
        <w:rPr>
          <w:i/>
        </w:rPr>
        <w:t xml:space="preserve"> </w:t>
      </w:r>
      <w:r w:rsidRPr="00F618DF">
        <w:rPr>
          <w:i/>
        </w:rPr>
        <w:t>Variation</w:t>
      </w:r>
      <w:r w:rsidRPr="00F618DF">
        <w:t>.</w:t>
      </w:r>
    </w:p>
    <w:p w:rsidR="00200BE6" w:rsidRPr="00272E09" w:rsidRDefault="00200BE6" w:rsidP="00200BE6">
      <w:pPr>
        <w:pStyle w:val="Clause"/>
      </w:pPr>
    </w:p>
    <w:p w:rsidR="00200BE6" w:rsidRPr="00272E09" w:rsidRDefault="00200BE6" w:rsidP="00200BE6">
      <w:pPr>
        <w:pStyle w:val="Clauseheading"/>
        <w:tabs>
          <w:tab w:val="clear" w:pos="851"/>
        </w:tabs>
        <w:ind w:left="851" w:hanging="851"/>
      </w:pPr>
      <w:r w:rsidRPr="00272E09">
        <w:t>2</w:t>
      </w:r>
      <w:r w:rsidRPr="00272E09">
        <w:tab/>
        <w:t xml:space="preserve">Variation to </w:t>
      </w:r>
      <w:r w:rsidR="00272E09" w:rsidRPr="00272E09">
        <w:t xml:space="preserve">a </w:t>
      </w:r>
      <w:r w:rsidRPr="00272E09">
        <w:t xml:space="preserve">Standard in the </w:t>
      </w:r>
      <w:r w:rsidRPr="00272E09">
        <w:rPr>
          <w:i/>
        </w:rPr>
        <w:t>Australia New Zealand Food Standards Code</w:t>
      </w:r>
    </w:p>
    <w:p w:rsidR="00200BE6" w:rsidRPr="00272E09" w:rsidRDefault="00200BE6" w:rsidP="00200BE6">
      <w:pPr>
        <w:pStyle w:val="Clause"/>
      </w:pPr>
    </w:p>
    <w:p w:rsidR="00200BE6" w:rsidRPr="00272E09" w:rsidRDefault="00200BE6" w:rsidP="00200BE6">
      <w:pPr>
        <w:pStyle w:val="Clause"/>
      </w:pPr>
      <w:r w:rsidRPr="00272E09">
        <w:t xml:space="preserve">The Schedule varies a Standard in the </w:t>
      </w:r>
      <w:r w:rsidRPr="00272E09">
        <w:rPr>
          <w:i/>
        </w:rPr>
        <w:t>Australia New Zealand Food Standards Code</w:t>
      </w:r>
      <w:r w:rsidRPr="00272E09">
        <w:t>.</w:t>
      </w:r>
    </w:p>
    <w:p w:rsidR="00200BE6" w:rsidRPr="00272E09" w:rsidRDefault="00200BE6" w:rsidP="00200BE6">
      <w:pPr>
        <w:rPr>
          <w:sz w:val="20"/>
        </w:rPr>
      </w:pPr>
    </w:p>
    <w:p w:rsidR="00200BE6" w:rsidRPr="00272E09" w:rsidRDefault="00200BE6" w:rsidP="00200BE6">
      <w:pPr>
        <w:pStyle w:val="Clauseheading"/>
      </w:pPr>
      <w:r w:rsidRPr="00272E09">
        <w:t>3</w:t>
      </w:r>
      <w:r w:rsidRPr="00272E09">
        <w:tab/>
        <w:t>Commencement</w:t>
      </w:r>
    </w:p>
    <w:p w:rsidR="00200BE6" w:rsidRPr="00272E09" w:rsidRDefault="00200BE6" w:rsidP="00200BE6">
      <w:pPr>
        <w:pStyle w:val="Clause"/>
      </w:pPr>
    </w:p>
    <w:p w:rsidR="00200BE6" w:rsidRPr="00272E09" w:rsidRDefault="00200BE6" w:rsidP="00200BE6">
      <w:pPr>
        <w:pStyle w:val="Clause"/>
      </w:pPr>
      <w:r w:rsidRPr="00272E09">
        <w:t>The variation commences on the date of gazettal.</w:t>
      </w:r>
    </w:p>
    <w:p w:rsidR="00200BE6" w:rsidRPr="00272E09" w:rsidRDefault="00200BE6" w:rsidP="00200BE6">
      <w:pPr>
        <w:pStyle w:val="ScheduleHeading"/>
      </w:pPr>
    </w:p>
    <w:p w:rsidR="00200BE6" w:rsidRPr="00272E09" w:rsidRDefault="00200BE6" w:rsidP="00200BE6">
      <w:pPr>
        <w:pStyle w:val="ScheduleHeading"/>
      </w:pPr>
      <w:r w:rsidRPr="00272E09">
        <w:t>SCHEDULE</w:t>
      </w:r>
    </w:p>
    <w:p w:rsidR="007F4740" w:rsidRDefault="007F4740" w:rsidP="007F4740">
      <w:pPr>
        <w:widowControl/>
        <w:rPr>
          <w:sz w:val="20"/>
        </w:rPr>
      </w:pPr>
    </w:p>
    <w:p w:rsidR="007F4740" w:rsidRPr="008B3957" w:rsidRDefault="007F4740" w:rsidP="007F4740">
      <w:pPr>
        <w:pStyle w:val="Clause"/>
        <w:rPr>
          <w:iCs/>
        </w:rPr>
      </w:pPr>
      <w:r w:rsidRPr="001A0BF0">
        <w:rPr>
          <w:b/>
          <w:bCs/>
        </w:rPr>
        <w:t>[1]</w:t>
      </w:r>
      <w:r w:rsidRPr="001A0BF0">
        <w:tab/>
      </w:r>
      <w:r>
        <w:rPr>
          <w:b/>
          <w:bCs/>
          <w:iCs/>
        </w:rPr>
        <w:t>Standard 1.5.2</w:t>
      </w:r>
      <w:r w:rsidRPr="001A0BF0">
        <w:rPr>
          <w:iCs/>
        </w:rPr>
        <w:t xml:space="preserve"> is </w:t>
      </w:r>
      <w:r w:rsidRPr="00D3581B">
        <w:rPr>
          <w:iCs/>
        </w:rPr>
        <w:t>varied by</w:t>
      </w:r>
      <w:r>
        <w:rPr>
          <w:iCs/>
        </w:rPr>
        <w:t xml:space="preserve"> </w:t>
      </w:r>
      <w:r w:rsidRPr="00D3581B">
        <w:t xml:space="preserve">inserting in </w:t>
      </w:r>
      <w:r>
        <w:t>numerical order in the Schedule</w:t>
      </w:r>
      <w:r w:rsidRPr="00D3581B">
        <w:t xml:space="preserve"> </w:t>
      </w:r>
    </w:p>
    <w:p w:rsidR="007F4740" w:rsidRDefault="007F4740" w:rsidP="007F4740">
      <w:pPr>
        <w:pStyle w:val="Clause"/>
      </w:pPr>
    </w:p>
    <w:p w:rsidR="007F4740" w:rsidRDefault="007F4740" w:rsidP="007F4740">
      <w:pPr>
        <w:pStyle w:val="Clause"/>
      </w:pPr>
      <w: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1513"/>
        <w:gridCol w:w="3686"/>
        <w:gridCol w:w="2835"/>
      </w:tblGrid>
      <w:tr w:rsidR="007F4740" w:rsidRPr="001A751D" w:rsidTr="00DE593C">
        <w:trPr>
          <w:cantSplit/>
        </w:trPr>
        <w:tc>
          <w:tcPr>
            <w:tcW w:w="1430" w:type="dxa"/>
          </w:tcPr>
          <w:p w:rsidR="007F4740" w:rsidRPr="001A751D" w:rsidRDefault="007F4740" w:rsidP="00DE593C">
            <w:pPr>
              <w:pStyle w:val="Table2"/>
            </w:pPr>
          </w:p>
        </w:tc>
        <w:tc>
          <w:tcPr>
            <w:tcW w:w="1513" w:type="dxa"/>
          </w:tcPr>
          <w:p w:rsidR="007F4740" w:rsidRPr="001A751D" w:rsidRDefault="007F4740" w:rsidP="00DE593C">
            <w:pPr>
              <w:pStyle w:val="Table2"/>
            </w:pPr>
            <w:r w:rsidRPr="001A751D">
              <w:t>1.</w:t>
            </w:r>
            <w:r>
              <w:t>5</w:t>
            </w:r>
          </w:p>
        </w:tc>
        <w:tc>
          <w:tcPr>
            <w:tcW w:w="3686" w:type="dxa"/>
          </w:tcPr>
          <w:p w:rsidR="007F4740" w:rsidRPr="001A751D" w:rsidRDefault="007F4740" w:rsidP="00DE593C">
            <w:pPr>
              <w:pStyle w:val="Table2"/>
            </w:pPr>
            <w:r w:rsidRPr="001A751D">
              <w:t xml:space="preserve">Food derived from herbicide-tolerant canola line </w:t>
            </w:r>
            <w:r>
              <w:t>DP-073496-4</w:t>
            </w:r>
          </w:p>
        </w:tc>
        <w:tc>
          <w:tcPr>
            <w:tcW w:w="2835" w:type="dxa"/>
          </w:tcPr>
          <w:p w:rsidR="007F4740" w:rsidRPr="001A751D" w:rsidRDefault="007F4740" w:rsidP="00DE593C">
            <w:pPr>
              <w:pStyle w:val="Table2"/>
            </w:pPr>
          </w:p>
        </w:tc>
      </w:tr>
    </w:tbl>
    <w:p w:rsidR="007F4740" w:rsidRDefault="007F4740" w:rsidP="007F4740">
      <w:pPr>
        <w:pStyle w:val="Clause"/>
        <w:ind w:right="-336"/>
        <w:jc w:val="right"/>
      </w:pPr>
      <w:r>
        <w:t>”</w:t>
      </w:r>
    </w:p>
    <w:p w:rsidR="00200BE6" w:rsidRPr="00272E09" w:rsidRDefault="00200BE6">
      <w:pPr>
        <w:widowControl/>
      </w:pPr>
      <w:r w:rsidRPr="00272E09">
        <w:br w:type="page"/>
      </w:r>
    </w:p>
    <w:p w:rsidR="007D0189" w:rsidRPr="00272E09" w:rsidRDefault="007D0189" w:rsidP="007D0189">
      <w:pPr>
        <w:pStyle w:val="Heading2"/>
        <w:ind w:left="0" w:firstLine="0"/>
      </w:pPr>
      <w:bookmarkStart w:id="63" w:name="_Toc378943896"/>
      <w:r w:rsidRPr="00272E09">
        <w:lastRenderedPageBreak/>
        <w:t>Attachment B – Explanatory Statement</w:t>
      </w:r>
      <w:bookmarkEnd w:id="63"/>
    </w:p>
    <w:bookmarkEnd w:id="61"/>
    <w:bookmarkEnd w:id="62"/>
    <w:p w:rsidR="00F20964" w:rsidRPr="00272E09" w:rsidRDefault="00F20964" w:rsidP="00F20964">
      <w:pPr>
        <w:rPr>
          <w:b/>
          <w:lang w:eastAsia="en-GB" w:bidi="ar-SA"/>
        </w:rPr>
      </w:pPr>
      <w:r w:rsidRPr="00272E09">
        <w:rPr>
          <w:b/>
          <w:lang w:eastAsia="en-GB" w:bidi="ar-SA"/>
        </w:rPr>
        <w:t>1.</w:t>
      </w:r>
      <w:r w:rsidRPr="00272E09">
        <w:rPr>
          <w:b/>
          <w:lang w:eastAsia="en-GB" w:bidi="ar-SA"/>
        </w:rPr>
        <w:tab/>
        <w:t>Authority</w:t>
      </w:r>
    </w:p>
    <w:p w:rsidR="00F20964" w:rsidRPr="00272E09" w:rsidRDefault="00F20964" w:rsidP="00F20964">
      <w:pPr>
        <w:rPr>
          <w:lang w:eastAsia="en-GB" w:bidi="ar-SA"/>
        </w:rPr>
      </w:pPr>
    </w:p>
    <w:p w:rsidR="00F20964" w:rsidRPr="00272E09" w:rsidRDefault="00F20964" w:rsidP="00F20964">
      <w:pPr>
        <w:rPr>
          <w:lang w:eastAsia="en-GB" w:bidi="ar-SA"/>
        </w:rPr>
      </w:pPr>
      <w:r w:rsidRPr="00272E09">
        <w:rPr>
          <w:lang w:eastAsia="en-GB" w:bidi="ar-SA"/>
        </w:rPr>
        <w:t xml:space="preserve">Section 13 of the </w:t>
      </w:r>
      <w:r w:rsidRPr="00272E09">
        <w:rPr>
          <w:i/>
          <w:lang w:eastAsia="en-GB" w:bidi="ar-SA"/>
        </w:rPr>
        <w:t>Food Standards Australia New Zealand Act 1991</w:t>
      </w:r>
      <w:r w:rsidRPr="00272E09">
        <w:rPr>
          <w:lang w:eastAsia="en-GB" w:bidi="ar-SA"/>
        </w:rPr>
        <w:t xml:space="preserve"> (the FSANZ Act) provides that the functions of Food Standards Australia New Zealand (the Authority) include the development of standards and variations of standards for inclusion in the</w:t>
      </w:r>
      <w:r w:rsidRPr="00272E09">
        <w:rPr>
          <w:i/>
          <w:lang w:eastAsia="en-GB" w:bidi="ar-SA"/>
        </w:rPr>
        <w:t xml:space="preserve"> Australia New Zealand Food Standards Code</w:t>
      </w:r>
      <w:r w:rsidR="007F4740">
        <w:rPr>
          <w:lang w:eastAsia="en-GB" w:bidi="ar-SA"/>
        </w:rPr>
        <w:t xml:space="preserve"> (the Code).</w:t>
      </w:r>
    </w:p>
    <w:p w:rsidR="00F20964" w:rsidRPr="00272E09" w:rsidRDefault="00F20964" w:rsidP="00F20964">
      <w:pPr>
        <w:rPr>
          <w:lang w:eastAsia="en-GB" w:bidi="ar-SA"/>
        </w:rPr>
      </w:pPr>
    </w:p>
    <w:p w:rsidR="00F20964" w:rsidRDefault="00F20964" w:rsidP="00F20964">
      <w:pPr>
        <w:rPr>
          <w:lang w:eastAsia="en-GB" w:bidi="ar-SA"/>
        </w:rPr>
      </w:pPr>
      <w:r w:rsidRPr="00272E09">
        <w:rPr>
          <w:lang w:eastAsia="en-GB"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1B7485" w:rsidRDefault="001B7485" w:rsidP="00F20964">
      <w:pPr>
        <w:rPr>
          <w:lang w:eastAsia="en-GB" w:bidi="ar-SA"/>
        </w:rPr>
      </w:pPr>
    </w:p>
    <w:p w:rsidR="001B7485" w:rsidRPr="00272E09" w:rsidRDefault="001B7485" w:rsidP="00F20964">
      <w:pPr>
        <w:rPr>
          <w:lang w:eastAsia="en-GB" w:bidi="ar-SA"/>
        </w:rPr>
      </w:pPr>
      <w:r>
        <w:rPr>
          <w:lang w:eastAsia="en-GB" w:bidi="ar-SA"/>
        </w:rPr>
        <w:t xml:space="preserve">FSANZ accepted Application A1089 which seeks approval for </w:t>
      </w:r>
      <w:r w:rsidR="007A75DF">
        <w:rPr>
          <w:lang w:eastAsia="en-GB" w:bidi="ar-SA"/>
        </w:rPr>
        <w:t xml:space="preserve">herbicide-tolerant </w:t>
      </w:r>
      <w:r>
        <w:rPr>
          <w:lang w:eastAsia="en-GB" w:bidi="ar-SA"/>
        </w:rPr>
        <w:t>canola line DP-073496-4</w:t>
      </w:r>
      <w:r w:rsidR="007A75DF">
        <w:rPr>
          <w:lang w:eastAsia="en-GB" w:bidi="ar-SA"/>
        </w:rPr>
        <w:t xml:space="preserve"> which is genetically modified for tolerance to glyphosate. The Authority considered the Application in accordance with Division 1 of Part 3 and has approved a draft Standard.</w:t>
      </w:r>
    </w:p>
    <w:p w:rsidR="00F20964" w:rsidRPr="00272E09" w:rsidRDefault="00F20964" w:rsidP="00F20964">
      <w:pPr>
        <w:rPr>
          <w:lang w:eastAsia="en-GB" w:bidi="ar-SA"/>
        </w:rPr>
      </w:pPr>
    </w:p>
    <w:p w:rsidR="005B4F76" w:rsidRPr="00FD52BA" w:rsidRDefault="005B4F76" w:rsidP="005B4F76">
      <w:pPr>
        <w:widowControl/>
        <w:autoSpaceDE w:val="0"/>
        <w:autoSpaceDN w:val="0"/>
        <w:adjustRightInd w:val="0"/>
        <w:rPr>
          <w:rFonts w:eastAsia="Calibri" w:cs="Arial"/>
          <w:bCs/>
          <w:szCs w:val="22"/>
          <w:lang w:bidi="ar-SA"/>
        </w:rPr>
      </w:pPr>
      <w:r w:rsidRPr="00FD52BA">
        <w:rPr>
          <w:rFonts w:eastAsia="Calibri" w:cs="Arial"/>
          <w:bCs/>
          <w:szCs w:val="22"/>
          <w:lang w:bidi="ar-SA"/>
        </w:rPr>
        <w:t xml:space="preserve">Following consideration by the </w:t>
      </w:r>
      <w:r w:rsidRPr="00272E09">
        <w:rPr>
          <w:rFonts w:cs="Arial"/>
        </w:rPr>
        <w:t>COAG Legislative and Governance Forum on Food Regulation</w:t>
      </w:r>
      <w:r w:rsidRPr="00272E09">
        <w:rPr>
          <w:rStyle w:val="FootnoteReference"/>
          <w:rFonts w:cs="Arial"/>
        </w:rPr>
        <w:footnoteReference w:id="5"/>
      </w:r>
      <w:r w:rsidRPr="00FD52BA">
        <w:rPr>
          <w:rFonts w:eastAsia="Calibri" w:cs="Arial"/>
          <w:bCs/>
          <w:szCs w:val="22"/>
          <w:lang w:bidi="ar-SA"/>
        </w:rPr>
        <w:t xml:space="preserve">, section 92 of the FSANZ Act stipulates that the Authority must publish a notice about the standard or draft variation of a standard. </w:t>
      </w:r>
    </w:p>
    <w:p w:rsidR="005B4F76" w:rsidRPr="00FD52BA" w:rsidRDefault="005B4F76" w:rsidP="005B4F76">
      <w:pPr>
        <w:widowControl/>
        <w:autoSpaceDE w:val="0"/>
        <w:autoSpaceDN w:val="0"/>
        <w:adjustRightInd w:val="0"/>
        <w:rPr>
          <w:rFonts w:eastAsia="Calibri" w:cs="Arial"/>
          <w:bCs/>
          <w:szCs w:val="22"/>
          <w:lang w:bidi="ar-SA"/>
        </w:rPr>
      </w:pPr>
    </w:p>
    <w:p w:rsidR="005B4F76" w:rsidRPr="00FD52BA" w:rsidRDefault="005B4F76" w:rsidP="005B4F76">
      <w:pPr>
        <w:widowControl/>
        <w:autoSpaceDE w:val="0"/>
        <w:autoSpaceDN w:val="0"/>
        <w:adjustRightInd w:val="0"/>
        <w:rPr>
          <w:rFonts w:eastAsia="Calibri" w:cs="Arial"/>
          <w:color w:val="000000"/>
          <w:szCs w:val="22"/>
          <w:lang w:bidi="ar-SA"/>
        </w:rPr>
      </w:pPr>
      <w:r w:rsidRPr="00FD52BA">
        <w:rPr>
          <w:rFonts w:eastAsia="Calibri" w:cs="Arial"/>
          <w:bCs/>
          <w:color w:val="000000"/>
          <w:szCs w:val="22"/>
          <w:lang w:bidi="ar-SA"/>
        </w:rPr>
        <w:t>Section 94 of the FSANZ Act specifies that a</w:t>
      </w:r>
      <w:r w:rsidRPr="00FD52BA">
        <w:rPr>
          <w:rFonts w:eastAsia="Calibri" w:cs="Arial"/>
          <w:color w:val="000000"/>
          <w:szCs w:val="22"/>
          <w:lang w:bidi="ar-SA"/>
        </w:rPr>
        <w:t xml:space="preserve"> standard, or a variation of a standard, in relation to which a notice is published under section 92 is a legislative instrument, but is not subject to parliamentary disallowance or sunsetting under the </w:t>
      </w:r>
      <w:r w:rsidRPr="00FD52BA">
        <w:rPr>
          <w:rFonts w:eastAsia="Calibri" w:cs="Arial"/>
          <w:i/>
          <w:color w:val="000000"/>
          <w:szCs w:val="22"/>
          <w:lang w:bidi="ar-SA"/>
        </w:rPr>
        <w:t>Legislative Instruments Act 2003</w:t>
      </w:r>
      <w:r w:rsidRPr="00FD52BA">
        <w:rPr>
          <w:rFonts w:eastAsia="Calibri" w:cs="Arial"/>
          <w:color w:val="000000"/>
          <w:szCs w:val="22"/>
          <w:lang w:bidi="ar-SA"/>
        </w:rPr>
        <w:t>.</w:t>
      </w:r>
    </w:p>
    <w:p w:rsidR="00F20964" w:rsidRPr="00272E09" w:rsidRDefault="00F20964" w:rsidP="00F20964">
      <w:pPr>
        <w:rPr>
          <w:lang w:eastAsia="en-GB" w:bidi="ar-SA"/>
        </w:rPr>
      </w:pPr>
    </w:p>
    <w:p w:rsidR="00F20964" w:rsidRPr="00272E09" w:rsidRDefault="00200BE6" w:rsidP="00F20964">
      <w:pPr>
        <w:rPr>
          <w:b/>
          <w:lang w:eastAsia="en-GB" w:bidi="ar-SA"/>
        </w:rPr>
      </w:pPr>
      <w:r w:rsidRPr="00272E09">
        <w:rPr>
          <w:b/>
          <w:lang w:eastAsia="en-GB" w:bidi="ar-SA"/>
        </w:rPr>
        <w:t>2.</w:t>
      </w:r>
      <w:r w:rsidRPr="00272E09">
        <w:rPr>
          <w:b/>
          <w:lang w:eastAsia="en-GB" w:bidi="ar-SA"/>
        </w:rPr>
        <w:tab/>
        <w:t>Purpose</w:t>
      </w:r>
    </w:p>
    <w:p w:rsidR="00F20964" w:rsidRPr="00272E09" w:rsidRDefault="00F20964" w:rsidP="00F20964">
      <w:pPr>
        <w:rPr>
          <w:lang w:eastAsia="en-GB" w:bidi="ar-SA"/>
        </w:rPr>
      </w:pPr>
    </w:p>
    <w:p w:rsidR="00F20964" w:rsidRPr="00272E09" w:rsidRDefault="007A75DF" w:rsidP="00993B7D">
      <w:pPr>
        <w:rPr>
          <w:lang w:eastAsia="en-GB" w:bidi="ar-SA"/>
        </w:rPr>
      </w:pPr>
      <w:r>
        <w:rPr>
          <w:lang w:eastAsia="en-GB" w:bidi="ar-SA"/>
        </w:rPr>
        <w:t xml:space="preserve">The Authority has approved herbicide-tolerant canola line DP-073496-4 to be listed </w:t>
      </w:r>
      <w:r w:rsidR="00F20964" w:rsidRPr="00272E09">
        <w:rPr>
          <w:lang w:eastAsia="en-GB" w:bidi="ar-SA"/>
        </w:rPr>
        <w:t>in the Schedule to Standa</w:t>
      </w:r>
      <w:r w:rsidR="00643BA9" w:rsidRPr="00272E09">
        <w:rPr>
          <w:lang w:eastAsia="en-GB" w:bidi="ar-SA"/>
        </w:rPr>
        <w:t>rd</w:t>
      </w:r>
      <w:r w:rsidR="002F241A" w:rsidRPr="00272E09">
        <w:rPr>
          <w:lang w:eastAsia="en-GB" w:bidi="ar-SA"/>
        </w:rPr>
        <w:t xml:space="preserve"> </w:t>
      </w:r>
      <w:r w:rsidR="00200BE6" w:rsidRPr="00272E09">
        <w:rPr>
          <w:lang w:eastAsia="en-GB" w:bidi="ar-SA"/>
        </w:rPr>
        <w:t>1.5.2</w:t>
      </w:r>
      <w:r>
        <w:rPr>
          <w:lang w:eastAsia="en-GB" w:bidi="ar-SA"/>
        </w:rPr>
        <w:t xml:space="preserve"> Food produced using Gene Technology. </w:t>
      </w:r>
      <w:r w:rsidR="00993B7D" w:rsidRPr="00272E09">
        <w:rPr>
          <w:lang w:eastAsia="en-GB" w:bidi="ar-SA"/>
        </w:rPr>
        <w:t>This variation</w:t>
      </w:r>
      <w:r w:rsidR="00F20964" w:rsidRPr="00272E09">
        <w:rPr>
          <w:lang w:eastAsia="en-GB" w:bidi="ar-SA"/>
        </w:rPr>
        <w:t xml:space="preserve"> </w:t>
      </w:r>
      <w:r w:rsidR="00205F87" w:rsidRPr="00272E09">
        <w:rPr>
          <w:lang w:eastAsia="en-GB" w:bidi="ar-SA"/>
        </w:rPr>
        <w:t>permit</w:t>
      </w:r>
      <w:r w:rsidR="00993B7D" w:rsidRPr="00272E09">
        <w:rPr>
          <w:lang w:eastAsia="en-GB" w:bidi="ar-SA"/>
        </w:rPr>
        <w:t>s</w:t>
      </w:r>
      <w:r w:rsidR="00205F87" w:rsidRPr="00272E09">
        <w:rPr>
          <w:lang w:eastAsia="en-GB" w:bidi="ar-SA"/>
        </w:rPr>
        <w:t xml:space="preserve"> the sale or use of</w:t>
      </w:r>
      <w:r w:rsidR="002F241A" w:rsidRPr="00272E09">
        <w:rPr>
          <w:lang w:eastAsia="en-GB" w:bidi="ar-SA"/>
        </w:rPr>
        <w:t xml:space="preserve"> food deriv</w:t>
      </w:r>
      <w:r w:rsidR="00200BE6" w:rsidRPr="00272E09">
        <w:rPr>
          <w:lang w:eastAsia="en-GB" w:bidi="ar-SA"/>
        </w:rPr>
        <w:t xml:space="preserve">ed from </w:t>
      </w:r>
      <w:r>
        <w:rPr>
          <w:lang w:eastAsia="en-GB" w:bidi="ar-SA"/>
        </w:rPr>
        <w:t>canola line DP-073496-4</w:t>
      </w:r>
      <w:r w:rsidR="00AE217E">
        <w:rPr>
          <w:lang w:eastAsia="en-GB" w:bidi="ar-SA"/>
        </w:rPr>
        <w:t xml:space="preserve"> in Australia and New Zealand</w:t>
      </w:r>
      <w:r>
        <w:rPr>
          <w:lang w:eastAsia="en-GB" w:bidi="ar-SA"/>
        </w:rPr>
        <w:t xml:space="preserve">. </w:t>
      </w:r>
    </w:p>
    <w:p w:rsidR="00F20964" w:rsidRPr="00272E09" w:rsidRDefault="00F20964" w:rsidP="00F20964">
      <w:pPr>
        <w:rPr>
          <w:lang w:eastAsia="en-GB" w:bidi="ar-SA"/>
        </w:rPr>
      </w:pPr>
    </w:p>
    <w:p w:rsidR="00F20964" w:rsidRPr="00272E09" w:rsidRDefault="00F20964" w:rsidP="00F20964">
      <w:pPr>
        <w:rPr>
          <w:b/>
          <w:lang w:eastAsia="en-GB" w:bidi="ar-SA"/>
        </w:rPr>
      </w:pPr>
      <w:r w:rsidRPr="00272E09">
        <w:rPr>
          <w:b/>
          <w:lang w:eastAsia="en-GB" w:bidi="ar-SA"/>
        </w:rPr>
        <w:t>3.</w:t>
      </w:r>
      <w:r w:rsidRPr="00272E09">
        <w:rPr>
          <w:b/>
          <w:lang w:eastAsia="en-GB" w:bidi="ar-SA"/>
        </w:rPr>
        <w:tab/>
        <w:t>Documents incorporated by reference</w:t>
      </w:r>
    </w:p>
    <w:p w:rsidR="00F20964" w:rsidRPr="00272E09" w:rsidRDefault="00F20964" w:rsidP="00F20964">
      <w:pPr>
        <w:rPr>
          <w:lang w:eastAsia="en-GB" w:bidi="ar-SA"/>
        </w:rPr>
      </w:pPr>
    </w:p>
    <w:p w:rsidR="00F20964" w:rsidRPr="00272E09" w:rsidRDefault="00643BA9" w:rsidP="00F20964">
      <w:pPr>
        <w:rPr>
          <w:lang w:eastAsia="en-GB" w:bidi="ar-SA"/>
        </w:rPr>
      </w:pPr>
      <w:r w:rsidRPr="00272E09">
        <w:rPr>
          <w:rFonts w:eastAsia="Calibri" w:cs="Arial"/>
          <w:bCs/>
          <w:szCs w:val="22"/>
          <w:lang w:bidi="ar-SA"/>
        </w:rPr>
        <w:t>Th</w:t>
      </w:r>
      <w:r w:rsidR="000C08DE" w:rsidRPr="00272E09">
        <w:rPr>
          <w:rFonts w:eastAsia="Calibri" w:cs="Arial"/>
          <w:bCs/>
          <w:szCs w:val="22"/>
          <w:lang w:bidi="ar-SA"/>
        </w:rPr>
        <w:t xml:space="preserve">is </w:t>
      </w:r>
      <w:r w:rsidRPr="00272E09">
        <w:rPr>
          <w:rFonts w:eastAsia="Calibri" w:cs="Arial"/>
          <w:bCs/>
          <w:szCs w:val="22"/>
          <w:lang w:bidi="ar-SA"/>
        </w:rPr>
        <w:t>variation</w:t>
      </w:r>
      <w:r w:rsidR="000C08DE" w:rsidRPr="00272E09">
        <w:rPr>
          <w:rFonts w:eastAsia="Calibri" w:cs="Arial"/>
          <w:bCs/>
          <w:szCs w:val="22"/>
          <w:lang w:bidi="ar-SA"/>
        </w:rPr>
        <w:t xml:space="preserve"> does </w:t>
      </w:r>
      <w:r w:rsidR="00F20964" w:rsidRPr="00272E09">
        <w:rPr>
          <w:lang w:eastAsia="en-GB" w:bidi="ar-SA"/>
        </w:rPr>
        <w:t>not incorporate any documents by reference.</w:t>
      </w:r>
    </w:p>
    <w:p w:rsidR="00F20964" w:rsidRPr="00272E09" w:rsidRDefault="00F20964" w:rsidP="00F20964">
      <w:pPr>
        <w:rPr>
          <w:lang w:eastAsia="en-GB" w:bidi="ar-SA"/>
        </w:rPr>
      </w:pPr>
    </w:p>
    <w:p w:rsidR="00F20964" w:rsidRPr="00272E09" w:rsidRDefault="00F20964" w:rsidP="00F20964">
      <w:pPr>
        <w:rPr>
          <w:b/>
          <w:lang w:eastAsia="en-GB" w:bidi="ar-SA"/>
        </w:rPr>
      </w:pPr>
      <w:r w:rsidRPr="00272E09">
        <w:rPr>
          <w:b/>
          <w:lang w:eastAsia="en-GB" w:bidi="ar-SA"/>
        </w:rPr>
        <w:t>4.</w:t>
      </w:r>
      <w:r w:rsidRPr="00272E09">
        <w:rPr>
          <w:b/>
          <w:lang w:eastAsia="en-GB" w:bidi="ar-SA"/>
        </w:rPr>
        <w:tab/>
        <w:t>Consultation</w:t>
      </w:r>
    </w:p>
    <w:p w:rsidR="00F20964" w:rsidRPr="00272E09" w:rsidRDefault="00F20964" w:rsidP="00F20964">
      <w:pPr>
        <w:rPr>
          <w:lang w:eastAsia="en-GB" w:bidi="ar-SA"/>
        </w:rPr>
      </w:pPr>
    </w:p>
    <w:p w:rsidR="00F20964" w:rsidRPr="00272E09" w:rsidRDefault="00F20964" w:rsidP="00F20964">
      <w:pPr>
        <w:rPr>
          <w:lang w:eastAsia="en-GB" w:bidi="ar-SA"/>
        </w:rPr>
      </w:pPr>
      <w:r w:rsidRPr="00272E09">
        <w:rPr>
          <w:lang w:eastAsia="en-GB" w:bidi="ar-SA"/>
        </w:rPr>
        <w:t>In accordance with the procedure in Division 1 of Part 3 of the FSANZ Act, the Authority’s co</w:t>
      </w:r>
      <w:r w:rsidR="00200BE6" w:rsidRPr="00272E09">
        <w:rPr>
          <w:lang w:eastAsia="en-GB" w:bidi="ar-SA"/>
        </w:rPr>
        <w:t>nsideration of Application A108</w:t>
      </w:r>
      <w:r w:rsidR="00AE217E">
        <w:rPr>
          <w:lang w:eastAsia="en-GB" w:bidi="ar-SA"/>
        </w:rPr>
        <w:t>9</w:t>
      </w:r>
      <w:r w:rsidRPr="00272E09">
        <w:rPr>
          <w:lang w:eastAsia="en-GB" w:bidi="ar-SA"/>
        </w:rPr>
        <w:t xml:space="preserve"> included one round of public consultation following an assessment and the preparation of a draft variation to the Standard</w:t>
      </w:r>
      <w:r w:rsidR="00643BA9" w:rsidRPr="00272E09">
        <w:rPr>
          <w:lang w:eastAsia="en-GB" w:bidi="ar-SA"/>
        </w:rPr>
        <w:t xml:space="preserve"> and associated report. Submissions were </w:t>
      </w:r>
      <w:r w:rsidR="00AE217E">
        <w:rPr>
          <w:lang w:eastAsia="en-GB" w:bidi="ar-SA"/>
        </w:rPr>
        <w:t xml:space="preserve">invited on 13 December </w:t>
      </w:r>
      <w:r w:rsidR="00C05C62" w:rsidRPr="00272E09">
        <w:rPr>
          <w:lang w:eastAsia="en-GB" w:bidi="ar-SA"/>
        </w:rPr>
        <w:t>2013</w:t>
      </w:r>
      <w:r w:rsidR="00200BE6" w:rsidRPr="00272E09">
        <w:rPr>
          <w:lang w:eastAsia="en-GB" w:bidi="ar-SA"/>
        </w:rPr>
        <w:t xml:space="preserve"> for a s</w:t>
      </w:r>
      <w:r w:rsidR="00AE217E">
        <w:rPr>
          <w:lang w:eastAsia="en-GB" w:bidi="ar-SA"/>
        </w:rPr>
        <w:t>even</w:t>
      </w:r>
      <w:r w:rsidRPr="00272E09">
        <w:rPr>
          <w:lang w:eastAsia="en-GB" w:bidi="ar-SA"/>
        </w:rPr>
        <w:t xml:space="preserve">-week consultation period. </w:t>
      </w:r>
    </w:p>
    <w:p w:rsidR="00F20964" w:rsidRPr="00272E09" w:rsidRDefault="00F20964" w:rsidP="00F20964">
      <w:pPr>
        <w:rPr>
          <w:lang w:eastAsia="en-GB" w:bidi="ar-SA"/>
        </w:rPr>
      </w:pPr>
    </w:p>
    <w:p w:rsidR="00F20964" w:rsidRPr="00272E09" w:rsidRDefault="00F20964" w:rsidP="00F20964">
      <w:pPr>
        <w:rPr>
          <w:lang w:eastAsia="en-GB" w:bidi="ar-SA"/>
        </w:rPr>
      </w:pPr>
      <w:r w:rsidRPr="00272E09">
        <w:rPr>
          <w:lang w:eastAsia="en-GB" w:bidi="ar-SA"/>
        </w:rPr>
        <w:t xml:space="preserve">A Regulation Impact Statement was not required because the </w:t>
      </w:r>
      <w:r w:rsidR="00643BA9" w:rsidRPr="00272E09">
        <w:rPr>
          <w:lang w:eastAsia="en-GB" w:bidi="ar-SA"/>
        </w:rPr>
        <w:t xml:space="preserve">proposed </w:t>
      </w:r>
      <w:r w:rsidRPr="00272E09">
        <w:rPr>
          <w:lang w:eastAsia="en-GB" w:bidi="ar-SA"/>
        </w:rPr>
        <w:t xml:space="preserve">variation to Standard 1.5.2 is likely to have a minor impact on business and individuals. </w:t>
      </w:r>
    </w:p>
    <w:p w:rsidR="00793D48" w:rsidRPr="00272E09" w:rsidRDefault="00793D48">
      <w:pPr>
        <w:widowControl/>
        <w:rPr>
          <w:b/>
          <w:lang w:eastAsia="en-GB" w:bidi="ar-SA"/>
        </w:rPr>
      </w:pPr>
    </w:p>
    <w:p w:rsidR="00F20964" w:rsidRPr="00272E09" w:rsidRDefault="00F20964" w:rsidP="00F20964">
      <w:pPr>
        <w:rPr>
          <w:b/>
          <w:lang w:eastAsia="en-GB" w:bidi="ar-SA"/>
        </w:rPr>
      </w:pPr>
      <w:r w:rsidRPr="00272E09">
        <w:rPr>
          <w:b/>
          <w:lang w:eastAsia="en-GB" w:bidi="ar-SA"/>
        </w:rPr>
        <w:t>5.</w:t>
      </w:r>
      <w:r w:rsidRPr="00272E09">
        <w:rPr>
          <w:b/>
          <w:lang w:eastAsia="en-GB" w:bidi="ar-SA"/>
        </w:rPr>
        <w:tab/>
        <w:t>Statement of compatibility with human rights</w:t>
      </w:r>
    </w:p>
    <w:p w:rsidR="00F20964" w:rsidRPr="00272E09" w:rsidRDefault="00F20964" w:rsidP="00F20964">
      <w:pPr>
        <w:rPr>
          <w:lang w:eastAsia="en-GB" w:bidi="ar-SA"/>
        </w:rPr>
      </w:pPr>
    </w:p>
    <w:p w:rsidR="000117FD" w:rsidRDefault="00F20964" w:rsidP="00205F87">
      <w:pPr>
        <w:rPr>
          <w:lang w:eastAsia="en-GB" w:bidi="ar-SA"/>
        </w:rPr>
      </w:pPr>
      <w:r w:rsidRPr="00272E09">
        <w:rPr>
          <w:lang w:eastAsia="en-GB" w:bidi="ar-SA"/>
        </w:rPr>
        <w:t>This instrument is exempt from the requirements for a statement of compatibility with human rights as it is a non-disallowable instrument under section 94 of the FSANZ Act.</w:t>
      </w:r>
      <w:r w:rsidR="000117FD">
        <w:rPr>
          <w:lang w:eastAsia="en-GB" w:bidi="ar-SA"/>
        </w:rPr>
        <w:br w:type="page"/>
      </w:r>
    </w:p>
    <w:p w:rsidR="00F20964" w:rsidRPr="00272E09" w:rsidRDefault="00F20964" w:rsidP="00205F87">
      <w:pPr>
        <w:rPr>
          <w:b/>
          <w:lang w:eastAsia="en-GB" w:bidi="ar-SA"/>
        </w:rPr>
      </w:pPr>
      <w:r w:rsidRPr="00272E09">
        <w:rPr>
          <w:b/>
          <w:lang w:eastAsia="en-GB" w:bidi="ar-SA"/>
        </w:rPr>
        <w:lastRenderedPageBreak/>
        <w:t>6.</w:t>
      </w:r>
      <w:r w:rsidRPr="00272E09">
        <w:rPr>
          <w:b/>
          <w:lang w:eastAsia="en-GB" w:bidi="ar-SA"/>
        </w:rPr>
        <w:tab/>
        <w:t xml:space="preserve">Variation </w:t>
      </w:r>
    </w:p>
    <w:p w:rsidR="00F20964" w:rsidRPr="00272E09" w:rsidRDefault="00F20964" w:rsidP="00F20964">
      <w:pPr>
        <w:rPr>
          <w:lang w:eastAsia="en-GB" w:bidi="ar-SA"/>
        </w:rPr>
      </w:pPr>
    </w:p>
    <w:p w:rsidR="0012388D" w:rsidRPr="00272E09" w:rsidRDefault="00F20964" w:rsidP="00F20964">
      <w:pPr>
        <w:rPr>
          <w:lang w:eastAsia="en-GB" w:bidi="ar-SA"/>
        </w:rPr>
      </w:pPr>
      <w:r w:rsidRPr="00272E09">
        <w:rPr>
          <w:lang w:eastAsia="en-GB" w:bidi="ar-SA"/>
        </w:rPr>
        <w:t xml:space="preserve">This </w:t>
      </w:r>
      <w:r w:rsidR="00643BA9" w:rsidRPr="00272E09">
        <w:rPr>
          <w:lang w:eastAsia="en-GB" w:bidi="ar-SA"/>
        </w:rPr>
        <w:t>it</w:t>
      </w:r>
      <w:r w:rsidR="002F241A" w:rsidRPr="00272E09">
        <w:rPr>
          <w:lang w:eastAsia="en-GB" w:bidi="ar-SA"/>
        </w:rPr>
        <w:t>e</w:t>
      </w:r>
      <w:r w:rsidR="00200BE6" w:rsidRPr="00272E09">
        <w:rPr>
          <w:lang w:eastAsia="en-GB" w:bidi="ar-SA"/>
        </w:rPr>
        <w:t xml:space="preserve">m adds food derived from </w:t>
      </w:r>
      <w:r w:rsidR="00AE217E">
        <w:rPr>
          <w:lang w:eastAsia="en-GB" w:bidi="ar-SA"/>
        </w:rPr>
        <w:t xml:space="preserve">herbicide-tolerant canola line DP-073496-4 </w:t>
      </w:r>
      <w:r w:rsidRPr="00272E09">
        <w:rPr>
          <w:lang w:eastAsia="en-GB" w:bidi="ar-SA"/>
        </w:rPr>
        <w:t>to the Schedule to Standard 1.5.2.</w:t>
      </w:r>
    </w:p>
    <w:sectPr w:rsidR="0012388D" w:rsidRPr="00272E09" w:rsidSect="00F2096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103" w:rsidRDefault="001E1103">
      <w:r>
        <w:separator/>
      </w:r>
    </w:p>
  </w:endnote>
  <w:endnote w:type="continuationSeparator" w:id="0">
    <w:p w:rsidR="001E1103" w:rsidRDefault="001E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03" w:rsidRDefault="001E110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1103" w:rsidRDefault="001E11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rsidR="001E1103" w:rsidRDefault="001E1103" w:rsidP="00A671E6">
        <w:pPr>
          <w:pStyle w:val="Footer"/>
          <w:jc w:val="center"/>
        </w:pPr>
        <w:r>
          <w:fldChar w:fldCharType="begin"/>
        </w:r>
        <w:r>
          <w:instrText xml:space="preserve"> PAGE   \* MERGEFORMAT </w:instrText>
        </w:r>
        <w:r>
          <w:fldChar w:fldCharType="separate"/>
        </w:r>
        <w:r w:rsidR="00341CB2">
          <w:rPr>
            <w:noProof/>
          </w:rPr>
          <w:t>18</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C47" w:rsidRDefault="00216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103" w:rsidRDefault="001E1103">
      <w:r>
        <w:separator/>
      </w:r>
    </w:p>
  </w:footnote>
  <w:footnote w:type="continuationSeparator" w:id="0">
    <w:p w:rsidR="001E1103" w:rsidRDefault="001E1103">
      <w:r>
        <w:continuationSeparator/>
      </w:r>
    </w:p>
  </w:footnote>
  <w:footnote w:id="1">
    <w:p w:rsidR="001E1103" w:rsidRPr="00B90B03" w:rsidRDefault="001E1103" w:rsidP="009B52B3">
      <w:pPr>
        <w:rPr>
          <w:sz w:val="18"/>
          <w:szCs w:val="18"/>
          <w:lang w:val="en-AU"/>
        </w:rPr>
      </w:pPr>
      <w:r w:rsidRPr="00B90B03">
        <w:rPr>
          <w:sz w:val="18"/>
          <w:szCs w:val="18"/>
          <w:vertAlign w:val="superscript"/>
        </w:rPr>
        <w:footnoteRef/>
      </w:r>
      <w:r w:rsidRPr="00B90B03">
        <w:rPr>
          <w:sz w:val="18"/>
          <w:szCs w:val="18"/>
        </w:rPr>
        <w:t xml:space="preserve"> </w:t>
      </w:r>
      <w:r w:rsidRPr="00B90B03">
        <w:rPr>
          <w:sz w:val="18"/>
          <w:szCs w:val="18"/>
          <w:lang w:val="en-AU"/>
        </w:rPr>
        <w:t>Previously known as the Australia and New Zealand Food Regulation Ministerial Council</w:t>
      </w:r>
    </w:p>
  </w:footnote>
  <w:footnote w:id="2">
    <w:p w:rsidR="001E1103" w:rsidRPr="00790014" w:rsidRDefault="001E1103" w:rsidP="00E5021F">
      <w:pPr>
        <w:pStyle w:val="FootnoteText"/>
        <w:rPr>
          <w:sz w:val="16"/>
          <w:szCs w:val="16"/>
        </w:rPr>
      </w:pPr>
      <w:r>
        <w:rPr>
          <w:rStyle w:val="FootnoteReference"/>
        </w:rPr>
        <w:footnoteRef/>
      </w:r>
      <w:r>
        <w:t xml:space="preserve"> </w:t>
      </w:r>
      <w:proofErr w:type="spellStart"/>
      <w:r w:rsidRPr="00790014">
        <w:rPr>
          <w:sz w:val="16"/>
          <w:szCs w:val="16"/>
        </w:rPr>
        <w:t>S</w:t>
      </w:r>
      <w:r w:rsidRPr="00790014">
        <w:rPr>
          <w:rFonts w:cs="Arial"/>
          <w:sz w:val="16"/>
          <w:szCs w:val="16"/>
        </w:rPr>
        <w:t>é</w:t>
      </w:r>
      <w:r w:rsidRPr="00790014">
        <w:rPr>
          <w:sz w:val="16"/>
          <w:szCs w:val="16"/>
        </w:rPr>
        <w:t>ralini</w:t>
      </w:r>
      <w:proofErr w:type="spellEnd"/>
      <w:r w:rsidRPr="00790014">
        <w:rPr>
          <w:sz w:val="16"/>
          <w:szCs w:val="16"/>
        </w:rPr>
        <w:t xml:space="preserve">, G.-E.; Clair, E.; </w:t>
      </w:r>
      <w:proofErr w:type="spellStart"/>
      <w:r w:rsidRPr="00790014">
        <w:rPr>
          <w:sz w:val="16"/>
          <w:szCs w:val="16"/>
        </w:rPr>
        <w:t>Mesnage</w:t>
      </w:r>
      <w:proofErr w:type="spellEnd"/>
      <w:r w:rsidRPr="00790014">
        <w:rPr>
          <w:sz w:val="16"/>
          <w:szCs w:val="16"/>
        </w:rPr>
        <w:t xml:space="preserve">, R.; </w:t>
      </w:r>
      <w:proofErr w:type="spellStart"/>
      <w:r w:rsidRPr="00790014">
        <w:rPr>
          <w:sz w:val="16"/>
          <w:szCs w:val="16"/>
        </w:rPr>
        <w:t>Gress</w:t>
      </w:r>
      <w:proofErr w:type="spellEnd"/>
      <w:r w:rsidRPr="00790014">
        <w:rPr>
          <w:sz w:val="16"/>
          <w:szCs w:val="16"/>
        </w:rPr>
        <w:t xml:space="preserve">, S.; </w:t>
      </w:r>
      <w:proofErr w:type="spellStart"/>
      <w:r w:rsidRPr="00790014">
        <w:rPr>
          <w:sz w:val="16"/>
          <w:szCs w:val="16"/>
        </w:rPr>
        <w:t>Defarge</w:t>
      </w:r>
      <w:proofErr w:type="spellEnd"/>
      <w:r w:rsidRPr="00790014">
        <w:rPr>
          <w:sz w:val="16"/>
          <w:szCs w:val="16"/>
        </w:rPr>
        <w:t xml:space="preserve">, N.; </w:t>
      </w:r>
      <w:proofErr w:type="spellStart"/>
      <w:r w:rsidRPr="00790014">
        <w:rPr>
          <w:sz w:val="16"/>
          <w:szCs w:val="16"/>
        </w:rPr>
        <w:t>Malatesta</w:t>
      </w:r>
      <w:proofErr w:type="spellEnd"/>
      <w:r w:rsidRPr="00790014">
        <w:rPr>
          <w:sz w:val="16"/>
          <w:szCs w:val="16"/>
        </w:rPr>
        <w:t xml:space="preserve">, M.; </w:t>
      </w:r>
      <w:proofErr w:type="spellStart"/>
      <w:r w:rsidRPr="00790014">
        <w:rPr>
          <w:sz w:val="16"/>
          <w:szCs w:val="16"/>
        </w:rPr>
        <w:t>Hennequin</w:t>
      </w:r>
      <w:proofErr w:type="spellEnd"/>
      <w:r w:rsidRPr="00790014">
        <w:rPr>
          <w:sz w:val="16"/>
          <w:szCs w:val="16"/>
        </w:rPr>
        <w:t xml:space="preserve">, D.; </w:t>
      </w:r>
      <w:proofErr w:type="spellStart"/>
      <w:r w:rsidRPr="00790014">
        <w:rPr>
          <w:sz w:val="16"/>
          <w:szCs w:val="16"/>
        </w:rPr>
        <w:t>Spiroux</w:t>
      </w:r>
      <w:proofErr w:type="spellEnd"/>
      <w:r w:rsidRPr="00790014">
        <w:rPr>
          <w:sz w:val="16"/>
          <w:szCs w:val="16"/>
        </w:rPr>
        <w:t xml:space="preserve"> de </w:t>
      </w:r>
      <w:proofErr w:type="spellStart"/>
      <w:r w:rsidRPr="00790014">
        <w:rPr>
          <w:sz w:val="16"/>
          <w:szCs w:val="16"/>
        </w:rPr>
        <w:t>Vendemois</w:t>
      </w:r>
      <w:proofErr w:type="spellEnd"/>
      <w:r w:rsidRPr="00790014">
        <w:rPr>
          <w:sz w:val="16"/>
          <w:szCs w:val="16"/>
        </w:rPr>
        <w:t xml:space="preserve">, J. (2012). Long term toxicity of a Roundup herbicide and </w:t>
      </w:r>
      <w:proofErr w:type="gramStart"/>
      <w:r w:rsidRPr="00790014">
        <w:rPr>
          <w:sz w:val="16"/>
          <w:szCs w:val="16"/>
        </w:rPr>
        <w:t>a Roundup</w:t>
      </w:r>
      <w:proofErr w:type="gramEnd"/>
      <w:r w:rsidRPr="00790014">
        <w:rPr>
          <w:sz w:val="16"/>
          <w:szCs w:val="16"/>
        </w:rPr>
        <w:t xml:space="preserve">-tolerant genetically-modified maize. </w:t>
      </w:r>
      <w:proofErr w:type="gramStart"/>
      <w:r w:rsidRPr="00790014">
        <w:rPr>
          <w:i/>
          <w:sz w:val="16"/>
          <w:szCs w:val="16"/>
        </w:rPr>
        <w:t>Food and Chemical Toxicology</w:t>
      </w:r>
      <w:r w:rsidRPr="00790014">
        <w:rPr>
          <w:sz w:val="16"/>
          <w:szCs w:val="16"/>
        </w:rPr>
        <w:t xml:space="preserve"> 50: 4221 – 4231.</w:t>
      </w:r>
      <w:proofErr w:type="gramEnd"/>
    </w:p>
    <w:p w:rsidR="001E1103" w:rsidRPr="00790014" w:rsidRDefault="001E1103" w:rsidP="00E5021F">
      <w:pPr>
        <w:tabs>
          <w:tab w:val="left" w:pos="0"/>
        </w:tabs>
        <w:spacing w:after="240"/>
        <w:rPr>
          <w:rFonts w:cs="Arial"/>
          <w:noProof/>
          <w:sz w:val="16"/>
          <w:szCs w:val="16"/>
        </w:rPr>
      </w:pPr>
      <w:r w:rsidRPr="00790014">
        <w:rPr>
          <w:rFonts w:cs="Arial"/>
          <w:noProof/>
          <w:sz w:val="16"/>
          <w:szCs w:val="16"/>
        </w:rPr>
        <w:t xml:space="preserve">Carman, J.A., Vlieger, H.R., Ver Steeg, L.J., Sneller, V.E., Robinson, G.W., Clinch-Jones, C.A., Haynes, J.I. and Edwards, J.W. (2013) A long-term toxicology study on pigs fed a combined genetically modified (GM) soy and GM maize diet. </w:t>
      </w:r>
      <w:r w:rsidRPr="00790014">
        <w:rPr>
          <w:rFonts w:cs="Arial"/>
          <w:i/>
          <w:noProof/>
          <w:sz w:val="16"/>
          <w:szCs w:val="16"/>
        </w:rPr>
        <w:t xml:space="preserve">Journal of Organic Systems </w:t>
      </w:r>
      <w:r w:rsidRPr="00790014">
        <w:rPr>
          <w:rFonts w:cs="Arial"/>
          <w:noProof/>
          <w:sz w:val="16"/>
          <w:szCs w:val="16"/>
        </w:rPr>
        <w:t>8(1):38-54.</w:t>
      </w:r>
    </w:p>
    <w:p w:rsidR="001E1103" w:rsidRPr="006A3BA5" w:rsidRDefault="001E1103" w:rsidP="00E5021F">
      <w:pPr>
        <w:pStyle w:val="FootnoteText"/>
        <w:rPr>
          <w:lang w:val="en-AU"/>
        </w:rPr>
      </w:pPr>
    </w:p>
  </w:footnote>
  <w:footnote w:id="3">
    <w:p w:rsidR="001E1103" w:rsidRPr="009549B7" w:rsidRDefault="001E1103">
      <w:pPr>
        <w:pStyle w:val="FootnoteText"/>
        <w:rPr>
          <w:sz w:val="18"/>
          <w:szCs w:val="18"/>
          <w:lang w:val="en-AU"/>
        </w:rPr>
      </w:pPr>
      <w:r w:rsidRPr="009549B7">
        <w:rPr>
          <w:rStyle w:val="FootnoteReference"/>
          <w:sz w:val="18"/>
        </w:rPr>
        <w:footnoteRef/>
      </w:r>
      <w:r w:rsidRPr="009549B7">
        <w:rPr>
          <w:sz w:val="18"/>
        </w:rPr>
        <w:t xml:space="preserve"> </w:t>
      </w:r>
      <w:r w:rsidRPr="009549B7">
        <w:rPr>
          <w:sz w:val="18"/>
          <w:szCs w:val="18"/>
          <w:lang w:val="en-AU"/>
        </w:rPr>
        <w:t>Now known as th</w:t>
      </w:r>
      <w:r>
        <w:rPr>
          <w:sz w:val="18"/>
          <w:szCs w:val="18"/>
          <w:lang w:val="en-AU"/>
        </w:rPr>
        <w:t>e Implementation Subcommittee for</w:t>
      </w:r>
      <w:r w:rsidRPr="009549B7">
        <w:rPr>
          <w:sz w:val="18"/>
          <w:szCs w:val="18"/>
          <w:lang w:val="en-AU"/>
        </w:rPr>
        <w:t xml:space="preserve"> Food Regulation</w:t>
      </w:r>
    </w:p>
  </w:footnote>
  <w:footnote w:id="4">
    <w:p w:rsidR="001E1103" w:rsidRPr="008828D9" w:rsidRDefault="001E1103" w:rsidP="005F36BA">
      <w:pPr>
        <w:pStyle w:val="Footnote"/>
        <w:rPr>
          <w:lang w:val="en-AU"/>
        </w:rPr>
      </w:pPr>
      <w:r w:rsidRPr="008828D9">
        <w:rPr>
          <w:rStyle w:val="FootnoteReference"/>
        </w:rPr>
        <w:footnoteRef/>
      </w:r>
      <w:r w:rsidRPr="008828D9">
        <w:t xml:space="preserve"> </w:t>
      </w:r>
      <w:r w:rsidRPr="008828D9">
        <w:rPr>
          <w:lang w:val="en-AU"/>
        </w:rPr>
        <w:t>Now known as the COAG Legislative and Governance Forum on Food Regulation</w:t>
      </w:r>
    </w:p>
  </w:footnote>
  <w:footnote w:id="5">
    <w:p w:rsidR="001E1103" w:rsidRPr="006E1858" w:rsidRDefault="001E1103" w:rsidP="005B4F76">
      <w:pPr>
        <w:pStyle w:val="Footnote"/>
        <w:rPr>
          <w:lang w:val="en-AU"/>
        </w:rPr>
      </w:pPr>
      <w:r>
        <w:rPr>
          <w:rStyle w:val="FootnoteReference"/>
        </w:rPr>
        <w:footnoteRef/>
      </w:r>
      <w:r>
        <w:t xml:space="preserve"> </w:t>
      </w:r>
      <w:r>
        <w:rPr>
          <w:lang w:val="en-AU"/>
        </w:rPr>
        <w:t>Previously known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C47" w:rsidRDefault="00216C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03" w:rsidRPr="003E6806" w:rsidRDefault="001E1103" w:rsidP="00292C9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03" w:rsidRDefault="001E1103">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4F3584"/>
    <w:multiLevelType w:val="hybridMultilevel"/>
    <w:tmpl w:val="8B0EF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302CF5"/>
    <w:multiLevelType w:val="hybridMultilevel"/>
    <w:tmpl w:val="B8A6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34530638"/>
    <w:multiLevelType w:val="hybridMultilevel"/>
    <w:tmpl w:val="FEE0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ABF49F7"/>
    <w:multiLevelType w:val="hybridMultilevel"/>
    <w:tmpl w:val="49849F2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1F56B15"/>
    <w:multiLevelType w:val="hybridMultilevel"/>
    <w:tmpl w:val="95A8D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27C356D"/>
    <w:multiLevelType w:val="hybridMultilevel"/>
    <w:tmpl w:val="BA8C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415350"/>
    <w:multiLevelType w:val="hybridMultilevel"/>
    <w:tmpl w:val="E0804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5D5ADC"/>
    <w:multiLevelType w:val="hybridMultilevel"/>
    <w:tmpl w:val="C7DCB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F51513"/>
    <w:multiLevelType w:val="hybridMultilevel"/>
    <w:tmpl w:val="7E66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41966A7"/>
    <w:multiLevelType w:val="hybridMultilevel"/>
    <w:tmpl w:val="AF1AFF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95E0A7E"/>
    <w:multiLevelType w:val="hybridMultilevel"/>
    <w:tmpl w:val="6136BD9E"/>
    <w:lvl w:ilvl="0" w:tplc="55B8F18A">
      <w:start w:val="1"/>
      <w:numFmt w:val="bullet"/>
      <w:pStyle w:val="FS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14779FF"/>
    <w:multiLevelType w:val="hybridMultilevel"/>
    <w:tmpl w:val="60F8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7469A8"/>
    <w:multiLevelType w:val="hybridMultilevel"/>
    <w:tmpl w:val="1A5CB752"/>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6"/>
  </w:num>
  <w:num w:numId="5">
    <w:abstractNumId w:val="17"/>
  </w:num>
  <w:num w:numId="6">
    <w:abstractNumId w:val="10"/>
  </w:num>
  <w:num w:numId="7">
    <w:abstractNumId w:val="9"/>
  </w:num>
  <w:num w:numId="8">
    <w:abstractNumId w:val="11"/>
  </w:num>
  <w:num w:numId="9">
    <w:abstractNumId w:val="15"/>
  </w:num>
  <w:num w:numId="10">
    <w:abstractNumId w:val="1"/>
  </w:num>
  <w:num w:numId="11">
    <w:abstractNumId w:val="16"/>
  </w:num>
  <w:num w:numId="12">
    <w:abstractNumId w:val="1"/>
  </w:num>
  <w:num w:numId="1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num>
  <w:num w:numId="16">
    <w:abstractNumId w:val="13"/>
  </w:num>
  <w:num w:numId="17">
    <w:abstractNumId w:val="14"/>
  </w:num>
  <w:num w:numId="18">
    <w:abstractNumId w:val="7"/>
  </w:num>
  <w:num w:numId="19">
    <w:abstractNumId w:val="18"/>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GM References&lt;/item&gt;&lt;/Libraries&gt;&lt;/ENLibraries&gt;"/>
  </w:docVars>
  <w:rsids>
    <w:rsidRoot w:val="00337CBC"/>
    <w:rsid w:val="000000FE"/>
    <w:rsid w:val="00002190"/>
    <w:rsid w:val="0000247B"/>
    <w:rsid w:val="0000469B"/>
    <w:rsid w:val="000047E9"/>
    <w:rsid w:val="00005F79"/>
    <w:rsid w:val="00010E79"/>
    <w:rsid w:val="000117FB"/>
    <w:rsid w:val="000117FD"/>
    <w:rsid w:val="00014066"/>
    <w:rsid w:val="00014987"/>
    <w:rsid w:val="00014E34"/>
    <w:rsid w:val="00017B7E"/>
    <w:rsid w:val="00024C82"/>
    <w:rsid w:val="000323EC"/>
    <w:rsid w:val="00035FF3"/>
    <w:rsid w:val="00036E4B"/>
    <w:rsid w:val="000370E6"/>
    <w:rsid w:val="0004110F"/>
    <w:rsid w:val="000418F0"/>
    <w:rsid w:val="00042590"/>
    <w:rsid w:val="0004390C"/>
    <w:rsid w:val="000460D9"/>
    <w:rsid w:val="00051021"/>
    <w:rsid w:val="000524F0"/>
    <w:rsid w:val="00052D54"/>
    <w:rsid w:val="00056D19"/>
    <w:rsid w:val="000576EB"/>
    <w:rsid w:val="00061D1B"/>
    <w:rsid w:val="00064B2D"/>
    <w:rsid w:val="00065F1F"/>
    <w:rsid w:val="00071006"/>
    <w:rsid w:val="000751CA"/>
    <w:rsid w:val="00076D33"/>
    <w:rsid w:val="00076D3B"/>
    <w:rsid w:val="00077AEA"/>
    <w:rsid w:val="00081B0A"/>
    <w:rsid w:val="00081D87"/>
    <w:rsid w:val="00082517"/>
    <w:rsid w:val="000871B8"/>
    <w:rsid w:val="00093E01"/>
    <w:rsid w:val="00094023"/>
    <w:rsid w:val="00094FD6"/>
    <w:rsid w:val="000968EB"/>
    <w:rsid w:val="000A00CA"/>
    <w:rsid w:val="000A3D8B"/>
    <w:rsid w:val="000A433B"/>
    <w:rsid w:val="000A5BFD"/>
    <w:rsid w:val="000A638E"/>
    <w:rsid w:val="000A7A46"/>
    <w:rsid w:val="000B1380"/>
    <w:rsid w:val="000B35CE"/>
    <w:rsid w:val="000B427A"/>
    <w:rsid w:val="000B442D"/>
    <w:rsid w:val="000B4664"/>
    <w:rsid w:val="000B5875"/>
    <w:rsid w:val="000B6AF2"/>
    <w:rsid w:val="000C08DE"/>
    <w:rsid w:val="000C0B66"/>
    <w:rsid w:val="000C3B69"/>
    <w:rsid w:val="000D6136"/>
    <w:rsid w:val="000D6FD4"/>
    <w:rsid w:val="000D7B1C"/>
    <w:rsid w:val="000E0AE4"/>
    <w:rsid w:val="000E1EA4"/>
    <w:rsid w:val="000E3DBC"/>
    <w:rsid w:val="000E45B5"/>
    <w:rsid w:val="000E5B9A"/>
    <w:rsid w:val="000E662F"/>
    <w:rsid w:val="000F3CFE"/>
    <w:rsid w:val="000F4A69"/>
    <w:rsid w:val="000F4E6D"/>
    <w:rsid w:val="000F6568"/>
    <w:rsid w:val="000F7FB4"/>
    <w:rsid w:val="00100CFA"/>
    <w:rsid w:val="00102819"/>
    <w:rsid w:val="00111558"/>
    <w:rsid w:val="001122EC"/>
    <w:rsid w:val="001145A0"/>
    <w:rsid w:val="0012388D"/>
    <w:rsid w:val="001244D5"/>
    <w:rsid w:val="001315E8"/>
    <w:rsid w:val="00131A47"/>
    <w:rsid w:val="00131C8C"/>
    <w:rsid w:val="00133B33"/>
    <w:rsid w:val="0013435F"/>
    <w:rsid w:val="001365F2"/>
    <w:rsid w:val="00141496"/>
    <w:rsid w:val="00141796"/>
    <w:rsid w:val="00155420"/>
    <w:rsid w:val="001570BF"/>
    <w:rsid w:val="001625F6"/>
    <w:rsid w:val="00165621"/>
    <w:rsid w:val="00170153"/>
    <w:rsid w:val="00171390"/>
    <w:rsid w:val="00173BB9"/>
    <w:rsid w:val="00174BA2"/>
    <w:rsid w:val="00175FF7"/>
    <w:rsid w:val="00182C4C"/>
    <w:rsid w:val="00183AFF"/>
    <w:rsid w:val="001857D5"/>
    <w:rsid w:val="001878C5"/>
    <w:rsid w:val="001929E2"/>
    <w:rsid w:val="00193121"/>
    <w:rsid w:val="0019399D"/>
    <w:rsid w:val="00193D1A"/>
    <w:rsid w:val="00197D8D"/>
    <w:rsid w:val="001A1A75"/>
    <w:rsid w:val="001A36B8"/>
    <w:rsid w:val="001A6410"/>
    <w:rsid w:val="001A695F"/>
    <w:rsid w:val="001A7E9A"/>
    <w:rsid w:val="001B0719"/>
    <w:rsid w:val="001B0F0C"/>
    <w:rsid w:val="001B32CB"/>
    <w:rsid w:val="001B3ED8"/>
    <w:rsid w:val="001B483D"/>
    <w:rsid w:val="001B52DF"/>
    <w:rsid w:val="001B6A78"/>
    <w:rsid w:val="001B7485"/>
    <w:rsid w:val="001C25D1"/>
    <w:rsid w:val="001C27A3"/>
    <w:rsid w:val="001C2996"/>
    <w:rsid w:val="001C4395"/>
    <w:rsid w:val="001C63C1"/>
    <w:rsid w:val="001D03BE"/>
    <w:rsid w:val="001D307B"/>
    <w:rsid w:val="001D31CA"/>
    <w:rsid w:val="001D410B"/>
    <w:rsid w:val="001E0128"/>
    <w:rsid w:val="001E09FA"/>
    <w:rsid w:val="001E1103"/>
    <w:rsid w:val="001E1434"/>
    <w:rsid w:val="001E3029"/>
    <w:rsid w:val="001F0B4E"/>
    <w:rsid w:val="001F3AE6"/>
    <w:rsid w:val="001F59B4"/>
    <w:rsid w:val="00200BE6"/>
    <w:rsid w:val="00202A6F"/>
    <w:rsid w:val="00205F87"/>
    <w:rsid w:val="0021279C"/>
    <w:rsid w:val="00213350"/>
    <w:rsid w:val="00216C47"/>
    <w:rsid w:val="0021738B"/>
    <w:rsid w:val="00220151"/>
    <w:rsid w:val="002218E9"/>
    <w:rsid w:val="0022197C"/>
    <w:rsid w:val="00221D07"/>
    <w:rsid w:val="002242A3"/>
    <w:rsid w:val="00224B18"/>
    <w:rsid w:val="00224E3B"/>
    <w:rsid w:val="002272CF"/>
    <w:rsid w:val="00227C2D"/>
    <w:rsid w:val="00227E4A"/>
    <w:rsid w:val="00231ABF"/>
    <w:rsid w:val="002326D9"/>
    <w:rsid w:val="00235766"/>
    <w:rsid w:val="00236461"/>
    <w:rsid w:val="00237CD7"/>
    <w:rsid w:val="00240F32"/>
    <w:rsid w:val="002421C1"/>
    <w:rsid w:val="002473BB"/>
    <w:rsid w:val="00247A7D"/>
    <w:rsid w:val="0026130A"/>
    <w:rsid w:val="0026198C"/>
    <w:rsid w:val="002635DE"/>
    <w:rsid w:val="00263E20"/>
    <w:rsid w:val="0026504C"/>
    <w:rsid w:val="002653A0"/>
    <w:rsid w:val="00272E09"/>
    <w:rsid w:val="00272F05"/>
    <w:rsid w:val="002755FF"/>
    <w:rsid w:val="002758A0"/>
    <w:rsid w:val="00291327"/>
    <w:rsid w:val="00291B50"/>
    <w:rsid w:val="0029204E"/>
    <w:rsid w:val="00292C9D"/>
    <w:rsid w:val="00293670"/>
    <w:rsid w:val="002A0194"/>
    <w:rsid w:val="002A30B3"/>
    <w:rsid w:val="002A5F8B"/>
    <w:rsid w:val="002A7F6C"/>
    <w:rsid w:val="002B0114"/>
    <w:rsid w:val="002B2612"/>
    <w:rsid w:val="002B390B"/>
    <w:rsid w:val="002B5ACA"/>
    <w:rsid w:val="002B5C6E"/>
    <w:rsid w:val="002C064D"/>
    <w:rsid w:val="002C2580"/>
    <w:rsid w:val="002C74F7"/>
    <w:rsid w:val="002D174A"/>
    <w:rsid w:val="002D2013"/>
    <w:rsid w:val="002D5D52"/>
    <w:rsid w:val="002E018B"/>
    <w:rsid w:val="002E1820"/>
    <w:rsid w:val="002E43BB"/>
    <w:rsid w:val="002E5B3A"/>
    <w:rsid w:val="002F241A"/>
    <w:rsid w:val="002F35EA"/>
    <w:rsid w:val="002F3E2C"/>
    <w:rsid w:val="002F4595"/>
    <w:rsid w:val="002F6488"/>
    <w:rsid w:val="00302CC8"/>
    <w:rsid w:val="003036B4"/>
    <w:rsid w:val="00305C54"/>
    <w:rsid w:val="00307958"/>
    <w:rsid w:val="0031016C"/>
    <w:rsid w:val="00317940"/>
    <w:rsid w:val="00320CF7"/>
    <w:rsid w:val="003213F9"/>
    <w:rsid w:val="0032192F"/>
    <w:rsid w:val="00323AB6"/>
    <w:rsid w:val="00323DBF"/>
    <w:rsid w:val="00325A92"/>
    <w:rsid w:val="00326826"/>
    <w:rsid w:val="00326B7E"/>
    <w:rsid w:val="00327867"/>
    <w:rsid w:val="00331A92"/>
    <w:rsid w:val="00332B12"/>
    <w:rsid w:val="00333832"/>
    <w:rsid w:val="00333CED"/>
    <w:rsid w:val="00334BB7"/>
    <w:rsid w:val="00337CBC"/>
    <w:rsid w:val="00341CB2"/>
    <w:rsid w:val="003428FC"/>
    <w:rsid w:val="00344655"/>
    <w:rsid w:val="00344FE1"/>
    <w:rsid w:val="0034582C"/>
    <w:rsid w:val="003507DB"/>
    <w:rsid w:val="00351B07"/>
    <w:rsid w:val="003567AB"/>
    <w:rsid w:val="00356F53"/>
    <w:rsid w:val="0036533D"/>
    <w:rsid w:val="0037109C"/>
    <w:rsid w:val="00371B29"/>
    <w:rsid w:val="003766F8"/>
    <w:rsid w:val="0037743B"/>
    <w:rsid w:val="00380106"/>
    <w:rsid w:val="0038048E"/>
    <w:rsid w:val="003814F0"/>
    <w:rsid w:val="00381D41"/>
    <w:rsid w:val="00381E07"/>
    <w:rsid w:val="00384D32"/>
    <w:rsid w:val="00385788"/>
    <w:rsid w:val="00386A52"/>
    <w:rsid w:val="003905CE"/>
    <w:rsid w:val="00391769"/>
    <w:rsid w:val="0039237A"/>
    <w:rsid w:val="003953E1"/>
    <w:rsid w:val="003956B3"/>
    <w:rsid w:val="003A04DC"/>
    <w:rsid w:val="003A0A4D"/>
    <w:rsid w:val="003A0E03"/>
    <w:rsid w:val="003A0E0F"/>
    <w:rsid w:val="003A3D30"/>
    <w:rsid w:val="003A4823"/>
    <w:rsid w:val="003A68BE"/>
    <w:rsid w:val="003A7B84"/>
    <w:rsid w:val="003B253D"/>
    <w:rsid w:val="003B3E1C"/>
    <w:rsid w:val="003B4AB8"/>
    <w:rsid w:val="003B4F42"/>
    <w:rsid w:val="003B53D7"/>
    <w:rsid w:val="003B7986"/>
    <w:rsid w:val="003C1864"/>
    <w:rsid w:val="003C2AF1"/>
    <w:rsid w:val="003C4969"/>
    <w:rsid w:val="003C6814"/>
    <w:rsid w:val="003D12EA"/>
    <w:rsid w:val="003D1F06"/>
    <w:rsid w:val="003D2CDC"/>
    <w:rsid w:val="003D7A11"/>
    <w:rsid w:val="003E41D5"/>
    <w:rsid w:val="003E425F"/>
    <w:rsid w:val="003E46BA"/>
    <w:rsid w:val="003E6806"/>
    <w:rsid w:val="003F2A04"/>
    <w:rsid w:val="003F523D"/>
    <w:rsid w:val="003F5AAB"/>
    <w:rsid w:val="003F62BD"/>
    <w:rsid w:val="003F74C1"/>
    <w:rsid w:val="00400169"/>
    <w:rsid w:val="0040307D"/>
    <w:rsid w:val="00405B1A"/>
    <w:rsid w:val="00405F3A"/>
    <w:rsid w:val="00406720"/>
    <w:rsid w:val="00410C76"/>
    <w:rsid w:val="00411907"/>
    <w:rsid w:val="00414B75"/>
    <w:rsid w:val="00414D9C"/>
    <w:rsid w:val="00415F7B"/>
    <w:rsid w:val="00417EE3"/>
    <w:rsid w:val="004207EB"/>
    <w:rsid w:val="00420D91"/>
    <w:rsid w:val="00421730"/>
    <w:rsid w:val="00422EC9"/>
    <w:rsid w:val="00423AC7"/>
    <w:rsid w:val="00425F88"/>
    <w:rsid w:val="00426EA9"/>
    <w:rsid w:val="00430C29"/>
    <w:rsid w:val="0043166F"/>
    <w:rsid w:val="00431AF4"/>
    <w:rsid w:val="00437276"/>
    <w:rsid w:val="004433DB"/>
    <w:rsid w:val="00444252"/>
    <w:rsid w:val="00446178"/>
    <w:rsid w:val="00450B46"/>
    <w:rsid w:val="00451E6D"/>
    <w:rsid w:val="00453646"/>
    <w:rsid w:val="00453DEF"/>
    <w:rsid w:val="00456B54"/>
    <w:rsid w:val="004576CC"/>
    <w:rsid w:val="00463D57"/>
    <w:rsid w:val="00464643"/>
    <w:rsid w:val="00464B0F"/>
    <w:rsid w:val="00464F98"/>
    <w:rsid w:val="00465372"/>
    <w:rsid w:val="004673BE"/>
    <w:rsid w:val="00472379"/>
    <w:rsid w:val="00473EF4"/>
    <w:rsid w:val="00477A86"/>
    <w:rsid w:val="00477C87"/>
    <w:rsid w:val="0048001F"/>
    <w:rsid w:val="00486793"/>
    <w:rsid w:val="00486C66"/>
    <w:rsid w:val="00487454"/>
    <w:rsid w:val="0049010E"/>
    <w:rsid w:val="00491B52"/>
    <w:rsid w:val="0049385C"/>
    <w:rsid w:val="00493882"/>
    <w:rsid w:val="00494A3F"/>
    <w:rsid w:val="004A0545"/>
    <w:rsid w:val="004A117F"/>
    <w:rsid w:val="004A2037"/>
    <w:rsid w:val="004A793C"/>
    <w:rsid w:val="004B047B"/>
    <w:rsid w:val="004B0D06"/>
    <w:rsid w:val="004B4CDC"/>
    <w:rsid w:val="004C020A"/>
    <w:rsid w:val="004C17BF"/>
    <w:rsid w:val="004C2073"/>
    <w:rsid w:val="004D0F3B"/>
    <w:rsid w:val="004D121E"/>
    <w:rsid w:val="004D1B1C"/>
    <w:rsid w:val="004D24F9"/>
    <w:rsid w:val="004D25A5"/>
    <w:rsid w:val="004D2D9B"/>
    <w:rsid w:val="004D408E"/>
    <w:rsid w:val="004D7041"/>
    <w:rsid w:val="004E428E"/>
    <w:rsid w:val="004E5B67"/>
    <w:rsid w:val="004E790A"/>
    <w:rsid w:val="004F03EB"/>
    <w:rsid w:val="004F1EDC"/>
    <w:rsid w:val="004F24BC"/>
    <w:rsid w:val="004F4F98"/>
    <w:rsid w:val="004F5AAB"/>
    <w:rsid w:val="004F69F6"/>
    <w:rsid w:val="004F6EA3"/>
    <w:rsid w:val="004F79AC"/>
    <w:rsid w:val="00500AC8"/>
    <w:rsid w:val="005047D6"/>
    <w:rsid w:val="00506E9B"/>
    <w:rsid w:val="005072C0"/>
    <w:rsid w:val="0051067D"/>
    <w:rsid w:val="00515A67"/>
    <w:rsid w:val="005207D8"/>
    <w:rsid w:val="00523930"/>
    <w:rsid w:val="005244F1"/>
    <w:rsid w:val="00525C62"/>
    <w:rsid w:val="00526511"/>
    <w:rsid w:val="00527DF1"/>
    <w:rsid w:val="00533999"/>
    <w:rsid w:val="005340F3"/>
    <w:rsid w:val="005349BF"/>
    <w:rsid w:val="00537CDC"/>
    <w:rsid w:val="0054010A"/>
    <w:rsid w:val="00543CD1"/>
    <w:rsid w:val="0054752F"/>
    <w:rsid w:val="00551E1F"/>
    <w:rsid w:val="00553C1F"/>
    <w:rsid w:val="00554F8A"/>
    <w:rsid w:val="005551E3"/>
    <w:rsid w:val="00557286"/>
    <w:rsid w:val="00560185"/>
    <w:rsid w:val="0056086A"/>
    <w:rsid w:val="00562917"/>
    <w:rsid w:val="00562B7D"/>
    <w:rsid w:val="00564790"/>
    <w:rsid w:val="00571B8C"/>
    <w:rsid w:val="005811B7"/>
    <w:rsid w:val="00583E62"/>
    <w:rsid w:val="00586228"/>
    <w:rsid w:val="00593441"/>
    <w:rsid w:val="005950DF"/>
    <w:rsid w:val="0059515F"/>
    <w:rsid w:val="00595387"/>
    <w:rsid w:val="005A01B7"/>
    <w:rsid w:val="005A375B"/>
    <w:rsid w:val="005A572E"/>
    <w:rsid w:val="005B4F76"/>
    <w:rsid w:val="005B519B"/>
    <w:rsid w:val="005B6AF4"/>
    <w:rsid w:val="005C04CB"/>
    <w:rsid w:val="005C59D0"/>
    <w:rsid w:val="005C624A"/>
    <w:rsid w:val="005D16AD"/>
    <w:rsid w:val="005D2016"/>
    <w:rsid w:val="005D3FFD"/>
    <w:rsid w:val="005D50A6"/>
    <w:rsid w:val="005D51DE"/>
    <w:rsid w:val="005D5404"/>
    <w:rsid w:val="005D72E1"/>
    <w:rsid w:val="005D7F0C"/>
    <w:rsid w:val="005E6E16"/>
    <w:rsid w:val="005F166C"/>
    <w:rsid w:val="005F36BA"/>
    <w:rsid w:val="005F3787"/>
    <w:rsid w:val="005F400E"/>
    <w:rsid w:val="005F512F"/>
    <w:rsid w:val="005F57AF"/>
    <w:rsid w:val="005F64F3"/>
    <w:rsid w:val="005F6A76"/>
    <w:rsid w:val="005F7342"/>
    <w:rsid w:val="00603112"/>
    <w:rsid w:val="00610A3C"/>
    <w:rsid w:val="006138D7"/>
    <w:rsid w:val="00613BF4"/>
    <w:rsid w:val="0061540E"/>
    <w:rsid w:val="00615A9D"/>
    <w:rsid w:val="00615E83"/>
    <w:rsid w:val="00617B03"/>
    <w:rsid w:val="00617CD5"/>
    <w:rsid w:val="006203A7"/>
    <w:rsid w:val="0062703C"/>
    <w:rsid w:val="006274D9"/>
    <w:rsid w:val="00627F48"/>
    <w:rsid w:val="00630545"/>
    <w:rsid w:val="00630D10"/>
    <w:rsid w:val="00631895"/>
    <w:rsid w:val="00632FD6"/>
    <w:rsid w:val="0063455F"/>
    <w:rsid w:val="00635814"/>
    <w:rsid w:val="006359E5"/>
    <w:rsid w:val="00643BA9"/>
    <w:rsid w:val="006477E4"/>
    <w:rsid w:val="00647FDC"/>
    <w:rsid w:val="00650888"/>
    <w:rsid w:val="006514C6"/>
    <w:rsid w:val="00663FCF"/>
    <w:rsid w:val="006652A2"/>
    <w:rsid w:val="00667860"/>
    <w:rsid w:val="006710BC"/>
    <w:rsid w:val="00672B40"/>
    <w:rsid w:val="00674FE5"/>
    <w:rsid w:val="0067711A"/>
    <w:rsid w:val="00677BC1"/>
    <w:rsid w:val="00680156"/>
    <w:rsid w:val="00680662"/>
    <w:rsid w:val="006857A6"/>
    <w:rsid w:val="00687FA7"/>
    <w:rsid w:val="006918CE"/>
    <w:rsid w:val="006926CB"/>
    <w:rsid w:val="0069619A"/>
    <w:rsid w:val="006969CC"/>
    <w:rsid w:val="00696A15"/>
    <w:rsid w:val="0069730F"/>
    <w:rsid w:val="006A306B"/>
    <w:rsid w:val="006A48A7"/>
    <w:rsid w:val="006A6D35"/>
    <w:rsid w:val="006B190B"/>
    <w:rsid w:val="006B2644"/>
    <w:rsid w:val="006B3212"/>
    <w:rsid w:val="006B38D0"/>
    <w:rsid w:val="006C22A7"/>
    <w:rsid w:val="006C24B7"/>
    <w:rsid w:val="006C34BC"/>
    <w:rsid w:val="006C5CF5"/>
    <w:rsid w:val="006D098A"/>
    <w:rsid w:val="006D0C46"/>
    <w:rsid w:val="006D2C98"/>
    <w:rsid w:val="006D33FF"/>
    <w:rsid w:val="006D7958"/>
    <w:rsid w:val="006E0FE3"/>
    <w:rsid w:val="006E20AF"/>
    <w:rsid w:val="006E634D"/>
    <w:rsid w:val="006E6739"/>
    <w:rsid w:val="006E7B62"/>
    <w:rsid w:val="006F4A82"/>
    <w:rsid w:val="006F5B64"/>
    <w:rsid w:val="006F6393"/>
    <w:rsid w:val="007009C6"/>
    <w:rsid w:val="007073ED"/>
    <w:rsid w:val="00710C37"/>
    <w:rsid w:val="0071477F"/>
    <w:rsid w:val="0071592F"/>
    <w:rsid w:val="00715B7D"/>
    <w:rsid w:val="00716C38"/>
    <w:rsid w:val="007174B2"/>
    <w:rsid w:val="007206D6"/>
    <w:rsid w:val="00721CB7"/>
    <w:rsid w:val="007232EF"/>
    <w:rsid w:val="00724FA4"/>
    <w:rsid w:val="00730800"/>
    <w:rsid w:val="00731196"/>
    <w:rsid w:val="00734539"/>
    <w:rsid w:val="00734A41"/>
    <w:rsid w:val="00736775"/>
    <w:rsid w:val="00737A1C"/>
    <w:rsid w:val="00740AA9"/>
    <w:rsid w:val="00755F02"/>
    <w:rsid w:val="00757E2E"/>
    <w:rsid w:val="007602AA"/>
    <w:rsid w:val="007608F6"/>
    <w:rsid w:val="007630BE"/>
    <w:rsid w:val="00763D3A"/>
    <w:rsid w:val="007652EF"/>
    <w:rsid w:val="00765D53"/>
    <w:rsid w:val="00765DDC"/>
    <w:rsid w:val="00765DE1"/>
    <w:rsid w:val="00772BDC"/>
    <w:rsid w:val="00773BF8"/>
    <w:rsid w:val="00777437"/>
    <w:rsid w:val="00777D4C"/>
    <w:rsid w:val="00780792"/>
    <w:rsid w:val="00781E66"/>
    <w:rsid w:val="0078309E"/>
    <w:rsid w:val="00791AF9"/>
    <w:rsid w:val="007929D0"/>
    <w:rsid w:val="00793D48"/>
    <w:rsid w:val="00795D86"/>
    <w:rsid w:val="00796669"/>
    <w:rsid w:val="0079687B"/>
    <w:rsid w:val="00796D33"/>
    <w:rsid w:val="007A15DB"/>
    <w:rsid w:val="007A25D7"/>
    <w:rsid w:val="007A3ABF"/>
    <w:rsid w:val="007A3FAC"/>
    <w:rsid w:val="007A44B4"/>
    <w:rsid w:val="007A4D1B"/>
    <w:rsid w:val="007A4DC7"/>
    <w:rsid w:val="007A4FD5"/>
    <w:rsid w:val="007A50E0"/>
    <w:rsid w:val="007A75DF"/>
    <w:rsid w:val="007A7D3D"/>
    <w:rsid w:val="007B225D"/>
    <w:rsid w:val="007B5F7A"/>
    <w:rsid w:val="007C1C64"/>
    <w:rsid w:val="007C22CB"/>
    <w:rsid w:val="007D0189"/>
    <w:rsid w:val="007D18A8"/>
    <w:rsid w:val="007D3B68"/>
    <w:rsid w:val="007D5A1E"/>
    <w:rsid w:val="007E0AA9"/>
    <w:rsid w:val="007E484C"/>
    <w:rsid w:val="007E48BC"/>
    <w:rsid w:val="007E79F7"/>
    <w:rsid w:val="007F33FC"/>
    <w:rsid w:val="007F3630"/>
    <w:rsid w:val="007F4740"/>
    <w:rsid w:val="007F720E"/>
    <w:rsid w:val="007F7BF7"/>
    <w:rsid w:val="007F7CE3"/>
    <w:rsid w:val="00800C67"/>
    <w:rsid w:val="00802533"/>
    <w:rsid w:val="00802C7B"/>
    <w:rsid w:val="0080501F"/>
    <w:rsid w:val="00807559"/>
    <w:rsid w:val="00810A0B"/>
    <w:rsid w:val="008116E4"/>
    <w:rsid w:val="00813263"/>
    <w:rsid w:val="008132E7"/>
    <w:rsid w:val="00813464"/>
    <w:rsid w:val="00821C59"/>
    <w:rsid w:val="00831154"/>
    <w:rsid w:val="008355F7"/>
    <w:rsid w:val="00837C46"/>
    <w:rsid w:val="00844007"/>
    <w:rsid w:val="008450BC"/>
    <w:rsid w:val="00845B7F"/>
    <w:rsid w:val="008463CA"/>
    <w:rsid w:val="00847066"/>
    <w:rsid w:val="00847F19"/>
    <w:rsid w:val="00850B09"/>
    <w:rsid w:val="00851DB2"/>
    <w:rsid w:val="0085334B"/>
    <w:rsid w:val="008537BA"/>
    <w:rsid w:val="008542C0"/>
    <w:rsid w:val="0085461D"/>
    <w:rsid w:val="00860808"/>
    <w:rsid w:val="00861C13"/>
    <w:rsid w:val="008660B9"/>
    <w:rsid w:val="00867059"/>
    <w:rsid w:val="00867704"/>
    <w:rsid w:val="00870214"/>
    <w:rsid w:val="008766D6"/>
    <w:rsid w:val="008779ED"/>
    <w:rsid w:val="008810D9"/>
    <w:rsid w:val="00884C4D"/>
    <w:rsid w:val="00885C51"/>
    <w:rsid w:val="00887E82"/>
    <w:rsid w:val="0089533B"/>
    <w:rsid w:val="00895BFD"/>
    <w:rsid w:val="00896B85"/>
    <w:rsid w:val="008A243D"/>
    <w:rsid w:val="008A4584"/>
    <w:rsid w:val="008A79E5"/>
    <w:rsid w:val="008A7D76"/>
    <w:rsid w:val="008A7F8A"/>
    <w:rsid w:val="008B537E"/>
    <w:rsid w:val="008B6136"/>
    <w:rsid w:val="008C0907"/>
    <w:rsid w:val="008C4EAE"/>
    <w:rsid w:val="008C6436"/>
    <w:rsid w:val="008D06C6"/>
    <w:rsid w:val="008E2062"/>
    <w:rsid w:val="008E4D06"/>
    <w:rsid w:val="008E6250"/>
    <w:rsid w:val="008F1EA0"/>
    <w:rsid w:val="008F4CB0"/>
    <w:rsid w:val="008F7A06"/>
    <w:rsid w:val="00900B3D"/>
    <w:rsid w:val="00900D19"/>
    <w:rsid w:val="00910FA0"/>
    <w:rsid w:val="00911AE5"/>
    <w:rsid w:val="00914A5A"/>
    <w:rsid w:val="00920249"/>
    <w:rsid w:val="00920E9F"/>
    <w:rsid w:val="00923055"/>
    <w:rsid w:val="009249C2"/>
    <w:rsid w:val="00924E0D"/>
    <w:rsid w:val="00927158"/>
    <w:rsid w:val="00932B2C"/>
    <w:rsid w:val="00932F14"/>
    <w:rsid w:val="009353F1"/>
    <w:rsid w:val="00935999"/>
    <w:rsid w:val="009369CC"/>
    <w:rsid w:val="00940239"/>
    <w:rsid w:val="0094247F"/>
    <w:rsid w:val="00942D60"/>
    <w:rsid w:val="0094322D"/>
    <w:rsid w:val="009460FA"/>
    <w:rsid w:val="0094643B"/>
    <w:rsid w:val="00947534"/>
    <w:rsid w:val="009478A1"/>
    <w:rsid w:val="00947BAB"/>
    <w:rsid w:val="00950B35"/>
    <w:rsid w:val="00950E23"/>
    <w:rsid w:val="009549B7"/>
    <w:rsid w:val="00955C39"/>
    <w:rsid w:val="00960EC6"/>
    <w:rsid w:val="009632EA"/>
    <w:rsid w:val="0096523B"/>
    <w:rsid w:val="00965EC6"/>
    <w:rsid w:val="009679B4"/>
    <w:rsid w:val="00971AC8"/>
    <w:rsid w:val="00972157"/>
    <w:rsid w:val="00972D06"/>
    <w:rsid w:val="00976801"/>
    <w:rsid w:val="00991F30"/>
    <w:rsid w:val="0099323D"/>
    <w:rsid w:val="00993B7D"/>
    <w:rsid w:val="00994A3E"/>
    <w:rsid w:val="009A2699"/>
    <w:rsid w:val="009A391C"/>
    <w:rsid w:val="009A6FBC"/>
    <w:rsid w:val="009B0055"/>
    <w:rsid w:val="009B01A9"/>
    <w:rsid w:val="009B210D"/>
    <w:rsid w:val="009B2FA2"/>
    <w:rsid w:val="009B52B3"/>
    <w:rsid w:val="009B53EF"/>
    <w:rsid w:val="009B6D18"/>
    <w:rsid w:val="009B70B0"/>
    <w:rsid w:val="009C0A5F"/>
    <w:rsid w:val="009C228D"/>
    <w:rsid w:val="009C31AD"/>
    <w:rsid w:val="009C4AD6"/>
    <w:rsid w:val="009C7806"/>
    <w:rsid w:val="009D3703"/>
    <w:rsid w:val="009D77C3"/>
    <w:rsid w:val="009D7A58"/>
    <w:rsid w:val="009E00C7"/>
    <w:rsid w:val="009E0A61"/>
    <w:rsid w:val="009E1E11"/>
    <w:rsid w:val="009E3010"/>
    <w:rsid w:val="009E46F5"/>
    <w:rsid w:val="009E717F"/>
    <w:rsid w:val="009E7541"/>
    <w:rsid w:val="009F1005"/>
    <w:rsid w:val="009F14C0"/>
    <w:rsid w:val="009F38D1"/>
    <w:rsid w:val="009F5EDC"/>
    <w:rsid w:val="009F7065"/>
    <w:rsid w:val="00A02EAD"/>
    <w:rsid w:val="00A03216"/>
    <w:rsid w:val="00A04D91"/>
    <w:rsid w:val="00A13D0B"/>
    <w:rsid w:val="00A13F05"/>
    <w:rsid w:val="00A2449C"/>
    <w:rsid w:val="00A25A2C"/>
    <w:rsid w:val="00A25B9B"/>
    <w:rsid w:val="00A25D14"/>
    <w:rsid w:val="00A27EE6"/>
    <w:rsid w:val="00A318EB"/>
    <w:rsid w:val="00A33F8A"/>
    <w:rsid w:val="00A4015D"/>
    <w:rsid w:val="00A44C84"/>
    <w:rsid w:val="00A46DAF"/>
    <w:rsid w:val="00A47976"/>
    <w:rsid w:val="00A50C53"/>
    <w:rsid w:val="00A551B9"/>
    <w:rsid w:val="00A56DC7"/>
    <w:rsid w:val="00A66619"/>
    <w:rsid w:val="00A66FDD"/>
    <w:rsid w:val="00A671E6"/>
    <w:rsid w:val="00A709E5"/>
    <w:rsid w:val="00A724FD"/>
    <w:rsid w:val="00A73AC5"/>
    <w:rsid w:val="00A73E2E"/>
    <w:rsid w:val="00A74FD1"/>
    <w:rsid w:val="00A75943"/>
    <w:rsid w:val="00A80693"/>
    <w:rsid w:val="00A82506"/>
    <w:rsid w:val="00A84891"/>
    <w:rsid w:val="00A84A58"/>
    <w:rsid w:val="00A85E89"/>
    <w:rsid w:val="00A91966"/>
    <w:rsid w:val="00A929A9"/>
    <w:rsid w:val="00A93A66"/>
    <w:rsid w:val="00A95CDA"/>
    <w:rsid w:val="00A96594"/>
    <w:rsid w:val="00A976C6"/>
    <w:rsid w:val="00AA1D6D"/>
    <w:rsid w:val="00AA239D"/>
    <w:rsid w:val="00AA41BA"/>
    <w:rsid w:val="00AA6D0D"/>
    <w:rsid w:val="00AA6FA3"/>
    <w:rsid w:val="00AA7348"/>
    <w:rsid w:val="00AB019D"/>
    <w:rsid w:val="00AB1090"/>
    <w:rsid w:val="00AB40F1"/>
    <w:rsid w:val="00AB4320"/>
    <w:rsid w:val="00AB5748"/>
    <w:rsid w:val="00AB6996"/>
    <w:rsid w:val="00AC1D5B"/>
    <w:rsid w:val="00AC2CED"/>
    <w:rsid w:val="00AC305F"/>
    <w:rsid w:val="00AC428E"/>
    <w:rsid w:val="00AD0FFF"/>
    <w:rsid w:val="00AD1898"/>
    <w:rsid w:val="00AD2E76"/>
    <w:rsid w:val="00AD344F"/>
    <w:rsid w:val="00AD5ED5"/>
    <w:rsid w:val="00AE0E6F"/>
    <w:rsid w:val="00AE217E"/>
    <w:rsid w:val="00AE4A8C"/>
    <w:rsid w:val="00AE4ABC"/>
    <w:rsid w:val="00AE4EA8"/>
    <w:rsid w:val="00AE4FFD"/>
    <w:rsid w:val="00AF06AC"/>
    <w:rsid w:val="00AF20E0"/>
    <w:rsid w:val="00AF24FA"/>
    <w:rsid w:val="00AF328B"/>
    <w:rsid w:val="00AF387F"/>
    <w:rsid w:val="00AF397D"/>
    <w:rsid w:val="00AF5A69"/>
    <w:rsid w:val="00AF6E4C"/>
    <w:rsid w:val="00B00E7F"/>
    <w:rsid w:val="00B0135A"/>
    <w:rsid w:val="00B068D7"/>
    <w:rsid w:val="00B102DB"/>
    <w:rsid w:val="00B11450"/>
    <w:rsid w:val="00B125EA"/>
    <w:rsid w:val="00B162A9"/>
    <w:rsid w:val="00B17112"/>
    <w:rsid w:val="00B17F5E"/>
    <w:rsid w:val="00B21055"/>
    <w:rsid w:val="00B21D62"/>
    <w:rsid w:val="00B21DCC"/>
    <w:rsid w:val="00B25F37"/>
    <w:rsid w:val="00B341B7"/>
    <w:rsid w:val="00B34E05"/>
    <w:rsid w:val="00B425AA"/>
    <w:rsid w:val="00B42A38"/>
    <w:rsid w:val="00B43B64"/>
    <w:rsid w:val="00B44422"/>
    <w:rsid w:val="00B45859"/>
    <w:rsid w:val="00B46EA0"/>
    <w:rsid w:val="00B470CC"/>
    <w:rsid w:val="00B500FF"/>
    <w:rsid w:val="00B509FB"/>
    <w:rsid w:val="00B54B16"/>
    <w:rsid w:val="00B55714"/>
    <w:rsid w:val="00B60907"/>
    <w:rsid w:val="00B63440"/>
    <w:rsid w:val="00B64E13"/>
    <w:rsid w:val="00B653DE"/>
    <w:rsid w:val="00B731D3"/>
    <w:rsid w:val="00B7542A"/>
    <w:rsid w:val="00B75B57"/>
    <w:rsid w:val="00B75E62"/>
    <w:rsid w:val="00B76123"/>
    <w:rsid w:val="00B811B3"/>
    <w:rsid w:val="00B839A3"/>
    <w:rsid w:val="00B86AC0"/>
    <w:rsid w:val="00B902BD"/>
    <w:rsid w:val="00B90B03"/>
    <w:rsid w:val="00B928CB"/>
    <w:rsid w:val="00B94723"/>
    <w:rsid w:val="00B95BB1"/>
    <w:rsid w:val="00B96C90"/>
    <w:rsid w:val="00BA37EF"/>
    <w:rsid w:val="00BA47F8"/>
    <w:rsid w:val="00BA4EB4"/>
    <w:rsid w:val="00BA52DF"/>
    <w:rsid w:val="00BA65D8"/>
    <w:rsid w:val="00BB233A"/>
    <w:rsid w:val="00BB2384"/>
    <w:rsid w:val="00BB24EF"/>
    <w:rsid w:val="00BB385D"/>
    <w:rsid w:val="00BB6342"/>
    <w:rsid w:val="00BC133D"/>
    <w:rsid w:val="00BC152C"/>
    <w:rsid w:val="00BC621F"/>
    <w:rsid w:val="00BD016E"/>
    <w:rsid w:val="00BD02DC"/>
    <w:rsid w:val="00BD2A39"/>
    <w:rsid w:val="00BD2E80"/>
    <w:rsid w:val="00BD49FF"/>
    <w:rsid w:val="00BD4B64"/>
    <w:rsid w:val="00BD4BDF"/>
    <w:rsid w:val="00BD739D"/>
    <w:rsid w:val="00BD77E1"/>
    <w:rsid w:val="00BE11B8"/>
    <w:rsid w:val="00BE257B"/>
    <w:rsid w:val="00BE6C9B"/>
    <w:rsid w:val="00BE78CF"/>
    <w:rsid w:val="00BE7CD8"/>
    <w:rsid w:val="00BF427B"/>
    <w:rsid w:val="00BF7FF0"/>
    <w:rsid w:val="00C00271"/>
    <w:rsid w:val="00C0504E"/>
    <w:rsid w:val="00C05C62"/>
    <w:rsid w:val="00C078DA"/>
    <w:rsid w:val="00C10653"/>
    <w:rsid w:val="00C12502"/>
    <w:rsid w:val="00C13F18"/>
    <w:rsid w:val="00C17686"/>
    <w:rsid w:val="00C228CA"/>
    <w:rsid w:val="00C23794"/>
    <w:rsid w:val="00C25381"/>
    <w:rsid w:val="00C25A18"/>
    <w:rsid w:val="00C33021"/>
    <w:rsid w:val="00C365AF"/>
    <w:rsid w:val="00C37ED6"/>
    <w:rsid w:val="00C40AA5"/>
    <w:rsid w:val="00C41592"/>
    <w:rsid w:val="00C46F70"/>
    <w:rsid w:val="00C476D0"/>
    <w:rsid w:val="00C5239D"/>
    <w:rsid w:val="00C54009"/>
    <w:rsid w:val="00C578DB"/>
    <w:rsid w:val="00C579B4"/>
    <w:rsid w:val="00C606DE"/>
    <w:rsid w:val="00C63503"/>
    <w:rsid w:val="00C6434A"/>
    <w:rsid w:val="00C657A4"/>
    <w:rsid w:val="00C662F9"/>
    <w:rsid w:val="00C721A9"/>
    <w:rsid w:val="00C73CB7"/>
    <w:rsid w:val="00C74398"/>
    <w:rsid w:val="00C77ECE"/>
    <w:rsid w:val="00C836E3"/>
    <w:rsid w:val="00C836FF"/>
    <w:rsid w:val="00C854DC"/>
    <w:rsid w:val="00C86324"/>
    <w:rsid w:val="00C86577"/>
    <w:rsid w:val="00C901AB"/>
    <w:rsid w:val="00C91C02"/>
    <w:rsid w:val="00C92C65"/>
    <w:rsid w:val="00C92E07"/>
    <w:rsid w:val="00C94581"/>
    <w:rsid w:val="00C96868"/>
    <w:rsid w:val="00CA0416"/>
    <w:rsid w:val="00CA27FC"/>
    <w:rsid w:val="00CA33BC"/>
    <w:rsid w:val="00CA45D0"/>
    <w:rsid w:val="00CA5734"/>
    <w:rsid w:val="00CB0F4D"/>
    <w:rsid w:val="00CB115C"/>
    <w:rsid w:val="00CB5ACB"/>
    <w:rsid w:val="00CC0FF1"/>
    <w:rsid w:val="00CC3A35"/>
    <w:rsid w:val="00CC5468"/>
    <w:rsid w:val="00CC560B"/>
    <w:rsid w:val="00CC5E2A"/>
    <w:rsid w:val="00CC75E2"/>
    <w:rsid w:val="00CC7883"/>
    <w:rsid w:val="00CD3A1A"/>
    <w:rsid w:val="00CD3EEC"/>
    <w:rsid w:val="00CD46EB"/>
    <w:rsid w:val="00CD6530"/>
    <w:rsid w:val="00CD6CBA"/>
    <w:rsid w:val="00CD7EBF"/>
    <w:rsid w:val="00CD7F08"/>
    <w:rsid w:val="00CE26FB"/>
    <w:rsid w:val="00CE3F82"/>
    <w:rsid w:val="00CE4E20"/>
    <w:rsid w:val="00CF15C9"/>
    <w:rsid w:val="00CF4581"/>
    <w:rsid w:val="00CF4A20"/>
    <w:rsid w:val="00D01C0A"/>
    <w:rsid w:val="00D02E5B"/>
    <w:rsid w:val="00D046A2"/>
    <w:rsid w:val="00D056F1"/>
    <w:rsid w:val="00D06163"/>
    <w:rsid w:val="00D06616"/>
    <w:rsid w:val="00D12E6E"/>
    <w:rsid w:val="00D13C78"/>
    <w:rsid w:val="00D144D7"/>
    <w:rsid w:val="00D15A08"/>
    <w:rsid w:val="00D16004"/>
    <w:rsid w:val="00D17F09"/>
    <w:rsid w:val="00D22B01"/>
    <w:rsid w:val="00D23DB6"/>
    <w:rsid w:val="00D251DD"/>
    <w:rsid w:val="00D2707F"/>
    <w:rsid w:val="00D3238B"/>
    <w:rsid w:val="00D32733"/>
    <w:rsid w:val="00D33B29"/>
    <w:rsid w:val="00D34DF8"/>
    <w:rsid w:val="00D42BF8"/>
    <w:rsid w:val="00D51A95"/>
    <w:rsid w:val="00D60489"/>
    <w:rsid w:val="00D60568"/>
    <w:rsid w:val="00D63C86"/>
    <w:rsid w:val="00D645DA"/>
    <w:rsid w:val="00D70C7A"/>
    <w:rsid w:val="00D711B5"/>
    <w:rsid w:val="00D71702"/>
    <w:rsid w:val="00D72A29"/>
    <w:rsid w:val="00D75D75"/>
    <w:rsid w:val="00D76605"/>
    <w:rsid w:val="00D76C3E"/>
    <w:rsid w:val="00D82D5E"/>
    <w:rsid w:val="00D834E5"/>
    <w:rsid w:val="00D85BB7"/>
    <w:rsid w:val="00D871CF"/>
    <w:rsid w:val="00D92EE0"/>
    <w:rsid w:val="00D93195"/>
    <w:rsid w:val="00D952BB"/>
    <w:rsid w:val="00D966C6"/>
    <w:rsid w:val="00D97DC6"/>
    <w:rsid w:val="00DA02F4"/>
    <w:rsid w:val="00DA10A8"/>
    <w:rsid w:val="00DA1765"/>
    <w:rsid w:val="00DA392F"/>
    <w:rsid w:val="00DA5AE2"/>
    <w:rsid w:val="00DB123A"/>
    <w:rsid w:val="00DB1E08"/>
    <w:rsid w:val="00DB2973"/>
    <w:rsid w:val="00DB2E0C"/>
    <w:rsid w:val="00DB5F1D"/>
    <w:rsid w:val="00DC0FBA"/>
    <w:rsid w:val="00DC1B56"/>
    <w:rsid w:val="00DC1C19"/>
    <w:rsid w:val="00DC20CC"/>
    <w:rsid w:val="00DC2129"/>
    <w:rsid w:val="00DC2F10"/>
    <w:rsid w:val="00DC35CC"/>
    <w:rsid w:val="00DC59B7"/>
    <w:rsid w:val="00DC5F90"/>
    <w:rsid w:val="00DC6570"/>
    <w:rsid w:val="00DC6D4A"/>
    <w:rsid w:val="00DC7BD0"/>
    <w:rsid w:val="00DD265C"/>
    <w:rsid w:val="00DD269B"/>
    <w:rsid w:val="00DD3703"/>
    <w:rsid w:val="00DD6762"/>
    <w:rsid w:val="00DE27CB"/>
    <w:rsid w:val="00DE46EA"/>
    <w:rsid w:val="00DE5528"/>
    <w:rsid w:val="00DE593C"/>
    <w:rsid w:val="00DE60BD"/>
    <w:rsid w:val="00DF09C3"/>
    <w:rsid w:val="00DF13AD"/>
    <w:rsid w:val="00DF25C3"/>
    <w:rsid w:val="00DF3BF4"/>
    <w:rsid w:val="00DF7749"/>
    <w:rsid w:val="00E0047D"/>
    <w:rsid w:val="00E01715"/>
    <w:rsid w:val="00E026FE"/>
    <w:rsid w:val="00E04062"/>
    <w:rsid w:val="00E04148"/>
    <w:rsid w:val="00E05C25"/>
    <w:rsid w:val="00E063C6"/>
    <w:rsid w:val="00E138A9"/>
    <w:rsid w:val="00E16923"/>
    <w:rsid w:val="00E2003B"/>
    <w:rsid w:val="00E203EF"/>
    <w:rsid w:val="00E21CB9"/>
    <w:rsid w:val="00E2362E"/>
    <w:rsid w:val="00E25C60"/>
    <w:rsid w:val="00E25F05"/>
    <w:rsid w:val="00E264F7"/>
    <w:rsid w:val="00E26887"/>
    <w:rsid w:val="00E279D8"/>
    <w:rsid w:val="00E319B1"/>
    <w:rsid w:val="00E34B10"/>
    <w:rsid w:val="00E3542B"/>
    <w:rsid w:val="00E355B5"/>
    <w:rsid w:val="00E3670F"/>
    <w:rsid w:val="00E43C33"/>
    <w:rsid w:val="00E44CDD"/>
    <w:rsid w:val="00E45837"/>
    <w:rsid w:val="00E500DB"/>
    <w:rsid w:val="00E5021F"/>
    <w:rsid w:val="00E5372B"/>
    <w:rsid w:val="00E5492F"/>
    <w:rsid w:val="00E572B1"/>
    <w:rsid w:val="00E57C83"/>
    <w:rsid w:val="00E60A94"/>
    <w:rsid w:val="00E63C08"/>
    <w:rsid w:val="00E664ED"/>
    <w:rsid w:val="00E66BE2"/>
    <w:rsid w:val="00E66C91"/>
    <w:rsid w:val="00E70631"/>
    <w:rsid w:val="00E70A86"/>
    <w:rsid w:val="00E72DA1"/>
    <w:rsid w:val="00E73E50"/>
    <w:rsid w:val="00E753BB"/>
    <w:rsid w:val="00E777EC"/>
    <w:rsid w:val="00E80FCD"/>
    <w:rsid w:val="00E81276"/>
    <w:rsid w:val="00E867BC"/>
    <w:rsid w:val="00E86AD0"/>
    <w:rsid w:val="00E97033"/>
    <w:rsid w:val="00EA3676"/>
    <w:rsid w:val="00EA62FE"/>
    <w:rsid w:val="00EA6901"/>
    <w:rsid w:val="00EA7F2F"/>
    <w:rsid w:val="00EB6590"/>
    <w:rsid w:val="00EC00DE"/>
    <w:rsid w:val="00EC21DF"/>
    <w:rsid w:val="00EC30E1"/>
    <w:rsid w:val="00EC3156"/>
    <w:rsid w:val="00EC3436"/>
    <w:rsid w:val="00EC3704"/>
    <w:rsid w:val="00EC4871"/>
    <w:rsid w:val="00EC5702"/>
    <w:rsid w:val="00EC66BB"/>
    <w:rsid w:val="00EC78E3"/>
    <w:rsid w:val="00ED12CF"/>
    <w:rsid w:val="00ED172A"/>
    <w:rsid w:val="00ED42D3"/>
    <w:rsid w:val="00EE01DC"/>
    <w:rsid w:val="00EE2A90"/>
    <w:rsid w:val="00EE2FF8"/>
    <w:rsid w:val="00EE5773"/>
    <w:rsid w:val="00EE6786"/>
    <w:rsid w:val="00EE7151"/>
    <w:rsid w:val="00EF1123"/>
    <w:rsid w:val="00EF49D4"/>
    <w:rsid w:val="00EF5EC2"/>
    <w:rsid w:val="00F01475"/>
    <w:rsid w:val="00F04F6F"/>
    <w:rsid w:val="00F06305"/>
    <w:rsid w:val="00F071E5"/>
    <w:rsid w:val="00F07B0F"/>
    <w:rsid w:val="00F07C8C"/>
    <w:rsid w:val="00F07CDE"/>
    <w:rsid w:val="00F10AC9"/>
    <w:rsid w:val="00F14BEC"/>
    <w:rsid w:val="00F16F06"/>
    <w:rsid w:val="00F20964"/>
    <w:rsid w:val="00F21C90"/>
    <w:rsid w:val="00F224B7"/>
    <w:rsid w:val="00F225C5"/>
    <w:rsid w:val="00F2587A"/>
    <w:rsid w:val="00F26866"/>
    <w:rsid w:val="00F270B9"/>
    <w:rsid w:val="00F2775E"/>
    <w:rsid w:val="00F322BA"/>
    <w:rsid w:val="00F34CF8"/>
    <w:rsid w:val="00F34E02"/>
    <w:rsid w:val="00F36D10"/>
    <w:rsid w:val="00F3715D"/>
    <w:rsid w:val="00F37A10"/>
    <w:rsid w:val="00F37D81"/>
    <w:rsid w:val="00F41D16"/>
    <w:rsid w:val="00F420C8"/>
    <w:rsid w:val="00F42A4C"/>
    <w:rsid w:val="00F4470B"/>
    <w:rsid w:val="00F447BA"/>
    <w:rsid w:val="00F44FC5"/>
    <w:rsid w:val="00F526BD"/>
    <w:rsid w:val="00F56B47"/>
    <w:rsid w:val="00F634A1"/>
    <w:rsid w:val="00F65D60"/>
    <w:rsid w:val="00F66D97"/>
    <w:rsid w:val="00F70C2E"/>
    <w:rsid w:val="00F747B8"/>
    <w:rsid w:val="00F753DF"/>
    <w:rsid w:val="00F76CB8"/>
    <w:rsid w:val="00F771D9"/>
    <w:rsid w:val="00F808D1"/>
    <w:rsid w:val="00F82E26"/>
    <w:rsid w:val="00F83967"/>
    <w:rsid w:val="00F83B23"/>
    <w:rsid w:val="00F97B01"/>
    <w:rsid w:val="00FA16EA"/>
    <w:rsid w:val="00FA1D1E"/>
    <w:rsid w:val="00FA21C1"/>
    <w:rsid w:val="00FA2ECB"/>
    <w:rsid w:val="00FA463B"/>
    <w:rsid w:val="00FA5511"/>
    <w:rsid w:val="00FA7671"/>
    <w:rsid w:val="00FB1D1E"/>
    <w:rsid w:val="00FB3272"/>
    <w:rsid w:val="00FB43D1"/>
    <w:rsid w:val="00FB5E22"/>
    <w:rsid w:val="00FB7512"/>
    <w:rsid w:val="00FD12BC"/>
    <w:rsid w:val="00FD52BA"/>
    <w:rsid w:val="00FD5BC2"/>
    <w:rsid w:val="00FD61B4"/>
    <w:rsid w:val="00FD7547"/>
    <w:rsid w:val="00FD782D"/>
    <w:rsid w:val="00FE287B"/>
    <w:rsid w:val="00FE6B50"/>
    <w:rsid w:val="00FF165B"/>
    <w:rsid w:val="00FF3BF2"/>
    <w:rsid w:val="00FF5F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1" w:unhideWhenUsed="1"/>
    <w:lsdException w:name="footnote reference" w:uiPriority="99"/>
    <w:lsdException w:name="annotation reference" w:uiPriority="99"/>
    <w:lsdException w:name="Title" w:uiPriority="10" w:qFormat="1"/>
    <w:lsdException w:name="Subtitle" w:uiPriority="11"/>
    <w:lsdException w:name="Hyperlink" w:uiPriority="99"/>
    <w:lsdException w:name="Strong" w:uiPriority="22"/>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DE593C"/>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DE593C"/>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Header Char,header protocols"/>
    <w:basedOn w:val="Normal"/>
    <w:link w:val="HeaderChar1"/>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qFormat/>
    <w:rsid w:val="00A318EB"/>
    <w:rPr>
      <w:sz w:val="20"/>
      <w:szCs w:val="20"/>
    </w:rPr>
  </w:style>
  <w:style w:type="character" w:styleId="FootnoteReference">
    <w:name w:val="footnote reference"/>
    <w:basedOn w:val="DefaultParagraphFont"/>
    <w:uiPriority w:val="99"/>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9B52B3"/>
    <w:pPr>
      <w:numPr>
        <w:numId w:val="5"/>
      </w:numPr>
      <w:ind w:left="567" w:hanging="567"/>
    </w:pPr>
    <w:rPr>
      <w:rFonts w:cs="Arial"/>
    </w:rPr>
  </w:style>
  <w:style w:type="character" w:customStyle="1" w:styleId="FSBulletChar">
    <w:name w:val="FS Bullet Char"/>
    <w:basedOn w:val="DefaultParagraphFont"/>
    <w:link w:val="FSBullet"/>
    <w:rsid w:val="009B52B3"/>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DD265C"/>
    <w:pPr>
      <w:keepNext/>
      <w:widowControl/>
      <w:numPr>
        <w:numId w:val="4"/>
      </w:numPr>
      <w:ind w:left="1701" w:hanging="567"/>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ClauseChar">
    <w:name w:val="Clause Char"/>
    <w:basedOn w:val="DefaultParagraphFont"/>
    <w:link w:val="Clause"/>
    <w:rsid w:val="00643BA9"/>
    <w:rPr>
      <w:rFonts w:ascii="Arial" w:hAnsi="Arial"/>
      <w:lang w:eastAsia="en-US" w:bidi="en-US"/>
    </w:rPr>
  </w:style>
  <w:style w:type="paragraph" w:styleId="Title">
    <w:name w:val="Title"/>
    <w:basedOn w:val="Normal"/>
    <w:link w:val="TitleChar"/>
    <w:uiPriority w:val="10"/>
    <w:qFormat/>
    <w:rsid w:val="00643BA9"/>
    <w:pPr>
      <w:tabs>
        <w:tab w:val="left" w:pos="851"/>
      </w:tabs>
      <w:jc w:val="center"/>
    </w:pPr>
    <w:rPr>
      <w:b/>
      <w:bCs/>
      <w:sz w:val="20"/>
      <w:lang w:val="en-AU" w:bidi="ar-SA"/>
    </w:rPr>
  </w:style>
  <w:style w:type="character" w:customStyle="1" w:styleId="TitleChar">
    <w:name w:val="Title Char"/>
    <w:basedOn w:val="DefaultParagraphFont"/>
    <w:link w:val="Title"/>
    <w:uiPriority w:val="10"/>
    <w:rsid w:val="00643BA9"/>
    <w:rPr>
      <w:rFonts w:ascii="Arial" w:hAnsi="Arial"/>
      <w:b/>
      <w:bCs/>
      <w:szCs w:val="24"/>
      <w:lang w:val="en-AU" w:eastAsia="en-US"/>
    </w:rPr>
  </w:style>
  <w:style w:type="paragraph" w:styleId="NormalWeb">
    <w:name w:val="Normal (Web)"/>
    <w:basedOn w:val="Normal"/>
    <w:uiPriority w:val="99"/>
    <w:unhideWhenUsed/>
    <w:rsid w:val="00CB5ACB"/>
    <w:pPr>
      <w:widowControl/>
      <w:spacing w:before="100" w:beforeAutospacing="1" w:after="100" w:afterAutospacing="1"/>
    </w:pPr>
    <w:rPr>
      <w:rFonts w:ascii="Times New Roman" w:eastAsiaTheme="minorHAnsi" w:hAnsi="Times New Roman"/>
      <w:sz w:val="24"/>
      <w:lang w:val="en-AU" w:eastAsia="en-AU" w:bidi="ar-SA"/>
    </w:rPr>
  </w:style>
  <w:style w:type="paragraph" w:styleId="ListParagraph">
    <w:name w:val="List Paragraph"/>
    <w:basedOn w:val="Normal"/>
    <w:uiPriority w:val="34"/>
    <w:qFormat/>
    <w:rsid w:val="00CB5ACB"/>
    <w:pPr>
      <w:widowControl/>
      <w:ind w:left="720"/>
    </w:pPr>
    <w:rPr>
      <w:rFonts w:ascii="Times New Roman" w:eastAsiaTheme="minorHAnsi" w:hAnsi="Times New Roman"/>
      <w:sz w:val="24"/>
      <w:lang w:val="en-AU" w:eastAsia="en-AU" w:bidi="ar-SA"/>
    </w:rPr>
  </w:style>
  <w:style w:type="character" w:customStyle="1" w:styleId="FootnoteTextChar">
    <w:name w:val="Footnote Text Char"/>
    <w:aliases w:val="FSFootnote Text Char"/>
    <w:basedOn w:val="DefaultParagraphFont"/>
    <w:link w:val="FootnoteText"/>
    <w:uiPriority w:val="99"/>
    <w:rsid w:val="00630D10"/>
    <w:rPr>
      <w:rFonts w:ascii="Arial" w:hAnsi="Arial"/>
      <w:lang w:eastAsia="en-US" w:bidi="en-US"/>
    </w:rPr>
  </w:style>
  <w:style w:type="character" w:customStyle="1" w:styleId="normalchar">
    <w:name w:val="normal_char"/>
    <w:rsid w:val="00131C8C"/>
    <w:rPr>
      <w:color w:val="auto"/>
    </w:rPr>
  </w:style>
  <w:style w:type="character" w:customStyle="1" w:styleId="HeaderChar1">
    <w:name w:val="Header Char1"/>
    <w:aliases w:val="Header Char Char,header protocols Char"/>
    <w:basedOn w:val="DefaultParagraphFont"/>
    <w:link w:val="Header"/>
    <w:uiPriority w:val="99"/>
    <w:rsid w:val="008A7D76"/>
    <w:rPr>
      <w:rFonts w:ascii="Arial" w:hAnsi="Arial"/>
      <w:sz w:val="22"/>
      <w:szCs w:val="24"/>
      <w:lang w:eastAsia="en-US" w:bidi="en-US"/>
    </w:rPr>
  </w:style>
  <w:style w:type="paragraph" w:customStyle="1" w:styleId="Bullet">
    <w:name w:val="Bullet"/>
    <w:basedOn w:val="Normal"/>
    <w:next w:val="Normal"/>
    <w:rsid w:val="00431AF4"/>
    <w:pPr>
      <w:ind w:left="567" w:hanging="567"/>
    </w:pPr>
    <w:rPr>
      <w:rFonts w:ascii="Times New Roman" w:hAnsi="Times New Roman"/>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1" w:unhideWhenUsed="1"/>
    <w:lsdException w:name="footnote reference" w:uiPriority="99"/>
    <w:lsdException w:name="annotation reference" w:uiPriority="99"/>
    <w:lsdException w:name="Title" w:uiPriority="10" w:qFormat="1"/>
    <w:lsdException w:name="Subtitle" w:uiPriority="11"/>
    <w:lsdException w:name="Hyperlink" w:uiPriority="99"/>
    <w:lsdException w:name="Strong" w:uiPriority="22"/>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DE593C"/>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DE593C"/>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Header Char,header protocols"/>
    <w:basedOn w:val="Normal"/>
    <w:link w:val="HeaderChar1"/>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qFormat/>
    <w:rsid w:val="00A318EB"/>
    <w:rPr>
      <w:sz w:val="20"/>
      <w:szCs w:val="20"/>
    </w:rPr>
  </w:style>
  <w:style w:type="character" w:styleId="FootnoteReference">
    <w:name w:val="footnote reference"/>
    <w:basedOn w:val="DefaultParagraphFont"/>
    <w:uiPriority w:val="99"/>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9B52B3"/>
    <w:pPr>
      <w:numPr>
        <w:numId w:val="5"/>
      </w:numPr>
      <w:ind w:left="567" w:hanging="567"/>
    </w:pPr>
    <w:rPr>
      <w:rFonts w:cs="Arial"/>
    </w:rPr>
  </w:style>
  <w:style w:type="character" w:customStyle="1" w:styleId="FSBulletChar">
    <w:name w:val="FS Bullet Char"/>
    <w:basedOn w:val="DefaultParagraphFont"/>
    <w:link w:val="FSBullet"/>
    <w:rsid w:val="009B52B3"/>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DD265C"/>
    <w:pPr>
      <w:keepNext/>
      <w:widowControl/>
      <w:numPr>
        <w:numId w:val="4"/>
      </w:numPr>
      <w:ind w:left="1701" w:hanging="567"/>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ClauseChar">
    <w:name w:val="Clause Char"/>
    <w:basedOn w:val="DefaultParagraphFont"/>
    <w:link w:val="Clause"/>
    <w:rsid w:val="00643BA9"/>
    <w:rPr>
      <w:rFonts w:ascii="Arial" w:hAnsi="Arial"/>
      <w:lang w:eastAsia="en-US" w:bidi="en-US"/>
    </w:rPr>
  </w:style>
  <w:style w:type="paragraph" w:styleId="Title">
    <w:name w:val="Title"/>
    <w:basedOn w:val="Normal"/>
    <w:link w:val="TitleChar"/>
    <w:uiPriority w:val="10"/>
    <w:qFormat/>
    <w:rsid w:val="00643BA9"/>
    <w:pPr>
      <w:tabs>
        <w:tab w:val="left" w:pos="851"/>
      </w:tabs>
      <w:jc w:val="center"/>
    </w:pPr>
    <w:rPr>
      <w:b/>
      <w:bCs/>
      <w:sz w:val="20"/>
      <w:lang w:val="en-AU" w:bidi="ar-SA"/>
    </w:rPr>
  </w:style>
  <w:style w:type="character" w:customStyle="1" w:styleId="TitleChar">
    <w:name w:val="Title Char"/>
    <w:basedOn w:val="DefaultParagraphFont"/>
    <w:link w:val="Title"/>
    <w:uiPriority w:val="10"/>
    <w:rsid w:val="00643BA9"/>
    <w:rPr>
      <w:rFonts w:ascii="Arial" w:hAnsi="Arial"/>
      <w:b/>
      <w:bCs/>
      <w:szCs w:val="24"/>
      <w:lang w:val="en-AU" w:eastAsia="en-US"/>
    </w:rPr>
  </w:style>
  <w:style w:type="paragraph" w:styleId="NormalWeb">
    <w:name w:val="Normal (Web)"/>
    <w:basedOn w:val="Normal"/>
    <w:uiPriority w:val="99"/>
    <w:unhideWhenUsed/>
    <w:rsid w:val="00CB5ACB"/>
    <w:pPr>
      <w:widowControl/>
      <w:spacing w:before="100" w:beforeAutospacing="1" w:after="100" w:afterAutospacing="1"/>
    </w:pPr>
    <w:rPr>
      <w:rFonts w:ascii="Times New Roman" w:eastAsiaTheme="minorHAnsi" w:hAnsi="Times New Roman"/>
      <w:sz w:val="24"/>
      <w:lang w:val="en-AU" w:eastAsia="en-AU" w:bidi="ar-SA"/>
    </w:rPr>
  </w:style>
  <w:style w:type="paragraph" w:styleId="ListParagraph">
    <w:name w:val="List Paragraph"/>
    <w:basedOn w:val="Normal"/>
    <w:uiPriority w:val="34"/>
    <w:qFormat/>
    <w:rsid w:val="00CB5ACB"/>
    <w:pPr>
      <w:widowControl/>
      <w:ind w:left="720"/>
    </w:pPr>
    <w:rPr>
      <w:rFonts w:ascii="Times New Roman" w:eastAsiaTheme="minorHAnsi" w:hAnsi="Times New Roman"/>
      <w:sz w:val="24"/>
      <w:lang w:val="en-AU" w:eastAsia="en-AU" w:bidi="ar-SA"/>
    </w:rPr>
  </w:style>
  <w:style w:type="character" w:customStyle="1" w:styleId="FootnoteTextChar">
    <w:name w:val="Footnote Text Char"/>
    <w:aliases w:val="FSFootnote Text Char"/>
    <w:basedOn w:val="DefaultParagraphFont"/>
    <w:link w:val="FootnoteText"/>
    <w:uiPriority w:val="99"/>
    <w:rsid w:val="00630D10"/>
    <w:rPr>
      <w:rFonts w:ascii="Arial" w:hAnsi="Arial"/>
      <w:lang w:eastAsia="en-US" w:bidi="en-US"/>
    </w:rPr>
  </w:style>
  <w:style w:type="character" w:customStyle="1" w:styleId="normalchar">
    <w:name w:val="normal_char"/>
    <w:rsid w:val="00131C8C"/>
    <w:rPr>
      <w:color w:val="auto"/>
    </w:rPr>
  </w:style>
  <w:style w:type="character" w:customStyle="1" w:styleId="HeaderChar1">
    <w:name w:val="Header Char1"/>
    <w:aliases w:val="Header Char Char,header protocols Char"/>
    <w:basedOn w:val="DefaultParagraphFont"/>
    <w:link w:val="Header"/>
    <w:uiPriority w:val="99"/>
    <w:rsid w:val="008A7D76"/>
    <w:rPr>
      <w:rFonts w:ascii="Arial" w:hAnsi="Arial"/>
      <w:sz w:val="22"/>
      <w:szCs w:val="24"/>
      <w:lang w:eastAsia="en-US" w:bidi="en-US"/>
    </w:rPr>
  </w:style>
  <w:style w:type="paragraph" w:customStyle="1" w:styleId="Bullet">
    <w:name w:val="Bullet"/>
    <w:basedOn w:val="Normal"/>
    <w:next w:val="Normal"/>
    <w:rsid w:val="00431AF4"/>
    <w:pPr>
      <w:ind w:left="567" w:hanging="567"/>
    </w:pPr>
    <w:rPr>
      <w:rFonts w:ascii="Times New Roman" w:hAnsi="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68956">
      <w:bodyDiv w:val="1"/>
      <w:marLeft w:val="0"/>
      <w:marRight w:val="0"/>
      <w:marTop w:val="0"/>
      <w:marBottom w:val="0"/>
      <w:divBdr>
        <w:top w:val="none" w:sz="0" w:space="0" w:color="auto"/>
        <w:left w:val="none" w:sz="0" w:space="0" w:color="auto"/>
        <w:bottom w:val="none" w:sz="0" w:space="0" w:color="auto"/>
        <w:right w:val="none" w:sz="0" w:space="0" w:color="auto"/>
      </w:divBdr>
      <w:divsChild>
        <w:div w:id="1549759426">
          <w:marLeft w:val="0"/>
          <w:marRight w:val="0"/>
          <w:marTop w:val="0"/>
          <w:marBottom w:val="0"/>
          <w:divBdr>
            <w:top w:val="none" w:sz="0" w:space="0" w:color="auto"/>
            <w:left w:val="none" w:sz="0" w:space="0" w:color="auto"/>
            <w:bottom w:val="none" w:sz="0" w:space="0" w:color="auto"/>
            <w:right w:val="none" w:sz="0" w:space="0" w:color="auto"/>
          </w:divBdr>
          <w:divsChild>
            <w:div w:id="1657764158">
              <w:marLeft w:val="0"/>
              <w:marRight w:val="0"/>
              <w:marTop w:val="0"/>
              <w:marBottom w:val="0"/>
              <w:divBdr>
                <w:top w:val="none" w:sz="0" w:space="0" w:color="auto"/>
                <w:left w:val="none" w:sz="0" w:space="0" w:color="auto"/>
                <w:bottom w:val="none" w:sz="0" w:space="0" w:color="auto"/>
                <w:right w:val="none" w:sz="0" w:space="0" w:color="auto"/>
              </w:divBdr>
              <w:divsChild>
                <w:div w:id="2015299951">
                  <w:marLeft w:val="0"/>
                  <w:marRight w:val="0"/>
                  <w:marTop w:val="0"/>
                  <w:marBottom w:val="0"/>
                  <w:divBdr>
                    <w:top w:val="none" w:sz="0" w:space="0" w:color="auto"/>
                    <w:left w:val="none" w:sz="0" w:space="0" w:color="auto"/>
                    <w:bottom w:val="none" w:sz="0" w:space="0" w:color="auto"/>
                    <w:right w:val="none" w:sz="0" w:space="0" w:color="auto"/>
                  </w:divBdr>
                  <w:divsChild>
                    <w:div w:id="405608726">
                      <w:marLeft w:val="0"/>
                      <w:marRight w:val="0"/>
                      <w:marTop w:val="0"/>
                      <w:marBottom w:val="0"/>
                      <w:divBdr>
                        <w:top w:val="none" w:sz="0" w:space="0" w:color="auto"/>
                        <w:left w:val="none" w:sz="0" w:space="0" w:color="auto"/>
                        <w:bottom w:val="none" w:sz="0" w:space="0" w:color="auto"/>
                        <w:right w:val="none" w:sz="0" w:space="0" w:color="auto"/>
                      </w:divBdr>
                      <w:divsChild>
                        <w:div w:id="838891506">
                          <w:marLeft w:val="0"/>
                          <w:marRight w:val="0"/>
                          <w:marTop w:val="0"/>
                          <w:marBottom w:val="0"/>
                          <w:divBdr>
                            <w:top w:val="none" w:sz="0" w:space="0" w:color="auto"/>
                            <w:left w:val="none" w:sz="0" w:space="0" w:color="auto"/>
                            <w:bottom w:val="none" w:sz="0" w:space="0" w:color="auto"/>
                            <w:right w:val="none" w:sz="0" w:space="0" w:color="auto"/>
                          </w:divBdr>
                          <w:divsChild>
                            <w:div w:id="8052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798965">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04367051">
      <w:bodyDiv w:val="1"/>
      <w:marLeft w:val="0"/>
      <w:marRight w:val="0"/>
      <w:marTop w:val="0"/>
      <w:marBottom w:val="0"/>
      <w:divBdr>
        <w:top w:val="none" w:sz="0" w:space="0" w:color="auto"/>
        <w:left w:val="none" w:sz="0" w:space="0" w:color="auto"/>
        <w:bottom w:val="none" w:sz="0" w:space="0" w:color="auto"/>
        <w:right w:val="none" w:sz="0" w:space="0" w:color="auto"/>
      </w:divBdr>
      <w:divsChild>
        <w:div w:id="1092363244">
          <w:marLeft w:val="0"/>
          <w:marRight w:val="0"/>
          <w:marTop w:val="0"/>
          <w:marBottom w:val="0"/>
          <w:divBdr>
            <w:top w:val="none" w:sz="0" w:space="0" w:color="auto"/>
            <w:left w:val="none" w:sz="0" w:space="0" w:color="auto"/>
            <w:bottom w:val="none" w:sz="0" w:space="0" w:color="auto"/>
            <w:right w:val="none" w:sz="0" w:space="0" w:color="auto"/>
          </w:divBdr>
          <w:divsChild>
            <w:div w:id="1905600339">
              <w:marLeft w:val="0"/>
              <w:marRight w:val="0"/>
              <w:marTop w:val="0"/>
              <w:marBottom w:val="0"/>
              <w:divBdr>
                <w:top w:val="none" w:sz="0" w:space="0" w:color="auto"/>
                <w:left w:val="none" w:sz="0" w:space="0" w:color="auto"/>
                <w:bottom w:val="none" w:sz="0" w:space="0" w:color="auto"/>
                <w:right w:val="none" w:sz="0" w:space="0" w:color="auto"/>
              </w:divBdr>
              <w:divsChild>
                <w:div w:id="1465155175">
                  <w:marLeft w:val="0"/>
                  <w:marRight w:val="0"/>
                  <w:marTop w:val="0"/>
                  <w:marBottom w:val="0"/>
                  <w:divBdr>
                    <w:top w:val="none" w:sz="0" w:space="0" w:color="auto"/>
                    <w:left w:val="none" w:sz="0" w:space="0" w:color="auto"/>
                    <w:bottom w:val="none" w:sz="0" w:space="0" w:color="auto"/>
                    <w:right w:val="none" w:sz="0" w:space="0" w:color="auto"/>
                  </w:divBdr>
                  <w:divsChild>
                    <w:div w:id="151260123">
                      <w:marLeft w:val="0"/>
                      <w:marRight w:val="0"/>
                      <w:marTop w:val="0"/>
                      <w:marBottom w:val="0"/>
                      <w:divBdr>
                        <w:top w:val="none" w:sz="0" w:space="0" w:color="auto"/>
                        <w:left w:val="none" w:sz="0" w:space="0" w:color="auto"/>
                        <w:bottom w:val="none" w:sz="0" w:space="0" w:color="auto"/>
                        <w:right w:val="none" w:sz="0" w:space="0" w:color="auto"/>
                      </w:divBdr>
                      <w:divsChild>
                        <w:div w:id="1132989174">
                          <w:marLeft w:val="0"/>
                          <w:marRight w:val="0"/>
                          <w:marTop w:val="0"/>
                          <w:marBottom w:val="0"/>
                          <w:divBdr>
                            <w:top w:val="none" w:sz="0" w:space="0" w:color="auto"/>
                            <w:left w:val="none" w:sz="0" w:space="0" w:color="auto"/>
                            <w:bottom w:val="none" w:sz="0" w:space="0" w:color="auto"/>
                            <w:right w:val="none" w:sz="0" w:space="0" w:color="auto"/>
                          </w:divBdr>
                          <w:divsChild>
                            <w:div w:id="21095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298903">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294873042">
      <w:bodyDiv w:val="1"/>
      <w:marLeft w:val="0"/>
      <w:marRight w:val="0"/>
      <w:marTop w:val="0"/>
      <w:marBottom w:val="0"/>
      <w:divBdr>
        <w:top w:val="none" w:sz="0" w:space="0" w:color="auto"/>
        <w:left w:val="none" w:sz="0" w:space="0" w:color="auto"/>
        <w:bottom w:val="none" w:sz="0" w:space="0" w:color="auto"/>
        <w:right w:val="none" w:sz="0" w:space="0" w:color="auto"/>
      </w:divBdr>
      <w:divsChild>
        <w:div w:id="2103061692">
          <w:marLeft w:val="0"/>
          <w:marRight w:val="0"/>
          <w:marTop w:val="0"/>
          <w:marBottom w:val="0"/>
          <w:divBdr>
            <w:top w:val="none" w:sz="0" w:space="0" w:color="auto"/>
            <w:left w:val="none" w:sz="0" w:space="0" w:color="auto"/>
            <w:bottom w:val="none" w:sz="0" w:space="0" w:color="auto"/>
            <w:right w:val="none" w:sz="0" w:space="0" w:color="auto"/>
          </w:divBdr>
          <w:divsChild>
            <w:div w:id="404452193">
              <w:marLeft w:val="0"/>
              <w:marRight w:val="0"/>
              <w:marTop w:val="0"/>
              <w:marBottom w:val="0"/>
              <w:divBdr>
                <w:top w:val="none" w:sz="0" w:space="0" w:color="auto"/>
                <w:left w:val="none" w:sz="0" w:space="0" w:color="auto"/>
                <w:bottom w:val="none" w:sz="0" w:space="0" w:color="auto"/>
                <w:right w:val="none" w:sz="0" w:space="0" w:color="auto"/>
              </w:divBdr>
              <w:divsChild>
                <w:div w:id="1536577529">
                  <w:marLeft w:val="0"/>
                  <w:marRight w:val="0"/>
                  <w:marTop w:val="0"/>
                  <w:marBottom w:val="0"/>
                  <w:divBdr>
                    <w:top w:val="none" w:sz="0" w:space="0" w:color="auto"/>
                    <w:left w:val="none" w:sz="0" w:space="0" w:color="auto"/>
                    <w:bottom w:val="none" w:sz="0" w:space="0" w:color="auto"/>
                    <w:right w:val="none" w:sz="0" w:space="0" w:color="auto"/>
                  </w:divBdr>
                  <w:divsChild>
                    <w:div w:id="886139277">
                      <w:marLeft w:val="0"/>
                      <w:marRight w:val="0"/>
                      <w:marTop w:val="0"/>
                      <w:marBottom w:val="0"/>
                      <w:divBdr>
                        <w:top w:val="none" w:sz="0" w:space="0" w:color="auto"/>
                        <w:left w:val="none" w:sz="0" w:space="0" w:color="auto"/>
                        <w:bottom w:val="none" w:sz="0" w:space="0" w:color="auto"/>
                        <w:right w:val="none" w:sz="0" w:space="0" w:color="auto"/>
                      </w:divBdr>
                      <w:divsChild>
                        <w:div w:id="1026980737">
                          <w:marLeft w:val="0"/>
                          <w:marRight w:val="0"/>
                          <w:marTop w:val="0"/>
                          <w:marBottom w:val="0"/>
                          <w:divBdr>
                            <w:top w:val="none" w:sz="0" w:space="0" w:color="auto"/>
                            <w:left w:val="none" w:sz="0" w:space="0" w:color="auto"/>
                            <w:bottom w:val="none" w:sz="0" w:space="0" w:color="auto"/>
                            <w:right w:val="none" w:sz="0" w:space="0" w:color="auto"/>
                          </w:divBdr>
                          <w:divsChild>
                            <w:div w:id="1814905368">
                              <w:marLeft w:val="0"/>
                              <w:marRight w:val="0"/>
                              <w:marTop w:val="0"/>
                              <w:marBottom w:val="0"/>
                              <w:divBdr>
                                <w:top w:val="none" w:sz="0" w:space="0" w:color="auto"/>
                                <w:left w:val="none" w:sz="0" w:space="0" w:color="auto"/>
                                <w:bottom w:val="none" w:sz="0" w:space="0" w:color="auto"/>
                                <w:right w:val="none" w:sz="0" w:space="0" w:color="auto"/>
                              </w:divBdr>
                              <w:divsChild>
                                <w:div w:id="1670055672">
                                  <w:marLeft w:val="0"/>
                                  <w:marRight w:val="0"/>
                                  <w:marTop w:val="0"/>
                                  <w:marBottom w:val="0"/>
                                  <w:divBdr>
                                    <w:top w:val="none" w:sz="0" w:space="0" w:color="auto"/>
                                    <w:left w:val="none" w:sz="0" w:space="0" w:color="auto"/>
                                    <w:bottom w:val="none" w:sz="0" w:space="0" w:color="auto"/>
                                    <w:right w:val="none" w:sz="0" w:space="0" w:color="auto"/>
                                  </w:divBdr>
                                  <w:divsChild>
                                    <w:div w:id="158278861">
                                      <w:marLeft w:val="0"/>
                                      <w:marRight w:val="0"/>
                                      <w:marTop w:val="0"/>
                                      <w:marBottom w:val="0"/>
                                      <w:divBdr>
                                        <w:top w:val="none" w:sz="0" w:space="0" w:color="auto"/>
                                        <w:left w:val="none" w:sz="0" w:space="0" w:color="auto"/>
                                        <w:bottom w:val="none" w:sz="0" w:space="0" w:color="auto"/>
                                        <w:right w:val="none" w:sz="0" w:space="0" w:color="auto"/>
                                      </w:divBdr>
                                      <w:divsChild>
                                        <w:div w:id="2866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145427">
      <w:bodyDiv w:val="1"/>
      <w:marLeft w:val="0"/>
      <w:marRight w:val="0"/>
      <w:marTop w:val="0"/>
      <w:marBottom w:val="0"/>
      <w:divBdr>
        <w:top w:val="none" w:sz="0" w:space="0" w:color="auto"/>
        <w:left w:val="none" w:sz="0" w:space="0" w:color="auto"/>
        <w:bottom w:val="none" w:sz="0" w:space="0" w:color="auto"/>
        <w:right w:val="none" w:sz="0" w:space="0" w:color="auto"/>
      </w:divBdr>
      <w:divsChild>
        <w:div w:id="593435952">
          <w:marLeft w:val="0"/>
          <w:marRight w:val="0"/>
          <w:marTop w:val="0"/>
          <w:marBottom w:val="0"/>
          <w:divBdr>
            <w:top w:val="none" w:sz="0" w:space="0" w:color="auto"/>
            <w:left w:val="none" w:sz="0" w:space="0" w:color="auto"/>
            <w:bottom w:val="none" w:sz="0" w:space="0" w:color="auto"/>
            <w:right w:val="none" w:sz="0" w:space="0" w:color="auto"/>
          </w:divBdr>
          <w:divsChild>
            <w:div w:id="943415537">
              <w:marLeft w:val="0"/>
              <w:marRight w:val="0"/>
              <w:marTop w:val="0"/>
              <w:marBottom w:val="0"/>
              <w:divBdr>
                <w:top w:val="none" w:sz="0" w:space="0" w:color="auto"/>
                <w:left w:val="none" w:sz="0" w:space="0" w:color="auto"/>
                <w:bottom w:val="none" w:sz="0" w:space="0" w:color="auto"/>
                <w:right w:val="none" w:sz="0" w:space="0" w:color="auto"/>
              </w:divBdr>
              <w:divsChild>
                <w:div w:id="1251813480">
                  <w:marLeft w:val="0"/>
                  <w:marRight w:val="0"/>
                  <w:marTop w:val="0"/>
                  <w:marBottom w:val="0"/>
                  <w:divBdr>
                    <w:top w:val="none" w:sz="0" w:space="0" w:color="auto"/>
                    <w:left w:val="none" w:sz="0" w:space="0" w:color="auto"/>
                    <w:bottom w:val="none" w:sz="0" w:space="0" w:color="auto"/>
                    <w:right w:val="none" w:sz="0" w:space="0" w:color="auto"/>
                  </w:divBdr>
                  <w:divsChild>
                    <w:div w:id="5767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974267">
      <w:bodyDiv w:val="1"/>
      <w:marLeft w:val="0"/>
      <w:marRight w:val="0"/>
      <w:marTop w:val="0"/>
      <w:marBottom w:val="0"/>
      <w:divBdr>
        <w:top w:val="none" w:sz="0" w:space="0" w:color="auto"/>
        <w:left w:val="none" w:sz="0" w:space="0" w:color="auto"/>
        <w:bottom w:val="none" w:sz="0" w:space="0" w:color="auto"/>
        <w:right w:val="none" w:sz="0" w:space="0" w:color="auto"/>
      </w:divBdr>
      <w:divsChild>
        <w:div w:id="775833734">
          <w:marLeft w:val="0"/>
          <w:marRight w:val="0"/>
          <w:marTop w:val="0"/>
          <w:marBottom w:val="0"/>
          <w:divBdr>
            <w:top w:val="none" w:sz="0" w:space="0" w:color="auto"/>
            <w:left w:val="none" w:sz="0" w:space="0" w:color="auto"/>
            <w:bottom w:val="none" w:sz="0" w:space="0" w:color="auto"/>
            <w:right w:val="none" w:sz="0" w:space="0" w:color="auto"/>
          </w:divBdr>
          <w:divsChild>
            <w:div w:id="434449088">
              <w:marLeft w:val="0"/>
              <w:marRight w:val="0"/>
              <w:marTop w:val="0"/>
              <w:marBottom w:val="0"/>
              <w:divBdr>
                <w:top w:val="none" w:sz="0" w:space="0" w:color="auto"/>
                <w:left w:val="none" w:sz="0" w:space="0" w:color="auto"/>
                <w:bottom w:val="none" w:sz="0" w:space="0" w:color="auto"/>
                <w:right w:val="none" w:sz="0" w:space="0" w:color="auto"/>
              </w:divBdr>
              <w:divsChild>
                <w:div w:id="1009911626">
                  <w:marLeft w:val="0"/>
                  <w:marRight w:val="0"/>
                  <w:marTop w:val="0"/>
                  <w:marBottom w:val="0"/>
                  <w:divBdr>
                    <w:top w:val="none" w:sz="0" w:space="0" w:color="auto"/>
                    <w:left w:val="none" w:sz="0" w:space="0" w:color="auto"/>
                    <w:bottom w:val="none" w:sz="0" w:space="0" w:color="auto"/>
                    <w:right w:val="none" w:sz="0" w:space="0" w:color="auto"/>
                  </w:divBdr>
                  <w:divsChild>
                    <w:div w:id="6406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foodstandards.gov.au/consumer/gmfood/gmoverview/Pages/default.aspx" TargetMode="External"/><Relationship Id="rId26" Type="http://schemas.openxmlformats.org/officeDocument/2006/relationships/hyperlink" Target="http://www.foodstandards.gov.au/consumer/gmfood/Pages/Response-to-Dr-Carman's-study.aspx" TargetMode="External"/><Relationship Id="rId21" Type="http://schemas.openxmlformats.org/officeDocument/2006/relationships/hyperlink" Target="http://www.foodstandards.gov.au/consumer/gmfood/adverse/Pages/default.asp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oodstandards.gov.au/consumer/gmfood/adverse/Pages/default.aspx" TargetMode="External"/><Relationship Id="rId25" Type="http://schemas.openxmlformats.org/officeDocument/2006/relationships/hyperlink" Target="http://www.prnewswire.co.uk/news-releases/elsevier-announces-article-retraction-from-journal-food-and-chemical-toxicology-233754961.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oodstandards.gov.au/code/applications/Pages/A1089.aspx" TargetMode="External"/><Relationship Id="rId20" Type="http://schemas.openxmlformats.org/officeDocument/2006/relationships/hyperlink" Target="http://www.foodstandards.gov.au/consumer/gmfood/Pages/reviewofgeneticallym4394.aspx" TargetMode="External"/><Relationship Id="rId29" Type="http://schemas.openxmlformats.org/officeDocument/2006/relationships/hyperlink" Target="http://www.foodstandards.gov.au/_srcfiles/GM%20FINAL%20Sept%2007L%20_2_.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foodstandards.gov.au/consumer/gmfood/Pages/roleofanimalfeedings3717.aspx" TargetMode="External"/><Relationship Id="rId32" Type="http://schemas.openxmlformats.org/officeDocument/2006/relationships/image" Target="media/image2.png"/><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oodstandards.gov.au/consumer/gmfood/recombinantdna/Pages/default.aspx" TargetMode="External"/><Relationship Id="rId28" Type="http://schemas.openxmlformats.org/officeDocument/2006/relationships/hyperlink" Target="http://www.codexalimentarius.net/web/standard_list.do?lang=en" TargetMode="External"/><Relationship Id="rId36"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yperlink" Target="http://www.foodstandards.gov.au/consumer/gmfood/safety/Pages/default.aspx" TargetMode="External"/><Relationship Id="rId31" Type="http://schemas.openxmlformats.org/officeDocument/2006/relationships/hyperlink" Target="http://www.oecd.org/futures/long-termtechnologicalsocietalchallenges/40926844.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foodstandards.gov.au/consumer/chemicals/maxresidue/Pages/default.aspx" TargetMode="External"/><Relationship Id="rId27" Type="http://schemas.openxmlformats.org/officeDocument/2006/relationships/hyperlink" Target="http://www.foodstandards.gov.au/consumer/gmfood/seralini/Pages/default.aspx" TargetMode="External"/><Relationship Id="rId30" Type="http://schemas.openxmlformats.org/officeDocument/2006/relationships/hyperlink" Target="http://www.foodstandards.gov.au/foodstandards/changingthecode/applicationshandbook.cfm" TargetMode="Externa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9DAE9D-AF8D-4CB4-8F15-F51669F001C0}"/>
</file>

<file path=customXml/itemProps2.xml><?xml version="1.0" encoding="utf-8"?>
<ds:datastoreItem xmlns:ds="http://schemas.openxmlformats.org/officeDocument/2006/customXml" ds:itemID="{3AB0958E-22FA-4F32-802E-5D73E897306E}"/>
</file>

<file path=customXml/itemProps3.xml><?xml version="1.0" encoding="utf-8"?>
<ds:datastoreItem xmlns:ds="http://schemas.openxmlformats.org/officeDocument/2006/customXml" ds:itemID="{0B37D139-6DBF-48C2-9CE3-F601B5C0B378}"/>
</file>

<file path=customXml/itemProps4.xml><?xml version="1.0" encoding="utf-8"?>
<ds:datastoreItem xmlns:ds="http://schemas.openxmlformats.org/officeDocument/2006/customXml" ds:itemID="{80063851-1AB4-4685-94C3-8CF200ACB786}"/>
</file>

<file path=docProps/app.xml><?xml version="1.0" encoding="utf-8"?>
<Properties xmlns="http://schemas.openxmlformats.org/officeDocument/2006/extended-properties" xmlns:vt="http://schemas.openxmlformats.org/officeDocument/2006/docPropsVTypes">
  <Template>Normal</Template>
  <TotalTime>0</TotalTime>
  <Pages>19</Pages>
  <Words>5878</Words>
  <Characters>43727</Characters>
  <Application>Microsoft Office Word</Application>
  <DocSecurity>0</DocSecurity>
  <Lines>364</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49506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A1089-GM-AppR</dc:title>
  <dc:creator/>
  <cp:lastModifiedBy/>
  <cp:revision>1</cp:revision>
  <dcterms:created xsi:type="dcterms:W3CDTF">2014-03-05T01:37:00Z</dcterms:created>
  <dcterms:modified xsi:type="dcterms:W3CDTF">2014-03-05T01:38:00Z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