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Override3.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theme/themeOverride4.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5D552" w14:textId="7C810FBF" w:rsidR="00DD5C9C" w:rsidRDefault="00DD5C9C" w:rsidP="003B5D42">
      <w:bookmarkStart w:id="0" w:name="_GoBack"/>
      <w:bookmarkEnd w:id="0"/>
      <w:r>
        <w:rPr>
          <w:noProof/>
          <w:lang w:eastAsia="en-GB" w:bidi="ar-SA"/>
        </w:rPr>
        <w:drawing>
          <wp:inline distT="0" distB="0" distL="0" distR="0" wp14:anchorId="25B5DCD7" wp14:editId="25B5DC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5B5D553" w14:textId="77777777" w:rsidR="00DD5C9C" w:rsidRDefault="00DD5C9C" w:rsidP="003B5D42"/>
    <w:p w14:paraId="25B5D554" w14:textId="77777777" w:rsidR="00DD5C9C" w:rsidRPr="005B7A73" w:rsidRDefault="00DD5C9C" w:rsidP="003B5D42">
      <w:pPr>
        <w:pStyle w:val="FSTitle"/>
        <w:rPr>
          <w:b/>
        </w:rPr>
      </w:pPr>
      <w:r w:rsidRPr="005B7A73">
        <w:rPr>
          <w:b/>
        </w:rPr>
        <w:t xml:space="preserve">Supporting document </w:t>
      </w:r>
      <w:r>
        <w:rPr>
          <w:b/>
        </w:rPr>
        <w:t>1</w:t>
      </w:r>
    </w:p>
    <w:p w14:paraId="25B5D555" w14:textId="77777777" w:rsidR="00DD5C9C" w:rsidRDefault="00DD5C9C" w:rsidP="003B5D42"/>
    <w:p w14:paraId="25B5D556" w14:textId="77777777" w:rsidR="00DD5C9C" w:rsidRPr="00D20333" w:rsidRDefault="00DD5C9C" w:rsidP="003B5D42">
      <w:pPr>
        <w:pStyle w:val="FSTitle"/>
      </w:pPr>
      <w:r>
        <w:t xml:space="preserve">Technological and Nutrition </w:t>
      </w:r>
      <w:r w:rsidRPr="00D20333">
        <w:t xml:space="preserve">Risk Assessment </w:t>
      </w:r>
      <w:r w:rsidR="001755D3">
        <w:t xml:space="preserve">(at Approval) </w:t>
      </w:r>
      <w:r w:rsidRPr="00D20333">
        <w:t>– Application A1090</w:t>
      </w:r>
    </w:p>
    <w:p w14:paraId="25B5D557" w14:textId="77777777" w:rsidR="00DD5C9C" w:rsidRPr="00690206" w:rsidRDefault="00DD5C9C" w:rsidP="003B5D42"/>
    <w:p w14:paraId="25B5D558" w14:textId="77777777" w:rsidR="00DD5C9C" w:rsidRPr="00D20333" w:rsidRDefault="00DD5C9C" w:rsidP="003B5D42">
      <w:pPr>
        <w:pStyle w:val="FSTitle"/>
      </w:pPr>
      <w:r>
        <w:t>Voluntary Addition of Vitamin D to Breakfast C</w:t>
      </w:r>
      <w:r w:rsidRPr="00D20333">
        <w:t>ereal</w:t>
      </w:r>
      <w:r>
        <w:t xml:space="preserve"> </w:t>
      </w:r>
    </w:p>
    <w:p w14:paraId="25B5D559" w14:textId="77777777" w:rsidR="00DD5C9C" w:rsidRPr="00B37BF0" w:rsidRDefault="00DD5C9C" w:rsidP="003B5D42">
      <w:pPr>
        <w:pBdr>
          <w:bottom w:val="single" w:sz="12" w:space="1" w:color="auto"/>
        </w:pBdr>
        <w:spacing w:line="280" w:lineRule="exact"/>
        <w:rPr>
          <w:rFonts w:cs="Arial"/>
          <w:bCs/>
        </w:rPr>
      </w:pPr>
    </w:p>
    <w:p w14:paraId="5C290FB7" w14:textId="77777777" w:rsidR="00E262C6" w:rsidRDefault="00E262C6" w:rsidP="00E262C6">
      <w:bookmarkStart w:id="1" w:name="_Toc286391001"/>
      <w:bookmarkStart w:id="2" w:name="_Toc300933414"/>
      <w:bookmarkStart w:id="3" w:name="_Toc406575677"/>
    </w:p>
    <w:p w14:paraId="25B5D55A" w14:textId="77777777" w:rsidR="00DD5C9C" w:rsidRDefault="00DD5C9C" w:rsidP="003B5D42">
      <w:pPr>
        <w:pStyle w:val="Heading1"/>
      </w:pPr>
      <w:r w:rsidRPr="003B1F14">
        <w:t>Executive summary</w:t>
      </w:r>
      <w:bookmarkEnd w:id="1"/>
      <w:bookmarkEnd w:id="2"/>
      <w:bookmarkEnd w:id="3"/>
      <w:r w:rsidRPr="003B1F14">
        <w:t xml:space="preserve"> </w:t>
      </w:r>
    </w:p>
    <w:p w14:paraId="25B5D55B" w14:textId="77777777" w:rsidR="00DD5C9C" w:rsidRDefault="00DD5C9C" w:rsidP="003B5D42">
      <w:pPr>
        <w:rPr>
          <w:rFonts w:eastAsia="Calibri"/>
          <w:szCs w:val="22"/>
          <w:lang w:bidi="ar-SA"/>
        </w:rPr>
      </w:pPr>
      <w:r w:rsidRPr="00235313">
        <w:rPr>
          <w:rFonts w:eastAsia="Calibri"/>
          <w:szCs w:val="22"/>
          <w:lang w:bidi="ar-SA"/>
        </w:rPr>
        <w:t xml:space="preserve">Vitamin D is a </w:t>
      </w:r>
      <w:r>
        <w:rPr>
          <w:rFonts w:eastAsia="Calibri"/>
          <w:szCs w:val="22"/>
          <w:lang w:bidi="ar-SA"/>
        </w:rPr>
        <w:t xml:space="preserve">conditionally-essential </w:t>
      </w:r>
      <w:r w:rsidRPr="00235313">
        <w:rPr>
          <w:rFonts w:eastAsia="Calibri"/>
          <w:szCs w:val="22"/>
          <w:lang w:bidi="ar-SA"/>
        </w:rPr>
        <w:t>nutrient that is synthesis</w:t>
      </w:r>
      <w:r>
        <w:rPr>
          <w:rFonts w:eastAsia="Calibri"/>
          <w:szCs w:val="22"/>
          <w:lang w:bidi="ar-SA"/>
        </w:rPr>
        <w:t>ed</w:t>
      </w:r>
      <w:r w:rsidRPr="00235313">
        <w:rPr>
          <w:rFonts w:eastAsia="Calibri"/>
          <w:szCs w:val="22"/>
          <w:lang w:bidi="ar-SA"/>
        </w:rPr>
        <w:t xml:space="preserve"> in the skin with sun exposure or is consumed through dietary sources. Dietary sources </w:t>
      </w:r>
      <w:r>
        <w:rPr>
          <w:rFonts w:eastAsia="Calibri"/>
          <w:szCs w:val="22"/>
          <w:lang w:bidi="ar-SA"/>
        </w:rPr>
        <w:t xml:space="preserve">are mainly animal-derived foods </w:t>
      </w:r>
      <w:r w:rsidRPr="00235313">
        <w:rPr>
          <w:rFonts w:eastAsia="Calibri"/>
          <w:szCs w:val="22"/>
          <w:lang w:bidi="ar-SA"/>
        </w:rPr>
        <w:t>contain</w:t>
      </w:r>
      <w:r>
        <w:rPr>
          <w:rFonts w:eastAsia="Calibri"/>
          <w:szCs w:val="22"/>
          <w:lang w:bidi="ar-SA"/>
        </w:rPr>
        <w:t>ing</w:t>
      </w:r>
      <w:r w:rsidRPr="00235313">
        <w:rPr>
          <w:rFonts w:eastAsia="Calibri"/>
          <w:szCs w:val="22"/>
          <w:lang w:bidi="ar-SA"/>
        </w:rPr>
        <w:t xml:space="preserve"> </w:t>
      </w:r>
      <w:r>
        <w:rPr>
          <w:rFonts w:eastAsia="Calibri"/>
          <w:szCs w:val="22"/>
          <w:lang w:bidi="ar-SA"/>
        </w:rPr>
        <w:t xml:space="preserve">relatively </w:t>
      </w:r>
      <w:r w:rsidRPr="00235313">
        <w:rPr>
          <w:rFonts w:eastAsia="Calibri"/>
          <w:szCs w:val="22"/>
          <w:lang w:bidi="ar-SA"/>
        </w:rPr>
        <w:t>small quantities of endogenous vit</w:t>
      </w:r>
      <w:r>
        <w:rPr>
          <w:rFonts w:eastAsia="Calibri"/>
          <w:szCs w:val="22"/>
          <w:lang w:bidi="ar-SA"/>
        </w:rPr>
        <w:t>amin D and some fortified foods in Australia and New Zealand (ANZ)</w:t>
      </w:r>
      <w:r w:rsidRPr="00235313">
        <w:rPr>
          <w:rFonts w:eastAsia="Calibri"/>
          <w:szCs w:val="22"/>
          <w:lang w:bidi="ar-SA"/>
        </w:rPr>
        <w:t xml:space="preserve">. </w:t>
      </w:r>
      <w:r>
        <w:rPr>
          <w:rFonts w:eastAsia="Calibri"/>
          <w:szCs w:val="22"/>
          <w:lang w:bidi="ar-SA"/>
        </w:rPr>
        <w:t xml:space="preserve">The purpose of this assessment was to examine </w:t>
      </w:r>
      <w:r w:rsidRPr="00A67CD6">
        <w:rPr>
          <w:rFonts w:eastAsia="Calibri"/>
          <w:szCs w:val="22"/>
          <w:lang w:bidi="ar-SA"/>
        </w:rPr>
        <w:t xml:space="preserve">the vitamin D status of </w:t>
      </w:r>
      <w:r>
        <w:rPr>
          <w:rFonts w:eastAsia="Calibri"/>
          <w:szCs w:val="22"/>
          <w:lang w:bidi="ar-SA"/>
        </w:rPr>
        <w:t xml:space="preserve">ANZ </w:t>
      </w:r>
      <w:r w:rsidRPr="00A67CD6">
        <w:rPr>
          <w:rFonts w:eastAsia="Calibri"/>
          <w:szCs w:val="22"/>
          <w:lang w:bidi="ar-SA"/>
        </w:rPr>
        <w:t>populations and</w:t>
      </w:r>
      <w:r>
        <w:rPr>
          <w:rFonts w:eastAsia="Calibri"/>
          <w:szCs w:val="22"/>
          <w:lang w:bidi="ar-SA"/>
        </w:rPr>
        <w:t xml:space="preserve"> determine the </w:t>
      </w:r>
      <w:r w:rsidRPr="00A67CD6">
        <w:rPr>
          <w:rFonts w:eastAsia="Calibri"/>
          <w:szCs w:val="22"/>
          <w:lang w:bidi="ar-SA"/>
        </w:rPr>
        <w:t>health effects</w:t>
      </w:r>
      <w:r>
        <w:rPr>
          <w:rFonts w:eastAsia="Calibri"/>
          <w:szCs w:val="22"/>
          <w:lang w:bidi="ar-SA"/>
        </w:rPr>
        <w:t>, or the potential risks to health, if permission were to be given for</w:t>
      </w:r>
      <w:r w:rsidRPr="00A67CD6">
        <w:rPr>
          <w:rFonts w:eastAsia="Calibri"/>
          <w:szCs w:val="22"/>
          <w:lang w:bidi="ar-SA"/>
        </w:rPr>
        <w:t xml:space="preserve"> breakfast cereal</w:t>
      </w:r>
      <w:r>
        <w:rPr>
          <w:rFonts w:eastAsia="Calibri"/>
          <w:szCs w:val="22"/>
          <w:lang w:bidi="ar-SA"/>
        </w:rPr>
        <w:t xml:space="preserve"> to be fortified with vitamin D</w:t>
      </w:r>
      <w:r w:rsidRPr="00A67CD6">
        <w:rPr>
          <w:rFonts w:eastAsia="Calibri"/>
          <w:szCs w:val="22"/>
          <w:lang w:bidi="ar-SA"/>
        </w:rPr>
        <w:t>.</w:t>
      </w:r>
      <w:r>
        <w:rPr>
          <w:rFonts w:eastAsia="Calibri"/>
          <w:szCs w:val="22"/>
          <w:lang w:bidi="ar-SA"/>
        </w:rPr>
        <w:t xml:space="preserve"> Within these objectives, the bioavailability of the different forms of vitamin D, the technological efficacy of adding vitamin D to breakfast cereal, and the most appropriate method to ascertain potential effects on vitamin D status were also evaluated.</w:t>
      </w:r>
    </w:p>
    <w:p w14:paraId="25B5D55C" w14:textId="77777777" w:rsidR="00DD5C9C" w:rsidRDefault="00DD5C9C" w:rsidP="003B5D42">
      <w:pPr>
        <w:rPr>
          <w:rFonts w:eastAsia="Calibri"/>
          <w:szCs w:val="22"/>
          <w:lang w:bidi="ar-SA"/>
        </w:rPr>
      </w:pPr>
    </w:p>
    <w:p w14:paraId="25B5D55D" w14:textId="77777777" w:rsidR="00DD5C9C" w:rsidRDefault="00DD5C9C" w:rsidP="003B5D42">
      <w:pPr>
        <w:rPr>
          <w:rFonts w:eastAsia="Calibri"/>
          <w:szCs w:val="22"/>
          <w:lang w:bidi="ar-SA"/>
        </w:rPr>
      </w:pPr>
      <w:r>
        <w:rPr>
          <w:rFonts w:eastAsia="Calibri"/>
          <w:szCs w:val="22"/>
          <w:lang w:bidi="ar-SA"/>
        </w:rPr>
        <w:t xml:space="preserve">Two forms of vitamin D are permitted for addition to foods: </w:t>
      </w:r>
      <w:r w:rsidRPr="0028325F">
        <w:rPr>
          <w:rFonts w:eastAsia="Calibri"/>
          <w:szCs w:val="22"/>
          <w:lang w:bidi="ar-SA"/>
        </w:rPr>
        <w:t>D</w:t>
      </w:r>
      <w:r w:rsidRPr="0028325F">
        <w:rPr>
          <w:rFonts w:eastAsia="Calibri"/>
          <w:szCs w:val="22"/>
          <w:vertAlign w:val="subscript"/>
          <w:lang w:bidi="ar-SA"/>
        </w:rPr>
        <w:t>2</w:t>
      </w:r>
      <w:r w:rsidRPr="0028325F">
        <w:rPr>
          <w:rFonts w:eastAsia="Calibri"/>
          <w:szCs w:val="22"/>
          <w:lang w:bidi="ar-SA"/>
        </w:rPr>
        <w:t xml:space="preserve"> (present in certain fungi and yeast) and D</w:t>
      </w:r>
      <w:r w:rsidRPr="0028325F">
        <w:rPr>
          <w:rFonts w:eastAsia="Calibri"/>
          <w:szCs w:val="22"/>
          <w:vertAlign w:val="subscript"/>
          <w:lang w:bidi="ar-SA"/>
        </w:rPr>
        <w:t xml:space="preserve">3 </w:t>
      </w:r>
      <w:r w:rsidRPr="0028325F">
        <w:rPr>
          <w:rFonts w:eastAsia="Calibri"/>
          <w:szCs w:val="22"/>
          <w:lang w:bidi="ar-SA"/>
        </w:rPr>
        <w:t>(present in animal-derived foods and is the form synthesised in skin)</w:t>
      </w:r>
      <w:r>
        <w:rPr>
          <w:rFonts w:eastAsia="Calibri"/>
          <w:szCs w:val="22"/>
          <w:lang w:bidi="ar-SA"/>
        </w:rPr>
        <w:t xml:space="preserve">. Both forms have similar chemical and physical properties. They are </w:t>
      </w:r>
      <w:r w:rsidRPr="0028325F">
        <w:rPr>
          <w:rFonts w:eastAsia="Calibri"/>
          <w:szCs w:val="22"/>
          <w:lang w:bidi="ar-SA"/>
        </w:rPr>
        <w:t>considered to perform their technological function identically and have similar stability when included in a food matrix</w:t>
      </w:r>
      <w:r>
        <w:rPr>
          <w:rFonts w:eastAsia="Calibri"/>
          <w:szCs w:val="22"/>
          <w:lang w:bidi="ar-SA"/>
        </w:rPr>
        <w:t xml:space="preserve">. Identity and purity specifications for both forms </w:t>
      </w:r>
      <w:r w:rsidR="00C91549">
        <w:rPr>
          <w:rFonts w:eastAsia="Calibri"/>
          <w:szCs w:val="22"/>
          <w:lang w:bidi="ar-SA"/>
        </w:rPr>
        <w:t>are</w:t>
      </w:r>
      <w:r>
        <w:rPr>
          <w:rFonts w:eastAsia="Calibri"/>
          <w:szCs w:val="22"/>
          <w:lang w:bidi="ar-SA"/>
        </w:rPr>
        <w:t xml:space="preserve"> defined in the ANZ Food Standards Code. Vitamin D activity is lost through some production processes and over the shelf life of breakfast cereal. Based on the requested </w:t>
      </w:r>
      <w:r w:rsidRPr="006004BA">
        <w:rPr>
          <w:rFonts w:eastAsia="Calibri"/>
          <w:szCs w:val="22"/>
          <w:lang w:bidi="ar-SA"/>
        </w:rPr>
        <w:t>maximum claim per normal serving of 25% regulatory RDI (10 µg) per reference quantity</w:t>
      </w:r>
      <w:r>
        <w:rPr>
          <w:rFonts w:eastAsia="Calibri"/>
          <w:szCs w:val="22"/>
          <w:lang w:bidi="ar-SA"/>
        </w:rPr>
        <w:t xml:space="preserve">, and accounting for these losses, breakfast cereal containing a mean level of </w:t>
      </w:r>
      <w:r w:rsidRPr="003508C8">
        <w:rPr>
          <w:rFonts w:eastAsia="Calibri"/>
          <w:szCs w:val="22"/>
          <w:lang w:bidi="ar-SA"/>
        </w:rPr>
        <w:t xml:space="preserve">5 µg/serve </w:t>
      </w:r>
      <w:r>
        <w:rPr>
          <w:rFonts w:eastAsia="Calibri"/>
          <w:szCs w:val="22"/>
          <w:lang w:bidi="ar-SA"/>
        </w:rPr>
        <w:t xml:space="preserve">was </w:t>
      </w:r>
      <w:r w:rsidRPr="003508C8">
        <w:rPr>
          <w:rFonts w:eastAsia="Calibri"/>
          <w:szCs w:val="22"/>
          <w:lang w:bidi="ar-SA"/>
        </w:rPr>
        <w:t>used to estimate vitamin D intakes from breakfast cereal for the dietary intake assessment</w:t>
      </w:r>
      <w:r>
        <w:rPr>
          <w:rFonts w:eastAsia="Calibri"/>
          <w:szCs w:val="22"/>
          <w:lang w:bidi="ar-SA"/>
        </w:rPr>
        <w:t>.</w:t>
      </w:r>
    </w:p>
    <w:p w14:paraId="25B5D55E" w14:textId="77777777" w:rsidR="00DD5C9C" w:rsidRPr="00A67CD6" w:rsidRDefault="00DD5C9C" w:rsidP="003B5D42">
      <w:pPr>
        <w:rPr>
          <w:rFonts w:eastAsia="Calibri"/>
          <w:i/>
          <w:szCs w:val="22"/>
          <w:lang w:bidi="ar-SA"/>
        </w:rPr>
      </w:pPr>
    </w:p>
    <w:p w14:paraId="25B5D55F" w14:textId="77777777" w:rsidR="00DD5C9C" w:rsidRDefault="00DD5C9C" w:rsidP="003B5D42">
      <w:pPr>
        <w:rPr>
          <w:rFonts w:eastAsia="Calibri"/>
          <w:szCs w:val="22"/>
          <w:lang w:bidi="ar-SA"/>
        </w:rPr>
      </w:pPr>
      <w:r w:rsidRPr="00A67CD6">
        <w:rPr>
          <w:rFonts w:eastAsia="Calibri"/>
          <w:szCs w:val="22"/>
          <w:lang w:bidi="ar-SA"/>
        </w:rPr>
        <w:t>Vitamin D is metabolised through a complex pathway</w:t>
      </w:r>
      <w:r>
        <w:rPr>
          <w:rFonts w:eastAsia="Calibri"/>
          <w:szCs w:val="22"/>
          <w:lang w:bidi="ar-SA"/>
        </w:rPr>
        <w:t>.</w:t>
      </w:r>
      <w:r w:rsidRPr="00A67CD6">
        <w:rPr>
          <w:rFonts w:eastAsia="Calibri"/>
          <w:szCs w:val="22"/>
          <w:lang w:bidi="ar-SA"/>
        </w:rPr>
        <w:t xml:space="preserve"> The active metabolite</w:t>
      </w:r>
      <w:r>
        <w:rPr>
          <w:rFonts w:eastAsia="Calibri"/>
          <w:szCs w:val="22"/>
          <w:lang w:bidi="ar-SA"/>
        </w:rPr>
        <w:t>,</w:t>
      </w:r>
      <w:r w:rsidRPr="00A67CD6">
        <w:rPr>
          <w:rFonts w:eastAsia="Calibri"/>
          <w:szCs w:val="22"/>
          <w:lang w:bidi="ar-SA"/>
        </w:rPr>
        <w:t xml:space="preserve"> 1,25-dihydroxy</w:t>
      </w:r>
      <w:r>
        <w:rPr>
          <w:rFonts w:eastAsia="Calibri"/>
          <w:szCs w:val="22"/>
          <w:lang w:bidi="ar-SA"/>
        </w:rPr>
        <w:t xml:space="preserve"> </w:t>
      </w:r>
      <w:r w:rsidRPr="00A67CD6">
        <w:rPr>
          <w:rFonts w:eastAsia="Calibri"/>
          <w:szCs w:val="22"/>
          <w:lang w:bidi="ar-SA"/>
        </w:rPr>
        <w:t>vitamin D</w:t>
      </w:r>
      <w:r>
        <w:rPr>
          <w:rFonts w:eastAsia="Calibri"/>
          <w:szCs w:val="22"/>
          <w:lang w:bidi="ar-SA"/>
        </w:rPr>
        <w:t>,</w:t>
      </w:r>
      <w:r w:rsidRPr="00A67CD6">
        <w:rPr>
          <w:rFonts w:eastAsia="Calibri"/>
          <w:szCs w:val="22"/>
          <w:lang w:bidi="ar-SA"/>
        </w:rPr>
        <w:t xml:space="preserve"> is a hormone that maintain</w:t>
      </w:r>
      <w:r>
        <w:rPr>
          <w:rFonts w:eastAsia="Calibri"/>
          <w:szCs w:val="22"/>
          <w:lang w:bidi="ar-SA"/>
        </w:rPr>
        <w:t>s</w:t>
      </w:r>
      <w:r w:rsidRPr="00A67CD6">
        <w:rPr>
          <w:rFonts w:eastAsia="Calibri"/>
          <w:szCs w:val="22"/>
          <w:lang w:bidi="ar-SA"/>
        </w:rPr>
        <w:t xml:space="preserve"> cellular calcium by regulating intestinal calcium absorption and mobilisation of calcium from bone. </w:t>
      </w:r>
      <w:r>
        <w:rPr>
          <w:rFonts w:eastAsia="Calibri"/>
          <w:szCs w:val="22"/>
          <w:lang w:bidi="ar-SA"/>
        </w:rPr>
        <w:t>V</w:t>
      </w:r>
      <w:r w:rsidRPr="00A67CD6">
        <w:rPr>
          <w:rFonts w:eastAsia="Calibri"/>
          <w:szCs w:val="22"/>
          <w:lang w:bidi="ar-SA"/>
        </w:rPr>
        <w:t xml:space="preserve">itamin D status is </w:t>
      </w:r>
      <w:r>
        <w:rPr>
          <w:rFonts w:eastAsia="Calibri"/>
          <w:szCs w:val="22"/>
          <w:lang w:bidi="ar-SA"/>
        </w:rPr>
        <w:t xml:space="preserve">assessed </w:t>
      </w:r>
      <w:r w:rsidRPr="00A67CD6">
        <w:rPr>
          <w:rFonts w:eastAsia="Calibri"/>
          <w:szCs w:val="22"/>
          <w:lang w:bidi="ar-SA"/>
        </w:rPr>
        <w:t xml:space="preserve">by </w:t>
      </w:r>
      <w:r>
        <w:rPr>
          <w:rFonts w:eastAsia="Calibri"/>
          <w:szCs w:val="22"/>
          <w:lang w:bidi="ar-SA"/>
        </w:rPr>
        <w:t xml:space="preserve">using </w:t>
      </w:r>
      <w:r w:rsidRPr="00A67CD6">
        <w:rPr>
          <w:rFonts w:eastAsia="Calibri"/>
          <w:szCs w:val="22"/>
          <w:lang w:bidi="ar-SA"/>
        </w:rPr>
        <w:t xml:space="preserve">the </w:t>
      </w:r>
      <w:r>
        <w:rPr>
          <w:rFonts w:eastAsia="Calibri"/>
          <w:szCs w:val="22"/>
          <w:lang w:bidi="ar-SA"/>
        </w:rPr>
        <w:t xml:space="preserve">serum </w:t>
      </w:r>
      <w:r w:rsidRPr="00A67CD6">
        <w:rPr>
          <w:rFonts w:eastAsia="Calibri"/>
          <w:szCs w:val="22"/>
          <w:lang w:bidi="ar-SA"/>
        </w:rPr>
        <w:t xml:space="preserve">concentration of the metabolite 25-hydroxy vitamin D (25OHD) which circulates at </w:t>
      </w:r>
      <w:r>
        <w:rPr>
          <w:rFonts w:eastAsia="Calibri"/>
          <w:szCs w:val="22"/>
          <w:lang w:bidi="ar-SA"/>
        </w:rPr>
        <w:t xml:space="preserve">more measurable </w:t>
      </w:r>
      <w:r w:rsidRPr="00A67CD6">
        <w:rPr>
          <w:rFonts w:eastAsia="Calibri"/>
          <w:szCs w:val="22"/>
          <w:lang w:bidi="ar-SA"/>
        </w:rPr>
        <w:t xml:space="preserve">concentrations (about </w:t>
      </w:r>
      <w:r>
        <w:rPr>
          <w:rFonts w:eastAsia="Calibri"/>
          <w:szCs w:val="22"/>
          <w:lang w:bidi="ar-SA"/>
        </w:rPr>
        <w:t>1000-fold greater than the 1,25-</w:t>
      </w:r>
      <w:r w:rsidRPr="00A67CD6">
        <w:rPr>
          <w:rFonts w:eastAsia="Calibri"/>
          <w:szCs w:val="22"/>
          <w:lang w:bidi="ar-SA"/>
        </w:rPr>
        <w:t xml:space="preserve">metabolite) and with a longer </w:t>
      </w:r>
      <w:r>
        <w:rPr>
          <w:rFonts w:eastAsia="Calibri"/>
          <w:szCs w:val="22"/>
          <w:lang w:bidi="ar-SA"/>
        </w:rPr>
        <w:t xml:space="preserve">serum </w:t>
      </w:r>
      <w:r w:rsidRPr="00A67CD6">
        <w:rPr>
          <w:rFonts w:eastAsia="Calibri"/>
          <w:szCs w:val="22"/>
          <w:lang w:bidi="ar-SA"/>
        </w:rPr>
        <w:t xml:space="preserve">half-life compared to vitamin D or other metabolites. Measurement of </w:t>
      </w:r>
      <w:r>
        <w:rPr>
          <w:rFonts w:eastAsia="Calibri"/>
          <w:szCs w:val="22"/>
          <w:lang w:bidi="ar-SA"/>
        </w:rPr>
        <w:t xml:space="preserve">total </w:t>
      </w:r>
      <w:r w:rsidRPr="00A67CD6">
        <w:rPr>
          <w:rFonts w:eastAsia="Calibri"/>
          <w:szCs w:val="22"/>
          <w:lang w:bidi="ar-SA"/>
        </w:rPr>
        <w:t xml:space="preserve">25OHD </w:t>
      </w:r>
      <w:r>
        <w:rPr>
          <w:rFonts w:eastAsia="Calibri"/>
          <w:szCs w:val="22"/>
          <w:lang w:bidi="ar-SA"/>
        </w:rPr>
        <w:t xml:space="preserve">in serum </w:t>
      </w:r>
      <w:r w:rsidRPr="00A67CD6">
        <w:rPr>
          <w:rFonts w:eastAsia="Calibri"/>
          <w:szCs w:val="22"/>
          <w:lang w:bidi="ar-SA"/>
        </w:rPr>
        <w:t>permits quanti</w:t>
      </w:r>
      <w:r>
        <w:rPr>
          <w:rFonts w:eastAsia="Calibri"/>
          <w:szCs w:val="22"/>
          <w:lang w:bidi="ar-SA"/>
        </w:rPr>
        <w:t>fication</w:t>
      </w:r>
      <w:r w:rsidRPr="00A67CD6">
        <w:rPr>
          <w:rFonts w:eastAsia="Calibri"/>
          <w:szCs w:val="22"/>
          <w:lang w:bidi="ar-SA"/>
        </w:rPr>
        <w:t xml:space="preserve"> of dietary vitamin D </w:t>
      </w:r>
      <w:r>
        <w:rPr>
          <w:rFonts w:eastAsia="Calibri"/>
          <w:szCs w:val="22"/>
          <w:lang w:bidi="ar-SA"/>
        </w:rPr>
        <w:t xml:space="preserve">and that derived from sun exposure combined. </w:t>
      </w:r>
      <w:r w:rsidR="003B5D42">
        <w:rPr>
          <w:rFonts w:eastAsia="Calibri"/>
          <w:szCs w:val="22"/>
          <w:lang w:bidi="ar-SA"/>
        </w:rPr>
        <w:t>Cut-off values for s</w:t>
      </w:r>
      <w:r>
        <w:rPr>
          <w:rFonts w:eastAsia="Calibri"/>
          <w:szCs w:val="22"/>
          <w:lang w:bidi="ar-SA"/>
        </w:rPr>
        <w:t xml:space="preserve">erum 25OHD concentrations </w:t>
      </w:r>
      <w:r w:rsidR="003B5D42">
        <w:rPr>
          <w:rFonts w:eastAsia="Calibri"/>
          <w:szCs w:val="22"/>
          <w:lang w:bidi="ar-SA"/>
        </w:rPr>
        <w:t xml:space="preserve">that are </w:t>
      </w:r>
      <w:r>
        <w:rPr>
          <w:rFonts w:eastAsia="Calibri"/>
          <w:szCs w:val="22"/>
          <w:lang w:bidi="ar-SA"/>
        </w:rPr>
        <w:t>associated with risk of adverse effects or disease, both h</w:t>
      </w:r>
      <w:r w:rsidR="007B2A2E">
        <w:rPr>
          <w:rFonts w:eastAsia="Calibri"/>
          <w:szCs w:val="22"/>
          <w:lang w:bidi="ar-SA"/>
        </w:rPr>
        <w:t>igh and low concentrations, are</w:t>
      </w:r>
      <w:r>
        <w:rPr>
          <w:rFonts w:eastAsia="Calibri"/>
          <w:szCs w:val="22"/>
          <w:lang w:bidi="ar-SA"/>
        </w:rPr>
        <w:t xml:space="preserve"> an area of current research. </w:t>
      </w:r>
    </w:p>
    <w:p w14:paraId="25B5D560" w14:textId="77777777" w:rsidR="00DD5C9C" w:rsidRDefault="00DD5C9C" w:rsidP="003B5D42">
      <w:pPr>
        <w:rPr>
          <w:rFonts w:eastAsia="Calibri"/>
          <w:szCs w:val="22"/>
          <w:lang w:bidi="ar-SA"/>
        </w:rPr>
      </w:pPr>
    </w:p>
    <w:p w14:paraId="21CDB293" w14:textId="77777777" w:rsidR="00E262C6" w:rsidRDefault="00DD5C9C" w:rsidP="003B5D42">
      <w:pPr>
        <w:rPr>
          <w:rFonts w:eastAsia="Calibri"/>
          <w:szCs w:val="22"/>
          <w:lang w:bidi="ar-SA"/>
        </w:rPr>
      </w:pPr>
      <w:r w:rsidRPr="009E7A3E">
        <w:rPr>
          <w:rFonts w:eastAsia="Calibri"/>
          <w:szCs w:val="22"/>
          <w:lang w:bidi="ar-SA"/>
        </w:rPr>
        <w:t xml:space="preserve">Vitamin D requires no digestion and is absorbed in the intestine in association with fat and bile salts. As breakfast </w:t>
      </w:r>
      <w:r>
        <w:rPr>
          <w:rFonts w:eastAsia="Calibri"/>
          <w:szCs w:val="22"/>
          <w:lang w:bidi="ar-SA"/>
        </w:rPr>
        <w:t>cereal</w:t>
      </w:r>
      <w:r w:rsidRPr="009E7A3E">
        <w:rPr>
          <w:rFonts w:eastAsia="Calibri"/>
          <w:szCs w:val="22"/>
          <w:lang w:bidi="ar-SA"/>
        </w:rPr>
        <w:t xml:space="preserve"> conta</w:t>
      </w:r>
      <w:r>
        <w:rPr>
          <w:rFonts w:eastAsia="Calibri"/>
          <w:szCs w:val="22"/>
          <w:lang w:bidi="ar-SA"/>
        </w:rPr>
        <w:t>ins between 1</w:t>
      </w:r>
      <w:r w:rsidRPr="00166C9C">
        <w:rPr>
          <w:rFonts w:eastAsia="Calibri"/>
          <w:szCs w:val="22"/>
          <w:lang w:bidi="ar-SA"/>
        </w:rPr>
        <w:t>–</w:t>
      </w:r>
      <w:r>
        <w:rPr>
          <w:rFonts w:eastAsia="Calibri"/>
          <w:szCs w:val="22"/>
          <w:lang w:bidi="ar-SA"/>
        </w:rPr>
        <w:t xml:space="preserve">5 </w:t>
      </w:r>
      <w:r w:rsidRPr="009E7A3E">
        <w:rPr>
          <w:rFonts w:eastAsia="Calibri"/>
          <w:szCs w:val="22"/>
          <w:lang w:bidi="ar-SA"/>
        </w:rPr>
        <w:t xml:space="preserve">g fat /100 g, consumption of vitamin D-fortified cereal with or without milk is likely to be absorbed with comparable efficacy. </w:t>
      </w:r>
      <w:r w:rsidR="00E262C6">
        <w:rPr>
          <w:rFonts w:eastAsia="Calibri"/>
          <w:szCs w:val="22"/>
          <w:lang w:bidi="ar-SA"/>
        </w:rPr>
        <w:br w:type="page"/>
      </w:r>
    </w:p>
    <w:p w14:paraId="25B5D561" w14:textId="3E78226E" w:rsidR="00DD5C9C" w:rsidRPr="009E7A3E" w:rsidRDefault="00DD5C9C" w:rsidP="003B5D42">
      <w:pPr>
        <w:rPr>
          <w:rFonts w:eastAsia="Calibri"/>
          <w:szCs w:val="22"/>
          <w:lang w:bidi="ar-SA"/>
        </w:rPr>
      </w:pPr>
      <w:r>
        <w:rPr>
          <w:rFonts w:eastAsia="Calibri"/>
          <w:szCs w:val="22"/>
          <w:lang w:bidi="ar-SA"/>
        </w:rPr>
        <w:lastRenderedPageBreak/>
        <w:t xml:space="preserve">Vitamin </w:t>
      </w:r>
      <w:r w:rsidRPr="009E7A3E">
        <w:rPr>
          <w:rFonts w:eastAsia="Calibri"/>
          <w:szCs w:val="22"/>
          <w:lang w:bidi="ar-SA"/>
        </w:rPr>
        <w:t>D</w:t>
      </w:r>
      <w:r w:rsidRPr="009E7A3E">
        <w:rPr>
          <w:rFonts w:eastAsia="Calibri"/>
          <w:szCs w:val="22"/>
          <w:vertAlign w:val="subscript"/>
          <w:lang w:bidi="ar-SA"/>
        </w:rPr>
        <w:t>2</w:t>
      </w:r>
      <w:r w:rsidRPr="009E7A3E">
        <w:rPr>
          <w:rFonts w:eastAsia="Calibri"/>
          <w:szCs w:val="22"/>
          <w:lang w:bidi="ar-SA"/>
        </w:rPr>
        <w:t xml:space="preserve"> </w:t>
      </w:r>
      <w:r>
        <w:rPr>
          <w:rFonts w:eastAsia="Calibri"/>
          <w:szCs w:val="22"/>
          <w:lang w:bidi="ar-SA"/>
        </w:rPr>
        <w:t>and</w:t>
      </w:r>
      <w:r w:rsidRPr="009E7A3E">
        <w:rPr>
          <w:rFonts w:eastAsia="Calibri"/>
          <w:szCs w:val="22"/>
          <w:lang w:bidi="ar-SA"/>
        </w:rPr>
        <w:t xml:space="preserve"> D</w:t>
      </w:r>
      <w:r w:rsidRPr="009E7A3E">
        <w:rPr>
          <w:rFonts w:eastAsia="Calibri"/>
          <w:szCs w:val="22"/>
          <w:vertAlign w:val="subscript"/>
          <w:lang w:bidi="ar-SA"/>
        </w:rPr>
        <w:t>3</w:t>
      </w:r>
      <w:r>
        <w:rPr>
          <w:rFonts w:eastAsia="Calibri"/>
          <w:szCs w:val="22"/>
          <w:vertAlign w:val="subscript"/>
          <w:lang w:bidi="ar-SA"/>
        </w:rPr>
        <w:t xml:space="preserve"> </w:t>
      </w:r>
      <w:r w:rsidRPr="009E7A3E">
        <w:rPr>
          <w:rFonts w:eastAsia="Calibri"/>
          <w:szCs w:val="22"/>
          <w:lang w:bidi="ar-SA"/>
        </w:rPr>
        <w:t xml:space="preserve">are </w:t>
      </w:r>
      <w:r>
        <w:rPr>
          <w:rFonts w:eastAsia="Calibri"/>
          <w:szCs w:val="22"/>
          <w:lang w:bidi="ar-SA"/>
        </w:rPr>
        <w:t xml:space="preserve">considered to be </w:t>
      </w:r>
      <w:r w:rsidRPr="009E7A3E">
        <w:rPr>
          <w:rFonts w:eastAsia="Calibri"/>
          <w:szCs w:val="22"/>
          <w:lang w:bidi="ar-SA"/>
        </w:rPr>
        <w:t xml:space="preserve">equally effective in raising serum 25OHD concentration up to </w:t>
      </w:r>
      <w:r>
        <w:rPr>
          <w:rFonts w:eastAsia="Calibri"/>
          <w:szCs w:val="22"/>
          <w:lang w:bidi="ar-SA"/>
        </w:rPr>
        <w:t xml:space="preserve">intake </w:t>
      </w:r>
      <w:r w:rsidRPr="009E7A3E">
        <w:rPr>
          <w:rFonts w:eastAsia="Calibri"/>
          <w:szCs w:val="22"/>
          <w:lang w:bidi="ar-SA"/>
        </w:rPr>
        <w:t>levels of 25 µg/day</w:t>
      </w:r>
      <w:r>
        <w:rPr>
          <w:rFonts w:eastAsia="Calibri"/>
          <w:szCs w:val="22"/>
          <w:lang w:bidi="ar-SA"/>
        </w:rPr>
        <w:t xml:space="preserve"> </w:t>
      </w:r>
      <w:r w:rsidRPr="009E7A3E">
        <w:rPr>
          <w:rFonts w:eastAsia="Calibri"/>
          <w:szCs w:val="22"/>
          <w:lang w:bidi="ar-SA"/>
        </w:rPr>
        <w:t xml:space="preserve">when present in fortified foods </w:t>
      </w:r>
      <w:r>
        <w:rPr>
          <w:rFonts w:eastAsia="Calibri"/>
          <w:szCs w:val="22"/>
          <w:lang w:bidi="ar-SA"/>
        </w:rPr>
        <w:t>and therefore the two forms were considered to have equivalent potency in this assessment</w:t>
      </w:r>
      <w:r w:rsidRPr="009E7A3E">
        <w:rPr>
          <w:rFonts w:eastAsia="Calibri"/>
          <w:szCs w:val="22"/>
          <w:lang w:bidi="ar-SA"/>
        </w:rPr>
        <w:t xml:space="preserve">. </w:t>
      </w:r>
    </w:p>
    <w:p w14:paraId="25B5D562" w14:textId="77777777" w:rsidR="00DD5C9C" w:rsidRPr="00C82B52" w:rsidRDefault="00DD5C9C" w:rsidP="003B5D42">
      <w:pPr>
        <w:rPr>
          <w:rFonts w:eastAsia="Calibri"/>
          <w:i/>
          <w:szCs w:val="22"/>
          <w:lang w:bidi="ar-SA"/>
        </w:rPr>
      </w:pPr>
      <w:r w:rsidRPr="00C82B52">
        <w:rPr>
          <w:rFonts w:eastAsia="Calibri"/>
          <w:i/>
          <w:szCs w:val="22"/>
          <w:lang w:bidi="ar-SA"/>
        </w:rPr>
        <w:t>Selection of criteria and assessment of national vitamin D status</w:t>
      </w:r>
    </w:p>
    <w:p w14:paraId="25B5D563" w14:textId="77777777" w:rsidR="00DD5C9C" w:rsidRDefault="00DD5C9C" w:rsidP="003B5D42">
      <w:pPr>
        <w:rPr>
          <w:rFonts w:eastAsia="Calibri"/>
          <w:szCs w:val="22"/>
          <w:lang w:bidi="ar-SA"/>
        </w:rPr>
      </w:pPr>
    </w:p>
    <w:p w14:paraId="25B5D564" w14:textId="77777777" w:rsidR="00DD5C9C" w:rsidRDefault="00DD5C9C" w:rsidP="003B5D42">
      <w:pPr>
        <w:rPr>
          <w:rFonts w:eastAsia="Calibri"/>
          <w:szCs w:val="22"/>
          <w:lang w:bidi="ar-SA"/>
        </w:rPr>
      </w:pPr>
      <w:r>
        <w:rPr>
          <w:rFonts w:eastAsia="Calibri"/>
          <w:szCs w:val="22"/>
          <w:lang w:bidi="ar-SA"/>
        </w:rPr>
        <w:t>For inadequate vitamin D status, s</w:t>
      </w:r>
      <w:r w:rsidRPr="00A67CD6">
        <w:rPr>
          <w:rFonts w:eastAsia="Calibri"/>
          <w:szCs w:val="22"/>
          <w:lang w:bidi="ar-SA"/>
        </w:rPr>
        <w:t>erum</w:t>
      </w:r>
      <w:r>
        <w:rPr>
          <w:rFonts w:eastAsia="Calibri"/>
          <w:szCs w:val="22"/>
          <w:lang w:bidi="ar-SA"/>
        </w:rPr>
        <w:t xml:space="preserve"> 25OHD concentrations</w:t>
      </w:r>
      <w:r w:rsidRPr="00A67CD6">
        <w:rPr>
          <w:rFonts w:eastAsia="Calibri"/>
          <w:szCs w:val="22"/>
          <w:lang w:bidi="ar-SA"/>
        </w:rPr>
        <w:t xml:space="preserve"> of 30 nM or less are </w:t>
      </w:r>
      <w:r>
        <w:rPr>
          <w:rFonts w:eastAsia="Calibri"/>
          <w:szCs w:val="22"/>
          <w:lang w:bidi="ar-SA"/>
        </w:rPr>
        <w:t>clearly associated with</w:t>
      </w:r>
      <w:r w:rsidRPr="00A67CD6">
        <w:rPr>
          <w:rFonts w:eastAsia="Calibri"/>
          <w:szCs w:val="22"/>
          <w:lang w:bidi="ar-SA"/>
        </w:rPr>
        <w:t xml:space="preserve"> increased risk of bone disease such as rickets and osteomalacia. </w:t>
      </w:r>
      <w:r>
        <w:rPr>
          <w:rFonts w:eastAsia="Calibri"/>
          <w:szCs w:val="22"/>
          <w:lang w:bidi="ar-SA"/>
        </w:rPr>
        <w:t>There is debate about potential inadequacy associated with serum 25OHD concentrations above this value, in part due to problems with assays that over- or under-estimate serum 25OHD concentration.</w:t>
      </w:r>
      <w:r w:rsidRPr="003742D0">
        <w:rPr>
          <w:b/>
        </w:rPr>
        <w:t xml:space="preserve"> </w:t>
      </w:r>
      <w:r w:rsidRPr="000008DE">
        <w:t xml:space="preserve">FSANZ adopted the recent </w:t>
      </w:r>
      <w:r>
        <w:t xml:space="preserve">US </w:t>
      </w:r>
      <w:r w:rsidRPr="00A67CD6">
        <w:rPr>
          <w:rFonts w:eastAsia="Calibri"/>
          <w:szCs w:val="22"/>
          <w:lang w:bidi="ar-SA"/>
        </w:rPr>
        <w:t>I</w:t>
      </w:r>
      <w:r>
        <w:rPr>
          <w:rFonts w:eastAsia="Calibri"/>
          <w:szCs w:val="22"/>
          <w:lang w:bidi="ar-SA"/>
        </w:rPr>
        <w:t>nstitute of Medicine (</w:t>
      </w:r>
      <w:r w:rsidRPr="000008DE">
        <w:t>IOM</w:t>
      </w:r>
      <w:r>
        <w:t>)</w:t>
      </w:r>
      <w:r w:rsidRPr="000008DE">
        <w:t xml:space="preserve"> view that 40 nM repres</w:t>
      </w:r>
      <w:r>
        <w:t>e</w:t>
      </w:r>
      <w:r w:rsidRPr="000008DE">
        <w:t xml:space="preserve">nts the average requirement. Therefore, by analogy with the usual FSANZ </w:t>
      </w:r>
      <w:r>
        <w:t xml:space="preserve">nutrient intake assessment </w:t>
      </w:r>
      <w:r w:rsidRPr="000008DE">
        <w:t xml:space="preserve">procedures (the </w:t>
      </w:r>
      <w:r w:rsidRPr="000008DE">
        <w:rPr>
          <w:rFonts w:eastAsia="Calibri"/>
          <w:szCs w:val="22"/>
          <w:lang w:bidi="ar-SA"/>
        </w:rPr>
        <w:t xml:space="preserve">Estimated Average Requirement (EAR) </w:t>
      </w:r>
      <w:r>
        <w:rPr>
          <w:rFonts w:eastAsia="Calibri"/>
          <w:szCs w:val="22"/>
          <w:lang w:bidi="ar-SA"/>
        </w:rPr>
        <w:t xml:space="preserve">Cut Point </w:t>
      </w:r>
      <w:r w:rsidRPr="000008DE">
        <w:rPr>
          <w:rFonts w:eastAsia="Calibri"/>
          <w:szCs w:val="22"/>
          <w:lang w:bidi="ar-SA"/>
        </w:rPr>
        <w:t>method)</w:t>
      </w:r>
      <w:r w:rsidRPr="000008DE">
        <w:t>, the proportion of the population with serum 25OHD &lt; 40 nM provide</w:t>
      </w:r>
      <w:r>
        <w:t>d</w:t>
      </w:r>
      <w:r w:rsidRPr="000008DE">
        <w:t xml:space="preserve"> an</w:t>
      </w:r>
      <w:r>
        <w:rPr>
          <w:b/>
        </w:rPr>
        <w:t xml:space="preserve"> </w:t>
      </w:r>
      <w:r w:rsidRPr="003742D0">
        <w:rPr>
          <w:rFonts w:eastAsia="Calibri"/>
          <w:szCs w:val="22"/>
          <w:lang w:bidi="ar-SA"/>
        </w:rPr>
        <w:t xml:space="preserve">estimate </w:t>
      </w:r>
      <w:r>
        <w:rPr>
          <w:rFonts w:eastAsia="Calibri"/>
          <w:szCs w:val="22"/>
          <w:lang w:bidi="ar-SA"/>
        </w:rPr>
        <w:t xml:space="preserve">of </w:t>
      </w:r>
      <w:r w:rsidRPr="003742D0">
        <w:rPr>
          <w:rFonts w:eastAsia="Calibri"/>
          <w:szCs w:val="22"/>
          <w:lang w:bidi="ar-SA"/>
        </w:rPr>
        <w:t xml:space="preserve">the prevalence of inadequate 25OHD concentrations in the </w:t>
      </w:r>
      <w:r>
        <w:rPr>
          <w:rFonts w:eastAsia="Calibri"/>
          <w:szCs w:val="22"/>
          <w:lang w:bidi="ar-SA"/>
        </w:rPr>
        <w:t>ANZ</w:t>
      </w:r>
      <w:r w:rsidRPr="003742D0">
        <w:rPr>
          <w:rFonts w:eastAsia="Calibri"/>
          <w:szCs w:val="22"/>
          <w:lang w:bidi="ar-SA"/>
        </w:rPr>
        <w:t xml:space="preserve"> populations</w:t>
      </w:r>
      <w:r>
        <w:rPr>
          <w:rFonts w:eastAsia="Calibri"/>
          <w:szCs w:val="22"/>
          <w:lang w:bidi="ar-SA"/>
        </w:rPr>
        <w:t xml:space="preserve">. </w:t>
      </w:r>
    </w:p>
    <w:p w14:paraId="25B5D565" w14:textId="77777777" w:rsidR="00DD5C9C" w:rsidRDefault="00DD5C9C" w:rsidP="003B5D42">
      <w:pPr>
        <w:rPr>
          <w:rFonts w:eastAsia="Calibri"/>
          <w:szCs w:val="22"/>
          <w:lang w:bidi="ar-SA"/>
        </w:rPr>
      </w:pPr>
    </w:p>
    <w:p w14:paraId="25B5D566" w14:textId="77777777" w:rsidR="00DD5C9C" w:rsidRDefault="00DD5C9C" w:rsidP="003B5D42">
      <w:pPr>
        <w:rPr>
          <w:rFonts w:eastAsia="Calibri"/>
          <w:szCs w:val="22"/>
          <w:lang w:bidi="ar-SA"/>
        </w:rPr>
      </w:pPr>
      <w:r>
        <w:rPr>
          <w:rFonts w:eastAsia="Calibri"/>
          <w:szCs w:val="22"/>
          <w:lang w:bidi="ar-SA"/>
        </w:rPr>
        <w:t>UV-B exposure gives rise to m</w:t>
      </w:r>
      <w:r w:rsidRPr="00A67CD6">
        <w:rPr>
          <w:rFonts w:eastAsia="Calibri"/>
          <w:szCs w:val="22"/>
          <w:lang w:bidi="ar-SA"/>
        </w:rPr>
        <w:t>axim</w:t>
      </w:r>
      <w:r>
        <w:rPr>
          <w:rFonts w:eastAsia="Calibri"/>
          <w:szCs w:val="22"/>
          <w:lang w:bidi="ar-SA"/>
        </w:rPr>
        <w:t xml:space="preserve">al </w:t>
      </w:r>
      <w:r w:rsidRPr="00A67CD6">
        <w:rPr>
          <w:rFonts w:eastAsia="Calibri"/>
          <w:szCs w:val="22"/>
          <w:lang w:bidi="ar-SA"/>
        </w:rPr>
        <w:t xml:space="preserve">serum 25OHD concentration </w:t>
      </w:r>
      <w:r>
        <w:rPr>
          <w:rFonts w:eastAsia="Calibri"/>
          <w:szCs w:val="22"/>
          <w:lang w:bidi="ar-SA"/>
        </w:rPr>
        <w:t>in the range of 120</w:t>
      </w:r>
      <w:r w:rsidRPr="00166C9C">
        <w:rPr>
          <w:rFonts w:eastAsia="Calibri"/>
          <w:szCs w:val="22"/>
          <w:lang w:bidi="ar-SA"/>
        </w:rPr>
        <w:t>–</w:t>
      </w:r>
      <w:r>
        <w:rPr>
          <w:rFonts w:eastAsia="Calibri"/>
          <w:szCs w:val="22"/>
          <w:lang w:bidi="ar-SA"/>
        </w:rPr>
        <w:t xml:space="preserve">160 nM. This range can be considered an upper physiological limit because, unlike orally consumed vitamin D, continued UV-B exposure degrades </w:t>
      </w:r>
      <w:r w:rsidRPr="00A67CD6">
        <w:rPr>
          <w:rFonts w:eastAsia="Calibri"/>
          <w:szCs w:val="22"/>
          <w:lang w:bidi="ar-SA"/>
        </w:rPr>
        <w:t>D</w:t>
      </w:r>
      <w:r w:rsidRPr="0003328D">
        <w:rPr>
          <w:rFonts w:eastAsia="Calibri"/>
          <w:szCs w:val="22"/>
          <w:vertAlign w:val="subscript"/>
          <w:lang w:bidi="ar-SA"/>
        </w:rPr>
        <w:t>3</w:t>
      </w:r>
      <w:r w:rsidRPr="00A67CD6">
        <w:rPr>
          <w:rFonts w:eastAsia="Calibri"/>
          <w:szCs w:val="22"/>
          <w:lang w:bidi="ar-SA"/>
        </w:rPr>
        <w:t xml:space="preserve"> (and its precursor) </w:t>
      </w:r>
      <w:r>
        <w:rPr>
          <w:rFonts w:eastAsia="Calibri"/>
          <w:szCs w:val="22"/>
          <w:lang w:bidi="ar-SA"/>
        </w:rPr>
        <w:t>in the skin to inert isomers. Very high oral doses (</w:t>
      </w:r>
      <w:r w:rsidRPr="00FC7166">
        <w:rPr>
          <w:rFonts w:eastAsia="Calibri"/>
          <w:szCs w:val="22"/>
          <w:lang w:bidi="ar-SA"/>
        </w:rPr>
        <w:t xml:space="preserve">i.e. &gt; 250 µg/day </w:t>
      </w:r>
      <w:r>
        <w:rPr>
          <w:rFonts w:eastAsia="Calibri"/>
          <w:szCs w:val="22"/>
          <w:lang w:bidi="ar-SA"/>
        </w:rPr>
        <w:t xml:space="preserve">only </w:t>
      </w:r>
      <w:r w:rsidRPr="00FC7166">
        <w:rPr>
          <w:rFonts w:eastAsia="Calibri"/>
          <w:szCs w:val="22"/>
          <w:lang w:bidi="ar-SA"/>
        </w:rPr>
        <w:t>as a vitamin D supplement</w:t>
      </w:r>
      <w:r>
        <w:rPr>
          <w:rFonts w:eastAsia="Calibri"/>
          <w:szCs w:val="22"/>
          <w:lang w:bidi="ar-SA"/>
        </w:rPr>
        <w:t xml:space="preserve">) gives rise to serum 25OHD </w:t>
      </w:r>
      <w:r w:rsidRPr="00A67CD6">
        <w:rPr>
          <w:rFonts w:eastAsia="Calibri"/>
          <w:szCs w:val="22"/>
          <w:lang w:bidi="ar-SA"/>
        </w:rPr>
        <w:t>co</w:t>
      </w:r>
      <w:r>
        <w:rPr>
          <w:rFonts w:eastAsia="Calibri"/>
          <w:szCs w:val="22"/>
          <w:lang w:bidi="ar-SA"/>
        </w:rPr>
        <w:t>ncentrations in the range of 220</w:t>
      </w:r>
      <w:r w:rsidRPr="00FF7851">
        <w:rPr>
          <w:rFonts w:eastAsia="Calibri"/>
          <w:szCs w:val="22"/>
          <w:lang w:bidi="ar-SA"/>
        </w:rPr>
        <w:t>–</w:t>
      </w:r>
      <w:r>
        <w:rPr>
          <w:rFonts w:eastAsia="Calibri"/>
          <w:szCs w:val="22"/>
          <w:lang w:bidi="ar-SA"/>
        </w:rPr>
        <w:t>700 nM</w:t>
      </w:r>
      <w:r w:rsidRPr="00A67CD6">
        <w:rPr>
          <w:rFonts w:eastAsia="Calibri"/>
          <w:szCs w:val="22"/>
          <w:lang w:bidi="ar-SA"/>
        </w:rPr>
        <w:t xml:space="preserve"> and</w:t>
      </w:r>
      <w:r>
        <w:rPr>
          <w:rFonts w:eastAsia="Calibri"/>
          <w:szCs w:val="22"/>
          <w:lang w:bidi="ar-SA"/>
        </w:rPr>
        <w:t xml:space="preserve"> are</w:t>
      </w:r>
      <w:r w:rsidRPr="00A67CD6">
        <w:rPr>
          <w:rFonts w:eastAsia="Calibri"/>
          <w:szCs w:val="22"/>
          <w:lang w:bidi="ar-SA"/>
        </w:rPr>
        <w:t xml:space="preserve"> associated </w:t>
      </w:r>
      <w:r>
        <w:rPr>
          <w:rFonts w:eastAsia="Calibri"/>
          <w:szCs w:val="22"/>
          <w:lang w:bidi="ar-SA"/>
        </w:rPr>
        <w:t xml:space="preserve">with </w:t>
      </w:r>
      <w:r w:rsidRPr="00A67CD6">
        <w:rPr>
          <w:rFonts w:eastAsia="Calibri"/>
          <w:szCs w:val="22"/>
          <w:lang w:bidi="ar-SA"/>
        </w:rPr>
        <w:t>adverse health effects related to calcium regulation</w:t>
      </w:r>
      <w:r>
        <w:rPr>
          <w:rFonts w:eastAsia="Calibri"/>
          <w:szCs w:val="22"/>
          <w:lang w:bidi="ar-SA"/>
        </w:rPr>
        <w:t>. The m</w:t>
      </w:r>
      <w:r w:rsidRPr="00A67CD6">
        <w:rPr>
          <w:rFonts w:eastAsia="Calibri"/>
          <w:szCs w:val="22"/>
          <w:lang w:bidi="ar-SA"/>
        </w:rPr>
        <w:t>oderately high serum 25OHD</w:t>
      </w:r>
      <w:r>
        <w:rPr>
          <w:rFonts w:eastAsia="Calibri"/>
          <w:szCs w:val="22"/>
          <w:lang w:bidi="ar-SA"/>
        </w:rPr>
        <w:t xml:space="preserve"> concentration,</w:t>
      </w:r>
      <w:r w:rsidRPr="00A67CD6">
        <w:rPr>
          <w:rFonts w:eastAsia="Calibri"/>
          <w:szCs w:val="22"/>
          <w:lang w:bidi="ar-SA"/>
        </w:rPr>
        <w:t xml:space="preserve"> that is</w:t>
      </w:r>
      <w:r>
        <w:rPr>
          <w:rFonts w:eastAsia="Calibri"/>
          <w:szCs w:val="22"/>
          <w:lang w:bidi="ar-SA"/>
        </w:rPr>
        <w:t>, in the range 120</w:t>
      </w:r>
      <w:r w:rsidRPr="00FF7851">
        <w:rPr>
          <w:rFonts w:eastAsia="Calibri"/>
          <w:szCs w:val="22"/>
          <w:lang w:bidi="ar-SA"/>
        </w:rPr>
        <w:t>–</w:t>
      </w:r>
      <w:r>
        <w:rPr>
          <w:rFonts w:eastAsia="Calibri"/>
          <w:szCs w:val="22"/>
          <w:lang w:bidi="ar-SA"/>
        </w:rPr>
        <w:t>220</w:t>
      </w:r>
      <w:r w:rsidRPr="00A67CD6">
        <w:rPr>
          <w:rFonts w:eastAsia="Calibri"/>
          <w:szCs w:val="22"/>
          <w:lang w:bidi="ar-SA"/>
        </w:rPr>
        <w:t xml:space="preserve"> nM</w:t>
      </w:r>
      <w:r>
        <w:rPr>
          <w:rFonts w:eastAsia="Calibri"/>
          <w:szCs w:val="22"/>
          <w:lang w:bidi="ar-SA"/>
        </w:rPr>
        <w:t>,</w:t>
      </w:r>
      <w:r w:rsidRPr="00A67CD6">
        <w:rPr>
          <w:rFonts w:eastAsia="Calibri"/>
          <w:szCs w:val="22"/>
          <w:lang w:bidi="ar-SA"/>
        </w:rPr>
        <w:t xml:space="preserve"> ha</w:t>
      </w:r>
      <w:r>
        <w:rPr>
          <w:rFonts w:eastAsia="Calibri"/>
          <w:szCs w:val="22"/>
          <w:lang w:bidi="ar-SA"/>
        </w:rPr>
        <w:t>s</w:t>
      </w:r>
      <w:r w:rsidRPr="00A67CD6">
        <w:rPr>
          <w:rFonts w:eastAsia="Calibri"/>
          <w:szCs w:val="22"/>
          <w:lang w:bidi="ar-SA"/>
        </w:rPr>
        <w:t xml:space="preserve"> been proposed to be linked to </w:t>
      </w:r>
      <w:r>
        <w:rPr>
          <w:rFonts w:eastAsia="Calibri"/>
          <w:szCs w:val="22"/>
          <w:lang w:bidi="ar-SA"/>
        </w:rPr>
        <w:t xml:space="preserve">other long term </w:t>
      </w:r>
      <w:r w:rsidRPr="00A67CD6">
        <w:rPr>
          <w:rFonts w:eastAsia="Calibri"/>
          <w:szCs w:val="22"/>
          <w:lang w:bidi="ar-SA"/>
        </w:rPr>
        <w:t xml:space="preserve">adverse health outcomes </w:t>
      </w:r>
      <w:r>
        <w:rPr>
          <w:rFonts w:eastAsia="Calibri"/>
          <w:szCs w:val="22"/>
          <w:lang w:bidi="ar-SA"/>
        </w:rPr>
        <w:t xml:space="preserve">(e.g. </w:t>
      </w:r>
      <w:r w:rsidRPr="00014BE4">
        <w:rPr>
          <w:rFonts w:eastAsia="Calibri"/>
          <w:szCs w:val="22"/>
          <w:lang w:bidi="ar-SA"/>
        </w:rPr>
        <w:t>cardiovascular disease</w:t>
      </w:r>
      <w:r>
        <w:rPr>
          <w:rFonts w:eastAsia="Calibri"/>
          <w:szCs w:val="22"/>
          <w:lang w:bidi="ar-SA"/>
        </w:rPr>
        <w:t>)</w:t>
      </w:r>
      <w:r w:rsidRPr="00A67CD6">
        <w:rPr>
          <w:rFonts w:eastAsia="Calibri"/>
          <w:szCs w:val="22"/>
          <w:lang w:bidi="ar-SA"/>
        </w:rPr>
        <w:t xml:space="preserve"> but</w:t>
      </w:r>
      <w:r>
        <w:rPr>
          <w:rFonts w:eastAsia="Calibri"/>
          <w:szCs w:val="22"/>
          <w:lang w:bidi="ar-SA"/>
        </w:rPr>
        <w:t xml:space="preserve"> results of studies are variable.</w:t>
      </w:r>
      <w:r w:rsidRPr="00A67CD6">
        <w:rPr>
          <w:rFonts w:eastAsia="Calibri"/>
          <w:szCs w:val="22"/>
          <w:lang w:bidi="ar-SA"/>
        </w:rPr>
        <w:t xml:space="preserve"> Because of this uncertainty, the recent vitamin D review published by the </w:t>
      </w:r>
      <w:r>
        <w:rPr>
          <w:rFonts w:eastAsia="Calibri"/>
          <w:szCs w:val="22"/>
          <w:lang w:bidi="ar-SA"/>
        </w:rPr>
        <w:t xml:space="preserve">IOM </w:t>
      </w:r>
      <w:r w:rsidRPr="00A67CD6">
        <w:rPr>
          <w:rFonts w:eastAsia="Calibri"/>
          <w:szCs w:val="22"/>
          <w:lang w:bidi="ar-SA"/>
        </w:rPr>
        <w:t xml:space="preserve">concluded that serum 25OHD concentrations in the range </w:t>
      </w:r>
      <w:r>
        <w:rPr>
          <w:rFonts w:eastAsia="Calibri"/>
          <w:szCs w:val="22"/>
          <w:lang w:bidi="ar-SA"/>
        </w:rPr>
        <w:t xml:space="preserve">125–150 </w:t>
      </w:r>
      <w:r w:rsidRPr="00A67CD6">
        <w:rPr>
          <w:rFonts w:eastAsia="Calibri"/>
          <w:szCs w:val="22"/>
          <w:lang w:bidi="ar-SA"/>
        </w:rPr>
        <w:t>nM would be of concern.</w:t>
      </w:r>
      <w:r>
        <w:rPr>
          <w:rFonts w:eastAsia="Calibri"/>
          <w:szCs w:val="22"/>
          <w:lang w:bidi="ar-SA"/>
        </w:rPr>
        <w:t xml:space="preserve"> Therefore, the prevalence of excess vitamin D was estimated in this assessment using the proportion of the population with serum 25OHD &gt; 125 nM.</w:t>
      </w:r>
    </w:p>
    <w:p w14:paraId="25B5D567" w14:textId="77777777" w:rsidR="00DD5C9C" w:rsidRDefault="00DD5C9C" w:rsidP="003B5D42">
      <w:pPr>
        <w:rPr>
          <w:rFonts w:eastAsia="Calibri"/>
          <w:szCs w:val="22"/>
          <w:lang w:bidi="ar-SA"/>
        </w:rPr>
      </w:pPr>
    </w:p>
    <w:p w14:paraId="25B5D568" w14:textId="77777777" w:rsidR="00DD5C9C" w:rsidRDefault="00DD5C9C" w:rsidP="003B5D42">
      <w:pPr>
        <w:rPr>
          <w:rFonts w:eastAsia="Calibri"/>
          <w:szCs w:val="22"/>
          <w:lang w:bidi="ar-SA"/>
        </w:rPr>
      </w:pPr>
      <w:r>
        <w:rPr>
          <w:rFonts w:eastAsia="Calibri"/>
          <w:szCs w:val="22"/>
          <w:lang w:bidi="ar-SA"/>
        </w:rPr>
        <w:t>The most recent n</w:t>
      </w:r>
      <w:r w:rsidRPr="0086677B">
        <w:rPr>
          <w:rFonts w:eastAsia="Calibri"/>
          <w:szCs w:val="22"/>
          <w:lang w:bidi="ar-SA"/>
        </w:rPr>
        <w:t xml:space="preserve">ational </w:t>
      </w:r>
      <w:r>
        <w:rPr>
          <w:rFonts w:eastAsia="Calibri"/>
          <w:szCs w:val="22"/>
          <w:lang w:bidi="ar-SA"/>
        </w:rPr>
        <w:t>biomedical</w:t>
      </w:r>
      <w:r w:rsidRPr="0086677B">
        <w:rPr>
          <w:rFonts w:eastAsia="Calibri"/>
          <w:szCs w:val="22"/>
          <w:lang w:bidi="ar-SA"/>
        </w:rPr>
        <w:t xml:space="preserve"> surveys for Australians aged 12 years and over, for New Zealand children aged </w:t>
      </w:r>
      <w:r>
        <w:rPr>
          <w:rFonts w:eastAsia="Calibri"/>
          <w:szCs w:val="22"/>
          <w:lang w:bidi="ar-SA"/>
        </w:rPr>
        <w:t>5–14 years</w:t>
      </w:r>
      <w:r w:rsidRPr="0086677B">
        <w:rPr>
          <w:rFonts w:eastAsia="Calibri"/>
          <w:szCs w:val="22"/>
          <w:lang w:bidi="ar-SA"/>
        </w:rPr>
        <w:t xml:space="preserve">, and New Zealand adults aged 15 years </w:t>
      </w:r>
      <w:r>
        <w:rPr>
          <w:rFonts w:eastAsia="Calibri"/>
          <w:szCs w:val="22"/>
          <w:lang w:bidi="ar-SA"/>
        </w:rPr>
        <w:t xml:space="preserve">were used to assess vitamin D status. These surveys reported that </w:t>
      </w:r>
      <w:r w:rsidRPr="000008DE">
        <w:rPr>
          <w:rFonts w:eastAsia="Calibri"/>
          <w:szCs w:val="22"/>
          <w:lang w:bidi="ar-SA"/>
        </w:rPr>
        <w:t xml:space="preserve">80% </w:t>
      </w:r>
      <w:r>
        <w:rPr>
          <w:rFonts w:eastAsia="Calibri"/>
          <w:szCs w:val="22"/>
          <w:lang w:bidi="ar-SA"/>
        </w:rPr>
        <w:t xml:space="preserve">or more of the </w:t>
      </w:r>
      <w:r w:rsidR="00B8400A">
        <w:rPr>
          <w:rFonts w:eastAsia="Calibri"/>
          <w:szCs w:val="22"/>
          <w:lang w:bidi="ar-SA"/>
        </w:rPr>
        <w:t xml:space="preserve">adult </w:t>
      </w:r>
      <w:r>
        <w:rPr>
          <w:rFonts w:eastAsia="Calibri"/>
          <w:szCs w:val="22"/>
          <w:lang w:bidi="ar-SA"/>
        </w:rPr>
        <w:t xml:space="preserve">population </w:t>
      </w:r>
      <w:r w:rsidRPr="000008DE">
        <w:rPr>
          <w:rFonts w:eastAsia="Calibri"/>
          <w:szCs w:val="22"/>
          <w:lang w:bidi="ar-SA"/>
        </w:rPr>
        <w:t>ha</w:t>
      </w:r>
      <w:r>
        <w:rPr>
          <w:rFonts w:eastAsia="Calibri"/>
          <w:szCs w:val="22"/>
          <w:lang w:bidi="ar-SA"/>
        </w:rPr>
        <w:t>d</w:t>
      </w:r>
      <w:r w:rsidRPr="000008DE">
        <w:rPr>
          <w:rFonts w:eastAsia="Calibri"/>
          <w:szCs w:val="22"/>
          <w:lang w:bidi="ar-SA"/>
        </w:rPr>
        <w:t xml:space="preserve"> adequate vitamin D status</w:t>
      </w:r>
      <w:r>
        <w:rPr>
          <w:rFonts w:eastAsia="Calibri"/>
          <w:szCs w:val="22"/>
          <w:lang w:bidi="ar-SA"/>
        </w:rPr>
        <w:t xml:space="preserve"> using a serum 25OHD concentration of 40 nM as a cut</w:t>
      </w:r>
      <w:r w:rsidR="002544DE">
        <w:rPr>
          <w:rFonts w:eastAsia="Calibri"/>
          <w:szCs w:val="22"/>
          <w:lang w:bidi="ar-SA"/>
        </w:rPr>
        <w:t>-off value</w:t>
      </w:r>
      <w:r>
        <w:rPr>
          <w:rFonts w:eastAsia="Calibri"/>
          <w:szCs w:val="22"/>
          <w:lang w:bidi="ar-SA"/>
        </w:rPr>
        <w:t xml:space="preserve">. </w:t>
      </w:r>
      <w:r w:rsidR="00B8400A">
        <w:rPr>
          <w:rFonts w:eastAsia="Calibri"/>
          <w:szCs w:val="22"/>
          <w:lang w:bidi="ar-SA"/>
        </w:rPr>
        <w:t xml:space="preserve">Prevalence of adequate status was lower (69%) in New Zealand children. </w:t>
      </w:r>
      <w:r>
        <w:rPr>
          <w:rFonts w:eastAsia="Calibri"/>
          <w:szCs w:val="22"/>
          <w:lang w:bidi="ar-SA"/>
        </w:rPr>
        <w:t>The</w:t>
      </w:r>
      <w:r w:rsidRPr="0086677B">
        <w:rPr>
          <w:rFonts w:eastAsia="Calibri"/>
          <w:szCs w:val="22"/>
          <w:lang w:bidi="ar-SA"/>
        </w:rPr>
        <w:t xml:space="preserve"> prevalence of low values </w:t>
      </w:r>
      <w:r>
        <w:rPr>
          <w:rFonts w:eastAsia="Calibri"/>
          <w:szCs w:val="22"/>
          <w:lang w:bidi="ar-SA"/>
        </w:rPr>
        <w:t>was</w:t>
      </w:r>
      <w:r w:rsidRPr="0086677B">
        <w:rPr>
          <w:rFonts w:eastAsia="Calibri"/>
          <w:szCs w:val="22"/>
          <w:lang w:bidi="ar-SA"/>
        </w:rPr>
        <w:t xml:space="preserve"> higher in winter than summer, varie</w:t>
      </w:r>
      <w:r>
        <w:rPr>
          <w:rFonts w:eastAsia="Calibri"/>
          <w:szCs w:val="22"/>
          <w:lang w:bidi="ar-SA"/>
        </w:rPr>
        <w:t>d</w:t>
      </w:r>
      <w:r w:rsidRPr="0086677B">
        <w:rPr>
          <w:rFonts w:eastAsia="Calibri"/>
          <w:szCs w:val="22"/>
          <w:lang w:bidi="ar-SA"/>
        </w:rPr>
        <w:t xml:space="preserve"> with region, and </w:t>
      </w:r>
      <w:r>
        <w:rPr>
          <w:rFonts w:eastAsia="Calibri"/>
          <w:szCs w:val="22"/>
          <w:lang w:bidi="ar-SA"/>
        </w:rPr>
        <w:t>was</w:t>
      </w:r>
      <w:r w:rsidRPr="0086677B">
        <w:rPr>
          <w:rFonts w:eastAsia="Calibri"/>
          <w:szCs w:val="22"/>
          <w:lang w:bidi="ar-SA"/>
        </w:rPr>
        <w:t xml:space="preserve"> more common in </w:t>
      </w:r>
      <w:r>
        <w:rPr>
          <w:rFonts w:eastAsia="Calibri"/>
          <w:szCs w:val="22"/>
          <w:lang w:bidi="ar-SA"/>
        </w:rPr>
        <w:t xml:space="preserve">indigenous and </w:t>
      </w:r>
      <w:r w:rsidRPr="0086677B">
        <w:rPr>
          <w:rFonts w:eastAsia="Calibri"/>
          <w:szCs w:val="22"/>
          <w:lang w:bidi="ar-SA"/>
        </w:rPr>
        <w:t>some migrant groups.</w:t>
      </w:r>
      <w:r>
        <w:rPr>
          <w:rFonts w:eastAsia="Calibri"/>
          <w:szCs w:val="22"/>
          <w:lang w:bidi="ar-SA"/>
        </w:rPr>
        <w:t xml:space="preserve"> The prevalence of Australians (aged 12 years and over) and New Zealand adults (aged 15 years and over) that had serum 25OHD &gt; 125 nM was about 2%.</w:t>
      </w:r>
    </w:p>
    <w:p w14:paraId="25B5D569" w14:textId="77777777" w:rsidR="00DD5C9C" w:rsidRDefault="00DD5C9C" w:rsidP="003B5D42">
      <w:pPr>
        <w:rPr>
          <w:rFonts w:eastAsia="Calibri"/>
          <w:szCs w:val="22"/>
          <w:lang w:bidi="ar-SA"/>
        </w:rPr>
      </w:pPr>
    </w:p>
    <w:p w14:paraId="25B5D56A" w14:textId="77777777" w:rsidR="00DD5C9C" w:rsidRPr="00932782" w:rsidRDefault="00DD5C9C" w:rsidP="003B5D42">
      <w:pPr>
        <w:rPr>
          <w:rFonts w:eastAsia="Calibri"/>
          <w:i/>
          <w:szCs w:val="22"/>
          <w:lang w:bidi="ar-SA"/>
        </w:rPr>
      </w:pPr>
      <w:r>
        <w:rPr>
          <w:rFonts w:eastAsia="Calibri"/>
          <w:i/>
          <w:szCs w:val="22"/>
          <w:lang w:bidi="ar-SA"/>
        </w:rPr>
        <w:t>E</w:t>
      </w:r>
      <w:r w:rsidRPr="00932782">
        <w:rPr>
          <w:rFonts w:eastAsia="Calibri"/>
          <w:i/>
          <w:szCs w:val="22"/>
          <w:lang w:bidi="ar-SA"/>
        </w:rPr>
        <w:t>ffect</w:t>
      </w:r>
      <w:r>
        <w:rPr>
          <w:rFonts w:eastAsia="Calibri"/>
          <w:i/>
          <w:szCs w:val="22"/>
          <w:lang w:bidi="ar-SA"/>
        </w:rPr>
        <w:t xml:space="preserve"> of </w:t>
      </w:r>
      <w:r w:rsidRPr="00932782">
        <w:rPr>
          <w:rFonts w:eastAsia="Calibri"/>
          <w:i/>
          <w:szCs w:val="22"/>
          <w:lang w:bidi="ar-SA"/>
        </w:rPr>
        <w:t xml:space="preserve">consumption of vitamin D-fortified </w:t>
      </w:r>
      <w:r>
        <w:rPr>
          <w:rFonts w:eastAsia="Calibri"/>
          <w:i/>
          <w:szCs w:val="22"/>
          <w:lang w:bidi="ar-SA"/>
        </w:rPr>
        <w:t xml:space="preserve">breakfast </w:t>
      </w:r>
      <w:r w:rsidR="00B8400A">
        <w:rPr>
          <w:rFonts w:eastAsia="Calibri"/>
          <w:i/>
          <w:szCs w:val="22"/>
          <w:lang w:bidi="ar-SA"/>
        </w:rPr>
        <w:t>cereal</w:t>
      </w:r>
    </w:p>
    <w:p w14:paraId="25B5D56B" w14:textId="77777777" w:rsidR="00DD5C9C" w:rsidRDefault="00DD5C9C" w:rsidP="003B5D42">
      <w:pPr>
        <w:rPr>
          <w:rFonts w:eastAsia="Calibri"/>
          <w:i/>
          <w:szCs w:val="22"/>
          <w:lang w:bidi="ar-SA"/>
        </w:rPr>
      </w:pPr>
    </w:p>
    <w:p w14:paraId="25B5D56C" w14:textId="77777777" w:rsidR="00DD5C9C" w:rsidRDefault="00DD5C9C" w:rsidP="003B5D42">
      <w:pPr>
        <w:rPr>
          <w:rFonts w:eastAsia="Calibri"/>
          <w:szCs w:val="22"/>
          <w:lang w:bidi="ar-SA"/>
        </w:rPr>
      </w:pPr>
      <w:r>
        <w:rPr>
          <w:rFonts w:eastAsia="Calibri"/>
          <w:szCs w:val="22"/>
          <w:lang w:bidi="ar-SA"/>
        </w:rPr>
        <w:t xml:space="preserve">Accurate food composition analyses for vitamin D </w:t>
      </w:r>
      <w:r>
        <w:rPr>
          <w:rFonts w:eastAsia="Calibri"/>
          <w:szCs w:val="22"/>
          <w:lang w:val="en-US" w:bidi="ar-SA"/>
        </w:rPr>
        <w:t xml:space="preserve">are limited. </w:t>
      </w:r>
      <w:r w:rsidRPr="00031C13">
        <w:rPr>
          <w:rFonts w:eastAsia="Calibri"/>
          <w:szCs w:val="22"/>
          <w:lang w:bidi="ar-SA"/>
        </w:rPr>
        <w:t xml:space="preserve">In addition, because </w:t>
      </w:r>
      <w:r>
        <w:rPr>
          <w:rFonts w:eastAsia="Calibri"/>
          <w:szCs w:val="22"/>
          <w:lang w:bidi="ar-SA"/>
        </w:rPr>
        <w:t xml:space="preserve">vitamin D metabolites are </w:t>
      </w:r>
      <w:r w:rsidRPr="00031C13">
        <w:rPr>
          <w:rFonts w:eastAsia="Calibri"/>
          <w:szCs w:val="22"/>
          <w:lang w:bidi="ar-SA"/>
        </w:rPr>
        <w:t>derived from both oral sources and sun exposure (which cannot be quanti</w:t>
      </w:r>
      <w:r>
        <w:rPr>
          <w:rFonts w:eastAsia="Calibri"/>
          <w:szCs w:val="22"/>
          <w:lang w:bidi="ar-SA"/>
        </w:rPr>
        <w:t>fied</w:t>
      </w:r>
      <w:r w:rsidRPr="00031C13">
        <w:rPr>
          <w:rFonts w:eastAsia="Calibri"/>
          <w:szCs w:val="22"/>
          <w:lang w:bidi="ar-SA"/>
        </w:rPr>
        <w:t>),</w:t>
      </w:r>
      <w:r>
        <w:rPr>
          <w:rFonts w:eastAsia="Calibri"/>
          <w:szCs w:val="22"/>
          <w:lang w:bidi="ar-SA"/>
        </w:rPr>
        <w:t xml:space="preserve"> </w:t>
      </w:r>
      <w:r w:rsidRPr="00031C13">
        <w:rPr>
          <w:rFonts w:eastAsia="Calibri"/>
          <w:szCs w:val="22"/>
          <w:lang w:bidi="ar-SA"/>
        </w:rPr>
        <w:t xml:space="preserve">comparison of dietary intake with </w:t>
      </w:r>
      <w:r>
        <w:rPr>
          <w:rFonts w:eastAsia="Calibri"/>
          <w:szCs w:val="22"/>
          <w:lang w:bidi="ar-SA"/>
        </w:rPr>
        <w:t xml:space="preserve">daily intake </w:t>
      </w:r>
      <w:r w:rsidRPr="00031C13">
        <w:rPr>
          <w:rFonts w:eastAsia="Calibri"/>
          <w:szCs w:val="22"/>
          <w:lang w:bidi="ar-SA"/>
        </w:rPr>
        <w:t>reference values</w:t>
      </w:r>
      <w:r>
        <w:rPr>
          <w:rFonts w:eastAsia="Calibri"/>
          <w:szCs w:val="22"/>
          <w:lang w:bidi="ar-SA"/>
        </w:rPr>
        <w:t xml:space="preserve"> (</w:t>
      </w:r>
      <w:r w:rsidRPr="00031C13">
        <w:rPr>
          <w:rFonts w:eastAsia="Calibri"/>
          <w:szCs w:val="22"/>
          <w:lang w:bidi="ar-SA"/>
        </w:rPr>
        <w:t xml:space="preserve">such as </w:t>
      </w:r>
      <w:r w:rsidRPr="00C93AAA">
        <w:rPr>
          <w:rFonts w:eastAsia="Calibri"/>
          <w:szCs w:val="22"/>
          <w:lang w:bidi="ar-SA"/>
        </w:rPr>
        <w:t xml:space="preserve">the </w:t>
      </w:r>
      <w:r>
        <w:rPr>
          <w:rFonts w:eastAsia="Calibri"/>
          <w:szCs w:val="22"/>
          <w:lang w:bidi="ar-SA"/>
        </w:rPr>
        <w:t>Adequate</w:t>
      </w:r>
      <w:r w:rsidRPr="00C93AAA">
        <w:rPr>
          <w:rFonts w:eastAsia="Calibri"/>
          <w:bCs/>
          <w:szCs w:val="22"/>
          <w:lang w:bidi="ar-SA"/>
        </w:rPr>
        <w:t xml:space="preserve"> Intake</w:t>
      </w:r>
      <w:r>
        <w:rPr>
          <w:rFonts w:eastAsia="Calibri"/>
          <w:bCs/>
          <w:szCs w:val="22"/>
          <w:lang w:bidi="ar-SA"/>
        </w:rPr>
        <w:t xml:space="preserve"> </w:t>
      </w:r>
      <w:r w:rsidRPr="00C93AAA">
        <w:rPr>
          <w:rFonts w:eastAsia="Calibri"/>
          <w:bCs/>
          <w:szCs w:val="22"/>
          <w:lang w:bidi="ar-SA"/>
        </w:rPr>
        <w:t>or Upper Level of Intake</w:t>
      </w:r>
      <w:r>
        <w:rPr>
          <w:rFonts w:eastAsia="Calibri"/>
          <w:bCs/>
          <w:szCs w:val="22"/>
          <w:lang w:bidi="ar-SA"/>
        </w:rPr>
        <w:t xml:space="preserve">) </w:t>
      </w:r>
      <w:r>
        <w:rPr>
          <w:rFonts w:eastAsia="Calibri"/>
          <w:szCs w:val="22"/>
          <w:lang w:bidi="ar-SA"/>
        </w:rPr>
        <w:t>are unsuitable to predict vitamin D status</w:t>
      </w:r>
      <w:r w:rsidRPr="00031C13">
        <w:rPr>
          <w:rFonts w:eastAsia="Calibri"/>
          <w:szCs w:val="22"/>
          <w:lang w:bidi="ar-SA"/>
        </w:rPr>
        <w:t>.</w:t>
      </w:r>
      <w:r>
        <w:rPr>
          <w:rFonts w:eastAsia="Calibri"/>
          <w:szCs w:val="22"/>
          <w:lang w:bidi="ar-SA"/>
        </w:rPr>
        <w:t xml:space="preserve"> Therefore, a unique approach was undertaken to determine potential health effects from consumption of vitamin D-fortified cereal. Using the </w:t>
      </w:r>
      <w:r w:rsidRPr="00A2102F">
        <w:rPr>
          <w:rFonts w:eastAsia="Calibri"/>
          <w:szCs w:val="22"/>
          <w:lang w:bidi="ar-SA"/>
        </w:rPr>
        <w:t xml:space="preserve">mean level of vitamin D in breakfast cereal </w:t>
      </w:r>
      <w:r>
        <w:rPr>
          <w:rFonts w:eastAsia="Calibri"/>
          <w:szCs w:val="22"/>
          <w:lang w:bidi="ar-SA"/>
        </w:rPr>
        <w:t xml:space="preserve">of </w:t>
      </w:r>
      <w:r w:rsidRPr="00A2102F">
        <w:rPr>
          <w:rFonts w:eastAsia="Calibri"/>
          <w:szCs w:val="22"/>
          <w:lang w:bidi="ar-SA"/>
        </w:rPr>
        <w:t xml:space="preserve">5 </w:t>
      </w:r>
      <w:r w:rsidRPr="00A2102F">
        <w:rPr>
          <w:rFonts w:ascii="Calibri" w:eastAsia="Calibri" w:hAnsi="Calibri"/>
          <w:szCs w:val="22"/>
          <w:lang w:bidi="ar-SA"/>
        </w:rPr>
        <w:t>µ</w:t>
      </w:r>
      <w:r w:rsidRPr="00A2102F">
        <w:rPr>
          <w:rFonts w:eastAsia="Calibri"/>
          <w:szCs w:val="22"/>
          <w:lang w:bidi="ar-SA"/>
        </w:rPr>
        <w:t>g</w:t>
      </w:r>
      <w:r>
        <w:rPr>
          <w:rFonts w:eastAsia="Calibri"/>
          <w:szCs w:val="22"/>
          <w:lang w:bidi="ar-SA"/>
        </w:rPr>
        <w:t>/</w:t>
      </w:r>
      <w:r w:rsidRPr="00A2102F">
        <w:rPr>
          <w:rFonts w:eastAsia="Calibri"/>
          <w:szCs w:val="22"/>
          <w:lang w:bidi="ar-SA"/>
        </w:rPr>
        <w:t xml:space="preserve"> serv</w:t>
      </w:r>
      <w:r>
        <w:rPr>
          <w:rFonts w:eastAsia="Calibri"/>
          <w:szCs w:val="22"/>
          <w:lang w:bidi="ar-SA"/>
        </w:rPr>
        <w:t xml:space="preserve">e, vitamin D intakes from fortified breakfast cereal were predicted for a number of population groups and scenarios using ANZ food consumption survey data. These intakes were then used to predict the effect on serum 25OHD concentrations using a relationship reported in a recent study that found that serum 25OHD increased by 1.2 nM per </w:t>
      </w:r>
      <w:r w:rsidRPr="00932782">
        <w:rPr>
          <w:rFonts w:eastAsia="Calibri"/>
          <w:szCs w:val="22"/>
          <w:lang w:bidi="ar-SA"/>
        </w:rPr>
        <w:t xml:space="preserve">1 µg </w:t>
      </w:r>
      <w:r>
        <w:rPr>
          <w:rFonts w:eastAsia="Calibri"/>
          <w:szCs w:val="22"/>
          <w:lang w:bidi="ar-SA"/>
        </w:rPr>
        <w:t xml:space="preserve">increment in </w:t>
      </w:r>
      <w:r w:rsidRPr="00932782">
        <w:rPr>
          <w:rFonts w:eastAsia="Calibri"/>
          <w:szCs w:val="22"/>
          <w:lang w:bidi="ar-SA"/>
        </w:rPr>
        <w:t xml:space="preserve">vitamin D from </w:t>
      </w:r>
      <w:r>
        <w:rPr>
          <w:rFonts w:eastAsia="Calibri"/>
          <w:szCs w:val="22"/>
          <w:lang w:bidi="ar-SA"/>
        </w:rPr>
        <w:t xml:space="preserve">fortified </w:t>
      </w:r>
      <w:r w:rsidRPr="00932782">
        <w:rPr>
          <w:rFonts w:eastAsia="Calibri"/>
          <w:szCs w:val="22"/>
          <w:lang w:bidi="ar-SA"/>
        </w:rPr>
        <w:t>food</w:t>
      </w:r>
      <w:r>
        <w:rPr>
          <w:rFonts w:eastAsia="Calibri"/>
          <w:szCs w:val="22"/>
          <w:lang w:bidi="ar-SA"/>
        </w:rPr>
        <w:t xml:space="preserve"> </w:t>
      </w:r>
      <w:r>
        <w:rPr>
          <w:rFonts w:eastAsia="Calibri"/>
          <w:noProof/>
          <w:szCs w:val="22"/>
          <w:lang w:bidi="ar-SA"/>
        </w:rPr>
        <w:t>(Black et al. 2012)</w:t>
      </w:r>
      <w:r>
        <w:rPr>
          <w:rFonts w:eastAsia="Calibri"/>
          <w:szCs w:val="22"/>
          <w:lang w:bidi="ar-SA"/>
        </w:rPr>
        <w:t xml:space="preserve">. </w:t>
      </w:r>
    </w:p>
    <w:p w14:paraId="25B5D56D" w14:textId="77777777" w:rsidR="00DD5C9C" w:rsidRDefault="00DD5C9C" w:rsidP="003B5D42">
      <w:pPr>
        <w:rPr>
          <w:rFonts w:eastAsia="Calibri"/>
          <w:szCs w:val="22"/>
          <w:lang w:bidi="ar-SA"/>
        </w:rPr>
      </w:pPr>
    </w:p>
    <w:p w14:paraId="03D5F286" w14:textId="77777777" w:rsidR="00E262C6" w:rsidRDefault="00E262C6" w:rsidP="003B5D42">
      <w:pPr>
        <w:rPr>
          <w:rFonts w:eastAsia="Calibri"/>
          <w:szCs w:val="22"/>
          <w:lang w:bidi="ar-SA"/>
        </w:rPr>
      </w:pPr>
      <w:r>
        <w:rPr>
          <w:rFonts w:eastAsia="Calibri"/>
          <w:szCs w:val="22"/>
          <w:lang w:bidi="ar-SA"/>
        </w:rPr>
        <w:br w:type="page"/>
      </w:r>
    </w:p>
    <w:p w14:paraId="25B5D56E" w14:textId="1CC9C6A2" w:rsidR="00DD5C9C" w:rsidRDefault="00DD5C9C" w:rsidP="003B5D42">
      <w:pPr>
        <w:rPr>
          <w:rFonts w:eastAsia="Calibri"/>
          <w:szCs w:val="22"/>
          <w:lang w:bidi="ar-SA"/>
        </w:rPr>
      </w:pPr>
      <w:r>
        <w:rPr>
          <w:rFonts w:eastAsia="Calibri"/>
          <w:szCs w:val="22"/>
          <w:lang w:bidi="ar-SA"/>
        </w:rPr>
        <w:lastRenderedPageBreak/>
        <w:t>Estimated effects on serum 25OHD concentrations for ANZ populations were modelled under four scenarios: vitamin D intakes estimated from the mean or 90</w:t>
      </w:r>
      <w:r w:rsidRPr="001448F9">
        <w:rPr>
          <w:rFonts w:eastAsia="Calibri"/>
          <w:szCs w:val="22"/>
          <w:vertAlign w:val="superscript"/>
          <w:lang w:bidi="ar-SA"/>
        </w:rPr>
        <w:t>th</w:t>
      </w:r>
      <w:r>
        <w:rPr>
          <w:rFonts w:eastAsia="Calibri"/>
          <w:szCs w:val="22"/>
          <w:lang w:bidi="ar-SA"/>
        </w:rPr>
        <w:t xml:space="preserve"> percentile breakfast cereal consumption for brand loyal consumers (who always eats the same type of vitamin D fortified cereal) and for consumers who select from the range of products in the market over time, some of which have added vitamin D (market share model). </w:t>
      </w:r>
    </w:p>
    <w:p w14:paraId="25B5D56F" w14:textId="77777777" w:rsidR="00DD5C9C" w:rsidRDefault="00DD5C9C" w:rsidP="003B5D42">
      <w:pPr>
        <w:rPr>
          <w:rFonts w:eastAsia="Calibri"/>
          <w:szCs w:val="22"/>
          <w:lang w:bidi="ar-SA"/>
        </w:rPr>
      </w:pPr>
    </w:p>
    <w:p w14:paraId="25B5D570" w14:textId="77777777" w:rsidR="00DD5C9C" w:rsidRDefault="00DD5C9C" w:rsidP="003B5D42">
      <w:pPr>
        <w:rPr>
          <w:rFonts w:eastAsia="Calibri"/>
          <w:szCs w:val="22"/>
          <w:lang w:bidi="ar-SA"/>
        </w:rPr>
      </w:pPr>
      <w:r>
        <w:rPr>
          <w:rFonts w:eastAsia="Calibri"/>
          <w:szCs w:val="22"/>
          <w:lang w:bidi="ar-SA"/>
        </w:rPr>
        <w:t>T</w:t>
      </w:r>
      <w:r w:rsidRPr="00A67CD6">
        <w:rPr>
          <w:rFonts w:eastAsia="Calibri"/>
          <w:szCs w:val="22"/>
          <w:lang w:bidi="ar-SA"/>
        </w:rPr>
        <w:t xml:space="preserve">he </w:t>
      </w:r>
      <w:r>
        <w:rPr>
          <w:rFonts w:eastAsia="Calibri"/>
          <w:szCs w:val="22"/>
          <w:lang w:bidi="ar-SA"/>
        </w:rPr>
        <w:t>mean</w:t>
      </w:r>
      <w:r w:rsidRPr="00A67CD6">
        <w:rPr>
          <w:rFonts w:eastAsia="Calibri"/>
          <w:szCs w:val="22"/>
          <w:lang w:bidi="ar-SA"/>
        </w:rPr>
        <w:t xml:space="preserve"> consumption of vitamin D-fortified cereal gave a predicted </w:t>
      </w:r>
      <w:r>
        <w:rPr>
          <w:rFonts w:eastAsia="Calibri"/>
          <w:szCs w:val="22"/>
          <w:lang w:bidi="ar-SA"/>
        </w:rPr>
        <w:t xml:space="preserve">annual mean </w:t>
      </w:r>
      <w:r w:rsidRPr="00A67CD6">
        <w:rPr>
          <w:rFonts w:eastAsia="Calibri"/>
          <w:szCs w:val="22"/>
          <w:lang w:bidi="ar-SA"/>
        </w:rPr>
        <w:t>serum 25OHD concentration in the range of 57.9</w:t>
      </w:r>
      <w:r>
        <w:rPr>
          <w:rFonts w:eastAsia="Calibri"/>
          <w:szCs w:val="22"/>
          <w:lang w:bidi="ar-SA"/>
        </w:rPr>
        <w:t>–7</w:t>
      </w:r>
      <w:r w:rsidRPr="00A67CD6">
        <w:rPr>
          <w:rFonts w:eastAsia="Calibri"/>
          <w:szCs w:val="22"/>
          <w:lang w:bidi="ar-SA"/>
        </w:rPr>
        <w:t xml:space="preserve">9.6 nM for a brand loyal consumer, and 52.8–72.7 nM for a consumer assuming a 35% market share of fortified </w:t>
      </w:r>
      <w:r>
        <w:rPr>
          <w:rFonts w:eastAsia="Calibri"/>
          <w:szCs w:val="22"/>
          <w:lang w:bidi="ar-SA"/>
        </w:rPr>
        <w:t>breakfast cereal</w:t>
      </w:r>
      <w:r w:rsidRPr="00A67CD6">
        <w:rPr>
          <w:rFonts w:eastAsia="Calibri"/>
          <w:szCs w:val="22"/>
          <w:lang w:bidi="ar-SA"/>
        </w:rPr>
        <w:t>. High consumption (90</w:t>
      </w:r>
      <w:r w:rsidRPr="00A67CD6">
        <w:rPr>
          <w:rFonts w:eastAsia="Calibri"/>
          <w:szCs w:val="22"/>
          <w:vertAlign w:val="superscript"/>
          <w:lang w:bidi="ar-SA"/>
        </w:rPr>
        <w:t>th</w:t>
      </w:r>
      <w:r w:rsidRPr="00A67CD6">
        <w:rPr>
          <w:rFonts w:eastAsia="Calibri"/>
          <w:szCs w:val="22"/>
          <w:lang w:bidi="ar-SA"/>
        </w:rPr>
        <w:t xml:space="preserve"> percentile) of vitamin D-fortified cereal gave a predicted serum 25OHD concentration in the range 62.2</w:t>
      </w:r>
      <w:r>
        <w:rPr>
          <w:rFonts w:eastAsia="Calibri"/>
          <w:szCs w:val="22"/>
          <w:lang w:bidi="ar-SA"/>
        </w:rPr>
        <w:t>–</w:t>
      </w:r>
      <w:r w:rsidRPr="00A67CD6">
        <w:rPr>
          <w:rFonts w:eastAsia="Calibri"/>
          <w:szCs w:val="22"/>
          <w:lang w:bidi="ar-SA"/>
        </w:rPr>
        <w:t>88.5 nM for a brand loyal consumer and 54.3–75.8 nM for a consumer assuming a 35% market share of</w:t>
      </w:r>
      <w:r>
        <w:rPr>
          <w:rFonts w:eastAsia="Calibri"/>
          <w:szCs w:val="22"/>
          <w:lang w:bidi="ar-SA"/>
        </w:rPr>
        <w:t xml:space="preserve"> vitamin D-</w:t>
      </w:r>
      <w:r w:rsidRPr="00A67CD6">
        <w:rPr>
          <w:rFonts w:eastAsia="Calibri"/>
          <w:szCs w:val="22"/>
          <w:lang w:bidi="ar-SA"/>
        </w:rPr>
        <w:t xml:space="preserve">fortified </w:t>
      </w:r>
      <w:r>
        <w:rPr>
          <w:rFonts w:eastAsia="Calibri"/>
          <w:szCs w:val="22"/>
          <w:lang w:bidi="ar-SA"/>
        </w:rPr>
        <w:t>cereal</w:t>
      </w:r>
      <w:r w:rsidRPr="00A67CD6">
        <w:rPr>
          <w:rFonts w:eastAsia="Calibri"/>
          <w:szCs w:val="22"/>
          <w:lang w:bidi="ar-SA"/>
        </w:rPr>
        <w:t xml:space="preserve">. These </w:t>
      </w:r>
      <w:r>
        <w:rPr>
          <w:rFonts w:eastAsia="Calibri"/>
          <w:szCs w:val="22"/>
          <w:lang w:bidi="ar-SA"/>
        </w:rPr>
        <w:t>values</w:t>
      </w:r>
      <w:r w:rsidRPr="00A67CD6">
        <w:rPr>
          <w:rFonts w:eastAsia="Calibri"/>
          <w:szCs w:val="22"/>
          <w:lang w:bidi="ar-SA"/>
        </w:rPr>
        <w:t xml:space="preserve"> </w:t>
      </w:r>
      <w:r>
        <w:rPr>
          <w:rFonts w:eastAsia="Calibri"/>
          <w:szCs w:val="22"/>
          <w:lang w:bidi="ar-SA"/>
        </w:rPr>
        <w:t>were</w:t>
      </w:r>
      <w:r w:rsidRPr="00A67CD6">
        <w:rPr>
          <w:rFonts w:eastAsia="Calibri"/>
          <w:szCs w:val="22"/>
          <w:lang w:bidi="ar-SA"/>
        </w:rPr>
        <w:t xml:space="preserve"> well within the phys</w:t>
      </w:r>
      <w:r>
        <w:rPr>
          <w:rFonts w:eastAsia="Calibri"/>
          <w:szCs w:val="22"/>
          <w:lang w:bidi="ar-SA"/>
        </w:rPr>
        <w:t>iological range of serum 25OHD concentration.</w:t>
      </w:r>
    </w:p>
    <w:p w14:paraId="25B5D571" w14:textId="77777777" w:rsidR="00DD5C9C" w:rsidRDefault="00DD5C9C" w:rsidP="003B5D42">
      <w:pPr>
        <w:rPr>
          <w:rFonts w:eastAsia="Calibri"/>
          <w:szCs w:val="22"/>
          <w:lang w:bidi="ar-SA"/>
        </w:rPr>
      </w:pPr>
    </w:p>
    <w:p w14:paraId="25B5D572" w14:textId="77777777" w:rsidR="00DD5C9C" w:rsidRDefault="00DD5C9C" w:rsidP="003B5D42">
      <w:pPr>
        <w:rPr>
          <w:rFonts w:eastAsia="Calibri"/>
          <w:szCs w:val="22"/>
          <w:lang w:bidi="ar-SA"/>
        </w:rPr>
      </w:pPr>
      <w:r w:rsidRPr="003742D0">
        <w:rPr>
          <w:rFonts w:eastAsia="Calibri"/>
          <w:szCs w:val="22"/>
          <w:lang w:bidi="ar-SA"/>
        </w:rPr>
        <w:t xml:space="preserve">The predicted winter and summer </w:t>
      </w:r>
      <w:r>
        <w:rPr>
          <w:rFonts w:eastAsia="Calibri"/>
          <w:szCs w:val="22"/>
          <w:lang w:bidi="ar-SA"/>
        </w:rPr>
        <w:t xml:space="preserve">mean </w:t>
      </w:r>
      <w:r w:rsidRPr="003742D0">
        <w:rPr>
          <w:rFonts w:eastAsia="Calibri"/>
          <w:szCs w:val="22"/>
          <w:lang w:bidi="ar-SA"/>
        </w:rPr>
        <w:t>serum 25OHD concentrations</w:t>
      </w:r>
      <w:r>
        <w:rPr>
          <w:rFonts w:eastAsia="Calibri"/>
          <w:szCs w:val="22"/>
          <w:lang w:bidi="ar-SA"/>
        </w:rPr>
        <w:t xml:space="preserve"> for adult ANZ populations</w:t>
      </w:r>
      <w:r w:rsidRPr="003742D0">
        <w:rPr>
          <w:rFonts w:eastAsia="Calibri"/>
          <w:szCs w:val="22"/>
          <w:lang w:bidi="ar-SA"/>
        </w:rPr>
        <w:t xml:space="preserve"> were calculated </w:t>
      </w:r>
      <w:r>
        <w:rPr>
          <w:rFonts w:eastAsia="Calibri"/>
          <w:szCs w:val="22"/>
          <w:lang w:bidi="ar-SA"/>
        </w:rPr>
        <w:t xml:space="preserve">independently </w:t>
      </w:r>
      <w:r w:rsidRPr="003742D0">
        <w:rPr>
          <w:rFonts w:eastAsia="Calibri"/>
          <w:szCs w:val="22"/>
          <w:lang w:bidi="ar-SA"/>
        </w:rPr>
        <w:t>to account for the</w:t>
      </w:r>
      <w:r>
        <w:rPr>
          <w:rFonts w:eastAsia="Calibri"/>
          <w:szCs w:val="22"/>
          <w:lang w:bidi="ar-SA"/>
        </w:rPr>
        <w:t xml:space="preserve"> known </w:t>
      </w:r>
      <w:r w:rsidRPr="003742D0">
        <w:rPr>
          <w:rFonts w:eastAsia="Calibri"/>
          <w:szCs w:val="22"/>
          <w:lang w:bidi="ar-SA"/>
        </w:rPr>
        <w:t xml:space="preserve">seasonal </w:t>
      </w:r>
      <w:r>
        <w:rPr>
          <w:rFonts w:eastAsia="Calibri"/>
          <w:szCs w:val="22"/>
          <w:lang w:bidi="ar-SA"/>
        </w:rPr>
        <w:t>effects on serum 25OHD due to UV-B (sunlight) exposure. Using summer baseline values, the highest mean serum 25OHD concentrations that were predicted for the brand loyal, 90</w:t>
      </w:r>
      <w:r w:rsidRPr="003742D0">
        <w:rPr>
          <w:rFonts w:eastAsia="Calibri"/>
          <w:szCs w:val="22"/>
          <w:vertAlign w:val="superscript"/>
          <w:lang w:bidi="ar-SA"/>
        </w:rPr>
        <w:t>th</w:t>
      </w:r>
      <w:r>
        <w:rPr>
          <w:rFonts w:eastAsia="Calibri"/>
          <w:szCs w:val="22"/>
          <w:lang w:bidi="ar-SA"/>
        </w:rPr>
        <w:t xml:space="preserve"> percentile consumers ranged from </w:t>
      </w:r>
      <w:r w:rsidRPr="003742D0">
        <w:rPr>
          <w:rFonts w:eastAsia="Calibri"/>
          <w:szCs w:val="22"/>
          <w:lang w:bidi="ar-SA"/>
        </w:rPr>
        <w:t>9</w:t>
      </w:r>
      <w:r>
        <w:rPr>
          <w:rFonts w:eastAsia="Calibri"/>
          <w:szCs w:val="22"/>
          <w:lang w:bidi="ar-SA"/>
        </w:rPr>
        <w:t xml:space="preserve">3.3–98.0 nM, starting from a baseline summer mean of </w:t>
      </w:r>
      <w:r w:rsidRPr="003742D0">
        <w:rPr>
          <w:rFonts w:eastAsia="Calibri"/>
          <w:szCs w:val="22"/>
          <w:lang w:bidi="ar-SA"/>
        </w:rPr>
        <w:t>70.7–76.4</w:t>
      </w:r>
      <w:r>
        <w:rPr>
          <w:rFonts w:eastAsia="Calibri"/>
          <w:szCs w:val="22"/>
          <w:lang w:bidi="ar-SA"/>
        </w:rPr>
        <w:t xml:space="preserve"> nM. This conservative estimate of serum 25OHD concentration from breakfast cereal consumption was still well under the 125 nM </w:t>
      </w:r>
      <w:r w:rsidR="002544DE">
        <w:rPr>
          <w:rFonts w:eastAsia="Calibri"/>
          <w:szCs w:val="22"/>
          <w:lang w:bidi="ar-SA"/>
        </w:rPr>
        <w:t>cut-off value</w:t>
      </w:r>
      <w:r>
        <w:rPr>
          <w:rFonts w:eastAsia="Calibri"/>
          <w:szCs w:val="22"/>
          <w:lang w:bidi="ar-SA"/>
        </w:rPr>
        <w:t>. Using winter baseline values, none of the population groups had a baseline mean serum 25OHD &lt; 40 nM (i.e. indicating inadequate status) and consumption of vitamin D fortified cereal was predicted to increase 25OHD status within the range 46–81.3 nM.</w:t>
      </w:r>
    </w:p>
    <w:p w14:paraId="25B5D573" w14:textId="77777777" w:rsidR="00DD5C9C" w:rsidRDefault="00DD5C9C" w:rsidP="003B5D42">
      <w:pPr>
        <w:rPr>
          <w:rFonts w:eastAsia="Calibri"/>
          <w:szCs w:val="22"/>
          <w:lang w:bidi="ar-SA"/>
        </w:rPr>
      </w:pPr>
    </w:p>
    <w:p w14:paraId="25B5D574" w14:textId="77777777" w:rsidR="00DD5C9C" w:rsidRDefault="00DD5C9C" w:rsidP="003B5D42">
      <w:pPr>
        <w:rPr>
          <w:rFonts w:eastAsia="Calibri"/>
          <w:szCs w:val="22"/>
          <w:lang w:bidi="ar-SA"/>
        </w:rPr>
      </w:pPr>
      <w:r>
        <w:rPr>
          <w:rFonts w:eastAsia="Calibri"/>
          <w:szCs w:val="22"/>
          <w:lang w:bidi="ar-SA"/>
        </w:rPr>
        <w:t>As a measure of the effect of the vitamin D fortification on the distribution of vitamin D status across the population over all seasons, the proportion of the population with serum 25OHD &lt; 40 nM or &gt;</w:t>
      </w:r>
      <w:r>
        <w:rPr>
          <w:rFonts w:eastAsia="Calibri" w:cs="Arial"/>
          <w:szCs w:val="22"/>
          <w:lang w:bidi="ar-SA"/>
        </w:rPr>
        <w:t xml:space="preserve"> 1</w:t>
      </w:r>
      <w:r>
        <w:rPr>
          <w:rFonts w:eastAsia="Calibri"/>
          <w:szCs w:val="22"/>
          <w:lang w:bidi="ar-SA"/>
        </w:rPr>
        <w:t xml:space="preserve">25 nM was also estimated for the four breakfast cereal consumption scenarios.. For Australian adults, the proportion of the population with serum 25OHD </w:t>
      </w:r>
      <w:r>
        <w:rPr>
          <w:rFonts w:eastAsia="Calibri" w:cs="Arial"/>
          <w:szCs w:val="22"/>
          <w:lang w:bidi="ar-SA"/>
        </w:rPr>
        <w:t>&lt;</w:t>
      </w:r>
      <w:r>
        <w:rPr>
          <w:rFonts w:eastAsia="Calibri"/>
          <w:szCs w:val="22"/>
          <w:lang w:bidi="ar-SA"/>
        </w:rPr>
        <w:t xml:space="preserve"> 40 nM decreased from a 13.4% baseline to 1.6% for the 90</w:t>
      </w:r>
      <w:r w:rsidRPr="00565DC6">
        <w:rPr>
          <w:rFonts w:eastAsia="Calibri"/>
          <w:szCs w:val="22"/>
          <w:vertAlign w:val="superscript"/>
          <w:lang w:bidi="ar-SA"/>
        </w:rPr>
        <w:t>th</w:t>
      </w:r>
      <w:r>
        <w:rPr>
          <w:rFonts w:eastAsia="Calibri"/>
          <w:szCs w:val="22"/>
          <w:lang w:bidi="ar-SA"/>
        </w:rPr>
        <w:t xml:space="preserve"> percentile brand loyal consumers and to 12.4% for mean consumers of various brands (assuming 35% market share). Similarly, for New Zealand adults, the proportion with 25OHD &lt; 40 nM decreased from a baseline of 20.9% to 1.5% </w:t>
      </w:r>
      <w:r w:rsidRPr="00B57F2F">
        <w:rPr>
          <w:rFonts w:eastAsia="Calibri"/>
          <w:szCs w:val="22"/>
          <w:lang w:bidi="ar-SA"/>
        </w:rPr>
        <w:t>for the 90</w:t>
      </w:r>
      <w:r w:rsidRPr="00B57F2F">
        <w:rPr>
          <w:rFonts w:eastAsia="Calibri"/>
          <w:szCs w:val="22"/>
          <w:vertAlign w:val="superscript"/>
          <w:lang w:bidi="ar-SA"/>
        </w:rPr>
        <w:t>th</w:t>
      </w:r>
      <w:r w:rsidRPr="00B57F2F">
        <w:rPr>
          <w:rFonts w:eastAsia="Calibri"/>
          <w:szCs w:val="22"/>
          <w:lang w:bidi="ar-SA"/>
        </w:rPr>
        <w:t xml:space="preserve"> percentile brand loyal consumers</w:t>
      </w:r>
      <w:r>
        <w:rPr>
          <w:rFonts w:eastAsia="Calibri"/>
          <w:szCs w:val="22"/>
          <w:lang w:bidi="ar-SA"/>
        </w:rPr>
        <w:t xml:space="preserve"> and to 19.2</w:t>
      </w:r>
      <w:r w:rsidRPr="00B57F2F">
        <w:rPr>
          <w:rFonts w:eastAsia="Calibri"/>
          <w:szCs w:val="22"/>
          <w:lang w:bidi="ar-SA"/>
        </w:rPr>
        <w:t xml:space="preserve">% for mean consumers of various brands (assuming 35% market share). </w:t>
      </w:r>
      <w:r>
        <w:rPr>
          <w:rFonts w:eastAsia="Calibri"/>
          <w:szCs w:val="22"/>
          <w:lang w:bidi="ar-SA"/>
        </w:rPr>
        <w:t xml:space="preserve">The proportion with serum 25OHD </w:t>
      </w:r>
      <w:r>
        <w:rPr>
          <w:rFonts w:ascii="Calibri" w:eastAsia="Calibri" w:hAnsi="Calibri"/>
          <w:szCs w:val="22"/>
          <w:lang w:bidi="ar-SA"/>
        </w:rPr>
        <w:t>&gt;</w:t>
      </w:r>
      <w:r>
        <w:rPr>
          <w:rFonts w:eastAsia="Calibri"/>
          <w:szCs w:val="22"/>
          <w:lang w:bidi="ar-SA"/>
        </w:rPr>
        <w:t xml:space="preserve"> 125 nM increased from a 1.3% baseline </w:t>
      </w:r>
      <w:r w:rsidRPr="00DB5F84">
        <w:rPr>
          <w:rFonts w:eastAsia="Calibri"/>
          <w:szCs w:val="22"/>
          <w:lang w:bidi="ar-SA"/>
        </w:rPr>
        <w:t>to 7.</w:t>
      </w:r>
      <w:r>
        <w:rPr>
          <w:rFonts w:eastAsia="Calibri"/>
          <w:szCs w:val="22"/>
          <w:lang w:bidi="ar-SA"/>
        </w:rPr>
        <w:t>5</w:t>
      </w:r>
      <w:r w:rsidRPr="00DB5F84">
        <w:rPr>
          <w:rFonts w:eastAsia="Calibri"/>
          <w:szCs w:val="22"/>
          <w:lang w:bidi="ar-SA"/>
        </w:rPr>
        <w:t xml:space="preserve">% </w:t>
      </w:r>
      <w:r w:rsidRPr="00565DC6">
        <w:rPr>
          <w:rFonts w:eastAsia="Calibri"/>
          <w:szCs w:val="22"/>
          <w:lang w:bidi="ar-SA"/>
        </w:rPr>
        <w:t xml:space="preserve">for </w:t>
      </w:r>
      <w:r>
        <w:rPr>
          <w:rFonts w:eastAsia="Calibri"/>
          <w:szCs w:val="22"/>
          <w:lang w:bidi="ar-SA"/>
        </w:rPr>
        <w:t xml:space="preserve">the </w:t>
      </w:r>
      <w:r w:rsidRPr="00565DC6">
        <w:rPr>
          <w:rFonts w:eastAsia="Calibri"/>
          <w:szCs w:val="22"/>
          <w:lang w:bidi="ar-SA"/>
        </w:rPr>
        <w:t>90</w:t>
      </w:r>
      <w:r w:rsidRPr="00565DC6">
        <w:rPr>
          <w:rFonts w:eastAsia="Calibri"/>
          <w:szCs w:val="22"/>
          <w:vertAlign w:val="superscript"/>
          <w:lang w:bidi="ar-SA"/>
        </w:rPr>
        <w:t>th</w:t>
      </w:r>
      <w:r w:rsidRPr="00565DC6">
        <w:rPr>
          <w:rFonts w:eastAsia="Calibri"/>
          <w:szCs w:val="22"/>
          <w:lang w:bidi="ar-SA"/>
        </w:rPr>
        <w:t xml:space="preserve"> percentile, brand loyal consumer</w:t>
      </w:r>
      <w:r>
        <w:rPr>
          <w:rFonts w:eastAsia="Calibri"/>
          <w:szCs w:val="22"/>
          <w:lang w:bidi="ar-SA"/>
        </w:rPr>
        <w:t xml:space="preserve"> in Australia and, for New Zealand adults in the same scenario, increased from 1.4% at baseline to 5.5%. Because this result represents the most conservative, worst-case scenario using a conservative estimate of high serum 25OHD concentration that would be of concern, it was concluded that increased risk of adverse health effects are unlikely.  </w:t>
      </w:r>
    </w:p>
    <w:p w14:paraId="25B5D575" w14:textId="77777777" w:rsidR="00DD5C9C" w:rsidRPr="00FF7851" w:rsidRDefault="00DD5C9C" w:rsidP="003B5D42">
      <w:pPr>
        <w:rPr>
          <w:rFonts w:eastAsia="Calibri"/>
          <w:szCs w:val="22"/>
          <w:lang w:bidi="ar-SA"/>
        </w:rPr>
      </w:pPr>
    </w:p>
    <w:p w14:paraId="25B5D576" w14:textId="77777777" w:rsidR="00DD5C9C" w:rsidRDefault="00DD5C9C" w:rsidP="003B5D42">
      <w:pPr>
        <w:rPr>
          <w:rFonts w:eastAsia="Calibri"/>
          <w:szCs w:val="22"/>
          <w:lang w:bidi="ar-SA"/>
        </w:rPr>
      </w:pPr>
      <w:r w:rsidRPr="00CC4305">
        <w:rPr>
          <w:rFonts w:eastAsia="Calibri"/>
          <w:szCs w:val="22"/>
          <w:lang w:bidi="ar-SA"/>
        </w:rPr>
        <w:t xml:space="preserve">On the basis of the above considerations, it </w:t>
      </w:r>
      <w:r>
        <w:rPr>
          <w:rFonts w:eastAsia="Calibri"/>
          <w:szCs w:val="22"/>
          <w:lang w:bidi="ar-SA"/>
        </w:rPr>
        <w:t>was</w:t>
      </w:r>
      <w:r w:rsidRPr="00CC4305">
        <w:rPr>
          <w:rFonts w:eastAsia="Calibri"/>
          <w:szCs w:val="22"/>
          <w:lang w:bidi="ar-SA"/>
        </w:rPr>
        <w:t xml:space="preserve"> concluded that </w:t>
      </w:r>
      <w:r>
        <w:rPr>
          <w:rFonts w:eastAsia="Calibri"/>
          <w:szCs w:val="22"/>
          <w:lang w:bidi="ar-SA"/>
        </w:rPr>
        <w:t>vitamin D (D</w:t>
      </w:r>
      <w:r w:rsidRPr="001448F9">
        <w:rPr>
          <w:rFonts w:eastAsia="Calibri"/>
          <w:szCs w:val="22"/>
          <w:vertAlign w:val="subscript"/>
          <w:lang w:bidi="ar-SA"/>
        </w:rPr>
        <w:t>2</w:t>
      </w:r>
      <w:r>
        <w:rPr>
          <w:rFonts w:eastAsia="Calibri"/>
          <w:szCs w:val="22"/>
          <w:lang w:bidi="ar-SA"/>
        </w:rPr>
        <w:t xml:space="preserve"> or D</w:t>
      </w:r>
      <w:r w:rsidRPr="001448F9">
        <w:rPr>
          <w:rFonts w:eastAsia="Calibri"/>
          <w:szCs w:val="22"/>
          <w:vertAlign w:val="subscript"/>
          <w:lang w:bidi="ar-SA"/>
        </w:rPr>
        <w:t>3</w:t>
      </w:r>
      <w:r>
        <w:rPr>
          <w:rFonts w:eastAsia="Calibri"/>
          <w:szCs w:val="22"/>
          <w:lang w:bidi="ar-SA"/>
        </w:rPr>
        <w:t xml:space="preserve">) fortification of breakfast cereal at the modelled level </w:t>
      </w:r>
      <w:r w:rsidR="00B8400A">
        <w:rPr>
          <w:rFonts w:eastAsia="Calibri"/>
          <w:szCs w:val="22"/>
          <w:lang w:bidi="ar-SA"/>
        </w:rPr>
        <w:t xml:space="preserve">is unlikely </w:t>
      </w:r>
      <w:r w:rsidR="00B8400A" w:rsidRPr="00B8400A">
        <w:rPr>
          <w:rFonts w:eastAsia="Calibri"/>
          <w:szCs w:val="22"/>
          <w:lang w:bidi="ar-SA"/>
        </w:rPr>
        <w:t xml:space="preserve">to raise serum 25OHD levels above the physiological range and therefore the draft variation does not pose a risk to public health and safety. Additionally, vitamin D fortification of breakfast cereal has the potential to increase the vitamin D status of individuals whose vitamin D status is inadequate. </w:t>
      </w:r>
    </w:p>
    <w:p w14:paraId="25B5D577" w14:textId="77777777" w:rsidR="00DD5C9C" w:rsidRPr="00161BF0" w:rsidRDefault="00DD5C9C" w:rsidP="003B5D42">
      <w:r>
        <w:rPr>
          <w:color w:val="FF0000"/>
        </w:rPr>
        <w:br w:type="page"/>
      </w:r>
    </w:p>
    <w:p w14:paraId="25B5D578" w14:textId="77777777" w:rsidR="00DD5C9C" w:rsidRPr="00590EDC" w:rsidRDefault="00DD5C9C" w:rsidP="003B5D42">
      <w:pPr>
        <w:pStyle w:val="Heading1"/>
      </w:pPr>
      <w:bookmarkStart w:id="4" w:name="_Toc406575678"/>
      <w:r>
        <w:lastRenderedPageBreak/>
        <w:t>Ter</w:t>
      </w:r>
      <w:r w:rsidRPr="00590EDC">
        <w:t>minology and Abbreviations</w:t>
      </w:r>
      <w:bookmarkEnd w:id="4"/>
    </w:p>
    <w:tbl>
      <w:tblPr>
        <w:tblStyle w:val="TableGrid111"/>
        <w:tblW w:w="8897" w:type="dxa"/>
        <w:tblLook w:val="04A0" w:firstRow="1" w:lastRow="0" w:firstColumn="1" w:lastColumn="0" w:noHBand="0" w:noVBand="1"/>
      </w:tblPr>
      <w:tblGrid>
        <w:gridCol w:w="1384"/>
        <w:gridCol w:w="7513"/>
      </w:tblGrid>
      <w:tr w:rsidR="00DD5C9C" w:rsidRPr="006A05E9" w14:paraId="25B5D57A" w14:textId="77777777" w:rsidTr="003B5D42">
        <w:trPr>
          <w:trHeight w:val="384"/>
        </w:trPr>
        <w:tc>
          <w:tcPr>
            <w:tcW w:w="8897" w:type="dxa"/>
            <w:gridSpan w:val="2"/>
            <w:shd w:val="clear" w:color="auto" w:fill="DDD9C3" w:themeFill="background2" w:themeFillShade="E6"/>
            <w:vAlign w:val="center"/>
          </w:tcPr>
          <w:p w14:paraId="25B5D579" w14:textId="77777777" w:rsidR="00DD5C9C" w:rsidRPr="00991711" w:rsidRDefault="00DD5C9C" w:rsidP="003B5D42">
            <w:pPr>
              <w:rPr>
                <w:rFonts w:cs="Arial"/>
                <w:b/>
                <w:sz w:val="18"/>
                <w:szCs w:val="18"/>
                <w:lang w:bidi="ar-SA"/>
              </w:rPr>
            </w:pPr>
            <w:r w:rsidRPr="00991711">
              <w:rPr>
                <w:rFonts w:cs="Arial"/>
                <w:b/>
                <w:sz w:val="18"/>
                <w:szCs w:val="18"/>
                <w:lang w:bidi="ar-SA"/>
              </w:rPr>
              <w:t>General terms and abbreviations</w:t>
            </w:r>
          </w:p>
        </w:tc>
      </w:tr>
      <w:tr w:rsidR="00DD5C9C" w:rsidRPr="006A05E9" w14:paraId="25B5D57D" w14:textId="77777777" w:rsidTr="003B5D42">
        <w:trPr>
          <w:trHeight w:val="283"/>
        </w:trPr>
        <w:tc>
          <w:tcPr>
            <w:tcW w:w="1384" w:type="dxa"/>
            <w:vAlign w:val="center"/>
          </w:tcPr>
          <w:p w14:paraId="25B5D57B" w14:textId="77777777" w:rsidR="00DD5C9C" w:rsidRPr="00501FF8" w:rsidRDefault="00DD5C9C" w:rsidP="003B5D42">
            <w:pPr>
              <w:rPr>
                <w:rFonts w:cs="Arial"/>
                <w:sz w:val="18"/>
                <w:szCs w:val="18"/>
                <w:lang w:bidi="ar-SA"/>
              </w:rPr>
            </w:pPr>
            <w:r>
              <w:rPr>
                <w:rFonts w:cs="Arial"/>
                <w:sz w:val="18"/>
                <w:szCs w:val="18"/>
                <w:lang w:bidi="ar-SA"/>
              </w:rPr>
              <w:t>ANZ</w:t>
            </w:r>
          </w:p>
        </w:tc>
        <w:tc>
          <w:tcPr>
            <w:tcW w:w="7513" w:type="dxa"/>
            <w:vAlign w:val="center"/>
          </w:tcPr>
          <w:p w14:paraId="25B5D57C" w14:textId="77777777" w:rsidR="00DD5C9C" w:rsidRPr="00501FF8" w:rsidRDefault="00DD5C9C" w:rsidP="003B5D42">
            <w:pPr>
              <w:rPr>
                <w:rFonts w:cs="Arial"/>
                <w:sz w:val="18"/>
                <w:szCs w:val="18"/>
                <w:lang w:bidi="ar-SA"/>
              </w:rPr>
            </w:pPr>
            <w:r>
              <w:rPr>
                <w:rFonts w:cs="Arial"/>
                <w:sz w:val="18"/>
                <w:szCs w:val="18"/>
                <w:lang w:bidi="ar-SA"/>
              </w:rPr>
              <w:t>Australia and New Zealand</w:t>
            </w:r>
          </w:p>
        </w:tc>
      </w:tr>
      <w:tr w:rsidR="00DD5C9C" w:rsidRPr="006A05E9" w14:paraId="25B5D580" w14:textId="77777777" w:rsidTr="003B5D42">
        <w:trPr>
          <w:trHeight w:val="283"/>
        </w:trPr>
        <w:tc>
          <w:tcPr>
            <w:tcW w:w="1384" w:type="dxa"/>
            <w:vAlign w:val="center"/>
          </w:tcPr>
          <w:p w14:paraId="25B5D57E" w14:textId="77777777" w:rsidR="00DD5C9C" w:rsidRPr="00501FF8" w:rsidRDefault="00DD5C9C" w:rsidP="003B5D42">
            <w:pPr>
              <w:rPr>
                <w:rFonts w:cs="Arial"/>
                <w:sz w:val="18"/>
                <w:szCs w:val="18"/>
                <w:lang w:bidi="ar-SA"/>
              </w:rPr>
            </w:pPr>
            <w:r w:rsidRPr="00501FF8">
              <w:rPr>
                <w:rFonts w:cs="Arial"/>
                <w:sz w:val="18"/>
                <w:szCs w:val="18"/>
                <w:lang w:bidi="ar-SA"/>
              </w:rPr>
              <w:t>ANZFSC</w:t>
            </w:r>
          </w:p>
        </w:tc>
        <w:tc>
          <w:tcPr>
            <w:tcW w:w="7513" w:type="dxa"/>
            <w:vAlign w:val="center"/>
          </w:tcPr>
          <w:p w14:paraId="25B5D57F" w14:textId="77777777" w:rsidR="00DD5C9C" w:rsidRPr="00501FF8" w:rsidRDefault="00DD5C9C" w:rsidP="003B5D42">
            <w:pPr>
              <w:rPr>
                <w:rFonts w:cs="Arial"/>
                <w:sz w:val="18"/>
                <w:szCs w:val="18"/>
                <w:lang w:bidi="ar-SA"/>
              </w:rPr>
            </w:pPr>
            <w:r w:rsidRPr="00501FF8">
              <w:rPr>
                <w:rFonts w:cs="Arial"/>
                <w:sz w:val="18"/>
                <w:szCs w:val="18"/>
                <w:lang w:bidi="ar-SA"/>
              </w:rPr>
              <w:t>Australian New Zealand Food Standards Code</w:t>
            </w:r>
          </w:p>
        </w:tc>
      </w:tr>
      <w:tr w:rsidR="00DD5C9C" w:rsidRPr="006A05E9" w14:paraId="25B5D583" w14:textId="77777777" w:rsidTr="003B5D42">
        <w:trPr>
          <w:trHeight w:val="283"/>
        </w:trPr>
        <w:tc>
          <w:tcPr>
            <w:tcW w:w="1384" w:type="dxa"/>
            <w:vAlign w:val="center"/>
          </w:tcPr>
          <w:p w14:paraId="25B5D581" w14:textId="77777777" w:rsidR="00DD5C9C" w:rsidRPr="00501FF8" w:rsidRDefault="00DD5C9C" w:rsidP="003B5D42">
            <w:pPr>
              <w:rPr>
                <w:rFonts w:cs="Arial"/>
                <w:sz w:val="18"/>
                <w:szCs w:val="18"/>
                <w:lang w:bidi="ar-SA"/>
              </w:rPr>
            </w:pPr>
            <w:r w:rsidRPr="00501FF8">
              <w:rPr>
                <w:rFonts w:cs="Arial"/>
                <w:sz w:val="18"/>
                <w:szCs w:val="18"/>
                <w:lang w:bidi="ar-SA"/>
              </w:rPr>
              <w:t>ABS</w:t>
            </w:r>
          </w:p>
        </w:tc>
        <w:tc>
          <w:tcPr>
            <w:tcW w:w="7513" w:type="dxa"/>
            <w:vAlign w:val="center"/>
          </w:tcPr>
          <w:p w14:paraId="25B5D582" w14:textId="77777777" w:rsidR="00DD5C9C" w:rsidRPr="00501FF8" w:rsidRDefault="00DD5C9C" w:rsidP="003B5D42">
            <w:pPr>
              <w:rPr>
                <w:rFonts w:cs="Arial"/>
                <w:sz w:val="18"/>
                <w:szCs w:val="18"/>
                <w:lang w:bidi="ar-SA"/>
              </w:rPr>
            </w:pPr>
            <w:r w:rsidRPr="00501FF8">
              <w:rPr>
                <w:rFonts w:cs="Arial"/>
                <w:sz w:val="18"/>
                <w:szCs w:val="18"/>
                <w:lang w:bidi="ar-SA"/>
              </w:rPr>
              <w:t>Australian Bureau of Statistics</w:t>
            </w:r>
          </w:p>
        </w:tc>
      </w:tr>
      <w:tr w:rsidR="00DD5C9C" w:rsidRPr="006A05E9" w14:paraId="25B5D586" w14:textId="77777777" w:rsidTr="003B5D42">
        <w:trPr>
          <w:trHeight w:val="283"/>
        </w:trPr>
        <w:tc>
          <w:tcPr>
            <w:tcW w:w="1384" w:type="dxa"/>
            <w:vAlign w:val="center"/>
          </w:tcPr>
          <w:p w14:paraId="25B5D584" w14:textId="77777777" w:rsidR="00DD5C9C" w:rsidRPr="00501FF8" w:rsidRDefault="00DD5C9C" w:rsidP="003B5D42">
            <w:pPr>
              <w:rPr>
                <w:rFonts w:cs="Arial"/>
                <w:sz w:val="18"/>
                <w:szCs w:val="18"/>
                <w:lang w:bidi="ar-SA"/>
              </w:rPr>
            </w:pPr>
            <w:r w:rsidRPr="00501FF8">
              <w:rPr>
                <w:rFonts w:cs="Arial"/>
                <w:sz w:val="18"/>
                <w:szCs w:val="18"/>
                <w:lang w:bidi="ar-SA"/>
              </w:rPr>
              <w:t>IOM</w:t>
            </w:r>
          </w:p>
        </w:tc>
        <w:tc>
          <w:tcPr>
            <w:tcW w:w="7513" w:type="dxa"/>
            <w:vAlign w:val="center"/>
          </w:tcPr>
          <w:p w14:paraId="25B5D585" w14:textId="77777777" w:rsidR="00DD5C9C" w:rsidRPr="00501FF8" w:rsidRDefault="00DD5C9C" w:rsidP="003B5D42">
            <w:pPr>
              <w:rPr>
                <w:rFonts w:cs="Arial"/>
                <w:sz w:val="18"/>
                <w:szCs w:val="18"/>
                <w:lang w:bidi="ar-SA"/>
              </w:rPr>
            </w:pPr>
            <w:r w:rsidRPr="00501FF8">
              <w:rPr>
                <w:rFonts w:cs="Arial"/>
                <w:sz w:val="18"/>
                <w:szCs w:val="18"/>
                <w:lang w:bidi="ar-SA"/>
              </w:rPr>
              <w:t>US Institute of Medicine</w:t>
            </w:r>
          </w:p>
        </w:tc>
      </w:tr>
      <w:tr w:rsidR="00DD5C9C" w:rsidRPr="006A05E9" w14:paraId="25B5D589" w14:textId="77777777" w:rsidTr="003B5D42">
        <w:trPr>
          <w:trHeight w:val="283"/>
        </w:trPr>
        <w:tc>
          <w:tcPr>
            <w:tcW w:w="1384" w:type="dxa"/>
            <w:vAlign w:val="center"/>
          </w:tcPr>
          <w:p w14:paraId="25B5D587" w14:textId="77777777" w:rsidR="00DD5C9C" w:rsidRPr="00501FF8" w:rsidRDefault="00DD5C9C" w:rsidP="003B5D42">
            <w:pPr>
              <w:rPr>
                <w:rFonts w:cs="Arial"/>
                <w:sz w:val="18"/>
                <w:szCs w:val="18"/>
                <w:lang w:bidi="ar-SA"/>
              </w:rPr>
            </w:pPr>
            <w:r w:rsidRPr="00501FF8">
              <w:rPr>
                <w:rFonts w:cs="Arial"/>
                <w:sz w:val="18"/>
                <w:szCs w:val="18"/>
                <w:lang w:bidi="ar-SA"/>
              </w:rPr>
              <w:t>NHMRC</w:t>
            </w:r>
          </w:p>
        </w:tc>
        <w:tc>
          <w:tcPr>
            <w:tcW w:w="7513" w:type="dxa"/>
            <w:vAlign w:val="center"/>
          </w:tcPr>
          <w:p w14:paraId="25B5D588" w14:textId="77777777" w:rsidR="00DD5C9C" w:rsidRPr="00501FF8" w:rsidRDefault="00DD5C9C" w:rsidP="003B5D42">
            <w:pPr>
              <w:rPr>
                <w:rFonts w:cs="Arial"/>
                <w:sz w:val="18"/>
                <w:szCs w:val="18"/>
                <w:lang w:bidi="ar-SA"/>
              </w:rPr>
            </w:pPr>
            <w:r w:rsidRPr="00501FF8">
              <w:rPr>
                <w:rFonts w:cs="Arial"/>
                <w:sz w:val="18"/>
                <w:szCs w:val="18"/>
                <w:lang w:bidi="ar-SA"/>
              </w:rPr>
              <w:t>National Health and Medical Research Council</w:t>
            </w:r>
          </w:p>
        </w:tc>
      </w:tr>
      <w:tr w:rsidR="00DD5C9C" w:rsidRPr="006A05E9" w14:paraId="25B5D58C" w14:textId="77777777" w:rsidTr="003B5D42">
        <w:trPr>
          <w:trHeight w:val="283"/>
        </w:trPr>
        <w:tc>
          <w:tcPr>
            <w:tcW w:w="1384" w:type="dxa"/>
            <w:vAlign w:val="center"/>
          </w:tcPr>
          <w:p w14:paraId="25B5D58A" w14:textId="77777777" w:rsidR="00DD5C9C" w:rsidRPr="00501FF8" w:rsidRDefault="00DD5C9C" w:rsidP="003B5D42">
            <w:pPr>
              <w:rPr>
                <w:rFonts w:cs="Arial"/>
                <w:sz w:val="18"/>
                <w:szCs w:val="18"/>
                <w:lang w:bidi="ar-SA"/>
              </w:rPr>
            </w:pPr>
            <w:r w:rsidRPr="00501FF8">
              <w:rPr>
                <w:rFonts w:cs="Arial"/>
                <w:sz w:val="18"/>
                <w:szCs w:val="18"/>
                <w:lang w:bidi="ar-SA"/>
              </w:rPr>
              <w:t>NZ MoH</w:t>
            </w:r>
          </w:p>
        </w:tc>
        <w:tc>
          <w:tcPr>
            <w:tcW w:w="7513" w:type="dxa"/>
            <w:vAlign w:val="center"/>
          </w:tcPr>
          <w:p w14:paraId="25B5D58B" w14:textId="77777777" w:rsidR="00DD5C9C" w:rsidRPr="00501FF8" w:rsidRDefault="00DD5C9C" w:rsidP="003B5D42">
            <w:pPr>
              <w:rPr>
                <w:rFonts w:cs="Arial"/>
                <w:sz w:val="18"/>
                <w:szCs w:val="18"/>
                <w:lang w:bidi="ar-SA"/>
              </w:rPr>
            </w:pPr>
            <w:r w:rsidRPr="00501FF8">
              <w:rPr>
                <w:rFonts w:cs="Arial"/>
                <w:sz w:val="18"/>
                <w:szCs w:val="18"/>
                <w:lang w:bidi="ar-SA"/>
              </w:rPr>
              <w:t>New Zealand Ministry of Health</w:t>
            </w:r>
          </w:p>
        </w:tc>
      </w:tr>
      <w:tr w:rsidR="00DD5C9C" w:rsidRPr="006A05E9" w14:paraId="25B5D58F" w14:textId="77777777" w:rsidTr="003B5D42">
        <w:trPr>
          <w:trHeight w:val="283"/>
        </w:trPr>
        <w:tc>
          <w:tcPr>
            <w:tcW w:w="1384" w:type="dxa"/>
            <w:vAlign w:val="center"/>
          </w:tcPr>
          <w:p w14:paraId="25B5D58D" w14:textId="77777777" w:rsidR="00DD5C9C" w:rsidRPr="00501FF8" w:rsidRDefault="00DD5C9C" w:rsidP="003B5D42">
            <w:pPr>
              <w:rPr>
                <w:rFonts w:cs="Arial"/>
                <w:sz w:val="18"/>
                <w:szCs w:val="18"/>
                <w:lang w:bidi="ar-SA"/>
              </w:rPr>
            </w:pPr>
            <w:r w:rsidRPr="00501FF8">
              <w:rPr>
                <w:rFonts w:cs="Arial"/>
                <w:sz w:val="18"/>
                <w:szCs w:val="18"/>
                <w:lang w:bidi="ar-SA"/>
              </w:rPr>
              <w:t>EFSA</w:t>
            </w:r>
          </w:p>
        </w:tc>
        <w:tc>
          <w:tcPr>
            <w:tcW w:w="7513" w:type="dxa"/>
            <w:vAlign w:val="center"/>
          </w:tcPr>
          <w:p w14:paraId="25B5D58E" w14:textId="77777777" w:rsidR="00DD5C9C" w:rsidRPr="00501FF8" w:rsidRDefault="00DD5C9C" w:rsidP="003B5D42">
            <w:pPr>
              <w:rPr>
                <w:rFonts w:cs="Arial"/>
                <w:sz w:val="18"/>
                <w:szCs w:val="18"/>
                <w:lang w:bidi="ar-SA"/>
              </w:rPr>
            </w:pPr>
            <w:r w:rsidRPr="00501FF8">
              <w:rPr>
                <w:rFonts w:cs="Arial"/>
                <w:sz w:val="18"/>
                <w:szCs w:val="18"/>
                <w:lang w:bidi="ar-SA"/>
              </w:rPr>
              <w:t>European Food Safety Authority</w:t>
            </w:r>
          </w:p>
        </w:tc>
      </w:tr>
      <w:tr w:rsidR="00DD5C9C" w:rsidRPr="006A05E9" w14:paraId="25B5D592" w14:textId="77777777" w:rsidTr="003B5D42">
        <w:trPr>
          <w:trHeight w:val="283"/>
        </w:trPr>
        <w:tc>
          <w:tcPr>
            <w:tcW w:w="1384" w:type="dxa"/>
            <w:vAlign w:val="center"/>
          </w:tcPr>
          <w:p w14:paraId="25B5D590" w14:textId="77777777" w:rsidR="00DD5C9C" w:rsidRPr="00501FF8" w:rsidRDefault="00DD5C9C" w:rsidP="003B5D42">
            <w:pPr>
              <w:rPr>
                <w:rFonts w:cs="Arial"/>
                <w:sz w:val="18"/>
                <w:szCs w:val="18"/>
                <w:lang w:bidi="ar-SA"/>
              </w:rPr>
            </w:pPr>
            <w:r w:rsidRPr="00501FF8">
              <w:rPr>
                <w:rFonts w:cs="Arial"/>
                <w:sz w:val="18"/>
                <w:szCs w:val="18"/>
                <w:lang w:bidi="ar-SA"/>
              </w:rPr>
              <w:t>RTE</w:t>
            </w:r>
          </w:p>
        </w:tc>
        <w:tc>
          <w:tcPr>
            <w:tcW w:w="7513" w:type="dxa"/>
            <w:vAlign w:val="center"/>
          </w:tcPr>
          <w:p w14:paraId="25B5D591" w14:textId="77777777" w:rsidR="00DD5C9C" w:rsidRPr="00501FF8" w:rsidRDefault="00DD5C9C" w:rsidP="003B5D42">
            <w:pPr>
              <w:rPr>
                <w:rFonts w:cs="Arial"/>
                <w:sz w:val="18"/>
                <w:szCs w:val="18"/>
                <w:lang w:bidi="ar-SA"/>
              </w:rPr>
            </w:pPr>
            <w:r w:rsidRPr="00501FF8">
              <w:rPr>
                <w:rFonts w:cs="Arial"/>
                <w:sz w:val="18"/>
                <w:szCs w:val="18"/>
                <w:lang w:bidi="ar-SA"/>
              </w:rPr>
              <w:t xml:space="preserve">Ready-to-eat breakfast </w:t>
            </w:r>
            <w:r>
              <w:rPr>
                <w:rFonts w:cs="Arial"/>
                <w:sz w:val="18"/>
                <w:szCs w:val="18"/>
                <w:lang w:bidi="ar-SA"/>
              </w:rPr>
              <w:t>cereal</w:t>
            </w:r>
            <w:r w:rsidRPr="00501FF8">
              <w:rPr>
                <w:rFonts w:cs="Arial"/>
                <w:sz w:val="18"/>
                <w:szCs w:val="18"/>
                <w:lang w:bidi="ar-SA"/>
              </w:rPr>
              <w:t xml:space="preserve"> </w:t>
            </w:r>
          </w:p>
        </w:tc>
      </w:tr>
      <w:tr w:rsidR="00DD5C9C" w:rsidRPr="006A05E9" w14:paraId="25B5D595" w14:textId="77777777" w:rsidTr="003B5D42">
        <w:trPr>
          <w:trHeight w:val="1035"/>
        </w:trPr>
        <w:tc>
          <w:tcPr>
            <w:tcW w:w="1384" w:type="dxa"/>
            <w:vAlign w:val="center"/>
          </w:tcPr>
          <w:p w14:paraId="25B5D593" w14:textId="77777777" w:rsidR="00DD5C9C" w:rsidRPr="00501FF8" w:rsidRDefault="00DD5C9C" w:rsidP="003B5D42">
            <w:pPr>
              <w:rPr>
                <w:rFonts w:cs="Arial"/>
                <w:sz w:val="18"/>
                <w:szCs w:val="18"/>
                <w:lang w:bidi="ar-SA"/>
              </w:rPr>
            </w:pPr>
            <w:r w:rsidRPr="00501FF8">
              <w:rPr>
                <w:rFonts w:cs="Arial"/>
                <w:sz w:val="18"/>
                <w:szCs w:val="18"/>
                <w:lang w:bidi="ar-SA"/>
              </w:rPr>
              <w:t>EAR</w:t>
            </w:r>
          </w:p>
        </w:tc>
        <w:tc>
          <w:tcPr>
            <w:tcW w:w="7513" w:type="dxa"/>
            <w:vAlign w:val="center"/>
          </w:tcPr>
          <w:p w14:paraId="25B5D594" w14:textId="77777777" w:rsidR="00DD5C9C" w:rsidRPr="00501FF8" w:rsidRDefault="00DD5C9C" w:rsidP="003B5D42">
            <w:pPr>
              <w:spacing w:before="60" w:after="60"/>
              <w:rPr>
                <w:rFonts w:cs="Arial"/>
                <w:sz w:val="18"/>
                <w:szCs w:val="18"/>
                <w:lang w:bidi="ar-SA"/>
              </w:rPr>
            </w:pPr>
            <w:r w:rsidRPr="00501FF8">
              <w:rPr>
                <w:rFonts w:cs="Arial"/>
                <w:sz w:val="18"/>
                <w:szCs w:val="18"/>
                <w:lang w:bidi="ar-SA"/>
              </w:rPr>
              <w:t xml:space="preserve">Estimated Average Requirement – the </w:t>
            </w:r>
            <w:r w:rsidRPr="00501FF8">
              <w:rPr>
                <w:rFonts w:eastAsia="Calibri" w:cs="Arial"/>
                <w:sz w:val="18"/>
                <w:szCs w:val="18"/>
                <w:lang w:bidi="ar-SA"/>
              </w:rPr>
              <w:t>daily nutrient level estimated to meet the requirements of 50% of the healthy individuals in a particular life stage and gender group. The proportion of the population with intakes below the EAR is often used in population assessments to estimate the percentage with inadequate intake (providing the requirement distribution is thought to be normally distributed) because it approximates the result of the more complex Probability Approach.</w:t>
            </w:r>
          </w:p>
        </w:tc>
      </w:tr>
      <w:tr w:rsidR="00DD5C9C" w:rsidRPr="006A05E9" w14:paraId="25B5D598" w14:textId="77777777" w:rsidTr="003B5D42">
        <w:trPr>
          <w:trHeight w:val="790"/>
        </w:trPr>
        <w:tc>
          <w:tcPr>
            <w:tcW w:w="1384" w:type="dxa"/>
            <w:vAlign w:val="center"/>
          </w:tcPr>
          <w:p w14:paraId="25B5D596" w14:textId="77777777" w:rsidR="00DD5C9C" w:rsidRPr="00501FF8" w:rsidRDefault="00DD5C9C" w:rsidP="003B5D42">
            <w:pPr>
              <w:rPr>
                <w:rFonts w:cs="Arial"/>
                <w:sz w:val="18"/>
                <w:szCs w:val="18"/>
                <w:lang w:bidi="ar-SA"/>
              </w:rPr>
            </w:pPr>
            <w:r w:rsidRPr="00501FF8">
              <w:rPr>
                <w:rFonts w:cs="Arial"/>
                <w:sz w:val="18"/>
                <w:szCs w:val="18"/>
                <w:lang w:bidi="ar-SA"/>
              </w:rPr>
              <w:t>RDI</w:t>
            </w:r>
          </w:p>
        </w:tc>
        <w:tc>
          <w:tcPr>
            <w:tcW w:w="7513" w:type="dxa"/>
            <w:vAlign w:val="center"/>
          </w:tcPr>
          <w:p w14:paraId="25B5D597" w14:textId="77777777" w:rsidR="00DD5C9C" w:rsidRPr="00501FF8" w:rsidRDefault="00DD5C9C" w:rsidP="003B5D42">
            <w:pPr>
              <w:spacing w:before="60" w:after="60"/>
              <w:rPr>
                <w:rFonts w:cs="Arial"/>
                <w:sz w:val="18"/>
                <w:szCs w:val="18"/>
                <w:lang w:bidi="ar-SA"/>
              </w:rPr>
            </w:pPr>
            <w:r w:rsidRPr="00501FF8">
              <w:rPr>
                <w:rFonts w:cs="Arial"/>
                <w:sz w:val="18"/>
                <w:szCs w:val="18"/>
                <w:lang w:bidi="ar-SA"/>
              </w:rPr>
              <w:t>Recommended Dietary Intake –- t</w:t>
            </w:r>
            <w:r w:rsidRPr="00501FF8">
              <w:rPr>
                <w:rFonts w:eastAsia="Calibri" w:cs="Arial"/>
                <w:sz w:val="18"/>
                <w:szCs w:val="18"/>
                <w:lang w:bidi="ar-SA"/>
              </w:rPr>
              <w:t>he average daily dietary intake level that is sufficient to meet the nutrient requirements of 97–98% of healthy individuals in a particular life stage and gender group; RDI = EAR +2SD</w:t>
            </w:r>
            <w:r w:rsidR="00AF79AC">
              <w:rPr>
                <w:rFonts w:eastAsia="Calibri" w:cs="Arial"/>
                <w:sz w:val="18"/>
                <w:szCs w:val="18"/>
                <w:vertAlign w:val="subscript"/>
                <w:lang w:bidi="ar-SA"/>
              </w:rPr>
              <w:t xml:space="preserve">EAR. </w:t>
            </w:r>
            <w:r w:rsidRPr="00501FF8">
              <w:rPr>
                <w:rFonts w:eastAsia="Calibri" w:cs="Arial"/>
                <w:sz w:val="18"/>
                <w:szCs w:val="18"/>
                <w:lang w:bidi="ar-SA"/>
              </w:rPr>
              <w:t xml:space="preserve">Not used in population assessment of </w:t>
            </w:r>
            <w:r w:rsidRPr="00501FF8">
              <w:rPr>
                <w:rFonts w:cs="Arial"/>
                <w:sz w:val="18"/>
                <w:szCs w:val="18"/>
                <w:lang w:bidi="ar-SA"/>
              </w:rPr>
              <w:t xml:space="preserve">nutritional intakes (NHMRC &amp; NZ MoH-2006). </w:t>
            </w:r>
          </w:p>
        </w:tc>
      </w:tr>
      <w:tr w:rsidR="00DD5C9C" w:rsidRPr="006A05E9" w14:paraId="25B5D59B" w14:textId="77777777" w:rsidTr="003B5D42">
        <w:trPr>
          <w:trHeight w:val="1035"/>
        </w:trPr>
        <w:tc>
          <w:tcPr>
            <w:tcW w:w="1384" w:type="dxa"/>
            <w:vAlign w:val="center"/>
          </w:tcPr>
          <w:p w14:paraId="25B5D599" w14:textId="77777777" w:rsidR="00DD5C9C" w:rsidRPr="00501FF8" w:rsidRDefault="00DD5C9C" w:rsidP="003B5D42">
            <w:pPr>
              <w:rPr>
                <w:rFonts w:cs="Arial"/>
                <w:sz w:val="18"/>
                <w:szCs w:val="18"/>
                <w:lang w:bidi="ar-SA"/>
              </w:rPr>
            </w:pPr>
            <w:r w:rsidRPr="00501FF8">
              <w:rPr>
                <w:rFonts w:cs="Arial"/>
                <w:sz w:val="18"/>
                <w:szCs w:val="18"/>
                <w:lang w:bidi="ar-SA"/>
              </w:rPr>
              <w:t>Regulatory RDI</w:t>
            </w:r>
          </w:p>
        </w:tc>
        <w:tc>
          <w:tcPr>
            <w:tcW w:w="7513" w:type="dxa"/>
            <w:vAlign w:val="center"/>
          </w:tcPr>
          <w:p w14:paraId="25B5D59A" w14:textId="77777777" w:rsidR="00DD5C9C" w:rsidRPr="00501FF8" w:rsidRDefault="00DD5C9C" w:rsidP="00AF79AC">
            <w:pPr>
              <w:spacing w:before="60" w:after="60"/>
              <w:rPr>
                <w:rFonts w:cs="Arial"/>
                <w:sz w:val="18"/>
                <w:szCs w:val="18"/>
                <w:lang w:bidi="ar-SA"/>
              </w:rPr>
            </w:pPr>
            <w:r w:rsidRPr="00501FF8">
              <w:rPr>
                <w:rFonts w:cs="Arial"/>
                <w:sz w:val="18"/>
                <w:szCs w:val="18"/>
                <w:lang w:bidi="ar-SA"/>
              </w:rPr>
              <w:t xml:space="preserve">The regulatory recommended dietary intake is the quantity specified in Standard 1.1.1 that is used for calculations in the Nutrition Information Panel. It is not necessarily the same as the RDI for nutrients in the </w:t>
            </w:r>
            <w:r>
              <w:rPr>
                <w:rFonts w:cs="Arial"/>
                <w:sz w:val="18"/>
                <w:szCs w:val="18"/>
                <w:lang w:bidi="ar-SA"/>
              </w:rPr>
              <w:t xml:space="preserve">NHMRC and MoH </w:t>
            </w:r>
            <w:r w:rsidRPr="00501FF8">
              <w:rPr>
                <w:rFonts w:cs="Arial"/>
                <w:sz w:val="18"/>
                <w:szCs w:val="18"/>
                <w:lang w:bidi="ar-SA"/>
              </w:rPr>
              <w:t xml:space="preserve">report </w:t>
            </w:r>
            <w:r>
              <w:rPr>
                <w:rFonts w:cs="Arial"/>
                <w:noProof/>
                <w:sz w:val="18"/>
                <w:szCs w:val="18"/>
                <w:lang w:bidi="ar-SA"/>
              </w:rPr>
              <w:t>(NHMRC and NZ MoH 2006; NHMRC and NZ MOH 2006)</w:t>
            </w:r>
            <w:r w:rsidRPr="00501FF8">
              <w:rPr>
                <w:rFonts w:cs="Arial"/>
                <w:sz w:val="18"/>
                <w:szCs w:val="18"/>
                <w:lang w:bidi="ar-SA"/>
              </w:rPr>
              <w:t xml:space="preserve">). </w:t>
            </w:r>
            <w:r>
              <w:rPr>
                <w:rFonts w:cs="Arial"/>
                <w:sz w:val="18"/>
                <w:szCs w:val="18"/>
                <w:lang w:bidi="ar-SA"/>
              </w:rPr>
              <w:t>N</w:t>
            </w:r>
            <w:r w:rsidRPr="00501FF8">
              <w:rPr>
                <w:rFonts w:cs="Arial"/>
                <w:sz w:val="18"/>
                <w:szCs w:val="18"/>
                <w:lang w:bidi="ar-SA"/>
              </w:rPr>
              <w:t>utrients such as vitamin D that have AI but no RDI might</w:t>
            </w:r>
            <w:r>
              <w:rPr>
                <w:rFonts w:cs="Arial"/>
                <w:sz w:val="18"/>
                <w:szCs w:val="18"/>
                <w:lang w:bidi="ar-SA"/>
              </w:rPr>
              <w:t>, nevertheless,</w:t>
            </w:r>
            <w:r w:rsidRPr="00501FF8">
              <w:rPr>
                <w:rFonts w:cs="Arial"/>
                <w:sz w:val="18"/>
                <w:szCs w:val="18"/>
                <w:lang w:bidi="ar-SA"/>
              </w:rPr>
              <w:t xml:space="preserve"> have a labelling value currently termed ‘RDI’ in the Standard. </w:t>
            </w:r>
          </w:p>
        </w:tc>
      </w:tr>
      <w:tr w:rsidR="00DD5C9C" w:rsidRPr="006A05E9" w14:paraId="25B5D59E" w14:textId="77777777" w:rsidTr="003B5D42">
        <w:trPr>
          <w:trHeight w:val="1035"/>
        </w:trPr>
        <w:tc>
          <w:tcPr>
            <w:tcW w:w="1384" w:type="dxa"/>
            <w:vAlign w:val="center"/>
          </w:tcPr>
          <w:p w14:paraId="25B5D59C" w14:textId="77777777" w:rsidR="00DD5C9C" w:rsidRPr="00501FF8" w:rsidRDefault="00DD5C9C" w:rsidP="003B5D42">
            <w:pPr>
              <w:rPr>
                <w:rFonts w:cs="Arial"/>
                <w:sz w:val="18"/>
                <w:szCs w:val="18"/>
                <w:lang w:bidi="ar-SA"/>
              </w:rPr>
            </w:pPr>
            <w:r w:rsidRPr="00501FF8">
              <w:rPr>
                <w:rFonts w:cs="Arial"/>
                <w:sz w:val="18"/>
                <w:szCs w:val="18"/>
                <w:lang w:bidi="ar-SA"/>
              </w:rPr>
              <w:t>AI</w:t>
            </w:r>
          </w:p>
        </w:tc>
        <w:tc>
          <w:tcPr>
            <w:tcW w:w="7513" w:type="dxa"/>
            <w:vAlign w:val="center"/>
          </w:tcPr>
          <w:p w14:paraId="25B5D59D" w14:textId="77777777" w:rsidR="00DD5C9C" w:rsidRPr="00501FF8" w:rsidRDefault="00DD5C9C" w:rsidP="00AF79AC">
            <w:pPr>
              <w:spacing w:before="60" w:after="60"/>
              <w:rPr>
                <w:rFonts w:cs="Arial"/>
                <w:sz w:val="18"/>
                <w:szCs w:val="18"/>
                <w:lang w:bidi="ar-SA"/>
              </w:rPr>
            </w:pPr>
            <w:r w:rsidRPr="00501FF8">
              <w:rPr>
                <w:rFonts w:cs="Arial"/>
                <w:sz w:val="18"/>
                <w:szCs w:val="18"/>
                <w:lang w:bidi="ar-SA"/>
              </w:rPr>
              <w:t xml:space="preserve">Adequate Intake –- the </w:t>
            </w:r>
            <w:r w:rsidRPr="00501FF8">
              <w:rPr>
                <w:rFonts w:eastAsia="Calibri" w:cs="Arial"/>
                <w:sz w:val="18"/>
                <w:szCs w:val="18"/>
                <w:lang w:bidi="ar-SA"/>
              </w:rPr>
              <w:t xml:space="preserve">average daily nutrient intake level based on observed or experimentally-determined approximations or estimates of nutrient intake by a group (or groups) of apparently healthy people that are assumed to be adequate; </w:t>
            </w:r>
            <w:r w:rsidRPr="00501FF8">
              <w:rPr>
                <w:rFonts w:cs="Arial"/>
                <w:sz w:val="18"/>
                <w:szCs w:val="18"/>
                <w:lang w:bidi="ar-SA"/>
              </w:rPr>
              <w:t>used when there is insufficient data to define the RDI or EAR. In population assessments, the median intake of the population is described as being above or below the AI, but a quantifiable comparison is not done.</w:t>
            </w:r>
          </w:p>
        </w:tc>
      </w:tr>
      <w:tr w:rsidR="00DD5C9C" w:rsidRPr="006A05E9" w14:paraId="25B5D5A1" w14:textId="77777777" w:rsidTr="003B5D42">
        <w:trPr>
          <w:trHeight w:val="792"/>
        </w:trPr>
        <w:tc>
          <w:tcPr>
            <w:tcW w:w="1384" w:type="dxa"/>
            <w:vAlign w:val="center"/>
          </w:tcPr>
          <w:p w14:paraId="25B5D59F" w14:textId="77777777" w:rsidR="00DD5C9C" w:rsidRPr="00501FF8" w:rsidRDefault="00DD5C9C" w:rsidP="003B5D42">
            <w:pPr>
              <w:rPr>
                <w:rFonts w:cs="Arial"/>
                <w:sz w:val="18"/>
                <w:szCs w:val="18"/>
                <w:lang w:bidi="ar-SA"/>
              </w:rPr>
            </w:pPr>
            <w:r w:rsidRPr="00501FF8">
              <w:rPr>
                <w:rFonts w:cs="Arial"/>
                <w:sz w:val="18"/>
                <w:szCs w:val="18"/>
                <w:lang w:bidi="ar-SA"/>
              </w:rPr>
              <w:t>UL</w:t>
            </w:r>
          </w:p>
        </w:tc>
        <w:tc>
          <w:tcPr>
            <w:tcW w:w="7513" w:type="dxa"/>
            <w:vAlign w:val="center"/>
          </w:tcPr>
          <w:p w14:paraId="25B5D5A0" w14:textId="77777777" w:rsidR="00DD5C9C" w:rsidRPr="00501FF8" w:rsidRDefault="00DD5C9C" w:rsidP="003B5D42">
            <w:pPr>
              <w:spacing w:before="60" w:after="60"/>
              <w:rPr>
                <w:rFonts w:cs="Arial"/>
                <w:sz w:val="18"/>
                <w:szCs w:val="18"/>
                <w:lang w:bidi="ar-SA"/>
              </w:rPr>
            </w:pPr>
            <w:r w:rsidRPr="00501FF8">
              <w:rPr>
                <w:rFonts w:cs="Arial"/>
                <w:sz w:val="18"/>
                <w:szCs w:val="18"/>
                <w:lang w:bidi="ar-SA"/>
              </w:rPr>
              <w:t xml:space="preserve">Upper Level of Intake which is the </w:t>
            </w:r>
            <w:r w:rsidRPr="00501FF8">
              <w:rPr>
                <w:rFonts w:eastAsia="Calibri" w:cs="Arial"/>
                <w:sz w:val="18"/>
                <w:szCs w:val="18"/>
                <w:lang w:bidi="ar-SA"/>
              </w:rPr>
              <w:t>highest average daily nutrient intake level likely to pose no adverse health effects to almost all individuals in the general population. In population assessments, the proportion with intake exceeding the UL is evaluated.</w:t>
            </w:r>
          </w:p>
        </w:tc>
      </w:tr>
      <w:tr w:rsidR="00DD5C9C" w:rsidRPr="006A05E9" w14:paraId="25B5D5A4" w14:textId="77777777" w:rsidTr="003B5D42">
        <w:trPr>
          <w:trHeight w:val="283"/>
        </w:trPr>
        <w:tc>
          <w:tcPr>
            <w:tcW w:w="1384" w:type="dxa"/>
            <w:vAlign w:val="center"/>
          </w:tcPr>
          <w:p w14:paraId="25B5D5A2" w14:textId="77777777" w:rsidR="00DD5C9C" w:rsidRPr="00501FF8" w:rsidRDefault="00DD5C9C" w:rsidP="003B5D42">
            <w:pPr>
              <w:rPr>
                <w:rFonts w:cs="Arial"/>
                <w:sz w:val="18"/>
                <w:szCs w:val="18"/>
                <w:lang w:bidi="ar-SA"/>
              </w:rPr>
            </w:pPr>
            <w:r w:rsidRPr="00501FF8">
              <w:rPr>
                <w:rFonts w:cs="Arial"/>
                <w:sz w:val="18"/>
                <w:szCs w:val="18"/>
                <w:lang w:bidi="ar-SA"/>
              </w:rPr>
              <w:t>HPLC</w:t>
            </w:r>
          </w:p>
        </w:tc>
        <w:tc>
          <w:tcPr>
            <w:tcW w:w="7513" w:type="dxa"/>
            <w:vAlign w:val="center"/>
          </w:tcPr>
          <w:p w14:paraId="25B5D5A3" w14:textId="77777777" w:rsidR="00DD5C9C" w:rsidRPr="00501FF8" w:rsidRDefault="00DD5C9C" w:rsidP="003B5D42">
            <w:pPr>
              <w:rPr>
                <w:rFonts w:cs="Arial"/>
                <w:sz w:val="18"/>
                <w:szCs w:val="18"/>
                <w:lang w:bidi="ar-SA"/>
              </w:rPr>
            </w:pPr>
            <w:r w:rsidRPr="00501FF8">
              <w:rPr>
                <w:rFonts w:cs="Arial"/>
                <w:sz w:val="18"/>
                <w:szCs w:val="18"/>
                <w:lang w:bidi="ar-SA"/>
              </w:rPr>
              <w:t>high performance liquid chromatography</w:t>
            </w:r>
          </w:p>
        </w:tc>
      </w:tr>
      <w:tr w:rsidR="00DD5C9C" w:rsidRPr="006A05E9" w14:paraId="25B5D5A7" w14:textId="77777777" w:rsidTr="003B5D42">
        <w:trPr>
          <w:trHeight w:val="283"/>
        </w:trPr>
        <w:tc>
          <w:tcPr>
            <w:tcW w:w="1384" w:type="dxa"/>
            <w:vAlign w:val="center"/>
          </w:tcPr>
          <w:p w14:paraId="25B5D5A5" w14:textId="77777777" w:rsidR="00DD5C9C" w:rsidRPr="00501FF8" w:rsidRDefault="00DD5C9C" w:rsidP="003B5D42">
            <w:pPr>
              <w:rPr>
                <w:rFonts w:cs="Arial"/>
                <w:sz w:val="18"/>
                <w:szCs w:val="18"/>
                <w:lang w:bidi="ar-SA"/>
              </w:rPr>
            </w:pPr>
            <w:r w:rsidRPr="00501FF8">
              <w:rPr>
                <w:rFonts w:cs="Arial"/>
                <w:sz w:val="18"/>
                <w:szCs w:val="18"/>
                <w:lang w:bidi="ar-SA"/>
              </w:rPr>
              <w:t>LC</w:t>
            </w:r>
          </w:p>
        </w:tc>
        <w:tc>
          <w:tcPr>
            <w:tcW w:w="7513" w:type="dxa"/>
            <w:vAlign w:val="center"/>
          </w:tcPr>
          <w:p w14:paraId="25B5D5A6" w14:textId="77777777" w:rsidR="00DD5C9C" w:rsidRPr="00501FF8" w:rsidRDefault="00DD5C9C" w:rsidP="003B5D42">
            <w:pPr>
              <w:rPr>
                <w:rFonts w:cs="Arial"/>
                <w:sz w:val="18"/>
                <w:szCs w:val="18"/>
                <w:lang w:bidi="ar-SA"/>
              </w:rPr>
            </w:pPr>
            <w:r w:rsidRPr="00501FF8">
              <w:rPr>
                <w:rFonts w:cs="Arial"/>
                <w:sz w:val="18"/>
                <w:szCs w:val="18"/>
                <w:lang w:bidi="ar-SA"/>
              </w:rPr>
              <w:t xml:space="preserve">liquid chromatography </w:t>
            </w:r>
          </w:p>
        </w:tc>
      </w:tr>
      <w:tr w:rsidR="00DD5C9C" w:rsidRPr="006A05E9" w14:paraId="25B5D5AA" w14:textId="77777777" w:rsidTr="003B5D42">
        <w:trPr>
          <w:trHeight w:val="283"/>
        </w:trPr>
        <w:tc>
          <w:tcPr>
            <w:tcW w:w="1384" w:type="dxa"/>
            <w:vAlign w:val="center"/>
          </w:tcPr>
          <w:p w14:paraId="25B5D5A8" w14:textId="77777777" w:rsidR="00DD5C9C" w:rsidRPr="00501FF8" w:rsidRDefault="00DD5C9C" w:rsidP="003B5D42">
            <w:pPr>
              <w:rPr>
                <w:rFonts w:cs="Arial"/>
                <w:sz w:val="18"/>
                <w:szCs w:val="18"/>
                <w:lang w:bidi="ar-SA"/>
              </w:rPr>
            </w:pPr>
            <w:r w:rsidRPr="00501FF8">
              <w:rPr>
                <w:rFonts w:cs="Arial"/>
                <w:sz w:val="18"/>
                <w:szCs w:val="18"/>
                <w:lang w:bidi="ar-SA"/>
              </w:rPr>
              <w:t>MS or MS/MS</w:t>
            </w:r>
          </w:p>
        </w:tc>
        <w:tc>
          <w:tcPr>
            <w:tcW w:w="7513" w:type="dxa"/>
            <w:vAlign w:val="center"/>
          </w:tcPr>
          <w:p w14:paraId="25B5D5A9" w14:textId="77777777" w:rsidR="00DD5C9C" w:rsidRPr="00501FF8" w:rsidRDefault="00DD5C9C" w:rsidP="003B5D42">
            <w:pPr>
              <w:rPr>
                <w:rFonts w:cs="Arial"/>
                <w:sz w:val="18"/>
                <w:szCs w:val="18"/>
                <w:lang w:bidi="ar-SA"/>
              </w:rPr>
            </w:pPr>
            <w:r w:rsidRPr="00501FF8">
              <w:rPr>
                <w:rFonts w:cs="Arial"/>
                <w:sz w:val="18"/>
                <w:szCs w:val="18"/>
                <w:lang w:bidi="ar-SA"/>
              </w:rPr>
              <w:t xml:space="preserve">mass spectrometry or tandem mass spectrometry </w:t>
            </w:r>
          </w:p>
        </w:tc>
      </w:tr>
      <w:tr w:rsidR="00DD5C9C" w:rsidRPr="006A05E9" w14:paraId="25B5D5AD" w14:textId="77777777" w:rsidTr="003B5D42">
        <w:trPr>
          <w:trHeight w:val="283"/>
        </w:trPr>
        <w:tc>
          <w:tcPr>
            <w:tcW w:w="1384" w:type="dxa"/>
            <w:vAlign w:val="center"/>
          </w:tcPr>
          <w:p w14:paraId="25B5D5AB" w14:textId="77777777" w:rsidR="00DD5C9C" w:rsidRPr="00501FF8" w:rsidRDefault="00DD5C9C" w:rsidP="003B5D42">
            <w:pPr>
              <w:rPr>
                <w:rFonts w:cs="Arial"/>
                <w:sz w:val="18"/>
                <w:szCs w:val="18"/>
                <w:lang w:bidi="ar-SA"/>
              </w:rPr>
            </w:pPr>
            <w:r w:rsidRPr="00501FF8">
              <w:rPr>
                <w:rFonts w:cs="Arial"/>
                <w:sz w:val="18"/>
                <w:szCs w:val="18"/>
                <w:lang w:bidi="ar-SA"/>
              </w:rPr>
              <w:t>RIA</w:t>
            </w:r>
          </w:p>
        </w:tc>
        <w:tc>
          <w:tcPr>
            <w:tcW w:w="7513" w:type="dxa"/>
            <w:vAlign w:val="center"/>
          </w:tcPr>
          <w:p w14:paraId="25B5D5AC" w14:textId="77777777" w:rsidR="00DD5C9C" w:rsidRPr="00501FF8" w:rsidRDefault="00DD5C9C" w:rsidP="003B5D42">
            <w:pPr>
              <w:rPr>
                <w:rFonts w:cs="Arial"/>
                <w:sz w:val="18"/>
                <w:szCs w:val="18"/>
                <w:lang w:bidi="ar-SA"/>
              </w:rPr>
            </w:pPr>
            <w:r w:rsidRPr="00501FF8">
              <w:rPr>
                <w:rFonts w:cs="Arial"/>
                <w:sz w:val="18"/>
                <w:szCs w:val="18"/>
                <w:lang w:bidi="ar-SA"/>
              </w:rPr>
              <w:t>radioimmunoassay</w:t>
            </w:r>
          </w:p>
        </w:tc>
      </w:tr>
      <w:tr w:rsidR="00DD5C9C" w:rsidRPr="006A05E9" w14:paraId="25B5D5B0" w14:textId="77777777" w:rsidTr="003B5D42">
        <w:trPr>
          <w:trHeight w:val="283"/>
        </w:trPr>
        <w:tc>
          <w:tcPr>
            <w:tcW w:w="1384" w:type="dxa"/>
            <w:vAlign w:val="center"/>
          </w:tcPr>
          <w:p w14:paraId="25B5D5AE" w14:textId="77777777" w:rsidR="00DD5C9C" w:rsidRPr="00501FF8" w:rsidRDefault="00DD5C9C" w:rsidP="003B5D42">
            <w:pPr>
              <w:rPr>
                <w:rFonts w:cs="Arial"/>
                <w:sz w:val="18"/>
                <w:szCs w:val="18"/>
                <w:lang w:bidi="ar-SA"/>
              </w:rPr>
            </w:pPr>
            <w:r w:rsidRPr="00501FF8">
              <w:rPr>
                <w:rFonts w:cs="Arial"/>
                <w:sz w:val="18"/>
                <w:szCs w:val="18"/>
                <w:lang w:bidi="ar-SA"/>
              </w:rPr>
              <w:t>nM</w:t>
            </w:r>
          </w:p>
        </w:tc>
        <w:tc>
          <w:tcPr>
            <w:tcW w:w="7513" w:type="dxa"/>
            <w:vAlign w:val="center"/>
          </w:tcPr>
          <w:p w14:paraId="25B5D5AF" w14:textId="77777777" w:rsidR="00DD5C9C" w:rsidRPr="00501FF8" w:rsidRDefault="00DD5C9C" w:rsidP="003B5D42">
            <w:pPr>
              <w:rPr>
                <w:rFonts w:cs="Arial"/>
                <w:sz w:val="18"/>
                <w:szCs w:val="18"/>
                <w:lang w:bidi="ar-SA"/>
              </w:rPr>
            </w:pPr>
            <w:r w:rsidRPr="00501FF8">
              <w:rPr>
                <w:rFonts w:cs="Arial"/>
                <w:sz w:val="18"/>
                <w:szCs w:val="18"/>
                <w:lang w:bidi="ar-SA"/>
              </w:rPr>
              <w:t>nanomolar or nanomoles per litre</w:t>
            </w:r>
          </w:p>
        </w:tc>
      </w:tr>
      <w:tr w:rsidR="00DD5C9C" w:rsidRPr="006A05E9" w14:paraId="25B5D5B2" w14:textId="77777777" w:rsidTr="003B5D42">
        <w:trPr>
          <w:trHeight w:val="305"/>
        </w:trPr>
        <w:tc>
          <w:tcPr>
            <w:tcW w:w="8897" w:type="dxa"/>
            <w:gridSpan w:val="2"/>
            <w:shd w:val="clear" w:color="auto" w:fill="DDD9C3" w:themeFill="background2" w:themeFillShade="E6"/>
            <w:vAlign w:val="center"/>
          </w:tcPr>
          <w:p w14:paraId="25B5D5B1" w14:textId="77777777" w:rsidR="00DD5C9C" w:rsidRPr="00991711" w:rsidRDefault="00DD5C9C" w:rsidP="003B5D42">
            <w:pPr>
              <w:rPr>
                <w:rFonts w:cs="Arial"/>
                <w:b/>
                <w:sz w:val="18"/>
                <w:szCs w:val="18"/>
                <w:lang w:bidi="ar-SA"/>
              </w:rPr>
            </w:pPr>
            <w:r w:rsidRPr="00991711">
              <w:rPr>
                <w:rFonts w:cs="Arial"/>
                <w:b/>
                <w:sz w:val="18"/>
                <w:szCs w:val="18"/>
                <w:lang w:bidi="ar-SA"/>
              </w:rPr>
              <w:t xml:space="preserve">Abbreviations of surveys </w:t>
            </w:r>
          </w:p>
        </w:tc>
      </w:tr>
      <w:tr w:rsidR="00DD5C9C" w:rsidRPr="006A05E9" w14:paraId="25B5D5B5" w14:textId="77777777" w:rsidTr="003B5D42">
        <w:trPr>
          <w:trHeight w:val="340"/>
        </w:trPr>
        <w:tc>
          <w:tcPr>
            <w:tcW w:w="1384" w:type="dxa"/>
            <w:vAlign w:val="center"/>
          </w:tcPr>
          <w:p w14:paraId="25B5D5B3" w14:textId="77777777" w:rsidR="00DD5C9C" w:rsidRPr="00501FF8" w:rsidRDefault="00DD5C9C" w:rsidP="003B5D42">
            <w:pPr>
              <w:rPr>
                <w:rFonts w:cs="Arial"/>
                <w:sz w:val="18"/>
                <w:szCs w:val="18"/>
                <w:lang w:bidi="ar-SA"/>
              </w:rPr>
            </w:pPr>
            <w:r w:rsidRPr="00501FF8">
              <w:rPr>
                <w:rFonts w:cs="Arial"/>
                <w:sz w:val="18"/>
                <w:szCs w:val="18"/>
                <w:lang w:bidi="ar-SA"/>
              </w:rPr>
              <w:t>ANCNPAS</w:t>
            </w:r>
          </w:p>
        </w:tc>
        <w:tc>
          <w:tcPr>
            <w:tcW w:w="7513" w:type="dxa"/>
            <w:vAlign w:val="center"/>
          </w:tcPr>
          <w:p w14:paraId="25B5D5B4" w14:textId="77777777" w:rsidR="00DD5C9C" w:rsidRPr="00501FF8" w:rsidRDefault="00DD5C9C" w:rsidP="003B5D42">
            <w:pPr>
              <w:rPr>
                <w:rFonts w:cs="Arial"/>
                <w:sz w:val="18"/>
                <w:szCs w:val="18"/>
                <w:lang w:bidi="ar-SA"/>
              </w:rPr>
            </w:pPr>
            <w:r w:rsidRPr="00501FF8">
              <w:rPr>
                <w:rFonts w:eastAsia="Calibri" w:cs="Arial"/>
                <w:sz w:val="18"/>
                <w:szCs w:val="18"/>
                <w:lang w:bidi="ar-SA"/>
              </w:rPr>
              <w:t>2007 Australian Children’s Nutrition and Physical Activity Survey</w:t>
            </w:r>
          </w:p>
        </w:tc>
      </w:tr>
      <w:tr w:rsidR="00DD5C9C" w:rsidRPr="006A05E9" w14:paraId="25B5D5B8" w14:textId="77777777" w:rsidTr="003B5D42">
        <w:trPr>
          <w:trHeight w:val="340"/>
        </w:trPr>
        <w:tc>
          <w:tcPr>
            <w:tcW w:w="1384" w:type="dxa"/>
            <w:vAlign w:val="center"/>
          </w:tcPr>
          <w:p w14:paraId="25B5D5B6" w14:textId="77777777" w:rsidR="00DD5C9C" w:rsidRPr="00501FF8" w:rsidRDefault="00DD5C9C" w:rsidP="003B5D42">
            <w:pPr>
              <w:rPr>
                <w:rFonts w:cs="Arial"/>
                <w:sz w:val="18"/>
                <w:szCs w:val="18"/>
                <w:lang w:bidi="ar-SA"/>
              </w:rPr>
            </w:pPr>
            <w:r w:rsidRPr="00501FF8">
              <w:rPr>
                <w:rFonts w:cs="Arial"/>
                <w:sz w:val="18"/>
                <w:szCs w:val="18"/>
                <w:lang w:bidi="ar-SA"/>
              </w:rPr>
              <w:t>ANNS</w:t>
            </w:r>
          </w:p>
        </w:tc>
        <w:tc>
          <w:tcPr>
            <w:tcW w:w="7513" w:type="dxa"/>
            <w:vAlign w:val="center"/>
          </w:tcPr>
          <w:p w14:paraId="25B5D5B7" w14:textId="77777777" w:rsidR="00DD5C9C" w:rsidRPr="00501FF8" w:rsidRDefault="00DD5C9C" w:rsidP="003B5D42">
            <w:pPr>
              <w:rPr>
                <w:rFonts w:eastAsia="Calibri" w:cs="Arial"/>
                <w:sz w:val="18"/>
                <w:szCs w:val="18"/>
                <w:lang w:bidi="ar-SA"/>
              </w:rPr>
            </w:pPr>
            <w:r w:rsidRPr="00501FF8">
              <w:rPr>
                <w:rFonts w:eastAsia="Calibri" w:cs="Arial"/>
                <w:sz w:val="18"/>
                <w:szCs w:val="18"/>
                <w:lang w:bidi="ar-SA"/>
              </w:rPr>
              <w:t xml:space="preserve">1995 Australian National Nutrition Survey </w:t>
            </w:r>
          </w:p>
        </w:tc>
      </w:tr>
      <w:tr w:rsidR="00DD5C9C" w:rsidRPr="006A05E9" w14:paraId="25B5D5BB" w14:textId="77777777" w:rsidTr="003B5D42">
        <w:trPr>
          <w:trHeight w:val="340"/>
        </w:trPr>
        <w:tc>
          <w:tcPr>
            <w:tcW w:w="1384" w:type="dxa"/>
            <w:vAlign w:val="center"/>
          </w:tcPr>
          <w:p w14:paraId="25B5D5B9" w14:textId="77777777" w:rsidR="00DD5C9C" w:rsidRPr="00501FF8" w:rsidRDefault="00DD5C9C" w:rsidP="003B5D42">
            <w:pPr>
              <w:rPr>
                <w:rFonts w:cs="Arial"/>
                <w:sz w:val="18"/>
                <w:szCs w:val="18"/>
                <w:lang w:bidi="ar-SA"/>
              </w:rPr>
            </w:pPr>
            <w:r w:rsidRPr="00501FF8">
              <w:rPr>
                <w:rFonts w:cs="Arial"/>
                <w:sz w:val="18"/>
                <w:szCs w:val="18"/>
                <w:lang w:bidi="ar-SA"/>
              </w:rPr>
              <w:t>NZ NCNS</w:t>
            </w:r>
          </w:p>
        </w:tc>
        <w:tc>
          <w:tcPr>
            <w:tcW w:w="7513" w:type="dxa"/>
            <w:vAlign w:val="center"/>
          </w:tcPr>
          <w:p w14:paraId="25B5D5BA" w14:textId="77777777" w:rsidR="00DD5C9C" w:rsidRPr="00501FF8" w:rsidRDefault="00DD5C9C" w:rsidP="003B5D42">
            <w:pPr>
              <w:rPr>
                <w:rFonts w:cs="Arial"/>
                <w:sz w:val="18"/>
                <w:szCs w:val="18"/>
                <w:lang w:bidi="ar-SA"/>
              </w:rPr>
            </w:pPr>
            <w:r w:rsidRPr="00501FF8">
              <w:rPr>
                <w:rFonts w:eastAsia="Calibri" w:cs="Arial"/>
                <w:sz w:val="18"/>
                <w:szCs w:val="18"/>
                <w:lang w:bidi="ar-SA"/>
              </w:rPr>
              <w:t>2002 New Zealand National Children’s Nutrition Survey</w:t>
            </w:r>
          </w:p>
        </w:tc>
      </w:tr>
      <w:tr w:rsidR="00DD5C9C" w:rsidRPr="006A05E9" w14:paraId="25B5D5BE" w14:textId="77777777" w:rsidTr="003B5D42">
        <w:trPr>
          <w:trHeight w:val="340"/>
        </w:trPr>
        <w:tc>
          <w:tcPr>
            <w:tcW w:w="1384" w:type="dxa"/>
            <w:vAlign w:val="center"/>
          </w:tcPr>
          <w:p w14:paraId="25B5D5BC" w14:textId="77777777" w:rsidR="00DD5C9C" w:rsidRPr="00501FF8" w:rsidRDefault="00DD5C9C" w:rsidP="003B5D42">
            <w:pPr>
              <w:rPr>
                <w:rFonts w:cs="Arial"/>
                <w:sz w:val="18"/>
                <w:szCs w:val="18"/>
                <w:lang w:bidi="ar-SA"/>
              </w:rPr>
            </w:pPr>
            <w:r w:rsidRPr="00501FF8">
              <w:rPr>
                <w:rFonts w:cs="Arial"/>
                <w:sz w:val="18"/>
                <w:szCs w:val="18"/>
                <w:lang w:bidi="ar-SA"/>
              </w:rPr>
              <w:t>AHS</w:t>
            </w:r>
          </w:p>
        </w:tc>
        <w:tc>
          <w:tcPr>
            <w:tcW w:w="7513" w:type="dxa"/>
            <w:vAlign w:val="center"/>
          </w:tcPr>
          <w:p w14:paraId="25B5D5BD" w14:textId="77777777" w:rsidR="00DD5C9C" w:rsidRPr="00501FF8" w:rsidRDefault="00DD5C9C" w:rsidP="003B5D42">
            <w:pPr>
              <w:rPr>
                <w:rFonts w:cs="Arial"/>
                <w:sz w:val="18"/>
                <w:szCs w:val="18"/>
                <w:lang w:bidi="ar-SA"/>
              </w:rPr>
            </w:pPr>
            <w:r w:rsidRPr="00501FF8">
              <w:rPr>
                <w:rFonts w:cs="Arial"/>
                <w:sz w:val="18"/>
                <w:szCs w:val="18"/>
                <w:lang w:bidi="ar-SA"/>
              </w:rPr>
              <w:t>2011–13 Australian Health Survey</w:t>
            </w:r>
          </w:p>
        </w:tc>
      </w:tr>
      <w:tr w:rsidR="00DD5C9C" w:rsidRPr="006A05E9" w14:paraId="25B5D5C1" w14:textId="77777777" w:rsidTr="003B5D42">
        <w:trPr>
          <w:trHeight w:val="340"/>
        </w:trPr>
        <w:tc>
          <w:tcPr>
            <w:tcW w:w="1384" w:type="dxa"/>
            <w:vAlign w:val="center"/>
          </w:tcPr>
          <w:p w14:paraId="25B5D5BF" w14:textId="77777777" w:rsidR="00DD5C9C" w:rsidRPr="00501FF8" w:rsidRDefault="00DD5C9C" w:rsidP="003B5D42">
            <w:pPr>
              <w:rPr>
                <w:rFonts w:cs="Arial"/>
                <w:sz w:val="18"/>
                <w:szCs w:val="18"/>
                <w:lang w:bidi="ar-SA"/>
              </w:rPr>
            </w:pPr>
            <w:r w:rsidRPr="00501FF8">
              <w:rPr>
                <w:rFonts w:cs="Arial"/>
                <w:sz w:val="18"/>
                <w:szCs w:val="18"/>
                <w:lang w:bidi="ar-SA"/>
              </w:rPr>
              <w:t>NHMS</w:t>
            </w:r>
          </w:p>
        </w:tc>
        <w:tc>
          <w:tcPr>
            <w:tcW w:w="7513" w:type="dxa"/>
            <w:vAlign w:val="center"/>
          </w:tcPr>
          <w:p w14:paraId="25B5D5C0" w14:textId="77777777" w:rsidR="00DD5C9C" w:rsidRPr="00501FF8" w:rsidRDefault="00DD5C9C" w:rsidP="003B5D42">
            <w:pPr>
              <w:rPr>
                <w:rFonts w:cs="Arial"/>
                <w:sz w:val="18"/>
                <w:szCs w:val="18"/>
                <w:lang w:bidi="ar-SA"/>
              </w:rPr>
            </w:pPr>
            <w:r w:rsidRPr="00501FF8">
              <w:rPr>
                <w:rFonts w:cs="Arial"/>
                <w:sz w:val="18"/>
                <w:szCs w:val="18"/>
                <w:lang w:bidi="ar-SA"/>
              </w:rPr>
              <w:t>National Health Measures Survey, the component of the AHS that reported</w:t>
            </w:r>
            <w:r w:rsidRPr="00501FF8" w:rsidDel="00E952A6">
              <w:rPr>
                <w:rFonts w:cs="Arial"/>
                <w:sz w:val="18"/>
                <w:szCs w:val="18"/>
                <w:lang w:bidi="ar-SA"/>
              </w:rPr>
              <w:t xml:space="preserve"> </w:t>
            </w:r>
            <w:r w:rsidRPr="00501FF8">
              <w:rPr>
                <w:rFonts w:cs="Arial"/>
                <w:sz w:val="18"/>
                <w:szCs w:val="18"/>
                <w:lang w:bidi="ar-SA"/>
              </w:rPr>
              <w:t>measurement of 25OHD serum concentration in the Australian population.</w:t>
            </w:r>
          </w:p>
        </w:tc>
      </w:tr>
      <w:tr w:rsidR="00DD5C9C" w:rsidRPr="006A05E9" w14:paraId="25B5D5C4" w14:textId="77777777" w:rsidTr="003B5D42">
        <w:trPr>
          <w:trHeight w:val="454"/>
        </w:trPr>
        <w:tc>
          <w:tcPr>
            <w:tcW w:w="1384" w:type="dxa"/>
            <w:shd w:val="clear" w:color="auto" w:fill="FFFFFF" w:themeFill="background1"/>
            <w:vAlign w:val="center"/>
          </w:tcPr>
          <w:p w14:paraId="25B5D5C2" w14:textId="77777777" w:rsidR="00DD5C9C" w:rsidRPr="00501FF8" w:rsidRDefault="00DD5C9C" w:rsidP="003B5D42">
            <w:pPr>
              <w:rPr>
                <w:rFonts w:cs="Arial"/>
                <w:sz w:val="18"/>
                <w:szCs w:val="18"/>
                <w:lang w:bidi="ar-SA"/>
              </w:rPr>
            </w:pPr>
            <w:r w:rsidRPr="00501FF8">
              <w:rPr>
                <w:rFonts w:cs="Arial"/>
                <w:sz w:val="18"/>
                <w:szCs w:val="18"/>
                <w:lang w:bidi="ar-SA"/>
              </w:rPr>
              <w:t>NNPAS</w:t>
            </w:r>
          </w:p>
        </w:tc>
        <w:tc>
          <w:tcPr>
            <w:tcW w:w="7513" w:type="dxa"/>
            <w:shd w:val="clear" w:color="auto" w:fill="FFFFFF" w:themeFill="background1"/>
            <w:vAlign w:val="center"/>
          </w:tcPr>
          <w:p w14:paraId="25B5D5C3" w14:textId="77777777" w:rsidR="00DD5C9C" w:rsidRPr="00501FF8" w:rsidRDefault="00DD5C9C" w:rsidP="003B5D42">
            <w:pPr>
              <w:rPr>
                <w:rFonts w:cs="Arial"/>
                <w:sz w:val="18"/>
                <w:szCs w:val="18"/>
                <w:lang w:bidi="ar-SA"/>
              </w:rPr>
            </w:pPr>
            <w:r w:rsidRPr="00501FF8">
              <w:rPr>
                <w:rFonts w:cs="Arial"/>
                <w:sz w:val="18"/>
                <w:szCs w:val="18"/>
                <w:lang w:bidi="ar-SA"/>
              </w:rPr>
              <w:t>National Nutrition and Physical Activity Survey component of the AHS that food and nutrient intakes for the Australian population</w:t>
            </w:r>
          </w:p>
        </w:tc>
      </w:tr>
      <w:tr w:rsidR="00DD5C9C" w:rsidRPr="006A05E9" w14:paraId="25B5D5C7" w14:textId="77777777" w:rsidTr="003B5D42">
        <w:trPr>
          <w:trHeight w:val="454"/>
        </w:trPr>
        <w:tc>
          <w:tcPr>
            <w:tcW w:w="1384" w:type="dxa"/>
            <w:vAlign w:val="center"/>
          </w:tcPr>
          <w:p w14:paraId="25B5D5C5" w14:textId="77777777" w:rsidR="00DD5C9C" w:rsidRPr="00501FF8" w:rsidRDefault="00DD5C9C" w:rsidP="003B5D42">
            <w:pPr>
              <w:rPr>
                <w:rFonts w:cs="Arial"/>
                <w:sz w:val="18"/>
                <w:szCs w:val="18"/>
                <w:lang w:bidi="ar-SA"/>
              </w:rPr>
            </w:pPr>
            <w:r w:rsidRPr="00501FF8">
              <w:rPr>
                <w:rFonts w:cs="Arial"/>
                <w:sz w:val="18"/>
                <w:szCs w:val="18"/>
                <w:lang w:bidi="ar-SA"/>
              </w:rPr>
              <w:t>NZ ANS</w:t>
            </w:r>
          </w:p>
        </w:tc>
        <w:tc>
          <w:tcPr>
            <w:tcW w:w="7513" w:type="dxa"/>
            <w:vAlign w:val="center"/>
          </w:tcPr>
          <w:p w14:paraId="25B5D5C6" w14:textId="77777777" w:rsidR="00DD5C9C" w:rsidRPr="00501FF8" w:rsidRDefault="00DD5C9C" w:rsidP="003B5D42">
            <w:pPr>
              <w:rPr>
                <w:rFonts w:cs="Arial"/>
                <w:sz w:val="18"/>
                <w:szCs w:val="18"/>
                <w:lang w:bidi="ar-SA"/>
              </w:rPr>
            </w:pPr>
            <w:r w:rsidRPr="00501FF8">
              <w:rPr>
                <w:rFonts w:cs="Arial"/>
                <w:sz w:val="18"/>
                <w:szCs w:val="18"/>
                <w:lang w:bidi="ar-SA"/>
              </w:rPr>
              <w:t>2008-09 New Zealand Adult Nutrition Survey</w:t>
            </w:r>
          </w:p>
        </w:tc>
      </w:tr>
    </w:tbl>
    <w:p w14:paraId="25B5D5C8" w14:textId="77777777" w:rsidR="00DD5C9C" w:rsidRDefault="00DD5C9C" w:rsidP="003B5D42">
      <w:pPr>
        <w:rPr>
          <w:i/>
          <w:lang w:bidi="ar-SA"/>
        </w:rPr>
      </w:pPr>
    </w:p>
    <w:p w14:paraId="25B5D5C9" w14:textId="77777777" w:rsidR="00DD5C9C" w:rsidRPr="00797E6E" w:rsidRDefault="00DD5C9C" w:rsidP="003B5D42">
      <w:pPr>
        <w:rPr>
          <w:i/>
          <w:lang w:bidi="ar-SA"/>
        </w:rPr>
      </w:pPr>
      <w:r w:rsidRPr="00797E6E">
        <w:rPr>
          <w:i/>
          <w:lang w:bidi="ar-SA"/>
        </w:rPr>
        <w:lastRenderedPageBreak/>
        <w:t xml:space="preserve">Vitamin D Terminology </w:t>
      </w:r>
    </w:p>
    <w:p w14:paraId="25B5D5CA" w14:textId="77777777" w:rsidR="00DD5C9C" w:rsidRPr="00590EDC" w:rsidRDefault="00DD5C9C" w:rsidP="003B5D42">
      <w:pPr>
        <w:spacing w:before="240" w:after="240"/>
        <w:contextualSpacing/>
        <w:outlineLvl w:val="2"/>
        <w:rPr>
          <w:i/>
          <w:lang w:bidi="ar-SA"/>
        </w:rPr>
      </w:pPr>
    </w:p>
    <w:p w14:paraId="25B5D5CB" w14:textId="77777777" w:rsidR="00DD5C9C" w:rsidRPr="00590EDC" w:rsidRDefault="00DD5C9C" w:rsidP="003B5D42">
      <w:pPr>
        <w:rPr>
          <w:lang w:val="en-US"/>
        </w:rPr>
      </w:pPr>
      <w:r w:rsidRPr="00590EDC">
        <w:t xml:space="preserve">Vitamin D terminology and definitions are summarised in the table below. Throughout this report, the term </w:t>
      </w:r>
      <w:r>
        <w:t>‘</w:t>
      </w:r>
      <w:r w:rsidRPr="00590EDC">
        <w:t>vitamin D</w:t>
      </w:r>
      <w:r>
        <w:t>’</w:t>
      </w:r>
      <w:r w:rsidRPr="00590EDC">
        <w:t xml:space="preserve"> (i.e. without a subscript) will be used to mean </w:t>
      </w:r>
      <w:r w:rsidRPr="00590EDC">
        <w:rPr>
          <w:lang w:val="en-US"/>
        </w:rPr>
        <w:t xml:space="preserve">either </w:t>
      </w:r>
      <w:r>
        <w:rPr>
          <w:lang w:val="en-US"/>
        </w:rPr>
        <w:t xml:space="preserve">form of vitamin, i.e. </w:t>
      </w:r>
      <w:r w:rsidRPr="00590EDC">
        <w:rPr>
          <w:lang w:val="en-US"/>
        </w:rPr>
        <w:t>D</w:t>
      </w:r>
      <w:r w:rsidRPr="00590EDC">
        <w:rPr>
          <w:vertAlign w:val="subscript"/>
          <w:lang w:val="en-US"/>
        </w:rPr>
        <w:t>2</w:t>
      </w:r>
      <w:r w:rsidRPr="00590EDC">
        <w:rPr>
          <w:lang w:val="en-US"/>
        </w:rPr>
        <w:t xml:space="preserve"> or D</w:t>
      </w:r>
      <w:r w:rsidRPr="00590EDC">
        <w:rPr>
          <w:vertAlign w:val="subscript"/>
          <w:lang w:val="en-US"/>
        </w:rPr>
        <w:t>3</w:t>
      </w:r>
      <w:r w:rsidRPr="001D00E5">
        <w:rPr>
          <w:lang w:val="en-US"/>
        </w:rPr>
        <w:t>.</w:t>
      </w:r>
      <w:r>
        <w:rPr>
          <w:vertAlign w:val="subscript"/>
          <w:lang w:val="en-US"/>
        </w:rPr>
        <w:t xml:space="preserve"> </w:t>
      </w:r>
      <w:r w:rsidRPr="00590EDC">
        <w:rPr>
          <w:lang w:val="en-US"/>
        </w:rPr>
        <w:t>Vitamin D metabolites without a subscript means the metabolite could be derived from either D</w:t>
      </w:r>
      <w:r w:rsidRPr="00590EDC">
        <w:rPr>
          <w:vertAlign w:val="subscript"/>
          <w:lang w:val="en-US"/>
        </w:rPr>
        <w:t>2</w:t>
      </w:r>
      <w:r w:rsidRPr="00590EDC">
        <w:rPr>
          <w:lang w:val="en-US"/>
        </w:rPr>
        <w:t xml:space="preserve"> or D</w:t>
      </w:r>
      <w:r w:rsidRPr="00590EDC">
        <w:rPr>
          <w:vertAlign w:val="subscript"/>
          <w:lang w:val="en-US"/>
        </w:rPr>
        <w:t>3</w:t>
      </w:r>
      <w:r w:rsidRPr="00590EDC">
        <w:rPr>
          <w:lang w:val="en-US"/>
        </w:rPr>
        <w:t xml:space="preserve"> or the metabolite has not been measured specifically. </w:t>
      </w:r>
      <w:r>
        <w:rPr>
          <w:lang w:val="en-US"/>
        </w:rPr>
        <w:t>The p</w:t>
      </w:r>
      <w:r w:rsidRPr="00590EDC">
        <w:rPr>
          <w:lang w:val="en-US"/>
        </w:rPr>
        <w:t>articular forms of vitamin D (i.e. D</w:t>
      </w:r>
      <w:r w:rsidRPr="00590EDC">
        <w:rPr>
          <w:vertAlign w:val="subscript"/>
          <w:lang w:val="en-US"/>
        </w:rPr>
        <w:t>2</w:t>
      </w:r>
      <w:r w:rsidRPr="00590EDC">
        <w:rPr>
          <w:lang w:val="en-US"/>
        </w:rPr>
        <w:t xml:space="preserve"> or D</w:t>
      </w:r>
      <w:r w:rsidRPr="00590EDC">
        <w:rPr>
          <w:vertAlign w:val="subscript"/>
          <w:lang w:val="en-US"/>
        </w:rPr>
        <w:t>3</w:t>
      </w:r>
      <w:r>
        <w:rPr>
          <w:lang w:val="en-US"/>
        </w:rPr>
        <w:t xml:space="preserve">), or metabolites of these forms, </w:t>
      </w:r>
      <w:r w:rsidRPr="00590EDC">
        <w:rPr>
          <w:lang w:val="en-US"/>
        </w:rPr>
        <w:t xml:space="preserve">will be described and denoted with a subscript as required.  </w:t>
      </w:r>
    </w:p>
    <w:p w14:paraId="25B5D5CC" w14:textId="77777777" w:rsidR="00DD5C9C" w:rsidRPr="00590EDC" w:rsidRDefault="00DD5C9C" w:rsidP="003B5D42">
      <w:pPr>
        <w:rPr>
          <w:lang w:val="en-US"/>
        </w:rPr>
      </w:pPr>
    </w:p>
    <w:tbl>
      <w:tblPr>
        <w:tblStyle w:val="TableGrid51"/>
        <w:tblW w:w="9322" w:type="dxa"/>
        <w:tblLayout w:type="fixed"/>
        <w:tblLook w:val="04A0" w:firstRow="1" w:lastRow="0" w:firstColumn="1" w:lastColumn="0" w:noHBand="0" w:noVBand="1"/>
      </w:tblPr>
      <w:tblGrid>
        <w:gridCol w:w="1951"/>
        <w:gridCol w:w="1701"/>
        <w:gridCol w:w="4231"/>
        <w:gridCol w:w="1439"/>
      </w:tblGrid>
      <w:tr w:rsidR="00DD5C9C" w:rsidRPr="006A05E9" w14:paraId="25B5D5CE" w14:textId="77777777" w:rsidTr="003B5D42">
        <w:trPr>
          <w:trHeight w:val="346"/>
        </w:trPr>
        <w:tc>
          <w:tcPr>
            <w:tcW w:w="9322" w:type="dxa"/>
            <w:gridSpan w:val="4"/>
            <w:shd w:val="clear" w:color="auto" w:fill="DDD9C3" w:themeFill="background2" w:themeFillShade="E6"/>
            <w:vAlign w:val="center"/>
          </w:tcPr>
          <w:p w14:paraId="25B5D5CD" w14:textId="77777777" w:rsidR="00DD5C9C" w:rsidRPr="00991711" w:rsidRDefault="00DD5C9C" w:rsidP="003B5D42">
            <w:pPr>
              <w:rPr>
                <w:b/>
                <w:sz w:val="18"/>
                <w:szCs w:val="18"/>
              </w:rPr>
            </w:pPr>
            <w:r w:rsidRPr="00991711">
              <w:rPr>
                <w:b/>
                <w:sz w:val="18"/>
                <w:szCs w:val="18"/>
              </w:rPr>
              <w:t>Vitamin D terminology and definitions</w:t>
            </w:r>
          </w:p>
        </w:tc>
      </w:tr>
      <w:tr w:rsidR="00DD5C9C" w:rsidRPr="006A05E9" w14:paraId="25B5D5D3" w14:textId="77777777" w:rsidTr="003B5D42">
        <w:trPr>
          <w:trHeight w:val="565"/>
        </w:trPr>
        <w:tc>
          <w:tcPr>
            <w:tcW w:w="1951" w:type="dxa"/>
            <w:shd w:val="clear" w:color="auto" w:fill="auto"/>
            <w:vAlign w:val="center"/>
          </w:tcPr>
          <w:p w14:paraId="25B5D5CF" w14:textId="77777777" w:rsidR="00DD5C9C" w:rsidRPr="00501FF8" w:rsidRDefault="00DD5C9C" w:rsidP="003B5D42">
            <w:pPr>
              <w:rPr>
                <w:b/>
                <w:sz w:val="18"/>
                <w:szCs w:val="18"/>
              </w:rPr>
            </w:pPr>
            <w:r w:rsidRPr="00501FF8">
              <w:rPr>
                <w:b/>
                <w:sz w:val="18"/>
                <w:szCs w:val="18"/>
              </w:rPr>
              <w:t>Term used in this Report</w:t>
            </w:r>
          </w:p>
        </w:tc>
        <w:tc>
          <w:tcPr>
            <w:tcW w:w="1701" w:type="dxa"/>
            <w:shd w:val="clear" w:color="auto" w:fill="auto"/>
            <w:vAlign w:val="center"/>
          </w:tcPr>
          <w:p w14:paraId="25B5D5D0" w14:textId="77777777" w:rsidR="00DD5C9C" w:rsidRPr="00501FF8" w:rsidRDefault="00DD5C9C" w:rsidP="003B5D42">
            <w:pPr>
              <w:rPr>
                <w:b/>
                <w:sz w:val="18"/>
                <w:szCs w:val="18"/>
              </w:rPr>
            </w:pPr>
            <w:r w:rsidRPr="00501FF8">
              <w:rPr>
                <w:b/>
                <w:sz w:val="18"/>
                <w:szCs w:val="18"/>
              </w:rPr>
              <w:t>Other terms</w:t>
            </w:r>
          </w:p>
        </w:tc>
        <w:tc>
          <w:tcPr>
            <w:tcW w:w="4231" w:type="dxa"/>
            <w:shd w:val="clear" w:color="auto" w:fill="auto"/>
            <w:vAlign w:val="center"/>
          </w:tcPr>
          <w:p w14:paraId="25B5D5D1" w14:textId="77777777" w:rsidR="00DD5C9C" w:rsidRPr="00501FF8" w:rsidRDefault="00DD5C9C" w:rsidP="003B5D42">
            <w:pPr>
              <w:rPr>
                <w:b/>
                <w:sz w:val="18"/>
                <w:szCs w:val="18"/>
              </w:rPr>
            </w:pPr>
            <w:r w:rsidRPr="00501FF8">
              <w:rPr>
                <w:b/>
                <w:sz w:val="18"/>
                <w:szCs w:val="18"/>
              </w:rPr>
              <w:t>Definition</w:t>
            </w:r>
          </w:p>
        </w:tc>
        <w:tc>
          <w:tcPr>
            <w:tcW w:w="1439" w:type="dxa"/>
            <w:shd w:val="clear" w:color="auto" w:fill="auto"/>
            <w:vAlign w:val="center"/>
          </w:tcPr>
          <w:p w14:paraId="25B5D5D2" w14:textId="77777777" w:rsidR="00DD5C9C" w:rsidRPr="00501FF8" w:rsidRDefault="00DD5C9C" w:rsidP="003B5D42">
            <w:pPr>
              <w:rPr>
                <w:b/>
                <w:sz w:val="18"/>
                <w:szCs w:val="18"/>
              </w:rPr>
            </w:pPr>
            <w:r w:rsidRPr="00501FF8">
              <w:rPr>
                <w:b/>
                <w:sz w:val="18"/>
                <w:szCs w:val="18"/>
              </w:rPr>
              <w:t xml:space="preserve">Abbreviation </w:t>
            </w:r>
          </w:p>
        </w:tc>
      </w:tr>
      <w:tr w:rsidR="00DD5C9C" w:rsidRPr="006A05E9" w14:paraId="25B5D5D8" w14:textId="77777777" w:rsidTr="003B5D42">
        <w:trPr>
          <w:trHeight w:val="417"/>
        </w:trPr>
        <w:tc>
          <w:tcPr>
            <w:tcW w:w="1951" w:type="dxa"/>
            <w:vAlign w:val="center"/>
          </w:tcPr>
          <w:p w14:paraId="25B5D5D4" w14:textId="77777777" w:rsidR="00DD5C9C" w:rsidRPr="00501FF8" w:rsidRDefault="00DD5C9C" w:rsidP="003B5D42">
            <w:pPr>
              <w:rPr>
                <w:sz w:val="18"/>
                <w:szCs w:val="18"/>
              </w:rPr>
            </w:pPr>
            <w:r w:rsidRPr="00501FF8">
              <w:rPr>
                <w:sz w:val="18"/>
                <w:szCs w:val="18"/>
              </w:rPr>
              <w:t xml:space="preserve">vitamin D </w:t>
            </w:r>
          </w:p>
        </w:tc>
        <w:tc>
          <w:tcPr>
            <w:tcW w:w="1701" w:type="dxa"/>
            <w:vAlign w:val="center"/>
          </w:tcPr>
          <w:p w14:paraId="25B5D5D5" w14:textId="77777777" w:rsidR="00DD5C9C" w:rsidRPr="00501FF8" w:rsidRDefault="00DD5C9C" w:rsidP="003B5D42">
            <w:pPr>
              <w:rPr>
                <w:sz w:val="18"/>
                <w:szCs w:val="18"/>
              </w:rPr>
            </w:pPr>
            <w:r w:rsidRPr="00501FF8">
              <w:rPr>
                <w:sz w:val="18"/>
                <w:szCs w:val="18"/>
              </w:rPr>
              <w:t xml:space="preserve">calciferol </w:t>
            </w:r>
          </w:p>
        </w:tc>
        <w:tc>
          <w:tcPr>
            <w:tcW w:w="4231" w:type="dxa"/>
            <w:vAlign w:val="center"/>
          </w:tcPr>
          <w:p w14:paraId="25B5D5D6" w14:textId="77777777" w:rsidR="00DD5C9C" w:rsidRPr="00501FF8" w:rsidRDefault="00DD5C9C" w:rsidP="003B5D42">
            <w:pPr>
              <w:rPr>
                <w:sz w:val="18"/>
                <w:szCs w:val="18"/>
              </w:rPr>
            </w:pPr>
            <w:r w:rsidRPr="00501FF8">
              <w:rPr>
                <w:sz w:val="18"/>
                <w:szCs w:val="18"/>
              </w:rPr>
              <w:t>Includes both forms of vitamin D – D</w:t>
            </w:r>
            <w:r w:rsidRPr="00501FF8">
              <w:rPr>
                <w:sz w:val="18"/>
                <w:szCs w:val="18"/>
                <w:vertAlign w:val="subscript"/>
              </w:rPr>
              <w:t>2</w:t>
            </w:r>
            <w:r w:rsidRPr="00501FF8">
              <w:rPr>
                <w:sz w:val="18"/>
                <w:szCs w:val="18"/>
              </w:rPr>
              <w:t xml:space="preserve"> or D</w:t>
            </w:r>
            <w:r w:rsidRPr="00501FF8">
              <w:rPr>
                <w:sz w:val="18"/>
                <w:szCs w:val="18"/>
                <w:vertAlign w:val="subscript"/>
              </w:rPr>
              <w:t>3</w:t>
            </w:r>
          </w:p>
        </w:tc>
        <w:tc>
          <w:tcPr>
            <w:tcW w:w="1439" w:type="dxa"/>
            <w:vAlign w:val="center"/>
          </w:tcPr>
          <w:p w14:paraId="25B5D5D7" w14:textId="77777777" w:rsidR="00DD5C9C" w:rsidRPr="00501FF8" w:rsidRDefault="00DD5C9C" w:rsidP="003B5D42">
            <w:pPr>
              <w:rPr>
                <w:sz w:val="18"/>
                <w:szCs w:val="18"/>
              </w:rPr>
            </w:pPr>
            <w:r w:rsidRPr="00501FF8">
              <w:rPr>
                <w:sz w:val="18"/>
                <w:szCs w:val="18"/>
              </w:rPr>
              <w:t>none</w:t>
            </w:r>
          </w:p>
        </w:tc>
      </w:tr>
      <w:tr w:rsidR="00DD5C9C" w:rsidRPr="006A05E9" w14:paraId="25B5D5DD" w14:textId="77777777" w:rsidTr="003B5D42">
        <w:trPr>
          <w:trHeight w:val="624"/>
        </w:trPr>
        <w:tc>
          <w:tcPr>
            <w:tcW w:w="1951" w:type="dxa"/>
            <w:vAlign w:val="center"/>
          </w:tcPr>
          <w:p w14:paraId="25B5D5D9" w14:textId="77777777" w:rsidR="00DD5C9C" w:rsidRPr="00501FF8" w:rsidRDefault="00DD5C9C" w:rsidP="003B5D42">
            <w:pPr>
              <w:rPr>
                <w:sz w:val="18"/>
                <w:szCs w:val="18"/>
              </w:rPr>
            </w:pPr>
            <w:r w:rsidRPr="00501FF8">
              <w:rPr>
                <w:sz w:val="18"/>
                <w:szCs w:val="18"/>
              </w:rPr>
              <w:t>vitamin D forms</w:t>
            </w:r>
          </w:p>
        </w:tc>
        <w:tc>
          <w:tcPr>
            <w:tcW w:w="1701" w:type="dxa"/>
            <w:vAlign w:val="center"/>
          </w:tcPr>
          <w:p w14:paraId="25B5D5DA" w14:textId="77777777" w:rsidR="00DD5C9C" w:rsidRPr="00501FF8" w:rsidRDefault="00DD5C9C" w:rsidP="003B5D42">
            <w:pPr>
              <w:rPr>
                <w:sz w:val="18"/>
                <w:szCs w:val="18"/>
              </w:rPr>
            </w:pPr>
            <w:r w:rsidRPr="00501FF8">
              <w:rPr>
                <w:sz w:val="18"/>
                <w:szCs w:val="18"/>
              </w:rPr>
              <w:t>-</w:t>
            </w:r>
          </w:p>
        </w:tc>
        <w:tc>
          <w:tcPr>
            <w:tcW w:w="4231" w:type="dxa"/>
            <w:vAlign w:val="center"/>
          </w:tcPr>
          <w:p w14:paraId="25B5D5DB" w14:textId="77777777" w:rsidR="00DD5C9C" w:rsidRPr="00501FF8" w:rsidRDefault="00DD5C9C" w:rsidP="003B5D42">
            <w:pPr>
              <w:rPr>
                <w:sz w:val="18"/>
                <w:szCs w:val="18"/>
              </w:rPr>
            </w:pPr>
            <w:r w:rsidRPr="00501FF8">
              <w:rPr>
                <w:sz w:val="18"/>
                <w:szCs w:val="18"/>
              </w:rPr>
              <w:t>Refers specifically to the permit</w:t>
            </w:r>
            <w:r>
              <w:rPr>
                <w:sz w:val="18"/>
                <w:szCs w:val="18"/>
              </w:rPr>
              <w:t>ted forms of dietary vitamin D</w:t>
            </w:r>
            <w:r w:rsidRPr="00501FF8">
              <w:rPr>
                <w:sz w:val="18"/>
                <w:szCs w:val="18"/>
              </w:rPr>
              <w:t xml:space="preserve"> under the ANZFSC</w:t>
            </w:r>
          </w:p>
        </w:tc>
        <w:tc>
          <w:tcPr>
            <w:tcW w:w="1439" w:type="dxa"/>
            <w:vAlign w:val="center"/>
          </w:tcPr>
          <w:p w14:paraId="25B5D5DC" w14:textId="77777777" w:rsidR="00DD5C9C" w:rsidRPr="00501FF8" w:rsidRDefault="00DD5C9C" w:rsidP="003B5D42">
            <w:pPr>
              <w:rPr>
                <w:sz w:val="18"/>
                <w:szCs w:val="18"/>
              </w:rPr>
            </w:pPr>
          </w:p>
        </w:tc>
      </w:tr>
      <w:tr w:rsidR="00DD5C9C" w:rsidRPr="006A05E9" w14:paraId="25B5D5E2" w14:textId="77777777" w:rsidTr="003B5D42">
        <w:trPr>
          <w:trHeight w:val="624"/>
        </w:trPr>
        <w:tc>
          <w:tcPr>
            <w:tcW w:w="1951" w:type="dxa"/>
            <w:vAlign w:val="center"/>
          </w:tcPr>
          <w:p w14:paraId="25B5D5DE" w14:textId="77777777" w:rsidR="00DD5C9C" w:rsidRPr="00501FF8" w:rsidRDefault="00DD5C9C" w:rsidP="003B5D42">
            <w:pPr>
              <w:rPr>
                <w:sz w:val="18"/>
                <w:szCs w:val="18"/>
              </w:rPr>
            </w:pPr>
            <w:r w:rsidRPr="00501FF8">
              <w:rPr>
                <w:sz w:val="18"/>
                <w:szCs w:val="18"/>
              </w:rPr>
              <w:t>vitamin D metabolites</w:t>
            </w:r>
          </w:p>
        </w:tc>
        <w:tc>
          <w:tcPr>
            <w:tcW w:w="1701" w:type="dxa"/>
            <w:vAlign w:val="center"/>
          </w:tcPr>
          <w:p w14:paraId="25B5D5DF" w14:textId="77777777" w:rsidR="00DD5C9C" w:rsidRPr="00501FF8" w:rsidRDefault="00DD5C9C" w:rsidP="003B5D42">
            <w:pPr>
              <w:rPr>
                <w:sz w:val="18"/>
                <w:szCs w:val="18"/>
              </w:rPr>
            </w:pPr>
            <w:r w:rsidRPr="00501FF8">
              <w:rPr>
                <w:sz w:val="18"/>
                <w:szCs w:val="18"/>
              </w:rPr>
              <w:t>-</w:t>
            </w:r>
          </w:p>
        </w:tc>
        <w:tc>
          <w:tcPr>
            <w:tcW w:w="4231" w:type="dxa"/>
            <w:vAlign w:val="center"/>
          </w:tcPr>
          <w:p w14:paraId="25B5D5E0" w14:textId="77777777" w:rsidR="00DD5C9C" w:rsidRPr="00501FF8" w:rsidRDefault="00DD5C9C" w:rsidP="003B5D42">
            <w:pPr>
              <w:rPr>
                <w:sz w:val="18"/>
                <w:szCs w:val="18"/>
              </w:rPr>
            </w:pPr>
            <w:r w:rsidRPr="00501FF8">
              <w:rPr>
                <w:sz w:val="18"/>
                <w:szCs w:val="18"/>
              </w:rPr>
              <w:t>Includes both inactive and active products derived from vitamin D</w:t>
            </w:r>
            <w:r w:rsidRPr="00501FF8">
              <w:rPr>
                <w:sz w:val="18"/>
                <w:szCs w:val="18"/>
                <w:vertAlign w:val="subscript"/>
              </w:rPr>
              <w:t>2</w:t>
            </w:r>
            <w:r w:rsidRPr="00501FF8">
              <w:rPr>
                <w:sz w:val="18"/>
                <w:szCs w:val="18"/>
              </w:rPr>
              <w:t xml:space="preserve"> or vitamin D</w:t>
            </w:r>
            <w:r w:rsidRPr="00501FF8">
              <w:rPr>
                <w:sz w:val="18"/>
                <w:szCs w:val="18"/>
                <w:vertAlign w:val="subscript"/>
              </w:rPr>
              <w:t>3</w:t>
            </w:r>
          </w:p>
        </w:tc>
        <w:tc>
          <w:tcPr>
            <w:tcW w:w="1439" w:type="dxa"/>
            <w:vAlign w:val="center"/>
          </w:tcPr>
          <w:p w14:paraId="25B5D5E1" w14:textId="77777777" w:rsidR="00DD5C9C" w:rsidRPr="00501FF8" w:rsidRDefault="00DD5C9C" w:rsidP="003B5D42">
            <w:pPr>
              <w:rPr>
                <w:sz w:val="18"/>
                <w:szCs w:val="18"/>
              </w:rPr>
            </w:pPr>
          </w:p>
        </w:tc>
      </w:tr>
      <w:tr w:rsidR="00DD5C9C" w:rsidRPr="006A05E9" w14:paraId="25B5D5E7" w14:textId="77777777" w:rsidTr="003B5D42">
        <w:trPr>
          <w:trHeight w:val="624"/>
        </w:trPr>
        <w:tc>
          <w:tcPr>
            <w:tcW w:w="1951" w:type="dxa"/>
            <w:vAlign w:val="center"/>
          </w:tcPr>
          <w:p w14:paraId="25B5D5E3" w14:textId="77777777" w:rsidR="00DD5C9C" w:rsidRPr="00501FF8" w:rsidRDefault="00DD5C9C" w:rsidP="003B5D42">
            <w:pPr>
              <w:rPr>
                <w:sz w:val="18"/>
                <w:szCs w:val="18"/>
              </w:rPr>
            </w:pPr>
            <w:r w:rsidRPr="00501FF8">
              <w:rPr>
                <w:sz w:val="18"/>
                <w:szCs w:val="18"/>
              </w:rPr>
              <w:t>7-dehydrocholesterol</w:t>
            </w:r>
          </w:p>
        </w:tc>
        <w:tc>
          <w:tcPr>
            <w:tcW w:w="1701" w:type="dxa"/>
            <w:vAlign w:val="center"/>
          </w:tcPr>
          <w:p w14:paraId="25B5D5E4" w14:textId="77777777" w:rsidR="00DD5C9C" w:rsidRPr="00501FF8" w:rsidRDefault="00DD5C9C" w:rsidP="003B5D42">
            <w:pPr>
              <w:rPr>
                <w:sz w:val="18"/>
                <w:szCs w:val="18"/>
              </w:rPr>
            </w:pPr>
            <w:r w:rsidRPr="00501FF8">
              <w:rPr>
                <w:sz w:val="18"/>
                <w:szCs w:val="18"/>
              </w:rPr>
              <w:t>-</w:t>
            </w:r>
          </w:p>
        </w:tc>
        <w:tc>
          <w:tcPr>
            <w:tcW w:w="4231" w:type="dxa"/>
            <w:vAlign w:val="center"/>
          </w:tcPr>
          <w:p w14:paraId="25B5D5E5" w14:textId="77777777" w:rsidR="00DD5C9C" w:rsidRPr="00501FF8" w:rsidRDefault="00DD5C9C" w:rsidP="003B5D42">
            <w:pPr>
              <w:rPr>
                <w:sz w:val="18"/>
                <w:szCs w:val="18"/>
              </w:rPr>
            </w:pPr>
            <w:r w:rsidRPr="00501FF8">
              <w:rPr>
                <w:sz w:val="18"/>
                <w:szCs w:val="18"/>
              </w:rPr>
              <w:t>Precursor to vitamin D</w:t>
            </w:r>
            <w:r w:rsidRPr="00501FF8">
              <w:rPr>
                <w:sz w:val="18"/>
                <w:szCs w:val="18"/>
                <w:vertAlign w:val="subscript"/>
              </w:rPr>
              <w:t>3</w:t>
            </w:r>
            <w:r w:rsidRPr="00501FF8">
              <w:rPr>
                <w:sz w:val="18"/>
                <w:szCs w:val="18"/>
              </w:rPr>
              <w:t xml:space="preserve"> found in the skin of most terrestrial animals</w:t>
            </w:r>
          </w:p>
        </w:tc>
        <w:tc>
          <w:tcPr>
            <w:tcW w:w="1439" w:type="dxa"/>
            <w:vAlign w:val="center"/>
          </w:tcPr>
          <w:p w14:paraId="25B5D5E6" w14:textId="77777777" w:rsidR="00DD5C9C" w:rsidRPr="00501FF8" w:rsidRDefault="00DD5C9C" w:rsidP="003B5D42">
            <w:pPr>
              <w:rPr>
                <w:sz w:val="18"/>
                <w:szCs w:val="18"/>
              </w:rPr>
            </w:pPr>
            <w:r w:rsidRPr="00501FF8">
              <w:rPr>
                <w:sz w:val="18"/>
                <w:szCs w:val="18"/>
              </w:rPr>
              <w:t>none</w:t>
            </w:r>
          </w:p>
        </w:tc>
      </w:tr>
      <w:tr w:rsidR="00DD5C9C" w:rsidRPr="006A05E9" w14:paraId="25B5D5EC" w14:textId="77777777" w:rsidTr="003B5D42">
        <w:trPr>
          <w:trHeight w:val="624"/>
        </w:trPr>
        <w:tc>
          <w:tcPr>
            <w:tcW w:w="1951" w:type="dxa"/>
            <w:vAlign w:val="center"/>
          </w:tcPr>
          <w:p w14:paraId="25B5D5E8" w14:textId="77777777" w:rsidR="00DD5C9C" w:rsidRPr="00501FF8" w:rsidRDefault="00DD5C9C" w:rsidP="003B5D42">
            <w:pPr>
              <w:rPr>
                <w:sz w:val="18"/>
                <w:szCs w:val="18"/>
              </w:rPr>
            </w:pPr>
            <w:r w:rsidRPr="00501FF8">
              <w:rPr>
                <w:sz w:val="18"/>
                <w:szCs w:val="18"/>
              </w:rPr>
              <w:t>previtamin D</w:t>
            </w:r>
            <w:r w:rsidRPr="00501FF8">
              <w:rPr>
                <w:sz w:val="18"/>
                <w:szCs w:val="18"/>
                <w:vertAlign w:val="subscript"/>
              </w:rPr>
              <w:t>3</w:t>
            </w:r>
          </w:p>
        </w:tc>
        <w:tc>
          <w:tcPr>
            <w:tcW w:w="1701" w:type="dxa"/>
            <w:vAlign w:val="center"/>
          </w:tcPr>
          <w:p w14:paraId="25B5D5E9" w14:textId="77777777" w:rsidR="00DD5C9C" w:rsidRPr="00501FF8" w:rsidRDefault="00DD5C9C" w:rsidP="003B5D42">
            <w:pPr>
              <w:rPr>
                <w:sz w:val="18"/>
                <w:szCs w:val="18"/>
              </w:rPr>
            </w:pPr>
            <w:r w:rsidRPr="00501FF8">
              <w:rPr>
                <w:sz w:val="18"/>
                <w:szCs w:val="18"/>
              </w:rPr>
              <w:t>precalciferol</w:t>
            </w:r>
          </w:p>
        </w:tc>
        <w:tc>
          <w:tcPr>
            <w:tcW w:w="4231" w:type="dxa"/>
            <w:vAlign w:val="center"/>
          </w:tcPr>
          <w:p w14:paraId="25B5D5EA" w14:textId="77777777" w:rsidR="00DD5C9C" w:rsidRPr="00501FF8" w:rsidRDefault="00DD5C9C" w:rsidP="003B5D42">
            <w:pPr>
              <w:rPr>
                <w:sz w:val="18"/>
                <w:szCs w:val="18"/>
              </w:rPr>
            </w:pPr>
            <w:r w:rsidRPr="00501FF8">
              <w:rPr>
                <w:sz w:val="18"/>
                <w:szCs w:val="18"/>
              </w:rPr>
              <w:t>Precursor of vitamin D</w:t>
            </w:r>
            <w:r w:rsidRPr="00501FF8">
              <w:rPr>
                <w:sz w:val="18"/>
                <w:szCs w:val="18"/>
                <w:vertAlign w:val="subscript"/>
              </w:rPr>
              <w:t xml:space="preserve">3 </w:t>
            </w:r>
            <w:r w:rsidRPr="00501FF8">
              <w:rPr>
                <w:sz w:val="18"/>
                <w:szCs w:val="18"/>
              </w:rPr>
              <w:t>, formed by action of UV-B (sunlight) on 7-dehydrocholesterol</w:t>
            </w:r>
          </w:p>
        </w:tc>
        <w:tc>
          <w:tcPr>
            <w:tcW w:w="1439" w:type="dxa"/>
            <w:vAlign w:val="center"/>
          </w:tcPr>
          <w:p w14:paraId="25B5D5EB" w14:textId="77777777" w:rsidR="00DD5C9C" w:rsidRPr="00501FF8" w:rsidRDefault="00DD5C9C" w:rsidP="003B5D42">
            <w:pPr>
              <w:rPr>
                <w:sz w:val="18"/>
                <w:szCs w:val="18"/>
              </w:rPr>
            </w:pPr>
            <w:r w:rsidRPr="00501FF8">
              <w:rPr>
                <w:sz w:val="18"/>
                <w:szCs w:val="18"/>
              </w:rPr>
              <w:t>none</w:t>
            </w:r>
          </w:p>
        </w:tc>
      </w:tr>
      <w:tr w:rsidR="00DD5C9C" w:rsidRPr="006A05E9" w14:paraId="25B5D5F1" w14:textId="77777777" w:rsidTr="003B5D42">
        <w:trPr>
          <w:trHeight w:val="624"/>
        </w:trPr>
        <w:tc>
          <w:tcPr>
            <w:tcW w:w="1951" w:type="dxa"/>
            <w:vAlign w:val="center"/>
          </w:tcPr>
          <w:p w14:paraId="25B5D5ED" w14:textId="77777777" w:rsidR="00DD5C9C" w:rsidRPr="00501FF8" w:rsidRDefault="00DD5C9C" w:rsidP="003B5D42">
            <w:pPr>
              <w:rPr>
                <w:sz w:val="18"/>
                <w:szCs w:val="18"/>
              </w:rPr>
            </w:pPr>
            <w:r w:rsidRPr="00501FF8">
              <w:rPr>
                <w:sz w:val="18"/>
                <w:szCs w:val="18"/>
              </w:rPr>
              <w:t>vitamin D</w:t>
            </w:r>
            <w:r w:rsidRPr="00501FF8">
              <w:rPr>
                <w:sz w:val="18"/>
                <w:szCs w:val="18"/>
                <w:vertAlign w:val="subscript"/>
              </w:rPr>
              <w:t>3</w:t>
            </w:r>
          </w:p>
        </w:tc>
        <w:tc>
          <w:tcPr>
            <w:tcW w:w="1701" w:type="dxa"/>
            <w:vAlign w:val="center"/>
          </w:tcPr>
          <w:p w14:paraId="25B5D5EE" w14:textId="77777777" w:rsidR="00DD5C9C" w:rsidRPr="00501FF8" w:rsidRDefault="00DD5C9C" w:rsidP="003B5D42">
            <w:pPr>
              <w:rPr>
                <w:sz w:val="18"/>
                <w:szCs w:val="18"/>
              </w:rPr>
            </w:pPr>
            <w:r w:rsidRPr="00501FF8">
              <w:rPr>
                <w:sz w:val="18"/>
                <w:szCs w:val="18"/>
              </w:rPr>
              <w:t>cholecalciferol</w:t>
            </w:r>
          </w:p>
        </w:tc>
        <w:tc>
          <w:tcPr>
            <w:tcW w:w="4231" w:type="dxa"/>
            <w:vAlign w:val="center"/>
          </w:tcPr>
          <w:p w14:paraId="25B5D5EF" w14:textId="77777777" w:rsidR="00DD5C9C" w:rsidRPr="00501FF8" w:rsidRDefault="00DD5C9C" w:rsidP="003B5D42">
            <w:pPr>
              <w:rPr>
                <w:sz w:val="18"/>
                <w:szCs w:val="18"/>
              </w:rPr>
            </w:pPr>
            <w:r w:rsidRPr="00501FF8">
              <w:rPr>
                <w:sz w:val="18"/>
                <w:szCs w:val="18"/>
              </w:rPr>
              <w:t>Vitamin D that is photosynthesised in the skin of animals and humans</w:t>
            </w:r>
          </w:p>
        </w:tc>
        <w:tc>
          <w:tcPr>
            <w:tcW w:w="1439" w:type="dxa"/>
            <w:vAlign w:val="center"/>
          </w:tcPr>
          <w:p w14:paraId="25B5D5F0" w14:textId="77777777" w:rsidR="00DD5C9C" w:rsidRPr="00501FF8" w:rsidRDefault="00DD5C9C" w:rsidP="003B5D42">
            <w:pPr>
              <w:rPr>
                <w:sz w:val="18"/>
                <w:szCs w:val="18"/>
              </w:rPr>
            </w:pPr>
            <w:r w:rsidRPr="00501FF8">
              <w:rPr>
                <w:sz w:val="18"/>
                <w:szCs w:val="18"/>
              </w:rPr>
              <w:t>D</w:t>
            </w:r>
            <w:r w:rsidRPr="00501FF8">
              <w:rPr>
                <w:sz w:val="18"/>
                <w:szCs w:val="18"/>
                <w:vertAlign w:val="subscript"/>
              </w:rPr>
              <w:t>3</w:t>
            </w:r>
          </w:p>
        </w:tc>
      </w:tr>
      <w:tr w:rsidR="00DD5C9C" w:rsidRPr="006A05E9" w14:paraId="25B5D5F6" w14:textId="77777777" w:rsidTr="003B5D42">
        <w:trPr>
          <w:trHeight w:val="624"/>
        </w:trPr>
        <w:tc>
          <w:tcPr>
            <w:tcW w:w="1951" w:type="dxa"/>
            <w:vAlign w:val="center"/>
          </w:tcPr>
          <w:p w14:paraId="25B5D5F2" w14:textId="77777777" w:rsidR="00DD5C9C" w:rsidRPr="00501FF8" w:rsidRDefault="00DD5C9C" w:rsidP="003B5D42">
            <w:pPr>
              <w:rPr>
                <w:sz w:val="18"/>
                <w:szCs w:val="18"/>
              </w:rPr>
            </w:pPr>
            <w:r w:rsidRPr="00501FF8">
              <w:rPr>
                <w:sz w:val="18"/>
                <w:szCs w:val="18"/>
              </w:rPr>
              <w:t>25-hydroxy vitamin D</w:t>
            </w:r>
            <w:r w:rsidRPr="00501FF8">
              <w:rPr>
                <w:sz w:val="18"/>
                <w:szCs w:val="18"/>
                <w:vertAlign w:val="subscript"/>
              </w:rPr>
              <w:t>3</w:t>
            </w:r>
          </w:p>
        </w:tc>
        <w:tc>
          <w:tcPr>
            <w:tcW w:w="1701" w:type="dxa"/>
            <w:vAlign w:val="center"/>
          </w:tcPr>
          <w:p w14:paraId="25B5D5F3" w14:textId="77777777" w:rsidR="00DD5C9C" w:rsidRPr="00501FF8" w:rsidRDefault="00DD5C9C" w:rsidP="003B5D42">
            <w:pPr>
              <w:rPr>
                <w:sz w:val="18"/>
                <w:szCs w:val="18"/>
              </w:rPr>
            </w:pPr>
            <w:r w:rsidRPr="00501FF8">
              <w:rPr>
                <w:sz w:val="18"/>
                <w:szCs w:val="18"/>
              </w:rPr>
              <w:t>25-hydroxy cholecalciferol</w:t>
            </w:r>
          </w:p>
        </w:tc>
        <w:tc>
          <w:tcPr>
            <w:tcW w:w="4231" w:type="dxa"/>
            <w:vAlign w:val="center"/>
          </w:tcPr>
          <w:p w14:paraId="25B5D5F4" w14:textId="77777777" w:rsidR="00DD5C9C" w:rsidRPr="00501FF8" w:rsidRDefault="00DD5C9C" w:rsidP="003B5D42">
            <w:pPr>
              <w:rPr>
                <w:sz w:val="18"/>
                <w:szCs w:val="18"/>
              </w:rPr>
            </w:pPr>
            <w:r w:rsidRPr="00501FF8">
              <w:rPr>
                <w:sz w:val="18"/>
                <w:szCs w:val="18"/>
              </w:rPr>
              <w:t>The main circulating metabolite derived from vitamin D</w:t>
            </w:r>
            <w:r w:rsidRPr="00501FF8">
              <w:rPr>
                <w:sz w:val="18"/>
                <w:szCs w:val="18"/>
                <w:vertAlign w:val="subscript"/>
              </w:rPr>
              <w:t>3</w:t>
            </w:r>
          </w:p>
        </w:tc>
        <w:tc>
          <w:tcPr>
            <w:tcW w:w="1439" w:type="dxa"/>
            <w:vAlign w:val="center"/>
          </w:tcPr>
          <w:p w14:paraId="25B5D5F5" w14:textId="77777777" w:rsidR="00DD5C9C" w:rsidRPr="00501FF8" w:rsidRDefault="00DD5C9C" w:rsidP="003B5D42">
            <w:pPr>
              <w:rPr>
                <w:sz w:val="18"/>
                <w:szCs w:val="18"/>
              </w:rPr>
            </w:pPr>
            <w:r w:rsidRPr="00501FF8">
              <w:rPr>
                <w:sz w:val="18"/>
                <w:szCs w:val="18"/>
              </w:rPr>
              <w:t>25OHD</w:t>
            </w:r>
            <w:r w:rsidRPr="00501FF8">
              <w:rPr>
                <w:sz w:val="18"/>
                <w:szCs w:val="18"/>
                <w:vertAlign w:val="subscript"/>
              </w:rPr>
              <w:t>3</w:t>
            </w:r>
          </w:p>
        </w:tc>
      </w:tr>
      <w:tr w:rsidR="00DD5C9C" w:rsidRPr="006A05E9" w14:paraId="25B5D5FB" w14:textId="77777777" w:rsidTr="003B5D42">
        <w:trPr>
          <w:trHeight w:val="624"/>
        </w:trPr>
        <w:tc>
          <w:tcPr>
            <w:tcW w:w="1951" w:type="dxa"/>
            <w:vAlign w:val="center"/>
          </w:tcPr>
          <w:p w14:paraId="25B5D5F7" w14:textId="77777777" w:rsidR="00DD5C9C" w:rsidRPr="00501FF8" w:rsidRDefault="00DD5C9C" w:rsidP="003B5D42">
            <w:pPr>
              <w:rPr>
                <w:sz w:val="18"/>
                <w:szCs w:val="18"/>
              </w:rPr>
            </w:pPr>
            <w:r w:rsidRPr="00501FF8">
              <w:rPr>
                <w:sz w:val="18"/>
                <w:szCs w:val="18"/>
              </w:rPr>
              <w:t>1,25-dihydroxy vitamin D</w:t>
            </w:r>
            <w:r w:rsidRPr="00501FF8">
              <w:rPr>
                <w:sz w:val="18"/>
                <w:szCs w:val="18"/>
                <w:vertAlign w:val="subscript"/>
              </w:rPr>
              <w:t>3</w:t>
            </w:r>
          </w:p>
        </w:tc>
        <w:tc>
          <w:tcPr>
            <w:tcW w:w="1701" w:type="dxa"/>
            <w:vAlign w:val="center"/>
          </w:tcPr>
          <w:p w14:paraId="25B5D5F8" w14:textId="77777777" w:rsidR="00DD5C9C" w:rsidRPr="00501FF8" w:rsidRDefault="00DD5C9C" w:rsidP="003B5D42">
            <w:pPr>
              <w:rPr>
                <w:sz w:val="18"/>
                <w:szCs w:val="18"/>
              </w:rPr>
            </w:pPr>
            <w:r w:rsidRPr="00501FF8">
              <w:rPr>
                <w:sz w:val="18"/>
                <w:szCs w:val="18"/>
              </w:rPr>
              <w:t>1,25-dihydroxy cholecalciferol</w:t>
            </w:r>
          </w:p>
        </w:tc>
        <w:tc>
          <w:tcPr>
            <w:tcW w:w="4231" w:type="dxa"/>
            <w:vAlign w:val="center"/>
          </w:tcPr>
          <w:p w14:paraId="25B5D5F9" w14:textId="77777777" w:rsidR="00DD5C9C" w:rsidRPr="00501FF8" w:rsidRDefault="00DD5C9C" w:rsidP="00AF79AC">
            <w:pPr>
              <w:rPr>
                <w:sz w:val="18"/>
                <w:szCs w:val="18"/>
              </w:rPr>
            </w:pPr>
            <w:r w:rsidRPr="00501FF8">
              <w:rPr>
                <w:sz w:val="18"/>
                <w:szCs w:val="18"/>
              </w:rPr>
              <w:t>Main physiologically active metabolite derived from vitamin D</w:t>
            </w:r>
            <w:r w:rsidRPr="00501FF8">
              <w:rPr>
                <w:sz w:val="18"/>
                <w:szCs w:val="18"/>
                <w:vertAlign w:val="subscript"/>
              </w:rPr>
              <w:t>3</w:t>
            </w:r>
          </w:p>
        </w:tc>
        <w:tc>
          <w:tcPr>
            <w:tcW w:w="1439" w:type="dxa"/>
            <w:vAlign w:val="center"/>
          </w:tcPr>
          <w:p w14:paraId="25B5D5FA" w14:textId="77777777" w:rsidR="00DD5C9C" w:rsidRPr="00501FF8" w:rsidRDefault="00DD5C9C" w:rsidP="003B5D42">
            <w:pPr>
              <w:rPr>
                <w:sz w:val="18"/>
                <w:szCs w:val="18"/>
              </w:rPr>
            </w:pPr>
            <w:r w:rsidRPr="00501FF8">
              <w:rPr>
                <w:sz w:val="18"/>
                <w:szCs w:val="18"/>
              </w:rPr>
              <w:t>1,25(OH)</w:t>
            </w:r>
            <w:r w:rsidRPr="00501FF8">
              <w:rPr>
                <w:sz w:val="18"/>
                <w:szCs w:val="18"/>
                <w:vertAlign w:val="subscript"/>
              </w:rPr>
              <w:t>2</w:t>
            </w:r>
            <w:r w:rsidRPr="00501FF8">
              <w:rPr>
                <w:sz w:val="18"/>
                <w:szCs w:val="18"/>
              </w:rPr>
              <w:t>D</w:t>
            </w:r>
            <w:r w:rsidRPr="00501FF8">
              <w:rPr>
                <w:sz w:val="18"/>
                <w:szCs w:val="18"/>
                <w:vertAlign w:val="subscript"/>
              </w:rPr>
              <w:t>3</w:t>
            </w:r>
          </w:p>
        </w:tc>
      </w:tr>
      <w:tr w:rsidR="00DD5C9C" w:rsidRPr="006A05E9" w14:paraId="25B5D600" w14:textId="77777777" w:rsidTr="003B5D42">
        <w:trPr>
          <w:trHeight w:val="624"/>
        </w:trPr>
        <w:tc>
          <w:tcPr>
            <w:tcW w:w="1951" w:type="dxa"/>
            <w:vAlign w:val="center"/>
          </w:tcPr>
          <w:p w14:paraId="25B5D5FC" w14:textId="77777777" w:rsidR="00DD5C9C" w:rsidRPr="00501FF8" w:rsidRDefault="00DD5C9C" w:rsidP="003B5D42">
            <w:pPr>
              <w:rPr>
                <w:sz w:val="18"/>
                <w:szCs w:val="18"/>
              </w:rPr>
            </w:pPr>
            <w:r w:rsidRPr="00501FF8">
              <w:rPr>
                <w:sz w:val="18"/>
                <w:szCs w:val="18"/>
              </w:rPr>
              <w:t>vitamin D</w:t>
            </w:r>
            <w:r w:rsidRPr="00501FF8">
              <w:rPr>
                <w:sz w:val="18"/>
                <w:szCs w:val="18"/>
                <w:vertAlign w:val="subscript"/>
              </w:rPr>
              <w:t>2</w:t>
            </w:r>
          </w:p>
        </w:tc>
        <w:tc>
          <w:tcPr>
            <w:tcW w:w="1701" w:type="dxa"/>
            <w:vAlign w:val="center"/>
          </w:tcPr>
          <w:p w14:paraId="25B5D5FD" w14:textId="77777777" w:rsidR="00DD5C9C" w:rsidRPr="00501FF8" w:rsidRDefault="00DD5C9C" w:rsidP="003B5D42">
            <w:pPr>
              <w:rPr>
                <w:sz w:val="18"/>
                <w:szCs w:val="18"/>
              </w:rPr>
            </w:pPr>
            <w:r w:rsidRPr="00501FF8">
              <w:rPr>
                <w:sz w:val="18"/>
                <w:szCs w:val="18"/>
              </w:rPr>
              <w:t>ergocalciferol</w:t>
            </w:r>
          </w:p>
        </w:tc>
        <w:tc>
          <w:tcPr>
            <w:tcW w:w="4231" w:type="dxa"/>
            <w:vAlign w:val="center"/>
          </w:tcPr>
          <w:p w14:paraId="25B5D5FE" w14:textId="77777777" w:rsidR="00DD5C9C" w:rsidRPr="00501FF8" w:rsidRDefault="00DD5C9C" w:rsidP="003B5D42">
            <w:pPr>
              <w:rPr>
                <w:sz w:val="18"/>
                <w:szCs w:val="18"/>
              </w:rPr>
            </w:pPr>
            <w:r w:rsidRPr="00501FF8">
              <w:rPr>
                <w:sz w:val="18"/>
                <w:szCs w:val="18"/>
              </w:rPr>
              <w:t>Vitamin D that is derived from certain fungi</w:t>
            </w:r>
          </w:p>
        </w:tc>
        <w:tc>
          <w:tcPr>
            <w:tcW w:w="1439" w:type="dxa"/>
            <w:vAlign w:val="center"/>
          </w:tcPr>
          <w:p w14:paraId="25B5D5FF" w14:textId="77777777" w:rsidR="00DD5C9C" w:rsidRPr="00501FF8" w:rsidRDefault="00DD5C9C" w:rsidP="003B5D42">
            <w:pPr>
              <w:rPr>
                <w:sz w:val="18"/>
                <w:szCs w:val="18"/>
              </w:rPr>
            </w:pPr>
            <w:r w:rsidRPr="00501FF8">
              <w:rPr>
                <w:sz w:val="18"/>
                <w:szCs w:val="18"/>
              </w:rPr>
              <w:t>D</w:t>
            </w:r>
            <w:r w:rsidRPr="00501FF8">
              <w:rPr>
                <w:sz w:val="18"/>
                <w:szCs w:val="18"/>
                <w:vertAlign w:val="subscript"/>
              </w:rPr>
              <w:t>2</w:t>
            </w:r>
          </w:p>
        </w:tc>
      </w:tr>
      <w:tr w:rsidR="00DD5C9C" w:rsidRPr="006A05E9" w14:paraId="25B5D605" w14:textId="77777777" w:rsidTr="003B5D42">
        <w:trPr>
          <w:trHeight w:val="624"/>
        </w:trPr>
        <w:tc>
          <w:tcPr>
            <w:tcW w:w="1951" w:type="dxa"/>
            <w:vAlign w:val="center"/>
          </w:tcPr>
          <w:p w14:paraId="25B5D601" w14:textId="77777777" w:rsidR="00DD5C9C" w:rsidRPr="00501FF8" w:rsidRDefault="00DD5C9C" w:rsidP="003B5D42">
            <w:pPr>
              <w:rPr>
                <w:sz w:val="18"/>
                <w:szCs w:val="18"/>
              </w:rPr>
            </w:pPr>
            <w:r w:rsidRPr="00501FF8">
              <w:rPr>
                <w:sz w:val="18"/>
                <w:szCs w:val="18"/>
              </w:rPr>
              <w:t>25-hydroxy vitamin D</w:t>
            </w:r>
            <w:r w:rsidRPr="00501FF8">
              <w:rPr>
                <w:sz w:val="18"/>
                <w:szCs w:val="18"/>
                <w:vertAlign w:val="subscript"/>
              </w:rPr>
              <w:t>2</w:t>
            </w:r>
          </w:p>
        </w:tc>
        <w:tc>
          <w:tcPr>
            <w:tcW w:w="1701" w:type="dxa"/>
            <w:vAlign w:val="center"/>
          </w:tcPr>
          <w:p w14:paraId="25B5D602" w14:textId="77777777" w:rsidR="00DD5C9C" w:rsidRPr="00501FF8" w:rsidRDefault="00DD5C9C" w:rsidP="003B5D42">
            <w:pPr>
              <w:rPr>
                <w:sz w:val="18"/>
                <w:szCs w:val="18"/>
              </w:rPr>
            </w:pPr>
            <w:r w:rsidRPr="00501FF8">
              <w:rPr>
                <w:sz w:val="18"/>
                <w:szCs w:val="18"/>
              </w:rPr>
              <w:t>25-hydroxy ergocalciferol</w:t>
            </w:r>
          </w:p>
        </w:tc>
        <w:tc>
          <w:tcPr>
            <w:tcW w:w="4231" w:type="dxa"/>
            <w:vAlign w:val="center"/>
          </w:tcPr>
          <w:p w14:paraId="25B5D603" w14:textId="77777777" w:rsidR="00DD5C9C" w:rsidRPr="00501FF8" w:rsidRDefault="00DD5C9C" w:rsidP="003B5D42">
            <w:pPr>
              <w:rPr>
                <w:sz w:val="18"/>
                <w:szCs w:val="18"/>
              </w:rPr>
            </w:pPr>
            <w:r w:rsidRPr="00501FF8">
              <w:rPr>
                <w:sz w:val="18"/>
                <w:szCs w:val="18"/>
              </w:rPr>
              <w:t>The main circulating metabolite derived from vitamin D</w:t>
            </w:r>
            <w:r w:rsidRPr="00501FF8">
              <w:rPr>
                <w:sz w:val="18"/>
                <w:szCs w:val="18"/>
                <w:vertAlign w:val="subscript"/>
              </w:rPr>
              <w:t>2</w:t>
            </w:r>
          </w:p>
        </w:tc>
        <w:tc>
          <w:tcPr>
            <w:tcW w:w="1439" w:type="dxa"/>
            <w:vAlign w:val="center"/>
          </w:tcPr>
          <w:p w14:paraId="25B5D604" w14:textId="77777777" w:rsidR="00DD5C9C" w:rsidRPr="00501FF8" w:rsidRDefault="00DD5C9C" w:rsidP="003B5D42">
            <w:pPr>
              <w:rPr>
                <w:sz w:val="18"/>
                <w:szCs w:val="18"/>
              </w:rPr>
            </w:pPr>
            <w:r w:rsidRPr="00501FF8">
              <w:rPr>
                <w:sz w:val="18"/>
                <w:szCs w:val="18"/>
              </w:rPr>
              <w:t>25OHD</w:t>
            </w:r>
            <w:r w:rsidRPr="00501FF8">
              <w:rPr>
                <w:sz w:val="18"/>
                <w:szCs w:val="18"/>
                <w:vertAlign w:val="subscript"/>
              </w:rPr>
              <w:t>2</w:t>
            </w:r>
          </w:p>
        </w:tc>
      </w:tr>
      <w:tr w:rsidR="00DD5C9C" w:rsidRPr="006A05E9" w14:paraId="25B5D60A" w14:textId="77777777" w:rsidTr="003B5D42">
        <w:trPr>
          <w:trHeight w:val="624"/>
        </w:trPr>
        <w:tc>
          <w:tcPr>
            <w:tcW w:w="1951" w:type="dxa"/>
            <w:vAlign w:val="center"/>
          </w:tcPr>
          <w:p w14:paraId="25B5D606" w14:textId="77777777" w:rsidR="00DD5C9C" w:rsidRPr="00501FF8" w:rsidRDefault="00DD5C9C" w:rsidP="003B5D42">
            <w:pPr>
              <w:rPr>
                <w:sz w:val="18"/>
                <w:szCs w:val="18"/>
              </w:rPr>
            </w:pPr>
            <w:r w:rsidRPr="00501FF8">
              <w:rPr>
                <w:sz w:val="18"/>
                <w:szCs w:val="18"/>
              </w:rPr>
              <w:t>1,25-dihydroxy vitamin D</w:t>
            </w:r>
            <w:r w:rsidRPr="00501FF8">
              <w:rPr>
                <w:sz w:val="18"/>
                <w:szCs w:val="18"/>
                <w:vertAlign w:val="subscript"/>
              </w:rPr>
              <w:t>2</w:t>
            </w:r>
          </w:p>
        </w:tc>
        <w:tc>
          <w:tcPr>
            <w:tcW w:w="1701" w:type="dxa"/>
            <w:vAlign w:val="center"/>
          </w:tcPr>
          <w:p w14:paraId="25B5D607" w14:textId="77777777" w:rsidR="00DD5C9C" w:rsidRPr="00501FF8" w:rsidRDefault="00DD5C9C" w:rsidP="003B5D42">
            <w:pPr>
              <w:rPr>
                <w:sz w:val="18"/>
                <w:szCs w:val="18"/>
              </w:rPr>
            </w:pPr>
            <w:r w:rsidRPr="00501FF8">
              <w:rPr>
                <w:sz w:val="18"/>
                <w:szCs w:val="18"/>
              </w:rPr>
              <w:t>1,25-dihydroxy ergocalciferol</w:t>
            </w:r>
          </w:p>
        </w:tc>
        <w:tc>
          <w:tcPr>
            <w:tcW w:w="4231" w:type="dxa"/>
            <w:vAlign w:val="center"/>
          </w:tcPr>
          <w:p w14:paraId="25B5D608" w14:textId="77777777" w:rsidR="00DD5C9C" w:rsidRPr="00501FF8" w:rsidRDefault="00DD5C9C" w:rsidP="00AF79AC">
            <w:pPr>
              <w:rPr>
                <w:sz w:val="18"/>
                <w:szCs w:val="18"/>
              </w:rPr>
            </w:pPr>
            <w:r w:rsidRPr="00501FF8">
              <w:rPr>
                <w:sz w:val="18"/>
                <w:szCs w:val="18"/>
              </w:rPr>
              <w:t>Main physiologically active metabolite derived from vitamin D</w:t>
            </w:r>
            <w:r w:rsidRPr="00501FF8">
              <w:rPr>
                <w:sz w:val="18"/>
                <w:szCs w:val="18"/>
                <w:vertAlign w:val="subscript"/>
              </w:rPr>
              <w:t>2</w:t>
            </w:r>
          </w:p>
        </w:tc>
        <w:tc>
          <w:tcPr>
            <w:tcW w:w="1439" w:type="dxa"/>
            <w:vAlign w:val="center"/>
          </w:tcPr>
          <w:p w14:paraId="25B5D609" w14:textId="77777777" w:rsidR="00DD5C9C" w:rsidRPr="00501FF8" w:rsidRDefault="00DD5C9C" w:rsidP="003B5D42">
            <w:pPr>
              <w:rPr>
                <w:sz w:val="18"/>
                <w:szCs w:val="18"/>
              </w:rPr>
            </w:pPr>
            <w:r w:rsidRPr="00501FF8">
              <w:rPr>
                <w:sz w:val="18"/>
                <w:szCs w:val="18"/>
              </w:rPr>
              <w:t>1,25(OH)</w:t>
            </w:r>
            <w:r w:rsidRPr="00501FF8">
              <w:rPr>
                <w:sz w:val="18"/>
                <w:szCs w:val="18"/>
                <w:vertAlign w:val="subscript"/>
              </w:rPr>
              <w:t>2</w:t>
            </w:r>
            <w:r w:rsidRPr="00501FF8">
              <w:rPr>
                <w:sz w:val="18"/>
                <w:szCs w:val="18"/>
              </w:rPr>
              <w:t>D</w:t>
            </w:r>
            <w:r w:rsidRPr="00501FF8">
              <w:rPr>
                <w:sz w:val="18"/>
                <w:szCs w:val="18"/>
                <w:vertAlign w:val="subscript"/>
              </w:rPr>
              <w:t>2</w:t>
            </w:r>
          </w:p>
        </w:tc>
      </w:tr>
      <w:tr w:rsidR="00DD5C9C" w:rsidRPr="006A05E9" w14:paraId="25B5D60F" w14:textId="77777777" w:rsidTr="003B5D42">
        <w:trPr>
          <w:trHeight w:val="624"/>
        </w:trPr>
        <w:tc>
          <w:tcPr>
            <w:tcW w:w="1951" w:type="dxa"/>
            <w:vAlign w:val="center"/>
          </w:tcPr>
          <w:p w14:paraId="25B5D60B" w14:textId="77777777" w:rsidR="00DD5C9C" w:rsidRPr="00501FF8" w:rsidRDefault="00DD5C9C" w:rsidP="003B5D42">
            <w:pPr>
              <w:rPr>
                <w:sz w:val="18"/>
                <w:szCs w:val="18"/>
              </w:rPr>
            </w:pPr>
            <w:r w:rsidRPr="00501FF8">
              <w:rPr>
                <w:sz w:val="18"/>
                <w:szCs w:val="18"/>
              </w:rPr>
              <w:t>25-hydroxy vitamin D</w:t>
            </w:r>
          </w:p>
        </w:tc>
        <w:tc>
          <w:tcPr>
            <w:tcW w:w="1701" w:type="dxa"/>
            <w:vAlign w:val="center"/>
          </w:tcPr>
          <w:p w14:paraId="25B5D60C" w14:textId="77777777" w:rsidR="00DD5C9C" w:rsidRPr="00501FF8" w:rsidRDefault="00DD5C9C" w:rsidP="003B5D42">
            <w:pPr>
              <w:rPr>
                <w:sz w:val="18"/>
                <w:szCs w:val="18"/>
              </w:rPr>
            </w:pPr>
            <w:r w:rsidRPr="00501FF8">
              <w:rPr>
                <w:sz w:val="18"/>
                <w:szCs w:val="18"/>
              </w:rPr>
              <w:t>calcifediol</w:t>
            </w:r>
            <w:r>
              <w:t xml:space="preserve"> </w:t>
            </w:r>
            <w:r w:rsidRPr="00EC0A7C">
              <w:rPr>
                <w:sz w:val="18"/>
                <w:szCs w:val="18"/>
              </w:rPr>
              <w:t>or calcediol</w:t>
            </w:r>
          </w:p>
        </w:tc>
        <w:tc>
          <w:tcPr>
            <w:tcW w:w="4231" w:type="dxa"/>
            <w:vAlign w:val="center"/>
          </w:tcPr>
          <w:p w14:paraId="25B5D60D" w14:textId="77777777" w:rsidR="00DD5C9C" w:rsidRPr="00501FF8" w:rsidRDefault="00DD5C9C" w:rsidP="003B5D42">
            <w:pPr>
              <w:rPr>
                <w:sz w:val="18"/>
                <w:szCs w:val="18"/>
              </w:rPr>
            </w:pPr>
            <w:r w:rsidRPr="00501FF8">
              <w:rPr>
                <w:sz w:val="18"/>
                <w:szCs w:val="18"/>
              </w:rPr>
              <w:t>Generic term to include both 25OHD</w:t>
            </w:r>
            <w:r w:rsidRPr="00501FF8">
              <w:rPr>
                <w:sz w:val="18"/>
                <w:szCs w:val="18"/>
                <w:vertAlign w:val="subscript"/>
              </w:rPr>
              <w:t>2</w:t>
            </w:r>
            <w:r w:rsidRPr="00501FF8">
              <w:rPr>
                <w:sz w:val="18"/>
                <w:szCs w:val="18"/>
              </w:rPr>
              <w:t xml:space="preserve"> and 25OHD</w:t>
            </w:r>
            <w:r w:rsidRPr="00501FF8">
              <w:rPr>
                <w:sz w:val="18"/>
                <w:szCs w:val="18"/>
                <w:vertAlign w:val="subscript"/>
              </w:rPr>
              <w:t xml:space="preserve">3 </w:t>
            </w:r>
            <w:r w:rsidRPr="00501FF8">
              <w:rPr>
                <w:sz w:val="18"/>
                <w:szCs w:val="18"/>
              </w:rPr>
              <w:t>metabolites</w:t>
            </w:r>
          </w:p>
        </w:tc>
        <w:tc>
          <w:tcPr>
            <w:tcW w:w="1439" w:type="dxa"/>
            <w:vAlign w:val="center"/>
          </w:tcPr>
          <w:p w14:paraId="25B5D60E" w14:textId="77777777" w:rsidR="00DD5C9C" w:rsidRPr="00501FF8" w:rsidRDefault="00DD5C9C" w:rsidP="003B5D42">
            <w:pPr>
              <w:rPr>
                <w:sz w:val="18"/>
                <w:szCs w:val="18"/>
              </w:rPr>
            </w:pPr>
            <w:r w:rsidRPr="00501FF8">
              <w:rPr>
                <w:sz w:val="18"/>
                <w:szCs w:val="18"/>
              </w:rPr>
              <w:t>25OHD</w:t>
            </w:r>
          </w:p>
        </w:tc>
      </w:tr>
      <w:tr w:rsidR="00DD5C9C" w:rsidRPr="006A05E9" w14:paraId="25B5D614" w14:textId="77777777" w:rsidTr="003B5D42">
        <w:trPr>
          <w:trHeight w:val="624"/>
        </w:trPr>
        <w:tc>
          <w:tcPr>
            <w:tcW w:w="1951" w:type="dxa"/>
            <w:vAlign w:val="center"/>
          </w:tcPr>
          <w:p w14:paraId="25B5D610" w14:textId="77777777" w:rsidR="00DD5C9C" w:rsidRPr="00501FF8" w:rsidRDefault="00DD5C9C" w:rsidP="003B5D42">
            <w:pPr>
              <w:rPr>
                <w:sz w:val="18"/>
                <w:szCs w:val="18"/>
              </w:rPr>
            </w:pPr>
            <w:r w:rsidRPr="00501FF8">
              <w:rPr>
                <w:sz w:val="18"/>
                <w:szCs w:val="18"/>
              </w:rPr>
              <w:t>1,25-dihydroxy vitamin D</w:t>
            </w:r>
          </w:p>
        </w:tc>
        <w:tc>
          <w:tcPr>
            <w:tcW w:w="1701" w:type="dxa"/>
            <w:vAlign w:val="center"/>
          </w:tcPr>
          <w:p w14:paraId="25B5D611" w14:textId="77777777" w:rsidR="00DD5C9C" w:rsidRPr="00501FF8" w:rsidRDefault="00DD5C9C" w:rsidP="003B5D42">
            <w:pPr>
              <w:rPr>
                <w:sz w:val="18"/>
                <w:szCs w:val="18"/>
              </w:rPr>
            </w:pPr>
            <w:r w:rsidRPr="00501FF8">
              <w:rPr>
                <w:sz w:val="18"/>
                <w:szCs w:val="18"/>
              </w:rPr>
              <w:t>Calcitriol</w:t>
            </w:r>
          </w:p>
        </w:tc>
        <w:tc>
          <w:tcPr>
            <w:tcW w:w="4231" w:type="dxa"/>
            <w:vAlign w:val="center"/>
          </w:tcPr>
          <w:p w14:paraId="25B5D612" w14:textId="77777777" w:rsidR="00DD5C9C" w:rsidRPr="00501FF8" w:rsidRDefault="00DD5C9C" w:rsidP="003B5D42">
            <w:pPr>
              <w:rPr>
                <w:sz w:val="18"/>
                <w:szCs w:val="18"/>
              </w:rPr>
            </w:pPr>
            <w:r w:rsidRPr="00501FF8">
              <w:rPr>
                <w:sz w:val="18"/>
                <w:szCs w:val="18"/>
              </w:rPr>
              <w:t>The active metabolite derived from either vitamin D</w:t>
            </w:r>
            <w:r w:rsidRPr="00501FF8">
              <w:rPr>
                <w:sz w:val="18"/>
                <w:szCs w:val="18"/>
                <w:vertAlign w:val="subscript"/>
              </w:rPr>
              <w:t>2</w:t>
            </w:r>
            <w:r w:rsidRPr="00501FF8">
              <w:rPr>
                <w:sz w:val="18"/>
                <w:szCs w:val="18"/>
              </w:rPr>
              <w:t xml:space="preserve"> or vitamin D</w:t>
            </w:r>
            <w:r w:rsidRPr="00501FF8">
              <w:rPr>
                <w:sz w:val="18"/>
                <w:szCs w:val="18"/>
                <w:vertAlign w:val="subscript"/>
              </w:rPr>
              <w:t>3</w:t>
            </w:r>
          </w:p>
        </w:tc>
        <w:tc>
          <w:tcPr>
            <w:tcW w:w="1439" w:type="dxa"/>
            <w:vAlign w:val="center"/>
          </w:tcPr>
          <w:p w14:paraId="25B5D613" w14:textId="77777777" w:rsidR="00DD5C9C" w:rsidRPr="00501FF8" w:rsidRDefault="00DD5C9C" w:rsidP="003B5D42">
            <w:pPr>
              <w:rPr>
                <w:sz w:val="18"/>
                <w:szCs w:val="18"/>
              </w:rPr>
            </w:pPr>
            <w:r w:rsidRPr="00501FF8">
              <w:rPr>
                <w:sz w:val="18"/>
                <w:szCs w:val="18"/>
              </w:rPr>
              <w:t>1,25(OH)</w:t>
            </w:r>
            <w:r w:rsidRPr="00501FF8">
              <w:rPr>
                <w:sz w:val="18"/>
                <w:szCs w:val="18"/>
                <w:vertAlign w:val="subscript"/>
              </w:rPr>
              <w:t>2</w:t>
            </w:r>
            <w:r w:rsidRPr="00501FF8">
              <w:rPr>
                <w:sz w:val="18"/>
                <w:szCs w:val="18"/>
              </w:rPr>
              <w:t>D</w:t>
            </w:r>
          </w:p>
        </w:tc>
      </w:tr>
      <w:tr w:rsidR="00DD5C9C" w:rsidRPr="006A05E9" w14:paraId="25B5D619" w14:textId="77777777" w:rsidTr="003B5D42">
        <w:trPr>
          <w:trHeight w:val="274"/>
        </w:trPr>
        <w:tc>
          <w:tcPr>
            <w:tcW w:w="1951" w:type="dxa"/>
            <w:vAlign w:val="center"/>
          </w:tcPr>
          <w:p w14:paraId="25B5D615" w14:textId="77777777" w:rsidR="00DD5C9C" w:rsidRPr="00501FF8" w:rsidRDefault="00DD5C9C" w:rsidP="003B5D42">
            <w:pPr>
              <w:rPr>
                <w:sz w:val="18"/>
                <w:szCs w:val="18"/>
              </w:rPr>
            </w:pPr>
            <w:r w:rsidRPr="00501FF8">
              <w:rPr>
                <w:sz w:val="18"/>
                <w:szCs w:val="18"/>
              </w:rPr>
              <w:t>vitamin D binding protein</w:t>
            </w:r>
          </w:p>
        </w:tc>
        <w:tc>
          <w:tcPr>
            <w:tcW w:w="1701" w:type="dxa"/>
            <w:vAlign w:val="center"/>
          </w:tcPr>
          <w:p w14:paraId="25B5D616" w14:textId="77777777" w:rsidR="00DD5C9C" w:rsidRPr="00501FF8" w:rsidRDefault="00DD5C9C" w:rsidP="003B5D42">
            <w:pPr>
              <w:rPr>
                <w:sz w:val="18"/>
                <w:szCs w:val="18"/>
              </w:rPr>
            </w:pPr>
            <w:r w:rsidRPr="00501FF8">
              <w:rPr>
                <w:sz w:val="18"/>
                <w:szCs w:val="18"/>
              </w:rPr>
              <w:t>-</w:t>
            </w:r>
          </w:p>
        </w:tc>
        <w:tc>
          <w:tcPr>
            <w:tcW w:w="4231" w:type="dxa"/>
            <w:vAlign w:val="center"/>
          </w:tcPr>
          <w:p w14:paraId="25B5D617" w14:textId="77777777" w:rsidR="00DD5C9C" w:rsidRPr="00501FF8" w:rsidRDefault="00DD5C9C" w:rsidP="003B5D42">
            <w:pPr>
              <w:rPr>
                <w:sz w:val="18"/>
                <w:szCs w:val="18"/>
              </w:rPr>
            </w:pPr>
            <w:r w:rsidRPr="00501FF8">
              <w:rPr>
                <w:sz w:val="18"/>
                <w:szCs w:val="18"/>
              </w:rPr>
              <w:t>Vitamin D binding protein binds to vitamin D or its metabolites to produce a complex which circulates in the blood.</w:t>
            </w:r>
          </w:p>
        </w:tc>
        <w:tc>
          <w:tcPr>
            <w:tcW w:w="1439" w:type="dxa"/>
            <w:vAlign w:val="center"/>
          </w:tcPr>
          <w:p w14:paraId="25B5D618" w14:textId="77777777" w:rsidR="00DD5C9C" w:rsidRPr="00501FF8" w:rsidRDefault="00DD5C9C" w:rsidP="003B5D42">
            <w:pPr>
              <w:rPr>
                <w:sz w:val="18"/>
                <w:szCs w:val="18"/>
              </w:rPr>
            </w:pPr>
            <w:r w:rsidRPr="00501FF8">
              <w:rPr>
                <w:sz w:val="18"/>
                <w:szCs w:val="18"/>
              </w:rPr>
              <w:t>DBP</w:t>
            </w:r>
          </w:p>
        </w:tc>
      </w:tr>
    </w:tbl>
    <w:p w14:paraId="25B5D61A" w14:textId="77777777" w:rsidR="00DD5C9C" w:rsidRDefault="00DD5C9C" w:rsidP="003B5D42">
      <w:pPr>
        <w:pStyle w:val="Heading1"/>
      </w:pPr>
      <w:r>
        <w:br w:type="page"/>
      </w:r>
    </w:p>
    <w:p w14:paraId="25B5D61B" w14:textId="77777777" w:rsidR="00DD5C9C" w:rsidRPr="00E262C6" w:rsidRDefault="00DD5C9C" w:rsidP="00E262C6">
      <w:pPr>
        <w:pStyle w:val="Heading1"/>
        <w:jc w:val="center"/>
        <w:rPr>
          <w:b w:val="0"/>
        </w:rPr>
      </w:pPr>
      <w:bookmarkStart w:id="5" w:name="_Toc406575679"/>
      <w:r w:rsidRPr="00E262C6">
        <w:rPr>
          <w:b w:val="0"/>
        </w:rPr>
        <w:lastRenderedPageBreak/>
        <w:t>Table of Contents</w:t>
      </w:r>
      <w:bookmarkEnd w:id="5"/>
    </w:p>
    <w:p w14:paraId="25B5D61C" w14:textId="77777777" w:rsidR="007B2A2E" w:rsidRDefault="00DD5C9C">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06575677" w:history="1">
        <w:r w:rsidR="007B2A2E" w:rsidRPr="00A713E3">
          <w:rPr>
            <w:rStyle w:val="Hyperlink"/>
            <w:noProof/>
          </w:rPr>
          <w:t>Executive summary</w:t>
        </w:r>
        <w:r w:rsidR="007B2A2E">
          <w:rPr>
            <w:noProof/>
            <w:webHidden/>
          </w:rPr>
          <w:tab/>
        </w:r>
        <w:r w:rsidR="007B2A2E">
          <w:rPr>
            <w:noProof/>
            <w:webHidden/>
          </w:rPr>
          <w:fldChar w:fldCharType="begin"/>
        </w:r>
        <w:r w:rsidR="007B2A2E">
          <w:rPr>
            <w:noProof/>
            <w:webHidden/>
          </w:rPr>
          <w:instrText xml:space="preserve"> PAGEREF _Toc406575677 \h </w:instrText>
        </w:r>
        <w:r w:rsidR="007B2A2E">
          <w:rPr>
            <w:noProof/>
            <w:webHidden/>
          </w:rPr>
        </w:r>
        <w:r w:rsidR="007B2A2E">
          <w:rPr>
            <w:noProof/>
            <w:webHidden/>
          </w:rPr>
          <w:fldChar w:fldCharType="separate"/>
        </w:r>
        <w:r w:rsidR="00E82441">
          <w:rPr>
            <w:noProof/>
            <w:webHidden/>
          </w:rPr>
          <w:t>1</w:t>
        </w:r>
        <w:r w:rsidR="007B2A2E">
          <w:rPr>
            <w:noProof/>
            <w:webHidden/>
          </w:rPr>
          <w:fldChar w:fldCharType="end"/>
        </w:r>
      </w:hyperlink>
    </w:p>
    <w:p w14:paraId="25B5D61D" w14:textId="77777777" w:rsidR="007B2A2E" w:rsidRDefault="009B582B">
      <w:pPr>
        <w:pStyle w:val="TOC1"/>
        <w:tabs>
          <w:tab w:val="right" w:leader="dot" w:pos="9060"/>
        </w:tabs>
        <w:rPr>
          <w:rFonts w:eastAsiaTheme="minorEastAsia" w:cstheme="minorBidi"/>
          <w:b w:val="0"/>
          <w:bCs w:val="0"/>
          <w:caps w:val="0"/>
          <w:noProof/>
          <w:sz w:val="22"/>
          <w:szCs w:val="22"/>
          <w:lang w:eastAsia="en-GB" w:bidi="ar-SA"/>
        </w:rPr>
      </w:pPr>
      <w:hyperlink w:anchor="_Toc406575678" w:history="1">
        <w:r w:rsidR="007B2A2E" w:rsidRPr="00A713E3">
          <w:rPr>
            <w:rStyle w:val="Hyperlink"/>
            <w:noProof/>
          </w:rPr>
          <w:t>Terminology and Abbreviations</w:t>
        </w:r>
        <w:r w:rsidR="007B2A2E">
          <w:rPr>
            <w:noProof/>
            <w:webHidden/>
          </w:rPr>
          <w:tab/>
        </w:r>
        <w:r w:rsidR="007B2A2E">
          <w:rPr>
            <w:noProof/>
            <w:webHidden/>
          </w:rPr>
          <w:fldChar w:fldCharType="begin"/>
        </w:r>
        <w:r w:rsidR="007B2A2E">
          <w:rPr>
            <w:noProof/>
            <w:webHidden/>
          </w:rPr>
          <w:instrText xml:space="preserve"> PAGEREF _Toc406575678 \h </w:instrText>
        </w:r>
        <w:r w:rsidR="007B2A2E">
          <w:rPr>
            <w:noProof/>
            <w:webHidden/>
          </w:rPr>
        </w:r>
        <w:r w:rsidR="007B2A2E">
          <w:rPr>
            <w:noProof/>
            <w:webHidden/>
          </w:rPr>
          <w:fldChar w:fldCharType="separate"/>
        </w:r>
        <w:r w:rsidR="00E82441">
          <w:rPr>
            <w:noProof/>
            <w:webHidden/>
          </w:rPr>
          <w:t>4</w:t>
        </w:r>
        <w:r w:rsidR="007B2A2E">
          <w:rPr>
            <w:noProof/>
            <w:webHidden/>
          </w:rPr>
          <w:fldChar w:fldCharType="end"/>
        </w:r>
      </w:hyperlink>
    </w:p>
    <w:p w14:paraId="25B5D61E" w14:textId="77777777" w:rsidR="007B2A2E" w:rsidRDefault="009B582B">
      <w:pPr>
        <w:pStyle w:val="TOC1"/>
        <w:tabs>
          <w:tab w:val="right" w:leader="dot" w:pos="9060"/>
        </w:tabs>
        <w:rPr>
          <w:rFonts w:eastAsiaTheme="minorEastAsia" w:cstheme="minorBidi"/>
          <w:b w:val="0"/>
          <w:bCs w:val="0"/>
          <w:caps w:val="0"/>
          <w:noProof/>
          <w:sz w:val="22"/>
          <w:szCs w:val="22"/>
          <w:lang w:eastAsia="en-GB" w:bidi="ar-SA"/>
        </w:rPr>
      </w:pPr>
      <w:hyperlink w:anchor="_Toc406575679" w:history="1">
        <w:r w:rsidR="007B2A2E" w:rsidRPr="00A713E3">
          <w:rPr>
            <w:rStyle w:val="Hyperlink"/>
            <w:noProof/>
          </w:rPr>
          <w:t>Table of Contents</w:t>
        </w:r>
        <w:r w:rsidR="007B2A2E">
          <w:rPr>
            <w:noProof/>
            <w:webHidden/>
          </w:rPr>
          <w:tab/>
        </w:r>
        <w:r w:rsidR="007B2A2E">
          <w:rPr>
            <w:noProof/>
            <w:webHidden/>
          </w:rPr>
          <w:fldChar w:fldCharType="begin"/>
        </w:r>
        <w:r w:rsidR="007B2A2E">
          <w:rPr>
            <w:noProof/>
            <w:webHidden/>
          </w:rPr>
          <w:instrText xml:space="preserve"> PAGEREF _Toc406575679 \h </w:instrText>
        </w:r>
        <w:r w:rsidR="007B2A2E">
          <w:rPr>
            <w:noProof/>
            <w:webHidden/>
          </w:rPr>
        </w:r>
        <w:r w:rsidR="007B2A2E">
          <w:rPr>
            <w:noProof/>
            <w:webHidden/>
          </w:rPr>
          <w:fldChar w:fldCharType="separate"/>
        </w:r>
        <w:r w:rsidR="00E82441">
          <w:rPr>
            <w:noProof/>
            <w:webHidden/>
          </w:rPr>
          <w:t>6</w:t>
        </w:r>
        <w:r w:rsidR="007B2A2E">
          <w:rPr>
            <w:noProof/>
            <w:webHidden/>
          </w:rPr>
          <w:fldChar w:fldCharType="end"/>
        </w:r>
      </w:hyperlink>
    </w:p>
    <w:p w14:paraId="25B5D61F" w14:textId="77777777" w:rsidR="007B2A2E" w:rsidRDefault="009B582B">
      <w:pPr>
        <w:pStyle w:val="TOC2"/>
        <w:tabs>
          <w:tab w:val="left" w:pos="660"/>
          <w:tab w:val="right" w:leader="dot" w:pos="9060"/>
        </w:tabs>
        <w:rPr>
          <w:rFonts w:eastAsiaTheme="minorEastAsia" w:cstheme="minorBidi"/>
          <w:smallCaps w:val="0"/>
          <w:noProof/>
          <w:sz w:val="22"/>
          <w:szCs w:val="22"/>
          <w:lang w:eastAsia="en-GB" w:bidi="ar-SA"/>
        </w:rPr>
      </w:pPr>
      <w:hyperlink w:anchor="_Toc406575680" w:history="1">
        <w:r w:rsidR="007B2A2E" w:rsidRPr="00A713E3">
          <w:rPr>
            <w:rStyle w:val="Hyperlink"/>
            <w:noProof/>
          </w:rPr>
          <w:t>1</w:t>
        </w:r>
        <w:r w:rsidR="007B2A2E">
          <w:rPr>
            <w:rFonts w:eastAsiaTheme="minorEastAsia" w:cstheme="minorBidi"/>
            <w:smallCaps w:val="0"/>
            <w:noProof/>
            <w:sz w:val="22"/>
            <w:szCs w:val="22"/>
            <w:lang w:eastAsia="en-GB" w:bidi="ar-SA"/>
          </w:rPr>
          <w:tab/>
        </w:r>
        <w:r w:rsidR="007B2A2E" w:rsidRPr="00A713E3">
          <w:rPr>
            <w:rStyle w:val="Hyperlink"/>
            <w:noProof/>
          </w:rPr>
          <w:t>Introduction</w:t>
        </w:r>
        <w:r w:rsidR="007B2A2E">
          <w:rPr>
            <w:noProof/>
            <w:webHidden/>
          </w:rPr>
          <w:tab/>
        </w:r>
        <w:r w:rsidR="007B2A2E">
          <w:rPr>
            <w:noProof/>
            <w:webHidden/>
          </w:rPr>
          <w:fldChar w:fldCharType="begin"/>
        </w:r>
        <w:r w:rsidR="007B2A2E">
          <w:rPr>
            <w:noProof/>
            <w:webHidden/>
          </w:rPr>
          <w:instrText xml:space="preserve"> PAGEREF _Toc406575680 \h </w:instrText>
        </w:r>
        <w:r w:rsidR="007B2A2E">
          <w:rPr>
            <w:noProof/>
            <w:webHidden/>
          </w:rPr>
        </w:r>
        <w:r w:rsidR="007B2A2E">
          <w:rPr>
            <w:noProof/>
            <w:webHidden/>
          </w:rPr>
          <w:fldChar w:fldCharType="separate"/>
        </w:r>
        <w:r w:rsidR="00E82441">
          <w:rPr>
            <w:noProof/>
            <w:webHidden/>
          </w:rPr>
          <w:t>7</w:t>
        </w:r>
        <w:r w:rsidR="007B2A2E">
          <w:rPr>
            <w:noProof/>
            <w:webHidden/>
          </w:rPr>
          <w:fldChar w:fldCharType="end"/>
        </w:r>
      </w:hyperlink>
    </w:p>
    <w:p w14:paraId="25B5D620"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1" w:history="1">
        <w:r w:rsidR="007B2A2E" w:rsidRPr="00A713E3">
          <w:rPr>
            <w:rStyle w:val="Hyperlink"/>
            <w:noProof/>
          </w:rPr>
          <w:t>1.1</w:t>
        </w:r>
        <w:r w:rsidR="007B2A2E">
          <w:rPr>
            <w:rFonts w:eastAsiaTheme="minorEastAsia" w:cstheme="minorBidi"/>
            <w:i w:val="0"/>
            <w:iCs w:val="0"/>
            <w:noProof/>
            <w:sz w:val="22"/>
            <w:szCs w:val="22"/>
            <w:lang w:eastAsia="en-GB" w:bidi="ar-SA"/>
          </w:rPr>
          <w:tab/>
        </w:r>
        <w:r w:rsidR="007B2A2E" w:rsidRPr="00A713E3">
          <w:rPr>
            <w:rStyle w:val="Hyperlink"/>
            <w:noProof/>
          </w:rPr>
          <w:t>Background</w:t>
        </w:r>
        <w:r w:rsidR="007B2A2E">
          <w:rPr>
            <w:noProof/>
            <w:webHidden/>
          </w:rPr>
          <w:tab/>
        </w:r>
        <w:r w:rsidR="007B2A2E">
          <w:rPr>
            <w:noProof/>
            <w:webHidden/>
          </w:rPr>
          <w:fldChar w:fldCharType="begin"/>
        </w:r>
        <w:r w:rsidR="007B2A2E">
          <w:rPr>
            <w:noProof/>
            <w:webHidden/>
          </w:rPr>
          <w:instrText xml:space="preserve"> PAGEREF _Toc406575681 \h </w:instrText>
        </w:r>
        <w:r w:rsidR="007B2A2E">
          <w:rPr>
            <w:noProof/>
            <w:webHidden/>
          </w:rPr>
        </w:r>
        <w:r w:rsidR="007B2A2E">
          <w:rPr>
            <w:noProof/>
            <w:webHidden/>
          </w:rPr>
          <w:fldChar w:fldCharType="separate"/>
        </w:r>
        <w:r w:rsidR="00E82441">
          <w:rPr>
            <w:noProof/>
            <w:webHidden/>
          </w:rPr>
          <w:t>7</w:t>
        </w:r>
        <w:r w:rsidR="007B2A2E">
          <w:rPr>
            <w:noProof/>
            <w:webHidden/>
          </w:rPr>
          <w:fldChar w:fldCharType="end"/>
        </w:r>
      </w:hyperlink>
    </w:p>
    <w:p w14:paraId="25B5D621"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2" w:history="1">
        <w:r w:rsidR="007B2A2E" w:rsidRPr="00A713E3">
          <w:rPr>
            <w:rStyle w:val="Hyperlink"/>
            <w:noProof/>
          </w:rPr>
          <w:t>1.2</w:t>
        </w:r>
        <w:r w:rsidR="007B2A2E">
          <w:rPr>
            <w:rFonts w:eastAsiaTheme="minorEastAsia" w:cstheme="minorBidi"/>
            <w:i w:val="0"/>
            <w:iCs w:val="0"/>
            <w:noProof/>
            <w:sz w:val="22"/>
            <w:szCs w:val="22"/>
            <w:lang w:eastAsia="en-GB" w:bidi="ar-SA"/>
          </w:rPr>
          <w:tab/>
        </w:r>
        <w:r w:rsidR="007B2A2E" w:rsidRPr="00A713E3">
          <w:rPr>
            <w:rStyle w:val="Hyperlink"/>
            <w:noProof/>
          </w:rPr>
          <w:t>Objectives</w:t>
        </w:r>
        <w:r w:rsidR="007B2A2E">
          <w:rPr>
            <w:noProof/>
            <w:webHidden/>
          </w:rPr>
          <w:tab/>
        </w:r>
        <w:r w:rsidR="007B2A2E">
          <w:rPr>
            <w:noProof/>
            <w:webHidden/>
          </w:rPr>
          <w:fldChar w:fldCharType="begin"/>
        </w:r>
        <w:r w:rsidR="007B2A2E">
          <w:rPr>
            <w:noProof/>
            <w:webHidden/>
          </w:rPr>
          <w:instrText xml:space="preserve"> PAGEREF _Toc406575682 \h </w:instrText>
        </w:r>
        <w:r w:rsidR="007B2A2E">
          <w:rPr>
            <w:noProof/>
            <w:webHidden/>
          </w:rPr>
        </w:r>
        <w:r w:rsidR="007B2A2E">
          <w:rPr>
            <w:noProof/>
            <w:webHidden/>
          </w:rPr>
          <w:fldChar w:fldCharType="separate"/>
        </w:r>
        <w:r w:rsidR="00E82441">
          <w:rPr>
            <w:noProof/>
            <w:webHidden/>
          </w:rPr>
          <w:t>7</w:t>
        </w:r>
        <w:r w:rsidR="007B2A2E">
          <w:rPr>
            <w:noProof/>
            <w:webHidden/>
          </w:rPr>
          <w:fldChar w:fldCharType="end"/>
        </w:r>
      </w:hyperlink>
    </w:p>
    <w:p w14:paraId="25B5D622"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3" w:history="1">
        <w:r w:rsidR="007B2A2E" w:rsidRPr="00A713E3">
          <w:rPr>
            <w:rStyle w:val="Hyperlink"/>
            <w:noProof/>
          </w:rPr>
          <w:t>1.3</w:t>
        </w:r>
        <w:r w:rsidR="007B2A2E">
          <w:rPr>
            <w:rFonts w:eastAsiaTheme="minorEastAsia" w:cstheme="minorBidi"/>
            <w:i w:val="0"/>
            <w:iCs w:val="0"/>
            <w:noProof/>
            <w:sz w:val="22"/>
            <w:szCs w:val="22"/>
            <w:lang w:eastAsia="en-GB" w:bidi="ar-SA"/>
          </w:rPr>
          <w:tab/>
        </w:r>
        <w:r w:rsidR="007B2A2E" w:rsidRPr="00A713E3">
          <w:rPr>
            <w:rStyle w:val="Hyperlink"/>
            <w:noProof/>
          </w:rPr>
          <w:t>Scope</w:t>
        </w:r>
        <w:r w:rsidR="007B2A2E">
          <w:rPr>
            <w:noProof/>
            <w:webHidden/>
          </w:rPr>
          <w:tab/>
        </w:r>
        <w:r w:rsidR="007B2A2E">
          <w:rPr>
            <w:noProof/>
            <w:webHidden/>
          </w:rPr>
          <w:fldChar w:fldCharType="begin"/>
        </w:r>
        <w:r w:rsidR="007B2A2E">
          <w:rPr>
            <w:noProof/>
            <w:webHidden/>
          </w:rPr>
          <w:instrText xml:space="preserve"> PAGEREF _Toc406575683 \h </w:instrText>
        </w:r>
        <w:r w:rsidR="007B2A2E">
          <w:rPr>
            <w:noProof/>
            <w:webHidden/>
          </w:rPr>
        </w:r>
        <w:r w:rsidR="007B2A2E">
          <w:rPr>
            <w:noProof/>
            <w:webHidden/>
          </w:rPr>
          <w:fldChar w:fldCharType="separate"/>
        </w:r>
        <w:r w:rsidR="00E82441">
          <w:rPr>
            <w:noProof/>
            <w:webHidden/>
          </w:rPr>
          <w:t>7</w:t>
        </w:r>
        <w:r w:rsidR="007B2A2E">
          <w:rPr>
            <w:noProof/>
            <w:webHidden/>
          </w:rPr>
          <w:fldChar w:fldCharType="end"/>
        </w:r>
      </w:hyperlink>
    </w:p>
    <w:p w14:paraId="25B5D623" w14:textId="77777777" w:rsidR="007B2A2E" w:rsidRDefault="009B582B">
      <w:pPr>
        <w:pStyle w:val="TOC2"/>
        <w:tabs>
          <w:tab w:val="left" w:pos="660"/>
          <w:tab w:val="right" w:leader="dot" w:pos="9060"/>
        </w:tabs>
        <w:rPr>
          <w:rFonts w:eastAsiaTheme="minorEastAsia" w:cstheme="minorBidi"/>
          <w:smallCaps w:val="0"/>
          <w:noProof/>
          <w:sz w:val="22"/>
          <w:szCs w:val="22"/>
          <w:lang w:eastAsia="en-GB" w:bidi="ar-SA"/>
        </w:rPr>
      </w:pPr>
      <w:hyperlink w:anchor="_Toc406575684" w:history="1">
        <w:r w:rsidR="007B2A2E" w:rsidRPr="00A713E3">
          <w:rPr>
            <w:rStyle w:val="Hyperlink"/>
            <w:noProof/>
          </w:rPr>
          <w:t>2</w:t>
        </w:r>
        <w:r w:rsidR="007B2A2E">
          <w:rPr>
            <w:rFonts w:eastAsiaTheme="minorEastAsia" w:cstheme="minorBidi"/>
            <w:smallCaps w:val="0"/>
            <w:noProof/>
            <w:sz w:val="22"/>
            <w:szCs w:val="22"/>
            <w:lang w:eastAsia="en-GB" w:bidi="ar-SA"/>
          </w:rPr>
          <w:tab/>
        </w:r>
        <w:r w:rsidR="007B2A2E" w:rsidRPr="00A713E3">
          <w:rPr>
            <w:rStyle w:val="Hyperlink"/>
            <w:noProof/>
          </w:rPr>
          <w:t>Food Technology Report</w:t>
        </w:r>
        <w:r w:rsidR="007B2A2E">
          <w:rPr>
            <w:noProof/>
            <w:webHidden/>
          </w:rPr>
          <w:tab/>
        </w:r>
        <w:r w:rsidR="007B2A2E">
          <w:rPr>
            <w:noProof/>
            <w:webHidden/>
          </w:rPr>
          <w:fldChar w:fldCharType="begin"/>
        </w:r>
        <w:r w:rsidR="007B2A2E">
          <w:rPr>
            <w:noProof/>
            <w:webHidden/>
          </w:rPr>
          <w:instrText xml:space="preserve"> PAGEREF _Toc406575684 \h </w:instrText>
        </w:r>
        <w:r w:rsidR="007B2A2E">
          <w:rPr>
            <w:noProof/>
            <w:webHidden/>
          </w:rPr>
        </w:r>
        <w:r w:rsidR="007B2A2E">
          <w:rPr>
            <w:noProof/>
            <w:webHidden/>
          </w:rPr>
          <w:fldChar w:fldCharType="separate"/>
        </w:r>
        <w:r w:rsidR="00E82441">
          <w:rPr>
            <w:noProof/>
            <w:webHidden/>
          </w:rPr>
          <w:t>8</w:t>
        </w:r>
        <w:r w:rsidR="007B2A2E">
          <w:rPr>
            <w:noProof/>
            <w:webHidden/>
          </w:rPr>
          <w:fldChar w:fldCharType="end"/>
        </w:r>
      </w:hyperlink>
    </w:p>
    <w:p w14:paraId="25B5D624"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5" w:history="1">
        <w:r w:rsidR="007B2A2E" w:rsidRPr="00A713E3">
          <w:rPr>
            <w:rStyle w:val="Hyperlink"/>
            <w:noProof/>
          </w:rPr>
          <w:t>2.1</w:t>
        </w:r>
        <w:r w:rsidR="007B2A2E">
          <w:rPr>
            <w:rFonts w:eastAsiaTheme="minorEastAsia" w:cstheme="minorBidi"/>
            <w:i w:val="0"/>
            <w:iCs w:val="0"/>
            <w:noProof/>
            <w:sz w:val="22"/>
            <w:szCs w:val="22"/>
            <w:lang w:eastAsia="en-GB" w:bidi="ar-SA"/>
          </w:rPr>
          <w:tab/>
        </w:r>
        <w:r w:rsidR="007B2A2E" w:rsidRPr="00A713E3">
          <w:rPr>
            <w:rStyle w:val="Hyperlink"/>
            <w:noProof/>
          </w:rPr>
          <w:t>Chemistry of biologically inert vitamins: D</w:t>
        </w:r>
        <w:r w:rsidR="007B2A2E" w:rsidRPr="00A713E3">
          <w:rPr>
            <w:rStyle w:val="Hyperlink"/>
            <w:noProof/>
            <w:vertAlign w:val="subscript"/>
          </w:rPr>
          <w:t>2</w:t>
        </w:r>
        <w:r w:rsidR="007B2A2E" w:rsidRPr="00A713E3">
          <w:rPr>
            <w:rStyle w:val="Hyperlink"/>
            <w:noProof/>
          </w:rPr>
          <w:t xml:space="preserve"> and D</w:t>
        </w:r>
        <w:r w:rsidR="007B2A2E" w:rsidRPr="00A713E3">
          <w:rPr>
            <w:rStyle w:val="Hyperlink"/>
            <w:noProof/>
            <w:vertAlign w:val="subscript"/>
          </w:rPr>
          <w:t>3</w:t>
        </w:r>
        <w:r w:rsidR="007B2A2E">
          <w:rPr>
            <w:noProof/>
            <w:webHidden/>
          </w:rPr>
          <w:tab/>
        </w:r>
        <w:r w:rsidR="007B2A2E">
          <w:rPr>
            <w:noProof/>
            <w:webHidden/>
          </w:rPr>
          <w:fldChar w:fldCharType="begin"/>
        </w:r>
        <w:r w:rsidR="007B2A2E">
          <w:rPr>
            <w:noProof/>
            <w:webHidden/>
          </w:rPr>
          <w:instrText xml:space="preserve"> PAGEREF _Toc406575685 \h </w:instrText>
        </w:r>
        <w:r w:rsidR="007B2A2E">
          <w:rPr>
            <w:noProof/>
            <w:webHidden/>
          </w:rPr>
        </w:r>
        <w:r w:rsidR="007B2A2E">
          <w:rPr>
            <w:noProof/>
            <w:webHidden/>
          </w:rPr>
          <w:fldChar w:fldCharType="separate"/>
        </w:r>
        <w:r w:rsidR="00E82441">
          <w:rPr>
            <w:noProof/>
            <w:webHidden/>
          </w:rPr>
          <w:t>8</w:t>
        </w:r>
        <w:r w:rsidR="007B2A2E">
          <w:rPr>
            <w:noProof/>
            <w:webHidden/>
          </w:rPr>
          <w:fldChar w:fldCharType="end"/>
        </w:r>
      </w:hyperlink>
    </w:p>
    <w:p w14:paraId="25B5D625"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6" w:history="1">
        <w:r w:rsidR="007B2A2E" w:rsidRPr="00A713E3">
          <w:rPr>
            <w:rStyle w:val="Hyperlink"/>
            <w:noProof/>
          </w:rPr>
          <w:t>2.2</w:t>
        </w:r>
        <w:r w:rsidR="007B2A2E">
          <w:rPr>
            <w:rFonts w:eastAsiaTheme="minorEastAsia" w:cstheme="minorBidi"/>
            <w:i w:val="0"/>
            <w:iCs w:val="0"/>
            <w:noProof/>
            <w:sz w:val="22"/>
            <w:szCs w:val="22"/>
            <w:lang w:eastAsia="en-GB" w:bidi="ar-SA"/>
          </w:rPr>
          <w:tab/>
        </w:r>
        <w:r w:rsidR="007B2A2E" w:rsidRPr="00A713E3">
          <w:rPr>
            <w:rStyle w:val="Hyperlink"/>
            <w:noProof/>
          </w:rPr>
          <w:t>Specifications</w:t>
        </w:r>
        <w:r w:rsidR="007B2A2E">
          <w:rPr>
            <w:noProof/>
            <w:webHidden/>
          </w:rPr>
          <w:tab/>
        </w:r>
        <w:r w:rsidR="007B2A2E">
          <w:rPr>
            <w:noProof/>
            <w:webHidden/>
          </w:rPr>
          <w:fldChar w:fldCharType="begin"/>
        </w:r>
        <w:r w:rsidR="007B2A2E">
          <w:rPr>
            <w:noProof/>
            <w:webHidden/>
          </w:rPr>
          <w:instrText xml:space="preserve"> PAGEREF _Toc406575686 \h </w:instrText>
        </w:r>
        <w:r w:rsidR="007B2A2E">
          <w:rPr>
            <w:noProof/>
            <w:webHidden/>
          </w:rPr>
        </w:r>
        <w:r w:rsidR="007B2A2E">
          <w:rPr>
            <w:noProof/>
            <w:webHidden/>
          </w:rPr>
          <w:fldChar w:fldCharType="separate"/>
        </w:r>
        <w:r w:rsidR="00E82441">
          <w:rPr>
            <w:noProof/>
            <w:webHidden/>
          </w:rPr>
          <w:t>9</w:t>
        </w:r>
        <w:r w:rsidR="007B2A2E">
          <w:rPr>
            <w:noProof/>
            <w:webHidden/>
          </w:rPr>
          <w:fldChar w:fldCharType="end"/>
        </w:r>
      </w:hyperlink>
    </w:p>
    <w:p w14:paraId="25B5D626"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7" w:history="1">
        <w:r w:rsidR="007B2A2E" w:rsidRPr="00A713E3">
          <w:rPr>
            <w:rStyle w:val="Hyperlink"/>
            <w:noProof/>
          </w:rPr>
          <w:t>2.3</w:t>
        </w:r>
        <w:r w:rsidR="007B2A2E">
          <w:rPr>
            <w:rFonts w:eastAsiaTheme="minorEastAsia" w:cstheme="minorBidi"/>
            <w:i w:val="0"/>
            <w:iCs w:val="0"/>
            <w:noProof/>
            <w:sz w:val="22"/>
            <w:szCs w:val="22"/>
            <w:lang w:eastAsia="en-GB" w:bidi="ar-SA"/>
          </w:rPr>
          <w:tab/>
        </w:r>
        <w:r w:rsidR="007B2A2E" w:rsidRPr="00A713E3">
          <w:rPr>
            <w:rStyle w:val="Hyperlink"/>
            <w:noProof/>
          </w:rPr>
          <w:t>Analytical methods in foods</w:t>
        </w:r>
        <w:r w:rsidR="007B2A2E">
          <w:rPr>
            <w:noProof/>
            <w:webHidden/>
          </w:rPr>
          <w:tab/>
        </w:r>
        <w:r w:rsidR="007B2A2E">
          <w:rPr>
            <w:noProof/>
            <w:webHidden/>
          </w:rPr>
          <w:fldChar w:fldCharType="begin"/>
        </w:r>
        <w:r w:rsidR="007B2A2E">
          <w:rPr>
            <w:noProof/>
            <w:webHidden/>
          </w:rPr>
          <w:instrText xml:space="preserve"> PAGEREF _Toc406575687 \h </w:instrText>
        </w:r>
        <w:r w:rsidR="007B2A2E">
          <w:rPr>
            <w:noProof/>
            <w:webHidden/>
          </w:rPr>
        </w:r>
        <w:r w:rsidR="007B2A2E">
          <w:rPr>
            <w:noProof/>
            <w:webHidden/>
          </w:rPr>
          <w:fldChar w:fldCharType="separate"/>
        </w:r>
        <w:r w:rsidR="00E82441">
          <w:rPr>
            <w:noProof/>
            <w:webHidden/>
          </w:rPr>
          <w:t>9</w:t>
        </w:r>
        <w:r w:rsidR="007B2A2E">
          <w:rPr>
            <w:noProof/>
            <w:webHidden/>
          </w:rPr>
          <w:fldChar w:fldCharType="end"/>
        </w:r>
      </w:hyperlink>
    </w:p>
    <w:p w14:paraId="25B5D627"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8" w:history="1">
        <w:r w:rsidR="007B2A2E" w:rsidRPr="00A713E3">
          <w:rPr>
            <w:rStyle w:val="Hyperlink"/>
            <w:noProof/>
          </w:rPr>
          <w:t>2.4</w:t>
        </w:r>
        <w:r w:rsidR="007B2A2E">
          <w:rPr>
            <w:rFonts w:eastAsiaTheme="minorEastAsia" w:cstheme="minorBidi"/>
            <w:i w:val="0"/>
            <w:iCs w:val="0"/>
            <w:noProof/>
            <w:sz w:val="22"/>
            <w:szCs w:val="22"/>
            <w:lang w:eastAsia="en-GB" w:bidi="ar-SA"/>
          </w:rPr>
          <w:tab/>
        </w:r>
        <w:r w:rsidR="007B2A2E" w:rsidRPr="00A713E3">
          <w:rPr>
            <w:rStyle w:val="Hyperlink"/>
            <w:noProof/>
          </w:rPr>
          <w:t>Application of vitamin D to breakfast cereal</w:t>
        </w:r>
        <w:r w:rsidR="007B2A2E">
          <w:rPr>
            <w:noProof/>
            <w:webHidden/>
          </w:rPr>
          <w:tab/>
        </w:r>
        <w:r w:rsidR="007B2A2E">
          <w:rPr>
            <w:noProof/>
            <w:webHidden/>
          </w:rPr>
          <w:fldChar w:fldCharType="begin"/>
        </w:r>
        <w:r w:rsidR="007B2A2E">
          <w:rPr>
            <w:noProof/>
            <w:webHidden/>
          </w:rPr>
          <w:instrText xml:space="preserve"> PAGEREF _Toc406575688 \h </w:instrText>
        </w:r>
        <w:r w:rsidR="007B2A2E">
          <w:rPr>
            <w:noProof/>
            <w:webHidden/>
          </w:rPr>
        </w:r>
        <w:r w:rsidR="007B2A2E">
          <w:rPr>
            <w:noProof/>
            <w:webHidden/>
          </w:rPr>
          <w:fldChar w:fldCharType="separate"/>
        </w:r>
        <w:r w:rsidR="00E82441">
          <w:rPr>
            <w:noProof/>
            <w:webHidden/>
          </w:rPr>
          <w:t>10</w:t>
        </w:r>
        <w:r w:rsidR="007B2A2E">
          <w:rPr>
            <w:noProof/>
            <w:webHidden/>
          </w:rPr>
          <w:fldChar w:fldCharType="end"/>
        </w:r>
      </w:hyperlink>
    </w:p>
    <w:p w14:paraId="25B5D628"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89" w:history="1">
        <w:r w:rsidR="007B2A2E" w:rsidRPr="00A713E3">
          <w:rPr>
            <w:rStyle w:val="Hyperlink"/>
            <w:noProof/>
          </w:rPr>
          <w:t>2.5</w:t>
        </w:r>
        <w:r w:rsidR="007B2A2E">
          <w:rPr>
            <w:rFonts w:eastAsiaTheme="minorEastAsia" w:cstheme="minorBidi"/>
            <w:i w:val="0"/>
            <w:iCs w:val="0"/>
            <w:noProof/>
            <w:sz w:val="22"/>
            <w:szCs w:val="22"/>
            <w:lang w:eastAsia="en-GB" w:bidi="ar-SA"/>
          </w:rPr>
          <w:tab/>
        </w:r>
        <w:r w:rsidR="007B2A2E" w:rsidRPr="00A713E3">
          <w:rPr>
            <w:rStyle w:val="Hyperlink"/>
            <w:noProof/>
          </w:rPr>
          <w:t>Stability of vitamin D during processing and losses with shelf life</w:t>
        </w:r>
        <w:r w:rsidR="007B2A2E">
          <w:rPr>
            <w:noProof/>
            <w:webHidden/>
          </w:rPr>
          <w:tab/>
        </w:r>
        <w:r w:rsidR="007B2A2E">
          <w:rPr>
            <w:noProof/>
            <w:webHidden/>
          </w:rPr>
          <w:fldChar w:fldCharType="begin"/>
        </w:r>
        <w:r w:rsidR="007B2A2E">
          <w:rPr>
            <w:noProof/>
            <w:webHidden/>
          </w:rPr>
          <w:instrText xml:space="preserve"> PAGEREF _Toc406575689 \h </w:instrText>
        </w:r>
        <w:r w:rsidR="007B2A2E">
          <w:rPr>
            <w:noProof/>
            <w:webHidden/>
          </w:rPr>
        </w:r>
        <w:r w:rsidR="007B2A2E">
          <w:rPr>
            <w:noProof/>
            <w:webHidden/>
          </w:rPr>
          <w:fldChar w:fldCharType="separate"/>
        </w:r>
        <w:r w:rsidR="00E82441">
          <w:rPr>
            <w:noProof/>
            <w:webHidden/>
          </w:rPr>
          <w:t>10</w:t>
        </w:r>
        <w:r w:rsidR="007B2A2E">
          <w:rPr>
            <w:noProof/>
            <w:webHidden/>
          </w:rPr>
          <w:fldChar w:fldCharType="end"/>
        </w:r>
      </w:hyperlink>
    </w:p>
    <w:p w14:paraId="25B5D629"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0" w:history="1">
        <w:r w:rsidR="007B2A2E" w:rsidRPr="00A713E3">
          <w:rPr>
            <w:rStyle w:val="Hyperlink"/>
            <w:noProof/>
          </w:rPr>
          <w:t>2.6</w:t>
        </w:r>
        <w:r w:rsidR="007B2A2E">
          <w:rPr>
            <w:rFonts w:eastAsiaTheme="minorEastAsia" w:cstheme="minorBidi"/>
            <w:i w:val="0"/>
            <w:iCs w:val="0"/>
            <w:noProof/>
            <w:sz w:val="22"/>
            <w:szCs w:val="22"/>
            <w:lang w:eastAsia="en-GB" w:bidi="ar-SA"/>
          </w:rPr>
          <w:tab/>
        </w:r>
        <w:r w:rsidR="007B2A2E" w:rsidRPr="00A713E3">
          <w:rPr>
            <w:rStyle w:val="Hyperlink"/>
            <w:noProof/>
          </w:rPr>
          <w:t>Summary – food technology</w:t>
        </w:r>
        <w:r w:rsidR="007B2A2E">
          <w:rPr>
            <w:noProof/>
            <w:webHidden/>
          </w:rPr>
          <w:tab/>
        </w:r>
        <w:r w:rsidR="007B2A2E">
          <w:rPr>
            <w:noProof/>
            <w:webHidden/>
          </w:rPr>
          <w:fldChar w:fldCharType="begin"/>
        </w:r>
        <w:r w:rsidR="007B2A2E">
          <w:rPr>
            <w:noProof/>
            <w:webHidden/>
          </w:rPr>
          <w:instrText xml:space="preserve"> PAGEREF _Toc406575690 \h </w:instrText>
        </w:r>
        <w:r w:rsidR="007B2A2E">
          <w:rPr>
            <w:noProof/>
            <w:webHidden/>
          </w:rPr>
        </w:r>
        <w:r w:rsidR="007B2A2E">
          <w:rPr>
            <w:noProof/>
            <w:webHidden/>
          </w:rPr>
          <w:fldChar w:fldCharType="separate"/>
        </w:r>
        <w:r w:rsidR="00E82441">
          <w:rPr>
            <w:noProof/>
            <w:webHidden/>
          </w:rPr>
          <w:t>11</w:t>
        </w:r>
        <w:r w:rsidR="007B2A2E">
          <w:rPr>
            <w:noProof/>
            <w:webHidden/>
          </w:rPr>
          <w:fldChar w:fldCharType="end"/>
        </w:r>
      </w:hyperlink>
    </w:p>
    <w:p w14:paraId="25B5D62A" w14:textId="77777777" w:rsidR="007B2A2E" w:rsidRDefault="009B582B">
      <w:pPr>
        <w:pStyle w:val="TOC2"/>
        <w:tabs>
          <w:tab w:val="left" w:pos="660"/>
          <w:tab w:val="right" w:leader="dot" w:pos="9060"/>
        </w:tabs>
        <w:rPr>
          <w:rFonts w:eastAsiaTheme="minorEastAsia" w:cstheme="minorBidi"/>
          <w:smallCaps w:val="0"/>
          <w:noProof/>
          <w:sz w:val="22"/>
          <w:szCs w:val="22"/>
          <w:lang w:eastAsia="en-GB" w:bidi="ar-SA"/>
        </w:rPr>
      </w:pPr>
      <w:hyperlink w:anchor="_Toc406575691" w:history="1">
        <w:r w:rsidR="007B2A2E" w:rsidRPr="00A713E3">
          <w:rPr>
            <w:rStyle w:val="Hyperlink"/>
            <w:noProof/>
          </w:rPr>
          <w:t>3</w:t>
        </w:r>
        <w:r w:rsidR="007B2A2E">
          <w:rPr>
            <w:rFonts w:eastAsiaTheme="minorEastAsia" w:cstheme="minorBidi"/>
            <w:smallCaps w:val="0"/>
            <w:noProof/>
            <w:sz w:val="22"/>
            <w:szCs w:val="22"/>
            <w:lang w:eastAsia="en-GB" w:bidi="ar-SA"/>
          </w:rPr>
          <w:tab/>
        </w:r>
        <w:r w:rsidR="007B2A2E" w:rsidRPr="00A713E3">
          <w:rPr>
            <w:rStyle w:val="Hyperlink"/>
            <w:noProof/>
          </w:rPr>
          <w:t>Hazard Identification and Characterisation</w:t>
        </w:r>
        <w:r w:rsidR="007B2A2E">
          <w:rPr>
            <w:noProof/>
            <w:webHidden/>
          </w:rPr>
          <w:tab/>
        </w:r>
        <w:r w:rsidR="007B2A2E">
          <w:rPr>
            <w:noProof/>
            <w:webHidden/>
          </w:rPr>
          <w:fldChar w:fldCharType="begin"/>
        </w:r>
        <w:r w:rsidR="007B2A2E">
          <w:rPr>
            <w:noProof/>
            <w:webHidden/>
          </w:rPr>
          <w:instrText xml:space="preserve"> PAGEREF _Toc406575691 \h </w:instrText>
        </w:r>
        <w:r w:rsidR="007B2A2E">
          <w:rPr>
            <w:noProof/>
            <w:webHidden/>
          </w:rPr>
        </w:r>
        <w:r w:rsidR="007B2A2E">
          <w:rPr>
            <w:noProof/>
            <w:webHidden/>
          </w:rPr>
          <w:fldChar w:fldCharType="separate"/>
        </w:r>
        <w:r w:rsidR="00E82441">
          <w:rPr>
            <w:noProof/>
            <w:webHidden/>
          </w:rPr>
          <w:t>11</w:t>
        </w:r>
        <w:r w:rsidR="007B2A2E">
          <w:rPr>
            <w:noProof/>
            <w:webHidden/>
          </w:rPr>
          <w:fldChar w:fldCharType="end"/>
        </w:r>
      </w:hyperlink>
    </w:p>
    <w:p w14:paraId="25B5D62B"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2" w:history="1">
        <w:r w:rsidR="007B2A2E" w:rsidRPr="00A713E3">
          <w:rPr>
            <w:rStyle w:val="Hyperlink"/>
            <w:noProof/>
          </w:rPr>
          <w:t>3.1</w:t>
        </w:r>
        <w:r w:rsidR="007B2A2E">
          <w:rPr>
            <w:rFonts w:eastAsiaTheme="minorEastAsia" w:cstheme="minorBidi"/>
            <w:i w:val="0"/>
            <w:iCs w:val="0"/>
            <w:noProof/>
            <w:sz w:val="22"/>
            <w:szCs w:val="22"/>
            <w:lang w:eastAsia="en-GB" w:bidi="ar-SA"/>
          </w:rPr>
          <w:tab/>
        </w:r>
        <w:r w:rsidR="007B2A2E" w:rsidRPr="00A713E3">
          <w:rPr>
            <w:rStyle w:val="Hyperlink"/>
            <w:noProof/>
          </w:rPr>
          <w:t>Metabolism</w:t>
        </w:r>
        <w:r w:rsidR="007B2A2E">
          <w:rPr>
            <w:noProof/>
            <w:webHidden/>
          </w:rPr>
          <w:tab/>
        </w:r>
        <w:r w:rsidR="007B2A2E">
          <w:rPr>
            <w:noProof/>
            <w:webHidden/>
          </w:rPr>
          <w:fldChar w:fldCharType="begin"/>
        </w:r>
        <w:r w:rsidR="007B2A2E">
          <w:rPr>
            <w:noProof/>
            <w:webHidden/>
          </w:rPr>
          <w:instrText xml:space="preserve"> PAGEREF _Toc406575692 \h </w:instrText>
        </w:r>
        <w:r w:rsidR="007B2A2E">
          <w:rPr>
            <w:noProof/>
            <w:webHidden/>
          </w:rPr>
        </w:r>
        <w:r w:rsidR="007B2A2E">
          <w:rPr>
            <w:noProof/>
            <w:webHidden/>
          </w:rPr>
          <w:fldChar w:fldCharType="separate"/>
        </w:r>
        <w:r w:rsidR="00E82441">
          <w:rPr>
            <w:noProof/>
            <w:webHidden/>
          </w:rPr>
          <w:t>11</w:t>
        </w:r>
        <w:r w:rsidR="007B2A2E">
          <w:rPr>
            <w:noProof/>
            <w:webHidden/>
          </w:rPr>
          <w:fldChar w:fldCharType="end"/>
        </w:r>
      </w:hyperlink>
    </w:p>
    <w:p w14:paraId="25B5D62C"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3" w:history="1">
        <w:r w:rsidR="007B2A2E" w:rsidRPr="00A713E3">
          <w:rPr>
            <w:rStyle w:val="Hyperlink"/>
            <w:noProof/>
          </w:rPr>
          <w:t>3.2</w:t>
        </w:r>
        <w:r w:rsidR="007B2A2E">
          <w:rPr>
            <w:rFonts w:eastAsiaTheme="minorEastAsia" w:cstheme="minorBidi"/>
            <w:i w:val="0"/>
            <w:iCs w:val="0"/>
            <w:noProof/>
            <w:sz w:val="22"/>
            <w:szCs w:val="22"/>
            <w:lang w:eastAsia="en-GB" w:bidi="ar-SA"/>
          </w:rPr>
          <w:tab/>
        </w:r>
        <w:r w:rsidR="007B2A2E" w:rsidRPr="00A713E3">
          <w:rPr>
            <w:rStyle w:val="Hyperlink"/>
            <w:noProof/>
          </w:rPr>
          <w:t>Absorption</w:t>
        </w:r>
        <w:r w:rsidR="007B2A2E">
          <w:rPr>
            <w:noProof/>
            <w:webHidden/>
          </w:rPr>
          <w:tab/>
        </w:r>
        <w:r w:rsidR="007B2A2E">
          <w:rPr>
            <w:noProof/>
            <w:webHidden/>
          </w:rPr>
          <w:fldChar w:fldCharType="begin"/>
        </w:r>
        <w:r w:rsidR="007B2A2E">
          <w:rPr>
            <w:noProof/>
            <w:webHidden/>
          </w:rPr>
          <w:instrText xml:space="preserve"> PAGEREF _Toc406575693 \h </w:instrText>
        </w:r>
        <w:r w:rsidR="007B2A2E">
          <w:rPr>
            <w:noProof/>
            <w:webHidden/>
          </w:rPr>
        </w:r>
        <w:r w:rsidR="007B2A2E">
          <w:rPr>
            <w:noProof/>
            <w:webHidden/>
          </w:rPr>
          <w:fldChar w:fldCharType="separate"/>
        </w:r>
        <w:r w:rsidR="00E82441">
          <w:rPr>
            <w:noProof/>
            <w:webHidden/>
          </w:rPr>
          <w:t>14</w:t>
        </w:r>
        <w:r w:rsidR="007B2A2E">
          <w:rPr>
            <w:noProof/>
            <w:webHidden/>
          </w:rPr>
          <w:fldChar w:fldCharType="end"/>
        </w:r>
      </w:hyperlink>
    </w:p>
    <w:p w14:paraId="25B5D62D"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4" w:history="1">
        <w:r w:rsidR="007B2A2E" w:rsidRPr="00A713E3">
          <w:rPr>
            <w:rStyle w:val="Hyperlink"/>
            <w:noProof/>
          </w:rPr>
          <w:t>3.3</w:t>
        </w:r>
        <w:r w:rsidR="007B2A2E">
          <w:rPr>
            <w:rFonts w:eastAsiaTheme="minorEastAsia" w:cstheme="minorBidi"/>
            <w:i w:val="0"/>
            <w:iCs w:val="0"/>
            <w:noProof/>
            <w:sz w:val="22"/>
            <w:szCs w:val="22"/>
            <w:lang w:eastAsia="en-GB" w:bidi="ar-SA"/>
          </w:rPr>
          <w:tab/>
        </w:r>
        <w:r w:rsidR="007B2A2E" w:rsidRPr="00A713E3">
          <w:rPr>
            <w:rStyle w:val="Hyperlink"/>
            <w:noProof/>
          </w:rPr>
          <w:t>Biological effect of D</w:t>
        </w:r>
        <w:r w:rsidR="007B2A2E" w:rsidRPr="00A713E3">
          <w:rPr>
            <w:rStyle w:val="Hyperlink"/>
            <w:noProof/>
            <w:vertAlign w:val="subscript"/>
          </w:rPr>
          <w:t>2</w:t>
        </w:r>
        <w:r w:rsidR="007B2A2E" w:rsidRPr="00A713E3">
          <w:rPr>
            <w:rStyle w:val="Hyperlink"/>
            <w:noProof/>
          </w:rPr>
          <w:t xml:space="preserve"> versus D</w:t>
        </w:r>
        <w:r w:rsidR="007B2A2E" w:rsidRPr="00A713E3">
          <w:rPr>
            <w:rStyle w:val="Hyperlink"/>
            <w:noProof/>
            <w:vertAlign w:val="subscript"/>
          </w:rPr>
          <w:t>3</w:t>
        </w:r>
        <w:r w:rsidR="007B2A2E">
          <w:rPr>
            <w:noProof/>
            <w:webHidden/>
          </w:rPr>
          <w:tab/>
        </w:r>
        <w:r w:rsidR="007B2A2E">
          <w:rPr>
            <w:noProof/>
            <w:webHidden/>
          </w:rPr>
          <w:fldChar w:fldCharType="begin"/>
        </w:r>
        <w:r w:rsidR="007B2A2E">
          <w:rPr>
            <w:noProof/>
            <w:webHidden/>
          </w:rPr>
          <w:instrText xml:space="preserve"> PAGEREF _Toc406575694 \h </w:instrText>
        </w:r>
        <w:r w:rsidR="007B2A2E">
          <w:rPr>
            <w:noProof/>
            <w:webHidden/>
          </w:rPr>
        </w:r>
        <w:r w:rsidR="007B2A2E">
          <w:rPr>
            <w:noProof/>
            <w:webHidden/>
          </w:rPr>
          <w:fldChar w:fldCharType="separate"/>
        </w:r>
        <w:r w:rsidR="00E82441">
          <w:rPr>
            <w:noProof/>
            <w:webHidden/>
          </w:rPr>
          <w:t>15</w:t>
        </w:r>
        <w:r w:rsidR="007B2A2E">
          <w:rPr>
            <w:noProof/>
            <w:webHidden/>
          </w:rPr>
          <w:fldChar w:fldCharType="end"/>
        </w:r>
      </w:hyperlink>
    </w:p>
    <w:p w14:paraId="25B5D62E"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5" w:history="1">
        <w:r w:rsidR="007B2A2E" w:rsidRPr="00A713E3">
          <w:rPr>
            <w:rStyle w:val="Hyperlink"/>
            <w:noProof/>
          </w:rPr>
          <w:t>3.4</w:t>
        </w:r>
        <w:r w:rsidR="007B2A2E">
          <w:rPr>
            <w:rFonts w:eastAsiaTheme="minorEastAsia" w:cstheme="minorBidi"/>
            <w:i w:val="0"/>
            <w:iCs w:val="0"/>
            <w:noProof/>
            <w:sz w:val="22"/>
            <w:szCs w:val="22"/>
            <w:lang w:eastAsia="en-GB" w:bidi="ar-SA"/>
          </w:rPr>
          <w:tab/>
        </w:r>
        <w:r w:rsidR="007B2A2E" w:rsidRPr="00A713E3">
          <w:rPr>
            <w:rStyle w:val="Hyperlink"/>
            <w:noProof/>
          </w:rPr>
          <w:t>Inadequate vitamin D</w:t>
        </w:r>
        <w:r w:rsidR="007B2A2E">
          <w:rPr>
            <w:noProof/>
            <w:webHidden/>
          </w:rPr>
          <w:tab/>
        </w:r>
        <w:r w:rsidR="007B2A2E">
          <w:rPr>
            <w:noProof/>
            <w:webHidden/>
          </w:rPr>
          <w:fldChar w:fldCharType="begin"/>
        </w:r>
        <w:r w:rsidR="007B2A2E">
          <w:rPr>
            <w:noProof/>
            <w:webHidden/>
          </w:rPr>
          <w:instrText xml:space="preserve"> PAGEREF _Toc406575695 \h </w:instrText>
        </w:r>
        <w:r w:rsidR="007B2A2E">
          <w:rPr>
            <w:noProof/>
            <w:webHidden/>
          </w:rPr>
        </w:r>
        <w:r w:rsidR="007B2A2E">
          <w:rPr>
            <w:noProof/>
            <w:webHidden/>
          </w:rPr>
          <w:fldChar w:fldCharType="separate"/>
        </w:r>
        <w:r w:rsidR="00E82441">
          <w:rPr>
            <w:noProof/>
            <w:webHidden/>
          </w:rPr>
          <w:t>17</w:t>
        </w:r>
        <w:r w:rsidR="007B2A2E">
          <w:rPr>
            <w:noProof/>
            <w:webHidden/>
          </w:rPr>
          <w:fldChar w:fldCharType="end"/>
        </w:r>
      </w:hyperlink>
    </w:p>
    <w:p w14:paraId="25B5D62F"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6" w:history="1">
        <w:r w:rsidR="007B2A2E" w:rsidRPr="00A713E3">
          <w:rPr>
            <w:rStyle w:val="Hyperlink"/>
            <w:noProof/>
          </w:rPr>
          <w:t>3.5</w:t>
        </w:r>
        <w:r w:rsidR="007B2A2E">
          <w:rPr>
            <w:rFonts w:eastAsiaTheme="minorEastAsia" w:cstheme="minorBidi"/>
            <w:i w:val="0"/>
            <w:iCs w:val="0"/>
            <w:noProof/>
            <w:sz w:val="22"/>
            <w:szCs w:val="22"/>
            <w:lang w:eastAsia="en-GB" w:bidi="ar-SA"/>
          </w:rPr>
          <w:tab/>
        </w:r>
        <w:r w:rsidR="007B2A2E" w:rsidRPr="00A713E3">
          <w:rPr>
            <w:rStyle w:val="Hyperlink"/>
            <w:noProof/>
          </w:rPr>
          <w:t>Excess vitamin D</w:t>
        </w:r>
        <w:r w:rsidR="007B2A2E">
          <w:rPr>
            <w:noProof/>
            <w:webHidden/>
          </w:rPr>
          <w:tab/>
        </w:r>
        <w:r w:rsidR="007B2A2E">
          <w:rPr>
            <w:noProof/>
            <w:webHidden/>
          </w:rPr>
          <w:fldChar w:fldCharType="begin"/>
        </w:r>
        <w:r w:rsidR="007B2A2E">
          <w:rPr>
            <w:noProof/>
            <w:webHidden/>
          </w:rPr>
          <w:instrText xml:space="preserve"> PAGEREF _Toc406575696 \h </w:instrText>
        </w:r>
        <w:r w:rsidR="007B2A2E">
          <w:rPr>
            <w:noProof/>
            <w:webHidden/>
          </w:rPr>
        </w:r>
        <w:r w:rsidR="007B2A2E">
          <w:rPr>
            <w:noProof/>
            <w:webHidden/>
          </w:rPr>
          <w:fldChar w:fldCharType="separate"/>
        </w:r>
        <w:r w:rsidR="00E82441">
          <w:rPr>
            <w:noProof/>
            <w:webHidden/>
          </w:rPr>
          <w:t>19</w:t>
        </w:r>
        <w:r w:rsidR="007B2A2E">
          <w:rPr>
            <w:noProof/>
            <w:webHidden/>
          </w:rPr>
          <w:fldChar w:fldCharType="end"/>
        </w:r>
      </w:hyperlink>
    </w:p>
    <w:p w14:paraId="25B5D630"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7" w:history="1">
        <w:r w:rsidR="007B2A2E" w:rsidRPr="00A713E3">
          <w:rPr>
            <w:rStyle w:val="Hyperlink"/>
            <w:noProof/>
          </w:rPr>
          <w:t>3.6</w:t>
        </w:r>
        <w:r w:rsidR="007B2A2E">
          <w:rPr>
            <w:rFonts w:eastAsiaTheme="minorEastAsia" w:cstheme="minorBidi"/>
            <w:i w:val="0"/>
            <w:iCs w:val="0"/>
            <w:noProof/>
            <w:sz w:val="22"/>
            <w:szCs w:val="22"/>
            <w:lang w:eastAsia="en-GB" w:bidi="ar-SA"/>
          </w:rPr>
          <w:tab/>
        </w:r>
        <w:r w:rsidR="007B2A2E" w:rsidRPr="00A713E3">
          <w:rPr>
            <w:rStyle w:val="Hyperlink"/>
            <w:noProof/>
          </w:rPr>
          <w:t>Summary – hazard identification and characterisation</w:t>
        </w:r>
        <w:r w:rsidR="007B2A2E">
          <w:rPr>
            <w:noProof/>
            <w:webHidden/>
          </w:rPr>
          <w:tab/>
        </w:r>
        <w:r w:rsidR="007B2A2E">
          <w:rPr>
            <w:noProof/>
            <w:webHidden/>
          </w:rPr>
          <w:fldChar w:fldCharType="begin"/>
        </w:r>
        <w:r w:rsidR="007B2A2E">
          <w:rPr>
            <w:noProof/>
            <w:webHidden/>
          </w:rPr>
          <w:instrText xml:space="preserve"> PAGEREF _Toc406575697 \h </w:instrText>
        </w:r>
        <w:r w:rsidR="007B2A2E">
          <w:rPr>
            <w:noProof/>
            <w:webHidden/>
          </w:rPr>
        </w:r>
        <w:r w:rsidR="007B2A2E">
          <w:rPr>
            <w:noProof/>
            <w:webHidden/>
          </w:rPr>
          <w:fldChar w:fldCharType="separate"/>
        </w:r>
        <w:r w:rsidR="00E82441">
          <w:rPr>
            <w:noProof/>
            <w:webHidden/>
          </w:rPr>
          <w:t>21</w:t>
        </w:r>
        <w:r w:rsidR="007B2A2E">
          <w:rPr>
            <w:noProof/>
            <w:webHidden/>
          </w:rPr>
          <w:fldChar w:fldCharType="end"/>
        </w:r>
      </w:hyperlink>
    </w:p>
    <w:p w14:paraId="25B5D631" w14:textId="77777777" w:rsidR="007B2A2E" w:rsidRDefault="009B582B">
      <w:pPr>
        <w:pStyle w:val="TOC2"/>
        <w:tabs>
          <w:tab w:val="left" w:pos="660"/>
          <w:tab w:val="right" w:leader="dot" w:pos="9060"/>
        </w:tabs>
        <w:rPr>
          <w:rFonts w:eastAsiaTheme="minorEastAsia" w:cstheme="minorBidi"/>
          <w:smallCaps w:val="0"/>
          <w:noProof/>
          <w:sz w:val="22"/>
          <w:szCs w:val="22"/>
          <w:lang w:eastAsia="en-GB" w:bidi="ar-SA"/>
        </w:rPr>
      </w:pPr>
      <w:hyperlink w:anchor="_Toc406575698" w:history="1">
        <w:r w:rsidR="007B2A2E" w:rsidRPr="00A713E3">
          <w:rPr>
            <w:rStyle w:val="Hyperlink"/>
            <w:noProof/>
          </w:rPr>
          <w:t>4</w:t>
        </w:r>
        <w:r w:rsidR="007B2A2E">
          <w:rPr>
            <w:rFonts w:eastAsiaTheme="minorEastAsia" w:cstheme="minorBidi"/>
            <w:smallCaps w:val="0"/>
            <w:noProof/>
            <w:sz w:val="22"/>
            <w:szCs w:val="22"/>
            <w:lang w:eastAsia="en-GB" w:bidi="ar-SA"/>
          </w:rPr>
          <w:tab/>
        </w:r>
        <w:r w:rsidR="007B2A2E" w:rsidRPr="00A713E3">
          <w:rPr>
            <w:rStyle w:val="Hyperlink"/>
            <w:noProof/>
          </w:rPr>
          <w:t>Vitamin D in food</w:t>
        </w:r>
        <w:r w:rsidR="007B2A2E">
          <w:rPr>
            <w:noProof/>
            <w:webHidden/>
          </w:rPr>
          <w:tab/>
        </w:r>
        <w:r w:rsidR="007B2A2E">
          <w:rPr>
            <w:noProof/>
            <w:webHidden/>
          </w:rPr>
          <w:fldChar w:fldCharType="begin"/>
        </w:r>
        <w:r w:rsidR="007B2A2E">
          <w:rPr>
            <w:noProof/>
            <w:webHidden/>
          </w:rPr>
          <w:instrText xml:space="preserve"> PAGEREF _Toc406575698 \h </w:instrText>
        </w:r>
        <w:r w:rsidR="007B2A2E">
          <w:rPr>
            <w:noProof/>
            <w:webHidden/>
          </w:rPr>
        </w:r>
        <w:r w:rsidR="007B2A2E">
          <w:rPr>
            <w:noProof/>
            <w:webHidden/>
          </w:rPr>
          <w:fldChar w:fldCharType="separate"/>
        </w:r>
        <w:r w:rsidR="00E82441">
          <w:rPr>
            <w:noProof/>
            <w:webHidden/>
          </w:rPr>
          <w:t>22</w:t>
        </w:r>
        <w:r w:rsidR="007B2A2E">
          <w:rPr>
            <w:noProof/>
            <w:webHidden/>
          </w:rPr>
          <w:fldChar w:fldCharType="end"/>
        </w:r>
      </w:hyperlink>
    </w:p>
    <w:p w14:paraId="25B5D632"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699" w:history="1">
        <w:r w:rsidR="007B2A2E" w:rsidRPr="00A713E3">
          <w:rPr>
            <w:rStyle w:val="Hyperlink"/>
            <w:noProof/>
          </w:rPr>
          <w:t>4.1</w:t>
        </w:r>
        <w:r w:rsidR="007B2A2E">
          <w:rPr>
            <w:rFonts w:eastAsiaTheme="minorEastAsia" w:cstheme="minorBidi"/>
            <w:i w:val="0"/>
            <w:iCs w:val="0"/>
            <w:noProof/>
            <w:sz w:val="22"/>
            <w:szCs w:val="22"/>
            <w:lang w:eastAsia="en-GB" w:bidi="ar-SA"/>
          </w:rPr>
          <w:tab/>
        </w:r>
        <w:r w:rsidR="007B2A2E" w:rsidRPr="00A713E3">
          <w:rPr>
            <w:rStyle w:val="Hyperlink"/>
            <w:noProof/>
          </w:rPr>
          <w:t>Content</w:t>
        </w:r>
        <w:r w:rsidR="007B2A2E">
          <w:rPr>
            <w:noProof/>
            <w:webHidden/>
          </w:rPr>
          <w:tab/>
        </w:r>
        <w:r w:rsidR="007B2A2E">
          <w:rPr>
            <w:noProof/>
            <w:webHidden/>
          </w:rPr>
          <w:fldChar w:fldCharType="begin"/>
        </w:r>
        <w:r w:rsidR="007B2A2E">
          <w:rPr>
            <w:noProof/>
            <w:webHidden/>
          </w:rPr>
          <w:instrText xml:space="preserve"> PAGEREF _Toc406575699 \h </w:instrText>
        </w:r>
        <w:r w:rsidR="007B2A2E">
          <w:rPr>
            <w:noProof/>
            <w:webHidden/>
          </w:rPr>
        </w:r>
        <w:r w:rsidR="007B2A2E">
          <w:rPr>
            <w:noProof/>
            <w:webHidden/>
          </w:rPr>
          <w:fldChar w:fldCharType="separate"/>
        </w:r>
        <w:r w:rsidR="00E82441">
          <w:rPr>
            <w:noProof/>
            <w:webHidden/>
          </w:rPr>
          <w:t>22</w:t>
        </w:r>
        <w:r w:rsidR="007B2A2E">
          <w:rPr>
            <w:noProof/>
            <w:webHidden/>
          </w:rPr>
          <w:fldChar w:fldCharType="end"/>
        </w:r>
      </w:hyperlink>
    </w:p>
    <w:p w14:paraId="25B5D633"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0" w:history="1">
        <w:r w:rsidR="007B2A2E" w:rsidRPr="00A713E3">
          <w:rPr>
            <w:rStyle w:val="Hyperlink"/>
            <w:noProof/>
          </w:rPr>
          <w:t>4.2</w:t>
        </w:r>
        <w:r w:rsidR="007B2A2E">
          <w:rPr>
            <w:rFonts w:eastAsiaTheme="minorEastAsia" w:cstheme="minorBidi"/>
            <w:i w:val="0"/>
            <w:iCs w:val="0"/>
            <w:noProof/>
            <w:sz w:val="22"/>
            <w:szCs w:val="22"/>
            <w:lang w:eastAsia="en-GB" w:bidi="ar-SA"/>
          </w:rPr>
          <w:tab/>
        </w:r>
        <w:r w:rsidR="007B2A2E" w:rsidRPr="00A713E3">
          <w:rPr>
            <w:rStyle w:val="Hyperlink"/>
            <w:noProof/>
          </w:rPr>
          <w:t>Effect of consuming vitamin D fortified foods on serum 25OHD</w:t>
        </w:r>
        <w:r w:rsidR="007B2A2E">
          <w:rPr>
            <w:noProof/>
            <w:webHidden/>
          </w:rPr>
          <w:tab/>
        </w:r>
        <w:r w:rsidR="007B2A2E">
          <w:rPr>
            <w:noProof/>
            <w:webHidden/>
          </w:rPr>
          <w:fldChar w:fldCharType="begin"/>
        </w:r>
        <w:r w:rsidR="007B2A2E">
          <w:rPr>
            <w:noProof/>
            <w:webHidden/>
          </w:rPr>
          <w:instrText xml:space="preserve"> PAGEREF _Toc406575700 \h </w:instrText>
        </w:r>
        <w:r w:rsidR="007B2A2E">
          <w:rPr>
            <w:noProof/>
            <w:webHidden/>
          </w:rPr>
        </w:r>
        <w:r w:rsidR="007B2A2E">
          <w:rPr>
            <w:noProof/>
            <w:webHidden/>
          </w:rPr>
          <w:fldChar w:fldCharType="separate"/>
        </w:r>
        <w:r w:rsidR="00E82441">
          <w:rPr>
            <w:noProof/>
            <w:webHidden/>
          </w:rPr>
          <w:t>22</w:t>
        </w:r>
        <w:r w:rsidR="007B2A2E">
          <w:rPr>
            <w:noProof/>
            <w:webHidden/>
          </w:rPr>
          <w:fldChar w:fldCharType="end"/>
        </w:r>
      </w:hyperlink>
    </w:p>
    <w:p w14:paraId="25B5D634" w14:textId="77777777" w:rsidR="007B2A2E" w:rsidRDefault="009B582B">
      <w:pPr>
        <w:pStyle w:val="TOC2"/>
        <w:tabs>
          <w:tab w:val="left" w:pos="660"/>
          <w:tab w:val="right" w:leader="dot" w:pos="9060"/>
        </w:tabs>
        <w:rPr>
          <w:rFonts w:eastAsiaTheme="minorEastAsia" w:cstheme="minorBidi"/>
          <w:smallCaps w:val="0"/>
          <w:noProof/>
          <w:sz w:val="22"/>
          <w:szCs w:val="22"/>
          <w:lang w:eastAsia="en-GB" w:bidi="ar-SA"/>
        </w:rPr>
      </w:pPr>
      <w:hyperlink w:anchor="_Toc406575701" w:history="1">
        <w:r w:rsidR="007B2A2E" w:rsidRPr="00A713E3">
          <w:rPr>
            <w:rStyle w:val="Hyperlink"/>
            <w:noProof/>
          </w:rPr>
          <w:t>5</w:t>
        </w:r>
        <w:r w:rsidR="007B2A2E">
          <w:rPr>
            <w:rFonts w:eastAsiaTheme="minorEastAsia" w:cstheme="minorBidi"/>
            <w:smallCaps w:val="0"/>
            <w:noProof/>
            <w:sz w:val="22"/>
            <w:szCs w:val="22"/>
            <w:lang w:eastAsia="en-GB" w:bidi="ar-SA"/>
          </w:rPr>
          <w:tab/>
        </w:r>
        <w:r w:rsidR="007B2A2E" w:rsidRPr="00A713E3">
          <w:rPr>
            <w:rStyle w:val="Hyperlink"/>
            <w:noProof/>
          </w:rPr>
          <w:t>Estimated vitamin D intakes from fortified breakfast cereal</w:t>
        </w:r>
        <w:r w:rsidR="007B2A2E">
          <w:rPr>
            <w:noProof/>
            <w:webHidden/>
          </w:rPr>
          <w:tab/>
        </w:r>
        <w:r w:rsidR="007B2A2E">
          <w:rPr>
            <w:noProof/>
            <w:webHidden/>
          </w:rPr>
          <w:fldChar w:fldCharType="begin"/>
        </w:r>
        <w:r w:rsidR="007B2A2E">
          <w:rPr>
            <w:noProof/>
            <w:webHidden/>
          </w:rPr>
          <w:instrText xml:space="preserve"> PAGEREF _Toc406575701 \h </w:instrText>
        </w:r>
        <w:r w:rsidR="007B2A2E">
          <w:rPr>
            <w:noProof/>
            <w:webHidden/>
          </w:rPr>
        </w:r>
        <w:r w:rsidR="007B2A2E">
          <w:rPr>
            <w:noProof/>
            <w:webHidden/>
          </w:rPr>
          <w:fldChar w:fldCharType="separate"/>
        </w:r>
        <w:r w:rsidR="00E82441">
          <w:rPr>
            <w:noProof/>
            <w:webHidden/>
          </w:rPr>
          <w:t>23</w:t>
        </w:r>
        <w:r w:rsidR="007B2A2E">
          <w:rPr>
            <w:noProof/>
            <w:webHidden/>
          </w:rPr>
          <w:fldChar w:fldCharType="end"/>
        </w:r>
      </w:hyperlink>
    </w:p>
    <w:p w14:paraId="25B5D635"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2" w:history="1">
        <w:r w:rsidR="007B2A2E" w:rsidRPr="00A713E3">
          <w:rPr>
            <w:rStyle w:val="Hyperlink"/>
            <w:noProof/>
          </w:rPr>
          <w:t>5.1</w:t>
        </w:r>
        <w:r w:rsidR="007B2A2E">
          <w:rPr>
            <w:rFonts w:eastAsiaTheme="minorEastAsia" w:cstheme="minorBidi"/>
            <w:i w:val="0"/>
            <w:iCs w:val="0"/>
            <w:noProof/>
            <w:sz w:val="22"/>
            <w:szCs w:val="22"/>
            <w:lang w:eastAsia="en-GB" w:bidi="ar-SA"/>
          </w:rPr>
          <w:tab/>
        </w:r>
        <w:r w:rsidR="007B2A2E" w:rsidRPr="00A713E3">
          <w:rPr>
            <w:rStyle w:val="Hyperlink"/>
            <w:noProof/>
          </w:rPr>
          <w:t>Introduction</w:t>
        </w:r>
        <w:r w:rsidR="007B2A2E">
          <w:rPr>
            <w:noProof/>
            <w:webHidden/>
          </w:rPr>
          <w:tab/>
        </w:r>
        <w:r w:rsidR="007B2A2E">
          <w:rPr>
            <w:noProof/>
            <w:webHidden/>
          </w:rPr>
          <w:fldChar w:fldCharType="begin"/>
        </w:r>
        <w:r w:rsidR="007B2A2E">
          <w:rPr>
            <w:noProof/>
            <w:webHidden/>
          </w:rPr>
          <w:instrText xml:space="preserve"> PAGEREF _Toc406575702 \h </w:instrText>
        </w:r>
        <w:r w:rsidR="007B2A2E">
          <w:rPr>
            <w:noProof/>
            <w:webHidden/>
          </w:rPr>
        </w:r>
        <w:r w:rsidR="007B2A2E">
          <w:rPr>
            <w:noProof/>
            <w:webHidden/>
          </w:rPr>
          <w:fldChar w:fldCharType="separate"/>
        </w:r>
        <w:r w:rsidR="00E82441">
          <w:rPr>
            <w:noProof/>
            <w:webHidden/>
          </w:rPr>
          <w:t>23</w:t>
        </w:r>
        <w:r w:rsidR="007B2A2E">
          <w:rPr>
            <w:noProof/>
            <w:webHidden/>
          </w:rPr>
          <w:fldChar w:fldCharType="end"/>
        </w:r>
      </w:hyperlink>
    </w:p>
    <w:p w14:paraId="25B5D636"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3" w:history="1">
        <w:r w:rsidR="007B2A2E" w:rsidRPr="00A713E3">
          <w:rPr>
            <w:rStyle w:val="Hyperlink"/>
            <w:noProof/>
          </w:rPr>
          <w:t>5.2</w:t>
        </w:r>
        <w:r w:rsidR="007B2A2E">
          <w:rPr>
            <w:rFonts w:eastAsiaTheme="minorEastAsia" w:cstheme="minorBidi"/>
            <w:i w:val="0"/>
            <w:iCs w:val="0"/>
            <w:noProof/>
            <w:sz w:val="22"/>
            <w:szCs w:val="22"/>
            <w:lang w:eastAsia="en-GB" w:bidi="ar-SA"/>
          </w:rPr>
          <w:tab/>
        </w:r>
        <w:r w:rsidR="007B2A2E" w:rsidRPr="00A713E3">
          <w:rPr>
            <w:rStyle w:val="Hyperlink"/>
            <w:noProof/>
          </w:rPr>
          <w:t>Assessment of breakfast cereal consumption</w:t>
        </w:r>
        <w:r w:rsidR="007B2A2E">
          <w:rPr>
            <w:noProof/>
            <w:webHidden/>
          </w:rPr>
          <w:tab/>
        </w:r>
        <w:r w:rsidR="007B2A2E">
          <w:rPr>
            <w:noProof/>
            <w:webHidden/>
          </w:rPr>
          <w:fldChar w:fldCharType="begin"/>
        </w:r>
        <w:r w:rsidR="007B2A2E">
          <w:rPr>
            <w:noProof/>
            <w:webHidden/>
          </w:rPr>
          <w:instrText xml:space="preserve"> PAGEREF _Toc406575703 \h </w:instrText>
        </w:r>
        <w:r w:rsidR="007B2A2E">
          <w:rPr>
            <w:noProof/>
            <w:webHidden/>
          </w:rPr>
        </w:r>
        <w:r w:rsidR="007B2A2E">
          <w:rPr>
            <w:noProof/>
            <w:webHidden/>
          </w:rPr>
          <w:fldChar w:fldCharType="separate"/>
        </w:r>
        <w:r w:rsidR="00E82441">
          <w:rPr>
            <w:noProof/>
            <w:webHidden/>
          </w:rPr>
          <w:t>23</w:t>
        </w:r>
        <w:r w:rsidR="007B2A2E">
          <w:rPr>
            <w:noProof/>
            <w:webHidden/>
          </w:rPr>
          <w:fldChar w:fldCharType="end"/>
        </w:r>
      </w:hyperlink>
    </w:p>
    <w:p w14:paraId="25B5D637"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4" w:history="1">
        <w:r w:rsidR="007B2A2E" w:rsidRPr="00A713E3">
          <w:rPr>
            <w:rStyle w:val="Hyperlink"/>
            <w:noProof/>
          </w:rPr>
          <w:t>5.3</w:t>
        </w:r>
        <w:r w:rsidR="007B2A2E">
          <w:rPr>
            <w:rFonts w:eastAsiaTheme="minorEastAsia" w:cstheme="minorBidi"/>
            <w:i w:val="0"/>
            <w:iCs w:val="0"/>
            <w:noProof/>
            <w:sz w:val="22"/>
            <w:szCs w:val="22"/>
            <w:lang w:eastAsia="en-GB" w:bidi="ar-SA"/>
          </w:rPr>
          <w:tab/>
        </w:r>
        <w:r w:rsidR="007B2A2E" w:rsidRPr="00A713E3">
          <w:rPr>
            <w:rStyle w:val="Hyperlink"/>
            <w:noProof/>
          </w:rPr>
          <w:t>Results</w:t>
        </w:r>
        <w:r w:rsidR="007B2A2E">
          <w:rPr>
            <w:noProof/>
            <w:webHidden/>
          </w:rPr>
          <w:tab/>
        </w:r>
        <w:r w:rsidR="007B2A2E">
          <w:rPr>
            <w:noProof/>
            <w:webHidden/>
          </w:rPr>
          <w:fldChar w:fldCharType="begin"/>
        </w:r>
        <w:r w:rsidR="007B2A2E">
          <w:rPr>
            <w:noProof/>
            <w:webHidden/>
          </w:rPr>
          <w:instrText xml:space="preserve"> PAGEREF _Toc406575704 \h </w:instrText>
        </w:r>
        <w:r w:rsidR="007B2A2E">
          <w:rPr>
            <w:noProof/>
            <w:webHidden/>
          </w:rPr>
        </w:r>
        <w:r w:rsidR="007B2A2E">
          <w:rPr>
            <w:noProof/>
            <w:webHidden/>
          </w:rPr>
          <w:fldChar w:fldCharType="separate"/>
        </w:r>
        <w:r w:rsidR="00E82441">
          <w:rPr>
            <w:noProof/>
            <w:webHidden/>
          </w:rPr>
          <w:t>25</w:t>
        </w:r>
        <w:r w:rsidR="007B2A2E">
          <w:rPr>
            <w:noProof/>
            <w:webHidden/>
          </w:rPr>
          <w:fldChar w:fldCharType="end"/>
        </w:r>
      </w:hyperlink>
    </w:p>
    <w:p w14:paraId="25B5D638"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5" w:history="1">
        <w:r w:rsidR="007B2A2E" w:rsidRPr="00A713E3">
          <w:rPr>
            <w:rStyle w:val="Hyperlink"/>
            <w:noProof/>
          </w:rPr>
          <w:t>5.4</w:t>
        </w:r>
        <w:r w:rsidR="007B2A2E">
          <w:rPr>
            <w:rFonts w:eastAsiaTheme="minorEastAsia" w:cstheme="minorBidi"/>
            <w:i w:val="0"/>
            <w:iCs w:val="0"/>
            <w:noProof/>
            <w:sz w:val="22"/>
            <w:szCs w:val="22"/>
            <w:lang w:eastAsia="en-GB" w:bidi="ar-SA"/>
          </w:rPr>
          <w:tab/>
        </w:r>
        <w:r w:rsidR="007B2A2E" w:rsidRPr="00A713E3">
          <w:rPr>
            <w:rStyle w:val="Hyperlink"/>
            <w:noProof/>
          </w:rPr>
          <w:t>Summary – vitamin D intake assessment</w:t>
        </w:r>
        <w:r w:rsidR="007B2A2E">
          <w:rPr>
            <w:noProof/>
            <w:webHidden/>
          </w:rPr>
          <w:tab/>
        </w:r>
        <w:r w:rsidR="007B2A2E">
          <w:rPr>
            <w:noProof/>
            <w:webHidden/>
          </w:rPr>
          <w:fldChar w:fldCharType="begin"/>
        </w:r>
        <w:r w:rsidR="007B2A2E">
          <w:rPr>
            <w:noProof/>
            <w:webHidden/>
          </w:rPr>
          <w:instrText xml:space="preserve"> PAGEREF _Toc406575705 \h </w:instrText>
        </w:r>
        <w:r w:rsidR="007B2A2E">
          <w:rPr>
            <w:noProof/>
            <w:webHidden/>
          </w:rPr>
        </w:r>
        <w:r w:rsidR="007B2A2E">
          <w:rPr>
            <w:noProof/>
            <w:webHidden/>
          </w:rPr>
          <w:fldChar w:fldCharType="separate"/>
        </w:r>
        <w:r w:rsidR="00E82441">
          <w:rPr>
            <w:noProof/>
            <w:webHidden/>
          </w:rPr>
          <w:t>29</w:t>
        </w:r>
        <w:r w:rsidR="007B2A2E">
          <w:rPr>
            <w:noProof/>
            <w:webHidden/>
          </w:rPr>
          <w:fldChar w:fldCharType="end"/>
        </w:r>
      </w:hyperlink>
    </w:p>
    <w:p w14:paraId="25B5D639" w14:textId="77777777" w:rsidR="007B2A2E" w:rsidRDefault="009B582B">
      <w:pPr>
        <w:pStyle w:val="TOC2"/>
        <w:tabs>
          <w:tab w:val="left" w:pos="660"/>
          <w:tab w:val="right" w:leader="dot" w:pos="9060"/>
        </w:tabs>
        <w:rPr>
          <w:rFonts w:eastAsiaTheme="minorEastAsia" w:cstheme="minorBidi"/>
          <w:smallCaps w:val="0"/>
          <w:noProof/>
          <w:sz w:val="22"/>
          <w:szCs w:val="22"/>
          <w:lang w:eastAsia="en-GB" w:bidi="ar-SA"/>
        </w:rPr>
      </w:pPr>
      <w:hyperlink w:anchor="_Toc406575706" w:history="1">
        <w:r w:rsidR="007B2A2E" w:rsidRPr="00A713E3">
          <w:rPr>
            <w:rStyle w:val="Hyperlink"/>
            <w:noProof/>
          </w:rPr>
          <w:t>6</w:t>
        </w:r>
        <w:r w:rsidR="007B2A2E">
          <w:rPr>
            <w:rFonts w:eastAsiaTheme="minorEastAsia" w:cstheme="minorBidi"/>
            <w:smallCaps w:val="0"/>
            <w:noProof/>
            <w:sz w:val="22"/>
            <w:szCs w:val="22"/>
            <w:lang w:eastAsia="en-GB" w:bidi="ar-SA"/>
          </w:rPr>
          <w:tab/>
        </w:r>
        <w:r w:rsidR="007B2A2E" w:rsidRPr="00A713E3">
          <w:rPr>
            <w:rStyle w:val="Hyperlink"/>
            <w:noProof/>
          </w:rPr>
          <w:t>Scenario modelling: effect on serum 25OHD</w:t>
        </w:r>
        <w:r w:rsidR="007B2A2E">
          <w:rPr>
            <w:noProof/>
            <w:webHidden/>
          </w:rPr>
          <w:tab/>
        </w:r>
        <w:r w:rsidR="007B2A2E">
          <w:rPr>
            <w:noProof/>
            <w:webHidden/>
          </w:rPr>
          <w:fldChar w:fldCharType="begin"/>
        </w:r>
        <w:r w:rsidR="007B2A2E">
          <w:rPr>
            <w:noProof/>
            <w:webHidden/>
          </w:rPr>
          <w:instrText xml:space="preserve"> PAGEREF _Toc406575706 \h </w:instrText>
        </w:r>
        <w:r w:rsidR="007B2A2E">
          <w:rPr>
            <w:noProof/>
            <w:webHidden/>
          </w:rPr>
        </w:r>
        <w:r w:rsidR="007B2A2E">
          <w:rPr>
            <w:noProof/>
            <w:webHidden/>
          </w:rPr>
          <w:fldChar w:fldCharType="separate"/>
        </w:r>
        <w:r w:rsidR="00E82441">
          <w:rPr>
            <w:noProof/>
            <w:webHidden/>
          </w:rPr>
          <w:t>29</w:t>
        </w:r>
        <w:r w:rsidR="007B2A2E">
          <w:rPr>
            <w:noProof/>
            <w:webHidden/>
          </w:rPr>
          <w:fldChar w:fldCharType="end"/>
        </w:r>
      </w:hyperlink>
    </w:p>
    <w:p w14:paraId="25B5D63A"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7" w:history="1">
        <w:r w:rsidR="007B2A2E" w:rsidRPr="00A713E3">
          <w:rPr>
            <w:rStyle w:val="Hyperlink"/>
            <w:noProof/>
          </w:rPr>
          <w:t>6.1</w:t>
        </w:r>
        <w:r w:rsidR="007B2A2E">
          <w:rPr>
            <w:rFonts w:eastAsiaTheme="minorEastAsia" w:cstheme="minorBidi"/>
            <w:i w:val="0"/>
            <w:iCs w:val="0"/>
            <w:noProof/>
            <w:sz w:val="22"/>
            <w:szCs w:val="22"/>
            <w:lang w:eastAsia="en-GB" w:bidi="ar-SA"/>
          </w:rPr>
          <w:tab/>
        </w:r>
        <w:r w:rsidR="007B2A2E" w:rsidRPr="00A713E3">
          <w:rPr>
            <w:rStyle w:val="Hyperlink"/>
            <w:noProof/>
          </w:rPr>
          <w:t>Serum 25OHD results from Australia and New Zealand national surveys</w:t>
        </w:r>
        <w:r w:rsidR="007B2A2E">
          <w:rPr>
            <w:noProof/>
            <w:webHidden/>
          </w:rPr>
          <w:tab/>
        </w:r>
        <w:r w:rsidR="007B2A2E">
          <w:rPr>
            <w:noProof/>
            <w:webHidden/>
          </w:rPr>
          <w:fldChar w:fldCharType="begin"/>
        </w:r>
        <w:r w:rsidR="007B2A2E">
          <w:rPr>
            <w:noProof/>
            <w:webHidden/>
          </w:rPr>
          <w:instrText xml:space="preserve"> PAGEREF _Toc406575707 \h </w:instrText>
        </w:r>
        <w:r w:rsidR="007B2A2E">
          <w:rPr>
            <w:noProof/>
            <w:webHidden/>
          </w:rPr>
        </w:r>
        <w:r w:rsidR="007B2A2E">
          <w:rPr>
            <w:noProof/>
            <w:webHidden/>
          </w:rPr>
          <w:fldChar w:fldCharType="separate"/>
        </w:r>
        <w:r w:rsidR="00E82441">
          <w:rPr>
            <w:noProof/>
            <w:webHidden/>
          </w:rPr>
          <w:t>29</w:t>
        </w:r>
        <w:r w:rsidR="007B2A2E">
          <w:rPr>
            <w:noProof/>
            <w:webHidden/>
          </w:rPr>
          <w:fldChar w:fldCharType="end"/>
        </w:r>
      </w:hyperlink>
    </w:p>
    <w:p w14:paraId="25B5D63B"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8" w:history="1">
        <w:r w:rsidR="007B2A2E" w:rsidRPr="00A713E3">
          <w:rPr>
            <w:rStyle w:val="Hyperlink"/>
            <w:noProof/>
          </w:rPr>
          <w:t>6.2</w:t>
        </w:r>
        <w:r w:rsidR="007B2A2E">
          <w:rPr>
            <w:rFonts w:eastAsiaTheme="minorEastAsia" w:cstheme="minorBidi"/>
            <w:i w:val="0"/>
            <w:iCs w:val="0"/>
            <w:noProof/>
            <w:sz w:val="22"/>
            <w:szCs w:val="22"/>
            <w:lang w:eastAsia="en-GB" w:bidi="ar-SA"/>
          </w:rPr>
          <w:tab/>
        </w:r>
        <w:r w:rsidR="007B2A2E" w:rsidRPr="00A713E3">
          <w:rPr>
            <w:rStyle w:val="Hyperlink"/>
            <w:noProof/>
          </w:rPr>
          <w:t>Predicted effects of voluntary fortification of breakfast cereal with vitamin D</w:t>
        </w:r>
        <w:r w:rsidR="007B2A2E">
          <w:rPr>
            <w:noProof/>
            <w:webHidden/>
          </w:rPr>
          <w:tab/>
        </w:r>
        <w:r w:rsidR="007B2A2E">
          <w:rPr>
            <w:noProof/>
            <w:webHidden/>
          </w:rPr>
          <w:fldChar w:fldCharType="begin"/>
        </w:r>
        <w:r w:rsidR="007B2A2E">
          <w:rPr>
            <w:noProof/>
            <w:webHidden/>
          </w:rPr>
          <w:instrText xml:space="preserve"> PAGEREF _Toc406575708 \h </w:instrText>
        </w:r>
        <w:r w:rsidR="007B2A2E">
          <w:rPr>
            <w:noProof/>
            <w:webHidden/>
          </w:rPr>
        </w:r>
        <w:r w:rsidR="007B2A2E">
          <w:rPr>
            <w:noProof/>
            <w:webHidden/>
          </w:rPr>
          <w:fldChar w:fldCharType="separate"/>
        </w:r>
        <w:r w:rsidR="00E82441">
          <w:rPr>
            <w:noProof/>
            <w:webHidden/>
          </w:rPr>
          <w:t>31</w:t>
        </w:r>
        <w:r w:rsidR="007B2A2E">
          <w:rPr>
            <w:noProof/>
            <w:webHidden/>
          </w:rPr>
          <w:fldChar w:fldCharType="end"/>
        </w:r>
      </w:hyperlink>
    </w:p>
    <w:p w14:paraId="25B5D63C"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09" w:history="1">
        <w:r w:rsidR="007B2A2E" w:rsidRPr="00A713E3">
          <w:rPr>
            <w:rStyle w:val="Hyperlink"/>
            <w:noProof/>
          </w:rPr>
          <w:t>6.3</w:t>
        </w:r>
        <w:r w:rsidR="007B2A2E">
          <w:rPr>
            <w:rFonts w:eastAsiaTheme="minorEastAsia" w:cstheme="minorBidi"/>
            <w:i w:val="0"/>
            <w:iCs w:val="0"/>
            <w:noProof/>
            <w:sz w:val="22"/>
            <w:szCs w:val="22"/>
            <w:lang w:eastAsia="en-GB" w:bidi="ar-SA"/>
          </w:rPr>
          <w:tab/>
        </w:r>
        <w:r w:rsidR="007B2A2E" w:rsidRPr="00A713E3">
          <w:rPr>
            <w:rStyle w:val="Hyperlink"/>
            <w:noProof/>
          </w:rPr>
          <w:t>Data gaps and limitations</w:t>
        </w:r>
        <w:r w:rsidR="007B2A2E">
          <w:rPr>
            <w:noProof/>
            <w:webHidden/>
          </w:rPr>
          <w:tab/>
        </w:r>
        <w:r w:rsidR="007B2A2E">
          <w:rPr>
            <w:noProof/>
            <w:webHidden/>
          </w:rPr>
          <w:fldChar w:fldCharType="begin"/>
        </w:r>
        <w:r w:rsidR="007B2A2E">
          <w:rPr>
            <w:noProof/>
            <w:webHidden/>
          </w:rPr>
          <w:instrText xml:space="preserve"> PAGEREF _Toc406575709 \h </w:instrText>
        </w:r>
        <w:r w:rsidR="007B2A2E">
          <w:rPr>
            <w:noProof/>
            <w:webHidden/>
          </w:rPr>
        </w:r>
        <w:r w:rsidR="007B2A2E">
          <w:rPr>
            <w:noProof/>
            <w:webHidden/>
          </w:rPr>
          <w:fldChar w:fldCharType="separate"/>
        </w:r>
        <w:r w:rsidR="00E82441">
          <w:rPr>
            <w:noProof/>
            <w:webHidden/>
          </w:rPr>
          <w:t>36</w:t>
        </w:r>
        <w:r w:rsidR="007B2A2E">
          <w:rPr>
            <w:noProof/>
            <w:webHidden/>
          </w:rPr>
          <w:fldChar w:fldCharType="end"/>
        </w:r>
      </w:hyperlink>
    </w:p>
    <w:p w14:paraId="25B5D63D" w14:textId="77777777" w:rsidR="007B2A2E" w:rsidRDefault="009B582B">
      <w:pPr>
        <w:pStyle w:val="TOC2"/>
        <w:tabs>
          <w:tab w:val="left" w:pos="660"/>
          <w:tab w:val="right" w:leader="dot" w:pos="9060"/>
        </w:tabs>
        <w:rPr>
          <w:rFonts w:eastAsiaTheme="minorEastAsia" w:cstheme="minorBidi"/>
          <w:smallCaps w:val="0"/>
          <w:noProof/>
          <w:sz w:val="22"/>
          <w:szCs w:val="22"/>
          <w:lang w:eastAsia="en-GB" w:bidi="ar-SA"/>
        </w:rPr>
      </w:pPr>
      <w:hyperlink w:anchor="_Toc406575710" w:history="1">
        <w:r w:rsidR="007B2A2E" w:rsidRPr="00A713E3">
          <w:rPr>
            <w:rStyle w:val="Hyperlink"/>
            <w:noProof/>
          </w:rPr>
          <w:t>7</w:t>
        </w:r>
        <w:r w:rsidR="007B2A2E">
          <w:rPr>
            <w:rFonts w:eastAsiaTheme="minorEastAsia" w:cstheme="minorBidi"/>
            <w:smallCaps w:val="0"/>
            <w:noProof/>
            <w:sz w:val="22"/>
            <w:szCs w:val="22"/>
            <w:lang w:eastAsia="en-GB" w:bidi="ar-SA"/>
          </w:rPr>
          <w:tab/>
        </w:r>
        <w:r w:rsidR="007B2A2E" w:rsidRPr="00A713E3">
          <w:rPr>
            <w:rStyle w:val="Hyperlink"/>
            <w:noProof/>
          </w:rPr>
          <w:t>Conclusions</w:t>
        </w:r>
        <w:r w:rsidR="007B2A2E">
          <w:rPr>
            <w:noProof/>
            <w:webHidden/>
          </w:rPr>
          <w:tab/>
        </w:r>
        <w:r w:rsidR="007B2A2E">
          <w:rPr>
            <w:noProof/>
            <w:webHidden/>
          </w:rPr>
          <w:fldChar w:fldCharType="begin"/>
        </w:r>
        <w:r w:rsidR="007B2A2E">
          <w:rPr>
            <w:noProof/>
            <w:webHidden/>
          </w:rPr>
          <w:instrText xml:space="preserve"> PAGEREF _Toc406575710 \h </w:instrText>
        </w:r>
        <w:r w:rsidR="007B2A2E">
          <w:rPr>
            <w:noProof/>
            <w:webHidden/>
          </w:rPr>
        </w:r>
        <w:r w:rsidR="007B2A2E">
          <w:rPr>
            <w:noProof/>
            <w:webHidden/>
          </w:rPr>
          <w:fldChar w:fldCharType="separate"/>
        </w:r>
        <w:r w:rsidR="00E82441">
          <w:rPr>
            <w:noProof/>
            <w:webHidden/>
          </w:rPr>
          <w:t>38</w:t>
        </w:r>
        <w:r w:rsidR="007B2A2E">
          <w:rPr>
            <w:noProof/>
            <w:webHidden/>
          </w:rPr>
          <w:fldChar w:fldCharType="end"/>
        </w:r>
      </w:hyperlink>
    </w:p>
    <w:p w14:paraId="25B5D63E"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11" w:history="1">
        <w:r w:rsidR="007B2A2E" w:rsidRPr="00A713E3">
          <w:rPr>
            <w:rStyle w:val="Hyperlink"/>
            <w:noProof/>
          </w:rPr>
          <w:t>7.1</w:t>
        </w:r>
        <w:r w:rsidR="007B2A2E">
          <w:rPr>
            <w:rFonts w:eastAsiaTheme="minorEastAsia" w:cstheme="minorBidi"/>
            <w:i w:val="0"/>
            <w:iCs w:val="0"/>
            <w:noProof/>
            <w:sz w:val="22"/>
            <w:szCs w:val="22"/>
            <w:lang w:eastAsia="en-GB" w:bidi="ar-SA"/>
          </w:rPr>
          <w:tab/>
        </w:r>
        <w:r w:rsidR="007B2A2E" w:rsidRPr="00A713E3">
          <w:rPr>
            <w:rStyle w:val="Hyperlink"/>
            <w:noProof/>
          </w:rPr>
          <w:t>Risk Characterisation</w:t>
        </w:r>
        <w:r w:rsidR="007B2A2E">
          <w:rPr>
            <w:noProof/>
            <w:webHidden/>
          </w:rPr>
          <w:tab/>
        </w:r>
        <w:r w:rsidR="007B2A2E">
          <w:rPr>
            <w:noProof/>
            <w:webHidden/>
          </w:rPr>
          <w:fldChar w:fldCharType="begin"/>
        </w:r>
        <w:r w:rsidR="007B2A2E">
          <w:rPr>
            <w:noProof/>
            <w:webHidden/>
          </w:rPr>
          <w:instrText xml:space="preserve"> PAGEREF _Toc406575711 \h </w:instrText>
        </w:r>
        <w:r w:rsidR="007B2A2E">
          <w:rPr>
            <w:noProof/>
            <w:webHidden/>
          </w:rPr>
        </w:r>
        <w:r w:rsidR="007B2A2E">
          <w:rPr>
            <w:noProof/>
            <w:webHidden/>
          </w:rPr>
          <w:fldChar w:fldCharType="separate"/>
        </w:r>
        <w:r w:rsidR="00E82441">
          <w:rPr>
            <w:noProof/>
            <w:webHidden/>
          </w:rPr>
          <w:t>38</w:t>
        </w:r>
        <w:r w:rsidR="007B2A2E">
          <w:rPr>
            <w:noProof/>
            <w:webHidden/>
          </w:rPr>
          <w:fldChar w:fldCharType="end"/>
        </w:r>
      </w:hyperlink>
    </w:p>
    <w:p w14:paraId="25B5D63F" w14:textId="77777777" w:rsidR="007B2A2E" w:rsidRDefault="009B582B">
      <w:pPr>
        <w:pStyle w:val="TOC3"/>
        <w:tabs>
          <w:tab w:val="left" w:pos="1100"/>
          <w:tab w:val="right" w:leader="dot" w:pos="9060"/>
        </w:tabs>
        <w:rPr>
          <w:rFonts w:eastAsiaTheme="minorEastAsia" w:cstheme="minorBidi"/>
          <w:i w:val="0"/>
          <w:iCs w:val="0"/>
          <w:noProof/>
          <w:sz w:val="22"/>
          <w:szCs w:val="22"/>
          <w:lang w:eastAsia="en-GB" w:bidi="ar-SA"/>
        </w:rPr>
      </w:pPr>
      <w:hyperlink w:anchor="_Toc406575712" w:history="1">
        <w:r w:rsidR="007B2A2E" w:rsidRPr="00A713E3">
          <w:rPr>
            <w:rStyle w:val="Hyperlink"/>
            <w:noProof/>
          </w:rPr>
          <w:t>7.2</w:t>
        </w:r>
        <w:r w:rsidR="007B2A2E">
          <w:rPr>
            <w:rFonts w:eastAsiaTheme="minorEastAsia" w:cstheme="minorBidi"/>
            <w:i w:val="0"/>
            <w:iCs w:val="0"/>
            <w:noProof/>
            <w:sz w:val="22"/>
            <w:szCs w:val="22"/>
            <w:lang w:eastAsia="en-GB" w:bidi="ar-SA"/>
          </w:rPr>
          <w:tab/>
        </w:r>
        <w:r w:rsidR="007B2A2E" w:rsidRPr="00A713E3">
          <w:rPr>
            <w:rStyle w:val="Hyperlink"/>
            <w:noProof/>
          </w:rPr>
          <w:t>Specific responses to assessment questions</w:t>
        </w:r>
        <w:r w:rsidR="007B2A2E">
          <w:rPr>
            <w:noProof/>
            <w:webHidden/>
          </w:rPr>
          <w:tab/>
        </w:r>
        <w:r w:rsidR="007B2A2E">
          <w:rPr>
            <w:noProof/>
            <w:webHidden/>
          </w:rPr>
          <w:fldChar w:fldCharType="begin"/>
        </w:r>
        <w:r w:rsidR="007B2A2E">
          <w:rPr>
            <w:noProof/>
            <w:webHidden/>
          </w:rPr>
          <w:instrText xml:space="preserve"> PAGEREF _Toc406575712 \h </w:instrText>
        </w:r>
        <w:r w:rsidR="007B2A2E">
          <w:rPr>
            <w:noProof/>
            <w:webHidden/>
          </w:rPr>
        </w:r>
        <w:r w:rsidR="007B2A2E">
          <w:rPr>
            <w:noProof/>
            <w:webHidden/>
          </w:rPr>
          <w:fldChar w:fldCharType="separate"/>
        </w:r>
        <w:r w:rsidR="00E82441">
          <w:rPr>
            <w:noProof/>
            <w:webHidden/>
          </w:rPr>
          <w:t>39</w:t>
        </w:r>
        <w:r w:rsidR="007B2A2E">
          <w:rPr>
            <w:noProof/>
            <w:webHidden/>
          </w:rPr>
          <w:fldChar w:fldCharType="end"/>
        </w:r>
      </w:hyperlink>
    </w:p>
    <w:p w14:paraId="25B5D640" w14:textId="77777777" w:rsidR="007B2A2E" w:rsidRDefault="009B582B">
      <w:pPr>
        <w:pStyle w:val="TOC3"/>
        <w:tabs>
          <w:tab w:val="right" w:leader="dot" w:pos="9060"/>
        </w:tabs>
        <w:rPr>
          <w:rFonts w:eastAsiaTheme="minorEastAsia" w:cstheme="minorBidi"/>
          <w:i w:val="0"/>
          <w:iCs w:val="0"/>
          <w:noProof/>
          <w:sz w:val="22"/>
          <w:szCs w:val="22"/>
          <w:lang w:eastAsia="en-GB" w:bidi="ar-SA"/>
        </w:rPr>
      </w:pPr>
      <w:hyperlink w:anchor="_Toc406575713" w:history="1">
        <w:r w:rsidR="007B2A2E" w:rsidRPr="00A713E3">
          <w:rPr>
            <w:rStyle w:val="Hyperlink"/>
            <w:noProof/>
          </w:rPr>
          <w:t>Appendix 1: Key attributes of nutrition surveys used in this assessment</w:t>
        </w:r>
        <w:r w:rsidR="007B2A2E">
          <w:rPr>
            <w:noProof/>
            <w:webHidden/>
          </w:rPr>
          <w:tab/>
        </w:r>
        <w:r w:rsidR="007B2A2E">
          <w:rPr>
            <w:noProof/>
            <w:webHidden/>
          </w:rPr>
          <w:fldChar w:fldCharType="begin"/>
        </w:r>
        <w:r w:rsidR="007B2A2E">
          <w:rPr>
            <w:noProof/>
            <w:webHidden/>
          </w:rPr>
          <w:instrText xml:space="preserve"> PAGEREF _Toc406575713 \h </w:instrText>
        </w:r>
        <w:r w:rsidR="007B2A2E">
          <w:rPr>
            <w:noProof/>
            <w:webHidden/>
          </w:rPr>
        </w:r>
        <w:r w:rsidR="007B2A2E">
          <w:rPr>
            <w:noProof/>
            <w:webHidden/>
          </w:rPr>
          <w:fldChar w:fldCharType="separate"/>
        </w:r>
        <w:r w:rsidR="00E82441">
          <w:rPr>
            <w:noProof/>
            <w:webHidden/>
          </w:rPr>
          <w:t>42</w:t>
        </w:r>
        <w:r w:rsidR="007B2A2E">
          <w:rPr>
            <w:noProof/>
            <w:webHidden/>
          </w:rPr>
          <w:fldChar w:fldCharType="end"/>
        </w:r>
      </w:hyperlink>
    </w:p>
    <w:p w14:paraId="25B5D641" w14:textId="77777777" w:rsidR="007B2A2E" w:rsidRDefault="009B582B">
      <w:pPr>
        <w:pStyle w:val="TOC3"/>
        <w:tabs>
          <w:tab w:val="right" w:leader="dot" w:pos="9060"/>
        </w:tabs>
        <w:rPr>
          <w:rFonts w:eastAsiaTheme="minorEastAsia" w:cstheme="minorBidi"/>
          <w:i w:val="0"/>
          <w:iCs w:val="0"/>
          <w:noProof/>
          <w:sz w:val="22"/>
          <w:szCs w:val="22"/>
          <w:lang w:eastAsia="en-GB" w:bidi="ar-SA"/>
        </w:rPr>
      </w:pPr>
      <w:hyperlink w:anchor="_Toc406575714" w:history="1">
        <w:r w:rsidR="007B2A2E" w:rsidRPr="00A713E3">
          <w:rPr>
            <w:rStyle w:val="Hyperlink"/>
            <w:noProof/>
          </w:rPr>
          <w:t>Appendix 2: Serum 25OHD results as reported in ANZ Surveys</w:t>
        </w:r>
        <w:r w:rsidR="007B2A2E">
          <w:rPr>
            <w:noProof/>
            <w:webHidden/>
          </w:rPr>
          <w:tab/>
        </w:r>
        <w:r w:rsidR="007B2A2E">
          <w:rPr>
            <w:noProof/>
            <w:webHidden/>
          </w:rPr>
          <w:fldChar w:fldCharType="begin"/>
        </w:r>
        <w:r w:rsidR="007B2A2E">
          <w:rPr>
            <w:noProof/>
            <w:webHidden/>
          </w:rPr>
          <w:instrText xml:space="preserve"> PAGEREF _Toc406575714 \h </w:instrText>
        </w:r>
        <w:r w:rsidR="007B2A2E">
          <w:rPr>
            <w:noProof/>
            <w:webHidden/>
          </w:rPr>
        </w:r>
        <w:r w:rsidR="007B2A2E">
          <w:rPr>
            <w:noProof/>
            <w:webHidden/>
          </w:rPr>
          <w:fldChar w:fldCharType="separate"/>
        </w:r>
        <w:r w:rsidR="00E82441">
          <w:rPr>
            <w:noProof/>
            <w:webHidden/>
          </w:rPr>
          <w:t>44</w:t>
        </w:r>
        <w:r w:rsidR="007B2A2E">
          <w:rPr>
            <w:noProof/>
            <w:webHidden/>
          </w:rPr>
          <w:fldChar w:fldCharType="end"/>
        </w:r>
      </w:hyperlink>
    </w:p>
    <w:p w14:paraId="25B5D642" w14:textId="77777777" w:rsidR="007B2A2E" w:rsidRDefault="009B582B">
      <w:pPr>
        <w:pStyle w:val="TOC1"/>
        <w:tabs>
          <w:tab w:val="right" w:leader="dot" w:pos="9060"/>
        </w:tabs>
        <w:rPr>
          <w:rFonts w:eastAsiaTheme="minorEastAsia" w:cstheme="minorBidi"/>
          <w:b w:val="0"/>
          <w:bCs w:val="0"/>
          <w:caps w:val="0"/>
          <w:noProof/>
          <w:sz w:val="22"/>
          <w:szCs w:val="22"/>
          <w:lang w:eastAsia="en-GB" w:bidi="ar-SA"/>
        </w:rPr>
      </w:pPr>
      <w:hyperlink w:anchor="_Toc406575715" w:history="1">
        <w:r w:rsidR="007B2A2E" w:rsidRPr="00A713E3">
          <w:rPr>
            <w:rStyle w:val="Hyperlink"/>
            <w:noProof/>
          </w:rPr>
          <w:t>References</w:t>
        </w:r>
        <w:r w:rsidR="007B2A2E">
          <w:rPr>
            <w:noProof/>
            <w:webHidden/>
          </w:rPr>
          <w:tab/>
        </w:r>
        <w:r w:rsidR="007B2A2E">
          <w:rPr>
            <w:noProof/>
            <w:webHidden/>
          </w:rPr>
          <w:fldChar w:fldCharType="begin"/>
        </w:r>
        <w:r w:rsidR="007B2A2E">
          <w:rPr>
            <w:noProof/>
            <w:webHidden/>
          </w:rPr>
          <w:instrText xml:space="preserve"> PAGEREF _Toc406575715 \h </w:instrText>
        </w:r>
        <w:r w:rsidR="007B2A2E">
          <w:rPr>
            <w:noProof/>
            <w:webHidden/>
          </w:rPr>
        </w:r>
        <w:r w:rsidR="007B2A2E">
          <w:rPr>
            <w:noProof/>
            <w:webHidden/>
          </w:rPr>
          <w:fldChar w:fldCharType="separate"/>
        </w:r>
        <w:r w:rsidR="00E82441">
          <w:rPr>
            <w:noProof/>
            <w:webHidden/>
          </w:rPr>
          <w:t>50</w:t>
        </w:r>
        <w:r w:rsidR="007B2A2E">
          <w:rPr>
            <w:noProof/>
            <w:webHidden/>
          </w:rPr>
          <w:fldChar w:fldCharType="end"/>
        </w:r>
      </w:hyperlink>
    </w:p>
    <w:p w14:paraId="25B5D643" w14:textId="77777777" w:rsidR="00DD5C9C" w:rsidRDefault="00DD5C9C" w:rsidP="003B5D42">
      <w:r>
        <w:fldChar w:fldCharType="end"/>
      </w:r>
    </w:p>
    <w:p w14:paraId="25B5D644" w14:textId="77777777" w:rsidR="00DD5C9C" w:rsidRDefault="00DD5C9C" w:rsidP="003B5D42">
      <w:r>
        <w:br w:type="page"/>
      </w:r>
    </w:p>
    <w:p w14:paraId="25B5D645" w14:textId="77777777" w:rsidR="00DD5C9C" w:rsidRDefault="00DD5C9C" w:rsidP="003B5D42">
      <w:pPr>
        <w:sectPr w:rsidR="00DD5C9C" w:rsidSect="003B5D4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pPr>
    </w:p>
    <w:p w14:paraId="25B5D646" w14:textId="77777777" w:rsidR="00DD5C9C" w:rsidRPr="001D00E5" w:rsidRDefault="00DD5C9C" w:rsidP="003B5D42">
      <w:pPr>
        <w:pStyle w:val="Heading2"/>
      </w:pPr>
      <w:bookmarkStart w:id="6" w:name="_Toc406575680"/>
      <w:r w:rsidRPr="001D00E5">
        <w:lastRenderedPageBreak/>
        <w:t>Introduction</w:t>
      </w:r>
      <w:bookmarkEnd w:id="6"/>
    </w:p>
    <w:p w14:paraId="25B5D647" w14:textId="77777777" w:rsidR="00DD5C9C" w:rsidRPr="000B5919" w:rsidRDefault="00DD5C9C" w:rsidP="003B5D42">
      <w:pPr>
        <w:pStyle w:val="Heading3"/>
      </w:pPr>
      <w:bookmarkStart w:id="7" w:name="_Toc406575681"/>
      <w:r w:rsidRPr="000B5919">
        <w:t>Background</w:t>
      </w:r>
      <w:bookmarkEnd w:id="7"/>
    </w:p>
    <w:p w14:paraId="25B5D648" w14:textId="77777777" w:rsidR="00DD5C9C" w:rsidRDefault="00DD5C9C" w:rsidP="003B5D42">
      <w:r>
        <w:t>Vitamin D is a pre-prohormone that exists in two forms – vitamin D</w:t>
      </w:r>
      <w:r w:rsidRPr="00CB2BB1">
        <w:rPr>
          <w:vertAlign w:val="subscript"/>
        </w:rPr>
        <w:t xml:space="preserve">2 </w:t>
      </w:r>
      <w:r>
        <w:t>and vitamin D</w:t>
      </w:r>
      <w:r w:rsidRPr="0003328D">
        <w:rPr>
          <w:vertAlign w:val="subscript"/>
        </w:rPr>
        <w:t>3</w:t>
      </w:r>
      <w:r>
        <w:t>, referred to as D</w:t>
      </w:r>
      <w:r w:rsidRPr="0003328D">
        <w:rPr>
          <w:vertAlign w:val="subscript"/>
        </w:rPr>
        <w:t>2</w:t>
      </w:r>
      <w:r>
        <w:t xml:space="preserve"> and D</w:t>
      </w:r>
      <w:r w:rsidRPr="0003328D">
        <w:rPr>
          <w:vertAlign w:val="subscript"/>
        </w:rPr>
        <w:t>3</w:t>
      </w:r>
      <w:r>
        <w:t xml:space="preserve"> respectively. Both are metabolised to the hormone, 1,25-dihydroxyvitamin D (1,25(OH)</w:t>
      </w:r>
      <w:r w:rsidRPr="000D1512">
        <w:rPr>
          <w:vertAlign w:val="subscript"/>
        </w:rPr>
        <w:t>2</w:t>
      </w:r>
      <w:r>
        <w:t xml:space="preserve">D), which regulates calcium homeostasis and bone growth and maintenance. For most people living in Australia and New Zealand (ANZ), the main source of vitamin D is from photochemical synthesis in the skin by exposure to UV-B irradiation (or sunlight) </w:t>
      </w:r>
      <w:r>
        <w:rPr>
          <w:noProof/>
        </w:rPr>
        <w:t>(Nowson et al. 2012)</w:t>
      </w:r>
      <w:r>
        <w:t xml:space="preserve">. Therefore vitamin D is conditionally essential in the diet. Vitamin D is present naturally in food especially animal-derived foods such as meat and eggs. Recent food composition work using sophisticated analytical methods indicates that the vitamin D content of the diet may be greater than previous estimates and so the relative contribution of dietary sources is unclear. Other sources of vitamin D in the diet are some fortified foods including table edible spreads and some dairy products. </w:t>
      </w:r>
    </w:p>
    <w:p w14:paraId="25B5D649" w14:textId="77777777" w:rsidR="00DD5C9C" w:rsidRDefault="00DD5C9C" w:rsidP="003B5D42"/>
    <w:p w14:paraId="25B5D64A" w14:textId="77777777" w:rsidR="00DD5C9C" w:rsidRDefault="00DD5C9C" w:rsidP="003B5D42">
      <w:r w:rsidRPr="009E628D">
        <w:t xml:space="preserve">The Application </w:t>
      </w:r>
      <w:r>
        <w:t xml:space="preserve">seeks </w:t>
      </w:r>
      <w:r w:rsidRPr="009E628D">
        <w:t>permi</w:t>
      </w:r>
      <w:r>
        <w:t xml:space="preserve">ssion for </w:t>
      </w:r>
      <w:r w:rsidRPr="009E628D">
        <w:t xml:space="preserve">voluntary </w:t>
      </w:r>
      <w:r>
        <w:t xml:space="preserve">addition of vitamin D to </w:t>
      </w:r>
      <w:r w:rsidRPr="009E628D">
        <w:t>breakfast cereal with vitamin D to a maximum claim per normal serving of 25% regulatory RDI (10 µg)</w:t>
      </w:r>
      <w:r>
        <w:t xml:space="preserve"> per reference quantity specified in Schedule 1 of Standard 1.1.1. The purpose of this request stems from recent concerns that the ANZ populations may not be receiving adequate vitamin D, in part due to advice from public health and medical experts to reduce sun exposure to prevent skin cancers. This has led to some expert panels and advisory bodies to recommend that persons at risk of vitamin D deficiency should </w:t>
      </w:r>
      <w:r w:rsidRPr="00451A02">
        <w:t>increase t</w:t>
      </w:r>
      <w:r w:rsidRPr="00FC3778">
        <w:t>heir vitamin D intakes.</w:t>
      </w:r>
      <w:r>
        <w:t xml:space="preserve"> </w:t>
      </w:r>
      <w:r>
        <w:rPr>
          <w:noProof/>
        </w:rPr>
        <w:t>(Ministry of Health &amp; Cancer Society of New Zealand 2012; Nowson et al. 2012; Ebeling et al. 2013)</w:t>
      </w:r>
      <w:r>
        <w:t>. This can be achieved through greater sunlight exposure, use of vitamin D supplements, fortification of certain foods, or increased consumption of foods which naturally contain vitamin D</w:t>
      </w:r>
      <w:r w:rsidRPr="00451A02">
        <w:t xml:space="preserve">. </w:t>
      </w:r>
    </w:p>
    <w:p w14:paraId="25B5D64B" w14:textId="77777777" w:rsidR="00DD5C9C" w:rsidRDefault="00DD5C9C" w:rsidP="003B5D42">
      <w:pPr>
        <w:pStyle w:val="Heading3"/>
      </w:pPr>
      <w:bookmarkStart w:id="8" w:name="_Toc406575682"/>
      <w:r w:rsidRPr="00B72379">
        <w:t>Objectives</w:t>
      </w:r>
      <w:bookmarkEnd w:id="8"/>
    </w:p>
    <w:p w14:paraId="25B5D64C" w14:textId="77777777" w:rsidR="00DD5C9C" w:rsidRDefault="00DD5C9C" w:rsidP="003B5D42">
      <w:r>
        <w:t>The risk assessment will examine the effects of voluntary fortification of breakfast cereal with vitamin D on the ANZ populations. The assessment aims to address the following risk assessment questions:</w:t>
      </w:r>
    </w:p>
    <w:p w14:paraId="25B5D64D" w14:textId="77777777" w:rsidR="00DD5C9C" w:rsidRDefault="00DD5C9C" w:rsidP="003B5D42"/>
    <w:p w14:paraId="25B5D64E" w14:textId="77777777" w:rsidR="00DD5C9C" w:rsidRDefault="00DD5C9C" w:rsidP="00C91549">
      <w:pPr>
        <w:pStyle w:val="ListParagraph"/>
        <w:numPr>
          <w:ilvl w:val="0"/>
          <w:numId w:val="21"/>
        </w:numPr>
        <w:spacing w:after="120"/>
        <w:ind w:left="567" w:hanging="567"/>
        <w:contextualSpacing w:val="0"/>
      </w:pPr>
      <w:r>
        <w:t xml:space="preserve">What is the likely effect of processing and storage on the lability of vitamin D in breakfast cereal? </w:t>
      </w:r>
    </w:p>
    <w:p w14:paraId="25B5D64F" w14:textId="77777777" w:rsidR="00DD5C9C" w:rsidRDefault="00DD5C9C" w:rsidP="00C91549">
      <w:pPr>
        <w:pStyle w:val="ListParagraph"/>
        <w:numPr>
          <w:ilvl w:val="0"/>
          <w:numId w:val="21"/>
        </w:numPr>
        <w:spacing w:after="120"/>
        <w:ind w:left="567" w:hanging="567"/>
        <w:contextualSpacing w:val="0"/>
      </w:pPr>
      <w:r>
        <w:t>Is vitamin D bioavailable from vitamin D-fortified breakfast cereal consumed with milk?</w:t>
      </w:r>
    </w:p>
    <w:p w14:paraId="25B5D650" w14:textId="77777777" w:rsidR="00DD5C9C" w:rsidRDefault="00DD5C9C" w:rsidP="00C91549">
      <w:pPr>
        <w:pStyle w:val="ListParagraph"/>
        <w:numPr>
          <w:ilvl w:val="0"/>
          <w:numId w:val="21"/>
        </w:numPr>
        <w:spacing w:after="120"/>
        <w:ind w:left="567" w:hanging="567"/>
        <w:contextualSpacing w:val="0"/>
      </w:pPr>
      <w:r>
        <w:t>What is the evidence for vitamin D inadequacy in A</w:t>
      </w:r>
      <w:r w:rsidR="00C91549">
        <w:t>ustralia New Zealand</w:t>
      </w:r>
      <w:r>
        <w:t>?</w:t>
      </w:r>
    </w:p>
    <w:p w14:paraId="25B5D651" w14:textId="77777777" w:rsidR="00DD5C9C" w:rsidRDefault="00DD5C9C" w:rsidP="00C91549">
      <w:pPr>
        <w:pStyle w:val="ListParagraph"/>
        <w:numPr>
          <w:ilvl w:val="0"/>
          <w:numId w:val="21"/>
        </w:numPr>
        <w:spacing w:after="120"/>
        <w:ind w:left="567" w:hanging="567"/>
        <w:contextualSpacing w:val="0"/>
      </w:pPr>
      <w:r>
        <w:t>What is the risk to health from consumption of vitamin D-fortified breakfast cereal in Australia and New Zealand?</w:t>
      </w:r>
    </w:p>
    <w:p w14:paraId="25B5D652" w14:textId="77777777" w:rsidR="00DD5C9C" w:rsidRDefault="00DD5C9C" w:rsidP="00C91549">
      <w:pPr>
        <w:pStyle w:val="ListParagraph"/>
        <w:numPr>
          <w:ilvl w:val="0"/>
          <w:numId w:val="21"/>
        </w:numPr>
        <w:spacing w:after="120"/>
        <w:ind w:left="567" w:hanging="567"/>
        <w:contextualSpacing w:val="0"/>
      </w:pPr>
      <w:r>
        <w:t>What is the benefit to health from consumption of vitamin D-fortified breakfast cereal in Australia and New Zealand?</w:t>
      </w:r>
    </w:p>
    <w:p w14:paraId="25B5D653" w14:textId="77777777" w:rsidR="00DD5C9C" w:rsidRDefault="00DD5C9C" w:rsidP="003B5D42">
      <w:pPr>
        <w:pStyle w:val="Heading3"/>
      </w:pPr>
      <w:bookmarkStart w:id="9" w:name="_Toc406575683"/>
      <w:r w:rsidRPr="00B72379">
        <w:t>Scope</w:t>
      </w:r>
      <w:bookmarkEnd w:id="9"/>
    </w:p>
    <w:p w14:paraId="25B5D654" w14:textId="77777777" w:rsidR="00DD5C9C" w:rsidRDefault="00DD5C9C" w:rsidP="003B5D42">
      <w:r>
        <w:t>Nutritional and physiological effects of vitamin D are influenced by several factors which are briefly reviewed in this assessment. These include:</w:t>
      </w:r>
    </w:p>
    <w:p w14:paraId="0B42715E" w14:textId="77777777" w:rsidR="00E262C6" w:rsidRDefault="00E262C6" w:rsidP="003B5D42"/>
    <w:p w14:paraId="25B5D655" w14:textId="77777777" w:rsidR="00DD5C9C" w:rsidRPr="00D72993" w:rsidRDefault="00DD5C9C" w:rsidP="00C91549">
      <w:pPr>
        <w:pStyle w:val="FSBullet1"/>
      </w:pPr>
      <w:r w:rsidRPr="00D72993">
        <w:t xml:space="preserve">multiple sources (oral and photochemical synthesis in the skin) </w:t>
      </w:r>
    </w:p>
    <w:p w14:paraId="25B5D656" w14:textId="77777777" w:rsidR="00DD5C9C" w:rsidRPr="001C3B18" w:rsidRDefault="00DD5C9C" w:rsidP="00C91549">
      <w:pPr>
        <w:pStyle w:val="FSBullet1"/>
      </w:pPr>
      <w:r w:rsidRPr="002E0821">
        <w:t>complex metabolism involv</w:t>
      </w:r>
      <w:r w:rsidRPr="00694E97">
        <w:t xml:space="preserve">ing numerous metabolites </w:t>
      </w:r>
    </w:p>
    <w:p w14:paraId="25B5D657" w14:textId="21D02642" w:rsidR="00E262C6" w:rsidRDefault="00DD5C9C" w:rsidP="00C91549">
      <w:pPr>
        <w:pStyle w:val="FSBullet1"/>
      </w:pPr>
      <w:r w:rsidRPr="007926E4">
        <w:t xml:space="preserve">problematic assay methods for measuring </w:t>
      </w:r>
      <w:r w:rsidRPr="00B979E3">
        <w:t xml:space="preserve">serum 25-hydroxy vitamin D (25OHD) and vitamin D </w:t>
      </w:r>
      <w:r w:rsidRPr="00914709">
        <w:t xml:space="preserve">content in food </w:t>
      </w:r>
      <w:r w:rsidR="00E262C6">
        <w:br w:type="page"/>
      </w:r>
    </w:p>
    <w:p w14:paraId="25B5D658" w14:textId="77777777" w:rsidR="00DD5C9C" w:rsidRPr="006A05E9" w:rsidRDefault="00DD5C9C" w:rsidP="00C91549">
      <w:pPr>
        <w:pStyle w:val="FSBullet1"/>
      </w:pPr>
      <w:r w:rsidRPr="00914709">
        <w:lastRenderedPageBreak/>
        <w:t xml:space="preserve">effects on calcium homeostasis </w:t>
      </w:r>
      <w:r w:rsidRPr="005B16F8">
        <w:t>that are linked to both inadequate and excess vitamin D statu</w:t>
      </w:r>
      <w:r w:rsidRPr="006A05E9">
        <w:t>s.</w:t>
      </w:r>
    </w:p>
    <w:p w14:paraId="77D07D33" w14:textId="77777777" w:rsidR="00E262C6" w:rsidRDefault="00E262C6" w:rsidP="003B5D42"/>
    <w:p w14:paraId="25B5D659" w14:textId="77777777" w:rsidR="00DD5C9C" w:rsidRDefault="00DD5C9C" w:rsidP="003B5D42">
      <w:pPr>
        <w:rPr>
          <w:rFonts w:eastAsia="Calibri"/>
          <w:szCs w:val="22"/>
          <w:lang w:bidi="ar-SA"/>
        </w:rPr>
      </w:pPr>
      <w:r>
        <w:t>Inadequate</w:t>
      </w:r>
      <w:r w:rsidRPr="00F37816">
        <w:t xml:space="preserve"> exposure to UV-B (sunlight) irradiation may cause a reduced </w:t>
      </w:r>
      <w:r>
        <w:t xml:space="preserve">vitamin D </w:t>
      </w:r>
      <w:r w:rsidRPr="00F37816">
        <w:t>status that could be improved by oral consumption of vitamin D</w:t>
      </w:r>
      <w:r>
        <w:t>-</w:t>
      </w:r>
      <w:r w:rsidRPr="00F37816">
        <w:t>rich food or from vitamin D supplements. However, oral consumption of vitamin D may also exceed a safe level of intake</w:t>
      </w:r>
      <w:r>
        <w:t xml:space="preserve"> particularly if a repeated daily dose is consumed</w:t>
      </w:r>
      <w:r w:rsidRPr="00F37816">
        <w:t xml:space="preserve">. </w:t>
      </w:r>
      <w:r>
        <w:t>As</w:t>
      </w:r>
      <w:r w:rsidRPr="00031C13">
        <w:rPr>
          <w:rFonts w:eastAsia="Calibri"/>
          <w:szCs w:val="22"/>
          <w:lang w:bidi="ar-SA"/>
        </w:rPr>
        <w:t xml:space="preserve"> </w:t>
      </w:r>
      <w:r>
        <w:rPr>
          <w:rFonts w:eastAsia="Calibri"/>
          <w:szCs w:val="22"/>
          <w:lang w:bidi="ar-SA"/>
        </w:rPr>
        <w:t xml:space="preserve">vitamin D metabolites are </w:t>
      </w:r>
      <w:r w:rsidRPr="00031C13">
        <w:rPr>
          <w:rFonts w:eastAsia="Calibri"/>
          <w:szCs w:val="22"/>
          <w:lang w:bidi="ar-SA"/>
        </w:rPr>
        <w:t xml:space="preserve">derived from both oral sources and sun exposure (which cannot be </w:t>
      </w:r>
      <w:r w:rsidRPr="000B5919">
        <w:rPr>
          <w:rFonts w:eastAsia="Calibri"/>
          <w:szCs w:val="22"/>
          <w:lang w:bidi="ar-SA"/>
        </w:rPr>
        <w:t>quantified),</w:t>
      </w:r>
      <w:r w:rsidRPr="00031C13">
        <w:rPr>
          <w:rFonts w:eastAsia="Calibri"/>
          <w:szCs w:val="22"/>
          <w:lang w:bidi="ar-SA"/>
        </w:rPr>
        <w:t xml:space="preserve"> comparison of dietary intake with </w:t>
      </w:r>
      <w:r>
        <w:rPr>
          <w:rFonts w:eastAsia="Calibri"/>
          <w:szCs w:val="22"/>
          <w:lang w:bidi="ar-SA"/>
        </w:rPr>
        <w:t xml:space="preserve">daily intake </w:t>
      </w:r>
      <w:r w:rsidRPr="00031C13">
        <w:rPr>
          <w:rFonts w:eastAsia="Calibri"/>
          <w:szCs w:val="22"/>
          <w:lang w:bidi="ar-SA"/>
        </w:rPr>
        <w:t>reference values</w:t>
      </w:r>
      <w:r>
        <w:rPr>
          <w:rFonts w:eastAsia="Calibri"/>
          <w:szCs w:val="22"/>
          <w:lang w:bidi="ar-SA"/>
        </w:rPr>
        <w:t xml:space="preserve"> (</w:t>
      </w:r>
      <w:r w:rsidRPr="00031C13">
        <w:rPr>
          <w:rFonts w:eastAsia="Calibri"/>
          <w:szCs w:val="22"/>
          <w:lang w:bidi="ar-SA"/>
        </w:rPr>
        <w:t xml:space="preserve">such as </w:t>
      </w:r>
      <w:r w:rsidRPr="00C93AAA">
        <w:rPr>
          <w:rFonts w:eastAsia="Calibri"/>
          <w:szCs w:val="22"/>
          <w:lang w:bidi="ar-SA"/>
        </w:rPr>
        <w:t xml:space="preserve">the </w:t>
      </w:r>
      <w:r>
        <w:rPr>
          <w:rFonts w:eastAsia="Calibri"/>
          <w:szCs w:val="22"/>
          <w:lang w:bidi="ar-SA"/>
        </w:rPr>
        <w:t>Adequate</w:t>
      </w:r>
      <w:r w:rsidRPr="00C93AAA">
        <w:rPr>
          <w:rFonts w:eastAsia="Calibri"/>
          <w:bCs/>
          <w:szCs w:val="22"/>
          <w:lang w:bidi="ar-SA"/>
        </w:rPr>
        <w:t xml:space="preserve"> Intake</w:t>
      </w:r>
      <w:r>
        <w:rPr>
          <w:rFonts w:eastAsia="Calibri"/>
          <w:bCs/>
          <w:szCs w:val="22"/>
          <w:lang w:bidi="ar-SA"/>
        </w:rPr>
        <w:t xml:space="preserve"> (AI) </w:t>
      </w:r>
      <w:r w:rsidRPr="00C93AAA">
        <w:rPr>
          <w:rFonts w:eastAsia="Calibri"/>
          <w:bCs/>
          <w:szCs w:val="22"/>
          <w:lang w:bidi="ar-SA"/>
        </w:rPr>
        <w:t>or Upper Level of Intake</w:t>
      </w:r>
      <w:r>
        <w:rPr>
          <w:rFonts w:eastAsia="Calibri"/>
          <w:bCs/>
          <w:szCs w:val="22"/>
          <w:lang w:bidi="ar-SA"/>
        </w:rPr>
        <w:t xml:space="preserve"> (UL) </w:t>
      </w:r>
      <w:r>
        <w:rPr>
          <w:rFonts w:eastAsia="Calibri"/>
          <w:szCs w:val="22"/>
          <w:lang w:bidi="ar-SA"/>
        </w:rPr>
        <w:t>are unsuitable to predict vitamin D status</w:t>
      </w:r>
      <w:r w:rsidRPr="00031C13">
        <w:rPr>
          <w:rFonts w:eastAsia="Calibri"/>
          <w:szCs w:val="22"/>
          <w:lang w:bidi="ar-SA"/>
        </w:rPr>
        <w:t>.</w:t>
      </w:r>
      <w:r>
        <w:rPr>
          <w:rFonts w:eastAsia="Calibri"/>
          <w:szCs w:val="22"/>
          <w:lang w:bidi="ar-SA"/>
        </w:rPr>
        <w:t xml:space="preserve"> Therefore, a unique approach was undertaken to determine potential health effects from consumption of vitamin D-fortified breakfast cereal by </w:t>
      </w:r>
      <w:r w:rsidRPr="00F37816">
        <w:t>determining the intake of vitamin D from</w:t>
      </w:r>
      <w:r>
        <w:t xml:space="preserve"> the</w:t>
      </w:r>
      <w:r w:rsidRPr="00F37816">
        <w:t xml:space="preserve"> fortified cereal and estimating the effect </w:t>
      </w:r>
      <w:r>
        <w:t xml:space="preserve">of consuming the cereal </w:t>
      </w:r>
      <w:r w:rsidRPr="00F37816">
        <w:t>on serum 25</w:t>
      </w:r>
      <w:r>
        <w:t>OHD</w:t>
      </w:r>
      <w:r w:rsidRPr="00F37816">
        <w:t>, the vitamin D metabolite t</w:t>
      </w:r>
      <w:r>
        <w:t xml:space="preserve">hat can be measured to reflect </w:t>
      </w:r>
      <w:r w:rsidRPr="00F37816">
        <w:t xml:space="preserve">vitamin D </w:t>
      </w:r>
      <w:r>
        <w:t>status</w:t>
      </w:r>
      <w:r w:rsidRPr="00F37816">
        <w:t xml:space="preserve">. </w:t>
      </w:r>
      <w:r>
        <w:rPr>
          <w:rFonts w:eastAsia="Calibri"/>
          <w:szCs w:val="22"/>
          <w:lang w:bidi="ar-SA"/>
        </w:rPr>
        <w:t xml:space="preserve"> </w:t>
      </w:r>
    </w:p>
    <w:p w14:paraId="25B5D65A" w14:textId="77777777" w:rsidR="00DD5C9C" w:rsidRDefault="00DD5C9C" w:rsidP="003B5D42">
      <w:pPr>
        <w:rPr>
          <w:rFonts w:eastAsia="Calibri"/>
          <w:szCs w:val="22"/>
          <w:lang w:bidi="ar-SA"/>
        </w:rPr>
      </w:pPr>
    </w:p>
    <w:p w14:paraId="25B5D65B" w14:textId="77777777" w:rsidR="00DD5C9C" w:rsidRPr="00F37816" w:rsidRDefault="00DD5C9C" w:rsidP="003B5D42">
      <w:r w:rsidRPr="00F37816">
        <w:t xml:space="preserve">This assessment does not </w:t>
      </w:r>
      <w:r>
        <w:t xml:space="preserve">review the body of </w:t>
      </w:r>
      <w:r w:rsidRPr="00F37816">
        <w:t>the evidence on which the current dietary reference values such as the Adequate Intake (AI) and the UL have been established.</w:t>
      </w:r>
    </w:p>
    <w:p w14:paraId="25B5D65C" w14:textId="77777777" w:rsidR="00DD5C9C" w:rsidRDefault="00DD5C9C" w:rsidP="003B5D42">
      <w:pPr>
        <w:pStyle w:val="Heading2"/>
      </w:pPr>
      <w:bookmarkStart w:id="10" w:name="_Toc406575684"/>
      <w:r>
        <w:t>Food Technology Report</w:t>
      </w:r>
      <w:bookmarkEnd w:id="10"/>
    </w:p>
    <w:p w14:paraId="25B5D65D" w14:textId="77777777" w:rsidR="00DD5C9C" w:rsidRPr="00FA5970" w:rsidRDefault="00DD5C9C" w:rsidP="003B5D42">
      <w:pPr>
        <w:pStyle w:val="Heading3"/>
      </w:pPr>
      <w:bookmarkStart w:id="11" w:name="_Toc406575685"/>
      <w:r w:rsidRPr="00FA5970">
        <w:t xml:space="preserve">Chemistry of </w:t>
      </w:r>
      <w:r>
        <w:t xml:space="preserve">biologically inert </w:t>
      </w:r>
      <w:r w:rsidRPr="00FA5970">
        <w:t>vitamin</w:t>
      </w:r>
      <w:r>
        <w:t>s:</w:t>
      </w:r>
      <w:r w:rsidRPr="00FA5970">
        <w:t xml:space="preserve"> D</w:t>
      </w:r>
      <w:r w:rsidRPr="004A14BA">
        <w:rPr>
          <w:vertAlign w:val="subscript"/>
        </w:rPr>
        <w:t>2</w:t>
      </w:r>
      <w:r w:rsidRPr="00FA5970">
        <w:t xml:space="preserve"> and D</w:t>
      </w:r>
      <w:r w:rsidRPr="004A14BA">
        <w:rPr>
          <w:vertAlign w:val="subscript"/>
        </w:rPr>
        <w:t>3</w:t>
      </w:r>
      <w:bookmarkEnd w:id="11"/>
    </w:p>
    <w:p w14:paraId="25B5D65E" w14:textId="77777777" w:rsidR="00DD5C9C" w:rsidRDefault="00DD5C9C" w:rsidP="003B5D42">
      <w:r>
        <w:t>Chemical structures for the two forms of vitamin D are provided in Figure 1. Structurally, the only difference between the two is that D</w:t>
      </w:r>
      <w:r w:rsidRPr="00F203CF">
        <w:rPr>
          <w:vertAlign w:val="subscript"/>
        </w:rPr>
        <w:t>2</w:t>
      </w:r>
      <w:r>
        <w:t xml:space="preserve"> has a double bond between carbons 22 and 23 and a methyl group at carbon 24. The chemical and physical properties are shown in Table 1.</w:t>
      </w:r>
    </w:p>
    <w:p w14:paraId="25B5D65F" w14:textId="77777777" w:rsidR="00DD5C9C" w:rsidRDefault="00DD5C9C" w:rsidP="003B5D42"/>
    <w:p w14:paraId="25B5D660" w14:textId="77777777" w:rsidR="00DD5C9C" w:rsidRDefault="00DD5C9C" w:rsidP="003B5D42">
      <w:r>
        <w:t xml:space="preserve">Vitamin </w:t>
      </w:r>
      <w:r w:rsidRPr="00AE00F8">
        <w:t>D</w:t>
      </w:r>
      <w:r w:rsidRPr="00AE00F8">
        <w:rPr>
          <w:vertAlign w:val="subscript"/>
        </w:rPr>
        <w:t>2</w:t>
      </w:r>
      <w:r w:rsidRPr="00AE00F8">
        <w:t xml:space="preserve"> is derived from plants, yeast and fungi through</w:t>
      </w:r>
      <w:r>
        <w:t xml:space="preserve"> </w:t>
      </w:r>
      <w:r w:rsidRPr="008F4BE8">
        <w:t>exogenous</w:t>
      </w:r>
      <w:r w:rsidRPr="00AE00F8">
        <w:t xml:space="preserve"> irradiation of ergosterol. D</w:t>
      </w:r>
      <w:r w:rsidRPr="00AE00F8">
        <w:rPr>
          <w:vertAlign w:val="subscript"/>
        </w:rPr>
        <w:t>2</w:t>
      </w:r>
      <w:r w:rsidRPr="00AE00F8">
        <w:t xml:space="preserve"> is </w:t>
      </w:r>
      <w:r>
        <w:t xml:space="preserve">usually </w:t>
      </w:r>
      <w:r w:rsidRPr="00AE00F8">
        <w:t xml:space="preserve">isolated for commercial use from yeast. </w:t>
      </w:r>
      <w:r w:rsidRPr="003C771D">
        <w:t>The skin produces vitamin D</w:t>
      </w:r>
      <w:r w:rsidRPr="001F25F8">
        <w:rPr>
          <w:vertAlign w:val="subscript"/>
        </w:rPr>
        <w:t>3</w:t>
      </w:r>
      <w:r>
        <w:t xml:space="preserve"> photochemically from</w:t>
      </w:r>
      <w:r w:rsidRPr="003C771D">
        <w:t xml:space="preserve"> 7-dehydrocholesterol, which is present in the skin of higher </w:t>
      </w:r>
      <w:r>
        <w:t xml:space="preserve">terrestrial </w:t>
      </w:r>
      <w:r w:rsidRPr="003C771D">
        <w:t>animals, by the action of sunlight or artificial UV light.</w:t>
      </w:r>
      <w:r>
        <w:t xml:space="preserve"> Vitamin </w:t>
      </w:r>
      <w:r w:rsidRPr="001F25F8">
        <w:t>D</w:t>
      </w:r>
      <w:r w:rsidRPr="001F25F8">
        <w:rPr>
          <w:vertAlign w:val="subscript"/>
        </w:rPr>
        <w:t>3</w:t>
      </w:r>
      <w:r w:rsidRPr="001F25F8">
        <w:t xml:space="preserve"> for commercial use in food fortification or vitamin supplements is mainly derived from </w:t>
      </w:r>
      <w:r>
        <w:t xml:space="preserve">its precursor, </w:t>
      </w:r>
      <w:r w:rsidRPr="000A052D">
        <w:t xml:space="preserve">7-dehydrocholesterol </w:t>
      </w:r>
      <w:r>
        <w:t>which in turn is prepared from the lanolin in</w:t>
      </w:r>
      <w:r w:rsidRPr="001F25F8">
        <w:t xml:space="preserve"> sheep wool.</w:t>
      </w:r>
      <w:r w:rsidRPr="00AE00F8">
        <w:t xml:space="preserve"> As D</w:t>
      </w:r>
      <w:r w:rsidRPr="00AE00F8">
        <w:rPr>
          <w:vertAlign w:val="subscript"/>
        </w:rPr>
        <w:t>2</w:t>
      </w:r>
      <w:r w:rsidRPr="00AE00F8">
        <w:t xml:space="preserve"> and D</w:t>
      </w:r>
      <w:r w:rsidRPr="00AE00F8">
        <w:rPr>
          <w:vertAlign w:val="subscript"/>
        </w:rPr>
        <w:t>3</w:t>
      </w:r>
      <w:r w:rsidRPr="00AE00F8">
        <w:t xml:space="preserve"> </w:t>
      </w:r>
      <w:r>
        <w:t>have</w:t>
      </w:r>
      <w:r w:rsidRPr="00AE00F8">
        <w:t xml:space="preserve"> </w:t>
      </w:r>
      <w:r>
        <w:t xml:space="preserve">chemically </w:t>
      </w:r>
      <w:r w:rsidRPr="00AE00F8">
        <w:t>similar structure</w:t>
      </w:r>
      <w:r>
        <w:t>s</w:t>
      </w:r>
      <w:r w:rsidRPr="00AE00F8">
        <w:t xml:space="preserve"> and properties</w:t>
      </w:r>
      <w:r>
        <w:t xml:space="preserve"> (see Table 1),</w:t>
      </w:r>
      <w:r w:rsidRPr="00AE00F8">
        <w:t xml:space="preserve"> they are </w:t>
      </w:r>
      <w:r>
        <w:t xml:space="preserve">considered to technologically </w:t>
      </w:r>
      <w:r w:rsidRPr="00AE00F8">
        <w:t xml:space="preserve">perform identically and have similar stability when included in a food matrix. </w:t>
      </w:r>
    </w:p>
    <w:p w14:paraId="25B5D662" w14:textId="77777777" w:rsidR="00DD5C9C" w:rsidRDefault="00DD5C9C" w:rsidP="003B5D42">
      <w:pPr>
        <w:rPr>
          <w:highlight w:val="yellow"/>
        </w:rPr>
      </w:pPr>
      <w:r>
        <w:rPr>
          <w:noProof/>
          <w:lang w:eastAsia="en-GB" w:bidi="ar-SA"/>
        </w:rPr>
        <w:drawing>
          <wp:inline distT="0" distB="0" distL="0" distR="0" wp14:anchorId="25B5DCD9" wp14:editId="25B5DCDA">
            <wp:extent cx="4972912" cy="26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975290" cy="2641263"/>
                    </a:xfrm>
                    <a:prstGeom prst="rect">
                      <a:avLst/>
                    </a:prstGeom>
                  </pic:spPr>
                </pic:pic>
              </a:graphicData>
            </a:graphic>
          </wp:inline>
        </w:drawing>
      </w:r>
    </w:p>
    <w:p w14:paraId="25B5D664" w14:textId="1DF0873D" w:rsidR="00DD5C9C" w:rsidRPr="00E262C6" w:rsidRDefault="00DD5C9C" w:rsidP="003B5D42">
      <w:pPr>
        <w:rPr>
          <w:szCs w:val="22"/>
        </w:rPr>
      </w:pPr>
      <w:r w:rsidRPr="00E262C6">
        <w:rPr>
          <w:i/>
          <w:szCs w:val="22"/>
        </w:rPr>
        <w:t>Figure 1</w:t>
      </w:r>
      <w:r w:rsidRPr="00E262C6">
        <w:rPr>
          <w:i/>
          <w:szCs w:val="22"/>
        </w:rPr>
        <w:tab/>
        <w:t>The structures of D</w:t>
      </w:r>
      <w:r w:rsidRPr="00E262C6">
        <w:rPr>
          <w:i/>
          <w:szCs w:val="22"/>
          <w:vertAlign w:val="subscript"/>
        </w:rPr>
        <w:t>3</w:t>
      </w:r>
      <w:r w:rsidRPr="00E262C6">
        <w:rPr>
          <w:i/>
          <w:szCs w:val="22"/>
        </w:rPr>
        <w:t xml:space="preserve"> and D</w:t>
      </w:r>
      <w:r w:rsidRPr="00E262C6">
        <w:rPr>
          <w:i/>
          <w:szCs w:val="22"/>
          <w:vertAlign w:val="subscript"/>
        </w:rPr>
        <w:t>2</w:t>
      </w:r>
    </w:p>
    <w:p w14:paraId="0AE3465A" w14:textId="612FC10A" w:rsidR="00E262C6" w:rsidRDefault="00DD5C9C" w:rsidP="00E262C6">
      <w:pPr>
        <w:spacing w:before="120"/>
      </w:pPr>
      <w:r w:rsidRPr="00535F54">
        <w:rPr>
          <w:i/>
          <w:sz w:val="18"/>
          <w:szCs w:val="18"/>
        </w:rPr>
        <w:t>Position numbers 1 and 25 indicate sites where hydroxylation occurs to produce physiologically important metabolites of vitamin D (see Section 3.1)</w:t>
      </w:r>
      <w:r w:rsidR="00E262C6">
        <w:br w:type="page"/>
      </w:r>
    </w:p>
    <w:p w14:paraId="25B5D668" w14:textId="3626D5C2" w:rsidR="00DD5C9C" w:rsidRPr="00E262C6" w:rsidRDefault="00DD5C9C" w:rsidP="003B5D42">
      <w:pPr>
        <w:pStyle w:val="FSTableFigureHeading"/>
        <w:rPr>
          <w:i w:val="0"/>
        </w:rPr>
      </w:pPr>
      <w:r w:rsidRPr="00E262C6">
        <w:rPr>
          <w:i w:val="0"/>
        </w:rPr>
        <w:lastRenderedPageBreak/>
        <w:t>Table 1</w:t>
      </w:r>
      <w:r w:rsidRPr="00E262C6">
        <w:rPr>
          <w:i w:val="0"/>
        </w:rPr>
        <w:tab/>
        <w:t>Chemical and physical properties of vitamin D</w:t>
      </w:r>
      <w:r w:rsidRPr="00E262C6">
        <w:rPr>
          <w:i w:val="0"/>
          <w:vertAlign w:val="subscript"/>
        </w:rPr>
        <w:t>2</w:t>
      </w:r>
      <w:r w:rsidRPr="00E262C6">
        <w:rPr>
          <w:i w:val="0"/>
        </w:rPr>
        <w:t xml:space="preserve"> and D</w:t>
      </w:r>
      <w:r w:rsidRPr="00E262C6">
        <w:rPr>
          <w:i w:val="0"/>
          <w:vertAlign w:val="subscript"/>
        </w:rPr>
        <w:t>3</w:t>
      </w:r>
    </w:p>
    <w:tbl>
      <w:tblPr>
        <w:tblStyle w:val="TableGrid"/>
        <w:tblW w:w="0" w:type="auto"/>
        <w:tblLook w:val="04A0" w:firstRow="1" w:lastRow="0" w:firstColumn="1" w:lastColumn="0" w:noHBand="0" w:noVBand="1"/>
      </w:tblPr>
      <w:tblGrid>
        <w:gridCol w:w="3095"/>
        <w:gridCol w:w="3095"/>
        <w:gridCol w:w="3096"/>
      </w:tblGrid>
      <w:tr w:rsidR="00DD5C9C" w:rsidRPr="006A05E9" w14:paraId="25B5D66C" w14:textId="77777777" w:rsidTr="003B5D42">
        <w:trPr>
          <w:trHeight w:val="340"/>
        </w:trPr>
        <w:tc>
          <w:tcPr>
            <w:tcW w:w="3095" w:type="dxa"/>
          </w:tcPr>
          <w:p w14:paraId="25B5D669" w14:textId="77777777" w:rsidR="00DD5C9C" w:rsidRPr="00501FF8" w:rsidRDefault="00DD5C9C" w:rsidP="003B5D42">
            <w:pPr>
              <w:spacing w:before="120" w:after="120"/>
              <w:rPr>
                <w:b/>
                <w:sz w:val="18"/>
                <w:szCs w:val="18"/>
              </w:rPr>
            </w:pPr>
            <w:r w:rsidRPr="00501FF8">
              <w:rPr>
                <w:b/>
                <w:sz w:val="18"/>
                <w:szCs w:val="18"/>
              </w:rPr>
              <w:t>Property</w:t>
            </w:r>
          </w:p>
        </w:tc>
        <w:tc>
          <w:tcPr>
            <w:tcW w:w="3095" w:type="dxa"/>
          </w:tcPr>
          <w:p w14:paraId="25B5D66A" w14:textId="77777777" w:rsidR="00DD5C9C" w:rsidRPr="00501FF8" w:rsidRDefault="00DD5C9C" w:rsidP="003B5D42">
            <w:pPr>
              <w:spacing w:before="120" w:after="120"/>
              <w:rPr>
                <w:b/>
                <w:sz w:val="18"/>
                <w:szCs w:val="18"/>
              </w:rPr>
            </w:pPr>
            <w:r w:rsidRPr="00501FF8">
              <w:rPr>
                <w:b/>
                <w:sz w:val="18"/>
                <w:szCs w:val="18"/>
              </w:rPr>
              <w:t>Vitamin D</w:t>
            </w:r>
            <w:r w:rsidRPr="00501FF8">
              <w:rPr>
                <w:b/>
                <w:sz w:val="18"/>
                <w:szCs w:val="18"/>
                <w:vertAlign w:val="subscript"/>
              </w:rPr>
              <w:t>2</w:t>
            </w:r>
          </w:p>
        </w:tc>
        <w:tc>
          <w:tcPr>
            <w:tcW w:w="3096" w:type="dxa"/>
          </w:tcPr>
          <w:p w14:paraId="25B5D66B" w14:textId="77777777" w:rsidR="00DD5C9C" w:rsidRPr="00501FF8" w:rsidRDefault="00DD5C9C" w:rsidP="003B5D42">
            <w:pPr>
              <w:spacing w:before="120" w:after="120"/>
              <w:rPr>
                <w:b/>
                <w:sz w:val="18"/>
                <w:szCs w:val="18"/>
              </w:rPr>
            </w:pPr>
            <w:r w:rsidRPr="00501FF8">
              <w:rPr>
                <w:b/>
                <w:sz w:val="18"/>
                <w:szCs w:val="18"/>
              </w:rPr>
              <w:t>Vitamin D</w:t>
            </w:r>
            <w:r w:rsidRPr="00501FF8">
              <w:rPr>
                <w:b/>
                <w:sz w:val="18"/>
                <w:szCs w:val="18"/>
                <w:vertAlign w:val="subscript"/>
              </w:rPr>
              <w:t>3</w:t>
            </w:r>
          </w:p>
        </w:tc>
      </w:tr>
      <w:tr w:rsidR="00DD5C9C" w:rsidRPr="006A05E9" w14:paraId="25B5D670" w14:textId="77777777" w:rsidTr="003B5D42">
        <w:trPr>
          <w:trHeight w:val="340"/>
        </w:trPr>
        <w:tc>
          <w:tcPr>
            <w:tcW w:w="3095" w:type="dxa"/>
            <w:vAlign w:val="center"/>
          </w:tcPr>
          <w:p w14:paraId="25B5D66D" w14:textId="77777777" w:rsidR="00DD5C9C" w:rsidRPr="00501FF8" w:rsidRDefault="00DD5C9C" w:rsidP="003B5D42">
            <w:pPr>
              <w:rPr>
                <w:sz w:val="18"/>
                <w:szCs w:val="18"/>
              </w:rPr>
            </w:pPr>
            <w:r w:rsidRPr="00501FF8">
              <w:rPr>
                <w:sz w:val="18"/>
                <w:szCs w:val="18"/>
              </w:rPr>
              <w:t>Molecular structure</w:t>
            </w:r>
          </w:p>
        </w:tc>
        <w:tc>
          <w:tcPr>
            <w:tcW w:w="3095" w:type="dxa"/>
            <w:vAlign w:val="center"/>
          </w:tcPr>
          <w:p w14:paraId="25B5D66E" w14:textId="77777777" w:rsidR="00DD5C9C" w:rsidRPr="00501FF8" w:rsidRDefault="00DD5C9C" w:rsidP="003B5D42">
            <w:pPr>
              <w:rPr>
                <w:sz w:val="18"/>
                <w:szCs w:val="18"/>
              </w:rPr>
            </w:pPr>
            <w:r w:rsidRPr="00501FF8">
              <w:rPr>
                <w:sz w:val="18"/>
                <w:szCs w:val="18"/>
              </w:rPr>
              <w:t>C</w:t>
            </w:r>
            <w:r w:rsidRPr="00501FF8">
              <w:rPr>
                <w:sz w:val="18"/>
                <w:szCs w:val="18"/>
                <w:vertAlign w:val="subscript"/>
              </w:rPr>
              <w:t>28</w:t>
            </w:r>
            <w:r w:rsidRPr="00501FF8">
              <w:rPr>
                <w:sz w:val="18"/>
                <w:szCs w:val="18"/>
              </w:rPr>
              <w:t>H</w:t>
            </w:r>
            <w:r w:rsidRPr="00501FF8">
              <w:rPr>
                <w:sz w:val="18"/>
                <w:szCs w:val="18"/>
                <w:vertAlign w:val="subscript"/>
              </w:rPr>
              <w:t>44</w:t>
            </w:r>
            <w:r w:rsidRPr="00501FF8">
              <w:rPr>
                <w:sz w:val="18"/>
                <w:szCs w:val="18"/>
              </w:rPr>
              <w:t>O</w:t>
            </w:r>
          </w:p>
        </w:tc>
        <w:tc>
          <w:tcPr>
            <w:tcW w:w="3096" w:type="dxa"/>
            <w:vAlign w:val="center"/>
          </w:tcPr>
          <w:p w14:paraId="25B5D66F" w14:textId="77777777" w:rsidR="00DD5C9C" w:rsidRPr="00501FF8" w:rsidRDefault="00DD5C9C" w:rsidP="003B5D42">
            <w:pPr>
              <w:rPr>
                <w:sz w:val="18"/>
                <w:szCs w:val="18"/>
              </w:rPr>
            </w:pPr>
            <w:r w:rsidRPr="00501FF8">
              <w:rPr>
                <w:sz w:val="18"/>
                <w:szCs w:val="18"/>
              </w:rPr>
              <w:t>C</w:t>
            </w:r>
            <w:r w:rsidRPr="00501FF8">
              <w:rPr>
                <w:sz w:val="18"/>
                <w:szCs w:val="18"/>
                <w:vertAlign w:val="subscript"/>
              </w:rPr>
              <w:t>27</w:t>
            </w:r>
            <w:r w:rsidRPr="00501FF8">
              <w:rPr>
                <w:sz w:val="18"/>
                <w:szCs w:val="18"/>
              </w:rPr>
              <w:t>H</w:t>
            </w:r>
            <w:r w:rsidRPr="00501FF8">
              <w:rPr>
                <w:sz w:val="18"/>
                <w:szCs w:val="18"/>
                <w:vertAlign w:val="subscript"/>
              </w:rPr>
              <w:t>44</w:t>
            </w:r>
            <w:r w:rsidRPr="00501FF8">
              <w:rPr>
                <w:sz w:val="18"/>
                <w:szCs w:val="18"/>
              </w:rPr>
              <w:t>O</w:t>
            </w:r>
          </w:p>
        </w:tc>
      </w:tr>
      <w:tr w:rsidR="00DD5C9C" w:rsidRPr="006A05E9" w14:paraId="25B5D674" w14:textId="77777777" w:rsidTr="003B5D42">
        <w:trPr>
          <w:trHeight w:val="340"/>
        </w:trPr>
        <w:tc>
          <w:tcPr>
            <w:tcW w:w="3095" w:type="dxa"/>
            <w:vAlign w:val="center"/>
          </w:tcPr>
          <w:p w14:paraId="25B5D671" w14:textId="77777777" w:rsidR="00DD5C9C" w:rsidRPr="00501FF8" w:rsidRDefault="00DD5C9C" w:rsidP="003B5D42">
            <w:pPr>
              <w:rPr>
                <w:sz w:val="18"/>
                <w:szCs w:val="18"/>
              </w:rPr>
            </w:pPr>
            <w:r w:rsidRPr="00501FF8">
              <w:rPr>
                <w:sz w:val="18"/>
                <w:szCs w:val="18"/>
              </w:rPr>
              <w:t>Molecular weight (g/mol)</w:t>
            </w:r>
          </w:p>
        </w:tc>
        <w:tc>
          <w:tcPr>
            <w:tcW w:w="3095" w:type="dxa"/>
            <w:vAlign w:val="center"/>
          </w:tcPr>
          <w:p w14:paraId="25B5D672" w14:textId="77777777" w:rsidR="00DD5C9C" w:rsidRPr="00501FF8" w:rsidRDefault="00DD5C9C" w:rsidP="003B5D42">
            <w:pPr>
              <w:rPr>
                <w:sz w:val="18"/>
                <w:szCs w:val="18"/>
              </w:rPr>
            </w:pPr>
            <w:r w:rsidRPr="00501FF8">
              <w:rPr>
                <w:sz w:val="18"/>
                <w:szCs w:val="18"/>
              </w:rPr>
              <w:t>396.66</w:t>
            </w:r>
          </w:p>
        </w:tc>
        <w:tc>
          <w:tcPr>
            <w:tcW w:w="3096" w:type="dxa"/>
            <w:vAlign w:val="center"/>
          </w:tcPr>
          <w:p w14:paraId="25B5D673" w14:textId="77777777" w:rsidR="00DD5C9C" w:rsidRPr="00501FF8" w:rsidRDefault="00DD5C9C" w:rsidP="003B5D42">
            <w:pPr>
              <w:rPr>
                <w:sz w:val="18"/>
                <w:szCs w:val="18"/>
              </w:rPr>
            </w:pPr>
            <w:r w:rsidRPr="00501FF8">
              <w:rPr>
                <w:sz w:val="18"/>
                <w:szCs w:val="18"/>
              </w:rPr>
              <w:t>384.65</w:t>
            </w:r>
          </w:p>
        </w:tc>
      </w:tr>
      <w:tr w:rsidR="00DD5C9C" w:rsidRPr="006A05E9" w14:paraId="25B5D678" w14:textId="77777777" w:rsidTr="003B5D42">
        <w:trPr>
          <w:trHeight w:val="340"/>
        </w:trPr>
        <w:tc>
          <w:tcPr>
            <w:tcW w:w="3095" w:type="dxa"/>
            <w:vAlign w:val="center"/>
          </w:tcPr>
          <w:p w14:paraId="25B5D675" w14:textId="77777777" w:rsidR="00DD5C9C" w:rsidRPr="00501FF8" w:rsidRDefault="00DD5C9C" w:rsidP="003B5D42">
            <w:pPr>
              <w:rPr>
                <w:sz w:val="18"/>
                <w:szCs w:val="18"/>
              </w:rPr>
            </w:pPr>
            <w:r w:rsidRPr="00501FF8">
              <w:rPr>
                <w:sz w:val="18"/>
                <w:szCs w:val="18"/>
              </w:rPr>
              <w:t>CAS number</w:t>
            </w:r>
          </w:p>
        </w:tc>
        <w:tc>
          <w:tcPr>
            <w:tcW w:w="3095" w:type="dxa"/>
            <w:vAlign w:val="center"/>
          </w:tcPr>
          <w:p w14:paraId="25B5D676" w14:textId="77777777" w:rsidR="00DD5C9C" w:rsidRPr="00501FF8" w:rsidRDefault="00DD5C9C" w:rsidP="003B5D42">
            <w:pPr>
              <w:rPr>
                <w:sz w:val="18"/>
                <w:szCs w:val="18"/>
              </w:rPr>
            </w:pPr>
            <w:r w:rsidRPr="00501FF8">
              <w:rPr>
                <w:sz w:val="18"/>
                <w:szCs w:val="18"/>
              </w:rPr>
              <w:t>50-14-6</w:t>
            </w:r>
          </w:p>
        </w:tc>
        <w:tc>
          <w:tcPr>
            <w:tcW w:w="3096" w:type="dxa"/>
            <w:vAlign w:val="center"/>
          </w:tcPr>
          <w:p w14:paraId="25B5D677" w14:textId="77777777" w:rsidR="00DD5C9C" w:rsidRPr="00501FF8" w:rsidRDefault="00DD5C9C" w:rsidP="003B5D42">
            <w:pPr>
              <w:rPr>
                <w:sz w:val="18"/>
                <w:szCs w:val="18"/>
              </w:rPr>
            </w:pPr>
            <w:r w:rsidRPr="00501FF8">
              <w:rPr>
                <w:sz w:val="18"/>
                <w:szCs w:val="18"/>
              </w:rPr>
              <w:t>67-97-0</w:t>
            </w:r>
          </w:p>
        </w:tc>
      </w:tr>
      <w:tr w:rsidR="00DD5C9C" w:rsidRPr="006A05E9" w14:paraId="25B5D67C" w14:textId="77777777" w:rsidTr="003B5D42">
        <w:trPr>
          <w:trHeight w:val="340"/>
        </w:trPr>
        <w:tc>
          <w:tcPr>
            <w:tcW w:w="3095" w:type="dxa"/>
            <w:vAlign w:val="center"/>
          </w:tcPr>
          <w:p w14:paraId="25B5D679" w14:textId="77777777" w:rsidR="00DD5C9C" w:rsidRPr="00501FF8" w:rsidRDefault="00DD5C9C" w:rsidP="003B5D42">
            <w:pPr>
              <w:rPr>
                <w:sz w:val="18"/>
                <w:szCs w:val="18"/>
              </w:rPr>
            </w:pPr>
            <w:r w:rsidRPr="00501FF8">
              <w:rPr>
                <w:sz w:val="18"/>
                <w:szCs w:val="18"/>
              </w:rPr>
              <w:t>Appearance</w:t>
            </w:r>
          </w:p>
        </w:tc>
        <w:tc>
          <w:tcPr>
            <w:tcW w:w="3095" w:type="dxa"/>
            <w:vAlign w:val="center"/>
          </w:tcPr>
          <w:p w14:paraId="25B5D67A" w14:textId="77777777" w:rsidR="00DD5C9C" w:rsidRPr="00501FF8" w:rsidRDefault="00DD5C9C" w:rsidP="003B5D42">
            <w:pPr>
              <w:rPr>
                <w:sz w:val="18"/>
                <w:szCs w:val="18"/>
              </w:rPr>
            </w:pPr>
            <w:r w:rsidRPr="00501FF8">
              <w:rPr>
                <w:sz w:val="18"/>
                <w:szCs w:val="18"/>
              </w:rPr>
              <w:t>White crystals</w:t>
            </w:r>
          </w:p>
        </w:tc>
        <w:tc>
          <w:tcPr>
            <w:tcW w:w="3096" w:type="dxa"/>
            <w:vAlign w:val="center"/>
          </w:tcPr>
          <w:p w14:paraId="25B5D67B" w14:textId="77777777" w:rsidR="00DD5C9C" w:rsidRPr="00501FF8" w:rsidRDefault="00DD5C9C" w:rsidP="003B5D42">
            <w:pPr>
              <w:rPr>
                <w:sz w:val="18"/>
                <w:szCs w:val="18"/>
              </w:rPr>
            </w:pPr>
            <w:r w:rsidRPr="00501FF8">
              <w:rPr>
                <w:sz w:val="18"/>
                <w:szCs w:val="18"/>
              </w:rPr>
              <w:t>White crystals</w:t>
            </w:r>
          </w:p>
        </w:tc>
      </w:tr>
      <w:tr w:rsidR="00DD5C9C" w:rsidRPr="006A05E9" w14:paraId="25B5D680" w14:textId="77777777" w:rsidTr="003B5D42">
        <w:trPr>
          <w:trHeight w:val="340"/>
        </w:trPr>
        <w:tc>
          <w:tcPr>
            <w:tcW w:w="3095" w:type="dxa"/>
            <w:vAlign w:val="center"/>
          </w:tcPr>
          <w:p w14:paraId="25B5D67D" w14:textId="77777777" w:rsidR="00DD5C9C" w:rsidRPr="00501FF8" w:rsidRDefault="00DD5C9C" w:rsidP="003B5D42">
            <w:pPr>
              <w:rPr>
                <w:sz w:val="18"/>
                <w:szCs w:val="18"/>
              </w:rPr>
            </w:pPr>
            <w:r w:rsidRPr="00501FF8">
              <w:rPr>
                <w:sz w:val="18"/>
                <w:szCs w:val="18"/>
              </w:rPr>
              <w:t>Melting point (</w:t>
            </w:r>
            <w:r w:rsidRPr="00501FF8">
              <w:rPr>
                <w:rFonts w:cs="Arial"/>
                <w:sz w:val="18"/>
                <w:szCs w:val="18"/>
              </w:rPr>
              <w:t>°</w:t>
            </w:r>
            <w:r w:rsidRPr="00501FF8">
              <w:rPr>
                <w:sz w:val="18"/>
                <w:szCs w:val="18"/>
              </w:rPr>
              <w:t>C)</w:t>
            </w:r>
          </w:p>
        </w:tc>
        <w:tc>
          <w:tcPr>
            <w:tcW w:w="3095" w:type="dxa"/>
            <w:vAlign w:val="center"/>
          </w:tcPr>
          <w:p w14:paraId="25B5D67E" w14:textId="77777777" w:rsidR="00DD5C9C" w:rsidRPr="00501FF8" w:rsidRDefault="00DD5C9C" w:rsidP="003B5D42">
            <w:pPr>
              <w:rPr>
                <w:sz w:val="18"/>
                <w:szCs w:val="18"/>
              </w:rPr>
            </w:pPr>
            <w:r w:rsidRPr="00501FF8">
              <w:rPr>
                <w:sz w:val="18"/>
                <w:szCs w:val="18"/>
              </w:rPr>
              <w:t xml:space="preserve">115–119 </w:t>
            </w:r>
          </w:p>
        </w:tc>
        <w:tc>
          <w:tcPr>
            <w:tcW w:w="3096" w:type="dxa"/>
            <w:vAlign w:val="center"/>
          </w:tcPr>
          <w:p w14:paraId="25B5D67F" w14:textId="77777777" w:rsidR="00DD5C9C" w:rsidRPr="00501FF8" w:rsidRDefault="00DD5C9C" w:rsidP="003B5D42">
            <w:pPr>
              <w:rPr>
                <w:sz w:val="18"/>
                <w:szCs w:val="18"/>
              </w:rPr>
            </w:pPr>
            <w:r w:rsidRPr="00501FF8">
              <w:rPr>
                <w:sz w:val="18"/>
                <w:szCs w:val="18"/>
              </w:rPr>
              <w:t>84–89</w:t>
            </w:r>
          </w:p>
        </w:tc>
      </w:tr>
      <w:tr w:rsidR="00DD5C9C" w:rsidRPr="006A05E9" w14:paraId="25B5D684" w14:textId="77777777" w:rsidTr="003B5D42">
        <w:trPr>
          <w:trHeight w:val="340"/>
        </w:trPr>
        <w:tc>
          <w:tcPr>
            <w:tcW w:w="3095" w:type="dxa"/>
            <w:vAlign w:val="center"/>
          </w:tcPr>
          <w:p w14:paraId="25B5D681" w14:textId="77777777" w:rsidR="00DD5C9C" w:rsidRPr="00501FF8" w:rsidRDefault="00DD5C9C" w:rsidP="003B5D42">
            <w:pPr>
              <w:rPr>
                <w:sz w:val="18"/>
                <w:szCs w:val="18"/>
              </w:rPr>
            </w:pPr>
            <w:r w:rsidRPr="00501FF8">
              <w:rPr>
                <w:sz w:val="18"/>
                <w:szCs w:val="18"/>
              </w:rPr>
              <w:t>Water solubility</w:t>
            </w:r>
          </w:p>
        </w:tc>
        <w:tc>
          <w:tcPr>
            <w:tcW w:w="3095" w:type="dxa"/>
            <w:vAlign w:val="center"/>
          </w:tcPr>
          <w:p w14:paraId="25B5D682" w14:textId="77777777" w:rsidR="00DD5C9C" w:rsidRPr="00501FF8" w:rsidRDefault="00DD5C9C" w:rsidP="003B5D42">
            <w:pPr>
              <w:rPr>
                <w:sz w:val="18"/>
                <w:szCs w:val="18"/>
              </w:rPr>
            </w:pPr>
            <w:r w:rsidRPr="00501FF8">
              <w:rPr>
                <w:sz w:val="18"/>
                <w:szCs w:val="18"/>
              </w:rPr>
              <w:t>Insoluble</w:t>
            </w:r>
          </w:p>
        </w:tc>
        <w:tc>
          <w:tcPr>
            <w:tcW w:w="3096" w:type="dxa"/>
            <w:vAlign w:val="center"/>
          </w:tcPr>
          <w:p w14:paraId="25B5D683" w14:textId="77777777" w:rsidR="00DD5C9C" w:rsidRPr="00501FF8" w:rsidRDefault="00DD5C9C" w:rsidP="003B5D42">
            <w:pPr>
              <w:rPr>
                <w:sz w:val="18"/>
                <w:szCs w:val="18"/>
              </w:rPr>
            </w:pPr>
            <w:r w:rsidRPr="00501FF8">
              <w:rPr>
                <w:sz w:val="18"/>
                <w:szCs w:val="18"/>
              </w:rPr>
              <w:t>Insoluble</w:t>
            </w:r>
          </w:p>
        </w:tc>
      </w:tr>
      <w:tr w:rsidR="00DD5C9C" w:rsidRPr="006A05E9" w14:paraId="25B5D688" w14:textId="77777777" w:rsidTr="003B5D42">
        <w:trPr>
          <w:trHeight w:val="340"/>
        </w:trPr>
        <w:tc>
          <w:tcPr>
            <w:tcW w:w="3095" w:type="dxa"/>
            <w:vAlign w:val="center"/>
          </w:tcPr>
          <w:p w14:paraId="25B5D685" w14:textId="77777777" w:rsidR="00DD5C9C" w:rsidRPr="00501FF8" w:rsidRDefault="00DD5C9C" w:rsidP="003B5D42">
            <w:pPr>
              <w:rPr>
                <w:sz w:val="18"/>
                <w:szCs w:val="18"/>
              </w:rPr>
            </w:pPr>
            <w:r w:rsidRPr="00501FF8">
              <w:rPr>
                <w:sz w:val="18"/>
                <w:szCs w:val="18"/>
              </w:rPr>
              <w:t>Soluble in other solvents</w:t>
            </w:r>
          </w:p>
        </w:tc>
        <w:tc>
          <w:tcPr>
            <w:tcW w:w="3095" w:type="dxa"/>
            <w:vAlign w:val="center"/>
          </w:tcPr>
          <w:p w14:paraId="25B5D686" w14:textId="77777777" w:rsidR="00DD5C9C" w:rsidRPr="00501FF8" w:rsidRDefault="00DD5C9C" w:rsidP="003B5D42">
            <w:pPr>
              <w:rPr>
                <w:sz w:val="18"/>
                <w:szCs w:val="18"/>
              </w:rPr>
            </w:pPr>
            <w:r w:rsidRPr="00501FF8">
              <w:rPr>
                <w:sz w:val="18"/>
                <w:szCs w:val="18"/>
              </w:rPr>
              <w:t>Alcohol, chloroform and fatty oils</w:t>
            </w:r>
          </w:p>
        </w:tc>
        <w:tc>
          <w:tcPr>
            <w:tcW w:w="3096" w:type="dxa"/>
            <w:vAlign w:val="center"/>
          </w:tcPr>
          <w:p w14:paraId="25B5D687" w14:textId="77777777" w:rsidR="00DD5C9C" w:rsidRPr="00501FF8" w:rsidRDefault="00DD5C9C" w:rsidP="003B5D42">
            <w:pPr>
              <w:rPr>
                <w:sz w:val="18"/>
                <w:szCs w:val="18"/>
              </w:rPr>
            </w:pPr>
            <w:r w:rsidRPr="00501FF8">
              <w:rPr>
                <w:sz w:val="18"/>
                <w:szCs w:val="18"/>
              </w:rPr>
              <w:t>Alcohol, chloroform and fatty oils</w:t>
            </w:r>
          </w:p>
        </w:tc>
      </w:tr>
    </w:tbl>
    <w:p w14:paraId="25B5D689" w14:textId="77777777" w:rsidR="00DD5C9C" w:rsidRPr="00FC3778" w:rsidRDefault="00DD5C9C" w:rsidP="003B5D42">
      <w:pPr>
        <w:rPr>
          <w:sz w:val="20"/>
          <w:szCs w:val="20"/>
        </w:rPr>
      </w:pPr>
      <w:r w:rsidRPr="00FC3778">
        <w:rPr>
          <w:sz w:val="20"/>
          <w:szCs w:val="20"/>
        </w:rPr>
        <w:t xml:space="preserve">Source: </w:t>
      </w:r>
      <w:r>
        <w:rPr>
          <w:sz w:val="20"/>
          <w:szCs w:val="20"/>
        </w:rPr>
        <w:t xml:space="preserve">U.S. Pharmacopeial Convention, </w:t>
      </w:r>
      <w:r w:rsidRPr="00FC3778">
        <w:rPr>
          <w:sz w:val="20"/>
          <w:szCs w:val="20"/>
        </w:rPr>
        <w:t xml:space="preserve">Food Chemicals Codex </w:t>
      </w:r>
      <w:r>
        <w:rPr>
          <w:sz w:val="20"/>
          <w:szCs w:val="20"/>
        </w:rPr>
        <w:t>9</w:t>
      </w:r>
      <w:r w:rsidRPr="00FC3778">
        <w:rPr>
          <w:sz w:val="20"/>
          <w:szCs w:val="20"/>
          <w:vertAlign w:val="superscript"/>
        </w:rPr>
        <w:t>th</w:t>
      </w:r>
      <w:r w:rsidRPr="00FC3778">
        <w:rPr>
          <w:sz w:val="20"/>
          <w:szCs w:val="20"/>
        </w:rPr>
        <w:t xml:space="preserve"> Edition (201</w:t>
      </w:r>
      <w:r>
        <w:rPr>
          <w:sz w:val="20"/>
          <w:szCs w:val="20"/>
        </w:rPr>
        <w:t>4</w:t>
      </w:r>
      <w:r w:rsidRPr="00FC3778">
        <w:rPr>
          <w:sz w:val="20"/>
          <w:szCs w:val="20"/>
        </w:rPr>
        <w:t>)</w:t>
      </w:r>
    </w:p>
    <w:p w14:paraId="25B5D68A" w14:textId="77777777" w:rsidR="00DD5C9C" w:rsidRDefault="00DD5C9C" w:rsidP="003B5D42">
      <w:pPr>
        <w:pStyle w:val="Heading3"/>
      </w:pPr>
      <w:bookmarkStart w:id="12" w:name="_Toc406575686"/>
      <w:r>
        <w:t>Specifications</w:t>
      </w:r>
      <w:bookmarkEnd w:id="12"/>
    </w:p>
    <w:p w14:paraId="25B5D68B" w14:textId="77777777" w:rsidR="00DD5C9C" w:rsidRDefault="00DD5C9C" w:rsidP="003B5D42">
      <w:r>
        <w:t>Both D</w:t>
      </w:r>
      <w:r w:rsidRPr="0072600C">
        <w:rPr>
          <w:vertAlign w:val="subscript"/>
        </w:rPr>
        <w:t>2</w:t>
      </w:r>
      <w:r>
        <w:t xml:space="preserve"> and D</w:t>
      </w:r>
      <w:r w:rsidRPr="0072600C">
        <w:rPr>
          <w:vertAlign w:val="subscript"/>
        </w:rPr>
        <w:t>3</w:t>
      </w:r>
      <w:r>
        <w:t xml:space="preserve"> are permitted forms of vitamin D for addition to foods in the Schedule to Standard 1.1.1 – Preliminary provisions – application, interpretation and general prohibitions.</w:t>
      </w:r>
    </w:p>
    <w:p w14:paraId="25B5D68C" w14:textId="77777777" w:rsidR="00DD5C9C" w:rsidRDefault="00DD5C9C" w:rsidP="003B5D42"/>
    <w:p w14:paraId="25B5D68D" w14:textId="77777777" w:rsidR="00DD5C9C" w:rsidRDefault="00DD5C9C" w:rsidP="003B5D42">
      <w:r>
        <w:t>Standard 1.3.4 – Identity and Purity requires that all vitamins permitted to be added to food meet appropriate specifications for identity and purity.</w:t>
      </w:r>
    </w:p>
    <w:p w14:paraId="25B5D68E" w14:textId="77777777" w:rsidR="00DD5C9C" w:rsidRDefault="00DD5C9C" w:rsidP="003B5D42"/>
    <w:p w14:paraId="25B5D68F" w14:textId="77777777" w:rsidR="00DD5C9C" w:rsidRDefault="00DD5C9C" w:rsidP="003B5D42">
      <w:r>
        <w:t xml:space="preserve">Clause 2 of Standard 1.3.4 contains a list of primary sources of specifications. One of these is the Food Chemicals Codex </w:t>
      </w:r>
      <w:r>
        <w:rPr>
          <w:noProof/>
        </w:rPr>
        <w:t>(U.S.Pharmacopeial Convention 2014)</w:t>
      </w:r>
      <w:r>
        <w:t xml:space="preserve"> which contains specifications for both D</w:t>
      </w:r>
      <w:r w:rsidRPr="0072600C">
        <w:rPr>
          <w:vertAlign w:val="subscript"/>
        </w:rPr>
        <w:t>2</w:t>
      </w:r>
      <w:r>
        <w:t xml:space="preserve"> and D</w:t>
      </w:r>
      <w:r w:rsidRPr="0072600C">
        <w:rPr>
          <w:vertAlign w:val="subscript"/>
        </w:rPr>
        <w:t>3</w:t>
      </w:r>
      <w:r>
        <w:rPr>
          <w:vertAlign w:val="subscript"/>
        </w:rPr>
        <w:t xml:space="preserve"> </w:t>
      </w:r>
      <w:r w:rsidRPr="00D72993">
        <w:t>as listed in</w:t>
      </w:r>
      <w:r>
        <w:t xml:space="preserve"> Table 1 above.</w:t>
      </w:r>
    </w:p>
    <w:p w14:paraId="25B5D690" w14:textId="77777777" w:rsidR="00DD5C9C" w:rsidRDefault="00DD5C9C" w:rsidP="003B5D42"/>
    <w:p w14:paraId="25B5D691" w14:textId="77777777" w:rsidR="00DD5C9C" w:rsidRPr="00B56966" w:rsidRDefault="00DD5C9C" w:rsidP="003B5D42">
      <w:r w:rsidRPr="006A05E9">
        <w:t xml:space="preserve">The Application is for the voluntary fortification of vitamin D to breakfast cereal. The Australia New Zealand Food Standards Code (ANZFSC) already has permissions for the addition of vitamin D to a variety of foods as set out in the Table to clause 3 of Standard 1.3.2 – Vitamins and </w:t>
      </w:r>
      <w:r>
        <w:t>M</w:t>
      </w:r>
      <w:r w:rsidRPr="006A05E9">
        <w:t>inerals.</w:t>
      </w:r>
      <w:r w:rsidRPr="00B56966">
        <w:t xml:space="preserve"> </w:t>
      </w:r>
    </w:p>
    <w:p w14:paraId="25B5D692" w14:textId="77777777" w:rsidR="00DD5C9C" w:rsidRPr="00DC546C" w:rsidRDefault="00DD5C9C" w:rsidP="003B5D42">
      <w:pPr>
        <w:pStyle w:val="Heading3"/>
      </w:pPr>
      <w:bookmarkStart w:id="13" w:name="_Toc406575687"/>
      <w:r>
        <w:t>Analytical methods in foods</w:t>
      </w:r>
      <w:bookmarkEnd w:id="13"/>
    </w:p>
    <w:p w14:paraId="25B5D693" w14:textId="77777777" w:rsidR="00DD5C9C" w:rsidRDefault="00DD5C9C" w:rsidP="003B5D42">
      <w:r>
        <w:t xml:space="preserve">Vitamin D has been added to various foods for many years and there have been a variety of analytical methods to determine and </w:t>
      </w:r>
      <w:r w:rsidRPr="000B5919">
        <w:t>quantify t</w:t>
      </w:r>
      <w:r>
        <w:t xml:space="preserve">he levels of added vitamin to different food matrices. The Official Methods of Analysis for the Association of Official Analytical Chemists (AOAC) has variations on different analytical methods for determining the levels of addition of vitamin D added to food depending on the food matrix </w:t>
      </w:r>
      <w:r>
        <w:rPr>
          <w:noProof/>
        </w:rPr>
        <w:t>(Horwitz and Latimer 2012)</w:t>
      </w:r>
      <w:r>
        <w:t xml:space="preserve">. </w:t>
      </w:r>
    </w:p>
    <w:p w14:paraId="25B5D694" w14:textId="77777777" w:rsidR="00DD5C9C" w:rsidRDefault="00DD5C9C" w:rsidP="003B5D42"/>
    <w:p w14:paraId="25B5D695" w14:textId="1F1F76E8" w:rsidR="00DD5C9C" w:rsidRDefault="00DD5C9C" w:rsidP="003B5D42">
      <w:r>
        <w:t>The current version (19</w:t>
      </w:r>
      <w:r w:rsidRPr="0049042F">
        <w:rPr>
          <w:vertAlign w:val="superscript"/>
        </w:rPr>
        <w:t>th</w:t>
      </w:r>
      <w:r>
        <w:t xml:space="preserve"> edition, 2005, revision 5, 2012) of the AOAC Official Methods of Analysis </w:t>
      </w:r>
      <w:r>
        <w:rPr>
          <w:noProof/>
        </w:rPr>
        <w:t>(Horwitz and Latimer 2012)</w:t>
      </w:r>
      <w:r>
        <w:t xml:space="preserve"> contains a large number of analytical methods for the determination of vitamin D in various food, feed and vitamin preparations. Of relevance to</w:t>
      </w:r>
      <w:r w:rsidR="00C233AA">
        <w:t xml:space="preserve"> this Application are those for:</w:t>
      </w:r>
    </w:p>
    <w:p w14:paraId="79C89595" w14:textId="77777777" w:rsidR="00C233AA" w:rsidRDefault="00C233AA" w:rsidP="003B5D42"/>
    <w:p w14:paraId="25B5D696" w14:textId="77777777" w:rsidR="00DD5C9C" w:rsidRDefault="00C91549" w:rsidP="00DD5C9C">
      <w:pPr>
        <w:pStyle w:val="ListParagraph"/>
        <w:numPr>
          <w:ilvl w:val="0"/>
          <w:numId w:val="18"/>
        </w:numPr>
        <w:ind w:left="567" w:hanging="567"/>
      </w:pPr>
      <w:r>
        <w:t xml:space="preserve">vitamin </w:t>
      </w:r>
      <w:r w:rsidR="00DD5C9C">
        <w:t>preparations (method 979.24, liquid chromatography (LC) method)</w:t>
      </w:r>
    </w:p>
    <w:p w14:paraId="25B5D697" w14:textId="77777777" w:rsidR="00DD5C9C" w:rsidRDefault="00C91549" w:rsidP="00DD5C9C">
      <w:pPr>
        <w:pStyle w:val="ListParagraph"/>
        <w:numPr>
          <w:ilvl w:val="0"/>
          <w:numId w:val="18"/>
        </w:numPr>
        <w:ind w:left="567" w:hanging="567"/>
      </w:pPr>
      <w:r>
        <w:t xml:space="preserve">multivitamin </w:t>
      </w:r>
      <w:r w:rsidR="00DD5C9C">
        <w:t>preparations (980.26, LC method)</w:t>
      </w:r>
    </w:p>
    <w:p w14:paraId="25B5D698" w14:textId="77777777" w:rsidR="00DD5C9C" w:rsidRDefault="00C91549" w:rsidP="00DD5C9C">
      <w:pPr>
        <w:pStyle w:val="ListParagraph"/>
        <w:numPr>
          <w:ilvl w:val="0"/>
          <w:numId w:val="18"/>
        </w:numPr>
        <w:ind w:left="567" w:hanging="567"/>
      </w:pPr>
      <w:r>
        <w:t xml:space="preserve">milk </w:t>
      </w:r>
      <w:r w:rsidR="00DD5C9C">
        <w:t>and milk powder (981.17, LC method)</w:t>
      </w:r>
    </w:p>
    <w:p w14:paraId="25B5D699" w14:textId="77777777" w:rsidR="00DD5C9C" w:rsidRDefault="00C91549" w:rsidP="00DD5C9C">
      <w:pPr>
        <w:pStyle w:val="ListParagraph"/>
        <w:numPr>
          <w:ilvl w:val="0"/>
          <w:numId w:val="18"/>
        </w:numPr>
        <w:ind w:left="567" w:hanging="567"/>
      </w:pPr>
      <w:r>
        <w:t xml:space="preserve">mixed </w:t>
      </w:r>
      <w:r w:rsidR="00DD5C9C">
        <w:t>feeds, premixes, and pet foods (982.29, LC method)</w:t>
      </w:r>
    </w:p>
    <w:p w14:paraId="25B5D69A" w14:textId="77777777" w:rsidR="00DD5C9C" w:rsidRDefault="00C91549" w:rsidP="00DD5C9C">
      <w:pPr>
        <w:pStyle w:val="ListParagraph"/>
        <w:numPr>
          <w:ilvl w:val="0"/>
          <w:numId w:val="18"/>
        </w:numPr>
        <w:ind w:left="567" w:hanging="567"/>
      </w:pPr>
      <w:r>
        <w:t xml:space="preserve">infant </w:t>
      </w:r>
      <w:r w:rsidR="00DD5C9C">
        <w:t>formulas and enteral products (995.05, LC method)</w:t>
      </w:r>
    </w:p>
    <w:p w14:paraId="25B5D69B" w14:textId="77777777" w:rsidR="00DD5C9C" w:rsidRDefault="00C91549" w:rsidP="00DD5C9C">
      <w:pPr>
        <w:pStyle w:val="ListParagraph"/>
        <w:numPr>
          <w:ilvl w:val="0"/>
          <w:numId w:val="18"/>
        </w:numPr>
        <w:ind w:left="567" w:hanging="567"/>
      </w:pPr>
      <w:r>
        <w:t xml:space="preserve">infant </w:t>
      </w:r>
      <w:r w:rsidR="00DD5C9C">
        <w:t>formulas and adult/paediatric nutritional formula (2011.11, ultra-high performance LC mass spectroscopy/mass spectroscopy (MS/MS or tandem MS) method</w:t>
      </w:r>
    </w:p>
    <w:p w14:paraId="25B5D69C" w14:textId="77777777" w:rsidR="00DD5C9C" w:rsidRDefault="00C91549" w:rsidP="00DD5C9C">
      <w:pPr>
        <w:pStyle w:val="ListParagraph"/>
        <w:numPr>
          <w:ilvl w:val="0"/>
          <w:numId w:val="18"/>
        </w:numPr>
        <w:ind w:left="567" w:hanging="567"/>
      </w:pPr>
      <w:r>
        <w:t xml:space="preserve">vitamin </w:t>
      </w:r>
      <w:r w:rsidR="00DD5C9C">
        <w:t>D</w:t>
      </w:r>
      <w:r w:rsidR="00DD5C9C" w:rsidRPr="0087543F">
        <w:rPr>
          <w:vertAlign w:val="subscript"/>
        </w:rPr>
        <w:t>3</w:t>
      </w:r>
      <w:r w:rsidR="00DD5C9C">
        <w:t xml:space="preserve"> in selected foods (2002.05, LC method).</w:t>
      </w:r>
    </w:p>
    <w:p w14:paraId="25B5D69D" w14:textId="54EAAB0F" w:rsidR="00E262C6" w:rsidRDefault="00E262C6" w:rsidP="003B5D42">
      <w:pPr>
        <w:ind w:left="567" w:hanging="567"/>
      </w:pPr>
      <w:r>
        <w:br w:type="page"/>
      </w:r>
    </w:p>
    <w:p w14:paraId="25B5D69E" w14:textId="77777777" w:rsidR="00DD5C9C" w:rsidRPr="00D72993" w:rsidRDefault="00DD5C9C" w:rsidP="003B5D42">
      <w:r>
        <w:lastRenderedPageBreak/>
        <w:t xml:space="preserve">It is expected that suitably qualified and experienced analysts would be able to adapt these various analytical methods, essentially using high performance liquid chromatography (HPLC) to determine the amount of vitamin D added to breakfast cereal. </w:t>
      </w:r>
    </w:p>
    <w:p w14:paraId="25B5D69F" w14:textId="77777777" w:rsidR="00DD5C9C" w:rsidRDefault="00DD5C9C" w:rsidP="003B5D42"/>
    <w:p w14:paraId="25B5D6A0" w14:textId="77777777" w:rsidR="00DD5C9C" w:rsidRDefault="00DD5C9C" w:rsidP="003B5D42">
      <w:r>
        <w:t xml:space="preserve">The use of HPLC coupled with tandem mass spectrometry to analyse for vitamin D in various food matrices, including cereal and cereal-based foods has also been described </w:t>
      </w:r>
      <w:r>
        <w:rPr>
          <w:noProof/>
        </w:rPr>
        <w:t>(Huang et al. 2009)</w:t>
      </w:r>
      <w:r>
        <w:t>. D</w:t>
      </w:r>
      <w:r w:rsidRPr="0087543F">
        <w:rPr>
          <w:vertAlign w:val="subscript"/>
        </w:rPr>
        <w:t>3</w:t>
      </w:r>
      <w:r>
        <w:t xml:space="preserve"> and D</w:t>
      </w:r>
      <w:r w:rsidRPr="00F203CF">
        <w:rPr>
          <w:vertAlign w:val="subscript"/>
        </w:rPr>
        <w:t>2</w:t>
      </w:r>
      <w:r>
        <w:t xml:space="preserve"> are separable and </w:t>
      </w:r>
      <w:r w:rsidRPr="000B5919">
        <w:t>quantifiable b</w:t>
      </w:r>
      <w:r>
        <w:t xml:space="preserve">y the HPLC method. </w:t>
      </w:r>
    </w:p>
    <w:p w14:paraId="25B5D6A1" w14:textId="77777777" w:rsidR="00DD5C9C" w:rsidRDefault="00DD5C9C" w:rsidP="003B5D42"/>
    <w:p w14:paraId="25B5D6A2" w14:textId="77777777" w:rsidR="00DD5C9C" w:rsidRDefault="00DD5C9C" w:rsidP="003B5D42">
      <w:r>
        <w:t>Therefore, there are a variety of analytical methods available which can either be used or adapted as required to analyse for vitamin D in breakfast cereal.</w:t>
      </w:r>
    </w:p>
    <w:p w14:paraId="25B5D6A3" w14:textId="77777777" w:rsidR="00DD5C9C" w:rsidRDefault="00DD5C9C" w:rsidP="003B5D42">
      <w:pPr>
        <w:pStyle w:val="Heading3"/>
      </w:pPr>
      <w:bookmarkStart w:id="14" w:name="_Toc406575688"/>
      <w:r>
        <w:t>Application of vitamin D to breakfast cereal</w:t>
      </w:r>
      <w:bookmarkEnd w:id="14"/>
    </w:p>
    <w:p w14:paraId="25B5D6A4" w14:textId="77777777" w:rsidR="00DD5C9C" w:rsidRDefault="00DD5C9C" w:rsidP="003B5D42">
      <w:r>
        <w:t>Breakfast cereal</w:t>
      </w:r>
      <w:r w:rsidR="00063334">
        <w:t>s</w:t>
      </w:r>
      <w:r>
        <w:t xml:space="preserve"> have been fortified with vitamin D for many years in other countries so the technology is well known and commercialised. The methods are similar to those already employed to add a variety of fat soluble and water insoluble vitamins to breakfast cereal in Australia and New Zealand.</w:t>
      </w:r>
    </w:p>
    <w:p w14:paraId="25B5D6A5" w14:textId="77777777" w:rsidR="00DD5C9C" w:rsidRDefault="00DD5C9C" w:rsidP="003B5D42"/>
    <w:p w14:paraId="25B5D6A6" w14:textId="77777777" w:rsidR="00DD5C9C" w:rsidRDefault="00DD5C9C" w:rsidP="003B5D42">
      <w:r>
        <w:t>The Application provides information on two main methods to incorporate vitamin D into breakfast cereal. These methods are explained in more detail below.</w:t>
      </w:r>
    </w:p>
    <w:p w14:paraId="25B5D6A7" w14:textId="77777777" w:rsidR="00DD5C9C" w:rsidRDefault="00DD5C9C" w:rsidP="003B5D42"/>
    <w:p w14:paraId="25B5D6A8" w14:textId="77777777" w:rsidR="00DD5C9C" w:rsidRPr="008771B8" w:rsidRDefault="00DD5C9C" w:rsidP="003B5D42">
      <w:pPr>
        <w:rPr>
          <w:i/>
        </w:rPr>
      </w:pPr>
      <w:r w:rsidRPr="008771B8">
        <w:rPr>
          <w:i/>
        </w:rPr>
        <w:t>Aqueous spray application</w:t>
      </w:r>
    </w:p>
    <w:p w14:paraId="25B5D6A9" w14:textId="77777777" w:rsidR="00DD5C9C" w:rsidRDefault="00DD5C9C" w:rsidP="003B5D42"/>
    <w:p w14:paraId="25B5D6AA" w14:textId="77777777" w:rsidR="00DD5C9C" w:rsidRDefault="00DD5C9C" w:rsidP="003B5D42">
      <w:r>
        <w:t>Since vitamin D is poorly soluble in water, emulsifiers are required to ensure a miscible homogeneous blend if the vitamin D was made up in an aqueous solution. This solution is then applied to the surface of the formed breakfast cereal product. The solution of heat labile vitamins such as vitamin D (and vitamin A) is applied after cooling of the breakfast cereal pieces. Spray application can be performed on a conveyor belt or in a tumbling drum with either process controlled to ensure homogeneity of application of the vitamin preparation.</w:t>
      </w:r>
    </w:p>
    <w:p w14:paraId="25B5D6AB" w14:textId="77777777" w:rsidR="00DD5C9C" w:rsidRDefault="00DD5C9C" w:rsidP="003B5D42"/>
    <w:p w14:paraId="25B5D6AC" w14:textId="77777777" w:rsidR="00DD5C9C" w:rsidRPr="00476006" w:rsidRDefault="00DD5C9C" w:rsidP="003B5D42">
      <w:pPr>
        <w:rPr>
          <w:i/>
        </w:rPr>
      </w:pPr>
      <w:r w:rsidRPr="00476006">
        <w:rPr>
          <w:i/>
        </w:rPr>
        <w:t>Dry batching</w:t>
      </w:r>
    </w:p>
    <w:p w14:paraId="25B5D6AD" w14:textId="77777777" w:rsidR="00DD5C9C" w:rsidRDefault="00DD5C9C" w:rsidP="003B5D42"/>
    <w:p w14:paraId="25B5D6AE" w14:textId="77777777" w:rsidR="00DD5C9C" w:rsidRDefault="00DD5C9C" w:rsidP="003B5D42">
      <w:r>
        <w:t xml:space="preserve">This method of application requires that the dry form of the vitamin is mixed in with the initial flour ingredients used to produce the extruded breakfast cereal products or added into the cooked form of the cereal mass before final shape forming and drying of the breakfast cereal pieces.  </w:t>
      </w:r>
    </w:p>
    <w:p w14:paraId="25B5D6AF" w14:textId="77777777" w:rsidR="00DD5C9C" w:rsidRDefault="00DD5C9C" w:rsidP="003B5D42"/>
    <w:p w14:paraId="25B5D6B0" w14:textId="77777777" w:rsidR="00DD5C9C" w:rsidRDefault="00DD5C9C" w:rsidP="003B5D42">
      <w:r>
        <w:t xml:space="preserve">Due to the processing involved (either as a coating process or incorporated into the flour mix used to produce the final product) unprocessed rolled oats sold for porridge will not be fortified with vitamin D, in the same way that current rolled oats are not fortified with other vitamins. </w:t>
      </w:r>
    </w:p>
    <w:p w14:paraId="25B5D6B1" w14:textId="77777777" w:rsidR="00DD5C9C" w:rsidRDefault="00DD5C9C" w:rsidP="003B5D42">
      <w:pPr>
        <w:pStyle w:val="Heading3"/>
      </w:pPr>
      <w:bookmarkStart w:id="15" w:name="_Toc406575689"/>
      <w:r>
        <w:t>Stability of vitamin D during processing and losses with shelf life</w:t>
      </w:r>
      <w:bookmarkEnd w:id="15"/>
    </w:p>
    <w:p w14:paraId="25B5D6B2" w14:textId="77777777" w:rsidR="00DD5C9C" w:rsidRDefault="00DD5C9C" w:rsidP="003B5D42">
      <w:r>
        <w:t>The Application provides some details about both stability of D</w:t>
      </w:r>
      <w:r w:rsidRPr="006D46D4">
        <w:rPr>
          <w:vertAlign w:val="subscript"/>
        </w:rPr>
        <w:t>3</w:t>
      </w:r>
      <w:r>
        <w:t xml:space="preserve"> during prod</w:t>
      </w:r>
      <w:r w:rsidRPr="00FD6336">
        <w:t>uct</w:t>
      </w:r>
      <w:r>
        <w:t>ion of the breakfast cereal and over the shelf life of the product once produced and sold</w:t>
      </w:r>
      <w:r w:rsidRPr="00FD6336">
        <w:t>. Specifically</w:t>
      </w:r>
      <w:r>
        <w:t xml:space="preserve"> information is provided on the percentage losses due to processing and shelf life storage. This information is important for breakfast cereal manufacturing </w:t>
      </w:r>
      <w:r w:rsidRPr="00B66CE0">
        <w:t>so</w:t>
      </w:r>
      <w:r>
        <w:t xml:space="preserve"> </w:t>
      </w:r>
      <w:r w:rsidRPr="00B66CE0">
        <w:t xml:space="preserve">the appropriate amount </w:t>
      </w:r>
      <w:r>
        <w:t xml:space="preserve">can be added </w:t>
      </w:r>
      <w:r w:rsidRPr="00B66CE0">
        <w:t>to ensure the final commercial product contains the claimed label amount of the vitamin even at the end of the designated commercial shelf life of the product. Food m</w:t>
      </w:r>
      <w:r>
        <w:t>anufacturers add extra vitamins to compensate for these losses and the term used for the extra addition is ‘overage’. This is a well-known and understood practice when foods are fortified with nutrients including vitamins.</w:t>
      </w:r>
    </w:p>
    <w:p w14:paraId="25B5D6B3" w14:textId="6ED6CD40" w:rsidR="00E262C6" w:rsidRDefault="00E262C6" w:rsidP="003B5D42">
      <w:r>
        <w:br w:type="page"/>
      </w:r>
    </w:p>
    <w:p w14:paraId="25B5D6B4" w14:textId="77777777" w:rsidR="00DD5C9C" w:rsidRDefault="00DD5C9C" w:rsidP="003B5D42">
      <w:r>
        <w:lastRenderedPageBreak/>
        <w:t xml:space="preserve">The Application notes that vitamin D is relatively unstable to heat and moisture and there are processing losses during extrusion in the range of 25–40% for extruded cereal products </w:t>
      </w:r>
      <w:r>
        <w:rPr>
          <w:noProof/>
        </w:rPr>
        <w:t>(Riaz et al. 2009)</w:t>
      </w:r>
      <w:r>
        <w:t xml:space="preserve">. The Application used the figure of 30% for its example. </w:t>
      </w:r>
    </w:p>
    <w:p w14:paraId="25B5D6B5" w14:textId="77777777" w:rsidR="00DD5C9C" w:rsidRDefault="00DD5C9C" w:rsidP="003B5D42"/>
    <w:p w14:paraId="25B5D6B6" w14:textId="77777777" w:rsidR="00DD5C9C" w:rsidRDefault="00DD5C9C" w:rsidP="003B5D42">
      <w:r>
        <w:t xml:space="preserve">Vitamin D activity is also lost during the commercial shelf life of the product because it is unstable to heat, moisture, oxygen, contact with trace minerals and UV light </w:t>
      </w:r>
      <w:r>
        <w:rPr>
          <w:noProof/>
        </w:rPr>
        <w:t>(Ott 1988)</w:t>
      </w:r>
      <w:r>
        <w:t xml:space="preserve">. Based on industry experience the average vitamin D loss is considered to be 10% per month at ambient temperature and humidity. Breakfast cereal products usually have a shelf life of between 9 and 12 months. The Application provides a theoretical worked example to indicate there is approximately a 70% loss of vitamin D content during storage of a fortified breakfast cereal at the end of its commercial shelf life at the worst case of 12 months. Therefore, the midpoint of the shelf life was estimated to be 5 </w:t>
      </w:r>
      <w:r w:rsidRPr="002E0821">
        <w:rPr>
          <w:rFonts w:cs="Arial"/>
        </w:rPr>
        <w:t>µ</w:t>
      </w:r>
      <w:r>
        <w:t xml:space="preserve">g /serve and was the figure </w:t>
      </w:r>
      <w:r w:rsidRPr="00C36EEE">
        <w:t>used to estimate vitamin D intakes from breakfast cereal for the</w:t>
      </w:r>
      <w:r>
        <w:t xml:space="preserve"> dietary intake assessment (see Section 5).</w:t>
      </w:r>
    </w:p>
    <w:p w14:paraId="25B5D6B7" w14:textId="77777777" w:rsidR="00DD5C9C" w:rsidRDefault="00DD5C9C" w:rsidP="003B5D42"/>
    <w:p w14:paraId="25B5D6B8" w14:textId="77777777" w:rsidR="00DD5C9C" w:rsidRDefault="00DD5C9C" w:rsidP="003B5D42">
      <w:r>
        <w:t xml:space="preserve">Breakfast cereal manufacturers would need to know the total vitamin D losses for their products during production and storage at various temperature and humidity conditions for the shelf life of their product so they can add sufficient vitamin D to compensate for the losses. </w:t>
      </w:r>
    </w:p>
    <w:p w14:paraId="25B5D6B9" w14:textId="77777777" w:rsidR="00DD5C9C" w:rsidRDefault="00DD5C9C" w:rsidP="003B5D42">
      <w:pPr>
        <w:pStyle w:val="Heading3"/>
      </w:pPr>
      <w:bookmarkStart w:id="16" w:name="_Toc406575690"/>
      <w:r>
        <w:t>Summary – food technology</w:t>
      </w:r>
      <w:bookmarkEnd w:id="16"/>
    </w:p>
    <w:p w14:paraId="25B5D6BA" w14:textId="77777777" w:rsidR="00DD5C9C" w:rsidRDefault="00DD5C9C" w:rsidP="003B5D42">
      <w:r>
        <w:t>It was concluded that the manufacturing process of adding vitamin D during or after the formation of the extruded breakfast cereal product is well understood and practised as it has been commercialised in other countries around the world and uses processes already used to add other fat soluble, heat labile vitamins to breakfast cereal products.</w:t>
      </w:r>
    </w:p>
    <w:p w14:paraId="25B5D6BB" w14:textId="77777777" w:rsidR="00DD5C9C" w:rsidRDefault="00DD5C9C" w:rsidP="003B5D42"/>
    <w:p w14:paraId="25B5D6BC" w14:textId="77777777" w:rsidR="00DD5C9C" w:rsidRDefault="00DD5C9C" w:rsidP="003B5D42">
      <w:r>
        <w:t xml:space="preserve">Breakfast cereal manufacturers will need to determine what vitamin D losses occur during processing on their production facilities and are lost during storage of breakfast cereal throughout the shelf life of the product and compensate by adding extra vitamin D to ensure that the claimed amount is present. </w:t>
      </w:r>
    </w:p>
    <w:p w14:paraId="25B5D6BD" w14:textId="77777777" w:rsidR="00DD5C9C" w:rsidRDefault="00DD5C9C" w:rsidP="003B5D42"/>
    <w:p w14:paraId="25B5D6BE" w14:textId="77777777" w:rsidR="00DD5C9C" w:rsidRDefault="00DD5C9C" w:rsidP="003B5D42">
      <w:r>
        <w:t>There are analytical methods for the determination of vitamin D in various foods that can be modified as required so the levels in breakfast cereal can be determined. There are also specifications for both D</w:t>
      </w:r>
      <w:r w:rsidRPr="008509BA">
        <w:rPr>
          <w:vertAlign w:val="subscript"/>
        </w:rPr>
        <w:t xml:space="preserve">2 </w:t>
      </w:r>
      <w:r>
        <w:t>and D</w:t>
      </w:r>
      <w:r w:rsidRPr="008509BA">
        <w:rPr>
          <w:vertAlign w:val="subscript"/>
        </w:rPr>
        <w:t>3</w:t>
      </w:r>
      <w:r>
        <w:t xml:space="preserve"> forms in a primary source of specifications in the ANZFSC so no new specification is required.</w:t>
      </w:r>
    </w:p>
    <w:p w14:paraId="25B5D6BF" w14:textId="77777777" w:rsidR="00DD5C9C" w:rsidRPr="00A24616" w:rsidRDefault="00DD5C9C" w:rsidP="003B5D42">
      <w:pPr>
        <w:pStyle w:val="Heading2"/>
      </w:pPr>
      <w:bookmarkStart w:id="17" w:name="_Toc406575691"/>
      <w:r w:rsidRPr="00A24616">
        <w:t>Hazard Identification and Characterisation</w:t>
      </w:r>
      <w:bookmarkEnd w:id="17"/>
      <w:r w:rsidRPr="00A24616">
        <w:t xml:space="preserve"> </w:t>
      </w:r>
    </w:p>
    <w:p w14:paraId="25B5D6C0" w14:textId="77777777" w:rsidR="00DD5C9C" w:rsidRPr="00A24616" w:rsidRDefault="00DD5C9C" w:rsidP="003B5D42">
      <w:pPr>
        <w:pStyle w:val="Heading3"/>
      </w:pPr>
      <w:bookmarkStart w:id="18" w:name="_Toc406575692"/>
      <w:r w:rsidRPr="00A24616">
        <w:t>Metabolism</w:t>
      </w:r>
      <w:bookmarkEnd w:id="18"/>
      <w:r w:rsidRPr="00A24616">
        <w:t xml:space="preserve"> </w:t>
      </w:r>
    </w:p>
    <w:p w14:paraId="25B5D6C1" w14:textId="77777777" w:rsidR="00DD5C9C" w:rsidRDefault="00DD5C9C" w:rsidP="003B5D42">
      <w:pPr>
        <w:rPr>
          <w:lang w:eastAsia="en-AU" w:bidi="ar-SA"/>
        </w:rPr>
      </w:pPr>
      <w:r>
        <w:rPr>
          <w:lang w:eastAsia="en-AU" w:bidi="ar-SA"/>
        </w:rPr>
        <w:t>Humans obtain vitamin D from several sources:</w:t>
      </w:r>
    </w:p>
    <w:p w14:paraId="6C6F97E6" w14:textId="77777777" w:rsidR="00E262C6" w:rsidRDefault="00E262C6" w:rsidP="003B5D42">
      <w:pPr>
        <w:rPr>
          <w:lang w:eastAsia="en-AU" w:bidi="ar-SA"/>
        </w:rPr>
      </w:pPr>
    </w:p>
    <w:p w14:paraId="25B5D6C2" w14:textId="77777777" w:rsidR="00DD5C9C" w:rsidRPr="00C91549" w:rsidRDefault="00AF79AC" w:rsidP="00C91549">
      <w:pPr>
        <w:pStyle w:val="FSBullet1"/>
      </w:pPr>
      <w:r w:rsidRPr="00C91549">
        <w:t xml:space="preserve">endogenous </w:t>
      </w:r>
      <w:r w:rsidR="00DD5C9C" w:rsidRPr="00C91549">
        <w:t>D3 produced by skin exposure to UV-B light which converts the precursor 7-dehydrocholesterol to D3 which then diffuses into the circulation over a period of days.</w:t>
      </w:r>
    </w:p>
    <w:p w14:paraId="25B5D6C3" w14:textId="77777777" w:rsidR="00DD5C9C" w:rsidRPr="00C91549" w:rsidRDefault="00AF79AC" w:rsidP="00C91549">
      <w:pPr>
        <w:pStyle w:val="FSBullet1"/>
      </w:pPr>
      <w:r w:rsidRPr="00C91549">
        <w:t xml:space="preserve">dietary </w:t>
      </w:r>
      <w:r w:rsidR="00DD5C9C" w:rsidRPr="00C91549">
        <w:t xml:space="preserve">D3 or D2 is absorbed in the small intestine by passive diffusion into intestinal cells where it is incorporated into chylomicrons for transfer into the circulation.  </w:t>
      </w:r>
      <w:r w:rsidR="00DD5C9C" w:rsidRPr="00C91549">
        <w:br/>
      </w:r>
    </w:p>
    <w:p w14:paraId="25B5D6C4" w14:textId="77777777" w:rsidR="00DD5C9C" w:rsidRDefault="00DD5C9C" w:rsidP="003B5D42">
      <w:pPr>
        <w:rPr>
          <w:lang w:eastAsia="en-AU" w:bidi="ar-SA"/>
        </w:rPr>
      </w:pPr>
      <w:r>
        <w:rPr>
          <w:lang w:eastAsia="en-AU" w:bidi="ar-SA"/>
        </w:rPr>
        <w:t>D</w:t>
      </w:r>
      <w:r w:rsidRPr="00F203CF">
        <w:rPr>
          <w:vertAlign w:val="subscript"/>
          <w:lang w:eastAsia="en-AU" w:bidi="ar-SA"/>
        </w:rPr>
        <w:t>2</w:t>
      </w:r>
      <w:r>
        <w:rPr>
          <w:lang w:eastAsia="en-AU" w:bidi="ar-SA"/>
        </w:rPr>
        <w:t xml:space="preserve"> and D</w:t>
      </w:r>
      <w:r w:rsidRPr="0087543F">
        <w:rPr>
          <w:vertAlign w:val="subscript"/>
          <w:lang w:eastAsia="en-AU" w:bidi="ar-SA"/>
        </w:rPr>
        <w:t>3</w:t>
      </w:r>
      <w:r>
        <w:rPr>
          <w:lang w:eastAsia="en-AU" w:bidi="ar-SA"/>
        </w:rPr>
        <w:t xml:space="preserve"> are metabolised similarly although there is some debate about their relative </w:t>
      </w:r>
      <w:r w:rsidR="00404BAB">
        <w:rPr>
          <w:lang w:eastAsia="en-AU" w:bidi="ar-SA"/>
        </w:rPr>
        <w:t>bioequivalence which</w:t>
      </w:r>
      <w:r>
        <w:rPr>
          <w:lang w:eastAsia="en-AU" w:bidi="ar-SA"/>
        </w:rPr>
        <w:t xml:space="preserve"> is discussed in Section 3.3. Therefore, the mechanism of vitamin D metabolism is described here as ‘vitamin D’ to represent both D</w:t>
      </w:r>
      <w:r w:rsidRPr="00F203CF">
        <w:rPr>
          <w:vertAlign w:val="subscript"/>
          <w:lang w:eastAsia="en-AU" w:bidi="ar-SA"/>
        </w:rPr>
        <w:t>2</w:t>
      </w:r>
      <w:r>
        <w:rPr>
          <w:lang w:eastAsia="en-AU" w:bidi="ar-SA"/>
        </w:rPr>
        <w:t xml:space="preserve"> and D</w:t>
      </w:r>
      <w:r w:rsidRPr="0087543F">
        <w:rPr>
          <w:vertAlign w:val="subscript"/>
          <w:lang w:eastAsia="en-AU" w:bidi="ar-SA"/>
        </w:rPr>
        <w:t>3</w:t>
      </w:r>
      <w:r>
        <w:rPr>
          <w:lang w:eastAsia="en-AU" w:bidi="ar-SA"/>
        </w:rPr>
        <w:t xml:space="preserve">. </w:t>
      </w:r>
    </w:p>
    <w:p w14:paraId="25B5D6C5" w14:textId="77777777" w:rsidR="00DD5C9C" w:rsidRDefault="00DD5C9C" w:rsidP="003B5D42">
      <w:pPr>
        <w:rPr>
          <w:lang w:eastAsia="en-AU" w:bidi="ar-SA"/>
        </w:rPr>
      </w:pPr>
    </w:p>
    <w:p w14:paraId="3F1C8A4F" w14:textId="77777777" w:rsidR="00E262C6" w:rsidRDefault="00DD5C9C" w:rsidP="003B5D42">
      <w:pPr>
        <w:rPr>
          <w:lang w:eastAsia="en-AU" w:bidi="ar-SA"/>
        </w:rPr>
      </w:pPr>
      <w:r>
        <w:rPr>
          <w:lang w:eastAsia="en-AU" w:bidi="ar-SA"/>
        </w:rPr>
        <w:t xml:space="preserve">Figure 2 summarises the metabolism of vitamin D. Dietary and skin-derived vitamin D is transported via the circulation to the liver where the enzyme 25-hydroxylase adds a hydroxyl group at the 25-position to produce 25OHD. </w:t>
      </w:r>
      <w:r w:rsidR="00E262C6">
        <w:rPr>
          <w:lang w:eastAsia="en-AU" w:bidi="ar-SA"/>
        </w:rPr>
        <w:br w:type="page"/>
      </w:r>
    </w:p>
    <w:p w14:paraId="25B5D6C6" w14:textId="63FB69F3" w:rsidR="00DD5C9C" w:rsidRDefault="00DD5C9C" w:rsidP="003B5D42">
      <w:pPr>
        <w:rPr>
          <w:lang w:eastAsia="en-AU" w:bidi="ar-SA"/>
        </w:rPr>
      </w:pPr>
      <w:r>
        <w:rPr>
          <w:lang w:eastAsia="en-AU" w:bidi="ar-SA"/>
        </w:rPr>
        <w:lastRenderedPageBreak/>
        <w:t xml:space="preserve">This metabolite circulates in association with vitamin D binding protein (DBP) in nanomolar quantities with a half-life in humans of about 15 to 20 days </w:t>
      </w:r>
      <w:r>
        <w:rPr>
          <w:noProof/>
          <w:lang w:eastAsia="en-AU" w:bidi="ar-SA"/>
        </w:rPr>
        <w:t>(Jones 2008)</w:t>
      </w:r>
      <w:r>
        <w:rPr>
          <w:lang w:eastAsia="en-AU" w:bidi="ar-SA"/>
        </w:rPr>
        <w:t>.</w:t>
      </w:r>
    </w:p>
    <w:p w14:paraId="25B5D6C7" w14:textId="77777777" w:rsidR="00DD5C9C" w:rsidRDefault="00DD5C9C" w:rsidP="003B5D42">
      <w:pPr>
        <w:rPr>
          <w:lang w:eastAsia="en-AU" w:bidi="ar-SA"/>
        </w:rPr>
      </w:pPr>
    </w:p>
    <w:p w14:paraId="25B5D6C8" w14:textId="77777777" w:rsidR="00DD5C9C" w:rsidRDefault="00DD5C9C" w:rsidP="003B5D42">
      <w:pPr>
        <w:rPr>
          <w:lang w:eastAsia="en-AU" w:bidi="ar-SA"/>
        </w:rPr>
      </w:pPr>
      <w:r>
        <w:rPr>
          <w:lang w:eastAsia="en-AU" w:bidi="ar-SA"/>
        </w:rPr>
        <w:t>The biologically active metabolite 1,25(OH)</w:t>
      </w:r>
      <w:r w:rsidRPr="009B428B">
        <w:rPr>
          <w:vertAlign w:val="subscript"/>
          <w:lang w:eastAsia="en-AU" w:bidi="ar-SA"/>
        </w:rPr>
        <w:t>2</w:t>
      </w:r>
      <w:r>
        <w:rPr>
          <w:lang w:eastAsia="en-AU" w:bidi="ar-SA"/>
        </w:rPr>
        <w:t>D – also called calcitriol – is produced by a second hydroxylation in the kidney. 1,25</w:t>
      </w:r>
      <w:r w:rsidRPr="00D628C5">
        <w:rPr>
          <w:lang w:eastAsia="en-AU" w:bidi="ar-SA"/>
        </w:rPr>
        <w:t>(OH)</w:t>
      </w:r>
      <w:r w:rsidRPr="00D628C5">
        <w:rPr>
          <w:vertAlign w:val="subscript"/>
          <w:lang w:eastAsia="en-AU" w:bidi="ar-SA"/>
        </w:rPr>
        <w:t>2</w:t>
      </w:r>
      <w:r w:rsidRPr="00D628C5">
        <w:rPr>
          <w:lang w:eastAsia="en-AU" w:bidi="ar-SA"/>
        </w:rPr>
        <w:t>D</w:t>
      </w:r>
      <w:r>
        <w:rPr>
          <w:lang w:eastAsia="en-AU" w:bidi="ar-SA"/>
        </w:rPr>
        <w:t xml:space="preserve"> is a steroid hormone which exerts its biological action through binding to its nuclear vitamin D receptor which </w:t>
      </w:r>
      <w:r w:rsidRPr="0079222E">
        <w:rPr>
          <w:lang w:eastAsia="en-AU" w:bidi="ar-SA"/>
        </w:rPr>
        <w:t>directs the expression</w:t>
      </w:r>
      <w:r>
        <w:rPr>
          <w:lang w:eastAsia="en-AU" w:bidi="ar-SA"/>
        </w:rPr>
        <w:t xml:space="preserve"> </w:t>
      </w:r>
      <w:r w:rsidRPr="0079222E">
        <w:rPr>
          <w:lang w:eastAsia="en-AU" w:bidi="ar-SA"/>
        </w:rPr>
        <w:t xml:space="preserve">of genes involved in vitamin D </w:t>
      </w:r>
      <w:r>
        <w:rPr>
          <w:lang w:eastAsia="en-AU" w:bidi="ar-SA"/>
        </w:rPr>
        <w:t>metabolism and bone maintenance. The nuclear vitamin D receptor is present in the major target cells required for calcium homeostasis: intestinal cells where 1,25(OH)</w:t>
      </w:r>
      <w:r w:rsidRPr="009B428B">
        <w:rPr>
          <w:vertAlign w:val="subscript"/>
          <w:lang w:eastAsia="en-AU" w:bidi="ar-SA"/>
        </w:rPr>
        <w:t>2</w:t>
      </w:r>
      <w:r>
        <w:rPr>
          <w:lang w:eastAsia="en-AU" w:bidi="ar-SA"/>
        </w:rPr>
        <w:t>D stimulates calcium absorption; bone cells where 1,25</w:t>
      </w:r>
      <w:r w:rsidRPr="004524A5">
        <w:rPr>
          <w:lang w:eastAsia="en-AU" w:bidi="ar-SA"/>
        </w:rPr>
        <w:t>(OH)</w:t>
      </w:r>
      <w:r w:rsidRPr="004524A5">
        <w:rPr>
          <w:vertAlign w:val="subscript"/>
          <w:lang w:eastAsia="en-AU" w:bidi="ar-SA"/>
        </w:rPr>
        <w:t>2</w:t>
      </w:r>
      <w:r w:rsidRPr="004524A5">
        <w:rPr>
          <w:lang w:eastAsia="en-AU" w:bidi="ar-SA"/>
        </w:rPr>
        <w:t xml:space="preserve">D </w:t>
      </w:r>
      <w:r>
        <w:rPr>
          <w:lang w:eastAsia="en-AU" w:bidi="ar-SA"/>
        </w:rPr>
        <w:t>stimulates bone resorption to maintain plasma calcium concentrations; and kidney cells where 1,25</w:t>
      </w:r>
      <w:r w:rsidRPr="004524A5">
        <w:rPr>
          <w:lang w:eastAsia="en-AU" w:bidi="ar-SA"/>
        </w:rPr>
        <w:t>(OH)</w:t>
      </w:r>
      <w:r w:rsidRPr="004524A5">
        <w:rPr>
          <w:vertAlign w:val="subscript"/>
          <w:lang w:eastAsia="en-AU" w:bidi="ar-SA"/>
        </w:rPr>
        <w:t>2</w:t>
      </w:r>
      <w:r w:rsidRPr="004524A5">
        <w:rPr>
          <w:lang w:eastAsia="en-AU" w:bidi="ar-SA"/>
        </w:rPr>
        <w:t>D</w:t>
      </w:r>
      <w:r>
        <w:rPr>
          <w:lang w:eastAsia="en-AU" w:bidi="ar-SA"/>
        </w:rPr>
        <w:t xml:space="preserve"> increases plasma calcium concentration by stimulating renal tubule reabsorption of calcium. </w:t>
      </w:r>
    </w:p>
    <w:p w14:paraId="25B5D6C9" w14:textId="77777777" w:rsidR="00DD5C9C" w:rsidRDefault="00DD5C9C" w:rsidP="003B5D42">
      <w:pPr>
        <w:rPr>
          <w:lang w:eastAsia="en-AU" w:bidi="ar-SA"/>
        </w:rPr>
      </w:pPr>
    </w:p>
    <w:p w14:paraId="25B5D6CA" w14:textId="77777777" w:rsidR="00DD5C9C" w:rsidRDefault="00DD5C9C" w:rsidP="003B5D42">
      <w:pPr>
        <w:rPr>
          <w:lang w:eastAsia="en-AU" w:bidi="ar-SA"/>
        </w:rPr>
      </w:pPr>
      <w:r>
        <w:rPr>
          <w:lang w:eastAsia="en-AU" w:bidi="ar-SA"/>
        </w:rPr>
        <w:t>Production of 1,25</w:t>
      </w:r>
      <w:r w:rsidRPr="004524A5">
        <w:rPr>
          <w:lang w:eastAsia="en-AU" w:bidi="ar-SA"/>
        </w:rPr>
        <w:t>(OH)</w:t>
      </w:r>
      <w:r w:rsidRPr="004524A5">
        <w:rPr>
          <w:vertAlign w:val="subscript"/>
          <w:lang w:eastAsia="en-AU" w:bidi="ar-SA"/>
        </w:rPr>
        <w:t>2</w:t>
      </w:r>
      <w:r>
        <w:rPr>
          <w:lang w:eastAsia="en-AU" w:bidi="ar-SA"/>
        </w:rPr>
        <w:t>D is tightly regulated through the endocrine system: c</w:t>
      </w:r>
      <w:r w:rsidRPr="00F91319">
        <w:rPr>
          <w:lang w:eastAsia="en-AU" w:bidi="ar-SA"/>
        </w:rPr>
        <w:t>onversion of 25OHD to 1,25(OH)</w:t>
      </w:r>
      <w:r w:rsidRPr="00F91319">
        <w:rPr>
          <w:vertAlign w:val="subscript"/>
          <w:lang w:eastAsia="en-AU" w:bidi="ar-SA"/>
        </w:rPr>
        <w:t>2</w:t>
      </w:r>
      <w:r w:rsidRPr="00F91319">
        <w:rPr>
          <w:lang w:eastAsia="en-AU" w:bidi="ar-SA"/>
        </w:rPr>
        <w:t xml:space="preserve">D is </w:t>
      </w:r>
      <w:r>
        <w:rPr>
          <w:lang w:eastAsia="en-AU" w:bidi="ar-SA"/>
        </w:rPr>
        <w:t xml:space="preserve">increased by </w:t>
      </w:r>
      <w:r w:rsidRPr="00F91319">
        <w:rPr>
          <w:lang w:eastAsia="en-AU" w:bidi="ar-SA"/>
        </w:rPr>
        <w:t xml:space="preserve">secretion of parathyroid hormone (for example in response to calcium deficiency) </w:t>
      </w:r>
      <w:r>
        <w:rPr>
          <w:lang w:eastAsia="en-AU" w:bidi="ar-SA"/>
        </w:rPr>
        <w:t xml:space="preserve">and is </w:t>
      </w:r>
      <w:r w:rsidRPr="00F91319">
        <w:rPr>
          <w:lang w:eastAsia="en-AU" w:bidi="ar-SA"/>
        </w:rPr>
        <w:t>inhibited by elevated</w:t>
      </w:r>
      <w:r>
        <w:rPr>
          <w:lang w:eastAsia="en-AU" w:bidi="ar-SA"/>
        </w:rPr>
        <w:t xml:space="preserve"> </w:t>
      </w:r>
      <w:r w:rsidRPr="00F91319">
        <w:rPr>
          <w:lang w:eastAsia="en-AU" w:bidi="ar-SA"/>
        </w:rPr>
        <w:t xml:space="preserve">serum phosphorus and calcium </w:t>
      </w:r>
      <w:r>
        <w:rPr>
          <w:lang w:eastAsia="en-AU" w:bidi="ar-SA"/>
        </w:rPr>
        <w:t>concentrations</w:t>
      </w:r>
      <w:r w:rsidRPr="00F91319">
        <w:rPr>
          <w:lang w:eastAsia="en-AU" w:bidi="ar-SA"/>
        </w:rPr>
        <w:t>.</w:t>
      </w:r>
      <w:r>
        <w:rPr>
          <w:lang w:eastAsia="en-AU" w:bidi="ar-SA"/>
        </w:rPr>
        <w:t xml:space="preserve"> The </w:t>
      </w:r>
      <w:r w:rsidRPr="00F91319">
        <w:rPr>
          <w:lang w:eastAsia="en-AU" w:bidi="ar-SA"/>
        </w:rPr>
        <w:t>1,25(OH)</w:t>
      </w:r>
      <w:r w:rsidRPr="00F91319">
        <w:rPr>
          <w:vertAlign w:val="subscript"/>
          <w:lang w:eastAsia="en-AU" w:bidi="ar-SA"/>
        </w:rPr>
        <w:t>2</w:t>
      </w:r>
      <w:r w:rsidRPr="00F91319">
        <w:rPr>
          <w:lang w:eastAsia="en-AU" w:bidi="ar-SA"/>
        </w:rPr>
        <w:t xml:space="preserve">D </w:t>
      </w:r>
      <w:r>
        <w:rPr>
          <w:lang w:eastAsia="en-AU" w:bidi="ar-SA"/>
        </w:rPr>
        <w:t xml:space="preserve">metabolite can be present in the circulation in picomolar quantities. Relative to vitamin D and 25OHD, it has a short half-life in serum of approximately seven hours which is </w:t>
      </w:r>
      <w:r w:rsidRPr="00AD25F8">
        <w:rPr>
          <w:lang w:eastAsia="en-AU" w:bidi="ar-SA"/>
        </w:rPr>
        <w:t xml:space="preserve">due to feedback regulation though the kidney vitamin D receptor (VDR) causing relatively rapid degradation and clearance </w:t>
      </w:r>
      <w:r>
        <w:rPr>
          <w:lang w:eastAsia="en-AU" w:bidi="ar-SA"/>
        </w:rPr>
        <w:t xml:space="preserve">and/or due to lower affinity to DBP </w:t>
      </w:r>
      <w:r>
        <w:rPr>
          <w:noProof/>
          <w:lang w:eastAsia="en-AU" w:bidi="ar-SA"/>
        </w:rPr>
        <w:t>(Jones et al. 1998; Tsiaras and Weinstock 2011)</w:t>
      </w:r>
      <w:r>
        <w:rPr>
          <w:lang w:eastAsia="en-AU" w:bidi="ar-SA"/>
        </w:rPr>
        <w:t xml:space="preserve">. For this reason, serum </w:t>
      </w:r>
      <w:r w:rsidRPr="00414642">
        <w:rPr>
          <w:lang w:eastAsia="en-AU" w:bidi="ar-SA"/>
        </w:rPr>
        <w:t>1,25(OH)</w:t>
      </w:r>
      <w:r w:rsidRPr="00414642">
        <w:rPr>
          <w:vertAlign w:val="subscript"/>
          <w:lang w:eastAsia="en-AU" w:bidi="ar-SA"/>
        </w:rPr>
        <w:t>2</w:t>
      </w:r>
      <w:r w:rsidRPr="00414642">
        <w:rPr>
          <w:lang w:eastAsia="en-AU" w:bidi="ar-SA"/>
        </w:rPr>
        <w:t>D</w:t>
      </w:r>
      <w:r>
        <w:rPr>
          <w:lang w:eastAsia="en-AU" w:bidi="ar-SA"/>
        </w:rPr>
        <w:t xml:space="preserve"> is not a useful measure of vitamin D status or as a marker for health outcomes.</w:t>
      </w:r>
    </w:p>
    <w:p w14:paraId="25B5D6CB" w14:textId="77777777" w:rsidR="00DD5C9C" w:rsidRDefault="00DD5C9C" w:rsidP="003B5D42">
      <w:pPr>
        <w:rPr>
          <w:lang w:eastAsia="en-AU" w:bidi="ar-SA"/>
        </w:rPr>
      </w:pPr>
    </w:p>
    <w:p w14:paraId="25B5D6CC" w14:textId="77777777" w:rsidR="00DD5C9C" w:rsidRDefault="00DD5C9C" w:rsidP="003B5D42">
      <w:pPr>
        <w:rPr>
          <w:lang w:eastAsia="en-AU" w:bidi="ar-SA"/>
        </w:rPr>
      </w:pPr>
      <w:r>
        <w:rPr>
          <w:lang w:eastAsia="en-AU" w:bidi="ar-SA"/>
        </w:rPr>
        <w:t>25OHD and 1,25(OH)</w:t>
      </w:r>
      <w:r w:rsidRPr="000D0105">
        <w:rPr>
          <w:vertAlign w:val="subscript"/>
          <w:lang w:eastAsia="en-AU" w:bidi="ar-SA"/>
        </w:rPr>
        <w:t>2</w:t>
      </w:r>
      <w:r>
        <w:rPr>
          <w:lang w:eastAsia="en-AU" w:bidi="ar-SA"/>
        </w:rPr>
        <w:t xml:space="preserve">D are further hydroxylated by two cytochrome P-450 enzymes CYP24 and CYP3A4 to metabolites which re-enter the blood though enterohepatic circulation. These metabolites are nutritionally inactive although have been studied for use in clinical applications. Vitamin D metabolites are progressively hydroxylated by cytochrome P-450 enzymes CYP24 and CYP3A4 leading to loss of hormonal activity and eventual excretion into bile </w:t>
      </w:r>
      <w:r>
        <w:rPr>
          <w:noProof/>
          <w:lang w:eastAsia="en-AU" w:bidi="ar-SA"/>
        </w:rPr>
        <w:t>(Prosser and Jones 2004; Schuster 2011)</w:t>
      </w:r>
      <w:r>
        <w:rPr>
          <w:lang w:eastAsia="en-AU" w:bidi="ar-SA"/>
        </w:rPr>
        <w:t xml:space="preserve">. </w:t>
      </w:r>
    </w:p>
    <w:p w14:paraId="25B5D6CD" w14:textId="77777777" w:rsidR="00DD5C9C" w:rsidRDefault="00DD5C9C" w:rsidP="003B5D42">
      <w:pPr>
        <w:rPr>
          <w:lang w:eastAsia="en-AU" w:bidi="ar-SA"/>
        </w:rPr>
      </w:pPr>
    </w:p>
    <w:p w14:paraId="25B5D6CE" w14:textId="77777777" w:rsidR="00DD5C9C" w:rsidRDefault="00DD5C9C" w:rsidP="003B5D42">
      <w:pPr>
        <w:rPr>
          <w:lang w:eastAsia="en-AU" w:bidi="ar-SA"/>
        </w:rPr>
      </w:pPr>
      <w:r>
        <w:rPr>
          <w:lang w:eastAsia="en-AU" w:bidi="ar-SA"/>
        </w:rPr>
        <w:t xml:space="preserve">The location of vitamin D or 25OHD stores in humans and terrestrial animals is unknown although there are liver stores in fish </w:t>
      </w:r>
      <w:r>
        <w:rPr>
          <w:noProof/>
          <w:lang w:eastAsia="en-AU" w:bidi="ar-SA"/>
        </w:rPr>
        <w:t>(Pierens and Fraser 2014)</w:t>
      </w:r>
      <w:r>
        <w:rPr>
          <w:lang w:eastAsia="en-AU" w:bidi="ar-SA"/>
        </w:rPr>
        <w:t xml:space="preserve">. The fat solubility and long half-life of 25OHD has led to speculation that 25OHD may be sequestered into adipose tissue where it could be released back into the circulation with metabolism of fatty acids. Recent studies suggest that 25OHD is stored in skeletal muscle which may prevent it from degradation and play function role in metabolism </w:t>
      </w:r>
      <w:r>
        <w:rPr>
          <w:noProof/>
          <w:lang w:eastAsia="en-AU" w:bidi="ar-SA"/>
        </w:rPr>
        <w:t>(Abboud et al. 2013a; Abboud et al. 2013b)</w:t>
      </w:r>
      <w:r>
        <w:rPr>
          <w:lang w:eastAsia="en-AU" w:bidi="ar-SA"/>
        </w:rPr>
        <w:t xml:space="preserve">. This is another area of vitamin D metabolism which is not fully characterised.    </w:t>
      </w:r>
    </w:p>
    <w:p w14:paraId="25B5D6CF" w14:textId="77777777" w:rsidR="00DD5C9C" w:rsidRPr="006A05E9" w:rsidRDefault="00DD5C9C" w:rsidP="003B5D42">
      <w:pPr>
        <w:pStyle w:val="Heading4"/>
      </w:pPr>
      <w:r w:rsidRPr="006A05E9">
        <w:t>Serum 25OHD as a marker of exposure or vitamin D status</w:t>
      </w:r>
    </w:p>
    <w:p w14:paraId="25B5D6D0" w14:textId="77777777" w:rsidR="00DD5C9C" w:rsidRDefault="00DD5C9C" w:rsidP="003B5D42">
      <w:r>
        <w:t>The vitamin D status in humans is usually assessed by measuring the concentration of the metabolite 25OHD in plasma or serum. Importantly serum 25OHD concentration is an indicator of both oral intake and UV photosynthesis combined.</w:t>
      </w:r>
    </w:p>
    <w:p w14:paraId="25B5D6D1" w14:textId="77777777" w:rsidR="00DD5C9C" w:rsidRDefault="00DD5C9C" w:rsidP="003B5D42"/>
    <w:p w14:paraId="25B5D6D2" w14:textId="77777777" w:rsidR="00DD5C9C" w:rsidRDefault="00DD5C9C" w:rsidP="003B5D42">
      <w:r>
        <w:t>UV-B exposure (sunlight) increases serum 25OHD</w:t>
      </w:r>
      <w:r w:rsidRPr="0087543F">
        <w:rPr>
          <w:vertAlign w:val="subscript"/>
        </w:rPr>
        <w:t>3</w:t>
      </w:r>
      <w:r>
        <w:t xml:space="preserve"> to a maximal range of about 120–160 nM </w:t>
      </w:r>
      <w:r>
        <w:rPr>
          <w:noProof/>
        </w:rPr>
        <w:t>(EFSA Panel on dietetic products 2012a)</w:t>
      </w:r>
      <w:r>
        <w:t>. Prolonged exposure to UV-B does not increase serum 25OHD</w:t>
      </w:r>
      <w:r w:rsidRPr="0087543F">
        <w:rPr>
          <w:vertAlign w:val="subscript"/>
        </w:rPr>
        <w:t>3</w:t>
      </w:r>
      <w:r>
        <w:t xml:space="preserve"> beyond this range as both D</w:t>
      </w:r>
      <w:r w:rsidRPr="0087543F">
        <w:rPr>
          <w:vertAlign w:val="subscript"/>
        </w:rPr>
        <w:t>3</w:t>
      </w:r>
      <w:r>
        <w:t xml:space="preserve"> and pro-vitamin D are degraded in the skin to inert isomers with continued UV-B exposure. Therefore, concentrations up to about 120 nM can be considered to be in a physiological range.</w:t>
      </w:r>
    </w:p>
    <w:p w14:paraId="25B5D6D3" w14:textId="77777777" w:rsidR="00DD5C9C" w:rsidRDefault="00DD5C9C" w:rsidP="003B5D42">
      <w:pPr>
        <w:rPr>
          <w:lang w:eastAsia="en-AU" w:bidi="ar-SA"/>
        </w:rPr>
      </w:pPr>
    </w:p>
    <w:p w14:paraId="25B5D6D4" w14:textId="77777777" w:rsidR="00DD5C9C" w:rsidRDefault="00DD5C9C" w:rsidP="003B5D42">
      <w:pPr>
        <w:rPr>
          <w:lang w:eastAsia="en-AU" w:bidi="ar-SA"/>
        </w:rPr>
      </w:pPr>
      <w:r>
        <w:rPr>
          <w:noProof/>
          <w:lang w:eastAsia="en-GB" w:bidi="ar-SA"/>
        </w:rPr>
        <w:lastRenderedPageBreak/>
        <w:drawing>
          <wp:inline distT="0" distB="0" distL="0" distR="0" wp14:anchorId="25B5DCDB" wp14:editId="25B5DCDC">
            <wp:extent cx="5286375" cy="58274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97820" cy="5840054"/>
                    </a:xfrm>
                    <a:prstGeom prst="rect">
                      <a:avLst/>
                    </a:prstGeom>
                  </pic:spPr>
                </pic:pic>
              </a:graphicData>
            </a:graphic>
          </wp:inline>
        </w:drawing>
      </w:r>
    </w:p>
    <w:p w14:paraId="25B5D6D5" w14:textId="77777777" w:rsidR="00DD5C9C" w:rsidRPr="00E262C6" w:rsidRDefault="00DD5C9C" w:rsidP="003B5D42">
      <w:pPr>
        <w:spacing w:before="120"/>
        <w:ind w:left="1134" w:hanging="1134"/>
        <w:rPr>
          <w:i/>
          <w:szCs w:val="22"/>
          <w:lang w:eastAsia="en-AU" w:bidi="ar-SA"/>
        </w:rPr>
      </w:pPr>
      <w:r w:rsidRPr="00E262C6">
        <w:rPr>
          <w:i/>
          <w:szCs w:val="22"/>
          <w:lang w:eastAsia="en-AU" w:bidi="ar-SA"/>
        </w:rPr>
        <w:t>Figure 2</w:t>
      </w:r>
      <w:r w:rsidRPr="00E262C6">
        <w:rPr>
          <w:i/>
          <w:szCs w:val="22"/>
          <w:lang w:eastAsia="en-AU" w:bidi="ar-SA"/>
        </w:rPr>
        <w:tab/>
        <w:t>Metabolism of vitamin D</w:t>
      </w:r>
    </w:p>
    <w:p w14:paraId="25B5D6D6" w14:textId="77777777" w:rsidR="00DD5C9C" w:rsidRPr="00535F54" w:rsidRDefault="00DD5C9C" w:rsidP="003B5D42">
      <w:pPr>
        <w:spacing w:before="120"/>
        <w:rPr>
          <w:i/>
          <w:sz w:val="18"/>
          <w:szCs w:val="18"/>
          <w:lang w:eastAsia="en-AU" w:bidi="ar-SA"/>
        </w:rPr>
      </w:pPr>
      <w:r w:rsidRPr="00535F54">
        <w:rPr>
          <w:i/>
          <w:sz w:val="18"/>
          <w:szCs w:val="18"/>
          <w:lang w:eastAsia="en-AU" w:bidi="ar-SA"/>
        </w:rPr>
        <w:t xml:space="preserve">Adapted from an open access, online source </w:t>
      </w:r>
      <w:r w:rsidRPr="00535F54">
        <w:rPr>
          <w:i/>
          <w:noProof/>
          <w:sz w:val="18"/>
          <w:szCs w:val="18"/>
          <w:lang w:eastAsia="en-AU" w:bidi="ar-SA"/>
        </w:rPr>
        <w:t>(Tsiaras and Weinstock 2011)</w:t>
      </w:r>
      <w:r w:rsidRPr="00535F54">
        <w:rPr>
          <w:i/>
          <w:sz w:val="18"/>
          <w:szCs w:val="18"/>
          <w:lang w:eastAsia="en-AU" w:bidi="ar-SA"/>
        </w:rPr>
        <w:t>.</w:t>
      </w:r>
    </w:p>
    <w:p w14:paraId="25B5D6D7" w14:textId="77777777" w:rsidR="00DD5C9C" w:rsidRDefault="00DD5C9C" w:rsidP="003B5D42">
      <w:pPr>
        <w:rPr>
          <w:lang w:eastAsia="en-AU" w:bidi="ar-SA"/>
        </w:rPr>
      </w:pPr>
    </w:p>
    <w:p w14:paraId="25B5D6D8" w14:textId="77777777" w:rsidR="00DD5C9C" w:rsidRDefault="00DD5C9C" w:rsidP="003B5D42">
      <w:r w:rsidRPr="00D91A05">
        <w:t xml:space="preserve">Oral consumption of vitamin D </w:t>
      </w:r>
      <w:r>
        <w:t>–</w:t>
      </w:r>
      <w:r w:rsidRPr="00D91A05">
        <w:t xml:space="preserve"> through vitamin D containing foods (fortified or naturally occurring) or dietary supplements</w:t>
      </w:r>
      <w:r>
        <w:t xml:space="preserve"> (which usually contain greater amounts of vitamin D than </w:t>
      </w:r>
      <w:r w:rsidR="00C91549">
        <w:t>those</w:t>
      </w:r>
      <w:r>
        <w:t xml:space="preserve"> contained in fortified foods)</w:t>
      </w:r>
      <w:r w:rsidRPr="00D91A05">
        <w:t xml:space="preserve"> </w:t>
      </w:r>
      <w:r>
        <w:t>–</w:t>
      </w:r>
      <w:r w:rsidRPr="00D91A05">
        <w:t xml:space="preserve"> </w:t>
      </w:r>
      <w:r>
        <w:t xml:space="preserve">increases </w:t>
      </w:r>
      <w:r w:rsidRPr="00D91A05">
        <w:t xml:space="preserve">serum concentrations of 25OHD depending on </w:t>
      </w:r>
      <w:r>
        <w:t xml:space="preserve">the </w:t>
      </w:r>
      <w:r w:rsidRPr="00D91A05">
        <w:t>dose</w:t>
      </w:r>
      <w:r>
        <w:t xml:space="preserve">. For daily vitamin D intakes up to </w:t>
      </w:r>
      <w:r w:rsidRPr="00227078">
        <w:t>250 µ</w:t>
      </w:r>
      <w:r>
        <w:t>g/day, serum 25OHD concentration is usually in the range of 25</w:t>
      </w:r>
      <w:r w:rsidRPr="00166C9C">
        <w:t>–</w:t>
      </w:r>
      <w:r>
        <w:t xml:space="preserve">125 nM (Vieth, 1999) (See Section 3.5 for further discussion). </w:t>
      </w:r>
    </w:p>
    <w:p w14:paraId="25B5D6D9" w14:textId="77777777" w:rsidR="00DD5C9C" w:rsidRDefault="00DD5C9C" w:rsidP="003B5D42"/>
    <w:p w14:paraId="2FD310B3" w14:textId="77777777" w:rsidR="00E262C6" w:rsidRDefault="00DD5C9C" w:rsidP="003B5D42">
      <w:pPr>
        <w:rPr>
          <w:lang w:eastAsia="en-AU" w:bidi="ar-SA"/>
        </w:rPr>
      </w:pPr>
      <w:r w:rsidRPr="00832FC8">
        <w:t xml:space="preserve">Serum 25OHD </w:t>
      </w:r>
      <w:r>
        <w:t>concentration is</w:t>
      </w:r>
      <w:r w:rsidRPr="00832FC8">
        <w:t xml:space="preserve"> controlled by vitamin D supply </w:t>
      </w:r>
      <w:r>
        <w:t xml:space="preserve">(oral and photochemically synthesised) </w:t>
      </w:r>
      <w:r w:rsidRPr="00832FC8">
        <w:t>and the rate of metabol</w:t>
      </w:r>
      <w:r>
        <w:t>ism</w:t>
      </w:r>
      <w:r w:rsidRPr="00832FC8">
        <w:t xml:space="preserve"> by hydroxylases in the liver. </w:t>
      </w:r>
      <w:r>
        <w:t>The d</w:t>
      </w:r>
      <w:r w:rsidRPr="00A05ED9">
        <w:rPr>
          <w:lang w:eastAsia="en-AU" w:bidi="ar-SA"/>
        </w:rPr>
        <w:t>ietary factors that affect vitamin D metabolism are complex and not well understood. For example, vitamin D deficiency (</w:t>
      </w:r>
      <w:r>
        <w:rPr>
          <w:lang w:eastAsia="en-AU" w:bidi="ar-SA"/>
        </w:rPr>
        <w:t>as determined by</w:t>
      </w:r>
      <w:r w:rsidRPr="00A05ED9">
        <w:rPr>
          <w:lang w:eastAsia="en-AU" w:bidi="ar-SA"/>
        </w:rPr>
        <w:t xml:space="preserve"> low serum 25OHD concentration) can be induced from dietary calcium deficiency as a result of increased conversion of 25OHD to 1,25(OH)</w:t>
      </w:r>
      <w:r w:rsidRPr="00A05ED9">
        <w:rPr>
          <w:vertAlign w:val="subscript"/>
          <w:lang w:eastAsia="en-AU" w:bidi="ar-SA"/>
        </w:rPr>
        <w:t>2</w:t>
      </w:r>
      <w:r w:rsidRPr="00A05ED9">
        <w:rPr>
          <w:lang w:eastAsia="en-AU" w:bidi="ar-SA"/>
        </w:rPr>
        <w:t xml:space="preserve">D needed to maintain intracellular and extracellular calcium concentrations </w:t>
      </w:r>
      <w:r>
        <w:rPr>
          <w:noProof/>
          <w:lang w:eastAsia="en-AU" w:bidi="ar-SA"/>
        </w:rPr>
        <w:t>(Clements et al. 1987)</w:t>
      </w:r>
      <w:r>
        <w:rPr>
          <w:lang w:eastAsia="en-AU" w:bidi="ar-SA"/>
        </w:rPr>
        <w:t>.</w:t>
      </w:r>
      <w:r w:rsidRPr="00A05ED9">
        <w:rPr>
          <w:lang w:eastAsia="en-AU" w:bidi="ar-SA"/>
        </w:rPr>
        <w:t xml:space="preserve"> </w:t>
      </w:r>
      <w:r w:rsidR="00E262C6">
        <w:rPr>
          <w:lang w:eastAsia="en-AU" w:bidi="ar-SA"/>
        </w:rPr>
        <w:br w:type="page"/>
      </w:r>
    </w:p>
    <w:p w14:paraId="25B5D6DA" w14:textId="7B3B5FB1" w:rsidR="00DD5C9C" w:rsidRPr="00A05ED9" w:rsidRDefault="00DD5C9C" w:rsidP="003B5D42">
      <w:pPr>
        <w:rPr>
          <w:lang w:eastAsia="en-AU" w:bidi="ar-SA"/>
        </w:rPr>
      </w:pPr>
      <w:r w:rsidRPr="00A05ED9">
        <w:rPr>
          <w:lang w:eastAsia="en-AU" w:bidi="ar-SA"/>
        </w:rPr>
        <w:lastRenderedPageBreak/>
        <w:t>On the other hand, very high doses of vitamin D (for example, via supplement use) may also give rise to preferential catabolism of 25OHD to inactive metabolites or to se</w:t>
      </w:r>
      <w:r>
        <w:rPr>
          <w:lang w:eastAsia="en-AU" w:bidi="ar-SA"/>
        </w:rPr>
        <w:t xml:space="preserve">questration into fat and muscle </w:t>
      </w:r>
      <w:r>
        <w:rPr>
          <w:noProof/>
          <w:lang w:eastAsia="en-AU" w:bidi="ar-SA"/>
        </w:rPr>
        <w:t>(IOM 2011)</w:t>
      </w:r>
      <w:r>
        <w:rPr>
          <w:lang w:eastAsia="en-AU" w:bidi="ar-SA"/>
        </w:rPr>
        <w:t>.</w:t>
      </w:r>
      <w:r w:rsidRPr="00A05ED9">
        <w:rPr>
          <w:lang w:eastAsia="en-AU" w:bidi="ar-SA"/>
        </w:rPr>
        <w:t xml:space="preserve"> Despite complexities in the steady state conditions of serum 25OHD, it represents the only suitable marker of vitamin D status. </w:t>
      </w:r>
    </w:p>
    <w:p w14:paraId="25B5D6DB" w14:textId="77777777" w:rsidR="00DD5C9C" w:rsidRPr="006A05E9" w:rsidRDefault="00DD5C9C" w:rsidP="003B5D42">
      <w:pPr>
        <w:pStyle w:val="Heading4"/>
      </w:pPr>
      <w:r w:rsidRPr="006A05E9">
        <w:t>Assays for serum 25OHD</w:t>
      </w:r>
    </w:p>
    <w:p w14:paraId="25B5D6DC" w14:textId="77777777" w:rsidR="00DD5C9C" w:rsidRPr="007E7841" w:rsidRDefault="00DD5C9C" w:rsidP="003B5D42">
      <w:r w:rsidRPr="007E7841">
        <w:t xml:space="preserve">Serum 25OHD can </w:t>
      </w:r>
      <w:r w:rsidRPr="000B5919">
        <w:t>be quantified by</w:t>
      </w:r>
      <w:r w:rsidRPr="007E7841">
        <w:t xml:space="preserve"> a number of methods including competitive protein binding assays, radio-immuno binding assays (RIA), chemiluminescent immuno-assay, and HPLC assays</w:t>
      </w:r>
      <w:r>
        <w:t xml:space="preserve"> </w:t>
      </w:r>
      <w:r>
        <w:rPr>
          <w:noProof/>
        </w:rPr>
        <w:t>(Lai et al. 2010)</w:t>
      </w:r>
      <w:r>
        <w:t xml:space="preserve">. </w:t>
      </w:r>
      <w:r w:rsidRPr="007E7841">
        <w:t xml:space="preserve">Results are highly variable across different assay methods due to: 1) hydrophobic nature of vitamin D metabolites and binding to DBP which necessitates extraction and or protein precipitation steps leading to potential losses; 2) multiple </w:t>
      </w:r>
      <w:r>
        <w:t xml:space="preserve">metabolites </w:t>
      </w:r>
      <w:r w:rsidRPr="007E7841">
        <w:t>(25OHD</w:t>
      </w:r>
      <w:r w:rsidRPr="00CB2BB1">
        <w:rPr>
          <w:vertAlign w:val="subscript"/>
        </w:rPr>
        <w:t>2</w:t>
      </w:r>
      <w:r w:rsidRPr="007E7841">
        <w:t xml:space="preserve"> and 25OHD</w:t>
      </w:r>
      <w:r w:rsidRPr="00CB2BB1">
        <w:rPr>
          <w:vertAlign w:val="subscript"/>
        </w:rPr>
        <w:t>3</w:t>
      </w:r>
      <w:r w:rsidRPr="007E7841">
        <w:t xml:space="preserve">) contributing to total serum 25OHD concentrations but may be </w:t>
      </w:r>
      <w:r w:rsidRPr="000B5919">
        <w:t>quantified differentially</w:t>
      </w:r>
      <w:r w:rsidRPr="007E7841">
        <w:t xml:space="preserve"> by some methods; and 3) cross-reactivity with 25OHD epimers </w:t>
      </w:r>
      <w:r>
        <w:t xml:space="preserve">(such as the C3-epimer of 25OHD which differs in the configuration of the hydroxyl group at the 3 position of vitamin D) </w:t>
      </w:r>
      <w:r w:rsidRPr="007E7841">
        <w:t xml:space="preserve">and other hydroxylated metabolites. These variabilities </w:t>
      </w:r>
      <w:r>
        <w:t>have le</w:t>
      </w:r>
      <w:r w:rsidRPr="007E7841">
        <w:t xml:space="preserve">d to under- </w:t>
      </w:r>
      <w:r>
        <w:t>or</w:t>
      </w:r>
      <w:r w:rsidRPr="007E7841">
        <w:t xml:space="preserve"> </w:t>
      </w:r>
      <w:r>
        <w:t>over</w:t>
      </w:r>
      <w:r w:rsidRPr="007E7841">
        <w:t>estimation of serum 25OHD concentrations</w:t>
      </w:r>
      <w:r>
        <w:t xml:space="preserve">, particularly with automated commercial assay methods </w:t>
      </w:r>
      <w:r>
        <w:rPr>
          <w:noProof/>
        </w:rPr>
        <w:t>(Roth et al. 2008; Wagner et al. 2009; Lai et al. 2010; Snellman et al. 2010; Connell et al. 2011)</w:t>
      </w:r>
      <w:r w:rsidRPr="007E7841">
        <w:t>.</w:t>
      </w:r>
    </w:p>
    <w:p w14:paraId="25B5D6DD" w14:textId="77777777" w:rsidR="00DD5C9C" w:rsidRDefault="00DD5C9C" w:rsidP="003B5D42">
      <w:pPr>
        <w:rPr>
          <w:lang w:eastAsia="en-AU" w:bidi="ar-SA"/>
        </w:rPr>
      </w:pPr>
    </w:p>
    <w:p w14:paraId="25B5D6DE" w14:textId="77777777" w:rsidR="00DD5C9C" w:rsidRDefault="00DD5C9C" w:rsidP="003B5D42">
      <w:r w:rsidRPr="007E7841">
        <w:t>Liquid chromatography-tandem mass spectrometry (LC-MS/MS) is considered the most accurate method but is not commonly used in commercial laboratories because of the</w:t>
      </w:r>
      <w:r>
        <w:t xml:space="preserve"> </w:t>
      </w:r>
      <w:r w:rsidRPr="008F2AE6">
        <w:t>technical expertise and expensive equipment required. The most common method use</w:t>
      </w:r>
      <w:r>
        <w:t>d</w:t>
      </w:r>
      <w:r w:rsidRPr="008F2AE6">
        <w:t xml:space="preserve"> in clinical studies </w:t>
      </w:r>
      <w:r>
        <w:t xml:space="preserve">has been </w:t>
      </w:r>
      <w:r w:rsidRPr="008F2AE6">
        <w:t>commercially available</w:t>
      </w:r>
      <w:r>
        <w:t xml:space="preserve"> automated</w:t>
      </w:r>
      <w:r w:rsidRPr="008F2AE6">
        <w:t xml:space="preserve"> assays which utilise immuno-binding and chemiluminescence methodology </w:t>
      </w:r>
      <w:r w:rsidRPr="000B5919">
        <w:t>to quantif</w:t>
      </w:r>
      <w:r>
        <w:t>y</w:t>
      </w:r>
      <w:r w:rsidRPr="000B5919">
        <w:t xml:space="preserve"> 25OHD</w:t>
      </w:r>
      <w:r>
        <w:t xml:space="preserve"> (either 25OHD</w:t>
      </w:r>
      <w:r w:rsidRPr="000B5919">
        <w:rPr>
          <w:vertAlign w:val="subscript"/>
        </w:rPr>
        <w:t>2</w:t>
      </w:r>
      <w:r>
        <w:t xml:space="preserve"> or 25OHD</w:t>
      </w:r>
      <w:r w:rsidRPr="000B5919">
        <w:rPr>
          <w:vertAlign w:val="subscript"/>
        </w:rPr>
        <w:t>3</w:t>
      </w:r>
      <w:r>
        <w:t xml:space="preserve"> or both)</w:t>
      </w:r>
      <w:r w:rsidRPr="008F2AE6">
        <w:t xml:space="preserve">. Results from </w:t>
      </w:r>
      <w:r>
        <w:t xml:space="preserve">these high-throughput </w:t>
      </w:r>
      <w:r w:rsidRPr="008F2AE6">
        <w:t>methods</w:t>
      </w:r>
      <w:r>
        <w:t xml:space="preserve"> are relatively</w:t>
      </w:r>
      <w:r w:rsidRPr="008F2AE6">
        <w:t xml:space="preserve"> rapid, </w:t>
      </w:r>
      <w:r>
        <w:t xml:space="preserve">inexpensive, and technically </w:t>
      </w:r>
      <w:r w:rsidRPr="008F2AE6">
        <w:t>simple,</w:t>
      </w:r>
      <w:r>
        <w:t xml:space="preserve"> but</w:t>
      </w:r>
      <w:r w:rsidRPr="008F2AE6">
        <w:t xml:space="preserve"> </w:t>
      </w:r>
      <w:r>
        <w:t xml:space="preserve">can produce </w:t>
      </w:r>
      <w:r w:rsidRPr="008F2AE6">
        <w:t>inaccurate and unreliable measurement</w:t>
      </w:r>
      <w:r>
        <w:t>s</w:t>
      </w:r>
      <w:r w:rsidRPr="008F2AE6">
        <w:t xml:space="preserve"> of 25OHD concentrations</w:t>
      </w:r>
      <w:r>
        <w:t xml:space="preserve"> </w:t>
      </w:r>
      <w:r>
        <w:rPr>
          <w:noProof/>
        </w:rPr>
        <w:t>(Carter 2012)</w:t>
      </w:r>
      <w:r>
        <w:t>.</w:t>
      </w:r>
      <w:r w:rsidRPr="008F2AE6">
        <w:t xml:space="preserve"> </w:t>
      </w:r>
      <w:r>
        <w:t xml:space="preserve">Because of its greater accuracy, recent studies have aimed to use the LC-MS/MS method or at least validate a commercial immuno-binding assay by measuring a subset of samples using LC-MS/MS </w:t>
      </w:r>
      <w:r>
        <w:rPr>
          <w:noProof/>
        </w:rPr>
        <w:t>(Daly et al. 2011)</w:t>
      </w:r>
      <w:r>
        <w:t>.</w:t>
      </w:r>
    </w:p>
    <w:p w14:paraId="25B5D6DF" w14:textId="77777777" w:rsidR="00DD5C9C" w:rsidRDefault="00DD5C9C" w:rsidP="003B5D42"/>
    <w:p w14:paraId="25B5D6E0" w14:textId="77777777" w:rsidR="00DD5C9C" w:rsidRPr="008F2AE6" w:rsidRDefault="00DD5C9C" w:rsidP="003B5D42">
      <w:r>
        <w:t xml:space="preserve">Until 2009, no standard reference materials existed that allowed laboratories using different methods to calibrate their results to each other. </w:t>
      </w:r>
      <w:r w:rsidRPr="00655F37">
        <w:t xml:space="preserve">As a result, </w:t>
      </w:r>
      <w:r>
        <w:t xml:space="preserve">combining </w:t>
      </w:r>
      <w:r w:rsidRPr="00655F37">
        <w:t xml:space="preserve">25OHD results from different studies (such as in systematic reviews) </w:t>
      </w:r>
      <w:r>
        <w:t xml:space="preserve">which are then </w:t>
      </w:r>
      <w:r w:rsidRPr="00655F37">
        <w:t xml:space="preserve">used to set clinical </w:t>
      </w:r>
      <w:r w:rsidR="002544DE">
        <w:t>cut-off value</w:t>
      </w:r>
      <w:r w:rsidRPr="00655F37">
        <w:t>s for serum 25OHD</w:t>
      </w:r>
      <w:r>
        <w:t xml:space="preserve"> concentrations linked to adverse health effects </w:t>
      </w:r>
      <w:r w:rsidRPr="00655F37">
        <w:t xml:space="preserve">has been </w:t>
      </w:r>
      <w:r>
        <w:t>controversial</w:t>
      </w:r>
      <w:r w:rsidRPr="00655F37">
        <w:t>.</w:t>
      </w:r>
      <w:r>
        <w:t xml:space="preserve"> The US National Institutes of Health’s Vitamin D Standardisation Program (VDSP) is an international collaboration of scientists which has been set up to</w:t>
      </w:r>
      <w:r>
        <w:rPr>
          <w:color w:val="FF0000"/>
        </w:rPr>
        <w:t xml:space="preserve"> </w:t>
      </w:r>
      <w:r>
        <w:rPr>
          <w:color w:val="000000" w:themeColor="text1"/>
        </w:rPr>
        <w:t xml:space="preserve">validate 25OHD assay methods </w:t>
      </w:r>
      <w:r>
        <w:rPr>
          <w:noProof/>
          <w:color w:val="000000" w:themeColor="text1"/>
        </w:rPr>
        <w:t>(National Institutes of Health 2014)</w:t>
      </w:r>
      <w:r w:rsidRPr="003C5B33">
        <w:rPr>
          <w:color w:val="000000" w:themeColor="text1"/>
        </w:rPr>
        <w:t>.</w:t>
      </w:r>
      <w:r>
        <w:rPr>
          <w:color w:val="FF0000"/>
        </w:rPr>
        <w:t xml:space="preserve"> </w:t>
      </w:r>
      <w:r w:rsidRPr="003C5B33">
        <w:rPr>
          <w:color w:val="000000" w:themeColor="text1"/>
        </w:rPr>
        <w:t xml:space="preserve">The program is on-going although some results have been published </w:t>
      </w:r>
      <w:r w:rsidRPr="008F2AE6">
        <w:rPr>
          <w:noProof/>
        </w:rPr>
        <w:t>(Cashman et al. 2013)</w:t>
      </w:r>
      <w:r w:rsidRPr="008F2AE6">
        <w:t xml:space="preserve">. The </w:t>
      </w:r>
      <w:r>
        <w:t xml:space="preserve">National Health Measures Survey (NHMS), a component of the </w:t>
      </w:r>
      <w:r w:rsidRPr="008F2AE6">
        <w:t>Australian Health Survey</w:t>
      </w:r>
      <w:r>
        <w:t xml:space="preserve"> (AHS), includes measurement of 25OHD concentration in the Australian population. The AHS is a contributor to the VDSP and has therefore utilised methodology that is validated by appropriate standards and assay techniques. </w:t>
      </w:r>
    </w:p>
    <w:p w14:paraId="25B5D6E1" w14:textId="77777777" w:rsidR="00DD5C9C" w:rsidRPr="00454DAD" w:rsidRDefault="00DD5C9C" w:rsidP="003B5D42">
      <w:pPr>
        <w:pStyle w:val="Heading3"/>
      </w:pPr>
      <w:bookmarkStart w:id="19" w:name="_Toc406575693"/>
      <w:r>
        <w:t>Absorption</w:t>
      </w:r>
      <w:bookmarkEnd w:id="19"/>
      <w:r>
        <w:t xml:space="preserve"> </w:t>
      </w:r>
    </w:p>
    <w:p w14:paraId="25B5D6E2" w14:textId="77777777" w:rsidR="00DD5C9C" w:rsidRDefault="00DD5C9C" w:rsidP="003B5D42">
      <w:r>
        <w:t>Dietary vitamin D is absorbed in association with lipids or bile salts by passive diffusion in the small intestine. Once taken up by intestinal cells, vitamin D is incorporated into chylomicrons which are vesicles that transport lipids and lipid-soluble nutrients in the blood. Vitamin D is also transferred from chylomicrons to DBP which enables transport of vitamin D metabolites in blood (Gropper and Smith 2013).</w:t>
      </w:r>
    </w:p>
    <w:p w14:paraId="25B5D6E3" w14:textId="77777777" w:rsidR="00DD5C9C" w:rsidRDefault="00DD5C9C" w:rsidP="003B5D42"/>
    <w:p w14:paraId="025E6BD2" w14:textId="77777777" w:rsidR="00E262C6" w:rsidRDefault="00DD5C9C" w:rsidP="003B5D42">
      <w:r w:rsidRPr="006009EF">
        <w:t xml:space="preserve">Vitamin D is </w:t>
      </w:r>
      <w:r>
        <w:t>soluble</w:t>
      </w:r>
      <w:r w:rsidRPr="006009EF">
        <w:t xml:space="preserve"> in lipids. Therefore the amount of fat in</w:t>
      </w:r>
      <w:r>
        <w:t xml:space="preserve"> a meal may affect bioavailability with potentially higher vitamin D absorption from consumption in a higher fat food or meal. </w:t>
      </w:r>
      <w:r w:rsidR="00E262C6">
        <w:br w:type="page"/>
      </w:r>
    </w:p>
    <w:p w14:paraId="25B5D6E4" w14:textId="1CAF0BA5" w:rsidR="00DD5C9C" w:rsidRDefault="00DD5C9C" w:rsidP="003B5D42">
      <w:r>
        <w:lastRenderedPageBreak/>
        <w:t xml:space="preserve">Few studies, however, </w:t>
      </w:r>
      <w:r w:rsidRPr="00F66F0D">
        <w:t>have examined th</w:t>
      </w:r>
      <w:r>
        <w:t>e</w:t>
      </w:r>
      <w:r w:rsidRPr="00F66F0D">
        <w:t xml:space="preserve"> question</w:t>
      </w:r>
      <w:r>
        <w:t xml:space="preserve"> of whether </w:t>
      </w:r>
      <w:r w:rsidRPr="00502729">
        <w:t xml:space="preserve">absorption of dietary lipids with a vitamin D-fortified food may improve vitamin D absorption </w:t>
      </w:r>
      <w:r w:rsidRPr="00F66F0D">
        <w:t xml:space="preserve">and the optimal amount of fat is not known. </w:t>
      </w:r>
      <w:r>
        <w:t xml:space="preserve">Most research has examined the effect of </w:t>
      </w:r>
      <w:r w:rsidRPr="002740CD">
        <w:t xml:space="preserve">fat-containing meals or lipid vehicle on serum 25OHD </w:t>
      </w:r>
      <w:r>
        <w:t>concentration</w:t>
      </w:r>
      <w:r w:rsidRPr="002740CD">
        <w:t xml:space="preserve"> after administration of a vitamin D supplement </w:t>
      </w:r>
      <w:r>
        <w:rPr>
          <w:noProof/>
        </w:rPr>
        <w:t>(Tripkovic et al. 2012)</w:t>
      </w:r>
      <w:r w:rsidRPr="002740CD">
        <w:t xml:space="preserve">. </w:t>
      </w:r>
      <w:r>
        <w:t xml:space="preserve">These studies generally involve very high doses of vitamin D which are not comparable to amounts present in food. </w:t>
      </w:r>
    </w:p>
    <w:p w14:paraId="25B5D6E5" w14:textId="77777777" w:rsidR="00DD5C9C" w:rsidRDefault="00DD5C9C" w:rsidP="003B5D42"/>
    <w:p w14:paraId="25B5D6E6" w14:textId="77777777" w:rsidR="00DD5C9C" w:rsidRDefault="00DD5C9C" w:rsidP="003B5D42">
      <w:r>
        <w:t xml:space="preserve">It is also possible that fat has only minor influence on absorption of vitamin D contained in foods. Tangpricha et al. (2003) examined whether the fat ingested with vitamin D affected the absorption of vitamin D added to orange juice. Healthy adults given orange juice fortified with 25 </w:t>
      </w:r>
      <w:r>
        <w:rPr>
          <w:rFonts w:ascii="Calibri" w:hAnsi="Calibri"/>
        </w:rPr>
        <w:t>µ</w:t>
      </w:r>
      <w:r>
        <w:t xml:space="preserve">g vitamin D over 12 weeks showed increased serum 25OHD concentrations compared to adults given unfortified orange juice, thus suggesting that vitamin D administered in a fat-free food is absorbed. </w:t>
      </w:r>
      <w:r w:rsidRPr="0020258B">
        <w:t>In a separate experiment</w:t>
      </w:r>
      <w:r>
        <w:t xml:space="preserve"> </w:t>
      </w:r>
      <w:r>
        <w:rPr>
          <w:noProof/>
        </w:rPr>
        <w:t>(Tangpricha et al. 2003)</w:t>
      </w:r>
      <w:r w:rsidRPr="0020258B">
        <w:t>, adults given a single dose</w:t>
      </w:r>
      <w:r>
        <w:t xml:space="preserve"> of </w:t>
      </w:r>
      <w:r w:rsidRPr="00753A4F">
        <w:t>625 µg D</w:t>
      </w:r>
      <w:r w:rsidRPr="00753A4F">
        <w:rPr>
          <w:vertAlign w:val="subscript"/>
        </w:rPr>
        <w:t>2</w:t>
      </w:r>
      <w:r>
        <w:rPr>
          <w:vertAlign w:val="subscript"/>
        </w:rPr>
        <w:t xml:space="preserve"> </w:t>
      </w:r>
      <w:r w:rsidRPr="00753A4F">
        <w:t>or D</w:t>
      </w:r>
      <w:r w:rsidRPr="00753A4F">
        <w:rPr>
          <w:vertAlign w:val="subscript"/>
        </w:rPr>
        <w:t>3</w:t>
      </w:r>
      <w:r w:rsidRPr="0020258B">
        <w:t xml:space="preserve"> in whole milk, skim milk, or in corn oil on toast showed comparable increases in 25OHD for each vehicle. Both experiments suggest that </w:t>
      </w:r>
      <w:r>
        <w:t xml:space="preserve">dietary </w:t>
      </w:r>
      <w:r w:rsidRPr="0020258B">
        <w:t>fat</w:t>
      </w:r>
      <w:r>
        <w:t xml:space="preserve"> </w:t>
      </w:r>
      <w:r w:rsidRPr="0020258B">
        <w:t xml:space="preserve">has </w:t>
      </w:r>
      <w:r>
        <w:t xml:space="preserve">minimal </w:t>
      </w:r>
      <w:r w:rsidRPr="0020258B">
        <w:t xml:space="preserve">effect </w:t>
      </w:r>
      <w:r>
        <w:t>on</w:t>
      </w:r>
      <w:r w:rsidRPr="0020258B">
        <w:t xml:space="preserve"> vitamin D </w:t>
      </w:r>
      <w:r>
        <w:t>absorbed from a vitamin D-fortified food.</w:t>
      </w:r>
    </w:p>
    <w:p w14:paraId="25B5D6E7" w14:textId="77777777" w:rsidR="00DD5C9C" w:rsidRDefault="00DD5C9C" w:rsidP="003B5D42"/>
    <w:p w14:paraId="25B5D6E8" w14:textId="77777777" w:rsidR="00DD5C9C" w:rsidRDefault="00DD5C9C" w:rsidP="003B5D42">
      <w:r w:rsidRPr="00502729">
        <w:t>The efficiency of vitamin D absorption specifically from fortified breakfast cereal has not been reported. Most brea</w:t>
      </w:r>
      <w:r>
        <w:t xml:space="preserve">kfast cereal contain between </w:t>
      </w:r>
      <w:r w:rsidRPr="00502729">
        <w:t>1</w:t>
      </w:r>
      <w:r w:rsidRPr="00166C9C">
        <w:t>–</w:t>
      </w:r>
      <w:r w:rsidRPr="00502729">
        <w:t xml:space="preserve">5 g fat per 100 g (and some higher if they are oat-based or include nuts) so that consumption of vitamin D-fortified cereal with or without milk is likely to </w:t>
      </w:r>
      <w:r>
        <w:t>result in absorption of vitamin D</w:t>
      </w:r>
      <w:r w:rsidRPr="00502729">
        <w:t xml:space="preserve">. </w:t>
      </w:r>
    </w:p>
    <w:p w14:paraId="25B5D6E9" w14:textId="77777777" w:rsidR="00DD5C9C" w:rsidRDefault="00DD5C9C" w:rsidP="003B5D42">
      <w:pPr>
        <w:pStyle w:val="Heading3"/>
      </w:pPr>
      <w:bookmarkStart w:id="20" w:name="_Toc406575694"/>
      <w:r>
        <w:t>Biological effect of D</w:t>
      </w:r>
      <w:r w:rsidRPr="004503DB">
        <w:rPr>
          <w:vertAlign w:val="subscript"/>
        </w:rPr>
        <w:t>2</w:t>
      </w:r>
      <w:r>
        <w:t xml:space="preserve"> versus D</w:t>
      </w:r>
      <w:r w:rsidRPr="004503DB">
        <w:rPr>
          <w:vertAlign w:val="subscript"/>
        </w:rPr>
        <w:t>3</w:t>
      </w:r>
      <w:bookmarkEnd w:id="20"/>
      <w:r>
        <w:t xml:space="preserve"> </w:t>
      </w:r>
    </w:p>
    <w:p w14:paraId="25B5D6EA" w14:textId="77777777" w:rsidR="00DD5C9C" w:rsidRDefault="00DD5C9C" w:rsidP="003B5D42">
      <w:r>
        <w:t>The relatively complex pathway involved in generating the active metabolite 1,25(OH)</w:t>
      </w:r>
      <w:r w:rsidRPr="00F203CF">
        <w:rPr>
          <w:vertAlign w:val="subscript"/>
        </w:rPr>
        <w:t>2</w:t>
      </w:r>
      <w:r>
        <w:t>D means that differences in the biological action of D</w:t>
      </w:r>
      <w:r w:rsidRPr="00F203CF">
        <w:rPr>
          <w:vertAlign w:val="subscript"/>
        </w:rPr>
        <w:t>2</w:t>
      </w:r>
      <w:r>
        <w:t xml:space="preserve"> and D</w:t>
      </w:r>
      <w:r w:rsidRPr="0087543F">
        <w:rPr>
          <w:vertAlign w:val="subscript"/>
        </w:rPr>
        <w:t>3</w:t>
      </w:r>
      <w:r>
        <w:t xml:space="preserve"> potentially arise from one or more of the following </w:t>
      </w:r>
      <w:r w:rsidRPr="00C43687">
        <w:t xml:space="preserve">metabolic </w:t>
      </w:r>
      <w:r>
        <w:t xml:space="preserve">steps (see Figure 1) </w:t>
      </w:r>
      <w:r>
        <w:rPr>
          <w:noProof/>
        </w:rPr>
        <w:t>(Jones 2008; IOM 2011)</w:t>
      </w:r>
      <w:r>
        <w:t>:</w:t>
      </w:r>
    </w:p>
    <w:p w14:paraId="0989F6D8" w14:textId="77777777" w:rsidR="00C233AA" w:rsidRDefault="00C233AA" w:rsidP="003B5D42"/>
    <w:p w14:paraId="25B5D6EB" w14:textId="77777777" w:rsidR="00DD5C9C" w:rsidRDefault="00DD5C9C" w:rsidP="00C91549">
      <w:pPr>
        <w:pStyle w:val="FSBullet1"/>
      </w:pPr>
      <w:r w:rsidRPr="00C43687">
        <w:t xml:space="preserve">absorption in the gut </w:t>
      </w:r>
    </w:p>
    <w:p w14:paraId="25B5D6EC" w14:textId="77777777" w:rsidR="00DD5C9C" w:rsidRDefault="00DD5C9C" w:rsidP="00C91549">
      <w:pPr>
        <w:pStyle w:val="FSBullet1"/>
      </w:pPr>
      <w:r w:rsidRPr="00C43687">
        <w:t>binding</w:t>
      </w:r>
      <w:r>
        <w:t xml:space="preserve"> of vitamin D or vitamin D metabolites</w:t>
      </w:r>
      <w:r w:rsidRPr="00C43687">
        <w:t xml:space="preserve"> to </w:t>
      </w:r>
      <w:r>
        <w:t>DBP</w:t>
      </w:r>
    </w:p>
    <w:p w14:paraId="25B5D6ED" w14:textId="77777777" w:rsidR="00DD5C9C" w:rsidRDefault="00DD5C9C" w:rsidP="00C91549">
      <w:pPr>
        <w:pStyle w:val="FSBullet1"/>
      </w:pPr>
      <w:r>
        <w:t>hydroxylation of vitamin D to 25OHD</w:t>
      </w:r>
    </w:p>
    <w:p w14:paraId="25B5D6EE" w14:textId="77777777" w:rsidR="00DD5C9C" w:rsidRDefault="00DD5C9C" w:rsidP="00C91549">
      <w:pPr>
        <w:pStyle w:val="FSBullet1"/>
      </w:pPr>
      <w:r w:rsidRPr="00C43687">
        <w:t xml:space="preserve">hydroxylation </w:t>
      </w:r>
      <w:r>
        <w:t xml:space="preserve">of </w:t>
      </w:r>
      <w:r w:rsidRPr="00C43687">
        <w:t xml:space="preserve">25OHD </w:t>
      </w:r>
      <w:r>
        <w:t xml:space="preserve">to </w:t>
      </w:r>
      <w:r w:rsidRPr="00C43687">
        <w:t>the 1,25</w:t>
      </w:r>
      <w:r>
        <w:t>(OH)</w:t>
      </w:r>
      <w:r w:rsidRPr="00502729">
        <w:rPr>
          <w:vertAlign w:val="subscript"/>
        </w:rPr>
        <w:t>2</w:t>
      </w:r>
      <w:r>
        <w:t>D</w:t>
      </w:r>
    </w:p>
    <w:p w14:paraId="25B5D6EF" w14:textId="77777777" w:rsidR="00DD5C9C" w:rsidRDefault="00DD5C9C" w:rsidP="00C91549">
      <w:pPr>
        <w:pStyle w:val="FSBullet1"/>
      </w:pPr>
      <w:r w:rsidRPr="00075396">
        <w:t>cataboli</w:t>
      </w:r>
      <w:r>
        <w:t>c</w:t>
      </w:r>
      <w:r w:rsidRPr="00075396">
        <w:t xml:space="preserve"> breakdown of 25OHD</w:t>
      </w:r>
      <w:r>
        <w:t xml:space="preserve"> to inactive metabolites</w:t>
      </w:r>
    </w:p>
    <w:p w14:paraId="25B5D6F0" w14:textId="77777777" w:rsidR="00DD5C9C" w:rsidRDefault="00DD5C9C" w:rsidP="00C91549">
      <w:pPr>
        <w:pStyle w:val="FSBullet1"/>
      </w:pPr>
      <w:r w:rsidRPr="00C43687">
        <w:t>binding of</w:t>
      </w:r>
      <w:r>
        <w:t xml:space="preserve"> 1,25(</w:t>
      </w:r>
      <w:r w:rsidRPr="00502729">
        <w:t>OH)</w:t>
      </w:r>
      <w:r w:rsidRPr="00502729">
        <w:rPr>
          <w:vertAlign w:val="subscript"/>
        </w:rPr>
        <w:t>2</w:t>
      </w:r>
      <w:r w:rsidRPr="00502729">
        <w:t>D</w:t>
      </w:r>
      <w:r w:rsidRPr="00C43687">
        <w:t xml:space="preserve"> to vitamin D receptor on target cells</w:t>
      </w:r>
    </w:p>
    <w:p w14:paraId="25B5D6F1" w14:textId="77777777" w:rsidR="00DD5C9C" w:rsidRDefault="00DD5C9C" w:rsidP="00C91549">
      <w:pPr>
        <w:pStyle w:val="FSBullet1"/>
      </w:pPr>
      <w:r>
        <w:t>biological responses in target cells (i.e. gene expression).</w:t>
      </w:r>
    </w:p>
    <w:p w14:paraId="25B5D6F2" w14:textId="77777777" w:rsidR="00DD5C9C" w:rsidRPr="00887172" w:rsidRDefault="00DD5C9C" w:rsidP="003B5D42"/>
    <w:p w14:paraId="25B5D6F3" w14:textId="77777777" w:rsidR="00DD5C9C" w:rsidRPr="00C43687" w:rsidRDefault="00DD5C9C" w:rsidP="003B5D42">
      <w:r>
        <w:t>The IOM (2011) concluded that D</w:t>
      </w:r>
      <w:r w:rsidRPr="00887172">
        <w:rPr>
          <w:vertAlign w:val="subscript"/>
        </w:rPr>
        <w:t xml:space="preserve">2 </w:t>
      </w:r>
      <w:r>
        <w:t>and D</w:t>
      </w:r>
      <w:r w:rsidRPr="00887172">
        <w:rPr>
          <w:vertAlign w:val="subscript"/>
        </w:rPr>
        <w:t>3</w:t>
      </w:r>
      <w:r>
        <w:t xml:space="preserve"> behave identically for most of these steps and that at low doses, D</w:t>
      </w:r>
      <w:r w:rsidRPr="00F203CF">
        <w:rPr>
          <w:vertAlign w:val="subscript"/>
        </w:rPr>
        <w:t>2</w:t>
      </w:r>
      <w:r>
        <w:t xml:space="preserve"> and D</w:t>
      </w:r>
      <w:r w:rsidRPr="0087543F">
        <w:rPr>
          <w:vertAlign w:val="subscript"/>
        </w:rPr>
        <w:t>3</w:t>
      </w:r>
      <w:r>
        <w:t xml:space="preserve"> have equivalent potency but at high doses, D</w:t>
      </w:r>
      <w:r w:rsidRPr="00F203CF">
        <w:rPr>
          <w:vertAlign w:val="subscript"/>
        </w:rPr>
        <w:t>2</w:t>
      </w:r>
      <w:r>
        <w:t xml:space="preserve"> is less effective than D</w:t>
      </w:r>
      <w:r w:rsidRPr="0087543F">
        <w:rPr>
          <w:vertAlign w:val="subscript"/>
        </w:rPr>
        <w:t>3</w:t>
      </w:r>
      <w:r>
        <w:t xml:space="preserve">. This conclusion disagrees with the conclusions of earlier studies or reviews </w:t>
      </w:r>
      <w:r>
        <w:rPr>
          <w:noProof/>
        </w:rPr>
        <w:t>(Houghton and Vieth 2006)</w:t>
      </w:r>
      <w:r>
        <w:t xml:space="preserve"> who suggested that D</w:t>
      </w:r>
      <w:r w:rsidRPr="00607699">
        <w:rPr>
          <w:vertAlign w:val="subscript"/>
        </w:rPr>
        <w:t>2</w:t>
      </w:r>
      <w:r>
        <w:t xml:space="preserve"> and D</w:t>
      </w:r>
      <w:r w:rsidRPr="00607699">
        <w:rPr>
          <w:vertAlign w:val="subscript"/>
        </w:rPr>
        <w:t>3</w:t>
      </w:r>
      <w:r>
        <w:t xml:space="preserve"> should be considered equivalent. B</w:t>
      </w:r>
      <w:r w:rsidRPr="00887172">
        <w:t>ioequivalence of D</w:t>
      </w:r>
      <w:r w:rsidRPr="00887172">
        <w:rPr>
          <w:vertAlign w:val="subscript"/>
        </w:rPr>
        <w:t>2</w:t>
      </w:r>
      <w:r w:rsidRPr="00887172">
        <w:t xml:space="preserve"> and D</w:t>
      </w:r>
      <w:r w:rsidRPr="00887172">
        <w:rPr>
          <w:vertAlign w:val="subscript"/>
        </w:rPr>
        <w:t>3</w:t>
      </w:r>
      <w:r w:rsidRPr="00887172">
        <w:t xml:space="preserve"> </w:t>
      </w:r>
      <w:r>
        <w:t xml:space="preserve">continues to be of current research </w:t>
      </w:r>
      <w:r w:rsidRPr="00887172">
        <w:t>interest</w:t>
      </w:r>
      <w:r>
        <w:t xml:space="preserve"> particularly in relation to </w:t>
      </w:r>
      <w:r w:rsidRPr="00E00506">
        <w:t>vitamin</w:t>
      </w:r>
      <w:r>
        <w:t xml:space="preserve"> D</w:t>
      </w:r>
      <w:r w:rsidRPr="00E00506">
        <w:t xml:space="preserve"> supplement</w:t>
      </w:r>
      <w:r>
        <w:t xml:space="preserve">s. </w:t>
      </w:r>
    </w:p>
    <w:p w14:paraId="25B5D6F4" w14:textId="77777777" w:rsidR="00DD5C9C" w:rsidRDefault="00DD5C9C" w:rsidP="003B5D42"/>
    <w:p w14:paraId="25B5D6F6" w14:textId="665365B2" w:rsidR="00E262C6" w:rsidRDefault="00DD5C9C" w:rsidP="003B5D42">
      <w:r>
        <w:t>The bioequivalence of D</w:t>
      </w:r>
      <w:r w:rsidRPr="002D4742">
        <w:rPr>
          <w:vertAlign w:val="subscript"/>
        </w:rPr>
        <w:t>2</w:t>
      </w:r>
      <w:r>
        <w:t xml:space="preserve"> or D</w:t>
      </w:r>
      <w:r w:rsidRPr="002D4742">
        <w:rPr>
          <w:vertAlign w:val="subscript"/>
        </w:rPr>
        <w:t>3</w:t>
      </w:r>
      <w:r>
        <w:t xml:space="preserve"> is generally studied by measuring the ability of vitamin D doses to raise serum concentrations of 25OHD, usually measured as total 25OHD, or 25OHD</w:t>
      </w:r>
      <w:r w:rsidRPr="00B02D91">
        <w:rPr>
          <w:vertAlign w:val="subscript"/>
        </w:rPr>
        <w:t>2</w:t>
      </w:r>
      <w:r>
        <w:t xml:space="preserve"> plus 25OHD</w:t>
      </w:r>
      <w:r w:rsidRPr="00B02D91">
        <w:rPr>
          <w:vertAlign w:val="subscript"/>
        </w:rPr>
        <w:t>3</w:t>
      </w:r>
      <w:r>
        <w:t xml:space="preserve">. Tripkovic et al. (2012) reported a </w:t>
      </w:r>
      <w:r w:rsidRPr="00887172">
        <w:t>meta-analysis of randomized controlled trials (RCTs)</w:t>
      </w:r>
      <w:r>
        <w:t xml:space="preserve"> that </w:t>
      </w:r>
      <w:r w:rsidRPr="00887172">
        <w:t>compared the effects of</w:t>
      </w:r>
      <w:r>
        <w:t xml:space="preserve"> a range of doses of </w:t>
      </w:r>
      <w:r w:rsidRPr="00887172">
        <w:t>D</w:t>
      </w:r>
      <w:r w:rsidRPr="00887172">
        <w:rPr>
          <w:vertAlign w:val="subscript"/>
        </w:rPr>
        <w:t>2</w:t>
      </w:r>
      <w:r w:rsidRPr="00887172">
        <w:t xml:space="preserve"> and D</w:t>
      </w:r>
      <w:r w:rsidRPr="00887172">
        <w:rPr>
          <w:vertAlign w:val="subscript"/>
        </w:rPr>
        <w:t>3</w:t>
      </w:r>
      <w:r w:rsidRPr="00887172">
        <w:t xml:space="preserve"> on serum 25OHD</w:t>
      </w:r>
      <w:r>
        <w:t xml:space="preserve"> measured by a variety of methods: LC-MS/MS, RIA, or HPLC). For high vitamin D</w:t>
      </w:r>
      <w:r w:rsidRPr="00D86826">
        <w:rPr>
          <w:vertAlign w:val="subscript"/>
        </w:rPr>
        <w:t xml:space="preserve"> </w:t>
      </w:r>
      <w:r>
        <w:t xml:space="preserve">doses (125–1250 </w:t>
      </w:r>
      <w:r>
        <w:rPr>
          <w:rFonts w:ascii="Calibri" w:hAnsi="Calibri"/>
        </w:rPr>
        <w:t>µ</w:t>
      </w:r>
      <w:r>
        <w:t>g/dose) administered as a single bolus, D3 lead to serum 25OHD concentrations measured at various time points (28 days – 24 weeks) that were significantly increased compared to the same amount of D</w:t>
      </w:r>
      <w:r w:rsidRPr="001647EE">
        <w:rPr>
          <w:vertAlign w:val="subscript"/>
        </w:rPr>
        <w:t>2</w:t>
      </w:r>
      <w:r>
        <w:t>. Although the reason for this difference is not known, possible explanations are preferential hepatic breakdown of D</w:t>
      </w:r>
      <w:r w:rsidRPr="00F203CF">
        <w:rPr>
          <w:vertAlign w:val="subscript"/>
        </w:rPr>
        <w:t>2</w:t>
      </w:r>
      <w:r>
        <w:t xml:space="preserve"> to inactive metabolites or high levels of D</w:t>
      </w:r>
      <w:r w:rsidRPr="00F203CF">
        <w:rPr>
          <w:vertAlign w:val="subscript"/>
        </w:rPr>
        <w:t>2</w:t>
      </w:r>
      <w:r>
        <w:t xml:space="preserve"> competitively binding to the 25-hydroxylase and thus </w:t>
      </w:r>
      <w:r w:rsidRPr="00320FC0">
        <w:t>decreasing serum 25OHD</w:t>
      </w:r>
      <w:r w:rsidRPr="0087543F">
        <w:rPr>
          <w:vertAlign w:val="subscript"/>
        </w:rPr>
        <w:t>3</w:t>
      </w:r>
      <w:r>
        <w:t>.</w:t>
      </w:r>
      <w:r w:rsidR="00E262C6">
        <w:br w:type="page"/>
      </w:r>
    </w:p>
    <w:p w14:paraId="25B5D6F7" w14:textId="77777777" w:rsidR="00DD5C9C" w:rsidRDefault="00DD5C9C" w:rsidP="003B5D42">
      <w:r>
        <w:lastRenderedPageBreak/>
        <w:t>For lower doses, Tripkovic et al. (2012) reported meta-analysis of five studies of the effect of D</w:t>
      </w:r>
      <w:r w:rsidRPr="00F203CF">
        <w:rPr>
          <w:vertAlign w:val="subscript"/>
        </w:rPr>
        <w:t>2</w:t>
      </w:r>
      <w:r>
        <w:t xml:space="preserve"> or D</w:t>
      </w:r>
      <w:r w:rsidRPr="0087543F">
        <w:rPr>
          <w:vertAlign w:val="subscript"/>
        </w:rPr>
        <w:t>3</w:t>
      </w:r>
      <w:r>
        <w:t xml:space="preserve"> at doses of 25–100 </w:t>
      </w:r>
      <w:r w:rsidRPr="00694E97">
        <w:rPr>
          <w:rFonts w:cs="Arial"/>
        </w:rPr>
        <w:t>µ</w:t>
      </w:r>
      <w:r>
        <w:t>g/day administered over various periods (14 days to 12 months) on serum 25OHD concentration measured after the treatment period.</w:t>
      </w:r>
      <w:r w:rsidRPr="00D941C1">
        <w:t xml:space="preserve"> </w:t>
      </w:r>
      <w:r>
        <w:t>In this case, the meta-analysis (which used a random effects analysis to account for heterogeneity between studies) showed that D</w:t>
      </w:r>
      <w:r w:rsidRPr="00694E97">
        <w:rPr>
          <w:vertAlign w:val="subscript"/>
        </w:rPr>
        <w:t>3</w:t>
      </w:r>
      <w:r>
        <w:t xml:space="preserve"> supplementation produced a weighted mean increase in serum 25OHD of 4.83 nM compared to D</w:t>
      </w:r>
      <w:r w:rsidRPr="00694E97">
        <w:rPr>
          <w:vertAlign w:val="subscript"/>
        </w:rPr>
        <w:t>2</w:t>
      </w:r>
      <w:r>
        <w:t xml:space="preserve"> supplementation but the result was not significant. </w:t>
      </w:r>
    </w:p>
    <w:p w14:paraId="25B5D6F8" w14:textId="77777777" w:rsidR="00DD5C9C" w:rsidRDefault="00DD5C9C" w:rsidP="003B5D42"/>
    <w:p w14:paraId="25B5D6F9" w14:textId="77777777" w:rsidR="00DD5C9C" w:rsidRDefault="00DD5C9C" w:rsidP="003B5D42">
      <w:r>
        <w:t>Given the complexity of factors that affect serum 25OHD concentrations, studies cited in Tripkovic (2012) plus four additional studies published subsequently (identified through keyword searching of Medline) were examined to determine comparability between the different studies. A number of variables potentially contributing to the effect of D</w:t>
      </w:r>
      <w:r w:rsidRPr="00B02D91">
        <w:rPr>
          <w:vertAlign w:val="subscript"/>
        </w:rPr>
        <w:t>2</w:t>
      </w:r>
      <w:r>
        <w:t xml:space="preserve"> or D</w:t>
      </w:r>
      <w:r w:rsidRPr="00B02D91">
        <w:rPr>
          <w:vertAlign w:val="subscript"/>
        </w:rPr>
        <w:t>3</w:t>
      </w:r>
      <w:r>
        <w:t xml:space="preserve"> on serum 25OHD concentration were identified, suggesting that direct comparisons between these studies are not straight-forward (Table 2). For this assessment, the most comparable studies listed in Table 2 are those that include:</w:t>
      </w:r>
    </w:p>
    <w:p w14:paraId="25B5D6FA" w14:textId="77777777" w:rsidR="00DD5C9C" w:rsidRDefault="00DD5C9C" w:rsidP="003B5D42"/>
    <w:p w14:paraId="25B5D6FB" w14:textId="77777777" w:rsidR="00DD5C9C" w:rsidRDefault="00DD5C9C" w:rsidP="00DD5C9C">
      <w:pPr>
        <w:pStyle w:val="ListParagraph"/>
        <w:numPr>
          <w:ilvl w:val="0"/>
          <w:numId w:val="23"/>
        </w:numPr>
        <w:ind w:left="567" w:hanging="567"/>
      </w:pPr>
      <w:r>
        <w:t xml:space="preserve">Healthy adults </w:t>
      </w:r>
      <w:r w:rsidRPr="00D633BA">
        <w:t>using a placebo-treated control group to account for non-treatment effects (e.g. vitamin D from sun exposure)</w:t>
      </w:r>
    </w:p>
    <w:p w14:paraId="650E879A" w14:textId="77777777" w:rsidR="00E262C6" w:rsidRDefault="00E262C6" w:rsidP="00E262C6">
      <w:pPr>
        <w:pStyle w:val="ListParagraph"/>
        <w:ind w:left="567"/>
      </w:pPr>
    </w:p>
    <w:p w14:paraId="25B5D6FC" w14:textId="77777777" w:rsidR="00DD5C9C" w:rsidRDefault="00DD5C9C" w:rsidP="00DD5C9C">
      <w:pPr>
        <w:pStyle w:val="ListParagraph"/>
        <w:numPr>
          <w:ilvl w:val="0"/>
          <w:numId w:val="23"/>
        </w:numPr>
        <w:ind w:left="567" w:hanging="567"/>
      </w:pPr>
      <w:r>
        <w:t>A dosing period of at least 11</w:t>
      </w:r>
      <w:r w:rsidRPr="00166C9C">
        <w:t>–</w:t>
      </w:r>
      <w:r>
        <w:t>12 weeks to allow for steady state serum 25OHD to be established (i.e. four half-life periods with t½ for 25OHD equal to about 20 days)</w:t>
      </w:r>
    </w:p>
    <w:p w14:paraId="441FC9F3" w14:textId="77777777" w:rsidR="00E262C6" w:rsidRDefault="00E262C6" w:rsidP="00E262C6">
      <w:pPr>
        <w:pStyle w:val="ListParagraph"/>
        <w:ind w:left="567"/>
      </w:pPr>
    </w:p>
    <w:p w14:paraId="25B5D6FD" w14:textId="77777777" w:rsidR="00DD5C9C" w:rsidRDefault="00DD5C9C" w:rsidP="00DD5C9C">
      <w:pPr>
        <w:pStyle w:val="ListParagraph"/>
        <w:numPr>
          <w:ilvl w:val="0"/>
          <w:numId w:val="23"/>
        </w:numPr>
        <w:ind w:left="567" w:hanging="567"/>
      </w:pPr>
      <w:r>
        <w:t>Daily D</w:t>
      </w:r>
      <w:r w:rsidRPr="00694E97">
        <w:rPr>
          <w:vertAlign w:val="subscript"/>
        </w:rPr>
        <w:t>2</w:t>
      </w:r>
      <w:r>
        <w:t xml:space="preserve"> or D</w:t>
      </w:r>
      <w:r w:rsidRPr="00694E97">
        <w:rPr>
          <w:vertAlign w:val="subscript"/>
        </w:rPr>
        <w:t>3</w:t>
      </w:r>
      <w:r>
        <w:t xml:space="preserve"> administered at 25 </w:t>
      </w:r>
      <w:r w:rsidRPr="00694E97">
        <w:rPr>
          <w:rFonts w:cs="Arial"/>
        </w:rPr>
        <w:t>µ</w:t>
      </w:r>
      <w:r>
        <w:t xml:space="preserve">g or less. This amount is considered to be most comparable to potential intakes from food sources (see Section 4) </w:t>
      </w:r>
    </w:p>
    <w:p w14:paraId="1AA1777B" w14:textId="77777777" w:rsidR="00E262C6" w:rsidRDefault="00E262C6" w:rsidP="00E262C6">
      <w:pPr>
        <w:pStyle w:val="ListParagraph"/>
        <w:ind w:left="567"/>
      </w:pPr>
    </w:p>
    <w:p w14:paraId="25B5D6FE" w14:textId="77777777" w:rsidR="00DD5C9C" w:rsidRPr="00E262C6" w:rsidRDefault="00DD5C9C" w:rsidP="00DD5C9C">
      <w:pPr>
        <w:pStyle w:val="ListParagraph"/>
        <w:numPr>
          <w:ilvl w:val="0"/>
          <w:numId w:val="23"/>
        </w:numPr>
        <w:ind w:left="567" w:hanging="567"/>
      </w:pPr>
      <w:r>
        <w:t>Use of LC-MS/MS or HPLC assays that will detect both 25OHD</w:t>
      </w:r>
      <w:r w:rsidRPr="00B02D91">
        <w:rPr>
          <w:vertAlign w:val="subscript"/>
        </w:rPr>
        <w:t>2</w:t>
      </w:r>
      <w:r>
        <w:t xml:space="preserve"> and 25OHD</w:t>
      </w:r>
      <w:r w:rsidRPr="00B02D91">
        <w:rPr>
          <w:vertAlign w:val="subscript"/>
        </w:rPr>
        <w:t>3</w:t>
      </w:r>
    </w:p>
    <w:p w14:paraId="3733DE89" w14:textId="77777777" w:rsidR="00E262C6" w:rsidRDefault="00E262C6" w:rsidP="00E262C6">
      <w:pPr>
        <w:pStyle w:val="ListParagraph"/>
        <w:ind w:left="567"/>
      </w:pPr>
    </w:p>
    <w:p w14:paraId="25B5D6FF" w14:textId="77777777" w:rsidR="00DD5C9C" w:rsidRDefault="00DD5C9C" w:rsidP="00DD5C9C">
      <w:pPr>
        <w:pStyle w:val="ListParagraph"/>
        <w:numPr>
          <w:ilvl w:val="0"/>
          <w:numId w:val="23"/>
        </w:numPr>
        <w:ind w:left="567" w:hanging="567"/>
      </w:pPr>
      <w:r>
        <w:t>Comparable baseline serum 25OHD concentrations to allow for different pharmacokinetic effects of vitamin D doses on low and high baseline 25OHD.</w:t>
      </w:r>
    </w:p>
    <w:p w14:paraId="25B5D700" w14:textId="77777777" w:rsidR="00DD5C9C" w:rsidRDefault="00DD5C9C" w:rsidP="003B5D42">
      <w:pPr>
        <w:pStyle w:val="ListParagraph"/>
        <w:ind w:left="567"/>
      </w:pPr>
    </w:p>
    <w:p w14:paraId="25B5D701" w14:textId="77777777" w:rsidR="00DD5C9C" w:rsidRPr="00E262C6" w:rsidRDefault="00DD5C9C" w:rsidP="003B5D42">
      <w:pPr>
        <w:pStyle w:val="FSTableFigureHeading"/>
        <w:rPr>
          <w:i w:val="0"/>
        </w:rPr>
      </w:pPr>
      <w:r w:rsidRPr="00E262C6">
        <w:rPr>
          <w:i w:val="0"/>
        </w:rPr>
        <w:t xml:space="preserve">Table 2 </w:t>
      </w:r>
      <w:r w:rsidRPr="00E262C6">
        <w:rPr>
          <w:i w:val="0"/>
        </w:rPr>
        <w:tab/>
        <w:t>Characteristics of studies comparing low D</w:t>
      </w:r>
      <w:r w:rsidRPr="00E262C6">
        <w:rPr>
          <w:i w:val="0"/>
          <w:vertAlign w:val="subscript"/>
        </w:rPr>
        <w:t>2</w:t>
      </w:r>
      <w:r w:rsidRPr="00E262C6">
        <w:rPr>
          <w:i w:val="0"/>
        </w:rPr>
        <w:t xml:space="preserve"> and D</w:t>
      </w:r>
      <w:r w:rsidRPr="00E262C6">
        <w:rPr>
          <w:i w:val="0"/>
          <w:vertAlign w:val="subscript"/>
        </w:rPr>
        <w:t xml:space="preserve">3 </w:t>
      </w:r>
      <w:r w:rsidRPr="00E262C6">
        <w:rPr>
          <w:i w:val="0"/>
        </w:rPr>
        <w:t>doses on serum 25OHD</w:t>
      </w:r>
    </w:p>
    <w:tbl>
      <w:tblPr>
        <w:tblStyle w:val="TableGrid"/>
        <w:tblW w:w="9464" w:type="dxa"/>
        <w:tblLayout w:type="fixed"/>
        <w:tblLook w:val="04A0" w:firstRow="1" w:lastRow="0" w:firstColumn="1" w:lastColumn="0" w:noHBand="0" w:noVBand="1"/>
      </w:tblPr>
      <w:tblGrid>
        <w:gridCol w:w="1384"/>
        <w:gridCol w:w="1418"/>
        <w:gridCol w:w="992"/>
        <w:gridCol w:w="1134"/>
        <w:gridCol w:w="1417"/>
        <w:gridCol w:w="851"/>
        <w:gridCol w:w="1134"/>
        <w:gridCol w:w="1134"/>
      </w:tblGrid>
      <w:tr w:rsidR="00DD5C9C" w:rsidRPr="009076C7" w14:paraId="25B5D70C" w14:textId="77777777" w:rsidTr="00E262C6">
        <w:trPr>
          <w:trHeight w:val="295"/>
          <w:tblHeader/>
        </w:trPr>
        <w:tc>
          <w:tcPr>
            <w:tcW w:w="1384" w:type="dxa"/>
            <w:vMerge w:val="restart"/>
            <w:vAlign w:val="center"/>
          </w:tcPr>
          <w:p w14:paraId="25B5D702" w14:textId="77777777" w:rsidR="00DD5C9C" w:rsidRPr="00501FF8" w:rsidRDefault="00DD5C9C" w:rsidP="003B5D42">
            <w:pPr>
              <w:jc w:val="center"/>
              <w:rPr>
                <w:b/>
                <w:sz w:val="18"/>
                <w:szCs w:val="18"/>
              </w:rPr>
            </w:pPr>
            <w:r w:rsidRPr="00501FF8">
              <w:rPr>
                <w:b/>
                <w:sz w:val="18"/>
                <w:szCs w:val="18"/>
              </w:rPr>
              <w:t xml:space="preserve">Study </w:t>
            </w:r>
            <w:r w:rsidRPr="00501FF8">
              <w:rPr>
                <w:b/>
                <w:sz w:val="18"/>
                <w:szCs w:val="18"/>
                <w:vertAlign w:val="superscript"/>
              </w:rPr>
              <w:t>a</w:t>
            </w:r>
          </w:p>
        </w:tc>
        <w:tc>
          <w:tcPr>
            <w:tcW w:w="1418" w:type="dxa"/>
            <w:vMerge w:val="restart"/>
            <w:vAlign w:val="center"/>
          </w:tcPr>
          <w:p w14:paraId="25B5D703" w14:textId="77777777" w:rsidR="00DD5C9C" w:rsidRPr="00501FF8" w:rsidRDefault="00DD5C9C" w:rsidP="003B5D42">
            <w:pPr>
              <w:jc w:val="center"/>
              <w:rPr>
                <w:b/>
                <w:sz w:val="18"/>
                <w:szCs w:val="18"/>
              </w:rPr>
            </w:pPr>
            <w:r w:rsidRPr="00501FF8">
              <w:rPr>
                <w:b/>
                <w:sz w:val="18"/>
                <w:szCs w:val="18"/>
              </w:rPr>
              <w:t>Subjects</w:t>
            </w:r>
          </w:p>
        </w:tc>
        <w:tc>
          <w:tcPr>
            <w:tcW w:w="992" w:type="dxa"/>
            <w:vMerge w:val="restart"/>
            <w:vAlign w:val="center"/>
          </w:tcPr>
          <w:p w14:paraId="25B5D704" w14:textId="77777777" w:rsidR="00DD5C9C" w:rsidRPr="00501FF8" w:rsidRDefault="00DD5C9C" w:rsidP="003B5D42">
            <w:pPr>
              <w:jc w:val="center"/>
              <w:rPr>
                <w:b/>
                <w:sz w:val="18"/>
                <w:szCs w:val="18"/>
              </w:rPr>
            </w:pPr>
            <w:r w:rsidRPr="00501FF8">
              <w:rPr>
                <w:b/>
                <w:sz w:val="18"/>
                <w:szCs w:val="18"/>
              </w:rPr>
              <w:t>Control</w:t>
            </w:r>
          </w:p>
          <w:p w14:paraId="25B5D705" w14:textId="77777777" w:rsidR="00DD5C9C" w:rsidRPr="00501FF8" w:rsidRDefault="00DD5C9C" w:rsidP="003B5D42">
            <w:pPr>
              <w:jc w:val="center"/>
              <w:rPr>
                <w:b/>
                <w:sz w:val="18"/>
                <w:szCs w:val="18"/>
              </w:rPr>
            </w:pPr>
            <w:r w:rsidRPr="00501FF8">
              <w:rPr>
                <w:b/>
                <w:sz w:val="18"/>
                <w:szCs w:val="18"/>
              </w:rPr>
              <w:t>group</w:t>
            </w:r>
          </w:p>
        </w:tc>
        <w:tc>
          <w:tcPr>
            <w:tcW w:w="1134" w:type="dxa"/>
            <w:vMerge w:val="restart"/>
            <w:vAlign w:val="center"/>
          </w:tcPr>
          <w:p w14:paraId="25B5D706" w14:textId="77777777" w:rsidR="00DD5C9C" w:rsidRPr="00501FF8" w:rsidRDefault="00DD5C9C" w:rsidP="003B5D42">
            <w:pPr>
              <w:jc w:val="center"/>
              <w:rPr>
                <w:b/>
                <w:sz w:val="18"/>
                <w:szCs w:val="18"/>
              </w:rPr>
            </w:pPr>
            <w:r w:rsidRPr="00501FF8">
              <w:rPr>
                <w:b/>
                <w:sz w:val="18"/>
                <w:szCs w:val="18"/>
              </w:rPr>
              <w:t>D</w:t>
            </w:r>
            <w:r w:rsidRPr="00501FF8">
              <w:rPr>
                <w:b/>
                <w:sz w:val="18"/>
                <w:szCs w:val="18"/>
                <w:vertAlign w:val="subscript"/>
              </w:rPr>
              <w:t>2</w:t>
            </w:r>
            <w:r w:rsidRPr="00501FF8">
              <w:rPr>
                <w:b/>
                <w:sz w:val="18"/>
                <w:szCs w:val="18"/>
              </w:rPr>
              <w:t xml:space="preserve"> or D</w:t>
            </w:r>
            <w:r w:rsidRPr="00501FF8">
              <w:rPr>
                <w:b/>
                <w:sz w:val="18"/>
                <w:szCs w:val="18"/>
                <w:vertAlign w:val="subscript"/>
              </w:rPr>
              <w:t>3</w:t>
            </w:r>
          </w:p>
          <w:p w14:paraId="25B5D707" w14:textId="77777777" w:rsidR="00DD5C9C" w:rsidRPr="00501FF8" w:rsidRDefault="00DD5C9C" w:rsidP="003B5D42">
            <w:pPr>
              <w:jc w:val="center"/>
              <w:rPr>
                <w:b/>
                <w:sz w:val="18"/>
                <w:szCs w:val="18"/>
              </w:rPr>
            </w:pPr>
            <w:r w:rsidRPr="00501FF8">
              <w:rPr>
                <w:b/>
                <w:sz w:val="18"/>
                <w:szCs w:val="18"/>
              </w:rPr>
              <w:t>(µg/day)</w:t>
            </w:r>
          </w:p>
          <w:p w14:paraId="25B5D708" w14:textId="77777777" w:rsidR="00DD5C9C" w:rsidRPr="00501FF8" w:rsidRDefault="00DD5C9C" w:rsidP="003B5D42">
            <w:pPr>
              <w:jc w:val="center"/>
              <w:rPr>
                <w:b/>
                <w:sz w:val="18"/>
                <w:szCs w:val="18"/>
              </w:rPr>
            </w:pPr>
            <w:r w:rsidRPr="00501FF8">
              <w:rPr>
                <w:b/>
                <w:sz w:val="18"/>
                <w:szCs w:val="18"/>
              </w:rPr>
              <w:t>Duration</w:t>
            </w:r>
          </w:p>
        </w:tc>
        <w:tc>
          <w:tcPr>
            <w:tcW w:w="1417" w:type="dxa"/>
            <w:vMerge w:val="restart"/>
            <w:vAlign w:val="center"/>
          </w:tcPr>
          <w:p w14:paraId="25B5D709" w14:textId="77777777" w:rsidR="00DD5C9C" w:rsidRPr="00501FF8" w:rsidRDefault="00DD5C9C" w:rsidP="003B5D42">
            <w:pPr>
              <w:jc w:val="center"/>
              <w:rPr>
                <w:b/>
                <w:sz w:val="18"/>
                <w:szCs w:val="18"/>
              </w:rPr>
            </w:pPr>
            <w:r w:rsidRPr="00501FF8">
              <w:rPr>
                <w:b/>
                <w:sz w:val="18"/>
                <w:szCs w:val="18"/>
              </w:rPr>
              <w:t>Commencing</w:t>
            </w:r>
          </w:p>
        </w:tc>
        <w:tc>
          <w:tcPr>
            <w:tcW w:w="851" w:type="dxa"/>
            <w:vMerge w:val="restart"/>
            <w:vAlign w:val="center"/>
          </w:tcPr>
          <w:p w14:paraId="25B5D70A" w14:textId="77777777" w:rsidR="00DD5C9C" w:rsidRPr="00501FF8" w:rsidRDefault="00DD5C9C" w:rsidP="003B5D42">
            <w:pPr>
              <w:jc w:val="center"/>
              <w:rPr>
                <w:b/>
                <w:sz w:val="18"/>
                <w:szCs w:val="18"/>
              </w:rPr>
            </w:pPr>
            <w:r w:rsidRPr="00501FF8">
              <w:rPr>
                <w:b/>
                <w:sz w:val="18"/>
                <w:szCs w:val="18"/>
              </w:rPr>
              <w:t>Assay</w:t>
            </w:r>
          </w:p>
        </w:tc>
        <w:tc>
          <w:tcPr>
            <w:tcW w:w="2268" w:type="dxa"/>
            <w:gridSpan w:val="2"/>
            <w:vAlign w:val="center"/>
          </w:tcPr>
          <w:p w14:paraId="25B5D70B" w14:textId="77777777" w:rsidR="00DD5C9C" w:rsidRPr="00501FF8" w:rsidRDefault="00DD5C9C" w:rsidP="003B5D42">
            <w:pPr>
              <w:jc w:val="center"/>
              <w:rPr>
                <w:b/>
                <w:sz w:val="18"/>
                <w:szCs w:val="18"/>
              </w:rPr>
            </w:pPr>
            <w:r w:rsidRPr="00501FF8">
              <w:rPr>
                <w:b/>
                <w:sz w:val="18"/>
                <w:szCs w:val="18"/>
              </w:rPr>
              <w:t>[25OHD] (nM)</w:t>
            </w:r>
          </w:p>
        </w:tc>
      </w:tr>
      <w:tr w:rsidR="00DD5C9C" w:rsidRPr="009076C7" w14:paraId="25B5D717" w14:textId="77777777" w:rsidTr="00E262C6">
        <w:trPr>
          <w:tblHeader/>
        </w:trPr>
        <w:tc>
          <w:tcPr>
            <w:tcW w:w="1384" w:type="dxa"/>
            <w:vMerge/>
            <w:vAlign w:val="center"/>
          </w:tcPr>
          <w:p w14:paraId="25B5D70D" w14:textId="77777777" w:rsidR="00DD5C9C" w:rsidRPr="00501FF8" w:rsidRDefault="00DD5C9C" w:rsidP="003B5D42">
            <w:pPr>
              <w:jc w:val="center"/>
              <w:rPr>
                <w:b/>
                <w:sz w:val="18"/>
                <w:szCs w:val="18"/>
              </w:rPr>
            </w:pPr>
          </w:p>
        </w:tc>
        <w:tc>
          <w:tcPr>
            <w:tcW w:w="1418" w:type="dxa"/>
            <w:vMerge/>
            <w:vAlign w:val="center"/>
          </w:tcPr>
          <w:p w14:paraId="25B5D70E" w14:textId="77777777" w:rsidR="00DD5C9C" w:rsidRPr="00501FF8" w:rsidRDefault="00DD5C9C" w:rsidP="003B5D42">
            <w:pPr>
              <w:jc w:val="center"/>
              <w:rPr>
                <w:b/>
                <w:sz w:val="18"/>
                <w:szCs w:val="18"/>
              </w:rPr>
            </w:pPr>
          </w:p>
        </w:tc>
        <w:tc>
          <w:tcPr>
            <w:tcW w:w="992" w:type="dxa"/>
            <w:vMerge/>
            <w:vAlign w:val="center"/>
          </w:tcPr>
          <w:p w14:paraId="25B5D70F" w14:textId="77777777" w:rsidR="00DD5C9C" w:rsidRPr="00501FF8" w:rsidRDefault="00DD5C9C" w:rsidP="003B5D42">
            <w:pPr>
              <w:jc w:val="center"/>
              <w:rPr>
                <w:b/>
                <w:sz w:val="18"/>
                <w:szCs w:val="18"/>
              </w:rPr>
            </w:pPr>
          </w:p>
        </w:tc>
        <w:tc>
          <w:tcPr>
            <w:tcW w:w="1134" w:type="dxa"/>
            <w:vMerge/>
            <w:vAlign w:val="center"/>
          </w:tcPr>
          <w:p w14:paraId="25B5D710" w14:textId="77777777" w:rsidR="00DD5C9C" w:rsidRPr="00501FF8" w:rsidRDefault="00DD5C9C" w:rsidP="003B5D42">
            <w:pPr>
              <w:jc w:val="center"/>
              <w:rPr>
                <w:b/>
                <w:sz w:val="18"/>
                <w:szCs w:val="18"/>
              </w:rPr>
            </w:pPr>
          </w:p>
        </w:tc>
        <w:tc>
          <w:tcPr>
            <w:tcW w:w="1417" w:type="dxa"/>
            <w:vMerge/>
            <w:vAlign w:val="center"/>
          </w:tcPr>
          <w:p w14:paraId="25B5D711" w14:textId="77777777" w:rsidR="00DD5C9C" w:rsidRPr="00501FF8" w:rsidRDefault="00DD5C9C" w:rsidP="003B5D42">
            <w:pPr>
              <w:jc w:val="center"/>
              <w:rPr>
                <w:b/>
                <w:sz w:val="18"/>
                <w:szCs w:val="18"/>
              </w:rPr>
            </w:pPr>
          </w:p>
        </w:tc>
        <w:tc>
          <w:tcPr>
            <w:tcW w:w="851" w:type="dxa"/>
            <w:vMerge/>
            <w:vAlign w:val="center"/>
          </w:tcPr>
          <w:p w14:paraId="25B5D712" w14:textId="77777777" w:rsidR="00DD5C9C" w:rsidRPr="00501FF8" w:rsidRDefault="00DD5C9C" w:rsidP="003B5D42">
            <w:pPr>
              <w:jc w:val="center"/>
              <w:rPr>
                <w:b/>
                <w:sz w:val="18"/>
                <w:szCs w:val="18"/>
              </w:rPr>
            </w:pPr>
          </w:p>
        </w:tc>
        <w:tc>
          <w:tcPr>
            <w:tcW w:w="1134" w:type="dxa"/>
            <w:vAlign w:val="center"/>
          </w:tcPr>
          <w:p w14:paraId="25B5D713" w14:textId="77777777" w:rsidR="00DD5C9C" w:rsidRPr="00501FF8" w:rsidRDefault="00DD5C9C" w:rsidP="003B5D42">
            <w:pPr>
              <w:jc w:val="center"/>
              <w:rPr>
                <w:b/>
                <w:sz w:val="18"/>
                <w:szCs w:val="18"/>
              </w:rPr>
            </w:pPr>
            <w:r w:rsidRPr="00501FF8">
              <w:rPr>
                <w:b/>
                <w:sz w:val="18"/>
                <w:szCs w:val="18"/>
              </w:rPr>
              <w:t xml:space="preserve">Baseline </w:t>
            </w:r>
            <w:r w:rsidRPr="00501FF8">
              <w:rPr>
                <w:b/>
                <w:sz w:val="18"/>
                <w:szCs w:val="18"/>
                <w:vertAlign w:val="superscript"/>
              </w:rPr>
              <w:t>b</w:t>
            </w:r>
          </w:p>
          <w:p w14:paraId="25B5D714" w14:textId="77777777" w:rsidR="00DD5C9C" w:rsidRPr="00501FF8" w:rsidRDefault="00DD5C9C" w:rsidP="003B5D42">
            <w:pPr>
              <w:jc w:val="center"/>
              <w:rPr>
                <w:b/>
                <w:sz w:val="18"/>
                <w:szCs w:val="18"/>
              </w:rPr>
            </w:pPr>
          </w:p>
        </w:tc>
        <w:tc>
          <w:tcPr>
            <w:tcW w:w="1134" w:type="dxa"/>
            <w:vAlign w:val="center"/>
          </w:tcPr>
          <w:p w14:paraId="25B5D715" w14:textId="77777777" w:rsidR="00DD5C9C" w:rsidRPr="00501FF8" w:rsidRDefault="00DD5C9C" w:rsidP="003B5D42">
            <w:pPr>
              <w:jc w:val="center"/>
              <w:rPr>
                <w:b/>
                <w:sz w:val="18"/>
                <w:szCs w:val="18"/>
              </w:rPr>
            </w:pPr>
            <w:r w:rsidRPr="00501FF8">
              <w:rPr>
                <w:b/>
                <w:sz w:val="18"/>
                <w:szCs w:val="18"/>
              </w:rPr>
              <w:t>Treatment Difference</w:t>
            </w:r>
          </w:p>
          <w:p w14:paraId="25B5D716" w14:textId="77777777" w:rsidR="00DD5C9C" w:rsidRPr="00501FF8" w:rsidRDefault="00DD5C9C" w:rsidP="003B5D42">
            <w:pPr>
              <w:jc w:val="center"/>
              <w:rPr>
                <w:b/>
                <w:sz w:val="18"/>
                <w:szCs w:val="18"/>
              </w:rPr>
            </w:pPr>
            <w:r w:rsidRPr="00501FF8">
              <w:rPr>
                <w:b/>
                <w:sz w:val="18"/>
                <w:szCs w:val="18"/>
              </w:rPr>
              <w:t>D</w:t>
            </w:r>
            <w:r w:rsidRPr="00501FF8">
              <w:rPr>
                <w:b/>
                <w:sz w:val="18"/>
                <w:szCs w:val="18"/>
                <w:vertAlign w:val="subscript"/>
              </w:rPr>
              <w:t>3</w:t>
            </w:r>
            <w:r w:rsidRPr="00501FF8">
              <w:rPr>
                <w:b/>
                <w:sz w:val="18"/>
                <w:szCs w:val="18"/>
              </w:rPr>
              <w:t xml:space="preserve"> - D</w:t>
            </w:r>
            <w:r w:rsidRPr="00501FF8">
              <w:rPr>
                <w:b/>
                <w:sz w:val="18"/>
                <w:szCs w:val="18"/>
                <w:vertAlign w:val="subscript"/>
              </w:rPr>
              <w:t xml:space="preserve">2 </w:t>
            </w:r>
            <w:r w:rsidRPr="00501FF8">
              <w:rPr>
                <w:b/>
                <w:sz w:val="18"/>
                <w:szCs w:val="18"/>
                <w:vertAlign w:val="superscript"/>
              </w:rPr>
              <w:t>c</w:t>
            </w:r>
          </w:p>
        </w:tc>
      </w:tr>
      <w:tr w:rsidR="00DD5C9C" w:rsidRPr="009076C7" w14:paraId="25B5D722" w14:textId="77777777" w:rsidTr="003B5D42">
        <w:trPr>
          <w:trHeight w:val="510"/>
        </w:trPr>
        <w:tc>
          <w:tcPr>
            <w:tcW w:w="1384" w:type="dxa"/>
            <w:shd w:val="clear" w:color="auto" w:fill="D9D9D9" w:themeFill="background1" w:themeFillShade="D9"/>
            <w:vAlign w:val="center"/>
          </w:tcPr>
          <w:p w14:paraId="25B5D718" w14:textId="77777777" w:rsidR="00DD5C9C" w:rsidRPr="00501FF8" w:rsidRDefault="00DD5C9C" w:rsidP="003B5D42">
            <w:pPr>
              <w:rPr>
                <w:sz w:val="18"/>
                <w:szCs w:val="18"/>
              </w:rPr>
            </w:pPr>
            <w:r w:rsidRPr="00501FF8">
              <w:rPr>
                <w:sz w:val="18"/>
                <w:szCs w:val="18"/>
              </w:rPr>
              <w:t>Biancuzzo – 1</w:t>
            </w:r>
          </w:p>
          <w:p w14:paraId="25B5D719" w14:textId="77777777" w:rsidR="00DD5C9C" w:rsidRPr="00501FF8" w:rsidRDefault="00DD5C9C" w:rsidP="003B5D42">
            <w:pPr>
              <w:rPr>
                <w:sz w:val="18"/>
                <w:szCs w:val="18"/>
              </w:rPr>
            </w:pPr>
            <w:r w:rsidRPr="00501FF8">
              <w:rPr>
                <w:sz w:val="18"/>
                <w:szCs w:val="18"/>
              </w:rPr>
              <w:t>(2010)</w:t>
            </w:r>
          </w:p>
        </w:tc>
        <w:tc>
          <w:tcPr>
            <w:tcW w:w="1418" w:type="dxa"/>
            <w:shd w:val="clear" w:color="auto" w:fill="D9D9D9" w:themeFill="background1" w:themeFillShade="D9"/>
            <w:vAlign w:val="center"/>
          </w:tcPr>
          <w:p w14:paraId="25B5D71A" w14:textId="77777777" w:rsidR="00DD5C9C" w:rsidRPr="00501FF8" w:rsidRDefault="00DD5C9C" w:rsidP="003B5D42">
            <w:pPr>
              <w:jc w:val="center"/>
              <w:rPr>
                <w:sz w:val="18"/>
                <w:szCs w:val="18"/>
              </w:rPr>
            </w:pPr>
            <w:r w:rsidRPr="00501FF8">
              <w:rPr>
                <w:sz w:val="18"/>
                <w:szCs w:val="18"/>
              </w:rPr>
              <w:t>Healthy adults</w:t>
            </w:r>
          </w:p>
        </w:tc>
        <w:tc>
          <w:tcPr>
            <w:tcW w:w="992" w:type="dxa"/>
            <w:shd w:val="clear" w:color="auto" w:fill="D9D9D9" w:themeFill="background1" w:themeFillShade="D9"/>
            <w:vAlign w:val="center"/>
          </w:tcPr>
          <w:p w14:paraId="25B5D71B" w14:textId="77777777" w:rsidR="00DD5C9C" w:rsidRPr="00501FF8" w:rsidRDefault="00DD5C9C" w:rsidP="003B5D42">
            <w:pPr>
              <w:jc w:val="center"/>
              <w:rPr>
                <w:sz w:val="18"/>
                <w:szCs w:val="18"/>
              </w:rPr>
            </w:pPr>
            <w:r w:rsidRPr="00501FF8">
              <w:rPr>
                <w:sz w:val="18"/>
                <w:szCs w:val="18"/>
              </w:rPr>
              <w:t>Placebo</w:t>
            </w:r>
          </w:p>
        </w:tc>
        <w:tc>
          <w:tcPr>
            <w:tcW w:w="1134" w:type="dxa"/>
            <w:shd w:val="clear" w:color="auto" w:fill="D9D9D9" w:themeFill="background1" w:themeFillShade="D9"/>
            <w:vAlign w:val="center"/>
          </w:tcPr>
          <w:p w14:paraId="25B5D71C" w14:textId="77777777" w:rsidR="00DD5C9C" w:rsidRPr="00501FF8" w:rsidRDefault="00DD5C9C" w:rsidP="003B5D42">
            <w:pPr>
              <w:jc w:val="center"/>
              <w:rPr>
                <w:sz w:val="18"/>
                <w:szCs w:val="18"/>
              </w:rPr>
            </w:pPr>
            <w:r w:rsidRPr="00501FF8">
              <w:rPr>
                <w:sz w:val="18"/>
                <w:szCs w:val="18"/>
              </w:rPr>
              <w:t>25 µg</w:t>
            </w:r>
          </w:p>
          <w:p w14:paraId="25B5D71D" w14:textId="77777777" w:rsidR="00DD5C9C" w:rsidRPr="00501FF8" w:rsidRDefault="00DD5C9C" w:rsidP="003B5D42">
            <w:pPr>
              <w:jc w:val="center"/>
              <w:rPr>
                <w:rFonts w:cs="Arial"/>
                <w:sz w:val="18"/>
                <w:szCs w:val="18"/>
              </w:rPr>
            </w:pPr>
            <w:r w:rsidRPr="00501FF8">
              <w:rPr>
                <w:rFonts w:cs="Arial"/>
                <w:sz w:val="18"/>
                <w:szCs w:val="18"/>
              </w:rPr>
              <w:t>11 weeks</w:t>
            </w:r>
          </w:p>
        </w:tc>
        <w:tc>
          <w:tcPr>
            <w:tcW w:w="1417" w:type="dxa"/>
            <w:shd w:val="clear" w:color="auto" w:fill="D9D9D9" w:themeFill="background1" w:themeFillShade="D9"/>
            <w:vAlign w:val="center"/>
          </w:tcPr>
          <w:p w14:paraId="25B5D71E" w14:textId="77777777" w:rsidR="00DD5C9C" w:rsidRPr="00501FF8" w:rsidRDefault="00DD5C9C" w:rsidP="003B5D42">
            <w:pPr>
              <w:jc w:val="center"/>
              <w:rPr>
                <w:sz w:val="18"/>
                <w:szCs w:val="18"/>
              </w:rPr>
            </w:pPr>
            <w:r w:rsidRPr="00501FF8">
              <w:rPr>
                <w:sz w:val="18"/>
                <w:szCs w:val="18"/>
              </w:rPr>
              <w:t>Late winter</w:t>
            </w:r>
          </w:p>
        </w:tc>
        <w:tc>
          <w:tcPr>
            <w:tcW w:w="851" w:type="dxa"/>
            <w:shd w:val="clear" w:color="auto" w:fill="D9D9D9" w:themeFill="background1" w:themeFillShade="D9"/>
            <w:vAlign w:val="center"/>
          </w:tcPr>
          <w:p w14:paraId="25B5D71F" w14:textId="77777777" w:rsidR="00DD5C9C" w:rsidRPr="00501FF8" w:rsidRDefault="00DD5C9C" w:rsidP="003B5D42">
            <w:pPr>
              <w:jc w:val="center"/>
              <w:rPr>
                <w:sz w:val="18"/>
                <w:szCs w:val="18"/>
              </w:rPr>
            </w:pPr>
            <w:r w:rsidRPr="00501FF8">
              <w:rPr>
                <w:sz w:val="18"/>
                <w:szCs w:val="18"/>
              </w:rPr>
              <w:t>LC-MS</w:t>
            </w:r>
          </w:p>
        </w:tc>
        <w:tc>
          <w:tcPr>
            <w:tcW w:w="1134" w:type="dxa"/>
            <w:shd w:val="clear" w:color="auto" w:fill="D9D9D9" w:themeFill="background1" w:themeFillShade="D9"/>
            <w:vAlign w:val="center"/>
          </w:tcPr>
          <w:p w14:paraId="25B5D720" w14:textId="77777777" w:rsidR="00DD5C9C" w:rsidRPr="00501FF8" w:rsidRDefault="00DD5C9C" w:rsidP="003B5D42">
            <w:pPr>
              <w:jc w:val="center"/>
              <w:rPr>
                <w:sz w:val="18"/>
                <w:szCs w:val="18"/>
              </w:rPr>
            </w:pPr>
            <w:r w:rsidRPr="00501FF8">
              <w:rPr>
                <w:sz w:val="18"/>
                <w:szCs w:val="18"/>
              </w:rPr>
              <w:t>39.5–49.5</w:t>
            </w:r>
          </w:p>
        </w:tc>
        <w:tc>
          <w:tcPr>
            <w:tcW w:w="1134" w:type="dxa"/>
            <w:shd w:val="clear" w:color="auto" w:fill="D9D9D9" w:themeFill="background1" w:themeFillShade="D9"/>
            <w:vAlign w:val="center"/>
          </w:tcPr>
          <w:p w14:paraId="25B5D721" w14:textId="77777777" w:rsidR="00DD5C9C" w:rsidRPr="00501FF8" w:rsidRDefault="00DD5C9C" w:rsidP="003B5D42">
            <w:pPr>
              <w:jc w:val="center"/>
              <w:rPr>
                <w:sz w:val="18"/>
                <w:szCs w:val="18"/>
              </w:rPr>
            </w:pPr>
            <w:r w:rsidRPr="00501FF8">
              <w:rPr>
                <w:sz w:val="18"/>
                <w:szCs w:val="18"/>
              </w:rPr>
              <w:t>5.5</w:t>
            </w:r>
          </w:p>
        </w:tc>
      </w:tr>
      <w:tr w:rsidR="00DD5C9C" w:rsidRPr="009076C7" w14:paraId="25B5D72D" w14:textId="77777777" w:rsidTr="003B5D42">
        <w:trPr>
          <w:trHeight w:val="510"/>
        </w:trPr>
        <w:tc>
          <w:tcPr>
            <w:tcW w:w="1384" w:type="dxa"/>
            <w:shd w:val="clear" w:color="auto" w:fill="D9D9D9" w:themeFill="background1" w:themeFillShade="D9"/>
            <w:vAlign w:val="center"/>
          </w:tcPr>
          <w:p w14:paraId="25B5D723" w14:textId="77777777" w:rsidR="00DD5C9C" w:rsidRPr="00501FF8" w:rsidRDefault="00DD5C9C" w:rsidP="003B5D42">
            <w:pPr>
              <w:rPr>
                <w:sz w:val="18"/>
                <w:szCs w:val="18"/>
              </w:rPr>
            </w:pPr>
            <w:r w:rsidRPr="00501FF8">
              <w:rPr>
                <w:sz w:val="18"/>
                <w:szCs w:val="18"/>
              </w:rPr>
              <w:t>Biancuzzo – 2</w:t>
            </w:r>
          </w:p>
          <w:p w14:paraId="25B5D724" w14:textId="77777777" w:rsidR="00DD5C9C" w:rsidRPr="00501FF8" w:rsidRDefault="00DD5C9C" w:rsidP="003B5D42">
            <w:pPr>
              <w:rPr>
                <w:sz w:val="18"/>
                <w:szCs w:val="18"/>
              </w:rPr>
            </w:pPr>
            <w:r w:rsidRPr="00501FF8">
              <w:rPr>
                <w:sz w:val="18"/>
                <w:szCs w:val="18"/>
              </w:rPr>
              <w:t>(2010)</w:t>
            </w:r>
          </w:p>
        </w:tc>
        <w:tc>
          <w:tcPr>
            <w:tcW w:w="1418" w:type="dxa"/>
            <w:shd w:val="clear" w:color="auto" w:fill="D9D9D9" w:themeFill="background1" w:themeFillShade="D9"/>
            <w:vAlign w:val="center"/>
          </w:tcPr>
          <w:p w14:paraId="25B5D725" w14:textId="77777777" w:rsidR="00DD5C9C" w:rsidRPr="00501FF8" w:rsidRDefault="00DD5C9C" w:rsidP="003B5D42">
            <w:pPr>
              <w:jc w:val="center"/>
              <w:rPr>
                <w:sz w:val="18"/>
                <w:szCs w:val="18"/>
              </w:rPr>
            </w:pPr>
            <w:r w:rsidRPr="00501FF8">
              <w:rPr>
                <w:sz w:val="18"/>
                <w:szCs w:val="18"/>
              </w:rPr>
              <w:t>Healthy adults</w:t>
            </w:r>
          </w:p>
        </w:tc>
        <w:tc>
          <w:tcPr>
            <w:tcW w:w="992" w:type="dxa"/>
            <w:shd w:val="clear" w:color="auto" w:fill="D9D9D9" w:themeFill="background1" w:themeFillShade="D9"/>
            <w:vAlign w:val="center"/>
          </w:tcPr>
          <w:p w14:paraId="25B5D726" w14:textId="77777777" w:rsidR="00DD5C9C" w:rsidRPr="00501FF8" w:rsidRDefault="00DD5C9C" w:rsidP="003B5D42">
            <w:pPr>
              <w:jc w:val="center"/>
              <w:rPr>
                <w:sz w:val="18"/>
                <w:szCs w:val="18"/>
              </w:rPr>
            </w:pPr>
            <w:r w:rsidRPr="00501FF8">
              <w:rPr>
                <w:sz w:val="18"/>
                <w:szCs w:val="18"/>
              </w:rPr>
              <w:t>Placebo</w:t>
            </w:r>
          </w:p>
        </w:tc>
        <w:tc>
          <w:tcPr>
            <w:tcW w:w="1134" w:type="dxa"/>
            <w:shd w:val="clear" w:color="auto" w:fill="D9D9D9" w:themeFill="background1" w:themeFillShade="D9"/>
            <w:vAlign w:val="center"/>
          </w:tcPr>
          <w:p w14:paraId="25B5D727" w14:textId="77777777" w:rsidR="00DD5C9C" w:rsidRPr="00501FF8" w:rsidRDefault="00DD5C9C" w:rsidP="003B5D42">
            <w:pPr>
              <w:jc w:val="center"/>
              <w:rPr>
                <w:sz w:val="18"/>
                <w:szCs w:val="18"/>
              </w:rPr>
            </w:pPr>
            <w:r w:rsidRPr="00501FF8">
              <w:rPr>
                <w:sz w:val="18"/>
                <w:szCs w:val="18"/>
              </w:rPr>
              <w:t>25 µg</w:t>
            </w:r>
          </w:p>
          <w:p w14:paraId="25B5D728" w14:textId="77777777" w:rsidR="00DD5C9C" w:rsidRPr="00501FF8" w:rsidRDefault="00DD5C9C" w:rsidP="003B5D42">
            <w:pPr>
              <w:jc w:val="center"/>
              <w:rPr>
                <w:sz w:val="18"/>
                <w:szCs w:val="18"/>
              </w:rPr>
            </w:pPr>
            <w:r w:rsidRPr="00501FF8">
              <w:rPr>
                <w:sz w:val="18"/>
                <w:szCs w:val="18"/>
              </w:rPr>
              <w:t>11 weeks</w:t>
            </w:r>
          </w:p>
        </w:tc>
        <w:tc>
          <w:tcPr>
            <w:tcW w:w="1417" w:type="dxa"/>
            <w:shd w:val="clear" w:color="auto" w:fill="D9D9D9" w:themeFill="background1" w:themeFillShade="D9"/>
            <w:vAlign w:val="center"/>
          </w:tcPr>
          <w:p w14:paraId="25B5D729" w14:textId="77777777" w:rsidR="00DD5C9C" w:rsidRPr="00501FF8" w:rsidRDefault="00DD5C9C" w:rsidP="003B5D42">
            <w:pPr>
              <w:jc w:val="center"/>
              <w:rPr>
                <w:sz w:val="18"/>
                <w:szCs w:val="18"/>
              </w:rPr>
            </w:pPr>
            <w:r w:rsidRPr="00501FF8">
              <w:rPr>
                <w:sz w:val="18"/>
                <w:szCs w:val="18"/>
              </w:rPr>
              <w:t>Late winter</w:t>
            </w:r>
          </w:p>
        </w:tc>
        <w:tc>
          <w:tcPr>
            <w:tcW w:w="851" w:type="dxa"/>
            <w:shd w:val="clear" w:color="auto" w:fill="D9D9D9" w:themeFill="background1" w:themeFillShade="D9"/>
            <w:vAlign w:val="center"/>
          </w:tcPr>
          <w:p w14:paraId="25B5D72A" w14:textId="77777777" w:rsidR="00DD5C9C" w:rsidRPr="00501FF8" w:rsidRDefault="00DD5C9C" w:rsidP="003B5D42">
            <w:pPr>
              <w:jc w:val="center"/>
              <w:rPr>
                <w:sz w:val="18"/>
                <w:szCs w:val="18"/>
              </w:rPr>
            </w:pPr>
            <w:r w:rsidRPr="00501FF8">
              <w:rPr>
                <w:sz w:val="18"/>
                <w:szCs w:val="18"/>
              </w:rPr>
              <w:t>LC-MS</w:t>
            </w:r>
          </w:p>
        </w:tc>
        <w:tc>
          <w:tcPr>
            <w:tcW w:w="1134" w:type="dxa"/>
            <w:shd w:val="clear" w:color="auto" w:fill="D9D9D9" w:themeFill="background1" w:themeFillShade="D9"/>
            <w:vAlign w:val="center"/>
          </w:tcPr>
          <w:p w14:paraId="25B5D72B" w14:textId="77777777" w:rsidR="00DD5C9C" w:rsidRPr="00501FF8" w:rsidRDefault="00DD5C9C" w:rsidP="003B5D42">
            <w:pPr>
              <w:jc w:val="center"/>
              <w:rPr>
                <w:sz w:val="18"/>
                <w:szCs w:val="18"/>
              </w:rPr>
            </w:pPr>
            <w:r w:rsidRPr="00501FF8">
              <w:rPr>
                <w:sz w:val="18"/>
                <w:szCs w:val="18"/>
              </w:rPr>
              <w:t>41.5–49.0</w:t>
            </w:r>
          </w:p>
        </w:tc>
        <w:tc>
          <w:tcPr>
            <w:tcW w:w="1134" w:type="dxa"/>
            <w:shd w:val="clear" w:color="auto" w:fill="D9D9D9" w:themeFill="background1" w:themeFillShade="D9"/>
            <w:vAlign w:val="center"/>
          </w:tcPr>
          <w:p w14:paraId="25B5D72C" w14:textId="77777777" w:rsidR="00DD5C9C" w:rsidRPr="00501FF8" w:rsidRDefault="00DD5C9C" w:rsidP="003B5D42">
            <w:pPr>
              <w:jc w:val="center"/>
              <w:rPr>
                <w:sz w:val="18"/>
                <w:szCs w:val="18"/>
              </w:rPr>
            </w:pPr>
            <w:r w:rsidRPr="00501FF8">
              <w:rPr>
                <w:sz w:val="18"/>
                <w:szCs w:val="18"/>
              </w:rPr>
              <w:t>-6.0</w:t>
            </w:r>
          </w:p>
        </w:tc>
      </w:tr>
      <w:tr w:rsidR="00DD5C9C" w:rsidRPr="009076C7" w14:paraId="25B5D738" w14:textId="77777777" w:rsidTr="003B5D42">
        <w:trPr>
          <w:trHeight w:val="510"/>
        </w:trPr>
        <w:tc>
          <w:tcPr>
            <w:tcW w:w="1384" w:type="dxa"/>
            <w:vAlign w:val="center"/>
          </w:tcPr>
          <w:p w14:paraId="25B5D72E" w14:textId="77777777" w:rsidR="00DD5C9C" w:rsidRPr="00501FF8" w:rsidRDefault="00DD5C9C" w:rsidP="003B5D42">
            <w:pPr>
              <w:rPr>
                <w:sz w:val="18"/>
                <w:szCs w:val="18"/>
              </w:rPr>
            </w:pPr>
            <w:r w:rsidRPr="00501FF8">
              <w:rPr>
                <w:sz w:val="18"/>
                <w:szCs w:val="18"/>
              </w:rPr>
              <w:t>Binkley</w:t>
            </w:r>
          </w:p>
          <w:p w14:paraId="25B5D72F" w14:textId="77777777" w:rsidR="00DD5C9C" w:rsidRPr="00501FF8" w:rsidRDefault="00DD5C9C" w:rsidP="003B5D42">
            <w:pPr>
              <w:rPr>
                <w:sz w:val="18"/>
                <w:szCs w:val="18"/>
              </w:rPr>
            </w:pPr>
            <w:r w:rsidRPr="00501FF8">
              <w:rPr>
                <w:sz w:val="18"/>
                <w:szCs w:val="18"/>
              </w:rPr>
              <w:t>(2011)</w:t>
            </w:r>
          </w:p>
        </w:tc>
        <w:tc>
          <w:tcPr>
            <w:tcW w:w="1418" w:type="dxa"/>
            <w:vAlign w:val="center"/>
          </w:tcPr>
          <w:p w14:paraId="25B5D730" w14:textId="77777777" w:rsidR="00DD5C9C" w:rsidRPr="00501FF8" w:rsidRDefault="00DD5C9C" w:rsidP="003B5D42">
            <w:pPr>
              <w:jc w:val="center"/>
              <w:rPr>
                <w:sz w:val="18"/>
                <w:szCs w:val="18"/>
              </w:rPr>
            </w:pPr>
            <w:r w:rsidRPr="00501FF8">
              <w:rPr>
                <w:sz w:val="18"/>
                <w:szCs w:val="18"/>
              </w:rPr>
              <w:t>Healthy adults Age 65+</w:t>
            </w:r>
          </w:p>
        </w:tc>
        <w:tc>
          <w:tcPr>
            <w:tcW w:w="992" w:type="dxa"/>
            <w:vAlign w:val="center"/>
          </w:tcPr>
          <w:p w14:paraId="25B5D731" w14:textId="77777777" w:rsidR="00DD5C9C" w:rsidRPr="00501FF8" w:rsidRDefault="00DD5C9C" w:rsidP="003B5D42">
            <w:pPr>
              <w:jc w:val="center"/>
              <w:rPr>
                <w:sz w:val="18"/>
                <w:szCs w:val="18"/>
              </w:rPr>
            </w:pPr>
            <w:r w:rsidRPr="00501FF8">
              <w:rPr>
                <w:sz w:val="18"/>
                <w:szCs w:val="18"/>
              </w:rPr>
              <w:t>None</w:t>
            </w:r>
          </w:p>
        </w:tc>
        <w:tc>
          <w:tcPr>
            <w:tcW w:w="1134" w:type="dxa"/>
            <w:vAlign w:val="center"/>
          </w:tcPr>
          <w:p w14:paraId="25B5D732" w14:textId="77777777" w:rsidR="00DD5C9C" w:rsidRPr="00501FF8" w:rsidRDefault="00DD5C9C" w:rsidP="003B5D42">
            <w:pPr>
              <w:jc w:val="center"/>
              <w:rPr>
                <w:sz w:val="18"/>
                <w:szCs w:val="18"/>
              </w:rPr>
            </w:pPr>
            <w:r w:rsidRPr="00501FF8">
              <w:rPr>
                <w:sz w:val="18"/>
                <w:szCs w:val="18"/>
              </w:rPr>
              <w:t>40 µg</w:t>
            </w:r>
          </w:p>
          <w:p w14:paraId="25B5D733" w14:textId="77777777" w:rsidR="00DD5C9C" w:rsidRPr="00501FF8" w:rsidRDefault="00DD5C9C" w:rsidP="003B5D42">
            <w:pPr>
              <w:jc w:val="center"/>
              <w:rPr>
                <w:sz w:val="18"/>
                <w:szCs w:val="18"/>
              </w:rPr>
            </w:pPr>
            <w:r w:rsidRPr="00501FF8">
              <w:rPr>
                <w:sz w:val="18"/>
                <w:szCs w:val="18"/>
              </w:rPr>
              <w:t>1 year</w:t>
            </w:r>
          </w:p>
        </w:tc>
        <w:tc>
          <w:tcPr>
            <w:tcW w:w="1417" w:type="dxa"/>
            <w:vAlign w:val="center"/>
          </w:tcPr>
          <w:p w14:paraId="25B5D734" w14:textId="77777777" w:rsidR="00DD5C9C" w:rsidRPr="00501FF8" w:rsidRDefault="00DD5C9C" w:rsidP="003B5D42">
            <w:pPr>
              <w:jc w:val="center"/>
              <w:rPr>
                <w:sz w:val="18"/>
                <w:szCs w:val="18"/>
              </w:rPr>
            </w:pPr>
            <w:r w:rsidRPr="00501FF8">
              <w:rPr>
                <w:sz w:val="18"/>
                <w:szCs w:val="18"/>
              </w:rPr>
              <w:t>Not reported</w:t>
            </w:r>
          </w:p>
        </w:tc>
        <w:tc>
          <w:tcPr>
            <w:tcW w:w="851" w:type="dxa"/>
            <w:vAlign w:val="center"/>
          </w:tcPr>
          <w:p w14:paraId="25B5D735" w14:textId="77777777" w:rsidR="00DD5C9C" w:rsidRPr="00501FF8" w:rsidRDefault="00DD5C9C" w:rsidP="003B5D42">
            <w:pPr>
              <w:jc w:val="center"/>
              <w:rPr>
                <w:sz w:val="18"/>
                <w:szCs w:val="18"/>
              </w:rPr>
            </w:pPr>
            <w:r w:rsidRPr="00501FF8">
              <w:rPr>
                <w:sz w:val="18"/>
                <w:szCs w:val="18"/>
              </w:rPr>
              <w:t>HPLC</w:t>
            </w:r>
          </w:p>
        </w:tc>
        <w:tc>
          <w:tcPr>
            <w:tcW w:w="1134" w:type="dxa"/>
            <w:vAlign w:val="center"/>
          </w:tcPr>
          <w:p w14:paraId="25B5D736" w14:textId="77777777" w:rsidR="00DD5C9C" w:rsidRPr="00501FF8" w:rsidRDefault="00DD5C9C" w:rsidP="003B5D42">
            <w:pPr>
              <w:jc w:val="center"/>
              <w:rPr>
                <w:sz w:val="18"/>
                <w:szCs w:val="18"/>
              </w:rPr>
            </w:pPr>
            <w:r w:rsidRPr="00501FF8">
              <w:rPr>
                <w:sz w:val="18"/>
                <w:szCs w:val="18"/>
              </w:rPr>
              <w:t>74.8–80.0</w:t>
            </w:r>
          </w:p>
        </w:tc>
        <w:tc>
          <w:tcPr>
            <w:tcW w:w="1134" w:type="dxa"/>
            <w:vAlign w:val="center"/>
          </w:tcPr>
          <w:p w14:paraId="25B5D737" w14:textId="77777777" w:rsidR="00DD5C9C" w:rsidRPr="00501FF8" w:rsidRDefault="00DD5C9C" w:rsidP="003B5D42">
            <w:pPr>
              <w:jc w:val="center"/>
              <w:rPr>
                <w:sz w:val="18"/>
                <w:szCs w:val="18"/>
              </w:rPr>
            </w:pPr>
            <w:r w:rsidRPr="00501FF8">
              <w:rPr>
                <w:sz w:val="18"/>
                <w:szCs w:val="18"/>
              </w:rPr>
              <w:t>7.4*</w:t>
            </w:r>
          </w:p>
        </w:tc>
      </w:tr>
      <w:tr w:rsidR="00DD5C9C" w:rsidRPr="009076C7" w14:paraId="25B5D743" w14:textId="77777777" w:rsidTr="003B5D42">
        <w:trPr>
          <w:trHeight w:val="510"/>
        </w:trPr>
        <w:tc>
          <w:tcPr>
            <w:tcW w:w="1384" w:type="dxa"/>
            <w:vAlign w:val="center"/>
          </w:tcPr>
          <w:p w14:paraId="25B5D739" w14:textId="77777777" w:rsidR="00DD5C9C" w:rsidRPr="00501FF8" w:rsidRDefault="00DD5C9C" w:rsidP="003B5D42">
            <w:pPr>
              <w:rPr>
                <w:sz w:val="18"/>
                <w:szCs w:val="18"/>
              </w:rPr>
            </w:pPr>
            <w:r w:rsidRPr="00501FF8">
              <w:rPr>
                <w:sz w:val="18"/>
                <w:szCs w:val="18"/>
              </w:rPr>
              <w:t>Glendenning</w:t>
            </w:r>
          </w:p>
          <w:p w14:paraId="25B5D73A" w14:textId="77777777" w:rsidR="00DD5C9C" w:rsidRPr="00501FF8" w:rsidRDefault="00DD5C9C" w:rsidP="003B5D42">
            <w:pPr>
              <w:rPr>
                <w:sz w:val="18"/>
                <w:szCs w:val="18"/>
              </w:rPr>
            </w:pPr>
            <w:r w:rsidRPr="00501FF8">
              <w:rPr>
                <w:sz w:val="18"/>
                <w:szCs w:val="18"/>
              </w:rPr>
              <w:t>(2009)</w:t>
            </w:r>
          </w:p>
        </w:tc>
        <w:tc>
          <w:tcPr>
            <w:tcW w:w="1418" w:type="dxa"/>
            <w:vAlign w:val="center"/>
          </w:tcPr>
          <w:p w14:paraId="25B5D73B" w14:textId="77777777" w:rsidR="00DD5C9C" w:rsidRPr="00501FF8" w:rsidRDefault="00DD5C9C" w:rsidP="003B5D42">
            <w:pPr>
              <w:jc w:val="center"/>
              <w:rPr>
                <w:sz w:val="18"/>
                <w:szCs w:val="18"/>
              </w:rPr>
            </w:pPr>
            <w:r w:rsidRPr="00501FF8">
              <w:rPr>
                <w:sz w:val="18"/>
                <w:szCs w:val="18"/>
              </w:rPr>
              <w:t>Hip fracture inpatients</w:t>
            </w:r>
          </w:p>
        </w:tc>
        <w:tc>
          <w:tcPr>
            <w:tcW w:w="992" w:type="dxa"/>
            <w:vAlign w:val="center"/>
          </w:tcPr>
          <w:p w14:paraId="25B5D73C" w14:textId="77777777" w:rsidR="00DD5C9C" w:rsidRPr="00501FF8" w:rsidRDefault="00DD5C9C" w:rsidP="003B5D42">
            <w:pPr>
              <w:jc w:val="center"/>
              <w:rPr>
                <w:sz w:val="18"/>
                <w:szCs w:val="18"/>
              </w:rPr>
            </w:pPr>
            <w:r w:rsidRPr="00501FF8">
              <w:rPr>
                <w:sz w:val="18"/>
                <w:szCs w:val="18"/>
              </w:rPr>
              <w:t>None</w:t>
            </w:r>
          </w:p>
        </w:tc>
        <w:tc>
          <w:tcPr>
            <w:tcW w:w="1134" w:type="dxa"/>
            <w:vAlign w:val="center"/>
          </w:tcPr>
          <w:p w14:paraId="25B5D73D" w14:textId="77777777" w:rsidR="00DD5C9C" w:rsidRPr="00501FF8" w:rsidRDefault="00DD5C9C" w:rsidP="003B5D42">
            <w:pPr>
              <w:jc w:val="center"/>
              <w:rPr>
                <w:sz w:val="18"/>
                <w:szCs w:val="18"/>
              </w:rPr>
            </w:pPr>
            <w:r w:rsidRPr="00501FF8">
              <w:rPr>
                <w:sz w:val="18"/>
                <w:szCs w:val="18"/>
              </w:rPr>
              <w:t>25 µg</w:t>
            </w:r>
          </w:p>
          <w:p w14:paraId="25B5D73E" w14:textId="77777777" w:rsidR="00DD5C9C" w:rsidRPr="00501FF8" w:rsidRDefault="00DD5C9C" w:rsidP="003B5D42">
            <w:pPr>
              <w:jc w:val="center"/>
              <w:rPr>
                <w:sz w:val="18"/>
                <w:szCs w:val="18"/>
              </w:rPr>
            </w:pPr>
            <w:r w:rsidRPr="00501FF8">
              <w:rPr>
                <w:sz w:val="18"/>
                <w:szCs w:val="18"/>
              </w:rPr>
              <w:t>3 months</w:t>
            </w:r>
          </w:p>
        </w:tc>
        <w:tc>
          <w:tcPr>
            <w:tcW w:w="1417" w:type="dxa"/>
            <w:vAlign w:val="center"/>
          </w:tcPr>
          <w:p w14:paraId="25B5D73F" w14:textId="77777777" w:rsidR="00DD5C9C" w:rsidRPr="00501FF8" w:rsidRDefault="00DD5C9C" w:rsidP="003B5D42">
            <w:pPr>
              <w:jc w:val="center"/>
              <w:rPr>
                <w:sz w:val="18"/>
                <w:szCs w:val="18"/>
              </w:rPr>
            </w:pPr>
            <w:r w:rsidRPr="00501FF8">
              <w:rPr>
                <w:sz w:val="18"/>
                <w:szCs w:val="18"/>
              </w:rPr>
              <w:t>Not reported</w:t>
            </w:r>
          </w:p>
        </w:tc>
        <w:tc>
          <w:tcPr>
            <w:tcW w:w="851" w:type="dxa"/>
            <w:vAlign w:val="center"/>
          </w:tcPr>
          <w:p w14:paraId="25B5D740" w14:textId="77777777" w:rsidR="00DD5C9C" w:rsidRPr="00501FF8" w:rsidRDefault="00DD5C9C" w:rsidP="003B5D42">
            <w:pPr>
              <w:jc w:val="center"/>
              <w:rPr>
                <w:sz w:val="18"/>
                <w:szCs w:val="18"/>
              </w:rPr>
            </w:pPr>
            <w:r w:rsidRPr="00501FF8">
              <w:rPr>
                <w:sz w:val="18"/>
                <w:szCs w:val="18"/>
              </w:rPr>
              <w:t>RIA, HPLC</w:t>
            </w:r>
          </w:p>
        </w:tc>
        <w:tc>
          <w:tcPr>
            <w:tcW w:w="1134" w:type="dxa"/>
            <w:vAlign w:val="center"/>
          </w:tcPr>
          <w:p w14:paraId="25B5D741" w14:textId="77777777" w:rsidR="00DD5C9C" w:rsidRPr="00501FF8" w:rsidRDefault="00DD5C9C" w:rsidP="003B5D42">
            <w:pPr>
              <w:jc w:val="center"/>
              <w:rPr>
                <w:sz w:val="18"/>
                <w:szCs w:val="18"/>
              </w:rPr>
            </w:pPr>
            <w:r w:rsidRPr="00501FF8">
              <w:rPr>
                <w:sz w:val="18"/>
                <w:szCs w:val="18"/>
              </w:rPr>
              <w:t>37.2–42.2</w:t>
            </w:r>
          </w:p>
        </w:tc>
        <w:tc>
          <w:tcPr>
            <w:tcW w:w="1134" w:type="dxa"/>
            <w:vAlign w:val="center"/>
          </w:tcPr>
          <w:p w14:paraId="25B5D742" w14:textId="77777777" w:rsidR="00DD5C9C" w:rsidRPr="00501FF8" w:rsidRDefault="00DD5C9C" w:rsidP="003B5D42">
            <w:pPr>
              <w:jc w:val="center"/>
              <w:rPr>
                <w:sz w:val="18"/>
                <w:szCs w:val="18"/>
              </w:rPr>
            </w:pPr>
            <w:r w:rsidRPr="00501FF8">
              <w:rPr>
                <w:sz w:val="18"/>
                <w:szCs w:val="18"/>
              </w:rPr>
              <w:t>16.4*</w:t>
            </w:r>
          </w:p>
        </w:tc>
      </w:tr>
      <w:tr w:rsidR="00DD5C9C" w:rsidRPr="009076C7" w14:paraId="25B5D74E" w14:textId="77777777" w:rsidTr="003B5D42">
        <w:trPr>
          <w:trHeight w:val="510"/>
        </w:trPr>
        <w:tc>
          <w:tcPr>
            <w:tcW w:w="1384" w:type="dxa"/>
            <w:shd w:val="clear" w:color="auto" w:fill="D9D9D9" w:themeFill="background1" w:themeFillShade="D9"/>
            <w:vAlign w:val="center"/>
          </w:tcPr>
          <w:p w14:paraId="25B5D744" w14:textId="77777777" w:rsidR="00DD5C9C" w:rsidRPr="00501FF8" w:rsidRDefault="00DD5C9C" w:rsidP="003B5D42">
            <w:pPr>
              <w:rPr>
                <w:sz w:val="18"/>
                <w:szCs w:val="18"/>
              </w:rPr>
            </w:pPr>
            <w:r w:rsidRPr="00501FF8">
              <w:rPr>
                <w:sz w:val="18"/>
                <w:szCs w:val="18"/>
              </w:rPr>
              <w:t>Holick</w:t>
            </w:r>
          </w:p>
          <w:p w14:paraId="25B5D745" w14:textId="77777777" w:rsidR="00DD5C9C" w:rsidRPr="00501FF8" w:rsidRDefault="00DD5C9C" w:rsidP="003B5D42">
            <w:pPr>
              <w:rPr>
                <w:sz w:val="18"/>
                <w:szCs w:val="18"/>
              </w:rPr>
            </w:pPr>
            <w:r w:rsidRPr="00501FF8">
              <w:rPr>
                <w:sz w:val="18"/>
                <w:szCs w:val="18"/>
              </w:rPr>
              <w:t>(2008)</w:t>
            </w:r>
          </w:p>
        </w:tc>
        <w:tc>
          <w:tcPr>
            <w:tcW w:w="1418" w:type="dxa"/>
            <w:shd w:val="clear" w:color="auto" w:fill="D9D9D9" w:themeFill="background1" w:themeFillShade="D9"/>
            <w:vAlign w:val="center"/>
          </w:tcPr>
          <w:p w14:paraId="25B5D746" w14:textId="77777777" w:rsidR="00DD5C9C" w:rsidRPr="00501FF8" w:rsidRDefault="00DD5C9C" w:rsidP="003B5D42">
            <w:pPr>
              <w:jc w:val="center"/>
              <w:rPr>
                <w:sz w:val="18"/>
                <w:szCs w:val="18"/>
              </w:rPr>
            </w:pPr>
            <w:r w:rsidRPr="00501FF8">
              <w:rPr>
                <w:sz w:val="18"/>
                <w:szCs w:val="18"/>
              </w:rPr>
              <w:t>Healthy adults</w:t>
            </w:r>
          </w:p>
        </w:tc>
        <w:tc>
          <w:tcPr>
            <w:tcW w:w="992" w:type="dxa"/>
            <w:shd w:val="clear" w:color="auto" w:fill="D9D9D9" w:themeFill="background1" w:themeFillShade="D9"/>
            <w:vAlign w:val="center"/>
          </w:tcPr>
          <w:p w14:paraId="25B5D747" w14:textId="77777777" w:rsidR="00DD5C9C" w:rsidRPr="00501FF8" w:rsidRDefault="00DD5C9C" w:rsidP="003B5D42">
            <w:pPr>
              <w:jc w:val="center"/>
              <w:rPr>
                <w:sz w:val="18"/>
                <w:szCs w:val="18"/>
              </w:rPr>
            </w:pPr>
            <w:r w:rsidRPr="00501FF8">
              <w:rPr>
                <w:sz w:val="18"/>
                <w:szCs w:val="18"/>
              </w:rPr>
              <w:t>Placebo</w:t>
            </w:r>
          </w:p>
        </w:tc>
        <w:tc>
          <w:tcPr>
            <w:tcW w:w="1134" w:type="dxa"/>
            <w:shd w:val="clear" w:color="auto" w:fill="D9D9D9" w:themeFill="background1" w:themeFillShade="D9"/>
            <w:vAlign w:val="center"/>
          </w:tcPr>
          <w:p w14:paraId="25B5D748" w14:textId="77777777" w:rsidR="00DD5C9C" w:rsidRPr="00501FF8" w:rsidRDefault="00DD5C9C" w:rsidP="003B5D42">
            <w:pPr>
              <w:jc w:val="center"/>
              <w:rPr>
                <w:sz w:val="18"/>
                <w:szCs w:val="18"/>
              </w:rPr>
            </w:pPr>
            <w:r w:rsidRPr="00501FF8">
              <w:rPr>
                <w:sz w:val="18"/>
                <w:szCs w:val="18"/>
              </w:rPr>
              <w:t>25 µg</w:t>
            </w:r>
          </w:p>
          <w:p w14:paraId="25B5D749" w14:textId="77777777" w:rsidR="00DD5C9C" w:rsidRPr="00501FF8" w:rsidRDefault="00DD5C9C" w:rsidP="003B5D42">
            <w:pPr>
              <w:jc w:val="center"/>
              <w:rPr>
                <w:sz w:val="18"/>
                <w:szCs w:val="18"/>
              </w:rPr>
            </w:pPr>
            <w:r w:rsidRPr="00501FF8">
              <w:rPr>
                <w:sz w:val="18"/>
                <w:szCs w:val="18"/>
              </w:rPr>
              <w:t>11 weeks</w:t>
            </w:r>
          </w:p>
        </w:tc>
        <w:tc>
          <w:tcPr>
            <w:tcW w:w="1417" w:type="dxa"/>
            <w:shd w:val="clear" w:color="auto" w:fill="D9D9D9" w:themeFill="background1" w:themeFillShade="D9"/>
            <w:vAlign w:val="center"/>
          </w:tcPr>
          <w:p w14:paraId="25B5D74A" w14:textId="77777777" w:rsidR="00DD5C9C" w:rsidRPr="00501FF8" w:rsidRDefault="00DD5C9C" w:rsidP="003B5D42">
            <w:pPr>
              <w:jc w:val="center"/>
              <w:rPr>
                <w:sz w:val="18"/>
                <w:szCs w:val="18"/>
              </w:rPr>
            </w:pPr>
            <w:r w:rsidRPr="00501FF8">
              <w:rPr>
                <w:sz w:val="18"/>
                <w:szCs w:val="18"/>
              </w:rPr>
              <w:t>Late winter</w:t>
            </w:r>
          </w:p>
        </w:tc>
        <w:tc>
          <w:tcPr>
            <w:tcW w:w="851" w:type="dxa"/>
            <w:shd w:val="clear" w:color="auto" w:fill="D9D9D9" w:themeFill="background1" w:themeFillShade="D9"/>
            <w:vAlign w:val="center"/>
          </w:tcPr>
          <w:p w14:paraId="25B5D74B" w14:textId="77777777" w:rsidR="00DD5C9C" w:rsidRPr="00501FF8" w:rsidRDefault="00DD5C9C" w:rsidP="003B5D42">
            <w:pPr>
              <w:jc w:val="center"/>
              <w:rPr>
                <w:sz w:val="18"/>
                <w:szCs w:val="18"/>
              </w:rPr>
            </w:pPr>
            <w:r w:rsidRPr="00501FF8">
              <w:rPr>
                <w:sz w:val="18"/>
                <w:szCs w:val="18"/>
              </w:rPr>
              <w:t>LC-MS</w:t>
            </w:r>
          </w:p>
        </w:tc>
        <w:tc>
          <w:tcPr>
            <w:tcW w:w="1134" w:type="dxa"/>
            <w:shd w:val="clear" w:color="auto" w:fill="D9D9D9" w:themeFill="background1" w:themeFillShade="D9"/>
            <w:vAlign w:val="center"/>
          </w:tcPr>
          <w:p w14:paraId="25B5D74C" w14:textId="77777777" w:rsidR="00DD5C9C" w:rsidRPr="00501FF8" w:rsidRDefault="00DD5C9C" w:rsidP="003B5D42">
            <w:pPr>
              <w:jc w:val="center"/>
              <w:rPr>
                <w:sz w:val="18"/>
                <w:szCs w:val="18"/>
              </w:rPr>
            </w:pPr>
            <w:r w:rsidRPr="00501FF8">
              <w:rPr>
                <w:sz w:val="18"/>
                <w:szCs w:val="18"/>
              </w:rPr>
              <w:t>42.3–49.0</w:t>
            </w:r>
          </w:p>
        </w:tc>
        <w:tc>
          <w:tcPr>
            <w:tcW w:w="1134" w:type="dxa"/>
            <w:shd w:val="clear" w:color="auto" w:fill="D9D9D9" w:themeFill="background1" w:themeFillShade="D9"/>
            <w:vAlign w:val="center"/>
          </w:tcPr>
          <w:p w14:paraId="25B5D74D" w14:textId="77777777" w:rsidR="00DD5C9C" w:rsidRPr="00501FF8" w:rsidRDefault="00DD5C9C" w:rsidP="003B5D42">
            <w:pPr>
              <w:jc w:val="center"/>
              <w:rPr>
                <w:sz w:val="18"/>
                <w:szCs w:val="18"/>
              </w:rPr>
            </w:pPr>
            <w:r w:rsidRPr="00501FF8">
              <w:rPr>
                <w:sz w:val="18"/>
                <w:szCs w:val="18"/>
              </w:rPr>
              <w:t>1.1</w:t>
            </w:r>
          </w:p>
        </w:tc>
      </w:tr>
      <w:tr w:rsidR="00DD5C9C" w:rsidRPr="009076C7" w14:paraId="25B5D759" w14:textId="77777777" w:rsidTr="003B5D42">
        <w:trPr>
          <w:trHeight w:val="510"/>
        </w:trPr>
        <w:tc>
          <w:tcPr>
            <w:tcW w:w="1384" w:type="dxa"/>
            <w:vAlign w:val="center"/>
          </w:tcPr>
          <w:p w14:paraId="25B5D74F" w14:textId="77777777" w:rsidR="00DD5C9C" w:rsidRPr="00501FF8" w:rsidRDefault="00DD5C9C" w:rsidP="003B5D42">
            <w:pPr>
              <w:rPr>
                <w:sz w:val="18"/>
                <w:szCs w:val="18"/>
              </w:rPr>
            </w:pPr>
            <w:r w:rsidRPr="00501FF8">
              <w:rPr>
                <w:sz w:val="18"/>
                <w:szCs w:val="18"/>
              </w:rPr>
              <w:t>Trang</w:t>
            </w:r>
          </w:p>
          <w:p w14:paraId="25B5D750" w14:textId="77777777" w:rsidR="00DD5C9C" w:rsidRPr="00501FF8" w:rsidRDefault="00DD5C9C" w:rsidP="003B5D42">
            <w:pPr>
              <w:rPr>
                <w:sz w:val="18"/>
                <w:szCs w:val="18"/>
              </w:rPr>
            </w:pPr>
            <w:r w:rsidRPr="00501FF8">
              <w:rPr>
                <w:sz w:val="18"/>
                <w:szCs w:val="18"/>
              </w:rPr>
              <w:t>(1998)</w:t>
            </w:r>
          </w:p>
        </w:tc>
        <w:tc>
          <w:tcPr>
            <w:tcW w:w="1418" w:type="dxa"/>
            <w:vAlign w:val="center"/>
          </w:tcPr>
          <w:p w14:paraId="25B5D751" w14:textId="77777777" w:rsidR="00DD5C9C" w:rsidRPr="00501FF8" w:rsidRDefault="00DD5C9C" w:rsidP="003B5D42">
            <w:pPr>
              <w:jc w:val="center"/>
              <w:rPr>
                <w:sz w:val="18"/>
                <w:szCs w:val="18"/>
              </w:rPr>
            </w:pPr>
            <w:r w:rsidRPr="00501FF8">
              <w:rPr>
                <w:sz w:val="18"/>
                <w:szCs w:val="18"/>
              </w:rPr>
              <w:t>Healthy adults</w:t>
            </w:r>
          </w:p>
        </w:tc>
        <w:tc>
          <w:tcPr>
            <w:tcW w:w="992" w:type="dxa"/>
            <w:vAlign w:val="center"/>
          </w:tcPr>
          <w:p w14:paraId="25B5D752" w14:textId="77777777" w:rsidR="00DD5C9C" w:rsidRPr="00501FF8" w:rsidRDefault="00DD5C9C" w:rsidP="003B5D42">
            <w:pPr>
              <w:jc w:val="center"/>
              <w:rPr>
                <w:sz w:val="18"/>
                <w:szCs w:val="18"/>
              </w:rPr>
            </w:pPr>
            <w:r w:rsidRPr="00501FF8">
              <w:rPr>
                <w:sz w:val="18"/>
                <w:szCs w:val="18"/>
              </w:rPr>
              <w:t>Placebo</w:t>
            </w:r>
          </w:p>
        </w:tc>
        <w:tc>
          <w:tcPr>
            <w:tcW w:w="1134" w:type="dxa"/>
            <w:vAlign w:val="center"/>
          </w:tcPr>
          <w:p w14:paraId="25B5D753" w14:textId="77777777" w:rsidR="00DD5C9C" w:rsidRPr="00501FF8" w:rsidRDefault="00DD5C9C" w:rsidP="003B5D42">
            <w:pPr>
              <w:jc w:val="center"/>
              <w:rPr>
                <w:sz w:val="18"/>
                <w:szCs w:val="18"/>
              </w:rPr>
            </w:pPr>
            <w:r w:rsidRPr="00501FF8">
              <w:rPr>
                <w:sz w:val="18"/>
                <w:szCs w:val="18"/>
              </w:rPr>
              <w:t>100 µg</w:t>
            </w:r>
          </w:p>
          <w:p w14:paraId="25B5D754" w14:textId="77777777" w:rsidR="00DD5C9C" w:rsidRPr="00501FF8" w:rsidRDefault="00DD5C9C" w:rsidP="003B5D42">
            <w:pPr>
              <w:jc w:val="center"/>
              <w:rPr>
                <w:sz w:val="18"/>
                <w:szCs w:val="18"/>
              </w:rPr>
            </w:pPr>
            <w:r w:rsidRPr="00501FF8">
              <w:rPr>
                <w:sz w:val="18"/>
                <w:szCs w:val="18"/>
              </w:rPr>
              <w:t>2 weeks</w:t>
            </w:r>
          </w:p>
        </w:tc>
        <w:tc>
          <w:tcPr>
            <w:tcW w:w="1417" w:type="dxa"/>
            <w:vAlign w:val="center"/>
          </w:tcPr>
          <w:p w14:paraId="25B5D755" w14:textId="77777777" w:rsidR="00DD5C9C" w:rsidRPr="00501FF8" w:rsidRDefault="00DD5C9C" w:rsidP="003B5D42">
            <w:pPr>
              <w:jc w:val="center"/>
              <w:rPr>
                <w:sz w:val="18"/>
                <w:szCs w:val="18"/>
              </w:rPr>
            </w:pPr>
            <w:r w:rsidRPr="00501FF8">
              <w:rPr>
                <w:sz w:val="18"/>
                <w:szCs w:val="18"/>
              </w:rPr>
              <w:t>Late winter/spring</w:t>
            </w:r>
          </w:p>
        </w:tc>
        <w:tc>
          <w:tcPr>
            <w:tcW w:w="851" w:type="dxa"/>
            <w:vAlign w:val="center"/>
          </w:tcPr>
          <w:p w14:paraId="25B5D756" w14:textId="77777777" w:rsidR="00DD5C9C" w:rsidRPr="00501FF8" w:rsidRDefault="00DD5C9C" w:rsidP="003B5D42">
            <w:pPr>
              <w:jc w:val="center"/>
              <w:rPr>
                <w:sz w:val="18"/>
                <w:szCs w:val="18"/>
              </w:rPr>
            </w:pPr>
            <w:r w:rsidRPr="00501FF8">
              <w:rPr>
                <w:sz w:val="18"/>
                <w:szCs w:val="18"/>
              </w:rPr>
              <w:t>RIA</w:t>
            </w:r>
          </w:p>
        </w:tc>
        <w:tc>
          <w:tcPr>
            <w:tcW w:w="1134" w:type="dxa"/>
            <w:vAlign w:val="center"/>
          </w:tcPr>
          <w:p w14:paraId="25B5D757" w14:textId="77777777" w:rsidR="00DD5C9C" w:rsidRPr="00501FF8" w:rsidRDefault="00DD5C9C" w:rsidP="003B5D42">
            <w:pPr>
              <w:jc w:val="center"/>
              <w:rPr>
                <w:sz w:val="18"/>
                <w:szCs w:val="18"/>
              </w:rPr>
            </w:pPr>
            <w:r w:rsidRPr="00501FF8">
              <w:rPr>
                <w:sz w:val="18"/>
                <w:szCs w:val="18"/>
              </w:rPr>
              <w:t>39.8–43.7</w:t>
            </w:r>
          </w:p>
        </w:tc>
        <w:tc>
          <w:tcPr>
            <w:tcW w:w="1134" w:type="dxa"/>
            <w:vAlign w:val="center"/>
          </w:tcPr>
          <w:p w14:paraId="25B5D758" w14:textId="77777777" w:rsidR="00DD5C9C" w:rsidRPr="00501FF8" w:rsidRDefault="00DD5C9C" w:rsidP="003B5D42">
            <w:pPr>
              <w:jc w:val="center"/>
              <w:rPr>
                <w:sz w:val="18"/>
                <w:szCs w:val="18"/>
              </w:rPr>
            </w:pPr>
            <w:r w:rsidRPr="00501FF8">
              <w:rPr>
                <w:sz w:val="18"/>
                <w:szCs w:val="18"/>
              </w:rPr>
              <w:t>9.6*</w:t>
            </w:r>
          </w:p>
        </w:tc>
      </w:tr>
      <w:tr w:rsidR="00DD5C9C" w:rsidRPr="009076C7" w14:paraId="25B5D764" w14:textId="77777777" w:rsidTr="003B5D42">
        <w:trPr>
          <w:trHeight w:val="510"/>
        </w:trPr>
        <w:tc>
          <w:tcPr>
            <w:tcW w:w="1384" w:type="dxa"/>
            <w:vAlign w:val="center"/>
          </w:tcPr>
          <w:p w14:paraId="25B5D75A" w14:textId="77777777" w:rsidR="00DD5C9C" w:rsidRPr="00501FF8" w:rsidRDefault="00DD5C9C" w:rsidP="003B5D42">
            <w:pPr>
              <w:rPr>
                <w:sz w:val="18"/>
                <w:szCs w:val="18"/>
              </w:rPr>
            </w:pPr>
            <w:r w:rsidRPr="00501FF8">
              <w:rPr>
                <w:sz w:val="18"/>
                <w:szCs w:val="18"/>
              </w:rPr>
              <w:t>Logan</w:t>
            </w:r>
          </w:p>
          <w:p w14:paraId="25B5D75B" w14:textId="77777777" w:rsidR="00DD5C9C" w:rsidRPr="00501FF8" w:rsidRDefault="00DD5C9C" w:rsidP="003B5D42">
            <w:pPr>
              <w:rPr>
                <w:sz w:val="18"/>
                <w:szCs w:val="18"/>
              </w:rPr>
            </w:pPr>
            <w:r w:rsidRPr="00501FF8">
              <w:rPr>
                <w:sz w:val="18"/>
                <w:szCs w:val="18"/>
              </w:rPr>
              <w:t>(2013)</w:t>
            </w:r>
          </w:p>
        </w:tc>
        <w:tc>
          <w:tcPr>
            <w:tcW w:w="1418" w:type="dxa"/>
            <w:vAlign w:val="center"/>
          </w:tcPr>
          <w:p w14:paraId="25B5D75C" w14:textId="77777777" w:rsidR="00DD5C9C" w:rsidRPr="00501FF8" w:rsidRDefault="00DD5C9C" w:rsidP="003B5D42">
            <w:pPr>
              <w:jc w:val="center"/>
              <w:rPr>
                <w:sz w:val="18"/>
                <w:szCs w:val="18"/>
              </w:rPr>
            </w:pPr>
            <w:r w:rsidRPr="00501FF8">
              <w:rPr>
                <w:sz w:val="18"/>
                <w:szCs w:val="18"/>
              </w:rPr>
              <w:t>Healthy adults</w:t>
            </w:r>
          </w:p>
        </w:tc>
        <w:tc>
          <w:tcPr>
            <w:tcW w:w="992" w:type="dxa"/>
            <w:vAlign w:val="center"/>
          </w:tcPr>
          <w:p w14:paraId="25B5D75D" w14:textId="77777777" w:rsidR="00DD5C9C" w:rsidRPr="00501FF8" w:rsidRDefault="00DD5C9C" w:rsidP="003B5D42">
            <w:pPr>
              <w:jc w:val="center"/>
              <w:rPr>
                <w:sz w:val="18"/>
                <w:szCs w:val="18"/>
              </w:rPr>
            </w:pPr>
            <w:r w:rsidRPr="00501FF8">
              <w:rPr>
                <w:sz w:val="18"/>
                <w:szCs w:val="18"/>
              </w:rPr>
              <w:t>Placebo</w:t>
            </w:r>
          </w:p>
        </w:tc>
        <w:tc>
          <w:tcPr>
            <w:tcW w:w="1134" w:type="dxa"/>
            <w:vAlign w:val="center"/>
          </w:tcPr>
          <w:p w14:paraId="25B5D75E" w14:textId="77777777" w:rsidR="00DD5C9C" w:rsidRPr="00501FF8" w:rsidRDefault="00DD5C9C" w:rsidP="003B5D42">
            <w:pPr>
              <w:jc w:val="center"/>
              <w:rPr>
                <w:sz w:val="18"/>
                <w:szCs w:val="18"/>
              </w:rPr>
            </w:pPr>
            <w:r w:rsidRPr="00501FF8">
              <w:rPr>
                <w:sz w:val="18"/>
                <w:szCs w:val="18"/>
              </w:rPr>
              <w:t>25 µg</w:t>
            </w:r>
          </w:p>
          <w:p w14:paraId="25B5D75F" w14:textId="77777777" w:rsidR="00DD5C9C" w:rsidRPr="00501FF8" w:rsidRDefault="00DD5C9C" w:rsidP="003B5D42">
            <w:pPr>
              <w:jc w:val="center"/>
              <w:rPr>
                <w:sz w:val="18"/>
                <w:szCs w:val="18"/>
              </w:rPr>
            </w:pPr>
            <w:r w:rsidRPr="00501FF8">
              <w:rPr>
                <w:sz w:val="18"/>
                <w:szCs w:val="18"/>
              </w:rPr>
              <w:t>24 weeks</w:t>
            </w:r>
          </w:p>
        </w:tc>
        <w:tc>
          <w:tcPr>
            <w:tcW w:w="1417" w:type="dxa"/>
            <w:vAlign w:val="center"/>
          </w:tcPr>
          <w:p w14:paraId="25B5D760" w14:textId="77777777" w:rsidR="00DD5C9C" w:rsidRPr="00501FF8" w:rsidRDefault="00DD5C9C" w:rsidP="003B5D42">
            <w:pPr>
              <w:jc w:val="center"/>
              <w:rPr>
                <w:sz w:val="18"/>
                <w:szCs w:val="18"/>
              </w:rPr>
            </w:pPr>
            <w:r w:rsidRPr="00501FF8">
              <w:rPr>
                <w:sz w:val="18"/>
                <w:szCs w:val="18"/>
              </w:rPr>
              <w:t>Late summer</w:t>
            </w:r>
          </w:p>
        </w:tc>
        <w:tc>
          <w:tcPr>
            <w:tcW w:w="851" w:type="dxa"/>
            <w:vAlign w:val="center"/>
          </w:tcPr>
          <w:p w14:paraId="25B5D761" w14:textId="77777777" w:rsidR="00DD5C9C" w:rsidRPr="00501FF8" w:rsidRDefault="00DD5C9C" w:rsidP="003B5D42">
            <w:pPr>
              <w:jc w:val="center"/>
              <w:rPr>
                <w:sz w:val="18"/>
                <w:szCs w:val="18"/>
              </w:rPr>
            </w:pPr>
            <w:r w:rsidRPr="00501FF8">
              <w:rPr>
                <w:sz w:val="18"/>
                <w:szCs w:val="18"/>
              </w:rPr>
              <w:t>LC-MS</w:t>
            </w:r>
          </w:p>
        </w:tc>
        <w:tc>
          <w:tcPr>
            <w:tcW w:w="1134" w:type="dxa"/>
            <w:vAlign w:val="center"/>
          </w:tcPr>
          <w:p w14:paraId="25B5D762" w14:textId="77777777" w:rsidR="00DD5C9C" w:rsidRPr="00501FF8" w:rsidRDefault="00DD5C9C" w:rsidP="003B5D42">
            <w:pPr>
              <w:jc w:val="center"/>
              <w:rPr>
                <w:sz w:val="18"/>
                <w:szCs w:val="18"/>
              </w:rPr>
            </w:pPr>
            <w:r w:rsidRPr="00501FF8">
              <w:rPr>
                <w:sz w:val="18"/>
                <w:szCs w:val="18"/>
              </w:rPr>
              <w:t>74–80</w:t>
            </w:r>
          </w:p>
        </w:tc>
        <w:tc>
          <w:tcPr>
            <w:tcW w:w="1134" w:type="dxa"/>
            <w:vAlign w:val="center"/>
          </w:tcPr>
          <w:p w14:paraId="25B5D763" w14:textId="77777777" w:rsidR="00DD5C9C" w:rsidRPr="00501FF8" w:rsidRDefault="00DD5C9C" w:rsidP="003B5D42">
            <w:pPr>
              <w:jc w:val="center"/>
              <w:rPr>
                <w:sz w:val="18"/>
                <w:szCs w:val="18"/>
              </w:rPr>
            </w:pPr>
            <w:r w:rsidRPr="00501FF8">
              <w:rPr>
                <w:sz w:val="18"/>
                <w:szCs w:val="18"/>
              </w:rPr>
              <w:t>18*</w:t>
            </w:r>
          </w:p>
        </w:tc>
      </w:tr>
      <w:tr w:rsidR="00DD5C9C" w:rsidRPr="009076C7" w14:paraId="25B5D76F" w14:textId="77777777" w:rsidTr="003B5D42">
        <w:trPr>
          <w:trHeight w:val="510"/>
        </w:trPr>
        <w:tc>
          <w:tcPr>
            <w:tcW w:w="1384" w:type="dxa"/>
            <w:vAlign w:val="center"/>
          </w:tcPr>
          <w:p w14:paraId="25B5D765" w14:textId="77777777" w:rsidR="00DD5C9C" w:rsidRPr="00501FF8" w:rsidRDefault="00DD5C9C" w:rsidP="003B5D42">
            <w:pPr>
              <w:rPr>
                <w:sz w:val="18"/>
                <w:szCs w:val="18"/>
              </w:rPr>
            </w:pPr>
            <w:r w:rsidRPr="00501FF8">
              <w:rPr>
                <w:sz w:val="18"/>
                <w:szCs w:val="18"/>
              </w:rPr>
              <w:t>Fisk – 1</w:t>
            </w:r>
          </w:p>
          <w:p w14:paraId="25B5D766" w14:textId="77777777" w:rsidR="00DD5C9C" w:rsidRPr="00501FF8" w:rsidRDefault="00DD5C9C" w:rsidP="003B5D42">
            <w:pPr>
              <w:rPr>
                <w:sz w:val="18"/>
                <w:szCs w:val="18"/>
              </w:rPr>
            </w:pPr>
            <w:r w:rsidRPr="00501FF8">
              <w:rPr>
                <w:sz w:val="18"/>
                <w:szCs w:val="18"/>
              </w:rPr>
              <w:t>(2012)</w:t>
            </w:r>
          </w:p>
        </w:tc>
        <w:tc>
          <w:tcPr>
            <w:tcW w:w="1418" w:type="dxa"/>
            <w:vAlign w:val="center"/>
          </w:tcPr>
          <w:p w14:paraId="25B5D767" w14:textId="77777777" w:rsidR="00DD5C9C" w:rsidRPr="00501FF8" w:rsidRDefault="00DD5C9C" w:rsidP="003B5D42">
            <w:pPr>
              <w:jc w:val="center"/>
              <w:rPr>
                <w:sz w:val="18"/>
                <w:szCs w:val="18"/>
              </w:rPr>
            </w:pPr>
            <w:r w:rsidRPr="00501FF8">
              <w:rPr>
                <w:sz w:val="18"/>
                <w:szCs w:val="18"/>
              </w:rPr>
              <w:t>Healthy adults</w:t>
            </w:r>
          </w:p>
        </w:tc>
        <w:tc>
          <w:tcPr>
            <w:tcW w:w="992" w:type="dxa"/>
            <w:vAlign w:val="center"/>
          </w:tcPr>
          <w:p w14:paraId="25B5D768" w14:textId="77777777" w:rsidR="00DD5C9C" w:rsidRPr="00501FF8" w:rsidRDefault="00DD5C9C" w:rsidP="003B5D42">
            <w:pPr>
              <w:jc w:val="center"/>
              <w:rPr>
                <w:sz w:val="18"/>
                <w:szCs w:val="18"/>
              </w:rPr>
            </w:pPr>
            <w:r w:rsidRPr="00501FF8">
              <w:rPr>
                <w:sz w:val="18"/>
                <w:szCs w:val="18"/>
              </w:rPr>
              <w:t>Placebo</w:t>
            </w:r>
          </w:p>
        </w:tc>
        <w:tc>
          <w:tcPr>
            <w:tcW w:w="1134" w:type="dxa"/>
            <w:vAlign w:val="center"/>
          </w:tcPr>
          <w:p w14:paraId="25B5D769" w14:textId="77777777" w:rsidR="00DD5C9C" w:rsidRPr="00501FF8" w:rsidRDefault="00DD5C9C" w:rsidP="003B5D42">
            <w:pPr>
              <w:jc w:val="center"/>
              <w:rPr>
                <w:sz w:val="18"/>
                <w:szCs w:val="18"/>
              </w:rPr>
            </w:pPr>
            <w:r w:rsidRPr="00501FF8">
              <w:rPr>
                <w:sz w:val="18"/>
                <w:szCs w:val="18"/>
              </w:rPr>
              <w:t>5 µg</w:t>
            </w:r>
          </w:p>
          <w:p w14:paraId="25B5D76A" w14:textId="77777777" w:rsidR="00DD5C9C" w:rsidRPr="00501FF8" w:rsidRDefault="00DD5C9C" w:rsidP="003B5D42">
            <w:pPr>
              <w:jc w:val="center"/>
              <w:rPr>
                <w:sz w:val="18"/>
                <w:szCs w:val="18"/>
              </w:rPr>
            </w:pPr>
            <w:r w:rsidRPr="00501FF8">
              <w:rPr>
                <w:sz w:val="18"/>
                <w:szCs w:val="18"/>
              </w:rPr>
              <w:t>4 weeks</w:t>
            </w:r>
          </w:p>
        </w:tc>
        <w:tc>
          <w:tcPr>
            <w:tcW w:w="1417" w:type="dxa"/>
            <w:vAlign w:val="center"/>
          </w:tcPr>
          <w:p w14:paraId="25B5D76B" w14:textId="77777777" w:rsidR="00DD5C9C" w:rsidRPr="00501FF8" w:rsidRDefault="00DD5C9C" w:rsidP="003B5D42">
            <w:pPr>
              <w:jc w:val="center"/>
              <w:rPr>
                <w:sz w:val="18"/>
                <w:szCs w:val="18"/>
              </w:rPr>
            </w:pPr>
            <w:r w:rsidRPr="00501FF8">
              <w:rPr>
                <w:sz w:val="18"/>
                <w:szCs w:val="18"/>
              </w:rPr>
              <w:t>Winter</w:t>
            </w:r>
          </w:p>
        </w:tc>
        <w:tc>
          <w:tcPr>
            <w:tcW w:w="851" w:type="dxa"/>
            <w:vAlign w:val="center"/>
          </w:tcPr>
          <w:p w14:paraId="25B5D76C" w14:textId="77777777" w:rsidR="00DD5C9C" w:rsidRPr="00501FF8" w:rsidRDefault="00DD5C9C" w:rsidP="003B5D42">
            <w:pPr>
              <w:jc w:val="center"/>
              <w:rPr>
                <w:sz w:val="18"/>
                <w:szCs w:val="18"/>
              </w:rPr>
            </w:pPr>
            <w:r w:rsidRPr="00501FF8">
              <w:rPr>
                <w:sz w:val="18"/>
                <w:szCs w:val="18"/>
              </w:rPr>
              <w:t>LC-MS</w:t>
            </w:r>
          </w:p>
        </w:tc>
        <w:tc>
          <w:tcPr>
            <w:tcW w:w="1134" w:type="dxa"/>
            <w:vAlign w:val="center"/>
          </w:tcPr>
          <w:p w14:paraId="25B5D76D" w14:textId="77777777" w:rsidR="00DD5C9C" w:rsidRPr="00501FF8" w:rsidRDefault="00DD5C9C" w:rsidP="003B5D42">
            <w:pPr>
              <w:jc w:val="center"/>
              <w:rPr>
                <w:sz w:val="18"/>
                <w:szCs w:val="18"/>
              </w:rPr>
            </w:pPr>
            <w:r w:rsidRPr="00501FF8">
              <w:rPr>
                <w:sz w:val="18"/>
                <w:szCs w:val="18"/>
              </w:rPr>
              <w:t>31.3–48.0</w:t>
            </w:r>
          </w:p>
        </w:tc>
        <w:tc>
          <w:tcPr>
            <w:tcW w:w="1134" w:type="dxa"/>
            <w:vAlign w:val="center"/>
          </w:tcPr>
          <w:p w14:paraId="25B5D76E" w14:textId="77777777" w:rsidR="00DD5C9C" w:rsidRPr="00501FF8" w:rsidRDefault="00DD5C9C" w:rsidP="003B5D42">
            <w:pPr>
              <w:jc w:val="center"/>
              <w:rPr>
                <w:sz w:val="18"/>
                <w:szCs w:val="18"/>
              </w:rPr>
            </w:pPr>
            <w:r w:rsidRPr="00501FF8">
              <w:rPr>
                <w:sz w:val="18"/>
                <w:szCs w:val="18"/>
              </w:rPr>
              <w:t>7.0</w:t>
            </w:r>
          </w:p>
        </w:tc>
      </w:tr>
      <w:tr w:rsidR="00DD5C9C" w:rsidRPr="009076C7" w14:paraId="25B5D77A" w14:textId="77777777" w:rsidTr="003B5D42">
        <w:trPr>
          <w:trHeight w:val="510"/>
        </w:trPr>
        <w:tc>
          <w:tcPr>
            <w:tcW w:w="1384" w:type="dxa"/>
            <w:vAlign w:val="center"/>
          </w:tcPr>
          <w:p w14:paraId="25B5D770" w14:textId="77777777" w:rsidR="00DD5C9C" w:rsidRPr="00501FF8" w:rsidRDefault="00DD5C9C" w:rsidP="003B5D42">
            <w:pPr>
              <w:rPr>
                <w:sz w:val="18"/>
                <w:szCs w:val="18"/>
              </w:rPr>
            </w:pPr>
            <w:r w:rsidRPr="00501FF8">
              <w:rPr>
                <w:sz w:val="18"/>
                <w:szCs w:val="18"/>
              </w:rPr>
              <w:t>Fisk – 2</w:t>
            </w:r>
          </w:p>
          <w:p w14:paraId="25B5D771" w14:textId="77777777" w:rsidR="00DD5C9C" w:rsidRPr="00501FF8" w:rsidRDefault="00DD5C9C" w:rsidP="003B5D42">
            <w:pPr>
              <w:rPr>
                <w:b/>
                <w:sz w:val="18"/>
                <w:szCs w:val="18"/>
              </w:rPr>
            </w:pPr>
            <w:r w:rsidRPr="00501FF8">
              <w:rPr>
                <w:sz w:val="18"/>
                <w:szCs w:val="18"/>
              </w:rPr>
              <w:t>(2012)</w:t>
            </w:r>
          </w:p>
        </w:tc>
        <w:tc>
          <w:tcPr>
            <w:tcW w:w="1418" w:type="dxa"/>
            <w:vAlign w:val="center"/>
          </w:tcPr>
          <w:p w14:paraId="25B5D772" w14:textId="77777777" w:rsidR="00DD5C9C" w:rsidRPr="00501FF8" w:rsidRDefault="00DD5C9C" w:rsidP="003B5D42">
            <w:pPr>
              <w:jc w:val="center"/>
              <w:rPr>
                <w:sz w:val="18"/>
                <w:szCs w:val="18"/>
              </w:rPr>
            </w:pPr>
            <w:r w:rsidRPr="00501FF8">
              <w:rPr>
                <w:sz w:val="18"/>
                <w:szCs w:val="18"/>
              </w:rPr>
              <w:t>Healthy adults</w:t>
            </w:r>
          </w:p>
        </w:tc>
        <w:tc>
          <w:tcPr>
            <w:tcW w:w="992" w:type="dxa"/>
            <w:vAlign w:val="center"/>
          </w:tcPr>
          <w:p w14:paraId="25B5D773" w14:textId="77777777" w:rsidR="00DD5C9C" w:rsidRPr="00501FF8" w:rsidRDefault="00DD5C9C" w:rsidP="003B5D42">
            <w:pPr>
              <w:jc w:val="center"/>
              <w:rPr>
                <w:sz w:val="18"/>
                <w:szCs w:val="18"/>
              </w:rPr>
            </w:pPr>
            <w:r w:rsidRPr="00501FF8">
              <w:rPr>
                <w:sz w:val="18"/>
                <w:szCs w:val="18"/>
              </w:rPr>
              <w:t>Placebo</w:t>
            </w:r>
          </w:p>
        </w:tc>
        <w:tc>
          <w:tcPr>
            <w:tcW w:w="1134" w:type="dxa"/>
            <w:vAlign w:val="center"/>
          </w:tcPr>
          <w:p w14:paraId="25B5D774" w14:textId="77777777" w:rsidR="00DD5C9C" w:rsidRPr="00501FF8" w:rsidRDefault="00DD5C9C" w:rsidP="003B5D42">
            <w:pPr>
              <w:jc w:val="center"/>
              <w:rPr>
                <w:sz w:val="18"/>
                <w:szCs w:val="18"/>
              </w:rPr>
            </w:pPr>
            <w:r w:rsidRPr="00501FF8">
              <w:rPr>
                <w:sz w:val="18"/>
                <w:szCs w:val="18"/>
              </w:rPr>
              <w:t>10 µg</w:t>
            </w:r>
          </w:p>
          <w:p w14:paraId="25B5D775" w14:textId="77777777" w:rsidR="00DD5C9C" w:rsidRPr="00501FF8" w:rsidRDefault="00DD5C9C" w:rsidP="003B5D42">
            <w:pPr>
              <w:jc w:val="center"/>
              <w:rPr>
                <w:sz w:val="18"/>
                <w:szCs w:val="18"/>
              </w:rPr>
            </w:pPr>
            <w:r w:rsidRPr="00501FF8">
              <w:rPr>
                <w:sz w:val="18"/>
                <w:szCs w:val="18"/>
              </w:rPr>
              <w:t>4 weeks</w:t>
            </w:r>
          </w:p>
        </w:tc>
        <w:tc>
          <w:tcPr>
            <w:tcW w:w="1417" w:type="dxa"/>
            <w:vAlign w:val="center"/>
          </w:tcPr>
          <w:p w14:paraId="25B5D776" w14:textId="77777777" w:rsidR="00DD5C9C" w:rsidRPr="00501FF8" w:rsidRDefault="00DD5C9C" w:rsidP="003B5D42">
            <w:pPr>
              <w:jc w:val="center"/>
              <w:rPr>
                <w:sz w:val="18"/>
                <w:szCs w:val="18"/>
              </w:rPr>
            </w:pPr>
            <w:r w:rsidRPr="00501FF8">
              <w:rPr>
                <w:sz w:val="18"/>
                <w:szCs w:val="18"/>
              </w:rPr>
              <w:t>Winter</w:t>
            </w:r>
          </w:p>
        </w:tc>
        <w:tc>
          <w:tcPr>
            <w:tcW w:w="851" w:type="dxa"/>
            <w:vAlign w:val="center"/>
          </w:tcPr>
          <w:p w14:paraId="25B5D777" w14:textId="77777777" w:rsidR="00DD5C9C" w:rsidRPr="00501FF8" w:rsidRDefault="00DD5C9C" w:rsidP="003B5D42">
            <w:pPr>
              <w:jc w:val="center"/>
              <w:rPr>
                <w:sz w:val="18"/>
                <w:szCs w:val="18"/>
              </w:rPr>
            </w:pPr>
            <w:r w:rsidRPr="00501FF8">
              <w:rPr>
                <w:sz w:val="18"/>
                <w:szCs w:val="18"/>
              </w:rPr>
              <w:t>LC-MS</w:t>
            </w:r>
          </w:p>
        </w:tc>
        <w:tc>
          <w:tcPr>
            <w:tcW w:w="1134" w:type="dxa"/>
            <w:vAlign w:val="center"/>
          </w:tcPr>
          <w:p w14:paraId="25B5D778" w14:textId="77777777" w:rsidR="00DD5C9C" w:rsidRPr="00501FF8" w:rsidRDefault="00DD5C9C" w:rsidP="003B5D42">
            <w:pPr>
              <w:jc w:val="center"/>
              <w:rPr>
                <w:sz w:val="18"/>
                <w:szCs w:val="18"/>
              </w:rPr>
            </w:pPr>
            <w:r w:rsidRPr="00501FF8">
              <w:rPr>
                <w:sz w:val="18"/>
                <w:szCs w:val="18"/>
              </w:rPr>
              <w:t>30.9–41.9</w:t>
            </w:r>
          </w:p>
        </w:tc>
        <w:tc>
          <w:tcPr>
            <w:tcW w:w="1134" w:type="dxa"/>
            <w:vAlign w:val="center"/>
          </w:tcPr>
          <w:p w14:paraId="25B5D779" w14:textId="77777777" w:rsidR="00DD5C9C" w:rsidRPr="00501FF8" w:rsidRDefault="00DD5C9C" w:rsidP="003B5D42">
            <w:pPr>
              <w:jc w:val="center"/>
              <w:rPr>
                <w:sz w:val="18"/>
                <w:szCs w:val="18"/>
              </w:rPr>
            </w:pPr>
            <w:r w:rsidRPr="00501FF8">
              <w:rPr>
                <w:sz w:val="18"/>
                <w:szCs w:val="18"/>
              </w:rPr>
              <w:t>6.1</w:t>
            </w:r>
          </w:p>
        </w:tc>
      </w:tr>
      <w:tr w:rsidR="00DD5C9C" w:rsidRPr="009076C7" w14:paraId="25B5D784" w14:textId="77777777" w:rsidTr="003B5D42">
        <w:trPr>
          <w:trHeight w:val="510"/>
        </w:trPr>
        <w:tc>
          <w:tcPr>
            <w:tcW w:w="1384" w:type="dxa"/>
            <w:vAlign w:val="center"/>
          </w:tcPr>
          <w:p w14:paraId="25B5D77B" w14:textId="77777777" w:rsidR="00DD5C9C" w:rsidRPr="00501FF8" w:rsidRDefault="00DD5C9C" w:rsidP="003B5D42">
            <w:pPr>
              <w:rPr>
                <w:sz w:val="18"/>
                <w:szCs w:val="18"/>
              </w:rPr>
            </w:pPr>
            <w:r w:rsidRPr="00501FF8">
              <w:rPr>
                <w:sz w:val="18"/>
                <w:szCs w:val="18"/>
              </w:rPr>
              <w:lastRenderedPageBreak/>
              <w:t>Lehmann (2013)</w:t>
            </w:r>
          </w:p>
        </w:tc>
        <w:tc>
          <w:tcPr>
            <w:tcW w:w="1418" w:type="dxa"/>
            <w:vAlign w:val="center"/>
          </w:tcPr>
          <w:p w14:paraId="25B5D77C" w14:textId="77777777" w:rsidR="00DD5C9C" w:rsidRPr="00501FF8" w:rsidRDefault="00DD5C9C" w:rsidP="003B5D42">
            <w:pPr>
              <w:jc w:val="center"/>
              <w:rPr>
                <w:sz w:val="18"/>
                <w:szCs w:val="18"/>
              </w:rPr>
            </w:pPr>
            <w:r w:rsidRPr="00501FF8">
              <w:rPr>
                <w:sz w:val="18"/>
                <w:szCs w:val="18"/>
              </w:rPr>
              <w:t>Healthy adults</w:t>
            </w:r>
          </w:p>
        </w:tc>
        <w:tc>
          <w:tcPr>
            <w:tcW w:w="992" w:type="dxa"/>
            <w:vAlign w:val="center"/>
          </w:tcPr>
          <w:p w14:paraId="25B5D77D" w14:textId="77777777" w:rsidR="00DD5C9C" w:rsidRPr="00501FF8" w:rsidRDefault="00DD5C9C" w:rsidP="003B5D42">
            <w:pPr>
              <w:jc w:val="center"/>
              <w:rPr>
                <w:sz w:val="18"/>
                <w:szCs w:val="18"/>
              </w:rPr>
            </w:pPr>
            <w:r w:rsidRPr="00501FF8">
              <w:rPr>
                <w:sz w:val="18"/>
                <w:szCs w:val="18"/>
              </w:rPr>
              <w:t>Placebo</w:t>
            </w:r>
          </w:p>
        </w:tc>
        <w:tc>
          <w:tcPr>
            <w:tcW w:w="1134" w:type="dxa"/>
            <w:vAlign w:val="center"/>
          </w:tcPr>
          <w:p w14:paraId="25B5D77E" w14:textId="77777777" w:rsidR="00DD5C9C" w:rsidRPr="00501FF8" w:rsidRDefault="00DD5C9C" w:rsidP="003B5D42">
            <w:pPr>
              <w:jc w:val="center"/>
              <w:rPr>
                <w:sz w:val="18"/>
                <w:szCs w:val="18"/>
              </w:rPr>
            </w:pPr>
            <w:r w:rsidRPr="00501FF8">
              <w:rPr>
                <w:sz w:val="18"/>
                <w:szCs w:val="18"/>
              </w:rPr>
              <w:t>50 µg</w:t>
            </w:r>
          </w:p>
          <w:p w14:paraId="25B5D77F" w14:textId="77777777" w:rsidR="00DD5C9C" w:rsidRPr="00501FF8" w:rsidRDefault="00DD5C9C" w:rsidP="003B5D42">
            <w:pPr>
              <w:jc w:val="center"/>
              <w:rPr>
                <w:sz w:val="18"/>
                <w:szCs w:val="18"/>
              </w:rPr>
            </w:pPr>
            <w:r w:rsidRPr="00501FF8">
              <w:rPr>
                <w:sz w:val="18"/>
                <w:szCs w:val="18"/>
              </w:rPr>
              <w:t>8 weeks</w:t>
            </w:r>
          </w:p>
        </w:tc>
        <w:tc>
          <w:tcPr>
            <w:tcW w:w="1417" w:type="dxa"/>
            <w:vAlign w:val="center"/>
          </w:tcPr>
          <w:p w14:paraId="25B5D780" w14:textId="77777777" w:rsidR="00DD5C9C" w:rsidRPr="00501FF8" w:rsidRDefault="00DD5C9C" w:rsidP="003B5D42">
            <w:pPr>
              <w:jc w:val="center"/>
              <w:rPr>
                <w:sz w:val="18"/>
                <w:szCs w:val="18"/>
              </w:rPr>
            </w:pPr>
            <w:r w:rsidRPr="00501FF8">
              <w:rPr>
                <w:sz w:val="18"/>
                <w:szCs w:val="18"/>
              </w:rPr>
              <w:t>Winter</w:t>
            </w:r>
          </w:p>
        </w:tc>
        <w:tc>
          <w:tcPr>
            <w:tcW w:w="851" w:type="dxa"/>
            <w:vAlign w:val="center"/>
          </w:tcPr>
          <w:p w14:paraId="25B5D781" w14:textId="77777777" w:rsidR="00DD5C9C" w:rsidRPr="00501FF8" w:rsidRDefault="00DD5C9C" w:rsidP="003B5D42">
            <w:pPr>
              <w:jc w:val="center"/>
              <w:rPr>
                <w:sz w:val="18"/>
                <w:szCs w:val="18"/>
              </w:rPr>
            </w:pPr>
            <w:r w:rsidRPr="00501FF8">
              <w:rPr>
                <w:sz w:val="18"/>
                <w:szCs w:val="18"/>
              </w:rPr>
              <w:t>LC-MS</w:t>
            </w:r>
          </w:p>
        </w:tc>
        <w:tc>
          <w:tcPr>
            <w:tcW w:w="1134" w:type="dxa"/>
            <w:vAlign w:val="center"/>
          </w:tcPr>
          <w:p w14:paraId="25B5D782" w14:textId="77777777" w:rsidR="00DD5C9C" w:rsidRPr="00501FF8" w:rsidRDefault="00DD5C9C" w:rsidP="003B5D42">
            <w:pPr>
              <w:jc w:val="center"/>
              <w:rPr>
                <w:sz w:val="18"/>
                <w:szCs w:val="18"/>
              </w:rPr>
            </w:pPr>
            <w:r w:rsidRPr="00501FF8">
              <w:rPr>
                <w:sz w:val="18"/>
                <w:szCs w:val="18"/>
              </w:rPr>
              <w:t>37.6–40.7</w:t>
            </w:r>
          </w:p>
        </w:tc>
        <w:tc>
          <w:tcPr>
            <w:tcW w:w="1134" w:type="dxa"/>
            <w:vAlign w:val="center"/>
          </w:tcPr>
          <w:p w14:paraId="25B5D783" w14:textId="77777777" w:rsidR="00DD5C9C" w:rsidRPr="00501FF8" w:rsidRDefault="00DD5C9C" w:rsidP="003B5D42">
            <w:pPr>
              <w:jc w:val="center"/>
              <w:rPr>
                <w:sz w:val="18"/>
                <w:szCs w:val="18"/>
              </w:rPr>
            </w:pPr>
            <w:r w:rsidRPr="00501FF8">
              <w:rPr>
                <w:sz w:val="18"/>
                <w:szCs w:val="18"/>
              </w:rPr>
              <w:t>15.3*</w:t>
            </w:r>
          </w:p>
        </w:tc>
      </w:tr>
      <w:tr w:rsidR="00DD5C9C" w:rsidRPr="009076C7" w14:paraId="25B5D78F" w14:textId="77777777" w:rsidTr="003B5D42">
        <w:trPr>
          <w:trHeight w:val="510"/>
        </w:trPr>
        <w:tc>
          <w:tcPr>
            <w:tcW w:w="1384" w:type="dxa"/>
            <w:vAlign w:val="center"/>
          </w:tcPr>
          <w:p w14:paraId="25B5D785" w14:textId="77777777" w:rsidR="00DD5C9C" w:rsidRPr="00501FF8" w:rsidRDefault="00DD5C9C" w:rsidP="003B5D42">
            <w:pPr>
              <w:rPr>
                <w:sz w:val="18"/>
                <w:szCs w:val="18"/>
              </w:rPr>
            </w:pPr>
            <w:r w:rsidRPr="00501FF8">
              <w:rPr>
                <w:sz w:val="18"/>
                <w:szCs w:val="18"/>
              </w:rPr>
              <w:t>Nimitphong</w:t>
            </w:r>
          </w:p>
          <w:p w14:paraId="25B5D786" w14:textId="77777777" w:rsidR="00DD5C9C" w:rsidRPr="00501FF8" w:rsidRDefault="00DD5C9C" w:rsidP="003B5D42">
            <w:pPr>
              <w:rPr>
                <w:sz w:val="18"/>
                <w:szCs w:val="18"/>
              </w:rPr>
            </w:pPr>
            <w:r w:rsidRPr="00501FF8">
              <w:rPr>
                <w:sz w:val="18"/>
                <w:szCs w:val="18"/>
              </w:rPr>
              <w:t>(2013)</w:t>
            </w:r>
          </w:p>
        </w:tc>
        <w:tc>
          <w:tcPr>
            <w:tcW w:w="1418" w:type="dxa"/>
            <w:vAlign w:val="center"/>
          </w:tcPr>
          <w:p w14:paraId="25B5D787" w14:textId="77777777" w:rsidR="00DD5C9C" w:rsidRPr="00501FF8" w:rsidRDefault="00DD5C9C" w:rsidP="003B5D42">
            <w:pPr>
              <w:jc w:val="center"/>
              <w:rPr>
                <w:sz w:val="18"/>
                <w:szCs w:val="18"/>
              </w:rPr>
            </w:pPr>
            <w:r w:rsidRPr="00501FF8">
              <w:rPr>
                <w:sz w:val="18"/>
                <w:szCs w:val="18"/>
              </w:rPr>
              <w:t>Healthy adults</w:t>
            </w:r>
          </w:p>
        </w:tc>
        <w:tc>
          <w:tcPr>
            <w:tcW w:w="992" w:type="dxa"/>
            <w:vAlign w:val="center"/>
          </w:tcPr>
          <w:p w14:paraId="25B5D788" w14:textId="77777777" w:rsidR="00DD5C9C" w:rsidRPr="00501FF8" w:rsidRDefault="00DD5C9C" w:rsidP="003B5D42">
            <w:pPr>
              <w:jc w:val="center"/>
              <w:rPr>
                <w:sz w:val="18"/>
                <w:szCs w:val="18"/>
              </w:rPr>
            </w:pPr>
            <w:r w:rsidRPr="00501FF8">
              <w:rPr>
                <w:sz w:val="18"/>
                <w:szCs w:val="18"/>
              </w:rPr>
              <w:t>None</w:t>
            </w:r>
          </w:p>
        </w:tc>
        <w:tc>
          <w:tcPr>
            <w:tcW w:w="1134" w:type="dxa"/>
            <w:vAlign w:val="center"/>
          </w:tcPr>
          <w:p w14:paraId="25B5D789" w14:textId="77777777" w:rsidR="00DD5C9C" w:rsidRPr="00501FF8" w:rsidRDefault="00DD5C9C" w:rsidP="003B5D42">
            <w:pPr>
              <w:jc w:val="center"/>
              <w:rPr>
                <w:sz w:val="18"/>
                <w:szCs w:val="18"/>
              </w:rPr>
            </w:pPr>
            <w:r w:rsidRPr="00501FF8">
              <w:rPr>
                <w:sz w:val="18"/>
                <w:szCs w:val="18"/>
              </w:rPr>
              <w:t>10 µg</w:t>
            </w:r>
          </w:p>
          <w:p w14:paraId="25B5D78A" w14:textId="77777777" w:rsidR="00DD5C9C" w:rsidRPr="00501FF8" w:rsidRDefault="00DD5C9C" w:rsidP="003B5D42">
            <w:pPr>
              <w:jc w:val="center"/>
              <w:rPr>
                <w:sz w:val="18"/>
                <w:szCs w:val="18"/>
              </w:rPr>
            </w:pPr>
            <w:r w:rsidRPr="00501FF8">
              <w:rPr>
                <w:sz w:val="18"/>
                <w:szCs w:val="18"/>
              </w:rPr>
              <w:t>3 months</w:t>
            </w:r>
          </w:p>
        </w:tc>
        <w:tc>
          <w:tcPr>
            <w:tcW w:w="1417" w:type="dxa"/>
            <w:vAlign w:val="center"/>
          </w:tcPr>
          <w:p w14:paraId="25B5D78B" w14:textId="77777777" w:rsidR="00DD5C9C" w:rsidRPr="00501FF8" w:rsidRDefault="00DD5C9C" w:rsidP="003B5D42">
            <w:pPr>
              <w:jc w:val="center"/>
              <w:rPr>
                <w:sz w:val="18"/>
                <w:szCs w:val="18"/>
              </w:rPr>
            </w:pPr>
            <w:r w:rsidRPr="00501FF8">
              <w:rPr>
                <w:sz w:val="18"/>
                <w:szCs w:val="18"/>
              </w:rPr>
              <w:t>Winter</w:t>
            </w:r>
          </w:p>
        </w:tc>
        <w:tc>
          <w:tcPr>
            <w:tcW w:w="851" w:type="dxa"/>
            <w:vAlign w:val="center"/>
          </w:tcPr>
          <w:p w14:paraId="25B5D78C" w14:textId="77777777" w:rsidR="00DD5C9C" w:rsidRPr="00501FF8" w:rsidRDefault="00DD5C9C" w:rsidP="003B5D42">
            <w:pPr>
              <w:jc w:val="center"/>
              <w:rPr>
                <w:sz w:val="18"/>
                <w:szCs w:val="18"/>
              </w:rPr>
            </w:pPr>
            <w:r w:rsidRPr="00501FF8">
              <w:rPr>
                <w:sz w:val="18"/>
                <w:szCs w:val="18"/>
              </w:rPr>
              <w:t>LC-MS</w:t>
            </w:r>
          </w:p>
        </w:tc>
        <w:tc>
          <w:tcPr>
            <w:tcW w:w="1134" w:type="dxa"/>
            <w:vAlign w:val="center"/>
          </w:tcPr>
          <w:p w14:paraId="25B5D78D" w14:textId="77777777" w:rsidR="00DD5C9C" w:rsidRPr="00501FF8" w:rsidRDefault="00DD5C9C" w:rsidP="003B5D42">
            <w:pPr>
              <w:jc w:val="center"/>
              <w:rPr>
                <w:sz w:val="18"/>
                <w:szCs w:val="18"/>
              </w:rPr>
            </w:pPr>
            <w:r w:rsidRPr="00501FF8">
              <w:rPr>
                <w:sz w:val="18"/>
                <w:szCs w:val="18"/>
              </w:rPr>
              <w:t>51.8–53.2</w:t>
            </w:r>
          </w:p>
        </w:tc>
        <w:tc>
          <w:tcPr>
            <w:tcW w:w="1134" w:type="dxa"/>
            <w:vAlign w:val="center"/>
          </w:tcPr>
          <w:p w14:paraId="25B5D78E" w14:textId="77777777" w:rsidR="00DD5C9C" w:rsidRPr="00501FF8" w:rsidRDefault="00DD5C9C" w:rsidP="003B5D42">
            <w:pPr>
              <w:jc w:val="center"/>
              <w:rPr>
                <w:sz w:val="18"/>
                <w:szCs w:val="18"/>
              </w:rPr>
            </w:pPr>
            <w:r w:rsidRPr="00501FF8">
              <w:rPr>
                <w:sz w:val="18"/>
                <w:szCs w:val="18"/>
              </w:rPr>
              <w:t>8.1</w:t>
            </w:r>
          </w:p>
        </w:tc>
      </w:tr>
    </w:tbl>
    <w:p w14:paraId="25B5D790" w14:textId="77777777" w:rsidR="00DD5C9C" w:rsidRPr="00501FF8" w:rsidRDefault="00DD5C9C" w:rsidP="003B5D42">
      <w:pPr>
        <w:ind w:left="142" w:hanging="142"/>
        <w:rPr>
          <w:sz w:val="16"/>
          <w:szCs w:val="16"/>
        </w:rPr>
      </w:pPr>
      <w:r w:rsidRPr="00501FF8">
        <w:rPr>
          <w:sz w:val="16"/>
          <w:szCs w:val="16"/>
          <w:vertAlign w:val="superscript"/>
        </w:rPr>
        <w:t>a</w:t>
      </w:r>
      <w:r w:rsidRPr="00501FF8">
        <w:rPr>
          <w:sz w:val="16"/>
          <w:szCs w:val="16"/>
        </w:rPr>
        <w:t xml:space="preserve"> Studies used in Tripkovic meta-analysis were Biancuzzo (2010), Binkley,(2011), Glendenning (2009), Holick (2008), and Trang (1998).</w:t>
      </w:r>
    </w:p>
    <w:p w14:paraId="25B5D791" w14:textId="77777777" w:rsidR="00DD5C9C" w:rsidRPr="00501FF8" w:rsidRDefault="00DD5C9C" w:rsidP="003B5D42">
      <w:pPr>
        <w:ind w:left="142" w:hanging="142"/>
        <w:rPr>
          <w:sz w:val="16"/>
          <w:szCs w:val="16"/>
        </w:rPr>
      </w:pPr>
      <w:r w:rsidRPr="00501FF8">
        <w:rPr>
          <w:sz w:val="16"/>
          <w:szCs w:val="16"/>
          <w:vertAlign w:val="superscript"/>
        </w:rPr>
        <w:t>b</w:t>
      </w:r>
      <w:r w:rsidRPr="00501FF8">
        <w:rPr>
          <w:sz w:val="16"/>
          <w:szCs w:val="16"/>
        </w:rPr>
        <w:t xml:space="preserve"> Values are range across all treatment groups</w:t>
      </w:r>
    </w:p>
    <w:p w14:paraId="25B5D792" w14:textId="77777777" w:rsidR="00DD5C9C" w:rsidRPr="00501FF8" w:rsidRDefault="00DD5C9C" w:rsidP="003B5D42">
      <w:pPr>
        <w:ind w:left="142" w:hanging="142"/>
        <w:rPr>
          <w:sz w:val="16"/>
          <w:szCs w:val="16"/>
        </w:rPr>
      </w:pPr>
      <w:r w:rsidRPr="00501FF8">
        <w:rPr>
          <w:sz w:val="16"/>
          <w:szCs w:val="16"/>
          <w:vertAlign w:val="superscript"/>
        </w:rPr>
        <w:t>c</w:t>
      </w:r>
      <w:r w:rsidRPr="00501FF8">
        <w:rPr>
          <w:sz w:val="16"/>
          <w:szCs w:val="16"/>
        </w:rPr>
        <w:t xml:space="preserve"> As reported or calculated from results using equation:</w:t>
      </w:r>
    </w:p>
    <w:p w14:paraId="25B5D793" w14:textId="77777777" w:rsidR="00DD5C9C" w:rsidRPr="00501FF8" w:rsidRDefault="00DD5C9C" w:rsidP="003B5D42">
      <w:pPr>
        <w:ind w:left="142"/>
        <w:rPr>
          <w:sz w:val="16"/>
          <w:szCs w:val="16"/>
        </w:rPr>
      </w:pPr>
      <w:r w:rsidRPr="00501FF8">
        <w:rPr>
          <w:sz w:val="16"/>
          <w:szCs w:val="16"/>
        </w:rPr>
        <w:t>Difference D</w:t>
      </w:r>
      <w:r w:rsidRPr="00501FF8">
        <w:rPr>
          <w:sz w:val="16"/>
          <w:szCs w:val="16"/>
          <w:vertAlign w:val="subscript"/>
        </w:rPr>
        <w:t>3</w:t>
      </w:r>
      <w:r w:rsidRPr="00501FF8">
        <w:rPr>
          <w:sz w:val="16"/>
          <w:szCs w:val="16"/>
        </w:rPr>
        <w:t xml:space="preserve"> – D</w:t>
      </w:r>
      <w:r w:rsidRPr="00501FF8">
        <w:rPr>
          <w:sz w:val="16"/>
          <w:szCs w:val="16"/>
          <w:vertAlign w:val="subscript"/>
        </w:rPr>
        <w:t>2</w:t>
      </w:r>
      <w:r w:rsidRPr="00501FF8">
        <w:rPr>
          <w:sz w:val="16"/>
          <w:szCs w:val="16"/>
        </w:rPr>
        <w:t xml:space="preserve"> = [(25OHD</w:t>
      </w:r>
      <w:r w:rsidRPr="00501FF8">
        <w:rPr>
          <w:sz w:val="16"/>
          <w:szCs w:val="16"/>
          <w:vertAlign w:val="subscript"/>
        </w:rPr>
        <w:t>3</w:t>
      </w:r>
      <w:r w:rsidRPr="00501FF8">
        <w:rPr>
          <w:sz w:val="16"/>
          <w:szCs w:val="16"/>
        </w:rPr>
        <w:t>)</w:t>
      </w:r>
      <w:r w:rsidRPr="00501FF8">
        <w:rPr>
          <w:sz w:val="16"/>
          <w:szCs w:val="16"/>
          <w:vertAlign w:val="subscript"/>
        </w:rPr>
        <w:t>post-treatment</w:t>
      </w:r>
      <w:r w:rsidRPr="00501FF8">
        <w:rPr>
          <w:sz w:val="16"/>
          <w:szCs w:val="16"/>
        </w:rPr>
        <w:t xml:space="preserve"> – (25OHD</w:t>
      </w:r>
      <w:r w:rsidRPr="00501FF8">
        <w:rPr>
          <w:sz w:val="16"/>
          <w:szCs w:val="16"/>
          <w:vertAlign w:val="subscript"/>
        </w:rPr>
        <w:t>3</w:t>
      </w:r>
      <w:r w:rsidRPr="00501FF8">
        <w:rPr>
          <w:sz w:val="16"/>
          <w:szCs w:val="16"/>
        </w:rPr>
        <w:t>)</w:t>
      </w:r>
      <w:r w:rsidRPr="00501FF8">
        <w:rPr>
          <w:sz w:val="16"/>
          <w:szCs w:val="16"/>
          <w:vertAlign w:val="subscript"/>
        </w:rPr>
        <w:t>baseline</w:t>
      </w:r>
      <w:r w:rsidRPr="00501FF8">
        <w:rPr>
          <w:sz w:val="16"/>
          <w:szCs w:val="16"/>
        </w:rPr>
        <w:t>] - [(25OHD</w:t>
      </w:r>
      <w:r w:rsidRPr="00501FF8">
        <w:rPr>
          <w:sz w:val="16"/>
          <w:szCs w:val="16"/>
          <w:vertAlign w:val="subscript"/>
        </w:rPr>
        <w:t>2</w:t>
      </w:r>
      <w:r w:rsidRPr="00501FF8">
        <w:rPr>
          <w:sz w:val="16"/>
          <w:szCs w:val="16"/>
        </w:rPr>
        <w:t>)</w:t>
      </w:r>
      <w:r w:rsidRPr="00501FF8">
        <w:rPr>
          <w:sz w:val="16"/>
          <w:szCs w:val="16"/>
          <w:vertAlign w:val="subscript"/>
        </w:rPr>
        <w:t>post-treatment</w:t>
      </w:r>
      <w:r w:rsidRPr="00501FF8">
        <w:rPr>
          <w:sz w:val="16"/>
          <w:szCs w:val="16"/>
        </w:rPr>
        <w:t xml:space="preserve"> – (25OHD</w:t>
      </w:r>
      <w:r w:rsidRPr="00501FF8">
        <w:rPr>
          <w:sz w:val="16"/>
          <w:szCs w:val="16"/>
          <w:vertAlign w:val="subscript"/>
        </w:rPr>
        <w:t>2</w:t>
      </w:r>
      <w:r w:rsidRPr="00501FF8">
        <w:rPr>
          <w:sz w:val="16"/>
          <w:szCs w:val="16"/>
        </w:rPr>
        <w:t>)</w:t>
      </w:r>
      <w:r w:rsidRPr="00501FF8">
        <w:rPr>
          <w:sz w:val="16"/>
          <w:szCs w:val="16"/>
          <w:vertAlign w:val="subscript"/>
        </w:rPr>
        <w:t>baseline</w:t>
      </w:r>
      <w:r w:rsidRPr="00501FF8">
        <w:rPr>
          <w:sz w:val="16"/>
          <w:szCs w:val="16"/>
        </w:rPr>
        <w:t>] where</w:t>
      </w:r>
    </w:p>
    <w:p w14:paraId="25B5D794" w14:textId="77777777" w:rsidR="00DD5C9C" w:rsidRPr="00501FF8" w:rsidRDefault="00DD5C9C" w:rsidP="003B5D42">
      <w:pPr>
        <w:ind w:left="142"/>
        <w:rPr>
          <w:sz w:val="16"/>
          <w:szCs w:val="16"/>
        </w:rPr>
      </w:pPr>
      <w:r w:rsidRPr="00501FF8">
        <w:rPr>
          <w:sz w:val="16"/>
          <w:szCs w:val="16"/>
        </w:rPr>
        <w:t>* indicates that difference between D</w:t>
      </w:r>
      <w:r w:rsidRPr="00501FF8">
        <w:rPr>
          <w:sz w:val="16"/>
          <w:szCs w:val="16"/>
          <w:vertAlign w:val="subscript"/>
        </w:rPr>
        <w:t>2</w:t>
      </w:r>
      <w:r w:rsidRPr="00501FF8">
        <w:rPr>
          <w:sz w:val="16"/>
          <w:szCs w:val="16"/>
        </w:rPr>
        <w:t xml:space="preserve"> and D</w:t>
      </w:r>
      <w:r w:rsidRPr="00501FF8">
        <w:rPr>
          <w:sz w:val="16"/>
          <w:szCs w:val="16"/>
          <w:vertAlign w:val="subscript"/>
        </w:rPr>
        <w:t>3</w:t>
      </w:r>
      <w:r w:rsidRPr="00501FF8">
        <w:rPr>
          <w:sz w:val="16"/>
          <w:szCs w:val="16"/>
        </w:rPr>
        <w:t xml:space="preserve"> treatments was statistically significant (P value 0.05 or less).</w:t>
      </w:r>
    </w:p>
    <w:p w14:paraId="25B5D795" w14:textId="77777777" w:rsidR="00DD5C9C" w:rsidRDefault="00DD5C9C" w:rsidP="003B5D42">
      <w:r>
        <w:t>Only studies published by Biancuzzo (2010) and Holick (2008) (shaded in grey in Table 2 below) meet all of the above study characteristics and both of these studies showed no significant difference between the D</w:t>
      </w:r>
      <w:r w:rsidRPr="00B02D91">
        <w:rPr>
          <w:vertAlign w:val="subscript"/>
        </w:rPr>
        <w:t>2</w:t>
      </w:r>
      <w:r>
        <w:t xml:space="preserve"> and D</w:t>
      </w:r>
      <w:r w:rsidRPr="00B02D91">
        <w:rPr>
          <w:vertAlign w:val="subscript"/>
        </w:rPr>
        <w:t>3</w:t>
      </w:r>
      <w:r>
        <w:t xml:space="preserve"> treatments in ability to raise serum 25OHD concentration.</w:t>
      </w:r>
    </w:p>
    <w:p w14:paraId="25B5D796" w14:textId="77777777" w:rsidR="00DD5C9C" w:rsidRDefault="00DD5C9C" w:rsidP="003B5D42"/>
    <w:p w14:paraId="25B5D797" w14:textId="77777777" w:rsidR="00DD5C9C" w:rsidRDefault="00DD5C9C" w:rsidP="003B5D42">
      <w:r>
        <w:t>Studies which showed that D</w:t>
      </w:r>
      <w:r w:rsidRPr="002D4742">
        <w:rPr>
          <w:vertAlign w:val="subscript"/>
        </w:rPr>
        <w:t>3</w:t>
      </w:r>
      <w:r>
        <w:t xml:space="preserve"> was significantly more effective at raising 25OHD compared to D2 were conducted in unhealthy subjects (Glendenning), or with no control group (Glendenning, Binkley, Nimitphong), or with short treatment periods (Trang, Lehmann), or using vitamin D doses greater than 25 </w:t>
      </w:r>
      <w:r w:rsidRPr="006C45D2">
        <w:rPr>
          <w:rFonts w:cs="Arial"/>
        </w:rPr>
        <w:t>µ</w:t>
      </w:r>
      <w:r>
        <w:t>g/day (Binkley, Trang, Lehmann). Therefore, conclusions from these studies cannot be drawn for this assessment.</w:t>
      </w:r>
    </w:p>
    <w:p w14:paraId="25B5D798" w14:textId="77777777" w:rsidR="00DD5C9C" w:rsidRDefault="00DD5C9C" w:rsidP="003B5D42"/>
    <w:p w14:paraId="25B5D799" w14:textId="77777777" w:rsidR="00DD5C9C" w:rsidRPr="002D4742" w:rsidRDefault="00DD5C9C" w:rsidP="003B5D42">
      <w:r w:rsidRPr="002D4742">
        <w:t>The study by Logan et al. (2013) took a different approach from all the other studies. Most of the studies in Table 2 were commenced in winter or late winter when baseline serum 25OHD concentrations are known to be at minimum levels due to low UV-B exposure. In contrast, Logan et al. studied the difference between D</w:t>
      </w:r>
      <w:r w:rsidRPr="002D4742">
        <w:rPr>
          <w:vertAlign w:val="subscript"/>
        </w:rPr>
        <w:t>2</w:t>
      </w:r>
      <w:r w:rsidRPr="002D4742">
        <w:t xml:space="preserve"> and D</w:t>
      </w:r>
      <w:r w:rsidRPr="002D4742">
        <w:rPr>
          <w:vertAlign w:val="subscript"/>
        </w:rPr>
        <w:t>3</w:t>
      </w:r>
      <w:r w:rsidRPr="002D4742">
        <w:t xml:space="preserve"> treatment commencing in late summer when baseline 25OHD concentrations are substantially higher. The study found that D</w:t>
      </w:r>
      <w:r w:rsidRPr="002D4742">
        <w:rPr>
          <w:vertAlign w:val="subscript"/>
        </w:rPr>
        <w:t>3</w:t>
      </w:r>
      <w:r w:rsidRPr="002D4742">
        <w:t xml:space="preserve"> treatment was significantly different from D</w:t>
      </w:r>
      <w:r w:rsidRPr="002D4742">
        <w:rPr>
          <w:vertAlign w:val="subscript"/>
        </w:rPr>
        <w:t xml:space="preserve">2 </w:t>
      </w:r>
      <w:r w:rsidRPr="002D4742">
        <w:t>treatment where D</w:t>
      </w:r>
      <w:r w:rsidRPr="002D4742">
        <w:rPr>
          <w:vertAlign w:val="subscript"/>
        </w:rPr>
        <w:t>3</w:t>
      </w:r>
      <w:r w:rsidRPr="002D4742">
        <w:t xml:space="preserve"> maintained serum 25OHD at 80 nM but serum 25OHD was 18 nM lower with D</w:t>
      </w:r>
      <w:r w:rsidRPr="002D4742">
        <w:rPr>
          <w:vertAlign w:val="subscript"/>
        </w:rPr>
        <w:t>2</w:t>
      </w:r>
      <w:r w:rsidRPr="002D4742">
        <w:t xml:space="preserve"> treatment. </w:t>
      </w:r>
    </w:p>
    <w:p w14:paraId="25B5D79A" w14:textId="77777777" w:rsidR="00DD5C9C" w:rsidRDefault="00DD5C9C" w:rsidP="003B5D42"/>
    <w:p w14:paraId="25B5D79B" w14:textId="77777777" w:rsidR="00DD5C9C" w:rsidRDefault="00DD5C9C" w:rsidP="003B5D42">
      <w:r>
        <w:t>The Logan study indicates</w:t>
      </w:r>
      <w:r w:rsidRPr="00B02D91">
        <w:t xml:space="preserve"> possible differences between D</w:t>
      </w:r>
      <w:r w:rsidRPr="00B02D91">
        <w:rPr>
          <w:vertAlign w:val="subscript"/>
        </w:rPr>
        <w:t>3</w:t>
      </w:r>
      <w:r w:rsidRPr="00B02D91">
        <w:t xml:space="preserve"> and D</w:t>
      </w:r>
      <w:r w:rsidRPr="00B02D91">
        <w:rPr>
          <w:vertAlign w:val="subscript"/>
        </w:rPr>
        <w:t>2</w:t>
      </w:r>
      <w:r w:rsidRPr="00B02D91">
        <w:t xml:space="preserve"> on </w:t>
      </w:r>
      <w:r>
        <w:t xml:space="preserve">maintaining relatively high </w:t>
      </w:r>
      <w:r w:rsidRPr="00B02D91">
        <w:t>serum 25OHD concentratio</w:t>
      </w:r>
      <w:r>
        <w:t>ns at a dose level of 25 µg/day. However,</w:t>
      </w:r>
      <w:r w:rsidRPr="00B02D91">
        <w:t xml:space="preserve"> in light of the other studies which </w:t>
      </w:r>
      <w:r>
        <w:t>show no difference between the effect of the two compounds, further studies</w:t>
      </w:r>
      <w:r w:rsidRPr="00B02D91">
        <w:t xml:space="preserve"> particularly at lower dose levels which are comparable to </w:t>
      </w:r>
      <w:r>
        <w:t xml:space="preserve">the </w:t>
      </w:r>
      <w:r w:rsidRPr="00B02D91">
        <w:t xml:space="preserve">amount contained in food, </w:t>
      </w:r>
      <w:r>
        <w:t xml:space="preserve">would be needed </w:t>
      </w:r>
      <w:r w:rsidRPr="00B02D91">
        <w:t>to</w:t>
      </w:r>
      <w:r>
        <w:t xml:space="preserve"> conclude that</w:t>
      </w:r>
      <w:r w:rsidRPr="00B02D91">
        <w:t xml:space="preserve"> D</w:t>
      </w:r>
      <w:r w:rsidRPr="00B02D91">
        <w:rPr>
          <w:vertAlign w:val="subscript"/>
        </w:rPr>
        <w:t>2</w:t>
      </w:r>
      <w:r w:rsidRPr="00B02D91">
        <w:t xml:space="preserve"> and D</w:t>
      </w:r>
      <w:r w:rsidRPr="00B02D91">
        <w:rPr>
          <w:vertAlign w:val="subscript"/>
        </w:rPr>
        <w:t>3</w:t>
      </w:r>
      <w:r w:rsidRPr="00B02D91">
        <w:t xml:space="preserve"> </w:t>
      </w:r>
      <w:r>
        <w:t xml:space="preserve">are non-equivalent </w:t>
      </w:r>
      <w:r w:rsidRPr="00B02D91">
        <w:t xml:space="preserve">in raising serum 25OHD. </w:t>
      </w:r>
      <w:r>
        <w:t>Therefore, in this assessment D</w:t>
      </w:r>
      <w:r w:rsidRPr="00627A73">
        <w:rPr>
          <w:vertAlign w:val="subscript"/>
        </w:rPr>
        <w:t>2</w:t>
      </w:r>
      <w:r>
        <w:t xml:space="preserve"> and D</w:t>
      </w:r>
      <w:r w:rsidRPr="00627A73">
        <w:rPr>
          <w:vertAlign w:val="subscript"/>
        </w:rPr>
        <w:t xml:space="preserve">3 </w:t>
      </w:r>
      <w:r>
        <w:t>were considered to have equivalent potency.</w:t>
      </w:r>
    </w:p>
    <w:p w14:paraId="25B5D79C" w14:textId="77777777" w:rsidR="00DD5C9C" w:rsidRDefault="00DD5C9C" w:rsidP="003B5D42">
      <w:pPr>
        <w:pStyle w:val="Heading3"/>
      </w:pPr>
      <w:bookmarkStart w:id="21" w:name="_Toc406575695"/>
      <w:r>
        <w:t>Inadequate vitamin D</w:t>
      </w:r>
      <w:bookmarkEnd w:id="21"/>
    </w:p>
    <w:p w14:paraId="25B5D79D" w14:textId="77777777" w:rsidR="00DD5C9C" w:rsidRDefault="00DD5C9C" w:rsidP="003B5D42">
      <w:pPr>
        <w:rPr>
          <w:lang w:bidi="ar-SA"/>
        </w:rPr>
      </w:pPr>
      <w:r>
        <w:rPr>
          <w:lang w:bidi="ar-SA"/>
        </w:rPr>
        <w:t xml:space="preserve">Severe vitamin D deficiency gives rise to rickets in infants and children and osteomalacia in adults and older children. Both conditions are characterised by undermineralised bone caused by prolonged elevation of parathyroid hormone (in response to low serum calcium or phosphorus) which promotes bone resorption to release calcium and phosphorus. Decreased bone mineralisation associated with low vitamin D status has also been linked to increased risk of osteoporosis although the aetiology of this disease in relation to vitamin D intakes is also complex and of current research interest </w:t>
      </w:r>
      <w:r>
        <w:rPr>
          <w:noProof/>
          <w:lang w:bidi="ar-SA"/>
        </w:rPr>
        <w:t>(Reid et al. 2014; Reid 2014)</w:t>
      </w:r>
      <w:r>
        <w:rPr>
          <w:lang w:bidi="ar-SA"/>
        </w:rPr>
        <w:t xml:space="preserve"> .</w:t>
      </w:r>
    </w:p>
    <w:p w14:paraId="25B5D79E" w14:textId="77777777" w:rsidR="00DD5C9C" w:rsidRDefault="00DD5C9C" w:rsidP="003B5D42">
      <w:pPr>
        <w:rPr>
          <w:lang w:bidi="ar-SA"/>
        </w:rPr>
      </w:pPr>
    </w:p>
    <w:p w14:paraId="6156EDA4" w14:textId="77777777" w:rsidR="00B62436" w:rsidRDefault="00DD5C9C" w:rsidP="003B5D42">
      <w:pPr>
        <w:rPr>
          <w:lang w:bidi="ar-SA"/>
        </w:rPr>
      </w:pPr>
      <w:r>
        <w:rPr>
          <w:lang w:bidi="ar-SA"/>
        </w:rPr>
        <w:t xml:space="preserve">Receptors for </w:t>
      </w:r>
      <w:r w:rsidRPr="00366AD9">
        <w:rPr>
          <w:lang w:bidi="ar-SA"/>
        </w:rPr>
        <w:t>1,25</w:t>
      </w:r>
      <w:r>
        <w:rPr>
          <w:lang w:bidi="ar-SA"/>
        </w:rPr>
        <w:t>(OH)</w:t>
      </w:r>
      <w:r w:rsidRPr="0036413E">
        <w:rPr>
          <w:vertAlign w:val="subscript"/>
          <w:lang w:bidi="ar-SA"/>
        </w:rPr>
        <w:t>2</w:t>
      </w:r>
      <w:r>
        <w:rPr>
          <w:lang w:bidi="ar-SA"/>
        </w:rPr>
        <w:t>D are</w:t>
      </w:r>
      <w:r w:rsidRPr="00366AD9">
        <w:rPr>
          <w:lang w:bidi="ar-SA"/>
        </w:rPr>
        <w:t xml:space="preserve"> found on nearly every cell type suggesting </w:t>
      </w:r>
      <w:r>
        <w:rPr>
          <w:lang w:bidi="ar-SA"/>
        </w:rPr>
        <w:t xml:space="preserve">additional </w:t>
      </w:r>
      <w:r w:rsidRPr="00366AD9">
        <w:rPr>
          <w:lang w:bidi="ar-SA"/>
        </w:rPr>
        <w:t xml:space="preserve">functional roles for vitamin D </w:t>
      </w:r>
      <w:r>
        <w:rPr>
          <w:lang w:bidi="ar-SA"/>
        </w:rPr>
        <w:t>and generating much research interest. Numerous observational studies and RCTs on the risk of</w:t>
      </w:r>
      <w:r w:rsidRPr="00763FA0">
        <w:rPr>
          <w:rFonts w:ascii="ScalaLancetPro" w:eastAsia="ScalaLancetPro" w:hAnsi="Calibri" w:cs="ScalaLancetPro"/>
          <w:sz w:val="18"/>
          <w:szCs w:val="18"/>
          <w:lang w:eastAsia="en-GB" w:bidi="ar-SA"/>
        </w:rPr>
        <w:t xml:space="preserve"> </w:t>
      </w:r>
      <w:r w:rsidRPr="00763FA0">
        <w:rPr>
          <w:lang w:bidi="ar-SA"/>
        </w:rPr>
        <w:t xml:space="preserve">cardiovascular diseases, </w:t>
      </w:r>
      <w:r>
        <w:rPr>
          <w:lang w:bidi="ar-SA"/>
        </w:rPr>
        <w:t>diabetes and metabolic syndrome disorders</w:t>
      </w:r>
      <w:r w:rsidRPr="00763FA0">
        <w:rPr>
          <w:lang w:bidi="ar-SA"/>
        </w:rPr>
        <w:t>, neurodegenerative diseases, and death</w:t>
      </w:r>
      <w:r>
        <w:rPr>
          <w:lang w:bidi="ar-SA"/>
        </w:rPr>
        <w:t xml:space="preserve"> that is associated with low vitamin D status have been published. </w:t>
      </w:r>
      <w:r w:rsidR="00B62436">
        <w:rPr>
          <w:lang w:bidi="ar-SA"/>
        </w:rPr>
        <w:br w:type="page"/>
      </w:r>
    </w:p>
    <w:p w14:paraId="25B5D79F" w14:textId="04CDAC48" w:rsidR="00DD5C9C" w:rsidRDefault="00DD5C9C" w:rsidP="003B5D42">
      <w:pPr>
        <w:rPr>
          <w:lang w:bidi="ar-SA"/>
        </w:rPr>
      </w:pPr>
      <w:r>
        <w:rPr>
          <w:lang w:bidi="ar-SA"/>
        </w:rPr>
        <w:lastRenderedPageBreak/>
        <w:t xml:space="preserve">Results are highly variable in part due to unreliable assay methodology for serum 25OHD, confounders that can affect serum 25OHD (such as </w:t>
      </w:r>
      <w:r w:rsidRPr="00183977">
        <w:rPr>
          <w:lang w:bidi="ar-SA"/>
        </w:rPr>
        <w:t>season, ageing, latitude,</w:t>
      </w:r>
      <w:r>
        <w:rPr>
          <w:lang w:bidi="ar-SA"/>
        </w:rPr>
        <w:t xml:space="preserve"> </w:t>
      </w:r>
      <w:r w:rsidRPr="00183977">
        <w:rPr>
          <w:lang w:bidi="ar-SA"/>
        </w:rPr>
        <w:t>adiposity, physical activity, smoking, and diet</w:t>
      </w:r>
      <w:r>
        <w:rPr>
          <w:lang w:bidi="ar-SA"/>
        </w:rPr>
        <w:t xml:space="preserve">), or metabolic differences with different dosage level of vitamin D. Based on several recent systematic reviews </w:t>
      </w:r>
      <w:r>
        <w:rPr>
          <w:noProof/>
          <w:lang w:bidi="ar-SA"/>
        </w:rPr>
        <w:t>(Fisk et al. 2012; Theodoratou et al. 2014; Autier et al. 2014; Bolland et al. 2014; Chowdhury et al. 2014)</w:t>
      </w:r>
      <w:r>
        <w:rPr>
          <w:lang w:bidi="ar-SA"/>
        </w:rPr>
        <w:t xml:space="preserve"> as well as the conclusions of EFSA (2012) and IOM (2011), the current body of evidence does not sufficiently support a link between vitamin D and any of these health relationships.</w:t>
      </w:r>
    </w:p>
    <w:p w14:paraId="25B5D7A0" w14:textId="77777777" w:rsidR="00DD5C9C" w:rsidRPr="006A05E9" w:rsidRDefault="00DD5C9C" w:rsidP="003B5D42">
      <w:pPr>
        <w:pStyle w:val="Heading4"/>
      </w:pPr>
      <w:r w:rsidRPr="006A05E9">
        <w:t>Determination of the dietary recommendations</w:t>
      </w:r>
      <w:r>
        <w:t xml:space="preserve"> for inadequacy</w:t>
      </w:r>
    </w:p>
    <w:p w14:paraId="25B5D7A1" w14:textId="77777777" w:rsidR="00DD5C9C" w:rsidRPr="00C263E0" w:rsidRDefault="00DD5C9C" w:rsidP="003B5D42">
      <w:pPr>
        <w:rPr>
          <w:lang w:eastAsia="en-AU" w:bidi="ar-SA"/>
        </w:rPr>
      </w:pPr>
      <w:r>
        <w:rPr>
          <w:lang w:eastAsia="en-AU" w:bidi="ar-SA"/>
        </w:rPr>
        <w:t xml:space="preserve">The current ANZ recommendations for vitamin D intakes were set as Adequate Intake (AI) levels </w:t>
      </w:r>
      <w:r w:rsidRPr="00B12272">
        <w:rPr>
          <w:lang w:eastAsia="en-AU" w:bidi="ar-SA"/>
        </w:rPr>
        <w:t>because evidence</w:t>
      </w:r>
      <w:r>
        <w:rPr>
          <w:lang w:eastAsia="en-AU" w:bidi="ar-SA"/>
        </w:rPr>
        <w:t xml:space="preserve"> at the time was insufficient to derive an EAR or </w:t>
      </w:r>
      <w:r w:rsidRPr="00B12272">
        <w:rPr>
          <w:lang w:eastAsia="en-AU" w:bidi="ar-SA"/>
        </w:rPr>
        <w:t>RDI</w:t>
      </w:r>
      <w:r>
        <w:rPr>
          <w:lang w:eastAsia="en-AU" w:bidi="ar-SA"/>
        </w:rPr>
        <w:t xml:space="preserve"> (NHMRC </w:t>
      </w:r>
      <w:r w:rsidRPr="006C45D2">
        <w:rPr>
          <w:lang w:eastAsia="en-AU" w:bidi="ar-SA"/>
        </w:rPr>
        <w:t>&amp; NZ MoH</w:t>
      </w:r>
      <w:r>
        <w:rPr>
          <w:lang w:eastAsia="en-AU" w:bidi="ar-SA"/>
        </w:rPr>
        <w:t>, 2006). The AI assumes</w:t>
      </w:r>
      <w:r w:rsidRPr="00C263E0">
        <w:rPr>
          <w:lang w:eastAsia="en-AU" w:bidi="ar-SA"/>
        </w:rPr>
        <w:t xml:space="preserve"> </w:t>
      </w:r>
      <w:r>
        <w:rPr>
          <w:lang w:eastAsia="en-AU" w:bidi="ar-SA"/>
        </w:rPr>
        <w:t>minimal</w:t>
      </w:r>
      <w:r w:rsidRPr="00C263E0">
        <w:rPr>
          <w:lang w:eastAsia="en-AU" w:bidi="ar-SA"/>
        </w:rPr>
        <w:t xml:space="preserve"> exposure to UV-B and thereby </w:t>
      </w:r>
      <w:r>
        <w:rPr>
          <w:lang w:eastAsia="en-AU" w:bidi="ar-SA"/>
        </w:rPr>
        <w:t>indicates a</w:t>
      </w:r>
      <w:r w:rsidRPr="00C263E0">
        <w:rPr>
          <w:lang w:eastAsia="en-AU" w:bidi="ar-SA"/>
        </w:rPr>
        <w:t xml:space="preserve"> level of intake for individuals with greatest dietary requirement. The AI for children and adults up to 50 years is 5 µg/day. For men and women 51</w:t>
      </w:r>
      <w:r w:rsidRPr="00166C9C">
        <w:rPr>
          <w:lang w:eastAsia="en-AU" w:bidi="ar-SA"/>
        </w:rPr>
        <w:t>–</w:t>
      </w:r>
      <w:r w:rsidRPr="00C263E0">
        <w:rPr>
          <w:lang w:eastAsia="en-AU" w:bidi="ar-SA"/>
        </w:rPr>
        <w:t>70 years</w:t>
      </w:r>
      <w:r>
        <w:rPr>
          <w:lang w:eastAsia="en-AU" w:bidi="ar-SA"/>
        </w:rPr>
        <w:t>,</w:t>
      </w:r>
      <w:r w:rsidRPr="00C263E0">
        <w:rPr>
          <w:lang w:eastAsia="en-AU" w:bidi="ar-SA"/>
        </w:rPr>
        <w:t xml:space="preserve"> the AI is 10 µg/day, and for over 70 years is 15 µg/day.</w:t>
      </w:r>
      <w:r>
        <w:rPr>
          <w:lang w:eastAsia="en-AU" w:bidi="ar-SA"/>
        </w:rPr>
        <w:t xml:space="preserve"> For population assessment, the median intake is compared to the AI. However, the AI applies only to the sub-section of the population who have minimal sunlight exposure and there are no other health based guidance values for dietary intake for other sections of the population. </w:t>
      </w:r>
    </w:p>
    <w:p w14:paraId="25B5D7A2" w14:textId="77777777" w:rsidR="00DD5C9C" w:rsidRDefault="00DD5C9C" w:rsidP="003B5D42">
      <w:pPr>
        <w:rPr>
          <w:lang w:eastAsia="en-AU" w:bidi="ar-SA"/>
        </w:rPr>
      </w:pPr>
    </w:p>
    <w:p w14:paraId="25B5D7A3" w14:textId="77777777" w:rsidR="00DD5C9C" w:rsidRPr="00864D91" w:rsidDel="009F629C" w:rsidRDefault="00DD5C9C" w:rsidP="003B5D42">
      <w:pPr>
        <w:rPr>
          <w:lang w:eastAsia="en-AU" w:bidi="ar-SA"/>
        </w:rPr>
      </w:pPr>
      <w:r>
        <w:rPr>
          <w:lang w:eastAsia="en-AU" w:bidi="ar-SA"/>
        </w:rPr>
        <w:t xml:space="preserve">The IOM updated their reference intakes for vitamin D and calcium in 2011. The IOM also reviewed the evidence showing an association between serum 25OHD concentration with disease status and concluded that only the relationship between bone disease and 25OHD was substantially supported by the body of evidence. </w:t>
      </w:r>
    </w:p>
    <w:p w14:paraId="25B5D7A4" w14:textId="77777777" w:rsidR="00DD5C9C" w:rsidRDefault="00DD5C9C" w:rsidP="003B5D42">
      <w:pPr>
        <w:rPr>
          <w:lang w:eastAsia="en-AU" w:bidi="ar-SA"/>
        </w:rPr>
      </w:pPr>
    </w:p>
    <w:p w14:paraId="25B5D7A5" w14:textId="77777777" w:rsidR="00DD5C9C" w:rsidRDefault="00DD5C9C" w:rsidP="003B5D42">
      <w:pPr>
        <w:rPr>
          <w:lang w:eastAsia="en-AU" w:bidi="ar-SA"/>
        </w:rPr>
      </w:pPr>
      <w:r>
        <w:rPr>
          <w:lang w:eastAsia="en-AU" w:bidi="ar-SA"/>
        </w:rPr>
        <w:t xml:space="preserve">It was concluded that 25OHD &gt; 50 nM represents the serum concentration at which practically all persons are sufficient in vitamin D intake, and 25OHD in the range 30–50 nM represents the population that is potentially at risk of deficiency. The </w:t>
      </w:r>
      <w:r w:rsidRPr="009B332E">
        <w:rPr>
          <w:lang w:eastAsia="en-AU" w:bidi="ar-SA"/>
        </w:rPr>
        <w:t>risk of deficiency increases as serum</w:t>
      </w:r>
      <w:r>
        <w:rPr>
          <w:lang w:eastAsia="en-AU" w:bidi="ar-SA"/>
        </w:rPr>
        <w:t xml:space="preserve"> 25OHD</w:t>
      </w:r>
      <w:r w:rsidRPr="009B332E">
        <w:rPr>
          <w:lang w:eastAsia="en-AU" w:bidi="ar-SA"/>
        </w:rPr>
        <w:t xml:space="preserve"> level</w:t>
      </w:r>
      <w:r>
        <w:rPr>
          <w:lang w:eastAsia="en-AU" w:bidi="ar-SA"/>
        </w:rPr>
        <w:t>s</w:t>
      </w:r>
      <w:r w:rsidRPr="009B332E">
        <w:rPr>
          <w:lang w:eastAsia="en-AU" w:bidi="ar-SA"/>
        </w:rPr>
        <w:t xml:space="preserve"> drop below </w:t>
      </w:r>
      <w:r>
        <w:rPr>
          <w:lang w:eastAsia="en-AU" w:bidi="ar-SA"/>
        </w:rPr>
        <w:t>30 nM</w:t>
      </w:r>
      <w:r w:rsidRPr="009B332E">
        <w:rPr>
          <w:lang w:eastAsia="en-AU" w:bidi="ar-SA"/>
        </w:rPr>
        <w:t xml:space="preserve">. </w:t>
      </w:r>
      <w:r>
        <w:rPr>
          <w:lang w:eastAsia="en-AU" w:bidi="ar-SA"/>
        </w:rPr>
        <w:t xml:space="preserve">The EAR and RDI were set by IOM by back-calculating the dietary intakes of vitamin D required to achieve the following concentrations assuming that sun exposure was minimal (IOM 2011): </w:t>
      </w:r>
    </w:p>
    <w:p w14:paraId="2DEEAB0B" w14:textId="77777777" w:rsidR="00E262C6" w:rsidRDefault="00E262C6" w:rsidP="003B5D42">
      <w:pPr>
        <w:rPr>
          <w:lang w:eastAsia="en-AU" w:bidi="ar-SA"/>
        </w:rPr>
      </w:pPr>
    </w:p>
    <w:p w14:paraId="25B5D7A6" w14:textId="77777777" w:rsidR="00DD5C9C" w:rsidRPr="00864D91" w:rsidRDefault="00DD5C9C" w:rsidP="00C91549">
      <w:pPr>
        <w:pStyle w:val="FSBullet1"/>
        <w:rPr>
          <w:lang w:eastAsia="en-AU"/>
        </w:rPr>
      </w:pPr>
      <w:r>
        <w:rPr>
          <w:lang w:val="en-AU" w:eastAsia="en-AU"/>
        </w:rPr>
        <w:t xml:space="preserve">EAR: Serum 25OHD = 40 nM - </w:t>
      </w:r>
      <w:r w:rsidRPr="00864D91">
        <w:rPr>
          <w:lang w:val="en-AU" w:eastAsia="en-AU"/>
        </w:rPr>
        <w:t xml:space="preserve">meets needs of 50% of population; </w:t>
      </w:r>
    </w:p>
    <w:p w14:paraId="25B5D7A7" w14:textId="77777777" w:rsidR="00DD5C9C" w:rsidRDefault="00DD5C9C" w:rsidP="00C91549">
      <w:pPr>
        <w:pStyle w:val="FSBullet1"/>
        <w:rPr>
          <w:lang w:eastAsia="en-AU"/>
        </w:rPr>
      </w:pPr>
      <w:r>
        <w:rPr>
          <w:lang w:val="en-AU" w:eastAsia="en-AU"/>
        </w:rPr>
        <w:t xml:space="preserve">RDI: </w:t>
      </w:r>
      <w:r w:rsidRPr="00864D91">
        <w:rPr>
          <w:lang w:val="en-AU" w:eastAsia="en-AU"/>
        </w:rPr>
        <w:t>Serum 25OHD = 50 nM</w:t>
      </w:r>
      <w:r>
        <w:rPr>
          <w:lang w:val="en-AU" w:eastAsia="en-AU"/>
        </w:rPr>
        <w:t xml:space="preserve"> - </w:t>
      </w:r>
      <w:r w:rsidRPr="00864D91">
        <w:rPr>
          <w:lang w:val="en-AU" w:eastAsia="en-AU"/>
        </w:rPr>
        <w:t>meets needs of 97.5% of population</w:t>
      </w:r>
    </w:p>
    <w:p w14:paraId="25B5D7A8" w14:textId="77777777" w:rsidR="00DD5C9C" w:rsidRPr="006A05E9" w:rsidRDefault="00DD5C9C" w:rsidP="003B5D42">
      <w:pPr>
        <w:pStyle w:val="Heading4"/>
      </w:pPr>
      <w:r w:rsidRPr="006A05E9">
        <w:t xml:space="preserve">Recommended 25OHD </w:t>
      </w:r>
      <w:r w:rsidR="002544DE">
        <w:t>cut-off values</w:t>
      </w:r>
      <w:r w:rsidR="007B2A2E">
        <w:t xml:space="preserve"> </w:t>
      </w:r>
      <w:r w:rsidRPr="006A05E9">
        <w:t xml:space="preserve">to define inadequate populations </w:t>
      </w:r>
    </w:p>
    <w:p w14:paraId="25B5D7A9" w14:textId="77777777" w:rsidR="00DD5C9C" w:rsidRDefault="00DD5C9C" w:rsidP="003B5D42">
      <w:pPr>
        <w:rPr>
          <w:lang w:eastAsia="en-AU" w:bidi="ar-SA"/>
        </w:rPr>
      </w:pPr>
      <w:r>
        <w:rPr>
          <w:lang w:eastAsia="en-AU" w:bidi="ar-SA"/>
        </w:rPr>
        <w:t xml:space="preserve">Nutritional status can be assessed directly using biochemical or other measures rather than using indirect dietary assessment. Because vitamin D is unique in that it is </w:t>
      </w:r>
      <w:r w:rsidRPr="002175BC">
        <w:rPr>
          <w:lang w:eastAsia="en-AU" w:bidi="ar-SA"/>
        </w:rPr>
        <w:t>obtained th</w:t>
      </w:r>
      <w:r>
        <w:rPr>
          <w:lang w:eastAsia="en-AU" w:bidi="ar-SA"/>
        </w:rPr>
        <w:t>r</w:t>
      </w:r>
      <w:r w:rsidRPr="002175BC">
        <w:rPr>
          <w:lang w:eastAsia="en-AU" w:bidi="ar-SA"/>
        </w:rPr>
        <w:t xml:space="preserve">ough dietary sources </w:t>
      </w:r>
      <w:r>
        <w:rPr>
          <w:lang w:eastAsia="en-AU" w:bidi="ar-SA"/>
        </w:rPr>
        <w:t xml:space="preserve">and </w:t>
      </w:r>
      <w:r w:rsidRPr="002175BC">
        <w:rPr>
          <w:lang w:eastAsia="en-AU" w:bidi="ar-SA"/>
        </w:rPr>
        <w:t>also through sunlight exposure</w:t>
      </w:r>
      <w:r>
        <w:rPr>
          <w:lang w:eastAsia="en-AU" w:bidi="ar-SA"/>
        </w:rPr>
        <w:t>, dietary intake data do not provide a good basis for assessing vitamin D status. By contrast, serum 25OHD reflects vitamin D derived from both sunlight and diet.</w:t>
      </w:r>
    </w:p>
    <w:p w14:paraId="25B5D7AA" w14:textId="77777777" w:rsidR="00DD5C9C" w:rsidRDefault="00DD5C9C" w:rsidP="003B5D42">
      <w:pPr>
        <w:rPr>
          <w:lang w:eastAsia="en-AU" w:bidi="ar-SA"/>
        </w:rPr>
      </w:pPr>
    </w:p>
    <w:p w14:paraId="25B5D7AB" w14:textId="77777777" w:rsidR="00DD5C9C" w:rsidRDefault="00DD5C9C" w:rsidP="003B5D42">
      <w:pPr>
        <w:rPr>
          <w:lang w:eastAsia="en-AU" w:bidi="ar-SA"/>
        </w:rPr>
      </w:pPr>
      <w:r>
        <w:rPr>
          <w:lang w:eastAsia="en-AU" w:bidi="ar-SA"/>
        </w:rPr>
        <w:t>E</w:t>
      </w:r>
      <w:r w:rsidRPr="0072021E">
        <w:rPr>
          <w:lang w:eastAsia="en-AU" w:bidi="ar-SA"/>
        </w:rPr>
        <w:t xml:space="preserve">xpert panels and advisory bodies have published various </w:t>
      </w:r>
      <w:r w:rsidR="002544DE">
        <w:rPr>
          <w:lang w:eastAsia="en-AU" w:bidi="ar-SA"/>
        </w:rPr>
        <w:t>cut-off value</w:t>
      </w:r>
      <w:r w:rsidRPr="0072021E">
        <w:rPr>
          <w:lang w:eastAsia="en-AU" w:bidi="ar-SA"/>
        </w:rPr>
        <w:t>s f</w:t>
      </w:r>
      <w:r>
        <w:rPr>
          <w:lang w:eastAsia="en-AU" w:bidi="ar-SA"/>
        </w:rPr>
        <w:t>or</w:t>
      </w:r>
      <w:r w:rsidRPr="0072021E">
        <w:rPr>
          <w:lang w:eastAsia="en-AU" w:bidi="ar-SA"/>
        </w:rPr>
        <w:t xml:space="preserve"> serum 25OHD </w:t>
      </w:r>
      <w:r>
        <w:rPr>
          <w:lang w:eastAsia="en-AU" w:bidi="ar-SA"/>
        </w:rPr>
        <w:t>concentration</w:t>
      </w:r>
      <w:r w:rsidRPr="0072021E">
        <w:rPr>
          <w:lang w:eastAsia="en-AU" w:bidi="ar-SA"/>
        </w:rPr>
        <w:t xml:space="preserve"> to </w:t>
      </w:r>
      <w:r>
        <w:rPr>
          <w:lang w:eastAsia="en-AU" w:bidi="ar-SA"/>
        </w:rPr>
        <w:t>indicate</w:t>
      </w:r>
      <w:r w:rsidRPr="0072021E">
        <w:rPr>
          <w:lang w:eastAsia="en-AU" w:bidi="ar-SA"/>
        </w:rPr>
        <w:t xml:space="preserve"> inadequate vitamin D</w:t>
      </w:r>
      <w:r>
        <w:rPr>
          <w:lang w:eastAsia="en-AU" w:bidi="ar-SA"/>
        </w:rPr>
        <w:t xml:space="preserve"> status (summarised in </w:t>
      </w:r>
      <w:r w:rsidRPr="0072021E">
        <w:rPr>
          <w:lang w:eastAsia="en-AU" w:bidi="ar-SA"/>
        </w:rPr>
        <w:t xml:space="preserve">Table </w:t>
      </w:r>
      <w:r>
        <w:rPr>
          <w:lang w:eastAsia="en-AU" w:bidi="ar-SA"/>
        </w:rPr>
        <w:t xml:space="preserve">3). The Table clearly shows discrepancy in the application of terms such as ‘deficiency’ to different serum concentrations. Therefore this assessment will report results of surveys measuring 25OHD without using these terms. </w:t>
      </w:r>
    </w:p>
    <w:p w14:paraId="25B5D7AC" w14:textId="77777777" w:rsidR="00DD5C9C" w:rsidRDefault="00DD5C9C" w:rsidP="003B5D42">
      <w:pPr>
        <w:rPr>
          <w:lang w:eastAsia="en-AU" w:bidi="ar-SA"/>
        </w:rPr>
      </w:pPr>
    </w:p>
    <w:p w14:paraId="5F3E5243" w14:textId="77777777" w:rsidR="00E262C6" w:rsidRDefault="00DD5C9C" w:rsidP="003B5D42">
      <w:pPr>
        <w:rPr>
          <w:lang w:eastAsia="en-AU" w:bidi="ar-SA"/>
        </w:rPr>
      </w:pPr>
      <w:r>
        <w:rPr>
          <w:lang w:eastAsia="en-AU" w:bidi="ar-SA"/>
        </w:rPr>
        <w:t>The IOM 2011 decisions for the dietary recommendations described above were based on the assumption that a serum 25OHD distribution with a mean of 40 nM and a 97.5</w:t>
      </w:r>
      <w:r w:rsidRPr="009C7E92">
        <w:rPr>
          <w:vertAlign w:val="superscript"/>
          <w:lang w:eastAsia="en-AU" w:bidi="ar-SA"/>
        </w:rPr>
        <w:t>th</w:t>
      </w:r>
      <w:r>
        <w:rPr>
          <w:lang w:eastAsia="en-AU" w:bidi="ar-SA"/>
        </w:rPr>
        <w:t xml:space="preserve"> centile of 50 nM represented the physiological requirement. Therefore, assuming normality, this distribution has a standard deviation of 5 nM. Consequently, 30 nM and 25 nM are two and three standard deviations below the mean respectively. Earlier clinical work has identified 30 nM as a point where rickets and osteomalacia are common. </w:t>
      </w:r>
      <w:r w:rsidR="00E262C6">
        <w:rPr>
          <w:lang w:eastAsia="en-AU" w:bidi="ar-SA"/>
        </w:rPr>
        <w:br w:type="page"/>
      </w:r>
    </w:p>
    <w:p w14:paraId="25B5D7AD" w14:textId="6AFF4D1D" w:rsidR="00DD5C9C" w:rsidRDefault="00DD5C9C" w:rsidP="003B5D42">
      <w:pPr>
        <w:rPr>
          <w:i/>
        </w:rPr>
      </w:pPr>
      <w:r>
        <w:rPr>
          <w:lang w:eastAsia="en-AU" w:bidi="ar-SA"/>
        </w:rPr>
        <w:lastRenderedPageBreak/>
        <w:t>The current AI for Australia New Zealand for various population groups such as young adults was “</w:t>
      </w:r>
      <w:r w:rsidRPr="009C7E92">
        <w:rPr>
          <w:i/>
          <w:lang w:eastAsia="en-AU" w:bidi="ar-SA"/>
        </w:rPr>
        <w:t xml:space="preserve">based on the amount of vitamin D required to maintain serum 25(OH)D at a level of at least 27.5 nmol/L with minimal exposure to sunlight” </w:t>
      </w:r>
      <w:r w:rsidRPr="006C45D2">
        <w:rPr>
          <w:lang w:eastAsia="en-AU" w:bidi="ar-SA"/>
        </w:rPr>
        <w:t>(NHMRC &amp; NZ MoH, 2006).</w:t>
      </w:r>
      <w:r>
        <w:rPr>
          <w:rFonts w:ascii="Helvetica" w:hAnsi="Helvetica"/>
          <w:sz w:val="18"/>
          <w:szCs w:val="18"/>
          <w:lang w:val="en"/>
        </w:rPr>
        <w:t xml:space="preserve"> </w:t>
      </w:r>
      <w:r w:rsidRPr="009C7E92">
        <w:rPr>
          <w:lang w:eastAsia="en-AU" w:bidi="ar-SA"/>
        </w:rPr>
        <w:t>In the U</w:t>
      </w:r>
      <w:r>
        <w:rPr>
          <w:lang w:eastAsia="en-AU" w:bidi="ar-SA"/>
        </w:rPr>
        <w:t>nited Kingdom</w:t>
      </w:r>
      <w:r w:rsidRPr="009C7E92">
        <w:rPr>
          <w:lang w:eastAsia="en-AU" w:bidi="ar-SA"/>
        </w:rPr>
        <w:t xml:space="preserve">, the Vitamin D Working Group notes that </w:t>
      </w:r>
      <w:r>
        <w:rPr>
          <w:rFonts w:ascii="Helvetica" w:hAnsi="Helvetica"/>
          <w:sz w:val="18"/>
          <w:szCs w:val="18"/>
          <w:lang w:val="en"/>
        </w:rPr>
        <w:t>“</w:t>
      </w:r>
      <w:r w:rsidRPr="00C838EC">
        <w:rPr>
          <w:i/>
        </w:rPr>
        <w:t>a serum 25(OH)D concentration of 25 nmol/L was a population protective level”</w:t>
      </w:r>
      <w:r>
        <w:rPr>
          <w:b/>
          <w:i/>
        </w:rPr>
        <w:t xml:space="preserve"> </w:t>
      </w:r>
      <w:r w:rsidRPr="00BA2BD6">
        <w:t>(i.e., the serum 25(OH)D concentration that individuals in the UK population should not fall below in terms of protecting bone health)</w:t>
      </w:r>
      <w:r>
        <w:t xml:space="preserve"> </w:t>
      </w:r>
      <w:r>
        <w:rPr>
          <w:noProof/>
        </w:rPr>
        <w:t>(Scientific Advisory Committee on Nutrition 2014)</w:t>
      </w:r>
      <w:r>
        <w:t>.</w:t>
      </w:r>
      <w:r>
        <w:rPr>
          <w:i/>
        </w:rPr>
        <w:t xml:space="preserve">  </w:t>
      </w:r>
    </w:p>
    <w:p w14:paraId="25B5D7AE" w14:textId="77777777" w:rsidR="00DD5C9C" w:rsidRDefault="00DD5C9C" w:rsidP="003B5D42">
      <w:pPr>
        <w:rPr>
          <w:i/>
        </w:rPr>
      </w:pPr>
    </w:p>
    <w:p w14:paraId="25B5D7AF" w14:textId="77777777" w:rsidR="00DD5C9C" w:rsidRPr="00BA2BD6" w:rsidRDefault="00DD5C9C" w:rsidP="003B5D42">
      <w:r w:rsidRPr="00BA2BD6">
        <w:t>Th</w:t>
      </w:r>
      <w:r>
        <w:t xml:space="preserve">erefore </w:t>
      </w:r>
      <w:r w:rsidRPr="00BA2BD6">
        <w:t>there is agreement that serum concentrations in the range 25</w:t>
      </w:r>
      <w:r w:rsidRPr="00166C9C">
        <w:t>–</w:t>
      </w:r>
      <w:r w:rsidRPr="00BA2BD6">
        <w:t xml:space="preserve">30 nM are too low for most or all of the population and this </w:t>
      </w:r>
      <w:r>
        <w:t xml:space="preserve">is consistent with </w:t>
      </w:r>
      <w:r w:rsidRPr="00BA2BD6">
        <w:t xml:space="preserve">the serum 25OHD distribution </w:t>
      </w:r>
      <w:r w:rsidRPr="00C838EC">
        <w:t>articulated by the IOM.</w:t>
      </w:r>
      <w:r w:rsidRPr="00BA2BD6">
        <w:t xml:space="preserve"> Practi</w:t>
      </w:r>
      <w:r>
        <w:t>ti</w:t>
      </w:r>
      <w:r w:rsidRPr="00BA2BD6">
        <w:t xml:space="preserve">oners and others who give advice to individuals commonly use a </w:t>
      </w:r>
      <w:r>
        <w:t>concentration</w:t>
      </w:r>
      <w:r w:rsidRPr="00BA2BD6">
        <w:t xml:space="preserve"> that</w:t>
      </w:r>
      <w:r>
        <w:t xml:space="preserve"> covers most of the population.</w:t>
      </w:r>
      <w:r w:rsidRPr="00BA2BD6">
        <w:t xml:space="preserve"> For example, the RDI is typically used when giving dietary advice to individuals even though this is not used in population assessment</w:t>
      </w:r>
      <w:r>
        <w:t>s</w:t>
      </w:r>
      <w:r w:rsidRPr="00BA2BD6">
        <w:t>. The identification of 50</w:t>
      </w:r>
      <w:r>
        <w:t xml:space="preserve"> </w:t>
      </w:r>
      <w:r w:rsidRPr="00BA2BD6">
        <w:t xml:space="preserve">nM as a </w:t>
      </w:r>
      <w:r>
        <w:t>concentration at which advice to individuals is given (</w:t>
      </w:r>
      <w:r w:rsidRPr="00BA2BD6">
        <w:t xml:space="preserve">Table </w:t>
      </w:r>
      <w:r>
        <w:t>3)</w:t>
      </w:r>
      <w:r w:rsidRPr="00BA2BD6">
        <w:t xml:space="preserve"> is therefore </w:t>
      </w:r>
      <w:r>
        <w:t xml:space="preserve">also </w:t>
      </w:r>
      <w:r w:rsidRPr="00C838EC">
        <w:t>consistent with the distribution articulated by the IOM</w:t>
      </w:r>
      <w:r w:rsidRPr="00BA2BD6">
        <w:t>.</w:t>
      </w:r>
    </w:p>
    <w:p w14:paraId="25B5D7B0" w14:textId="77777777" w:rsidR="00DD5C9C" w:rsidRDefault="00DD5C9C" w:rsidP="003B5D42">
      <w:pPr>
        <w:rPr>
          <w:i/>
        </w:rPr>
      </w:pPr>
    </w:p>
    <w:p w14:paraId="25B5D7B1" w14:textId="77777777" w:rsidR="00DD5C9C" w:rsidRPr="009868B2" w:rsidRDefault="00DD5C9C" w:rsidP="003B5D42">
      <w:r w:rsidRPr="00F1576A">
        <w:t xml:space="preserve">FSANZ concludes that there is currently considerable international </w:t>
      </w:r>
      <w:r>
        <w:t>consensus</w:t>
      </w:r>
      <w:r w:rsidRPr="00F1576A">
        <w:t xml:space="preserve"> for viewing the physiological requirement distribution for serum 25OHD as having a mean of 40 nM and a standard deviation of 5 nM. </w:t>
      </w:r>
      <w:r w:rsidRPr="009868B2">
        <w:t>The</w:t>
      </w:r>
      <w:r>
        <w:t>refore, the</w:t>
      </w:r>
      <w:r w:rsidRPr="009868B2">
        <w:t xml:space="preserve"> criterion for adequacy for this assessment was taken to be the percentage of the population groups with serum 25OHD &lt; 40 nM. This value was chosen because the most recent EAR from the IOM was calculated assuming that 40 nM was a suitable </w:t>
      </w:r>
      <w:r>
        <w:t>level for 50% of the population. T</w:t>
      </w:r>
      <w:r w:rsidRPr="009868B2">
        <w:t xml:space="preserve">his is analogous to using the EAR Cut-point method used in other FSANZ nutrient intake assessments to estimate the prevalence of inadequate intakes. </w:t>
      </w:r>
    </w:p>
    <w:p w14:paraId="25B5D7B2" w14:textId="77777777" w:rsidR="00DD5C9C" w:rsidRDefault="00DD5C9C" w:rsidP="003B5D42"/>
    <w:p w14:paraId="25B5D7B3" w14:textId="77777777" w:rsidR="00DD5C9C" w:rsidRPr="00E262C6" w:rsidRDefault="00DD5C9C" w:rsidP="00E262C6">
      <w:pPr>
        <w:pStyle w:val="FSTableFigureHeading"/>
        <w:spacing w:before="0"/>
        <w:rPr>
          <w:i w:val="0"/>
          <w:lang w:eastAsia="en-AU"/>
        </w:rPr>
      </w:pPr>
      <w:r w:rsidRPr="00E262C6">
        <w:rPr>
          <w:i w:val="0"/>
          <w:lang w:eastAsia="en-AU"/>
        </w:rPr>
        <w:t xml:space="preserve">Table 3 </w:t>
      </w:r>
      <w:r w:rsidRPr="00E262C6">
        <w:rPr>
          <w:i w:val="0"/>
          <w:lang w:eastAsia="en-AU"/>
        </w:rPr>
        <w:tab/>
        <w:t xml:space="preserve">Expert panel recommendations for serum 25OHD concentrations to indicate vitamin D status </w:t>
      </w:r>
    </w:p>
    <w:tbl>
      <w:tblPr>
        <w:tblStyle w:val="TableGrid2"/>
        <w:tblW w:w="9464" w:type="dxa"/>
        <w:tblLook w:val="04A0" w:firstRow="1" w:lastRow="0" w:firstColumn="1" w:lastColumn="0" w:noHBand="0" w:noVBand="1"/>
      </w:tblPr>
      <w:tblGrid>
        <w:gridCol w:w="4644"/>
        <w:gridCol w:w="4820"/>
      </w:tblGrid>
      <w:tr w:rsidR="00DD5C9C" w:rsidRPr="006C45D2" w14:paraId="25B5D7B6" w14:textId="77777777" w:rsidTr="003B5D42">
        <w:trPr>
          <w:trHeight w:val="477"/>
        </w:trPr>
        <w:tc>
          <w:tcPr>
            <w:tcW w:w="4644" w:type="dxa"/>
            <w:vAlign w:val="center"/>
          </w:tcPr>
          <w:p w14:paraId="25B5D7B4" w14:textId="77777777" w:rsidR="00DD5C9C" w:rsidRPr="00501FF8" w:rsidRDefault="00DD5C9C" w:rsidP="003B5D42">
            <w:pPr>
              <w:spacing w:before="120" w:after="120"/>
              <w:rPr>
                <w:b/>
                <w:sz w:val="18"/>
                <w:szCs w:val="18"/>
                <w:lang w:bidi="ar-SA"/>
              </w:rPr>
            </w:pPr>
            <w:r w:rsidRPr="00501FF8">
              <w:rPr>
                <w:b/>
                <w:sz w:val="18"/>
                <w:szCs w:val="18"/>
                <w:lang w:bidi="ar-SA"/>
              </w:rPr>
              <w:t>Panel (reference)</w:t>
            </w:r>
          </w:p>
        </w:tc>
        <w:tc>
          <w:tcPr>
            <w:tcW w:w="4820" w:type="dxa"/>
            <w:vAlign w:val="center"/>
          </w:tcPr>
          <w:p w14:paraId="25B5D7B5" w14:textId="77777777" w:rsidR="00DD5C9C" w:rsidRPr="00501FF8" w:rsidRDefault="00DD5C9C" w:rsidP="003B5D42">
            <w:pPr>
              <w:spacing w:before="120" w:after="120"/>
              <w:rPr>
                <w:b/>
                <w:sz w:val="18"/>
                <w:szCs w:val="18"/>
                <w:lang w:bidi="ar-SA"/>
              </w:rPr>
            </w:pPr>
            <w:r w:rsidRPr="00501FF8">
              <w:rPr>
                <w:b/>
                <w:sz w:val="18"/>
                <w:szCs w:val="18"/>
                <w:lang w:bidi="ar-SA"/>
              </w:rPr>
              <w:t>Recommendation</w:t>
            </w:r>
          </w:p>
        </w:tc>
      </w:tr>
      <w:tr w:rsidR="00DD5C9C" w:rsidRPr="006C45D2" w14:paraId="25B5D7BD" w14:textId="77777777" w:rsidTr="003B5D42">
        <w:trPr>
          <w:trHeight w:val="907"/>
        </w:trPr>
        <w:tc>
          <w:tcPr>
            <w:tcW w:w="4644" w:type="dxa"/>
            <w:vAlign w:val="center"/>
          </w:tcPr>
          <w:p w14:paraId="25B5D7B7" w14:textId="77777777" w:rsidR="00DD5C9C" w:rsidRPr="00501FF8" w:rsidRDefault="00DD5C9C" w:rsidP="003B5D42">
            <w:pPr>
              <w:rPr>
                <w:sz w:val="18"/>
                <w:szCs w:val="18"/>
                <w:lang w:bidi="ar-SA"/>
              </w:rPr>
            </w:pPr>
            <w:r w:rsidRPr="00501FF8">
              <w:rPr>
                <w:sz w:val="18"/>
                <w:szCs w:val="18"/>
                <w:lang w:bidi="ar-SA"/>
              </w:rPr>
              <w:t>IOM</w:t>
            </w:r>
          </w:p>
          <w:p w14:paraId="25B5D7B8" w14:textId="77777777" w:rsidR="00DD5C9C" w:rsidRPr="00501FF8" w:rsidRDefault="00DD5C9C" w:rsidP="003B5D42">
            <w:pPr>
              <w:rPr>
                <w:sz w:val="18"/>
                <w:szCs w:val="18"/>
                <w:lang w:bidi="ar-SA"/>
              </w:rPr>
            </w:pPr>
            <w:r w:rsidRPr="00501FF8">
              <w:rPr>
                <w:noProof/>
                <w:sz w:val="18"/>
                <w:szCs w:val="18"/>
                <w:lang w:bidi="ar-SA"/>
              </w:rPr>
              <w:t>(Ross et al. 2011)</w:t>
            </w:r>
          </w:p>
        </w:tc>
        <w:tc>
          <w:tcPr>
            <w:tcW w:w="4820" w:type="dxa"/>
            <w:vAlign w:val="center"/>
          </w:tcPr>
          <w:p w14:paraId="25B5D7B9" w14:textId="77777777" w:rsidR="00DD5C9C" w:rsidRPr="00501FF8" w:rsidRDefault="00DD5C9C" w:rsidP="003B5D42">
            <w:pPr>
              <w:rPr>
                <w:sz w:val="18"/>
                <w:szCs w:val="18"/>
                <w:lang w:bidi="ar-SA"/>
              </w:rPr>
            </w:pPr>
            <w:r w:rsidRPr="00501FF8">
              <w:rPr>
                <w:sz w:val="18"/>
                <w:szCs w:val="18"/>
                <w:lang w:bidi="ar-SA"/>
              </w:rPr>
              <w:t>At risk of deficiency 25OHD &lt; 30 nM</w:t>
            </w:r>
          </w:p>
          <w:p w14:paraId="25B5D7BA" w14:textId="77777777" w:rsidR="00DD5C9C" w:rsidRPr="00501FF8" w:rsidRDefault="00DD5C9C" w:rsidP="003B5D42">
            <w:pPr>
              <w:rPr>
                <w:sz w:val="18"/>
                <w:szCs w:val="18"/>
                <w:lang w:bidi="ar-SA"/>
              </w:rPr>
            </w:pPr>
            <w:r w:rsidRPr="00501FF8">
              <w:rPr>
                <w:sz w:val="18"/>
                <w:szCs w:val="18"/>
                <w:lang w:bidi="ar-SA"/>
              </w:rPr>
              <w:t>Potentially at risk of deficiency 25OHD = 30-50 nM</w:t>
            </w:r>
          </w:p>
          <w:p w14:paraId="25B5D7BB" w14:textId="77777777" w:rsidR="00DD5C9C" w:rsidRPr="00501FF8" w:rsidRDefault="00DD5C9C" w:rsidP="003B5D42">
            <w:pPr>
              <w:rPr>
                <w:sz w:val="18"/>
                <w:szCs w:val="18"/>
                <w:lang w:bidi="ar-SA"/>
              </w:rPr>
            </w:pPr>
            <w:r w:rsidRPr="00501FF8">
              <w:rPr>
                <w:sz w:val="18"/>
                <w:szCs w:val="18"/>
                <w:lang w:bidi="ar-SA"/>
              </w:rPr>
              <w:t>Practically all persons sufficient 25OHD &gt; 50 nM</w:t>
            </w:r>
          </w:p>
          <w:p w14:paraId="25B5D7BC" w14:textId="77777777" w:rsidR="00DD5C9C" w:rsidRPr="00501FF8" w:rsidRDefault="00DD5C9C" w:rsidP="003B5D42">
            <w:pPr>
              <w:rPr>
                <w:sz w:val="18"/>
                <w:szCs w:val="18"/>
                <w:lang w:bidi="ar-SA"/>
              </w:rPr>
            </w:pPr>
            <w:r w:rsidRPr="00501FF8">
              <w:rPr>
                <w:sz w:val="18"/>
                <w:szCs w:val="18"/>
                <w:lang w:bidi="ar-SA"/>
              </w:rPr>
              <w:t>No additional benefit 25OHD &gt; 75 nM</w:t>
            </w:r>
          </w:p>
        </w:tc>
      </w:tr>
      <w:tr w:rsidR="00DD5C9C" w:rsidRPr="006C45D2" w14:paraId="25B5D7C3" w14:textId="77777777" w:rsidTr="003B5D42">
        <w:trPr>
          <w:trHeight w:val="907"/>
        </w:trPr>
        <w:tc>
          <w:tcPr>
            <w:tcW w:w="4644" w:type="dxa"/>
            <w:vAlign w:val="center"/>
          </w:tcPr>
          <w:p w14:paraId="25B5D7BE" w14:textId="77777777" w:rsidR="00DD5C9C" w:rsidRPr="00501FF8" w:rsidRDefault="00DD5C9C" w:rsidP="003B5D42">
            <w:pPr>
              <w:rPr>
                <w:sz w:val="18"/>
                <w:szCs w:val="18"/>
                <w:lang w:bidi="ar-SA"/>
              </w:rPr>
            </w:pPr>
            <w:r w:rsidRPr="00501FF8">
              <w:rPr>
                <w:sz w:val="18"/>
                <w:szCs w:val="18"/>
                <w:lang w:bidi="ar-SA"/>
              </w:rPr>
              <w:t>NZ MOH</w:t>
            </w:r>
          </w:p>
          <w:p w14:paraId="25B5D7BF" w14:textId="77777777" w:rsidR="00DD5C9C" w:rsidRPr="00501FF8" w:rsidRDefault="00DD5C9C" w:rsidP="003B5D42">
            <w:pPr>
              <w:rPr>
                <w:sz w:val="18"/>
                <w:szCs w:val="18"/>
                <w:lang w:bidi="ar-SA"/>
              </w:rPr>
            </w:pPr>
            <w:r w:rsidRPr="00501FF8">
              <w:rPr>
                <w:noProof/>
                <w:sz w:val="18"/>
                <w:szCs w:val="18"/>
                <w:lang w:bidi="ar-SA"/>
              </w:rPr>
              <w:t>(Ministry of Health &amp; Cancer Society of New Zealand 2012)</w:t>
            </w:r>
          </w:p>
        </w:tc>
        <w:tc>
          <w:tcPr>
            <w:tcW w:w="4820" w:type="dxa"/>
            <w:vAlign w:val="center"/>
          </w:tcPr>
          <w:p w14:paraId="25B5D7C0" w14:textId="77777777" w:rsidR="00DD5C9C" w:rsidRPr="00501FF8" w:rsidRDefault="00DD5C9C" w:rsidP="003B5D42">
            <w:pPr>
              <w:rPr>
                <w:sz w:val="18"/>
                <w:szCs w:val="18"/>
                <w:lang w:bidi="ar-SA"/>
              </w:rPr>
            </w:pPr>
            <w:r w:rsidRPr="00501FF8">
              <w:rPr>
                <w:sz w:val="18"/>
                <w:szCs w:val="18"/>
                <w:lang w:bidi="ar-SA"/>
              </w:rPr>
              <w:t>25OHD &lt; 30 nM</w:t>
            </w:r>
            <w:r w:rsidR="00AF79AC">
              <w:rPr>
                <w:sz w:val="18"/>
                <w:szCs w:val="18"/>
                <w:lang w:bidi="ar-SA"/>
              </w:rPr>
              <w:t xml:space="preserve"> </w:t>
            </w:r>
            <w:r w:rsidRPr="00501FF8">
              <w:rPr>
                <w:sz w:val="18"/>
                <w:szCs w:val="18"/>
                <w:lang w:bidi="ar-SA"/>
              </w:rPr>
              <w:t xml:space="preserve">are ‘deficient’. </w:t>
            </w:r>
          </w:p>
          <w:p w14:paraId="25B5D7C1" w14:textId="77777777" w:rsidR="00DD5C9C" w:rsidRPr="00501FF8" w:rsidRDefault="00DD5C9C" w:rsidP="003B5D42">
            <w:pPr>
              <w:rPr>
                <w:sz w:val="18"/>
                <w:szCs w:val="18"/>
                <w:lang w:bidi="ar-SA"/>
              </w:rPr>
            </w:pPr>
            <w:r w:rsidRPr="00501FF8">
              <w:rPr>
                <w:sz w:val="18"/>
                <w:szCs w:val="18"/>
                <w:lang w:bidi="ar-SA"/>
              </w:rPr>
              <w:t xml:space="preserve">25OHD ≥ 50 nM seems prudent. </w:t>
            </w:r>
          </w:p>
          <w:p w14:paraId="25B5D7C2" w14:textId="77777777" w:rsidR="00DD5C9C" w:rsidRPr="00501FF8" w:rsidRDefault="00DD5C9C" w:rsidP="003B5D42">
            <w:pPr>
              <w:rPr>
                <w:i/>
                <w:sz w:val="18"/>
                <w:szCs w:val="18"/>
                <w:lang w:bidi="ar-SA"/>
              </w:rPr>
            </w:pPr>
            <w:r w:rsidRPr="00501FF8">
              <w:rPr>
                <w:sz w:val="18"/>
                <w:szCs w:val="18"/>
                <w:lang w:bidi="ar-SA"/>
              </w:rPr>
              <w:t xml:space="preserve">25OHD &gt; 125 nM is not recommended. </w:t>
            </w:r>
          </w:p>
        </w:tc>
      </w:tr>
      <w:tr w:rsidR="00DD5C9C" w:rsidRPr="006C45D2" w14:paraId="25B5D7CA" w14:textId="77777777" w:rsidTr="003B5D42">
        <w:trPr>
          <w:trHeight w:val="907"/>
        </w:trPr>
        <w:tc>
          <w:tcPr>
            <w:tcW w:w="4644" w:type="dxa"/>
            <w:vAlign w:val="center"/>
          </w:tcPr>
          <w:p w14:paraId="25B5D7C4" w14:textId="77777777" w:rsidR="00DD5C9C" w:rsidRPr="00501FF8" w:rsidRDefault="00DD5C9C" w:rsidP="003B5D42">
            <w:pPr>
              <w:rPr>
                <w:sz w:val="18"/>
                <w:szCs w:val="18"/>
                <w:lang w:bidi="ar-SA"/>
              </w:rPr>
            </w:pPr>
            <w:r w:rsidRPr="00501FF8">
              <w:rPr>
                <w:sz w:val="18"/>
                <w:szCs w:val="18"/>
                <w:lang w:bidi="ar-SA"/>
              </w:rPr>
              <w:t xml:space="preserve">Working Group of the Australian and New Zealand Bone and Mineral Society, Endocrine Society of Australia and Osteoporosis Australia </w:t>
            </w:r>
          </w:p>
          <w:p w14:paraId="25B5D7C5" w14:textId="77777777" w:rsidR="00DD5C9C" w:rsidRPr="00501FF8" w:rsidRDefault="00DD5C9C" w:rsidP="003B5D42">
            <w:pPr>
              <w:rPr>
                <w:sz w:val="18"/>
                <w:szCs w:val="18"/>
                <w:lang w:bidi="ar-SA"/>
              </w:rPr>
            </w:pPr>
            <w:r w:rsidRPr="00501FF8">
              <w:rPr>
                <w:noProof/>
                <w:sz w:val="18"/>
                <w:szCs w:val="18"/>
                <w:lang w:bidi="ar-SA"/>
              </w:rPr>
              <w:t>(Nowson et al. 2012)</w:t>
            </w:r>
            <w:r w:rsidRPr="00501FF8">
              <w:rPr>
                <w:sz w:val="18"/>
                <w:szCs w:val="18"/>
                <w:lang w:bidi="ar-SA"/>
              </w:rPr>
              <w:t xml:space="preserve"> </w:t>
            </w:r>
          </w:p>
        </w:tc>
        <w:tc>
          <w:tcPr>
            <w:tcW w:w="4820" w:type="dxa"/>
            <w:vAlign w:val="center"/>
          </w:tcPr>
          <w:p w14:paraId="25B5D7C6" w14:textId="77777777" w:rsidR="00DD5C9C" w:rsidRPr="00501FF8" w:rsidRDefault="00DD5C9C" w:rsidP="003B5D42">
            <w:pPr>
              <w:rPr>
                <w:sz w:val="18"/>
                <w:szCs w:val="18"/>
                <w:lang w:bidi="ar-SA"/>
              </w:rPr>
            </w:pPr>
            <w:r w:rsidRPr="00501FF8">
              <w:rPr>
                <w:sz w:val="18"/>
                <w:szCs w:val="18"/>
                <w:lang w:bidi="ar-SA"/>
              </w:rPr>
              <w:t>Adequacy 25OHD  ≥ 50 nM</w:t>
            </w:r>
            <w:r w:rsidRPr="00501FF8">
              <w:rPr>
                <w:sz w:val="18"/>
                <w:szCs w:val="18"/>
                <w:vertAlign w:val="superscript"/>
                <w:lang w:bidi="ar-SA"/>
              </w:rPr>
              <w:t>1</w:t>
            </w:r>
            <w:r w:rsidRPr="00501FF8">
              <w:rPr>
                <w:sz w:val="18"/>
                <w:szCs w:val="18"/>
                <w:lang w:bidi="ar-SA"/>
              </w:rPr>
              <w:t xml:space="preserve"> </w:t>
            </w:r>
          </w:p>
          <w:p w14:paraId="25B5D7C7" w14:textId="77777777" w:rsidR="00DD5C9C" w:rsidRPr="00501FF8" w:rsidRDefault="00DD5C9C" w:rsidP="003B5D42">
            <w:pPr>
              <w:rPr>
                <w:sz w:val="18"/>
                <w:szCs w:val="18"/>
                <w:lang w:bidi="ar-SA"/>
              </w:rPr>
            </w:pPr>
            <w:r w:rsidRPr="00501FF8">
              <w:rPr>
                <w:sz w:val="18"/>
                <w:szCs w:val="18"/>
                <w:lang w:bidi="ar-SA"/>
              </w:rPr>
              <w:t>Mild deficiency 25OHD = 30–49 nM</w:t>
            </w:r>
          </w:p>
          <w:p w14:paraId="25B5D7C8" w14:textId="77777777" w:rsidR="00DD5C9C" w:rsidRPr="00501FF8" w:rsidRDefault="00DD5C9C" w:rsidP="003B5D42">
            <w:pPr>
              <w:rPr>
                <w:sz w:val="18"/>
                <w:szCs w:val="18"/>
                <w:lang w:bidi="ar-SA"/>
              </w:rPr>
            </w:pPr>
            <w:r w:rsidRPr="00501FF8">
              <w:rPr>
                <w:sz w:val="18"/>
                <w:szCs w:val="18"/>
                <w:lang w:bidi="ar-SA"/>
              </w:rPr>
              <w:t>Moderate deficiency 25OHD = 12.5–29 nM</w:t>
            </w:r>
          </w:p>
          <w:p w14:paraId="25B5D7C9" w14:textId="77777777" w:rsidR="00DD5C9C" w:rsidRPr="00501FF8" w:rsidRDefault="00DD5C9C" w:rsidP="003B5D42">
            <w:pPr>
              <w:rPr>
                <w:sz w:val="18"/>
                <w:szCs w:val="18"/>
                <w:lang w:bidi="ar-SA"/>
              </w:rPr>
            </w:pPr>
            <w:r w:rsidRPr="00501FF8">
              <w:rPr>
                <w:sz w:val="18"/>
                <w:szCs w:val="18"/>
                <w:lang w:bidi="ar-SA"/>
              </w:rPr>
              <w:t>Severe deficiency 25OHD  &lt; 12.5 nM</w:t>
            </w:r>
          </w:p>
        </w:tc>
      </w:tr>
      <w:tr w:rsidR="00DD5C9C" w:rsidRPr="006C45D2" w14:paraId="25B5D7CF" w14:textId="77777777" w:rsidTr="003B5D42">
        <w:trPr>
          <w:trHeight w:val="907"/>
        </w:trPr>
        <w:tc>
          <w:tcPr>
            <w:tcW w:w="4644" w:type="dxa"/>
            <w:vAlign w:val="center"/>
          </w:tcPr>
          <w:p w14:paraId="25B5D7CB" w14:textId="77777777" w:rsidR="00DD5C9C" w:rsidRPr="00501FF8" w:rsidRDefault="00DD5C9C" w:rsidP="003B5D42">
            <w:pPr>
              <w:rPr>
                <w:sz w:val="18"/>
                <w:szCs w:val="18"/>
                <w:lang w:bidi="ar-SA"/>
              </w:rPr>
            </w:pPr>
            <w:r w:rsidRPr="00501FF8">
              <w:rPr>
                <w:sz w:val="18"/>
                <w:szCs w:val="18"/>
                <w:lang w:bidi="ar-SA"/>
              </w:rPr>
              <w:t>The Endocrine Society (US)</w:t>
            </w:r>
          </w:p>
          <w:p w14:paraId="25B5D7CC" w14:textId="77777777" w:rsidR="00DD5C9C" w:rsidRPr="00501FF8" w:rsidRDefault="00DD5C9C" w:rsidP="003B5D42">
            <w:pPr>
              <w:rPr>
                <w:b/>
                <w:sz w:val="18"/>
                <w:szCs w:val="18"/>
                <w:lang w:bidi="ar-SA"/>
              </w:rPr>
            </w:pPr>
            <w:r w:rsidRPr="00501FF8">
              <w:rPr>
                <w:noProof/>
                <w:sz w:val="18"/>
                <w:szCs w:val="18"/>
                <w:lang w:bidi="ar-SA"/>
              </w:rPr>
              <w:t>(Holick et al. 2011)</w:t>
            </w:r>
          </w:p>
        </w:tc>
        <w:tc>
          <w:tcPr>
            <w:tcW w:w="4820" w:type="dxa"/>
            <w:vAlign w:val="center"/>
          </w:tcPr>
          <w:p w14:paraId="25B5D7CD" w14:textId="77777777" w:rsidR="00DD5C9C" w:rsidRPr="00501FF8" w:rsidRDefault="00DD5C9C" w:rsidP="003B5D42">
            <w:pPr>
              <w:rPr>
                <w:sz w:val="18"/>
                <w:szCs w:val="18"/>
                <w:lang w:bidi="ar-SA"/>
              </w:rPr>
            </w:pPr>
            <w:r w:rsidRPr="00501FF8">
              <w:rPr>
                <w:sz w:val="18"/>
                <w:szCs w:val="18"/>
                <w:lang w:bidi="ar-SA"/>
              </w:rPr>
              <w:t>Deficiency 25OHD &lt; 50 nM</w:t>
            </w:r>
          </w:p>
          <w:p w14:paraId="25B5D7CE" w14:textId="77777777" w:rsidR="00DD5C9C" w:rsidRPr="00501FF8" w:rsidRDefault="00DD5C9C" w:rsidP="003B5D42">
            <w:pPr>
              <w:rPr>
                <w:b/>
                <w:sz w:val="18"/>
                <w:szCs w:val="18"/>
                <w:lang w:bidi="ar-SA"/>
              </w:rPr>
            </w:pPr>
            <w:r w:rsidRPr="00501FF8">
              <w:rPr>
                <w:sz w:val="18"/>
                <w:szCs w:val="18"/>
                <w:lang w:bidi="ar-SA"/>
              </w:rPr>
              <w:t>Insufficiency 25OHD = 52.5–72.5 nM</w:t>
            </w:r>
          </w:p>
        </w:tc>
      </w:tr>
      <w:tr w:rsidR="00DD5C9C" w:rsidRPr="006C45D2" w14:paraId="25B5D7D3" w14:textId="77777777" w:rsidTr="003B5D42">
        <w:trPr>
          <w:trHeight w:val="907"/>
        </w:trPr>
        <w:tc>
          <w:tcPr>
            <w:tcW w:w="4644" w:type="dxa"/>
            <w:vAlign w:val="center"/>
          </w:tcPr>
          <w:p w14:paraId="25B5D7D0" w14:textId="77777777" w:rsidR="00DD5C9C" w:rsidRPr="00501FF8" w:rsidRDefault="00DD5C9C" w:rsidP="003B5D42">
            <w:pPr>
              <w:rPr>
                <w:sz w:val="18"/>
                <w:szCs w:val="18"/>
                <w:lang w:bidi="ar-SA"/>
              </w:rPr>
            </w:pPr>
            <w:r w:rsidRPr="00501FF8">
              <w:rPr>
                <w:sz w:val="18"/>
                <w:szCs w:val="18"/>
                <w:lang w:bidi="ar-SA"/>
              </w:rPr>
              <w:t>UK SACN</w:t>
            </w:r>
          </w:p>
          <w:p w14:paraId="25B5D7D1" w14:textId="77777777" w:rsidR="00DD5C9C" w:rsidRPr="00501FF8" w:rsidRDefault="00DD5C9C" w:rsidP="003B5D42">
            <w:pPr>
              <w:rPr>
                <w:sz w:val="18"/>
                <w:szCs w:val="18"/>
                <w:lang w:bidi="ar-SA"/>
              </w:rPr>
            </w:pPr>
            <w:r w:rsidRPr="00501FF8">
              <w:rPr>
                <w:noProof/>
                <w:sz w:val="18"/>
                <w:szCs w:val="18"/>
                <w:lang w:bidi="ar-SA"/>
              </w:rPr>
              <w:t>(SACN 2007)</w:t>
            </w:r>
          </w:p>
        </w:tc>
        <w:tc>
          <w:tcPr>
            <w:tcW w:w="4820" w:type="dxa"/>
            <w:vAlign w:val="center"/>
          </w:tcPr>
          <w:p w14:paraId="25B5D7D2" w14:textId="77777777" w:rsidR="00DD5C9C" w:rsidRPr="00501FF8" w:rsidRDefault="00DD5C9C" w:rsidP="003B5D42">
            <w:pPr>
              <w:rPr>
                <w:sz w:val="18"/>
                <w:szCs w:val="18"/>
                <w:lang w:bidi="ar-SA"/>
              </w:rPr>
            </w:pPr>
            <w:r w:rsidRPr="00501FF8">
              <w:rPr>
                <w:sz w:val="18"/>
                <w:szCs w:val="18"/>
                <w:lang w:bidi="ar-SA"/>
              </w:rPr>
              <w:t>Increased risk of deficiency 25OHD &lt; 25 nM</w:t>
            </w:r>
          </w:p>
        </w:tc>
      </w:tr>
    </w:tbl>
    <w:p w14:paraId="25B5D7D4" w14:textId="77777777" w:rsidR="00DD5C9C" w:rsidRDefault="00DD5C9C" w:rsidP="003B5D42">
      <w:pPr>
        <w:ind w:left="142" w:hanging="142"/>
        <w:rPr>
          <w:rFonts w:eastAsia="Calibri"/>
          <w:sz w:val="18"/>
          <w:szCs w:val="18"/>
          <w:lang w:bidi="ar-SA"/>
        </w:rPr>
      </w:pPr>
      <w:r w:rsidRPr="001D04CF">
        <w:rPr>
          <w:rFonts w:eastAsia="Calibri"/>
          <w:sz w:val="18"/>
          <w:szCs w:val="18"/>
          <w:vertAlign w:val="superscript"/>
          <w:lang w:bidi="ar-SA"/>
        </w:rPr>
        <w:t>1</w:t>
      </w:r>
      <w:r w:rsidRPr="001D04CF">
        <w:rPr>
          <w:rFonts w:eastAsia="Calibri"/>
          <w:sz w:val="18"/>
          <w:szCs w:val="18"/>
          <w:lang w:bidi="ar-SA"/>
        </w:rPr>
        <w:t xml:space="preserve"> </w:t>
      </w:r>
      <w:r>
        <w:rPr>
          <w:rFonts w:eastAsia="Calibri"/>
          <w:sz w:val="18"/>
          <w:szCs w:val="18"/>
          <w:lang w:bidi="ar-SA"/>
        </w:rPr>
        <w:t>A</w:t>
      </w:r>
      <w:r w:rsidRPr="00BC24B4">
        <w:rPr>
          <w:rFonts w:eastAsia="Calibri"/>
          <w:sz w:val="18"/>
          <w:szCs w:val="18"/>
          <w:lang w:bidi="ar-SA"/>
        </w:rPr>
        <w:t>t the end of winter</w:t>
      </w:r>
      <w:r>
        <w:rPr>
          <w:rFonts w:eastAsia="Calibri"/>
          <w:sz w:val="18"/>
          <w:szCs w:val="18"/>
          <w:lang w:bidi="ar-SA"/>
        </w:rPr>
        <w:t xml:space="preserve">; </w:t>
      </w:r>
      <w:r w:rsidRPr="00BC24B4">
        <w:rPr>
          <w:rFonts w:eastAsia="Calibri"/>
          <w:sz w:val="18"/>
          <w:szCs w:val="18"/>
          <w:lang w:bidi="ar-SA"/>
        </w:rPr>
        <w:t>10–20 nM higher at the end of summer, to allow for seasonal decrease</w:t>
      </w:r>
      <w:r>
        <w:rPr>
          <w:rFonts w:eastAsia="Calibri"/>
          <w:sz w:val="18"/>
          <w:szCs w:val="18"/>
          <w:lang w:bidi="ar-SA"/>
        </w:rPr>
        <w:t>.</w:t>
      </w:r>
    </w:p>
    <w:p w14:paraId="25B5D7D5" w14:textId="77777777" w:rsidR="00DD5C9C" w:rsidRDefault="00DD5C9C" w:rsidP="003B5D42">
      <w:pPr>
        <w:pStyle w:val="Heading3"/>
      </w:pPr>
      <w:bookmarkStart w:id="22" w:name="_Toc406575696"/>
      <w:r>
        <w:t>Excess vitamin D</w:t>
      </w:r>
      <w:bookmarkEnd w:id="22"/>
      <w:r>
        <w:t xml:space="preserve"> </w:t>
      </w:r>
    </w:p>
    <w:p w14:paraId="68663706" w14:textId="77777777" w:rsidR="00B62436" w:rsidRDefault="00DD5C9C" w:rsidP="003B5D42">
      <w:pPr>
        <w:rPr>
          <w:lang w:bidi="ar-SA"/>
        </w:rPr>
      </w:pPr>
      <w:r>
        <w:rPr>
          <w:lang w:bidi="ar-SA"/>
        </w:rPr>
        <w:t xml:space="preserve">Hypercalcaemia (elevated calcium in blood) and subsequent hypercalciuria (excessive calcium excretion) are indicators of toxicity linked to high vitamin D intakes. Hypercalcaemia is caused by increased bone resorption (causing more circulating calcium and phosphorus) and impaired bone mineralisation through a mechanism that is not fully understood. </w:t>
      </w:r>
      <w:r w:rsidR="00B62436">
        <w:rPr>
          <w:lang w:bidi="ar-SA"/>
        </w:rPr>
        <w:br w:type="page"/>
      </w:r>
    </w:p>
    <w:p w14:paraId="25B5D7D6" w14:textId="277FAEEB" w:rsidR="00DD5C9C" w:rsidRDefault="00DD5C9C" w:rsidP="003B5D42">
      <w:pPr>
        <w:rPr>
          <w:lang w:bidi="ar-SA"/>
        </w:rPr>
      </w:pPr>
      <w:r>
        <w:rPr>
          <w:lang w:bidi="ar-SA"/>
        </w:rPr>
        <w:lastRenderedPageBreak/>
        <w:t>Although production of active metabolite 1,25</w:t>
      </w:r>
      <w:r w:rsidRPr="004524A5">
        <w:rPr>
          <w:lang w:eastAsia="en-AU" w:bidi="ar-SA"/>
        </w:rPr>
        <w:t>(OH)</w:t>
      </w:r>
      <w:r w:rsidRPr="004524A5">
        <w:rPr>
          <w:vertAlign w:val="subscript"/>
          <w:lang w:eastAsia="en-AU" w:bidi="ar-SA"/>
        </w:rPr>
        <w:t>2</w:t>
      </w:r>
      <w:r>
        <w:rPr>
          <w:lang w:eastAsia="en-AU" w:bidi="ar-SA"/>
        </w:rPr>
        <w:t xml:space="preserve">D </w:t>
      </w:r>
      <w:r>
        <w:rPr>
          <w:lang w:bidi="ar-SA"/>
        </w:rPr>
        <w:t>does not increase with elevated 25OHD concentration because of tight endocrine regulation, it is thought that very high serum 25OHD concentration and breakdown metabolites in blood may displace DBP-bound 1,25</w:t>
      </w:r>
      <w:r w:rsidRPr="004524A5">
        <w:rPr>
          <w:lang w:eastAsia="en-AU" w:bidi="ar-SA"/>
        </w:rPr>
        <w:t>(OH)</w:t>
      </w:r>
      <w:r w:rsidRPr="004524A5">
        <w:rPr>
          <w:vertAlign w:val="subscript"/>
          <w:lang w:eastAsia="en-AU" w:bidi="ar-SA"/>
        </w:rPr>
        <w:t>2</w:t>
      </w:r>
      <w:r w:rsidRPr="004524A5">
        <w:rPr>
          <w:lang w:eastAsia="en-AU" w:bidi="ar-SA"/>
        </w:rPr>
        <w:t xml:space="preserve">D </w:t>
      </w:r>
      <w:r>
        <w:rPr>
          <w:lang w:bidi="ar-SA"/>
        </w:rPr>
        <w:t>releasing more free 1,25</w:t>
      </w:r>
      <w:r w:rsidRPr="004524A5">
        <w:rPr>
          <w:lang w:eastAsia="en-AU" w:bidi="ar-SA"/>
        </w:rPr>
        <w:t>(OH)</w:t>
      </w:r>
      <w:r w:rsidRPr="004524A5">
        <w:rPr>
          <w:vertAlign w:val="subscript"/>
          <w:lang w:eastAsia="en-AU" w:bidi="ar-SA"/>
        </w:rPr>
        <w:t>2</w:t>
      </w:r>
      <w:r w:rsidRPr="004524A5">
        <w:rPr>
          <w:lang w:eastAsia="en-AU" w:bidi="ar-SA"/>
        </w:rPr>
        <w:t>D</w:t>
      </w:r>
      <w:r>
        <w:rPr>
          <w:lang w:eastAsia="en-AU" w:bidi="ar-SA"/>
        </w:rPr>
        <w:t xml:space="preserve"> </w:t>
      </w:r>
      <w:r>
        <w:rPr>
          <w:lang w:bidi="ar-SA"/>
        </w:rPr>
        <w:t xml:space="preserve">for uptake by target cells. This results in increased mobilisation of calcium from bone cells, and increased calcium absorption in intestinal cells </w:t>
      </w:r>
      <w:r>
        <w:rPr>
          <w:noProof/>
          <w:lang w:bidi="ar-SA"/>
        </w:rPr>
        <w:t>(Jones 2008)</w:t>
      </w:r>
      <w:r>
        <w:rPr>
          <w:lang w:bidi="ar-SA"/>
        </w:rPr>
        <w:t xml:space="preserve">.  </w:t>
      </w:r>
    </w:p>
    <w:p w14:paraId="25B5D7D7" w14:textId="77777777" w:rsidR="00DD5C9C" w:rsidRDefault="00DD5C9C" w:rsidP="003B5D42">
      <w:pPr>
        <w:rPr>
          <w:lang w:bidi="ar-SA"/>
        </w:rPr>
      </w:pPr>
    </w:p>
    <w:p w14:paraId="25B5D7D8" w14:textId="77777777" w:rsidR="00DD5C9C" w:rsidRDefault="00DD5C9C" w:rsidP="003B5D42">
      <w:r>
        <w:rPr>
          <w:lang w:bidi="ar-SA"/>
        </w:rPr>
        <w:t>Long term health outcomes associated with prolonged hypercalcaemia or hypercalciuria</w:t>
      </w:r>
      <w:r w:rsidRPr="00BA4DF5">
        <w:rPr>
          <w:rFonts w:ascii="Times New Roman" w:hAnsi="Times New Roman"/>
          <w:color w:val="000000"/>
          <w:szCs w:val="22"/>
          <w:lang w:eastAsia="en-GB" w:bidi="ar-SA"/>
        </w:rPr>
        <w:t xml:space="preserve"> </w:t>
      </w:r>
      <w:r>
        <w:rPr>
          <w:lang w:bidi="ar-SA"/>
        </w:rPr>
        <w:t xml:space="preserve">are </w:t>
      </w:r>
      <w:r w:rsidRPr="00823F36">
        <w:rPr>
          <w:lang w:bidi="ar-SA"/>
        </w:rPr>
        <w:t xml:space="preserve">soft tissue calcification and </w:t>
      </w:r>
      <w:r>
        <w:rPr>
          <w:lang w:bidi="ar-SA"/>
        </w:rPr>
        <w:t>eventually</w:t>
      </w:r>
      <w:r w:rsidRPr="00823F36">
        <w:rPr>
          <w:lang w:bidi="ar-SA"/>
        </w:rPr>
        <w:t xml:space="preserve"> renal and cardiovascular</w:t>
      </w:r>
      <w:r>
        <w:rPr>
          <w:lang w:bidi="ar-SA"/>
        </w:rPr>
        <w:t xml:space="preserve"> </w:t>
      </w:r>
      <w:r w:rsidRPr="00823F36">
        <w:rPr>
          <w:lang w:bidi="ar-SA"/>
        </w:rPr>
        <w:t>damage</w:t>
      </w:r>
      <w:r>
        <w:rPr>
          <w:lang w:bidi="ar-SA"/>
        </w:rPr>
        <w:t xml:space="preserve">. </w:t>
      </w:r>
      <w:r w:rsidRPr="002544AA">
        <w:t xml:space="preserve">These outcomes are achieved only through high oral intakes </w:t>
      </w:r>
      <w:r>
        <w:t>(</w:t>
      </w:r>
      <w:r w:rsidRPr="002544AA">
        <w:t>as in supplements</w:t>
      </w:r>
      <w:r>
        <w:t>)</w:t>
      </w:r>
      <w:r w:rsidRPr="002544AA">
        <w:t xml:space="preserve"> and not </w:t>
      </w:r>
      <w:r>
        <w:t xml:space="preserve">through sun exposure or, because of the relatively low vitamin D content of food, through dietary intakes. </w:t>
      </w:r>
    </w:p>
    <w:p w14:paraId="25B5D7D9" w14:textId="77777777" w:rsidR="00DD5C9C" w:rsidRDefault="00DD5C9C" w:rsidP="003B5D42"/>
    <w:p w14:paraId="25B5D7DA" w14:textId="77777777" w:rsidR="00DD5C9C" w:rsidRDefault="00DD5C9C" w:rsidP="003B5D42">
      <w:pPr>
        <w:rPr>
          <w:lang w:bidi="ar-SA"/>
        </w:rPr>
      </w:pPr>
      <w:r>
        <w:rPr>
          <w:lang w:bidi="ar-SA"/>
        </w:rPr>
        <w:t>Recently it has been suggested that moderately high 25OHD (approximately 25OHD &gt; 75 nM but lower than that giving rise to hypercalcaemia or hypercalciuria) might be associated with other long term adverse health outcomes such as i</w:t>
      </w:r>
      <w:r w:rsidRPr="002544AA">
        <w:rPr>
          <w:lang w:bidi="ar-SA"/>
        </w:rPr>
        <w:t xml:space="preserve">ncreased risk of tuberculosis, schizophrenia </w:t>
      </w:r>
      <w:r>
        <w:rPr>
          <w:lang w:bidi="ar-SA"/>
        </w:rPr>
        <w:t>(</w:t>
      </w:r>
      <w:r w:rsidRPr="002544AA">
        <w:rPr>
          <w:lang w:bidi="ar-SA"/>
        </w:rPr>
        <w:t>in relation to neonatal serum 25OHD concentrations</w:t>
      </w:r>
      <w:r>
        <w:rPr>
          <w:lang w:bidi="ar-SA"/>
        </w:rPr>
        <w:t>)</w:t>
      </w:r>
      <w:r w:rsidRPr="002544AA">
        <w:rPr>
          <w:lang w:bidi="ar-SA"/>
        </w:rPr>
        <w:t>, cardiovascular disease, total cancer mortality, and all-cause mortality</w:t>
      </w:r>
      <w:r>
        <w:rPr>
          <w:lang w:bidi="ar-SA"/>
        </w:rPr>
        <w:t xml:space="preserve"> </w:t>
      </w:r>
      <w:r>
        <w:rPr>
          <w:noProof/>
          <w:lang w:bidi="ar-SA"/>
        </w:rPr>
        <w:t>(Hathcock et al. 2007; Durup et al. 2012; EFSA Panel on dietetic products 2012a; Spedding et al. 2013)</w:t>
      </w:r>
      <w:r>
        <w:rPr>
          <w:lang w:bidi="ar-SA"/>
        </w:rPr>
        <w:t xml:space="preserve">. However, because of nonstandard assay methods for serum 25OHD, potential confounding effects (such as calcium and phosphorus intakes or other underlying disease effects), and the problem that moderately high serum 25OHD overlaps with the concentration thought to be beneficial for bone health and calcium homeostasis, it has not been possible to determine whether or not a </w:t>
      </w:r>
      <w:r w:rsidRPr="00E9353E">
        <w:rPr>
          <w:lang w:bidi="ar-SA"/>
        </w:rPr>
        <w:t xml:space="preserve">causal relationship </w:t>
      </w:r>
      <w:r>
        <w:rPr>
          <w:lang w:bidi="ar-SA"/>
        </w:rPr>
        <w:t xml:space="preserve">exists </w:t>
      </w:r>
      <w:r w:rsidRPr="00E9353E">
        <w:rPr>
          <w:lang w:bidi="ar-SA"/>
        </w:rPr>
        <w:t xml:space="preserve">between 25OHD </w:t>
      </w:r>
      <w:r>
        <w:rPr>
          <w:lang w:bidi="ar-SA"/>
        </w:rPr>
        <w:t>concentration</w:t>
      </w:r>
      <w:r w:rsidRPr="00E9353E">
        <w:rPr>
          <w:lang w:bidi="ar-SA"/>
        </w:rPr>
        <w:t xml:space="preserve"> in this range and disease risk</w:t>
      </w:r>
      <w:r>
        <w:rPr>
          <w:lang w:bidi="ar-SA"/>
        </w:rPr>
        <w:t xml:space="preserve">. </w:t>
      </w:r>
    </w:p>
    <w:p w14:paraId="25B5D7DB" w14:textId="77777777" w:rsidR="00DD5C9C" w:rsidRPr="002233C5" w:rsidRDefault="00DD5C9C" w:rsidP="003B5D42">
      <w:pPr>
        <w:pStyle w:val="Heading4"/>
      </w:pPr>
      <w:r>
        <w:t xml:space="preserve">Determination of </w:t>
      </w:r>
      <w:r w:rsidRPr="002233C5">
        <w:t xml:space="preserve">excess </w:t>
      </w:r>
      <w:r>
        <w:t>vitamin D</w:t>
      </w:r>
    </w:p>
    <w:p w14:paraId="25B5D7DC" w14:textId="77777777" w:rsidR="00DD5C9C" w:rsidRPr="008F5548" w:rsidRDefault="00DD5C9C" w:rsidP="003B5D42">
      <w:pPr>
        <w:rPr>
          <w:i/>
        </w:rPr>
      </w:pPr>
      <w:r w:rsidRPr="008F5548">
        <w:rPr>
          <w:i/>
        </w:rPr>
        <w:t>Using the UL</w:t>
      </w:r>
    </w:p>
    <w:p w14:paraId="25B5D7DD" w14:textId="77777777" w:rsidR="00DD5C9C" w:rsidRDefault="00DD5C9C" w:rsidP="003B5D42"/>
    <w:p w14:paraId="25B5D7DE" w14:textId="77777777" w:rsidR="00DD5C9C" w:rsidRDefault="00DD5C9C" w:rsidP="003B5D42">
      <w:r w:rsidRPr="00E96EBB">
        <w:t xml:space="preserve">Excess vitamin intakes are usually </w:t>
      </w:r>
      <w:r>
        <w:t xml:space="preserve">assessed </w:t>
      </w:r>
      <w:r w:rsidRPr="00E96EBB">
        <w:t xml:space="preserve">against the </w:t>
      </w:r>
      <w:r>
        <w:t>UL, where established,</w:t>
      </w:r>
      <w:r w:rsidRPr="00E96EBB">
        <w:t xml:space="preserve"> which is defined as the highest average daily nutrient intake level likely to pose no adverse health effects to almost all individuals in the general population.  </w:t>
      </w:r>
    </w:p>
    <w:p w14:paraId="25B5D7DF" w14:textId="77777777" w:rsidR="00DD5C9C" w:rsidRPr="00E96EBB" w:rsidRDefault="00DD5C9C" w:rsidP="003B5D42"/>
    <w:p w14:paraId="25B5D7E0" w14:textId="77777777" w:rsidR="00DD5C9C" w:rsidRPr="00E96EBB" w:rsidRDefault="00DD5C9C" w:rsidP="003B5D42">
      <w:r w:rsidRPr="00E96EBB">
        <w:t xml:space="preserve">Current recommendations for the vitamin D UL for adults and children set by the </w:t>
      </w:r>
      <w:r>
        <w:t>NHM</w:t>
      </w:r>
      <w:r w:rsidRPr="00E96EBB">
        <w:t>RC/NZ M</w:t>
      </w:r>
      <w:r>
        <w:t>o</w:t>
      </w:r>
      <w:r w:rsidRPr="00E96EBB">
        <w:t xml:space="preserve">H, EFSA, and the IOM, are </w:t>
      </w:r>
      <w:r>
        <w:t xml:space="preserve">in the range of 80–100 </w:t>
      </w:r>
      <w:r w:rsidRPr="007D637F">
        <w:rPr>
          <w:rFonts w:cs="Arial"/>
        </w:rPr>
        <w:t>µ</w:t>
      </w:r>
      <w:r>
        <w:t xml:space="preserve">g/day for adults and 25–80 </w:t>
      </w:r>
      <w:r w:rsidRPr="005F3075">
        <w:t xml:space="preserve">µg/day </w:t>
      </w:r>
      <w:r>
        <w:t xml:space="preserve">for children and adolescents </w:t>
      </w:r>
      <w:r>
        <w:rPr>
          <w:noProof/>
        </w:rPr>
        <w:t>(NHMRC and NZ MoH 2006; IOM 2011; EFSA Panel on dietetic products 2012a)</w:t>
      </w:r>
      <w:r>
        <w:t xml:space="preserve">. </w:t>
      </w:r>
      <w:r w:rsidRPr="00E96EBB">
        <w:t xml:space="preserve">The recommendations are based on studies showing the highest vitamin D intake (i.e. in a supplementary dose) </w:t>
      </w:r>
      <w:r>
        <w:t xml:space="preserve">that does not cause </w:t>
      </w:r>
      <w:r w:rsidRPr="00E96EBB">
        <w:t xml:space="preserve">hypercalcaemia (i.e. the no observable adverse effect level or NOAEL) with application of different uncertainty factors to account for small sample numbers, variability in measurement of blood or urinary calcium, or </w:t>
      </w:r>
      <w:r>
        <w:t xml:space="preserve">potential but as yet </w:t>
      </w:r>
      <w:r w:rsidRPr="00E96EBB">
        <w:t xml:space="preserve">uncharacterised links to other adverse health outcomes. For this reason, </w:t>
      </w:r>
      <w:r>
        <w:t>expert bodies using the same data derive</w:t>
      </w:r>
      <w:r w:rsidRPr="00E96EBB">
        <w:t xml:space="preserve"> slight</w:t>
      </w:r>
      <w:r>
        <w:t>ly</w:t>
      </w:r>
      <w:r w:rsidRPr="00E96EBB">
        <w:t xml:space="preserve"> differen</w:t>
      </w:r>
      <w:r>
        <w:t>t recommended ULs.</w:t>
      </w:r>
      <w:r w:rsidRPr="00E96EBB">
        <w:t xml:space="preserve"> </w:t>
      </w:r>
    </w:p>
    <w:p w14:paraId="25B5D7E1" w14:textId="77777777" w:rsidR="00DD5C9C" w:rsidRPr="00C91549" w:rsidRDefault="00DD5C9C" w:rsidP="003B5D42"/>
    <w:p w14:paraId="25B5D7E2" w14:textId="77777777" w:rsidR="00DD5C9C" w:rsidRDefault="00DD5C9C" w:rsidP="003B5D42">
      <w:r>
        <w:t xml:space="preserve">The main limitation of using the UL to assess vitamin D excess is that it does not account for the contribution of vitamin D from sun exposure. For example, an individual who consumes dietary and/or supplementary vitamin D may be well below the UL but could reach unsafe serum 25OHD concentrations if sun exposure is also factored in. Measurement of serum 25OHD provides a method to </w:t>
      </w:r>
      <w:r w:rsidRPr="00166D2C">
        <w:t>quantify</w:t>
      </w:r>
      <w:r>
        <w:t xml:space="preserve"> vitamin D from all sources – food, sun exposure and vitamin supplements.</w:t>
      </w:r>
    </w:p>
    <w:p w14:paraId="380D747F" w14:textId="38ED23DC" w:rsidR="00C233AA" w:rsidRDefault="00C233AA" w:rsidP="003B5D42">
      <w:pPr>
        <w:rPr>
          <w:i/>
        </w:rPr>
      </w:pPr>
    </w:p>
    <w:p w14:paraId="25B5D7E4" w14:textId="5F7574C4" w:rsidR="00DD5C9C" w:rsidRPr="00F96A1E" w:rsidRDefault="00DD5C9C" w:rsidP="003B5D42">
      <w:pPr>
        <w:rPr>
          <w:i/>
        </w:rPr>
      </w:pPr>
      <w:r w:rsidRPr="00F96A1E">
        <w:rPr>
          <w:i/>
        </w:rPr>
        <w:t>Using serum 25OHD</w:t>
      </w:r>
    </w:p>
    <w:p w14:paraId="25B5D7E5" w14:textId="77777777" w:rsidR="00DD5C9C" w:rsidRDefault="00DD5C9C" w:rsidP="003B5D42"/>
    <w:p w14:paraId="2537BB29" w14:textId="77777777" w:rsidR="00B62436" w:rsidRDefault="00DD5C9C" w:rsidP="003B5D42">
      <w:r w:rsidRPr="00E9353E">
        <w:t xml:space="preserve">The IOM and EFSA reviewed the use of serum 25OHD concentration as a measure of safe intakes. The IOM review (2011) determined that toxicity linked to hypercalcaemia is found with serum 25OHD </w:t>
      </w:r>
      <w:r>
        <w:t xml:space="preserve">concentration greater than about 500 nM. </w:t>
      </w:r>
      <w:r w:rsidR="00B62436">
        <w:br w:type="page"/>
      </w:r>
    </w:p>
    <w:p w14:paraId="25B5D7E6" w14:textId="26C31635" w:rsidR="00DD5C9C" w:rsidRPr="00E9353E" w:rsidRDefault="00DD5C9C" w:rsidP="003B5D42">
      <w:r>
        <w:lastRenderedPageBreak/>
        <w:t xml:space="preserve">The IOM concluded that there may be ‘reason for concern’ for persons with concentrations of serum 25OHD &gt; 125 nM and that serum 25OHD levels above approximately 125 to 150 nM ‘should be </w:t>
      </w:r>
      <w:r w:rsidRPr="00D41D8B">
        <w:t>avoided’. The IOM</w:t>
      </w:r>
      <w:r>
        <w:t xml:space="preserve"> also</w:t>
      </w:r>
      <w:r w:rsidRPr="00D41D8B">
        <w:t xml:space="preserve"> noted that emerging data suggest</w:t>
      </w:r>
      <w:r>
        <w:t>s</w:t>
      </w:r>
      <w:r w:rsidRPr="00D41D8B">
        <w:t xml:space="preserve"> that adverse outcomes may occur with serum 25OHD above approximately 75 nM but due to lack of data and considerable uncertainty, conclusions for serum 25OHD in the range of 75</w:t>
      </w:r>
      <w:r w:rsidRPr="00166C9C">
        <w:t>–</w:t>
      </w:r>
      <w:r w:rsidRPr="00D41D8B">
        <w:t>125 nM could not be drawn.</w:t>
      </w:r>
    </w:p>
    <w:p w14:paraId="25B5D7E7" w14:textId="77777777" w:rsidR="00DD5C9C" w:rsidRPr="00E9353E" w:rsidRDefault="00DD5C9C" w:rsidP="003B5D42"/>
    <w:p w14:paraId="25B5D7E8" w14:textId="77777777" w:rsidR="00DD5C9C" w:rsidRDefault="00DD5C9C" w:rsidP="003B5D42">
      <w:r w:rsidRPr="00E9353E">
        <w:t>EFSA (2013) determined that serum 25OHD concentrations linked to hypercalcaemia varied over a wide range (220</w:t>
      </w:r>
      <w:r w:rsidRPr="00EB1FB9">
        <w:t>–</w:t>
      </w:r>
      <w:r w:rsidRPr="00E9353E">
        <w:t>700 nM) and</w:t>
      </w:r>
      <w:r>
        <w:t xml:space="preserve"> unlike the IOM,</w:t>
      </w:r>
      <w:r w:rsidRPr="00E9353E">
        <w:t xml:space="preserve"> </w:t>
      </w:r>
      <w:r>
        <w:t xml:space="preserve">concluded </w:t>
      </w:r>
      <w:r w:rsidRPr="00E9353E">
        <w:t>that there was no clear association between serum 25OHD concentration</w:t>
      </w:r>
      <w:r>
        <w:t>s</w:t>
      </w:r>
      <w:r w:rsidRPr="00E9353E">
        <w:t xml:space="preserve"> and other adverse health outcomes. Therefore, EFSA </w:t>
      </w:r>
      <w:r>
        <w:t xml:space="preserve">decided </w:t>
      </w:r>
      <w:r w:rsidRPr="00E9353E">
        <w:t xml:space="preserve">that serum 25OHD concentrations could not be used as a marker </w:t>
      </w:r>
      <w:r>
        <w:t xml:space="preserve">or indicator </w:t>
      </w:r>
      <w:r w:rsidRPr="00E9353E">
        <w:t xml:space="preserve">for adverse effects. </w:t>
      </w:r>
    </w:p>
    <w:p w14:paraId="25B5D7E9" w14:textId="77777777" w:rsidR="00DD5C9C" w:rsidRPr="00E9353E" w:rsidRDefault="00DD5C9C" w:rsidP="003B5D42"/>
    <w:p w14:paraId="25B5D7EA" w14:textId="77777777" w:rsidR="00DD5C9C" w:rsidRDefault="00DD5C9C" w:rsidP="003B5D42">
      <w:r w:rsidRPr="00E9353E">
        <w:t xml:space="preserve">The Working Group of the Australian and New Zealand Bone and Mineral Society and Osteoporosis Australia </w:t>
      </w:r>
      <w:r w:rsidRPr="00E9353E">
        <w:rPr>
          <w:noProof/>
        </w:rPr>
        <w:t>(Nowson et al. 2012)</w:t>
      </w:r>
      <w:r w:rsidRPr="00E9353E">
        <w:t xml:space="preserve"> also concluded that vitamin D toxicity is characterised by hypercalcaemia which occurs with 25OHD </w:t>
      </w:r>
      <w:r>
        <w:t>concentration</w:t>
      </w:r>
      <w:r w:rsidRPr="00E9353E">
        <w:t xml:space="preserve"> in the range of 220–500 nM. The Working Group also acknowledged adverse health effects may not always be associated with hypercalcaemia</w:t>
      </w:r>
      <w:r>
        <w:t xml:space="preserve"> and that emerging evidence suggest that adverse effects may be linked to higher serum 25OHD under some circumstances. N</w:t>
      </w:r>
      <w:r w:rsidRPr="00E9353E">
        <w:t xml:space="preserve">o range of </w:t>
      </w:r>
      <w:r>
        <w:t xml:space="preserve">serum </w:t>
      </w:r>
      <w:r w:rsidRPr="00E9353E">
        <w:t xml:space="preserve">25OHD </w:t>
      </w:r>
      <w:r>
        <w:t xml:space="preserve">concentration </w:t>
      </w:r>
      <w:r w:rsidRPr="00E9353E">
        <w:t>was defined for these effects</w:t>
      </w:r>
      <w:r>
        <w:t xml:space="preserve"> and it was concluded that further research was needed.</w:t>
      </w:r>
    </w:p>
    <w:p w14:paraId="25B5D7EB" w14:textId="77777777" w:rsidR="00DD5C9C" w:rsidRDefault="00DD5C9C" w:rsidP="003B5D42"/>
    <w:p w14:paraId="25B5D7EC" w14:textId="77777777" w:rsidR="00DD5C9C" w:rsidRDefault="00DD5C9C" w:rsidP="003B5D42">
      <w:r>
        <w:t>T</w:t>
      </w:r>
      <w:r w:rsidRPr="00334CE7">
        <w:t>he conclusions of the IOM, EFSA, and the Osteo</w:t>
      </w:r>
      <w:r>
        <w:t xml:space="preserve">porosis Australia Working Group suggest that </w:t>
      </w:r>
      <w:r w:rsidRPr="00334CE7">
        <w:t xml:space="preserve">serum 25OHD </w:t>
      </w:r>
      <w:r>
        <w:t>concentration</w:t>
      </w:r>
      <w:r w:rsidRPr="00334CE7">
        <w:t xml:space="preserve"> up to 250 nM can be considered to have minimum risk of adverse health effects. However, adverse health effects with prolonged, moderately high serum 25OHD are not well understood. Therefore, based on the conclusion of the IOM</w:t>
      </w:r>
      <w:r>
        <w:t xml:space="preserve"> that serum 25OHD above approximately 125–150 nM should be avoided</w:t>
      </w:r>
      <w:r w:rsidRPr="00334CE7">
        <w:t xml:space="preserve">, serum 25OHD </w:t>
      </w:r>
      <w:r>
        <w:t xml:space="preserve">levels above 125 nM </w:t>
      </w:r>
      <w:r w:rsidRPr="00334CE7">
        <w:t xml:space="preserve">can be used as a conservative </w:t>
      </w:r>
      <w:r>
        <w:t xml:space="preserve">concentration </w:t>
      </w:r>
      <w:r w:rsidRPr="00334CE7">
        <w:t xml:space="preserve">to assess </w:t>
      </w:r>
      <w:r>
        <w:t xml:space="preserve">the potential risk of harm due to </w:t>
      </w:r>
      <w:r w:rsidRPr="00334CE7">
        <w:t xml:space="preserve">vitamin D intake.  </w:t>
      </w:r>
    </w:p>
    <w:p w14:paraId="25B5D7ED" w14:textId="77777777" w:rsidR="00DD5C9C" w:rsidRPr="00720690" w:rsidRDefault="00DD5C9C" w:rsidP="003B5D42">
      <w:pPr>
        <w:pStyle w:val="Heading3"/>
      </w:pPr>
      <w:bookmarkStart w:id="23" w:name="_Toc406575697"/>
      <w:r w:rsidRPr="00720690">
        <w:t>Summary</w:t>
      </w:r>
      <w:r>
        <w:t xml:space="preserve"> – hazard identification and characterisation</w:t>
      </w:r>
      <w:bookmarkEnd w:id="23"/>
      <w:r>
        <w:t xml:space="preserve"> </w:t>
      </w:r>
    </w:p>
    <w:p w14:paraId="25B5D7EE" w14:textId="77777777" w:rsidR="00DD5C9C" w:rsidRDefault="00DD5C9C" w:rsidP="003B5D42">
      <w:r>
        <w:t>Both forms of vitamin D (D</w:t>
      </w:r>
      <w:r w:rsidRPr="00C07F8D">
        <w:rPr>
          <w:vertAlign w:val="subscript"/>
        </w:rPr>
        <w:t>2</w:t>
      </w:r>
      <w:r>
        <w:t xml:space="preserve"> and D</w:t>
      </w:r>
      <w:r w:rsidRPr="00C07F8D">
        <w:rPr>
          <w:vertAlign w:val="subscript"/>
        </w:rPr>
        <w:t>3</w:t>
      </w:r>
      <w:r>
        <w:t>) are absorbed in the intestine and require no digestion. The metabolism of vitamin D is complex and involves many metabolites with the active metabolite 1,25(OH)</w:t>
      </w:r>
      <w:r w:rsidRPr="00C07F8D">
        <w:rPr>
          <w:vertAlign w:val="subscript"/>
        </w:rPr>
        <w:t>2</w:t>
      </w:r>
      <w:r>
        <w:t>D functioning in the maintenance of calcium homeostasis. Vitamin D status is measured by the serum concentration of the metabolite 25OHD. Studies comparing the ability of D</w:t>
      </w:r>
      <w:r w:rsidRPr="00C07F8D">
        <w:rPr>
          <w:vertAlign w:val="subscript"/>
        </w:rPr>
        <w:t>3</w:t>
      </w:r>
      <w:r>
        <w:t xml:space="preserve"> and D</w:t>
      </w:r>
      <w:r w:rsidRPr="00C07F8D">
        <w:rPr>
          <w:vertAlign w:val="subscript"/>
        </w:rPr>
        <w:t>2</w:t>
      </w:r>
      <w:r>
        <w:t xml:space="preserve"> to raise serum 25OHD indicate that, at vitamin D levels present in food, both forms are considered to have equivalent ability to elevate 25OHD serum levels. </w:t>
      </w:r>
    </w:p>
    <w:p w14:paraId="25B5D7EF" w14:textId="77777777" w:rsidR="00DD5C9C" w:rsidRDefault="00DD5C9C" w:rsidP="003B5D42"/>
    <w:p w14:paraId="25B5D7F0" w14:textId="77777777" w:rsidR="00DD5C9C" w:rsidRPr="00CF21E1" w:rsidRDefault="00DD5C9C" w:rsidP="003B5D42">
      <w:r w:rsidRPr="00CF21E1">
        <w:t xml:space="preserve">The criterion for adequacy </w:t>
      </w:r>
      <w:r>
        <w:t xml:space="preserve">was taken to </w:t>
      </w:r>
      <w:r w:rsidRPr="00CF21E1">
        <w:t xml:space="preserve">be the </w:t>
      </w:r>
      <w:r>
        <w:t xml:space="preserve">proportion of the population groups with serum 25OHD </w:t>
      </w:r>
      <w:r w:rsidRPr="00CF21E1">
        <w:t>&lt;</w:t>
      </w:r>
      <w:r>
        <w:t xml:space="preserve"> </w:t>
      </w:r>
      <w:r w:rsidRPr="00CF21E1">
        <w:t>40</w:t>
      </w:r>
      <w:r>
        <w:t xml:space="preserve"> </w:t>
      </w:r>
      <w:r w:rsidRPr="00CF21E1">
        <w:t xml:space="preserve">nM. This value </w:t>
      </w:r>
      <w:r>
        <w:t>was</w:t>
      </w:r>
      <w:r w:rsidRPr="00CF21E1">
        <w:t xml:space="preserve"> chosen because the most recent EAR from the IOM was calculated assuming that 40</w:t>
      </w:r>
      <w:r>
        <w:t xml:space="preserve"> </w:t>
      </w:r>
      <w:r w:rsidRPr="00CF21E1">
        <w:t xml:space="preserve">nM was a suitable level for 50% of the population. Therefore, calculating the </w:t>
      </w:r>
      <w:r>
        <w:t>proportion of the population</w:t>
      </w:r>
      <w:r w:rsidRPr="00CF21E1">
        <w:t xml:space="preserve"> with serum values less than 40</w:t>
      </w:r>
      <w:r>
        <w:t xml:space="preserve"> </w:t>
      </w:r>
      <w:r w:rsidRPr="00CF21E1">
        <w:t>nM is analogous to using the EAR Cut</w:t>
      </w:r>
      <w:r>
        <w:t>-</w:t>
      </w:r>
      <w:r w:rsidRPr="00CF21E1">
        <w:t xml:space="preserve">point method in other FSANZ </w:t>
      </w:r>
      <w:r>
        <w:t>nutrient intake</w:t>
      </w:r>
      <w:r w:rsidRPr="00CF21E1">
        <w:t xml:space="preserve"> assessments to estimate the prevalence of inadequate intakes. As noted above</w:t>
      </w:r>
      <w:r>
        <w:t>,</w:t>
      </w:r>
      <w:r w:rsidRPr="00CF21E1">
        <w:t xml:space="preserve"> the dietary recommendations derived from this serum value assumed minimal sunlight exposure, but the serum values themselves include 25OHD ge</w:t>
      </w:r>
      <w:r>
        <w:t>nerated from sunlight exposure.</w:t>
      </w:r>
    </w:p>
    <w:p w14:paraId="25B5D7F1" w14:textId="77777777" w:rsidR="00DD5C9C" w:rsidRPr="00CF21E1" w:rsidRDefault="00DD5C9C" w:rsidP="003B5D42"/>
    <w:p w14:paraId="25B5D7F2" w14:textId="549631C4" w:rsidR="00DD5C9C" w:rsidRDefault="00DD5C9C" w:rsidP="003B5D42">
      <w:r w:rsidRPr="00CF21E1">
        <w:t xml:space="preserve">The criterion for excess </w:t>
      </w:r>
      <w:r>
        <w:t>was taken to</w:t>
      </w:r>
      <w:r w:rsidRPr="00CF21E1">
        <w:t xml:space="preserve"> be the </w:t>
      </w:r>
      <w:r>
        <w:t>proportion o</w:t>
      </w:r>
      <w:r w:rsidRPr="00CF21E1">
        <w:t xml:space="preserve">f population groups with serum </w:t>
      </w:r>
      <w:r>
        <w:t>25OHD concentrations</w:t>
      </w:r>
      <w:r w:rsidRPr="00CF21E1">
        <w:t xml:space="preserve"> above </w:t>
      </w:r>
      <w:r>
        <w:t xml:space="preserve">125 nM. </w:t>
      </w:r>
      <w:r w:rsidRPr="00CF21E1">
        <w:t>As noted above</w:t>
      </w:r>
      <w:r>
        <w:t>,</w:t>
      </w:r>
      <w:r w:rsidRPr="00CF21E1">
        <w:t xml:space="preserve"> this should not be interpreted as a true UL but </w:t>
      </w:r>
      <w:r>
        <w:t xml:space="preserve">exceedance of this </w:t>
      </w:r>
      <w:r w:rsidRPr="00CF21E1">
        <w:t xml:space="preserve">concentration </w:t>
      </w:r>
      <w:r>
        <w:t xml:space="preserve">is considered by some expert </w:t>
      </w:r>
      <w:r w:rsidRPr="00CF21E1">
        <w:t xml:space="preserve">bodies </w:t>
      </w:r>
      <w:r>
        <w:t xml:space="preserve">to </w:t>
      </w:r>
      <w:r w:rsidRPr="00CF21E1">
        <w:t>be avoided.</w:t>
      </w:r>
    </w:p>
    <w:p w14:paraId="0CC09EBB" w14:textId="77777777" w:rsidR="00B62436" w:rsidRDefault="00B62436" w:rsidP="003B5D42"/>
    <w:p w14:paraId="67154FD3" w14:textId="77777777" w:rsidR="00B62436" w:rsidRDefault="00B62436" w:rsidP="003B5D42"/>
    <w:p w14:paraId="25B5D7F3" w14:textId="77777777" w:rsidR="00DD5C9C" w:rsidRDefault="00DD5C9C" w:rsidP="003B5D42">
      <w:pPr>
        <w:pStyle w:val="Heading2"/>
      </w:pPr>
      <w:bookmarkStart w:id="24" w:name="_Toc406575698"/>
      <w:r>
        <w:lastRenderedPageBreak/>
        <w:t>Vitamin D in food</w:t>
      </w:r>
      <w:bookmarkEnd w:id="24"/>
    </w:p>
    <w:p w14:paraId="25B5D7F4" w14:textId="77777777" w:rsidR="00DD5C9C" w:rsidRDefault="00DD5C9C" w:rsidP="003B5D42">
      <w:pPr>
        <w:pStyle w:val="Heading3"/>
      </w:pPr>
      <w:bookmarkStart w:id="25" w:name="_Toc406575699"/>
      <w:r>
        <w:t>Content</w:t>
      </w:r>
      <w:bookmarkEnd w:id="25"/>
    </w:p>
    <w:p w14:paraId="25B5D7F5" w14:textId="77777777" w:rsidR="00DD5C9C" w:rsidRDefault="00DD5C9C" w:rsidP="003B5D42">
      <w:r>
        <w:t xml:space="preserve">Similar to measurement of serum 25OHD, assays for vitamin D in food are particularly difficult due to a methodology that (1) is laborious and expensive so that only a few samples can be analysed, (2) involves extraction steps that have been validated only for a few food matrices, (3) does not </w:t>
      </w:r>
      <w:r w:rsidRPr="00166D2C">
        <w:t>reliably quantify</w:t>
      </w:r>
      <w:r>
        <w:t xml:space="preserve"> all vitamin D (</w:t>
      </w:r>
      <w:r w:rsidRPr="007649E1">
        <w:t>D</w:t>
      </w:r>
      <w:r w:rsidRPr="007649E1">
        <w:rPr>
          <w:vertAlign w:val="subscript"/>
        </w:rPr>
        <w:t>2</w:t>
      </w:r>
      <w:r>
        <w:t xml:space="preserve"> and </w:t>
      </w:r>
      <w:r w:rsidRPr="007649E1">
        <w:t>D</w:t>
      </w:r>
      <w:r w:rsidRPr="007649E1">
        <w:rPr>
          <w:vertAlign w:val="subscript"/>
        </w:rPr>
        <w:t>3</w:t>
      </w:r>
      <w:r>
        <w:t xml:space="preserve">) or metabolites (25OHD), and (4) does not utilise standard reference materials. As a result, the total amount of vitamin D in food is not fully known and international food composition databases are considered to be inaccurate.  </w:t>
      </w:r>
    </w:p>
    <w:p w14:paraId="25B5D7F6" w14:textId="77777777" w:rsidR="00DD5C9C" w:rsidRDefault="00DD5C9C" w:rsidP="003B5D42">
      <w:pPr>
        <w:tabs>
          <w:tab w:val="left" w:pos="8213"/>
        </w:tabs>
      </w:pPr>
    </w:p>
    <w:p w14:paraId="25B5D7F7" w14:textId="77777777" w:rsidR="00DD5C9C" w:rsidRDefault="00DD5C9C" w:rsidP="003B5D42">
      <w:r>
        <w:t>Recent research using accurate assay methods provides more reliable estimates of total amounts of vitamin D and 25OHD in food. Endogenous D</w:t>
      </w:r>
      <w:r w:rsidRPr="00B80372">
        <w:rPr>
          <w:vertAlign w:val="subscript"/>
        </w:rPr>
        <w:t>3</w:t>
      </w:r>
      <w:r>
        <w:t xml:space="preserve"> is present in relatively small quantities in animal-derived foods such as fish </w:t>
      </w:r>
      <w:r w:rsidRPr="009A74B7">
        <w:t xml:space="preserve">(various species, 0.6–135 </w:t>
      </w:r>
      <w:r w:rsidRPr="007D637F">
        <w:rPr>
          <w:rFonts w:cs="Arial"/>
        </w:rPr>
        <w:t>µ</w:t>
      </w:r>
      <w:r w:rsidRPr="009A74B7">
        <w:t xml:space="preserve">g/100 g), meat (0.120 </w:t>
      </w:r>
      <w:r w:rsidRPr="007D637F">
        <w:rPr>
          <w:rFonts w:cs="Arial"/>
        </w:rPr>
        <w:t>µ</w:t>
      </w:r>
      <w:r w:rsidRPr="009A74B7">
        <w:t xml:space="preserve">g/100 g) or in eggs (2.11–2.93 µg/100 g) </w:t>
      </w:r>
      <w:r w:rsidRPr="009A74B7">
        <w:rPr>
          <w:noProof/>
        </w:rPr>
        <w:t>(Schmid and Walther 2013; Liu et al. 2013; Liu et al. 2014)</w:t>
      </w:r>
      <w:r w:rsidRPr="009A74B7">
        <w:t>.</w:t>
      </w:r>
      <w:r>
        <w:t xml:space="preserve"> Small amounts of the 25OHD metabolite are also present in animal-derived foods such as beef </w:t>
      </w:r>
      <w:r w:rsidRPr="009A74B7">
        <w:t>(0.269 µg/100 g)</w:t>
      </w:r>
      <w:r>
        <w:t xml:space="preserve"> and chicken (0.14 </w:t>
      </w:r>
      <w:r w:rsidRPr="007D637F">
        <w:rPr>
          <w:rFonts w:cs="Arial"/>
        </w:rPr>
        <w:t>µ</w:t>
      </w:r>
      <w:r>
        <w:t xml:space="preserve">g/100 g) </w:t>
      </w:r>
      <w:r>
        <w:rPr>
          <w:noProof/>
        </w:rPr>
        <w:t>(Liu et al. 2013; Taylor et al. 2014)</w:t>
      </w:r>
      <w:r>
        <w:t xml:space="preserve">. Oral 25OHD is considered to be five-fold more potent in raising serum 25OHD than vitamin D itself </w:t>
      </w:r>
      <w:r>
        <w:rPr>
          <w:noProof/>
        </w:rPr>
        <w:t>(Taylor et al. 2014)</w:t>
      </w:r>
      <w:r>
        <w:t>. Therefore, the relatively small amounts of 25OHD in food may make a significant contribution to total vitamin D status in individuals who consume animal-derived foods</w:t>
      </w:r>
      <w:r w:rsidRPr="0072236A">
        <w:t xml:space="preserve"> </w:t>
      </w:r>
      <w:r w:rsidRPr="000850EB">
        <w:rPr>
          <w:noProof/>
        </w:rPr>
        <w:t>(Ovesen et al. 2003; Cashman et al. 2012; Taylor et al. 2014)</w:t>
      </w:r>
      <w:r>
        <w:t xml:space="preserve">. </w:t>
      </w:r>
    </w:p>
    <w:p w14:paraId="25B5D7F8" w14:textId="77777777" w:rsidR="00DD5C9C" w:rsidRDefault="00DD5C9C" w:rsidP="003B5D42"/>
    <w:p w14:paraId="25B5D7F9" w14:textId="77777777" w:rsidR="00DD5C9C" w:rsidRDefault="00DD5C9C" w:rsidP="003B5D42">
      <w:pPr>
        <w:rPr>
          <w:color w:val="000000" w:themeColor="text1"/>
          <w:lang w:eastAsia="en-AU" w:bidi="ar-SA"/>
        </w:rPr>
      </w:pPr>
      <w:r>
        <w:t xml:space="preserve">Both vitamin D and 25OHD are present in much higher levels in eggs of chickens fed vitamin D-fortified feeds </w:t>
      </w:r>
      <w:r>
        <w:rPr>
          <w:noProof/>
        </w:rPr>
        <w:t>(Liu et al. 2013; Schmid and Walther 2013; Liu et al. 2014)</w:t>
      </w:r>
      <w:r>
        <w:t xml:space="preserve">. Up until recently, </w:t>
      </w:r>
      <w:r w:rsidRPr="000850EB">
        <w:rPr>
          <w:color w:val="000000" w:themeColor="text1"/>
          <w:lang w:eastAsia="en-AU" w:bidi="ar-SA"/>
        </w:rPr>
        <w:t>D</w:t>
      </w:r>
      <w:r w:rsidRPr="000850EB">
        <w:rPr>
          <w:color w:val="000000" w:themeColor="text1"/>
          <w:vertAlign w:val="subscript"/>
          <w:lang w:eastAsia="en-AU" w:bidi="ar-SA"/>
        </w:rPr>
        <w:t>2</w:t>
      </w:r>
      <w:r w:rsidRPr="000850EB">
        <w:rPr>
          <w:color w:val="000000" w:themeColor="text1"/>
          <w:lang w:eastAsia="en-AU" w:bidi="ar-SA"/>
        </w:rPr>
        <w:t xml:space="preserve"> has usually been considered to be an insignificant and rare form of vitamin D in foods</w:t>
      </w:r>
      <w:r>
        <w:rPr>
          <w:color w:val="000000" w:themeColor="text1"/>
          <w:lang w:eastAsia="en-AU" w:bidi="ar-SA"/>
        </w:rPr>
        <w:t xml:space="preserve">, present mostly in mushrooms </w:t>
      </w:r>
      <w:r>
        <w:rPr>
          <w:noProof/>
          <w:color w:val="000000" w:themeColor="text1"/>
          <w:lang w:eastAsia="en-AU" w:bidi="ar-SA"/>
        </w:rPr>
        <w:t>(Urbain et al. 2011)</w:t>
      </w:r>
      <w:r>
        <w:rPr>
          <w:color w:val="000000" w:themeColor="text1"/>
          <w:lang w:eastAsia="en-AU" w:bidi="ar-SA"/>
        </w:rPr>
        <w:t xml:space="preserve">, </w:t>
      </w:r>
      <w:r w:rsidRPr="000850EB">
        <w:rPr>
          <w:color w:val="000000" w:themeColor="text1"/>
          <w:lang w:eastAsia="en-AU" w:bidi="ar-SA"/>
        </w:rPr>
        <w:t xml:space="preserve">and not a major contributor to vitamin D intakes. </w:t>
      </w:r>
      <w:r>
        <w:rPr>
          <w:color w:val="000000" w:themeColor="text1"/>
          <w:lang w:eastAsia="en-AU" w:bidi="ar-SA"/>
        </w:rPr>
        <w:t>A</w:t>
      </w:r>
      <w:r w:rsidRPr="000850EB">
        <w:rPr>
          <w:color w:val="000000" w:themeColor="text1"/>
          <w:lang w:eastAsia="en-AU" w:bidi="ar-SA"/>
        </w:rPr>
        <w:t xml:space="preserve"> recent survey suggests that D</w:t>
      </w:r>
      <w:r w:rsidRPr="000850EB">
        <w:rPr>
          <w:color w:val="000000" w:themeColor="text1"/>
          <w:vertAlign w:val="subscript"/>
          <w:lang w:eastAsia="en-AU" w:bidi="ar-SA"/>
        </w:rPr>
        <w:t>2</w:t>
      </w:r>
      <w:r w:rsidRPr="000850EB">
        <w:rPr>
          <w:color w:val="000000" w:themeColor="text1"/>
          <w:lang w:eastAsia="en-AU" w:bidi="ar-SA"/>
        </w:rPr>
        <w:t xml:space="preserve"> may also be </w:t>
      </w:r>
      <w:r>
        <w:rPr>
          <w:color w:val="000000" w:themeColor="text1"/>
          <w:lang w:eastAsia="en-AU" w:bidi="ar-SA"/>
        </w:rPr>
        <w:t xml:space="preserve">consumed </w:t>
      </w:r>
      <w:r w:rsidRPr="000850EB">
        <w:rPr>
          <w:color w:val="000000" w:themeColor="text1"/>
          <w:lang w:eastAsia="en-AU" w:bidi="ar-SA"/>
        </w:rPr>
        <w:t>from animal-derived</w:t>
      </w:r>
      <w:r>
        <w:rPr>
          <w:color w:val="000000" w:themeColor="text1"/>
          <w:lang w:eastAsia="en-AU" w:bidi="ar-SA"/>
        </w:rPr>
        <w:t xml:space="preserve"> </w:t>
      </w:r>
      <w:r w:rsidRPr="000850EB">
        <w:rPr>
          <w:color w:val="000000" w:themeColor="text1"/>
          <w:lang w:eastAsia="en-AU" w:bidi="ar-SA"/>
        </w:rPr>
        <w:t>food (Cashman, 2014). The origin of D</w:t>
      </w:r>
      <w:r w:rsidRPr="000850EB">
        <w:rPr>
          <w:color w:val="000000" w:themeColor="text1"/>
          <w:vertAlign w:val="subscript"/>
          <w:lang w:eastAsia="en-AU" w:bidi="ar-SA"/>
        </w:rPr>
        <w:t>2</w:t>
      </w:r>
      <w:r w:rsidRPr="000850EB">
        <w:rPr>
          <w:color w:val="000000" w:themeColor="text1"/>
          <w:lang w:eastAsia="en-AU" w:bidi="ar-SA"/>
        </w:rPr>
        <w:t xml:space="preserve"> in animal-derived foods includes that from animals fed grasses or hay (where D</w:t>
      </w:r>
      <w:r w:rsidRPr="000850EB">
        <w:rPr>
          <w:color w:val="000000" w:themeColor="text1"/>
          <w:vertAlign w:val="subscript"/>
          <w:lang w:eastAsia="en-AU" w:bidi="ar-SA"/>
        </w:rPr>
        <w:t>2</w:t>
      </w:r>
      <w:r>
        <w:rPr>
          <w:color w:val="000000" w:themeColor="text1"/>
          <w:lang w:eastAsia="en-AU" w:bidi="ar-SA"/>
        </w:rPr>
        <w:t xml:space="preserve"> is produced </w:t>
      </w:r>
      <w:r w:rsidRPr="000850EB">
        <w:rPr>
          <w:color w:val="000000" w:themeColor="text1"/>
          <w:lang w:eastAsia="en-AU" w:bidi="ar-SA"/>
        </w:rPr>
        <w:t>by UV exposure to fungi present) and that from intensively-reared animals whose feed is supplemented with D</w:t>
      </w:r>
      <w:r w:rsidRPr="000850EB">
        <w:rPr>
          <w:color w:val="000000" w:themeColor="text1"/>
          <w:vertAlign w:val="subscript"/>
          <w:lang w:eastAsia="en-AU" w:bidi="ar-SA"/>
        </w:rPr>
        <w:t>2</w:t>
      </w:r>
      <w:r w:rsidRPr="000850EB">
        <w:rPr>
          <w:color w:val="000000" w:themeColor="text1"/>
          <w:lang w:eastAsia="en-AU" w:bidi="ar-SA"/>
        </w:rPr>
        <w:t>.</w:t>
      </w:r>
      <w:r>
        <w:rPr>
          <w:color w:val="000000" w:themeColor="text1"/>
          <w:lang w:eastAsia="en-AU" w:bidi="ar-SA"/>
        </w:rPr>
        <w:t xml:space="preserve"> Although, </w:t>
      </w:r>
      <w:r w:rsidRPr="000850EB">
        <w:rPr>
          <w:color w:val="000000" w:themeColor="text1"/>
          <w:lang w:eastAsia="en-AU" w:bidi="ar-SA"/>
        </w:rPr>
        <w:t>the presence of D</w:t>
      </w:r>
      <w:r w:rsidRPr="000850EB">
        <w:rPr>
          <w:color w:val="000000" w:themeColor="text1"/>
          <w:vertAlign w:val="subscript"/>
          <w:lang w:eastAsia="en-AU" w:bidi="ar-SA"/>
        </w:rPr>
        <w:t>2</w:t>
      </w:r>
      <w:r w:rsidRPr="000850EB">
        <w:rPr>
          <w:color w:val="000000" w:themeColor="text1"/>
          <w:lang w:eastAsia="en-AU" w:bidi="ar-SA"/>
        </w:rPr>
        <w:t xml:space="preserve"> from these sources in Australian and New Zealand an</w:t>
      </w:r>
      <w:r>
        <w:rPr>
          <w:color w:val="000000" w:themeColor="text1"/>
          <w:lang w:eastAsia="en-AU" w:bidi="ar-SA"/>
        </w:rPr>
        <w:t xml:space="preserve">imals has not been demonstrated, overall these data suggest that total intakes of vitamin D from non-fortified foods is probably underestimated. </w:t>
      </w:r>
    </w:p>
    <w:p w14:paraId="25B5D7FA" w14:textId="77777777" w:rsidR="00DD5C9C" w:rsidRDefault="00DD5C9C" w:rsidP="003B5D42">
      <w:pPr>
        <w:rPr>
          <w:color w:val="000000" w:themeColor="text1"/>
          <w:lang w:eastAsia="en-AU" w:bidi="ar-SA"/>
        </w:rPr>
      </w:pPr>
    </w:p>
    <w:p w14:paraId="25B5D7FB" w14:textId="77777777" w:rsidR="00DD5C9C" w:rsidRPr="00FA7321" w:rsidRDefault="00DD5C9C" w:rsidP="003B5D42">
      <w:pPr>
        <w:rPr>
          <w:color w:val="000000" w:themeColor="text1"/>
          <w:lang w:eastAsia="en-AU" w:bidi="ar-SA"/>
        </w:rPr>
      </w:pPr>
      <w:r>
        <w:rPr>
          <w:color w:val="000000" w:themeColor="text1"/>
          <w:lang w:eastAsia="en-AU" w:bidi="ar-SA"/>
        </w:rPr>
        <w:t>For these reasons, a</w:t>
      </w:r>
      <w:r w:rsidRPr="00FA7321">
        <w:rPr>
          <w:color w:val="000000" w:themeColor="text1"/>
          <w:lang w:eastAsia="en-AU" w:bidi="ar-SA"/>
        </w:rPr>
        <w:t>ccurate data for</w:t>
      </w:r>
      <w:r>
        <w:rPr>
          <w:color w:val="000000" w:themeColor="text1"/>
          <w:lang w:eastAsia="en-AU" w:bidi="ar-SA"/>
        </w:rPr>
        <w:t xml:space="preserve"> vitamin D intakes f</w:t>
      </w:r>
      <w:r w:rsidRPr="00FA7321">
        <w:rPr>
          <w:color w:val="000000" w:themeColor="text1"/>
          <w:lang w:eastAsia="en-AU" w:bidi="ar-SA"/>
        </w:rPr>
        <w:t>rom food</w:t>
      </w:r>
      <w:r>
        <w:rPr>
          <w:color w:val="000000" w:themeColor="text1"/>
          <w:lang w:eastAsia="en-AU" w:bidi="ar-SA"/>
        </w:rPr>
        <w:t xml:space="preserve"> </w:t>
      </w:r>
      <w:r w:rsidRPr="00FA7321">
        <w:rPr>
          <w:color w:val="000000" w:themeColor="text1"/>
          <w:lang w:eastAsia="en-AU" w:bidi="ar-SA"/>
        </w:rPr>
        <w:t>for the A</w:t>
      </w:r>
      <w:r>
        <w:rPr>
          <w:color w:val="000000" w:themeColor="text1"/>
          <w:lang w:eastAsia="en-AU" w:bidi="ar-SA"/>
        </w:rPr>
        <w:t>NZ</w:t>
      </w:r>
      <w:r w:rsidRPr="00FA7321">
        <w:rPr>
          <w:color w:val="000000" w:themeColor="text1"/>
          <w:lang w:eastAsia="en-AU" w:bidi="ar-SA"/>
        </w:rPr>
        <w:t xml:space="preserve"> populations </w:t>
      </w:r>
      <w:r>
        <w:rPr>
          <w:color w:val="000000" w:themeColor="text1"/>
          <w:lang w:eastAsia="en-AU" w:bidi="ar-SA"/>
        </w:rPr>
        <w:t>was</w:t>
      </w:r>
      <w:r w:rsidRPr="00FA7321">
        <w:rPr>
          <w:color w:val="000000" w:themeColor="text1"/>
          <w:lang w:eastAsia="en-AU" w:bidi="ar-SA"/>
        </w:rPr>
        <w:t xml:space="preserve"> not available. Others have previously estimated average daily dietary intake of vitamin D in Australian and New Zealand adults to be 2–3 µg/day compared to North America</w:t>
      </w:r>
      <w:r>
        <w:rPr>
          <w:color w:val="000000" w:themeColor="text1"/>
          <w:lang w:eastAsia="en-AU" w:bidi="ar-SA"/>
        </w:rPr>
        <w:t xml:space="preserve"> </w:t>
      </w:r>
      <w:r w:rsidRPr="00FA7321">
        <w:rPr>
          <w:color w:val="000000" w:themeColor="text1"/>
          <w:lang w:eastAsia="en-AU" w:bidi="ar-SA"/>
        </w:rPr>
        <w:t>where more vitamin D fortification is permitted or mandated</w:t>
      </w:r>
      <w:r>
        <w:rPr>
          <w:color w:val="000000" w:themeColor="text1"/>
          <w:lang w:eastAsia="en-AU" w:bidi="ar-SA"/>
        </w:rPr>
        <w:t xml:space="preserve"> and </w:t>
      </w:r>
      <w:r w:rsidRPr="00FA7321">
        <w:rPr>
          <w:color w:val="000000" w:themeColor="text1"/>
          <w:lang w:eastAsia="en-AU" w:bidi="ar-SA"/>
        </w:rPr>
        <w:t>intakes are in the range 3–6 µg/day (Nowson et al. 2012).</w:t>
      </w:r>
    </w:p>
    <w:p w14:paraId="25B5D7FC" w14:textId="77777777" w:rsidR="00DD5C9C" w:rsidRDefault="00DD5C9C" w:rsidP="003B5D42">
      <w:pPr>
        <w:pStyle w:val="Heading3"/>
      </w:pPr>
      <w:bookmarkStart w:id="26" w:name="_Toc406575700"/>
      <w:r w:rsidRPr="00B83813">
        <w:t xml:space="preserve">Effect </w:t>
      </w:r>
      <w:r>
        <w:t xml:space="preserve">of consuming vitamin D fortified foods </w:t>
      </w:r>
      <w:r w:rsidRPr="00B83813">
        <w:t>on serum 25OHD</w:t>
      </w:r>
      <w:bookmarkEnd w:id="26"/>
    </w:p>
    <w:p w14:paraId="25B5D7FD" w14:textId="77777777" w:rsidR="00DD5C9C" w:rsidRDefault="00DD5C9C" w:rsidP="003B5D42">
      <w:pPr>
        <w:rPr>
          <w:lang w:eastAsia="en-AU" w:bidi="ar-SA"/>
        </w:rPr>
      </w:pPr>
      <w:r>
        <w:rPr>
          <w:lang w:eastAsia="en-AU" w:bidi="ar-SA"/>
        </w:rPr>
        <w:t xml:space="preserve">Numerous studies have shown that consumption of vitamin D-fortified foods increases serum 25OHD concentrations and several systematic reviews have been published </w:t>
      </w:r>
      <w:r>
        <w:rPr>
          <w:noProof/>
          <w:lang w:eastAsia="en-AU" w:bidi="ar-SA"/>
        </w:rPr>
        <w:t>(O'Donnell et al. 2008; O'Mahony et al. 2011; Black et al. 2012)</w:t>
      </w:r>
      <w:r>
        <w:rPr>
          <w:lang w:eastAsia="en-AU" w:bidi="ar-SA"/>
        </w:rPr>
        <w:t>. Although fortification of breakfast cereal is permitted in several countries, no quality studies on the effect of consumption of vitamin D-fortified breakfast cereal on serum 25OHD have been reported. However, based on studies of other fortified foods, it is reasonable to conclude that vitamin D consumed through vitamin D-fortified cereal will also increase serum 25OHD concentrations.</w:t>
      </w:r>
    </w:p>
    <w:p w14:paraId="25B5D7FE" w14:textId="38AFB36C" w:rsidR="00C233AA" w:rsidRDefault="00C233AA" w:rsidP="003B5D42">
      <w:pPr>
        <w:rPr>
          <w:lang w:eastAsia="en-AU" w:bidi="ar-SA"/>
        </w:rPr>
      </w:pPr>
    </w:p>
    <w:p w14:paraId="0A4BD6E6" w14:textId="77777777" w:rsidR="00B62436" w:rsidRDefault="00DD5C9C" w:rsidP="003B5D42">
      <w:pPr>
        <w:rPr>
          <w:lang w:eastAsia="en-AU" w:bidi="ar-SA"/>
        </w:rPr>
      </w:pPr>
      <w:r w:rsidRPr="00EA3E16">
        <w:rPr>
          <w:lang w:eastAsia="en-AU" w:bidi="ar-SA"/>
        </w:rPr>
        <w:t xml:space="preserve">A recent systematic review of 16 studies measured the effect of consumption of vitamin fortified foods on serum 25OHD concentrations as measured by RIA and HPLC methods </w:t>
      </w:r>
      <w:r w:rsidRPr="00EA3E16">
        <w:rPr>
          <w:noProof/>
          <w:lang w:eastAsia="en-AU" w:bidi="ar-SA"/>
        </w:rPr>
        <w:t>(Black et al. 2012)</w:t>
      </w:r>
      <w:r w:rsidRPr="00EA3E16">
        <w:rPr>
          <w:lang w:eastAsia="en-AU" w:bidi="ar-SA"/>
        </w:rPr>
        <w:t xml:space="preserve">. The study included a meta-analysis with random-effects analysis to determine the overall weighted mean difference. </w:t>
      </w:r>
      <w:r w:rsidR="00B62436">
        <w:rPr>
          <w:lang w:eastAsia="en-AU" w:bidi="ar-SA"/>
        </w:rPr>
        <w:br w:type="page"/>
      </w:r>
    </w:p>
    <w:p w14:paraId="25B5D7FF" w14:textId="0899AB43" w:rsidR="00DD5C9C" w:rsidRDefault="00DD5C9C" w:rsidP="003B5D42">
      <w:pPr>
        <w:rPr>
          <w:lang w:eastAsia="en-AU" w:bidi="ar-SA"/>
        </w:rPr>
      </w:pPr>
      <w:r w:rsidRPr="00EA3E16">
        <w:rPr>
          <w:lang w:eastAsia="en-AU" w:bidi="ar-SA"/>
        </w:rPr>
        <w:lastRenderedPageBreak/>
        <w:t>Interventions of fortified foods included yoghurt drinks, orange juice, milk and milk powder, dairy products, and wheat bread with daily doses of D</w:t>
      </w:r>
      <w:r w:rsidRPr="00EA3E16">
        <w:rPr>
          <w:vertAlign w:val="subscript"/>
          <w:lang w:eastAsia="en-AU" w:bidi="ar-SA"/>
        </w:rPr>
        <w:t>2</w:t>
      </w:r>
      <w:r w:rsidRPr="00EA3E16">
        <w:rPr>
          <w:lang w:eastAsia="en-AU" w:bidi="ar-SA"/>
        </w:rPr>
        <w:t xml:space="preserve"> or D</w:t>
      </w:r>
      <w:r w:rsidRPr="00EA3E16">
        <w:rPr>
          <w:vertAlign w:val="subscript"/>
          <w:lang w:eastAsia="en-AU" w:bidi="ar-SA"/>
        </w:rPr>
        <w:t>3</w:t>
      </w:r>
      <w:r w:rsidRPr="00EA3E16">
        <w:rPr>
          <w:lang w:eastAsia="en-AU" w:bidi="ar-SA"/>
        </w:rPr>
        <w:t xml:space="preserve"> ranging from 3 to 25 µg (per 100 g or serving, or daily dose). Overall, foods fortified with vitamin D were found to increase serum 25OHD concentration in a dose dependent manner where a 1.2 nM increase in 25OHD resulted from every 1 µg vitamin D per day consumed (Figure </w:t>
      </w:r>
      <w:r>
        <w:rPr>
          <w:lang w:eastAsia="en-AU" w:bidi="ar-SA"/>
        </w:rPr>
        <w:t>3</w:t>
      </w:r>
      <w:r w:rsidRPr="00EA3E16">
        <w:rPr>
          <w:lang w:eastAsia="en-AU" w:bidi="ar-SA"/>
        </w:rPr>
        <w:t>). Although</w:t>
      </w:r>
      <w:r>
        <w:rPr>
          <w:lang w:eastAsia="en-AU" w:bidi="ar-SA"/>
        </w:rPr>
        <w:t xml:space="preserve"> a</w:t>
      </w:r>
      <w:r w:rsidRPr="00EA3E16">
        <w:rPr>
          <w:lang w:eastAsia="en-AU" w:bidi="ar-SA"/>
        </w:rPr>
        <w:t xml:space="preserve"> high degree of statistical heterogeneity was shown in the analysis</w:t>
      </w:r>
      <w:r>
        <w:rPr>
          <w:lang w:eastAsia="en-AU" w:bidi="ar-SA"/>
        </w:rPr>
        <w:t xml:space="preserve"> </w:t>
      </w:r>
      <w:r w:rsidRPr="00EA3E16">
        <w:rPr>
          <w:lang w:eastAsia="en-AU" w:bidi="ar-SA"/>
        </w:rPr>
        <w:t>(which might be due to factors such as seasonal effects),</w:t>
      </w:r>
      <w:r>
        <w:rPr>
          <w:lang w:eastAsia="en-AU" w:bidi="ar-SA"/>
        </w:rPr>
        <w:t xml:space="preserve"> it was noted that the use of different assay types may impact on the validity of individual study outcomes</w:t>
      </w:r>
      <w:r w:rsidRPr="00EA3E16">
        <w:rPr>
          <w:lang w:eastAsia="en-AU" w:bidi="ar-SA"/>
        </w:rPr>
        <w:t xml:space="preserve"> </w:t>
      </w:r>
      <w:r>
        <w:rPr>
          <w:lang w:eastAsia="en-AU" w:bidi="ar-SA"/>
        </w:rPr>
        <w:t xml:space="preserve">but was not a contributor to statistical heterogeneity of the meta-analysis. Therefore, it was concluded that </w:t>
      </w:r>
      <w:r w:rsidRPr="00EA3E16">
        <w:rPr>
          <w:lang w:eastAsia="en-AU" w:bidi="ar-SA"/>
        </w:rPr>
        <w:t>the dose-response provides a reasonable estimate of potential increases in serum 25OHD with dietary vitamin D</w:t>
      </w:r>
      <w:r>
        <w:rPr>
          <w:lang w:eastAsia="en-AU" w:bidi="ar-SA"/>
        </w:rPr>
        <w:t>.</w:t>
      </w:r>
    </w:p>
    <w:p w14:paraId="25B5D801" w14:textId="77777777" w:rsidR="00DD5C9C" w:rsidRDefault="00DD5C9C" w:rsidP="003B5D42">
      <w:pPr>
        <w:rPr>
          <w:lang w:eastAsia="en-AU" w:bidi="ar-SA"/>
        </w:rPr>
      </w:pPr>
      <w:r>
        <w:rPr>
          <w:noProof/>
          <w:lang w:eastAsia="en-GB" w:bidi="ar-SA"/>
        </w:rPr>
        <w:drawing>
          <wp:inline distT="0" distB="0" distL="0" distR="0" wp14:anchorId="25B5DCDD" wp14:editId="25B5DCDE">
            <wp:extent cx="5192395" cy="2906395"/>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192395" cy="2906395"/>
                    </a:xfrm>
                    <a:prstGeom prst="rect">
                      <a:avLst/>
                    </a:prstGeom>
                  </pic:spPr>
                </pic:pic>
              </a:graphicData>
            </a:graphic>
          </wp:inline>
        </w:drawing>
      </w:r>
    </w:p>
    <w:p w14:paraId="25B5D802" w14:textId="77777777" w:rsidR="00DD5C9C" w:rsidRDefault="00DD5C9C" w:rsidP="003B5D42">
      <w:pPr>
        <w:rPr>
          <w:lang w:eastAsia="en-AU" w:bidi="ar-SA"/>
        </w:rPr>
      </w:pPr>
    </w:p>
    <w:p w14:paraId="25B5D803" w14:textId="79A28E3D" w:rsidR="00DD5C9C" w:rsidRPr="00535F54" w:rsidRDefault="00DD5C9C" w:rsidP="003B5D42">
      <w:pPr>
        <w:ind w:left="1134" w:hanging="1134"/>
        <w:rPr>
          <w:rFonts w:cs="Arial"/>
          <w:b/>
          <w:i/>
          <w:szCs w:val="22"/>
          <w:lang w:eastAsia="en-AU" w:bidi="ar-SA"/>
        </w:rPr>
      </w:pPr>
      <w:r w:rsidRPr="00E262C6">
        <w:rPr>
          <w:rFonts w:cs="Arial"/>
          <w:i/>
          <w:szCs w:val="22"/>
          <w:lang w:eastAsia="en-AU" w:bidi="ar-SA"/>
        </w:rPr>
        <w:t>Figure 3</w:t>
      </w:r>
      <w:r w:rsidRPr="00E262C6">
        <w:rPr>
          <w:rFonts w:cs="Arial"/>
          <w:i/>
          <w:szCs w:val="22"/>
          <w:lang w:eastAsia="en-AU" w:bidi="ar-SA"/>
        </w:rPr>
        <w:tab/>
        <w:t>Effect of consumption of vitamin D fortified food on serum 25OHD</w:t>
      </w:r>
      <w:r w:rsidRPr="00535F54">
        <w:rPr>
          <w:rFonts w:cs="Arial"/>
          <w:i/>
          <w:szCs w:val="22"/>
          <w:lang w:eastAsia="en-AU" w:bidi="ar-SA"/>
        </w:rPr>
        <w:t xml:space="preserve"> concentrations</w:t>
      </w:r>
    </w:p>
    <w:p w14:paraId="25B5D804" w14:textId="77777777" w:rsidR="00DD5C9C" w:rsidRPr="00535F54" w:rsidRDefault="00DD5C9C" w:rsidP="003B5D42">
      <w:pPr>
        <w:spacing w:before="120"/>
        <w:rPr>
          <w:rFonts w:cs="Arial"/>
          <w:i/>
          <w:sz w:val="18"/>
          <w:szCs w:val="18"/>
          <w:lang w:eastAsia="en-AU" w:bidi="ar-SA"/>
        </w:rPr>
      </w:pPr>
      <w:r w:rsidRPr="00535F54">
        <w:rPr>
          <w:rFonts w:cs="Arial"/>
          <w:i/>
          <w:sz w:val="18"/>
          <w:szCs w:val="18"/>
          <w:lang w:eastAsia="en-AU" w:bidi="ar-SA"/>
        </w:rPr>
        <w:t>Each diamond represents results of one study in which vitamin D dose (in fortified food) was between 3 and 25 µg. (Reproduced with permission from Black et al. 2012)</w:t>
      </w:r>
    </w:p>
    <w:p w14:paraId="25B5D805" w14:textId="77777777" w:rsidR="00DD5C9C" w:rsidRDefault="00DD5C9C" w:rsidP="003B5D42">
      <w:pPr>
        <w:pStyle w:val="Heading2"/>
      </w:pPr>
      <w:bookmarkStart w:id="27" w:name="_Toc406575701"/>
      <w:bookmarkStart w:id="28" w:name="_Toc247509482"/>
      <w:bookmarkStart w:id="29" w:name="_Toc365651378"/>
      <w:r>
        <w:t xml:space="preserve">Estimated </w:t>
      </w:r>
      <w:r w:rsidRPr="00C10787">
        <w:t xml:space="preserve">vitamin D </w:t>
      </w:r>
      <w:r>
        <w:t xml:space="preserve">intakes </w:t>
      </w:r>
      <w:r w:rsidRPr="00C10787">
        <w:t xml:space="preserve">from fortified breakfast </w:t>
      </w:r>
      <w:r>
        <w:t>cereal</w:t>
      </w:r>
      <w:bookmarkEnd w:id="27"/>
    </w:p>
    <w:p w14:paraId="25B5D806" w14:textId="77777777" w:rsidR="00DD5C9C" w:rsidRPr="00C10787" w:rsidRDefault="00DD5C9C" w:rsidP="003B5D42">
      <w:pPr>
        <w:pStyle w:val="Heading3"/>
      </w:pPr>
      <w:bookmarkStart w:id="30" w:name="_Toc406575702"/>
      <w:bookmarkEnd w:id="28"/>
      <w:bookmarkEnd w:id="29"/>
      <w:r w:rsidRPr="00C10787">
        <w:t>Introduction</w:t>
      </w:r>
      <w:bookmarkEnd w:id="30"/>
    </w:p>
    <w:p w14:paraId="25B5D807" w14:textId="77777777" w:rsidR="00DD5C9C" w:rsidRDefault="00DD5C9C" w:rsidP="00B62436">
      <w:pPr>
        <w:ind w:right="-286"/>
        <w:rPr>
          <w:lang w:bidi="ar-SA"/>
        </w:rPr>
      </w:pPr>
      <w:r>
        <w:rPr>
          <w:lang w:bidi="ar-SA"/>
        </w:rPr>
        <w:t>A</w:t>
      </w:r>
      <w:r w:rsidRPr="00C10787">
        <w:rPr>
          <w:lang w:bidi="ar-SA"/>
        </w:rPr>
        <w:t xml:space="preserve"> </w:t>
      </w:r>
      <w:r>
        <w:rPr>
          <w:lang w:bidi="ar-SA"/>
        </w:rPr>
        <w:t>conventional nutrient intake assessment was</w:t>
      </w:r>
      <w:r w:rsidRPr="00C10787">
        <w:rPr>
          <w:lang w:bidi="ar-SA"/>
        </w:rPr>
        <w:t xml:space="preserve"> not undertaken for vitamin D for the </w:t>
      </w:r>
      <w:r>
        <w:rPr>
          <w:lang w:bidi="ar-SA"/>
        </w:rPr>
        <w:t>ANZ</w:t>
      </w:r>
      <w:r w:rsidRPr="00C10787">
        <w:rPr>
          <w:lang w:bidi="ar-SA"/>
        </w:rPr>
        <w:t xml:space="preserve"> populations as there </w:t>
      </w:r>
      <w:r>
        <w:rPr>
          <w:lang w:bidi="ar-SA"/>
        </w:rPr>
        <w:t xml:space="preserve">were </w:t>
      </w:r>
      <w:r w:rsidRPr="00C10787">
        <w:rPr>
          <w:lang w:bidi="ar-SA"/>
        </w:rPr>
        <w:t xml:space="preserve">limited </w:t>
      </w:r>
      <w:r>
        <w:rPr>
          <w:lang w:bidi="ar-SA"/>
        </w:rPr>
        <w:t xml:space="preserve">ANZ </w:t>
      </w:r>
      <w:r w:rsidRPr="00C10787">
        <w:rPr>
          <w:rFonts w:cs="Arial"/>
          <w:szCs w:val="22"/>
          <w:lang w:val="en-US" w:bidi="ar-SA"/>
        </w:rPr>
        <w:t>derived analytical data on the vitamin D (D</w:t>
      </w:r>
      <w:r w:rsidRPr="009018D5">
        <w:rPr>
          <w:rFonts w:cs="Arial"/>
          <w:szCs w:val="22"/>
          <w:vertAlign w:val="subscript"/>
          <w:lang w:val="en-US" w:bidi="ar-SA"/>
        </w:rPr>
        <w:t>2</w:t>
      </w:r>
      <w:r w:rsidRPr="00C10787">
        <w:rPr>
          <w:rFonts w:cs="Arial"/>
          <w:szCs w:val="22"/>
          <w:lang w:val="en-US" w:bidi="ar-SA"/>
        </w:rPr>
        <w:t>, D</w:t>
      </w:r>
      <w:r w:rsidRPr="009018D5">
        <w:rPr>
          <w:rFonts w:cs="Arial"/>
          <w:szCs w:val="22"/>
          <w:vertAlign w:val="subscript"/>
          <w:lang w:val="en-US" w:bidi="ar-SA"/>
        </w:rPr>
        <w:t>3</w:t>
      </w:r>
      <w:r w:rsidRPr="00C10787">
        <w:rPr>
          <w:rFonts w:cs="Arial"/>
          <w:szCs w:val="22"/>
          <w:lang w:val="en-US" w:bidi="ar-SA"/>
        </w:rPr>
        <w:t>, 25OHD</w:t>
      </w:r>
      <w:r w:rsidRPr="009018D5">
        <w:rPr>
          <w:rFonts w:cs="Arial"/>
          <w:szCs w:val="22"/>
          <w:vertAlign w:val="subscript"/>
          <w:lang w:val="en-US" w:bidi="ar-SA"/>
        </w:rPr>
        <w:t>2</w:t>
      </w:r>
      <w:r w:rsidRPr="00C10787">
        <w:rPr>
          <w:rFonts w:cs="Arial"/>
          <w:szCs w:val="22"/>
          <w:lang w:val="en-US" w:bidi="ar-SA"/>
        </w:rPr>
        <w:t xml:space="preserve"> and 25OHD</w:t>
      </w:r>
      <w:r w:rsidRPr="009018D5">
        <w:rPr>
          <w:rFonts w:cs="Arial"/>
          <w:szCs w:val="22"/>
          <w:vertAlign w:val="subscript"/>
          <w:lang w:val="en-US" w:bidi="ar-SA"/>
        </w:rPr>
        <w:t>3</w:t>
      </w:r>
      <w:r w:rsidRPr="00C10787">
        <w:rPr>
          <w:rFonts w:cs="Arial"/>
          <w:szCs w:val="22"/>
          <w:lang w:val="en-US" w:bidi="ar-SA"/>
        </w:rPr>
        <w:t xml:space="preserve">) content of </w:t>
      </w:r>
      <w:r w:rsidRPr="00991711">
        <w:rPr>
          <w:rFonts w:cs="Arial"/>
          <w:szCs w:val="22"/>
          <w:lang w:val="en-US" w:bidi="ar-SA"/>
        </w:rPr>
        <w:t>food (see Section 4.1)</w:t>
      </w:r>
      <w:r w:rsidRPr="00C10787">
        <w:rPr>
          <w:rFonts w:cs="Arial"/>
          <w:szCs w:val="22"/>
          <w:lang w:val="en-US" w:bidi="ar-SA"/>
        </w:rPr>
        <w:t xml:space="preserve">. Rather, </w:t>
      </w:r>
      <w:r w:rsidRPr="00C10787">
        <w:rPr>
          <w:lang w:bidi="ar-SA"/>
        </w:rPr>
        <w:t xml:space="preserve">the potential impact of fortification of breakfast </w:t>
      </w:r>
      <w:r>
        <w:rPr>
          <w:lang w:bidi="ar-SA"/>
        </w:rPr>
        <w:t>cereal</w:t>
      </w:r>
      <w:r w:rsidRPr="00C10787">
        <w:rPr>
          <w:lang w:bidi="ar-SA"/>
        </w:rPr>
        <w:t xml:space="preserve"> with vitamin D </w:t>
      </w:r>
      <w:r>
        <w:rPr>
          <w:lang w:bidi="ar-SA"/>
        </w:rPr>
        <w:t>was</w:t>
      </w:r>
      <w:r w:rsidRPr="00C10787">
        <w:rPr>
          <w:lang w:bidi="ar-SA"/>
        </w:rPr>
        <w:t xml:space="preserve"> estimated by </w:t>
      </w:r>
      <w:r>
        <w:rPr>
          <w:lang w:bidi="ar-SA"/>
        </w:rPr>
        <w:t xml:space="preserve">first </w:t>
      </w:r>
      <w:r w:rsidRPr="00C10787">
        <w:rPr>
          <w:lang w:bidi="ar-SA"/>
        </w:rPr>
        <w:t xml:space="preserve">determining each population group’s consumption of breakfast cereal, and </w:t>
      </w:r>
      <w:r>
        <w:rPr>
          <w:lang w:bidi="ar-SA"/>
        </w:rPr>
        <w:t xml:space="preserve">second, </w:t>
      </w:r>
      <w:r w:rsidRPr="00C10787">
        <w:rPr>
          <w:lang w:bidi="ar-SA"/>
        </w:rPr>
        <w:t xml:space="preserve">estimating the potential increase in vitamin D intake that could occur should breakfast cereal be fortified </w:t>
      </w:r>
      <w:r>
        <w:rPr>
          <w:lang w:bidi="ar-SA"/>
        </w:rPr>
        <w:t>at</w:t>
      </w:r>
      <w:r w:rsidRPr="00C10787">
        <w:rPr>
          <w:lang w:bidi="ar-SA"/>
        </w:rPr>
        <w:t xml:space="preserve"> the</w:t>
      </w:r>
      <w:r>
        <w:rPr>
          <w:lang w:bidi="ar-SA"/>
        </w:rPr>
        <w:t xml:space="preserve"> midpoint</w:t>
      </w:r>
      <w:r w:rsidRPr="00C10787">
        <w:rPr>
          <w:lang w:bidi="ar-SA"/>
        </w:rPr>
        <w:t xml:space="preserve"> level </w:t>
      </w:r>
      <w:r>
        <w:rPr>
          <w:lang w:bidi="ar-SA"/>
        </w:rPr>
        <w:t>estimated</w:t>
      </w:r>
      <w:r w:rsidRPr="00C10787">
        <w:rPr>
          <w:lang w:bidi="ar-SA"/>
        </w:rPr>
        <w:t xml:space="preserve"> by the Applicant. </w:t>
      </w:r>
      <w:r>
        <w:rPr>
          <w:lang w:bidi="ar-SA"/>
        </w:rPr>
        <w:t>Third, t</w:t>
      </w:r>
      <w:r w:rsidRPr="00C10787">
        <w:rPr>
          <w:lang w:bidi="ar-SA"/>
        </w:rPr>
        <w:t xml:space="preserve">his increase </w:t>
      </w:r>
      <w:r>
        <w:rPr>
          <w:lang w:bidi="ar-SA"/>
        </w:rPr>
        <w:t>was</w:t>
      </w:r>
      <w:r w:rsidRPr="00C10787">
        <w:rPr>
          <w:lang w:bidi="ar-SA"/>
        </w:rPr>
        <w:t xml:space="preserve"> then used to predict the incremental increase in serum 25OHD due to fortified breakfast cereal</w:t>
      </w:r>
      <w:r>
        <w:rPr>
          <w:lang w:bidi="ar-SA"/>
        </w:rPr>
        <w:t xml:space="preserve"> consumption (see </w:t>
      </w:r>
      <w:r w:rsidRPr="00991711">
        <w:rPr>
          <w:lang w:bidi="ar-SA"/>
        </w:rPr>
        <w:t>Section 6.2) and</w:t>
      </w:r>
      <w:r>
        <w:rPr>
          <w:lang w:bidi="ar-SA"/>
        </w:rPr>
        <w:t xml:space="preserve"> fourth, to compare resulting estimated serum 25OHD levels for nominated population groups to </w:t>
      </w:r>
      <w:r w:rsidR="002544DE">
        <w:rPr>
          <w:lang w:bidi="ar-SA"/>
        </w:rPr>
        <w:t>cut-off value</w:t>
      </w:r>
      <w:r>
        <w:rPr>
          <w:lang w:bidi="ar-SA"/>
        </w:rPr>
        <w:t>s linked to inadequate or excess intakes (as summarised in Section 3.4 and 3.5)</w:t>
      </w:r>
      <w:r w:rsidRPr="00C10787">
        <w:rPr>
          <w:lang w:bidi="ar-SA"/>
        </w:rPr>
        <w:t xml:space="preserve">. </w:t>
      </w:r>
    </w:p>
    <w:p w14:paraId="25B5D808" w14:textId="4DDA2859" w:rsidR="00DD5C9C" w:rsidRDefault="00DD5C9C" w:rsidP="003B5D42">
      <w:pPr>
        <w:pStyle w:val="Heading3"/>
      </w:pPr>
      <w:bookmarkStart w:id="31" w:name="_Toc406575703"/>
      <w:r>
        <w:t>Assessment of breakfast cereal consumption</w:t>
      </w:r>
      <w:bookmarkEnd w:id="31"/>
    </w:p>
    <w:p w14:paraId="25B5D809" w14:textId="77777777" w:rsidR="00DD5C9C" w:rsidRPr="002233C5" w:rsidRDefault="00DD5C9C" w:rsidP="003B5D42">
      <w:pPr>
        <w:pStyle w:val="Heading4"/>
      </w:pPr>
      <w:bookmarkStart w:id="32" w:name="_Toc247509484"/>
      <w:bookmarkStart w:id="33" w:name="_Toc365651380"/>
      <w:r w:rsidRPr="002233C5">
        <w:t xml:space="preserve">Breakfast cereal consumption data </w:t>
      </w:r>
      <w:bookmarkEnd w:id="32"/>
      <w:bookmarkEnd w:id="33"/>
    </w:p>
    <w:p w14:paraId="790F11D6" w14:textId="77777777" w:rsidR="00B62436" w:rsidRDefault="00DD5C9C" w:rsidP="003B5D42">
      <w:pPr>
        <w:rPr>
          <w:lang w:bidi="ar-SA"/>
        </w:rPr>
      </w:pPr>
      <w:r w:rsidRPr="00C10787">
        <w:rPr>
          <w:lang w:bidi="ar-SA"/>
        </w:rPr>
        <w:t>FSANZ uses food consumption data from the most recent</w:t>
      </w:r>
      <w:r>
        <w:rPr>
          <w:lang w:bidi="ar-SA"/>
        </w:rPr>
        <w:t xml:space="preserve"> National Nutrition Surveys (</w:t>
      </w:r>
      <w:r w:rsidRPr="00C10787">
        <w:rPr>
          <w:lang w:bidi="ar-SA"/>
        </w:rPr>
        <w:t>NNS</w:t>
      </w:r>
      <w:r>
        <w:rPr>
          <w:lang w:bidi="ar-SA"/>
        </w:rPr>
        <w:t>) in our custom built dietary modelling analytical program</w:t>
      </w:r>
      <w:r w:rsidRPr="00C10787">
        <w:rPr>
          <w:lang w:bidi="ar-SA"/>
        </w:rPr>
        <w:t xml:space="preserve"> to estimate food consumption and dietary intake of nutrients for the Australian and New Zealand populations. </w:t>
      </w:r>
      <w:r w:rsidR="00B62436">
        <w:rPr>
          <w:lang w:bidi="ar-SA"/>
        </w:rPr>
        <w:br w:type="page"/>
      </w:r>
    </w:p>
    <w:p w14:paraId="25B5D80A" w14:textId="52F76CA0" w:rsidR="00DD5C9C" w:rsidRDefault="00DD5C9C" w:rsidP="003B5D42">
      <w:pPr>
        <w:rPr>
          <w:lang w:bidi="ar-SA"/>
        </w:rPr>
      </w:pPr>
      <w:r w:rsidRPr="00C10787">
        <w:rPr>
          <w:lang w:bidi="ar-SA"/>
        </w:rPr>
        <w:lastRenderedPageBreak/>
        <w:t>The design of each of these surveys varies somewhat and key attributes of each are</w:t>
      </w:r>
      <w:r>
        <w:rPr>
          <w:lang w:bidi="ar-SA"/>
        </w:rPr>
        <w:t xml:space="preserve"> summarised in Appendix 1 (includes links to reports and/or reference). </w:t>
      </w:r>
      <w:r w:rsidRPr="00C10787">
        <w:rPr>
          <w:lang w:bidi="ar-SA"/>
        </w:rPr>
        <w:t xml:space="preserve"> </w:t>
      </w:r>
    </w:p>
    <w:p w14:paraId="25B5D80B" w14:textId="77777777" w:rsidR="00DD5C9C" w:rsidRDefault="00DD5C9C" w:rsidP="003B5D42">
      <w:pPr>
        <w:rPr>
          <w:lang w:bidi="ar-SA"/>
        </w:rPr>
      </w:pPr>
    </w:p>
    <w:p w14:paraId="25B5D80C" w14:textId="77777777" w:rsidR="00DD5C9C" w:rsidRDefault="00DD5C9C" w:rsidP="003B5D42">
      <w:pPr>
        <w:autoSpaceDE w:val="0"/>
        <w:autoSpaceDN w:val="0"/>
        <w:adjustRightInd w:val="0"/>
        <w:rPr>
          <w:lang w:eastAsia="en-AU" w:bidi="ar-SA"/>
        </w:rPr>
      </w:pPr>
      <w:r>
        <w:rPr>
          <w:lang w:eastAsia="en-AU" w:bidi="ar-SA"/>
        </w:rPr>
        <w:t>Only r</w:t>
      </w:r>
      <w:r w:rsidRPr="00C10787">
        <w:rPr>
          <w:lang w:eastAsia="en-AU" w:bidi="ar-SA"/>
        </w:rPr>
        <w:t xml:space="preserve">eady-to-eat (RTE) breakfast </w:t>
      </w:r>
      <w:r>
        <w:rPr>
          <w:lang w:eastAsia="en-AU" w:bidi="ar-SA"/>
        </w:rPr>
        <w:t>cereal was included in the calculations for the amount of cereal consumed.</w:t>
      </w:r>
      <w:r w:rsidRPr="00C10787">
        <w:rPr>
          <w:lang w:eastAsia="en-AU" w:bidi="ar-SA"/>
        </w:rPr>
        <w:t xml:space="preserve"> </w:t>
      </w:r>
      <w:r>
        <w:rPr>
          <w:lang w:eastAsia="en-AU" w:bidi="ar-SA"/>
        </w:rPr>
        <w:t xml:space="preserve">RTE </w:t>
      </w:r>
      <w:r w:rsidRPr="009B22E5">
        <w:rPr>
          <w:lang w:eastAsia="en-AU" w:bidi="ar-SA"/>
        </w:rPr>
        <w:t>breakfast cereal consumption included the foll</w:t>
      </w:r>
      <w:r>
        <w:rPr>
          <w:lang w:eastAsia="en-AU" w:bidi="ar-SA"/>
        </w:rPr>
        <w:t>owing types of breakfast cereal</w:t>
      </w:r>
      <w:r w:rsidRPr="009B22E5">
        <w:rPr>
          <w:lang w:eastAsia="en-AU" w:bidi="ar-SA"/>
        </w:rPr>
        <w:t xml:space="preserve">: </w:t>
      </w:r>
    </w:p>
    <w:p w14:paraId="051FD5B3" w14:textId="77777777" w:rsidR="00E262C6" w:rsidRDefault="00E262C6" w:rsidP="003B5D42">
      <w:pPr>
        <w:autoSpaceDE w:val="0"/>
        <w:autoSpaceDN w:val="0"/>
        <w:adjustRightInd w:val="0"/>
        <w:rPr>
          <w:lang w:eastAsia="en-AU" w:bidi="ar-SA"/>
        </w:rPr>
      </w:pPr>
    </w:p>
    <w:p w14:paraId="25B5D80D" w14:textId="77777777" w:rsidR="00DD5C9C" w:rsidRPr="009B22E5" w:rsidRDefault="00DD5C9C" w:rsidP="00C91549">
      <w:pPr>
        <w:pStyle w:val="FSBullet1"/>
        <w:rPr>
          <w:lang w:eastAsia="en-AU"/>
        </w:rPr>
      </w:pPr>
      <w:r w:rsidRPr="009B22E5">
        <w:rPr>
          <w:lang w:eastAsia="en-AU"/>
        </w:rPr>
        <w:t xml:space="preserve">extruded, puffed or flaked </w:t>
      </w:r>
      <w:r>
        <w:rPr>
          <w:lang w:eastAsia="en-AU"/>
        </w:rPr>
        <w:t>cereal</w:t>
      </w:r>
    </w:p>
    <w:p w14:paraId="25B5D80E" w14:textId="77777777" w:rsidR="00DD5C9C" w:rsidRPr="009B22E5" w:rsidRDefault="00DD5C9C" w:rsidP="00C91549">
      <w:pPr>
        <w:pStyle w:val="FSBullet1"/>
        <w:rPr>
          <w:lang w:eastAsia="en-AU"/>
        </w:rPr>
      </w:pPr>
      <w:r w:rsidRPr="009B22E5">
        <w:rPr>
          <w:lang w:eastAsia="en-AU"/>
        </w:rPr>
        <w:t xml:space="preserve">single or mixed grain </w:t>
      </w:r>
      <w:r>
        <w:rPr>
          <w:lang w:eastAsia="en-AU"/>
        </w:rPr>
        <w:t>cereal</w:t>
      </w:r>
      <w:r w:rsidRPr="009B22E5">
        <w:rPr>
          <w:lang w:eastAsia="en-AU"/>
        </w:rPr>
        <w:t xml:space="preserve"> (corn, oat, wheat, rice)</w:t>
      </w:r>
    </w:p>
    <w:p w14:paraId="25B5D80F" w14:textId="77777777" w:rsidR="00DD5C9C" w:rsidRPr="009B22E5" w:rsidRDefault="00DD5C9C" w:rsidP="00C91549">
      <w:pPr>
        <w:pStyle w:val="FSBullet1"/>
        <w:rPr>
          <w:lang w:eastAsia="en-AU"/>
        </w:rPr>
      </w:pPr>
      <w:r w:rsidRPr="009B22E5">
        <w:rPr>
          <w:lang w:eastAsia="en-AU"/>
        </w:rPr>
        <w:t xml:space="preserve">fortified or unfortified </w:t>
      </w:r>
      <w:r>
        <w:rPr>
          <w:lang w:eastAsia="en-AU"/>
        </w:rPr>
        <w:t>cereal</w:t>
      </w:r>
      <w:r w:rsidRPr="009B22E5">
        <w:rPr>
          <w:lang w:eastAsia="en-AU"/>
        </w:rPr>
        <w:t>, with our without added sugar</w:t>
      </w:r>
    </w:p>
    <w:p w14:paraId="25B5D810" w14:textId="77777777" w:rsidR="00DD5C9C" w:rsidRPr="009B22E5" w:rsidRDefault="00DD5C9C" w:rsidP="00C91549">
      <w:pPr>
        <w:pStyle w:val="FSBullet1"/>
        <w:rPr>
          <w:lang w:eastAsia="en-AU"/>
        </w:rPr>
      </w:pPr>
      <w:r w:rsidRPr="009B22E5">
        <w:rPr>
          <w:lang w:eastAsia="en-AU"/>
        </w:rPr>
        <w:t>toasted or natural mueslis</w:t>
      </w:r>
    </w:p>
    <w:p w14:paraId="25B5D811" w14:textId="77777777" w:rsidR="00DD5C9C" w:rsidRPr="009B22E5" w:rsidRDefault="00DD5C9C" w:rsidP="00C91549">
      <w:pPr>
        <w:pStyle w:val="FSBullet1"/>
        <w:rPr>
          <w:lang w:eastAsia="en-AU"/>
        </w:rPr>
      </w:pPr>
      <w:r>
        <w:rPr>
          <w:lang w:eastAsia="en-AU"/>
        </w:rPr>
        <w:t>cereal</w:t>
      </w:r>
      <w:r w:rsidRPr="009B22E5">
        <w:rPr>
          <w:lang w:eastAsia="en-AU"/>
        </w:rPr>
        <w:t xml:space="preserve"> with added fruit and/or nuts</w:t>
      </w:r>
    </w:p>
    <w:p w14:paraId="25B5D812" w14:textId="77777777" w:rsidR="00DD5C9C" w:rsidRPr="009B22E5" w:rsidRDefault="00DD5C9C" w:rsidP="00C91549">
      <w:pPr>
        <w:pStyle w:val="FSBullet1"/>
        <w:rPr>
          <w:lang w:eastAsia="en-AU"/>
        </w:rPr>
      </w:pPr>
      <w:r w:rsidRPr="009B22E5">
        <w:rPr>
          <w:lang w:eastAsia="en-AU"/>
        </w:rPr>
        <w:t xml:space="preserve">bran based </w:t>
      </w:r>
      <w:r>
        <w:rPr>
          <w:lang w:eastAsia="en-AU"/>
        </w:rPr>
        <w:t>cereal.</w:t>
      </w:r>
    </w:p>
    <w:p w14:paraId="25B5D813" w14:textId="77777777" w:rsidR="00DD5C9C" w:rsidRPr="00C10787" w:rsidRDefault="00DD5C9C" w:rsidP="003B5D42">
      <w:pPr>
        <w:autoSpaceDE w:val="0"/>
        <w:autoSpaceDN w:val="0"/>
        <w:adjustRightInd w:val="0"/>
        <w:rPr>
          <w:lang w:eastAsia="en-AU" w:bidi="ar-SA"/>
        </w:rPr>
      </w:pPr>
    </w:p>
    <w:p w14:paraId="25B5D814" w14:textId="77777777" w:rsidR="00DD5C9C" w:rsidRPr="00C10787" w:rsidRDefault="00DD5C9C" w:rsidP="003B5D42">
      <w:pPr>
        <w:autoSpaceDE w:val="0"/>
        <w:autoSpaceDN w:val="0"/>
        <w:adjustRightInd w:val="0"/>
        <w:rPr>
          <w:szCs w:val="22"/>
          <w:lang w:eastAsia="en-AU" w:bidi="ar-SA"/>
        </w:rPr>
      </w:pPr>
      <w:r w:rsidRPr="00C10787">
        <w:rPr>
          <w:lang w:eastAsia="en-AU" w:bidi="ar-SA"/>
        </w:rPr>
        <w:t xml:space="preserve">Porridge or similar cooked grain </w:t>
      </w:r>
      <w:r>
        <w:rPr>
          <w:lang w:eastAsia="en-AU" w:bidi="ar-SA"/>
        </w:rPr>
        <w:t>cereal</w:t>
      </w:r>
      <w:r w:rsidRPr="00C10787">
        <w:rPr>
          <w:lang w:eastAsia="en-AU" w:bidi="ar-SA"/>
        </w:rPr>
        <w:t xml:space="preserve">, breakfast bars and breakfast drinks were excluded </w:t>
      </w:r>
      <w:r w:rsidRPr="00C10787">
        <w:rPr>
          <w:szCs w:val="22"/>
          <w:lang w:eastAsia="en-AU" w:bidi="ar-SA"/>
        </w:rPr>
        <w:t>from the breakfast cereal consumption estimates</w:t>
      </w:r>
      <w:r>
        <w:rPr>
          <w:szCs w:val="22"/>
          <w:lang w:eastAsia="en-AU" w:bidi="ar-SA"/>
        </w:rPr>
        <w:t xml:space="preserve"> as these products are unlikely to be fortified d</w:t>
      </w:r>
      <w:r>
        <w:t>ue to the processes needed to apply the fortificant (either as a coating process or incorporated into the flour mix used to produce the final product, see section 2.4).</w:t>
      </w:r>
    </w:p>
    <w:p w14:paraId="25B5D815" w14:textId="77777777" w:rsidR="00DD5C9C" w:rsidRDefault="00DD5C9C" w:rsidP="003B5D42">
      <w:pPr>
        <w:rPr>
          <w:lang w:bidi="ar-SA"/>
        </w:rPr>
      </w:pPr>
    </w:p>
    <w:p w14:paraId="25B5D816" w14:textId="77777777" w:rsidR="00DD5C9C" w:rsidRPr="00C10787" w:rsidRDefault="00DD5C9C" w:rsidP="003B5D42">
      <w:pPr>
        <w:autoSpaceDE w:val="0"/>
        <w:autoSpaceDN w:val="0"/>
        <w:adjustRightInd w:val="0"/>
        <w:rPr>
          <w:lang w:eastAsia="en-AU" w:bidi="ar-SA"/>
        </w:rPr>
      </w:pPr>
      <w:r w:rsidRPr="00C10787">
        <w:rPr>
          <w:lang w:eastAsia="en-AU" w:bidi="ar-SA"/>
        </w:rPr>
        <w:t>Mean and 90</w:t>
      </w:r>
      <w:r w:rsidRPr="00C10787">
        <w:rPr>
          <w:vertAlign w:val="superscript"/>
          <w:lang w:eastAsia="en-AU" w:bidi="ar-SA"/>
        </w:rPr>
        <w:t>th</w:t>
      </w:r>
      <w:r w:rsidRPr="00C10787">
        <w:rPr>
          <w:lang w:eastAsia="en-AU" w:bidi="ar-SA"/>
        </w:rPr>
        <w:t xml:space="preserve"> percentile RTE breakfast cereal consumption amounts were derived for each age group assessed</w:t>
      </w:r>
      <w:r>
        <w:rPr>
          <w:lang w:eastAsia="en-AU" w:bidi="ar-SA"/>
        </w:rPr>
        <w:t xml:space="preserve"> for consumers of RTE breakfast cereal only, as defined above.</w:t>
      </w:r>
    </w:p>
    <w:p w14:paraId="25B5D817" w14:textId="77777777" w:rsidR="00DD5C9C" w:rsidRPr="002233C5" w:rsidRDefault="00DD5C9C" w:rsidP="003B5D42">
      <w:pPr>
        <w:pStyle w:val="Heading4"/>
      </w:pPr>
      <w:r w:rsidRPr="002233C5">
        <w:t>Age groups assessed</w:t>
      </w:r>
    </w:p>
    <w:p w14:paraId="25B5D818" w14:textId="77777777" w:rsidR="00DD5C9C" w:rsidRPr="00C10787" w:rsidRDefault="00DD5C9C" w:rsidP="003B5D42">
      <w:pPr>
        <w:rPr>
          <w:lang w:bidi="ar-SA"/>
        </w:rPr>
      </w:pPr>
      <w:r w:rsidRPr="00C10787">
        <w:rPr>
          <w:lang w:bidi="ar-SA"/>
        </w:rPr>
        <w:t xml:space="preserve">A range of age groups </w:t>
      </w:r>
      <w:r>
        <w:rPr>
          <w:lang w:bidi="ar-SA"/>
        </w:rPr>
        <w:t>was</w:t>
      </w:r>
      <w:r w:rsidRPr="00C10787">
        <w:rPr>
          <w:lang w:bidi="ar-SA"/>
        </w:rPr>
        <w:t xml:space="preserve"> selected fo</w:t>
      </w:r>
      <w:r>
        <w:rPr>
          <w:lang w:bidi="ar-SA"/>
        </w:rPr>
        <w:t>r this assessment of potential v</w:t>
      </w:r>
      <w:r w:rsidRPr="00C10787">
        <w:rPr>
          <w:lang w:bidi="ar-SA"/>
        </w:rPr>
        <w:t xml:space="preserve">itamin D intakes from breakfast </w:t>
      </w:r>
      <w:r>
        <w:rPr>
          <w:lang w:bidi="ar-SA"/>
        </w:rPr>
        <w:t>cereal</w:t>
      </w:r>
      <w:r w:rsidRPr="00C10787">
        <w:rPr>
          <w:lang w:bidi="ar-SA"/>
        </w:rPr>
        <w:t xml:space="preserve">, based on the </w:t>
      </w:r>
      <w:r>
        <w:rPr>
          <w:lang w:bidi="ar-SA"/>
        </w:rPr>
        <w:t>NHMRC/NZ MoH nutrient reference value</w:t>
      </w:r>
      <w:r w:rsidRPr="00C10787">
        <w:rPr>
          <w:lang w:bidi="ar-SA"/>
        </w:rPr>
        <w:t xml:space="preserve"> age groups that would normally be used for nutrient intake assessments, within the limitations of each Australian and New Zealand NNS. </w:t>
      </w:r>
    </w:p>
    <w:p w14:paraId="25B5D819" w14:textId="77777777" w:rsidR="00DD5C9C" w:rsidRPr="00C10787" w:rsidRDefault="00DD5C9C" w:rsidP="003B5D42">
      <w:pPr>
        <w:rPr>
          <w:lang w:bidi="ar-SA"/>
        </w:rPr>
      </w:pPr>
    </w:p>
    <w:p w14:paraId="25B5D81A" w14:textId="77777777" w:rsidR="00DD5C9C" w:rsidRDefault="00DD5C9C" w:rsidP="003B5D42">
      <w:pPr>
        <w:ind w:left="360" w:hanging="360"/>
        <w:rPr>
          <w:rFonts w:cs="Arial"/>
          <w:lang w:bidi="ar-SA"/>
        </w:rPr>
      </w:pPr>
      <w:r w:rsidRPr="00C10787">
        <w:rPr>
          <w:rFonts w:cs="Arial"/>
          <w:lang w:bidi="ar-SA"/>
        </w:rPr>
        <w:t>For the Australian population the following age groups were used:</w:t>
      </w:r>
    </w:p>
    <w:p w14:paraId="428291AC" w14:textId="77777777" w:rsidR="00E262C6" w:rsidRDefault="00E262C6" w:rsidP="003B5D42">
      <w:pPr>
        <w:ind w:left="360" w:hanging="360"/>
        <w:rPr>
          <w:rFonts w:cs="Arial"/>
          <w:lang w:bidi="ar-SA"/>
        </w:rPr>
      </w:pPr>
    </w:p>
    <w:p w14:paraId="25B5D81B" w14:textId="77777777" w:rsidR="00DD5C9C" w:rsidRPr="00AE16FF" w:rsidRDefault="00DD5C9C" w:rsidP="00C91549">
      <w:pPr>
        <w:pStyle w:val="FSBullet1"/>
        <w:rPr>
          <w:lang w:eastAsia="en-AU"/>
        </w:rPr>
      </w:pPr>
      <w:r w:rsidRPr="00AE16FF">
        <w:rPr>
          <w:lang w:eastAsia="en-AU"/>
        </w:rPr>
        <w:t>2007 Australian National Children’s Nutrition and Physical Activity Survey (ANCNPAS): 2–3 years, 4–8 years, 9–13 years, 14–16 years</w:t>
      </w:r>
    </w:p>
    <w:p w14:paraId="25B5D81C" w14:textId="77777777" w:rsidR="00DD5C9C" w:rsidRPr="00AE16FF" w:rsidRDefault="00DD5C9C" w:rsidP="00C91549">
      <w:pPr>
        <w:pStyle w:val="FSBullet1"/>
        <w:rPr>
          <w:lang w:eastAsia="en-AU"/>
        </w:rPr>
      </w:pPr>
      <w:r w:rsidRPr="00AE16FF">
        <w:rPr>
          <w:lang w:eastAsia="en-AU"/>
        </w:rPr>
        <w:t xml:space="preserve">1995 NNS: 17 years and above. </w:t>
      </w:r>
    </w:p>
    <w:p w14:paraId="25B5D81D" w14:textId="77777777" w:rsidR="00DD5C9C" w:rsidRPr="00C10787" w:rsidRDefault="00DD5C9C" w:rsidP="003B5D42">
      <w:pPr>
        <w:rPr>
          <w:lang w:bidi="ar-SA"/>
        </w:rPr>
      </w:pPr>
    </w:p>
    <w:p w14:paraId="25B5D81E" w14:textId="77777777" w:rsidR="00DD5C9C" w:rsidRDefault="00DD5C9C" w:rsidP="003B5D42">
      <w:pPr>
        <w:rPr>
          <w:lang w:bidi="ar-SA"/>
        </w:rPr>
      </w:pPr>
      <w:r w:rsidRPr="00C10787">
        <w:rPr>
          <w:lang w:bidi="ar-SA"/>
        </w:rPr>
        <w:t>For the New Zealand population the following age groups were used:</w:t>
      </w:r>
    </w:p>
    <w:p w14:paraId="1FD34693" w14:textId="77777777" w:rsidR="00E262C6" w:rsidRDefault="00E262C6" w:rsidP="003B5D42">
      <w:pPr>
        <w:rPr>
          <w:lang w:bidi="ar-SA"/>
        </w:rPr>
      </w:pPr>
    </w:p>
    <w:p w14:paraId="25B5D81F" w14:textId="77777777" w:rsidR="00DD5C9C" w:rsidRPr="00C10787" w:rsidRDefault="00DD5C9C" w:rsidP="00C91549">
      <w:pPr>
        <w:pStyle w:val="FSBullet1"/>
        <w:rPr>
          <w:lang w:eastAsia="en-AU"/>
        </w:rPr>
      </w:pPr>
      <w:r w:rsidRPr="00C10787">
        <w:rPr>
          <w:lang w:eastAsia="en-AU"/>
        </w:rPr>
        <w:t xml:space="preserve">2002 </w:t>
      </w:r>
      <w:r w:rsidRPr="005E3908">
        <w:rPr>
          <w:lang w:eastAsia="en-AU"/>
        </w:rPr>
        <w:t xml:space="preserve">New Zealand </w:t>
      </w:r>
      <w:r>
        <w:rPr>
          <w:lang w:eastAsia="en-AU"/>
        </w:rPr>
        <w:t xml:space="preserve">National </w:t>
      </w:r>
      <w:r w:rsidRPr="005E3908">
        <w:rPr>
          <w:lang w:eastAsia="en-AU"/>
        </w:rPr>
        <w:t xml:space="preserve">Children’s Nutrition Survey </w:t>
      </w:r>
      <w:r>
        <w:rPr>
          <w:lang w:eastAsia="en-AU"/>
        </w:rPr>
        <w:t>(</w:t>
      </w:r>
      <w:r w:rsidRPr="00C10787">
        <w:rPr>
          <w:lang w:eastAsia="en-AU"/>
        </w:rPr>
        <w:t>NZ</w:t>
      </w:r>
      <w:r>
        <w:rPr>
          <w:lang w:eastAsia="en-AU"/>
        </w:rPr>
        <w:t xml:space="preserve"> N</w:t>
      </w:r>
      <w:r w:rsidRPr="00C10787">
        <w:rPr>
          <w:lang w:eastAsia="en-AU"/>
        </w:rPr>
        <w:t>CNS</w:t>
      </w:r>
      <w:r>
        <w:rPr>
          <w:lang w:eastAsia="en-AU"/>
        </w:rPr>
        <w:t xml:space="preserve">): </w:t>
      </w:r>
      <w:r w:rsidRPr="00C10787">
        <w:rPr>
          <w:lang w:eastAsia="en-AU"/>
        </w:rPr>
        <w:t>5</w:t>
      </w:r>
      <w:r w:rsidRPr="00EB1FB9">
        <w:rPr>
          <w:lang w:eastAsia="en-AU"/>
        </w:rPr>
        <w:t>–</w:t>
      </w:r>
      <w:r w:rsidRPr="00C10787">
        <w:rPr>
          <w:lang w:eastAsia="en-AU"/>
        </w:rPr>
        <w:t>8 years, 9</w:t>
      </w:r>
      <w:r w:rsidRPr="00EB1FB9">
        <w:rPr>
          <w:lang w:eastAsia="en-AU"/>
        </w:rPr>
        <w:t>–</w:t>
      </w:r>
      <w:r w:rsidRPr="00C10787">
        <w:rPr>
          <w:lang w:eastAsia="en-AU"/>
        </w:rPr>
        <w:t>13 years, 14 years</w:t>
      </w:r>
    </w:p>
    <w:p w14:paraId="25B5D820" w14:textId="77777777" w:rsidR="00DD5C9C" w:rsidRPr="00C10787" w:rsidRDefault="00DD5C9C" w:rsidP="00C91549">
      <w:pPr>
        <w:pStyle w:val="FSBullet1"/>
        <w:rPr>
          <w:lang w:eastAsia="en-AU"/>
        </w:rPr>
      </w:pPr>
      <w:r>
        <w:rPr>
          <w:lang w:eastAsia="en-AU"/>
        </w:rPr>
        <w:t>2008-09</w:t>
      </w:r>
      <w:r w:rsidRPr="00C10787">
        <w:rPr>
          <w:lang w:eastAsia="en-AU"/>
        </w:rPr>
        <w:t xml:space="preserve"> </w:t>
      </w:r>
      <w:r w:rsidRPr="005E3908">
        <w:rPr>
          <w:lang w:eastAsia="en-AU"/>
        </w:rPr>
        <w:t xml:space="preserve">New Zealand National Nutrition Survey </w:t>
      </w:r>
      <w:r>
        <w:rPr>
          <w:lang w:eastAsia="en-AU"/>
        </w:rPr>
        <w:t>(</w:t>
      </w:r>
      <w:r w:rsidRPr="00C10787">
        <w:rPr>
          <w:lang w:eastAsia="en-AU"/>
        </w:rPr>
        <w:t>NZ</w:t>
      </w:r>
      <w:r>
        <w:rPr>
          <w:lang w:eastAsia="en-AU"/>
        </w:rPr>
        <w:t xml:space="preserve"> </w:t>
      </w:r>
      <w:r w:rsidRPr="00C10787">
        <w:rPr>
          <w:lang w:eastAsia="en-AU"/>
        </w:rPr>
        <w:t>NNS</w:t>
      </w:r>
      <w:r>
        <w:rPr>
          <w:lang w:eastAsia="en-AU"/>
        </w:rPr>
        <w:t>):</w:t>
      </w:r>
      <w:r w:rsidRPr="00C10787">
        <w:rPr>
          <w:lang w:eastAsia="en-AU"/>
        </w:rPr>
        <w:t xml:space="preserve"> 15 years and above.</w:t>
      </w:r>
    </w:p>
    <w:p w14:paraId="25B5D821" w14:textId="77777777" w:rsidR="00DD5C9C" w:rsidRPr="002233C5" w:rsidRDefault="00DD5C9C" w:rsidP="003B5D42">
      <w:pPr>
        <w:pStyle w:val="Heading4"/>
      </w:pPr>
      <w:bookmarkStart w:id="34" w:name="_Toc365651381"/>
      <w:r w:rsidRPr="002233C5">
        <w:t xml:space="preserve">Proposed concentration of vitamin D in breakfast </w:t>
      </w:r>
      <w:r>
        <w:t>cereal</w:t>
      </w:r>
      <w:r w:rsidRPr="002233C5">
        <w:t xml:space="preserve"> </w:t>
      </w:r>
    </w:p>
    <w:p w14:paraId="25B5D822" w14:textId="12C2A462" w:rsidR="00DD5C9C" w:rsidRPr="00C10787" w:rsidRDefault="00DD5C9C" w:rsidP="003B5D42">
      <w:pPr>
        <w:autoSpaceDE w:val="0"/>
        <w:autoSpaceDN w:val="0"/>
        <w:adjustRightInd w:val="0"/>
        <w:rPr>
          <w:lang w:eastAsia="en-AU" w:bidi="ar-SA"/>
        </w:rPr>
      </w:pPr>
      <w:r w:rsidRPr="00C10787">
        <w:rPr>
          <w:lang w:eastAsia="en-AU" w:bidi="ar-SA"/>
        </w:rPr>
        <w:t xml:space="preserve">RTE </w:t>
      </w:r>
      <w:r w:rsidRPr="00C64AA3">
        <w:rPr>
          <w:lang w:eastAsia="en-AU" w:bidi="ar-SA"/>
        </w:rPr>
        <w:t xml:space="preserve">breakfast </w:t>
      </w:r>
      <w:r>
        <w:rPr>
          <w:lang w:eastAsia="en-AU" w:bidi="ar-SA"/>
        </w:rPr>
        <w:t>cereal</w:t>
      </w:r>
      <w:r w:rsidR="001C761E">
        <w:rPr>
          <w:lang w:eastAsia="en-AU" w:bidi="ar-SA"/>
        </w:rPr>
        <w:t>s</w:t>
      </w:r>
      <w:r w:rsidRPr="00C64AA3">
        <w:rPr>
          <w:lang w:eastAsia="en-AU" w:bidi="ar-SA"/>
        </w:rPr>
        <w:t xml:space="preserve"> currently contain no appreciable vitamin D or 25OHD content from </w:t>
      </w:r>
      <w:r>
        <w:rPr>
          <w:lang w:eastAsia="en-AU" w:bidi="ar-SA"/>
        </w:rPr>
        <w:t>their</w:t>
      </w:r>
      <w:r w:rsidRPr="00C64AA3">
        <w:rPr>
          <w:lang w:eastAsia="en-AU" w:bidi="ar-SA"/>
        </w:rPr>
        <w:t xml:space="preserve"> ingredients. The Applicant</w:t>
      </w:r>
      <w:r>
        <w:rPr>
          <w:lang w:eastAsia="en-AU" w:bidi="ar-SA"/>
        </w:rPr>
        <w:t xml:space="preserve"> has</w:t>
      </w:r>
      <w:r w:rsidRPr="00C64AA3">
        <w:rPr>
          <w:lang w:eastAsia="en-AU" w:bidi="ar-SA"/>
        </w:rPr>
        <w:t xml:space="preserve"> requested fortification of breakfast </w:t>
      </w:r>
      <w:r w:rsidR="001C761E">
        <w:rPr>
          <w:lang w:eastAsia="en-AU" w:bidi="ar-SA"/>
        </w:rPr>
        <w:t>cereal</w:t>
      </w:r>
      <w:r>
        <w:rPr>
          <w:lang w:eastAsia="en-AU" w:bidi="ar-SA"/>
        </w:rPr>
        <w:t>s</w:t>
      </w:r>
      <w:r w:rsidRPr="00C64AA3">
        <w:rPr>
          <w:lang w:eastAsia="en-AU" w:bidi="ar-SA"/>
        </w:rPr>
        <w:t xml:space="preserve"> with vitamin D (as D</w:t>
      </w:r>
      <w:r w:rsidRPr="00C64AA3">
        <w:rPr>
          <w:vertAlign w:val="subscript"/>
          <w:lang w:eastAsia="en-AU" w:bidi="ar-SA"/>
        </w:rPr>
        <w:t>3</w:t>
      </w:r>
      <w:r w:rsidRPr="00C64AA3">
        <w:rPr>
          <w:lang w:eastAsia="en-AU" w:bidi="ar-SA"/>
        </w:rPr>
        <w:t>) to</w:t>
      </w:r>
      <w:r w:rsidRPr="00C10787">
        <w:rPr>
          <w:lang w:eastAsia="en-AU" w:bidi="ar-SA"/>
        </w:rPr>
        <w:t xml:space="preserve"> a maximum claim per reference quantity of 25% </w:t>
      </w:r>
      <w:r>
        <w:rPr>
          <w:lang w:eastAsia="en-AU" w:bidi="ar-SA"/>
        </w:rPr>
        <w:t xml:space="preserve">regulatory </w:t>
      </w:r>
      <w:r w:rsidRPr="00C10787">
        <w:rPr>
          <w:lang w:eastAsia="en-AU" w:bidi="ar-SA"/>
        </w:rPr>
        <w:t>RDI</w:t>
      </w:r>
      <w:r>
        <w:rPr>
          <w:lang w:eastAsia="en-AU" w:bidi="ar-SA"/>
        </w:rPr>
        <w:t xml:space="preserve"> (</w:t>
      </w:r>
      <w:r w:rsidRPr="00C10787">
        <w:rPr>
          <w:lang w:bidi="ar-SA"/>
        </w:rPr>
        <w:t>10 µg cholecalciferol</w:t>
      </w:r>
      <w:r>
        <w:rPr>
          <w:lang w:bidi="ar-SA"/>
        </w:rPr>
        <w:t>)</w:t>
      </w:r>
      <w:r w:rsidRPr="00C10787">
        <w:rPr>
          <w:lang w:bidi="ar-SA"/>
        </w:rPr>
        <w:t xml:space="preserve"> </w:t>
      </w:r>
      <w:r>
        <w:rPr>
          <w:lang w:bidi="ar-SA"/>
        </w:rPr>
        <w:t xml:space="preserve">as </w:t>
      </w:r>
      <w:r w:rsidRPr="00C10787">
        <w:rPr>
          <w:lang w:bidi="ar-SA"/>
        </w:rPr>
        <w:t xml:space="preserve">set out in the </w:t>
      </w:r>
      <w:r>
        <w:rPr>
          <w:lang w:eastAsia="en-AU" w:bidi="ar-SA"/>
        </w:rPr>
        <w:t>ANZFSC</w:t>
      </w:r>
      <w:r w:rsidRPr="00C10787">
        <w:rPr>
          <w:lang w:eastAsia="en-AU" w:bidi="ar-SA"/>
        </w:rPr>
        <w:t>.</w:t>
      </w:r>
      <w:r>
        <w:rPr>
          <w:lang w:eastAsia="en-AU" w:bidi="ar-SA"/>
        </w:rPr>
        <w:t xml:space="preserve"> However, t</w:t>
      </w:r>
      <w:r w:rsidRPr="00C10787">
        <w:rPr>
          <w:lang w:eastAsia="en-AU" w:bidi="ar-SA"/>
        </w:rPr>
        <w:t xml:space="preserve">he permitted forms of vitamin D for fortification in the </w:t>
      </w:r>
      <w:r>
        <w:rPr>
          <w:lang w:eastAsia="en-AU" w:bidi="ar-SA"/>
        </w:rPr>
        <w:t>ANZFSC</w:t>
      </w:r>
      <w:r w:rsidRPr="00C10787">
        <w:rPr>
          <w:lang w:eastAsia="en-AU" w:bidi="ar-SA"/>
        </w:rPr>
        <w:t xml:space="preserve"> are D</w:t>
      </w:r>
      <w:r w:rsidRPr="00D639E6">
        <w:rPr>
          <w:vertAlign w:val="subscript"/>
          <w:lang w:eastAsia="en-AU" w:bidi="ar-SA"/>
        </w:rPr>
        <w:t>2</w:t>
      </w:r>
      <w:r w:rsidRPr="00C10787">
        <w:rPr>
          <w:lang w:eastAsia="en-AU" w:bidi="ar-SA"/>
        </w:rPr>
        <w:t xml:space="preserve"> and D</w:t>
      </w:r>
      <w:r w:rsidRPr="00D639E6">
        <w:rPr>
          <w:vertAlign w:val="subscript"/>
          <w:lang w:eastAsia="en-AU" w:bidi="ar-SA"/>
        </w:rPr>
        <w:t>3</w:t>
      </w:r>
      <w:r w:rsidRPr="00C10787">
        <w:rPr>
          <w:lang w:eastAsia="en-AU" w:bidi="ar-SA"/>
        </w:rPr>
        <w:t>. Therefore</w:t>
      </w:r>
      <w:r w:rsidR="00E262C6">
        <w:rPr>
          <w:lang w:eastAsia="en-AU" w:bidi="ar-SA"/>
        </w:rPr>
        <w:t>,</w:t>
      </w:r>
      <w:r w:rsidRPr="00C10787">
        <w:rPr>
          <w:lang w:eastAsia="en-AU" w:bidi="ar-SA"/>
        </w:rPr>
        <w:t xml:space="preserve"> </w:t>
      </w:r>
      <w:r>
        <w:rPr>
          <w:lang w:eastAsia="en-AU" w:bidi="ar-SA"/>
        </w:rPr>
        <w:t xml:space="preserve">for the purpose of estimating vitamin D intakes from breakfast cereal, </w:t>
      </w:r>
      <w:r w:rsidRPr="00C10787">
        <w:rPr>
          <w:lang w:eastAsia="en-AU" w:bidi="ar-SA"/>
        </w:rPr>
        <w:t xml:space="preserve">the vitamin D content of breakfast cereal </w:t>
      </w:r>
      <w:r>
        <w:rPr>
          <w:lang w:eastAsia="en-AU" w:bidi="ar-SA"/>
        </w:rPr>
        <w:t>was taken to</w:t>
      </w:r>
      <w:r w:rsidRPr="00C10787">
        <w:rPr>
          <w:lang w:eastAsia="en-AU" w:bidi="ar-SA"/>
        </w:rPr>
        <w:t xml:space="preserve"> </w:t>
      </w:r>
      <w:r>
        <w:rPr>
          <w:lang w:eastAsia="en-AU" w:bidi="ar-SA"/>
        </w:rPr>
        <w:t xml:space="preserve">equal the sum of the amount of </w:t>
      </w:r>
      <w:r w:rsidRPr="00C10787">
        <w:rPr>
          <w:lang w:eastAsia="en-AU" w:bidi="ar-SA"/>
        </w:rPr>
        <w:t>D</w:t>
      </w:r>
      <w:r w:rsidRPr="00D639E6">
        <w:rPr>
          <w:vertAlign w:val="subscript"/>
          <w:lang w:eastAsia="en-AU" w:bidi="ar-SA"/>
        </w:rPr>
        <w:t>2</w:t>
      </w:r>
      <w:r>
        <w:rPr>
          <w:lang w:eastAsia="en-AU" w:bidi="ar-SA"/>
        </w:rPr>
        <w:t xml:space="preserve"> and </w:t>
      </w:r>
      <w:r w:rsidRPr="00C10787">
        <w:rPr>
          <w:lang w:eastAsia="en-AU" w:bidi="ar-SA"/>
        </w:rPr>
        <w:t>D</w:t>
      </w:r>
      <w:r w:rsidRPr="00D639E6">
        <w:rPr>
          <w:vertAlign w:val="subscript"/>
          <w:lang w:eastAsia="en-AU" w:bidi="ar-SA"/>
        </w:rPr>
        <w:t>3</w:t>
      </w:r>
      <w:r w:rsidRPr="00C10787">
        <w:rPr>
          <w:lang w:eastAsia="en-AU" w:bidi="ar-SA"/>
        </w:rPr>
        <w:t xml:space="preserve"> added as fortificants. </w:t>
      </w:r>
    </w:p>
    <w:p w14:paraId="25B5D823" w14:textId="77777777" w:rsidR="00DD5C9C" w:rsidRPr="00C10787" w:rsidRDefault="00DD5C9C" w:rsidP="003B5D42">
      <w:pPr>
        <w:autoSpaceDE w:val="0"/>
        <w:autoSpaceDN w:val="0"/>
        <w:adjustRightInd w:val="0"/>
        <w:rPr>
          <w:lang w:eastAsia="en-AU" w:bidi="ar-SA"/>
        </w:rPr>
      </w:pPr>
    </w:p>
    <w:p w14:paraId="7D541642" w14:textId="77777777" w:rsidR="00B62436" w:rsidRDefault="00B62436" w:rsidP="003B5D42">
      <w:pPr>
        <w:autoSpaceDE w:val="0"/>
        <w:autoSpaceDN w:val="0"/>
        <w:adjustRightInd w:val="0"/>
        <w:rPr>
          <w:lang w:eastAsia="en-AU" w:bidi="ar-SA"/>
        </w:rPr>
      </w:pPr>
      <w:r>
        <w:rPr>
          <w:lang w:eastAsia="en-AU" w:bidi="ar-SA"/>
        </w:rPr>
        <w:br w:type="page"/>
      </w:r>
    </w:p>
    <w:p w14:paraId="25B5D824" w14:textId="0E9B77EA" w:rsidR="00DD5C9C" w:rsidRDefault="00DD5C9C" w:rsidP="003B5D42">
      <w:pPr>
        <w:autoSpaceDE w:val="0"/>
        <w:autoSpaceDN w:val="0"/>
        <w:adjustRightInd w:val="0"/>
        <w:rPr>
          <w:lang w:eastAsia="en-AU" w:bidi="ar-SA"/>
        </w:rPr>
      </w:pPr>
      <w:r w:rsidRPr="00C10787">
        <w:rPr>
          <w:lang w:eastAsia="en-AU" w:bidi="ar-SA"/>
        </w:rPr>
        <w:lastRenderedPageBreak/>
        <w:t xml:space="preserve">For the purposes of Standard 1.3.2 </w:t>
      </w:r>
      <w:r>
        <w:rPr>
          <w:lang w:eastAsia="en-AU" w:bidi="ar-SA"/>
        </w:rPr>
        <w:t xml:space="preserve">– </w:t>
      </w:r>
      <w:r w:rsidRPr="00613C23">
        <w:rPr>
          <w:lang w:eastAsia="en-AU" w:bidi="ar-SA"/>
        </w:rPr>
        <w:t>Vitamins and Minerals,</w:t>
      </w:r>
      <w:r w:rsidRPr="00C10787">
        <w:rPr>
          <w:lang w:eastAsia="en-AU" w:bidi="ar-SA"/>
        </w:rPr>
        <w:t xml:space="preserve"> the reference quantity of breakfast cereal is a ‘normal serving’. Given the variability in weight of RTE breakfast </w:t>
      </w:r>
      <w:r>
        <w:rPr>
          <w:lang w:eastAsia="en-AU" w:bidi="ar-SA"/>
        </w:rPr>
        <w:t>cereal</w:t>
      </w:r>
      <w:r w:rsidRPr="00C10787">
        <w:rPr>
          <w:lang w:eastAsia="en-AU" w:bidi="ar-SA"/>
        </w:rPr>
        <w:t>, it is noted that a serving of a puffed, flaked or extruded type breakfast cereal can weigh approximately 30</w:t>
      </w:r>
      <w:r w:rsidRPr="00EB1FB9">
        <w:rPr>
          <w:lang w:eastAsia="en-AU" w:bidi="ar-SA"/>
        </w:rPr>
        <w:t>–</w:t>
      </w:r>
      <w:r w:rsidRPr="00C10787">
        <w:rPr>
          <w:lang w:eastAsia="en-AU" w:bidi="ar-SA"/>
        </w:rPr>
        <w:t xml:space="preserve">45 </w:t>
      </w:r>
      <w:r>
        <w:rPr>
          <w:lang w:eastAsia="en-AU" w:bidi="ar-SA"/>
        </w:rPr>
        <w:t>g</w:t>
      </w:r>
      <w:r w:rsidRPr="00C10787">
        <w:rPr>
          <w:lang w:eastAsia="en-AU" w:bidi="ar-SA"/>
        </w:rPr>
        <w:t xml:space="preserve">, </w:t>
      </w:r>
      <w:r>
        <w:rPr>
          <w:lang w:eastAsia="en-AU" w:bidi="ar-SA"/>
        </w:rPr>
        <w:t>whereas</w:t>
      </w:r>
      <w:r w:rsidRPr="00C10787">
        <w:rPr>
          <w:lang w:eastAsia="en-AU" w:bidi="ar-SA"/>
        </w:rPr>
        <w:t xml:space="preserve"> a serve of muesli style breakfast cereal can weigh approximately 60</w:t>
      </w:r>
      <w:r w:rsidRPr="00EB1FB9">
        <w:rPr>
          <w:lang w:eastAsia="en-AU" w:bidi="ar-SA"/>
        </w:rPr>
        <w:t>–</w:t>
      </w:r>
      <w:r w:rsidRPr="00C10787">
        <w:rPr>
          <w:lang w:eastAsia="en-AU" w:bidi="ar-SA"/>
        </w:rPr>
        <w:t xml:space="preserve">75 </w:t>
      </w:r>
      <w:r w:rsidRPr="00B27B93">
        <w:rPr>
          <w:lang w:eastAsia="en-AU" w:bidi="ar-SA"/>
        </w:rPr>
        <w:t xml:space="preserve">g </w:t>
      </w:r>
      <w:r>
        <w:rPr>
          <w:noProof/>
          <w:lang w:eastAsia="en-AU" w:bidi="ar-SA"/>
        </w:rPr>
        <w:t>(FSANZ 2014)</w:t>
      </w:r>
      <w:r>
        <w:rPr>
          <w:lang w:eastAsia="en-AU" w:bidi="ar-SA"/>
        </w:rPr>
        <w:t>.</w:t>
      </w:r>
    </w:p>
    <w:p w14:paraId="25B5D825" w14:textId="77777777" w:rsidR="00DD5C9C" w:rsidRPr="00C10787" w:rsidRDefault="00DD5C9C" w:rsidP="003B5D42">
      <w:pPr>
        <w:autoSpaceDE w:val="0"/>
        <w:autoSpaceDN w:val="0"/>
        <w:adjustRightInd w:val="0"/>
        <w:rPr>
          <w:lang w:eastAsia="en-AU" w:bidi="ar-SA"/>
        </w:rPr>
      </w:pPr>
    </w:p>
    <w:p w14:paraId="25B5D826" w14:textId="77777777" w:rsidR="00DD5C9C" w:rsidRPr="00C10787" w:rsidRDefault="00DD5C9C" w:rsidP="003B5D42">
      <w:pPr>
        <w:rPr>
          <w:lang w:eastAsia="en-AU" w:bidi="ar-SA"/>
        </w:rPr>
      </w:pPr>
      <w:r>
        <w:rPr>
          <w:lang w:eastAsia="en-AU" w:bidi="ar-SA"/>
        </w:rPr>
        <w:t>A</w:t>
      </w:r>
      <w:r w:rsidRPr="00C10787">
        <w:rPr>
          <w:lang w:eastAsia="en-AU" w:bidi="ar-SA"/>
        </w:rPr>
        <w:t xml:space="preserve"> concentration of 5</w:t>
      </w:r>
      <w:r>
        <w:rPr>
          <w:lang w:eastAsia="en-AU" w:bidi="ar-SA"/>
        </w:rPr>
        <w:t xml:space="preserve"> </w:t>
      </w:r>
      <w:r w:rsidRPr="00C10787">
        <w:rPr>
          <w:rFonts w:cs="Arial"/>
          <w:lang w:eastAsia="en-AU" w:bidi="ar-SA"/>
        </w:rPr>
        <w:t>µ</w:t>
      </w:r>
      <w:r w:rsidRPr="00C10787">
        <w:rPr>
          <w:lang w:eastAsia="en-AU" w:bidi="ar-SA"/>
        </w:rPr>
        <w:t>g per normal serv</w:t>
      </w:r>
      <w:r>
        <w:rPr>
          <w:lang w:eastAsia="en-AU" w:bidi="ar-SA"/>
        </w:rPr>
        <w:t>ing</w:t>
      </w:r>
      <w:r w:rsidRPr="00C10787">
        <w:rPr>
          <w:lang w:eastAsia="en-AU" w:bidi="ar-SA"/>
        </w:rPr>
        <w:t xml:space="preserve"> was assumed for the purposes of this </w:t>
      </w:r>
      <w:r>
        <w:rPr>
          <w:lang w:eastAsia="en-AU" w:bidi="ar-SA"/>
        </w:rPr>
        <w:t xml:space="preserve">nutrient intake </w:t>
      </w:r>
      <w:r w:rsidRPr="00C10787">
        <w:rPr>
          <w:lang w:eastAsia="en-AU" w:bidi="ar-SA"/>
        </w:rPr>
        <w:t>assessment, estimated as the approximate concentration of vitamin D expected to remain at the mid-point of the shelf life of the product (</w:t>
      </w:r>
      <w:r w:rsidRPr="00991711">
        <w:rPr>
          <w:lang w:eastAsia="en-AU" w:bidi="ar-SA"/>
        </w:rPr>
        <w:t>see Section 2.5). This</w:t>
      </w:r>
      <w:r w:rsidRPr="00C10787">
        <w:rPr>
          <w:lang w:eastAsia="en-AU" w:bidi="ar-SA"/>
        </w:rPr>
        <w:t xml:space="preserve"> assumption takes into account brand loyal consumers who always choose the same brand of potentially fortified RTE breakfast cereal, but may select the cereal at different points in its shelf life over time.</w:t>
      </w:r>
    </w:p>
    <w:p w14:paraId="25B5D827" w14:textId="77777777" w:rsidR="00DD5C9C" w:rsidRPr="00C10787" w:rsidRDefault="00DD5C9C" w:rsidP="003B5D42">
      <w:pPr>
        <w:autoSpaceDE w:val="0"/>
        <w:autoSpaceDN w:val="0"/>
        <w:adjustRightInd w:val="0"/>
        <w:rPr>
          <w:lang w:eastAsia="en-AU" w:bidi="ar-SA"/>
        </w:rPr>
      </w:pPr>
    </w:p>
    <w:p w14:paraId="25B5D828" w14:textId="77777777" w:rsidR="00DD5C9C" w:rsidRPr="00C10787" w:rsidRDefault="00DD5C9C" w:rsidP="003B5D42">
      <w:pPr>
        <w:autoSpaceDE w:val="0"/>
        <w:autoSpaceDN w:val="0"/>
        <w:adjustRightInd w:val="0"/>
        <w:rPr>
          <w:lang w:eastAsia="en-AU" w:bidi="ar-SA"/>
        </w:rPr>
      </w:pPr>
      <w:r w:rsidRPr="00C10787">
        <w:rPr>
          <w:lang w:eastAsia="en-AU" w:bidi="ar-SA"/>
        </w:rPr>
        <w:t>Using the lower end of the serve size range of 30 g</w:t>
      </w:r>
      <w:r>
        <w:rPr>
          <w:lang w:eastAsia="en-AU" w:bidi="ar-SA"/>
        </w:rPr>
        <w:t xml:space="preserve"> for RTE breakfast cereal</w:t>
      </w:r>
      <w:r w:rsidRPr="00C10787">
        <w:rPr>
          <w:lang w:eastAsia="en-AU" w:bidi="ar-SA"/>
        </w:rPr>
        <w:t>, and an average concentration of 5</w:t>
      </w:r>
      <w:r>
        <w:rPr>
          <w:lang w:eastAsia="en-AU" w:bidi="ar-SA"/>
        </w:rPr>
        <w:t xml:space="preserve"> </w:t>
      </w:r>
      <w:r w:rsidRPr="00C10787">
        <w:rPr>
          <w:rFonts w:cs="Arial"/>
          <w:lang w:eastAsia="en-AU" w:bidi="ar-SA"/>
        </w:rPr>
        <w:t>µ</w:t>
      </w:r>
      <w:r w:rsidRPr="00C10787">
        <w:rPr>
          <w:lang w:eastAsia="en-AU" w:bidi="ar-SA"/>
        </w:rPr>
        <w:t>g of vitamin D per serving result</w:t>
      </w:r>
      <w:r>
        <w:rPr>
          <w:lang w:eastAsia="en-AU" w:bidi="ar-SA"/>
        </w:rPr>
        <w:t>ed</w:t>
      </w:r>
      <w:r w:rsidRPr="00C10787">
        <w:rPr>
          <w:lang w:eastAsia="en-AU" w:bidi="ar-SA"/>
        </w:rPr>
        <w:t xml:space="preserve"> in a co</w:t>
      </w:r>
      <w:r>
        <w:rPr>
          <w:lang w:eastAsia="en-AU" w:bidi="ar-SA"/>
        </w:rPr>
        <w:t>ncentration of approximately 17 </w:t>
      </w:r>
      <w:r w:rsidRPr="00C10787">
        <w:rPr>
          <w:rFonts w:cs="Arial"/>
          <w:lang w:eastAsia="en-AU" w:bidi="ar-SA"/>
        </w:rPr>
        <w:t>µ</w:t>
      </w:r>
      <w:r w:rsidRPr="00C10787">
        <w:rPr>
          <w:lang w:eastAsia="en-AU" w:bidi="ar-SA"/>
        </w:rPr>
        <w:t>g</w:t>
      </w:r>
      <w:r w:rsidRPr="00C10787" w:rsidDel="00D705F0">
        <w:rPr>
          <w:lang w:eastAsia="en-AU" w:bidi="ar-SA"/>
        </w:rPr>
        <w:t xml:space="preserve"> </w:t>
      </w:r>
      <w:r w:rsidRPr="00C10787">
        <w:rPr>
          <w:lang w:eastAsia="en-AU" w:bidi="ar-SA"/>
        </w:rPr>
        <w:t>/100 g of breakfast cereal</w:t>
      </w:r>
      <w:r>
        <w:rPr>
          <w:lang w:eastAsia="en-AU" w:bidi="ar-SA"/>
        </w:rPr>
        <w:t xml:space="preserve">. This </w:t>
      </w:r>
      <w:r w:rsidRPr="00C10787">
        <w:rPr>
          <w:lang w:eastAsia="en-AU" w:bidi="ar-SA"/>
        </w:rPr>
        <w:t xml:space="preserve">is considered the </w:t>
      </w:r>
      <w:r>
        <w:rPr>
          <w:lang w:eastAsia="en-AU" w:bidi="ar-SA"/>
        </w:rPr>
        <w:t>most conservative approach</w:t>
      </w:r>
      <w:r w:rsidRPr="00C10787">
        <w:rPr>
          <w:lang w:eastAsia="en-AU" w:bidi="ar-SA"/>
        </w:rPr>
        <w:t xml:space="preserve"> for modelling purposes (</w:t>
      </w:r>
      <w:r>
        <w:rPr>
          <w:lang w:eastAsia="en-AU" w:bidi="ar-SA"/>
        </w:rPr>
        <w:t xml:space="preserve">high </w:t>
      </w:r>
      <w:r w:rsidRPr="00C10787">
        <w:rPr>
          <w:lang w:eastAsia="en-AU" w:bidi="ar-SA"/>
        </w:rPr>
        <w:t xml:space="preserve">concentration of vitamin D per serve for a brand loyal consumer). </w:t>
      </w:r>
    </w:p>
    <w:p w14:paraId="25B5D829" w14:textId="77777777" w:rsidR="00DD5C9C" w:rsidRPr="00967317" w:rsidRDefault="00DD5C9C" w:rsidP="003B5D42">
      <w:pPr>
        <w:pStyle w:val="Heading3"/>
      </w:pPr>
      <w:bookmarkStart w:id="35" w:name="_Toc406575704"/>
      <w:bookmarkEnd w:id="34"/>
      <w:r w:rsidRPr="00967317">
        <w:t>Results</w:t>
      </w:r>
      <w:bookmarkEnd w:id="35"/>
    </w:p>
    <w:p w14:paraId="25B5D82A" w14:textId="77777777" w:rsidR="00DD5C9C" w:rsidRPr="002233C5" w:rsidRDefault="00DD5C9C" w:rsidP="003B5D42">
      <w:pPr>
        <w:pStyle w:val="Heading4"/>
      </w:pPr>
      <w:r w:rsidRPr="002233C5">
        <w:t xml:space="preserve">Breakfast cereal consumption and potential </w:t>
      </w:r>
      <w:r>
        <w:t xml:space="preserve">vitamin D </w:t>
      </w:r>
      <w:r w:rsidRPr="002233C5">
        <w:t>intake from breakfast cereal</w:t>
      </w:r>
    </w:p>
    <w:p w14:paraId="25B5D82B" w14:textId="77777777" w:rsidR="00DD5C9C" w:rsidRDefault="00DD5C9C" w:rsidP="003B5D42">
      <w:pPr>
        <w:rPr>
          <w:rFonts w:eastAsia="Calibri"/>
          <w:szCs w:val="22"/>
          <w:lang w:bidi="ar-SA"/>
        </w:rPr>
      </w:pPr>
      <w:r>
        <w:rPr>
          <w:rFonts w:eastAsia="Calibri"/>
          <w:szCs w:val="22"/>
          <w:lang w:bidi="ar-SA"/>
        </w:rPr>
        <w:t xml:space="preserve">Four scenarios to predict vitamin D intakes from breakfast cereal were modelled based on: </w:t>
      </w:r>
    </w:p>
    <w:p w14:paraId="25B5D82C" w14:textId="77777777" w:rsidR="00DD5C9C" w:rsidRDefault="00DD5C9C" w:rsidP="003B5D42">
      <w:pPr>
        <w:rPr>
          <w:rFonts w:eastAsia="Calibri"/>
          <w:szCs w:val="22"/>
          <w:lang w:bidi="ar-SA"/>
        </w:rPr>
      </w:pPr>
    </w:p>
    <w:p w14:paraId="25B5D82D" w14:textId="77777777" w:rsidR="00DD5C9C" w:rsidRPr="00AA4DEF" w:rsidRDefault="00DD5C9C" w:rsidP="00C91549">
      <w:pPr>
        <w:pStyle w:val="FSBullet1"/>
        <w:numPr>
          <w:ilvl w:val="0"/>
          <w:numId w:val="33"/>
        </w:numPr>
        <w:ind w:left="567" w:hanging="567"/>
      </w:pPr>
      <w:r w:rsidRPr="00AA4DEF">
        <w:t>estimated mean RTE breakfast cereal consumption for consumers who always selects the same type of vitamin D fortified cereal (brand loyal model)</w:t>
      </w:r>
    </w:p>
    <w:p w14:paraId="25B5D82E" w14:textId="77777777" w:rsidR="00DD5C9C" w:rsidRPr="00AA4DEF" w:rsidRDefault="00DD5C9C" w:rsidP="00C91549">
      <w:pPr>
        <w:pStyle w:val="FSBullet1"/>
        <w:numPr>
          <w:ilvl w:val="0"/>
          <w:numId w:val="33"/>
        </w:numPr>
        <w:ind w:left="567" w:hanging="567"/>
      </w:pPr>
      <w:r w:rsidRPr="00AA4DEF">
        <w:t>estimated 90</w:t>
      </w:r>
      <w:r w:rsidRPr="00EB1FB9">
        <w:rPr>
          <w:vertAlign w:val="superscript"/>
        </w:rPr>
        <w:t>th</w:t>
      </w:r>
      <w:r w:rsidRPr="00AA4DEF">
        <w:t xml:space="preserve"> percentile RTE breakfast cereal consumption for consumers who always selects the same type of vitamin D fortified cereal (brand loyal model)</w:t>
      </w:r>
    </w:p>
    <w:p w14:paraId="25B5D82F" w14:textId="77777777" w:rsidR="00DD5C9C" w:rsidRPr="00AA4DEF" w:rsidRDefault="00DD5C9C" w:rsidP="00C91549">
      <w:pPr>
        <w:pStyle w:val="FSBullet1"/>
        <w:numPr>
          <w:ilvl w:val="0"/>
          <w:numId w:val="33"/>
        </w:numPr>
        <w:ind w:left="567" w:hanging="567"/>
      </w:pPr>
      <w:r w:rsidRPr="00AA4DEF">
        <w:t>estimated mean RTE breakfast cereal consumption for consumers who select various brands from the range of products in the market over time, some of which have added vitamin D (market share model)</w:t>
      </w:r>
    </w:p>
    <w:p w14:paraId="25B5D830" w14:textId="77777777" w:rsidR="00DD5C9C" w:rsidRPr="00AA4DEF" w:rsidRDefault="00DD5C9C" w:rsidP="00C91549">
      <w:pPr>
        <w:pStyle w:val="FSBullet1"/>
        <w:numPr>
          <w:ilvl w:val="0"/>
          <w:numId w:val="33"/>
        </w:numPr>
        <w:ind w:left="567" w:hanging="567"/>
      </w:pPr>
      <w:r w:rsidRPr="00AA4DEF">
        <w:t>estimated 90</w:t>
      </w:r>
      <w:r w:rsidRPr="001C3B18">
        <w:rPr>
          <w:vertAlign w:val="superscript"/>
        </w:rPr>
        <w:t>th</w:t>
      </w:r>
      <w:r w:rsidRPr="00AA4DEF">
        <w:t xml:space="preserve"> percentile RTE breakfast cereal consumption for consumers who select various brands (market share model). </w:t>
      </w:r>
    </w:p>
    <w:p w14:paraId="25B5D831" w14:textId="77777777" w:rsidR="00DD5C9C" w:rsidRPr="00F356A0" w:rsidRDefault="00DD5C9C" w:rsidP="003B5D42">
      <w:pPr>
        <w:pStyle w:val="ListParagraph"/>
        <w:rPr>
          <w:rFonts w:eastAsia="Calibri"/>
          <w:szCs w:val="22"/>
          <w:lang w:bidi="ar-SA"/>
        </w:rPr>
      </w:pPr>
    </w:p>
    <w:p w14:paraId="25B5D832" w14:textId="77777777" w:rsidR="00DD5C9C" w:rsidRDefault="00DD5C9C" w:rsidP="003B5D42">
      <w:pPr>
        <w:ind w:right="-472"/>
        <w:rPr>
          <w:lang w:bidi="ar-SA"/>
        </w:rPr>
      </w:pPr>
      <w:r w:rsidRPr="00C10787">
        <w:rPr>
          <w:lang w:bidi="ar-SA"/>
        </w:rPr>
        <w:t>The Applicant reported the permissions for voluntary vitamin D for</w:t>
      </w:r>
      <w:r>
        <w:rPr>
          <w:lang w:bidi="ar-SA"/>
        </w:rPr>
        <w:t xml:space="preserve">tification in other countries. </w:t>
      </w:r>
      <w:r w:rsidRPr="00C10787">
        <w:rPr>
          <w:lang w:bidi="ar-SA"/>
        </w:rPr>
        <w:t xml:space="preserve">The USA and Canada currently permit voluntary fortification of a range of foods with vitamin D, including breakfast </w:t>
      </w:r>
      <w:r>
        <w:rPr>
          <w:lang w:bidi="ar-SA"/>
        </w:rPr>
        <w:t>cereal</w:t>
      </w:r>
      <w:r w:rsidRPr="00C10787">
        <w:rPr>
          <w:lang w:bidi="ar-SA"/>
        </w:rPr>
        <w:t xml:space="preserve">, margarines, milk, milk products and milk analogues, grain products and pasta, fruit juices and drinks. Voluntary vitamin D fortification is permitted for all foods in the UK and EU (except unprocessed foods and alcoholic beverages) and a number of Asian countries. Uptake of this voluntary permission, or market share of </w:t>
      </w:r>
      <w:r>
        <w:rPr>
          <w:lang w:bidi="ar-SA"/>
        </w:rPr>
        <w:t>cereal</w:t>
      </w:r>
      <w:r w:rsidRPr="00C10787">
        <w:rPr>
          <w:lang w:bidi="ar-SA"/>
        </w:rPr>
        <w:t xml:space="preserve"> fortified with vitamin D, was estimated to range from approximately 7% for the EU, to 35% for the USA. </w:t>
      </w:r>
    </w:p>
    <w:p w14:paraId="25B5D833" w14:textId="77777777" w:rsidR="00DD5C9C" w:rsidRDefault="00DD5C9C" w:rsidP="003B5D42">
      <w:pPr>
        <w:ind w:right="-472"/>
        <w:rPr>
          <w:lang w:bidi="ar-SA"/>
        </w:rPr>
      </w:pPr>
    </w:p>
    <w:p w14:paraId="25B5D834" w14:textId="77777777" w:rsidR="00DD5C9C" w:rsidRDefault="00DD5C9C" w:rsidP="003B5D42">
      <w:pPr>
        <w:ind w:right="-472"/>
        <w:rPr>
          <w:lang w:bidi="ar-SA"/>
        </w:rPr>
      </w:pPr>
      <w:r>
        <w:rPr>
          <w:lang w:bidi="ar-SA"/>
        </w:rPr>
        <w:t xml:space="preserve">The maximum market share value of 35% was assumed for the market share model for the purposes of this assessment. </w:t>
      </w:r>
      <w:r w:rsidRPr="00C10787">
        <w:rPr>
          <w:lang w:bidi="ar-SA"/>
        </w:rPr>
        <w:t xml:space="preserve">This represents a scenario where 35% of RTE breakfast </w:t>
      </w:r>
      <w:r>
        <w:rPr>
          <w:lang w:bidi="ar-SA"/>
        </w:rPr>
        <w:t>cereal</w:t>
      </w:r>
      <w:r w:rsidRPr="00C10787">
        <w:rPr>
          <w:lang w:bidi="ar-SA"/>
        </w:rPr>
        <w:t xml:space="preserve"> are fortified with vitamin D and the concentration of vitamin D used in the model is reduced proportionally, representing the fact that consumers would select from a range of different fortified and unfortified </w:t>
      </w:r>
      <w:r>
        <w:rPr>
          <w:lang w:bidi="ar-SA"/>
        </w:rPr>
        <w:t>cereal</w:t>
      </w:r>
      <w:r w:rsidRPr="00C10787">
        <w:rPr>
          <w:lang w:bidi="ar-SA"/>
        </w:rPr>
        <w:t xml:space="preserve"> over time.</w:t>
      </w:r>
    </w:p>
    <w:p w14:paraId="25B5D835" w14:textId="77777777" w:rsidR="00DD5C9C" w:rsidRDefault="00DD5C9C" w:rsidP="003B5D42">
      <w:pPr>
        <w:ind w:right="-472"/>
        <w:rPr>
          <w:lang w:bidi="ar-SA"/>
        </w:rPr>
      </w:pPr>
    </w:p>
    <w:p w14:paraId="25B5D836" w14:textId="04145368" w:rsidR="00DD5C9C" w:rsidRPr="00C64AA3" w:rsidRDefault="00DD5C9C" w:rsidP="003B5D42">
      <w:pPr>
        <w:rPr>
          <w:i/>
          <w:lang w:bidi="ar-SA"/>
        </w:rPr>
      </w:pPr>
      <w:r w:rsidRPr="00C64AA3">
        <w:rPr>
          <w:i/>
          <w:lang w:bidi="ar-SA"/>
        </w:rPr>
        <w:t>Breakfast cereal consumption</w:t>
      </w:r>
    </w:p>
    <w:p w14:paraId="25B5D837" w14:textId="77777777" w:rsidR="00DD5C9C" w:rsidRDefault="00DD5C9C" w:rsidP="003B5D42">
      <w:pPr>
        <w:rPr>
          <w:lang w:bidi="ar-SA"/>
        </w:rPr>
      </w:pPr>
    </w:p>
    <w:p w14:paraId="62337A90" w14:textId="77777777" w:rsidR="00B62436" w:rsidRDefault="00DD5C9C" w:rsidP="003B5D42">
      <w:pPr>
        <w:rPr>
          <w:lang w:bidi="ar-SA"/>
        </w:rPr>
      </w:pPr>
      <w:r w:rsidRPr="00C10787">
        <w:rPr>
          <w:lang w:bidi="ar-SA"/>
        </w:rPr>
        <w:t>Estimated mean and 90</w:t>
      </w:r>
      <w:r w:rsidRPr="00C10787">
        <w:rPr>
          <w:vertAlign w:val="superscript"/>
          <w:lang w:bidi="ar-SA"/>
        </w:rPr>
        <w:t>th</w:t>
      </w:r>
      <w:r w:rsidRPr="00C10787">
        <w:rPr>
          <w:lang w:bidi="ar-SA"/>
        </w:rPr>
        <w:t xml:space="preserve"> percentile</w:t>
      </w:r>
      <w:r>
        <w:rPr>
          <w:lang w:bidi="ar-SA"/>
        </w:rPr>
        <w:t xml:space="preserve"> RTE</w:t>
      </w:r>
      <w:r w:rsidRPr="00C10787">
        <w:rPr>
          <w:lang w:bidi="ar-SA"/>
        </w:rPr>
        <w:t xml:space="preserve"> breakfast cereal consumption </w:t>
      </w:r>
      <w:r w:rsidRPr="00C64AA3">
        <w:rPr>
          <w:lang w:bidi="ar-SA"/>
        </w:rPr>
        <w:t>(Table 4)</w:t>
      </w:r>
      <w:r w:rsidRPr="00C10787">
        <w:rPr>
          <w:lang w:bidi="ar-SA"/>
        </w:rPr>
        <w:t xml:space="preserve"> was determined for each Australian and New Zealand population group assessed. The proportion of the population consuming RTE breakfast </w:t>
      </w:r>
      <w:r>
        <w:rPr>
          <w:lang w:bidi="ar-SA"/>
        </w:rPr>
        <w:t>cereal</w:t>
      </w:r>
      <w:r w:rsidRPr="00C10787">
        <w:rPr>
          <w:lang w:bidi="ar-SA"/>
        </w:rPr>
        <w:t xml:space="preserve"> appeared to decrease as age increased. </w:t>
      </w:r>
      <w:r w:rsidR="00B62436">
        <w:rPr>
          <w:lang w:bidi="ar-SA"/>
        </w:rPr>
        <w:br w:type="page"/>
      </w:r>
    </w:p>
    <w:p w14:paraId="25B5D838" w14:textId="082A84C0" w:rsidR="00DD5C9C" w:rsidRDefault="00DD5C9C" w:rsidP="003B5D42">
      <w:pPr>
        <w:rPr>
          <w:lang w:bidi="ar-SA"/>
        </w:rPr>
      </w:pPr>
      <w:r w:rsidRPr="00C10787">
        <w:rPr>
          <w:lang w:bidi="ar-SA"/>
        </w:rPr>
        <w:lastRenderedPageBreak/>
        <w:t xml:space="preserve">Each New Zealand population group assessed had a lower proportion of RTE breakfast cereal consumers than similar Australian population groups. </w:t>
      </w:r>
      <w:r>
        <w:rPr>
          <w:lang w:bidi="ar-SA"/>
        </w:rPr>
        <w:t xml:space="preserve">However, </w:t>
      </w:r>
      <w:r w:rsidRPr="00C10787">
        <w:rPr>
          <w:lang w:bidi="ar-SA"/>
        </w:rPr>
        <w:t>mean and 90</w:t>
      </w:r>
      <w:r w:rsidRPr="00C10787">
        <w:rPr>
          <w:vertAlign w:val="superscript"/>
          <w:lang w:bidi="ar-SA"/>
        </w:rPr>
        <w:t>th</w:t>
      </w:r>
      <w:r w:rsidRPr="00C10787">
        <w:rPr>
          <w:lang w:bidi="ar-SA"/>
        </w:rPr>
        <w:t xml:space="preserve"> percentile consumption of breakfast cereal increased as age increased for Australian and New Zealand children’s population groups</w:t>
      </w:r>
      <w:r>
        <w:rPr>
          <w:lang w:bidi="ar-SA"/>
        </w:rPr>
        <w:t xml:space="preserve"> because the quantity consumed per occasion increased</w:t>
      </w:r>
      <w:r w:rsidRPr="00C10787">
        <w:rPr>
          <w:lang w:bidi="ar-SA"/>
        </w:rPr>
        <w:t>. Australian children’s population groups appeared to have a slightly higher estimated mean consumption and similar 90</w:t>
      </w:r>
      <w:r w:rsidRPr="00C10787">
        <w:rPr>
          <w:vertAlign w:val="superscript"/>
          <w:lang w:bidi="ar-SA"/>
        </w:rPr>
        <w:t>th</w:t>
      </w:r>
      <w:r w:rsidRPr="00C10787">
        <w:rPr>
          <w:lang w:bidi="ar-SA"/>
        </w:rPr>
        <w:t xml:space="preserve"> percentile consumption of RTE breakfast </w:t>
      </w:r>
      <w:r>
        <w:rPr>
          <w:lang w:bidi="ar-SA"/>
        </w:rPr>
        <w:t>cereal</w:t>
      </w:r>
      <w:r w:rsidRPr="00C10787">
        <w:rPr>
          <w:lang w:bidi="ar-SA"/>
        </w:rPr>
        <w:t xml:space="preserve"> compared to similar New Zealand children’s population groups. New Zealanders aged 15 years and above had a </w:t>
      </w:r>
      <w:r>
        <w:rPr>
          <w:lang w:bidi="ar-SA"/>
        </w:rPr>
        <w:t xml:space="preserve">similar </w:t>
      </w:r>
      <w:r w:rsidRPr="00C10787">
        <w:rPr>
          <w:lang w:bidi="ar-SA"/>
        </w:rPr>
        <w:t>estimated consum</w:t>
      </w:r>
      <w:r>
        <w:rPr>
          <w:lang w:bidi="ar-SA"/>
        </w:rPr>
        <w:t>ption of RTE breakfast cereal compared to</w:t>
      </w:r>
      <w:r w:rsidRPr="00C10787">
        <w:rPr>
          <w:lang w:bidi="ar-SA"/>
        </w:rPr>
        <w:t xml:space="preserve"> Australian’s aged 17 years and above at both the mean and 90</w:t>
      </w:r>
      <w:r w:rsidRPr="00C10787">
        <w:rPr>
          <w:vertAlign w:val="superscript"/>
          <w:lang w:bidi="ar-SA"/>
        </w:rPr>
        <w:t>th</w:t>
      </w:r>
      <w:r w:rsidRPr="00C10787">
        <w:rPr>
          <w:lang w:bidi="ar-SA"/>
        </w:rPr>
        <w:t xml:space="preserve"> percentile. </w:t>
      </w:r>
    </w:p>
    <w:p w14:paraId="25B5D839" w14:textId="77777777" w:rsidR="00DD5C9C" w:rsidRDefault="00DD5C9C" w:rsidP="003B5D42">
      <w:pPr>
        <w:rPr>
          <w:lang w:bidi="ar-SA"/>
        </w:rPr>
      </w:pPr>
    </w:p>
    <w:p w14:paraId="25B5D83A" w14:textId="77777777" w:rsidR="00DD5C9C" w:rsidRPr="00F1441D" w:rsidRDefault="00DD5C9C" w:rsidP="00F45149">
      <w:pPr>
        <w:pStyle w:val="FSTableFigureHeading"/>
        <w:keepNext/>
        <w:keepLines/>
        <w:rPr>
          <w:i w:val="0"/>
        </w:rPr>
      </w:pPr>
      <w:r w:rsidRPr="00F1441D">
        <w:rPr>
          <w:i w:val="0"/>
        </w:rPr>
        <w:t>Table 4</w:t>
      </w:r>
      <w:r w:rsidRPr="00F1441D">
        <w:rPr>
          <w:i w:val="0"/>
        </w:rPr>
        <w:tab/>
        <w:t>Mean and 90</w:t>
      </w:r>
      <w:r w:rsidRPr="00F1441D">
        <w:rPr>
          <w:i w:val="0"/>
          <w:vertAlign w:val="superscript"/>
        </w:rPr>
        <w:t>th</w:t>
      </w:r>
      <w:r w:rsidRPr="00F1441D">
        <w:rPr>
          <w:i w:val="0"/>
        </w:rPr>
        <w:t xml:space="preserve"> percentile breakfast cereal consumption for ANZ population groups and predicted vitamin D intakes from RTE breakfast cereal, brand loyal consumer</w:t>
      </w:r>
    </w:p>
    <w:tbl>
      <w:tblPr>
        <w:tblStyle w:val="TableGrid1"/>
        <w:tblW w:w="9606" w:type="dxa"/>
        <w:tblLayout w:type="fixed"/>
        <w:tblLook w:val="04A0" w:firstRow="1" w:lastRow="0" w:firstColumn="1" w:lastColumn="0" w:noHBand="0" w:noVBand="1"/>
      </w:tblPr>
      <w:tblGrid>
        <w:gridCol w:w="1384"/>
        <w:gridCol w:w="1276"/>
        <w:gridCol w:w="1559"/>
        <w:gridCol w:w="1346"/>
        <w:gridCol w:w="1347"/>
        <w:gridCol w:w="1347"/>
        <w:gridCol w:w="1347"/>
      </w:tblGrid>
      <w:tr w:rsidR="00DD5C9C" w:rsidRPr="003238CF" w14:paraId="25B5D842" w14:textId="77777777" w:rsidTr="003B5D42">
        <w:trPr>
          <w:trHeight w:val="397"/>
        </w:trPr>
        <w:tc>
          <w:tcPr>
            <w:tcW w:w="1384" w:type="dxa"/>
            <w:vMerge w:val="restart"/>
            <w:noWrap/>
            <w:vAlign w:val="center"/>
          </w:tcPr>
          <w:p w14:paraId="25B5D83B" w14:textId="77777777" w:rsidR="00DD5C9C" w:rsidRPr="00501FF8" w:rsidRDefault="00DD5C9C" w:rsidP="00F45149">
            <w:pPr>
              <w:keepNext/>
              <w:keepLines/>
              <w:jc w:val="center"/>
              <w:rPr>
                <w:b/>
                <w:color w:val="000000"/>
                <w:sz w:val="18"/>
                <w:szCs w:val="18"/>
                <w:lang w:eastAsia="en-GB" w:bidi="ar-SA"/>
              </w:rPr>
            </w:pPr>
            <w:r w:rsidRPr="00501FF8">
              <w:rPr>
                <w:b/>
                <w:color w:val="000000"/>
                <w:sz w:val="18"/>
                <w:szCs w:val="18"/>
                <w:lang w:eastAsia="en-GB" w:bidi="ar-SA"/>
              </w:rPr>
              <w:t>National Nutrition Survey</w:t>
            </w:r>
          </w:p>
        </w:tc>
        <w:tc>
          <w:tcPr>
            <w:tcW w:w="1276" w:type="dxa"/>
            <w:vMerge w:val="restart"/>
            <w:vAlign w:val="center"/>
          </w:tcPr>
          <w:p w14:paraId="25B5D83C" w14:textId="77777777" w:rsidR="00DD5C9C" w:rsidRPr="00501FF8" w:rsidRDefault="00DD5C9C" w:rsidP="00F45149">
            <w:pPr>
              <w:keepNext/>
              <w:keepLines/>
              <w:jc w:val="center"/>
              <w:rPr>
                <w:b/>
                <w:color w:val="000000"/>
                <w:sz w:val="18"/>
                <w:szCs w:val="18"/>
                <w:lang w:eastAsia="en-GB" w:bidi="ar-SA"/>
              </w:rPr>
            </w:pPr>
            <w:r w:rsidRPr="00501FF8">
              <w:rPr>
                <w:b/>
                <w:color w:val="000000"/>
                <w:sz w:val="18"/>
                <w:szCs w:val="18"/>
                <w:lang w:eastAsia="en-GB" w:bidi="ar-SA"/>
              </w:rPr>
              <w:t>Population group</w:t>
            </w:r>
          </w:p>
        </w:tc>
        <w:tc>
          <w:tcPr>
            <w:tcW w:w="1559" w:type="dxa"/>
            <w:vMerge w:val="restart"/>
            <w:vAlign w:val="center"/>
          </w:tcPr>
          <w:p w14:paraId="25B5D83D" w14:textId="77777777" w:rsidR="00DD5C9C" w:rsidRPr="00501FF8" w:rsidRDefault="00DD5C9C" w:rsidP="00F45149">
            <w:pPr>
              <w:keepNext/>
              <w:keepLines/>
              <w:jc w:val="center"/>
              <w:rPr>
                <w:b/>
                <w:color w:val="000000"/>
                <w:sz w:val="18"/>
                <w:szCs w:val="18"/>
                <w:lang w:eastAsia="en-GB" w:bidi="ar-SA"/>
              </w:rPr>
            </w:pPr>
            <w:r w:rsidRPr="00501FF8">
              <w:rPr>
                <w:b/>
                <w:color w:val="000000"/>
                <w:sz w:val="18"/>
                <w:szCs w:val="18"/>
                <w:lang w:eastAsia="en-GB" w:bidi="ar-SA"/>
              </w:rPr>
              <w:t>% consumers to respondents</w:t>
            </w:r>
          </w:p>
        </w:tc>
        <w:tc>
          <w:tcPr>
            <w:tcW w:w="2693" w:type="dxa"/>
            <w:gridSpan w:val="2"/>
            <w:vAlign w:val="center"/>
          </w:tcPr>
          <w:p w14:paraId="25B5D83E" w14:textId="77777777" w:rsidR="00DD5C9C" w:rsidRPr="00501FF8" w:rsidRDefault="00DD5C9C" w:rsidP="00F45149">
            <w:pPr>
              <w:keepNext/>
              <w:keepLines/>
              <w:jc w:val="center"/>
              <w:rPr>
                <w:b/>
                <w:color w:val="000000"/>
                <w:sz w:val="18"/>
                <w:szCs w:val="18"/>
                <w:lang w:eastAsia="en-GB" w:bidi="ar-SA"/>
              </w:rPr>
            </w:pPr>
            <w:r w:rsidRPr="00501FF8">
              <w:rPr>
                <w:b/>
                <w:color w:val="000000"/>
                <w:sz w:val="18"/>
                <w:szCs w:val="18"/>
                <w:lang w:eastAsia="en-GB" w:bidi="ar-SA"/>
              </w:rPr>
              <w:t>RTE Breakfast cereal consumption</w:t>
            </w:r>
          </w:p>
          <w:p w14:paraId="25B5D83F" w14:textId="77777777" w:rsidR="00DD5C9C" w:rsidRPr="00501FF8" w:rsidRDefault="00DD5C9C" w:rsidP="00F45149">
            <w:pPr>
              <w:keepNext/>
              <w:keepLines/>
              <w:jc w:val="center"/>
              <w:rPr>
                <w:b/>
                <w:color w:val="000000"/>
                <w:sz w:val="18"/>
                <w:szCs w:val="18"/>
                <w:lang w:eastAsia="en-GB" w:bidi="ar-SA"/>
              </w:rPr>
            </w:pPr>
            <w:r w:rsidRPr="00501FF8">
              <w:rPr>
                <w:b/>
                <w:color w:val="000000"/>
                <w:sz w:val="18"/>
                <w:szCs w:val="18"/>
                <w:lang w:eastAsia="en-GB" w:bidi="ar-SA"/>
              </w:rPr>
              <w:t>(g/day)</w:t>
            </w:r>
          </w:p>
        </w:tc>
        <w:tc>
          <w:tcPr>
            <w:tcW w:w="2694" w:type="dxa"/>
            <w:gridSpan w:val="2"/>
            <w:vAlign w:val="center"/>
          </w:tcPr>
          <w:p w14:paraId="25B5D840" w14:textId="77777777" w:rsidR="00DD5C9C" w:rsidRPr="00501FF8" w:rsidRDefault="00DD5C9C" w:rsidP="00F45149">
            <w:pPr>
              <w:keepNext/>
              <w:keepLines/>
              <w:jc w:val="center"/>
              <w:rPr>
                <w:b/>
                <w:color w:val="000000"/>
                <w:sz w:val="18"/>
                <w:szCs w:val="18"/>
                <w:lang w:eastAsia="en-GB" w:bidi="ar-SA"/>
              </w:rPr>
            </w:pPr>
            <w:r w:rsidRPr="00501FF8">
              <w:rPr>
                <w:b/>
                <w:color w:val="000000"/>
                <w:sz w:val="18"/>
                <w:szCs w:val="18"/>
                <w:lang w:eastAsia="en-GB" w:bidi="ar-SA"/>
              </w:rPr>
              <w:t>Predicted intake of vitamin D from RTE breakfast cereal*</w:t>
            </w:r>
          </w:p>
          <w:p w14:paraId="25B5D841" w14:textId="77777777" w:rsidR="00DD5C9C" w:rsidRPr="00501FF8" w:rsidRDefault="00DD5C9C" w:rsidP="00F45149">
            <w:pPr>
              <w:keepNext/>
              <w:keepLines/>
              <w:jc w:val="center"/>
              <w:rPr>
                <w:b/>
                <w:color w:val="000000"/>
                <w:sz w:val="18"/>
                <w:szCs w:val="18"/>
                <w:lang w:eastAsia="en-GB" w:bidi="ar-SA"/>
              </w:rPr>
            </w:pPr>
            <w:r w:rsidRPr="00501FF8">
              <w:rPr>
                <w:b/>
                <w:color w:val="000000"/>
                <w:sz w:val="18"/>
                <w:szCs w:val="18"/>
                <w:lang w:eastAsia="en-GB" w:bidi="ar-SA"/>
              </w:rPr>
              <w:t>(µg/day)</w:t>
            </w:r>
          </w:p>
        </w:tc>
      </w:tr>
      <w:tr w:rsidR="00DD5C9C" w:rsidRPr="003238CF" w14:paraId="25B5D84A" w14:textId="77777777" w:rsidTr="003B5D42">
        <w:trPr>
          <w:trHeight w:val="340"/>
        </w:trPr>
        <w:tc>
          <w:tcPr>
            <w:tcW w:w="1384" w:type="dxa"/>
            <w:vMerge/>
            <w:noWrap/>
            <w:vAlign w:val="center"/>
            <w:hideMark/>
          </w:tcPr>
          <w:p w14:paraId="25B5D843" w14:textId="77777777" w:rsidR="00DD5C9C" w:rsidRPr="00501FF8" w:rsidRDefault="00DD5C9C" w:rsidP="00F45149">
            <w:pPr>
              <w:keepNext/>
              <w:keepLines/>
              <w:jc w:val="center"/>
              <w:rPr>
                <w:color w:val="000000"/>
                <w:sz w:val="18"/>
                <w:szCs w:val="18"/>
                <w:lang w:eastAsia="en-GB" w:bidi="ar-SA"/>
              </w:rPr>
            </w:pPr>
          </w:p>
        </w:tc>
        <w:tc>
          <w:tcPr>
            <w:tcW w:w="1276" w:type="dxa"/>
            <w:vMerge/>
            <w:noWrap/>
            <w:vAlign w:val="center"/>
            <w:hideMark/>
          </w:tcPr>
          <w:p w14:paraId="25B5D844" w14:textId="77777777" w:rsidR="00DD5C9C" w:rsidRPr="00501FF8" w:rsidRDefault="00DD5C9C" w:rsidP="00F45149">
            <w:pPr>
              <w:keepNext/>
              <w:keepLines/>
              <w:jc w:val="center"/>
              <w:rPr>
                <w:b/>
                <w:color w:val="000000"/>
                <w:sz w:val="18"/>
                <w:szCs w:val="18"/>
                <w:lang w:eastAsia="en-GB" w:bidi="ar-SA"/>
              </w:rPr>
            </w:pPr>
          </w:p>
        </w:tc>
        <w:tc>
          <w:tcPr>
            <w:tcW w:w="1559" w:type="dxa"/>
            <w:vMerge/>
            <w:vAlign w:val="center"/>
            <w:hideMark/>
          </w:tcPr>
          <w:p w14:paraId="25B5D845" w14:textId="77777777" w:rsidR="00DD5C9C" w:rsidRPr="00501FF8" w:rsidRDefault="00DD5C9C" w:rsidP="00F45149">
            <w:pPr>
              <w:keepNext/>
              <w:keepLines/>
              <w:jc w:val="center"/>
              <w:rPr>
                <w:b/>
                <w:color w:val="000000"/>
                <w:sz w:val="18"/>
                <w:szCs w:val="18"/>
                <w:lang w:eastAsia="en-GB" w:bidi="ar-SA"/>
              </w:rPr>
            </w:pPr>
          </w:p>
        </w:tc>
        <w:tc>
          <w:tcPr>
            <w:tcW w:w="1346" w:type="dxa"/>
            <w:noWrap/>
            <w:vAlign w:val="center"/>
            <w:hideMark/>
          </w:tcPr>
          <w:p w14:paraId="25B5D846" w14:textId="77777777" w:rsidR="00DD5C9C" w:rsidRPr="00501FF8" w:rsidRDefault="00DD5C9C" w:rsidP="00F45149">
            <w:pPr>
              <w:keepNext/>
              <w:keepLines/>
              <w:jc w:val="center"/>
              <w:rPr>
                <w:i/>
                <w:color w:val="000000"/>
                <w:sz w:val="18"/>
                <w:szCs w:val="18"/>
                <w:lang w:eastAsia="en-GB" w:bidi="ar-SA"/>
              </w:rPr>
            </w:pPr>
            <w:r w:rsidRPr="00501FF8">
              <w:rPr>
                <w:i/>
                <w:color w:val="000000"/>
                <w:sz w:val="18"/>
                <w:szCs w:val="18"/>
                <w:lang w:eastAsia="en-GB" w:bidi="ar-SA"/>
              </w:rPr>
              <w:t>Mean</w:t>
            </w:r>
          </w:p>
        </w:tc>
        <w:tc>
          <w:tcPr>
            <w:tcW w:w="1347" w:type="dxa"/>
            <w:noWrap/>
            <w:vAlign w:val="center"/>
            <w:hideMark/>
          </w:tcPr>
          <w:p w14:paraId="25B5D847" w14:textId="77777777" w:rsidR="00DD5C9C" w:rsidRPr="00501FF8" w:rsidRDefault="00DD5C9C" w:rsidP="00F45149">
            <w:pPr>
              <w:keepNext/>
              <w:keepLines/>
              <w:jc w:val="center"/>
              <w:rPr>
                <w:i/>
                <w:color w:val="000000"/>
                <w:sz w:val="18"/>
                <w:szCs w:val="18"/>
                <w:lang w:eastAsia="en-GB" w:bidi="ar-SA"/>
              </w:rPr>
            </w:pPr>
            <w:r w:rsidRPr="00501FF8">
              <w:rPr>
                <w:i/>
                <w:color w:val="000000"/>
                <w:sz w:val="18"/>
                <w:szCs w:val="18"/>
                <w:lang w:eastAsia="en-GB" w:bidi="ar-SA"/>
              </w:rPr>
              <w:t>P90</w:t>
            </w:r>
          </w:p>
        </w:tc>
        <w:tc>
          <w:tcPr>
            <w:tcW w:w="1347" w:type="dxa"/>
            <w:vAlign w:val="center"/>
          </w:tcPr>
          <w:p w14:paraId="25B5D848" w14:textId="77777777" w:rsidR="00DD5C9C" w:rsidRPr="00501FF8" w:rsidRDefault="00DD5C9C" w:rsidP="00F45149">
            <w:pPr>
              <w:keepNext/>
              <w:keepLines/>
              <w:jc w:val="center"/>
              <w:rPr>
                <w:i/>
                <w:color w:val="000000"/>
                <w:sz w:val="18"/>
                <w:szCs w:val="18"/>
                <w:lang w:eastAsia="en-GB" w:bidi="ar-SA"/>
              </w:rPr>
            </w:pPr>
            <w:r w:rsidRPr="00501FF8">
              <w:rPr>
                <w:i/>
                <w:color w:val="000000"/>
                <w:sz w:val="18"/>
                <w:szCs w:val="18"/>
                <w:lang w:eastAsia="en-GB" w:bidi="ar-SA"/>
              </w:rPr>
              <w:t>Mean</w:t>
            </w:r>
          </w:p>
        </w:tc>
        <w:tc>
          <w:tcPr>
            <w:tcW w:w="1347" w:type="dxa"/>
            <w:vAlign w:val="center"/>
          </w:tcPr>
          <w:p w14:paraId="25B5D849" w14:textId="77777777" w:rsidR="00DD5C9C" w:rsidRPr="00501FF8" w:rsidRDefault="00DD5C9C" w:rsidP="00F45149">
            <w:pPr>
              <w:keepNext/>
              <w:keepLines/>
              <w:jc w:val="center"/>
              <w:rPr>
                <w:i/>
                <w:color w:val="000000"/>
                <w:sz w:val="18"/>
                <w:szCs w:val="18"/>
                <w:lang w:eastAsia="en-GB" w:bidi="ar-SA"/>
              </w:rPr>
            </w:pPr>
            <w:r w:rsidRPr="00501FF8">
              <w:rPr>
                <w:i/>
                <w:color w:val="000000"/>
                <w:sz w:val="18"/>
                <w:szCs w:val="18"/>
                <w:lang w:eastAsia="en-GB" w:bidi="ar-SA"/>
              </w:rPr>
              <w:t>P90</w:t>
            </w:r>
          </w:p>
        </w:tc>
      </w:tr>
      <w:tr w:rsidR="00DD5C9C" w:rsidRPr="003238CF" w14:paraId="25B5D852" w14:textId="77777777" w:rsidTr="003B5D42">
        <w:trPr>
          <w:trHeight w:val="397"/>
        </w:trPr>
        <w:tc>
          <w:tcPr>
            <w:tcW w:w="1384" w:type="dxa"/>
            <w:vMerge w:val="restart"/>
            <w:noWrap/>
            <w:vAlign w:val="center"/>
          </w:tcPr>
          <w:p w14:paraId="25B5D84B" w14:textId="77777777" w:rsidR="00DD5C9C" w:rsidRPr="00501FF8" w:rsidRDefault="00DD5C9C" w:rsidP="00F45149">
            <w:pPr>
              <w:keepNext/>
              <w:keepLines/>
              <w:rPr>
                <w:color w:val="000000"/>
                <w:sz w:val="18"/>
                <w:szCs w:val="18"/>
                <w:lang w:eastAsia="en-GB" w:bidi="ar-SA"/>
              </w:rPr>
            </w:pPr>
            <w:r w:rsidRPr="00501FF8">
              <w:rPr>
                <w:color w:val="000000"/>
                <w:sz w:val="18"/>
                <w:szCs w:val="18"/>
                <w:lang w:eastAsia="en-GB" w:bidi="ar-SA"/>
              </w:rPr>
              <w:t>2007 ANCNPAS^</w:t>
            </w:r>
          </w:p>
        </w:tc>
        <w:tc>
          <w:tcPr>
            <w:tcW w:w="1276" w:type="dxa"/>
            <w:noWrap/>
            <w:vAlign w:val="center"/>
            <w:hideMark/>
          </w:tcPr>
          <w:p w14:paraId="25B5D84C" w14:textId="77777777" w:rsidR="00DD5C9C" w:rsidRPr="00501FF8" w:rsidRDefault="00DD5C9C" w:rsidP="00F45149">
            <w:pPr>
              <w:keepNext/>
              <w:keepLines/>
              <w:rPr>
                <w:bCs/>
                <w:color w:val="000000"/>
                <w:sz w:val="18"/>
                <w:szCs w:val="18"/>
                <w:lang w:eastAsia="en-GB" w:bidi="ar-SA"/>
              </w:rPr>
            </w:pPr>
            <w:r w:rsidRPr="00501FF8">
              <w:rPr>
                <w:bCs/>
                <w:color w:val="000000"/>
                <w:sz w:val="18"/>
                <w:szCs w:val="18"/>
                <w:lang w:eastAsia="en-GB" w:bidi="ar-SA"/>
              </w:rPr>
              <w:t xml:space="preserve">2–3 </w:t>
            </w:r>
            <w:r w:rsidRPr="00501FF8">
              <w:rPr>
                <w:color w:val="000000"/>
                <w:sz w:val="18"/>
                <w:szCs w:val="18"/>
                <w:lang w:eastAsia="en-GB" w:bidi="ar-SA"/>
              </w:rPr>
              <w:t>years</w:t>
            </w:r>
          </w:p>
        </w:tc>
        <w:tc>
          <w:tcPr>
            <w:tcW w:w="1559" w:type="dxa"/>
            <w:vAlign w:val="center"/>
            <w:hideMark/>
          </w:tcPr>
          <w:p w14:paraId="25B5D84D"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76</w:t>
            </w:r>
          </w:p>
        </w:tc>
        <w:tc>
          <w:tcPr>
            <w:tcW w:w="1346" w:type="dxa"/>
            <w:vAlign w:val="center"/>
            <w:hideMark/>
          </w:tcPr>
          <w:p w14:paraId="25B5D84E"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26</w:t>
            </w:r>
          </w:p>
        </w:tc>
        <w:tc>
          <w:tcPr>
            <w:tcW w:w="1347" w:type="dxa"/>
            <w:vAlign w:val="center"/>
            <w:hideMark/>
          </w:tcPr>
          <w:p w14:paraId="25B5D84F"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45</w:t>
            </w:r>
          </w:p>
        </w:tc>
        <w:tc>
          <w:tcPr>
            <w:tcW w:w="1347" w:type="dxa"/>
            <w:vAlign w:val="center"/>
          </w:tcPr>
          <w:p w14:paraId="25B5D850"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4.4</w:t>
            </w:r>
          </w:p>
        </w:tc>
        <w:tc>
          <w:tcPr>
            <w:tcW w:w="1347" w:type="dxa"/>
            <w:vAlign w:val="center"/>
          </w:tcPr>
          <w:p w14:paraId="25B5D851"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7.7</w:t>
            </w:r>
          </w:p>
        </w:tc>
      </w:tr>
      <w:tr w:rsidR="00DD5C9C" w:rsidRPr="003238CF" w14:paraId="25B5D85A" w14:textId="77777777" w:rsidTr="003B5D42">
        <w:trPr>
          <w:trHeight w:val="397"/>
        </w:trPr>
        <w:tc>
          <w:tcPr>
            <w:tcW w:w="1384" w:type="dxa"/>
            <w:vMerge/>
            <w:noWrap/>
            <w:vAlign w:val="center"/>
          </w:tcPr>
          <w:p w14:paraId="25B5D853" w14:textId="77777777" w:rsidR="00DD5C9C" w:rsidRPr="00501FF8" w:rsidRDefault="00DD5C9C" w:rsidP="00F45149">
            <w:pPr>
              <w:keepNext/>
              <w:keepLines/>
              <w:rPr>
                <w:color w:val="000000"/>
                <w:sz w:val="18"/>
                <w:szCs w:val="18"/>
                <w:lang w:eastAsia="en-GB" w:bidi="ar-SA"/>
              </w:rPr>
            </w:pPr>
          </w:p>
        </w:tc>
        <w:tc>
          <w:tcPr>
            <w:tcW w:w="1276" w:type="dxa"/>
            <w:noWrap/>
            <w:vAlign w:val="center"/>
            <w:hideMark/>
          </w:tcPr>
          <w:p w14:paraId="25B5D854" w14:textId="77777777" w:rsidR="00DD5C9C" w:rsidRPr="00501FF8" w:rsidRDefault="00DD5C9C" w:rsidP="00F45149">
            <w:pPr>
              <w:keepNext/>
              <w:keepLines/>
              <w:rPr>
                <w:bCs/>
                <w:color w:val="000000"/>
                <w:sz w:val="18"/>
                <w:szCs w:val="18"/>
                <w:lang w:eastAsia="en-GB" w:bidi="ar-SA"/>
              </w:rPr>
            </w:pPr>
            <w:r w:rsidRPr="00501FF8">
              <w:rPr>
                <w:bCs/>
                <w:color w:val="000000"/>
                <w:sz w:val="18"/>
                <w:szCs w:val="18"/>
                <w:lang w:eastAsia="en-GB" w:bidi="ar-SA"/>
              </w:rPr>
              <w:t xml:space="preserve">4–8 </w:t>
            </w:r>
            <w:r w:rsidRPr="00501FF8">
              <w:rPr>
                <w:color w:val="000000"/>
                <w:sz w:val="18"/>
                <w:szCs w:val="18"/>
                <w:lang w:eastAsia="en-GB" w:bidi="ar-SA"/>
              </w:rPr>
              <w:t>years</w:t>
            </w:r>
          </w:p>
        </w:tc>
        <w:tc>
          <w:tcPr>
            <w:tcW w:w="1559" w:type="dxa"/>
            <w:vAlign w:val="center"/>
            <w:hideMark/>
          </w:tcPr>
          <w:p w14:paraId="25B5D855"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71</w:t>
            </w:r>
          </w:p>
        </w:tc>
        <w:tc>
          <w:tcPr>
            <w:tcW w:w="1346" w:type="dxa"/>
            <w:vAlign w:val="center"/>
            <w:hideMark/>
          </w:tcPr>
          <w:p w14:paraId="25B5D856"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31</w:t>
            </w:r>
          </w:p>
        </w:tc>
        <w:tc>
          <w:tcPr>
            <w:tcW w:w="1347" w:type="dxa"/>
            <w:vAlign w:val="center"/>
            <w:hideMark/>
          </w:tcPr>
          <w:p w14:paraId="25B5D857"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56</w:t>
            </w:r>
          </w:p>
        </w:tc>
        <w:tc>
          <w:tcPr>
            <w:tcW w:w="1347" w:type="dxa"/>
            <w:vAlign w:val="center"/>
          </w:tcPr>
          <w:p w14:paraId="25B5D858"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5.3</w:t>
            </w:r>
          </w:p>
        </w:tc>
        <w:tc>
          <w:tcPr>
            <w:tcW w:w="1347" w:type="dxa"/>
            <w:vAlign w:val="center"/>
          </w:tcPr>
          <w:p w14:paraId="25B5D859"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9.4</w:t>
            </w:r>
          </w:p>
        </w:tc>
      </w:tr>
      <w:tr w:rsidR="00DD5C9C" w:rsidRPr="003238CF" w14:paraId="25B5D862" w14:textId="77777777" w:rsidTr="003B5D42">
        <w:trPr>
          <w:trHeight w:val="397"/>
        </w:trPr>
        <w:tc>
          <w:tcPr>
            <w:tcW w:w="1384" w:type="dxa"/>
            <w:vMerge/>
            <w:noWrap/>
            <w:vAlign w:val="center"/>
          </w:tcPr>
          <w:p w14:paraId="25B5D85B" w14:textId="77777777" w:rsidR="00DD5C9C" w:rsidRPr="00501FF8" w:rsidRDefault="00DD5C9C" w:rsidP="00F45149">
            <w:pPr>
              <w:keepNext/>
              <w:keepLines/>
              <w:rPr>
                <w:color w:val="000000"/>
                <w:sz w:val="18"/>
                <w:szCs w:val="18"/>
                <w:lang w:eastAsia="en-GB" w:bidi="ar-SA"/>
              </w:rPr>
            </w:pPr>
          </w:p>
        </w:tc>
        <w:tc>
          <w:tcPr>
            <w:tcW w:w="1276" w:type="dxa"/>
            <w:noWrap/>
            <w:vAlign w:val="center"/>
            <w:hideMark/>
          </w:tcPr>
          <w:p w14:paraId="25B5D85C" w14:textId="77777777" w:rsidR="00DD5C9C" w:rsidRPr="00501FF8" w:rsidRDefault="00DD5C9C" w:rsidP="00F45149">
            <w:pPr>
              <w:keepNext/>
              <w:keepLines/>
              <w:rPr>
                <w:bCs/>
                <w:color w:val="000000"/>
                <w:sz w:val="18"/>
                <w:szCs w:val="18"/>
                <w:lang w:eastAsia="en-GB" w:bidi="ar-SA"/>
              </w:rPr>
            </w:pPr>
            <w:r w:rsidRPr="00501FF8">
              <w:rPr>
                <w:bCs/>
                <w:color w:val="000000"/>
                <w:sz w:val="18"/>
                <w:szCs w:val="18"/>
                <w:lang w:eastAsia="en-GB" w:bidi="ar-SA"/>
              </w:rPr>
              <w:t xml:space="preserve">9–13 </w:t>
            </w:r>
            <w:r w:rsidRPr="00501FF8">
              <w:rPr>
                <w:color w:val="000000"/>
                <w:sz w:val="18"/>
                <w:szCs w:val="18"/>
                <w:lang w:eastAsia="en-GB" w:bidi="ar-SA"/>
              </w:rPr>
              <w:t>years</w:t>
            </w:r>
          </w:p>
        </w:tc>
        <w:tc>
          <w:tcPr>
            <w:tcW w:w="1559" w:type="dxa"/>
            <w:vAlign w:val="center"/>
            <w:hideMark/>
          </w:tcPr>
          <w:p w14:paraId="25B5D85D"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63</w:t>
            </w:r>
          </w:p>
        </w:tc>
        <w:tc>
          <w:tcPr>
            <w:tcW w:w="1346" w:type="dxa"/>
            <w:vAlign w:val="center"/>
            <w:hideMark/>
          </w:tcPr>
          <w:p w14:paraId="25B5D85E"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42</w:t>
            </w:r>
          </w:p>
        </w:tc>
        <w:tc>
          <w:tcPr>
            <w:tcW w:w="1347" w:type="dxa"/>
            <w:vAlign w:val="center"/>
            <w:hideMark/>
          </w:tcPr>
          <w:p w14:paraId="25B5D85F"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75</w:t>
            </w:r>
          </w:p>
        </w:tc>
        <w:tc>
          <w:tcPr>
            <w:tcW w:w="1347" w:type="dxa"/>
            <w:vAlign w:val="center"/>
          </w:tcPr>
          <w:p w14:paraId="25B5D860"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7.2</w:t>
            </w:r>
          </w:p>
        </w:tc>
        <w:tc>
          <w:tcPr>
            <w:tcW w:w="1347" w:type="dxa"/>
            <w:vAlign w:val="center"/>
          </w:tcPr>
          <w:p w14:paraId="25B5D861"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12.8</w:t>
            </w:r>
          </w:p>
        </w:tc>
      </w:tr>
      <w:tr w:rsidR="00DD5C9C" w:rsidRPr="003238CF" w14:paraId="25B5D86A" w14:textId="77777777" w:rsidTr="003B5D42">
        <w:trPr>
          <w:trHeight w:val="397"/>
        </w:trPr>
        <w:tc>
          <w:tcPr>
            <w:tcW w:w="1384" w:type="dxa"/>
            <w:vMerge/>
            <w:noWrap/>
            <w:vAlign w:val="center"/>
          </w:tcPr>
          <w:p w14:paraId="25B5D863" w14:textId="77777777" w:rsidR="00DD5C9C" w:rsidRPr="00501FF8" w:rsidRDefault="00DD5C9C" w:rsidP="00F45149">
            <w:pPr>
              <w:keepNext/>
              <w:keepLines/>
              <w:rPr>
                <w:color w:val="000000"/>
                <w:sz w:val="18"/>
                <w:szCs w:val="18"/>
                <w:lang w:eastAsia="en-GB" w:bidi="ar-SA"/>
              </w:rPr>
            </w:pPr>
          </w:p>
        </w:tc>
        <w:tc>
          <w:tcPr>
            <w:tcW w:w="1276" w:type="dxa"/>
            <w:noWrap/>
            <w:vAlign w:val="center"/>
            <w:hideMark/>
          </w:tcPr>
          <w:p w14:paraId="25B5D864" w14:textId="77777777" w:rsidR="00DD5C9C" w:rsidRPr="00501FF8" w:rsidRDefault="00DD5C9C" w:rsidP="00F45149">
            <w:pPr>
              <w:keepNext/>
              <w:keepLines/>
              <w:rPr>
                <w:bCs/>
                <w:color w:val="000000"/>
                <w:sz w:val="18"/>
                <w:szCs w:val="18"/>
                <w:lang w:eastAsia="en-GB" w:bidi="ar-SA"/>
              </w:rPr>
            </w:pPr>
            <w:r w:rsidRPr="00501FF8">
              <w:rPr>
                <w:bCs/>
                <w:color w:val="000000"/>
                <w:sz w:val="18"/>
                <w:szCs w:val="18"/>
                <w:lang w:eastAsia="en-GB" w:bidi="ar-SA"/>
              </w:rPr>
              <w:t xml:space="preserve">14–16 </w:t>
            </w:r>
            <w:r w:rsidRPr="00501FF8">
              <w:rPr>
                <w:color w:val="000000"/>
                <w:sz w:val="18"/>
                <w:szCs w:val="18"/>
                <w:lang w:eastAsia="en-GB" w:bidi="ar-SA"/>
              </w:rPr>
              <w:t>years</w:t>
            </w:r>
          </w:p>
        </w:tc>
        <w:tc>
          <w:tcPr>
            <w:tcW w:w="1559" w:type="dxa"/>
            <w:vAlign w:val="center"/>
            <w:hideMark/>
          </w:tcPr>
          <w:p w14:paraId="25B5D865"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55</w:t>
            </w:r>
          </w:p>
        </w:tc>
        <w:tc>
          <w:tcPr>
            <w:tcW w:w="1346" w:type="dxa"/>
            <w:vAlign w:val="center"/>
            <w:hideMark/>
          </w:tcPr>
          <w:p w14:paraId="25B5D866"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52</w:t>
            </w:r>
          </w:p>
        </w:tc>
        <w:tc>
          <w:tcPr>
            <w:tcW w:w="1347" w:type="dxa"/>
            <w:vAlign w:val="center"/>
            <w:hideMark/>
          </w:tcPr>
          <w:p w14:paraId="25B5D867"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96</w:t>
            </w:r>
          </w:p>
        </w:tc>
        <w:tc>
          <w:tcPr>
            <w:tcW w:w="1347" w:type="dxa"/>
            <w:vAlign w:val="center"/>
          </w:tcPr>
          <w:p w14:paraId="25B5D868"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8.8</w:t>
            </w:r>
          </w:p>
        </w:tc>
        <w:tc>
          <w:tcPr>
            <w:tcW w:w="1347" w:type="dxa"/>
            <w:vAlign w:val="center"/>
          </w:tcPr>
          <w:p w14:paraId="25B5D869"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16.3</w:t>
            </w:r>
          </w:p>
        </w:tc>
      </w:tr>
      <w:tr w:rsidR="00DD5C9C" w:rsidRPr="003238CF" w14:paraId="25B5D872" w14:textId="77777777" w:rsidTr="003B5D42">
        <w:trPr>
          <w:trHeight w:val="397"/>
        </w:trPr>
        <w:tc>
          <w:tcPr>
            <w:tcW w:w="1384" w:type="dxa"/>
            <w:noWrap/>
            <w:vAlign w:val="center"/>
            <w:hideMark/>
          </w:tcPr>
          <w:p w14:paraId="25B5D86B" w14:textId="77777777" w:rsidR="00DD5C9C" w:rsidRPr="00501FF8" w:rsidRDefault="00DD5C9C" w:rsidP="00F45149">
            <w:pPr>
              <w:keepNext/>
              <w:keepLines/>
              <w:rPr>
                <w:color w:val="000000"/>
                <w:sz w:val="18"/>
                <w:szCs w:val="18"/>
                <w:lang w:eastAsia="en-GB" w:bidi="ar-SA"/>
              </w:rPr>
            </w:pPr>
            <w:r w:rsidRPr="00501FF8">
              <w:rPr>
                <w:color w:val="000000"/>
                <w:sz w:val="18"/>
                <w:szCs w:val="18"/>
                <w:lang w:eastAsia="en-GB" w:bidi="ar-SA"/>
              </w:rPr>
              <w:t xml:space="preserve">1995 </w:t>
            </w:r>
            <w:r>
              <w:rPr>
                <w:color w:val="000000"/>
                <w:sz w:val="18"/>
                <w:szCs w:val="18"/>
                <w:lang w:eastAsia="en-GB" w:bidi="ar-SA"/>
              </w:rPr>
              <w:t>A</w:t>
            </w:r>
            <w:r w:rsidRPr="00501FF8">
              <w:rPr>
                <w:color w:val="000000"/>
                <w:sz w:val="18"/>
                <w:szCs w:val="18"/>
                <w:lang w:eastAsia="en-GB" w:bidi="ar-SA"/>
              </w:rPr>
              <w:t>NNS</w:t>
            </w:r>
          </w:p>
        </w:tc>
        <w:tc>
          <w:tcPr>
            <w:tcW w:w="1276" w:type="dxa"/>
            <w:noWrap/>
            <w:vAlign w:val="center"/>
            <w:hideMark/>
          </w:tcPr>
          <w:p w14:paraId="25B5D86C" w14:textId="77777777" w:rsidR="00DD5C9C" w:rsidRPr="00501FF8" w:rsidRDefault="00DD5C9C" w:rsidP="00F45149">
            <w:pPr>
              <w:keepNext/>
              <w:keepLines/>
              <w:rPr>
                <w:bCs/>
                <w:color w:val="000000"/>
                <w:sz w:val="18"/>
                <w:szCs w:val="18"/>
                <w:lang w:eastAsia="en-GB" w:bidi="ar-SA"/>
              </w:rPr>
            </w:pPr>
            <w:r w:rsidRPr="00501FF8">
              <w:rPr>
                <w:bCs/>
                <w:color w:val="000000"/>
                <w:sz w:val="18"/>
                <w:szCs w:val="18"/>
                <w:lang w:eastAsia="en-GB" w:bidi="ar-SA"/>
              </w:rPr>
              <w:t xml:space="preserve">17 </w:t>
            </w:r>
            <w:r w:rsidRPr="00501FF8">
              <w:rPr>
                <w:color w:val="000000"/>
                <w:sz w:val="18"/>
                <w:szCs w:val="18"/>
                <w:lang w:eastAsia="en-GB" w:bidi="ar-SA"/>
              </w:rPr>
              <w:t>years</w:t>
            </w:r>
            <w:r w:rsidRPr="00501FF8">
              <w:rPr>
                <w:bCs/>
                <w:color w:val="000000"/>
                <w:sz w:val="18"/>
                <w:szCs w:val="18"/>
                <w:lang w:eastAsia="en-GB" w:bidi="ar-SA"/>
              </w:rPr>
              <w:t xml:space="preserve"> &amp; above</w:t>
            </w:r>
          </w:p>
        </w:tc>
        <w:tc>
          <w:tcPr>
            <w:tcW w:w="1559" w:type="dxa"/>
            <w:vAlign w:val="center"/>
            <w:hideMark/>
          </w:tcPr>
          <w:p w14:paraId="25B5D86D"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41</w:t>
            </w:r>
          </w:p>
        </w:tc>
        <w:tc>
          <w:tcPr>
            <w:tcW w:w="1346" w:type="dxa"/>
            <w:vAlign w:val="center"/>
            <w:hideMark/>
          </w:tcPr>
          <w:p w14:paraId="25B5D86E"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58</w:t>
            </w:r>
          </w:p>
        </w:tc>
        <w:tc>
          <w:tcPr>
            <w:tcW w:w="1347" w:type="dxa"/>
            <w:vAlign w:val="center"/>
            <w:hideMark/>
          </w:tcPr>
          <w:p w14:paraId="25B5D86F"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111</w:t>
            </w:r>
          </w:p>
        </w:tc>
        <w:tc>
          <w:tcPr>
            <w:tcW w:w="1347" w:type="dxa"/>
            <w:vAlign w:val="center"/>
          </w:tcPr>
          <w:p w14:paraId="25B5D870"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9.9</w:t>
            </w:r>
          </w:p>
        </w:tc>
        <w:tc>
          <w:tcPr>
            <w:tcW w:w="1347" w:type="dxa"/>
            <w:vAlign w:val="center"/>
          </w:tcPr>
          <w:p w14:paraId="25B5D871"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18.8</w:t>
            </w:r>
          </w:p>
        </w:tc>
      </w:tr>
      <w:tr w:rsidR="00DD5C9C" w:rsidRPr="003238CF" w14:paraId="25B5D87A" w14:textId="77777777" w:rsidTr="003B5D42">
        <w:trPr>
          <w:trHeight w:val="397"/>
        </w:trPr>
        <w:tc>
          <w:tcPr>
            <w:tcW w:w="1384" w:type="dxa"/>
            <w:vMerge w:val="restart"/>
            <w:noWrap/>
            <w:vAlign w:val="center"/>
            <w:hideMark/>
          </w:tcPr>
          <w:p w14:paraId="25B5D873" w14:textId="77777777" w:rsidR="00DD5C9C" w:rsidRPr="00501FF8" w:rsidRDefault="00DD5C9C" w:rsidP="00F45149">
            <w:pPr>
              <w:keepNext/>
              <w:keepLines/>
              <w:rPr>
                <w:color w:val="000000"/>
                <w:sz w:val="18"/>
                <w:szCs w:val="18"/>
                <w:lang w:eastAsia="en-GB" w:bidi="ar-SA"/>
              </w:rPr>
            </w:pPr>
            <w:r w:rsidRPr="00501FF8">
              <w:rPr>
                <w:color w:val="000000"/>
                <w:sz w:val="18"/>
                <w:szCs w:val="18"/>
                <w:lang w:eastAsia="en-GB" w:bidi="ar-SA"/>
              </w:rPr>
              <w:t>2002 NZ NCNS</w:t>
            </w:r>
          </w:p>
        </w:tc>
        <w:tc>
          <w:tcPr>
            <w:tcW w:w="1276" w:type="dxa"/>
            <w:vAlign w:val="center"/>
            <w:hideMark/>
          </w:tcPr>
          <w:p w14:paraId="25B5D874" w14:textId="77777777" w:rsidR="00DD5C9C" w:rsidRPr="00501FF8" w:rsidRDefault="00DD5C9C" w:rsidP="00F45149">
            <w:pPr>
              <w:keepNext/>
              <w:keepLines/>
              <w:rPr>
                <w:bCs/>
                <w:color w:val="000000"/>
                <w:sz w:val="18"/>
                <w:szCs w:val="18"/>
                <w:lang w:eastAsia="en-GB" w:bidi="ar-SA"/>
              </w:rPr>
            </w:pPr>
            <w:r w:rsidRPr="00501FF8">
              <w:rPr>
                <w:color w:val="000000"/>
                <w:sz w:val="18"/>
                <w:szCs w:val="18"/>
                <w:lang w:bidi="ar-SA"/>
              </w:rPr>
              <w:t>5–8 years</w:t>
            </w:r>
          </w:p>
        </w:tc>
        <w:tc>
          <w:tcPr>
            <w:tcW w:w="1559" w:type="dxa"/>
            <w:vAlign w:val="center"/>
            <w:hideMark/>
          </w:tcPr>
          <w:p w14:paraId="25B5D875"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56</w:t>
            </w:r>
          </w:p>
        </w:tc>
        <w:tc>
          <w:tcPr>
            <w:tcW w:w="1346" w:type="dxa"/>
            <w:vAlign w:val="center"/>
            <w:hideMark/>
          </w:tcPr>
          <w:p w14:paraId="25B5D876"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39</w:t>
            </w:r>
          </w:p>
        </w:tc>
        <w:tc>
          <w:tcPr>
            <w:tcW w:w="1347" w:type="dxa"/>
            <w:vAlign w:val="center"/>
            <w:hideMark/>
          </w:tcPr>
          <w:p w14:paraId="25B5D877"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60</w:t>
            </w:r>
          </w:p>
        </w:tc>
        <w:tc>
          <w:tcPr>
            <w:tcW w:w="1347" w:type="dxa"/>
            <w:vAlign w:val="center"/>
          </w:tcPr>
          <w:p w14:paraId="25B5D878"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6.6</w:t>
            </w:r>
          </w:p>
        </w:tc>
        <w:tc>
          <w:tcPr>
            <w:tcW w:w="1347" w:type="dxa"/>
            <w:vAlign w:val="center"/>
          </w:tcPr>
          <w:p w14:paraId="25B5D879"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10.2</w:t>
            </w:r>
          </w:p>
        </w:tc>
      </w:tr>
      <w:tr w:rsidR="00DD5C9C" w:rsidRPr="003238CF" w14:paraId="25B5D882" w14:textId="77777777" w:rsidTr="003B5D42">
        <w:trPr>
          <w:trHeight w:val="397"/>
        </w:trPr>
        <w:tc>
          <w:tcPr>
            <w:tcW w:w="1384" w:type="dxa"/>
            <w:vMerge/>
            <w:noWrap/>
            <w:vAlign w:val="center"/>
          </w:tcPr>
          <w:p w14:paraId="25B5D87B" w14:textId="77777777" w:rsidR="00DD5C9C" w:rsidRPr="00501FF8" w:rsidRDefault="00DD5C9C" w:rsidP="00F45149">
            <w:pPr>
              <w:keepNext/>
              <w:keepLines/>
              <w:rPr>
                <w:color w:val="000000"/>
                <w:sz w:val="18"/>
                <w:szCs w:val="18"/>
                <w:lang w:eastAsia="en-GB" w:bidi="ar-SA"/>
              </w:rPr>
            </w:pPr>
          </w:p>
        </w:tc>
        <w:tc>
          <w:tcPr>
            <w:tcW w:w="1276" w:type="dxa"/>
            <w:vAlign w:val="center"/>
          </w:tcPr>
          <w:p w14:paraId="25B5D87C" w14:textId="77777777" w:rsidR="00DD5C9C" w:rsidRPr="00501FF8" w:rsidRDefault="00DD5C9C" w:rsidP="00F45149">
            <w:pPr>
              <w:keepNext/>
              <w:keepLines/>
              <w:rPr>
                <w:bCs/>
                <w:color w:val="000000"/>
                <w:sz w:val="18"/>
                <w:szCs w:val="18"/>
                <w:lang w:eastAsia="en-GB" w:bidi="ar-SA"/>
              </w:rPr>
            </w:pPr>
            <w:r w:rsidRPr="00501FF8">
              <w:rPr>
                <w:color w:val="000000"/>
                <w:sz w:val="18"/>
                <w:szCs w:val="18"/>
                <w:lang w:bidi="ar-SA"/>
              </w:rPr>
              <w:t>9–13 years</w:t>
            </w:r>
          </w:p>
        </w:tc>
        <w:tc>
          <w:tcPr>
            <w:tcW w:w="1559" w:type="dxa"/>
            <w:vAlign w:val="center"/>
          </w:tcPr>
          <w:p w14:paraId="25B5D87D"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47</w:t>
            </w:r>
          </w:p>
        </w:tc>
        <w:tc>
          <w:tcPr>
            <w:tcW w:w="1346" w:type="dxa"/>
            <w:vAlign w:val="center"/>
          </w:tcPr>
          <w:p w14:paraId="25B5D87E"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47</w:t>
            </w:r>
          </w:p>
        </w:tc>
        <w:tc>
          <w:tcPr>
            <w:tcW w:w="1347" w:type="dxa"/>
            <w:vAlign w:val="center"/>
          </w:tcPr>
          <w:p w14:paraId="25B5D87F"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80</w:t>
            </w:r>
          </w:p>
        </w:tc>
        <w:tc>
          <w:tcPr>
            <w:tcW w:w="1347" w:type="dxa"/>
            <w:vAlign w:val="center"/>
          </w:tcPr>
          <w:p w14:paraId="25B5D880"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7.9</w:t>
            </w:r>
          </w:p>
        </w:tc>
        <w:tc>
          <w:tcPr>
            <w:tcW w:w="1347" w:type="dxa"/>
            <w:vAlign w:val="center"/>
          </w:tcPr>
          <w:p w14:paraId="25B5D881"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13.6</w:t>
            </w:r>
          </w:p>
        </w:tc>
      </w:tr>
      <w:tr w:rsidR="00DD5C9C" w:rsidRPr="003238CF" w14:paraId="25B5D88A" w14:textId="77777777" w:rsidTr="003B5D42">
        <w:trPr>
          <w:trHeight w:val="397"/>
        </w:trPr>
        <w:tc>
          <w:tcPr>
            <w:tcW w:w="1384" w:type="dxa"/>
            <w:vMerge/>
            <w:noWrap/>
            <w:vAlign w:val="center"/>
          </w:tcPr>
          <w:p w14:paraId="25B5D883" w14:textId="77777777" w:rsidR="00DD5C9C" w:rsidRPr="00501FF8" w:rsidRDefault="00DD5C9C" w:rsidP="00F45149">
            <w:pPr>
              <w:keepNext/>
              <w:keepLines/>
              <w:rPr>
                <w:color w:val="000000"/>
                <w:sz w:val="18"/>
                <w:szCs w:val="18"/>
                <w:lang w:eastAsia="en-GB" w:bidi="ar-SA"/>
              </w:rPr>
            </w:pPr>
          </w:p>
        </w:tc>
        <w:tc>
          <w:tcPr>
            <w:tcW w:w="1276" w:type="dxa"/>
            <w:vAlign w:val="center"/>
          </w:tcPr>
          <w:p w14:paraId="25B5D884" w14:textId="77777777" w:rsidR="00DD5C9C" w:rsidRPr="00501FF8" w:rsidRDefault="00DD5C9C" w:rsidP="00F45149">
            <w:pPr>
              <w:keepNext/>
              <w:keepLines/>
              <w:rPr>
                <w:bCs/>
                <w:color w:val="000000"/>
                <w:sz w:val="18"/>
                <w:szCs w:val="18"/>
                <w:lang w:eastAsia="en-GB" w:bidi="ar-SA"/>
              </w:rPr>
            </w:pPr>
            <w:r w:rsidRPr="00501FF8">
              <w:rPr>
                <w:color w:val="000000"/>
                <w:sz w:val="18"/>
                <w:szCs w:val="18"/>
                <w:lang w:bidi="ar-SA"/>
              </w:rPr>
              <w:t>14 years</w:t>
            </w:r>
          </w:p>
        </w:tc>
        <w:tc>
          <w:tcPr>
            <w:tcW w:w="1559" w:type="dxa"/>
            <w:vAlign w:val="center"/>
          </w:tcPr>
          <w:p w14:paraId="25B5D885"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40</w:t>
            </w:r>
          </w:p>
        </w:tc>
        <w:tc>
          <w:tcPr>
            <w:tcW w:w="1346" w:type="dxa"/>
            <w:vAlign w:val="center"/>
          </w:tcPr>
          <w:p w14:paraId="25B5D886"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59</w:t>
            </w:r>
          </w:p>
        </w:tc>
        <w:tc>
          <w:tcPr>
            <w:tcW w:w="1347" w:type="dxa"/>
            <w:vAlign w:val="center"/>
          </w:tcPr>
          <w:p w14:paraId="25B5D887"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90</w:t>
            </w:r>
          </w:p>
        </w:tc>
        <w:tc>
          <w:tcPr>
            <w:tcW w:w="1347" w:type="dxa"/>
            <w:vAlign w:val="center"/>
          </w:tcPr>
          <w:p w14:paraId="25B5D888"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10.0</w:t>
            </w:r>
          </w:p>
        </w:tc>
        <w:tc>
          <w:tcPr>
            <w:tcW w:w="1347" w:type="dxa"/>
            <w:vAlign w:val="center"/>
          </w:tcPr>
          <w:p w14:paraId="25B5D889"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15.3</w:t>
            </w:r>
          </w:p>
        </w:tc>
      </w:tr>
      <w:tr w:rsidR="00DD5C9C" w:rsidRPr="003238CF" w14:paraId="25B5D893" w14:textId="77777777" w:rsidTr="003B5D42">
        <w:trPr>
          <w:trHeight w:val="397"/>
        </w:trPr>
        <w:tc>
          <w:tcPr>
            <w:tcW w:w="1384" w:type="dxa"/>
            <w:noWrap/>
            <w:vAlign w:val="center"/>
          </w:tcPr>
          <w:p w14:paraId="25B5D88B" w14:textId="77777777" w:rsidR="00DD5C9C" w:rsidRPr="00501FF8" w:rsidRDefault="00DD5C9C" w:rsidP="00F45149">
            <w:pPr>
              <w:keepNext/>
              <w:keepLines/>
              <w:rPr>
                <w:color w:val="000000"/>
                <w:sz w:val="18"/>
                <w:szCs w:val="18"/>
                <w:lang w:eastAsia="en-GB" w:bidi="ar-SA"/>
              </w:rPr>
            </w:pPr>
            <w:r w:rsidRPr="00501FF8">
              <w:rPr>
                <w:color w:val="000000"/>
                <w:sz w:val="18"/>
                <w:szCs w:val="18"/>
                <w:lang w:eastAsia="en-GB" w:bidi="ar-SA"/>
              </w:rPr>
              <w:t>2008-09</w:t>
            </w:r>
          </w:p>
          <w:p w14:paraId="25B5D88C" w14:textId="77777777" w:rsidR="00DD5C9C" w:rsidRPr="00501FF8" w:rsidRDefault="00DD5C9C" w:rsidP="00F45149">
            <w:pPr>
              <w:keepNext/>
              <w:keepLines/>
              <w:rPr>
                <w:color w:val="000000"/>
                <w:sz w:val="18"/>
                <w:szCs w:val="18"/>
                <w:lang w:eastAsia="en-GB" w:bidi="ar-SA"/>
              </w:rPr>
            </w:pPr>
            <w:r w:rsidRPr="00501FF8">
              <w:rPr>
                <w:color w:val="000000"/>
                <w:sz w:val="18"/>
                <w:szCs w:val="18"/>
                <w:lang w:eastAsia="en-GB" w:bidi="ar-SA"/>
              </w:rPr>
              <w:t>NZ NNS</w:t>
            </w:r>
          </w:p>
        </w:tc>
        <w:tc>
          <w:tcPr>
            <w:tcW w:w="1276" w:type="dxa"/>
            <w:noWrap/>
            <w:vAlign w:val="center"/>
          </w:tcPr>
          <w:p w14:paraId="25B5D88D" w14:textId="77777777" w:rsidR="00DD5C9C" w:rsidRPr="00501FF8" w:rsidRDefault="00DD5C9C" w:rsidP="00F45149">
            <w:pPr>
              <w:keepNext/>
              <w:keepLines/>
              <w:rPr>
                <w:color w:val="000000"/>
                <w:sz w:val="18"/>
                <w:szCs w:val="18"/>
                <w:lang w:eastAsia="en-GB" w:bidi="ar-SA"/>
              </w:rPr>
            </w:pPr>
            <w:r w:rsidRPr="00501FF8">
              <w:rPr>
                <w:color w:val="000000"/>
                <w:sz w:val="18"/>
                <w:szCs w:val="18"/>
                <w:lang w:eastAsia="en-GB" w:bidi="ar-SA"/>
              </w:rPr>
              <w:t>15 years &amp; above</w:t>
            </w:r>
          </w:p>
        </w:tc>
        <w:tc>
          <w:tcPr>
            <w:tcW w:w="1559" w:type="dxa"/>
            <w:noWrap/>
            <w:vAlign w:val="center"/>
          </w:tcPr>
          <w:p w14:paraId="25B5D88E" w14:textId="77777777" w:rsidR="00DD5C9C" w:rsidRPr="00501FF8" w:rsidRDefault="00DD5C9C" w:rsidP="00F45149">
            <w:pPr>
              <w:keepNext/>
              <w:keepLines/>
              <w:jc w:val="center"/>
              <w:rPr>
                <w:color w:val="000000"/>
                <w:sz w:val="18"/>
                <w:szCs w:val="18"/>
                <w:lang w:eastAsia="en-GB" w:bidi="ar-SA"/>
              </w:rPr>
            </w:pPr>
            <w:r w:rsidRPr="00501FF8">
              <w:rPr>
                <w:color w:val="000000"/>
                <w:sz w:val="18"/>
                <w:szCs w:val="18"/>
                <w:lang w:eastAsia="en-GB" w:bidi="ar-SA"/>
              </w:rPr>
              <w:t>34</w:t>
            </w:r>
          </w:p>
        </w:tc>
        <w:tc>
          <w:tcPr>
            <w:tcW w:w="1346" w:type="dxa"/>
            <w:noWrap/>
            <w:vAlign w:val="center"/>
          </w:tcPr>
          <w:p w14:paraId="25B5D88F" w14:textId="77777777" w:rsidR="00DD5C9C" w:rsidRPr="00501FF8" w:rsidRDefault="00DD5C9C" w:rsidP="00F45149">
            <w:pPr>
              <w:keepNext/>
              <w:keepLines/>
              <w:jc w:val="center"/>
              <w:rPr>
                <w:color w:val="000000"/>
                <w:sz w:val="18"/>
                <w:szCs w:val="18"/>
                <w:lang w:eastAsia="en-GB" w:bidi="ar-SA"/>
              </w:rPr>
            </w:pPr>
            <w:r w:rsidRPr="00501FF8">
              <w:rPr>
                <w:color w:val="000000"/>
                <w:sz w:val="18"/>
                <w:szCs w:val="18"/>
                <w:lang w:eastAsia="en-GB" w:bidi="ar-SA"/>
              </w:rPr>
              <w:t>57</w:t>
            </w:r>
          </w:p>
        </w:tc>
        <w:tc>
          <w:tcPr>
            <w:tcW w:w="1347" w:type="dxa"/>
            <w:noWrap/>
            <w:vAlign w:val="center"/>
          </w:tcPr>
          <w:p w14:paraId="25B5D890" w14:textId="77777777" w:rsidR="00DD5C9C" w:rsidRPr="00501FF8" w:rsidRDefault="00DD5C9C" w:rsidP="00F45149">
            <w:pPr>
              <w:keepNext/>
              <w:keepLines/>
              <w:jc w:val="center"/>
              <w:rPr>
                <w:color w:val="000000"/>
                <w:sz w:val="18"/>
                <w:szCs w:val="18"/>
                <w:lang w:eastAsia="en-GB" w:bidi="ar-SA"/>
              </w:rPr>
            </w:pPr>
            <w:r w:rsidRPr="00501FF8">
              <w:rPr>
                <w:color w:val="000000"/>
                <w:sz w:val="18"/>
                <w:szCs w:val="18"/>
                <w:lang w:eastAsia="en-GB" w:bidi="ar-SA"/>
              </w:rPr>
              <w:t>108</w:t>
            </w:r>
          </w:p>
        </w:tc>
        <w:tc>
          <w:tcPr>
            <w:tcW w:w="1347" w:type="dxa"/>
            <w:vAlign w:val="center"/>
          </w:tcPr>
          <w:p w14:paraId="25B5D891"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9.7</w:t>
            </w:r>
          </w:p>
        </w:tc>
        <w:tc>
          <w:tcPr>
            <w:tcW w:w="1347" w:type="dxa"/>
            <w:vAlign w:val="center"/>
          </w:tcPr>
          <w:p w14:paraId="25B5D892" w14:textId="77777777" w:rsidR="00DD5C9C" w:rsidRPr="00501FF8" w:rsidRDefault="00DD5C9C" w:rsidP="00F45149">
            <w:pPr>
              <w:keepNext/>
              <w:keepLines/>
              <w:jc w:val="center"/>
              <w:rPr>
                <w:color w:val="000000"/>
                <w:sz w:val="18"/>
                <w:szCs w:val="18"/>
                <w:lang w:bidi="ar-SA"/>
              </w:rPr>
            </w:pPr>
            <w:r w:rsidRPr="00501FF8">
              <w:rPr>
                <w:color w:val="000000"/>
                <w:sz w:val="18"/>
                <w:szCs w:val="18"/>
                <w:lang w:bidi="ar-SA"/>
              </w:rPr>
              <w:t>18.4</w:t>
            </w:r>
          </w:p>
        </w:tc>
      </w:tr>
    </w:tbl>
    <w:p w14:paraId="25B5D894" w14:textId="77777777" w:rsidR="00DD5C9C" w:rsidRPr="00501FF8" w:rsidRDefault="00DD5C9C" w:rsidP="00F45149">
      <w:pPr>
        <w:keepNext/>
        <w:keepLines/>
        <w:rPr>
          <w:sz w:val="16"/>
          <w:szCs w:val="16"/>
          <w:lang w:bidi="ar-SA"/>
        </w:rPr>
      </w:pPr>
      <w:r w:rsidRPr="00501FF8">
        <w:rPr>
          <w:sz w:val="16"/>
          <w:szCs w:val="16"/>
          <w:lang w:bidi="ar-SA"/>
        </w:rPr>
        <w:t xml:space="preserve">* Based on a concentration of vitamin D in breakfast cereal of 17 </w:t>
      </w:r>
      <w:r w:rsidRPr="00501FF8">
        <w:rPr>
          <w:rFonts w:cs="Arial"/>
          <w:color w:val="000000"/>
          <w:sz w:val="16"/>
          <w:szCs w:val="16"/>
          <w:lang w:eastAsia="en-GB" w:bidi="ar-SA"/>
        </w:rPr>
        <w:t>µg/</w:t>
      </w:r>
      <w:r w:rsidRPr="00501FF8">
        <w:rPr>
          <w:sz w:val="16"/>
          <w:szCs w:val="16"/>
          <w:lang w:bidi="ar-SA"/>
        </w:rPr>
        <w:t>100 g.</w:t>
      </w:r>
    </w:p>
    <w:p w14:paraId="25B5D895" w14:textId="77777777" w:rsidR="00DD5C9C" w:rsidRPr="00501FF8" w:rsidRDefault="00DD5C9C" w:rsidP="00F45149">
      <w:pPr>
        <w:keepNext/>
        <w:keepLines/>
        <w:rPr>
          <w:sz w:val="16"/>
          <w:szCs w:val="16"/>
          <w:lang w:bidi="ar-SA"/>
        </w:rPr>
      </w:pPr>
      <w:r w:rsidRPr="00501FF8">
        <w:rPr>
          <w:sz w:val="16"/>
          <w:szCs w:val="16"/>
          <w:lang w:bidi="ar-SA"/>
        </w:rPr>
        <w:t>^ Average of Day 1 and Day 2 consumption.</w:t>
      </w:r>
    </w:p>
    <w:p w14:paraId="25B5D896" w14:textId="77777777" w:rsidR="00DD5C9C" w:rsidRPr="00C10787" w:rsidRDefault="00DD5C9C" w:rsidP="003B5D42">
      <w:pPr>
        <w:rPr>
          <w:lang w:bidi="ar-SA"/>
        </w:rPr>
      </w:pPr>
    </w:p>
    <w:p w14:paraId="25B5D897" w14:textId="77777777" w:rsidR="00DD5C9C" w:rsidRPr="00C64AA3" w:rsidRDefault="00DD5C9C" w:rsidP="003B5D42">
      <w:pPr>
        <w:rPr>
          <w:rFonts w:cs="Arial"/>
          <w:i/>
          <w:color w:val="000000"/>
          <w:lang w:eastAsia="en-GB" w:bidi="ar-SA"/>
        </w:rPr>
      </w:pPr>
      <w:r w:rsidRPr="00C64AA3">
        <w:rPr>
          <w:rFonts w:cs="Arial"/>
          <w:i/>
          <w:color w:val="000000"/>
          <w:lang w:eastAsia="en-GB" w:bidi="ar-SA"/>
        </w:rPr>
        <w:t>Comparison to 2011</w:t>
      </w:r>
      <w:r w:rsidRPr="00EB1FB9">
        <w:rPr>
          <w:rFonts w:cs="Arial"/>
          <w:i/>
          <w:color w:val="000000"/>
          <w:lang w:eastAsia="en-GB" w:bidi="ar-SA"/>
        </w:rPr>
        <w:t>–</w:t>
      </w:r>
      <w:r w:rsidRPr="00C64AA3">
        <w:rPr>
          <w:rFonts w:cs="Arial"/>
          <w:i/>
          <w:color w:val="000000"/>
          <w:lang w:eastAsia="en-GB" w:bidi="ar-SA"/>
        </w:rPr>
        <w:t xml:space="preserve">12 </w:t>
      </w:r>
      <w:r>
        <w:rPr>
          <w:rFonts w:cs="Arial"/>
          <w:i/>
          <w:color w:val="000000"/>
          <w:lang w:eastAsia="en-GB" w:bidi="ar-SA"/>
        </w:rPr>
        <w:t xml:space="preserve">NNPAS </w:t>
      </w:r>
      <w:r w:rsidRPr="00C64AA3">
        <w:rPr>
          <w:rFonts w:cs="Arial"/>
          <w:i/>
          <w:color w:val="000000"/>
          <w:lang w:eastAsia="en-GB" w:bidi="ar-SA"/>
        </w:rPr>
        <w:t>results</w:t>
      </w:r>
    </w:p>
    <w:p w14:paraId="25B5D898" w14:textId="77777777" w:rsidR="00DD5C9C" w:rsidRPr="00C64AA3" w:rsidRDefault="00DD5C9C" w:rsidP="003B5D42">
      <w:pPr>
        <w:rPr>
          <w:rFonts w:cs="Arial"/>
          <w:b/>
          <w:i/>
          <w:color w:val="000000"/>
          <w:lang w:eastAsia="en-GB" w:bidi="ar-SA"/>
        </w:rPr>
      </w:pPr>
    </w:p>
    <w:p w14:paraId="25B5D899" w14:textId="77777777" w:rsidR="00DD5C9C" w:rsidRDefault="00DD5C9C" w:rsidP="003B5D42">
      <w:pPr>
        <w:rPr>
          <w:rFonts w:cs="Arial"/>
          <w:color w:val="000000"/>
          <w:lang w:eastAsia="en-GB" w:bidi="ar-SA"/>
        </w:rPr>
      </w:pPr>
      <w:r w:rsidRPr="00C10787">
        <w:rPr>
          <w:rFonts w:cs="Arial"/>
          <w:color w:val="000000"/>
          <w:lang w:eastAsia="en-GB" w:bidi="ar-SA"/>
        </w:rPr>
        <w:t>In the 2011</w:t>
      </w:r>
      <w:r w:rsidRPr="00EB1FB9">
        <w:rPr>
          <w:rFonts w:cs="Arial"/>
          <w:color w:val="000000"/>
          <w:lang w:eastAsia="en-GB" w:bidi="ar-SA"/>
        </w:rPr>
        <w:t>–</w:t>
      </w:r>
      <w:r w:rsidRPr="00C10787">
        <w:rPr>
          <w:rFonts w:cs="Arial"/>
          <w:color w:val="000000"/>
          <w:lang w:eastAsia="en-GB" w:bidi="ar-SA"/>
        </w:rPr>
        <w:t xml:space="preserve">12 </w:t>
      </w:r>
      <w:r w:rsidRPr="007A730D">
        <w:rPr>
          <w:rFonts w:cs="Arial"/>
          <w:color w:val="000000"/>
          <w:lang w:eastAsia="en-GB" w:bidi="ar-SA"/>
        </w:rPr>
        <w:t>National Nutrition and Physical Activity Survey (NNPAS) component of the AHS</w:t>
      </w:r>
      <w:r w:rsidRPr="00C10787">
        <w:rPr>
          <w:rFonts w:cs="Arial"/>
          <w:color w:val="000000"/>
          <w:lang w:eastAsia="en-GB" w:bidi="ar-SA"/>
        </w:rPr>
        <w:t xml:space="preserve">, </w:t>
      </w:r>
      <w:r>
        <w:rPr>
          <w:rFonts w:cs="Arial"/>
          <w:color w:val="000000"/>
          <w:lang w:eastAsia="en-GB" w:bidi="ar-SA"/>
        </w:rPr>
        <w:t>summary results published by the ABS indicated RTE breakfast cereal</w:t>
      </w:r>
      <w:r w:rsidRPr="00C10787">
        <w:rPr>
          <w:rFonts w:cs="Arial"/>
          <w:color w:val="000000"/>
          <w:lang w:eastAsia="en-GB" w:bidi="ar-SA"/>
        </w:rPr>
        <w:t xml:space="preserve"> w</w:t>
      </w:r>
      <w:r>
        <w:rPr>
          <w:rFonts w:cs="Arial"/>
          <w:color w:val="000000"/>
          <w:lang w:eastAsia="en-GB" w:bidi="ar-SA"/>
        </w:rPr>
        <w:t>as</w:t>
      </w:r>
      <w:r w:rsidRPr="00C10787">
        <w:rPr>
          <w:rFonts w:cs="Arial"/>
          <w:color w:val="000000"/>
          <w:lang w:eastAsia="en-GB" w:bidi="ar-SA"/>
        </w:rPr>
        <w:t xml:space="preserve"> consumed by 36% of the population aged 2 years and above, with a further 7% eating porridge on day 1 of the survey. Children aged 2</w:t>
      </w:r>
      <w:r w:rsidRPr="00EB1FB9">
        <w:rPr>
          <w:rFonts w:cs="Arial"/>
          <w:color w:val="000000"/>
          <w:lang w:eastAsia="en-GB" w:bidi="ar-SA"/>
        </w:rPr>
        <w:t>–</w:t>
      </w:r>
      <w:r w:rsidRPr="00C10787">
        <w:rPr>
          <w:rFonts w:cs="Arial"/>
          <w:color w:val="000000"/>
          <w:lang w:eastAsia="en-GB" w:bidi="ar-SA"/>
        </w:rPr>
        <w:t xml:space="preserve">3 years were most prevalent consumers of RTE breakfast </w:t>
      </w:r>
      <w:r>
        <w:rPr>
          <w:rFonts w:cs="Arial"/>
          <w:color w:val="000000"/>
          <w:lang w:eastAsia="en-GB" w:bidi="ar-SA"/>
        </w:rPr>
        <w:t>cereal</w:t>
      </w:r>
      <w:r w:rsidRPr="00C10787">
        <w:rPr>
          <w:rFonts w:cs="Arial"/>
          <w:color w:val="000000"/>
          <w:lang w:eastAsia="en-GB" w:bidi="ar-SA"/>
        </w:rPr>
        <w:t xml:space="preserve"> (54%), followed by 4</w:t>
      </w:r>
      <w:r w:rsidRPr="00EB1FB9">
        <w:rPr>
          <w:rFonts w:cs="Arial"/>
          <w:color w:val="000000"/>
          <w:lang w:eastAsia="en-GB" w:bidi="ar-SA"/>
        </w:rPr>
        <w:t>–</w:t>
      </w:r>
      <w:r w:rsidRPr="00C10787">
        <w:rPr>
          <w:rFonts w:cs="Arial"/>
          <w:color w:val="000000"/>
          <w:lang w:eastAsia="en-GB" w:bidi="ar-SA"/>
        </w:rPr>
        <w:t>8 year olds (52%). Overall, 42% of Australians aged 2</w:t>
      </w:r>
      <w:r>
        <w:rPr>
          <w:rFonts w:cs="Arial"/>
          <w:color w:val="000000"/>
          <w:lang w:eastAsia="en-GB" w:bidi="ar-SA"/>
        </w:rPr>
        <w:t>–</w:t>
      </w:r>
      <w:r w:rsidRPr="00C10787">
        <w:rPr>
          <w:rFonts w:cs="Arial"/>
          <w:color w:val="000000"/>
          <w:lang w:eastAsia="en-GB" w:bidi="ar-SA"/>
        </w:rPr>
        <w:t xml:space="preserve">18 years and 35% of Australians aged 19 years and above consumed RTE breakfast </w:t>
      </w:r>
      <w:r>
        <w:rPr>
          <w:rFonts w:cs="Arial"/>
          <w:color w:val="000000"/>
          <w:lang w:eastAsia="en-GB" w:bidi="ar-SA"/>
        </w:rPr>
        <w:t>cereal</w:t>
      </w:r>
      <w:r w:rsidRPr="00C10787">
        <w:rPr>
          <w:rFonts w:cs="Arial"/>
          <w:color w:val="000000"/>
          <w:lang w:eastAsia="en-GB" w:bidi="ar-SA"/>
        </w:rPr>
        <w:t xml:space="preserve">. </w:t>
      </w:r>
    </w:p>
    <w:p w14:paraId="25B5D89A" w14:textId="77777777" w:rsidR="00DD5C9C" w:rsidRDefault="00DD5C9C" w:rsidP="003B5D42">
      <w:pPr>
        <w:rPr>
          <w:rFonts w:cs="Arial"/>
          <w:color w:val="000000"/>
          <w:lang w:eastAsia="en-GB" w:bidi="ar-SA"/>
        </w:rPr>
      </w:pPr>
    </w:p>
    <w:p w14:paraId="14817B85" w14:textId="77777777" w:rsidR="00B62436" w:rsidRDefault="00DD5C9C" w:rsidP="003B5D42">
      <w:pPr>
        <w:rPr>
          <w:rFonts w:cs="Arial"/>
          <w:color w:val="000000"/>
          <w:lang w:eastAsia="en-GB" w:bidi="ar-SA"/>
        </w:rPr>
      </w:pPr>
      <w:r>
        <w:rPr>
          <w:rFonts w:cs="Arial"/>
          <w:color w:val="000000"/>
          <w:lang w:eastAsia="en-GB" w:bidi="ar-SA"/>
        </w:rPr>
        <w:t xml:space="preserve">ABS published median consumption amounts rather than mean amounts from Day 1 records so these cannot be compared to the results in Table 4 for the 1995 NNS and the 2007 ANCNPAS. </w:t>
      </w:r>
      <w:r w:rsidRPr="00C10787">
        <w:rPr>
          <w:rFonts w:cs="Arial"/>
          <w:color w:val="000000"/>
          <w:lang w:eastAsia="en-GB" w:bidi="ar-SA"/>
        </w:rPr>
        <w:t>Median RTE cereal consumption increased as age increased for Australians aged 2</w:t>
      </w:r>
      <w:r>
        <w:rPr>
          <w:rFonts w:cs="Arial"/>
          <w:color w:val="000000"/>
          <w:lang w:eastAsia="en-GB" w:bidi="ar-SA"/>
        </w:rPr>
        <w:t>–</w:t>
      </w:r>
      <w:r w:rsidRPr="00C10787">
        <w:rPr>
          <w:rFonts w:cs="Arial"/>
          <w:color w:val="000000"/>
          <w:lang w:eastAsia="en-GB" w:bidi="ar-SA"/>
        </w:rPr>
        <w:t>18 years, from 26 g/day for children aged 2</w:t>
      </w:r>
      <w:r w:rsidRPr="00EB1FB9">
        <w:rPr>
          <w:rFonts w:cs="Arial"/>
          <w:color w:val="000000"/>
          <w:lang w:eastAsia="en-GB" w:bidi="ar-SA"/>
        </w:rPr>
        <w:t>–</w:t>
      </w:r>
      <w:r w:rsidRPr="00C10787">
        <w:rPr>
          <w:rFonts w:cs="Arial"/>
          <w:color w:val="000000"/>
          <w:lang w:eastAsia="en-GB" w:bidi="ar-SA"/>
        </w:rPr>
        <w:t>3 years to 53 g/day for Australians aged 14</w:t>
      </w:r>
      <w:r w:rsidRPr="00EB1FB9">
        <w:rPr>
          <w:rFonts w:cs="Arial"/>
          <w:color w:val="000000"/>
          <w:lang w:eastAsia="en-GB" w:bidi="ar-SA"/>
        </w:rPr>
        <w:t>–</w:t>
      </w:r>
      <w:r w:rsidRPr="00C10787">
        <w:rPr>
          <w:rFonts w:cs="Arial"/>
          <w:color w:val="000000"/>
          <w:lang w:eastAsia="en-GB" w:bidi="ar-SA"/>
        </w:rPr>
        <w:t>18 years. Australians aged 19 years and above consumed a median of 48 g/day of RTE breakfast cereal (median intake was not reported for the 2</w:t>
      </w:r>
      <w:r w:rsidRPr="00EB1FB9">
        <w:rPr>
          <w:rFonts w:cs="Arial"/>
          <w:color w:val="000000"/>
          <w:lang w:eastAsia="en-GB" w:bidi="ar-SA"/>
        </w:rPr>
        <w:t>–</w:t>
      </w:r>
      <w:r w:rsidRPr="00C10787">
        <w:rPr>
          <w:rFonts w:cs="Arial"/>
          <w:color w:val="000000"/>
          <w:lang w:eastAsia="en-GB" w:bidi="ar-SA"/>
        </w:rPr>
        <w:t xml:space="preserve">18 year age group as a whole). For adults, noting the small difference in age groups reported, the proportion of the population consuming RTE breakfast </w:t>
      </w:r>
      <w:r>
        <w:rPr>
          <w:rFonts w:cs="Arial"/>
          <w:color w:val="000000"/>
          <w:lang w:eastAsia="en-GB" w:bidi="ar-SA"/>
        </w:rPr>
        <w:t>cereal</w:t>
      </w:r>
      <w:r w:rsidRPr="00C10787">
        <w:rPr>
          <w:rFonts w:cs="Arial"/>
          <w:color w:val="000000"/>
          <w:lang w:eastAsia="en-GB" w:bidi="ar-SA"/>
        </w:rPr>
        <w:t xml:space="preserve"> was slightly higher in 1995 (41%) compared with 2011</w:t>
      </w:r>
      <w:r w:rsidRPr="00EB1FB9">
        <w:rPr>
          <w:rFonts w:cs="Arial"/>
          <w:color w:val="000000"/>
          <w:lang w:eastAsia="en-GB" w:bidi="ar-SA"/>
        </w:rPr>
        <w:t>–</w:t>
      </w:r>
      <w:r w:rsidRPr="00C10787">
        <w:rPr>
          <w:rFonts w:cs="Arial"/>
          <w:color w:val="000000"/>
          <w:lang w:eastAsia="en-GB" w:bidi="ar-SA"/>
        </w:rPr>
        <w:t xml:space="preserve">12 (35%). Median intakes of RTE breakfast </w:t>
      </w:r>
      <w:r>
        <w:rPr>
          <w:rFonts w:cs="Arial"/>
          <w:color w:val="000000"/>
          <w:lang w:eastAsia="en-GB" w:bidi="ar-SA"/>
        </w:rPr>
        <w:t>cereal</w:t>
      </w:r>
      <w:r w:rsidRPr="00C10787">
        <w:rPr>
          <w:rFonts w:cs="Arial"/>
          <w:color w:val="000000"/>
          <w:lang w:eastAsia="en-GB" w:bidi="ar-SA"/>
        </w:rPr>
        <w:t xml:space="preserve"> were similar in both 1995 (45 g/day) and 2011</w:t>
      </w:r>
      <w:r w:rsidRPr="00EB1FB9">
        <w:rPr>
          <w:rFonts w:cs="Arial"/>
          <w:color w:val="000000"/>
          <w:lang w:eastAsia="en-GB" w:bidi="ar-SA"/>
        </w:rPr>
        <w:t>–</w:t>
      </w:r>
      <w:r w:rsidRPr="00C10787">
        <w:rPr>
          <w:rFonts w:cs="Arial"/>
          <w:color w:val="000000"/>
          <w:lang w:eastAsia="en-GB" w:bidi="ar-SA"/>
        </w:rPr>
        <w:t>12 (48 g/day)</w:t>
      </w:r>
      <w:r>
        <w:rPr>
          <w:rFonts w:cs="Arial"/>
          <w:color w:val="000000"/>
          <w:lang w:eastAsia="en-GB" w:bidi="ar-SA"/>
        </w:rPr>
        <w:t xml:space="preserve"> which suggests that consumption patterns have not changed appreciably.</w:t>
      </w:r>
      <w:r w:rsidR="00B62436">
        <w:rPr>
          <w:rFonts w:cs="Arial"/>
          <w:color w:val="000000"/>
          <w:lang w:eastAsia="en-GB" w:bidi="ar-SA"/>
        </w:rPr>
        <w:br w:type="page"/>
      </w:r>
    </w:p>
    <w:p w14:paraId="25B5D89E" w14:textId="77777777" w:rsidR="00DD5C9C" w:rsidRPr="002233C5" w:rsidRDefault="00DD5C9C" w:rsidP="003B5D42">
      <w:pPr>
        <w:pStyle w:val="Heading4"/>
      </w:pPr>
      <w:r w:rsidRPr="002233C5">
        <w:lastRenderedPageBreak/>
        <w:t xml:space="preserve">Predicted intake of vitamin D from breakfast </w:t>
      </w:r>
      <w:r>
        <w:t>cereal</w:t>
      </w:r>
    </w:p>
    <w:p w14:paraId="25B5D89F" w14:textId="77777777" w:rsidR="00DD5C9C" w:rsidRPr="00AA0FBF" w:rsidRDefault="00DD5C9C" w:rsidP="003B5D42">
      <w:pPr>
        <w:rPr>
          <w:i/>
          <w:lang w:bidi="ar-SA"/>
        </w:rPr>
      </w:pPr>
      <w:r w:rsidRPr="00AA0FBF">
        <w:rPr>
          <w:i/>
          <w:lang w:bidi="ar-SA"/>
        </w:rPr>
        <w:t>Brand loyal consumer model</w:t>
      </w:r>
    </w:p>
    <w:p w14:paraId="25B5D8A0" w14:textId="77777777" w:rsidR="00DD5C9C" w:rsidRPr="00C64AA3" w:rsidRDefault="00DD5C9C" w:rsidP="003B5D42">
      <w:pPr>
        <w:rPr>
          <w:i/>
          <w:lang w:bidi="ar-SA"/>
        </w:rPr>
      </w:pPr>
    </w:p>
    <w:p w14:paraId="25B5D8A1" w14:textId="77777777" w:rsidR="00DD5C9C" w:rsidRPr="00C10787" w:rsidRDefault="00DD5C9C" w:rsidP="003B5D42">
      <w:pPr>
        <w:rPr>
          <w:lang w:bidi="ar-SA"/>
        </w:rPr>
      </w:pPr>
      <w:r w:rsidRPr="00C10787">
        <w:rPr>
          <w:lang w:bidi="ar-SA"/>
        </w:rPr>
        <w:t xml:space="preserve">The intake of vitamin D from voluntary fortification at the </w:t>
      </w:r>
      <w:r>
        <w:rPr>
          <w:lang w:bidi="ar-SA"/>
        </w:rPr>
        <w:t>Applicant’s mid-point</w:t>
      </w:r>
      <w:r w:rsidRPr="00C10787">
        <w:rPr>
          <w:lang w:bidi="ar-SA"/>
        </w:rPr>
        <w:t xml:space="preserve"> (17 </w:t>
      </w:r>
      <w:r w:rsidRPr="00C10787">
        <w:rPr>
          <w:rFonts w:cs="Arial"/>
          <w:lang w:bidi="ar-SA"/>
        </w:rPr>
        <w:t>µ</w:t>
      </w:r>
      <w:r w:rsidRPr="00C10787">
        <w:rPr>
          <w:lang w:bidi="ar-SA"/>
        </w:rPr>
        <w:t xml:space="preserve">g/100 g) was </w:t>
      </w:r>
      <w:r>
        <w:rPr>
          <w:lang w:bidi="ar-SA"/>
        </w:rPr>
        <w:t>predicted</w:t>
      </w:r>
      <w:r w:rsidRPr="00C10787">
        <w:rPr>
          <w:lang w:bidi="ar-SA"/>
        </w:rPr>
        <w:t xml:space="preserve">. This deterministic method of estimating vitamin D intake from RTE breakfast </w:t>
      </w:r>
      <w:r>
        <w:rPr>
          <w:lang w:bidi="ar-SA"/>
        </w:rPr>
        <w:t>cereal</w:t>
      </w:r>
      <w:r w:rsidRPr="00C10787">
        <w:rPr>
          <w:lang w:bidi="ar-SA"/>
        </w:rPr>
        <w:t xml:space="preserve"> assume</w:t>
      </w:r>
      <w:r>
        <w:rPr>
          <w:lang w:bidi="ar-SA"/>
        </w:rPr>
        <w:t>d</w:t>
      </w:r>
      <w:r w:rsidRPr="00C10787">
        <w:rPr>
          <w:lang w:bidi="ar-SA"/>
        </w:rPr>
        <w:t xml:space="preserve"> that all RTE breakfast </w:t>
      </w:r>
      <w:r>
        <w:rPr>
          <w:lang w:bidi="ar-SA"/>
        </w:rPr>
        <w:t>cereal</w:t>
      </w:r>
      <w:r w:rsidRPr="00C10787">
        <w:rPr>
          <w:lang w:bidi="ar-SA"/>
        </w:rPr>
        <w:t xml:space="preserve"> w</w:t>
      </w:r>
      <w:r>
        <w:rPr>
          <w:lang w:bidi="ar-SA"/>
        </w:rPr>
        <w:t>as</w:t>
      </w:r>
      <w:r w:rsidRPr="00C10787">
        <w:rPr>
          <w:lang w:bidi="ar-SA"/>
        </w:rPr>
        <w:t xml:space="preserve"> fortified </w:t>
      </w:r>
      <w:r>
        <w:rPr>
          <w:lang w:bidi="ar-SA"/>
        </w:rPr>
        <w:t>at</w:t>
      </w:r>
      <w:r w:rsidRPr="00C10787">
        <w:rPr>
          <w:lang w:bidi="ar-SA"/>
        </w:rPr>
        <w:t xml:space="preserve"> the specified level </w:t>
      </w:r>
      <w:r>
        <w:rPr>
          <w:lang w:bidi="ar-SA"/>
        </w:rPr>
        <w:t xml:space="preserve">and that brand loyal </w:t>
      </w:r>
      <w:r w:rsidRPr="00C10787">
        <w:rPr>
          <w:lang w:bidi="ar-SA"/>
        </w:rPr>
        <w:t>always chose the same fortified breakfast cerea</w:t>
      </w:r>
      <w:r>
        <w:rPr>
          <w:lang w:bidi="ar-SA"/>
        </w:rPr>
        <w:t>l.</w:t>
      </w:r>
      <w:r w:rsidRPr="00C10787">
        <w:rPr>
          <w:lang w:bidi="ar-SA"/>
        </w:rPr>
        <w:t xml:space="preserve"> Potential intakes of vitamin D </w:t>
      </w:r>
      <w:r>
        <w:rPr>
          <w:lang w:bidi="ar-SA"/>
        </w:rPr>
        <w:t>were</w:t>
      </w:r>
      <w:r w:rsidRPr="00C10787">
        <w:rPr>
          <w:lang w:bidi="ar-SA"/>
        </w:rPr>
        <w:t xml:space="preserve"> proportional to RTE breakfast cereal consumption and were predicted to range from 4.4</w:t>
      </w:r>
      <w:r>
        <w:rPr>
          <w:lang w:bidi="ar-SA"/>
        </w:rPr>
        <w:t xml:space="preserve"> </w:t>
      </w:r>
      <w:r w:rsidRPr="00C10787">
        <w:rPr>
          <w:rFonts w:cs="Arial"/>
          <w:lang w:bidi="ar-SA"/>
        </w:rPr>
        <w:t>µ</w:t>
      </w:r>
      <w:r w:rsidRPr="00C10787">
        <w:rPr>
          <w:lang w:bidi="ar-SA"/>
        </w:rPr>
        <w:t>g/day (Australians aged 2</w:t>
      </w:r>
      <w:r w:rsidRPr="00EB1FB9">
        <w:rPr>
          <w:lang w:bidi="ar-SA"/>
        </w:rPr>
        <w:t>–</w:t>
      </w:r>
      <w:r w:rsidRPr="00C10787">
        <w:rPr>
          <w:lang w:bidi="ar-SA"/>
        </w:rPr>
        <w:t>3 years) to 10.0</w:t>
      </w:r>
      <w:r>
        <w:rPr>
          <w:lang w:bidi="ar-SA"/>
        </w:rPr>
        <w:t xml:space="preserve"> </w:t>
      </w:r>
      <w:r w:rsidRPr="00C10787">
        <w:rPr>
          <w:rFonts w:cs="Arial"/>
          <w:lang w:bidi="ar-SA"/>
        </w:rPr>
        <w:t>µ</w:t>
      </w:r>
      <w:r w:rsidRPr="00C10787">
        <w:rPr>
          <w:lang w:bidi="ar-SA"/>
        </w:rPr>
        <w:t xml:space="preserve">g/day (New Zealanders aged 14 years) at mean levels of RTE breakfast cereal consumption, and from 7.7 </w:t>
      </w:r>
      <w:r w:rsidRPr="00C10787">
        <w:rPr>
          <w:rFonts w:cs="Arial"/>
          <w:lang w:bidi="ar-SA"/>
        </w:rPr>
        <w:t>µ</w:t>
      </w:r>
      <w:r w:rsidRPr="00C10787">
        <w:rPr>
          <w:lang w:bidi="ar-SA"/>
        </w:rPr>
        <w:t>g/day (Australians aged 2</w:t>
      </w:r>
      <w:r>
        <w:rPr>
          <w:lang w:bidi="ar-SA"/>
        </w:rPr>
        <w:t>–</w:t>
      </w:r>
      <w:r w:rsidRPr="00C10787">
        <w:rPr>
          <w:lang w:bidi="ar-SA"/>
        </w:rPr>
        <w:t xml:space="preserve">3 years) to 18.8 </w:t>
      </w:r>
      <w:r w:rsidRPr="00C10787">
        <w:rPr>
          <w:rFonts w:cs="Arial"/>
          <w:lang w:bidi="ar-SA"/>
        </w:rPr>
        <w:t>µ</w:t>
      </w:r>
      <w:r w:rsidRPr="00C10787">
        <w:rPr>
          <w:lang w:bidi="ar-SA"/>
        </w:rPr>
        <w:t>g/day (Australians aged 17 years and above) at the 90</w:t>
      </w:r>
      <w:r w:rsidRPr="00C10787">
        <w:rPr>
          <w:vertAlign w:val="superscript"/>
          <w:lang w:bidi="ar-SA"/>
        </w:rPr>
        <w:t>th</w:t>
      </w:r>
      <w:r w:rsidRPr="00C10787">
        <w:rPr>
          <w:lang w:bidi="ar-SA"/>
        </w:rPr>
        <w:t xml:space="preserve"> percentile of RTE breakfast cereal consumption</w:t>
      </w:r>
      <w:r>
        <w:rPr>
          <w:lang w:bidi="ar-SA"/>
        </w:rPr>
        <w:t xml:space="preserve"> (see Table 4).</w:t>
      </w:r>
    </w:p>
    <w:p w14:paraId="25B5D8A2" w14:textId="77777777" w:rsidR="00DD5C9C" w:rsidRPr="00C10787" w:rsidRDefault="00DD5C9C" w:rsidP="003B5D42">
      <w:pPr>
        <w:rPr>
          <w:sz w:val="20"/>
          <w:lang w:bidi="ar-SA"/>
        </w:rPr>
      </w:pPr>
    </w:p>
    <w:p w14:paraId="25B5D8A3" w14:textId="77777777" w:rsidR="00DD5C9C" w:rsidRPr="00C64AA3" w:rsidRDefault="00DD5C9C" w:rsidP="003B5D42">
      <w:pPr>
        <w:ind w:right="-472"/>
        <w:rPr>
          <w:i/>
          <w:lang w:bidi="ar-SA"/>
        </w:rPr>
      </w:pPr>
      <w:r w:rsidRPr="00C64AA3">
        <w:rPr>
          <w:i/>
          <w:lang w:bidi="ar-SA"/>
        </w:rPr>
        <w:t>Market share model</w:t>
      </w:r>
    </w:p>
    <w:p w14:paraId="25B5D8A4" w14:textId="77777777" w:rsidR="00DD5C9C" w:rsidRPr="00C64AA3" w:rsidRDefault="00DD5C9C" w:rsidP="003B5D42">
      <w:pPr>
        <w:ind w:right="-472"/>
        <w:rPr>
          <w:b/>
          <w:i/>
          <w:lang w:bidi="ar-SA"/>
        </w:rPr>
      </w:pPr>
    </w:p>
    <w:p w14:paraId="25B5D8A5" w14:textId="77777777" w:rsidR="00DD5C9C" w:rsidRPr="00C10787" w:rsidRDefault="00DD5C9C" w:rsidP="003B5D42">
      <w:pPr>
        <w:ind w:right="-472"/>
        <w:rPr>
          <w:lang w:bidi="ar-SA"/>
        </w:rPr>
      </w:pPr>
      <w:r w:rsidRPr="00C10787">
        <w:rPr>
          <w:lang w:bidi="ar-SA"/>
        </w:rPr>
        <w:t xml:space="preserve">Potential intake of vitamin D from RTE breakfast </w:t>
      </w:r>
      <w:r>
        <w:rPr>
          <w:lang w:bidi="ar-SA"/>
        </w:rPr>
        <w:t>cereal</w:t>
      </w:r>
      <w:r w:rsidRPr="00C10787">
        <w:rPr>
          <w:lang w:bidi="ar-SA"/>
        </w:rPr>
        <w:t xml:space="preserve"> </w:t>
      </w:r>
      <w:r>
        <w:rPr>
          <w:lang w:bidi="ar-SA"/>
        </w:rPr>
        <w:t xml:space="preserve">was </w:t>
      </w:r>
      <w:r w:rsidRPr="00C10787">
        <w:rPr>
          <w:lang w:bidi="ar-SA"/>
        </w:rPr>
        <w:t>predicted (</w:t>
      </w:r>
      <w:r w:rsidRPr="00BD1EEE">
        <w:rPr>
          <w:lang w:bidi="ar-SA"/>
        </w:rPr>
        <w:t>Table 5</w:t>
      </w:r>
      <w:r w:rsidRPr="00C10787">
        <w:rPr>
          <w:lang w:bidi="ar-SA"/>
        </w:rPr>
        <w:t>) for the Australian and New Zealand populations assuming the maximum reported market share of 35%. Predicted mean intakes of vitamin D from RTE bre</w:t>
      </w:r>
      <w:r>
        <w:rPr>
          <w:lang w:bidi="ar-SA"/>
        </w:rPr>
        <w:t xml:space="preserve">akfast cereal ranged from 1.5 </w:t>
      </w:r>
      <w:r w:rsidRPr="003238CF">
        <w:rPr>
          <w:rFonts w:cs="Arial"/>
          <w:lang w:bidi="ar-SA"/>
        </w:rPr>
        <w:t>µ</w:t>
      </w:r>
      <w:r w:rsidRPr="00C10787">
        <w:rPr>
          <w:lang w:bidi="ar-SA"/>
        </w:rPr>
        <w:t>g/day for Australian children aged 2</w:t>
      </w:r>
      <w:r w:rsidRPr="00EB1FB9">
        <w:rPr>
          <w:lang w:bidi="ar-SA"/>
        </w:rPr>
        <w:t>–</w:t>
      </w:r>
      <w:r w:rsidRPr="00C10787">
        <w:rPr>
          <w:lang w:bidi="ar-SA"/>
        </w:rPr>
        <w:t>3 years up to 3.5</w:t>
      </w:r>
      <w:r>
        <w:rPr>
          <w:lang w:bidi="ar-SA"/>
        </w:rPr>
        <w:t xml:space="preserve"> </w:t>
      </w:r>
      <w:r w:rsidRPr="00C10787">
        <w:rPr>
          <w:rFonts w:cs="Arial"/>
          <w:lang w:bidi="ar-SA"/>
        </w:rPr>
        <w:t>µ</w:t>
      </w:r>
      <w:r w:rsidRPr="00C10787">
        <w:rPr>
          <w:lang w:bidi="ar-SA"/>
        </w:rPr>
        <w:t>g/day for Australians aged 17 years and above and New Zealand children aged 14 years. Predicted 90</w:t>
      </w:r>
      <w:r w:rsidRPr="00C10787">
        <w:rPr>
          <w:vertAlign w:val="superscript"/>
          <w:lang w:bidi="ar-SA"/>
        </w:rPr>
        <w:t>th</w:t>
      </w:r>
      <w:r w:rsidRPr="00C10787">
        <w:rPr>
          <w:lang w:bidi="ar-SA"/>
        </w:rPr>
        <w:t xml:space="preserve"> percentile intakes of vitamin D from RTE breakfast </w:t>
      </w:r>
      <w:r>
        <w:rPr>
          <w:lang w:bidi="ar-SA"/>
        </w:rPr>
        <w:t>cereal</w:t>
      </w:r>
      <w:r w:rsidRPr="00C10787">
        <w:rPr>
          <w:lang w:bidi="ar-SA"/>
        </w:rPr>
        <w:t xml:space="preserve"> ranged from 2.7 </w:t>
      </w:r>
      <w:r w:rsidRPr="00C10787">
        <w:rPr>
          <w:rFonts w:cs="Arial"/>
          <w:lang w:bidi="ar-SA"/>
        </w:rPr>
        <w:t>µ</w:t>
      </w:r>
      <w:r w:rsidRPr="00C10787">
        <w:rPr>
          <w:lang w:bidi="ar-SA"/>
        </w:rPr>
        <w:t>g/day for Australian chil</w:t>
      </w:r>
      <w:r>
        <w:rPr>
          <w:lang w:bidi="ar-SA"/>
        </w:rPr>
        <w:t>dren aged 2</w:t>
      </w:r>
      <w:r w:rsidRPr="00EB1FB9">
        <w:rPr>
          <w:lang w:bidi="ar-SA"/>
        </w:rPr>
        <w:t>–</w:t>
      </w:r>
      <w:r>
        <w:rPr>
          <w:lang w:bidi="ar-SA"/>
        </w:rPr>
        <w:t xml:space="preserve">3 years, up to 6.6 </w:t>
      </w:r>
      <w:r w:rsidRPr="003238CF">
        <w:rPr>
          <w:rFonts w:cs="Arial"/>
          <w:lang w:bidi="ar-SA"/>
        </w:rPr>
        <w:t>µ</w:t>
      </w:r>
      <w:r w:rsidRPr="00C10787">
        <w:rPr>
          <w:lang w:bidi="ar-SA"/>
        </w:rPr>
        <w:t>g/day for Australians aged 17 years and above.</w:t>
      </w:r>
    </w:p>
    <w:p w14:paraId="25B5D8A6" w14:textId="77777777" w:rsidR="00DD5C9C" w:rsidRPr="00C10787" w:rsidRDefault="00DD5C9C" w:rsidP="003B5D42">
      <w:pPr>
        <w:ind w:right="-472"/>
        <w:rPr>
          <w:lang w:bidi="ar-SA"/>
        </w:rPr>
      </w:pPr>
    </w:p>
    <w:p w14:paraId="25B5D8A7" w14:textId="77777777" w:rsidR="00DD5C9C" w:rsidRPr="00F1441D" w:rsidRDefault="00DD5C9C" w:rsidP="00F1441D">
      <w:pPr>
        <w:pStyle w:val="FSTableFigureHeading"/>
        <w:spacing w:before="0"/>
        <w:rPr>
          <w:i w:val="0"/>
        </w:rPr>
      </w:pPr>
      <w:r w:rsidRPr="00F1441D">
        <w:rPr>
          <w:i w:val="0"/>
        </w:rPr>
        <w:t>Table 5</w:t>
      </w:r>
      <w:r w:rsidRPr="00F1441D">
        <w:rPr>
          <w:i w:val="0"/>
        </w:rPr>
        <w:tab/>
        <w:t>Predicted mean and 90</w:t>
      </w:r>
      <w:r w:rsidRPr="00F1441D">
        <w:rPr>
          <w:i w:val="0"/>
          <w:vertAlign w:val="superscript"/>
        </w:rPr>
        <w:t>th</w:t>
      </w:r>
      <w:r w:rsidRPr="00F1441D">
        <w:rPr>
          <w:i w:val="0"/>
        </w:rPr>
        <w:t xml:space="preserve"> percentile vitamin D intakes from fortified RTE breakfast cereal consumption for Australian and New Zealand population groups, assuming a 35% market uptake of voluntary fortification permissions </w:t>
      </w:r>
    </w:p>
    <w:tbl>
      <w:tblPr>
        <w:tblStyle w:val="TableGrid2"/>
        <w:tblW w:w="9606" w:type="dxa"/>
        <w:tblLayout w:type="fixed"/>
        <w:tblLook w:val="04A0" w:firstRow="1" w:lastRow="0" w:firstColumn="1" w:lastColumn="0" w:noHBand="0" w:noVBand="1"/>
      </w:tblPr>
      <w:tblGrid>
        <w:gridCol w:w="1951"/>
        <w:gridCol w:w="1843"/>
        <w:gridCol w:w="2906"/>
        <w:gridCol w:w="2906"/>
      </w:tblGrid>
      <w:tr w:rsidR="00DD5C9C" w:rsidRPr="003238CF" w14:paraId="25B5D8AC" w14:textId="77777777" w:rsidTr="003B5D42">
        <w:trPr>
          <w:trHeight w:val="690"/>
        </w:trPr>
        <w:tc>
          <w:tcPr>
            <w:tcW w:w="1951" w:type="dxa"/>
            <w:vMerge w:val="restart"/>
            <w:noWrap/>
            <w:vAlign w:val="center"/>
          </w:tcPr>
          <w:p w14:paraId="25B5D8A8" w14:textId="77777777"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National Nutrition Survey</w:t>
            </w:r>
          </w:p>
        </w:tc>
        <w:tc>
          <w:tcPr>
            <w:tcW w:w="1843" w:type="dxa"/>
            <w:vMerge w:val="restart"/>
            <w:vAlign w:val="center"/>
          </w:tcPr>
          <w:p w14:paraId="25B5D8A9" w14:textId="77777777"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Population group</w:t>
            </w:r>
          </w:p>
        </w:tc>
        <w:tc>
          <w:tcPr>
            <w:tcW w:w="5812" w:type="dxa"/>
            <w:gridSpan w:val="2"/>
            <w:vAlign w:val="center"/>
          </w:tcPr>
          <w:p w14:paraId="25B5D8AA" w14:textId="77777777" w:rsidR="00DD5C9C" w:rsidRPr="00501FF8" w:rsidRDefault="00DD5C9C" w:rsidP="003B5D42">
            <w:pPr>
              <w:jc w:val="center"/>
              <w:rPr>
                <w:b/>
                <w:color w:val="000000"/>
                <w:sz w:val="18"/>
                <w:szCs w:val="18"/>
                <w:lang w:eastAsia="en-GB" w:bidi="ar-SA"/>
              </w:rPr>
            </w:pPr>
            <w:r w:rsidRPr="00501FF8">
              <w:rPr>
                <w:b/>
                <w:color w:val="000000"/>
                <w:sz w:val="18"/>
                <w:szCs w:val="18"/>
                <w:lang w:eastAsia="en-GB" w:bidi="ar-SA"/>
              </w:rPr>
              <w:t>Predicted intake of vitamin D from RTE breakfast cereal*</w:t>
            </w:r>
          </w:p>
          <w:p w14:paraId="25B5D8AB" w14:textId="77777777" w:rsidR="00DD5C9C" w:rsidRPr="00501FF8" w:rsidRDefault="00DD5C9C" w:rsidP="003B5D42">
            <w:pPr>
              <w:jc w:val="center"/>
              <w:rPr>
                <w:color w:val="000000"/>
                <w:sz w:val="18"/>
                <w:szCs w:val="18"/>
                <w:lang w:eastAsia="en-GB" w:bidi="ar-SA"/>
              </w:rPr>
            </w:pPr>
            <w:r w:rsidRPr="00501FF8">
              <w:rPr>
                <w:b/>
                <w:color w:val="000000"/>
                <w:sz w:val="18"/>
                <w:szCs w:val="18"/>
                <w:lang w:eastAsia="en-GB" w:bidi="ar-SA"/>
              </w:rPr>
              <w:t>35% market share scenario (</w:t>
            </w:r>
            <w:r w:rsidRPr="00501FF8">
              <w:rPr>
                <w:b/>
                <w:sz w:val="18"/>
                <w:szCs w:val="18"/>
                <w:lang w:bidi="ar-SA"/>
              </w:rPr>
              <w:t>µ</w:t>
            </w:r>
            <w:r w:rsidRPr="00501FF8">
              <w:rPr>
                <w:b/>
                <w:color w:val="000000"/>
                <w:sz w:val="18"/>
                <w:szCs w:val="18"/>
                <w:lang w:eastAsia="en-GB" w:bidi="ar-SA"/>
              </w:rPr>
              <w:t>g/day)</w:t>
            </w:r>
          </w:p>
        </w:tc>
      </w:tr>
      <w:tr w:rsidR="00DD5C9C" w:rsidRPr="003238CF" w14:paraId="25B5D8B1" w14:textId="77777777" w:rsidTr="003B5D42">
        <w:trPr>
          <w:trHeight w:val="331"/>
        </w:trPr>
        <w:tc>
          <w:tcPr>
            <w:tcW w:w="1951" w:type="dxa"/>
            <w:vMerge/>
            <w:noWrap/>
            <w:vAlign w:val="center"/>
            <w:hideMark/>
          </w:tcPr>
          <w:p w14:paraId="25B5D8AD" w14:textId="77777777" w:rsidR="00DD5C9C" w:rsidRPr="00501FF8" w:rsidRDefault="00DD5C9C" w:rsidP="003B5D42">
            <w:pPr>
              <w:rPr>
                <w:color w:val="000000"/>
                <w:sz w:val="18"/>
                <w:szCs w:val="18"/>
                <w:lang w:eastAsia="en-GB" w:bidi="ar-SA"/>
              </w:rPr>
            </w:pPr>
          </w:p>
        </w:tc>
        <w:tc>
          <w:tcPr>
            <w:tcW w:w="1843" w:type="dxa"/>
            <w:vMerge/>
            <w:noWrap/>
            <w:vAlign w:val="center"/>
            <w:hideMark/>
          </w:tcPr>
          <w:p w14:paraId="25B5D8AE" w14:textId="77777777" w:rsidR="00DD5C9C" w:rsidRPr="00501FF8" w:rsidRDefault="00DD5C9C" w:rsidP="003B5D42">
            <w:pPr>
              <w:rPr>
                <w:color w:val="000000"/>
                <w:sz w:val="18"/>
                <w:szCs w:val="18"/>
                <w:lang w:eastAsia="en-GB" w:bidi="ar-SA"/>
              </w:rPr>
            </w:pPr>
          </w:p>
        </w:tc>
        <w:tc>
          <w:tcPr>
            <w:tcW w:w="2906" w:type="dxa"/>
            <w:vAlign w:val="center"/>
          </w:tcPr>
          <w:p w14:paraId="25B5D8AF" w14:textId="77777777"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Mean</w:t>
            </w:r>
          </w:p>
        </w:tc>
        <w:tc>
          <w:tcPr>
            <w:tcW w:w="2906" w:type="dxa"/>
            <w:vAlign w:val="center"/>
          </w:tcPr>
          <w:p w14:paraId="25B5D8B0" w14:textId="77777777" w:rsidR="00DD5C9C" w:rsidRPr="00501FF8" w:rsidRDefault="00DD5C9C" w:rsidP="003B5D42">
            <w:pPr>
              <w:jc w:val="center"/>
              <w:rPr>
                <w:i/>
                <w:color w:val="000000"/>
                <w:sz w:val="18"/>
                <w:szCs w:val="18"/>
                <w:lang w:eastAsia="en-GB" w:bidi="ar-SA"/>
              </w:rPr>
            </w:pPr>
            <w:r w:rsidRPr="00501FF8">
              <w:rPr>
                <w:i/>
                <w:color w:val="000000"/>
                <w:sz w:val="18"/>
                <w:szCs w:val="18"/>
                <w:lang w:eastAsia="en-GB" w:bidi="ar-SA"/>
              </w:rPr>
              <w:t>P90</w:t>
            </w:r>
          </w:p>
        </w:tc>
      </w:tr>
      <w:tr w:rsidR="00DD5C9C" w:rsidRPr="003238CF" w14:paraId="25B5D8B6" w14:textId="77777777" w:rsidTr="003B5D42">
        <w:trPr>
          <w:trHeight w:val="283"/>
        </w:trPr>
        <w:tc>
          <w:tcPr>
            <w:tcW w:w="1951" w:type="dxa"/>
            <w:vMerge w:val="restart"/>
            <w:noWrap/>
            <w:vAlign w:val="center"/>
          </w:tcPr>
          <w:p w14:paraId="25B5D8B2" w14:textId="77777777" w:rsidR="00DD5C9C" w:rsidRPr="00501FF8" w:rsidRDefault="00DD5C9C" w:rsidP="003B5D42">
            <w:pPr>
              <w:rPr>
                <w:color w:val="000000"/>
                <w:sz w:val="18"/>
                <w:szCs w:val="18"/>
                <w:lang w:eastAsia="en-GB" w:bidi="ar-SA"/>
              </w:rPr>
            </w:pPr>
            <w:r w:rsidRPr="00501FF8">
              <w:rPr>
                <w:color w:val="000000"/>
                <w:sz w:val="18"/>
                <w:szCs w:val="18"/>
                <w:lang w:eastAsia="en-GB" w:bidi="ar-SA"/>
              </w:rPr>
              <w:t>2007 ANCNPAS^</w:t>
            </w:r>
          </w:p>
        </w:tc>
        <w:tc>
          <w:tcPr>
            <w:tcW w:w="1843" w:type="dxa"/>
            <w:noWrap/>
            <w:vAlign w:val="center"/>
            <w:hideMark/>
          </w:tcPr>
          <w:p w14:paraId="25B5D8B3" w14:textId="77777777"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2–3 </w:t>
            </w:r>
            <w:r w:rsidRPr="00501FF8">
              <w:rPr>
                <w:color w:val="000000"/>
                <w:sz w:val="18"/>
                <w:szCs w:val="18"/>
                <w:lang w:eastAsia="en-GB" w:bidi="ar-SA"/>
              </w:rPr>
              <w:t>years</w:t>
            </w:r>
          </w:p>
        </w:tc>
        <w:tc>
          <w:tcPr>
            <w:tcW w:w="2906" w:type="dxa"/>
            <w:vAlign w:val="center"/>
          </w:tcPr>
          <w:p w14:paraId="25B5D8B4" w14:textId="77777777" w:rsidR="00DD5C9C" w:rsidRPr="00501FF8" w:rsidRDefault="00DD5C9C" w:rsidP="003B5D42">
            <w:pPr>
              <w:jc w:val="center"/>
              <w:rPr>
                <w:color w:val="000000"/>
                <w:sz w:val="18"/>
                <w:szCs w:val="18"/>
                <w:lang w:bidi="ar-SA"/>
              </w:rPr>
            </w:pPr>
            <w:r w:rsidRPr="00501FF8">
              <w:rPr>
                <w:color w:val="000000"/>
                <w:sz w:val="18"/>
                <w:szCs w:val="18"/>
                <w:lang w:bidi="ar-SA"/>
              </w:rPr>
              <w:t>1.5</w:t>
            </w:r>
          </w:p>
        </w:tc>
        <w:tc>
          <w:tcPr>
            <w:tcW w:w="2906" w:type="dxa"/>
            <w:vAlign w:val="center"/>
          </w:tcPr>
          <w:p w14:paraId="25B5D8B5" w14:textId="77777777" w:rsidR="00DD5C9C" w:rsidRPr="00501FF8" w:rsidRDefault="00DD5C9C" w:rsidP="003B5D42">
            <w:pPr>
              <w:jc w:val="center"/>
              <w:rPr>
                <w:color w:val="000000"/>
                <w:sz w:val="18"/>
                <w:szCs w:val="18"/>
                <w:lang w:bidi="ar-SA"/>
              </w:rPr>
            </w:pPr>
            <w:r w:rsidRPr="00501FF8">
              <w:rPr>
                <w:color w:val="000000"/>
                <w:sz w:val="18"/>
                <w:szCs w:val="18"/>
                <w:lang w:bidi="ar-SA"/>
              </w:rPr>
              <w:t>2.7</w:t>
            </w:r>
          </w:p>
        </w:tc>
      </w:tr>
      <w:tr w:rsidR="00DD5C9C" w:rsidRPr="003238CF" w14:paraId="25B5D8BB" w14:textId="77777777" w:rsidTr="003B5D42">
        <w:trPr>
          <w:trHeight w:val="283"/>
        </w:trPr>
        <w:tc>
          <w:tcPr>
            <w:tcW w:w="1951" w:type="dxa"/>
            <w:vMerge/>
            <w:noWrap/>
            <w:vAlign w:val="center"/>
          </w:tcPr>
          <w:p w14:paraId="25B5D8B7" w14:textId="77777777" w:rsidR="00DD5C9C" w:rsidRPr="00501FF8" w:rsidRDefault="00DD5C9C" w:rsidP="003B5D42">
            <w:pPr>
              <w:rPr>
                <w:color w:val="000000"/>
                <w:sz w:val="18"/>
                <w:szCs w:val="18"/>
                <w:lang w:eastAsia="en-GB" w:bidi="ar-SA"/>
              </w:rPr>
            </w:pPr>
          </w:p>
        </w:tc>
        <w:tc>
          <w:tcPr>
            <w:tcW w:w="1843" w:type="dxa"/>
            <w:noWrap/>
            <w:vAlign w:val="center"/>
            <w:hideMark/>
          </w:tcPr>
          <w:p w14:paraId="25B5D8B8" w14:textId="77777777"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4–8 </w:t>
            </w:r>
            <w:r w:rsidRPr="00501FF8">
              <w:rPr>
                <w:color w:val="000000"/>
                <w:sz w:val="18"/>
                <w:szCs w:val="18"/>
                <w:lang w:eastAsia="en-GB" w:bidi="ar-SA"/>
              </w:rPr>
              <w:t>years</w:t>
            </w:r>
          </w:p>
        </w:tc>
        <w:tc>
          <w:tcPr>
            <w:tcW w:w="2906" w:type="dxa"/>
            <w:vAlign w:val="center"/>
          </w:tcPr>
          <w:p w14:paraId="25B5D8B9" w14:textId="77777777" w:rsidR="00DD5C9C" w:rsidRPr="00501FF8" w:rsidRDefault="00DD5C9C" w:rsidP="003B5D42">
            <w:pPr>
              <w:jc w:val="center"/>
              <w:rPr>
                <w:color w:val="000000"/>
                <w:sz w:val="18"/>
                <w:szCs w:val="18"/>
                <w:lang w:bidi="ar-SA"/>
              </w:rPr>
            </w:pPr>
            <w:r w:rsidRPr="00501FF8">
              <w:rPr>
                <w:color w:val="000000"/>
                <w:sz w:val="18"/>
                <w:szCs w:val="18"/>
                <w:lang w:bidi="ar-SA"/>
              </w:rPr>
              <w:t>1.9</w:t>
            </w:r>
          </w:p>
        </w:tc>
        <w:tc>
          <w:tcPr>
            <w:tcW w:w="2906" w:type="dxa"/>
            <w:vAlign w:val="center"/>
          </w:tcPr>
          <w:p w14:paraId="25B5D8BA" w14:textId="77777777" w:rsidR="00DD5C9C" w:rsidRPr="00501FF8" w:rsidRDefault="00DD5C9C" w:rsidP="003B5D42">
            <w:pPr>
              <w:jc w:val="center"/>
              <w:rPr>
                <w:color w:val="000000"/>
                <w:sz w:val="18"/>
                <w:szCs w:val="18"/>
                <w:lang w:bidi="ar-SA"/>
              </w:rPr>
            </w:pPr>
            <w:r w:rsidRPr="00501FF8">
              <w:rPr>
                <w:color w:val="000000"/>
                <w:sz w:val="18"/>
                <w:szCs w:val="18"/>
                <w:lang w:bidi="ar-SA"/>
              </w:rPr>
              <w:t>3.3</w:t>
            </w:r>
          </w:p>
        </w:tc>
      </w:tr>
      <w:tr w:rsidR="00DD5C9C" w:rsidRPr="003238CF" w14:paraId="25B5D8C0" w14:textId="77777777" w:rsidTr="003B5D42">
        <w:trPr>
          <w:trHeight w:val="283"/>
        </w:trPr>
        <w:tc>
          <w:tcPr>
            <w:tcW w:w="1951" w:type="dxa"/>
            <w:vMerge/>
            <w:noWrap/>
            <w:vAlign w:val="center"/>
          </w:tcPr>
          <w:p w14:paraId="25B5D8BC" w14:textId="77777777" w:rsidR="00DD5C9C" w:rsidRPr="00501FF8" w:rsidRDefault="00DD5C9C" w:rsidP="003B5D42">
            <w:pPr>
              <w:rPr>
                <w:color w:val="000000"/>
                <w:sz w:val="18"/>
                <w:szCs w:val="18"/>
                <w:lang w:eastAsia="en-GB" w:bidi="ar-SA"/>
              </w:rPr>
            </w:pPr>
          </w:p>
        </w:tc>
        <w:tc>
          <w:tcPr>
            <w:tcW w:w="1843" w:type="dxa"/>
            <w:noWrap/>
            <w:vAlign w:val="center"/>
            <w:hideMark/>
          </w:tcPr>
          <w:p w14:paraId="25B5D8BD" w14:textId="77777777"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9–13 </w:t>
            </w:r>
            <w:r w:rsidRPr="00501FF8">
              <w:rPr>
                <w:color w:val="000000"/>
                <w:sz w:val="18"/>
                <w:szCs w:val="18"/>
                <w:lang w:eastAsia="en-GB" w:bidi="ar-SA"/>
              </w:rPr>
              <w:t>years</w:t>
            </w:r>
          </w:p>
        </w:tc>
        <w:tc>
          <w:tcPr>
            <w:tcW w:w="2906" w:type="dxa"/>
            <w:vAlign w:val="center"/>
          </w:tcPr>
          <w:p w14:paraId="25B5D8BE" w14:textId="77777777" w:rsidR="00DD5C9C" w:rsidRPr="00501FF8" w:rsidRDefault="00DD5C9C" w:rsidP="003B5D42">
            <w:pPr>
              <w:jc w:val="center"/>
              <w:rPr>
                <w:color w:val="000000"/>
                <w:sz w:val="18"/>
                <w:szCs w:val="18"/>
                <w:lang w:bidi="ar-SA"/>
              </w:rPr>
            </w:pPr>
            <w:r w:rsidRPr="00501FF8">
              <w:rPr>
                <w:color w:val="000000"/>
                <w:sz w:val="18"/>
                <w:szCs w:val="18"/>
                <w:lang w:bidi="ar-SA"/>
              </w:rPr>
              <w:t>2.5</w:t>
            </w:r>
          </w:p>
        </w:tc>
        <w:tc>
          <w:tcPr>
            <w:tcW w:w="2906" w:type="dxa"/>
            <w:vAlign w:val="center"/>
          </w:tcPr>
          <w:p w14:paraId="25B5D8BF" w14:textId="77777777" w:rsidR="00DD5C9C" w:rsidRPr="00501FF8" w:rsidRDefault="00DD5C9C" w:rsidP="003B5D42">
            <w:pPr>
              <w:jc w:val="center"/>
              <w:rPr>
                <w:color w:val="000000"/>
                <w:sz w:val="18"/>
                <w:szCs w:val="18"/>
                <w:lang w:bidi="ar-SA"/>
              </w:rPr>
            </w:pPr>
            <w:r w:rsidRPr="00501FF8">
              <w:rPr>
                <w:color w:val="000000"/>
                <w:sz w:val="18"/>
                <w:szCs w:val="18"/>
                <w:lang w:bidi="ar-SA"/>
              </w:rPr>
              <w:t>4.5</w:t>
            </w:r>
          </w:p>
        </w:tc>
      </w:tr>
      <w:tr w:rsidR="00DD5C9C" w:rsidRPr="003238CF" w14:paraId="25B5D8C5" w14:textId="77777777" w:rsidTr="003B5D42">
        <w:trPr>
          <w:trHeight w:val="283"/>
        </w:trPr>
        <w:tc>
          <w:tcPr>
            <w:tcW w:w="1951" w:type="dxa"/>
            <w:vMerge/>
            <w:noWrap/>
            <w:vAlign w:val="center"/>
          </w:tcPr>
          <w:p w14:paraId="25B5D8C1" w14:textId="77777777" w:rsidR="00DD5C9C" w:rsidRPr="00501FF8" w:rsidRDefault="00DD5C9C" w:rsidP="003B5D42">
            <w:pPr>
              <w:rPr>
                <w:color w:val="000000"/>
                <w:sz w:val="18"/>
                <w:szCs w:val="18"/>
                <w:lang w:eastAsia="en-GB" w:bidi="ar-SA"/>
              </w:rPr>
            </w:pPr>
          </w:p>
        </w:tc>
        <w:tc>
          <w:tcPr>
            <w:tcW w:w="1843" w:type="dxa"/>
            <w:noWrap/>
            <w:vAlign w:val="center"/>
            <w:hideMark/>
          </w:tcPr>
          <w:p w14:paraId="25B5D8C2" w14:textId="77777777"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14–16 </w:t>
            </w:r>
            <w:r w:rsidRPr="00501FF8">
              <w:rPr>
                <w:color w:val="000000"/>
                <w:sz w:val="18"/>
                <w:szCs w:val="18"/>
                <w:lang w:eastAsia="en-GB" w:bidi="ar-SA"/>
              </w:rPr>
              <w:t>years</w:t>
            </w:r>
          </w:p>
        </w:tc>
        <w:tc>
          <w:tcPr>
            <w:tcW w:w="2906" w:type="dxa"/>
            <w:shd w:val="clear" w:color="auto" w:fill="auto"/>
            <w:vAlign w:val="center"/>
          </w:tcPr>
          <w:p w14:paraId="25B5D8C3" w14:textId="77777777" w:rsidR="00DD5C9C" w:rsidRPr="00501FF8" w:rsidRDefault="00DD5C9C" w:rsidP="003B5D42">
            <w:pPr>
              <w:jc w:val="center"/>
              <w:rPr>
                <w:color w:val="000000"/>
                <w:sz w:val="18"/>
                <w:szCs w:val="18"/>
                <w:lang w:bidi="ar-SA"/>
              </w:rPr>
            </w:pPr>
            <w:r w:rsidRPr="00501FF8">
              <w:rPr>
                <w:color w:val="000000"/>
                <w:sz w:val="18"/>
                <w:szCs w:val="18"/>
                <w:lang w:bidi="ar-SA"/>
              </w:rPr>
              <w:t>3.1</w:t>
            </w:r>
          </w:p>
        </w:tc>
        <w:tc>
          <w:tcPr>
            <w:tcW w:w="2906" w:type="dxa"/>
            <w:shd w:val="clear" w:color="auto" w:fill="auto"/>
            <w:vAlign w:val="center"/>
          </w:tcPr>
          <w:p w14:paraId="25B5D8C4" w14:textId="77777777" w:rsidR="00DD5C9C" w:rsidRPr="00501FF8" w:rsidRDefault="00DD5C9C" w:rsidP="003B5D42">
            <w:pPr>
              <w:jc w:val="center"/>
              <w:rPr>
                <w:color w:val="000000"/>
                <w:sz w:val="18"/>
                <w:szCs w:val="18"/>
                <w:lang w:bidi="ar-SA"/>
              </w:rPr>
            </w:pPr>
            <w:r w:rsidRPr="00501FF8">
              <w:rPr>
                <w:color w:val="000000"/>
                <w:sz w:val="18"/>
                <w:szCs w:val="18"/>
                <w:lang w:bidi="ar-SA"/>
              </w:rPr>
              <w:t>5.7</w:t>
            </w:r>
          </w:p>
        </w:tc>
      </w:tr>
      <w:tr w:rsidR="00DD5C9C" w:rsidRPr="003238CF" w14:paraId="25B5D8CA" w14:textId="77777777" w:rsidTr="003B5D42">
        <w:trPr>
          <w:trHeight w:val="283"/>
        </w:trPr>
        <w:tc>
          <w:tcPr>
            <w:tcW w:w="1951" w:type="dxa"/>
            <w:noWrap/>
            <w:vAlign w:val="center"/>
            <w:hideMark/>
          </w:tcPr>
          <w:p w14:paraId="25B5D8C6" w14:textId="77777777" w:rsidR="00DD5C9C" w:rsidRPr="00501FF8" w:rsidRDefault="00DD5C9C" w:rsidP="003B5D42">
            <w:pPr>
              <w:rPr>
                <w:color w:val="000000"/>
                <w:sz w:val="18"/>
                <w:szCs w:val="18"/>
                <w:lang w:eastAsia="en-GB" w:bidi="ar-SA"/>
              </w:rPr>
            </w:pPr>
            <w:r w:rsidRPr="00501FF8">
              <w:rPr>
                <w:color w:val="000000"/>
                <w:sz w:val="18"/>
                <w:szCs w:val="18"/>
                <w:lang w:eastAsia="en-GB" w:bidi="ar-SA"/>
              </w:rPr>
              <w:t xml:space="preserve">1995 </w:t>
            </w:r>
            <w:r>
              <w:rPr>
                <w:color w:val="000000"/>
                <w:sz w:val="18"/>
                <w:szCs w:val="18"/>
                <w:lang w:eastAsia="en-GB" w:bidi="ar-SA"/>
              </w:rPr>
              <w:t>A</w:t>
            </w:r>
            <w:r w:rsidRPr="00501FF8">
              <w:rPr>
                <w:color w:val="000000"/>
                <w:sz w:val="18"/>
                <w:szCs w:val="18"/>
                <w:lang w:eastAsia="en-GB" w:bidi="ar-SA"/>
              </w:rPr>
              <w:t>NNS</w:t>
            </w:r>
          </w:p>
        </w:tc>
        <w:tc>
          <w:tcPr>
            <w:tcW w:w="1843" w:type="dxa"/>
            <w:noWrap/>
            <w:vAlign w:val="center"/>
            <w:hideMark/>
          </w:tcPr>
          <w:p w14:paraId="25B5D8C7" w14:textId="77777777" w:rsidR="00DD5C9C" w:rsidRPr="00501FF8" w:rsidRDefault="00DD5C9C" w:rsidP="003B5D42">
            <w:pPr>
              <w:rPr>
                <w:bCs/>
                <w:color w:val="000000"/>
                <w:sz w:val="18"/>
                <w:szCs w:val="18"/>
                <w:lang w:eastAsia="en-GB" w:bidi="ar-SA"/>
              </w:rPr>
            </w:pPr>
            <w:r w:rsidRPr="00501FF8">
              <w:rPr>
                <w:bCs/>
                <w:color w:val="000000"/>
                <w:sz w:val="18"/>
                <w:szCs w:val="18"/>
                <w:lang w:eastAsia="en-GB" w:bidi="ar-SA"/>
              </w:rPr>
              <w:t xml:space="preserve">17 </w:t>
            </w:r>
            <w:r w:rsidRPr="00501FF8">
              <w:rPr>
                <w:color w:val="000000"/>
                <w:sz w:val="18"/>
                <w:szCs w:val="18"/>
                <w:lang w:eastAsia="en-GB" w:bidi="ar-SA"/>
              </w:rPr>
              <w:t>years</w:t>
            </w:r>
            <w:r w:rsidRPr="00501FF8">
              <w:rPr>
                <w:bCs/>
                <w:color w:val="000000"/>
                <w:sz w:val="18"/>
                <w:szCs w:val="18"/>
                <w:lang w:eastAsia="en-GB" w:bidi="ar-SA"/>
              </w:rPr>
              <w:t xml:space="preserve"> &amp; above</w:t>
            </w:r>
          </w:p>
        </w:tc>
        <w:tc>
          <w:tcPr>
            <w:tcW w:w="2906" w:type="dxa"/>
            <w:shd w:val="clear" w:color="auto" w:fill="auto"/>
            <w:vAlign w:val="center"/>
          </w:tcPr>
          <w:p w14:paraId="25B5D8C8" w14:textId="77777777" w:rsidR="00DD5C9C" w:rsidRPr="00501FF8" w:rsidRDefault="00DD5C9C" w:rsidP="003B5D42">
            <w:pPr>
              <w:jc w:val="center"/>
              <w:rPr>
                <w:color w:val="000000"/>
                <w:sz w:val="18"/>
                <w:szCs w:val="18"/>
                <w:lang w:bidi="ar-SA"/>
              </w:rPr>
            </w:pPr>
            <w:r w:rsidRPr="00501FF8">
              <w:rPr>
                <w:color w:val="000000"/>
                <w:sz w:val="18"/>
                <w:szCs w:val="18"/>
                <w:lang w:bidi="ar-SA"/>
              </w:rPr>
              <w:t>3.5</w:t>
            </w:r>
          </w:p>
        </w:tc>
        <w:tc>
          <w:tcPr>
            <w:tcW w:w="2906" w:type="dxa"/>
            <w:shd w:val="clear" w:color="auto" w:fill="auto"/>
            <w:vAlign w:val="center"/>
          </w:tcPr>
          <w:p w14:paraId="25B5D8C9" w14:textId="77777777" w:rsidR="00DD5C9C" w:rsidRPr="00501FF8" w:rsidRDefault="00DD5C9C" w:rsidP="003B5D42">
            <w:pPr>
              <w:jc w:val="center"/>
              <w:rPr>
                <w:color w:val="000000"/>
                <w:sz w:val="18"/>
                <w:szCs w:val="18"/>
                <w:lang w:bidi="ar-SA"/>
              </w:rPr>
            </w:pPr>
            <w:r w:rsidRPr="00501FF8">
              <w:rPr>
                <w:color w:val="000000"/>
                <w:sz w:val="18"/>
                <w:szCs w:val="18"/>
                <w:lang w:bidi="ar-SA"/>
              </w:rPr>
              <w:t>6.6</w:t>
            </w:r>
          </w:p>
        </w:tc>
      </w:tr>
      <w:tr w:rsidR="00DD5C9C" w:rsidRPr="003238CF" w14:paraId="25B5D8CF" w14:textId="77777777" w:rsidTr="003B5D42">
        <w:trPr>
          <w:trHeight w:val="283"/>
        </w:trPr>
        <w:tc>
          <w:tcPr>
            <w:tcW w:w="1951" w:type="dxa"/>
            <w:vMerge w:val="restart"/>
            <w:noWrap/>
            <w:vAlign w:val="center"/>
            <w:hideMark/>
          </w:tcPr>
          <w:p w14:paraId="25B5D8CB" w14:textId="77777777" w:rsidR="00DD5C9C" w:rsidRPr="00501FF8" w:rsidRDefault="00DD5C9C" w:rsidP="003B5D42">
            <w:pPr>
              <w:rPr>
                <w:color w:val="000000"/>
                <w:sz w:val="18"/>
                <w:szCs w:val="18"/>
                <w:lang w:eastAsia="en-GB" w:bidi="ar-SA"/>
              </w:rPr>
            </w:pPr>
            <w:r w:rsidRPr="00501FF8">
              <w:rPr>
                <w:color w:val="000000"/>
                <w:sz w:val="18"/>
                <w:szCs w:val="18"/>
                <w:lang w:eastAsia="en-GB" w:bidi="ar-SA"/>
              </w:rPr>
              <w:t>2002 NZ NCNS</w:t>
            </w:r>
          </w:p>
        </w:tc>
        <w:tc>
          <w:tcPr>
            <w:tcW w:w="1843" w:type="dxa"/>
            <w:vAlign w:val="center"/>
            <w:hideMark/>
          </w:tcPr>
          <w:p w14:paraId="25B5D8CC" w14:textId="77777777" w:rsidR="00DD5C9C" w:rsidRPr="00501FF8" w:rsidRDefault="00DD5C9C" w:rsidP="003B5D42">
            <w:pPr>
              <w:rPr>
                <w:bCs/>
                <w:color w:val="000000"/>
                <w:sz w:val="18"/>
                <w:szCs w:val="18"/>
                <w:lang w:eastAsia="en-GB" w:bidi="ar-SA"/>
              </w:rPr>
            </w:pPr>
            <w:r w:rsidRPr="00501FF8">
              <w:rPr>
                <w:color w:val="000000"/>
                <w:sz w:val="18"/>
                <w:szCs w:val="18"/>
                <w:lang w:bidi="ar-SA"/>
              </w:rPr>
              <w:t>5–8 years</w:t>
            </w:r>
          </w:p>
        </w:tc>
        <w:tc>
          <w:tcPr>
            <w:tcW w:w="2906" w:type="dxa"/>
            <w:shd w:val="clear" w:color="auto" w:fill="auto"/>
            <w:vAlign w:val="center"/>
          </w:tcPr>
          <w:p w14:paraId="25B5D8CD" w14:textId="77777777" w:rsidR="00DD5C9C" w:rsidRPr="00501FF8" w:rsidRDefault="00DD5C9C" w:rsidP="003B5D42">
            <w:pPr>
              <w:jc w:val="center"/>
              <w:rPr>
                <w:color w:val="000000"/>
                <w:sz w:val="18"/>
                <w:szCs w:val="18"/>
                <w:lang w:bidi="ar-SA"/>
              </w:rPr>
            </w:pPr>
            <w:r w:rsidRPr="00501FF8">
              <w:rPr>
                <w:color w:val="000000"/>
                <w:sz w:val="18"/>
                <w:szCs w:val="18"/>
                <w:lang w:bidi="ar-SA"/>
              </w:rPr>
              <w:t>2.3</w:t>
            </w:r>
          </w:p>
        </w:tc>
        <w:tc>
          <w:tcPr>
            <w:tcW w:w="2906" w:type="dxa"/>
            <w:shd w:val="clear" w:color="auto" w:fill="auto"/>
            <w:vAlign w:val="center"/>
          </w:tcPr>
          <w:p w14:paraId="25B5D8CE" w14:textId="77777777" w:rsidR="00DD5C9C" w:rsidRPr="00501FF8" w:rsidRDefault="00DD5C9C" w:rsidP="003B5D42">
            <w:pPr>
              <w:jc w:val="center"/>
              <w:rPr>
                <w:color w:val="000000"/>
                <w:sz w:val="18"/>
                <w:szCs w:val="18"/>
                <w:lang w:bidi="ar-SA"/>
              </w:rPr>
            </w:pPr>
            <w:r w:rsidRPr="00501FF8">
              <w:rPr>
                <w:color w:val="000000"/>
                <w:sz w:val="18"/>
                <w:szCs w:val="18"/>
                <w:lang w:bidi="ar-SA"/>
              </w:rPr>
              <w:t>3.6</w:t>
            </w:r>
          </w:p>
        </w:tc>
      </w:tr>
      <w:tr w:rsidR="00DD5C9C" w:rsidRPr="003238CF" w14:paraId="25B5D8D4" w14:textId="77777777" w:rsidTr="003B5D42">
        <w:trPr>
          <w:trHeight w:val="283"/>
        </w:trPr>
        <w:tc>
          <w:tcPr>
            <w:tcW w:w="1951" w:type="dxa"/>
            <w:vMerge/>
            <w:noWrap/>
            <w:vAlign w:val="center"/>
          </w:tcPr>
          <w:p w14:paraId="25B5D8D0" w14:textId="77777777" w:rsidR="00DD5C9C" w:rsidRPr="00501FF8" w:rsidRDefault="00DD5C9C" w:rsidP="003B5D42">
            <w:pPr>
              <w:rPr>
                <w:color w:val="000000"/>
                <w:sz w:val="18"/>
                <w:szCs w:val="18"/>
                <w:lang w:eastAsia="en-GB" w:bidi="ar-SA"/>
              </w:rPr>
            </w:pPr>
          </w:p>
        </w:tc>
        <w:tc>
          <w:tcPr>
            <w:tcW w:w="1843" w:type="dxa"/>
            <w:vAlign w:val="center"/>
          </w:tcPr>
          <w:p w14:paraId="25B5D8D1" w14:textId="77777777" w:rsidR="00DD5C9C" w:rsidRPr="00501FF8" w:rsidRDefault="00DD5C9C" w:rsidP="003B5D42">
            <w:pPr>
              <w:rPr>
                <w:bCs/>
                <w:color w:val="000000"/>
                <w:sz w:val="18"/>
                <w:szCs w:val="18"/>
                <w:lang w:eastAsia="en-GB" w:bidi="ar-SA"/>
              </w:rPr>
            </w:pPr>
            <w:r w:rsidRPr="00501FF8">
              <w:rPr>
                <w:color w:val="000000"/>
                <w:sz w:val="18"/>
                <w:szCs w:val="18"/>
                <w:lang w:bidi="ar-SA"/>
              </w:rPr>
              <w:t>9–13 years</w:t>
            </w:r>
          </w:p>
        </w:tc>
        <w:tc>
          <w:tcPr>
            <w:tcW w:w="2906" w:type="dxa"/>
            <w:shd w:val="clear" w:color="auto" w:fill="auto"/>
            <w:vAlign w:val="center"/>
          </w:tcPr>
          <w:p w14:paraId="25B5D8D2" w14:textId="77777777" w:rsidR="00DD5C9C" w:rsidRPr="00501FF8" w:rsidRDefault="00DD5C9C" w:rsidP="003B5D42">
            <w:pPr>
              <w:jc w:val="center"/>
              <w:rPr>
                <w:color w:val="000000"/>
                <w:sz w:val="18"/>
                <w:szCs w:val="18"/>
                <w:lang w:bidi="ar-SA"/>
              </w:rPr>
            </w:pPr>
            <w:r w:rsidRPr="00501FF8">
              <w:rPr>
                <w:color w:val="000000"/>
                <w:sz w:val="18"/>
                <w:szCs w:val="18"/>
                <w:lang w:bidi="ar-SA"/>
              </w:rPr>
              <w:t>2.8</w:t>
            </w:r>
          </w:p>
        </w:tc>
        <w:tc>
          <w:tcPr>
            <w:tcW w:w="2906" w:type="dxa"/>
            <w:shd w:val="clear" w:color="auto" w:fill="auto"/>
            <w:vAlign w:val="center"/>
          </w:tcPr>
          <w:p w14:paraId="25B5D8D3" w14:textId="77777777" w:rsidR="00DD5C9C" w:rsidRPr="00501FF8" w:rsidRDefault="00DD5C9C" w:rsidP="003B5D42">
            <w:pPr>
              <w:jc w:val="center"/>
              <w:rPr>
                <w:color w:val="000000"/>
                <w:sz w:val="18"/>
                <w:szCs w:val="18"/>
                <w:lang w:bidi="ar-SA"/>
              </w:rPr>
            </w:pPr>
            <w:r w:rsidRPr="00501FF8">
              <w:rPr>
                <w:color w:val="000000"/>
                <w:sz w:val="18"/>
                <w:szCs w:val="18"/>
                <w:lang w:bidi="ar-SA"/>
              </w:rPr>
              <w:t>4.8</w:t>
            </w:r>
          </w:p>
        </w:tc>
      </w:tr>
      <w:tr w:rsidR="00DD5C9C" w:rsidRPr="003238CF" w14:paraId="25B5D8D9" w14:textId="77777777" w:rsidTr="003B5D42">
        <w:trPr>
          <w:trHeight w:val="283"/>
        </w:trPr>
        <w:tc>
          <w:tcPr>
            <w:tcW w:w="1951" w:type="dxa"/>
            <w:vMerge/>
            <w:noWrap/>
            <w:vAlign w:val="center"/>
          </w:tcPr>
          <w:p w14:paraId="25B5D8D5" w14:textId="77777777" w:rsidR="00DD5C9C" w:rsidRPr="00501FF8" w:rsidRDefault="00DD5C9C" w:rsidP="003B5D42">
            <w:pPr>
              <w:rPr>
                <w:color w:val="000000"/>
                <w:sz w:val="18"/>
                <w:szCs w:val="18"/>
                <w:lang w:eastAsia="en-GB" w:bidi="ar-SA"/>
              </w:rPr>
            </w:pPr>
          </w:p>
        </w:tc>
        <w:tc>
          <w:tcPr>
            <w:tcW w:w="1843" w:type="dxa"/>
            <w:vAlign w:val="center"/>
          </w:tcPr>
          <w:p w14:paraId="25B5D8D6" w14:textId="77777777" w:rsidR="00DD5C9C" w:rsidRPr="00501FF8" w:rsidRDefault="00DD5C9C" w:rsidP="003B5D42">
            <w:pPr>
              <w:rPr>
                <w:bCs/>
                <w:color w:val="000000"/>
                <w:sz w:val="18"/>
                <w:szCs w:val="18"/>
                <w:lang w:eastAsia="en-GB" w:bidi="ar-SA"/>
              </w:rPr>
            </w:pPr>
            <w:r w:rsidRPr="00501FF8">
              <w:rPr>
                <w:color w:val="000000"/>
                <w:sz w:val="18"/>
                <w:szCs w:val="18"/>
                <w:lang w:bidi="ar-SA"/>
              </w:rPr>
              <w:t>14 years</w:t>
            </w:r>
          </w:p>
        </w:tc>
        <w:tc>
          <w:tcPr>
            <w:tcW w:w="2906" w:type="dxa"/>
            <w:shd w:val="clear" w:color="auto" w:fill="auto"/>
            <w:vAlign w:val="center"/>
          </w:tcPr>
          <w:p w14:paraId="25B5D8D7" w14:textId="77777777" w:rsidR="00DD5C9C" w:rsidRPr="00501FF8" w:rsidRDefault="00DD5C9C" w:rsidP="003B5D42">
            <w:pPr>
              <w:jc w:val="center"/>
              <w:rPr>
                <w:color w:val="000000"/>
                <w:sz w:val="18"/>
                <w:szCs w:val="18"/>
                <w:lang w:bidi="ar-SA"/>
              </w:rPr>
            </w:pPr>
            <w:r w:rsidRPr="00501FF8">
              <w:rPr>
                <w:color w:val="000000"/>
                <w:sz w:val="18"/>
                <w:szCs w:val="18"/>
                <w:lang w:bidi="ar-SA"/>
              </w:rPr>
              <w:t>3.5</w:t>
            </w:r>
          </w:p>
        </w:tc>
        <w:tc>
          <w:tcPr>
            <w:tcW w:w="2906" w:type="dxa"/>
            <w:shd w:val="clear" w:color="auto" w:fill="auto"/>
            <w:vAlign w:val="center"/>
          </w:tcPr>
          <w:p w14:paraId="25B5D8D8" w14:textId="77777777" w:rsidR="00DD5C9C" w:rsidRPr="00501FF8" w:rsidRDefault="00DD5C9C" w:rsidP="003B5D42">
            <w:pPr>
              <w:jc w:val="center"/>
              <w:rPr>
                <w:color w:val="000000"/>
                <w:sz w:val="18"/>
                <w:szCs w:val="18"/>
                <w:lang w:bidi="ar-SA"/>
              </w:rPr>
            </w:pPr>
            <w:r w:rsidRPr="00501FF8">
              <w:rPr>
                <w:color w:val="000000"/>
                <w:sz w:val="18"/>
                <w:szCs w:val="18"/>
                <w:lang w:bidi="ar-SA"/>
              </w:rPr>
              <w:t>5.4</w:t>
            </w:r>
          </w:p>
        </w:tc>
      </w:tr>
      <w:tr w:rsidR="00DD5C9C" w:rsidRPr="003238CF" w14:paraId="25B5D8DE" w14:textId="77777777" w:rsidTr="003B5D42">
        <w:trPr>
          <w:trHeight w:val="283"/>
        </w:trPr>
        <w:tc>
          <w:tcPr>
            <w:tcW w:w="1951" w:type="dxa"/>
            <w:noWrap/>
            <w:vAlign w:val="center"/>
          </w:tcPr>
          <w:p w14:paraId="25B5D8DA" w14:textId="77777777" w:rsidR="00DD5C9C" w:rsidRPr="00501FF8" w:rsidRDefault="00DD5C9C" w:rsidP="003B5D42">
            <w:pPr>
              <w:rPr>
                <w:color w:val="000000"/>
                <w:sz w:val="18"/>
                <w:szCs w:val="18"/>
                <w:lang w:eastAsia="en-GB" w:bidi="ar-SA"/>
              </w:rPr>
            </w:pPr>
            <w:r w:rsidRPr="00501FF8">
              <w:rPr>
                <w:color w:val="000000"/>
                <w:sz w:val="18"/>
                <w:szCs w:val="18"/>
                <w:lang w:eastAsia="en-GB" w:bidi="ar-SA"/>
              </w:rPr>
              <w:t>2008–09 NZ NNS</w:t>
            </w:r>
          </w:p>
        </w:tc>
        <w:tc>
          <w:tcPr>
            <w:tcW w:w="1843" w:type="dxa"/>
            <w:noWrap/>
            <w:vAlign w:val="center"/>
          </w:tcPr>
          <w:p w14:paraId="25B5D8DB" w14:textId="77777777" w:rsidR="00DD5C9C" w:rsidRPr="00501FF8" w:rsidRDefault="00DD5C9C" w:rsidP="003B5D42">
            <w:pPr>
              <w:rPr>
                <w:color w:val="000000"/>
                <w:sz w:val="18"/>
                <w:szCs w:val="18"/>
                <w:lang w:eastAsia="en-GB" w:bidi="ar-SA"/>
              </w:rPr>
            </w:pPr>
            <w:r w:rsidRPr="00501FF8">
              <w:rPr>
                <w:color w:val="000000"/>
                <w:sz w:val="18"/>
                <w:szCs w:val="18"/>
                <w:lang w:eastAsia="en-GB" w:bidi="ar-SA"/>
              </w:rPr>
              <w:t>15 years &amp; above</w:t>
            </w:r>
          </w:p>
        </w:tc>
        <w:tc>
          <w:tcPr>
            <w:tcW w:w="2906" w:type="dxa"/>
            <w:vAlign w:val="center"/>
          </w:tcPr>
          <w:p w14:paraId="25B5D8DC" w14:textId="77777777" w:rsidR="00DD5C9C" w:rsidRPr="00501FF8" w:rsidRDefault="00DD5C9C" w:rsidP="003B5D42">
            <w:pPr>
              <w:jc w:val="center"/>
              <w:rPr>
                <w:color w:val="000000"/>
                <w:sz w:val="18"/>
                <w:szCs w:val="18"/>
                <w:lang w:bidi="ar-SA"/>
              </w:rPr>
            </w:pPr>
            <w:r w:rsidRPr="00501FF8">
              <w:rPr>
                <w:color w:val="000000"/>
                <w:sz w:val="18"/>
                <w:szCs w:val="18"/>
                <w:lang w:bidi="ar-SA"/>
              </w:rPr>
              <w:t>3.4</w:t>
            </w:r>
          </w:p>
        </w:tc>
        <w:tc>
          <w:tcPr>
            <w:tcW w:w="2906" w:type="dxa"/>
            <w:vAlign w:val="center"/>
          </w:tcPr>
          <w:p w14:paraId="25B5D8DD" w14:textId="77777777" w:rsidR="00DD5C9C" w:rsidRPr="00501FF8" w:rsidRDefault="00DD5C9C" w:rsidP="003B5D42">
            <w:pPr>
              <w:jc w:val="center"/>
              <w:rPr>
                <w:color w:val="000000"/>
                <w:sz w:val="18"/>
                <w:szCs w:val="18"/>
                <w:lang w:bidi="ar-SA"/>
              </w:rPr>
            </w:pPr>
            <w:r w:rsidRPr="00501FF8">
              <w:rPr>
                <w:color w:val="000000"/>
                <w:sz w:val="18"/>
                <w:szCs w:val="18"/>
                <w:lang w:bidi="ar-SA"/>
              </w:rPr>
              <w:t>6.4</w:t>
            </w:r>
          </w:p>
        </w:tc>
      </w:tr>
    </w:tbl>
    <w:p w14:paraId="25B5D8DF" w14:textId="77777777" w:rsidR="00DD5C9C" w:rsidRPr="00C10787" w:rsidRDefault="00DD5C9C" w:rsidP="003B5D42">
      <w:pPr>
        <w:rPr>
          <w:sz w:val="20"/>
          <w:lang w:bidi="ar-SA"/>
        </w:rPr>
      </w:pPr>
      <w:r w:rsidRPr="00C10787">
        <w:rPr>
          <w:sz w:val="20"/>
          <w:lang w:bidi="ar-SA"/>
        </w:rPr>
        <w:t xml:space="preserve">* </w:t>
      </w:r>
      <w:r w:rsidRPr="003B6453">
        <w:rPr>
          <w:sz w:val="18"/>
          <w:szCs w:val="18"/>
          <w:lang w:bidi="ar-SA"/>
        </w:rPr>
        <w:t xml:space="preserve">Based on a concentration of vitamin D in breakfast cereal of 17 </w:t>
      </w:r>
      <w:r w:rsidRPr="003B6453">
        <w:rPr>
          <w:rFonts w:cs="Arial"/>
          <w:sz w:val="18"/>
          <w:szCs w:val="18"/>
          <w:lang w:bidi="ar-SA"/>
        </w:rPr>
        <w:t>µ</w:t>
      </w:r>
      <w:r w:rsidRPr="003B6453">
        <w:rPr>
          <w:sz w:val="18"/>
          <w:szCs w:val="18"/>
          <w:lang w:bidi="ar-SA"/>
        </w:rPr>
        <w:t>g/100 g, multiplied by 0.35 to represent 35% market share.</w:t>
      </w:r>
    </w:p>
    <w:p w14:paraId="25B5D8E0" w14:textId="77777777" w:rsidR="00DD5C9C" w:rsidRPr="00C10787" w:rsidRDefault="00DD5C9C" w:rsidP="003B5D42">
      <w:pPr>
        <w:rPr>
          <w:sz w:val="20"/>
          <w:lang w:bidi="ar-SA"/>
        </w:rPr>
      </w:pPr>
      <w:r w:rsidRPr="00C10787">
        <w:rPr>
          <w:sz w:val="20"/>
          <w:lang w:bidi="ar-SA"/>
        </w:rPr>
        <w:t xml:space="preserve">^ </w:t>
      </w:r>
      <w:r w:rsidRPr="003B6453">
        <w:rPr>
          <w:sz w:val="18"/>
          <w:szCs w:val="18"/>
          <w:lang w:bidi="ar-SA"/>
        </w:rPr>
        <w:t>Average of Day 1 and Day 2 consumption.</w:t>
      </w:r>
    </w:p>
    <w:p w14:paraId="25B5D8E1" w14:textId="10CF8DFE" w:rsidR="00DD5C9C" w:rsidRPr="002233C5" w:rsidRDefault="00DD5C9C" w:rsidP="003B5D42">
      <w:pPr>
        <w:pStyle w:val="Heading4"/>
      </w:pPr>
      <w:r w:rsidRPr="002233C5">
        <w:t xml:space="preserve">Use of dietary supplements by Australian and New Zealand populations </w:t>
      </w:r>
    </w:p>
    <w:p w14:paraId="25B5D8E2" w14:textId="1142AF0E" w:rsidR="00B62436" w:rsidRDefault="00DD5C9C" w:rsidP="003B5D42">
      <w:pPr>
        <w:autoSpaceDE w:val="0"/>
        <w:autoSpaceDN w:val="0"/>
        <w:adjustRightInd w:val="0"/>
        <w:rPr>
          <w:lang w:bidi="ar-SA"/>
        </w:rPr>
      </w:pPr>
      <w:r>
        <w:rPr>
          <w:lang w:bidi="ar-SA"/>
        </w:rPr>
        <w:t xml:space="preserve">The amount if vitamin D from supplements was not taken into account in the assessment of vitamin D intakes from the diet, however any effect of consuming supplements on vitamin D status would have been captured in individuals’ serum 25OHD measurements, where national nutrition surveys included a biomedical component. It is noted that the proportion of the Australian and New Zealand populations that reported consuming vitamin D supplements was low in all surveys collecting information on supplement use. </w:t>
      </w:r>
      <w:r w:rsidR="00B62436">
        <w:rPr>
          <w:lang w:bidi="ar-SA"/>
        </w:rPr>
        <w:br w:type="page"/>
      </w:r>
    </w:p>
    <w:p w14:paraId="25B5D8E4" w14:textId="77777777" w:rsidR="00DD5C9C" w:rsidRPr="00C10787" w:rsidRDefault="00DD5C9C" w:rsidP="003B5D42">
      <w:pPr>
        <w:autoSpaceDE w:val="0"/>
        <w:autoSpaceDN w:val="0"/>
        <w:adjustRightInd w:val="0"/>
        <w:rPr>
          <w:lang w:bidi="ar-SA"/>
        </w:rPr>
      </w:pPr>
      <w:r w:rsidRPr="00C10787">
        <w:rPr>
          <w:lang w:bidi="ar-SA"/>
        </w:rPr>
        <w:lastRenderedPageBreak/>
        <w:t>Both the 2002 NCNS and 2007 ANCNPAS collected detailed information on children’s use of dietary supplements. Approximately 19% of Australian children aged 2</w:t>
      </w:r>
      <w:r w:rsidRPr="00EB1FB9">
        <w:rPr>
          <w:lang w:bidi="ar-SA"/>
        </w:rPr>
        <w:t>–</w:t>
      </w:r>
      <w:r w:rsidRPr="00C10787">
        <w:rPr>
          <w:lang w:bidi="ar-SA"/>
        </w:rPr>
        <w:t>16 reported consuming at least one dietary supplement on either or both days for the 2007 ANCNPAS. No vitamin D only supplements were reported as consumed in the 2007 ANCNPAS. About 5% of New Zealand children aged 5</w:t>
      </w:r>
      <w:r w:rsidRPr="00EB1FB9">
        <w:rPr>
          <w:lang w:bidi="ar-SA"/>
        </w:rPr>
        <w:t>–</w:t>
      </w:r>
      <w:r w:rsidRPr="00C10787">
        <w:rPr>
          <w:lang w:bidi="ar-SA"/>
        </w:rPr>
        <w:t>14 years reported consuming a dietary supplement in the 2002 NCNS, the most frequently consumed being multivitamins &amp; minerals (2.1%) and vitamin C (2%). The consumption of vitamin D only supplements by New Zealan</w:t>
      </w:r>
      <w:r>
        <w:rPr>
          <w:lang w:bidi="ar-SA"/>
        </w:rPr>
        <w:t>d children was not reported (Mo</w:t>
      </w:r>
      <w:r w:rsidRPr="00C10787">
        <w:rPr>
          <w:lang w:bidi="ar-SA"/>
        </w:rPr>
        <w:t>H, 2003).</w:t>
      </w:r>
    </w:p>
    <w:p w14:paraId="25B5D8E5" w14:textId="77777777" w:rsidR="00DD5C9C" w:rsidRPr="00C10787" w:rsidRDefault="00DD5C9C" w:rsidP="003B5D42">
      <w:pPr>
        <w:ind w:right="-472"/>
        <w:rPr>
          <w:lang w:bidi="ar-SA"/>
        </w:rPr>
      </w:pPr>
    </w:p>
    <w:p w14:paraId="25B5D8E6" w14:textId="77777777" w:rsidR="00DD5C9C" w:rsidRPr="00C10787" w:rsidRDefault="00DD5C9C" w:rsidP="003B5D42">
      <w:pPr>
        <w:ind w:right="-472"/>
        <w:rPr>
          <w:lang w:bidi="ar-SA"/>
        </w:rPr>
      </w:pPr>
      <w:r w:rsidRPr="00C10787">
        <w:rPr>
          <w:lang w:bidi="ar-SA"/>
        </w:rPr>
        <w:t>In the 2011</w:t>
      </w:r>
      <w:r w:rsidRPr="00EB1FB9">
        <w:rPr>
          <w:lang w:bidi="ar-SA"/>
        </w:rPr>
        <w:t>–</w:t>
      </w:r>
      <w:r w:rsidRPr="00C10787">
        <w:rPr>
          <w:lang w:bidi="ar-SA"/>
        </w:rPr>
        <w:t>12 NNPAS component of the AHS, 29% of Australians aged 2 years and above reported taking at least one dietary supplement on the day prior to interview</w:t>
      </w:r>
      <w:r w:rsidRPr="00C858C8">
        <w:rPr>
          <w:lang w:bidi="ar-SA"/>
        </w:rPr>
        <w:t>.</w:t>
      </w:r>
      <w:r w:rsidRPr="00C10787">
        <w:rPr>
          <w:lang w:bidi="ar-SA"/>
        </w:rPr>
        <w:t xml:space="preserve"> Multi-vitamin and/or -mineral supplements were the most commonly taken dietary supplements, being consumed by around 16% of the population </w:t>
      </w:r>
      <w:r>
        <w:rPr>
          <w:lang w:bidi="ar-SA"/>
        </w:rPr>
        <w:t>and</w:t>
      </w:r>
      <w:r w:rsidRPr="00C10787">
        <w:rPr>
          <w:lang w:bidi="ar-SA"/>
        </w:rPr>
        <w:t xml:space="preserve"> </w:t>
      </w:r>
      <w:r>
        <w:rPr>
          <w:lang w:bidi="ar-SA"/>
        </w:rPr>
        <w:t>f</w:t>
      </w:r>
      <w:r w:rsidRPr="00C10787">
        <w:rPr>
          <w:lang w:bidi="ar-SA"/>
        </w:rPr>
        <w:t>ish oil supplements taken by around 12% of the population. Thirteen percent of Australians aged 2</w:t>
      </w:r>
      <w:r w:rsidRPr="00EB1FB9">
        <w:rPr>
          <w:lang w:bidi="ar-SA"/>
        </w:rPr>
        <w:t>–</w:t>
      </w:r>
      <w:r w:rsidRPr="00C10787">
        <w:rPr>
          <w:lang w:bidi="ar-SA"/>
        </w:rPr>
        <w:t xml:space="preserve">18 </w:t>
      </w:r>
      <w:r>
        <w:rPr>
          <w:lang w:bidi="ar-SA"/>
        </w:rPr>
        <w:t xml:space="preserve">years </w:t>
      </w:r>
      <w:r w:rsidRPr="00C10787">
        <w:rPr>
          <w:lang w:bidi="ar-SA"/>
        </w:rPr>
        <w:t>reported consuming multi-vitamin and/or -mineral supplements. Less than 1% of Australians aged 2</w:t>
      </w:r>
      <w:r w:rsidRPr="00EB1FB9">
        <w:rPr>
          <w:lang w:bidi="ar-SA"/>
        </w:rPr>
        <w:t>–</w:t>
      </w:r>
      <w:r w:rsidRPr="00C10787">
        <w:rPr>
          <w:lang w:bidi="ar-SA"/>
        </w:rPr>
        <w:t xml:space="preserve">18 </w:t>
      </w:r>
      <w:r>
        <w:rPr>
          <w:lang w:bidi="ar-SA"/>
        </w:rPr>
        <w:t xml:space="preserve">years </w:t>
      </w:r>
      <w:r w:rsidRPr="00C10787">
        <w:rPr>
          <w:lang w:bidi="ar-SA"/>
        </w:rPr>
        <w:t>reported consuming vitamin D supplements as identified in that survey. No respondents aged 2</w:t>
      </w:r>
      <w:r w:rsidRPr="00EB1FB9">
        <w:rPr>
          <w:lang w:bidi="ar-SA"/>
        </w:rPr>
        <w:t>–</w:t>
      </w:r>
      <w:r w:rsidRPr="00C10787">
        <w:rPr>
          <w:lang w:bidi="ar-SA"/>
        </w:rPr>
        <w:t>8 years reported consuming vitamin D supplements</w:t>
      </w:r>
      <w:r>
        <w:rPr>
          <w:lang w:bidi="ar-SA"/>
        </w:rPr>
        <w:t>. The ABS reported that persons with high serum 25OHD levels reported in the 2011</w:t>
      </w:r>
      <w:r w:rsidRPr="00EB1FB9">
        <w:rPr>
          <w:lang w:bidi="ar-SA"/>
        </w:rPr>
        <w:t>–</w:t>
      </w:r>
      <w:r>
        <w:rPr>
          <w:lang w:bidi="ar-SA"/>
        </w:rPr>
        <w:t>12 NNMS were not taking vitamin D supplements (ABS 2014a)</w:t>
      </w:r>
      <w:r w:rsidRPr="00C10787">
        <w:rPr>
          <w:lang w:bidi="ar-SA"/>
        </w:rPr>
        <w:t>.</w:t>
      </w:r>
      <w:r>
        <w:rPr>
          <w:lang w:bidi="ar-SA"/>
        </w:rPr>
        <w:t xml:space="preserve"> </w:t>
      </w:r>
    </w:p>
    <w:p w14:paraId="25B5D8E7" w14:textId="77777777" w:rsidR="00DD5C9C" w:rsidRPr="00C10787" w:rsidRDefault="00DD5C9C" w:rsidP="003B5D42">
      <w:pPr>
        <w:autoSpaceDE w:val="0"/>
        <w:autoSpaceDN w:val="0"/>
        <w:adjustRightInd w:val="0"/>
        <w:rPr>
          <w:rFonts w:eastAsia="Calibri" w:cs="Arial"/>
          <w:color w:val="000000"/>
          <w:sz w:val="24"/>
          <w:lang w:bidi="ar-SA"/>
        </w:rPr>
      </w:pPr>
    </w:p>
    <w:p w14:paraId="25B5D8E8" w14:textId="77777777" w:rsidR="00DD5C9C" w:rsidRPr="003238CF" w:rsidRDefault="00DD5C9C" w:rsidP="003B5D42">
      <w:pPr>
        <w:autoSpaceDE w:val="0"/>
        <w:autoSpaceDN w:val="0"/>
        <w:adjustRightInd w:val="0"/>
        <w:rPr>
          <w:rFonts w:eastAsia="Calibri" w:cs="Arial"/>
          <w:color w:val="000000"/>
          <w:szCs w:val="22"/>
          <w:lang w:bidi="ar-SA"/>
        </w:rPr>
      </w:pPr>
      <w:r w:rsidRPr="00C10787">
        <w:rPr>
          <w:szCs w:val="22"/>
          <w:lang w:bidi="ar-SA"/>
        </w:rPr>
        <w:t>For the</w:t>
      </w:r>
      <w:r w:rsidRPr="00AD2789">
        <w:rPr>
          <w:rFonts w:cs="Arial"/>
          <w:lang w:bidi="ar-SA"/>
        </w:rPr>
        <w:t xml:space="preserve"> </w:t>
      </w:r>
      <w:r w:rsidRPr="00AD2789">
        <w:rPr>
          <w:szCs w:val="22"/>
          <w:lang w:bidi="ar-SA"/>
        </w:rPr>
        <w:t>2008</w:t>
      </w:r>
      <w:r w:rsidRPr="00EB1FB9">
        <w:rPr>
          <w:szCs w:val="22"/>
          <w:lang w:bidi="ar-SA"/>
        </w:rPr>
        <w:t>–</w:t>
      </w:r>
      <w:r w:rsidRPr="00AD2789">
        <w:rPr>
          <w:szCs w:val="22"/>
          <w:lang w:bidi="ar-SA"/>
        </w:rPr>
        <w:t xml:space="preserve">09 </w:t>
      </w:r>
      <w:r>
        <w:rPr>
          <w:szCs w:val="22"/>
          <w:lang w:bidi="ar-SA"/>
        </w:rPr>
        <w:t>NZ NNS,</w:t>
      </w:r>
      <w:r w:rsidRPr="00C10787">
        <w:rPr>
          <w:szCs w:val="22"/>
          <w:lang w:bidi="ar-SA"/>
        </w:rPr>
        <w:t xml:space="preserve"> survey respondents were asked whether they took any supplements at any time during the last 12 months. For each identified type of supplement, the frequency with which it was consumed was also recorded. </w:t>
      </w:r>
      <w:r w:rsidRPr="00C10787">
        <w:rPr>
          <w:rFonts w:eastAsia="Calibri" w:cs="Arial"/>
          <w:i/>
          <w:iCs/>
          <w:color w:val="000000"/>
          <w:szCs w:val="22"/>
          <w:lang w:bidi="ar-SA"/>
        </w:rPr>
        <w:t xml:space="preserve">Any </w:t>
      </w:r>
      <w:r w:rsidRPr="00C10787">
        <w:rPr>
          <w:rFonts w:eastAsia="Calibri" w:cs="Arial"/>
          <w:color w:val="000000"/>
          <w:szCs w:val="22"/>
          <w:lang w:bidi="ar-SA"/>
        </w:rPr>
        <w:t xml:space="preserve">supplement use in the last year was reported by 47.6% of New Zealanders aged 15 years and above. Of the total population, 30.7% were </w:t>
      </w:r>
      <w:r w:rsidRPr="00C10787">
        <w:rPr>
          <w:rFonts w:eastAsia="Calibri" w:cs="Arial"/>
          <w:i/>
          <w:iCs/>
          <w:color w:val="000000"/>
          <w:szCs w:val="22"/>
          <w:lang w:bidi="ar-SA"/>
        </w:rPr>
        <w:t xml:space="preserve">regular </w:t>
      </w:r>
      <w:r w:rsidRPr="00C10787">
        <w:rPr>
          <w:rFonts w:eastAsia="Calibri" w:cs="Arial"/>
          <w:iCs/>
          <w:color w:val="000000"/>
          <w:szCs w:val="22"/>
          <w:lang w:bidi="ar-SA"/>
        </w:rPr>
        <w:t>supplement</w:t>
      </w:r>
      <w:r w:rsidRPr="00C10787">
        <w:rPr>
          <w:rFonts w:eastAsia="Calibri" w:cs="Arial"/>
          <w:i/>
          <w:iCs/>
          <w:color w:val="000000"/>
          <w:szCs w:val="22"/>
          <w:lang w:bidi="ar-SA"/>
        </w:rPr>
        <w:t xml:space="preserve"> </w:t>
      </w:r>
      <w:r w:rsidRPr="00C10787">
        <w:rPr>
          <w:rFonts w:eastAsia="Calibri" w:cs="Arial"/>
          <w:color w:val="000000"/>
          <w:szCs w:val="22"/>
          <w:lang w:bidi="ar-SA"/>
        </w:rPr>
        <w:t xml:space="preserve">users (consumed at least one supplement daily, more than once per week or once per week) and a further 16.9% were </w:t>
      </w:r>
      <w:r w:rsidRPr="00C10787">
        <w:rPr>
          <w:rFonts w:eastAsia="Calibri" w:cs="Arial"/>
          <w:i/>
          <w:iCs/>
          <w:color w:val="000000"/>
          <w:szCs w:val="22"/>
          <w:lang w:bidi="ar-SA"/>
        </w:rPr>
        <w:t xml:space="preserve">occasional </w:t>
      </w:r>
      <w:r w:rsidRPr="00C10787">
        <w:rPr>
          <w:rFonts w:eastAsia="Calibri" w:cs="Arial"/>
          <w:iCs/>
          <w:color w:val="000000"/>
          <w:szCs w:val="22"/>
          <w:lang w:bidi="ar-SA"/>
        </w:rPr>
        <w:t>supplement</w:t>
      </w:r>
      <w:r w:rsidRPr="00C10787">
        <w:rPr>
          <w:rFonts w:eastAsia="Calibri" w:cs="Arial"/>
          <w:i/>
          <w:iCs/>
          <w:color w:val="000000"/>
          <w:szCs w:val="22"/>
          <w:lang w:bidi="ar-SA"/>
        </w:rPr>
        <w:t xml:space="preserve"> </w:t>
      </w:r>
      <w:r w:rsidRPr="00C10787">
        <w:rPr>
          <w:rFonts w:eastAsia="Calibri" w:cs="Arial"/>
          <w:color w:val="000000"/>
          <w:szCs w:val="22"/>
          <w:lang w:bidi="ar-SA"/>
        </w:rPr>
        <w:t xml:space="preserve">users (consumed supplements less than once per week). </w:t>
      </w:r>
      <w:r w:rsidRPr="003238CF">
        <w:rPr>
          <w:rFonts w:eastAsia="Calibri" w:cs="Arial"/>
          <w:color w:val="000000"/>
          <w:szCs w:val="22"/>
          <w:lang w:bidi="ar-SA"/>
        </w:rPr>
        <w:t>The most frequently consumed supplements were oils at 16.4% and multi-vitamins/multi-minerals at 14.8%. Single vitamins were reported to be consumed by 8.6% of the population. Use of vitamin D supplements specifically was not reported.</w:t>
      </w:r>
    </w:p>
    <w:p w14:paraId="25B5D8E9" w14:textId="77777777" w:rsidR="00DD5C9C" w:rsidRPr="00967317" w:rsidRDefault="00DD5C9C" w:rsidP="003B5D42">
      <w:pPr>
        <w:pStyle w:val="Heading4"/>
      </w:pPr>
      <w:r>
        <w:t>A</w:t>
      </w:r>
      <w:r w:rsidRPr="00967317">
        <w:t>ssumptions in the assessment</w:t>
      </w:r>
    </w:p>
    <w:p w14:paraId="25B5D8EA" w14:textId="77777777" w:rsidR="00DD5C9C" w:rsidRDefault="00DD5C9C" w:rsidP="003B5D42">
      <w:pPr>
        <w:rPr>
          <w:rFonts w:cs="Arial"/>
          <w:lang w:bidi="ar-SA"/>
        </w:rPr>
      </w:pPr>
      <w:r w:rsidRPr="00C10787">
        <w:rPr>
          <w:rFonts w:cs="Arial"/>
          <w:lang w:bidi="ar-SA"/>
        </w:rPr>
        <w:t xml:space="preserve">FSANZ aims to make as realistic an estimate food consumption or </w:t>
      </w:r>
      <w:r>
        <w:rPr>
          <w:rFonts w:cs="Arial"/>
          <w:lang w:bidi="ar-SA"/>
        </w:rPr>
        <w:t>nutrient</w:t>
      </w:r>
      <w:r w:rsidRPr="00C10787">
        <w:rPr>
          <w:rFonts w:cs="Arial"/>
          <w:lang w:bidi="ar-SA"/>
        </w:rPr>
        <w:t xml:space="preserve"> intake as possible. However, where significant uncertainties in the data exist, conservative (or ‘worst-case’) assumptions are generally used to ensure that any assessment does not underestimate food consumption or nutrient intake, where the risk assessment is focused on the potential for high levels of nutrient intake.</w:t>
      </w:r>
    </w:p>
    <w:p w14:paraId="25B5D8EB" w14:textId="77777777" w:rsidR="00DD5C9C" w:rsidRPr="00C10787" w:rsidRDefault="00DD5C9C" w:rsidP="003B5D42">
      <w:pPr>
        <w:rPr>
          <w:lang w:bidi="ar-SA"/>
        </w:rPr>
      </w:pPr>
    </w:p>
    <w:p w14:paraId="25B5D8EC" w14:textId="77777777" w:rsidR="00DD5C9C" w:rsidRDefault="00DD5C9C" w:rsidP="003B5D42">
      <w:pPr>
        <w:rPr>
          <w:lang w:bidi="ar-SA"/>
        </w:rPr>
      </w:pPr>
      <w:r w:rsidRPr="00AD754B">
        <w:rPr>
          <w:lang w:bidi="ar-SA"/>
        </w:rPr>
        <w:t>Assumptions</w:t>
      </w:r>
      <w:r w:rsidRPr="00C10787">
        <w:rPr>
          <w:lang w:bidi="ar-SA"/>
        </w:rPr>
        <w:t xml:space="preserve"> made in undertaking this assessment include</w:t>
      </w:r>
      <w:r>
        <w:rPr>
          <w:lang w:bidi="ar-SA"/>
        </w:rPr>
        <w:t>d</w:t>
      </w:r>
      <w:r w:rsidRPr="00C10787">
        <w:rPr>
          <w:lang w:bidi="ar-SA"/>
        </w:rPr>
        <w:t>:</w:t>
      </w:r>
    </w:p>
    <w:p w14:paraId="25B5D8ED" w14:textId="77777777" w:rsidR="00DD5C9C" w:rsidRPr="00C10787" w:rsidRDefault="00DD5C9C" w:rsidP="003B5D42">
      <w:pPr>
        <w:rPr>
          <w:lang w:bidi="ar-SA"/>
        </w:rPr>
      </w:pPr>
    </w:p>
    <w:p w14:paraId="25B5D8EE" w14:textId="77777777" w:rsidR="00DD5C9C" w:rsidRPr="00C10787" w:rsidRDefault="00DD5C9C" w:rsidP="00F45149">
      <w:pPr>
        <w:pStyle w:val="FSBullet1"/>
      </w:pPr>
      <w:r>
        <w:t>RTE breakfast cereal</w:t>
      </w:r>
      <w:r w:rsidRPr="00C10787">
        <w:t xml:space="preserve"> </w:t>
      </w:r>
      <w:r>
        <w:t>was</w:t>
      </w:r>
      <w:r w:rsidRPr="00C10787">
        <w:t xml:space="preserve"> assumed to be fortified with vitamin D (as D</w:t>
      </w:r>
      <w:r w:rsidRPr="00BD1EEE">
        <w:rPr>
          <w:vertAlign w:val="subscript"/>
        </w:rPr>
        <w:t>2</w:t>
      </w:r>
      <w:r w:rsidRPr="00C10787">
        <w:t xml:space="preserve"> and or D</w:t>
      </w:r>
      <w:r w:rsidRPr="00BD1EEE">
        <w:rPr>
          <w:vertAlign w:val="subscript"/>
        </w:rPr>
        <w:t>3</w:t>
      </w:r>
      <w:r w:rsidRPr="00C10787">
        <w:t>), at a concentration of 17 µg/100 g</w:t>
      </w:r>
      <w:r>
        <w:t xml:space="preserve"> (Applicant’s midpoint amount per minimum serve), a value considered to be at the upper end of the range of possible concentrations</w:t>
      </w:r>
      <w:r w:rsidRPr="00C10787">
        <w:t>.</w:t>
      </w:r>
    </w:p>
    <w:p w14:paraId="25B5D8EF" w14:textId="77777777" w:rsidR="00DD5C9C" w:rsidRDefault="00F45149" w:rsidP="00F45149">
      <w:pPr>
        <w:pStyle w:val="FSBullet1"/>
        <w:spacing w:before="60"/>
      </w:pPr>
      <w:r>
        <w:t>P</w:t>
      </w:r>
      <w:r w:rsidRPr="00C10787">
        <w:t xml:space="preserve">orridge </w:t>
      </w:r>
      <w:r w:rsidR="00DD5C9C" w:rsidRPr="00C10787">
        <w:t xml:space="preserve">and other similar cooked grain </w:t>
      </w:r>
      <w:r w:rsidR="00DD5C9C">
        <w:t>cereal</w:t>
      </w:r>
      <w:r w:rsidR="00DD5C9C" w:rsidRPr="00C10787">
        <w:t xml:space="preserve">, breakfast bars and breakfast drinks </w:t>
      </w:r>
      <w:r w:rsidR="00DD5C9C">
        <w:t>were a</w:t>
      </w:r>
      <w:r w:rsidR="00DD5C9C" w:rsidRPr="00C10787">
        <w:t>ssumed not to be fortified with vitamin D</w:t>
      </w:r>
      <w:r w:rsidR="00DD5C9C">
        <w:t xml:space="preserve"> (not included in the Application).</w:t>
      </w:r>
    </w:p>
    <w:p w14:paraId="25B5D8F0" w14:textId="5CB7C972" w:rsidR="00F1441D" w:rsidRDefault="00F1441D" w:rsidP="003B5D42">
      <w:pPr>
        <w:ind w:left="720"/>
        <w:rPr>
          <w:lang w:bidi="ar-SA"/>
        </w:rPr>
      </w:pPr>
    </w:p>
    <w:p w14:paraId="25B5D8F1" w14:textId="77777777" w:rsidR="00DD5C9C" w:rsidRDefault="00DD5C9C" w:rsidP="003B5D42">
      <w:pPr>
        <w:rPr>
          <w:lang w:bidi="ar-SA"/>
        </w:rPr>
      </w:pPr>
      <w:r w:rsidRPr="00C10787">
        <w:rPr>
          <w:lang w:bidi="ar-SA"/>
        </w:rPr>
        <w:t>For the purposes of risk assessment</w:t>
      </w:r>
      <w:r>
        <w:rPr>
          <w:lang w:bidi="ar-SA"/>
        </w:rPr>
        <w:t>,</w:t>
      </w:r>
      <w:r w:rsidRPr="00C10787">
        <w:rPr>
          <w:lang w:bidi="ar-SA"/>
        </w:rPr>
        <w:t xml:space="preserve"> it is preferable to estimate nutrient intakes from all foods over a long period of time (usually estimated using specific statistical adjustments). In the context of the above vitamin D intakes </w:t>
      </w:r>
      <w:r>
        <w:rPr>
          <w:lang w:bidi="ar-SA"/>
        </w:rPr>
        <w:t>predicted</w:t>
      </w:r>
      <w:r w:rsidRPr="00C10787">
        <w:rPr>
          <w:lang w:bidi="ar-SA"/>
        </w:rPr>
        <w:t xml:space="preserve"> </w:t>
      </w:r>
      <w:r>
        <w:rPr>
          <w:lang w:bidi="ar-SA"/>
        </w:rPr>
        <w:t>fro</w:t>
      </w:r>
      <w:r w:rsidRPr="00C10787">
        <w:rPr>
          <w:lang w:bidi="ar-SA"/>
        </w:rPr>
        <w:t xml:space="preserve">m consuming fortified breakfast </w:t>
      </w:r>
      <w:r>
        <w:rPr>
          <w:lang w:bidi="ar-SA"/>
        </w:rPr>
        <w:t>cereal,</w:t>
      </w:r>
      <w:r w:rsidRPr="00C10787">
        <w:rPr>
          <w:lang w:bidi="ar-SA"/>
        </w:rPr>
        <w:t xml:space="preserve"> it is noted that these are likely to be overestimates of intakes based on long term </w:t>
      </w:r>
      <w:r>
        <w:rPr>
          <w:lang w:bidi="ar-SA"/>
        </w:rPr>
        <w:t xml:space="preserve">food </w:t>
      </w:r>
      <w:r w:rsidRPr="00C10787">
        <w:rPr>
          <w:lang w:bidi="ar-SA"/>
        </w:rPr>
        <w:t>consumption patterns a</w:t>
      </w:r>
      <w:r>
        <w:rPr>
          <w:lang w:bidi="ar-SA"/>
        </w:rPr>
        <w:t>s they were based on one or two d</w:t>
      </w:r>
      <w:r w:rsidRPr="00C10787">
        <w:rPr>
          <w:lang w:bidi="ar-SA"/>
        </w:rPr>
        <w:t>ays of records</w:t>
      </w:r>
      <w:r>
        <w:rPr>
          <w:lang w:bidi="ar-SA"/>
        </w:rPr>
        <w:t xml:space="preserve"> only</w:t>
      </w:r>
      <w:r w:rsidRPr="00C10787">
        <w:rPr>
          <w:lang w:bidi="ar-SA"/>
        </w:rPr>
        <w:t>.</w:t>
      </w:r>
    </w:p>
    <w:p w14:paraId="25B5D8F2" w14:textId="77777777" w:rsidR="00DD5C9C" w:rsidRPr="00AA0FBF" w:rsidRDefault="00DD5C9C" w:rsidP="003B5D42">
      <w:pPr>
        <w:rPr>
          <w:lang w:bidi="ar-SA"/>
        </w:rPr>
      </w:pPr>
    </w:p>
    <w:p w14:paraId="526B2D19" w14:textId="77777777" w:rsidR="00B62436" w:rsidRDefault="00B62436" w:rsidP="003B5D42">
      <w:pPr>
        <w:rPr>
          <w:lang w:bidi="ar-SA"/>
        </w:rPr>
      </w:pPr>
      <w:r>
        <w:rPr>
          <w:lang w:bidi="ar-SA"/>
        </w:rPr>
        <w:br w:type="page"/>
      </w:r>
    </w:p>
    <w:p w14:paraId="25B5D8F3" w14:textId="3A5B0F6A" w:rsidR="00DD5C9C" w:rsidRDefault="00DD5C9C" w:rsidP="003B5D42">
      <w:pPr>
        <w:rPr>
          <w:lang w:bidi="ar-SA"/>
        </w:rPr>
      </w:pPr>
      <w:r w:rsidRPr="00C10787">
        <w:rPr>
          <w:lang w:bidi="ar-SA"/>
        </w:rPr>
        <w:lastRenderedPageBreak/>
        <w:t>For more information on FSANZ dietary intake assessment</w:t>
      </w:r>
      <w:r>
        <w:rPr>
          <w:lang w:bidi="ar-SA"/>
        </w:rPr>
        <w:t>,</w:t>
      </w:r>
      <w:r w:rsidRPr="00C10787">
        <w:rPr>
          <w:lang w:bidi="ar-SA"/>
        </w:rPr>
        <w:t xml:space="preserve"> assumptions</w:t>
      </w:r>
      <w:r>
        <w:rPr>
          <w:lang w:bidi="ar-SA"/>
        </w:rPr>
        <w:t>,</w:t>
      </w:r>
      <w:r w:rsidRPr="00C10787">
        <w:rPr>
          <w:lang w:bidi="ar-SA"/>
        </w:rPr>
        <w:t xml:space="preserve"> limitations and uncertainties of the concentration and food consumption data, see the FSANZ document, </w:t>
      </w:r>
      <w:r w:rsidRPr="00C10787">
        <w:rPr>
          <w:i/>
          <w:lang w:bidi="ar-SA"/>
        </w:rPr>
        <w:t xml:space="preserve">Principles and Practices of Dietary Exposure Assessment for Food Regulatory Purposes </w:t>
      </w:r>
      <w:r w:rsidRPr="00373A5C">
        <w:rPr>
          <w:noProof/>
          <w:lang w:bidi="ar-SA"/>
        </w:rPr>
        <w:t>(FSANZ 2009)</w:t>
      </w:r>
      <w:r w:rsidRPr="00373A5C">
        <w:rPr>
          <w:lang w:bidi="ar-SA"/>
        </w:rPr>
        <w:t>.</w:t>
      </w:r>
    </w:p>
    <w:p w14:paraId="25B5D8F4" w14:textId="77777777" w:rsidR="00DD5C9C" w:rsidRDefault="00DD5C9C" w:rsidP="003B5D42">
      <w:pPr>
        <w:pStyle w:val="Heading3"/>
      </w:pPr>
      <w:bookmarkStart w:id="36" w:name="_Toc406575705"/>
      <w:r>
        <w:t>Summary – vitamin D</w:t>
      </w:r>
      <w:r w:rsidRPr="00967317">
        <w:t xml:space="preserve"> intake assessment</w:t>
      </w:r>
      <w:bookmarkEnd w:id="36"/>
    </w:p>
    <w:p w14:paraId="25B5D8F5" w14:textId="77777777" w:rsidR="00DD5C9C" w:rsidRDefault="00DD5C9C" w:rsidP="003B5D42">
      <w:pPr>
        <w:rPr>
          <w:lang w:bidi="ar-SA"/>
        </w:rPr>
      </w:pPr>
      <w:r w:rsidRPr="00C10787">
        <w:rPr>
          <w:lang w:bidi="ar-SA"/>
        </w:rPr>
        <w:t xml:space="preserve">Potential dietary intake of vitamin D from RTE breakfast </w:t>
      </w:r>
      <w:r>
        <w:rPr>
          <w:lang w:bidi="ar-SA"/>
        </w:rPr>
        <w:t>cereal</w:t>
      </w:r>
      <w:r w:rsidRPr="00C10787">
        <w:rPr>
          <w:lang w:bidi="ar-SA"/>
        </w:rPr>
        <w:t xml:space="preserve"> was predicted by deriving mean and 90</w:t>
      </w:r>
      <w:r w:rsidRPr="00C10787">
        <w:rPr>
          <w:vertAlign w:val="superscript"/>
          <w:lang w:bidi="ar-SA"/>
        </w:rPr>
        <w:t>th</w:t>
      </w:r>
      <w:r w:rsidRPr="00C10787">
        <w:rPr>
          <w:lang w:bidi="ar-SA"/>
        </w:rPr>
        <w:t xml:space="preserve"> percentile RTE breakfast cereal consumption for each population group from Australian and New Zealand NNS and as</w:t>
      </w:r>
      <w:r>
        <w:rPr>
          <w:lang w:bidi="ar-SA"/>
        </w:rPr>
        <w:t>suming all RTE breakfast cereal</w:t>
      </w:r>
      <w:r w:rsidRPr="00C10787">
        <w:rPr>
          <w:lang w:bidi="ar-SA"/>
        </w:rPr>
        <w:t xml:space="preserve"> w</w:t>
      </w:r>
      <w:r>
        <w:rPr>
          <w:lang w:bidi="ar-SA"/>
        </w:rPr>
        <w:t>as</w:t>
      </w:r>
      <w:r w:rsidRPr="00C10787">
        <w:rPr>
          <w:lang w:bidi="ar-SA"/>
        </w:rPr>
        <w:t xml:space="preserve"> fortified with vitamin D at the </w:t>
      </w:r>
      <w:r>
        <w:rPr>
          <w:lang w:bidi="ar-SA"/>
        </w:rPr>
        <w:t>midpoint</w:t>
      </w:r>
      <w:r w:rsidRPr="00C10787">
        <w:rPr>
          <w:lang w:bidi="ar-SA"/>
        </w:rPr>
        <w:t xml:space="preserve"> </w:t>
      </w:r>
      <w:r>
        <w:rPr>
          <w:lang w:bidi="ar-SA"/>
        </w:rPr>
        <w:t>estimated</w:t>
      </w:r>
      <w:r w:rsidRPr="00C10787">
        <w:rPr>
          <w:lang w:bidi="ar-SA"/>
        </w:rPr>
        <w:t xml:space="preserve"> by the Applicant or that an uptake of voluntary permissions of </w:t>
      </w:r>
      <w:r>
        <w:rPr>
          <w:lang w:bidi="ar-SA"/>
        </w:rPr>
        <w:t>35% of all RTE breakfast cereal</w:t>
      </w:r>
      <w:r w:rsidRPr="00C10787">
        <w:rPr>
          <w:lang w:bidi="ar-SA"/>
        </w:rPr>
        <w:t xml:space="preserve"> was achieved (35% market share). Assuming </w:t>
      </w:r>
      <w:r>
        <w:rPr>
          <w:lang w:bidi="ar-SA"/>
        </w:rPr>
        <w:t>a brand loyal consumer always selected RTE breakfast cereal</w:t>
      </w:r>
      <w:r w:rsidRPr="00C10787">
        <w:rPr>
          <w:lang w:bidi="ar-SA"/>
        </w:rPr>
        <w:t xml:space="preserve"> </w:t>
      </w:r>
      <w:r>
        <w:rPr>
          <w:lang w:bidi="ar-SA"/>
        </w:rPr>
        <w:t>that was</w:t>
      </w:r>
      <w:r w:rsidRPr="00C10787">
        <w:rPr>
          <w:lang w:bidi="ar-SA"/>
        </w:rPr>
        <w:t xml:space="preserve"> fortified, predicted mean intake of vitamin D from RTE breakfast </w:t>
      </w:r>
      <w:r>
        <w:rPr>
          <w:lang w:bidi="ar-SA"/>
        </w:rPr>
        <w:t>cereal</w:t>
      </w:r>
      <w:r w:rsidRPr="00C10787">
        <w:rPr>
          <w:lang w:bidi="ar-SA"/>
        </w:rPr>
        <w:t xml:space="preserve"> ranged from 4.4</w:t>
      </w:r>
      <w:r>
        <w:rPr>
          <w:lang w:bidi="ar-SA"/>
        </w:rPr>
        <w:t xml:space="preserve"> </w:t>
      </w:r>
      <w:r w:rsidRPr="00C10787">
        <w:rPr>
          <w:rFonts w:cs="Arial"/>
          <w:lang w:bidi="ar-SA"/>
        </w:rPr>
        <w:t>µ</w:t>
      </w:r>
      <w:r w:rsidRPr="00C10787">
        <w:rPr>
          <w:lang w:bidi="ar-SA"/>
        </w:rPr>
        <w:t>g/day (Australians aged 2</w:t>
      </w:r>
      <w:r w:rsidRPr="00EB1FB9">
        <w:rPr>
          <w:lang w:bidi="ar-SA"/>
        </w:rPr>
        <w:t>–</w:t>
      </w:r>
      <w:r w:rsidRPr="00C10787">
        <w:rPr>
          <w:lang w:bidi="ar-SA"/>
        </w:rPr>
        <w:t>3 years) to</w:t>
      </w:r>
      <w:r>
        <w:rPr>
          <w:lang w:bidi="ar-SA"/>
        </w:rPr>
        <w:t xml:space="preserve"> </w:t>
      </w:r>
      <w:r w:rsidRPr="00C10787">
        <w:rPr>
          <w:lang w:bidi="ar-SA"/>
        </w:rPr>
        <w:t>10.0</w:t>
      </w:r>
      <w:r>
        <w:rPr>
          <w:lang w:bidi="ar-SA"/>
        </w:rPr>
        <w:t xml:space="preserve"> </w:t>
      </w:r>
      <w:r w:rsidRPr="00C10787">
        <w:rPr>
          <w:rFonts w:cs="Arial"/>
          <w:lang w:bidi="ar-SA"/>
        </w:rPr>
        <w:t>µ</w:t>
      </w:r>
      <w:r w:rsidRPr="00C10787">
        <w:rPr>
          <w:lang w:bidi="ar-SA"/>
        </w:rPr>
        <w:t xml:space="preserve">g/day (New Zealanders aged 14 years), and from 7.7 </w:t>
      </w:r>
      <w:r w:rsidRPr="00C10787">
        <w:rPr>
          <w:rFonts w:cs="Arial"/>
          <w:lang w:bidi="ar-SA"/>
        </w:rPr>
        <w:t>µ</w:t>
      </w:r>
      <w:r w:rsidRPr="00C10787">
        <w:rPr>
          <w:lang w:bidi="ar-SA"/>
        </w:rPr>
        <w:t>g/day (Australians aged 2</w:t>
      </w:r>
      <w:r w:rsidRPr="00EB1FB9">
        <w:rPr>
          <w:lang w:bidi="ar-SA"/>
        </w:rPr>
        <w:t>–</w:t>
      </w:r>
      <w:r w:rsidRPr="00C10787">
        <w:rPr>
          <w:lang w:bidi="ar-SA"/>
        </w:rPr>
        <w:t xml:space="preserve">3 years) to 18.8 </w:t>
      </w:r>
      <w:r w:rsidRPr="00C10787">
        <w:rPr>
          <w:rFonts w:cs="Arial"/>
          <w:lang w:bidi="ar-SA"/>
        </w:rPr>
        <w:t>µ</w:t>
      </w:r>
      <w:r w:rsidRPr="00C10787">
        <w:rPr>
          <w:lang w:bidi="ar-SA"/>
        </w:rPr>
        <w:t>g/day (Australians aged 17 years and above) at the 90</w:t>
      </w:r>
      <w:r w:rsidRPr="00C10787">
        <w:rPr>
          <w:vertAlign w:val="superscript"/>
          <w:lang w:bidi="ar-SA"/>
        </w:rPr>
        <w:t>th</w:t>
      </w:r>
      <w:r w:rsidRPr="00C10787">
        <w:rPr>
          <w:lang w:bidi="ar-SA"/>
        </w:rPr>
        <w:t xml:space="preserve"> percentile of </w:t>
      </w:r>
      <w:r>
        <w:rPr>
          <w:lang w:bidi="ar-SA"/>
        </w:rPr>
        <w:t>RTE breakfast cereal consumption</w:t>
      </w:r>
      <w:r w:rsidRPr="00C10787">
        <w:rPr>
          <w:lang w:bidi="ar-SA"/>
        </w:rPr>
        <w:t xml:space="preserve">. Using a 35% market share scenario, predicted mean intakes of vitamin D ranged from 1.5 </w:t>
      </w:r>
      <w:r w:rsidRPr="00C10787">
        <w:rPr>
          <w:rFonts w:cs="Arial"/>
          <w:lang w:bidi="ar-SA"/>
        </w:rPr>
        <w:t>µ</w:t>
      </w:r>
      <w:r w:rsidRPr="00C10787">
        <w:rPr>
          <w:lang w:bidi="ar-SA"/>
        </w:rPr>
        <w:t>g/day (Australians aged 2</w:t>
      </w:r>
      <w:r w:rsidRPr="00EB1FB9">
        <w:rPr>
          <w:lang w:bidi="ar-SA"/>
        </w:rPr>
        <w:t>–</w:t>
      </w:r>
      <w:r w:rsidRPr="00C10787">
        <w:rPr>
          <w:lang w:bidi="ar-SA"/>
        </w:rPr>
        <w:t xml:space="preserve">3 years) to 3.5 </w:t>
      </w:r>
      <w:r w:rsidRPr="00C10787">
        <w:rPr>
          <w:rFonts w:cs="Arial"/>
          <w:lang w:bidi="ar-SA"/>
        </w:rPr>
        <w:t>µ</w:t>
      </w:r>
      <w:r w:rsidRPr="00C10787">
        <w:rPr>
          <w:lang w:bidi="ar-SA"/>
        </w:rPr>
        <w:t>g/day (New Zealanders aged 14 years and Australians aged 17 years and above)</w:t>
      </w:r>
      <w:r>
        <w:rPr>
          <w:lang w:bidi="ar-SA"/>
        </w:rPr>
        <w:t xml:space="preserve"> and</w:t>
      </w:r>
      <w:r w:rsidRPr="00C10787">
        <w:rPr>
          <w:lang w:bidi="ar-SA"/>
        </w:rPr>
        <w:t xml:space="preserve"> ranged from 2.7 </w:t>
      </w:r>
      <w:r w:rsidRPr="00C10787">
        <w:rPr>
          <w:rFonts w:cs="Arial"/>
          <w:lang w:bidi="ar-SA"/>
        </w:rPr>
        <w:t>µ</w:t>
      </w:r>
      <w:r w:rsidRPr="00C10787">
        <w:rPr>
          <w:lang w:bidi="ar-SA"/>
        </w:rPr>
        <w:t>g</w:t>
      </w:r>
      <w:r w:rsidRPr="00C10787" w:rsidDel="007C76BF">
        <w:rPr>
          <w:lang w:bidi="ar-SA"/>
        </w:rPr>
        <w:t xml:space="preserve"> </w:t>
      </w:r>
      <w:r w:rsidRPr="00C10787">
        <w:rPr>
          <w:lang w:bidi="ar-SA"/>
        </w:rPr>
        <w:t>(Australians aged 2</w:t>
      </w:r>
      <w:r w:rsidRPr="00EB1FB9">
        <w:rPr>
          <w:lang w:bidi="ar-SA"/>
        </w:rPr>
        <w:t>–</w:t>
      </w:r>
      <w:r w:rsidRPr="00C10787">
        <w:rPr>
          <w:lang w:bidi="ar-SA"/>
        </w:rPr>
        <w:t xml:space="preserve">3 years) to 6.6 </w:t>
      </w:r>
      <w:r w:rsidRPr="00C10787">
        <w:rPr>
          <w:rFonts w:cs="Arial"/>
          <w:lang w:bidi="ar-SA"/>
        </w:rPr>
        <w:t>µ</w:t>
      </w:r>
      <w:r w:rsidRPr="00C10787">
        <w:rPr>
          <w:lang w:bidi="ar-SA"/>
        </w:rPr>
        <w:t>g/day (Australians aged 17 years and above)</w:t>
      </w:r>
      <w:r>
        <w:rPr>
          <w:lang w:bidi="ar-SA"/>
        </w:rPr>
        <w:t xml:space="preserve"> at the </w:t>
      </w:r>
      <w:r w:rsidRPr="00C10787">
        <w:rPr>
          <w:lang w:bidi="ar-SA"/>
        </w:rPr>
        <w:t>90</w:t>
      </w:r>
      <w:r w:rsidRPr="00C10787">
        <w:rPr>
          <w:vertAlign w:val="superscript"/>
          <w:lang w:bidi="ar-SA"/>
        </w:rPr>
        <w:t>th</w:t>
      </w:r>
      <w:r w:rsidRPr="00C10787">
        <w:rPr>
          <w:lang w:bidi="ar-SA"/>
        </w:rPr>
        <w:t xml:space="preserve"> percentile </w:t>
      </w:r>
      <w:r>
        <w:rPr>
          <w:lang w:bidi="ar-SA"/>
        </w:rPr>
        <w:t>RTE breakfast cereal consumption</w:t>
      </w:r>
      <w:r w:rsidRPr="00C10787">
        <w:rPr>
          <w:lang w:bidi="ar-SA"/>
        </w:rPr>
        <w:t xml:space="preserve">. </w:t>
      </w:r>
    </w:p>
    <w:p w14:paraId="25B5D8F6" w14:textId="77777777" w:rsidR="00DD5C9C" w:rsidRDefault="00DD5C9C" w:rsidP="003B5D42">
      <w:pPr>
        <w:pStyle w:val="Heading2"/>
      </w:pPr>
      <w:bookmarkStart w:id="37" w:name="_Toc406575706"/>
      <w:r>
        <w:t>Scenario modelling: effect on serum 25OHD</w:t>
      </w:r>
      <w:bookmarkEnd w:id="37"/>
      <w:r>
        <w:t xml:space="preserve"> </w:t>
      </w:r>
    </w:p>
    <w:p w14:paraId="25B5D8F7" w14:textId="77777777" w:rsidR="00DD5C9C" w:rsidRDefault="00DD5C9C" w:rsidP="003B5D42">
      <w:r>
        <w:t>This section estimates the potential effect of consumption of vitamin D-fortified cereal on serum 25OHD measured for the Australian and New Zealand populations</w:t>
      </w:r>
      <w:r w:rsidRPr="00043388">
        <w:t xml:space="preserve">. </w:t>
      </w:r>
    </w:p>
    <w:p w14:paraId="25B5D8F8" w14:textId="77777777" w:rsidR="00DD5C9C" w:rsidRDefault="00DD5C9C" w:rsidP="003B5D42">
      <w:pPr>
        <w:pStyle w:val="Heading3"/>
      </w:pPr>
      <w:bookmarkStart w:id="38" w:name="_Toc406575707"/>
      <w:r>
        <w:t>Serum 25OHD results from Australia and New Zealand national surveys</w:t>
      </w:r>
      <w:bookmarkEnd w:id="38"/>
    </w:p>
    <w:p w14:paraId="25B5D8F9" w14:textId="77777777" w:rsidR="00DD5C9C" w:rsidRPr="004428EC" w:rsidRDefault="00DD5C9C" w:rsidP="003B5D42">
      <w:r w:rsidRPr="00D86F75">
        <w:t xml:space="preserve">Only data from the national surveys conducted in the two countries </w:t>
      </w:r>
      <w:r>
        <w:t>were used in this assessment and these are described in the subsequent sections. M</w:t>
      </w:r>
      <w:r w:rsidRPr="004428EC">
        <w:t>ethodology details</w:t>
      </w:r>
      <w:r>
        <w:t>, g</w:t>
      </w:r>
      <w:r w:rsidRPr="004428EC">
        <w:t>raphical results and</w:t>
      </w:r>
      <w:r>
        <w:t xml:space="preserve"> </w:t>
      </w:r>
      <w:r w:rsidRPr="004428EC">
        <w:t>distributions stratified according age, region, and country of birth are reported in Appendix 2.</w:t>
      </w:r>
    </w:p>
    <w:p w14:paraId="25B5D8FA" w14:textId="77777777" w:rsidR="00DD5C9C" w:rsidRDefault="00DD5C9C" w:rsidP="003B5D42"/>
    <w:p w14:paraId="25B5D8FB" w14:textId="77777777" w:rsidR="00DD5C9C" w:rsidRDefault="00DD5C9C" w:rsidP="003B5D42">
      <w:r w:rsidRPr="000D6DA0">
        <w:t xml:space="preserve">As the laboratory methods used in the </w:t>
      </w:r>
      <w:r>
        <w:t xml:space="preserve">available </w:t>
      </w:r>
      <w:r w:rsidRPr="000D6DA0">
        <w:t>Australia and New Zealand</w:t>
      </w:r>
      <w:r>
        <w:t xml:space="preserve"> national </w:t>
      </w:r>
      <w:r w:rsidRPr="000D6DA0">
        <w:t>surveys ha</w:t>
      </w:r>
      <w:r>
        <w:t>d</w:t>
      </w:r>
      <w:r w:rsidRPr="000D6DA0">
        <w:t xml:space="preserve"> not been calibrated to each other, prevalence</w:t>
      </w:r>
      <w:r>
        <w:t xml:space="preserve"> data between the two countries were not directly comparable. </w:t>
      </w:r>
      <w:r w:rsidRPr="00A60537">
        <w:t xml:space="preserve">FSANZ also notes that different definitions of terms such as ‘deficient’ are found in the scientific literature. </w:t>
      </w:r>
      <w:r>
        <w:t xml:space="preserve">Therefore, to avoid confusion about the proportion of persons categorised as ‘deficient’, the results below report data in terms of 25OHD concentration and not descriptive terms to indicate low vitamin D status.  </w:t>
      </w:r>
    </w:p>
    <w:p w14:paraId="25B5D8FC" w14:textId="77777777" w:rsidR="00DD5C9C" w:rsidRDefault="00DD5C9C" w:rsidP="003B5D42">
      <w:pPr>
        <w:pStyle w:val="Heading4"/>
      </w:pPr>
      <w:r w:rsidRPr="00B72379">
        <w:t>Australia</w:t>
      </w:r>
      <w:r>
        <w:t xml:space="preserve"> Health Survey (2011</w:t>
      </w:r>
      <w:r w:rsidRPr="00EB1FB9">
        <w:t>–</w:t>
      </w:r>
      <w:r>
        <w:t>12)</w:t>
      </w:r>
    </w:p>
    <w:p w14:paraId="25B5D8FD" w14:textId="77777777" w:rsidR="00DD5C9C" w:rsidRDefault="00DD5C9C" w:rsidP="003B5D42">
      <w:r>
        <w:t>The distribution of serum 25OHD results from the 2011</w:t>
      </w:r>
      <w:r w:rsidRPr="00EB1FB9">
        <w:t>–</w:t>
      </w:r>
      <w:r>
        <w:t xml:space="preserve">12 NHMS component of the AHS is shown in Table 6. </w:t>
      </w:r>
    </w:p>
    <w:p w14:paraId="25B5D8FE" w14:textId="77777777" w:rsidR="00DD5C9C" w:rsidRDefault="00DD5C9C" w:rsidP="003B5D42"/>
    <w:p w14:paraId="25B5D8FF" w14:textId="5DDAF871" w:rsidR="00DD5C9C" w:rsidRDefault="00DD5C9C" w:rsidP="003B5D42">
      <w:r w:rsidRPr="00F92FCC">
        <w:t xml:space="preserve">The AHS results indicate that, </w:t>
      </w:r>
      <w:r>
        <w:t>13.4</w:t>
      </w:r>
      <w:r w:rsidRPr="00F92FCC">
        <w:t>% of adults were estimated to have serum 25OHD serum concentrations less than 40 nM, with results weighted to account for various response rates across the population groups. However</w:t>
      </w:r>
      <w:r w:rsidR="00F1441D">
        <w:t>,</w:t>
      </w:r>
      <w:r w:rsidRPr="00F92FCC">
        <w:t xml:space="preserve"> there were important variations in the prevalence of serum 25OHD concentration &lt;40 nM according to age, region, season and country of origin (Appendix 2). </w:t>
      </w:r>
    </w:p>
    <w:p w14:paraId="25B5D900" w14:textId="77777777" w:rsidR="00DD5C9C" w:rsidRDefault="00DD5C9C" w:rsidP="003B5D42"/>
    <w:p w14:paraId="25B5D901" w14:textId="77777777" w:rsidR="00DD5C9C" w:rsidRDefault="00DD5C9C" w:rsidP="003B5D42">
      <w:r w:rsidRPr="00A73958">
        <w:t xml:space="preserve">Other key results from the AHS results indicate that: </w:t>
      </w:r>
    </w:p>
    <w:p w14:paraId="30E72B5D" w14:textId="0E5C8EF4" w:rsidR="00B62436" w:rsidRDefault="00B62436" w:rsidP="003B5D42">
      <w:r>
        <w:br w:type="page"/>
      </w:r>
    </w:p>
    <w:p w14:paraId="25B5D902" w14:textId="77777777" w:rsidR="00DD5C9C" w:rsidRPr="00A73958" w:rsidRDefault="00DD5C9C" w:rsidP="00F45149">
      <w:pPr>
        <w:pStyle w:val="FSBullet1"/>
      </w:pPr>
      <w:r w:rsidRPr="00A73958">
        <w:lastRenderedPageBreak/>
        <w:t>18–34 year olds have the greatest prevalence of 25OHD &lt; 30 nM and therefore may be considered at risk of deficiency (Appendix 2, Figure</w:t>
      </w:r>
      <w:r>
        <w:t xml:space="preserve"> A</w:t>
      </w:r>
      <w:r w:rsidRPr="00A73958">
        <w:t>1)</w:t>
      </w:r>
      <w:r w:rsidR="00F45149">
        <w:t>.</w:t>
      </w:r>
      <w:r w:rsidRPr="00A73958">
        <w:t xml:space="preserve"> </w:t>
      </w:r>
    </w:p>
    <w:p w14:paraId="25B5D903" w14:textId="77777777" w:rsidR="00DD5C9C" w:rsidRPr="00A73958" w:rsidRDefault="00F45149" w:rsidP="00F45149">
      <w:pPr>
        <w:pStyle w:val="FSBullet1"/>
      </w:pPr>
      <w:r w:rsidRPr="00A73958">
        <w:t xml:space="preserve">A </w:t>
      </w:r>
      <w:r w:rsidR="00DD5C9C" w:rsidRPr="00A73958">
        <w:t xml:space="preserve">greater proportion of the population from Australian southern states (ACT, TAS, NSW, and VIC) have 25OHD &lt; 50 nM (Appendix 2, Figure </w:t>
      </w:r>
      <w:r w:rsidR="00DD5C9C">
        <w:t>A</w:t>
      </w:r>
      <w:r w:rsidR="00DD5C9C" w:rsidRPr="00A73958">
        <w:t>2)</w:t>
      </w:r>
      <w:r>
        <w:t>.</w:t>
      </w:r>
      <w:r w:rsidR="00DD5C9C" w:rsidRPr="00A73958">
        <w:t xml:space="preserve"> </w:t>
      </w:r>
    </w:p>
    <w:p w14:paraId="25B5D904" w14:textId="77777777" w:rsidR="00DD5C9C" w:rsidRPr="00A73958" w:rsidRDefault="00F45149" w:rsidP="00F45149">
      <w:pPr>
        <w:pStyle w:val="FSBullet1"/>
      </w:pPr>
      <w:r w:rsidRPr="00A73958">
        <w:t xml:space="preserve">Several </w:t>
      </w:r>
      <w:r w:rsidR="00DD5C9C" w:rsidRPr="00A73958">
        <w:t>population groups born outside Australia (all Asian regions and North Africa &amp; Middle East) show a much greater proportion (49.9–67.4%) with 25OHD &lt; 50 nM compared with individuals born in Australia or born in other regions (17.0–30.1%) (Appendix 2, Figure</w:t>
      </w:r>
      <w:r w:rsidR="00DD5C9C">
        <w:t xml:space="preserve"> A</w:t>
      </w:r>
      <w:r w:rsidR="00DD5C9C" w:rsidRPr="00A73958">
        <w:t>3)</w:t>
      </w:r>
      <w:r>
        <w:t>.</w:t>
      </w:r>
    </w:p>
    <w:p w14:paraId="25B5D905" w14:textId="77777777" w:rsidR="00DD5C9C" w:rsidRDefault="00F45149" w:rsidP="00F45149">
      <w:pPr>
        <w:pStyle w:val="FSBullet1"/>
      </w:pPr>
      <w:r w:rsidRPr="00A73958">
        <w:t xml:space="preserve">As </w:t>
      </w:r>
      <w:r w:rsidR="00DD5C9C" w:rsidRPr="00A73958">
        <w:t>expected, the proportion of the population with 25OHD &lt; 50 nM increased during the winter and spring months, particularly in Australian southern states (NSW, VIC, TAS, SA, ACT) (Appendix 2, Figure</w:t>
      </w:r>
      <w:r w:rsidR="00DD5C9C">
        <w:t xml:space="preserve"> A4</w:t>
      </w:r>
      <w:r w:rsidR="00DD5C9C" w:rsidRPr="00A73958">
        <w:t>)</w:t>
      </w:r>
      <w:r>
        <w:t>.</w:t>
      </w:r>
      <w:r w:rsidR="00DD5C9C" w:rsidRPr="00A73958">
        <w:t xml:space="preserve"> </w:t>
      </w:r>
    </w:p>
    <w:p w14:paraId="25B5D906" w14:textId="77777777" w:rsidR="00DD5C9C" w:rsidRPr="00A73958" w:rsidRDefault="00DD5C9C" w:rsidP="00DD5C9C">
      <w:pPr>
        <w:numPr>
          <w:ilvl w:val="0"/>
          <w:numId w:val="15"/>
        </w:numPr>
      </w:pPr>
      <w:r>
        <w:t>Less than 2%</w:t>
      </w:r>
      <w:r w:rsidRPr="00A73958">
        <w:t xml:space="preserve"> of the Australian population</w:t>
      </w:r>
      <w:r>
        <w:t xml:space="preserve"> (unweighted proportion)</w:t>
      </w:r>
      <w:r w:rsidRPr="00A73958">
        <w:t xml:space="preserve"> ha</w:t>
      </w:r>
      <w:r>
        <w:t>d</w:t>
      </w:r>
      <w:r w:rsidRPr="00A73958">
        <w:t xml:space="preserve"> serum 25OHD of 125 nM or greater.</w:t>
      </w:r>
    </w:p>
    <w:p w14:paraId="25B5D907" w14:textId="77777777" w:rsidR="00DD5C9C" w:rsidRDefault="00DD5C9C" w:rsidP="003B5D42"/>
    <w:p w14:paraId="25B5D908" w14:textId="361AA556" w:rsidR="00DD5C9C" w:rsidRPr="00F1441D" w:rsidRDefault="00DD5C9C" w:rsidP="00F1441D">
      <w:pPr>
        <w:pStyle w:val="FSTableFigureHeading"/>
        <w:spacing w:before="0"/>
        <w:rPr>
          <w:i w:val="0"/>
          <w:vertAlign w:val="superscript"/>
          <w:lang w:eastAsia="en-AU"/>
        </w:rPr>
      </w:pPr>
      <w:r w:rsidRPr="00F1441D">
        <w:rPr>
          <w:i w:val="0"/>
          <w:lang w:eastAsia="en-AU"/>
        </w:rPr>
        <w:t>Table 6</w:t>
      </w:r>
      <w:r w:rsidRPr="00F1441D">
        <w:rPr>
          <w:i w:val="0"/>
          <w:lang w:eastAsia="en-AU"/>
        </w:rPr>
        <w:tab/>
        <w:t>Distribution of serum 25OHD concentration determined in the 2011-13 AHS for persons 12 years and above, including pregnant women</w:t>
      </w:r>
      <w:r w:rsidRPr="00F1441D">
        <w:rPr>
          <w:i w:val="0"/>
          <w:vertAlign w:val="superscript"/>
          <w:lang w:eastAsia="en-AU"/>
        </w:rPr>
        <w:t>1</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159"/>
        <w:gridCol w:w="2159"/>
        <w:gridCol w:w="2159"/>
      </w:tblGrid>
      <w:tr w:rsidR="00DD5C9C" w:rsidRPr="00013845" w14:paraId="25B5D90D" w14:textId="77777777" w:rsidTr="000223BB">
        <w:trPr>
          <w:trHeight w:val="322"/>
        </w:trPr>
        <w:tc>
          <w:tcPr>
            <w:tcW w:w="2158" w:type="dxa"/>
            <w:shd w:val="clear" w:color="auto" w:fill="auto"/>
            <w:noWrap/>
            <w:vAlign w:val="center"/>
          </w:tcPr>
          <w:p w14:paraId="25B5D909" w14:textId="77777777" w:rsidR="00DD5C9C" w:rsidRPr="00991711" w:rsidRDefault="00DD5C9C" w:rsidP="003B5D42">
            <w:pPr>
              <w:ind w:firstLineChars="100" w:firstLine="181"/>
              <w:rPr>
                <w:rFonts w:cs="Arial"/>
                <w:sz w:val="18"/>
                <w:szCs w:val="18"/>
                <w:lang w:eastAsia="en-GB" w:bidi="ar-SA"/>
              </w:rPr>
            </w:pPr>
            <w:r w:rsidRPr="00991711">
              <w:rPr>
                <w:rFonts w:cs="Arial"/>
                <w:b/>
                <w:bCs/>
                <w:sz w:val="18"/>
                <w:szCs w:val="18"/>
                <w:lang w:eastAsia="en-GB" w:bidi="ar-SA"/>
              </w:rPr>
              <w:t>Serum 25OHD (nM)</w:t>
            </w:r>
          </w:p>
        </w:tc>
        <w:tc>
          <w:tcPr>
            <w:tcW w:w="2159" w:type="dxa"/>
            <w:shd w:val="clear" w:color="auto" w:fill="auto"/>
            <w:noWrap/>
            <w:vAlign w:val="center"/>
          </w:tcPr>
          <w:p w14:paraId="25B5D90A"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Males (%)</w:t>
            </w:r>
          </w:p>
        </w:tc>
        <w:tc>
          <w:tcPr>
            <w:tcW w:w="2159" w:type="dxa"/>
            <w:shd w:val="clear" w:color="auto" w:fill="auto"/>
            <w:noWrap/>
            <w:vAlign w:val="center"/>
          </w:tcPr>
          <w:p w14:paraId="25B5D90B"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Females (%)</w:t>
            </w:r>
          </w:p>
        </w:tc>
        <w:tc>
          <w:tcPr>
            <w:tcW w:w="2159" w:type="dxa"/>
            <w:shd w:val="clear" w:color="auto" w:fill="auto"/>
            <w:noWrap/>
            <w:vAlign w:val="center"/>
          </w:tcPr>
          <w:p w14:paraId="25B5D90C"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Persons (%)</w:t>
            </w:r>
          </w:p>
        </w:tc>
      </w:tr>
      <w:tr w:rsidR="00DD5C9C" w:rsidRPr="00013845" w14:paraId="25B5D912" w14:textId="77777777" w:rsidTr="000223BB">
        <w:trPr>
          <w:trHeight w:val="322"/>
        </w:trPr>
        <w:tc>
          <w:tcPr>
            <w:tcW w:w="2158" w:type="dxa"/>
            <w:shd w:val="clear" w:color="auto" w:fill="auto"/>
            <w:noWrap/>
            <w:vAlign w:val="bottom"/>
            <w:hideMark/>
          </w:tcPr>
          <w:p w14:paraId="25B5D90E"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&lt;20</w:t>
            </w:r>
          </w:p>
        </w:tc>
        <w:tc>
          <w:tcPr>
            <w:tcW w:w="2159" w:type="dxa"/>
            <w:shd w:val="clear" w:color="auto" w:fill="auto"/>
            <w:noWrap/>
            <w:vAlign w:val="bottom"/>
            <w:hideMark/>
          </w:tcPr>
          <w:p w14:paraId="25B5D90F"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2.3</w:t>
            </w:r>
          </w:p>
        </w:tc>
        <w:tc>
          <w:tcPr>
            <w:tcW w:w="2159" w:type="dxa"/>
            <w:shd w:val="clear" w:color="auto" w:fill="auto"/>
            <w:noWrap/>
            <w:vAlign w:val="bottom"/>
            <w:hideMark/>
          </w:tcPr>
          <w:p w14:paraId="25B5D910"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1.9</w:t>
            </w:r>
          </w:p>
        </w:tc>
        <w:tc>
          <w:tcPr>
            <w:tcW w:w="2159" w:type="dxa"/>
            <w:shd w:val="clear" w:color="auto" w:fill="auto"/>
            <w:noWrap/>
            <w:vAlign w:val="bottom"/>
            <w:hideMark/>
          </w:tcPr>
          <w:p w14:paraId="25B5D911"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2.1</w:t>
            </w:r>
          </w:p>
        </w:tc>
      </w:tr>
      <w:tr w:rsidR="00DD5C9C" w:rsidRPr="00013845" w14:paraId="25B5D917" w14:textId="77777777" w:rsidTr="000223BB">
        <w:trPr>
          <w:trHeight w:val="322"/>
        </w:trPr>
        <w:tc>
          <w:tcPr>
            <w:tcW w:w="2158" w:type="dxa"/>
            <w:shd w:val="clear" w:color="auto" w:fill="auto"/>
            <w:noWrap/>
            <w:vAlign w:val="bottom"/>
            <w:hideMark/>
          </w:tcPr>
          <w:p w14:paraId="25B5D913"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20 to &lt;30</w:t>
            </w:r>
          </w:p>
        </w:tc>
        <w:tc>
          <w:tcPr>
            <w:tcW w:w="2159" w:type="dxa"/>
            <w:shd w:val="clear" w:color="auto" w:fill="auto"/>
            <w:noWrap/>
            <w:vAlign w:val="bottom"/>
            <w:hideMark/>
          </w:tcPr>
          <w:p w14:paraId="25B5D914"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4.2</w:t>
            </w:r>
          </w:p>
        </w:tc>
        <w:tc>
          <w:tcPr>
            <w:tcW w:w="2159" w:type="dxa"/>
            <w:shd w:val="clear" w:color="auto" w:fill="auto"/>
            <w:noWrap/>
            <w:vAlign w:val="bottom"/>
            <w:hideMark/>
          </w:tcPr>
          <w:p w14:paraId="25B5D915"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4.6</w:t>
            </w:r>
          </w:p>
        </w:tc>
        <w:tc>
          <w:tcPr>
            <w:tcW w:w="2159" w:type="dxa"/>
            <w:shd w:val="clear" w:color="auto" w:fill="auto"/>
            <w:noWrap/>
            <w:vAlign w:val="bottom"/>
            <w:hideMark/>
          </w:tcPr>
          <w:p w14:paraId="25B5D916"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4.4</w:t>
            </w:r>
          </w:p>
        </w:tc>
      </w:tr>
      <w:tr w:rsidR="00DD5C9C" w:rsidRPr="00013845" w14:paraId="25B5D91C" w14:textId="77777777" w:rsidTr="000223BB">
        <w:trPr>
          <w:trHeight w:val="322"/>
        </w:trPr>
        <w:tc>
          <w:tcPr>
            <w:tcW w:w="2158" w:type="dxa"/>
            <w:shd w:val="clear" w:color="auto" w:fill="auto"/>
            <w:noWrap/>
            <w:vAlign w:val="bottom"/>
            <w:hideMark/>
          </w:tcPr>
          <w:p w14:paraId="25B5D918"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30 to &lt;40</w:t>
            </w:r>
          </w:p>
        </w:tc>
        <w:tc>
          <w:tcPr>
            <w:tcW w:w="2159" w:type="dxa"/>
            <w:shd w:val="clear" w:color="auto" w:fill="auto"/>
            <w:noWrap/>
            <w:vAlign w:val="bottom"/>
            <w:hideMark/>
          </w:tcPr>
          <w:p w14:paraId="25B5D919"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7.3</w:t>
            </w:r>
          </w:p>
        </w:tc>
        <w:tc>
          <w:tcPr>
            <w:tcW w:w="2159" w:type="dxa"/>
            <w:shd w:val="clear" w:color="auto" w:fill="auto"/>
            <w:noWrap/>
            <w:vAlign w:val="bottom"/>
            <w:hideMark/>
          </w:tcPr>
          <w:p w14:paraId="25B5D91A"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6.3</w:t>
            </w:r>
          </w:p>
        </w:tc>
        <w:tc>
          <w:tcPr>
            <w:tcW w:w="2159" w:type="dxa"/>
            <w:shd w:val="clear" w:color="auto" w:fill="auto"/>
            <w:noWrap/>
            <w:vAlign w:val="bottom"/>
            <w:hideMark/>
          </w:tcPr>
          <w:p w14:paraId="25B5D91B"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6.8</w:t>
            </w:r>
          </w:p>
        </w:tc>
      </w:tr>
      <w:tr w:rsidR="00DD5C9C" w:rsidRPr="00013845" w14:paraId="25B5D921" w14:textId="77777777" w:rsidTr="000223BB">
        <w:trPr>
          <w:trHeight w:val="322"/>
        </w:trPr>
        <w:tc>
          <w:tcPr>
            <w:tcW w:w="2158" w:type="dxa"/>
            <w:shd w:val="clear" w:color="auto" w:fill="auto"/>
            <w:noWrap/>
            <w:vAlign w:val="bottom"/>
            <w:hideMark/>
          </w:tcPr>
          <w:p w14:paraId="25B5D91D"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40 to &lt;50</w:t>
            </w:r>
          </w:p>
        </w:tc>
        <w:tc>
          <w:tcPr>
            <w:tcW w:w="2159" w:type="dxa"/>
            <w:shd w:val="clear" w:color="auto" w:fill="auto"/>
            <w:noWrap/>
            <w:vAlign w:val="bottom"/>
            <w:hideMark/>
          </w:tcPr>
          <w:p w14:paraId="25B5D91E"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10.5</w:t>
            </w:r>
          </w:p>
        </w:tc>
        <w:tc>
          <w:tcPr>
            <w:tcW w:w="2159" w:type="dxa"/>
            <w:shd w:val="clear" w:color="auto" w:fill="auto"/>
            <w:noWrap/>
            <w:vAlign w:val="bottom"/>
            <w:hideMark/>
          </w:tcPr>
          <w:p w14:paraId="25B5D91F"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w:t>
            </w:r>
          </w:p>
        </w:tc>
        <w:tc>
          <w:tcPr>
            <w:tcW w:w="2159" w:type="dxa"/>
            <w:shd w:val="clear" w:color="auto" w:fill="auto"/>
            <w:noWrap/>
            <w:vAlign w:val="bottom"/>
            <w:hideMark/>
          </w:tcPr>
          <w:p w14:paraId="25B5D920"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10.2</w:t>
            </w:r>
          </w:p>
        </w:tc>
      </w:tr>
      <w:tr w:rsidR="00DD5C9C" w:rsidRPr="00013845" w14:paraId="25B5D926" w14:textId="77777777" w:rsidTr="000223BB">
        <w:trPr>
          <w:trHeight w:val="322"/>
        </w:trPr>
        <w:tc>
          <w:tcPr>
            <w:tcW w:w="2158" w:type="dxa"/>
            <w:shd w:val="clear" w:color="auto" w:fill="auto"/>
            <w:noWrap/>
            <w:vAlign w:val="bottom"/>
            <w:hideMark/>
          </w:tcPr>
          <w:p w14:paraId="25B5D922"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50 to &lt;60</w:t>
            </w:r>
          </w:p>
        </w:tc>
        <w:tc>
          <w:tcPr>
            <w:tcW w:w="2159" w:type="dxa"/>
            <w:shd w:val="clear" w:color="auto" w:fill="auto"/>
            <w:noWrap/>
            <w:vAlign w:val="bottom"/>
            <w:hideMark/>
          </w:tcPr>
          <w:p w14:paraId="25B5D923"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15.0</w:t>
            </w:r>
          </w:p>
        </w:tc>
        <w:tc>
          <w:tcPr>
            <w:tcW w:w="2159" w:type="dxa"/>
            <w:shd w:val="clear" w:color="auto" w:fill="auto"/>
            <w:noWrap/>
            <w:vAlign w:val="bottom"/>
            <w:hideMark/>
          </w:tcPr>
          <w:p w14:paraId="25B5D924"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14.8</w:t>
            </w:r>
          </w:p>
        </w:tc>
        <w:tc>
          <w:tcPr>
            <w:tcW w:w="2159" w:type="dxa"/>
            <w:shd w:val="clear" w:color="auto" w:fill="auto"/>
            <w:noWrap/>
            <w:vAlign w:val="bottom"/>
            <w:hideMark/>
          </w:tcPr>
          <w:p w14:paraId="25B5D925"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14.9</w:t>
            </w:r>
          </w:p>
        </w:tc>
      </w:tr>
      <w:tr w:rsidR="00DD5C9C" w:rsidRPr="00013845" w14:paraId="25B5D92B" w14:textId="77777777" w:rsidTr="000223BB">
        <w:trPr>
          <w:trHeight w:val="322"/>
        </w:trPr>
        <w:tc>
          <w:tcPr>
            <w:tcW w:w="2158" w:type="dxa"/>
            <w:shd w:val="clear" w:color="auto" w:fill="auto"/>
            <w:noWrap/>
            <w:vAlign w:val="bottom"/>
            <w:hideMark/>
          </w:tcPr>
          <w:p w14:paraId="25B5D927"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60 to &lt;70</w:t>
            </w:r>
          </w:p>
        </w:tc>
        <w:tc>
          <w:tcPr>
            <w:tcW w:w="2159" w:type="dxa"/>
            <w:shd w:val="clear" w:color="auto" w:fill="auto"/>
            <w:noWrap/>
            <w:vAlign w:val="bottom"/>
            <w:hideMark/>
          </w:tcPr>
          <w:p w14:paraId="25B5D928"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17.5</w:t>
            </w:r>
          </w:p>
        </w:tc>
        <w:tc>
          <w:tcPr>
            <w:tcW w:w="2159" w:type="dxa"/>
            <w:shd w:val="clear" w:color="auto" w:fill="auto"/>
            <w:noWrap/>
            <w:vAlign w:val="bottom"/>
            <w:hideMark/>
          </w:tcPr>
          <w:p w14:paraId="25B5D929"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18.1</w:t>
            </w:r>
          </w:p>
        </w:tc>
        <w:tc>
          <w:tcPr>
            <w:tcW w:w="2159" w:type="dxa"/>
            <w:shd w:val="clear" w:color="auto" w:fill="auto"/>
            <w:noWrap/>
            <w:vAlign w:val="bottom"/>
            <w:hideMark/>
          </w:tcPr>
          <w:p w14:paraId="25B5D92A"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17.8</w:t>
            </w:r>
          </w:p>
        </w:tc>
      </w:tr>
      <w:tr w:rsidR="00DD5C9C" w:rsidRPr="00013845" w14:paraId="25B5D930" w14:textId="77777777" w:rsidTr="000223BB">
        <w:trPr>
          <w:trHeight w:val="322"/>
        </w:trPr>
        <w:tc>
          <w:tcPr>
            <w:tcW w:w="2158" w:type="dxa"/>
            <w:shd w:val="clear" w:color="auto" w:fill="auto"/>
            <w:noWrap/>
            <w:vAlign w:val="bottom"/>
            <w:hideMark/>
          </w:tcPr>
          <w:p w14:paraId="25B5D92C"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70 to &lt;80</w:t>
            </w:r>
          </w:p>
        </w:tc>
        <w:tc>
          <w:tcPr>
            <w:tcW w:w="2159" w:type="dxa"/>
            <w:shd w:val="clear" w:color="auto" w:fill="auto"/>
            <w:noWrap/>
            <w:vAlign w:val="bottom"/>
            <w:hideMark/>
          </w:tcPr>
          <w:p w14:paraId="25B5D92D"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17.7</w:t>
            </w:r>
          </w:p>
        </w:tc>
        <w:tc>
          <w:tcPr>
            <w:tcW w:w="2159" w:type="dxa"/>
            <w:shd w:val="clear" w:color="auto" w:fill="auto"/>
            <w:noWrap/>
            <w:vAlign w:val="bottom"/>
            <w:hideMark/>
          </w:tcPr>
          <w:p w14:paraId="25B5D92E"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15.4</w:t>
            </w:r>
          </w:p>
        </w:tc>
        <w:tc>
          <w:tcPr>
            <w:tcW w:w="2159" w:type="dxa"/>
            <w:shd w:val="clear" w:color="auto" w:fill="auto"/>
            <w:noWrap/>
            <w:vAlign w:val="bottom"/>
            <w:hideMark/>
          </w:tcPr>
          <w:p w14:paraId="25B5D92F"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16.5</w:t>
            </w:r>
          </w:p>
        </w:tc>
      </w:tr>
      <w:tr w:rsidR="00DD5C9C" w:rsidRPr="00013845" w14:paraId="25B5D935" w14:textId="77777777" w:rsidTr="000223BB">
        <w:trPr>
          <w:trHeight w:val="322"/>
        </w:trPr>
        <w:tc>
          <w:tcPr>
            <w:tcW w:w="2158" w:type="dxa"/>
            <w:shd w:val="clear" w:color="auto" w:fill="auto"/>
            <w:noWrap/>
            <w:vAlign w:val="bottom"/>
            <w:hideMark/>
          </w:tcPr>
          <w:p w14:paraId="25B5D931"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80 to &lt;90</w:t>
            </w:r>
          </w:p>
        </w:tc>
        <w:tc>
          <w:tcPr>
            <w:tcW w:w="2159" w:type="dxa"/>
            <w:shd w:val="clear" w:color="auto" w:fill="auto"/>
            <w:noWrap/>
            <w:vAlign w:val="bottom"/>
            <w:hideMark/>
          </w:tcPr>
          <w:p w14:paraId="25B5D932"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10.6</w:t>
            </w:r>
          </w:p>
        </w:tc>
        <w:tc>
          <w:tcPr>
            <w:tcW w:w="2159" w:type="dxa"/>
            <w:shd w:val="clear" w:color="auto" w:fill="auto"/>
            <w:noWrap/>
            <w:vAlign w:val="bottom"/>
            <w:hideMark/>
          </w:tcPr>
          <w:p w14:paraId="25B5D933"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12.3</w:t>
            </w:r>
          </w:p>
        </w:tc>
        <w:tc>
          <w:tcPr>
            <w:tcW w:w="2159" w:type="dxa"/>
            <w:shd w:val="clear" w:color="auto" w:fill="auto"/>
            <w:noWrap/>
            <w:vAlign w:val="bottom"/>
            <w:hideMark/>
          </w:tcPr>
          <w:p w14:paraId="25B5D934"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11.5</w:t>
            </w:r>
          </w:p>
        </w:tc>
      </w:tr>
      <w:tr w:rsidR="00DD5C9C" w:rsidRPr="00013845" w14:paraId="25B5D93A" w14:textId="77777777" w:rsidTr="000223BB">
        <w:trPr>
          <w:trHeight w:val="322"/>
        </w:trPr>
        <w:tc>
          <w:tcPr>
            <w:tcW w:w="2158" w:type="dxa"/>
            <w:shd w:val="clear" w:color="auto" w:fill="auto"/>
            <w:noWrap/>
            <w:vAlign w:val="bottom"/>
            <w:hideMark/>
          </w:tcPr>
          <w:p w14:paraId="25B5D936"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90 to &lt; 100</w:t>
            </w:r>
          </w:p>
        </w:tc>
        <w:tc>
          <w:tcPr>
            <w:tcW w:w="2159" w:type="dxa"/>
            <w:shd w:val="clear" w:color="auto" w:fill="auto"/>
            <w:noWrap/>
            <w:vAlign w:val="bottom"/>
            <w:hideMark/>
          </w:tcPr>
          <w:p w14:paraId="25B5D937"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6.3</w:t>
            </w:r>
          </w:p>
        </w:tc>
        <w:tc>
          <w:tcPr>
            <w:tcW w:w="2159" w:type="dxa"/>
            <w:shd w:val="clear" w:color="auto" w:fill="auto"/>
            <w:noWrap/>
            <w:vAlign w:val="bottom"/>
            <w:hideMark/>
          </w:tcPr>
          <w:p w14:paraId="25B5D938"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7.4</w:t>
            </w:r>
          </w:p>
        </w:tc>
        <w:tc>
          <w:tcPr>
            <w:tcW w:w="2159" w:type="dxa"/>
            <w:shd w:val="clear" w:color="auto" w:fill="auto"/>
            <w:noWrap/>
            <w:vAlign w:val="bottom"/>
            <w:hideMark/>
          </w:tcPr>
          <w:p w14:paraId="25B5D939"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6.8</w:t>
            </w:r>
          </w:p>
        </w:tc>
      </w:tr>
      <w:tr w:rsidR="00DD5C9C" w:rsidRPr="00013845" w14:paraId="25B5D93F" w14:textId="77777777" w:rsidTr="000223BB">
        <w:trPr>
          <w:trHeight w:val="322"/>
        </w:trPr>
        <w:tc>
          <w:tcPr>
            <w:tcW w:w="2158" w:type="dxa"/>
            <w:shd w:val="clear" w:color="auto" w:fill="auto"/>
            <w:noWrap/>
            <w:vAlign w:val="bottom"/>
            <w:hideMark/>
          </w:tcPr>
          <w:p w14:paraId="25B5D93B"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100 to &lt;110</w:t>
            </w:r>
          </w:p>
        </w:tc>
        <w:tc>
          <w:tcPr>
            <w:tcW w:w="2159" w:type="dxa"/>
            <w:shd w:val="clear" w:color="auto" w:fill="auto"/>
            <w:noWrap/>
            <w:vAlign w:val="bottom"/>
            <w:hideMark/>
          </w:tcPr>
          <w:p w14:paraId="25B5D93C"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3.5</w:t>
            </w:r>
          </w:p>
        </w:tc>
        <w:tc>
          <w:tcPr>
            <w:tcW w:w="2159" w:type="dxa"/>
            <w:shd w:val="clear" w:color="auto" w:fill="auto"/>
            <w:noWrap/>
            <w:vAlign w:val="bottom"/>
            <w:hideMark/>
          </w:tcPr>
          <w:p w14:paraId="25B5D93D"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4.2</w:t>
            </w:r>
          </w:p>
        </w:tc>
        <w:tc>
          <w:tcPr>
            <w:tcW w:w="2159" w:type="dxa"/>
            <w:shd w:val="clear" w:color="auto" w:fill="auto"/>
            <w:noWrap/>
            <w:vAlign w:val="bottom"/>
            <w:hideMark/>
          </w:tcPr>
          <w:p w14:paraId="25B5D93E"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3.8</w:t>
            </w:r>
          </w:p>
        </w:tc>
      </w:tr>
      <w:tr w:rsidR="00DD5C9C" w:rsidRPr="00013845" w14:paraId="25B5D944" w14:textId="77777777" w:rsidTr="000223BB">
        <w:trPr>
          <w:trHeight w:val="322"/>
        </w:trPr>
        <w:tc>
          <w:tcPr>
            <w:tcW w:w="2158" w:type="dxa"/>
            <w:shd w:val="clear" w:color="auto" w:fill="auto"/>
            <w:noWrap/>
            <w:vAlign w:val="bottom"/>
            <w:hideMark/>
          </w:tcPr>
          <w:p w14:paraId="25B5D940"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110 to &lt;120</w:t>
            </w:r>
          </w:p>
        </w:tc>
        <w:tc>
          <w:tcPr>
            <w:tcW w:w="2159" w:type="dxa"/>
            <w:shd w:val="clear" w:color="auto" w:fill="auto"/>
            <w:noWrap/>
            <w:vAlign w:val="bottom"/>
            <w:hideMark/>
          </w:tcPr>
          <w:p w14:paraId="25B5D941"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w:t>
            </w:r>
          </w:p>
        </w:tc>
        <w:tc>
          <w:tcPr>
            <w:tcW w:w="2159" w:type="dxa"/>
            <w:shd w:val="clear" w:color="auto" w:fill="auto"/>
            <w:noWrap/>
            <w:vAlign w:val="bottom"/>
            <w:hideMark/>
          </w:tcPr>
          <w:p w14:paraId="25B5D942"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w:t>
            </w:r>
          </w:p>
        </w:tc>
        <w:tc>
          <w:tcPr>
            <w:tcW w:w="2159" w:type="dxa"/>
            <w:shd w:val="clear" w:color="auto" w:fill="auto"/>
            <w:noWrap/>
            <w:vAlign w:val="bottom"/>
            <w:hideMark/>
          </w:tcPr>
          <w:p w14:paraId="25B5D943"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1.6</w:t>
            </w:r>
          </w:p>
        </w:tc>
      </w:tr>
      <w:tr w:rsidR="00DD5C9C" w:rsidRPr="00013845" w14:paraId="25B5D949" w14:textId="77777777" w:rsidTr="000223BB">
        <w:trPr>
          <w:trHeight w:val="322"/>
        </w:trPr>
        <w:tc>
          <w:tcPr>
            <w:tcW w:w="2158" w:type="dxa"/>
            <w:shd w:val="clear" w:color="auto" w:fill="auto"/>
            <w:noWrap/>
            <w:vAlign w:val="bottom"/>
            <w:hideMark/>
          </w:tcPr>
          <w:p w14:paraId="25B5D945"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120 to &lt;130</w:t>
            </w:r>
          </w:p>
        </w:tc>
        <w:tc>
          <w:tcPr>
            <w:tcW w:w="2159" w:type="dxa"/>
            <w:shd w:val="clear" w:color="auto" w:fill="auto"/>
            <w:noWrap/>
            <w:vAlign w:val="bottom"/>
            <w:hideMark/>
          </w:tcPr>
          <w:p w14:paraId="25B5D946"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*0.8</w:t>
            </w:r>
          </w:p>
        </w:tc>
        <w:tc>
          <w:tcPr>
            <w:tcW w:w="2159" w:type="dxa"/>
            <w:shd w:val="clear" w:color="auto" w:fill="auto"/>
            <w:noWrap/>
            <w:vAlign w:val="bottom"/>
            <w:hideMark/>
          </w:tcPr>
          <w:p w14:paraId="25B5D947"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0.6</w:t>
            </w:r>
          </w:p>
        </w:tc>
        <w:tc>
          <w:tcPr>
            <w:tcW w:w="2159" w:type="dxa"/>
            <w:shd w:val="clear" w:color="auto" w:fill="auto"/>
            <w:noWrap/>
            <w:vAlign w:val="bottom"/>
            <w:hideMark/>
          </w:tcPr>
          <w:p w14:paraId="25B5D948"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0.7</w:t>
            </w:r>
          </w:p>
        </w:tc>
      </w:tr>
      <w:tr w:rsidR="00DD5C9C" w:rsidRPr="00013845" w14:paraId="25B5D94E" w14:textId="77777777" w:rsidTr="000223BB">
        <w:trPr>
          <w:trHeight w:val="322"/>
        </w:trPr>
        <w:tc>
          <w:tcPr>
            <w:tcW w:w="2158" w:type="dxa"/>
            <w:shd w:val="clear" w:color="auto" w:fill="auto"/>
            <w:noWrap/>
            <w:vAlign w:val="bottom"/>
            <w:hideMark/>
          </w:tcPr>
          <w:p w14:paraId="25B5D94A" w14:textId="77777777" w:rsidR="00DD5C9C" w:rsidRPr="00991711" w:rsidRDefault="00DD5C9C" w:rsidP="003B5D42">
            <w:pPr>
              <w:ind w:firstLineChars="100" w:firstLine="180"/>
              <w:rPr>
                <w:rFonts w:cs="Arial"/>
                <w:sz w:val="18"/>
                <w:szCs w:val="18"/>
                <w:lang w:eastAsia="en-GB" w:bidi="ar-SA"/>
              </w:rPr>
            </w:pPr>
            <w:r>
              <w:rPr>
                <w:rFonts w:cs="Arial"/>
                <w:sz w:val="18"/>
                <w:szCs w:val="18"/>
                <w:lang w:eastAsia="en-GB" w:bidi="ar-SA"/>
              </w:rPr>
              <w:t xml:space="preserve">&gt; </w:t>
            </w:r>
            <w:r w:rsidRPr="00991711">
              <w:rPr>
                <w:rFonts w:cs="Arial"/>
                <w:sz w:val="18"/>
                <w:szCs w:val="18"/>
                <w:lang w:eastAsia="en-GB" w:bidi="ar-SA"/>
              </w:rPr>
              <w:t>1</w:t>
            </w:r>
            <w:r>
              <w:rPr>
                <w:rFonts w:cs="Arial"/>
                <w:sz w:val="18"/>
                <w:szCs w:val="18"/>
                <w:lang w:eastAsia="en-GB" w:bidi="ar-SA"/>
              </w:rPr>
              <w:t>25 **</w:t>
            </w:r>
          </w:p>
        </w:tc>
        <w:tc>
          <w:tcPr>
            <w:tcW w:w="2159" w:type="dxa"/>
            <w:shd w:val="clear" w:color="auto" w:fill="auto"/>
            <w:noWrap/>
            <w:vAlign w:val="bottom"/>
            <w:hideMark/>
          </w:tcPr>
          <w:p w14:paraId="25B5D94B" w14:textId="77777777" w:rsidR="00DD5C9C" w:rsidRPr="00991711" w:rsidRDefault="00DD5C9C" w:rsidP="003B5D42">
            <w:pPr>
              <w:jc w:val="center"/>
              <w:rPr>
                <w:rFonts w:cs="Arial"/>
                <w:sz w:val="18"/>
                <w:szCs w:val="18"/>
                <w:lang w:eastAsia="en-GB" w:bidi="ar-SA"/>
              </w:rPr>
            </w:pPr>
            <w:r>
              <w:rPr>
                <w:rFonts w:cs="Arial"/>
                <w:sz w:val="18"/>
                <w:szCs w:val="18"/>
                <w:lang w:eastAsia="en-GB" w:bidi="ar-SA"/>
              </w:rPr>
              <w:t>1.2</w:t>
            </w:r>
          </w:p>
        </w:tc>
        <w:tc>
          <w:tcPr>
            <w:tcW w:w="2159" w:type="dxa"/>
            <w:shd w:val="clear" w:color="auto" w:fill="auto"/>
            <w:noWrap/>
            <w:vAlign w:val="bottom"/>
            <w:hideMark/>
          </w:tcPr>
          <w:p w14:paraId="25B5D94C"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w:t>
            </w:r>
          </w:p>
        </w:tc>
        <w:tc>
          <w:tcPr>
            <w:tcW w:w="2159" w:type="dxa"/>
            <w:shd w:val="clear" w:color="auto" w:fill="auto"/>
            <w:noWrap/>
            <w:vAlign w:val="bottom"/>
            <w:hideMark/>
          </w:tcPr>
          <w:p w14:paraId="25B5D94D"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w:t>
            </w:r>
            <w:r>
              <w:rPr>
                <w:rFonts w:cs="Arial"/>
                <w:sz w:val="18"/>
                <w:szCs w:val="18"/>
                <w:lang w:eastAsia="en-GB" w:bidi="ar-SA"/>
              </w:rPr>
              <w:t>3 **</w:t>
            </w:r>
          </w:p>
        </w:tc>
      </w:tr>
      <w:tr w:rsidR="00DD5C9C" w:rsidRPr="00013845" w14:paraId="25B5D953" w14:textId="77777777" w:rsidTr="000223BB">
        <w:trPr>
          <w:trHeight w:val="322"/>
        </w:trPr>
        <w:tc>
          <w:tcPr>
            <w:tcW w:w="2158" w:type="dxa"/>
            <w:shd w:val="clear" w:color="auto" w:fill="auto"/>
            <w:noWrap/>
            <w:vAlign w:val="bottom"/>
            <w:hideMark/>
          </w:tcPr>
          <w:p w14:paraId="25B5D94F"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Total</w:t>
            </w:r>
          </w:p>
        </w:tc>
        <w:tc>
          <w:tcPr>
            <w:tcW w:w="2159" w:type="dxa"/>
            <w:shd w:val="clear" w:color="auto" w:fill="auto"/>
            <w:noWrap/>
            <w:vAlign w:val="bottom"/>
            <w:hideMark/>
          </w:tcPr>
          <w:p w14:paraId="25B5D950"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100.0</w:t>
            </w:r>
          </w:p>
        </w:tc>
        <w:tc>
          <w:tcPr>
            <w:tcW w:w="2159" w:type="dxa"/>
            <w:shd w:val="clear" w:color="auto" w:fill="auto"/>
            <w:noWrap/>
            <w:vAlign w:val="bottom"/>
            <w:hideMark/>
          </w:tcPr>
          <w:p w14:paraId="25B5D951"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100.0</w:t>
            </w:r>
          </w:p>
        </w:tc>
        <w:tc>
          <w:tcPr>
            <w:tcW w:w="2159" w:type="dxa"/>
            <w:shd w:val="clear" w:color="auto" w:fill="auto"/>
            <w:noWrap/>
            <w:vAlign w:val="bottom"/>
            <w:hideMark/>
          </w:tcPr>
          <w:p w14:paraId="25B5D952"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100.0</w:t>
            </w:r>
          </w:p>
        </w:tc>
      </w:tr>
      <w:tr w:rsidR="00DD5C9C" w:rsidRPr="00013845" w14:paraId="25B5D958" w14:textId="77777777" w:rsidTr="000223BB">
        <w:trPr>
          <w:trHeight w:val="322"/>
        </w:trPr>
        <w:tc>
          <w:tcPr>
            <w:tcW w:w="2158" w:type="dxa"/>
            <w:shd w:val="clear" w:color="auto" w:fill="auto"/>
            <w:noWrap/>
            <w:vAlign w:val="bottom"/>
          </w:tcPr>
          <w:p w14:paraId="25B5D954" w14:textId="77777777" w:rsidR="00DD5C9C" w:rsidRPr="00991711" w:rsidRDefault="00DD5C9C" w:rsidP="003B5D42">
            <w:pPr>
              <w:ind w:firstLineChars="100" w:firstLine="180"/>
              <w:rPr>
                <w:rFonts w:cs="Arial"/>
                <w:sz w:val="18"/>
                <w:szCs w:val="18"/>
                <w:lang w:eastAsia="en-GB" w:bidi="ar-SA"/>
              </w:rPr>
            </w:pPr>
            <w:r w:rsidRPr="00991711">
              <w:rPr>
                <w:rFonts w:cs="Arial"/>
                <w:sz w:val="18"/>
                <w:szCs w:val="18"/>
                <w:lang w:eastAsia="en-GB" w:bidi="ar-SA"/>
              </w:rPr>
              <w:t>Proportion &lt;40 nM**</w:t>
            </w:r>
          </w:p>
        </w:tc>
        <w:tc>
          <w:tcPr>
            <w:tcW w:w="2159" w:type="dxa"/>
            <w:shd w:val="clear" w:color="auto" w:fill="auto"/>
            <w:noWrap/>
            <w:vAlign w:val="bottom"/>
          </w:tcPr>
          <w:p w14:paraId="25B5D955"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13.2</w:t>
            </w:r>
          </w:p>
        </w:tc>
        <w:tc>
          <w:tcPr>
            <w:tcW w:w="2159" w:type="dxa"/>
            <w:shd w:val="clear" w:color="auto" w:fill="auto"/>
            <w:noWrap/>
            <w:vAlign w:val="bottom"/>
          </w:tcPr>
          <w:p w14:paraId="25B5D956"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12.8</w:t>
            </w:r>
          </w:p>
        </w:tc>
        <w:tc>
          <w:tcPr>
            <w:tcW w:w="2159" w:type="dxa"/>
            <w:shd w:val="clear" w:color="auto" w:fill="auto"/>
            <w:noWrap/>
            <w:vAlign w:val="bottom"/>
          </w:tcPr>
          <w:p w14:paraId="25B5D957"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13.4**</w:t>
            </w:r>
          </w:p>
        </w:tc>
      </w:tr>
    </w:tbl>
    <w:p w14:paraId="25B5D959" w14:textId="77777777" w:rsidR="00DD5C9C" w:rsidRPr="00991711" w:rsidRDefault="00DD5C9C" w:rsidP="003B5D42">
      <w:pPr>
        <w:ind w:left="142" w:hanging="142"/>
        <w:rPr>
          <w:sz w:val="16"/>
          <w:szCs w:val="16"/>
        </w:rPr>
      </w:pPr>
      <w:r w:rsidRPr="00991711">
        <w:rPr>
          <w:sz w:val="16"/>
          <w:szCs w:val="16"/>
          <w:vertAlign w:val="superscript"/>
        </w:rPr>
        <w:t>1</w:t>
      </w:r>
      <w:r w:rsidRPr="00991711">
        <w:rPr>
          <w:sz w:val="16"/>
          <w:szCs w:val="16"/>
        </w:rPr>
        <w:t xml:space="preserve"> Table adapted from Table 5.3 in </w:t>
      </w:r>
      <w:r w:rsidRPr="00991711">
        <w:rPr>
          <w:i/>
          <w:sz w:val="16"/>
          <w:szCs w:val="16"/>
        </w:rPr>
        <w:t>AHS: Biomedical Results for Nutrients 2011-13</w:t>
      </w:r>
      <w:r w:rsidRPr="00991711">
        <w:rPr>
          <w:sz w:val="16"/>
          <w:szCs w:val="16"/>
        </w:rPr>
        <w:t xml:space="preserve">  </w:t>
      </w:r>
      <w:r w:rsidRPr="00991711">
        <w:rPr>
          <w:noProof/>
          <w:sz w:val="16"/>
          <w:szCs w:val="16"/>
        </w:rPr>
        <w:t>(ABS 2014a)</w:t>
      </w:r>
      <w:r w:rsidRPr="00991711">
        <w:rPr>
          <w:sz w:val="16"/>
          <w:szCs w:val="16"/>
        </w:rPr>
        <w:t xml:space="preserve">: </w:t>
      </w:r>
      <w:hyperlink r:id="rId20" w:history="1">
        <w:r w:rsidRPr="00991711">
          <w:rPr>
            <w:rStyle w:val="Hyperlink"/>
            <w:sz w:val="16"/>
            <w:szCs w:val="16"/>
          </w:rPr>
          <w:t>http://www.abs.gov.au/AUSSTATS/abs@.nsf/DetailsPage/4364.0.55.0062011-12?OpenDocument</w:t>
        </w:r>
      </w:hyperlink>
      <w:r w:rsidRPr="00991711">
        <w:rPr>
          <w:rStyle w:val="Hyperlink"/>
          <w:sz w:val="16"/>
          <w:szCs w:val="16"/>
        </w:rPr>
        <w:t xml:space="preserve"> </w:t>
      </w:r>
      <w:r w:rsidRPr="00991711">
        <w:rPr>
          <w:sz w:val="16"/>
          <w:szCs w:val="16"/>
        </w:rPr>
        <w:t>(Accessed 8 July 2014)</w:t>
      </w:r>
    </w:p>
    <w:p w14:paraId="25B5D95A" w14:textId="77777777" w:rsidR="00DD5C9C" w:rsidRPr="00991711" w:rsidRDefault="00DD5C9C" w:rsidP="003B5D42">
      <w:pPr>
        <w:ind w:left="142" w:hanging="142"/>
        <w:rPr>
          <w:sz w:val="16"/>
          <w:szCs w:val="16"/>
        </w:rPr>
      </w:pPr>
      <w:r w:rsidRPr="00991711">
        <w:rPr>
          <w:sz w:val="16"/>
          <w:szCs w:val="16"/>
        </w:rPr>
        <w:t xml:space="preserve">* Indicates that </w:t>
      </w:r>
      <w:r>
        <w:rPr>
          <w:sz w:val="16"/>
          <w:szCs w:val="16"/>
        </w:rPr>
        <w:t>the ABS regards this value as unreliable.</w:t>
      </w:r>
    </w:p>
    <w:p w14:paraId="25B5D95B" w14:textId="77777777" w:rsidR="00DD5C9C" w:rsidRPr="00991711" w:rsidRDefault="00DD5C9C" w:rsidP="003B5D42">
      <w:pPr>
        <w:ind w:left="142" w:hanging="142"/>
        <w:rPr>
          <w:sz w:val="16"/>
          <w:szCs w:val="16"/>
        </w:rPr>
      </w:pPr>
      <w:r w:rsidRPr="00991711">
        <w:rPr>
          <w:sz w:val="16"/>
          <w:szCs w:val="16"/>
        </w:rPr>
        <w:t>**Th</w:t>
      </w:r>
      <w:r>
        <w:rPr>
          <w:sz w:val="16"/>
          <w:szCs w:val="16"/>
        </w:rPr>
        <w:t xml:space="preserve">ese </w:t>
      </w:r>
      <w:r w:rsidRPr="00991711">
        <w:rPr>
          <w:sz w:val="16"/>
          <w:szCs w:val="16"/>
        </w:rPr>
        <w:t>value</w:t>
      </w:r>
      <w:r>
        <w:rPr>
          <w:sz w:val="16"/>
          <w:szCs w:val="16"/>
        </w:rPr>
        <w:t>s were</w:t>
      </w:r>
      <w:r w:rsidRPr="00991711">
        <w:rPr>
          <w:sz w:val="16"/>
          <w:szCs w:val="16"/>
        </w:rPr>
        <w:t xml:space="preserve"> derived from ABS Table Builder using AHS Core Content – Risk Factors and Selected Health Conditions, 2011–12</w:t>
      </w:r>
      <w:r>
        <w:rPr>
          <w:sz w:val="16"/>
          <w:szCs w:val="16"/>
        </w:rPr>
        <w:t xml:space="preserve">. </w:t>
      </w:r>
      <w:r w:rsidRPr="008D6C01">
        <w:rPr>
          <w:sz w:val="16"/>
          <w:szCs w:val="16"/>
          <w:lang w:val="en-AU"/>
        </w:rPr>
        <w:t>Table Builder is an online tool available from the ABS used (under subscription) to construct data tables from survey results.</w:t>
      </w:r>
      <w:r w:rsidRPr="008D6C01">
        <w:rPr>
          <w:sz w:val="16"/>
          <w:szCs w:val="16"/>
        </w:rPr>
        <w:t xml:space="preserve"> It allows the user to conduct more specific analyses than published in ABS reports.</w:t>
      </w:r>
      <w:r>
        <w:rPr>
          <w:sz w:val="16"/>
          <w:szCs w:val="16"/>
        </w:rPr>
        <w:t xml:space="preserve"> Be</w:t>
      </w:r>
      <w:r w:rsidRPr="00991711">
        <w:rPr>
          <w:sz w:val="16"/>
          <w:szCs w:val="16"/>
        </w:rPr>
        <w:t>cause cells in the table are randomly adjusted to avoid the release of confidential data meaning discrepancies may occur between sums of the component items and totals.</w:t>
      </w:r>
    </w:p>
    <w:p w14:paraId="25B5D95D" w14:textId="77777777" w:rsidR="00DD5C9C" w:rsidRDefault="00DD5C9C" w:rsidP="003B5D42">
      <w:pPr>
        <w:pStyle w:val="Heading4"/>
      </w:pPr>
      <w:r>
        <w:t>N</w:t>
      </w:r>
      <w:r w:rsidRPr="00B72379">
        <w:t>ew Zealand</w:t>
      </w:r>
      <w:r>
        <w:t xml:space="preserve"> Adult Nutrition Survey (2008–09)</w:t>
      </w:r>
    </w:p>
    <w:p w14:paraId="25B5D95E" w14:textId="7DC4BF1E" w:rsidR="000223BB" w:rsidRDefault="00DD5C9C" w:rsidP="003B5D42">
      <w:r>
        <w:t xml:space="preserve">The NZ ANS indicated that 20.9% of New Zealand adults (15 years and over) had serum 25OHD &lt; 40 nM. The prevalence of 25OHD &gt; 125 nM was 1.4% (data provided to FSANZ from </w:t>
      </w:r>
      <w:r w:rsidRPr="00E91FD1">
        <w:t>the NZ MoH</w:t>
      </w:r>
      <w:r>
        <w:t>)</w:t>
      </w:r>
      <w:r w:rsidRPr="00E91FD1">
        <w:t>.</w:t>
      </w:r>
    </w:p>
    <w:p w14:paraId="42DEF0B2" w14:textId="77777777" w:rsidR="00B62436" w:rsidRDefault="00B62436" w:rsidP="003B5D42"/>
    <w:p w14:paraId="25B5D960" w14:textId="77777777" w:rsidR="00DD5C9C" w:rsidRDefault="00DD5C9C" w:rsidP="003B5D42">
      <w:r>
        <w:t>Additional data from the NZ ANS were</w:t>
      </w:r>
      <w:r w:rsidRPr="00904470">
        <w:t xml:space="preserve"> reported using </w:t>
      </w:r>
      <w:r w:rsidR="002544DE">
        <w:t>cut-off value</w:t>
      </w:r>
      <w:r w:rsidRPr="00904470">
        <w:t>s of</w:t>
      </w:r>
      <w:r>
        <w:t xml:space="preserve"> 25OHD </w:t>
      </w:r>
      <w:r w:rsidRPr="00904470">
        <w:t>&lt;</w:t>
      </w:r>
      <w:r>
        <w:t xml:space="preserve"> </w:t>
      </w:r>
      <w:r w:rsidRPr="00904470">
        <w:t>25</w:t>
      </w:r>
      <w:r>
        <w:t xml:space="preserve"> nM</w:t>
      </w:r>
      <w:r w:rsidRPr="00904470">
        <w:t xml:space="preserve">, </w:t>
      </w:r>
      <w:r>
        <w:t xml:space="preserve">25OHD = </w:t>
      </w:r>
      <w:r w:rsidRPr="00904470">
        <w:t xml:space="preserve">25-49 </w:t>
      </w:r>
      <w:r>
        <w:t xml:space="preserve">nM, </w:t>
      </w:r>
      <w:r w:rsidRPr="00904470">
        <w:t>and</w:t>
      </w:r>
      <w:r>
        <w:t xml:space="preserve"> 25OHD </w:t>
      </w:r>
      <w:r>
        <w:rPr>
          <w:rFonts w:ascii="Calibri" w:hAnsi="Calibri"/>
        </w:rPr>
        <w:t>≥</w:t>
      </w:r>
      <w:r>
        <w:t xml:space="preserve"> </w:t>
      </w:r>
      <w:r w:rsidRPr="00904470">
        <w:t>50</w:t>
      </w:r>
      <w:r w:rsidR="008C6960">
        <w:t xml:space="preserve"> nM</w:t>
      </w:r>
      <w:r>
        <w:t>. Selected results reproduced from the NZ MoH report are shown in Appendix 2 and are summarised as follows:</w:t>
      </w:r>
    </w:p>
    <w:p w14:paraId="1FDB9FD6" w14:textId="06B06EC5" w:rsidR="00B62436" w:rsidRDefault="00B62436" w:rsidP="003B5D42">
      <w:r>
        <w:br w:type="page"/>
      </w:r>
    </w:p>
    <w:p w14:paraId="25B5D961" w14:textId="77777777" w:rsidR="00DD5C9C" w:rsidRDefault="00DD5C9C" w:rsidP="00C91549">
      <w:pPr>
        <w:pStyle w:val="FSBullet1"/>
      </w:pPr>
      <w:r>
        <w:lastRenderedPageBreak/>
        <w:t xml:space="preserve">most New Zealanders have serum 25OHD </w:t>
      </w:r>
      <w:r>
        <w:rPr>
          <w:rFonts w:ascii="Calibri" w:hAnsi="Calibri"/>
        </w:rPr>
        <w:t>≥</w:t>
      </w:r>
      <w:r>
        <w:t xml:space="preserve"> 50 nM (Appendix 2, Figure A5) with about 5% of adults having 25OHD &lt; 25 nM and another 27% were in the 25–49 nM range </w:t>
      </w:r>
    </w:p>
    <w:p w14:paraId="25B5D962" w14:textId="77777777" w:rsidR="00DD5C9C" w:rsidRDefault="00DD5C9C" w:rsidP="00C91549">
      <w:pPr>
        <w:pStyle w:val="FSBullet1"/>
      </w:pPr>
      <w:r>
        <w:t xml:space="preserve">there was no significant difference in prevalence of 25OHD &lt; 25 nM by age (from 15 years to 75 years and above) (Appendix 2, Figure A6). </w:t>
      </w:r>
      <w:r w:rsidRPr="004428EC">
        <w:t>Unlike Australian results, the young adult group did not have the highest prevalence among the adult groups</w:t>
      </w:r>
      <w:r>
        <w:t>.</w:t>
      </w:r>
    </w:p>
    <w:p w14:paraId="25B5D963" w14:textId="77777777" w:rsidR="00DD5C9C" w:rsidRDefault="00DD5C9C" w:rsidP="00C91549">
      <w:pPr>
        <w:pStyle w:val="FSBullet1"/>
      </w:pPr>
      <w:r>
        <w:t xml:space="preserve">there were no significant differences in the prevalence of population that had 25OHD &lt; 25 nM according to region, although the prevalence tended to be higher in the central and southern regions. </w:t>
      </w:r>
      <w:r w:rsidRPr="00904470">
        <w:t>(Appendix 2, Figure</w:t>
      </w:r>
      <w:r>
        <w:t xml:space="preserve"> A7</w:t>
      </w:r>
      <w:r w:rsidRPr="00904470">
        <w:t>)</w:t>
      </w:r>
    </w:p>
    <w:p w14:paraId="25B5D964" w14:textId="77777777" w:rsidR="00DD5C9C" w:rsidRDefault="00DD5C9C" w:rsidP="00C91549">
      <w:pPr>
        <w:pStyle w:val="FSBullet1"/>
      </w:pPr>
      <w:r>
        <w:t>t</w:t>
      </w:r>
      <w:r w:rsidRPr="00177FF7">
        <w:t>he prevalence of 25OHD &lt; 25 nM was highest during the winter months reaching a peak of about 16% in September</w:t>
      </w:r>
      <w:r>
        <w:t>. (Appendix 2, Figure A8).</w:t>
      </w:r>
    </w:p>
    <w:p w14:paraId="25B5D965" w14:textId="77777777" w:rsidR="00DD5C9C" w:rsidRDefault="00DD5C9C" w:rsidP="003B5D42">
      <w:pPr>
        <w:pStyle w:val="Heading4"/>
      </w:pPr>
      <w:r>
        <w:t>The 2002 New Zealand Children’s Survey</w:t>
      </w:r>
    </w:p>
    <w:p w14:paraId="01D4EFA6" w14:textId="77777777" w:rsidR="00EA525C" w:rsidRDefault="00DD5C9C" w:rsidP="003B5D42">
      <w:pPr>
        <w:rPr>
          <w:lang w:bidi="ar-SA"/>
        </w:rPr>
      </w:pPr>
      <w:r>
        <w:rPr>
          <w:lang w:bidi="ar-SA"/>
        </w:rPr>
        <w:t>Results of serum 25OHD measured in children aged 5</w:t>
      </w:r>
      <w:r w:rsidRPr="00EB1FB9">
        <w:rPr>
          <w:lang w:bidi="ar-SA"/>
        </w:rPr>
        <w:t>–</w:t>
      </w:r>
      <w:r>
        <w:rPr>
          <w:lang w:bidi="ar-SA"/>
        </w:rPr>
        <w:t xml:space="preserve">14 years as part of the 2002 New Zealand Children’s Survey were reported by Rockell et al. (2005). These authors used </w:t>
      </w:r>
    </w:p>
    <w:p w14:paraId="25B5D966" w14:textId="60FA668E" w:rsidR="00DD5C9C" w:rsidRDefault="00DD5C9C" w:rsidP="003B5D42">
      <w:pPr>
        <w:rPr>
          <w:lang w:bidi="ar-SA"/>
        </w:rPr>
      </w:pPr>
      <w:r>
        <w:rPr>
          <w:lang w:bidi="ar-SA"/>
        </w:rPr>
        <w:t xml:space="preserve">17.5 nM and 37.5 nM to classify serum 25OHD concentration (Table 7) which were selected on the basis of </w:t>
      </w:r>
      <w:r w:rsidR="002544DE">
        <w:rPr>
          <w:lang w:bidi="ar-SA"/>
        </w:rPr>
        <w:t>cut-off value</w:t>
      </w:r>
      <w:r>
        <w:rPr>
          <w:lang w:bidi="ar-SA"/>
        </w:rPr>
        <w:t>s used in a US survey (</w:t>
      </w:r>
      <w:r w:rsidRPr="003F645A">
        <w:rPr>
          <w:lang w:bidi="ar-SA"/>
        </w:rPr>
        <w:t>3</w:t>
      </w:r>
      <w:r w:rsidRPr="00EA525C">
        <w:rPr>
          <w:vertAlign w:val="superscript"/>
          <w:lang w:bidi="ar-SA"/>
        </w:rPr>
        <w:t>rd</w:t>
      </w:r>
      <w:r w:rsidR="00EA525C">
        <w:rPr>
          <w:lang w:bidi="ar-SA"/>
        </w:rPr>
        <w:t xml:space="preserve"> </w:t>
      </w:r>
      <w:r w:rsidRPr="003F645A">
        <w:rPr>
          <w:lang w:bidi="ar-SA"/>
        </w:rPr>
        <w:t xml:space="preserve"> U.S. National</w:t>
      </w:r>
      <w:r>
        <w:rPr>
          <w:lang w:bidi="ar-SA"/>
        </w:rPr>
        <w:t xml:space="preserve"> </w:t>
      </w:r>
      <w:r w:rsidRPr="003F645A">
        <w:rPr>
          <w:lang w:bidi="ar-SA"/>
        </w:rPr>
        <w:t>Health an</w:t>
      </w:r>
      <w:r>
        <w:rPr>
          <w:lang w:bidi="ar-SA"/>
        </w:rPr>
        <w:t xml:space="preserve">d Nutrition Examination Survey or </w:t>
      </w:r>
      <w:r w:rsidRPr="003F645A">
        <w:rPr>
          <w:lang w:bidi="ar-SA"/>
        </w:rPr>
        <w:t>NHANES III)</w:t>
      </w:r>
      <w:r>
        <w:rPr>
          <w:lang w:bidi="ar-SA"/>
        </w:rPr>
        <w:t xml:space="preserve">. However, 37.5 nM is below the value 40 nM selected by FSANZ. Therefore it can be stated that the prevalence of inadequate vitamin D status in New Zealand children was slightly greater than 31%. </w:t>
      </w:r>
    </w:p>
    <w:p w14:paraId="25B5D967" w14:textId="77777777" w:rsidR="00DD5C9C" w:rsidRDefault="00DD5C9C" w:rsidP="003B5D42">
      <w:pPr>
        <w:rPr>
          <w:lang w:bidi="ar-SA"/>
        </w:rPr>
      </w:pPr>
      <w:r>
        <w:rPr>
          <w:lang w:bidi="ar-SA"/>
        </w:rPr>
        <w:t xml:space="preserve"> </w:t>
      </w:r>
    </w:p>
    <w:p w14:paraId="25B5D968" w14:textId="77777777" w:rsidR="00DD5C9C" w:rsidRDefault="00DD5C9C" w:rsidP="003B5D42">
      <w:pPr>
        <w:rPr>
          <w:lang w:bidi="ar-SA"/>
        </w:rPr>
      </w:pPr>
      <w:r w:rsidRPr="00A80C76">
        <w:rPr>
          <w:lang w:bidi="ar-SA"/>
        </w:rPr>
        <w:t>The key results from the New Zealand Children’s Survey</w:t>
      </w:r>
      <w:r>
        <w:rPr>
          <w:lang w:bidi="ar-SA"/>
        </w:rPr>
        <w:t xml:space="preserve"> (see also Appendix 2, Table A1)</w:t>
      </w:r>
      <w:r w:rsidRPr="00A80C76">
        <w:rPr>
          <w:lang w:bidi="ar-SA"/>
        </w:rPr>
        <w:t xml:space="preserve"> </w:t>
      </w:r>
      <w:r>
        <w:rPr>
          <w:lang w:bidi="ar-SA"/>
        </w:rPr>
        <w:t>show that:</w:t>
      </w:r>
    </w:p>
    <w:p w14:paraId="4430154A" w14:textId="77777777" w:rsidR="000223BB" w:rsidRDefault="000223BB" w:rsidP="003B5D42">
      <w:pPr>
        <w:rPr>
          <w:lang w:bidi="ar-SA"/>
        </w:rPr>
      </w:pPr>
    </w:p>
    <w:p w14:paraId="25B5D969" w14:textId="58564CD7" w:rsidR="00DD5C9C" w:rsidRPr="001573F4" w:rsidRDefault="00DD5C9C" w:rsidP="00F45149">
      <w:pPr>
        <w:pStyle w:val="FSBullet1"/>
      </w:pPr>
      <w:r w:rsidRPr="001573F4">
        <w:t>M</w:t>
      </w:r>
      <w:r w:rsidR="000223BB">
        <w:t>ā</w:t>
      </w:r>
      <w:r w:rsidRPr="001573F4">
        <w:t>ori and Pacific adolescents (11</w:t>
      </w:r>
      <w:r w:rsidRPr="00EB1FB9">
        <w:t>–</w:t>
      </w:r>
      <w:r w:rsidRPr="001573F4">
        <w:t>14 years), particularly girls, have the highest prevalence of low vitamin D status compared to all children in this age bracket</w:t>
      </w:r>
    </w:p>
    <w:p w14:paraId="25B5D96A" w14:textId="77777777" w:rsidR="00DD5C9C" w:rsidRDefault="00DD5C9C" w:rsidP="00F45149">
      <w:pPr>
        <w:pStyle w:val="FSBullet1"/>
      </w:pPr>
      <w:r>
        <w:t>a</w:t>
      </w:r>
      <w:r w:rsidRPr="001573F4">
        <w:t xml:space="preserve">s expected, the proportion of children and adolescents with low 25OHD </w:t>
      </w:r>
      <w:r>
        <w:t>concentration</w:t>
      </w:r>
      <w:r w:rsidRPr="001573F4">
        <w:t xml:space="preserve"> was greater in the winter months</w:t>
      </w:r>
      <w:r>
        <w:t>.</w:t>
      </w:r>
    </w:p>
    <w:p w14:paraId="25B5D96B" w14:textId="30657C76" w:rsidR="00DD5C9C" w:rsidRPr="000223BB" w:rsidRDefault="00DD5C9C" w:rsidP="003B5D42">
      <w:pPr>
        <w:pStyle w:val="FSTableFigureHeading"/>
        <w:rPr>
          <w:i w:val="0"/>
          <w:vertAlign w:val="superscript"/>
          <w:lang w:eastAsia="en-AU"/>
        </w:rPr>
      </w:pPr>
      <w:r w:rsidRPr="000223BB">
        <w:rPr>
          <w:i w:val="0"/>
          <w:lang w:eastAsia="en-AU"/>
        </w:rPr>
        <w:t>Table 7</w:t>
      </w:r>
      <w:r w:rsidRPr="000223BB">
        <w:rPr>
          <w:i w:val="0"/>
          <w:lang w:eastAsia="en-AU"/>
        </w:rPr>
        <w:tab/>
        <w:t xml:space="preserve">Mean serum 25OHD and proportion below two </w:t>
      </w:r>
      <w:r w:rsidR="002544DE" w:rsidRPr="000223BB">
        <w:rPr>
          <w:i w:val="0"/>
          <w:lang w:eastAsia="en-AU"/>
        </w:rPr>
        <w:t>cut-off value</w:t>
      </w:r>
      <w:r w:rsidRPr="000223BB">
        <w:rPr>
          <w:i w:val="0"/>
          <w:lang w:eastAsia="en-AU"/>
        </w:rPr>
        <w:t xml:space="preserve">s, 2002 </w:t>
      </w:r>
      <w:r w:rsidR="000223BB">
        <w:rPr>
          <w:i w:val="0"/>
          <w:lang w:eastAsia="en-AU"/>
        </w:rPr>
        <w:t xml:space="preserve">         </w:t>
      </w:r>
      <w:r w:rsidRPr="000223BB">
        <w:rPr>
          <w:i w:val="0"/>
          <w:lang w:eastAsia="en-AU"/>
        </w:rPr>
        <w:t>New Zealand Children’s Survey</w:t>
      </w:r>
      <w:r w:rsidRPr="000223BB">
        <w:rPr>
          <w:i w:val="0"/>
          <w:vertAlign w:val="superscript"/>
          <w:lang w:eastAsia="en-AU"/>
        </w:rPr>
        <w:t>a</w:t>
      </w:r>
    </w:p>
    <w:tbl>
      <w:tblPr>
        <w:tblW w:w="8520" w:type="dxa"/>
        <w:tblInd w:w="9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843"/>
        <w:gridCol w:w="2480"/>
        <w:gridCol w:w="2481"/>
      </w:tblGrid>
      <w:tr w:rsidR="00DD5C9C" w:rsidRPr="007926E4" w14:paraId="25B5D970" w14:textId="77777777" w:rsidTr="003B5D42">
        <w:trPr>
          <w:trHeight w:val="313"/>
        </w:trPr>
        <w:tc>
          <w:tcPr>
            <w:tcW w:w="1716" w:type="dxa"/>
            <w:vMerge w:val="restart"/>
            <w:tcBorders>
              <w:top w:val="single" w:sz="4" w:space="0" w:color="auto"/>
              <w:left w:val="single" w:sz="4" w:space="0" w:color="auto"/>
              <w:right w:val="single" w:sz="4" w:space="0" w:color="auto"/>
            </w:tcBorders>
            <w:shd w:val="clear" w:color="auto" w:fill="auto"/>
            <w:noWrap/>
            <w:vAlign w:val="center"/>
          </w:tcPr>
          <w:p w14:paraId="25B5D96C"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 xml:space="preserve">Population group (age in years) </w:t>
            </w:r>
          </w:p>
        </w:tc>
        <w:tc>
          <w:tcPr>
            <w:tcW w:w="1843" w:type="dxa"/>
            <w:vMerge w:val="restart"/>
            <w:tcBorders>
              <w:top w:val="single" w:sz="4" w:space="0" w:color="auto"/>
              <w:left w:val="single" w:sz="4" w:space="0" w:color="auto"/>
              <w:right w:val="single" w:sz="4" w:space="0" w:color="auto"/>
            </w:tcBorders>
            <w:vAlign w:val="center"/>
          </w:tcPr>
          <w:p w14:paraId="25B5D96D"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 xml:space="preserve">Mean serum </w:t>
            </w:r>
          </w:p>
          <w:p w14:paraId="25B5D96E"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25OHD (nM)</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5D96F"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Proportion (%)</w:t>
            </w:r>
          </w:p>
        </w:tc>
      </w:tr>
      <w:tr w:rsidR="00DD5C9C" w:rsidRPr="007926E4" w14:paraId="25B5D975" w14:textId="77777777" w:rsidTr="003B5D42">
        <w:trPr>
          <w:trHeight w:val="289"/>
        </w:trPr>
        <w:tc>
          <w:tcPr>
            <w:tcW w:w="1716" w:type="dxa"/>
            <w:vMerge/>
            <w:tcBorders>
              <w:left w:val="single" w:sz="4" w:space="0" w:color="auto"/>
              <w:bottom w:val="single" w:sz="4" w:space="0" w:color="auto"/>
              <w:right w:val="single" w:sz="4" w:space="0" w:color="auto"/>
            </w:tcBorders>
            <w:shd w:val="clear" w:color="auto" w:fill="auto"/>
            <w:noWrap/>
            <w:vAlign w:val="center"/>
          </w:tcPr>
          <w:p w14:paraId="25B5D971" w14:textId="77777777" w:rsidR="00DD5C9C" w:rsidRPr="00991711" w:rsidRDefault="00DD5C9C" w:rsidP="003B5D42">
            <w:pPr>
              <w:rPr>
                <w:rFonts w:cs="Arial"/>
                <w:b/>
                <w:sz w:val="18"/>
                <w:szCs w:val="18"/>
                <w:lang w:eastAsia="en-GB" w:bidi="ar-SA"/>
              </w:rPr>
            </w:pPr>
          </w:p>
        </w:tc>
        <w:tc>
          <w:tcPr>
            <w:tcW w:w="1843" w:type="dxa"/>
            <w:vMerge/>
            <w:tcBorders>
              <w:left w:val="single" w:sz="4" w:space="0" w:color="auto"/>
              <w:bottom w:val="single" w:sz="4" w:space="0" w:color="auto"/>
              <w:right w:val="single" w:sz="4" w:space="0" w:color="auto"/>
            </w:tcBorders>
            <w:vAlign w:val="center"/>
          </w:tcPr>
          <w:p w14:paraId="25B5D972" w14:textId="77777777" w:rsidR="00DD5C9C" w:rsidRPr="00991711" w:rsidRDefault="00DD5C9C" w:rsidP="003B5D42">
            <w:pPr>
              <w:jc w:val="center"/>
              <w:rPr>
                <w:rFonts w:cs="Arial"/>
                <w:b/>
                <w:sz w:val="18"/>
                <w:szCs w:val="18"/>
                <w:lang w:eastAsia="en-GB" w:bidi="ar-SA"/>
              </w:rPr>
            </w:pPr>
          </w:p>
        </w:tc>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D973"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25OHD &lt; 17.5 nM</w:t>
            </w:r>
          </w:p>
        </w:tc>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D974" w14:textId="77777777" w:rsidR="00DD5C9C" w:rsidRPr="00991711" w:rsidRDefault="00DD5C9C" w:rsidP="003B5D42">
            <w:pPr>
              <w:jc w:val="center"/>
              <w:rPr>
                <w:rFonts w:cs="Arial"/>
                <w:b/>
                <w:sz w:val="18"/>
                <w:szCs w:val="18"/>
                <w:lang w:eastAsia="en-GB" w:bidi="ar-SA"/>
              </w:rPr>
            </w:pPr>
            <w:r w:rsidRPr="00991711">
              <w:rPr>
                <w:rFonts w:cs="Arial"/>
                <w:b/>
                <w:sz w:val="18"/>
                <w:szCs w:val="18"/>
                <w:lang w:eastAsia="en-GB" w:bidi="ar-SA"/>
              </w:rPr>
              <w:t>25OHD &lt; 37.5 nM</w:t>
            </w:r>
          </w:p>
        </w:tc>
      </w:tr>
      <w:tr w:rsidR="00DD5C9C" w:rsidRPr="007926E4" w14:paraId="25B5D97B" w14:textId="77777777" w:rsidTr="003B5D42">
        <w:trPr>
          <w:trHeight w:val="407"/>
        </w:trPr>
        <w:tc>
          <w:tcPr>
            <w:tcW w:w="1716" w:type="dxa"/>
            <w:tcBorders>
              <w:top w:val="single" w:sz="4" w:space="0" w:color="auto"/>
              <w:left w:val="single" w:sz="4" w:space="0" w:color="auto"/>
              <w:bottom w:val="nil"/>
              <w:right w:val="single" w:sz="4" w:space="0" w:color="auto"/>
            </w:tcBorders>
            <w:shd w:val="clear" w:color="auto" w:fill="auto"/>
            <w:noWrap/>
            <w:vAlign w:val="center"/>
          </w:tcPr>
          <w:p w14:paraId="25B5D976" w14:textId="77777777" w:rsidR="00DD5C9C" w:rsidRPr="00991711" w:rsidRDefault="00DD5C9C" w:rsidP="003B5D42">
            <w:pPr>
              <w:rPr>
                <w:rFonts w:cs="Arial"/>
                <w:sz w:val="18"/>
                <w:szCs w:val="18"/>
                <w:lang w:eastAsia="en-GB" w:bidi="ar-SA"/>
              </w:rPr>
            </w:pPr>
            <w:r w:rsidRPr="00991711">
              <w:rPr>
                <w:rFonts w:cs="Arial"/>
                <w:sz w:val="18"/>
                <w:szCs w:val="18"/>
                <w:lang w:eastAsia="en-GB" w:bidi="ar-SA"/>
              </w:rPr>
              <w:t>All children</w:t>
            </w:r>
          </w:p>
          <w:p w14:paraId="25B5D977"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(5–14)</w:t>
            </w:r>
          </w:p>
        </w:tc>
        <w:tc>
          <w:tcPr>
            <w:tcW w:w="1843" w:type="dxa"/>
            <w:tcBorders>
              <w:top w:val="single" w:sz="4" w:space="0" w:color="auto"/>
              <w:left w:val="single" w:sz="4" w:space="0" w:color="auto"/>
              <w:bottom w:val="nil"/>
              <w:right w:val="single" w:sz="4" w:space="0" w:color="auto"/>
            </w:tcBorders>
            <w:vAlign w:val="center"/>
          </w:tcPr>
          <w:p w14:paraId="25B5D978"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50</w:t>
            </w:r>
          </w:p>
        </w:tc>
        <w:tc>
          <w:tcPr>
            <w:tcW w:w="2480" w:type="dxa"/>
            <w:tcBorders>
              <w:top w:val="single" w:sz="4" w:space="0" w:color="auto"/>
              <w:left w:val="single" w:sz="4" w:space="0" w:color="auto"/>
              <w:bottom w:val="nil"/>
              <w:right w:val="single" w:sz="4" w:space="0" w:color="auto"/>
            </w:tcBorders>
            <w:shd w:val="clear" w:color="auto" w:fill="auto"/>
            <w:noWrap/>
            <w:vAlign w:val="center"/>
          </w:tcPr>
          <w:p w14:paraId="25B5D979"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w:t>
            </w:r>
          </w:p>
        </w:tc>
        <w:tc>
          <w:tcPr>
            <w:tcW w:w="2481" w:type="dxa"/>
            <w:tcBorders>
              <w:top w:val="single" w:sz="4" w:space="0" w:color="auto"/>
              <w:left w:val="single" w:sz="4" w:space="0" w:color="auto"/>
              <w:bottom w:val="nil"/>
              <w:right w:val="single" w:sz="4" w:space="0" w:color="auto"/>
            </w:tcBorders>
            <w:shd w:val="clear" w:color="auto" w:fill="auto"/>
            <w:noWrap/>
            <w:vAlign w:val="center"/>
          </w:tcPr>
          <w:p w14:paraId="25B5D97A"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31</w:t>
            </w:r>
          </w:p>
        </w:tc>
      </w:tr>
      <w:tr w:rsidR="00DD5C9C" w:rsidRPr="007926E4" w14:paraId="25B5D980" w14:textId="77777777" w:rsidTr="003B5D42">
        <w:trPr>
          <w:trHeight w:val="227"/>
        </w:trPr>
        <w:tc>
          <w:tcPr>
            <w:tcW w:w="1716" w:type="dxa"/>
            <w:tcBorders>
              <w:top w:val="single" w:sz="4" w:space="0" w:color="auto"/>
              <w:left w:val="single" w:sz="4" w:space="0" w:color="auto"/>
              <w:bottom w:val="nil"/>
              <w:right w:val="single" w:sz="4" w:space="0" w:color="auto"/>
            </w:tcBorders>
            <w:shd w:val="clear" w:color="auto" w:fill="auto"/>
            <w:noWrap/>
            <w:vAlign w:val="center"/>
          </w:tcPr>
          <w:p w14:paraId="25B5D97C" w14:textId="77777777" w:rsidR="00DD5C9C" w:rsidRPr="00991711" w:rsidRDefault="00DD5C9C" w:rsidP="003B5D42">
            <w:pPr>
              <w:rPr>
                <w:rFonts w:cs="Arial"/>
                <w:sz w:val="18"/>
                <w:szCs w:val="18"/>
                <w:lang w:eastAsia="en-GB" w:bidi="ar-SA"/>
              </w:rPr>
            </w:pPr>
            <w:r w:rsidRPr="00991711">
              <w:rPr>
                <w:rFonts w:cs="Arial"/>
                <w:sz w:val="18"/>
                <w:szCs w:val="18"/>
                <w:lang w:eastAsia="en-GB" w:bidi="ar-SA"/>
              </w:rPr>
              <w:t>Boys</w:t>
            </w:r>
          </w:p>
        </w:tc>
        <w:tc>
          <w:tcPr>
            <w:tcW w:w="1843" w:type="dxa"/>
            <w:tcBorders>
              <w:top w:val="single" w:sz="4" w:space="0" w:color="auto"/>
              <w:left w:val="single" w:sz="4" w:space="0" w:color="auto"/>
              <w:bottom w:val="nil"/>
              <w:right w:val="single" w:sz="4" w:space="0" w:color="auto"/>
            </w:tcBorders>
            <w:vAlign w:val="center"/>
          </w:tcPr>
          <w:p w14:paraId="25B5D97D" w14:textId="77777777" w:rsidR="00DD5C9C" w:rsidRPr="00991711" w:rsidRDefault="00DD5C9C" w:rsidP="003B5D42">
            <w:pPr>
              <w:jc w:val="center"/>
              <w:rPr>
                <w:rFonts w:cs="Arial"/>
                <w:sz w:val="18"/>
                <w:szCs w:val="18"/>
                <w:lang w:eastAsia="en-GB" w:bidi="ar-SA"/>
              </w:rPr>
            </w:pPr>
          </w:p>
        </w:tc>
        <w:tc>
          <w:tcPr>
            <w:tcW w:w="2480" w:type="dxa"/>
            <w:tcBorders>
              <w:top w:val="single" w:sz="4" w:space="0" w:color="auto"/>
              <w:left w:val="single" w:sz="4" w:space="0" w:color="auto"/>
              <w:bottom w:val="nil"/>
              <w:right w:val="single" w:sz="4" w:space="0" w:color="auto"/>
            </w:tcBorders>
            <w:shd w:val="clear" w:color="auto" w:fill="auto"/>
            <w:noWrap/>
            <w:vAlign w:val="center"/>
          </w:tcPr>
          <w:p w14:paraId="25B5D97E" w14:textId="77777777" w:rsidR="00DD5C9C" w:rsidRPr="00991711" w:rsidRDefault="00DD5C9C" w:rsidP="003B5D42">
            <w:pPr>
              <w:jc w:val="center"/>
              <w:rPr>
                <w:rFonts w:cs="Arial"/>
                <w:sz w:val="18"/>
                <w:szCs w:val="18"/>
                <w:lang w:eastAsia="en-GB" w:bidi="ar-SA"/>
              </w:rPr>
            </w:pPr>
          </w:p>
        </w:tc>
        <w:tc>
          <w:tcPr>
            <w:tcW w:w="2481" w:type="dxa"/>
            <w:tcBorders>
              <w:top w:val="single" w:sz="4" w:space="0" w:color="auto"/>
              <w:left w:val="single" w:sz="4" w:space="0" w:color="auto"/>
              <w:bottom w:val="nil"/>
              <w:right w:val="single" w:sz="4" w:space="0" w:color="auto"/>
            </w:tcBorders>
            <w:shd w:val="clear" w:color="auto" w:fill="auto"/>
            <w:noWrap/>
            <w:vAlign w:val="center"/>
          </w:tcPr>
          <w:p w14:paraId="25B5D97F" w14:textId="77777777" w:rsidR="00DD5C9C" w:rsidRPr="00991711" w:rsidRDefault="00DD5C9C" w:rsidP="003B5D42">
            <w:pPr>
              <w:jc w:val="center"/>
              <w:rPr>
                <w:rFonts w:cs="Arial"/>
                <w:sz w:val="18"/>
                <w:szCs w:val="18"/>
                <w:lang w:eastAsia="en-GB" w:bidi="ar-SA"/>
              </w:rPr>
            </w:pPr>
          </w:p>
        </w:tc>
      </w:tr>
      <w:tr w:rsidR="00DD5C9C" w:rsidRPr="007926E4" w14:paraId="25B5D985" w14:textId="77777777" w:rsidTr="003B5D42">
        <w:trPr>
          <w:trHeight w:val="227"/>
        </w:trPr>
        <w:tc>
          <w:tcPr>
            <w:tcW w:w="1716" w:type="dxa"/>
            <w:tcBorders>
              <w:top w:val="nil"/>
              <w:left w:val="single" w:sz="4" w:space="0" w:color="auto"/>
              <w:bottom w:val="nil"/>
              <w:right w:val="single" w:sz="4" w:space="0" w:color="auto"/>
            </w:tcBorders>
            <w:shd w:val="clear" w:color="auto" w:fill="auto"/>
            <w:noWrap/>
          </w:tcPr>
          <w:p w14:paraId="25B5D981"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(5–14)</w:t>
            </w:r>
          </w:p>
        </w:tc>
        <w:tc>
          <w:tcPr>
            <w:tcW w:w="1843" w:type="dxa"/>
            <w:tcBorders>
              <w:top w:val="nil"/>
              <w:left w:val="single" w:sz="4" w:space="0" w:color="auto"/>
              <w:bottom w:val="nil"/>
              <w:right w:val="single" w:sz="4" w:space="0" w:color="auto"/>
            </w:tcBorders>
            <w:vAlign w:val="center"/>
          </w:tcPr>
          <w:p w14:paraId="25B5D982"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52</w:t>
            </w:r>
          </w:p>
        </w:tc>
        <w:tc>
          <w:tcPr>
            <w:tcW w:w="2480" w:type="dxa"/>
            <w:tcBorders>
              <w:top w:val="nil"/>
              <w:left w:val="single" w:sz="4" w:space="0" w:color="auto"/>
              <w:bottom w:val="nil"/>
              <w:right w:val="single" w:sz="4" w:space="0" w:color="auto"/>
            </w:tcBorders>
            <w:shd w:val="clear" w:color="auto" w:fill="auto"/>
            <w:noWrap/>
            <w:vAlign w:val="center"/>
          </w:tcPr>
          <w:p w14:paraId="25B5D983"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w:t>
            </w:r>
          </w:p>
        </w:tc>
        <w:tc>
          <w:tcPr>
            <w:tcW w:w="2481" w:type="dxa"/>
            <w:tcBorders>
              <w:top w:val="nil"/>
              <w:left w:val="single" w:sz="4" w:space="0" w:color="auto"/>
              <w:bottom w:val="nil"/>
              <w:right w:val="single" w:sz="4" w:space="0" w:color="auto"/>
            </w:tcBorders>
            <w:shd w:val="clear" w:color="auto" w:fill="auto"/>
            <w:noWrap/>
            <w:vAlign w:val="center"/>
          </w:tcPr>
          <w:p w14:paraId="25B5D984"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27</w:t>
            </w:r>
          </w:p>
        </w:tc>
      </w:tr>
      <w:tr w:rsidR="00DD5C9C" w:rsidRPr="007926E4" w14:paraId="25B5D98A" w14:textId="77777777" w:rsidTr="003B5D42">
        <w:trPr>
          <w:trHeight w:val="227"/>
        </w:trPr>
        <w:tc>
          <w:tcPr>
            <w:tcW w:w="1716" w:type="dxa"/>
            <w:tcBorders>
              <w:top w:val="nil"/>
              <w:left w:val="single" w:sz="4" w:space="0" w:color="auto"/>
              <w:bottom w:val="nil"/>
              <w:right w:val="single" w:sz="4" w:space="0" w:color="auto"/>
            </w:tcBorders>
            <w:shd w:val="clear" w:color="auto" w:fill="auto"/>
            <w:noWrap/>
          </w:tcPr>
          <w:p w14:paraId="25B5D986"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(5–6)</w:t>
            </w:r>
          </w:p>
        </w:tc>
        <w:tc>
          <w:tcPr>
            <w:tcW w:w="1843" w:type="dxa"/>
            <w:tcBorders>
              <w:top w:val="nil"/>
              <w:left w:val="single" w:sz="4" w:space="0" w:color="auto"/>
              <w:bottom w:val="nil"/>
              <w:right w:val="single" w:sz="4" w:space="0" w:color="auto"/>
            </w:tcBorders>
            <w:vAlign w:val="center"/>
          </w:tcPr>
          <w:p w14:paraId="25B5D987"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57</w:t>
            </w:r>
          </w:p>
        </w:tc>
        <w:tc>
          <w:tcPr>
            <w:tcW w:w="2480" w:type="dxa"/>
            <w:tcBorders>
              <w:top w:val="nil"/>
              <w:left w:val="single" w:sz="4" w:space="0" w:color="auto"/>
              <w:bottom w:val="nil"/>
              <w:right w:val="single" w:sz="4" w:space="0" w:color="auto"/>
            </w:tcBorders>
            <w:shd w:val="clear" w:color="auto" w:fill="auto"/>
            <w:noWrap/>
            <w:vAlign w:val="center"/>
          </w:tcPr>
          <w:p w14:paraId="25B5D988"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w:t>
            </w:r>
          </w:p>
        </w:tc>
        <w:tc>
          <w:tcPr>
            <w:tcW w:w="2481" w:type="dxa"/>
            <w:tcBorders>
              <w:top w:val="nil"/>
              <w:left w:val="single" w:sz="4" w:space="0" w:color="auto"/>
              <w:bottom w:val="nil"/>
              <w:right w:val="single" w:sz="4" w:space="0" w:color="auto"/>
            </w:tcBorders>
            <w:shd w:val="clear" w:color="auto" w:fill="auto"/>
            <w:noWrap/>
            <w:vAlign w:val="center"/>
          </w:tcPr>
          <w:p w14:paraId="25B5D989"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19</w:t>
            </w:r>
          </w:p>
        </w:tc>
      </w:tr>
      <w:tr w:rsidR="00DD5C9C" w:rsidRPr="007926E4" w14:paraId="25B5D98F" w14:textId="77777777" w:rsidTr="003B5D42">
        <w:trPr>
          <w:trHeight w:val="227"/>
        </w:trPr>
        <w:tc>
          <w:tcPr>
            <w:tcW w:w="1716" w:type="dxa"/>
            <w:tcBorders>
              <w:top w:val="nil"/>
              <w:left w:val="single" w:sz="4" w:space="0" w:color="auto"/>
              <w:bottom w:val="nil"/>
              <w:right w:val="single" w:sz="4" w:space="0" w:color="auto"/>
            </w:tcBorders>
            <w:shd w:val="clear" w:color="auto" w:fill="auto"/>
            <w:noWrap/>
          </w:tcPr>
          <w:p w14:paraId="25B5D98B"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(7–10)</w:t>
            </w:r>
          </w:p>
        </w:tc>
        <w:tc>
          <w:tcPr>
            <w:tcW w:w="1843" w:type="dxa"/>
            <w:tcBorders>
              <w:top w:val="nil"/>
              <w:left w:val="single" w:sz="4" w:space="0" w:color="auto"/>
              <w:bottom w:val="nil"/>
              <w:right w:val="single" w:sz="4" w:space="0" w:color="auto"/>
            </w:tcBorders>
            <w:vAlign w:val="center"/>
          </w:tcPr>
          <w:p w14:paraId="25B5D98C"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53</w:t>
            </w:r>
          </w:p>
        </w:tc>
        <w:tc>
          <w:tcPr>
            <w:tcW w:w="2480" w:type="dxa"/>
            <w:tcBorders>
              <w:top w:val="nil"/>
              <w:left w:val="single" w:sz="4" w:space="0" w:color="auto"/>
              <w:bottom w:val="nil"/>
              <w:right w:val="single" w:sz="4" w:space="0" w:color="auto"/>
            </w:tcBorders>
            <w:shd w:val="clear" w:color="auto" w:fill="auto"/>
            <w:noWrap/>
            <w:vAlign w:val="center"/>
          </w:tcPr>
          <w:p w14:paraId="25B5D98D"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w:t>
            </w:r>
          </w:p>
        </w:tc>
        <w:tc>
          <w:tcPr>
            <w:tcW w:w="2481" w:type="dxa"/>
            <w:tcBorders>
              <w:top w:val="nil"/>
              <w:left w:val="single" w:sz="4" w:space="0" w:color="auto"/>
              <w:bottom w:val="nil"/>
              <w:right w:val="single" w:sz="4" w:space="0" w:color="auto"/>
            </w:tcBorders>
            <w:shd w:val="clear" w:color="auto" w:fill="auto"/>
            <w:noWrap/>
            <w:vAlign w:val="center"/>
          </w:tcPr>
          <w:p w14:paraId="25B5D98E"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24</w:t>
            </w:r>
          </w:p>
        </w:tc>
      </w:tr>
      <w:tr w:rsidR="00DD5C9C" w:rsidRPr="007926E4" w14:paraId="25B5D994" w14:textId="77777777" w:rsidTr="003B5D42">
        <w:trPr>
          <w:trHeight w:val="227"/>
        </w:trPr>
        <w:tc>
          <w:tcPr>
            <w:tcW w:w="1716" w:type="dxa"/>
            <w:tcBorders>
              <w:top w:val="nil"/>
              <w:left w:val="single" w:sz="4" w:space="0" w:color="auto"/>
              <w:bottom w:val="single" w:sz="4" w:space="0" w:color="auto"/>
              <w:right w:val="single" w:sz="4" w:space="0" w:color="auto"/>
            </w:tcBorders>
            <w:shd w:val="clear" w:color="auto" w:fill="auto"/>
            <w:noWrap/>
          </w:tcPr>
          <w:p w14:paraId="25B5D990"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(11–14)</w:t>
            </w:r>
          </w:p>
        </w:tc>
        <w:tc>
          <w:tcPr>
            <w:tcW w:w="1843" w:type="dxa"/>
            <w:tcBorders>
              <w:top w:val="nil"/>
              <w:left w:val="single" w:sz="4" w:space="0" w:color="auto"/>
              <w:bottom w:val="single" w:sz="4" w:space="0" w:color="auto"/>
              <w:right w:val="single" w:sz="4" w:space="0" w:color="auto"/>
            </w:tcBorders>
            <w:vAlign w:val="center"/>
          </w:tcPr>
          <w:p w14:paraId="25B5D991"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50</w:t>
            </w:r>
          </w:p>
        </w:tc>
        <w:tc>
          <w:tcPr>
            <w:tcW w:w="2480" w:type="dxa"/>
            <w:tcBorders>
              <w:top w:val="nil"/>
              <w:left w:val="single" w:sz="4" w:space="0" w:color="auto"/>
              <w:bottom w:val="single" w:sz="4" w:space="0" w:color="auto"/>
              <w:right w:val="single" w:sz="4" w:space="0" w:color="auto"/>
            </w:tcBorders>
            <w:shd w:val="clear" w:color="auto" w:fill="auto"/>
            <w:noWrap/>
            <w:vAlign w:val="center"/>
          </w:tcPr>
          <w:p w14:paraId="25B5D992"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w:t>
            </w:r>
          </w:p>
        </w:tc>
        <w:tc>
          <w:tcPr>
            <w:tcW w:w="2481" w:type="dxa"/>
            <w:tcBorders>
              <w:top w:val="nil"/>
              <w:left w:val="single" w:sz="4" w:space="0" w:color="auto"/>
              <w:bottom w:val="single" w:sz="4" w:space="0" w:color="auto"/>
              <w:right w:val="single" w:sz="4" w:space="0" w:color="auto"/>
            </w:tcBorders>
            <w:shd w:val="clear" w:color="auto" w:fill="auto"/>
            <w:noWrap/>
            <w:vAlign w:val="center"/>
          </w:tcPr>
          <w:p w14:paraId="25B5D993"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33</w:t>
            </w:r>
          </w:p>
        </w:tc>
      </w:tr>
      <w:tr w:rsidR="00DD5C9C" w:rsidRPr="007926E4" w14:paraId="25B5D999" w14:textId="77777777" w:rsidTr="003B5D42">
        <w:trPr>
          <w:trHeight w:val="227"/>
        </w:trPr>
        <w:tc>
          <w:tcPr>
            <w:tcW w:w="1716" w:type="dxa"/>
            <w:tcBorders>
              <w:top w:val="single" w:sz="4" w:space="0" w:color="auto"/>
              <w:left w:val="single" w:sz="4" w:space="0" w:color="auto"/>
              <w:bottom w:val="nil"/>
              <w:right w:val="single" w:sz="4" w:space="0" w:color="auto"/>
            </w:tcBorders>
            <w:shd w:val="clear" w:color="auto" w:fill="auto"/>
            <w:noWrap/>
            <w:vAlign w:val="center"/>
          </w:tcPr>
          <w:p w14:paraId="25B5D995" w14:textId="77777777" w:rsidR="00DD5C9C" w:rsidRPr="00991711" w:rsidRDefault="00DD5C9C" w:rsidP="003B5D42">
            <w:pPr>
              <w:rPr>
                <w:rFonts w:cs="Arial"/>
                <w:sz w:val="18"/>
                <w:szCs w:val="18"/>
                <w:lang w:eastAsia="en-GB" w:bidi="ar-SA"/>
              </w:rPr>
            </w:pPr>
            <w:r w:rsidRPr="00991711">
              <w:rPr>
                <w:rFonts w:cs="Arial"/>
                <w:sz w:val="18"/>
                <w:szCs w:val="18"/>
                <w:lang w:eastAsia="en-GB" w:bidi="ar-SA"/>
              </w:rPr>
              <w:t>Girls</w:t>
            </w:r>
          </w:p>
        </w:tc>
        <w:tc>
          <w:tcPr>
            <w:tcW w:w="1843" w:type="dxa"/>
            <w:tcBorders>
              <w:top w:val="single" w:sz="4" w:space="0" w:color="auto"/>
              <w:left w:val="single" w:sz="4" w:space="0" w:color="auto"/>
              <w:bottom w:val="nil"/>
              <w:right w:val="single" w:sz="4" w:space="0" w:color="auto"/>
            </w:tcBorders>
            <w:vAlign w:val="center"/>
          </w:tcPr>
          <w:p w14:paraId="25B5D996" w14:textId="77777777" w:rsidR="00DD5C9C" w:rsidRPr="00991711" w:rsidRDefault="00DD5C9C" w:rsidP="003B5D42">
            <w:pPr>
              <w:jc w:val="center"/>
              <w:rPr>
                <w:rFonts w:cs="Arial"/>
                <w:sz w:val="18"/>
                <w:szCs w:val="18"/>
                <w:lang w:eastAsia="en-GB" w:bidi="ar-SA"/>
              </w:rPr>
            </w:pPr>
          </w:p>
        </w:tc>
        <w:tc>
          <w:tcPr>
            <w:tcW w:w="2480" w:type="dxa"/>
            <w:tcBorders>
              <w:top w:val="single" w:sz="4" w:space="0" w:color="auto"/>
              <w:left w:val="single" w:sz="4" w:space="0" w:color="auto"/>
              <w:bottom w:val="nil"/>
              <w:right w:val="single" w:sz="4" w:space="0" w:color="auto"/>
            </w:tcBorders>
            <w:shd w:val="clear" w:color="auto" w:fill="auto"/>
            <w:noWrap/>
            <w:vAlign w:val="center"/>
          </w:tcPr>
          <w:p w14:paraId="25B5D997" w14:textId="77777777" w:rsidR="00DD5C9C" w:rsidRPr="00991711" w:rsidRDefault="00DD5C9C" w:rsidP="003B5D42">
            <w:pPr>
              <w:jc w:val="center"/>
              <w:rPr>
                <w:rFonts w:cs="Arial"/>
                <w:sz w:val="18"/>
                <w:szCs w:val="18"/>
                <w:lang w:eastAsia="en-GB" w:bidi="ar-SA"/>
              </w:rPr>
            </w:pPr>
          </w:p>
        </w:tc>
        <w:tc>
          <w:tcPr>
            <w:tcW w:w="2481" w:type="dxa"/>
            <w:tcBorders>
              <w:top w:val="single" w:sz="4" w:space="0" w:color="auto"/>
              <w:left w:val="single" w:sz="4" w:space="0" w:color="auto"/>
              <w:bottom w:val="nil"/>
              <w:right w:val="single" w:sz="4" w:space="0" w:color="auto"/>
            </w:tcBorders>
            <w:shd w:val="clear" w:color="auto" w:fill="auto"/>
            <w:noWrap/>
            <w:vAlign w:val="center"/>
          </w:tcPr>
          <w:p w14:paraId="25B5D998" w14:textId="77777777" w:rsidR="00DD5C9C" w:rsidRPr="00991711" w:rsidRDefault="00DD5C9C" w:rsidP="003B5D42">
            <w:pPr>
              <w:jc w:val="center"/>
              <w:rPr>
                <w:rFonts w:cs="Arial"/>
                <w:sz w:val="18"/>
                <w:szCs w:val="18"/>
                <w:lang w:eastAsia="en-GB" w:bidi="ar-SA"/>
              </w:rPr>
            </w:pPr>
          </w:p>
        </w:tc>
      </w:tr>
      <w:tr w:rsidR="00DD5C9C" w:rsidRPr="007926E4" w14:paraId="25B5D99E" w14:textId="77777777" w:rsidTr="003B5D42">
        <w:trPr>
          <w:trHeight w:val="227"/>
        </w:trPr>
        <w:tc>
          <w:tcPr>
            <w:tcW w:w="1716" w:type="dxa"/>
            <w:tcBorders>
              <w:top w:val="nil"/>
              <w:left w:val="single" w:sz="4" w:space="0" w:color="auto"/>
              <w:bottom w:val="nil"/>
              <w:right w:val="single" w:sz="4" w:space="0" w:color="auto"/>
            </w:tcBorders>
            <w:shd w:val="clear" w:color="auto" w:fill="auto"/>
            <w:noWrap/>
          </w:tcPr>
          <w:p w14:paraId="25B5D99A"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(5–14)</w:t>
            </w:r>
          </w:p>
        </w:tc>
        <w:tc>
          <w:tcPr>
            <w:tcW w:w="1843" w:type="dxa"/>
            <w:tcBorders>
              <w:top w:val="nil"/>
              <w:left w:val="single" w:sz="4" w:space="0" w:color="auto"/>
              <w:bottom w:val="nil"/>
              <w:right w:val="single" w:sz="4" w:space="0" w:color="auto"/>
            </w:tcBorders>
            <w:vAlign w:val="center"/>
          </w:tcPr>
          <w:p w14:paraId="25B5D99B"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47</w:t>
            </w:r>
          </w:p>
        </w:tc>
        <w:tc>
          <w:tcPr>
            <w:tcW w:w="2480" w:type="dxa"/>
            <w:tcBorders>
              <w:top w:val="nil"/>
              <w:left w:val="single" w:sz="4" w:space="0" w:color="auto"/>
              <w:bottom w:val="nil"/>
              <w:right w:val="single" w:sz="4" w:space="0" w:color="auto"/>
            </w:tcBorders>
            <w:shd w:val="clear" w:color="auto" w:fill="auto"/>
            <w:noWrap/>
            <w:vAlign w:val="center"/>
          </w:tcPr>
          <w:p w14:paraId="25B5D99C"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w:t>
            </w:r>
          </w:p>
        </w:tc>
        <w:tc>
          <w:tcPr>
            <w:tcW w:w="2481" w:type="dxa"/>
            <w:tcBorders>
              <w:top w:val="nil"/>
              <w:left w:val="single" w:sz="4" w:space="0" w:color="auto"/>
              <w:bottom w:val="nil"/>
              <w:right w:val="single" w:sz="4" w:space="0" w:color="auto"/>
            </w:tcBorders>
            <w:shd w:val="clear" w:color="auto" w:fill="auto"/>
            <w:noWrap/>
            <w:vAlign w:val="center"/>
          </w:tcPr>
          <w:p w14:paraId="25B5D99D"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36</w:t>
            </w:r>
          </w:p>
        </w:tc>
      </w:tr>
      <w:tr w:rsidR="00DD5C9C" w:rsidRPr="007926E4" w14:paraId="25B5D9A3" w14:textId="77777777" w:rsidTr="003B5D42">
        <w:trPr>
          <w:trHeight w:val="227"/>
        </w:trPr>
        <w:tc>
          <w:tcPr>
            <w:tcW w:w="1716" w:type="dxa"/>
            <w:tcBorders>
              <w:top w:val="nil"/>
              <w:left w:val="single" w:sz="4" w:space="0" w:color="auto"/>
              <w:bottom w:val="nil"/>
              <w:right w:val="single" w:sz="4" w:space="0" w:color="auto"/>
            </w:tcBorders>
            <w:shd w:val="clear" w:color="auto" w:fill="auto"/>
            <w:noWrap/>
          </w:tcPr>
          <w:p w14:paraId="25B5D99F"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(5–6)</w:t>
            </w:r>
          </w:p>
        </w:tc>
        <w:tc>
          <w:tcPr>
            <w:tcW w:w="1843" w:type="dxa"/>
            <w:tcBorders>
              <w:top w:val="nil"/>
              <w:left w:val="single" w:sz="4" w:space="0" w:color="auto"/>
              <w:bottom w:val="nil"/>
              <w:right w:val="single" w:sz="4" w:space="0" w:color="auto"/>
            </w:tcBorders>
            <w:vAlign w:val="center"/>
          </w:tcPr>
          <w:p w14:paraId="25B5D9A0"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48</w:t>
            </w:r>
          </w:p>
        </w:tc>
        <w:tc>
          <w:tcPr>
            <w:tcW w:w="2480" w:type="dxa"/>
            <w:tcBorders>
              <w:top w:val="nil"/>
              <w:left w:val="single" w:sz="4" w:space="0" w:color="auto"/>
              <w:bottom w:val="nil"/>
              <w:right w:val="single" w:sz="4" w:space="0" w:color="auto"/>
            </w:tcBorders>
            <w:shd w:val="clear" w:color="auto" w:fill="auto"/>
            <w:noWrap/>
            <w:vAlign w:val="center"/>
          </w:tcPr>
          <w:p w14:paraId="25B5D9A1"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1</w:t>
            </w:r>
          </w:p>
        </w:tc>
        <w:tc>
          <w:tcPr>
            <w:tcW w:w="2481" w:type="dxa"/>
            <w:tcBorders>
              <w:top w:val="nil"/>
              <w:left w:val="single" w:sz="4" w:space="0" w:color="auto"/>
              <w:bottom w:val="nil"/>
              <w:right w:val="single" w:sz="4" w:space="0" w:color="auto"/>
            </w:tcBorders>
            <w:shd w:val="clear" w:color="auto" w:fill="auto"/>
            <w:noWrap/>
            <w:vAlign w:val="center"/>
          </w:tcPr>
          <w:p w14:paraId="25B5D9A2"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29</w:t>
            </w:r>
          </w:p>
        </w:tc>
      </w:tr>
      <w:tr w:rsidR="00DD5C9C" w:rsidRPr="007926E4" w14:paraId="25B5D9A8" w14:textId="77777777" w:rsidTr="003B5D42">
        <w:trPr>
          <w:trHeight w:val="227"/>
        </w:trPr>
        <w:tc>
          <w:tcPr>
            <w:tcW w:w="1716" w:type="dxa"/>
            <w:tcBorders>
              <w:top w:val="nil"/>
              <w:left w:val="single" w:sz="4" w:space="0" w:color="auto"/>
              <w:bottom w:val="nil"/>
              <w:right w:val="single" w:sz="4" w:space="0" w:color="auto"/>
            </w:tcBorders>
            <w:shd w:val="clear" w:color="auto" w:fill="auto"/>
            <w:noWrap/>
          </w:tcPr>
          <w:p w14:paraId="25B5D9A4"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(7–10)</w:t>
            </w:r>
          </w:p>
        </w:tc>
        <w:tc>
          <w:tcPr>
            <w:tcW w:w="1843" w:type="dxa"/>
            <w:tcBorders>
              <w:top w:val="nil"/>
              <w:left w:val="single" w:sz="4" w:space="0" w:color="auto"/>
              <w:bottom w:val="nil"/>
              <w:right w:val="single" w:sz="4" w:space="0" w:color="auto"/>
            </w:tcBorders>
            <w:vAlign w:val="center"/>
          </w:tcPr>
          <w:p w14:paraId="25B5D9A5"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51</w:t>
            </w:r>
          </w:p>
        </w:tc>
        <w:tc>
          <w:tcPr>
            <w:tcW w:w="2480" w:type="dxa"/>
            <w:tcBorders>
              <w:top w:val="nil"/>
              <w:left w:val="single" w:sz="4" w:space="0" w:color="auto"/>
              <w:bottom w:val="nil"/>
              <w:right w:val="single" w:sz="4" w:space="0" w:color="auto"/>
            </w:tcBorders>
            <w:shd w:val="clear" w:color="auto" w:fill="auto"/>
            <w:noWrap/>
            <w:vAlign w:val="center"/>
          </w:tcPr>
          <w:p w14:paraId="25B5D9A6"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2</w:t>
            </w:r>
          </w:p>
        </w:tc>
        <w:tc>
          <w:tcPr>
            <w:tcW w:w="2481" w:type="dxa"/>
            <w:tcBorders>
              <w:top w:val="nil"/>
              <w:left w:val="single" w:sz="4" w:space="0" w:color="auto"/>
              <w:bottom w:val="nil"/>
              <w:right w:val="single" w:sz="4" w:space="0" w:color="auto"/>
            </w:tcBorders>
            <w:shd w:val="clear" w:color="auto" w:fill="auto"/>
            <w:noWrap/>
            <w:vAlign w:val="center"/>
          </w:tcPr>
          <w:p w14:paraId="25B5D9A7"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31</w:t>
            </w:r>
          </w:p>
        </w:tc>
      </w:tr>
      <w:tr w:rsidR="00DD5C9C" w:rsidRPr="007926E4" w14:paraId="25B5D9AD" w14:textId="77777777" w:rsidTr="003B5D42">
        <w:trPr>
          <w:trHeight w:val="227"/>
        </w:trPr>
        <w:tc>
          <w:tcPr>
            <w:tcW w:w="1716" w:type="dxa"/>
            <w:tcBorders>
              <w:top w:val="nil"/>
              <w:left w:val="single" w:sz="4" w:space="0" w:color="auto"/>
              <w:bottom w:val="single" w:sz="4" w:space="0" w:color="auto"/>
              <w:right w:val="single" w:sz="4" w:space="0" w:color="auto"/>
            </w:tcBorders>
            <w:shd w:val="clear" w:color="auto" w:fill="auto"/>
            <w:noWrap/>
          </w:tcPr>
          <w:p w14:paraId="25B5D9A9" w14:textId="77777777" w:rsidR="00DD5C9C" w:rsidRPr="00991711" w:rsidRDefault="00DD5C9C" w:rsidP="003B5D42">
            <w:pPr>
              <w:ind w:left="191"/>
              <w:rPr>
                <w:rFonts w:cs="Arial"/>
                <w:sz w:val="18"/>
                <w:szCs w:val="18"/>
                <w:lang w:eastAsia="en-GB" w:bidi="ar-SA"/>
              </w:rPr>
            </w:pPr>
            <w:r w:rsidRPr="00991711">
              <w:rPr>
                <w:rFonts w:cs="Arial"/>
                <w:sz w:val="18"/>
                <w:szCs w:val="18"/>
                <w:lang w:eastAsia="en-GB" w:bidi="ar-SA"/>
              </w:rPr>
              <w:t>(11–14)</w:t>
            </w:r>
          </w:p>
        </w:tc>
        <w:tc>
          <w:tcPr>
            <w:tcW w:w="1843" w:type="dxa"/>
            <w:tcBorders>
              <w:top w:val="nil"/>
              <w:left w:val="single" w:sz="4" w:space="0" w:color="auto"/>
              <w:bottom w:val="single" w:sz="4" w:space="0" w:color="auto"/>
              <w:right w:val="single" w:sz="4" w:space="0" w:color="auto"/>
            </w:tcBorders>
            <w:vAlign w:val="center"/>
          </w:tcPr>
          <w:p w14:paraId="25B5D9AA"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42</w:t>
            </w:r>
          </w:p>
        </w:tc>
        <w:tc>
          <w:tcPr>
            <w:tcW w:w="2480" w:type="dxa"/>
            <w:tcBorders>
              <w:top w:val="nil"/>
              <w:left w:val="single" w:sz="4" w:space="0" w:color="auto"/>
              <w:bottom w:val="single" w:sz="4" w:space="0" w:color="auto"/>
              <w:right w:val="single" w:sz="4" w:space="0" w:color="auto"/>
            </w:tcBorders>
            <w:shd w:val="clear" w:color="auto" w:fill="auto"/>
            <w:noWrap/>
            <w:vAlign w:val="center"/>
          </w:tcPr>
          <w:p w14:paraId="25B5D9AB"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7</w:t>
            </w:r>
          </w:p>
        </w:tc>
        <w:tc>
          <w:tcPr>
            <w:tcW w:w="2481" w:type="dxa"/>
            <w:tcBorders>
              <w:top w:val="nil"/>
              <w:left w:val="single" w:sz="4" w:space="0" w:color="auto"/>
              <w:bottom w:val="single" w:sz="4" w:space="0" w:color="auto"/>
              <w:right w:val="single" w:sz="4" w:space="0" w:color="auto"/>
            </w:tcBorders>
            <w:shd w:val="clear" w:color="auto" w:fill="auto"/>
            <w:noWrap/>
            <w:vAlign w:val="center"/>
          </w:tcPr>
          <w:p w14:paraId="25B5D9AC" w14:textId="77777777" w:rsidR="00DD5C9C" w:rsidRPr="00991711" w:rsidRDefault="00DD5C9C" w:rsidP="003B5D42">
            <w:pPr>
              <w:jc w:val="center"/>
              <w:rPr>
                <w:rFonts w:cs="Arial"/>
                <w:sz w:val="18"/>
                <w:szCs w:val="18"/>
                <w:lang w:eastAsia="en-GB" w:bidi="ar-SA"/>
              </w:rPr>
            </w:pPr>
            <w:r w:rsidRPr="00991711">
              <w:rPr>
                <w:rFonts w:cs="Arial"/>
                <w:sz w:val="18"/>
                <w:szCs w:val="18"/>
                <w:lang w:eastAsia="en-GB" w:bidi="ar-SA"/>
              </w:rPr>
              <w:t>43</w:t>
            </w:r>
          </w:p>
        </w:tc>
      </w:tr>
    </w:tbl>
    <w:p w14:paraId="25B5D9AE" w14:textId="77777777" w:rsidR="00DD5C9C" w:rsidRDefault="00DD5C9C" w:rsidP="003B5D42">
      <w:pPr>
        <w:rPr>
          <w:sz w:val="16"/>
          <w:szCs w:val="16"/>
          <w:lang w:bidi="ar-SA"/>
        </w:rPr>
      </w:pPr>
      <w:r w:rsidRPr="00991711">
        <w:rPr>
          <w:sz w:val="16"/>
          <w:szCs w:val="16"/>
          <w:vertAlign w:val="superscript"/>
          <w:lang w:bidi="ar-SA"/>
        </w:rPr>
        <w:t>a</w:t>
      </w:r>
      <w:r w:rsidRPr="00991711">
        <w:rPr>
          <w:sz w:val="16"/>
          <w:szCs w:val="16"/>
          <w:lang w:bidi="ar-SA"/>
        </w:rPr>
        <w:t xml:space="preserve"> Source: Adapted from Table 2 and Table 4 in Rockell et al. (2005). Data were adjusted for survey weighting. </w:t>
      </w:r>
    </w:p>
    <w:p w14:paraId="25B5D9AF" w14:textId="4AC2E063" w:rsidR="00DD5C9C" w:rsidRDefault="00DD5C9C" w:rsidP="003B5D42">
      <w:pPr>
        <w:pStyle w:val="Heading3"/>
      </w:pPr>
      <w:bookmarkStart w:id="39" w:name="_Toc406575708"/>
      <w:r>
        <w:t>Predicted effects of voluntary fortification of breakfast cereal with vitamin D</w:t>
      </w:r>
      <w:bookmarkEnd w:id="39"/>
      <w:r>
        <w:t xml:space="preserve"> </w:t>
      </w:r>
    </w:p>
    <w:p w14:paraId="25B5D9B0" w14:textId="77777777" w:rsidR="00DD5C9C" w:rsidRPr="003D69CD" w:rsidRDefault="00DD5C9C" w:rsidP="003B5D42">
      <w:pPr>
        <w:rPr>
          <w:lang w:bidi="ar-SA"/>
        </w:rPr>
      </w:pPr>
      <w:r>
        <w:rPr>
          <w:lang w:bidi="ar-SA"/>
        </w:rPr>
        <w:t xml:space="preserve">Estimated serum concentrations of 25OHD following consumption of vitamin D fortified RTE breakfast cereal was derived from serum 25OHD data published as part of the national surveys described above and using daily vitamin D intakes calculated in </w:t>
      </w:r>
      <w:r w:rsidRPr="00991711">
        <w:rPr>
          <w:lang w:bidi="ar-SA"/>
        </w:rPr>
        <w:t>Section 5.</w:t>
      </w:r>
      <w:r>
        <w:rPr>
          <w:lang w:bidi="ar-SA"/>
        </w:rPr>
        <w:t>3 in the following scenarios:</w:t>
      </w:r>
    </w:p>
    <w:p w14:paraId="25B5D9B1" w14:textId="77777777" w:rsidR="00DD5C9C" w:rsidRPr="003D69CD" w:rsidRDefault="00DD5C9C" w:rsidP="003B5D42">
      <w:pPr>
        <w:rPr>
          <w:lang w:bidi="ar-SA"/>
        </w:rPr>
      </w:pPr>
    </w:p>
    <w:p w14:paraId="7F1A116E" w14:textId="77777777" w:rsidR="00B62436" w:rsidRDefault="00B62436" w:rsidP="003B5D42">
      <w:pPr>
        <w:ind w:left="567"/>
        <w:rPr>
          <w:lang w:bidi="ar-SA"/>
        </w:rPr>
      </w:pPr>
      <w:r>
        <w:rPr>
          <w:lang w:bidi="ar-SA"/>
        </w:rPr>
        <w:br w:type="page"/>
      </w:r>
    </w:p>
    <w:p w14:paraId="25B5D9B2" w14:textId="0DB1F53E" w:rsidR="00DD5C9C" w:rsidRPr="003D69CD" w:rsidRDefault="00DD5C9C" w:rsidP="003B5D42">
      <w:pPr>
        <w:ind w:left="567"/>
        <w:rPr>
          <w:lang w:bidi="ar-SA"/>
        </w:rPr>
      </w:pPr>
      <w:r w:rsidRPr="003D69CD">
        <w:rPr>
          <w:lang w:bidi="ar-SA"/>
        </w:rPr>
        <w:lastRenderedPageBreak/>
        <w:t xml:space="preserve">Scenario </w:t>
      </w:r>
      <w:r>
        <w:rPr>
          <w:lang w:bidi="ar-SA"/>
        </w:rPr>
        <w:t>(1)</w:t>
      </w:r>
      <w:r w:rsidRPr="003D69CD">
        <w:rPr>
          <w:lang w:bidi="ar-SA"/>
        </w:rPr>
        <w:t>: Mean consumer, brand loyal</w:t>
      </w:r>
    </w:p>
    <w:p w14:paraId="25B5D9B3" w14:textId="77777777" w:rsidR="00DD5C9C" w:rsidRPr="003D69CD" w:rsidRDefault="00DD5C9C" w:rsidP="003B5D42">
      <w:pPr>
        <w:ind w:left="567"/>
        <w:rPr>
          <w:lang w:bidi="ar-SA"/>
        </w:rPr>
      </w:pPr>
      <w:r w:rsidRPr="003D69CD">
        <w:rPr>
          <w:lang w:bidi="ar-SA"/>
        </w:rPr>
        <w:t xml:space="preserve">Scenario </w:t>
      </w:r>
      <w:r>
        <w:rPr>
          <w:lang w:bidi="ar-SA"/>
        </w:rPr>
        <w:t>(2)</w:t>
      </w:r>
      <w:r w:rsidRPr="003D69CD">
        <w:rPr>
          <w:lang w:bidi="ar-SA"/>
        </w:rPr>
        <w:t>: High consumer (90</w:t>
      </w:r>
      <w:r w:rsidRPr="003D69CD">
        <w:rPr>
          <w:vertAlign w:val="superscript"/>
          <w:lang w:bidi="ar-SA"/>
        </w:rPr>
        <w:t>th</w:t>
      </w:r>
      <w:r w:rsidRPr="003D69CD">
        <w:rPr>
          <w:lang w:bidi="ar-SA"/>
        </w:rPr>
        <w:t xml:space="preserve"> percentile), brand loyal</w:t>
      </w:r>
    </w:p>
    <w:p w14:paraId="25B5D9B4" w14:textId="77777777" w:rsidR="00DD5C9C" w:rsidRPr="003D69CD" w:rsidRDefault="00DD5C9C" w:rsidP="003B5D42">
      <w:pPr>
        <w:ind w:left="567"/>
        <w:rPr>
          <w:lang w:bidi="ar-SA"/>
        </w:rPr>
      </w:pPr>
      <w:r w:rsidRPr="003D69CD">
        <w:rPr>
          <w:lang w:bidi="ar-SA"/>
        </w:rPr>
        <w:t xml:space="preserve">Scenario </w:t>
      </w:r>
      <w:r>
        <w:rPr>
          <w:lang w:bidi="ar-SA"/>
        </w:rPr>
        <w:t>(3)</w:t>
      </w:r>
      <w:r w:rsidRPr="003D69CD">
        <w:rPr>
          <w:lang w:bidi="ar-SA"/>
        </w:rPr>
        <w:t>: Mean consumer, various brands (i.e. 35% market share)</w:t>
      </w:r>
    </w:p>
    <w:p w14:paraId="25B5D9B5" w14:textId="77777777" w:rsidR="00DD5C9C" w:rsidRPr="003D69CD" w:rsidRDefault="00DD5C9C" w:rsidP="003B5D42">
      <w:pPr>
        <w:ind w:left="567"/>
        <w:rPr>
          <w:lang w:bidi="ar-SA"/>
        </w:rPr>
      </w:pPr>
      <w:r w:rsidRPr="003D69CD">
        <w:rPr>
          <w:lang w:bidi="ar-SA"/>
        </w:rPr>
        <w:t>Scenario</w:t>
      </w:r>
      <w:r>
        <w:rPr>
          <w:lang w:bidi="ar-SA"/>
        </w:rPr>
        <w:t xml:space="preserve"> (4)</w:t>
      </w:r>
      <w:r w:rsidRPr="003D69CD">
        <w:rPr>
          <w:lang w:bidi="ar-SA"/>
        </w:rPr>
        <w:t>: High consumer (90</w:t>
      </w:r>
      <w:r w:rsidRPr="003D69CD">
        <w:rPr>
          <w:vertAlign w:val="superscript"/>
          <w:lang w:bidi="ar-SA"/>
        </w:rPr>
        <w:t>th</w:t>
      </w:r>
      <w:r w:rsidRPr="003D69CD">
        <w:rPr>
          <w:lang w:bidi="ar-SA"/>
        </w:rPr>
        <w:t xml:space="preserve"> percentile), various brands (i.e. 35% market share)</w:t>
      </w:r>
    </w:p>
    <w:p w14:paraId="25B5D9B6" w14:textId="77777777" w:rsidR="00DD5C9C" w:rsidRDefault="00DD5C9C" w:rsidP="003B5D42">
      <w:pPr>
        <w:rPr>
          <w:lang w:bidi="ar-SA"/>
        </w:rPr>
      </w:pPr>
    </w:p>
    <w:p w14:paraId="25B5D9B7" w14:textId="77777777" w:rsidR="00DD5C9C" w:rsidRDefault="00DD5C9C" w:rsidP="003B5D42">
      <w:pPr>
        <w:rPr>
          <w:lang w:bidi="ar-SA"/>
        </w:rPr>
      </w:pPr>
      <w:r>
        <w:rPr>
          <w:lang w:bidi="ar-SA"/>
        </w:rPr>
        <w:t>The incremental daily vitamin D intakes (</w:t>
      </w:r>
      <w:r>
        <w:rPr>
          <w:rFonts w:ascii="Calibri" w:hAnsi="Calibri"/>
          <w:lang w:bidi="ar-SA"/>
        </w:rPr>
        <w:t>µ</w:t>
      </w:r>
      <w:r>
        <w:rPr>
          <w:lang w:bidi="ar-SA"/>
        </w:rPr>
        <w:t xml:space="preserve">g/day) from RTE cereal were then converted to serum 25OHD concentration using the conversion: increment of 1 </w:t>
      </w:r>
      <w:r w:rsidRPr="00A4695F">
        <w:rPr>
          <w:lang w:bidi="ar-SA"/>
        </w:rPr>
        <w:t xml:space="preserve">µg/day </w:t>
      </w:r>
      <w:r>
        <w:rPr>
          <w:lang w:bidi="ar-SA"/>
        </w:rPr>
        <w:t xml:space="preserve">increases </w:t>
      </w:r>
      <w:r w:rsidRPr="00A4695F">
        <w:rPr>
          <w:lang w:bidi="ar-SA"/>
        </w:rPr>
        <w:t>serum 25OHD</w:t>
      </w:r>
      <w:r>
        <w:rPr>
          <w:lang w:bidi="ar-SA"/>
        </w:rPr>
        <w:t xml:space="preserve"> by</w:t>
      </w:r>
      <w:r w:rsidRPr="00A4695F">
        <w:rPr>
          <w:lang w:bidi="ar-SA"/>
        </w:rPr>
        <w:t xml:space="preserve"> 1.2 nM </w:t>
      </w:r>
      <w:r>
        <w:rPr>
          <w:lang w:bidi="ar-SA"/>
        </w:rPr>
        <w:t xml:space="preserve">(Black et al. 2012) as </w:t>
      </w:r>
      <w:r w:rsidRPr="00991711">
        <w:rPr>
          <w:lang w:bidi="ar-SA"/>
        </w:rPr>
        <w:t>described in Section 4.2</w:t>
      </w:r>
      <w:r>
        <w:rPr>
          <w:lang w:bidi="ar-SA"/>
        </w:rPr>
        <w:t>.</w:t>
      </w:r>
    </w:p>
    <w:p w14:paraId="25B5D9B8" w14:textId="77777777" w:rsidR="00DD5C9C" w:rsidRDefault="00DD5C9C" w:rsidP="003B5D42">
      <w:pPr>
        <w:pStyle w:val="Heading4"/>
      </w:pPr>
      <w:r>
        <w:t>Effect on mean population serum 25OHD concentrations</w:t>
      </w:r>
    </w:p>
    <w:p w14:paraId="25B5D9B9" w14:textId="77777777" w:rsidR="00DD5C9C" w:rsidRDefault="00DD5C9C" w:rsidP="003B5D42">
      <w:pPr>
        <w:rPr>
          <w:rFonts w:eastAsia="Calibri"/>
          <w:szCs w:val="22"/>
          <w:lang w:bidi="ar-SA"/>
        </w:rPr>
      </w:pPr>
      <w:r>
        <w:rPr>
          <w:rFonts w:eastAsia="Calibri"/>
          <w:szCs w:val="22"/>
          <w:lang w:bidi="ar-SA"/>
        </w:rPr>
        <w:t>The predicted effects of each scenario on the mean population serum 25OHD concentrations for specified age groups are reported in Tables 8</w:t>
      </w:r>
      <w:r w:rsidRPr="00EB1FB9">
        <w:rPr>
          <w:rFonts w:eastAsia="Calibri"/>
          <w:szCs w:val="22"/>
          <w:lang w:bidi="ar-SA"/>
        </w:rPr>
        <w:t>–</w:t>
      </w:r>
      <w:r>
        <w:rPr>
          <w:rFonts w:eastAsia="Calibri"/>
          <w:szCs w:val="22"/>
          <w:lang w:bidi="ar-SA"/>
        </w:rPr>
        <w:t xml:space="preserve">11. For both Australian and New Zealand </w:t>
      </w:r>
      <w:r w:rsidRPr="00B27B93">
        <w:rPr>
          <w:rFonts w:eastAsia="Calibri"/>
          <w:szCs w:val="22"/>
          <w:lang w:bidi="ar-SA"/>
        </w:rPr>
        <w:t>children (</w:t>
      </w:r>
      <w:r>
        <w:rPr>
          <w:rFonts w:eastAsia="Calibri"/>
          <w:szCs w:val="22"/>
          <w:lang w:bidi="ar-SA"/>
        </w:rPr>
        <w:t xml:space="preserve">Tables </w:t>
      </w:r>
      <w:r w:rsidRPr="00B27B93">
        <w:rPr>
          <w:rFonts w:eastAsia="Calibri"/>
          <w:szCs w:val="22"/>
          <w:lang w:bidi="ar-SA"/>
        </w:rPr>
        <w:t xml:space="preserve">8 and </w:t>
      </w:r>
      <w:r>
        <w:rPr>
          <w:rFonts w:eastAsia="Calibri"/>
          <w:szCs w:val="22"/>
          <w:lang w:bidi="ar-SA"/>
        </w:rPr>
        <w:t>10,</w:t>
      </w:r>
      <w:r w:rsidRPr="00B27B93">
        <w:rPr>
          <w:rFonts w:eastAsia="Calibri"/>
          <w:szCs w:val="22"/>
          <w:lang w:bidi="ar-SA"/>
        </w:rPr>
        <w:t xml:space="preserve"> respectively</w:t>
      </w:r>
      <w:r>
        <w:rPr>
          <w:rFonts w:eastAsia="Calibri"/>
          <w:szCs w:val="22"/>
          <w:lang w:bidi="ar-SA"/>
        </w:rPr>
        <w:t xml:space="preserve">), the predicted increase in serum 25OHD is presented as a range because the age groups used to determine cereal intake do not correspond with the age groups for which 25OHD was reported (different surveys). </w:t>
      </w:r>
    </w:p>
    <w:p w14:paraId="25B5D9BA" w14:textId="77777777" w:rsidR="00DD5C9C" w:rsidRDefault="00DD5C9C" w:rsidP="003B5D42">
      <w:pPr>
        <w:rPr>
          <w:rFonts w:eastAsia="Calibri"/>
          <w:szCs w:val="22"/>
          <w:lang w:bidi="ar-SA"/>
        </w:rPr>
      </w:pPr>
    </w:p>
    <w:p w14:paraId="25B5D9BB" w14:textId="77777777" w:rsidR="00DD5C9C" w:rsidRDefault="00DD5C9C" w:rsidP="003B5D42">
      <w:pPr>
        <w:rPr>
          <w:rFonts w:eastAsia="Calibri"/>
          <w:szCs w:val="22"/>
          <w:lang w:bidi="ar-SA"/>
        </w:rPr>
      </w:pPr>
      <w:r>
        <w:rPr>
          <w:rFonts w:eastAsia="Calibri"/>
          <w:szCs w:val="22"/>
          <w:lang w:bidi="ar-SA"/>
        </w:rPr>
        <w:t xml:space="preserve">For all specified age groups, the predicted change in mean serum 25OHD concentration ranged from minor for mean cereal consumers assuming a 35% market share of cereal with added vitamin D (Scenario 3) to a substantial increase for brand loyal, high consumers of breakfast cereal (Scenario 2). The predicted change for all scenarios and all Australian and New Zealand age groups did not approach the </w:t>
      </w:r>
      <w:r w:rsidR="002544DE">
        <w:rPr>
          <w:rFonts w:eastAsia="Calibri"/>
          <w:szCs w:val="22"/>
          <w:lang w:bidi="ar-SA"/>
        </w:rPr>
        <w:t>cut-off value</w:t>
      </w:r>
      <w:r>
        <w:rPr>
          <w:rFonts w:eastAsia="Calibri"/>
          <w:szCs w:val="22"/>
          <w:lang w:bidi="ar-SA"/>
        </w:rPr>
        <w:t xml:space="preserve"> of 125 nM, the concentration that was selected to</w:t>
      </w:r>
      <w:r w:rsidRPr="00EB2E37">
        <w:rPr>
          <w:rFonts w:eastAsia="Calibri"/>
          <w:szCs w:val="22"/>
          <w:lang w:bidi="ar-SA"/>
        </w:rPr>
        <w:t xml:space="preserve"> assess</w:t>
      </w:r>
      <w:r>
        <w:rPr>
          <w:rFonts w:eastAsia="Calibri"/>
          <w:szCs w:val="22"/>
          <w:lang w:bidi="ar-SA"/>
        </w:rPr>
        <w:t xml:space="preserve"> safety of vitamin D intakes </w:t>
      </w:r>
      <w:r w:rsidRPr="00991711">
        <w:rPr>
          <w:rFonts w:eastAsia="Calibri"/>
          <w:szCs w:val="22"/>
          <w:lang w:bidi="ar-SA"/>
        </w:rPr>
        <w:t>(see Section 3.5.1).</w:t>
      </w:r>
      <w:r>
        <w:rPr>
          <w:rFonts w:eastAsia="Calibri"/>
          <w:szCs w:val="22"/>
          <w:lang w:bidi="ar-SA"/>
        </w:rPr>
        <w:t xml:space="preserve"> Results for New Zealand children were considerably lower than that reported for New Zealand adults, or the Australian adults and children probably because the measurements for the 2002 NZ CNS were conducted using RIA methodology whereas the other two surveys used LC-MS/MS (see Section 3.2.1). High variability between different methodology measuring serum 25OHD concentration has been reported (</w:t>
      </w:r>
      <w:r w:rsidRPr="00991711">
        <w:rPr>
          <w:rFonts w:eastAsia="Calibri"/>
          <w:szCs w:val="22"/>
          <w:lang w:bidi="ar-SA"/>
        </w:rPr>
        <w:t>see Section 3.1.1).</w:t>
      </w:r>
    </w:p>
    <w:p w14:paraId="25B5D9BC" w14:textId="77777777" w:rsidR="00DD5C9C" w:rsidRPr="000223BB" w:rsidRDefault="00DD5C9C" w:rsidP="003B5D42">
      <w:pPr>
        <w:pStyle w:val="FSTableFigureHeading"/>
        <w:rPr>
          <w:i w:val="0"/>
        </w:rPr>
      </w:pPr>
      <w:r w:rsidRPr="000223BB">
        <w:rPr>
          <w:i w:val="0"/>
        </w:rPr>
        <w:t xml:space="preserve">Table 8 </w:t>
      </w:r>
      <w:r w:rsidRPr="000223BB">
        <w:rPr>
          <w:i w:val="0"/>
        </w:rPr>
        <w:tab/>
        <w:t xml:space="preserve">Predicted mean serum 25OHD concentrations in </w:t>
      </w:r>
      <w:r w:rsidRPr="000223BB">
        <w:rPr>
          <w:i w:val="0"/>
          <w:u w:val="single"/>
        </w:rPr>
        <w:t>Australian children</w:t>
      </w:r>
      <w:r w:rsidRPr="000223BB">
        <w:rPr>
          <w:i w:val="0"/>
        </w:rPr>
        <w:t xml:space="preserve"> (12 – 17 years) consuming vitamin D fortified breakfast cereal</w:t>
      </w:r>
    </w:p>
    <w:tbl>
      <w:tblPr>
        <w:tblStyle w:val="TableGrid4"/>
        <w:tblW w:w="9322" w:type="dxa"/>
        <w:tblLook w:val="04A0" w:firstRow="1" w:lastRow="0" w:firstColumn="1" w:lastColumn="0" w:noHBand="0" w:noVBand="1"/>
      </w:tblPr>
      <w:tblGrid>
        <w:gridCol w:w="3510"/>
        <w:gridCol w:w="1701"/>
        <w:gridCol w:w="1560"/>
        <w:gridCol w:w="1134"/>
        <w:gridCol w:w="1417"/>
      </w:tblGrid>
      <w:tr w:rsidR="00DD5C9C" w:rsidRPr="007926E4" w14:paraId="25B5D9BF" w14:textId="77777777" w:rsidTr="003B5D42">
        <w:trPr>
          <w:trHeight w:val="397"/>
        </w:trPr>
        <w:tc>
          <w:tcPr>
            <w:tcW w:w="5211" w:type="dxa"/>
            <w:gridSpan w:val="2"/>
            <w:vAlign w:val="center"/>
          </w:tcPr>
          <w:p w14:paraId="25B5D9BD" w14:textId="77777777" w:rsidR="00DD5C9C" w:rsidRPr="00797E6E" w:rsidRDefault="00DD5C9C" w:rsidP="003B5D42">
            <w:pPr>
              <w:jc w:val="center"/>
              <w:rPr>
                <w:b/>
                <w:sz w:val="18"/>
                <w:szCs w:val="18"/>
                <w:lang w:bidi="ar-SA"/>
              </w:rPr>
            </w:pPr>
            <w:r w:rsidRPr="00797E6E">
              <w:rPr>
                <w:b/>
                <w:sz w:val="18"/>
                <w:szCs w:val="18"/>
                <w:lang w:bidi="ar-SA"/>
              </w:rPr>
              <w:t>Dietary intake</w:t>
            </w:r>
          </w:p>
        </w:tc>
        <w:tc>
          <w:tcPr>
            <w:tcW w:w="4111" w:type="dxa"/>
            <w:gridSpan w:val="3"/>
            <w:vAlign w:val="center"/>
          </w:tcPr>
          <w:p w14:paraId="25B5D9BE" w14:textId="77777777" w:rsidR="00DD5C9C" w:rsidRPr="00797E6E" w:rsidRDefault="00DD5C9C" w:rsidP="003B5D42">
            <w:pPr>
              <w:jc w:val="center"/>
              <w:rPr>
                <w:b/>
                <w:sz w:val="18"/>
                <w:szCs w:val="18"/>
                <w:lang w:bidi="ar-SA"/>
              </w:rPr>
            </w:pPr>
            <w:r w:rsidRPr="00797E6E">
              <w:rPr>
                <w:b/>
                <w:sz w:val="18"/>
                <w:szCs w:val="18"/>
                <w:lang w:bidi="ar-SA"/>
              </w:rPr>
              <w:t>Serum 25OHD concentration (nM)</w:t>
            </w:r>
          </w:p>
        </w:tc>
      </w:tr>
      <w:tr w:rsidR="00DD5C9C" w:rsidRPr="007926E4" w14:paraId="25B5D9C5" w14:textId="77777777" w:rsidTr="003B5D42">
        <w:trPr>
          <w:trHeight w:val="397"/>
        </w:trPr>
        <w:tc>
          <w:tcPr>
            <w:tcW w:w="3510" w:type="dxa"/>
            <w:vAlign w:val="center"/>
          </w:tcPr>
          <w:p w14:paraId="25B5D9C0" w14:textId="77777777" w:rsidR="00DD5C9C" w:rsidRPr="00797E6E" w:rsidRDefault="00DD5C9C" w:rsidP="003B5D42">
            <w:pPr>
              <w:rPr>
                <w:i/>
                <w:sz w:val="18"/>
                <w:szCs w:val="18"/>
                <w:lang w:bidi="ar-SA"/>
              </w:rPr>
            </w:pPr>
            <w:r w:rsidRPr="00797E6E">
              <w:rPr>
                <w:i/>
                <w:sz w:val="18"/>
                <w:szCs w:val="18"/>
                <w:lang w:bidi="ar-SA"/>
              </w:rPr>
              <w:t>Modelling scenario</w:t>
            </w:r>
          </w:p>
        </w:tc>
        <w:tc>
          <w:tcPr>
            <w:tcW w:w="1701" w:type="dxa"/>
          </w:tcPr>
          <w:p w14:paraId="25B5D9C1" w14:textId="77777777" w:rsidR="00DD5C9C" w:rsidRPr="00797E6E" w:rsidRDefault="00DD5C9C" w:rsidP="003B5D42">
            <w:pPr>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560" w:type="dxa"/>
          </w:tcPr>
          <w:p w14:paraId="25B5D9C2" w14:textId="77777777" w:rsidR="00DD5C9C" w:rsidRPr="00797E6E" w:rsidRDefault="00DD5C9C" w:rsidP="003B5D42">
            <w:pPr>
              <w:jc w:val="center"/>
              <w:rPr>
                <w:i/>
                <w:sz w:val="18"/>
                <w:szCs w:val="18"/>
                <w:lang w:bidi="ar-SA"/>
              </w:rPr>
            </w:pPr>
            <w:r w:rsidRPr="00797E6E">
              <w:rPr>
                <w:i/>
                <w:sz w:val="18"/>
                <w:szCs w:val="18"/>
                <w:lang w:bidi="ar-SA"/>
              </w:rPr>
              <w:t xml:space="preserve">Calculated increase in serum 25OHD </w:t>
            </w:r>
          </w:p>
        </w:tc>
        <w:tc>
          <w:tcPr>
            <w:tcW w:w="1134" w:type="dxa"/>
            <w:vAlign w:val="center"/>
          </w:tcPr>
          <w:p w14:paraId="25B5D9C3" w14:textId="77777777" w:rsidR="00DD5C9C" w:rsidRPr="00797E6E" w:rsidRDefault="00DD5C9C" w:rsidP="003B5D42">
            <w:pPr>
              <w:jc w:val="center"/>
              <w:rPr>
                <w:i/>
                <w:sz w:val="18"/>
                <w:szCs w:val="18"/>
                <w:lang w:bidi="ar-SA"/>
              </w:rPr>
            </w:pPr>
            <w:r w:rsidRPr="00797E6E">
              <w:rPr>
                <w:i/>
                <w:sz w:val="18"/>
                <w:szCs w:val="18"/>
                <w:lang w:bidi="ar-SA"/>
              </w:rPr>
              <w:t xml:space="preserve">Mean baseline </w:t>
            </w:r>
            <w:r w:rsidRPr="00797E6E">
              <w:rPr>
                <w:i/>
                <w:sz w:val="18"/>
                <w:szCs w:val="18"/>
                <w:vertAlign w:val="superscript"/>
                <w:lang w:bidi="ar-SA"/>
              </w:rPr>
              <w:t>b</w:t>
            </w:r>
          </w:p>
        </w:tc>
        <w:tc>
          <w:tcPr>
            <w:tcW w:w="1417" w:type="dxa"/>
          </w:tcPr>
          <w:p w14:paraId="25B5D9C4" w14:textId="77777777" w:rsidR="00DD5C9C" w:rsidRPr="00797E6E" w:rsidRDefault="00DD5C9C" w:rsidP="003B5D42">
            <w:pPr>
              <w:jc w:val="center"/>
              <w:rPr>
                <w:i/>
                <w:sz w:val="18"/>
                <w:szCs w:val="18"/>
                <w:lang w:bidi="ar-SA"/>
              </w:rPr>
            </w:pPr>
            <w:r w:rsidRPr="00797E6E">
              <w:rPr>
                <w:i/>
                <w:sz w:val="18"/>
                <w:szCs w:val="18"/>
                <w:lang w:bidi="ar-SA"/>
              </w:rPr>
              <w:t>Predicted mean with fortified cereal</w:t>
            </w:r>
          </w:p>
        </w:tc>
      </w:tr>
      <w:tr w:rsidR="00DD5C9C" w:rsidRPr="007926E4" w14:paraId="25B5D9CB" w14:textId="77777777" w:rsidTr="003B5D42">
        <w:trPr>
          <w:trHeight w:val="397"/>
        </w:trPr>
        <w:tc>
          <w:tcPr>
            <w:tcW w:w="3510" w:type="dxa"/>
            <w:vAlign w:val="center"/>
          </w:tcPr>
          <w:p w14:paraId="25B5D9C6" w14:textId="77777777" w:rsidR="00DD5C9C" w:rsidRPr="00797E6E" w:rsidRDefault="00DD5C9C" w:rsidP="003B5D42">
            <w:pPr>
              <w:rPr>
                <w:sz w:val="18"/>
                <w:szCs w:val="18"/>
              </w:rPr>
            </w:pPr>
            <w:r w:rsidRPr="00797E6E">
              <w:rPr>
                <w:sz w:val="18"/>
                <w:szCs w:val="18"/>
                <w:lang w:bidi="ar-SA"/>
              </w:rPr>
              <w:t>(1) Mean consumer, brand loyal</w:t>
            </w:r>
          </w:p>
        </w:tc>
        <w:tc>
          <w:tcPr>
            <w:tcW w:w="1701" w:type="dxa"/>
            <w:vAlign w:val="center"/>
          </w:tcPr>
          <w:p w14:paraId="25B5D9C7" w14:textId="77777777" w:rsidR="00DD5C9C" w:rsidRPr="00797E6E" w:rsidRDefault="00DD5C9C" w:rsidP="003B5D42">
            <w:pPr>
              <w:jc w:val="center"/>
              <w:rPr>
                <w:sz w:val="18"/>
                <w:szCs w:val="18"/>
                <w:lang w:bidi="ar-SA"/>
              </w:rPr>
            </w:pPr>
            <w:r w:rsidRPr="00797E6E">
              <w:rPr>
                <w:sz w:val="18"/>
                <w:szCs w:val="18"/>
                <w:lang w:bidi="ar-SA"/>
              </w:rPr>
              <w:t>7.2– 8.8</w:t>
            </w:r>
          </w:p>
        </w:tc>
        <w:tc>
          <w:tcPr>
            <w:tcW w:w="1560" w:type="dxa"/>
            <w:vAlign w:val="center"/>
          </w:tcPr>
          <w:p w14:paraId="25B5D9C8" w14:textId="77777777" w:rsidR="00DD5C9C" w:rsidRPr="00797E6E" w:rsidRDefault="00DD5C9C" w:rsidP="003B5D42">
            <w:pPr>
              <w:jc w:val="center"/>
              <w:rPr>
                <w:sz w:val="18"/>
                <w:szCs w:val="18"/>
                <w:lang w:bidi="ar-SA"/>
              </w:rPr>
            </w:pPr>
            <w:r w:rsidRPr="00797E6E">
              <w:rPr>
                <w:sz w:val="18"/>
                <w:szCs w:val="18"/>
                <w:lang w:bidi="ar-SA"/>
              </w:rPr>
              <w:t>8.6–10.6</w:t>
            </w:r>
          </w:p>
        </w:tc>
        <w:tc>
          <w:tcPr>
            <w:tcW w:w="1134" w:type="dxa"/>
            <w:vAlign w:val="center"/>
          </w:tcPr>
          <w:p w14:paraId="25B5D9C9" w14:textId="77777777"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14:paraId="25B5D9CA" w14:textId="77777777" w:rsidR="00DD5C9C" w:rsidRPr="00797E6E" w:rsidRDefault="00DD5C9C" w:rsidP="003B5D42">
            <w:pPr>
              <w:jc w:val="center"/>
              <w:rPr>
                <w:sz w:val="18"/>
                <w:szCs w:val="18"/>
                <w:lang w:bidi="ar-SA"/>
              </w:rPr>
            </w:pPr>
            <w:r w:rsidRPr="00797E6E">
              <w:rPr>
                <w:sz w:val="18"/>
                <w:szCs w:val="18"/>
                <w:lang w:bidi="ar-SA"/>
              </w:rPr>
              <w:t>77.6–79.6</w:t>
            </w:r>
          </w:p>
        </w:tc>
      </w:tr>
      <w:tr w:rsidR="00DD5C9C" w:rsidRPr="007926E4" w14:paraId="25B5D9D1" w14:textId="77777777" w:rsidTr="003B5D42">
        <w:trPr>
          <w:trHeight w:val="397"/>
        </w:trPr>
        <w:tc>
          <w:tcPr>
            <w:tcW w:w="3510" w:type="dxa"/>
            <w:vAlign w:val="center"/>
          </w:tcPr>
          <w:p w14:paraId="25B5D9CC" w14:textId="77777777" w:rsidR="00DD5C9C" w:rsidRPr="00797E6E" w:rsidRDefault="00DD5C9C" w:rsidP="003B5D42">
            <w:pPr>
              <w:rPr>
                <w:sz w:val="18"/>
                <w:szCs w:val="18"/>
                <w:lang w:bidi="ar-SA"/>
              </w:rPr>
            </w:pPr>
            <w:r w:rsidRPr="00797E6E">
              <w:rPr>
                <w:sz w:val="18"/>
                <w:szCs w:val="18"/>
                <w:lang w:bidi="ar-SA"/>
              </w:rPr>
              <w:t>(2) High consumer, brand loyal</w:t>
            </w:r>
          </w:p>
        </w:tc>
        <w:tc>
          <w:tcPr>
            <w:tcW w:w="1701" w:type="dxa"/>
            <w:vAlign w:val="center"/>
          </w:tcPr>
          <w:p w14:paraId="25B5D9CD" w14:textId="77777777" w:rsidR="00DD5C9C" w:rsidRPr="00797E6E" w:rsidRDefault="00DD5C9C" w:rsidP="003B5D42">
            <w:pPr>
              <w:jc w:val="center"/>
              <w:rPr>
                <w:sz w:val="18"/>
                <w:szCs w:val="18"/>
                <w:lang w:bidi="ar-SA"/>
              </w:rPr>
            </w:pPr>
            <w:r w:rsidRPr="00797E6E">
              <w:rPr>
                <w:sz w:val="18"/>
                <w:szCs w:val="18"/>
                <w:lang w:bidi="ar-SA"/>
              </w:rPr>
              <w:t>12.8–16.3</w:t>
            </w:r>
          </w:p>
        </w:tc>
        <w:tc>
          <w:tcPr>
            <w:tcW w:w="1560" w:type="dxa"/>
            <w:vAlign w:val="center"/>
          </w:tcPr>
          <w:p w14:paraId="25B5D9CE" w14:textId="77777777" w:rsidR="00DD5C9C" w:rsidRPr="00797E6E" w:rsidRDefault="00DD5C9C" w:rsidP="003B5D42">
            <w:pPr>
              <w:jc w:val="center"/>
              <w:rPr>
                <w:sz w:val="18"/>
                <w:szCs w:val="18"/>
                <w:lang w:bidi="ar-SA"/>
              </w:rPr>
            </w:pPr>
            <w:r w:rsidRPr="00797E6E">
              <w:rPr>
                <w:sz w:val="18"/>
                <w:szCs w:val="18"/>
                <w:lang w:bidi="ar-SA"/>
              </w:rPr>
              <w:t>15.4–19.5</w:t>
            </w:r>
          </w:p>
        </w:tc>
        <w:tc>
          <w:tcPr>
            <w:tcW w:w="1134" w:type="dxa"/>
            <w:vAlign w:val="center"/>
          </w:tcPr>
          <w:p w14:paraId="25B5D9CF" w14:textId="77777777"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14:paraId="25B5D9D0" w14:textId="77777777" w:rsidR="00DD5C9C" w:rsidRPr="00797E6E" w:rsidRDefault="00DD5C9C" w:rsidP="003B5D42">
            <w:pPr>
              <w:jc w:val="center"/>
              <w:rPr>
                <w:sz w:val="18"/>
                <w:szCs w:val="18"/>
                <w:lang w:bidi="ar-SA"/>
              </w:rPr>
            </w:pPr>
            <w:r w:rsidRPr="00797E6E">
              <w:rPr>
                <w:sz w:val="18"/>
                <w:szCs w:val="18"/>
                <w:lang w:bidi="ar-SA"/>
              </w:rPr>
              <w:t>84.4–88.5</w:t>
            </w:r>
          </w:p>
        </w:tc>
      </w:tr>
      <w:tr w:rsidR="00DD5C9C" w:rsidRPr="007926E4" w14:paraId="25B5D9D7" w14:textId="77777777" w:rsidTr="003B5D42">
        <w:trPr>
          <w:trHeight w:val="397"/>
        </w:trPr>
        <w:tc>
          <w:tcPr>
            <w:tcW w:w="3510" w:type="dxa"/>
            <w:vAlign w:val="center"/>
          </w:tcPr>
          <w:p w14:paraId="25B5D9D2" w14:textId="77777777" w:rsidR="00DD5C9C" w:rsidRPr="00797E6E" w:rsidRDefault="00DD5C9C" w:rsidP="003B5D42">
            <w:pPr>
              <w:jc w:val="both"/>
              <w:rPr>
                <w:sz w:val="18"/>
                <w:szCs w:val="18"/>
              </w:rPr>
            </w:pPr>
            <w:r w:rsidRPr="00797E6E">
              <w:rPr>
                <w:sz w:val="18"/>
                <w:szCs w:val="18"/>
                <w:lang w:bidi="ar-SA"/>
              </w:rPr>
              <w:t>(3) Mean consumer, market share (35%)</w:t>
            </w:r>
          </w:p>
        </w:tc>
        <w:tc>
          <w:tcPr>
            <w:tcW w:w="1701" w:type="dxa"/>
            <w:vAlign w:val="center"/>
          </w:tcPr>
          <w:p w14:paraId="25B5D9D3" w14:textId="77777777" w:rsidR="00DD5C9C" w:rsidRPr="00797E6E" w:rsidRDefault="00DD5C9C" w:rsidP="003B5D42">
            <w:pPr>
              <w:jc w:val="center"/>
              <w:rPr>
                <w:sz w:val="18"/>
                <w:szCs w:val="18"/>
                <w:lang w:bidi="ar-SA"/>
              </w:rPr>
            </w:pPr>
            <w:r w:rsidRPr="00797E6E">
              <w:rPr>
                <w:sz w:val="18"/>
                <w:szCs w:val="18"/>
                <w:lang w:bidi="ar-SA"/>
              </w:rPr>
              <w:t>2.5–3.1</w:t>
            </w:r>
          </w:p>
        </w:tc>
        <w:tc>
          <w:tcPr>
            <w:tcW w:w="1560" w:type="dxa"/>
            <w:vAlign w:val="center"/>
          </w:tcPr>
          <w:p w14:paraId="25B5D9D4" w14:textId="77777777" w:rsidR="00DD5C9C" w:rsidRPr="00797E6E" w:rsidRDefault="00DD5C9C" w:rsidP="003B5D42">
            <w:pPr>
              <w:jc w:val="center"/>
              <w:rPr>
                <w:sz w:val="18"/>
                <w:szCs w:val="18"/>
                <w:lang w:bidi="ar-SA"/>
              </w:rPr>
            </w:pPr>
            <w:r w:rsidRPr="00797E6E">
              <w:rPr>
                <w:sz w:val="18"/>
                <w:szCs w:val="18"/>
                <w:lang w:bidi="ar-SA"/>
              </w:rPr>
              <w:t>3.0–3.7</w:t>
            </w:r>
          </w:p>
        </w:tc>
        <w:tc>
          <w:tcPr>
            <w:tcW w:w="1134" w:type="dxa"/>
            <w:vAlign w:val="center"/>
          </w:tcPr>
          <w:p w14:paraId="25B5D9D5" w14:textId="77777777"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14:paraId="25B5D9D6" w14:textId="77777777" w:rsidR="00DD5C9C" w:rsidRPr="00797E6E" w:rsidRDefault="00DD5C9C" w:rsidP="003B5D42">
            <w:pPr>
              <w:jc w:val="center"/>
              <w:rPr>
                <w:sz w:val="18"/>
                <w:szCs w:val="18"/>
                <w:lang w:bidi="ar-SA"/>
              </w:rPr>
            </w:pPr>
            <w:r w:rsidRPr="00797E6E">
              <w:rPr>
                <w:sz w:val="18"/>
                <w:szCs w:val="18"/>
                <w:lang w:bidi="ar-SA"/>
              </w:rPr>
              <w:t>72.0–72.7</w:t>
            </w:r>
          </w:p>
        </w:tc>
      </w:tr>
      <w:tr w:rsidR="00DD5C9C" w:rsidRPr="007926E4" w14:paraId="25B5D9DD" w14:textId="77777777" w:rsidTr="003B5D42">
        <w:trPr>
          <w:trHeight w:val="397"/>
        </w:trPr>
        <w:tc>
          <w:tcPr>
            <w:tcW w:w="3510" w:type="dxa"/>
            <w:vAlign w:val="center"/>
          </w:tcPr>
          <w:p w14:paraId="25B5D9D8" w14:textId="77777777" w:rsidR="00DD5C9C" w:rsidRPr="00797E6E" w:rsidRDefault="00DD5C9C" w:rsidP="003B5D42">
            <w:pPr>
              <w:rPr>
                <w:sz w:val="18"/>
                <w:szCs w:val="18"/>
              </w:rPr>
            </w:pPr>
            <w:r w:rsidRPr="00797E6E">
              <w:rPr>
                <w:sz w:val="18"/>
                <w:szCs w:val="18"/>
                <w:lang w:bidi="ar-SA"/>
              </w:rPr>
              <w:t>(4) High consumer, market share (35%)</w:t>
            </w:r>
          </w:p>
        </w:tc>
        <w:tc>
          <w:tcPr>
            <w:tcW w:w="1701" w:type="dxa"/>
            <w:vAlign w:val="center"/>
          </w:tcPr>
          <w:p w14:paraId="25B5D9D9" w14:textId="77777777" w:rsidR="00DD5C9C" w:rsidRPr="00797E6E" w:rsidRDefault="00DD5C9C" w:rsidP="003B5D42">
            <w:pPr>
              <w:jc w:val="center"/>
              <w:rPr>
                <w:sz w:val="18"/>
                <w:szCs w:val="18"/>
                <w:lang w:bidi="ar-SA"/>
              </w:rPr>
            </w:pPr>
            <w:r w:rsidRPr="00797E6E">
              <w:rPr>
                <w:sz w:val="18"/>
                <w:szCs w:val="18"/>
                <w:lang w:bidi="ar-SA"/>
              </w:rPr>
              <w:t>4.5–5.7</w:t>
            </w:r>
          </w:p>
        </w:tc>
        <w:tc>
          <w:tcPr>
            <w:tcW w:w="1560" w:type="dxa"/>
            <w:vAlign w:val="center"/>
          </w:tcPr>
          <w:p w14:paraId="25B5D9DA" w14:textId="77777777" w:rsidR="00DD5C9C" w:rsidRPr="00797E6E" w:rsidRDefault="00DD5C9C" w:rsidP="003B5D42">
            <w:pPr>
              <w:jc w:val="center"/>
              <w:rPr>
                <w:sz w:val="18"/>
                <w:szCs w:val="18"/>
                <w:lang w:bidi="ar-SA"/>
              </w:rPr>
            </w:pPr>
            <w:r w:rsidRPr="00797E6E">
              <w:rPr>
                <w:sz w:val="18"/>
                <w:szCs w:val="18"/>
                <w:lang w:bidi="ar-SA"/>
              </w:rPr>
              <w:t>5.4–6.8</w:t>
            </w:r>
          </w:p>
        </w:tc>
        <w:tc>
          <w:tcPr>
            <w:tcW w:w="1134" w:type="dxa"/>
            <w:vAlign w:val="center"/>
          </w:tcPr>
          <w:p w14:paraId="25B5D9DB" w14:textId="77777777" w:rsidR="00DD5C9C" w:rsidRPr="00797E6E" w:rsidRDefault="00DD5C9C" w:rsidP="003B5D42">
            <w:pPr>
              <w:jc w:val="center"/>
              <w:rPr>
                <w:sz w:val="18"/>
                <w:szCs w:val="18"/>
                <w:lang w:bidi="ar-SA"/>
              </w:rPr>
            </w:pPr>
            <w:r w:rsidRPr="00797E6E">
              <w:rPr>
                <w:sz w:val="18"/>
                <w:szCs w:val="18"/>
                <w:lang w:bidi="ar-SA"/>
              </w:rPr>
              <w:t>69.0</w:t>
            </w:r>
          </w:p>
        </w:tc>
        <w:tc>
          <w:tcPr>
            <w:tcW w:w="1417" w:type="dxa"/>
            <w:vAlign w:val="center"/>
          </w:tcPr>
          <w:p w14:paraId="25B5D9DC" w14:textId="77777777" w:rsidR="00DD5C9C" w:rsidRPr="00797E6E" w:rsidRDefault="00DD5C9C" w:rsidP="003B5D42">
            <w:pPr>
              <w:jc w:val="center"/>
              <w:rPr>
                <w:sz w:val="18"/>
                <w:szCs w:val="18"/>
                <w:lang w:bidi="ar-SA"/>
              </w:rPr>
            </w:pPr>
            <w:r w:rsidRPr="00797E6E">
              <w:rPr>
                <w:sz w:val="18"/>
                <w:szCs w:val="18"/>
                <w:lang w:bidi="ar-SA"/>
              </w:rPr>
              <w:t>74.4–75.8</w:t>
            </w:r>
          </w:p>
        </w:tc>
      </w:tr>
    </w:tbl>
    <w:p w14:paraId="25B5D9DE" w14:textId="77777777" w:rsidR="00DD5C9C" w:rsidRPr="00C173FB" w:rsidRDefault="00DD5C9C" w:rsidP="003B5D42">
      <w:pPr>
        <w:ind w:left="142" w:right="-22" w:hanging="142"/>
        <w:rPr>
          <w:rFonts w:eastAsia="Calibri"/>
          <w:i/>
          <w:sz w:val="16"/>
          <w:szCs w:val="16"/>
          <w:lang w:bidi="ar-SA"/>
        </w:rPr>
      </w:pPr>
      <w:r w:rsidRPr="00073798">
        <w:rPr>
          <w:rFonts w:eastAsia="Calibri"/>
          <w:i/>
          <w:szCs w:val="22"/>
          <w:vertAlign w:val="superscript"/>
          <w:lang w:bidi="ar-SA"/>
        </w:rPr>
        <w:t>a</w:t>
      </w:r>
      <w:r w:rsidRPr="00073798">
        <w:rPr>
          <w:rFonts w:eastAsia="Calibri"/>
          <w:i/>
          <w:szCs w:val="22"/>
          <w:lang w:bidi="ar-SA"/>
        </w:rPr>
        <w:t xml:space="preserve"> </w:t>
      </w:r>
      <w:r w:rsidRPr="00C173FB">
        <w:rPr>
          <w:rFonts w:eastAsia="Calibri"/>
          <w:i/>
          <w:sz w:val="16"/>
          <w:szCs w:val="16"/>
          <w:lang w:bidi="ar-SA"/>
        </w:rPr>
        <w:t xml:space="preserve">See Tables </w:t>
      </w:r>
      <w:r>
        <w:rPr>
          <w:rFonts w:eastAsia="Calibri"/>
          <w:i/>
          <w:sz w:val="16"/>
          <w:szCs w:val="16"/>
          <w:lang w:bidi="ar-SA"/>
        </w:rPr>
        <w:t>4</w:t>
      </w:r>
      <w:r w:rsidRPr="00C173FB">
        <w:rPr>
          <w:rFonts w:eastAsia="Calibri"/>
          <w:i/>
          <w:sz w:val="16"/>
          <w:szCs w:val="16"/>
          <w:lang w:bidi="ar-SA"/>
        </w:rPr>
        <w:t xml:space="preserve"> and</w:t>
      </w:r>
      <w:r>
        <w:rPr>
          <w:rFonts w:eastAsia="Calibri"/>
          <w:i/>
          <w:sz w:val="16"/>
          <w:szCs w:val="16"/>
          <w:lang w:bidi="ar-SA"/>
        </w:rPr>
        <w:t xml:space="preserve"> 5 (Section 5</w:t>
      </w:r>
      <w:r w:rsidRPr="00C173FB">
        <w:rPr>
          <w:rFonts w:eastAsia="Calibri"/>
          <w:i/>
          <w:sz w:val="16"/>
          <w:szCs w:val="16"/>
          <w:lang w:bidi="ar-SA"/>
        </w:rPr>
        <w:t>). Values are the intake range for age groups 9–</w:t>
      </w:r>
      <w:r>
        <w:rPr>
          <w:rFonts w:eastAsia="Calibri"/>
          <w:i/>
          <w:sz w:val="16"/>
          <w:szCs w:val="16"/>
          <w:lang w:bidi="ar-SA"/>
        </w:rPr>
        <w:t>13 years and 14</w:t>
      </w:r>
      <w:r w:rsidRPr="00C173FB">
        <w:rPr>
          <w:rFonts w:eastAsia="Calibri"/>
          <w:i/>
          <w:sz w:val="16"/>
          <w:szCs w:val="16"/>
          <w:lang w:bidi="ar-SA"/>
        </w:rPr>
        <w:t xml:space="preserve">–16 years </w:t>
      </w:r>
      <w:r>
        <w:rPr>
          <w:rFonts w:eastAsia="Calibri"/>
          <w:i/>
          <w:sz w:val="16"/>
          <w:szCs w:val="16"/>
          <w:lang w:bidi="ar-SA"/>
        </w:rPr>
        <w:t xml:space="preserve">whereas mean </w:t>
      </w:r>
      <w:r w:rsidRPr="00C173FB">
        <w:rPr>
          <w:rFonts w:eastAsia="Calibri"/>
          <w:i/>
          <w:sz w:val="16"/>
          <w:szCs w:val="16"/>
          <w:lang w:bidi="ar-SA"/>
        </w:rPr>
        <w:t>serum 25OHD concentration</w:t>
      </w:r>
      <w:r>
        <w:rPr>
          <w:rFonts w:eastAsia="Calibri"/>
          <w:i/>
          <w:sz w:val="16"/>
          <w:szCs w:val="16"/>
          <w:lang w:bidi="ar-SA"/>
        </w:rPr>
        <w:t xml:space="preserve"> was reported for the age group 12–17 years.</w:t>
      </w:r>
      <w:r w:rsidRPr="00C173FB">
        <w:rPr>
          <w:rFonts w:eastAsia="Calibri"/>
          <w:i/>
          <w:sz w:val="16"/>
          <w:szCs w:val="16"/>
          <w:lang w:bidi="ar-SA"/>
        </w:rPr>
        <w:t xml:space="preserve"> </w:t>
      </w:r>
    </w:p>
    <w:p w14:paraId="25B5D9DF" w14:textId="77777777" w:rsidR="00DD5C9C" w:rsidRDefault="00DD5C9C" w:rsidP="003B5D42">
      <w:pPr>
        <w:ind w:left="142" w:right="-164" w:hanging="142"/>
        <w:rPr>
          <w:rFonts w:eastAsia="Calibri"/>
          <w:i/>
          <w:sz w:val="16"/>
          <w:szCs w:val="16"/>
          <w:lang w:bidi="ar-SA"/>
        </w:rPr>
      </w:pPr>
      <w:r w:rsidRPr="00B3589E">
        <w:rPr>
          <w:rFonts w:eastAsia="Calibri"/>
          <w:i/>
          <w:sz w:val="16"/>
          <w:szCs w:val="16"/>
          <w:vertAlign w:val="superscript"/>
          <w:lang w:bidi="ar-SA"/>
        </w:rPr>
        <w:t>b</w:t>
      </w:r>
      <w:r w:rsidRPr="00B3589E">
        <w:rPr>
          <w:rFonts w:eastAsia="Calibri"/>
          <w:i/>
          <w:sz w:val="16"/>
          <w:szCs w:val="16"/>
          <w:lang w:bidi="ar-SA"/>
        </w:rPr>
        <w:t xml:space="preserve"> </w:t>
      </w:r>
      <w:r w:rsidRPr="00C173FB">
        <w:rPr>
          <w:rFonts w:eastAsia="Calibri"/>
          <w:i/>
          <w:sz w:val="16"/>
          <w:szCs w:val="16"/>
          <w:lang w:bidi="ar-SA"/>
        </w:rPr>
        <w:t>Source 2011</w:t>
      </w:r>
      <w:r>
        <w:rPr>
          <w:rFonts w:eastAsia="Calibri"/>
          <w:i/>
          <w:sz w:val="16"/>
          <w:szCs w:val="16"/>
          <w:lang w:bidi="ar-SA"/>
        </w:rPr>
        <w:t>–13</w:t>
      </w:r>
      <w:r w:rsidRPr="00C173FB">
        <w:rPr>
          <w:rFonts w:eastAsia="Calibri"/>
          <w:i/>
          <w:sz w:val="16"/>
          <w:szCs w:val="16"/>
          <w:lang w:bidi="ar-SA"/>
        </w:rPr>
        <w:t xml:space="preserve"> Australian Health Survey</w:t>
      </w:r>
      <w:r>
        <w:rPr>
          <w:rFonts w:eastAsia="Calibri"/>
          <w:i/>
          <w:noProof/>
          <w:sz w:val="16"/>
          <w:szCs w:val="16"/>
          <w:lang w:bidi="ar-SA"/>
        </w:rPr>
        <w:t>(ABS 2014a)</w:t>
      </w:r>
      <w:r>
        <w:rPr>
          <w:rFonts w:eastAsia="Calibri"/>
          <w:i/>
          <w:sz w:val="16"/>
          <w:szCs w:val="16"/>
          <w:lang w:bidi="ar-SA"/>
        </w:rPr>
        <w:t xml:space="preserve"> </w:t>
      </w:r>
      <w:r w:rsidRPr="00C173FB">
        <w:rPr>
          <w:rFonts w:eastAsia="Calibri"/>
          <w:i/>
          <w:sz w:val="16"/>
          <w:szCs w:val="16"/>
          <w:lang w:bidi="ar-SA"/>
        </w:rPr>
        <w:t xml:space="preserve">. Mean serum 25OHD concentration as reported for 12–17 years. </w:t>
      </w:r>
      <w:r>
        <w:rPr>
          <w:rFonts w:eastAsia="Calibri"/>
          <w:i/>
          <w:sz w:val="16"/>
          <w:szCs w:val="16"/>
          <w:lang w:bidi="ar-SA"/>
        </w:rPr>
        <w:t>The standard deviation was calculated from the reported interquartile range (56.0, 80.4) to be 9.0 (with rounding).</w:t>
      </w:r>
    </w:p>
    <w:p w14:paraId="755E1624" w14:textId="77777777" w:rsidR="00B62436" w:rsidRDefault="00B62436" w:rsidP="003B5D42">
      <w:pPr>
        <w:pStyle w:val="FSTableFigureHeading"/>
        <w:rPr>
          <w:i w:val="0"/>
        </w:rPr>
      </w:pPr>
      <w:r>
        <w:rPr>
          <w:i w:val="0"/>
        </w:rPr>
        <w:br w:type="page"/>
      </w:r>
    </w:p>
    <w:p w14:paraId="25B5D9E1" w14:textId="5E120BDD" w:rsidR="00DD5C9C" w:rsidRPr="000223BB" w:rsidRDefault="00DD5C9C" w:rsidP="003B5D42">
      <w:pPr>
        <w:pStyle w:val="FSTableFigureHeading"/>
        <w:rPr>
          <w:i w:val="0"/>
        </w:rPr>
      </w:pPr>
      <w:r w:rsidRPr="000223BB">
        <w:rPr>
          <w:i w:val="0"/>
        </w:rPr>
        <w:lastRenderedPageBreak/>
        <w:t xml:space="preserve">Table 9 </w:t>
      </w:r>
      <w:r w:rsidRPr="000223BB">
        <w:rPr>
          <w:i w:val="0"/>
        </w:rPr>
        <w:tab/>
        <w:t xml:space="preserve">Predicted mean serum 25OHD concentrations in </w:t>
      </w:r>
      <w:r w:rsidRPr="000223BB">
        <w:rPr>
          <w:i w:val="0"/>
          <w:u w:val="single"/>
        </w:rPr>
        <w:t>Australian adults</w:t>
      </w:r>
      <w:r w:rsidRPr="000223BB">
        <w:rPr>
          <w:i w:val="0"/>
        </w:rPr>
        <w:t xml:space="preserve"> (18 years and above) consuming vitamin D fortified breakfast cereal</w:t>
      </w:r>
    </w:p>
    <w:tbl>
      <w:tblPr>
        <w:tblStyle w:val="TableGrid4"/>
        <w:tblW w:w="9322" w:type="dxa"/>
        <w:tblLook w:val="04A0" w:firstRow="1" w:lastRow="0" w:firstColumn="1" w:lastColumn="0" w:noHBand="0" w:noVBand="1"/>
      </w:tblPr>
      <w:tblGrid>
        <w:gridCol w:w="3510"/>
        <w:gridCol w:w="1701"/>
        <w:gridCol w:w="1560"/>
        <w:gridCol w:w="1134"/>
        <w:gridCol w:w="1417"/>
      </w:tblGrid>
      <w:tr w:rsidR="00DD5C9C" w:rsidRPr="007926E4" w14:paraId="25B5D9E4" w14:textId="77777777" w:rsidTr="003B5D42">
        <w:trPr>
          <w:trHeight w:val="397"/>
        </w:trPr>
        <w:tc>
          <w:tcPr>
            <w:tcW w:w="5211" w:type="dxa"/>
            <w:gridSpan w:val="2"/>
            <w:vAlign w:val="center"/>
          </w:tcPr>
          <w:p w14:paraId="25B5D9E2" w14:textId="77777777" w:rsidR="00DD5C9C" w:rsidRPr="00797E6E" w:rsidRDefault="00DD5C9C" w:rsidP="003B5D42">
            <w:pPr>
              <w:jc w:val="center"/>
              <w:rPr>
                <w:b/>
                <w:sz w:val="18"/>
                <w:szCs w:val="18"/>
                <w:lang w:bidi="ar-SA"/>
              </w:rPr>
            </w:pPr>
            <w:r w:rsidRPr="00797E6E">
              <w:rPr>
                <w:b/>
                <w:sz w:val="18"/>
                <w:szCs w:val="18"/>
                <w:lang w:bidi="ar-SA"/>
              </w:rPr>
              <w:t>Dietary intake</w:t>
            </w:r>
          </w:p>
        </w:tc>
        <w:tc>
          <w:tcPr>
            <w:tcW w:w="4111" w:type="dxa"/>
            <w:gridSpan w:val="3"/>
            <w:vAlign w:val="center"/>
          </w:tcPr>
          <w:p w14:paraId="25B5D9E3" w14:textId="77777777" w:rsidR="00DD5C9C" w:rsidRPr="00797E6E" w:rsidRDefault="00DD5C9C" w:rsidP="003B5D42">
            <w:pPr>
              <w:jc w:val="center"/>
              <w:rPr>
                <w:b/>
                <w:sz w:val="18"/>
                <w:szCs w:val="18"/>
                <w:lang w:bidi="ar-SA"/>
              </w:rPr>
            </w:pPr>
            <w:r w:rsidRPr="00797E6E">
              <w:rPr>
                <w:b/>
                <w:sz w:val="18"/>
                <w:szCs w:val="18"/>
                <w:lang w:bidi="ar-SA"/>
              </w:rPr>
              <w:t>Serum 25OHD concentration (nM)</w:t>
            </w:r>
          </w:p>
        </w:tc>
      </w:tr>
      <w:tr w:rsidR="00DD5C9C" w:rsidRPr="007926E4" w14:paraId="25B5D9EA" w14:textId="77777777" w:rsidTr="003B5D42">
        <w:trPr>
          <w:trHeight w:val="397"/>
        </w:trPr>
        <w:tc>
          <w:tcPr>
            <w:tcW w:w="3510" w:type="dxa"/>
            <w:vAlign w:val="center"/>
          </w:tcPr>
          <w:p w14:paraId="25B5D9E5" w14:textId="77777777" w:rsidR="00DD5C9C" w:rsidRPr="00797E6E" w:rsidRDefault="00DD5C9C" w:rsidP="003B5D42">
            <w:pPr>
              <w:rPr>
                <w:i/>
                <w:sz w:val="18"/>
                <w:szCs w:val="18"/>
                <w:lang w:bidi="ar-SA"/>
              </w:rPr>
            </w:pPr>
            <w:r w:rsidRPr="00797E6E">
              <w:rPr>
                <w:i/>
                <w:sz w:val="18"/>
                <w:szCs w:val="18"/>
                <w:lang w:bidi="ar-SA"/>
              </w:rPr>
              <w:t>Modelling scenario</w:t>
            </w:r>
          </w:p>
        </w:tc>
        <w:tc>
          <w:tcPr>
            <w:tcW w:w="1701" w:type="dxa"/>
          </w:tcPr>
          <w:p w14:paraId="25B5D9E6" w14:textId="77777777" w:rsidR="00DD5C9C" w:rsidRPr="00797E6E" w:rsidRDefault="00DD5C9C" w:rsidP="003B5D42">
            <w:pPr>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560" w:type="dxa"/>
          </w:tcPr>
          <w:p w14:paraId="25B5D9E7" w14:textId="77777777" w:rsidR="00DD5C9C" w:rsidRPr="00797E6E" w:rsidRDefault="00DD5C9C" w:rsidP="003B5D42">
            <w:pPr>
              <w:jc w:val="center"/>
              <w:rPr>
                <w:i/>
                <w:sz w:val="18"/>
                <w:szCs w:val="18"/>
                <w:lang w:bidi="ar-SA"/>
              </w:rPr>
            </w:pPr>
            <w:r w:rsidRPr="00797E6E">
              <w:rPr>
                <w:i/>
                <w:sz w:val="18"/>
                <w:szCs w:val="18"/>
                <w:lang w:bidi="ar-SA"/>
              </w:rPr>
              <w:t xml:space="preserve">Calculated increase in serum 25OHD </w:t>
            </w:r>
          </w:p>
        </w:tc>
        <w:tc>
          <w:tcPr>
            <w:tcW w:w="1134" w:type="dxa"/>
            <w:vAlign w:val="center"/>
          </w:tcPr>
          <w:p w14:paraId="25B5D9E8" w14:textId="77777777" w:rsidR="00DD5C9C" w:rsidRPr="00797E6E" w:rsidRDefault="00AF79AC" w:rsidP="003B5D42">
            <w:pPr>
              <w:jc w:val="center"/>
              <w:rPr>
                <w:i/>
                <w:sz w:val="18"/>
                <w:szCs w:val="18"/>
                <w:lang w:bidi="ar-SA"/>
              </w:rPr>
            </w:pPr>
            <w:r>
              <w:rPr>
                <w:i/>
                <w:sz w:val="18"/>
                <w:szCs w:val="18"/>
                <w:lang w:bidi="ar-SA"/>
              </w:rPr>
              <w:t>Mean baseline</w:t>
            </w:r>
            <w:r w:rsidR="00DD5C9C" w:rsidRPr="00797E6E">
              <w:rPr>
                <w:i/>
                <w:sz w:val="18"/>
                <w:szCs w:val="18"/>
                <w:lang w:bidi="ar-SA"/>
              </w:rPr>
              <w:t xml:space="preserve"> </w:t>
            </w:r>
            <w:r w:rsidR="00DD5C9C" w:rsidRPr="00797E6E">
              <w:rPr>
                <w:i/>
                <w:sz w:val="18"/>
                <w:szCs w:val="18"/>
                <w:vertAlign w:val="superscript"/>
                <w:lang w:bidi="ar-SA"/>
              </w:rPr>
              <w:t>b</w:t>
            </w:r>
          </w:p>
        </w:tc>
        <w:tc>
          <w:tcPr>
            <w:tcW w:w="1417" w:type="dxa"/>
          </w:tcPr>
          <w:p w14:paraId="25B5D9E9" w14:textId="77777777" w:rsidR="00DD5C9C" w:rsidRPr="00797E6E" w:rsidRDefault="00DD5C9C" w:rsidP="003B5D42">
            <w:pPr>
              <w:jc w:val="center"/>
              <w:rPr>
                <w:i/>
                <w:sz w:val="18"/>
                <w:szCs w:val="18"/>
                <w:lang w:bidi="ar-SA"/>
              </w:rPr>
            </w:pPr>
            <w:r w:rsidRPr="00797E6E">
              <w:rPr>
                <w:i/>
                <w:sz w:val="18"/>
                <w:szCs w:val="18"/>
                <w:lang w:bidi="ar-SA"/>
              </w:rPr>
              <w:t>Predicted mean with fortified cereal</w:t>
            </w:r>
          </w:p>
        </w:tc>
      </w:tr>
      <w:tr w:rsidR="00DD5C9C" w:rsidRPr="007926E4" w14:paraId="25B5D9F0" w14:textId="77777777" w:rsidTr="003B5D42">
        <w:trPr>
          <w:trHeight w:val="397"/>
        </w:trPr>
        <w:tc>
          <w:tcPr>
            <w:tcW w:w="3510" w:type="dxa"/>
            <w:vAlign w:val="center"/>
          </w:tcPr>
          <w:p w14:paraId="25B5D9EB" w14:textId="77777777" w:rsidR="00DD5C9C" w:rsidRPr="00797E6E" w:rsidRDefault="00DD5C9C" w:rsidP="003B5D42">
            <w:pPr>
              <w:rPr>
                <w:sz w:val="18"/>
                <w:szCs w:val="18"/>
                <w:lang w:bidi="ar-SA"/>
              </w:rPr>
            </w:pPr>
            <w:r w:rsidRPr="00797E6E">
              <w:rPr>
                <w:sz w:val="18"/>
                <w:szCs w:val="18"/>
                <w:lang w:bidi="ar-SA"/>
              </w:rPr>
              <w:t>(1) Mean consumer, brand loyal</w:t>
            </w:r>
          </w:p>
        </w:tc>
        <w:tc>
          <w:tcPr>
            <w:tcW w:w="1701" w:type="dxa"/>
            <w:vAlign w:val="center"/>
          </w:tcPr>
          <w:p w14:paraId="25B5D9EC" w14:textId="77777777" w:rsidR="00DD5C9C" w:rsidRPr="00797E6E" w:rsidRDefault="00DD5C9C" w:rsidP="003B5D42">
            <w:pPr>
              <w:jc w:val="center"/>
              <w:rPr>
                <w:sz w:val="18"/>
                <w:szCs w:val="18"/>
                <w:lang w:bidi="ar-SA"/>
              </w:rPr>
            </w:pPr>
            <w:r w:rsidRPr="00797E6E">
              <w:rPr>
                <w:sz w:val="18"/>
                <w:szCs w:val="18"/>
                <w:lang w:bidi="ar-SA"/>
              </w:rPr>
              <w:t>9.9</w:t>
            </w:r>
          </w:p>
        </w:tc>
        <w:tc>
          <w:tcPr>
            <w:tcW w:w="1560" w:type="dxa"/>
            <w:vAlign w:val="center"/>
          </w:tcPr>
          <w:p w14:paraId="25B5D9ED" w14:textId="77777777" w:rsidR="00DD5C9C" w:rsidRPr="00797E6E" w:rsidRDefault="00DD5C9C" w:rsidP="003B5D42">
            <w:pPr>
              <w:jc w:val="center"/>
              <w:rPr>
                <w:sz w:val="18"/>
                <w:szCs w:val="18"/>
                <w:lang w:bidi="ar-SA"/>
              </w:rPr>
            </w:pPr>
            <w:r w:rsidRPr="00797E6E">
              <w:rPr>
                <w:sz w:val="18"/>
                <w:szCs w:val="18"/>
                <w:lang w:bidi="ar-SA"/>
              </w:rPr>
              <w:t>11.9</w:t>
            </w:r>
          </w:p>
        </w:tc>
        <w:tc>
          <w:tcPr>
            <w:tcW w:w="1134" w:type="dxa"/>
            <w:vAlign w:val="center"/>
          </w:tcPr>
          <w:p w14:paraId="25B5D9EE" w14:textId="77777777"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14:paraId="25B5D9EF" w14:textId="77777777" w:rsidR="00DD5C9C" w:rsidRPr="00797E6E" w:rsidRDefault="00DD5C9C" w:rsidP="003B5D42">
            <w:pPr>
              <w:jc w:val="center"/>
              <w:rPr>
                <w:sz w:val="18"/>
                <w:szCs w:val="18"/>
                <w:lang w:bidi="ar-SA"/>
              </w:rPr>
            </w:pPr>
            <w:r w:rsidRPr="00797E6E">
              <w:rPr>
                <w:sz w:val="18"/>
                <w:szCs w:val="18"/>
                <w:lang w:bidi="ar-SA"/>
              </w:rPr>
              <w:t>77.6</w:t>
            </w:r>
          </w:p>
        </w:tc>
      </w:tr>
      <w:tr w:rsidR="00DD5C9C" w:rsidRPr="007926E4" w14:paraId="25B5D9F6" w14:textId="77777777" w:rsidTr="003B5D42">
        <w:trPr>
          <w:trHeight w:val="397"/>
        </w:trPr>
        <w:tc>
          <w:tcPr>
            <w:tcW w:w="3510" w:type="dxa"/>
            <w:vAlign w:val="center"/>
          </w:tcPr>
          <w:p w14:paraId="25B5D9F1" w14:textId="77777777" w:rsidR="00DD5C9C" w:rsidRPr="00797E6E" w:rsidRDefault="00DD5C9C" w:rsidP="003B5D42">
            <w:pPr>
              <w:rPr>
                <w:sz w:val="18"/>
                <w:szCs w:val="18"/>
                <w:lang w:bidi="ar-SA"/>
              </w:rPr>
            </w:pPr>
            <w:r w:rsidRPr="00797E6E">
              <w:rPr>
                <w:sz w:val="18"/>
                <w:szCs w:val="18"/>
                <w:lang w:bidi="ar-SA"/>
              </w:rPr>
              <w:t>(2) High consumer, brand loyal</w:t>
            </w:r>
          </w:p>
        </w:tc>
        <w:tc>
          <w:tcPr>
            <w:tcW w:w="1701" w:type="dxa"/>
            <w:vAlign w:val="center"/>
          </w:tcPr>
          <w:p w14:paraId="25B5D9F2" w14:textId="77777777" w:rsidR="00DD5C9C" w:rsidRPr="00797E6E" w:rsidRDefault="00DD5C9C" w:rsidP="003B5D42">
            <w:pPr>
              <w:jc w:val="center"/>
              <w:rPr>
                <w:sz w:val="18"/>
                <w:szCs w:val="18"/>
                <w:lang w:bidi="ar-SA"/>
              </w:rPr>
            </w:pPr>
            <w:r w:rsidRPr="00797E6E">
              <w:rPr>
                <w:sz w:val="18"/>
                <w:szCs w:val="18"/>
                <w:lang w:bidi="ar-SA"/>
              </w:rPr>
              <w:t>18.8</w:t>
            </w:r>
          </w:p>
        </w:tc>
        <w:tc>
          <w:tcPr>
            <w:tcW w:w="1560" w:type="dxa"/>
            <w:vAlign w:val="center"/>
          </w:tcPr>
          <w:p w14:paraId="25B5D9F3" w14:textId="77777777" w:rsidR="00DD5C9C" w:rsidRPr="00797E6E" w:rsidRDefault="00DD5C9C" w:rsidP="003B5D42">
            <w:pPr>
              <w:jc w:val="center"/>
              <w:rPr>
                <w:sz w:val="18"/>
                <w:szCs w:val="18"/>
                <w:lang w:bidi="ar-SA"/>
              </w:rPr>
            </w:pPr>
            <w:r w:rsidRPr="00797E6E">
              <w:rPr>
                <w:sz w:val="18"/>
                <w:szCs w:val="18"/>
                <w:lang w:bidi="ar-SA"/>
              </w:rPr>
              <w:t>22.6</w:t>
            </w:r>
          </w:p>
        </w:tc>
        <w:tc>
          <w:tcPr>
            <w:tcW w:w="1134" w:type="dxa"/>
            <w:vAlign w:val="center"/>
          </w:tcPr>
          <w:p w14:paraId="25B5D9F4" w14:textId="77777777"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14:paraId="25B5D9F5" w14:textId="77777777" w:rsidR="00DD5C9C" w:rsidRPr="00797E6E" w:rsidRDefault="00DD5C9C" w:rsidP="003B5D42">
            <w:pPr>
              <w:jc w:val="center"/>
              <w:rPr>
                <w:sz w:val="18"/>
                <w:szCs w:val="18"/>
                <w:lang w:bidi="ar-SA"/>
              </w:rPr>
            </w:pPr>
            <w:r w:rsidRPr="00797E6E">
              <w:rPr>
                <w:sz w:val="18"/>
                <w:szCs w:val="18"/>
                <w:lang w:bidi="ar-SA"/>
              </w:rPr>
              <w:t>88.3</w:t>
            </w:r>
          </w:p>
        </w:tc>
      </w:tr>
      <w:tr w:rsidR="00DD5C9C" w:rsidRPr="007926E4" w14:paraId="25B5D9FC" w14:textId="77777777" w:rsidTr="003B5D42">
        <w:trPr>
          <w:trHeight w:val="397"/>
        </w:trPr>
        <w:tc>
          <w:tcPr>
            <w:tcW w:w="3510" w:type="dxa"/>
            <w:vAlign w:val="center"/>
          </w:tcPr>
          <w:p w14:paraId="25B5D9F7" w14:textId="77777777" w:rsidR="00DD5C9C" w:rsidRPr="00797E6E" w:rsidRDefault="00DD5C9C" w:rsidP="003B5D42">
            <w:pPr>
              <w:rPr>
                <w:sz w:val="18"/>
                <w:szCs w:val="18"/>
              </w:rPr>
            </w:pPr>
            <w:r w:rsidRPr="00797E6E">
              <w:rPr>
                <w:sz w:val="18"/>
                <w:szCs w:val="18"/>
                <w:lang w:bidi="ar-SA"/>
              </w:rPr>
              <w:t>(3) Mean consumer, market share (35%)</w:t>
            </w:r>
          </w:p>
        </w:tc>
        <w:tc>
          <w:tcPr>
            <w:tcW w:w="1701" w:type="dxa"/>
            <w:vAlign w:val="center"/>
          </w:tcPr>
          <w:p w14:paraId="25B5D9F8" w14:textId="77777777" w:rsidR="00DD5C9C" w:rsidRPr="00797E6E" w:rsidRDefault="00DD5C9C" w:rsidP="003B5D42">
            <w:pPr>
              <w:jc w:val="center"/>
              <w:rPr>
                <w:sz w:val="18"/>
                <w:szCs w:val="18"/>
                <w:lang w:bidi="ar-SA"/>
              </w:rPr>
            </w:pPr>
            <w:r w:rsidRPr="00797E6E">
              <w:rPr>
                <w:sz w:val="18"/>
                <w:szCs w:val="18"/>
                <w:lang w:bidi="ar-SA"/>
              </w:rPr>
              <w:t>3.5</w:t>
            </w:r>
          </w:p>
        </w:tc>
        <w:tc>
          <w:tcPr>
            <w:tcW w:w="1560" w:type="dxa"/>
            <w:vAlign w:val="center"/>
          </w:tcPr>
          <w:p w14:paraId="25B5D9F9" w14:textId="77777777" w:rsidR="00DD5C9C" w:rsidRPr="00797E6E" w:rsidRDefault="00DD5C9C" w:rsidP="003B5D42">
            <w:pPr>
              <w:jc w:val="center"/>
              <w:rPr>
                <w:sz w:val="18"/>
                <w:szCs w:val="18"/>
                <w:lang w:bidi="ar-SA"/>
              </w:rPr>
            </w:pPr>
            <w:r w:rsidRPr="00797E6E">
              <w:rPr>
                <w:sz w:val="18"/>
                <w:szCs w:val="18"/>
                <w:lang w:bidi="ar-SA"/>
              </w:rPr>
              <w:t>4.2</w:t>
            </w:r>
          </w:p>
        </w:tc>
        <w:tc>
          <w:tcPr>
            <w:tcW w:w="1134" w:type="dxa"/>
            <w:vAlign w:val="center"/>
          </w:tcPr>
          <w:p w14:paraId="25B5D9FA" w14:textId="77777777"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14:paraId="25B5D9FB" w14:textId="77777777" w:rsidR="00DD5C9C" w:rsidRPr="00797E6E" w:rsidRDefault="00DD5C9C" w:rsidP="003B5D42">
            <w:pPr>
              <w:jc w:val="center"/>
              <w:rPr>
                <w:sz w:val="18"/>
                <w:szCs w:val="18"/>
                <w:lang w:bidi="ar-SA"/>
              </w:rPr>
            </w:pPr>
            <w:r w:rsidRPr="00797E6E">
              <w:rPr>
                <w:sz w:val="18"/>
                <w:szCs w:val="18"/>
                <w:lang w:bidi="ar-SA"/>
              </w:rPr>
              <w:t>69.9</w:t>
            </w:r>
          </w:p>
        </w:tc>
      </w:tr>
      <w:tr w:rsidR="00DD5C9C" w:rsidRPr="007926E4" w14:paraId="25B5DA02" w14:textId="77777777" w:rsidTr="003B5D42">
        <w:trPr>
          <w:trHeight w:val="397"/>
        </w:trPr>
        <w:tc>
          <w:tcPr>
            <w:tcW w:w="3510" w:type="dxa"/>
            <w:vAlign w:val="center"/>
          </w:tcPr>
          <w:p w14:paraId="25B5D9FD" w14:textId="77777777" w:rsidR="00DD5C9C" w:rsidRPr="00797E6E" w:rsidRDefault="00DD5C9C" w:rsidP="003B5D42">
            <w:pPr>
              <w:rPr>
                <w:sz w:val="18"/>
                <w:szCs w:val="18"/>
              </w:rPr>
            </w:pPr>
            <w:r w:rsidRPr="00797E6E">
              <w:rPr>
                <w:sz w:val="18"/>
                <w:szCs w:val="18"/>
                <w:lang w:bidi="ar-SA"/>
              </w:rPr>
              <w:t>(4) High consumer, market share (35%)</w:t>
            </w:r>
          </w:p>
        </w:tc>
        <w:tc>
          <w:tcPr>
            <w:tcW w:w="1701" w:type="dxa"/>
            <w:vAlign w:val="center"/>
          </w:tcPr>
          <w:p w14:paraId="25B5D9FE" w14:textId="77777777" w:rsidR="00DD5C9C" w:rsidRPr="00797E6E" w:rsidRDefault="00DD5C9C" w:rsidP="003B5D42">
            <w:pPr>
              <w:jc w:val="center"/>
              <w:rPr>
                <w:sz w:val="18"/>
                <w:szCs w:val="18"/>
                <w:lang w:bidi="ar-SA"/>
              </w:rPr>
            </w:pPr>
            <w:r w:rsidRPr="00797E6E">
              <w:rPr>
                <w:sz w:val="18"/>
                <w:szCs w:val="18"/>
                <w:lang w:bidi="ar-SA"/>
              </w:rPr>
              <w:t>6.6</w:t>
            </w:r>
          </w:p>
        </w:tc>
        <w:tc>
          <w:tcPr>
            <w:tcW w:w="1560" w:type="dxa"/>
            <w:vAlign w:val="center"/>
          </w:tcPr>
          <w:p w14:paraId="25B5D9FF" w14:textId="77777777" w:rsidR="00DD5C9C" w:rsidRPr="00797E6E" w:rsidRDefault="00DD5C9C" w:rsidP="003B5D42">
            <w:pPr>
              <w:jc w:val="center"/>
              <w:rPr>
                <w:sz w:val="18"/>
                <w:szCs w:val="18"/>
                <w:lang w:bidi="ar-SA"/>
              </w:rPr>
            </w:pPr>
            <w:r w:rsidRPr="00797E6E">
              <w:rPr>
                <w:sz w:val="18"/>
                <w:szCs w:val="18"/>
                <w:lang w:bidi="ar-SA"/>
              </w:rPr>
              <w:t>7.9</w:t>
            </w:r>
          </w:p>
        </w:tc>
        <w:tc>
          <w:tcPr>
            <w:tcW w:w="1134" w:type="dxa"/>
            <w:vAlign w:val="center"/>
          </w:tcPr>
          <w:p w14:paraId="25B5DA00" w14:textId="77777777" w:rsidR="00DD5C9C" w:rsidRPr="00797E6E" w:rsidRDefault="00DD5C9C" w:rsidP="003B5D42">
            <w:pPr>
              <w:jc w:val="center"/>
              <w:rPr>
                <w:sz w:val="18"/>
                <w:szCs w:val="18"/>
                <w:lang w:bidi="ar-SA"/>
              </w:rPr>
            </w:pPr>
            <w:r w:rsidRPr="00797E6E">
              <w:rPr>
                <w:sz w:val="18"/>
                <w:szCs w:val="18"/>
                <w:lang w:bidi="ar-SA"/>
              </w:rPr>
              <w:t>65.7</w:t>
            </w:r>
          </w:p>
        </w:tc>
        <w:tc>
          <w:tcPr>
            <w:tcW w:w="1417" w:type="dxa"/>
            <w:vAlign w:val="center"/>
          </w:tcPr>
          <w:p w14:paraId="25B5DA01" w14:textId="77777777" w:rsidR="00DD5C9C" w:rsidRPr="00797E6E" w:rsidRDefault="00DD5C9C" w:rsidP="003B5D42">
            <w:pPr>
              <w:jc w:val="center"/>
              <w:rPr>
                <w:sz w:val="18"/>
                <w:szCs w:val="18"/>
                <w:lang w:bidi="ar-SA"/>
              </w:rPr>
            </w:pPr>
            <w:r w:rsidRPr="00797E6E">
              <w:rPr>
                <w:sz w:val="18"/>
                <w:szCs w:val="18"/>
                <w:lang w:bidi="ar-SA"/>
              </w:rPr>
              <w:t>73.6</w:t>
            </w:r>
          </w:p>
        </w:tc>
      </w:tr>
    </w:tbl>
    <w:p w14:paraId="25B5DA03" w14:textId="77777777" w:rsidR="00DD5C9C" w:rsidRPr="00C173FB" w:rsidRDefault="00DD5C9C" w:rsidP="003B5D42">
      <w:pPr>
        <w:ind w:left="142" w:right="-22" w:hanging="142"/>
        <w:rPr>
          <w:rFonts w:eastAsia="Calibri"/>
          <w:i/>
          <w:sz w:val="16"/>
          <w:szCs w:val="16"/>
          <w:lang w:bidi="ar-SA"/>
        </w:rPr>
      </w:pPr>
      <w:r w:rsidRPr="00073798">
        <w:rPr>
          <w:rFonts w:eastAsia="Calibri"/>
          <w:i/>
          <w:szCs w:val="22"/>
          <w:vertAlign w:val="superscript"/>
          <w:lang w:bidi="ar-SA"/>
        </w:rPr>
        <w:t>a</w:t>
      </w:r>
      <w:r>
        <w:rPr>
          <w:rFonts w:eastAsia="Calibri"/>
          <w:i/>
          <w:sz w:val="16"/>
          <w:szCs w:val="16"/>
          <w:lang w:bidi="ar-SA"/>
        </w:rPr>
        <w:t xml:space="preserve"> See Tables4 and 5 (Section 5</w:t>
      </w:r>
      <w:r w:rsidRPr="00C173FB">
        <w:rPr>
          <w:rFonts w:eastAsia="Calibri"/>
          <w:i/>
          <w:sz w:val="16"/>
          <w:szCs w:val="16"/>
          <w:lang w:bidi="ar-SA"/>
        </w:rPr>
        <w:t xml:space="preserve">). Values taken from the 17 years and over population group since this age range is most </w:t>
      </w:r>
      <w:r w:rsidR="00AF79AC">
        <w:rPr>
          <w:rFonts w:eastAsia="Calibri"/>
          <w:i/>
          <w:sz w:val="16"/>
          <w:szCs w:val="16"/>
          <w:lang w:bidi="ar-SA"/>
        </w:rPr>
        <w:t>comparable to AHS age group (18</w:t>
      </w:r>
      <w:r w:rsidRPr="00C173FB">
        <w:rPr>
          <w:rFonts w:eastAsia="Calibri"/>
          <w:i/>
          <w:sz w:val="16"/>
          <w:szCs w:val="16"/>
          <w:lang w:bidi="ar-SA"/>
        </w:rPr>
        <w:t xml:space="preserve"> years and over) for which serum 25OHD was</w:t>
      </w:r>
      <w:r>
        <w:rPr>
          <w:rFonts w:eastAsia="Calibri"/>
          <w:i/>
          <w:sz w:val="16"/>
          <w:szCs w:val="16"/>
          <w:lang w:bidi="ar-SA"/>
        </w:rPr>
        <w:t xml:space="preserve"> reported.</w:t>
      </w:r>
    </w:p>
    <w:p w14:paraId="25B5DA04" w14:textId="77777777" w:rsidR="00DD5C9C" w:rsidRDefault="00DD5C9C" w:rsidP="003B5D42">
      <w:pPr>
        <w:ind w:left="142" w:right="-22" w:hanging="142"/>
        <w:rPr>
          <w:rFonts w:eastAsia="Calibri"/>
          <w:i/>
          <w:sz w:val="16"/>
          <w:szCs w:val="16"/>
          <w:lang w:bidi="ar-SA"/>
        </w:rPr>
      </w:pPr>
      <w:r w:rsidRPr="00073798">
        <w:rPr>
          <w:rFonts w:eastAsia="Calibri"/>
          <w:i/>
          <w:szCs w:val="22"/>
          <w:vertAlign w:val="superscript"/>
          <w:lang w:bidi="ar-SA"/>
        </w:rPr>
        <w:t>b</w:t>
      </w:r>
      <w:r w:rsidRPr="00073798">
        <w:rPr>
          <w:rFonts w:eastAsia="Calibri"/>
          <w:i/>
          <w:szCs w:val="22"/>
          <w:lang w:bidi="ar-SA"/>
        </w:rPr>
        <w:t xml:space="preserve"> </w:t>
      </w:r>
      <w:r>
        <w:rPr>
          <w:rFonts w:eastAsia="Calibri"/>
          <w:i/>
          <w:sz w:val="16"/>
          <w:szCs w:val="16"/>
          <w:lang w:bidi="ar-SA"/>
        </w:rPr>
        <w:t>Source 2011–13</w:t>
      </w:r>
      <w:r w:rsidRPr="00C173FB">
        <w:rPr>
          <w:rFonts w:eastAsia="Calibri"/>
          <w:i/>
          <w:sz w:val="16"/>
          <w:szCs w:val="16"/>
          <w:lang w:bidi="ar-SA"/>
        </w:rPr>
        <w:t xml:space="preserve"> Australian Health Survey</w:t>
      </w:r>
      <w:r>
        <w:rPr>
          <w:rFonts w:eastAsia="Calibri"/>
          <w:i/>
          <w:sz w:val="16"/>
          <w:szCs w:val="16"/>
          <w:lang w:bidi="ar-SA"/>
        </w:rPr>
        <w:t xml:space="preserve"> </w:t>
      </w:r>
      <w:r>
        <w:rPr>
          <w:rFonts w:eastAsia="Calibri"/>
          <w:i/>
          <w:noProof/>
          <w:sz w:val="16"/>
          <w:szCs w:val="16"/>
          <w:lang w:bidi="ar-SA"/>
        </w:rPr>
        <w:t>(ABS 2014a)</w:t>
      </w:r>
      <w:r w:rsidRPr="00C173FB">
        <w:rPr>
          <w:rFonts w:eastAsia="Calibri"/>
          <w:i/>
          <w:sz w:val="16"/>
          <w:szCs w:val="16"/>
          <w:lang w:bidi="ar-SA"/>
        </w:rPr>
        <w:t>. Mean serum 25OHD concentration as reported for 18 years and over.</w:t>
      </w:r>
      <w:r>
        <w:rPr>
          <w:rFonts w:eastAsia="Calibri"/>
          <w:i/>
          <w:sz w:val="16"/>
          <w:szCs w:val="16"/>
          <w:lang w:bidi="ar-SA"/>
        </w:rPr>
        <w:t xml:space="preserve"> The standard deviation was calculated from the reported interquartile range (50.0, 80.0) to be 11.1 (with rounding). </w:t>
      </w:r>
    </w:p>
    <w:p w14:paraId="25B5DA05" w14:textId="77777777" w:rsidR="00DD5C9C" w:rsidRPr="00F45149" w:rsidRDefault="00DD5C9C" w:rsidP="003B5D42">
      <w:pPr>
        <w:rPr>
          <w:rFonts w:eastAsia="Calibri"/>
          <w:i/>
          <w:szCs w:val="16"/>
          <w:lang w:bidi="ar-SA"/>
        </w:rPr>
      </w:pPr>
    </w:p>
    <w:p w14:paraId="25B5DA06" w14:textId="77777777" w:rsidR="00DD5C9C" w:rsidRPr="000223BB" w:rsidRDefault="00DD5C9C" w:rsidP="00F45149">
      <w:pPr>
        <w:pStyle w:val="FSTableFigureHeading"/>
        <w:keepNext/>
        <w:rPr>
          <w:i w:val="0"/>
        </w:rPr>
      </w:pPr>
      <w:r w:rsidRPr="000223BB">
        <w:rPr>
          <w:i w:val="0"/>
        </w:rPr>
        <w:t>Table 10</w:t>
      </w:r>
      <w:r w:rsidRPr="000223BB">
        <w:rPr>
          <w:i w:val="0"/>
        </w:rPr>
        <w:tab/>
        <w:t xml:space="preserve">Predicted mean serum 25OHD concentrations in </w:t>
      </w:r>
      <w:r w:rsidRPr="000223BB">
        <w:rPr>
          <w:i w:val="0"/>
          <w:u w:val="single"/>
        </w:rPr>
        <w:t>New Zealand children</w:t>
      </w:r>
      <w:r w:rsidRPr="000223BB">
        <w:rPr>
          <w:i w:val="0"/>
        </w:rPr>
        <w:t xml:space="preserve"> (5 – 14 years) consuming vitamin D fortified breakfast cereal</w:t>
      </w:r>
    </w:p>
    <w:tbl>
      <w:tblPr>
        <w:tblStyle w:val="TableGrid4"/>
        <w:tblW w:w="9464" w:type="dxa"/>
        <w:tblLook w:val="04A0" w:firstRow="1" w:lastRow="0" w:firstColumn="1" w:lastColumn="0" w:noHBand="0" w:noVBand="1"/>
      </w:tblPr>
      <w:tblGrid>
        <w:gridCol w:w="3510"/>
        <w:gridCol w:w="1701"/>
        <w:gridCol w:w="1701"/>
        <w:gridCol w:w="1134"/>
        <w:gridCol w:w="1418"/>
      </w:tblGrid>
      <w:tr w:rsidR="00DD5C9C" w:rsidRPr="007926E4" w14:paraId="25B5DA09" w14:textId="77777777" w:rsidTr="003B5D42">
        <w:trPr>
          <w:trHeight w:val="397"/>
        </w:trPr>
        <w:tc>
          <w:tcPr>
            <w:tcW w:w="5211" w:type="dxa"/>
            <w:gridSpan w:val="2"/>
            <w:vAlign w:val="center"/>
          </w:tcPr>
          <w:p w14:paraId="25B5DA07" w14:textId="77777777" w:rsidR="00DD5C9C" w:rsidRPr="00797E6E" w:rsidRDefault="00DD5C9C" w:rsidP="00F45149">
            <w:pPr>
              <w:keepNext/>
              <w:jc w:val="center"/>
              <w:rPr>
                <w:b/>
                <w:sz w:val="18"/>
                <w:szCs w:val="18"/>
                <w:lang w:bidi="ar-SA"/>
              </w:rPr>
            </w:pPr>
            <w:r w:rsidRPr="00797E6E">
              <w:rPr>
                <w:b/>
                <w:sz w:val="18"/>
                <w:szCs w:val="18"/>
                <w:lang w:bidi="ar-SA"/>
              </w:rPr>
              <w:t>Dietary intake</w:t>
            </w:r>
          </w:p>
        </w:tc>
        <w:tc>
          <w:tcPr>
            <w:tcW w:w="4253" w:type="dxa"/>
            <w:gridSpan w:val="3"/>
            <w:vAlign w:val="center"/>
          </w:tcPr>
          <w:p w14:paraId="25B5DA08" w14:textId="77777777" w:rsidR="00DD5C9C" w:rsidRPr="00797E6E" w:rsidRDefault="00DD5C9C" w:rsidP="00F45149">
            <w:pPr>
              <w:keepNext/>
              <w:jc w:val="center"/>
              <w:rPr>
                <w:b/>
                <w:sz w:val="18"/>
                <w:szCs w:val="18"/>
                <w:lang w:bidi="ar-SA"/>
              </w:rPr>
            </w:pPr>
            <w:r w:rsidRPr="00797E6E">
              <w:rPr>
                <w:b/>
                <w:sz w:val="18"/>
                <w:szCs w:val="18"/>
                <w:lang w:bidi="ar-SA"/>
              </w:rPr>
              <w:t>Serum 25OHD concentration (nM)</w:t>
            </w:r>
          </w:p>
        </w:tc>
      </w:tr>
      <w:tr w:rsidR="00DD5C9C" w:rsidRPr="007926E4" w14:paraId="25B5DA0F" w14:textId="77777777" w:rsidTr="003B5D42">
        <w:trPr>
          <w:trHeight w:val="397"/>
        </w:trPr>
        <w:tc>
          <w:tcPr>
            <w:tcW w:w="3510" w:type="dxa"/>
            <w:vAlign w:val="center"/>
          </w:tcPr>
          <w:p w14:paraId="25B5DA0A" w14:textId="77777777" w:rsidR="00DD5C9C" w:rsidRPr="00797E6E" w:rsidRDefault="00DD5C9C" w:rsidP="00F45149">
            <w:pPr>
              <w:keepNext/>
              <w:rPr>
                <w:i/>
                <w:sz w:val="18"/>
                <w:szCs w:val="18"/>
                <w:lang w:bidi="ar-SA"/>
              </w:rPr>
            </w:pPr>
            <w:r w:rsidRPr="00797E6E">
              <w:rPr>
                <w:i/>
                <w:sz w:val="18"/>
                <w:szCs w:val="18"/>
                <w:lang w:bidi="ar-SA"/>
              </w:rPr>
              <w:t>Modelling scenario</w:t>
            </w:r>
          </w:p>
        </w:tc>
        <w:tc>
          <w:tcPr>
            <w:tcW w:w="1701" w:type="dxa"/>
          </w:tcPr>
          <w:p w14:paraId="25B5DA0B" w14:textId="77777777" w:rsidR="00DD5C9C" w:rsidRPr="00797E6E" w:rsidRDefault="00DD5C9C" w:rsidP="00F45149">
            <w:pPr>
              <w:keepNext/>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701" w:type="dxa"/>
          </w:tcPr>
          <w:p w14:paraId="25B5DA0C" w14:textId="77777777" w:rsidR="00DD5C9C" w:rsidRPr="00797E6E" w:rsidRDefault="00DD5C9C" w:rsidP="00F45149">
            <w:pPr>
              <w:keepNext/>
              <w:jc w:val="center"/>
              <w:rPr>
                <w:i/>
                <w:sz w:val="18"/>
                <w:szCs w:val="18"/>
                <w:lang w:bidi="ar-SA"/>
              </w:rPr>
            </w:pPr>
            <w:r w:rsidRPr="00797E6E">
              <w:rPr>
                <w:i/>
                <w:sz w:val="18"/>
                <w:szCs w:val="18"/>
                <w:lang w:bidi="ar-SA"/>
              </w:rPr>
              <w:t xml:space="preserve">Calculated increase in serum 25OHD </w:t>
            </w:r>
          </w:p>
        </w:tc>
        <w:tc>
          <w:tcPr>
            <w:tcW w:w="1134" w:type="dxa"/>
            <w:vAlign w:val="center"/>
          </w:tcPr>
          <w:p w14:paraId="25B5DA0D" w14:textId="77777777" w:rsidR="00DD5C9C" w:rsidRPr="00797E6E" w:rsidRDefault="00DD5C9C" w:rsidP="00F45149">
            <w:pPr>
              <w:keepNext/>
              <w:jc w:val="center"/>
              <w:rPr>
                <w:i/>
                <w:sz w:val="18"/>
                <w:szCs w:val="18"/>
                <w:lang w:bidi="ar-SA"/>
              </w:rPr>
            </w:pPr>
            <w:r>
              <w:rPr>
                <w:i/>
                <w:sz w:val="18"/>
                <w:szCs w:val="18"/>
                <w:lang w:bidi="ar-SA"/>
              </w:rPr>
              <w:t>Mean baseline</w:t>
            </w:r>
            <w:r w:rsidRPr="00797E6E">
              <w:rPr>
                <w:i/>
                <w:sz w:val="18"/>
                <w:szCs w:val="18"/>
                <w:lang w:bidi="ar-SA"/>
              </w:rPr>
              <w:t xml:space="preserve"> </w:t>
            </w:r>
            <w:r w:rsidRPr="00797E6E">
              <w:rPr>
                <w:i/>
                <w:sz w:val="18"/>
                <w:szCs w:val="18"/>
                <w:vertAlign w:val="superscript"/>
                <w:lang w:bidi="ar-SA"/>
              </w:rPr>
              <w:t>b</w:t>
            </w:r>
          </w:p>
        </w:tc>
        <w:tc>
          <w:tcPr>
            <w:tcW w:w="1418" w:type="dxa"/>
          </w:tcPr>
          <w:p w14:paraId="25B5DA0E" w14:textId="77777777" w:rsidR="00DD5C9C" w:rsidRPr="00797E6E" w:rsidRDefault="00DD5C9C" w:rsidP="00F45149">
            <w:pPr>
              <w:keepNext/>
              <w:jc w:val="center"/>
              <w:rPr>
                <w:i/>
                <w:sz w:val="18"/>
                <w:szCs w:val="18"/>
                <w:lang w:bidi="ar-SA"/>
              </w:rPr>
            </w:pPr>
            <w:r w:rsidRPr="00797E6E">
              <w:rPr>
                <w:i/>
                <w:sz w:val="18"/>
                <w:szCs w:val="18"/>
                <w:lang w:bidi="ar-SA"/>
              </w:rPr>
              <w:t>Predicted mean with fortified cereal</w:t>
            </w:r>
          </w:p>
        </w:tc>
      </w:tr>
      <w:tr w:rsidR="00DD5C9C" w:rsidRPr="007926E4" w14:paraId="25B5DA15" w14:textId="77777777" w:rsidTr="003B5D42">
        <w:trPr>
          <w:trHeight w:val="397"/>
        </w:trPr>
        <w:tc>
          <w:tcPr>
            <w:tcW w:w="3510" w:type="dxa"/>
            <w:vAlign w:val="center"/>
          </w:tcPr>
          <w:p w14:paraId="25B5DA10" w14:textId="77777777" w:rsidR="00DD5C9C" w:rsidRPr="00797E6E" w:rsidRDefault="00DD5C9C" w:rsidP="00F45149">
            <w:pPr>
              <w:keepNext/>
              <w:rPr>
                <w:sz w:val="18"/>
                <w:szCs w:val="18"/>
              </w:rPr>
            </w:pPr>
            <w:r w:rsidRPr="00797E6E">
              <w:rPr>
                <w:sz w:val="18"/>
                <w:szCs w:val="18"/>
                <w:lang w:bidi="ar-SA"/>
              </w:rPr>
              <w:t>(1) Mean consumer, brand loyal</w:t>
            </w:r>
          </w:p>
        </w:tc>
        <w:tc>
          <w:tcPr>
            <w:tcW w:w="1701" w:type="dxa"/>
            <w:vAlign w:val="center"/>
          </w:tcPr>
          <w:p w14:paraId="25B5DA11" w14:textId="77777777" w:rsidR="00DD5C9C" w:rsidRPr="00797E6E" w:rsidRDefault="00DD5C9C" w:rsidP="00F45149">
            <w:pPr>
              <w:keepNext/>
              <w:jc w:val="center"/>
              <w:rPr>
                <w:sz w:val="18"/>
                <w:szCs w:val="18"/>
                <w:lang w:bidi="ar-SA"/>
              </w:rPr>
            </w:pPr>
            <w:r w:rsidRPr="00797E6E">
              <w:rPr>
                <w:sz w:val="18"/>
                <w:szCs w:val="18"/>
                <w:lang w:bidi="ar-SA"/>
              </w:rPr>
              <w:t>6.6–10.0</w:t>
            </w:r>
          </w:p>
        </w:tc>
        <w:tc>
          <w:tcPr>
            <w:tcW w:w="1701" w:type="dxa"/>
            <w:vAlign w:val="center"/>
          </w:tcPr>
          <w:p w14:paraId="25B5DA12" w14:textId="77777777" w:rsidR="00DD5C9C" w:rsidRPr="00797E6E" w:rsidRDefault="00DD5C9C" w:rsidP="00F45149">
            <w:pPr>
              <w:keepNext/>
              <w:jc w:val="center"/>
              <w:rPr>
                <w:sz w:val="18"/>
                <w:szCs w:val="18"/>
                <w:lang w:bidi="ar-SA"/>
              </w:rPr>
            </w:pPr>
            <w:r w:rsidRPr="00797E6E">
              <w:rPr>
                <w:sz w:val="18"/>
                <w:szCs w:val="18"/>
                <w:lang w:bidi="ar-SA"/>
              </w:rPr>
              <w:t>7.9–12.0</w:t>
            </w:r>
          </w:p>
        </w:tc>
        <w:tc>
          <w:tcPr>
            <w:tcW w:w="1134" w:type="dxa"/>
            <w:vAlign w:val="center"/>
          </w:tcPr>
          <w:p w14:paraId="25B5DA13" w14:textId="77777777" w:rsidR="00DD5C9C" w:rsidRPr="00797E6E" w:rsidRDefault="00DD5C9C" w:rsidP="00F45149">
            <w:pPr>
              <w:keepNext/>
              <w:jc w:val="center"/>
              <w:rPr>
                <w:sz w:val="18"/>
                <w:szCs w:val="18"/>
                <w:lang w:bidi="ar-SA"/>
              </w:rPr>
            </w:pPr>
            <w:r w:rsidRPr="00797E6E">
              <w:rPr>
                <w:sz w:val="18"/>
                <w:szCs w:val="18"/>
                <w:lang w:bidi="ar-SA"/>
              </w:rPr>
              <w:t>50.0</w:t>
            </w:r>
          </w:p>
        </w:tc>
        <w:tc>
          <w:tcPr>
            <w:tcW w:w="1418" w:type="dxa"/>
            <w:vAlign w:val="center"/>
          </w:tcPr>
          <w:p w14:paraId="25B5DA14" w14:textId="77777777" w:rsidR="00DD5C9C" w:rsidRPr="00797E6E" w:rsidRDefault="00DD5C9C" w:rsidP="00F45149">
            <w:pPr>
              <w:keepNext/>
              <w:jc w:val="center"/>
              <w:rPr>
                <w:sz w:val="18"/>
                <w:szCs w:val="18"/>
                <w:lang w:bidi="ar-SA"/>
              </w:rPr>
            </w:pPr>
            <w:r w:rsidRPr="00797E6E">
              <w:rPr>
                <w:sz w:val="18"/>
                <w:szCs w:val="18"/>
                <w:lang w:bidi="ar-SA"/>
              </w:rPr>
              <w:t>57.9–62.0</w:t>
            </w:r>
          </w:p>
        </w:tc>
      </w:tr>
      <w:tr w:rsidR="00DD5C9C" w:rsidRPr="007926E4" w14:paraId="25B5DA1B" w14:textId="77777777" w:rsidTr="003B5D42">
        <w:trPr>
          <w:trHeight w:val="397"/>
        </w:trPr>
        <w:tc>
          <w:tcPr>
            <w:tcW w:w="3510" w:type="dxa"/>
            <w:vAlign w:val="center"/>
          </w:tcPr>
          <w:p w14:paraId="25B5DA16" w14:textId="77777777" w:rsidR="00DD5C9C" w:rsidRPr="00797E6E" w:rsidRDefault="00DD5C9C" w:rsidP="00F45149">
            <w:pPr>
              <w:keepNext/>
              <w:rPr>
                <w:sz w:val="18"/>
                <w:szCs w:val="18"/>
                <w:lang w:bidi="ar-SA"/>
              </w:rPr>
            </w:pPr>
            <w:r w:rsidRPr="00797E6E">
              <w:rPr>
                <w:sz w:val="18"/>
                <w:szCs w:val="18"/>
                <w:lang w:bidi="ar-SA"/>
              </w:rPr>
              <w:t>(2) High consumer, brand loyal</w:t>
            </w:r>
          </w:p>
        </w:tc>
        <w:tc>
          <w:tcPr>
            <w:tcW w:w="1701" w:type="dxa"/>
            <w:vAlign w:val="center"/>
          </w:tcPr>
          <w:p w14:paraId="25B5DA17" w14:textId="77777777" w:rsidR="00DD5C9C" w:rsidRPr="00797E6E" w:rsidRDefault="00DD5C9C" w:rsidP="00F45149">
            <w:pPr>
              <w:keepNext/>
              <w:jc w:val="center"/>
              <w:rPr>
                <w:sz w:val="18"/>
                <w:szCs w:val="18"/>
                <w:lang w:bidi="ar-SA"/>
              </w:rPr>
            </w:pPr>
            <w:r w:rsidRPr="00797E6E">
              <w:rPr>
                <w:sz w:val="18"/>
                <w:szCs w:val="18"/>
                <w:lang w:bidi="ar-SA"/>
              </w:rPr>
              <w:t xml:space="preserve">10.2–15.3 </w:t>
            </w:r>
          </w:p>
        </w:tc>
        <w:tc>
          <w:tcPr>
            <w:tcW w:w="1701" w:type="dxa"/>
            <w:vAlign w:val="center"/>
          </w:tcPr>
          <w:p w14:paraId="25B5DA18" w14:textId="77777777" w:rsidR="00DD5C9C" w:rsidRPr="00797E6E" w:rsidRDefault="00DD5C9C" w:rsidP="00F45149">
            <w:pPr>
              <w:keepNext/>
              <w:jc w:val="center"/>
              <w:rPr>
                <w:sz w:val="18"/>
                <w:szCs w:val="18"/>
                <w:lang w:bidi="ar-SA"/>
              </w:rPr>
            </w:pPr>
            <w:r w:rsidRPr="00797E6E">
              <w:rPr>
                <w:sz w:val="18"/>
                <w:szCs w:val="18"/>
                <w:lang w:bidi="ar-SA"/>
              </w:rPr>
              <w:t>12.2–18.4</w:t>
            </w:r>
          </w:p>
        </w:tc>
        <w:tc>
          <w:tcPr>
            <w:tcW w:w="1134" w:type="dxa"/>
            <w:vAlign w:val="center"/>
          </w:tcPr>
          <w:p w14:paraId="25B5DA19" w14:textId="77777777" w:rsidR="00DD5C9C" w:rsidRPr="00797E6E" w:rsidRDefault="00DD5C9C" w:rsidP="00F45149">
            <w:pPr>
              <w:keepNext/>
              <w:jc w:val="center"/>
              <w:rPr>
                <w:sz w:val="18"/>
                <w:szCs w:val="18"/>
                <w:lang w:bidi="ar-SA"/>
              </w:rPr>
            </w:pPr>
            <w:r w:rsidRPr="00797E6E">
              <w:rPr>
                <w:sz w:val="18"/>
                <w:szCs w:val="18"/>
                <w:lang w:bidi="ar-SA"/>
              </w:rPr>
              <w:t>50.0</w:t>
            </w:r>
          </w:p>
        </w:tc>
        <w:tc>
          <w:tcPr>
            <w:tcW w:w="1418" w:type="dxa"/>
            <w:vAlign w:val="center"/>
          </w:tcPr>
          <w:p w14:paraId="25B5DA1A" w14:textId="77777777" w:rsidR="00DD5C9C" w:rsidRPr="00797E6E" w:rsidRDefault="00DD5C9C" w:rsidP="00F45149">
            <w:pPr>
              <w:keepNext/>
              <w:jc w:val="center"/>
              <w:rPr>
                <w:sz w:val="18"/>
                <w:szCs w:val="18"/>
                <w:lang w:bidi="ar-SA"/>
              </w:rPr>
            </w:pPr>
            <w:r w:rsidRPr="00797E6E">
              <w:rPr>
                <w:sz w:val="18"/>
                <w:szCs w:val="18"/>
                <w:lang w:bidi="ar-SA"/>
              </w:rPr>
              <w:t>62.2–68.4</w:t>
            </w:r>
          </w:p>
        </w:tc>
      </w:tr>
      <w:tr w:rsidR="00DD5C9C" w:rsidRPr="007926E4" w14:paraId="25B5DA21" w14:textId="77777777" w:rsidTr="003B5D42">
        <w:trPr>
          <w:trHeight w:val="397"/>
        </w:trPr>
        <w:tc>
          <w:tcPr>
            <w:tcW w:w="3510" w:type="dxa"/>
            <w:vAlign w:val="center"/>
          </w:tcPr>
          <w:p w14:paraId="25B5DA1C" w14:textId="77777777" w:rsidR="00DD5C9C" w:rsidRPr="00797E6E" w:rsidRDefault="00DD5C9C" w:rsidP="00F45149">
            <w:pPr>
              <w:keepNext/>
              <w:rPr>
                <w:sz w:val="18"/>
                <w:szCs w:val="18"/>
              </w:rPr>
            </w:pPr>
            <w:r w:rsidRPr="00797E6E">
              <w:rPr>
                <w:sz w:val="18"/>
                <w:szCs w:val="18"/>
                <w:lang w:bidi="ar-SA"/>
              </w:rPr>
              <w:t>(3) Mean consumer, market share (35%)</w:t>
            </w:r>
          </w:p>
        </w:tc>
        <w:tc>
          <w:tcPr>
            <w:tcW w:w="1701" w:type="dxa"/>
            <w:vAlign w:val="center"/>
          </w:tcPr>
          <w:p w14:paraId="25B5DA1D" w14:textId="77777777" w:rsidR="00DD5C9C" w:rsidRPr="00797E6E" w:rsidRDefault="00DD5C9C" w:rsidP="00F45149">
            <w:pPr>
              <w:keepNext/>
              <w:jc w:val="center"/>
              <w:rPr>
                <w:sz w:val="18"/>
                <w:szCs w:val="18"/>
                <w:lang w:bidi="ar-SA"/>
              </w:rPr>
            </w:pPr>
            <w:r w:rsidRPr="00797E6E">
              <w:rPr>
                <w:sz w:val="18"/>
                <w:szCs w:val="18"/>
                <w:lang w:bidi="ar-SA"/>
              </w:rPr>
              <w:t>2.3–3.5</w:t>
            </w:r>
          </w:p>
        </w:tc>
        <w:tc>
          <w:tcPr>
            <w:tcW w:w="1701" w:type="dxa"/>
            <w:vAlign w:val="center"/>
          </w:tcPr>
          <w:p w14:paraId="25B5DA1E" w14:textId="77777777" w:rsidR="00DD5C9C" w:rsidRPr="00797E6E" w:rsidRDefault="00DD5C9C" w:rsidP="00F45149">
            <w:pPr>
              <w:keepNext/>
              <w:jc w:val="center"/>
              <w:rPr>
                <w:sz w:val="18"/>
                <w:szCs w:val="18"/>
                <w:lang w:bidi="ar-SA"/>
              </w:rPr>
            </w:pPr>
            <w:r w:rsidRPr="00797E6E">
              <w:rPr>
                <w:sz w:val="18"/>
                <w:szCs w:val="18"/>
                <w:lang w:bidi="ar-SA"/>
              </w:rPr>
              <w:t xml:space="preserve">2.8–4.2 </w:t>
            </w:r>
          </w:p>
        </w:tc>
        <w:tc>
          <w:tcPr>
            <w:tcW w:w="1134" w:type="dxa"/>
            <w:vAlign w:val="center"/>
          </w:tcPr>
          <w:p w14:paraId="25B5DA1F" w14:textId="77777777" w:rsidR="00DD5C9C" w:rsidRPr="00797E6E" w:rsidRDefault="00DD5C9C" w:rsidP="00F45149">
            <w:pPr>
              <w:keepNext/>
              <w:jc w:val="center"/>
              <w:rPr>
                <w:sz w:val="18"/>
                <w:szCs w:val="18"/>
                <w:lang w:bidi="ar-SA"/>
              </w:rPr>
            </w:pPr>
            <w:r w:rsidRPr="00797E6E">
              <w:rPr>
                <w:sz w:val="18"/>
                <w:szCs w:val="18"/>
                <w:lang w:bidi="ar-SA"/>
              </w:rPr>
              <w:t>50.0</w:t>
            </w:r>
          </w:p>
        </w:tc>
        <w:tc>
          <w:tcPr>
            <w:tcW w:w="1418" w:type="dxa"/>
            <w:vAlign w:val="center"/>
          </w:tcPr>
          <w:p w14:paraId="25B5DA20" w14:textId="77777777" w:rsidR="00DD5C9C" w:rsidRPr="00797E6E" w:rsidRDefault="00DD5C9C" w:rsidP="00F45149">
            <w:pPr>
              <w:keepNext/>
              <w:jc w:val="center"/>
              <w:rPr>
                <w:sz w:val="18"/>
                <w:szCs w:val="18"/>
                <w:lang w:bidi="ar-SA"/>
              </w:rPr>
            </w:pPr>
            <w:r w:rsidRPr="00797E6E">
              <w:rPr>
                <w:sz w:val="18"/>
                <w:szCs w:val="18"/>
                <w:lang w:bidi="ar-SA"/>
              </w:rPr>
              <w:t xml:space="preserve">52.8–54.2 </w:t>
            </w:r>
          </w:p>
        </w:tc>
      </w:tr>
      <w:tr w:rsidR="00DD5C9C" w:rsidRPr="007926E4" w14:paraId="25B5DA27" w14:textId="77777777" w:rsidTr="003B5D42">
        <w:trPr>
          <w:trHeight w:val="397"/>
        </w:trPr>
        <w:tc>
          <w:tcPr>
            <w:tcW w:w="3510" w:type="dxa"/>
            <w:vAlign w:val="center"/>
          </w:tcPr>
          <w:p w14:paraId="25B5DA22" w14:textId="77777777" w:rsidR="00DD5C9C" w:rsidRPr="00797E6E" w:rsidRDefault="00DD5C9C" w:rsidP="00F45149">
            <w:pPr>
              <w:keepNext/>
              <w:rPr>
                <w:sz w:val="18"/>
                <w:szCs w:val="18"/>
              </w:rPr>
            </w:pPr>
            <w:r w:rsidRPr="00797E6E">
              <w:rPr>
                <w:sz w:val="18"/>
                <w:szCs w:val="18"/>
                <w:lang w:bidi="ar-SA"/>
              </w:rPr>
              <w:t>(4) High consumer, market share (35%)</w:t>
            </w:r>
          </w:p>
        </w:tc>
        <w:tc>
          <w:tcPr>
            <w:tcW w:w="1701" w:type="dxa"/>
            <w:vAlign w:val="center"/>
          </w:tcPr>
          <w:p w14:paraId="25B5DA23" w14:textId="77777777" w:rsidR="00DD5C9C" w:rsidRPr="00797E6E" w:rsidRDefault="00DD5C9C" w:rsidP="00F45149">
            <w:pPr>
              <w:keepNext/>
              <w:jc w:val="center"/>
              <w:rPr>
                <w:sz w:val="18"/>
                <w:szCs w:val="18"/>
                <w:lang w:bidi="ar-SA"/>
              </w:rPr>
            </w:pPr>
            <w:r w:rsidRPr="00797E6E">
              <w:rPr>
                <w:sz w:val="18"/>
                <w:szCs w:val="18"/>
                <w:lang w:bidi="ar-SA"/>
              </w:rPr>
              <w:t xml:space="preserve">3.6–5.4 </w:t>
            </w:r>
          </w:p>
        </w:tc>
        <w:tc>
          <w:tcPr>
            <w:tcW w:w="1701" w:type="dxa"/>
            <w:vAlign w:val="center"/>
          </w:tcPr>
          <w:p w14:paraId="25B5DA24" w14:textId="77777777" w:rsidR="00DD5C9C" w:rsidRPr="00797E6E" w:rsidRDefault="00DD5C9C" w:rsidP="00F45149">
            <w:pPr>
              <w:keepNext/>
              <w:jc w:val="center"/>
              <w:rPr>
                <w:sz w:val="18"/>
                <w:szCs w:val="18"/>
                <w:lang w:bidi="ar-SA"/>
              </w:rPr>
            </w:pPr>
            <w:r w:rsidRPr="00797E6E">
              <w:rPr>
                <w:sz w:val="18"/>
                <w:szCs w:val="18"/>
                <w:lang w:bidi="ar-SA"/>
              </w:rPr>
              <w:t>4.3–6.5</w:t>
            </w:r>
          </w:p>
        </w:tc>
        <w:tc>
          <w:tcPr>
            <w:tcW w:w="1134" w:type="dxa"/>
            <w:vAlign w:val="center"/>
          </w:tcPr>
          <w:p w14:paraId="25B5DA25" w14:textId="77777777" w:rsidR="00DD5C9C" w:rsidRPr="00797E6E" w:rsidRDefault="00DD5C9C" w:rsidP="00F45149">
            <w:pPr>
              <w:keepNext/>
              <w:jc w:val="center"/>
              <w:rPr>
                <w:sz w:val="18"/>
                <w:szCs w:val="18"/>
                <w:lang w:bidi="ar-SA"/>
              </w:rPr>
            </w:pPr>
            <w:r w:rsidRPr="00797E6E">
              <w:rPr>
                <w:sz w:val="18"/>
                <w:szCs w:val="18"/>
                <w:lang w:bidi="ar-SA"/>
              </w:rPr>
              <w:t>50.0</w:t>
            </w:r>
          </w:p>
        </w:tc>
        <w:tc>
          <w:tcPr>
            <w:tcW w:w="1418" w:type="dxa"/>
            <w:vAlign w:val="center"/>
          </w:tcPr>
          <w:p w14:paraId="25B5DA26" w14:textId="77777777" w:rsidR="00DD5C9C" w:rsidRPr="00797E6E" w:rsidRDefault="00DD5C9C" w:rsidP="00F45149">
            <w:pPr>
              <w:keepNext/>
              <w:jc w:val="center"/>
              <w:rPr>
                <w:sz w:val="18"/>
                <w:szCs w:val="18"/>
                <w:lang w:bidi="ar-SA"/>
              </w:rPr>
            </w:pPr>
            <w:r w:rsidRPr="00797E6E">
              <w:rPr>
                <w:sz w:val="18"/>
                <w:szCs w:val="18"/>
                <w:lang w:bidi="ar-SA"/>
              </w:rPr>
              <w:t>54.3–56.5</w:t>
            </w:r>
          </w:p>
        </w:tc>
      </w:tr>
    </w:tbl>
    <w:p w14:paraId="25B5DA28" w14:textId="77777777" w:rsidR="00DD5C9C" w:rsidRPr="00C173FB" w:rsidRDefault="00DD5C9C" w:rsidP="00F45149">
      <w:pPr>
        <w:keepNext/>
        <w:ind w:left="142" w:right="-164" w:hanging="142"/>
        <w:rPr>
          <w:rFonts w:eastAsia="Calibri"/>
          <w:i/>
          <w:sz w:val="16"/>
          <w:szCs w:val="16"/>
          <w:lang w:bidi="ar-SA"/>
        </w:rPr>
      </w:pPr>
      <w:r w:rsidRPr="00073798">
        <w:rPr>
          <w:rFonts w:eastAsia="Calibri"/>
          <w:i/>
          <w:szCs w:val="22"/>
          <w:vertAlign w:val="superscript"/>
          <w:lang w:bidi="ar-SA"/>
        </w:rPr>
        <w:t>a</w:t>
      </w:r>
      <w:r>
        <w:rPr>
          <w:rFonts w:eastAsia="Calibri"/>
          <w:i/>
          <w:sz w:val="16"/>
          <w:szCs w:val="16"/>
          <w:lang w:bidi="ar-SA"/>
        </w:rPr>
        <w:t xml:space="preserve"> See Tables 4 and 5 (Section 5</w:t>
      </w:r>
      <w:r w:rsidRPr="00C173FB">
        <w:rPr>
          <w:rFonts w:eastAsia="Calibri"/>
          <w:i/>
          <w:sz w:val="16"/>
          <w:szCs w:val="16"/>
          <w:lang w:bidi="ar-SA"/>
        </w:rPr>
        <w:t xml:space="preserve">). Values are the intake range </w:t>
      </w:r>
      <w:r>
        <w:rPr>
          <w:rFonts w:eastAsia="Calibri"/>
          <w:i/>
          <w:sz w:val="16"/>
          <w:szCs w:val="16"/>
          <w:lang w:bidi="ar-SA"/>
        </w:rPr>
        <w:t xml:space="preserve">combined </w:t>
      </w:r>
      <w:r w:rsidRPr="00C173FB">
        <w:rPr>
          <w:rFonts w:eastAsia="Calibri"/>
          <w:i/>
          <w:sz w:val="16"/>
          <w:szCs w:val="16"/>
          <w:lang w:bidi="ar-SA"/>
        </w:rPr>
        <w:t xml:space="preserve">for age groups 5–8 years, 9–13 years, and 14 years to compare to averaged serum 25OHD concentration for three age ranges (5–6 years, 7–10 years, 11– 4 years) reported from the New Zealand Children’s Nutrition Survey (Rockell </w:t>
      </w:r>
      <w:r>
        <w:rPr>
          <w:rFonts w:eastAsia="Calibri"/>
          <w:i/>
          <w:sz w:val="16"/>
          <w:szCs w:val="16"/>
          <w:lang w:bidi="ar-SA"/>
        </w:rPr>
        <w:t xml:space="preserve">et al. </w:t>
      </w:r>
      <w:r w:rsidRPr="00C173FB">
        <w:rPr>
          <w:rFonts w:eastAsia="Calibri"/>
          <w:i/>
          <w:sz w:val="16"/>
          <w:szCs w:val="16"/>
          <w:lang w:bidi="ar-SA"/>
        </w:rPr>
        <w:t>2005).</w:t>
      </w:r>
    </w:p>
    <w:p w14:paraId="25B5DA29" w14:textId="77777777" w:rsidR="00DD5C9C" w:rsidRDefault="00DD5C9C" w:rsidP="00F45149">
      <w:pPr>
        <w:keepNext/>
        <w:ind w:left="142" w:right="-164" w:hanging="142"/>
        <w:rPr>
          <w:rFonts w:eastAsia="Calibri"/>
          <w:i/>
          <w:sz w:val="16"/>
          <w:szCs w:val="16"/>
          <w:lang w:bidi="ar-SA"/>
        </w:rPr>
      </w:pPr>
      <w:r w:rsidRPr="00073798">
        <w:rPr>
          <w:rFonts w:eastAsia="Calibri"/>
          <w:i/>
          <w:szCs w:val="22"/>
          <w:vertAlign w:val="superscript"/>
          <w:lang w:bidi="ar-SA"/>
        </w:rPr>
        <w:t>b</w:t>
      </w:r>
      <w:r w:rsidRPr="00C173FB">
        <w:rPr>
          <w:rFonts w:eastAsia="Calibri"/>
          <w:i/>
          <w:sz w:val="16"/>
          <w:szCs w:val="16"/>
          <w:lang w:bidi="ar-SA"/>
        </w:rPr>
        <w:t xml:space="preserve"> Source: New Zealand Children’s Nutrition Survey</w:t>
      </w:r>
      <w:r>
        <w:rPr>
          <w:rFonts w:eastAsia="Calibri"/>
          <w:i/>
          <w:sz w:val="16"/>
          <w:szCs w:val="16"/>
          <w:lang w:bidi="ar-SA"/>
        </w:rPr>
        <w:t xml:space="preserve"> </w:t>
      </w:r>
      <w:r>
        <w:rPr>
          <w:rFonts w:eastAsia="Calibri"/>
          <w:i/>
          <w:noProof/>
          <w:sz w:val="16"/>
          <w:szCs w:val="16"/>
          <w:lang w:bidi="ar-SA"/>
        </w:rPr>
        <w:t>(Rockell et al. 2005)</w:t>
      </w:r>
      <w:r w:rsidRPr="00C173FB">
        <w:rPr>
          <w:rFonts w:eastAsia="Calibri"/>
          <w:i/>
          <w:sz w:val="16"/>
          <w:szCs w:val="16"/>
          <w:lang w:bidi="ar-SA"/>
        </w:rPr>
        <w:t>. Serum 25OHD concentratio</w:t>
      </w:r>
      <w:r w:rsidR="00AF79AC">
        <w:rPr>
          <w:rFonts w:eastAsia="Calibri"/>
          <w:i/>
          <w:sz w:val="16"/>
          <w:szCs w:val="16"/>
          <w:lang w:bidi="ar-SA"/>
        </w:rPr>
        <w:t>n averaged from reported values</w:t>
      </w:r>
      <w:r w:rsidRPr="00C173FB">
        <w:rPr>
          <w:rFonts w:eastAsia="Calibri"/>
          <w:i/>
          <w:sz w:val="16"/>
          <w:szCs w:val="16"/>
          <w:lang w:bidi="ar-SA"/>
        </w:rPr>
        <w:t xml:space="preserve"> for 5</w:t>
      </w:r>
      <w:r>
        <w:rPr>
          <w:rFonts w:eastAsia="Calibri"/>
          <w:i/>
          <w:sz w:val="16"/>
          <w:szCs w:val="16"/>
          <w:lang w:bidi="ar-SA"/>
        </w:rPr>
        <w:t>–1</w:t>
      </w:r>
      <w:r w:rsidRPr="00C173FB">
        <w:rPr>
          <w:rFonts w:eastAsia="Calibri"/>
          <w:i/>
          <w:sz w:val="16"/>
          <w:szCs w:val="16"/>
          <w:lang w:bidi="ar-SA"/>
        </w:rPr>
        <w:t xml:space="preserve">4 years (values similar across all three age ranges). </w:t>
      </w:r>
      <w:r>
        <w:rPr>
          <w:rFonts w:eastAsia="Calibri"/>
          <w:i/>
          <w:sz w:val="16"/>
          <w:szCs w:val="16"/>
          <w:lang w:bidi="ar-SA"/>
        </w:rPr>
        <w:t>The standard deviation was calculated from reported 99% confidence interval (54,45) to be 1.7 (with rounding).</w:t>
      </w:r>
    </w:p>
    <w:p w14:paraId="25B5DA2B" w14:textId="77777777" w:rsidR="00DD5C9C" w:rsidRPr="000223BB" w:rsidRDefault="00DD5C9C" w:rsidP="003B5D42">
      <w:pPr>
        <w:pStyle w:val="FSTableFigureHeading"/>
        <w:rPr>
          <w:i w:val="0"/>
        </w:rPr>
      </w:pPr>
      <w:r w:rsidRPr="000223BB">
        <w:rPr>
          <w:i w:val="0"/>
        </w:rPr>
        <w:t>Table 11</w:t>
      </w:r>
      <w:r w:rsidRPr="000223BB">
        <w:rPr>
          <w:i w:val="0"/>
        </w:rPr>
        <w:tab/>
        <w:t xml:space="preserve">Predicted mean serum 25OHD concentrations in </w:t>
      </w:r>
      <w:r w:rsidRPr="000223BB">
        <w:rPr>
          <w:i w:val="0"/>
          <w:u w:val="single"/>
        </w:rPr>
        <w:t>New Zealand adults</w:t>
      </w:r>
      <w:r w:rsidRPr="000223BB">
        <w:rPr>
          <w:i w:val="0"/>
        </w:rPr>
        <w:t xml:space="preserve"> (15 years and above) consuming vitamin D fortified breakfast cereal</w:t>
      </w:r>
    </w:p>
    <w:tbl>
      <w:tblPr>
        <w:tblStyle w:val="TableGrid4"/>
        <w:tblW w:w="9322" w:type="dxa"/>
        <w:tblLook w:val="04A0" w:firstRow="1" w:lastRow="0" w:firstColumn="1" w:lastColumn="0" w:noHBand="0" w:noVBand="1"/>
      </w:tblPr>
      <w:tblGrid>
        <w:gridCol w:w="3510"/>
        <w:gridCol w:w="1701"/>
        <w:gridCol w:w="1418"/>
        <w:gridCol w:w="1276"/>
        <w:gridCol w:w="1417"/>
      </w:tblGrid>
      <w:tr w:rsidR="00DD5C9C" w:rsidRPr="002F1547" w14:paraId="25B5DA2E" w14:textId="77777777" w:rsidTr="003B5D42">
        <w:trPr>
          <w:trHeight w:val="397"/>
        </w:trPr>
        <w:tc>
          <w:tcPr>
            <w:tcW w:w="5211" w:type="dxa"/>
            <w:gridSpan w:val="2"/>
            <w:vAlign w:val="center"/>
          </w:tcPr>
          <w:p w14:paraId="25B5DA2C" w14:textId="77777777" w:rsidR="00DD5C9C" w:rsidRPr="00797E6E" w:rsidRDefault="00DD5C9C" w:rsidP="003B5D42">
            <w:pPr>
              <w:jc w:val="center"/>
              <w:rPr>
                <w:b/>
                <w:sz w:val="18"/>
                <w:szCs w:val="18"/>
                <w:lang w:bidi="ar-SA"/>
              </w:rPr>
            </w:pPr>
            <w:r w:rsidRPr="00797E6E">
              <w:rPr>
                <w:b/>
                <w:sz w:val="18"/>
                <w:szCs w:val="18"/>
                <w:lang w:bidi="ar-SA"/>
              </w:rPr>
              <w:t>Dietary intake</w:t>
            </w:r>
          </w:p>
        </w:tc>
        <w:tc>
          <w:tcPr>
            <w:tcW w:w="4111" w:type="dxa"/>
            <w:gridSpan w:val="3"/>
            <w:vAlign w:val="center"/>
          </w:tcPr>
          <w:p w14:paraId="25B5DA2D" w14:textId="77777777" w:rsidR="00DD5C9C" w:rsidRPr="00797E6E" w:rsidRDefault="00DD5C9C" w:rsidP="003B5D42">
            <w:pPr>
              <w:jc w:val="center"/>
              <w:rPr>
                <w:b/>
                <w:sz w:val="18"/>
                <w:szCs w:val="18"/>
                <w:lang w:bidi="ar-SA"/>
              </w:rPr>
            </w:pPr>
            <w:r w:rsidRPr="00797E6E">
              <w:rPr>
                <w:b/>
                <w:sz w:val="18"/>
                <w:szCs w:val="18"/>
                <w:lang w:bidi="ar-SA"/>
              </w:rPr>
              <w:t>Serum 25OHD concentration (nM)</w:t>
            </w:r>
          </w:p>
        </w:tc>
      </w:tr>
      <w:tr w:rsidR="00DD5C9C" w:rsidRPr="002F1547" w14:paraId="25B5DA34" w14:textId="77777777" w:rsidTr="003B5D42">
        <w:trPr>
          <w:trHeight w:val="397"/>
        </w:trPr>
        <w:tc>
          <w:tcPr>
            <w:tcW w:w="3510" w:type="dxa"/>
            <w:vAlign w:val="center"/>
          </w:tcPr>
          <w:p w14:paraId="25B5DA2F" w14:textId="77777777" w:rsidR="00DD5C9C" w:rsidRPr="00797E6E" w:rsidRDefault="00DD5C9C" w:rsidP="003B5D42">
            <w:pPr>
              <w:rPr>
                <w:i/>
                <w:sz w:val="18"/>
                <w:szCs w:val="18"/>
                <w:lang w:bidi="ar-SA"/>
              </w:rPr>
            </w:pPr>
            <w:r w:rsidRPr="00797E6E">
              <w:rPr>
                <w:i/>
                <w:sz w:val="18"/>
                <w:szCs w:val="18"/>
                <w:lang w:bidi="ar-SA"/>
              </w:rPr>
              <w:t>Modelling scenario</w:t>
            </w:r>
          </w:p>
        </w:tc>
        <w:tc>
          <w:tcPr>
            <w:tcW w:w="1701" w:type="dxa"/>
          </w:tcPr>
          <w:p w14:paraId="25B5DA30" w14:textId="77777777" w:rsidR="00DD5C9C" w:rsidRPr="00797E6E" w:rsidRDefault="00DD5C9C" w:rsidP="003B5D42">
            <w:pPr>
              <w:jc w:val="center"/>
              <w:rPr>
                <w:i/>
                <w:sz w:val="18"/>
                <w:szCs w:val="18"/>
                <w:lang w:bidi="ar-SA"/>
              </w:rPr>
            </w:pPr>
            <w:r w:rsidRPr="00797E6E">
              <w:rPr>
                <w:i/>
                <w:sz w:val="18"/>
                <w:szCs w:val="18"/>
                <w:lang w:bidi="ar-SA"/>
              </w:rPr>
              <w:t xml:space="preserve">Vitamin D intake from cereal (µg/day) </w:t>
            </w:r>
            <w:r w:rsidRPr="00797E6E">
              <w:rPr>
                <w:i/>
                <w:sz w:val="18"/>
                <w:szCs w:val="18"/>
                <w:vertAlign w:val="superscript"/>
                <w:lang w:bidi="ar-SA"/>
              </w:rPr>
              <w:t>a</w:t>
            </w:r>
          </w:p>
        </w:tc>
        <w:tc>
          <w:tcPr>
            <w:tcW w:w="1418" w:type="dxa"/>
          </w:tcPr>
          <w:p w14:paraId="25B5DA31" w14:textId="77777777" w:rsidR="00DD5C9C" w:rsidRPr="00797E6E" w:rsidRDefault="00DD5C9C" w:rsidP="003B5D42">
            <w:pPr>
              <w:jc w:val="center"/>
              <w:rPr>
                <w:i/>
                <w:sz w:val="18"/>
                <w:szCs w:val="18"/>
                <w:lang w:bidi="ar-SA"/>
              </w:rPr>
            </w:pPr>
            <w:r w:rsidRPr="00797E6E">
              <w:rPr>
                <w:i/>
                <w:sz w:val="18"/>
                <w:szCs w:val="18"/>
                <w:lang w:bidi="ar-SA"/>
              </w:rPr>
              <w:t xml:space="preserve">Calculated increase in serum 25OHD </w:t>
            </w:r>
          </w:p>
        </w:tc>
        <w:tc>
          <w:tcPr>
            <w:tcW w:w="1276" w:type="dxa"/>
            <w:vAlign w:val="center"/>
          </w:tcPr>
          <w:p w14:paraId="25B5DA32" w14:textId="77777777" w:rsidR="00DD5C9C" w:rsidRPr="00797E6E" w:rsidRDefault="00DD5C9C" w:rsidP="003B5D42">
            <w:pPr>
              <w:jc w:val="center"/>
              <w:rPr>
                <w:i/>
                <w:sz w:val="18"/>
                <w:szCs w:val="18"/>
                <w:lang w:bidi="ar-SA"/>
              </w:rPr>
            </w:pPr>
            <w:r>
              <w:rPr>
                <w:i/>
                <w:sz w:val="18"/>
                <w:szCs w:val="18"/>
                <w:lang w:bidi="ar-SA"/>
              </w:rPr>
              <w:t>Mean baseline</w:t>
            </w:r>
            <w:r w:rsidRPr="00797E6E">
              <w:rPr>
                <w:i/>
                <w:sz w:val="18"/>
                <w:szCs w:val="18"/>
                <w:lang w:bidi="ar-SA"/>
              </w:rPr>
              <w:t xml:space="preserve"> </w:t>
            </w:r>
            <w:r w:rsidRPr="00797E6E">
              <w:rPr>
                <w:i/>
                <w:sz w:val="18"/>
                <w:szCs w:val="18"/>
                <w:vertAlign w:val="superscript"/>
                <w:lang w:bidi="ar-SA"/>
              </w:rPr>
              <w:t>b</w:t>
            </w:r>
          </w:p>
        </w:tc>
        <w:tc>
          <w:tcPr>
            <w:tcW w:w="1417" w:type="dxa"/>
          </w:tcPr>
          <w:p w14:paraId="25B5DA33" w14:textId="77777777" w:rsidR="00DD5C9C" w:rsidRPr="00797E6E" w:rsidRDefault="00DD5C9C" w:rsidP="003B5D42">
            <w:pPr>
              <w:jc w:val="center"/>
              <w:rPr>
                <w:i/>
                <w:sz w:val="18"/>
                <w:szCs w:val="18"/>
                <w:lang w:bidi="ar-SA"/>
              </w:rPr>
            </w:pPr>
            <w:r w:rsidRPr="00797E6E">
              <w:rPr>
                <w:i/>
                <w:sz w:val="18"/>
                <w:szCs w:val="18"/>
                <w:lang w:bidi="ar-SA"/>
              </w:rPr>
              <w:t>Predicted mean with fortified cereal</w:t>
            </w:r>
          </w:p>
        </w:tc>
      </w:tr>
      <w:tr w:rsidR="00DD5C9C" w:rsidRPr="002F1547" w14:paraId="25B5DA3A" w14:textId="77777777" w:rsidTr="003B5D42">
        <w:trPr>
          <w:trHeight w:val="397"/>
        </w:trPr>
        <w:tc>
          <w:tcPr>
            <w:tcW w:w="3510" w:type="dxa"/>
            <w:vAlign w:val="center"/>
          </w:tcPr>
          <w:p w14:paraId="25B5DA35" w14:textId="77777777" w:rsidR="00DD5C9C" w:rsidRPr="00797E6E" w:rsidRDefault="00DD5C9C" w:rsidP="003B5D42">
            <w:pPr>
              <w:rPr>
                <w:sz w:val="18"/>
                <w:szCs w:val="18"/>
              </w:rPr>
            </w:pPr>
            <w:r w:rsidRPr="00797E6E">
              <w:rPr>
                <w:sz w:val="18"/>
                <w:szCs w:val="18"/>
                <w:lang w:bidi="ar-SA"/>
              </w:rPr>
              <w:t>(1) Mean consumer, brand loyal</w:t>
            </w:r>
          </w:p>
        </w:tc>
        <w:tc>
          <w:tcPr>
            <w:tcW w:w="1701" w:type="dxa"/>
            <w:vAlign w:val="center"/>
          </w:tcPr>
          <w:p w14:paraId="25B5DA36" w14:textId="77777777" w:rsidR="00DD5C9C" w:rsidRPr="00797E6E" w:rsidRDefault="00DD5C9C" w:rsidP="003B5D42">
            <w:pPr>
              <w:jc w:val="center"/>
              <w:rPr>
                <w:sz w:val="18"/>
                <w:szCs w:val="18"/>
              </w:rPr>
            </w:pPr>
            <w:r w:rsidRPr="00797E6E">
              <w:rPr>
                <w:sz w:val="18"/>
                <w:szCs w:val="18"/>
              </w:rPr>
              <w:t>9.7</w:t>
            </w:r>
          </w:p>
        </w:tc>
        <w:tc>
          <w:tcPr>
            <w:tcW w:w="1418" w:type="dxa"/>
            <w:vAlign w:val="center"/>
          </w:tcPr>
          <w:p w14:paraId="25B5DA37" w14:textId="77777777" w:rsidR="00DD5C9C" w:rsidRPr="00797E6E" w:rsidRDefault="00DD5C9C" w:rsidP="003B5D42">
            <w:pPr>
              <w:jc w:val="center"/>
              <w:rPr>
                <w:sz w:val="18"/>
                <w:szCs w:val="18"/>
              </w:rPr>
            </w:pPr>
            <w:r w:rsidRPr="00797E6E">
              <w:rPr>
                <w:sz w:val="18"/>
                <w:szCs w:val="18"/>
              </w:rPr>
              <w:t>11.6</w:t>
            </w:r>
          </w:p>
        </w:tc>
        <w:tc>
          <w:tcPr>
            <w:tcW w:w="1276" w:type="dxa"/>
            <w:vAlign w:val="center"/>
          </w:tcPr>
          <w:p w14:paraId="25B5DA38" w14:textId="77777777" w:rsidR="00DD5C9C" w:rsidRPr="00797E6E" w:rsidRDefault="00DD5C9C" w:rsidP="003B5D42">
            <w:pPr>
              <w:jc w:val="center"/>
              <w:rPr>
                <w:sz w:val="18"/>
                <w:szCs w:val="18"/>
              </w:rPr>
            </w:pPr>
            <w:r w:rsidRPr="00797E6E">
              <w:rPr>
                <w:sz w:val="18"/>
                <w:szCs w:val="18"/>
              </w:rPr>
              <w:t>63.0</w:t>
            </w:r>
          </w:p>
        </w:tc>
        <w:tc>
          <w:tcPr>
            <w:tcW w:w="1417" w:type="dxa"/>
            <w:vAlign w:val="center"/>
          </w:tcPr>
          <w:p w14:paraId="25B5DA39" w14:textId="77777777" w:rsidR="00DD5C9C" w:rsidRPr="00797E6E" w:rsidRDefault="00DD5C9C" w:rsidP="003B5D42">
            <w:pPr>
              <w:jc w:val="center"/>
              <w:rPr>
                <w:sz w:val="18"/>
                <w:szCs w:val="18"/>
              </w:rPr>
            </w:pPr>
            <w:r w:rsidRPr="00797E6E">
              <w:rPr>
                <w:sz w:val="18"/>
                <w:szCs w:val="18"/>
              </w:rPr>
              <w:t>74.6</w:t>
            </w:r>
          </w:p>
        </w:tc>
      </w:tr>
      <w:tr w:rsidR="00DD5C9C" w:rsidRPr="002F1547" w14:paraId="25B5DA40" w14:textId="77777777" w:rsidTr="003B5D42">
        <w:trPr>
          <w:trHeight w:val="397"/>
        </w:trPr>
        <w:tc>
          <w:tcPr>
            <w:tcW w:w="3510" w:type="dxa"/>
            <w:vAlign w:val="center"/>
          </w:tcPr>
          <w:p w14:paraId="25B5DA3B" w14:textId="77777777" w:rsidR="00DD5C9C" w:rsidRPr="00797E6E" w:rsidRDefault="00DD5C9C" w:rsidP="003B5D42">
            <w:pPr>
              <w:rPr>
                <w:sz w:val="18"/>
                <w:szCs w:val="18"/>
                <w:lang w:bidi="ar-SA"/>
              </w:rPr>
            </w:pPr>
            <w:r w:rsidRPr="00797E6E">
              <w:rPr>
                <w:sz w:val="18"/>
                <w:szCs w:val="18"/>
                <w:lang w:bidi="ar-SA"/>
              </w:rPr>
              <w:t>(2) High consumer, brand loyal</w:t>
            </w:r>
          </w:p>
        </w:tc>
        <w:tc>
          <w:tcPr>
            <w:tcW w:w="1701" w:type="dxa"/>
            <w:vAlign w:val="center"/>
          </w:tcPr>
          <w:p w14:paraId="25B5DA3C" w14:textId="77777777" w:rsidR="00DD5C9C" w:rsidRPr="00797E6E" w:rsidRDefault="00DD5C9C" w:rsidP="003B5D42">
            <w:pPr>
              <w:jc w:val="center"/>
              <w:rPr>
                <w:sz w:val="18"/>
                <w:szCs w:val="18"/>
              </w:rPr>
            </w:pPr>
            <w:r w:rsidRPr="00797E6E">
              <w:rPr>
                <w:sz w:val="18"/>
                <w:szCs w:val="18"/>
              </w:rPr>
              <w:t>18.4</w:t>
            </w:r>
          </w:p>
        </w:tc>
        <w:tc>
          <w:tcPr>
            <w:tcW w:w="1418" w:type="dxa"/>
            <w:vAlign w:val="center"/>
          </w:tcPr>
          <w:p w14:paraId="25B5DA3D" w14:textId="77777777" w:rsidR="00DD5C9C" w:rsidRPr="00797E6E" w:rsidRDefault="00DD5C9C" w:rsidP="003B5D42">
            <w:pPr>
              <w:jc w:val="center"/>
              <w:rPr>
                <w:sz w:val="18"/>
                <w:szCs w:val="18"/>
              </w:rPr>
            </w:pPr>
            <w:r w:rsidRPr="00797E6E">
              <w:rPr>
                <w:sz w:val="18"/>
                <w:szCs w:val="18"/>
              </w:rPr>
              <w:t>22.1</w:t>
            </w:r>
          </w:p>
        </w:tc>
        <w:tc>
          <w:tcPr>
            <w:tcW w:w="1276" w:type="dxa"/>
            <w:vAlign w:val="center"/>
          </w:tcPr>
          <w:p w14:paraId="25B5DA3E" w14:textId="77777777" w:rsidR="00DD5C9C" w:rsidRPr="00797E6E" w:rsidRDefault="00DD5C9C" w:rsidP="003B5D42">
            <w:pPr>
              <w:jc w:val="center"/>
              <w:rPr>
                <w:sz w:val="18"/>
                <w:szCs w:val="18"/>
              </w:rPr>
            </w:pPr>
            <w:r w:rsidRPr="00797E6E">
              <w:rPr>
                <w:sz w:val="18"/>
                <w:szCs w:val="18"/>
              </w:rPr>
              <w:t>63.0</w:t>
            </w:r>
          </w:p>
        </w:tc>
        <w:tc>
          <w:tcPr>
            <w:tcW w:w="1417" w:type="dxa"/>
            <w:vAlign w:val="center"/>
          </w:tcPr>
          <w:p w14:paraId="25B5DA3F" w14:textId="77777777" w:rsidR="00DD5C9C" w:rsidRPr="00797E6E" w:rsidRDefault="00DD5C9C" w:rsidP="003B5D42">
            <w:pPr>
              <w:jc w:val="center"/>
              <w:rPr>
                <w:sz w:val="18"/>
                <w:szCs w:val="18"/>
              </w:rPr>
            </w:pPr>
            <w:r w:rsidRPr="00797E6E">
              <w:rPr>
                <w:sz w:val="18"/>
                <w:szCs w:val="18"/>
              </w:rPr>
              <w:t>85.1</w:t>
            </w:r>
          </w:p>
        </w:tc>
      </w:tr>
      <w:tr w:rsidR="00DD5C9C" w:rsidRPr="002F1547" w14:paraId="25B5DA46" w14:textId="77777777" w:rsidTr="003B5D42">
        <w:trPr>
          <w:trHeight w:val="397"/>
        </w:trPr>
        <w:tc>
          <w:tcPr>
            <w:tcW w:w="3510" w:type="dxa"/>
            <w:vAlign w:val="center"/>
          </w:tcPr>
          <w:p w14:paraId="25B5DA41" w14:textId="77777777" w:rsidR="00DD5C9C" w:rsidRPr="00797E6E" w:rsidRDefault="00DD5C9C" w:rsidP="003B5D42">
            <w:pPr>
              <w:rPr>
                <w:sz w:val="18"/>
                <w:szCs w:val="18"/>
              </w:rPr>
            </w:pPr>
            <w:r w:rsidRPr="00797E6E">
              <w:rPr>
                <w:sz w:val="18"/>
                <w:szCs w:val="18"/>
                <w:lang w:bidi="ar-SA"/>
              </w:rPr>
              <w:t>(3) Mean consumer, market share (35%)</w:t>
            </w:r>
          </w:p>
        </w:tc>
        <w:tc>
          <w:tcPr>
            <w:tcW w:w="1701" w:type="dxa"/>
            <w:vAlign w:val="center"/>
          </w:tcPr>
          <w:p w14:paraId="25B5DA42" w14:textId="77777777" w:rsidR="00DD5C9C" w:rsidRPr="00797E6E" w:rsidRDefault="00DD5C9C" w:rsidP="003B5D42">
            <w:pPr>
              <w:jc w:val="center"/>
              <w:rPr>
                <w:sz w:val="18"/>
                <w:szCs w:val="18"/>
              </w:rPr>
            </w:pPr>
            <w:r w:rsidRPr="00797E6E">
              <w:rPr>
                <w:sz w:val="18"/>
                <w:szCs w:val="18"/>
              </w:rPr>
              <w:t>3.4</w:t>
            </w:r>
          </w:p>
        </w:tc>
        <w:tc>
          <w:tcPr>
            <w:tcW w:w="1418" w:type="dxa"/>
            <w:vAlign w:val="center"/>
          </w:tcPr>
          <w:p w14:paraId="25B5DA43" w14:textId="77777777" w:rsidR="00DD5C9C" w:rsidRPr="00797E6E" w:rsidRDefault="00DD5C9C" w:rsidP="003B5D42">
            <w:pPr>
              <w:jc w:val="center"/>
              <w:rPr>
                <w:sz w:val="18"/>
                <w:szCs w:val="18"/>
              </w:rPr>
            </w:pPr>
            <w:r w:rsidRPr="00797E6E">
              <w:rPr>
                <w:sz w:val="18"/>
                <w:szCs w:val="18"/>
              </w:rPr>
              <w:t>4.1</w:t>
            </w:r>
          </w:p>
        </w:tc>
        <w:tc>
          <w:tcPr>
            <w:tcW w:w="1276" w:type="dxa"/>
            <w:vAlign w:val="center"/>
          </w:tcPr>
          <w:p w14:paraId="25B5DA44" w14:textId="77777777" w:rsidR="00DD5C9C" w:rsidRPr="00797E6E" w:rsidRDefault="00DD5C9C" w:rsidP="003B5D42">
            <w:pPr>
              <w:jc w:val="center"/>
              <w:rPr>
                <w:sz w:val="18"/>
                <w:szCs w:val="18"/>
              </w:rPr>
            </w:pPr>
            <w:r w:rsidRPr="00797E6E">
              <w:rPr>
                <w:sz w:val="18"/>
                <w:szCs w:val="18"/>
              </w:rPr>
              <w:t>63.0</w:t>
            </w:r>
          </w:p>
        </w:tc>
        <w:tc>
          <w:tcPr>
            <w:tcW w:w="1417" w:type="dxa"/>
            <w:vAlign w:val="center"/>
          </w:tcPr>
          <w:p w14:paraId="25B5DA45" w14:textId="77777777" w:rsidR="00DD5C9C" w:rsidRPr="00797E6E" w:rsidRDefault="00DD5C9C" w:rsidP="003B5D42">
            <w:pPr>
              <w:jc w:val="center"/>
              <w:rPr>
                <w:sz w:val="18"/>
                <w:szCs w:val="18"/>
              </w:rPr>
            </w:pPr>
            <w:r w:rsidRPr="00797E6E">
              <w:rPr>
                <w:sz w:val="18"/>
                <w:szCs w:val="18"/>
              </w:rPr>
              <w:t>67.1</w:t>
            </w:r>
          </w:p>
        </w:tc>
      </w:tr>
      <w:tr w:rsidR="00DD5C9C" w:rsidRPr="002F1547" w14:paraId="25B5DA4C" w14:textId="77777777" w:rsidTr="003B5D42">
        <w:trPr>
          <w:trHeight w:val="397"/>
        </w:trPr>
        <w:tc>
          <w:tcPr>
            <w:tcW w:w="3510" w:type="dxa"/>
            <w:vAlign w:val="center"/>
          </w:tcPr>
          <w:p w14:paraId="25B5DA47" w14:textId="77777777" w:rsidR="00DD5C9C" w:rsidRPr="00797E6E" w:rsidRDefault="00DD5C9C" w:rsidP="003B5D42">
            <w:pPr>
              <w:rPr>
                <w:sz w:val="18"/>
                <w:szCs w:val="18"/>
              </w:rPr>
            </w:pPr>
            <w:r w:rsidRPr="00797E6E">
              <w:rPr>
                <w:sz w:val="18"/>
                <w:szCs w:val="18"/>
                <w:lang w:bidi="ar-SA"/>
              </w:rPr>
              <w:t>(4) High consumer, market share (35%)</w:t>
            </w:r>
          </w:p>
        </w:tc>
        <w:tc>
          <w:tcPr>
            <w:tcW w:w="1701" w:type="dxa"/>
            <w:vAlign w:val="center"/>
          </w:tcPr>
          <w:p w14:paraId="25B5DA48" w14:textId="77777777" w:rsidR="00DD5C9C" w:rsidRPr="00797E6E" w:rsidRDefault="00DD5C9C" w:rsidP="003B5D42">
            <w:pPr>
              <w:jc w:val="center"/>
              <w:rPr>
                <w:sz w:val="18"/>
                <w:szCs w:val="18"/>
              </w:rPr>
            </w:pPr>
            <w:r w:rsidRPr="00797E6E">
              <w:rPr>
                <w:sz w:val="18"/>
                <w:szCs w:val="18"/>
              </w:rPr>
              <w:t>6.4</w:t>
            </w:r>
          </w:p>
        </w:tc>
        <w:tc>
          <w:tcPr>
            <w:tcW w:w="1418" w:type="dxa"/>
            <w:vAlign w:val="center"/>
          </w:tcPr>
          <w:p w14:paraId="25B5DA49" w14:textId="77777777" w:rsidR="00DD5C9C" w:rsidRPr="00797E6E" w:rsidRDefault="00DD5C9C" w:rsidP="003B5D42">
            <w:pPr>
              <w:jc w:val="center"/>
              <w:rPr>
                <w:sz w:val="18"/>
                <w:szCs w:val="18"/>
              </w:rPr>
            </w:pPr>
            <w:r w:rsidRPr="00797E6E">
              <w:rPr>
                <w:sz w:val="18"/>
                <w:szCs w:val="18"/>
              </w:rPr>
              <w:t>7.7</w:t>
            </w:r>
          </w:p>
        </w:tc>
        <w:tc>
          <w:tcPr>
            <w:tcW w:w="1276" w:type="dxa"/>
            <w:vAlign w:val="center"/>
          </w:tcPr>
          <w:p w14:paraId="25B5DA4A" w14:textId="77777777" w:rsidR="00DD5C9C" w:rsidRPr="00797E6E" w:rsidRDefault="00DD5C9C" w:rsidP="003B5D42">
            <w:pPr>
              <w:jc w:val="center"/>
              <w:rPr>
                <w:sz w:val="18"/>
                <w:szCs w:val="18"/>
              </w:rPr>
            </w:pPr>
            <w:r w:rsidRPr="00797E6E">
              <w:rPr>
                <w:sz w:val="18"/>
                <w:szCs w:val="18"/>
              </w:rPr>
              <w:t>63.0</w:t>
            </w:r>
          </w:p>
        </w:tc>
        <w:tc>
          <w:tcPr>
            <w:tcW w:w="1417" w:type="dxa"/>
            <w:vAlign w:val="center"/>
          </w:tcPr>
          <w:p w14:paraId="25B5DA4B" w14:textId="77777777" w:rsidR="00DD5C9C" w:rsidRPr="00797E6E" w:rsidRDefault="00DD5C9C" w:rsidP="003B5D42">
            <w:pPr>
              <w:jc w:val="center"/>
              <w:rPr>
                <w:sz w:val="18"/>
                <w:szCs w:val="18"/>
              </w:rPr>
            </w:pPr>
            <w:r w:rsidRPr="00797E6E">
              <w:rPr>
                <w:sz w:val="18"/>
                <w:szCs w:val="18"/>
              </w:rPr>
              <w:t>70.7</w:t>
            </w:r>
          </w:p>
        </w:tc>
      </w:tr>
    </w:tbl>
    <w:p w14:paraId="25B5DA4D" w14:textId="77777777" w:rsidR="00DD5C9C" w:rsidRPr="00CA1C92" w:rsidRDefault="00DD5C9C" w:rsidP="003B5D42">
      <w:pPr>
        <w:ind w:left="142" w:right="-22" w:hanging="142"/>
        <w:rPr>
          <w:rFonts w:eastAsia="Calibri"/>
          <w:i/>
          <w:sz w:val="16"/>
          <w:szCs w:val="16"/>
          <w:lang w:bidi="ar-SA"/>
        </w:rPr>
      </w:pPr>
      <w:r w:rsidRPr="002F1547">
        <w:rPr>
          <w:rFonts w:eastAsia="Calibri"/>
          <w:i/>
          <w:szCs w:val="22"/>
          <w:vertAlign w:val="superscript"/>
          <w:lang w:bidi="ar-SA"/>
        </w:rPr>
        <w:t>a</w:t>
      </w:r>
      <w:r w:rsidRPr="002F1547">
        <w:rPr>
          <w:rFonts w:eastAsia="Calibri"/>
          <w:i/>
          <w:szCs w:val="22"/>
          <w:lang w:bidi="ar-SA"/>
        </w:rPr>
        <w:t xml:space="preserve"> </w:t>
      </w:r>
      <w:r w:rsidRPr="00CA1C92">
        <w:rPr>
          <w:rFonts w:eastAsia="Calibri"/>
          <w:i/>
          <w:sz w:val="16"/>
          <w:szCs w:val="16"/>
          <w:lang w:bidi="ar-SA"/>
        </w:rPr>
        <w:t xml:space="preserve">See Tables </w:t>
      </w:r>
      <w:r>
        <w:rPr>
          <w:rFonts w:eastAsia="Calibri"/>
          <w:i/>
          <w:sz w:val="16"/>
          <w:szCs w:val="16"/>
          <w:lang w:bidi="ar-SA"/>
        </w:rPr>
        <w:t>4</w:t>
      </w:r>
      <w:r w:rsidRPr="00CA1C92">
        <w:rPr>
          <w:rFonts w:eastAsia="Calibri"/>
          <w:i/>
          <w:sz w:val="16"/>
          <w:szCs w:val="16"/>
          <w:lang w:bidi="ar-SA"/>
        </w:rPr>
        <w:t xml:space="preserve"> and </w:t>
      </w:r>
      <w:r>
        <w:rPr>
          <w:rFonts w:eastAsia="Calibri"/>
          <w:i/>
          <w:sz w:val="16"/>
          <w:szCs w:val="16"/>
          <w:lang w:bidi="ar-SA"/>
        </w:rPr>
        <w:t>5</w:t>
      </w:r>
      <w:r w:rsidRPr="00CA1C92">
        <w:rPr>
          <w:rFonts w:eastAsia="Calibri"/>
          <w:i/>
          <w:sz w:val="16"/>
          <w:szCs w:val="16"/>
          <w:lang w:bidi="ar-SA"/>
        </w:rPr>
        <w:t xml:space="preserve"> (Section </w:t>
      </w:r>
      <w:r>
        <w:rPr>
          <w:rFonts w:eastAsia="Calibri"/>
          <w:i/>
          <w:sz w:val="16"/>
          <w:szCs w:val="16"/>
          <w:lang w:bidi="ar-SA"/>
        </w:rPr>
        <w:t>5</w:t>
      </w:r>
      <w:r w:rsidRPr="00CA1C92">
        <w:rPr>
          <w:rFonts w:eastAsia="Calibri"/>
          <w:i/>
          <w:sz w:val="16"/>
          <w:szCs w:val="16"/>
          <w:lang w:bidi="ar-SA"/>
        </w:rPr>
        <w:t xml:space="preserve">). </w:t>
      </w:r>
    </w:p>
    <w:p w14:paraId="25B5DA4E" w14:textId="77777777" w:rsidR="00DD5C9C" w:rsidRDefault="00DD5C9C" w:rsidP="003B5D42">
      <w:pPr>
        <w:ind w:left="142" w:right="-22" w:hanging="142"/>
        <w:rPr>
          <w:rFonts w:eastAsia="Calibri"/>
          <w:i/>
          <w:sz w:val="16"/>
          <w:szCs w:val="16"/>
          <w:lang w:bidi="ar-SA"/>
        </w:rPr>
      </w:pPr>
      <w:r w:rsidRPr="00073798">
        <w:rPr>
          <w:rFonts w:eastAsia="Calibri"/>
          <w:i/>
          <w:szCs w:val="22"/>
          <w:vertAlign w:val="superscript"/>
          <w:lang w:bidi="ar-SA"/>
        </w:rPr>
        <w:t>b</w:t>
      </w:r>
      <w:r>
        <w:rPr>
          <w:rFonts w:eastAsia="Calibri"/>
          <w:i/>
          <w:sz w:val="16"/>
          <w:szCs w:val="16"/>
          <w:lang w:bidi="ar-SA"/>
        </w:rPr>
        <w:t xml:space="preserve"> Source: 2008–09</w:t>
      </w:r>
      <w:r w:rsidRPr="00CA1C92">
        <w:rPr>
          <w:rFonts w:eastAsia="Calibri"/>
          <w:i/>
          <w:sz w:val="16"/>
          <w:szCs w:val="16"/>
          <w:lang w:bidi="ar-SA"/>
        </w:rPr>
        <w:t xml:space="preserve"> New Zealand Adult Nutrition Survey</w:t>
      </w:r>
      <w:r>
        <w:rPr>
          <w:rFonts w:eastAsia="Calibri"/>
          <w:i/>
          <w:sz w:val="16"/>
          <w:szCs w:val="16"/>
          <w:lang w:bidi="ar-SA"/>
        </w:rPr>
        <w:t xml:space="preserve"> </w:t>
      </w:r>
      <w:r>
        <w:rPr>
          <w:rFonts w:eastAsia="Calibri"/>
          <w:i/>
          <w:noProof/>
          <w:sz w:val="16"/>
          <w:szCs w:val="16"/>
          <w:lang w:bidi="ar-SA"/>
        </w:rPr>
        <w:t>(Ministry of Health 2012a)</w:t>
      </w:r>
      <w:r w:rsidRPr="00CA1C92">
        <w:rPr>
          <w:rFonts w:eastAsia="Calibri"/>
          <w:i/>
          <w:sz w:val="16"/>
          <w:szCs w:val="16"/>
          <w:lang w:bidi="ar-SA"/>
        </w:rPr>
        <w:t>. Mean serum 25OHD concentration reported for 15 years and over</w:t>
      </w:r>
      <w:r w:rsidRPr="002A23A8">
        <w:rPr>
          <w:rFonts w:eastAsia="Calibri"/>
          <w:i/>
          <w:sz w:val="16"/>
          <w:szCs w:val="16"/>
          <w:lang w:bidi="ar-SA"/>
        </w:rPr>
        <w:t xml:space="preserve">. </w:t>
      </w:r>
      <w:r>
        <w:rPr>
          <w:rFonts w:eastAsia="Calibri"/>
          <w:i/>
          <w:sz w:val="16"/>
          <w:szCs w:val="16"/>
          <w:lang w:bidi="ar-SA"/>
        </w:rPr>
        <w:t>The s</w:t>
      </w:r>
      <w:r w:rsidRPr="002A23A8">
        <w:rPr>
          <w:rFonts w:eastAsia="Calibri"/>
          <w:i/>
          <w:sz w:val="16"/>
          <w:szCs w:val="16"/>
          <w:lang w:bidi="ar-SA"/>
        </w:rPr>
        <w:t>tandard deviation</w:t>
      </w:r>
      <w:r>
        <w:rPr>
          <w:rFonts w:eastAsia="Calibri"/>
          <w:i/>
          <w:sz w:val="16"/>
          <w:szCs w:val="16"/>
          <w:lang w:bidi="ar-SA"/>
        </w:rPr>
        <w:t xml:space="preserve"> was </w:t>
      </w:r>
      <w:r w:rsidRPr="002A23A8">
        <w:rPr>
          <w:rFonts w:eastAsia="Calibri"/>
          <w:i/>
          <w:sz w:val="16"/>
          <w:szCs w:val="16"/>
          <w:lang w:bidi="ar-SA"/>
        </w:rPr>
        <w:t>calculated from reported 95% confidence interval (61.4, 64.5) to be 0.8 (with rounding</w:t>
      </w:r>
      <w:r>
        <w:rPr>
          <w:rFonts w:eastAsia="Calibri"/>
          <w:i/>
          <w:sz w:val="16"/>
          <w:szCs w:val="16"/>
          <w:lang w:bidi="ar-SA"/>
        </w:rPr>
        <w:t>)</w:t>
      </w:r>
      <w:r w:rsidRPr="002A23A8">
        <w:rPr>
          <w:rFonts w:eastAsia="Calibri"/>
          <w:i/>
          <w:sz w:val="16"/>
          <w:szCs w:val="16"/>
          <w:lang w:bidi="ar-SA"/>
        </w:rPr>
        <w:t>.</w:t>
      </w:r>
    </w:p>
    <w:p w14:paraId="1D370178" w14:textId="77777777" w:rsidR="000223BB" w:rsidRDefault="000223BB" w:rsidP="003B5D42">
      <w:pPr>
        <w:pStyle w:val="Heading4"/>
      </w:pPr>
      <w:r>
        <w:br w:type="page"/>
      </w:r>
    </w:p>
    <w:p w14:paraId="25B5DA4F" w14:textId="0D840817" w:rsidR="00DD5C9C" w:rsidRDefault="00DD5C9C" w:rsidP="003B5D42">
      <w:pPr>
        <w:pStyle w:val="Heading4"/>
      </w:pPr>
      <w:r>
        <w:lastRenderedPageBreak/>
        <w:t>Effect on summer and winter 25OHD concentrations</w:t>
      </w:r>
    </w:p>
    <w:p w14:paraId="25B5DA50" w14:textId="77777777" w:rsidR="00DD5C9C" w:rsidRDefault="00DD5C9C">
      <w:pPr>
        <w:rPr>
          <w:lang w:bidi="ar-SA"/>
        </w:rPr>
      </w:pPr>
      <w:r>
        <w:rPr>
          <w:lang w:bidi="ar-SA"/>
        </w:rPr>
        <w:t xml:space="preserve">Winter and summer mean serum 25OHD concentrations from the Australian and New Zealand nutrition surveys were used to estimate the effect of vitamin D addition to breakfast cereal when the population is known to have minimal and maximal serum 25OHD concentrations due to variable UV-B exposure. The analysis shown </w:t>
      </w:r>
      <w:r w:rsidRPr="00991711">
        <w:rPr>
          <w:lang w:bidi="ar-SA"/>
        </w:rPr>
        <w:t>in Section 6.2.1</w:t>
      </w:r>
      <w:r>
        <w:rPr>
          <w:lang w:bidi="ar-SA"/>
        </w:rPr>
        <w:t xml:space="preserve"> was repeated and the results are summarised in Table 12.</w:t>
      </w:r>
    </w:p>
    <w:p w14:paraId="25B5DA51" w14:textId="77777777" w:rsidR="00DD5C9C" w:rsidRDefault="00DD5C9C">
      <w:pPr>
        <w:rPr>
          <w:lang w:bidi="ar-SA"/>
        </w:rPr>
      </w:pPr>
    </w:p>
    <w:p w14:paraId="25B5DA52" w14:textId="77777777" w:rsidR="00DD5C9C" w:rsidRDefault="00DD5C9C" w:rsidP="003B5D42">
      <w:pPr>
        <w:rPr>
          <w:lang w:bidi="ar-SA"/>
        </w:rPr>
      </w:pPr>
      <w:r>
        <w:rPr>
          <w:lang w:bidi="ar-SA"/>
        </w:rPr>
        <w:t xml:space="preserve">ANZ population groups analysed showed baseline mean serum 25OHD concentrations which ranged from 52.4–61.8 nM </w:t>
      </w:r>
      <w:r w:rsidRPr="00567984">
        <w:rPr>
          <w:lang w:bidi="ar-SA"/>
        </w:rPr>
        <w:t>for th</w:t>
      </w:r>
      <w:r>
        <w:rPr>
          <w:lang w:bidi="ar-SA"/>
        </w:rPr>
        <w:t>e</w:t>
      </w:r>
      <w:r w:rsidRPr="00567984">
        <w:rPr>
          <w:lang w:bidi="ar-SA"/>
        </w:rPr>
        <w:t xml:space="preserve"> winter season</w:t>
      </w:r>
      <w:r>
        <w:rPr>
          <w:lang w:bidi="ar-SA"/>
        </w:rPr>
        <w:t>.</w:t>
      </w:r>
      <w:r w:rsidRPr="00433606">
        <w:rPr>
          <w:lang w:bidi="ar-SA"/>
        </w:rPr>
        <w:t xml:space="preserve"> </w:t>
      </w:r>
      <w:r>
        <w:rPr>
          <w:lang w:bidi="ar-SA"/>
        </w:rPr>
        <w:t xml:space="preserve">This range was well above the </w:t>
      </w:r>
      <w:r w:rsidR="002544DE">
        <w:rPr>
          <w:lang w:bidi="ar-SA"/>
        </w:rPr>
        <w:t>cut-off value</w:t>
      </w:r>
      <w:r>
        <w:rPr>
          <w:lang w:bidi="ar-SA"/>
        </w:rPr>
        <w:t xml:space="preserve"> of 40 nM which was determined to be the appropriate concentration to indicate </w:t>
      </w:r>
      <w:r w:rsidRPr="00234BDD">
        <w:rPr>
          <w:lang w:bidi="ar-SA"/>
        </w:rPr>
        <w:t>inadequate</w:t>
      </w:r>
      <w:r>
        <w:rPr>
          <w:lang w:bidi="ar-SA"/>
        </w:rPr>
        <w:t xml:space="preserve"> serum </w:t>
      </w:r>
      <w:r w:rsidRPr="00234BDD">
        <w:rPr>
          <w:lang w:bidi="ar-SA"/>
        </w:rPr>
        <w:t xml:space="preserve">25OHD concentrations </w:t>
      </w:r>
      <w:r>
        <w:rPr>
          <w:lang w:bidi="ar-SA"/>
        </w:rPr>
        <w:t xml:space="preserve">for </w:t>
      </w:r>
      <w:r w:rsidRPr="00234BDD">
        <w:rPr>
          <w:lang w:bidi="ar-SA"/>
        </w:rPr>
        <w:t>A</w:t>
      </w:r>
      <w:r>
        <w:rPr>
          <w:lang w:bidi="ar-SA"/>
        </w:rPr>
        <w:t xml:space="preserve">NZ </w:t>
      </w:r>
      <w:r w:rsidRPr="00234BDD">
        <w:rPr>
          <w:lang w:bidi="ar-SA"/>
        </w:rPr>
        <w:t>population</w:t>
      </w:r>
      <w:r>
        <w:rPr>
          <w:lang w:bidi="ar-SA"/>
        </w:rPr>
        <w:t xml:space="preserve">s </w:t>
      </w:r>
      <w:r w:rsidRPr="00991711">
        <w:rPr>
          <w:lang w:bidi="ar-SA"/>
        </w:rPr>
        <w:t>(see Section 3.4).</w:t>
      </w:r>
      <w:r>
        <w:rPr>
          <w:lang w:bidi="ar-SA"/>
        </w:rPr>
        <w:t xml:space="preserve"> As expected, the four modelling scenarios for vitamin D fortified cereal consumers increased the predicted winter mean 25OHD serum concentration range to 56.5–81.3 nM. </w:t>
      </w:r>
    </w:p>
    <w:p w14:paraId="25B5DA53" w14:textId="77777777" w:rsidR="00DD5C9C" w:rsidRDefault="00DD5C9C" w:rsidP="003B5D42">
      <w:pPr>
        <w:rPr>
          <w:lang w:bidi="ar-SA"/>
        </w:rPr>
      </w:pPr>
    </w:p>
    <w:p w14:paraId="25B5DA54" w14:textId="77777777" w:rsidR="00DD5C9C" w:rsidRDefault="00DD5C9C" w:rsidP="003B5D42">
      <w:pPr>
        <w:rPr>
          <w:lang w:bidi="ar-SA"/>
        </w:rPr>
      </w:pPr>
      <w:r>
        <w:rPr>
          <w:lang w:bidi="ar-SA"/>
        </w:rPr>
        <w:t>For the summer analysis, the baseline mean serum 25OHD ranged from 70.7</w:t>
      </w:r>
      <w:r w:rsidRPr="00362AEA">
        <w:rPr>
          <w:lang w:bidi="ar-SA"/>
        </w:rPr>
        <w:t>–</w:t>
      </w:r>
      <w:r>
        <w:rPr>
          <w:lang w:bidi="ar-SA"/>
        </w:rPr>
        <w:t>76.4 nM. As expected the</w:t>
      </w:r>
      <w:r w:rsidRPr="00C07535">
        <w:rPr>
          <w:lang w:bidi="ar-SA"/>
        </w:rPr>
        <w:t xml:space="preserve"> four modelling scenarios for vitamin D fortified cereal consumers increased the predicted </w:t>
      </w:r>
      <w:r>
        <w:rPr>
          <w:lang w:bidi="ar-SA"/>
        </w:rPr>
        <w:t xml:space="preserve">summer </w:t>
      </w:r>
      <w:r w:rsidRPr="00C07535">
        <w:rPr>
          <w:lang w:bidi="ar-SA"/>
        </w:rPr>
        <w:t xml:space="preserve">mean 25OHD </w:t>
      </w:r>
      <w:r>
        <w:rPr>
          <w:lang w:bidi="ar-SA"/>
        </w:rPr>
        <w:t xml:space="preserve">serum </w:t>
      </w:r>
      <w:r w:rsidRPr="00C07535">
        <w:rPr>
          <w:lang w:bidi="ar-SA"/>
        </w:rPr>
        <w:t xml:space="preserve">concentration range to </w:t>
      </w:r>
      <w:r>
        <w:rPr>
          <w:lang w:bidi="ar-SA"/>
        </w:rPr>
        <w:t xml:space="preserve">74.9–98.0 </w:t>
      </w:r>
      <w:r w:rsidRPr="00C07535">
        <w:rPr>
          <w:lang w:bidi="ar-SA"/>
        </w:rPr>
        <w:t>nM</w:t>
      </w:r>
      <w:r>
        <w:rPr>
          <w:lang w:bidi="ar-SA"/>
        </w:rPr>
        <w:t xml:space="preserve"> with the highest range for brand loyal, high consumers of vitamin D fortified cereal. None of the four modelling scenarios increased the predicted mean serum 25OHD above 125 nM, the serum 25OHD concentration considered to be indicative of excessive intakes for the population.</w:t>
      </w:r>
    </w:p>
    <w:p w14:paraId="25B5DA55" w14:textId="77777777" w:rsidR="00DD5C9C" w:rsidRDefault="00DD5C9C" w:rsidP="003B5D42">
      <w:pPr>
        <w:rPr>
          <w:lang w:bidi="ar-SA"/>
        </w:rPr>
      </w:pPr>
    </w:p>
    <w:p w14:paraId="25B5DA56" w14:textId="2D6E374E" w:rsidR="00DD5C9C" w:rsidRPr="000223BB" w:rsidRDefault="00DD5C9C" w:rsidP="003B5D42">
      <w:pPr>
        <w:pStyle w:val="FSTableFigureHeading"/>
        <w:rPr>
          <w:i w:val="0"/>
        </w:rPr>
      </w:pPr>
      <w:r w:rsidRPr="000223BB">
        <w:rPr>
          <w:i w:val="0"/>
        </w:rPr>
        <w:t>Table 12</w:t>
      </w:r>
      <w:r w:rsidRPr="000223BB">
        <w:rPr>
          <w:i w:val="0"/>
        </w:rPr>
        <w:tab/>
        <w:t>Predicted mean winter and summer serum 25OHD concentrations for ANZ populations consuming vitamin D fortified breakfast cereal</w:t>
      </w:r>
    </w:p>
    <w:tbl>
      <w:tblPr>
        <w:tblStyle w:val="TableGrid"/>
        <w:tblW w:w="9464" w:type="dxa"/>
        <w:tblLayout w:type="fixed"/>
        <w:tblLook w:val="04A0" w:firstRow="1" w:lastRow="0" w:firstColumn="1" w:lastColumn="0" w:noHBand="0" w:noVBand="1"/>
      </w:tblPr>
      <w:tblGrid>
        <w:gridCol w:w="3510"/>
        <w:gridCol w:w="1134"/>
        <w:gridCol w:w="851"/>
        <w:gridCol w:w="850"/>
        <w:gridCol w:w="851"/>
        <w:gridCol w:w="850"/>
        <w:gridCol w:w="1418"/>
      </w:tblGrid>
      <w:tr w:rsidR="00DD5C9C" w:rsidRPr="007926E4" w14:paraId="25B5DA59" w14:textId="77777777" w:rsidTr="003B5D42">
        <w:trPr>
          <w:trHeight w:val="454"/>
        </w:trPr>
        <w:tc>
          <w:tcPr>
            <w:tcW w:w="3510" w:type="dxa"/>
            <w:vMerge w:val="restart"/>
            <w:vAlign w:val="center"/>
          </w:tcPr>
          <w:p w14:paraId="25B5DA57" w14:textId="77777777" w:rsidR="00DD5C9C" w:rsidRPr="00991711" w:rsidRDefault="00DD5C9C" w:rsidP="003B5D42">
            <w:pPr>
              <w:rPr>
                <w:rFonts w:cs="Arial"/>
                <w:b/>
                <w:sz w:val="18"/>
                <w:szCs w:val="18"/>
                <w:lang w:bidi="ar-SA"/>
              </w:rPr>
            </w:pPr>
            <w:r w:rsidRPr="00991711">
              <w:rPr>
                <w:rFonts w:cs="Arial"/>
                <w:b/>
                <w:sz w:val="18"/>
                <w:szCs w:val="18"/>
                <w:lang w:bidi="ar-SA"/>
              </w:rPr>
              <w:t>Modelling scenario</w:t>
            </w:r>
          </w:p>
        </w:tc>
        <w:tc>
          <w:tcPr>
            <w:tcW w:w="5954" w:type="dxa"/>
            <w:gridSpan w:val="6"/>
            <w:vAlign w:val="center"/>
          </w:tcPr>
          <w:p w14:paraId="25B5DA58" w14:textId="77777777" w:rsidR="00DD5C9C" w:rsidRPr="00991711" w:rsidRDefault="00DD5C9C" w:rsidP="003B5D42">
            <w:pPr>
              <w:jc w:val="center"/>
              <w:rPr>
                <w:rFonts w:cs="Arial"/>
                <w:b/>
                <w:sz w:val="18"/>
                <w:szCs w:val="18"/>
                <w:lang w:bidi="ar-SA"/>
              </w:rPr>
            </w:pPr>
            <w:r w:rsidRPr="00991711">
              <w:rPr>
                <w:rFonts w:cs="Arial"/>
                <w:b/>
                <w:sz w:val="18"/>
                <w:szCs w:val="18"/>
                <w:lang w:bidi="ar-SA"/>
              </w:rPr>
              <w:t>Predicted mean serum 25OHD concentration (nM)</w:t>
            </w:r>
          </w:p>
        </w:tc>
      </w:tr>
      <w:tr w:rsidR="00DD5C9C" w:rsidRPr="007926E4" w14:paraId="25B5DA5E" w14:textId="77777777" w:rsidTr="003B5D42">
        <w:trPr>
          <w:trHeight w:val="454"/>
        </w:trPr>
        <w:tc>
          <w:tcPr>
            <w:tcW w:w="3510" w:type="dxa"/>
            <w:vMerge/>
          </w:tcPr>
          <w:p w14:paraId="25B5DA5A" w14:textId="77777777" w:rsidR="00DD5C9C" w:rsidRPr="00991711" w:rsidRDefault="00DD5C9C" w:rsidP="003B5D42">
            <w:pPr>
              <w:rPr>
                <w:rFonts w:cs="Arial"/>
                <w:i/>
                <w:sz w:val="18"/>
                <w:szCs w:val="18"/>
                <w:lang w:bidi="ar-SA"/>
              </w:rPr>
            </w:pPr>
          </w:p>
        </w:tc>
        <w:tc>
          <w:tcPr>
            <w:tcW w:w="1985" w:type="dxa"/>
            <w:gridSpan w:val="2"/>
            <w:vAlign w:val="center"/>
          </w:tcPr>
          <w:p w14:paraId="25B5DA5B" w14:textId="77777777" w:rsidR="00DD5C9C" w:rsidRPr="00991711" w:rsidRDefault="00DD5C9C" w:rsidP="003B5D42">
            <w:pPr>
              <w:jc w:val="center"/>
              <w:rPr>
                <w:rFonts w:cs="Arial"/>
                <w:b/>
                <w:sz w:val="18"/>
                <w:szCs w:val="18"/>
                <w:lang w:bidi="ar-SA"/>
              </w:rPr>
            </w:pPr>
            <w:r w:rsidRPr="00991711">
              <w:rPr>
                <w:rFonts w:cs="Arial"/>
                <w:b/>
                <w:sz w:val="18"/>
                <w:szCs w:val="18"/>
                <w:lang w:bidi="ar-SA"/>
              </w:rPr>
              <w:t xml:space="preserve">Australia </w:t>
            </w:r>
            <w:r w:rsidRPr="00991711">
              <w:rPr>
                <w:rFonts w:cs="Arial"/>
                <w:b/>
                <w:sz w:val="18"/>
                <w:szCs w:val="18"/>
                <w:vertAlign w:val="superscript"/>
                <w:lang w:bidi="ar-SA"/>
              </w:rPr>
              <w:t>a</w:t>
            </w:r>
          </w:p>
        </w:tc>
        <w:tc>
          <w:tcPr>
            <w:tcW w:w="2551" w:type="dxa"/>
            <w:gridSpan w:val="3"/>
            <w:vAlign w:val="center"/>
          </w:tcPr>
          <w:p w14:paraId="25B5DA5C" w14:textId="77777777" w:rsidR="00DD5C9C" w:rsidRPr="00991711" w:rsidRDefault="00DD5C9C" w:rsidP="003B5D42">
            <w:pPr>
              <w:jc w:val="center"/>
              <w:rPr>
                <w:rFonts w:cs="Arial"/>
                <w:b/>
                <w:sz w:val="18"/>
                <w:szCs w:val="18"/>
                <w:lang w:bidi="ar-SA"/>
              </w:rPr>
            </w:pPr>
            <w:r w:rsidRPr="00991711">
              <w:rPr>
                <w:rFonts w:cs="Arial"/>
                <w:b/>
                <w:sz w:val="18"/>
                <w:szCs w:val="18"/>
                <w:lang w:bidi="ar-SA"/>
              </w:rPr>
              <w:t>New Zealand</w:t>
            </w:r>
            <w:r w:rsidRPr="00991711">
              <w:rPr>
                <w:rFonts w:cs="Arial"/>
                <w:b/>
                <w:sz w:val="18"/>
                <w:szCs w:val="18"/>
                <w:vertAlign w:val="superscript"/>
                <w:lang w:bidi="ar-SA"/>
              </w:rPr>
              <w:t xml:space="preserve"> b</w:t>
            </w:r>
          </w:p>
        </w:tc>
        <w:tc>
          <w:tcPr>
            <w:tcW w:w="1418" w:type="dxa"/>
            <w:vMerge w:val="restart"/>
            <w:vAlign w:val="center"/>
          </w:tcPr>
          <w:p w14:paraId="25B5DA5D" w14:textId="77777777" w:rsidR="00DD5C9C" w:rsidRPr="00991711" w:rsidRDefault="00DD5C9C" w:rsidP="003B5D42">
            <w:pPr>
              <w:jc w:val="center"/>
              <w:rPr>
                <w:rFonts w:cs="Arial"/>
                <w:b/>
                <w:sz w:val="18"/>
                <w:szCs w:val="18"/>
                <w:lang w:bidi="ar-SA"/>
              </w:rPr>
            </w:pPr>
            <w:r w:rsidRPr="00991711">
              <w:rPr>
                <w:rFonts w:cs="Arial"/>
                <w:b/>
                <w:sz w:val="18"/>
                <w:szCs w:val="18"/>
                <w:lang w:bidi="ar-SA"/>
              </w:rPr>
              <w:t>Combined range across populations</w:t>
            </w:r>
            <w:r>
              <w:rPr>
                <w:rFonts w:cs="Arial"/>
                <w:b/>
                <w:sz w:val="18"/>
                <w:szCs w:val="18"/>
                <w:lang w:bidi="ar-SA"/>
              </w:rPr>
              <w:t xml:space="preserve"> </w:t>
            </w:r>
            <w:r w:rsidRPr="00991711">
              <w:rPr>
                <w:rFonts w:cs="Arial"/>
                <w:b/>
                <w:sz w:val="18"/>
                <w:szCs w:val="18"/>
                <w:vertAlign w:val="superscript"/>
                <w:lang w:bidi="ar-SA"/>
              </w:rPr>
              <w:t>c</w:t>
            </w:r>
          </w:p>
        </w:tc>
      </w:tr>
      <w:tr w:rsidR="00DD5C9C" w:rsidRPr="007926E4" w14:paraId="25B5DA66" w14:textId="77777777" w:rsidTr="003B5D42">
        <w:trPr>
          <w:trHeight w:val="454"/>
        </w:trPr>
        <w:tc>
          <w:tcPr>
            <w:tcW w:w="3510" w:type="dxa"/>
            <w:vAlign w:val="center"/>
          </w:tcPr>
          <w:p w14:paraId="25B5DA5F" w14:textId="77777777" w:rsidR="00DD5C9C" w:rsidRPr="00991711" w:rsidRDefault="00DD5C9C" w:rsidP="003B5D42">
            <w:pPr>
              <w:rPr>
                <w:rFonts w:cs="Arial"/>
                <w:b/>
                <w:i/>
                <w:sz w:val="18"/>
                <w:szCs w:val="18"/>
                <w:lang w:bidi="ar-SA"/>
              </w:rPr>
            </w:pPr>
          </w:p>
        </w:tc>
        <w:tc>
          <w:tcPr>
            <w:tcW w:w="1134" w:type="dxa"/>
            <w:vAlign w:val="center"/>
          </w:tcPr>
          <w:p w14:paraId="25B5DA60" w14:textId="77777777" w:rsidR="00DD5C9C" w:rsidRPr="00991711" w:rsidRDefault="00DD5C9C" w:rsidP="003B5D42">
            <w:pPr>
              <w:jc w:val="center"/>
              <w:rPr>
                <w:rFonts w:cs="Arial"/>
                <w:b/>
                <w:i/>
                <w:sz w:val="18"/>
                <w:szCs w:val="18"/>
                <w:lang w:bidi="ar-SA"/>
              </w:rPr>
            </w:pPr>
            <w:r w:rsidRPr="00991711">
              <w:rPr>
                <w:rFonts w:cs="Arial"/>
                <w:b/>
                <w:i/>
                <w:sz w:val="18"/>
                <w:szCs w:val="18"/>
                <w:lang w:bidi="ar-SA"/>
              </w:rPr>
              <w:t>12-17 years</w:t>
            </w:r>
          </w:p>
        </w:tc>
        <w:tc>
          <w:tcPr>
            <w:tcW w:w="851" w:type="dxa"/>
            <w:vAlign w:val="center"/>
          </w:tcPr>
          <w:p w14:paraId="25B5DA61" w14:textId="77777777" w:rsidR="00DD5C9C" w:rsidRPr="00991711" w:rsidRDefault="00DD5C9C" w:rsidP="003B5D42">
            <w:pPr>
              <w:jc w:val="center"/>
              <w:rPr>
                <w:rFonts w:cs="Arial"/>
                <w:b/>
                <w:i/>
                <w:sz w:val="18"/>
                <w:szCs w:val="18"/>
                <w:lang w:bidi="ar-SA"/>
              </w:rPr>
            </w:pPr>
            <w:r w:rsidRPr="00991711">
              <w:rPr>
                <w:rFonts w:cs="Arial"/>
                <w:b/>
                <w:i/>
                <w:sz w:val="18"/>
                <w:szCs w:val="18"/>
                <w:lang w:bidi="ar-SA"/>
              </w:rPr>
              <w:t>18+ years</w:t>
            </w:r>
          </w:p>
        </w:tc>
        <w:tc>
          <w:tcPr>
            <w:tcW w:w="850" w:type="dxa"/>
            <w:vAlign w:val="center"/>
          </w:tcPr>
          <w:p w14:paraId="25B5DA62" w14:textId="77777777" w:rsidR="00DD5C9C" w:rsidRPr="00991711" w:rsidRDefault="00DD5C9C" w:rsidP="003B5D42">
            <w:pPr>
              <w:jc w:val="center"/>
              <w:rPr>
                <w:rFonts w:cs="Arial"/>
                <w:b/>
                <w:i/>
                <w:sz w:val="18"/>
                <w:szCs w:val="18"/>
                <w:lang w:bidi="ar-SA"/>
              </w:rPr>
            </w:pPr>
            <w:r w:rsidRPr="00991711">
              <w:rPr>
                <w:rFonts w:cs="Arial"/>
                <w:b/>
                <w:i/>
                <w:sz w:val="18"/>
                <w:szCs w:val="18"/>
                <w:lang w:bidi="ar-SA"/>
              </w:rPr>
              <w:t>5-14 years</w:t>
            </w:r>
          </w:p>
        </w:tc>
        <w:tc>
          <w:tcPr>
            <w:tcW w:w="851" w:type="dxa"/>
            <w:vAlign w:val="center"/>
          </w:tcPr>
          <w:p w14:paraId="25B5DA63" w14:textId="77777777" w:rsidR="00DD5C9C" w:rsidRPr="00991711" w:rsidRDefault="00DD5C9C" w:rsidP="003B5D42">
            <w:pPr>
              <w:jc w:val="center"/>
              <w:rPr>
                <w:rFonts w:cs="Arial"/>
                <w:b/>
                <w:i/>
                <w:sz w:val="18"/>
                <w:szCs w:val="18"/>
                <w:lang w:bidi="ar-SA"/>
              </w:rPr>
            </w:pPr>
            <w:r w:rsidRPr="00991711">
              <w:rPr>
                <w:rFonts w:cs="Arial"/>
                <w:b/>
                <w:i/>
                <w:sz w:val="18"/>
                <w:szCs w:val="18"/>
                <w:lang w:bidi="ar-SA"/>
              </w:rPr>
              <w:t>15-17 years</w:t>
            </w:r>
          </w:p>
        </w:tc>
        <w:tc>
          <w:tcPr>
            <w:tcW w:w="850" w:type="dxa"/>
            <w:vAlign w:val="center"/>
          </w:tcPr>
          <w:p w14:paraId="25B5DA64" w14:textId="77777777" w:rsidR="00DD5C9C" w:rsidRPr="00991711" w:rsidRDefault="00DD5C9C" w:rsidP="003B5D42">
            <w:pPr>
              <w:jc w:val="center"/>
              <w:rPr>
                <w:rFonts w:cs="Arial"/>
                <w:b/>
                <w:i/>
                <w:sz w:val="18"/>
                <w:szCs w:val="18"/>
                <w:lang w:bidi="ar-SA"/>
              </w:rPr>
            </w:pPr>
            <w:r w:rsidRPr="00991711">
              <w:rPr>
                <w:rFonts w:cs="Arial"/>
                <w:b/>
                <w:i/>
                <w:sz w:val="18"/>
                <w:szCs w:val="18"/>
                <w:lang w:bidi="ar-SA"/>
              </w:rPr>
              <w:t>18+ years</w:t>
            </w:r>
          </w:p>
        </w:tc>
        <w:tc>
          <w:tcPr>
            <w:tcW w:w="1418" w:type="dxa"/>
            <w:vMerge/>
          </w:tcPr>
          <w:p w14:paraId="25B5DA65" w14:textId="77777777" w:rsidR="00DD5C9C" w:rsidRPr="00991711" w:rsidRDefault="00DD5C9C" w:rsidP="003B5D42">
            <w:pPr>
              <w:jc w:val="center"/>
              <w:rPr>
                <w:rFonts w:cs="Arial"/>
                <w:b/>
                <w:sz w:val="18"/>
                <w:szCs w:val="18"/>
                <w:lang w:bidi="ar-SA"/>
              </w:rPr>
            </w:pPr>
          </w:p>
        </w:tc>
      </w:tr>
      <w:tr w:rsidR="00DD5C9C" w:rsidRPr="007926E4" w14:paraId="25B5DA6E" w14:textId="77777777" w:rsidTr="003B5D42">
        <w:trPr>
          <w:trHeight w:val="454"/>
        </w:trPr>
        <w:tc>
          <w:tcPr>
            <w:tcW w:w="3510" w:type="dxa"/>
            <w:shd w:val="clear" w:color="auto" w:fill="D9D9D9" w:themeFill="background1" w:themeFillShade="D9"/>
            <w:vAlign w:val="center"/>
          </w:tcPr>
          <w:p w14:paraId="25B5DA67" w14:textId="77777777" w:rsidR="00DD5C9C" w:rsidRPr="00991711" w:rsidRDefault="00DD5C9C" w:rsidP="003B5D42">
            <w:pPr>
              <w:rPr>
                <w:rFonts w:cs="Arial"/>
                <w:sz w:val="18"/>
                <w:szCs w:val="18"/>
                <w:lang w:bidi="ar-SA"/>
              </w:rPr>
            </w:pPr>
            <w:r w:rsidRPr="00991711">
              <w:rPr>
                <w:rFonts w:cs="Arial"/>
                <w:b/>
                <w:i/>
                <w:sz w:val="18"/>
                <w:szCs w:val="18"/>
                <w:lang w:bidi="ar-SA"/>
              </w:rPr>
              <w:t>Winter</w:t>
            </w:r>
            <w:r w:rsidRPr="00991711">
              <w:rPr>
                <w:rFonts w:cs="Arial"/>
                <w:sz w:val="18"/>
                <w:szCs w:val="18"/>
                <w:lang w:bidi="ar-SA"/>
              </w:rPr>
              <w:t xml:space="preserve">                   </w:t>
            </w:r>
            <w:r>
              <w:rPr>
                <w:rFonts w:cs="Arial"/>
                <w:sz w:val="18"/>
                <w:szCs w:val="18"/>
                <w:lang w:bidi="ar-SA"/>
              </w:rPr>
              <w:t xml:space="preserve">          </w:t>
            </w:r>
            <w:r w:rsidRPr="00991711">
              <w:rPr>
                <w:rFonts w:cs="Arial"/>
                <w:sz w:val="18"/>
                <w:szCs w:val="18"/>
                <w:lang w:bidi="ar-SA"/>
              </w:rPr>
              <w:t>Baseline mean</w:t>
            </w:r>
          </w:p>
        </w:tc>
        <w:tc>
          <w:tcPr>
            <w:tcW w:w="1134" w:type="dxa"/>
            <w:shd w:val="clear" w:color="auto" w:fill="D9D9D9" w:themeFill="background1" w:themeFillShade="D9"/>
            <w:vAlign w:val="center"/>
          </w:tcPr>
          <w:p w14:paraId="25B5DA68" w14:textId="77777777" w:rsidR="00DD5C9C" w:rsidRPr="00991711" w:rsidRDefault="00DD5C9C" w:rsidP="003B5D42">
            <w:pPr>
              <w:jc w:val="center"/>
              <w:rPr>
                <w:rFonts w:cs="Arial"/>
                <w:sz w:val="18"/>
                <w:szCs w:val="18"/>
                <w:lang w:bidi="ar-SA"/>
              </w:rPr>
            </w:pPr>
            <w:r w:rsidRPr="00991711">
              <w:rPr>
                <w:rFonts w:cs="Arial"/>
                <w:sz w:val="18"/>
                <w:szCs w:val="18"/>
                <w:lang w:bidi="ar-SA"/>
              </w:rPr>
              <w:t>61.8</w:t>
            </w:r>
          </w:p>
        </w:tc>
        <w:tc>
          <w:tcPr>
            <w:tcW w:w="851" w:type="dxa"/>
            <w:shd w:val="clear" w:color="auto" w:fill="D9D9D9" w:themeFill="background1" w:themeFillShade="D9"/>
            <w:vAlign w:val="center"/>
          </w:tcPr>
          <w:p w14:paraId="25B5DA69" w14:textId="77777777" w:rsidR="00DD5C9C" w:rsidRPr="00991711" w:rsidRDefault="00DD5C9C" w:rsidP="003B5D42">
            <w:pPr>
              <w:jc w:val="center"/>
              <w:rPr>
                <w:rFonts w:cs="Arial"/>
                <w:sz w:val="18"/>
                <w:szCs w:val="18"/>
                <w:lang w:bidi="ar-SA"/>
              </w:rPr>
            </w:pPr>
            <w:r w:rsidRPr="00991711">
              <w:rPr>
                <w:rFonts w:cs="Arial"/>
                <w:sz w:val="18"/>
                <w:szCs w:val="18"/>
                <w:lang w:bidi="ar-SA"/>
              </w:rPr>
              <w:t>58.2</w:t>
            </w:r>
          </w:p>
        </w:tc>
        <w:tc>
          <w:tcPr>
            <w:tcW w:w="850" w:type="dxa"/>
            <w:shd w:val="clear" w:color="auto" w:fill="D9D9D9" w:themeFill="background1" w:themeFillShade="D9"/>
            <w:vAlign w:val="center"/>
          </w:tcPr>
          <w:p w14:paraId="25B5DA6A" w14:textId="77777777" w:rsidR="00DD5C9C" w:rsidRPr="00991711" w:rsidRDefault="00DD5C9C" w:rsidP="003B5D42">
            <w:pPr>
              <w:jc w:val="center"/>
              <w:rPr>
                <w:rFonts w:cs="Arial"/>
                <w:sz w:val="18"/>
                <w:szCs w:val="18"/>
                <w:lang w:bidi="ar-SA"/>
              </w:rPr>
            </w:pPr>
            <w:r w:rsidRPr="00991711">
              <w:rPr>
                <w:rFonts w:cs="Arial"/>
                <w:sz w:val="18"/>
                <w:szCs w:val="18"/>
                <w:lang w:bidi="ar-SA"/>
              </w:rPr>
              <w:t>43</w:t>
            </w:r>
          </w:p>
        </w:tc>
        <w:tc>
          <w:tcPr>
            <w:tcW w:w="851" w:type="dxa"/>
            <w:shd w:val="clear" w:color="auto" w:fill="D9D9D9" w:themeFill="background1" w:themeFillShade="D9"/>
            <w:vAlign w:val="center"/>
          </w:tcPr>
          <w:p w14:paraId="25B5DA6B" w14:textId="77777777" w:rsidR="00DD5C9C" w:rsidRPr="00991711" w:rsidRDefault="00DD5C9C" w:rsidP="003B5D42">
            <w:pPr>
              <w:jc w:val="center"/>
              <w:rPr>
                <w:rFonts w:cs="Arial"/>
                <w:sz w:val="18"/>
                <w:szCs w:val="18"/>
                <w:lang w:bidi="ar-SA"/>
              </w:rPr>
            </w:pPr>
            <w:r w:rsidRPr="00991711">
              <w:rPr>
                <w:rFonts w:cs="Arial"/>
                <w:sz w:val="18"/>
                <w:szCs w:val="18"/>
                <w:lang w:bidi="ar-SA"/>
              </w:rPr>
              <w:t>52.4</w:t>
            </w:r>
          </w:p>
        </w:tc>
        <w:tc>
          <w:tcPr>
            <w:tcW w:w="850" w:type="dxa"/>
            <w:shd w:val="clear" w:color="auto" w:fill="D9D9D9" w:themeFill="background1" w:themeFillShade="D9"/>
            <w:vAlign w:val="center"/>
          </w:tcPr>
          <w:p w14:paraId="25B5DA6C" w14:textId="77777777" w:rsidR="00DD5C9C" w:rsidRPr="00991711" w:rsidRDefault="00DD5C9C" w:rsidP="003B5D42">
            <w:pPr>
              <w:jc w:val="center"/>
              <w:rPr>
                <w:rFonts w:cs="Arial"/>
                <w:sz w:val="18"/>
                <w:szCs w:val="18"/>
                <w:lang w:bidi="ar-SA"/>
              </w:rPr>
            </w:pPr>
            <w:r w:rsidRPr="00991711">
              <w:rPr>
                <w:rFonts w:cs="Arial"/>
                <w:sz w:val="18"/>
                <w:szCs w:val="18"/>
                <w:lang w:bidi="ar-SA"/>
              </w:rPr>
              <w:t>54.0</w:t>
            </w:r>
          </w:p>
        </w:tc>
        <w:tc>
          <w:tcPr>
            <w:tcW w:w="1418" w:type="dxa"/>
            <w:shd w:val="clear" w:color="auto" w:fill="D9D9D9" w:themeFill="background1" w:themeFillShade="D9"/>
            <w:vAlign w:val="center"/>
          </w:tcPr>
          <w:p w14:paraId="25B5DA6D" w14:textId="77777777" w:rsidR="00DD5C9C" w:rsidRPr="00991711" w:rsidRDefault="00DD5C9C" w:rsidP="003B5D42">
            <w:pPr>
              <w:jc w:val="center"/>
              <w:rPr>
                <w:rFonts w:cs="Arial"/>
                <w:sz w:val="18"/>
                <w:szCs w:val="18"/>
                <w:lang w:bidi="ar-SA"/>
              </w:rPr>
            </w:pPr>
            <w:r w:rsidRPr="00991711">
              <w:rPr>
                <w:rFonts w:cs="Arial"/>
                <w:sz w:val="18"/>
                <w:szCs w:val="18"/>
                <w:lang w:bidi="ar-SA"/>
              </w:rPr>
              <w:t>52.4–61.8</w:t>
            </w:r>
          </w:p>
        </w:tc>
      </w:tr>
      <w:tr w:rsidR="00DD5C9C" w:rsidRPr="007926E4" w14:paraId="25B5DA76" w14:textId="77777777" w:rsidTr="003B5D42">
        <w:trPr>
          <w:trHeight w:val="454"/>
        </w:trPr>
        <w:tc>
          <w:tcPr>
            <w:tcW w:w="3510" w:type="dxa"/>
            <w:vAlign w:val="center"/>
          </w:tcPr>
          <w:p w14:paraId="25B5DA6F" w14:textId="77777777" w:rsidR="00DD5C9C" w:rsidRPr="00991711" w:rsidRDefault="00DD5C9C" w:rsidP="003B5D42">
            <w:pPr>
              <w:rPr>
                <w:rFonts w:cs="Arial"/>
                <w:sz w:val="18"/>
                <w:szCs w:val="18"/>
                <w:lang w:bidi="ar-SA"/>
              </w:rPr>
            </w:pPr>
            <w:r w:rsidRPr="00991711">
              <w:rPr>
                <w:rFonts w:cs="Arial"/>
                <w:sz w:val="18"/>
                <w:szCs w:val="18"/>
                <w:lang w:bidi="ar-SA"/>
              </w:rPr>
              <w:t>(1) Mean consumer, brand loyal</w:t>
            </w:r>
          </w:p>
        </w:tc>
        <w:tc>
          <w:tcPr>
            <w:tcW w:w="1134" w:type="dxa"/>
            <w:vAlign w:val="center"/>
          </w:tcPr>
          <w:p w14:paraId="25B5DA70" w14:textId="77777777" w:rsidR="00DD5C9C" w:rsidRPr="00991711" w:rsidRDefault="00DD5C9C" w:rsidP="003B5D42">
            <w:pPr>
              <w:jc w:val="center"/>
              <w:rPr>
                <w:rFonts w:cs="Arial"/>
                <w:sz w:val="18"/>
                <w:szCs w:val="18"/>
                <w:lang w:bidi="ar-SA"/>
              </w:rPr>
            </w:pPr>
            <w:r w:rsidRPr="00991711">
              <w:rPr>
                <w:rFonts w:cs="Arial"/>
                <w:sz w:val="18"/>
                <w:szCs w:val="18"/>
                <w:lang w:bidi="ar-SA"/>
              </w:rPr>
              <w:t>70.4–72.4</w:t>
            </w:r>
          </w:p>
        </w:tc>
        <w:tc>
          <w:tcPr>
            <w:tcW w:w="851" w:type="dxa"/>
            <w:vAlign w:val="center"/>
          </w:tcPr>
          <w:p w14:paraId="25B5DA71" w14:textId="77777777" w:rsidR="00DD5C9C" w:rsidRPr="00991711" w:rsidRDefault="00DD5C9C" w:rsidP="003B5D42">
            <w:pPr>
              <w:jc w:val="center"/>
              <w:rPr>
                <w:rFonts w:cs="Arial"/>
                <w:sz w:val="18"/>
                <w:szCs w:val="18"/>
                <w:lang w:bidi="ar-SA"/>
              </w:rPr>
            </w:pPr>
            <w:r w:rsidRPr="00991711">
              <w:rPr>
                <w:rFonts w:cs="Arial"/>
                <w:sz w:val="18"/>
                <w:szCs w:val="18"/>
                <w:lang w:bidi="ar-SA"/>
              </w:rPr>
              <w:t>70.1</w:t>
            </w:r>
          </w:p>
        </w:tc>
        <w:tc>
          <w:tcPr>
            <w:tcW w:w="850" w:type="dxa"/>
            <w:vAlign w:val="center"/>
          </w:tcPr>
          <w:p w14:paraId="25B5DA72" w14:textId="77777777" w:rsidR="00DD5C9C" w:rsidRPr="00991711" w:rsidRDefault="00DD5C9C" w:rsidP="003B5D42">
            <w:pPr>
              <w:jc w:val="center"/>
              <w:rPr>
                <w:rFonts w:cs="Arial"/>
                <w:sz w:val="18"/>
                <w:szCs w:val="18"/>
                <w:lang w:bidi="ar-SA"/>
              </w:rPr>
            </w:pPr>
            <w:r w:rsidRPr="00991711">
              <w:rPr>
                <w:rFonts w:cs="Arial"/>
                <w:sz w:val="18"/>
                <w:szCs w:val="18"/>
                <w:lang w:bidi="ar-SA"/>
              </w:rPr>
              <w:t>51–55</w:t>
            </w:r>
          </w:p>
        </w:tc>
        <w:tc>
          <w:tcPr>
            <w:tcW w:w="851" w:type="dxa"/>
            <w:vAlign w:val="center"/>
          </w:tcPr>
          <w:p w14:paraId="25B5DA73" w14:textId="77777777" w:rsidR="00DD5C9C" w:rsidRPr="00991711" w:rsidRDefault="00DD5C9C" w:rsidP="003B5D42">
            <w:pPr>
              <w:jc w:val="center"/>
              <w:rPr>
                <w:rFonts w:cs="Arial"/>
                <w:sz w:val="18"/>
                <w:szCs w:val="18"/>
                <w:lang w:bidi="ar-SA"/>
              </w:rPr>
            </w:pPr>
            <w:r w:rsidRPr="00991711">
              <w:rPr>
                <w:rFonts w:cs="Arial"/>
                <w:sz w:val="18"/>
                <w:szCs w:val="18"/>
                <w:lang w:bidi="ar-SA"/>
              </w:rPr>
              <w:t>64.0</w:t>
            </w:r>
          </w:p>
        </w:tc>
        <w:tc>
          <w:tcPr>
            <w:tcW w:w="850" w:type="dxa"/>
            <w:vAlign w:val="center"/>
          </w:tcPr>
          <w:p w14:paraId="25B5DA74" w14:textId="77777777" w:rsidR="00DD5C9C" w:rsidRPr="00991711" w:rsidRDefault="00DD5C9C" w:rsidP="003B5D42">
            <w:pPr>
              <w:jc w:val="center"/>
              <w:rPr>
                <w:rFonts w:cs="Arial"/>
                <w:sz w:val="18"/>
                <w:szCs w:val="18"/>
                <w:lang w:bidi="ar-SA"/>
              </w:rPr>
            </w:pPr>
            <w:r w:rsidRPr="00991711">
              <w:rPr>
                <w:rFonts w:cs="Arial"/>
                <w:sz w:val="18"/>
                <w:szCs w:val="18"/>
                <w:lang w:bidi="ar-SA"/>
              </w:rPr>
              <w:t>65.6</w:t>
            </w:r>
          </w:p>
        </w:tc>
        <w:tc>
          <w:tcPr>
            <w:tcW w:w="1418" w:type="dxa"/>
            <w:vAlign w:val="center"/>
          </w:tcPr>
          <w:p w14:paraId="25B5DA75" w14:textId="77777777" w:rsidR="00DD5C9C" w:rsidRPr="00991711" w:rsidRDefault="00DD5C9C" w:rsidP="003B5D42">
            <w:pPr>
              <w:jc w:val="center"/>
              <w:rPr>
                <w:rFonts w:cs="Arial"/>
                <w:sz w:val="18"/>
                <w:szCs w:val="18"/>
                <w:lang w:bidi="ar-SA"/>
              </w:rPr>
            </w:pPr>
            <w:r w:rsidRPr="00991711">
              <w:rPr>
                <w:rFonts w:cs="Arial"/>
                <w:sz w:val="18"/>
                <w:szCs w:val="18"/>
                <w:lang w:bidi="ar-SA"/>
              </w:rPr>
              <w:t>64.0–72.4</w:t>
            </w:r>
          </w:p>
        </w:tc>
      </w:tr>
      <w:tr w:rsidR="00DD5C9C" w:rsidRPr="007926E4" w14:paraId="25B5DA7E" w14:textId="77777777" w:rsidTr="003B5D42">
        <w:trPr>
          <w:trHeight w:val="454"/>
        </w:trPr>
        <w:tc>
          <w:tcPr>
            <w:tcW w:w="3510" w:type="dxa"/>
            <w:vAlign w:val="center"/>
          </w:tcPr>
          <w:p w14:paraId="25B5DA77" w14:textId="77777777" w:rsidR="00DD5C9C" w:rsidRPr="00991711" w:rsidRDefault="00DD5C9C" w:rsidP="003B5D42">
            <w:pPr>
              <w:rPr>
                <w:rFonts w:cs="Arial"/>
                <w:sz w:val="18"/>
                <w:szCs w:val="18"/>
                <w:lang w:bidi="ar-SA"/>
              </w:rPr>
            </w:pPr>
            <w:r w:rsidRPr="00991711">
              <w:rPr>
                <w:rFonts w:cs="Arial"/>
                <w:sz w:val="18"/>
                <w:szCs w:val="18"/>
                <w:lang w:bidi="ar-SA"/>
              </w:rPr>
              <w:t>(2) High consumer, brand loyal</w:t>
            </w:r>
          </w:p>
        </w:tc>
        <w:tc>
          <w:tcPr>
            <w:tcW w:w="1134" w:type="dxa"/>
            <w:vAlign w:val="center"/>
          </w:tcPr>
          <w:p w14:paraId="25B5DA78" w14:textId="77777777" w:rsidR="00DD5C9C" w:rsidRPr="00991711" w:rsidRDefault="00DD5C9C" w:rsidP="003B5D42">
            <w:pPr>
              <w:jc w:val="center"/>
              <w:rPr>
                <w:rFonts w:cs="Arial"/>
                <w:sz w:val="18"/>
                <w:szCs w:val="18"/>
                <w:lang w:bidi="ar-SA"/>
              </w:rPr>
            </w:pPr>
            <w:r w:rsidRPr="00991711">
              <w:rPr>
                <w:rFonts w:cs="Arial"/>
                <w:sz w:val="18"/>
                <w:szCs w:val="18"/>
                <w:lang w:bidi="ar-SA"/>
              </w:rPr>
              <w:t>77.2–81.3</w:t>
            </w:r>
          </w:p>
        </w:tc>
        <w:tc>
          <w:tcPr>
            <w:tcW w:w="851" w:type="dxa"/>
            <w:vAlign w:val="center"/>
          </w:tcPr>
          <w:p w14:paraId="25B5DA79" w14:textId="77777777" w:rsidR="00DD5C9C" w:rsidRPr="00991711" w:rsidRDefault="00DD5C9C" w:rsidP="003B5D42">
            <w:pPr>
              <w:jc w:val="center"/>
              <w:rPr>
                <w:rFonts w:cs="Arial"/>
                <w:sz w:val="18"/>
                <w:szCs w:val="18"/>
                <w:lang w:bidi="ar-SA"/>
              </w:rPr>
            </w:pPr>
            <w:r w:rsidRPr="00991711">
              <w:rPr>
                <w:rFonts w:cs="Arial"/>
                <w:sz w:val="18"/>
                <w:szCs w:val="18"/>
                <w:lang w:bidi="ar-SA"/>
              </w:rPr>
              <w:t>80.8</w:t>
            </w:r>
          </w:p>
        </w:tc>
        <w:tc>
          <w:tcPr>
            <w:tcW w:w="850" w:type="dxa"/>
            <w:vAlign w:val="center"/>
          </w:tcPr>
          <w:p w14:paraId="25B5DA7A" w14:textId="77777777" w:rsidR="00DD5C9C" w:rsidRPr="00991711" w:rsidRDefault="00DD5C9C" w:rsidP="003B5D42">
            <w:pPr>
              <w:jc w:val="center"/>
              <w:rPr>
                <w:rFonts w:cs="Arial"/>
                <w:sz w:val="18"/>
                <w:szCs w:val="18"/>
                <w:lang w:bidi="ar-SA"/>
              </w:rPr>
            </w:pPr>
            <w:r w:rsidRPr="00991711">
              <w:rPr>
                <w:rFonts w:cs="Arial"/>
                <w:sz w:val="18"/>
                <w:szCs w:val="18"/>
                <w:lang w:bidi="ar-SA"/>
              </w:rPr>
              <w:t>55–61</w:t>
            </w:r>
          </w:p>
        </w:tc>
        <w:tc>
          <w:tcPr>
            <w:tcW w:w="851" w:type="dxa"/>
            <w:vAlign w:val="center"/>
          </w:tcPr>
          <w:p w14:paraId="25B5DA7B" w14:textId="77777777" w:rsidR="00DD5C9C" w:rsidRPr="00991711" w:rsidRDefault="00DD5C9C" w:rsidP="003B5D42">
            <w:pPr>
              <w:jc w:val="center"/>
              <w:rPr>
                <w:rFonts w:cs="Arial"/>
                <w:sz w:val="18"/>
                <w:szCs w:val="18"/>
                <w:lang w:bidi="ar-SA"/>
              </w:rPr>
            </w:pPr>
            <w:r w:rsidRPr="00991711">
              <w:rPr>
                <w:rFonts w:cs="Arial"/>
                <w:sz w:val="18"/>
                <w:szCs w:val="18"/>
                <w:lang w:bidi="ar-SA"/>
              </w:rPr>
              <w:t>74.5</w:t>
            </w:r>
          </w:p>
        </w:tc>
        <w:tc>
          <w:tcPr>
            <w:tcW w:w="850" w:type="dxa"/>
            <w:vAlign w:val="center"/>
          </w:tcPr>
          <w:p w14:paraId="25B5DA7C" w14:textId="77777777" w:rsidR="00DD5C9C" w:rsidRPr="00991711" w:rsidRDefault="00DD5C9C" w:rsidP="003B5D42">
            <w:pPr>
              <w:jc w:val="center"/>
              <w:rPr>
                <w:rFonts w:cs="Arial"/>
                <w:sz w:val="18"/>
                <w:szCs w:val="18"/>
                <w:lang w:bidi="ar-SA"/>
              </w:rPr>
            </w:pPr>
            <w:r w:rsidRPr="00991711">
              <w:rPr>
                <w:rFonts w:cs="Arial"/>
                <w:sz w:val="18"/>
                <w:szCs w:val="18"/>
                <w:lang w:bidi="ar-SA"/>
              </w:rPr>
              <w:t>76.1</w:t>
            </w:r>
          </w:p>
        </w:tc>
        <w:tc>
          <w:tcPr>
            <w:tcW w:w="1418" w:type="dxa"/>
            <w:vAlign w:val="center"/>
          </w:tcPr>
          <w:p w14:paraId="25B5DA7D" w14:textId="77777777" w:rsidR="00DD5C9C" w:rsidRPr="00991711" w:rsidRDefault="00DD5C9C" w:rsidP="003B5D42">
            <w:pPr>
              <w:jc w:val="center"/>
              <w:rPr>
                <w:rFonts w:cs="Arial"/>
                <w:sz w:val="18"/>
                <w:szCs w:val="18"/>
                <w:lang w:bidi="ar-SA"/>
              </w:rPr>
            </w:pPr>
            <w:r w:rsidRPr="00991711">
              <w:rPr>
                <w:rFonts w:cs="Arial"/>
                <w:sz w:val="18"/>
                <w:szCs w:val="18"/>
                <w:lang w:bidi="ar-SA"/>
              </w:rPr>
              <w:t>74.5–81.3</w:t>
            </w:r>
          </w:p>
        </w:tc>
      </w:tr>
      <w:tr w:rsidR="00DD5C9C" w:rsidRPr="007926E4" w14:paraId="25B5DA86" w14:textId="77777777" w:rsidTr="003B5D42">
        <w:trPr>
          <w:trHeight w:val="454"/>
        </w:trPr>
        <w:tc>
          <w:tcPr>
            <w:tcW w:w="3510" w:type="dxa"/>
            <w:vAlign w:val="center"/>
          </w:tcPr>
          <w:p w14:paraId="25B5DA7F" w14:textId="77777777" w:rsidR="00DD5C9C" w:rsidRPr="00991711" w:rsidRDefault="00DD5C9C" w:rsidP="003B5D42">
            <w:pPr>
              <w:ind w:left="284" w:hanging="284"/>
              <w:rPr>
                <w:rFonts w:cs="Arial"/>
                <w:sz w:val="18"/>
                <w:szCs w:val="18"/>
                <w:lang w:bidi="ar-SA"/>
              </w:rPr>
            </w:pPr>
            <w:r w:rsidRPr="00991711">
              <w:rPr>
                <w:rFonts w:cs="Arial"/>
                <w:sz w:val="18"/>
                <w:szCs w:val="18"/>
                <w:lang w:bidi="ar-SA"/>
              </w:rPr>
              <w:t>(3) Mean consumer, market share (35%)</w:t>
            </w:r>
          </w:p>
        </w:tc>
        <w:tc>
          <w:tcPr>
            <w:tcW w:w="1134" w:type="dxa"/>
            <w:vAlign w:val="center"/>
          </w:tcPr>
          <w:p w14:paraId="25B5DA80" w14:textId="77777777" w:rsidR="00DD5C9C" w:rsidRPr="00991711" w:rsidRDefault="00DD5C9C" w:rsidP="003B5D42">
            <w:pPr>
              <w:jc w:val="center"/>
              <w:rPr>
                <w:rFonts w:cs="Arial"/>
                <w:sz w:val="18"/>
                <w:szCs w:val="18"/>
                <w:lang w:bidi="ar-SA"/>
              </w:rPr>
            </w:pPr>
            <w:r w:rsidRPr="00991711">
              <w:rPr>
                <w:rFonts w:cs="Arial"/>
                <w:sz w:val="18"/>
                <w:szCs w:val="18"/>
                <w:lang w:bidi="ar-SA"/>
              </w:rPr>
              <w:t>64.8–65.5</w:t>
            </w:r>
          </w:p>
        </w:tc>
        <w:tc>
          <w:tcPr>
            <w:tcW w:w="851" w:type="dxa"/>
            <w:vAlign w:val="center"/>
          </w:tcPr>
          <w:p w14:paraId="25B5DA81" w14:textId="77777777" w:rsidR="00DD5C9C" w:rsidRPr="00991711" w:rsidRDefault="00DD5C9C" w:rsidP="003B5D42">
            <w:pPr>
              <w:jc w:val="center"/>
              <w:rPr>
                <w:rFonts w:cs="Arial"/>
                <w:sz w:val="18"/>
                <w:szCs w:val="18"/>
                <w:lang w:bidi="ar-SA"/>
              </w:rPr>
            </w:pPr>
            <w:r w:rsidRPr="00991711">
              <w:rPr>
                <w:rFonts w:cs="Arial"/>
                <w:sz w:val="18"/>
                <w:szCs w:val="18"/>
                <w:lang w:bidi="ar-SA"/>
              </w:rPr>
              <w:t>62.4</w:t>
            </w:r>
          </w:p>
        </w:tc>
        <w:tc>
          <w:tcPr>
            <w:tcW w:w="850" w:type="dxa"/>
            <w:vAlign w:val="center"/>
          </w:tcPr>
          <w:p w14:paraId="25B5DA82" w14:textId="77777777" w:rsidR="00DD5C9C" w:rsidRPr="00991711" w:rsidRDefault="00DD5C9C" w:rsidP="003B5D42">
            <w:pPr>
              <w:jc w:val="center"/>
              <w:rPr>
                <w:rFonts w:cs="Arial"/>
                <w:sz w:val="18"/>
                <w:szCs w:val="18"/>
                <w:lang w:bidi="ar-SA"/>
              </w:rPr>
            </w:pPr>
            <w:r w:rsidRPr="00991711">
              <w:rPr>
                <w:rFonts w:cs="Arial"/>
                <w:sz w:val="18"/>
                <w:szCs w:val="18"/>
                <w:lang w:bidi="ar-SA"/>
              </w:rPr>
              <w:t>46–47</w:t>
            </w:r>
          </w:p>
        </w:tc>
        <w:tc>
          <w:tcPr>
            <w:tcW w:w="851" w:type="dxa"/>
            <w:vAlign w:val="center"/>
          </w:tcPr>
          <w:p w14:paraId="25B5DA83" w14:textId="77777777" w:rsidR="00DD5C9C" w:rsidRPr="00991711" w:rsidRDefault="00DD5C9C" w:rsidP="003B5D42">
            <w:pPr>
              <w:jc w:val="center"/>
              <w:rPr>
                <w:rFonts w:cs="Arial"/>
                <w:sz w:val="18"/>
                <w:szCs w:val="18"/>
                <w:lang w:bidi="ar-SA"/>
              </w:rPr>
            </w:pPr>
            <w:r w:rsidRPr="00991711">
              <w:rPr>
                <w:rFonts w:cs="Arial"/>
                <w:sz w:val="18"/>
                <w:szCs w:val="18"/>
                <w:lang w:bidi="ar-SA"/>
              </w:rPr>
              <w:t>56.5</w:t>
            </w:r>
          </w:p>
        </w:tc>
        <w:tc>
          <w:tcPr>
            <w:tcW w:w="850" w:type="dxa"/>
            <w:vAlign w:val="center"/>
          </w:tcPr>
          <w:p w14:paraId="25B5DA84" w14:textId="77777777" w:rsidR="00DD5C9C" w:rsidRPr="00991711" w:rsidRDefault="00DD5C9C" w:rsidP="003B5D42">
            <w:pPr>
              <w:jc w:val="center"/>
              <w:rPr>
                <w:rFonts w:cs="Arial"/>
                <w:sz w:val="18"/>
                <w:szCs w:val="18"/>
                <w:lang w:bidi="ar-SA"/>
              </w:rPr>
            </w:pPr>
            <w:r w:rsidRPr="00991711">
              <w:rPr>
                <w:rFonts w:cs="Arial"/>
                <w:sz w:val="18"/>
                <w:szCs w:val="18"/>
                <w:lang w:bidi="ar-SA"/>
              </w:rPr>
              <w:t>58.1</w:t>
            </w:r>
          </w:p>
        </w:tc>
        <w:tc>
          <w:tcPr>
            <w:tcW w:w="1418" w:type="dxa"/>
            <w:vAlign w:val="center"/>
          </w:tcPr>
          <w:p w14:paraId="25B5DA85" w14:textId="77777777" w:rsidR="00DD5C9C" w:rsidRPr="00991711" w:rsidRDefault="00DD5C9C" w:rsidP="003B5D42">
            <w:pPr>
              <w:jc w:val="center"/>
              <w:rPr>
                <w:rFonts w:cs="Arial"/>
                <w:sz w:val="18"/>
                <w:szCs w:val="18"/>
                <w:lang w:bidi="ar-SA"/>
              </w:rPr>
            </w:pPr>
            <w:r w:rsidRPr="00991711">
              <w:rPr>
                <w:rFonts w:cs="Arial"/>
                <w:sz w:val="18"/>
                <w:szCs w:val="18"/>
                <w:lang w:bidi="ar-SA"/>
              </w:rPr>
              <w:t>56.5–65.5</w:t>
            </w:r>
          </w:p>
        </w:tc>
      </w:tr>
      <w:tr w:rsidR="00DD5C9C" w:rsidRPr="007926E4" w14:paraId="25B5DA8E" w14:textId="77777777" w:rsidTr="003B5D42">
        <w:trPr>
          <w:trHeight w:val="454"/>
        </w:trPr>
        <w:tc>
          <w:tcPr>
            <w:tcW w:w="3510" w:type="dxa"/>
            <w:vAlign w:val="center"/>
          </w:tcPr>
          <w:p w14:paraId="25B5DA87" w14:textId="77777777" w:rsidR="00DD5C9C" w:rsidRPr="00991711" w:rsidRDefault="00DD5C9C" w:rsidP="003B5D42">
            <w:pPr>
              <w:ind w:left="284" w:hanging="284"/>
              <w:rPr>
                <w:rFonts w:cs="Arial"/>
                <w:sz w:val="18"/>
                <w:szCs w:val="18"/>
                <w:lang w:bidi="ar-SA"/>
              </w:rPr>
            </w:pPr>
            <w:r w:rsidRPr="00991711">
              <w:rPr>
                <w:rFonts w:cs="Arial"/>
                <w:sz w:val="18"/>
                <w:szCs w:val="18"/>
                <w:lang w:bidi="ar-SA"/>
              </w:rPr>
              <w:t>(4) High consumer, market share (35%)</w:t>
            </w:r>
          </w:p>
        </w:tc>
        <w:tc>
          <w:tcPr>
            <w:tcW w:w="1134" w:type="dxa"/>
            <w:vAlign w:val="center"/>
          </w:tcPr>
          <w:p w14:paraId="25B5DA88" w14:textId="77777777" w:rsidR="00DD5C9C" w:rsidRPr="00991711" w:rsidRDefault="00DD5C9C" w:rsidP="003B5D42">
            <w:pPr>
              <w:jc w:val="center"/>
              <w:rPr>
                <w:rFonts w:cs="Arial"/>
                <w:sz w:val="18"/>
                <w:szCs w:val="18"/>
                <w:lang w:bidi="ar-SA"/>
              </w:rPr>
            </w:pPr>
            <w:r w:rsidRPr="00991711">
              <w:rPr>
                <w:rFonts w:cs="Arial"/>
                <w:sz w:val="18"/>
                <w:szCs w:val="18"/>
                <w:lang w:bidi="ar-SA"/>
              </w:rPr>
              <w:t>67.2–68.6</w:t>
            </w:r>
          </w:p>
        </w:tc>
        <w:tc>
          <w:tcPr>
            <w:tcW w:w="851" w:type="dxa"/>
            <w:vAlign w:val="center"/>
          </w:tcPr>
          <w:p w14:paraId="25B5DA89" w14:textId="77777777" w:rsidR="00DD5C9C" w:rsidRPr="00991711" w:rsidRDefault="00DD5C9C" w:rsidP="003B5D42">
            <w:pPr>
              <w:jc w:val="center"/>
              <w:rPr>
                <w:rFonts w:cs="Arial"/>
                <w:sz w:val="18"/>
                <w:szCs w:val="18"/>
                <w:lang w:bidi="ar-SA"/>
              </w:rPr>
            </w:pPr>
            <w:r w:rsidRPr="00991711">
              <w:rPr>
                <w:rFonts w:cs="Arial"/>
                <w:sz w:val="18"/>
                <w:szCs w:val="18"/>
                <w:lang w:bidi="ar-SA"/>
              </w:rPr>
              <w:t>66.1</w:t>
            </w:r>
          </w:p>
        </w:tc>
        <w:tc>
          <w:tcPr>
            <w:tcW w:w="850" w:type="dxa"/>
            <w:vAlign w:val="center"/>
          </w:tcPr>
          <w:p w14:paraId="25B5DA8A" w14:textId="77777777" w:rsidR="00DD5C9C" w:rsidRPr="00991711" w:rsidRDefault="00DD5C9C" w:rsidP="003B5D42">
            <w:pPr>
              <w:jc w:val="center"/>
              <w:rPr>
                <w:rFonts w:cs="Arial"/>
                <w:sz w:val="18"/>
                <w:szCs w:val="18"/>
                <w:lang w:bidi="ar-SA"/>
              </w:rPr>
            </w:pPr>
            <w:r w:rsidRPr="00991711">
              <w:rPr>
                <w:rFonts w:cs="Arial"/>
                <w:sz w:val="18"/>
                <w:szCs w:val="18"/>
                <w:lang w:bidi="ar-SA"/>
              </w:rPr>
              <w:t>47–50</w:t>
            </w:r>
          </w:p>
        </w:tc>
        <w:tc>
          <w:tcPr>
            <w:tcW w:w="851" w:type="dxa"/>
            <w:vAlign w:val="center"/>
          </w:tcPr>
          <w:p w14:paraId="25B5DA8B" w14:textId="77777777" w:rsidR="00DD5C9C" w:rsidRPr="00991711" w:rsidRDefault="00DD5C9C" w:rsidP="003B5D42">
            <w:pPr>
              <w:jc w:val="center"/>
              <w:rPr>
                <w:rFonts w:cs="Arial"/>
                <w:sz w:val="18"/>
                <w:szCs w:val="18"/>
                <w:lang w:bidi="ar-SA"/>
              </w:rPr>
            </w:pPr>
            <w:r w:rsidRPr="00991711">
              <w:rPr>
                <w:rFonts w:cs="Arial"/>
                <w:sz w:val="18"/>
                <w:szCs w:val="18"/>
                <w:lang w:bidi="ar-SA"/>
              </w:rPr>
              <w:t>60.1</w:t>
            </w:r>
          </w:p>
        </w:tc>
        <w:tc>
          <w:tcPr>
            <w:tcW w:w="850" w:type="dxa"/>
            <w:vAlign w:val="center"/>
          </w:tcPr>
          <w:p w14:paraId="25B5DA8C" w14:textId="77777777" w:rsidR="00DD5C9C" w:rsidRPr="00991711" w:rsidRDefault="00DD5C9C" w:rsidP="003B5D42">
            <w:pPr>
              <w:jc w:val="center"/>
              <w:rPr>
                <w:rFonts w:cs="Arial"/>
                <w:sz w:val="18"/>
                <w:szCs w:val="18"/>
                <w:lang w:bidi="ar-SA"/>
              </w:rPr>
            </w:pPr>
            <w:r w:rsidRPr="00991711">
              <w:rPr>
                <w:rFonts w:cs="Arial"/>
                <w:sz w:val="18"/>
                <w:szCs w:val="18"/>
                <w:lang w:bidi="ar-SA"/>
              </w:rPr>
              <w:t>61.7</w:t>
            </w:r>
          </w:p>
        </w:tc>
        <w:tc>
          <w:tcPr>
            <w:tcW w:w="1418" w:type="dxa"/>
            <w:vAlign w:val="center"/>
          </w:tcPr>
          <w:p w14:paraId="25B5DA8D" w14:textId="77777777" w:rsidR="00DD5C9C" w:rsidRPr="00991711" w:rsidRDefault="00DD5C9C" w:rsidP="003B5D42">
            <w:pPr>
              <w:jc w:val="center"/>
              <w:rPr>
                <w:rFonts w:cs="Arial"/>
                <w:sz w:val="18"/>
                <w:szCs w:val="18"/>
                <w:lang w:bidi="ar-SA"/>
              </w:rPr>
            </w:pPr>
            <w:r w:rsidRPr="00991711">
              <w:rPr>
                <w:rFonts w:cs="Arial"/>
                <w:sz w:val="18"/>
                <w:szCs w:val="18"/>
                <w:lang w:bidi="ar-SA"/>
              </w:rPr>
              <w:t>60.1–68.6</w:t>
            </w:r>
          </w:p>
        </w:tc>
      </w:tr>
      <w:tr w:rsidR="00DD5C9C" w:rsidRPr="007926E4" w14:paraId="25B5DA96" w14:textId="77777777" w:rsidTr="003B5D42">
        <w:trPr>
          <w:trHeight w:val="454"/>
        </w:trPr>
        <w:tc>
          <w:tcPr>
            <w:tcW w:w="3510" w:type="dxa"/>
            <w:shd w:val="clear" w:color="auto" w:fill="D9D9D9" w:themeFill="background1" w:themeFillShade="D9"/>
            <w:vAlign w:val="center"/>
          </w:tcPr>
          <w:p w14:paraId="25B5DA8F" w14:textId="77777777" w:rsidR="00DD5C9C" w:rsidRPr="00991711" w:rsidRDefault="00DD5C9C" w:rsidP="003B5D42">
            <w:pPr>
              <w:rPr>
                <w:rFonts w:cs="Arial"/>
                <w:i/>
                <w:sz w:val="18"/>
                <w:szCs w:val="18"/>
                <w:lang w:bidi="ar-SA"/>
              </w:rPr>
            </w:pPr>
            <w:r w:rsidRPr="00991711">
              <w:rPr>
                <w:rFonts w:cs="Arial"/>
                <w:b/>
                <w:i/>
                <w:sz w:val="18"/>
                <w:szCs w:val="18"/>
                <w:lang w:bidi="ar-SA"/>
              </w:rPr>
              <w:t>Summer</w:t>
            </w:r>
            <w:r w:rsidRPr="00991711">
              <w:rPr>
                <w:rFonts w:cs="Arial"/>
                <w:sz w:val="18"/>
                <w:szCs w:val="18"/>
                <w:lang w:bidi="ar-SA"/>
              </w:rPr>
              <w:t xml:space="preserve">               </w:t>
            </w:r>
            <w:r>
              <w:rPr>
                <w:rFonts w:cs="Arial"/>
                <w:sz w:val="18"/>
                <w:szCs w:val="18"/>
                <w:lang w:bidi="ar-SA"/>
              </w:rPr>
              <w:t xml:space="preserve">         </w:t>
            </w:r>
            <w:r w:rsidRPr="00991711">
              <w:rPr>
                <w:rFonts w:cs="Arial"/>
                <w:sz w:val="18"/>
                <w:szCs w:val="18"/>
                <w:lang w:bidi="ar-SA"/>
              </w:rPr>
              <w:t xml:space="preserve"> Baseline mean</w:t>
            </w:r>
          </w:p>
        </w:tc>
        <w:tc>
          <w:tcPr>
            <w:tcW w:w="1134" w:type="dxa"/>
            <w:shd w:val="clear" w:color="auto" w:fill="D9D9D9" w:themeFill="background1" w:themeFillShade="D9"/>
            <w:vAlign w:val="center"/>
          </w:tcPr>
          <w:p w14:paraId="25B5DA90" w14:textId="77777777" w:rsidR="00DD5C9C" w:rsidRPr="00991711" w:rsidRDefault="00DD5C9C" w:rsidP="003B5D42">
            <w:pPr>
              <w:jc w:val="center"/>
              <w:rPr>
                <w:rFonts w:cs="Arial"/>
                <w:b/>
                <w:i/>
                <w:sz w:val="18"/>
                <w:szCs w:val="18"/>
                <w:lang w:bidi="ar-SA"/>
              </w:rPr>
            </w:pPr>
            <w:r w:rsidRPr="00991711">
              <w:rPr>
                <w:rFonts w:cs="Arial"/>
                <w:sz w:val="18"/>
                <w:szCs w:val="18"/>
                <w:lang w:bidi="ar-SA"/>
              </w:rPr>
              <w:t>76.4</w:t>
            </w:r>
          </w:p>
        </w:tc>
        <w:tc>
          <w:tcPr>
            <w:tcW w:w="851" w:type="dxa"/>
            <w:shd w:val="clear" w:color="auto" w:fill="D9D9D9" w:themeFill="background1" w:themeFillShade="D9"/>
            <w:vAlign w:val="center"/>
          </w:tcPr>
          <w:p w14:paraId="25B5DA91" w14:textId="77777777" w:rsidR="00DD5C9C" w:rsidRPr="00991711" w:rsidRDefault="00DD5C9C" w:rsidP="003B5D42">
            <w:pPr>
              <w:jc w:val="center"/>
              <w:rPr>
                <w:rFonts w:cs="Arial"/>
                <w:b/>
                <w:i/>
                <w:sz w:val="18"/>
                <w:szCs w:val="18"/>
                <w:lang w:bidi="ar-SA"/>
              </w:rPr>
            </w:pPr>
            <w:r w:rsidRPr="00991711">
              <w:rPr>
                <w:rFonts w:cs="Arial"/>
                <w:sz w:val="18"/>
                <w:szCs w:val="18"/>
                <w:lang w:bidi="ar-SA"/>
              </w:rPr>
              <w:t>70.7</w:t>
            </w:r>
          </w:p>
        </w:tc>
        <w:tc>
          <w:tcPr>
            <w:tcW w:w="850" w:type="dxa"/>
            <w:shd w:val="clear" w:color="auto" w:fill="D9D9D9" w:themeFill="background1" w:themeFillShade="D9"/>
            <w:vAlign w:val="center"/>
          </w:tcPr>
          <w:p w14:paraId="25B5DA92" w14:textId="77777777" w:rsidR="00DD5C9C" w:rsidRPr="00991711" w:rsidRDefault="00DD5C9C" w:rsidP="003B5D42">
            <w:pPr>
              <w:jc w:val="center"/>
              <w:rPr>
                <w:rFonts w:cs="Arial"/>
                <w:b/>
                <w:i/>
                <w:sz w:val="18"/>
                <w:szCs w:val="18"/>
                <w:lang w:bidi="ar-SA"/>
              </w:rPr>
            </w:pPr>
            <w:r w:rsidRPr="00991711">
              <w:rPr>
                <w:rFonts w:cs="Arial"/>
                <w:sz w:val="18"/>
                <w:szCs w:val="18"/>
                <w:lang w:bidi="ar-SA"/>
              </w:rPr>
              <w:t>58</w:t>
            </w:r>
          </w:p>
        </w:tc>
        <w:tc>
          <w:tcPr>
            <w:tcW w:w="851" w:type="dxa"/>
            <w:shd w:val="clear" w:color="auto" w:fill="D9D9D9" w:themeFill="background1" w:themeFillShade="D9"/>
            <w:vAlign w:val="center"/>
          </w:tcPr>
          <w:p w14:paraId="25B5DA93" w14:textId="77777777" w:rsidR="00DD5C9C" w:rsidRPr="00991711" w:rsidRDefault="00DD5C9C" w:rsidP="003B5D42">
            <w:pPr>
              <w:jc w:val="center"/>
              <w:rPr>
                <w:rFonts w:cs="Arial"/>
                <w:b/>
                <w:i/>
                <w:sz w:val="18"/>
                <w:szCs w:val="18"/>
                <w:lang w:bidi="ar-SA"/>
              </w:rPr>
            </w:pPr>
            <w:r w:rsidRPr="00991711">
              <w:rPr>
                <w:rFonts w:cs="Arial"/>
                <w:sz w:val="18"/>
                <w:szCs w:val="18"/>
                <w:lang w:bidi="ar-SA"/>
              </w:rPr>
              <w:t>75.9</w:t>
            </w:r>
          </w:p>
        </w:tc>
        <w:tc>
          <w:tcPr>
            <w:tcW w:w="850" w:type="dxa"/>
            <w:shd w:val="clear" w:color="auto" w:fill="D9D9D9" w:themeFill="background1" w:themeFillShade="D9"/>
            <w:vAlign w:val="center"/>
          </w:tcPr>
          <w:p w14:paraId="25B5DA94" w14:textId="77777777" w:rsidR="00DD5C9C" w:rsidRPr="00991711" w:rsidRDefault="00DD5C9C" w:rsidP="003B5D42">
            <w:pPr>
              <w:jc w:val="center"/>
              <w:rPr>
                <w:rFonts w:cs="Arial"/>
                <w:b/>
                <w:i/>
                <w:sz w:val="18"/>
                <w:szCs w:val="18"/>
                <w:lang w:bidi="ar-SA"/>
              </w:rPr>
            </w:pPr>
            <w:r w:rsidRPr="00991711">
              <w:rPr>
                <w:rFonts w:cs="Arial"/>
                <w:sz w:val="18"/>
                <w:szCs w:val="18"/>
                <w:lang w:bidi="ar-SA"/>
              </w:rPr>
              <w:t>72.2</w:t>
            </w:r>
          </w:p>
        </w:tc>
        <w:tc>
          <w:tcPr>
            <w:tcW w:w="1418" w:type="dxa"/>
            <w:shd w:val="clear" w:color="auto" w:fill="D9D9D9" w:themeFill="background1" w:themeFillShade="D9"/>
            <w:vAlign w:val="center"/>
          </w:tcPr>
          <w:p w14:paraId="25B5DA95" w14:textId="77777777" w:rsidR="00DD5C9C" w:rsidRPr="00991711" w:rsidRDefault="00DD5C9C" w:rsidP="003B5D42">
            <w:pPr>
              <w:jc w:val="center"/>
              <w:rPr>
                <w:rFonts w:cs="Arial"/>
                <w:b/>
                <w:sz w:val="18"/>
                <w:szCs w:val="18"/>
                <w:lang w:bidi="ar-SA"/>
              </w:rPr>
            </w:pPr>
            <w:r w:rsidRPr="00991711">
              <w:rPr>
                <w:rFonts w:cs="Arial"/>
                <w:sz w:val="18"/>
                <w:szCs w:val="18"/>
                <w:lang w:bidi="ar-SA"/>
              </w:rPr>
              <w:t>70.7–76.4</w:t>
            </w:r>
          </w:p>
        </w:tc>
      </w:tr>
      <w:tr w:rsidR="00DD5C9C" w:rsidRPr="007926E4" w14:paraId="25B5DA9E" w14:textId="77777777" w:rsidTr="003B5D42">
        <w:trPr>
          <w:trHeight w:val="454"/>
        </w:trPr>
        <w:tc>
          <w:tcPr>
            <w:tcW w:w="3510" w:type="dxa"/>
            <w:vAlign w:val="center"/>
          </w:tcPr>
          <w:p w14:paraId="25B5DA97" w14:textId="77777777" w:rsidR="00DD5C9C" w:rsidRPr="00991711" w:rsidRDefault="00DD5C9C" w:rsidP="003B5D42">
            <w:pPr>
              <w:rPr>
                <w:rFonts w:cs="Arial"/>
                <w:sz w:val="18"/>
                <w:szCs w:val="18"/>
                <w:lang w:bidi="ar-SA"/>
              </w:rPr>
            </w:pPr>
            <w:r w:rsidRPr="00991711">
              <w:rPr>
                <w:rFonts w:cs="Arial"/>
                <w:sz w:val="18"/>
                <w:szCs w:val="18"/>
                <w:lang w:bidi="ar-SA"/>
              </w:rPr>
              <w:t>(1) Mean consumer, brand loyal</w:t>
            </w:r>
          </w:p>
        </w:tc>
        <w:tc>
          <w:tcPr>
            <w:tcW w:w="1134" w:type="dxa"/>
            <w:vAlign w:val="center"/>
          </w:tcPr>
          <w:p w14:paraId="25B5DA98" w14:textId="77777777" w:rsidR="00DD5C9C" w:rsidRPr="00991711" w:rsidRDefault="00DD5C9C" w:rsidP="003B5D42">
            <w:pPr>
              <w:jc w:val="center"/>
              <w:rPr>
                <w:rFonts w:cs="Arial"/>
                <w:sz w:val="18"/>
                <w:szCs w:val="18"/>
                <w:lang w:bidi="ar-SA"/>
              </w:rPr>
            </w:pPr>
            <w:r w:rsidRPr="00991711">
              <w:rPr>
                <w:rFonts w:cs="Arial"/>
                <w:sz w:val="18"/>
                <w:szCs w:val="18"/>
                <w:lang w:bidi="ar-SA"/>
              </w:rPr>
              <w:t>85.0–87.0</w:t>
            </w:r>
          </w:p>
        </w:tc>
        <w:tc>
          <w:tcPr>
            <w:tcW w:w="851" w:type="dxa"/>
            <w:vAlign w:val="center"/>
          </w:tcPr>
          <w:p w14:paraId="25B5DA99" w14:textId="77777777" w:rsidR="00DD5C9C" w:rsidRPr="00991711" w:rsidRDefault="00DD5C9C" w:rsidP="003B5D42">
            <w:pPr>
              <w:jc w:val="center"/>
              <w:rPr>
                <w:rFonts w:cs="Arial"/>
                <w:sz w:val="18"/>
                <w:szCs w:val="18"/>
                <w:lang w:bidi="ar-SA"/>
              </w:rPr>
            </w:pPr>
            <w:r w:rsidRPr="00991711">
              <w:rPr>
                <w:rFonts w:cs="Arial"/>
                <w:sz w:val="18"/>
                <w:szCs w:val="18"/>
                <w:lang w:bidi="ar-SA"/>
              </w:rPr>
              <w:t>82.6</w:t>
            </w:r>
          </w:p>
        </w:tc>
        <w:tc>
          <w:tcPr>
            <w:tcW w:w="850" w:type="dxa"/>
            <w:vAlign w:val="center"/>
          </w:tcPr>
          <w:p w14:paraId="25B5DA9A" w14:textId="77777777" w:rsidR="00DD5C9C" w:rsidRPr="00991711" w:rsidRDefault="00DD5C9C" w:rsidP="003B5D42">
            <w:pPr>
              <w:jc w:val="center"/>
              <w:rPr>
                <w:rFonts w:cs="Arial"/>
                <w:sz w:val="18"/>
                <w:szCs w:val="18"/>
                <w:lang w:bidi="ar-SA"/>
              </w:rPr>
            </w:pPr>
            <w:r w:rsidRPr="00991711">
              <w:rPr>
                <w:rFonts w:cs="Arial"/>
                <w:sz w:val="18"/>
                <w:szCs w:val="18"/>
                <w:lang w:bidi="ar-SA"/>
              </w:rPr>
              <w:t>66–70</w:t>
            </w:r>
          </w:p>
        </w:tc>
        <w:tc>
          <w:tcPr>
            <w:tcW w:w="851" w:type="dxa"/>
            <w:vAlign w:val="center"/>
          </w:tcPr>
          <w:p w14:paraId="25B5DA9B" w14:textId="77777777" w:rsidR="00DD5C9C" w:rsidRPr="00991711" w:rsidRDefault="00DD5C9C" w:rsidP="003B5D42">
            <w:pPr>
              <w:jc w:val="center"/>
              <w:rPr>
                <w:rFonts w:cs="Arial"/>
                <w:sz w:val="18"/>
                <w:szCs w:val="18"/>
                <w:lang w:bidi="ar-SA"/>
              </w:rPr>
            </w:pPr>
            <w:r w:rsidRPr="00991711">
              <w:rPr>
                <w:rFonts w:cs="Arial"/>
                <w:sz w:val="18"/>
                <w:szCs w:val="18"/>
                <w:lang w:bidi="ar-SA"/>
              </w:rPr>
              <w:t>91.2</w:t>
            </w:r>
          </w:p>
        </w:tc>
        <w:tc>
          <w:tcPr>
            <w:tcW w:w="850" w:type="dxa"/>
            <w:vAlign w:val="center"/>
          </w:tcPr>
          <w:p w14:paraId="25B5DA9C" w14:textId="77777777" w:rsidR="00DD5C9C" w:rsidRPr="00991711" w:rsidRDefault="00DD5C9C" w:rsidP="003B5D42">
            <w:pPr>
              <w:jc w:val="center"/>
              <w:rPr>
                <w:rFonts w:cs="Arial"/>
                <w:sz w:val="18"/>
                <w:szCs w:val="18"/>
                <w:lang w:bidi="ar-SA"/>
              </w:rPr>
            </w:pPr>
            <w:r w:rsidRPr="00991711">
              <w:rPr>
                <w:rFonts w:cs="Arial"/>
                <w:sz w:val="18"/>
                <w:szCs w:val="18"/>
                <w:lang w:bidi="ar-SA"/>
              </w:rPr>
              <w:t>83.8</w:t>
            </w:r>
          </w:p>
        </w:tc>
        <w:tc>
          <w:tcPr>
            <w:tcW w:w="1418" w:type="dxa"/>
            <w:vAlign w:val="center"/>
          </w:tcPr>
          <w:p w14:paraId="25B5DA9D" w14:textId="77777777" w:rsidR="00DD5C9C" w:rsidRPr="00991711" w:rsidRDefault="00DD5C9C" w:rsidP="003B5D42">
            <w:pPr>
              <w:jc w:val="center"/>
              <w:rPr>
                <w:rFonts w:cs="Arial"/>
                <w:sz w:val="18"/>
                <w:szCs w:val="18"/>
                <w:lang w:bidi="ar-SA"/>
              </w:rPr>
            </w:pPr>
            <w:r w:rsidRPr="00991711">
              <w:rPr>
                <w:rFonts w:cs="Arial"/>
                <w:sz w:val="18"/>
                <w:szCs w:val="18"/>
                <w:lang w:bidi="ar-SA"/>
              </w:rPr>
              <w:t>82.6–91.2</w:t>
            </w:r>
          </w:p>
        </w:tc>
      </w:tr>
      <w:tr w:rsidR="00DD5C9C" w:rsidRPr="007926E4" w14:paraId="25B5DAA6" w14:textId="77777777" w:rsidTr="003B5D42">
        <w:trPr>
          <w:trHeight w:val="454"/>
        </w:trPr>
        <w:tc>
          <w:tcPr>
            <w:tcW w:w="3510" w:type="dxa"/>
            <w:vAlign w:val="center"/>
          </w:tcPr>
          <w:p w14:paraId="25B5DA9F" w14:textId="77777777" w:rsidR="00DD5C9C" w:rsidRPr="00991711" w:rsidRDefault="00DD5C9C" w:rsidP="003B5D42">
            <w:pPr>
              <w:rPr>
                <w:rFonts w:cs="Arial"/>
                <w:sz w:val="18"/>
                <w:szCs w:val="18"/>
                <w:lang w:bidi="ar-SA"/>
              </w:rPr>
            </w:pPr>
            <w:r w:rsidRPr="00991711">
              <w:rPr>
                <w:rFonts w:cs="Arial"/>
                <w:sz w:val="18"/>
                <w:szCs w:val="18"/>
                <w:lang w:bidi="ar-SA"/>
              </w:rPr>
              <w:t>(2) High consumer, brand loyal</w:t>
            </w:r>
          </w:p>
        </w:tc>
        <w:tc>
          <w:tcPr>
            <w:tcW w:w="1134" w:type="dxa"/>
            <w:vAlign w:val="center"/>
          </w:tcPr>
          <w:p w14:paraId="25B5DAA0" w14:textId="77777777" w:rsidR="00DD5C9C" w:rsidRPr="00991711" w:rsidRDefault="00DD5C9C" w:rsidP="003B5D42">
            <w:pPr>
              <w:jc w:val="center"/>
              <w:rPr>
                <w:rFonts w:cs="Arial"/>
                <w:sz w:val="18"/>
                <w:szCs w:val="18"/>
                <w:lang w:bidi="ar-SA"/>
              </w:rPr>
            </w:pPr>
            <w:r w:rsidRPr="00991711">
              <w:rPr>
                <w:rFonts w:cs="Arial"/>
                <w:sz w:val="18"/>
                <w:szCs w:val="18"/>
                <w:lang w:bidi="ar-SA"/>
              </w:rPr>
              <w:t>91.8–95.9</w:t>
            </w:r>
          </w:p>
        </w:tc>
        <w:tc>
          <w:tcPr>
            <w:tcW w:w="851" w:type="dxa"/>
            <w:vAlign w:val="center"/>
          </w:tcPr>
          <w:p w14:paraId="25B5DAA1" w14:textId="77777777" w:rsidR="00DD5C9C" w:rsidRPr="00991711" w:rsidRDefault="00DD5C9C" w:rsidP="003B5D42">
            <w:pPr>
              <w:jc w:val="center"/>
              <w:rPr>
                <w:rFonts w:cs="Arial"/>
                <w:sz w:val="18"/>
                <w:szCs w:val="18"/>
                <w:lang w:bidi="ar-SA"/>
              </w:rPr>
            </w:pPr>
            <w:r w:rsidRPr="00991711">
              <w:rPr>
                <w:rFonts w:cs="Arial"/>
                <w:sz w:val="18"/>
                <w:szCs w:val="18"/>
                <w:lang w:bidi="ar-SA"/>
              </w:rPr>
              <w:t>93.3</w:t>
            </w:r>
          </w:p>
        </w:tc>
        <w:tc>
          <w:tcPr>
            <w:tcW w:w="850" w:type="dxa"/>
            <w:vAlign w:val="center"/>
          </w:tcPr>
          <w:p w14:paraId="25B5DAA2" w14:textId="77777777" w:rsidR="00DD5C9C" w:rsidRPr="00991711" w:rsidRDefault="00DD5C9C" w:rsidP="003B5D42">
            <w:pPr>
              <w:jc w:val="center"/>
              <w:rPr>
                <w:rFonts w:cs="Arial"/>
                <w:sz w:val="18"/>
                <w:szCs w:val="18"/>
                <w:lang w:bidi="ar-SA"/>
              </w:rPr>
            </w:pPr>
            <w:r w:rsidRPr="00991711">
              <w:rPr>
                <w:rFonts w:cs="Arial"/>
                <w:sz w:val="18"/>
                <w:szCs w:val="18"/>
                <w:lang w:bidi="ar-SA"/>
              </w:rPr>
              <w:t>70 –76</w:t>
            </w:r>
          </w:p>
        </w:tc>
        <w:tc>
          <w:tcPr>
            <w:tcW w:w="851" w:type="dxa"/>
            <w:vAlign w:val="center"/>
          </w:tcPr>
          <w:p w14:paraId="25B5DAA3" w14:textId="77777777" w:rsidR="00DD5C9C" w:rsidRPr="00991711" w:rsidRDefault="00DD5C9C" w:rsidP="003B5D42">
            <w:pPr>
              <w:jc w:val="center"/>
              <w:rPr>
                <w:rFonts w:cs="Arial"/>
                <w:sz w:val="18"/>
                <w:szCs w:val="18"/>
                <w:lang w:bidi="ar-SA"/>
              </w:rPr>
            </w:pPr>
            <w:r w:rsidRPr="00991711">
              <w:rPr>
                <w:rFonts w:cs="Arial"/>
                <w:sz w:val="18"/>
                <w:szCs w:val="18"/>
                <w:lang w:bidi="ar-SA"/>
              </w:rPr>
              <w:t>98.0</w:t>
            </w:r>
          </w:p>
        </w:tc>
        <w:tc>
          <w:tcPr>
            <w:tcW w:w="850" w:type="dxa"/>
            <w:vAlign w:val="center"/>
          </w:tcPr>
          <w:p w14:paraId="25B5DAA4" w14:textId="77777777" w:rsidR="00DD5C9C" w:rsidRPr="00991711" w:rsidRDefault="00DD5C9C" w:rsidP="003B5D42">
            <w:pPr>
              <w:jc w:val="center"/>
              <w:rPr>
                <w:rFonts w:cs="Arial"/>
                <w:sz w:val="18"/>
                <w:szCs w:val="18"/>
                <w:lang w:bidi="ar-SA"/>
              </w:rPr>
            </w:pPr>
            <w:r w:rsidRPr="00991711">
              <w:rPr>
                <w:rFonts w:cs="Arial"/>
                <w:sz w:val="18"/>
                <w:szCs w:val="18"/>
                <w:lang w:bidi="ar-SA"/>
              </w:rPr>
              <w:t>94.3</w:t>
            </w:r>
          </w:p>
        </w:tc>
        <w:tc>
          <w:tcPr>
            <w:tcW w:w="1418" w:type="dxa"/>
            <w:vAlign w:val="center"/>
          </w:tcPr>
          <w:p w14:paraId="25B5DAA5" w14:textId="77777777" w:rsidR="00DD5C9C" w:rsidRPr="00991711" w:rsidRDefault="00DD5C9C" w:rsidP="003B5D42">
            <w:pPr>
              <w:jc w:val="center"/>
              <w:rPr>
                <w:rFonts w:cs="Arial"/>
                <w:sz w:val="18"/>
                <w:szCs w:val="18"/>
                <w:lang w:bidi="ar-SA"/>
              </w:rPr>
            </w:pPr>
            <w:r w:rsidRPr="00991711">
              <w:rPr>
                <w:rFonts w:cs="Arial"/>
                <w:sz w:val="18"/>
                <w:szCs w:val="18"/>
                <w:lang w:bidi="ar-SA"/>
              </w:rPr>
              <w:t>93.3–98.0</w:t>
            </w:r>
          </w:p>
        </w:tc>
      </w:tr>
      <w:tr w:rsidR="00DD5C9C" w:rsidRPr="007926E4" w14:paraId="25B5DAAE" w14:textId="77777777" w:rsidTr="003B5D42">
        <w:trPr>
          <w:trHeight w:val="454"/>
        </w:trPr>
        <w:tc>
          <w:tcPr>
            <w:tcW w:w="3510" w:type="dxa"/>
            <w:vAlign w:val="center"/>
          </w:tcPr>
          <w:p w14:paraId="25B5DAA7" w14:textId="77777777" w:rsidR="00DD5C9C" w:rsidRPr="00991711" w:rsidRDefault="00DD5C9C" w:rsidP="003B5D42">
            <w:pPr>
              <w:ind w:left="284" w:hanging="284"/>
              <w:rPr>
                <w:rFonts w:cs="Arial"/>
                <w:sz w:val="18"/>
                <w:szCs w:val="18"/>
                <w:lang w:bidi="ar-SA"/>
              </w:rPr>
            </w:pPr>
            <w:r w:rsidRPr="00991711">
              <w:rPr>
                <w:rFonts w:cs="Arial"/>
                <w:sz w:val="18"/>
                <w:szCs w:val="18"/>
                <w:lang w:bidi="ar-SA"/>
              </w:rPr>
              <w:t>(3) Mean consumer, market share (35%)</w:t>
            </w:r>
          </w:p>
        </w:tc>
        <w:tc>
          <w:tcPr>
            <w:tcW w:w="1134" w:type="dxa"/>
            <w:vAlign w:val="center"/>
          </w:tcPr>
          <w:p w14:paraId="25B5DAA8" w14:textId="77777777" w:rsidR="00DD5C9C" w:rsidRPr="00991711" w:rsidRDefault="00DD5C9C" w:rsidP="003B5D42">
            <w:pPr>
              <w:jc w:val="center"/>
              <w:rPr>
                <w:rFonts w:cs="Arial"/>
                <w:sz w:val="18"/>
                <w:szCs w:val="18"/>
                <w:lang w:bidi="ar-SA"/>
              </w:rPr>
            </w:pPr>
            <w:r w:rsidRPr="00991711">
              <w:rPr>
                <w:rFonts w:cs="Arial"/>
                <w:sz w:val="18"/>
                <w:szCs w:val="18"/>
                <w:lang w:bidi="ar-SA"/>
              </w:rPr>
              <w:t>79.4–80.1</w:t>
            </w:r>
          </w:p>
        </w:tc>
        <w:tc>
          <w:tcPr>
            <w:tcW w:w="851" w:type="dxa"/>
            <w:vAlign w:val="center"/>
          </w:tcPr>
          <w:p w14:paraId="25B5DAA9" w14:textId="77777777" w:rsidR="00DD5C9C" w:rsidRPr="00991711" w:rsidRDefault="00DD5C9C" w:rsidP="003B5D42">
            <w:pPr>
              <w:jc w:val="center"/>
              <w:rPr>
                <w:rFonts w:cs="Arial"/>
                <w:sz w:val="18"/>
                <w:szCs w:val="18"/>
                <w:lang w:bidi="ar-SA"/>
              </w:rPr>
            </w:pPr>
            <w:r w:rsidRPr="00991711">
              <w:rPr>
                <w:rFonts w:cs="Arial"/>
                <w:sz w:val="18"/>
                <w:szCs w:val="18"/>
                <w:lang w:bidi="ar-SA"/>
              </w:rPr>
              <w:t>74.9</w:t>
            </w:r>
          </w:p>
        </w:tc>
        <w:tc>
          <w:tcPr>
            <w:tcW w:w="850" w:type="dxa"/>
            <w:vAlign w:val="center"/>
          </w:tcPr>
          <w:p w14:paraId="25B5DAAA" w14:textId="77777777" w:rsidR="00DD5C9C" w:rsidRPr="00991711" w:rsidRDefault="00DD5C9C" w:rsidP="003B5D42">
            <w:pPr>
              <w:jc w:val="center"/>
              <w:rPr>
                <w:rFonts w:cs="Arial"/>
                <w:sz w:val="18"/>
                <w:szCs w:val="18"/>
                <w:lang w:bidi="ar-SA"/>
              </w:rPr>
            </w:pPr>
            <w:r w:rsidRPr="00991711">
              <w:rPr>
                <w:rFonts w:cs="Arial"/>
                <w:sz w:val="18"/>
                <w:szCs w:val="18"/>
                <w:lang w:bidi="ar-SA"/>
              </w:rPr>
              <w:t>61–62</w:t>
            </w:r>
          </w:p>
        </w:tc>
        <w:tc>
          <w:tcPr>
            <w:tcW w:w="851" w:type="dxa"/>
            <w:vAlign w:val="center"/>
          </w:tcPr>
          <w:p w14:paraId="25B5DAAB" w14:textId="77777777" w:rsidR="00DD5C9C" w:rsidRPr="00991711" w:rsidRDefault="00DD5C9C" w:rsidP="003B5D42">
            <w:pPr>
              <w:jc w:val="center"/>
              <w:rPr>
                <w:rFonts w:cs="Arial"/>
                <w:sz w:val="18"/>
                <w:szCs w:val="18"/>
                <w:lang w:bidi="ar-SA"/>
              </w:rPr>
            </w:pPr>
            <w:r w:rsidRPr="00991711">
              <w:rPr>
                <w:rFonts w:cs="Arial"/>
                <w:sz w:val="18"/>
                <w:szCs w:val="18"/>
                <w:lang w:bidi="ar-SA"/>
              </w:rPr>
              <w:t>80.0</w:t>
            </w:r>
          </w:p>
        </w:tc>
        <w:tc>
          <w:tcPr>
            <w:tcW w:w="850" w:type="dxa"/>
            <w:vAlign w:val="center"/>
          </w:tcPr>
          <w:p w14:paraId="25B5DAAC" w14:textId="77777777" w:rsidR="00DD5C9C" w:rsidRPr="00991711" w:rsidRDefault="00DD5C9C" w:rsidP="003B5D42">
            <w:pPr>
              <w:jc w:val="center"/>
              <w:rPr>
                <w:rFonts w:cs="Arial"/>
                <w:sz w:val="18"/>
                <w:szCs w:val="18"/>
                <w:lang w:bidi="ar-SA"/>
              </w:rPr>
            </w:pPr>
            <w:r w:rsidRPr="00991711">
              <w:rPr>
                <w:rFonts w:cs="Arial"/>
                <w:sz w:val="18"/>
                <w:szCs w:val="18"/>
                <w:lang w:bidi="ar-SA"/>
              </w:rPr>
              <w:t>76.3</w:t>
            </w:r>
          </w:p>
        </w:tc>
        <w:tc>
          <w:tcPr>
            <w:tcW w:w="1418" w:type="dxa"/>
            <w:vAlign w:val="center"/>
          </w:tcPr>
          <w:p w14:paraId="25B5DAAD" w14:textId="77777777" w:rsidR="00DD5C9C" w:rsidRPr="00991711" w:rsidRDefault="00DD5C9C" w:rsidP="003B5D42">
            <w:pPr>
              <w:jc w:val="center"/>
              <w:rPr>
                <w:rFonts w:cs="Arial"/>
                <w:sz w:val="18"/>
                <w:szCs w:val="18"/>
                <w:lang w:bidi="ar-SA"/>
              </w:rPr>
            </w:pPr>
            <w:r w:rsidRPr="00991711">
              <w:rPr>
                <w:rFonts w:cs="Arial"/>
                <w:sz w:val="18"/>
                <w:szCs w:val="18"/>
                <w:lang w:bidi="ar-SA"/>
              </w:rPr>
              <w:t>74.9–80.1</w:t>
            </w:r>
          </w:p>
        </w:tc>
      </w:tr>
      <w:tr w:rsidR="00DD5C9C" w:rsidRPr="007926E4" w14:paraId="25B5DAB6" w14:textId="77777777" w:rsidTr="003B5D42">
        <w:trPr>
          <w:trHeight w:val="454"/>
        </w:trPr>
        <w:tc>
          <w:tcPr>
            <w:tcW w:w="3510" w:type="dxa"/>
            <w:vAlign w:val="center"/>
          </w:tcPr>
          <w:p w14:paraId="25B5DAAF" w14:textId="77777777" w:rsidR="00DD5C9C" w:rsidRPr="00991711" w:rsidRDefault="00DD5C9C" w:rsidP="003B5D42">
            <w:pPr>
              <w:ind w:left="284" w:hanging="284"/>
              <w:rPr>
                <w:rFonts w:cs="Arial"/>
                <w:sz w:val="18"/>
                <w:szCs w:val="18"/>
                <w:lang w:bidi="ar-SA"/>
              </w:rPr>
            </w:pPr>
            <w:r w:rsidRPr="00991711">
              <w:rPr>
                <w:rFonts w:cs="Arial"/>
                <w:sz w:val="18"/>
                <w:szCs w:val="18"/>
                <w:lang w:bidi="ar-SA"/>
              </w:rPr>
              <w:t>(4) High consumer, market share (35%)</w:t>
            </w:r>
          </w:p>
        </w:tc>
        <w:tc>
          <w:tcPr>
            <w:tcW w:w="1134" w:type="dxa"/>
            <w:vAlign w:val="center"/>
          </w:tcPr>
          <w:p w14:paraId="25B5DAB0" w14:textId="77777777" w:rsidR="00DD5C9C" w:rsidRPr="00991711" w:rsidRDefault="00DD5C9C" w:rsidP="003B5D42">
            <w:pPr>
              <w:jc w:val="center"/>
              <w:rPr>
                <w:rFonts w:cs="Arial"/>
                <w:sz w:val="18"/>
                <w:szCs w:val="18"/>
                <w:lang w:bidi="ar-SA"/>
              </w:rPr>
            </w:pPr>
            <w:r w:rsidRPr="00991711">
              <w:rPr>
                <w:rFonts w:cs="Arial"/>
                <w:sz w:val="18"/>
                <w:szCs w:val="18"/>
                <w:lang w:bidi="ar-SA"/>
              </w:rPr>
              <w:t>81.8–83.2</w:t>
            </w:r>
          </w:p>
        </w:tc>
        <w:tc>
          <w:tcPr>
            <w:tcW w:w="851" w:type="dxa"/>
            <w:vAlign w:val="center"/>
          </w:tcPr>
          <w:p w14:paraId="25B5DAB1" w14:textId="77777777" w:rsidR="00DD5C9C" w:rsidRPr="00991711" w:rsidRDefault="00DD5C9C" w:rsidP="003B5D42">
            <w:pPr>
              <w:jc w:val="center"/>
              <w:rPr>
                <w:rFonts w:cs="Arial"/>
                <w:sz w:val="18"/>
                <w:szCs w:val="18"/>
                <w:lang w:bidi="ar-SA"/>
              </w:rPr>
            </w:pPr>
            <w:r w:rsidRPr="00991711">
              <w:rPr>
                <w:rFonts w:cs="Arial"/>
                <w:sz w:val="18"/>
                <w:szCs w:val="18"/>
                <w:lang w:bidi="ar-SA"/>
              </w:rPr>
              <w:t>78.6</w:t>
            </w:r>
          </w:p>
        </w:tc>
        <w:tc>
          <w:tcPr>
            <w:tcW w:w="850" w:type="dxa"/>
            <w:vAlign w:val="center"/>
          </w:tcPr>
          <w:p w14:paraId="25B5DAB2" w14:textId="77777777" w:rsidR="00DD5C9C" w:rsidRPr="00991711" w:rsidRDefault="00DD5C9C" w:rsidP="003B5D42">
            <w:pPr>
              <w:jc w:val="center"/>
              <w:rPr>
                <w:rFonts w:cs="Arial"/>
                <w:sz w:val="18"/>
                <w:szCs w:val="18"/>
                <w:lang w:bidi="ar-SA"/>
              </w:rPr>
            </w:pPr>
            <w:r w:rsidRPr="00991711">
              <w:rPr>
                <w:rFonts w:cs="Arial"/>
                <w:sz w:val="18"/>
                <w:szCs w:val="18"/>
                <w:lang w:bidi="ar-SA"/>
              </w:rPr>
              <w:t>62–65</w:t>
            </w:r>
          </w:p>
        </w:tc>
        <w:tc>
          <w:tcPr>
            <w:tcW w:w="851" w:type="dxa"/>
            <w:vAlign w:val="center"/>
          </w:tcPr>
          <w:p w14:paraId="25B5DAB3" w14:textId="77777777" w:rsidR="00DD5C9C" w:rsidRPr="00991711" w:rsidRDefault="00DD5C9C" w:rsidP="003B5D42">
            <w:pPr>
              <w:jc w:val="center"/>
              <w:rPr>
                <w:rFonts w:cs="Arial"/>
                <w:sz w:val="18"/>
                <w:szCs w:val="18"/>
                <w:lang w:bidi="ar-SA"/>
              </w:rPr>
            </w:pPr>
            <w:r w:rsidRPr="00991711">
              <w:rPr>
                <w:rFonts w:cs="Arial"/>
                <w:sz w:val="18"/>
                <w:szCs w:val="18"/>
                <w:lang w:bidi="ar-SA"/>
              </w:rPr>
              <w:t>83.6</w:t>
            </w:r>
          </w:p>
        </w:tc>
        <w:tc>
          <w:tcPr>
            <w:tcW w:w="850" w:type="dxa"/>
            <w:vAlign w:val="center"/>
          </w:tcPr>
          <w:p w14:paraId="25B5DAB4" w14:textId="77777777" w:rsidR="00DD5C9C" w:rsidRPr="00991711" w:rsidRDefault="00DD5C9C" w:rsidP="003B5D42">
            <w:pPr>
              <w:jc w:val="center"/>
              <w:rPr>
                <w:rFonts w:cs="Arial"/>
                <w:sz w:val="18"/>
                <w:szCs w:val="18"/>
                <w:lang w:bidi="ar-SA"/>
              </w:rPr>
            </w:pPr>
            <w:r w:rsidRPr="00991711">
              <w:rPr>
                <w:rFonts w:cs="Arial"/>
                <w:sz w:val="18"/>
                <w:szCs w:val="18"/>
                <w:lang w:bidi="ar-SA"/>
              </w:rPr>
              <w:t>79.9</w:t>
            </w:r>
          </w:p>
        </w:tc>
        <w:tc>
          <w:tcPr>
            <w:tcW w:w="1418" w:type="dxa"/>
            <w:vAlign w:val="center"/>
          </w:tcPr>
          <w:p w14:paraId="25B5DAB5" w14:textId="77777777" w:rsidR="00DD5C9C" w:rsidRPr="00991711" w:rsidRDefault="00DD5C9C" w:rsidP="003B5D42">
            <w:pPr>
              <w:jc w:val="center"/>
              <w:rPr>
                <w:rFonts w:cs="Arial"/>
                <w:sz w:val="18"/>
                <w:szCs w:val="18"/>
                <w:lang w:bidi="ar-SA"/>
              </w:rPr>
            </w:pPr>
            <w:r w:rsidRPr="00991711">
              <w:rPr>
                <w:rFonts w:cs="Arial"/>
                <w:sz w:val="18"/>
                <w:szCs w:val="18"/>
                <w:lang w:bidi="ar-SA"/>
              </w:rPr>
              <w:t>78.6–83.6</w:t>
            </w:r>
          </w:p>
        </w:tc>
      </w:tr>
    </w:tbl>
    <w:p w14:paraId="25B5DAB7" w14:textId="77777777" w:rsidR="00DD5C9C" w:rsidRDefault="00DD5C9C" w:rsidP="003B5D42">
      <w:pPr>
        <w:ind w:left="142" w:right="-164" w:hanging="142"/>
        <w:rPr>
          <w:sz w:val="18"/>
          <w:szCs w:val="18"/>
          <w:lang w:val="en-AU" w:bidi="ar-SA"/>
        </w:rPr>
      </w:pPr>
      <w:r w:rsidRPr="002E61D1">
        <w:rPr>
          <w:sz w:val="16"/>
          <w:szCs w:val="16"/>
          <w:vertAlign w:val="superscript"/>
          <w:lang w:bidi="ar-SA"/>
        </w:rPr>
        <w:t>a</w:t>
      </w:r>
      <w:r>
        <w:rPr>
          <w:lang w:bidi="ar-SA"/>
        </w:rPr>
        <w:t xml:space="preserve"> </w:t>
      </w:r>
      <w:r w:rsidRPr="00B3218D">
        <w:rPr>
          <w:sz w:val="16"/>
          <w:szCs w:val="16"/>
          <w:lang w:bidi="ar-SA"/>
        </w:rPr>
        <w:t xml:space="preserve">Baseline winter and summer serum 25OHD from </w:t>
      </w:r>
      <w:r w:rsidRPr="00B3218D">
        <w:rPr>
          <w:sz w:val="16"/>
          <w:szCs w:val="16"/>
          <w:lang w:val="en-AU" w:bidi="ar-SA"/>
        </w:rPr>
        <w:t>Australian Bureau of Statistics, 2011</w:t>
      </w:r>
      <w:r w:rsidRPr="00362AEA">
        <w:rPr>
          <w:sz w:val="16"/>
          <w:szCs w:val="16"/>
          <w:lang w:bidi="ar-SA"/>
        </w:rPr>
        <w:t>–</w:t>
      </w:r>
      <w:r w:rsidRPr="00B3218D">
        <w:rPr>
          <w:sz w:val="16"/>
          <w:szCs w:val="16"/>
          <w:lang w:val="en-AU" w:bidi="ar-SA"/>
        </w:rPr>
        <w:t>13,</w:t>
      </w:r>
      <w:r w:rsidRPr="00B3218D">
        <w:rPr>
          <w:i/>
          <w:iCs/>
          <w:sz w:val="16"/>
          <w:szCs w:val="16"/>
          <w:lang w:val="en-AU" w:bidi="ar-SA"/>
        </w:rPr>
        <w:t xml:space="preserve"> Australian Health Survey, Core Content - Risk Factors and Selected Health Conditions, 2011</w:t>
      </w:r>
      <w:r w:rsidRPr="00362AEA">
        <w:rPr>
          <w:i/>
          <w:iCs/>
          <w:sz w:val="16"/>
          <w:szCs w:val="16"/>
          <w:lang w:bidi="ar-SA"/>
        </w:rPr>
        <w:t>–</w:t>
      </w:r>
      <w:r w:rsidRPr="00B3218D">
        <w:rPr>
          <w:i/>
          <w:iCs/>
          <w:sz w:val="16"/>
          <w:szCs w:val="16"/>
          <w:lang w:val="en-AU" w:bidi="ar-SA"/>
        </w:rPr>
        <w:t>12.</w:t>
      </w:r>
      <w:r w:rsidRPr="00B3218D">
        <w:rPr>
          <w:sz w:val="16"/>
          <w:szCs w:val="16"/>
          <w:lang w:val="en-AU" w:bidi="ar-SA"/>
        </w:rPr>
        <w:t xml:space="preserve"> Findings based on ABS Table Builder data</w:t>
      </w:r>
      <w:r w:rsidRPr="002B4305">
        <w:rPr>
          <w:sz w:val="18"/>
          <w:szCs w:val="18"/>
          <w:lang w:val="en-AU" w:bidi="ar-SA"/>
        </w:rPr>
        <w:t>.</w:t>
      </w:r>
    </w:p>
    <w:p w14:paraId="25B5DAB8" w14:textId="77777777" w:rsidR="00DD5C9C" w:rsidRDefault="00DD5C9C" w:rsidP="003B5D42">
      <w:pPr>
        <w:ind w:left="142" w:right="-164" w:hanging="142"/>
        <w:rPr>
          <w:sz w:val="18"/>
          <w:szCs w:val="18"/>
          <w:lang w:bidi="ar-SA"/>
        </w:rPr>
      </w:pPr>
      <w:r w:rsidRPr="002E61D1">
        <w:rPr>
          <w:sz w:val="16"/>
          <w:szCs w:val="16"/>
          <w:vertAlign w:val="superscript"/>
          <w:lang w:bidi="ar-SA"/>
        </w:rPr>
        <w:t>b</w:t>
      </w:r>
      <w:r>
        <w:rPr>
          <w:sz w:val="18"/>
          <w:szCs w:val="18"/>
          <w:lang w:bidi="ar-SA"/>
        </w:rPr>
        <w:t xml:space="preserve"> </w:t>
      </w:r>
      <w:r w:rsidRPr="00B3218D">
        <w:rPr>
          <w:sz w:val="16"/>
          <w:szCs w:val="16"/>
          <w:lang w:bidi="ar-SA"/>
        </w:rPr>
        <w:t>Baseline winter and summer serum 25OHD for ages 15 years and older was sourced</w:t>
      </w:r>
      <w:r>
        <w:rPr>
          <w:sz w:val="16"/>
          <w:szCs w:val="16"/>
          <w:lang w:bidi="ar-SA"/>
        </w:rPr>
        <w:t xml:space="preserve"> from the 2008</w:t>
      </w:r>
      <w:r w:rsidRPr="00362AEA">
        <w:rPr>
          <w:sz w:val="16"/>
          <w:szCs w:val="16"/>
          <w:lang w:bidi="ar-SA"/>
        </w:rPr>
        <w:t>–</w:t>
      </w:r>
      <w:r w:rsidRPr="00B3218D">
        <w:rPr>
          <w:sz w:val="16"/>
          <w:szCs w:val="16"/>
          <w:lang w:bidi="ar-SA"/>
        </w:rPr>
        <w:t xml:space="preserve">09 </w:t>
      </w:r>
      <w:r w:rsidRPr="00B3218D">
        <w:rPr>
          <w:i/>
          <w:sz w:val="16"/>
          <w:szCs w:val="16"/>
          <w:lang w:bidi="ar-SA"/>
        </w:rPr>
        <w:t>New Zealand Adult Nutrition Survey</w:t>
      </w:r>
      <w:r w:rsidRPr="00B3218D">
        <w:rPr>
          <w:sz w:val="16"/>
          <w:szCs w:val="16"/>
          <w:lang w:bidi="ar-SA"/>
        </w:rPr>
        <w:t xml:space="preserve"> and provided to FSANZ from the NZ MoH. </w:t>
      </w:r>
      <w:r>
        <w:rPr>
          <w:sz w:val="16"/>
          <w:szCs w:val="16"/>
          <w:lang w:bidi="ar-SA"/>
        </w:rPr>
        <w:t xml:space="preserve">Baseline values for </w:t>
      </w:r>
      <w:r w:rsidRPr="00B3218D">
        <w:rPr>
          <w:sz w:val="16"/>
          <w:szCs w:val="16"/>
          <w:lang w:bidi="ar-SA"/>
        </w:rPr>
        <w:t xml:space="preserve">5–14 years </w:t>
      </w:r>
      <w:r w:rsidR="00AF79AC">
        <w:rPr>
          <w:sz w:val="16"/>
          <w:szCs w:val="16"/>
          <w:lang w:bidi="ar-SA"/>
        </w:rPr>
        <w:t>were</w:t>
      </w:r>
      <w:r>
        <w:rPr>
          <w:sz w:val="16"/>
          <w:szCs w:val="16"/>
          <w:lang w:bidi="ar-SA"/>
        </w:rPr>
        <w:t xml:space="preserve"> </w:t>
      </w:r>
      <w:r w:rsidRPr="00B3218D">
        <w:rPr>
          <w:sz w:val="16"/>
          <w:szCs w:val="16"/>
          <w:lang w:bidi="ar-SA"/>
        </w:rPr>
        <w:t>from Rockell et al (2005).</w:t>
      </w:r>
    </w:p>
    <w:p w14:paraId="25B5DAB9" w14:textId="6C953A96" w:rsidR="00B62436" w:rsidRDefault="00DD5C9C" w:rsidP="003B5D42">
      <w:pPr>
        <w:ind w:left="142" w:right="-164" w:hanging="142"/>
        <w:rPr>
          <w:sz w:val="18"/>
          <w:szCs w:val="18"/>
          <w:lang w:bidi="ar-SA"/>
        </w:rPr>
      </w:pPr>
      <w:r w:rsidRPr="002E61D1">
        <w:rPr>
          <w:sz w:val="16"/>
          <w:szCs w:val="16"/>
          <w:vertAlign w:val="superscript"/>
          <w:lang w:bidi="ar-SA"/>
        </w:rPr>
        <w:t>C</w:t>
      </w:r>
      <w:r w:rsidRPr="002E61D1">
        <w:rPr>
          <w:sz w:val="16"/>
          <w:szCs w:val="16"/>
          <w:lang w:bidi="ar-SA"/>
        </w:rPr>
        <w:t xml:space="preserve"> </w:t>
      </w:r>
      <w:r w:rsidRPr="00B3218D">
        <w:rPr>
          <w:sz w:val="16"/>
          <w:szCs w:val="16"/>
          <w:lang w:bidi="ar-SA"/>
        </w:rPr>
        <w:t>Excluding values from New Zealand children aged 5</w:t>
      </w:r>
      <w:r w:rsidRPr="00362AEA">
        <w:rPr>
          <w:sz w:val="16"/>
          <w:szCs w:val="16"/>
          <w:lang w:bidi="ar-SA"/>
        </w:rPr>
        <w:t>–</w:t>
      </w:r>
      <w:r w:rsidRPr="00B3218D">
        <w:rPr>
          <w:sz w:val="16"/>
          <w:szCs w:val="16"/>
          <w:lang w:bidi="ar-SA"/>
        </w:rPr>
        <w:t>14 years since this survey used an assay for serum 25OHD that was not comparable to the other surveys</w:t>
      </w:r>
      <w:r>
        <w:rPr>
          <w:sz w:val="18"/>
          <w:szCs w:val="18"/>
          <w:lang w:bidi="ar-SA"/>
        </w:rPr>
        <w:t>.</w:t>
      </w:r>
      <w:r w:rsidR="00B62436">
        <w:rPr>
          <w:sz w:val="18"/>
          <w:szCs w:val="18"/>
          <w:lang w:bidi="ar-SA"/>
        </w:rPr>
        <w:br w:type="page"/>
      </w:r>
    </w:p>
    <w:p w14:paraId="25B5DABA" w14:textId="77777777" w:rsidR="00DD5C9C" w:rsidRDefault="00DD5C9C" w:rsidP="003B5D42">
      <w:pPr>
        <w:pStyle w:val="Heading4"/>
      </w:pPr>
      <w:r>
        <w:lastRenderedPageBreak/>
        <w:t>Effect on the population distribution of annual mean serum 25OHD concentrations</w:t>
      </w:r>
    </w:p>
    <w:p w14:paraId="25B5DABB" w14:textId="77777777" w:rsidR="00DD5C9C" w:rsidRDefault="00DD5C9C" w:rsidP="003B5D42">
      <w:pPr>
        <w:rPr>
          <w:lang w:bidi="ar-SA"/>
        </w:rPr>
      </w:pPr>
      <w:r>
        <w:rPr>
          <w:lang w:bidi="ar-SA"/>
        </w:rPr>
        <w:t xml:space="preserve"> The effect of consumption of vitamin D-fortified cereal on distribution of annual mean serum 25OHD concentrations reported for Australian (ABS 2014a) and New Zealand (Ministry of Health 2012a) adults was determined. D</w:t>
      </w:r>
      <w:r w:rsidRPr="006340F8">
        <w:rPr>
          <w:lang w:bidi="ar-SA"/>
        </w:rPr>
        <w:t xml:space="preserve">istribution fitting software (Palisade @RISK Add-In for Microsoft Excel) was used to estimate the decrease in the proportion with 25OHD </w:t>
      </w:r>
      <w:r>
        <w:rPr>
          <w:lang w:bidi="ar-SA"/>
        </w:rPr>
        <w:t>&lt;</w:t>
      </w:r>
      <w:r w:rsidRPr="006340F8">
        <w:rPr>
          <w:lang w:bidi="ar-SA"/>
        </w:rPr>
        <w:t xml:space="preserve"> 40 nM and the increase in the proportion with 25OHD</w:t>
      </w:r>
      <w:r>
        <w:rPr>
          <w:lang w:bidi="ar-SA"/>
        </w:rPr>
        <w:t xml:space="preserve"> </w:t>
      </w:r>
      <w:r>
        <w:rPr>
          <w:rFonts w:ascii="Calibri" w:hAnsi="Calibri"/>
          <w:lang w:bidi="ar-SA"/>
        </w:rPr>
        <w:t>&gt;</w:t>
      </w:r>
      <w:r>
        <w:rPr>
          <w:lang w:bidi="ar-SA"/>
        </w:rPr>
        <w:t xml:space="preserve"> </w:t>
      </w:r>
      <w:r w:rsidRPr="006340F8">
        <w:rPr>
          <w:lang w:bidi="ar-SA"/>
        </w:rPr>
        <w:t>125 nM in each scenario modelled</w:t>
      </w:r>
      <w:r>
        <w:rPr>
          <w:lang w:bidi="ar-SA"/>
        </w:rPr>
        <w:t xml:space="preserve"> for </w:t>
      </w:r>
      <w:r w:rsidRPr="006340F8">
        <w:rPr>
          <w:lang w:bidi="ar-SA"/>
        </w:rPr>
        <w:t>Australian and New Zealand adults (aged 18 years and over, and 15 years and over, respectively).</w:t>
      </w:r>
      <w:r>
        <w:rPr>
          <w:lang w:bidi="ar-SA"/>
        </w:rPr>
        <w:t xml:space="preserve"> For the brand loyal scenarios (1) and (2), the estimated proportion with 25OHD &lt; 40 nM or </w:t>
      </w:r>
      <w:r>
        <w:rPr>
          <w:rFonts w:ascii="Calibri" w:hAnsi="Calibri"/>
          <w:lang w:bidi="ar-SA"/>
        </w:rPr>
        <w:t>&gt;</w:t>
      </w:r>
      <w:r>
        <w:rPr>
          <w:lang w:bidi="ar-SA"/>
        </w:rPr>
        <w:t xml:space="preserve"> 125 nM was calculated from the baseline proportion plus the estimated increase with consumption of vitamin D-fortified cereal. For the 35% market share scenarios (3) and (4), the estimated proportions were </w:t>
      </w:r>
      <w:r w:rsidR="00E43FEA">
        <w:rPr>
          <w:lang w:bidi="ar-SA"/>
        </w:rPr>
        <w:t>calculated from a bimodal distribution accounting for 65% of the population which does not obtain added dietary vitamin D from breakfast cereal.</w:t>
      </w:r>
      <w:r>
        <w:rPr>
          <w:lang w:bidi="ar-SA"/>
        </w:rPr>
        <w:t xml:space="preserve"> Results are shown in Figure 4 and Table 13.</w:t>
      </w:r>
    </w:p>
    <w:p w14:paraId="25B5DABD" w14:textId="77777777" w:rsidR="00DD5C9C" w:rsidRDefault="00F53357" w:rsidP="003B5D42">
      <w:pPr>
        <w:ind w:left="142" w:right="-164" w:hanging="142"/>
        <w:rPr>
          <w:sz w:val="18"/>
          <w:szCs w:val="18"/>
          <w:lang w:val="en-AU" w:bidi="ar-SA"/>
        </w:rPr>
      </w:pPr>
      <w:r>
        <w:rPr>
          <w:noProof/>
          <w:lang w:eastAsia="en-GB" w:bidi="ar-SA"/>
        </w:rPr>
        <w:drawing>
          <wp:inline distT="0" distB="0" distL="0" distR="0" wp14:anchorId="25B5DCDF" wp14:editId="25B5DCE0">
            <wp:extent cx="5836920" cy="392058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36920" cy="3920589"/>
                    </a:xfrm>
                    <a:prstGeom prst="rect">
                      <a:avLst/>
                    </a:prstGeom>
                  </pic:spPr>
                </pic:pic>
              </a:graphicData>
            </a:graphic>
          </wp:inline>
        </w:drawing>
      </w:r>
    </w:p>
    <w:p w14:paraId="25B5DABE" w14:textId="0D4B863F" w:rsidR="00DD5C9C" w:rsidRPr="000223BB" w:rsidRDefault="00DD5C9C" w:rsidP="003B5D42">
      <w:pPr>
        <w:spacing w:before="120"/>
        <w:ind w:right="-569"/>
        <w:rPr>
          <w:rFonts w:eastAsia="Calibri"/>
          <w:i/>
          <w:szCs w:val="22"/>
          <w:lang w:val="en-AU" w:bidi="ar-SA"/>
        </w:rPr>
      </w:pPr>
      <w:r w:rsidRPr="000223BB">
        <w:rPr>
          <w:i/>
          <w:szCs w:val="22"/>
          <w:lang w:val="en-AU" w:bidi="ar-SA"/>
        </w:rPr>
        <w:t>Figure 4</w:t>
      </w:r>
      <w:r w:rsidRPr="000223BB">
        <w:rPr>
          <w:i/>
          <w:szCs w:val="22"/>
          <w:lang w:val="en-AU" w:bidi="ar-SA"/>
        </w:rPr>
        <w:tab/>
      </w:r>
      <w:r w:rsidRPr="000223BB">
        <w:rPr>
          <w:rFonts w:eastAsia="Calibri"/>
          <w:i/>
          <w:szCs w:val="22"/>
          <w:lang w:bidi="ar-SA"/>
        </w:rPr>
        <w:t xml:space="preserve">Predicted effect of vitamin D added to breakfast cereal on the </w:t>
      </w:r>
      <w:r w:rsidR="00B57F0D" w:rsidRPr="000223BB">
        <w:rPr>
          <w:rFonts w:eastAsia="Calibri"/>
          <w:i/>
          <w:szCs w:val="22"/>
          <w:lang w:bidi="ar-SA"/>
        </w:rPr>
        <w:t>proportion of the population distribution with high and low serum 25OHD concentrations</w:t>
      </w:r>
      <w:r w:rsidR="00B57F0D" w:rsidRPr="000223BB">
        <w:rPr>
          <w:rFonts w:eastAsia="Calibri"/>
          <w:i/>
          <w:szCs w:val="22"/>
          <w:lang w:val="en-AU" w:bidi="ar-SA"/>
        </w:rPr>
        <w:t xml:space="preserve"> </w:t>
      </w:r>
      <w:r w:rsidRPr="000223BB">
        <w:rPr>
          <w:rFonts w:eastAsia="Calibri"/>
          <w:i/>
          <w:szCs w:val="22"/>
          <w:lang w:bidi="ar-SA"/>
        </w:rPr>
        <w:t>for Australian aged 18 years and over and New Zealanders aged 15 years and over</w:t>
      </w:r>
    </w:p>
    <w:p w14:paraId="25B5DABF" w14:textId="77777777" w:rsidR="00DD5C9C" w:rsidRPr="00535F54" w:rsidRDefault="00DD5C9C" w:rsidP="003B5D42">
      <w:pPr>
        <w:spacing w:before="120"/>
        <w:ind w:right="-567"/>
        <w:rPr>
          <w:rFonts w:eastAsia="Calibri"/>
          <w:i/>
          <w:sz w:val="18"/>
          <w:szCs w:val="18"/>
          <w:lang w:bidi="ar-SA"/>
        </w:rPr>
      </w:pPr>
      <w:r w:rsidRPr="00535F54">
        <w:rPr>
          <w:rFonts w:eastAsia="Calibri"/>
          <w:i/>
          <w:sz w:val="18"/>
          <w:szCs w:val="18"/>
          <w:lang w:bidi="ar-SA"/>
        </w:rPr>
        <w:t>Source for baseline distribution: Australian Bureau of Statistics, Australian Health Survey: Biomedical Results for Nutrients 2011-13. Table 5.1</w:t>
      </w:r>
      <w:r w:rsidR="00AF79AC">
        <w:rPr>
          <w:rFonts w:eastAsia="Calibri"/>
          <w:i/>
          <w:sz w:val="18"/>
          <w:szCs w:val="18"/>
          <w:lang w:bidi="ar-SA"/>
        </w:rPr>
        <w:t xml:space="preserve"> </w:t>
      </w:r>
      <w:r w:rsidRPr="00535F54">
        <w:rPr>
          <w:rFonts w:eastAsia="Calibri"/>
          <w:i/>
          <w:noProof/>
          <w:sz w:val="18"/>
          <w:szCs w:val="18"/>
          <w:lang w:bidi="ar-SA"/>
        </w:rPr>
        <w:t>(ABS 2014a)</w:t>
      </w:r>
      <w:r w:rsidRPr="00535F54">
        <w:rPr>
          <w:rFonts w:eastAsia="Calibri"/>
          <w:i/>
          <w:sz w:val="18"/>
          <w:szCs w:val="18"/>
          <w:lang w:bidi="ar-SA"/>
        </w:rPr>
        <w:t xml:space="preserve"> and Ministry of Health 2008–09 New Zealand Adult Health Survey (Ministry of Health 2012a).</w:t>
      </w:r>
    </w:p>
    <w:p w14:paraId="25B5DAC0" w14:textId="77777777" w:rsidR="00DD5C9C" w:rsidRDefault="00DD5C9C" w:rsidP="003B5D42">
      <w:pPr>
        <w:ind w:left="1134" w:right="-164" w:hanging="1134"/>
        <w:rPr>
          <w:b/>
          <w:sz w:val="18"/>
          <w:szCs w:val="18"/>
          <w:lang w:val="en-AU" w:bidi="ar-SA"/>
        </w:rPr>
      </w:pPr>
    </w:p>
    <w:p w14:paraId="2043AE99" w14:textId="77777777" w:rsidR="000223BB" w:rsidRDefault="000223BB" w:rsidP="003B5D42">
      <w:pPr>
        <w:ind w:left="1134" w:right="-164" w:hanging="1134"/>
        <w:rPr>
          <w:b/>
          <w:i/>
          <w:szCs w:val="22"/>
          <w:lang w:val="en-AU" w:bidi="ar-SA"/>
        </w:rPr>
      </w:pPr>
      <w:r>
        <w:rPr>
          <w:b/>
          <w:i/>
          <w:szCs w:val="22"/>
          <w:lang w:val="en-AU" w:bidi="ar-SA"/>
        </w:rPr>
        <w:br w:type="page"/>
      </w:r>
    </w:p>
    <w:p w14:paraId="25B5DAC2" w14:textId="7C96BF32" w:rsidR="00DD5C9C" w:rsidRDefault="00DD5C9C" w:rsidP="003B5D42">
      <w:pPr>
        <w:ind w:left="1134" w:right="-164" w:hanging="1134"/>
        <w:rPr>
          <w:b/>
          <w:lang w:eastAsia="en-AU"/>
        </w:rPr>
      </w:pPr>
      <w:r w:rsidRPr="000223BB">
        <w:rPr>
          <w:b/>
          <w:szCs w:val="22"/>
          <w:lang w:val="en-AU" w:bidi="ar-SA"/>
        </w:rPr>
        <w:lastRenderedPageBreak/>
        <w:t xml:space="preserve">Table 13 </w:t>
      </w:r>
      <w:r w:rsidRPr="000223BB">
        <w:rPr>
          <w:b/>
          <w:szCs w:val="22"/>
          <w:lang w:val="en-AU" w:bidi="ar-SA"/>
        </w:rPr>
        <w:tab/>
        <w:t>Tabulated results for distribution fitting - p</w:t>
      </w:r>
      <w:r w:rsidRPr="000223BB">
        <w:rPr>
          <w:b/>
          <w:lang w:eastAsia="en-AU"/>
        </w:rPr>
        <w:t>proportions of population with serum 25OHD concentrations &lt; 40 nM or &gt;125 nM under the four modelling scen</w:t>
      </w:r>
      <w:r w:rsidR="000223BB">
        <w:rPr>
          <w:b/>
          <w:lang w:eastAsia="en-AU"/>
        </w:rPr>
        <w:t>arios</w:t>
      </w:r>
    </w:p>
    <w:p w14:paraId="3E8E8525" w14:textId="77777777" w:rsidR="000223BB" w:rsidRPr="000223BB" w:rsidRDefault="000223BB" w:rsidP="003B5D42">
      <w:pPr>
        <w:ind w:left="1134" w:right="-164" w:hanging="1134"/>
        <w:rPr>
          <w:b/>
          <w:lang w:eastAsia="en-AU"/>
        </w:rPr>
      </w:pPr>
    </w:p>
    <w:tbl>
      <w:tblPr>
        <w:tblStyle w:val="TableGrid"/>
        <w:tblW w:w="0" w:type="auto"/>
        <w:tblLayout w:type="fixed"/>
        <w:tblLook w:val="04A0" w:firstRow="1" w:lastRow="0" w:firstColumn="1" w:lastColumn="0" w:noHBand="0" w:noVBand="1"/>
      </w:tblPr>
      <w:tblGrid>
        <w:gridCol w:w="3936"/>
        <w:gridCol w:w="992"/>
        <w:gridCol w:w="1120"/>
        <w:gridCol w:w="1148"/>
        <w:gridCol w:w="1092"/>
        <w:gridCol w:w="1120"/>
      </w:tblGrid>
      <w:tr w:rsidR="00DD5C9C" w14:paraId="25B5DAC7" w14:textId="77777777" w:rsidTr="003B5D42">
        <w:trPr>
          <w:trHeight w:val="393"/>
        </w:trPr>
        <w:tc>
          <w:tcPr>
            <w:tcW w:w="3936" w:type="dxa"/>
            <w:vMerge w:val="restart"/>
            <w:vAlign w:val="center"/>
          </w:tcPr>
          <w:p w14:paraId="25B5DAC3" w14:textId="77777777" w:rsidR="00DD5C9C" w:rsidRPr="009B6C4A" w:rsidRDefault="00DD5C9C" w:rsidP="003B5D42">
            <w:pPr>
              <w:jc w:val="right"/>
              <w:rPr>
                <w:b/>
                <w:sz w:val="18"/>
                <w:szCs w:val="18"/>
                <w:lang w:bidi="ar-SA"/>
              </w:rPr>
            </w:pPr>
            <w:r w:rsidRPr="009B6C4A">
              <w:rPr>
                <w:b/>
                <w:sz w:val="18"/>
                <w:szCs w:val="18"/>
                <w:lang w:bidi="ar-SA"/>
              </w:rPr>
              <w:t>Modelling Scenario:</w:t>
            </w:r>
          </w:p>
        </w:tc>
        <w:tc>
          <w:tcPr>
            <w:tcW w:w="992" w:type="dxa"/>
            <w:vMerge w:val="restart"/>
            <w:vAlign w:val="center"/>
          </w:tcPr>
          <w:p w14:paraId="25B5DAC4" w14:textId="77777777" w:rsidR="00DD5C9C" w:rsidRPr="009D7DD7" w:rsidRDefault="00DD5C9C" w:rsidP="003B5D42">
            <w:pPr>
              <w:jc w:val="center"/>
              <w:rPr>
                <w:b/>
                <w:sz w:val="18"/>
                <w:szCs w:val="18"/>
                <w:lang w:bidi="ar-SA"/>
              </w:rPr>
            </w:pPr>
            <w:r w:rsidRPr="009D7DD7">
              <w:rPr>
                <w:b/>
                <w:sz w:val="18"/>
                <w:szCs w:val="18"/>
                <w:lang w:bidi="ar-SA"/>
              </w:rPr>
              <w:t>Baseline</w:t>
            </w:r>
          </w:p>
        </w:tc>
        <w:tc>
          <w:tcPr>
            <w:tcW w:w="2268" w:type="dxa"/>
            <w:gridSpan w:val="2"/>
            <w:vAlign w:val="center"/>
          </w:tcPr>
          <w:p w14:paraId="25B5DAC5" w14:textId="77777777" w:rsidR="00DD5C9C" w:rsidRPr="009D7DD7" w:rsidRDefault="00DD5C9C" w:rsidP="003B5D42">
            <w:pPr>
              <w:jc w:val="center"/>
              <w:rPr>
                <w:b/>
                <w:sz w:val="18"/>
                <w:szCs w:val="18"/>
                <w:lang w:bidi="ar-SA"/>
              </w:rPr>
            </w:pPr>
            <w:r>
              <w:rPr>
                <w:b/>
                <w:sz w:val="18"/>
                <w:szCs w:val="18"/>
                <w:lang w:bidi="ar-SA"/>
              </w:rPr>
              <w:t>35% market share</w:t>
            </w:r>
          </w:p>
        </w:tc>
        <w:tc>
          <w:tcPr>
            <w:tcW w:w="2212" w:type="dxa"/>
            <w:gridSpan w:val="2"/>
            <w:vAlign w:val="center"/>
          </w:tcPr>
          <w:p w14:paraId="25B5DAC6" w14:textId="77777777" w:rsidR="00DD5C9C" w:rsidRPr="009D7DD7" w:rsidRDefault="00DD5C9C" w:rsidP="003B5D42">
            <w:pPr>
              <w:jc w:val="center"/>
              <w:rPr>
                <w:b/>
                <w:sz w:val="18"/>
                <w:szCs w:val="18"/>
                <w:lang w:bidi="ar-SA"/>
              </w:rPr>
            </w:pPr>
            <w:r>
              <w:rPr>
                <w:b/>
                <w:sz w:val="18"/>
                <w:szCs w:val="18"/>
                <w:lang w:bidi="ar-SA"/>
              </w:rPr>
              <w:t>Brand loyal</w:t>
            </w:r>
          </w:p>
        </w:tc>
      </w:tr>
      <w:tr w:rsidR="00DD5C9C" w14:paraId="25B5DAD3" w14:textId="77777777" w:rsidTr="003B5D42">
        <w:trPr>
          <w:trHeight w:val="818"/>
        </w:trPr>
        <w:tc>
          <w:tcPr>
            <w:tcW w:w="3936" w:type="dxa"/>
            <w:vMerge/>
          </w:tcPr>
          <w:p w14:paraId="25B5DAC8" w14:textId="77777777" w:rsidR="00DD5C9C" w:rsidRPr="009F10F2" w:rsidRDefault="00DD5C9C" w:rsidP="003B5D42">
            <w:pPr>
              <w:rPr>
                <w:sz w:val="18"/>
                <w:szCs w:val="18"/>
                <w:lang w:bidi="ar-SA"/>
              </w:rPr>
            </w:pPr>
          </w:p>
        </w:tc>
        <w:tc>
          <w:tcPr>
            <w:tcW w:w="992" w:type="dxa"/>
            <w:vMerge/>
            <w:vAlign w:val="center"/>
          </w:tcPr>
          <w:p w14:paraId="25B5DAC9" w14:textId="77777777" w:rsidR="00DD5C9C" w:rsidRPr="009D7DD7" w:rsidRDefault="00DD5C9C" w:rsidP="003B5D42">
            <w:pPr>
              <w:jc w:val="center"/>
              <w:rPr>
                <w:b/>
                <w:sz w:val="18"/>
                <w:szCs w:val="18"/>
                <w:lang w:bidi="ar-SA"/>
              </w:rPr>
            </w:pPr>
          </w:p>
        </w:tc>
        <w:tc>
          <w:tcPr>
            <w:tcW w:w="1120" w:type="dxa"/>
            <w:vAlign w:val="center"/>
          </w:tcPr>
          <w:p w14:paraId="25B5DACA" w14:textId="77777777" w:rsidR="00DD5C9C" w:rsidRDefault="00DD5C9C" w:rsidP="003B5D42">
            <w:pPr>
              <w:jc w:val="center"/>
              <w:rPr>
                <w:b/>
                <w:sz w:val="18"/>
                <w:szCs w:val="18"/>
                <w:lang w:bidi="ar-SA"/>
              </w:rPr>
            </w:pPr>
            <w:r>
              <w:rPr>
                <w:b/>
                <w:sz w:val="18"/>
                <w:szCs w:val="18"/>
                <w:lang w:bidi="ar-SA"/>
              </w:rPr>
              <w:t>(3</w:t>
            </w:r>
            <w:r w:rsidRPr="009D7DD7">
              <w:rPr>
                <w:b/>
                <w:sz w:val="18"/>
                <w:szCs w:val="18"/>
                <w:lang w:bidi="ar-SA"/>
              </w:rPr>
              <w:t>)</w:t>
            </w:r>
          </w:p>
          <w:p w14:paraId="25B5DACB" w14:textId="77777777" w:rsidR="00DD5C9C" w:rsidRPr="009D7DD7" w:rsidRDefault="00DD5C9C" w:rsidP="003B5D42">
            <w:pPr>
              <w:jc w:val="center"/>
              <w:rPr>
                <w:b/>
                <w:sz w:val="18"/>
                <w:szCs w:val="18"/>
                <w:lang w:bidi="ar-SA"/>
              </w:rPr>
            </w:pPr>
            <w:r>
              <w:rPr>
                <w:b/>
                <w:sz w:val="18"/>
                <w:szCs w:val="18"/>
                <w:lang w:bidi="ar-SA"/>
              </w:rPr>
              <w:t xml:space="preserve">Mean consumer </w:t>
            </w:r>
          </w:p>
        </w:tc>
        <w:tc>
          <w:tcPr>
            <w:tcW w:w="1148" w:type="dxa"/>
            <w:vAlign w:val="center"/>
          </w:tcPr>
          <w:p w14:paraId="25B5DACC" w14:textId="77777777" w:rsidR="00DD5C9C" w:rsidRDefault="00DD5C9C" w:rsidP="003B5D42">
            <w:pPr>
              <w:jc w:val="center"/>
              <w:rPr>
                <w:b/>
                <w:sz w:val="18"/>
                <w:szCs w:val="18"/>
                <w:lang w:bidi="ar-SA"/>
              </w:rPr>
            </w:pPr>
            <w:r w:rsidRPr="009D7DD7">
              <w:rPr>
                <w:b/>
                <w:sz w:val="18"/>
                <w:szCs w:val="18"/>
                <w:lang w:bidi="ar-SA"/>
              </w:rPr>
              <w:t>(</w:t>
            </w:r>
            <w:r>
              <w:rPr>
                <w:b/>
                <w:sz w:val="18"/>
                <w:szCs w:val="18"/>
                <w:lang w:bidi="ar-SA"/>
              </w:rPr>
              <w:t>4</w:t>
            </w:r>
            <w:r w:rsidRPr="009D7DD7">
              <w:rPr>
                <w:b/>
                <w:sz w:val="18"/>
                <w:szCs w:val="18"/>
                <w:lang w:bidi="ar-SA"/>
              </w:rPr>
              <w:t>)</w:t>
            </w:r>
          </w:p>
          <w:p w14:paraId="25B5DACD" w14:textId="77777777" w:rsidR="00DD5C9C" w:rsidRPr="009D7DD7" w:rsidRDefault="00DD5C9C" w:rsidP="003B5D42">
            <w:pPr>
              <w:jc w:val="center"/>
              <w:rPr>
                <w:b/>
                <w:sz w:val="18"/>
                <w:szCs w:val="18"/>
                <w:lang w:bidi="ar-SA"/>
              </w:rPr>
            </w:pPr>
            <w:r>
              <w:rPr>
                <w:b/>
                <w:sz w:val="18"/>
                <w:szCs w:val="18"/>
                <w:lang w:bidi="ar-SA"/>
              </w:rPr>
              <w:t xml:space="preserve">P90 consumer </w:t>
            </w:r>
          </w:p>
        </w:tc>
        <w:tc>
          <w:tcPr>
            <w:tcW w:w="1092" w:type="dxa"/>
            <w:vAlign w:val="center"/>
          </w:tcPr>
          <w:p w14:paraId="25B5DACE" w14:textId="77777777" w:rsidR="00DD5C9C" w:rsidRDefault="00DD5C9C" w:rsidP="003B5D42">
            <w:pPr>
              <w:jc w:val="center"/>
              <w:rPr>
                <w:b/>
                <w:sz w:val="18"/>
                <w:szCs w:val="18"/>
                <w:lang w:bidi="ar-SA"/>
              </w:rPr>
            </w:pPr>
            <w:r w:rsidRPr="009D7DD7">
              <w:rPr>
                <w:b/>
                <w:sz w:val="18"/>
                <w:szCs w:val="18"/>
                <w:lang w:bidi="ar-SA"/>
              </w:rPr>
              <w:t>(</w:t>
            </w:r>
            <w:r>
              <w:rPr>
                <w:b/>
                <w:sz w:val="18"/>
                <w:szCs w:val="18"/>
                <w:lang w:bidi="ar-SA"/>
              </w:rPr>
              <w:t>1</w:t>
            </w:r>
            <w:r w:rsidRPr="009D7DD7">
              <w:rPr>
                <w:b/>
                <w:sz w:val="18"/>
                <w:szCs w:val="18"/>
                <w:lang w:bidi="ar-SA"/>
              </w:rPr>
              <w:t>)</w:t>
            </w:r>
          </w:p>
          <w:p w14:paraId="25B5DACF" w14:textId="77777777" w:rsidR="00DD5C9C" w:rsidRPr="009D7DD7" w:rsidRDefault="00DD5C9C" w:rsidP="003B5D42">
            <w:pPr>
              <w:jc w:val="center"/>
              <w:rPr>
                <w:b/>
                <w:sz w:val="18"/>
                <w:szCs w:val="18"/>
                <w:lang w:bidi="ar-SA"/>
              </w:rPr>
            </w:pPr>
            <w:r>
              <w:rPr>
                <w:b/>
                <w:sz w:val="18"/>
                <w:szCs w:val="18"/>
                <w:lang w:bidi="ar-SA"/>
              </w:rPr>
              <w:t>Mean consumer</w:t>
            </w:r>
          </w:p>
        </w:tc>
        <w:tc>
          <w:tcPr>
            <w:tcW w:w="1120" w:type="dxa"/>
            <w:vAlign w:val="center"/>
          </w:tcPr>
          <w:p w14:paraId="25B5DAD0" w14:textId="77777777" w:rsidR="00DD5C9C" w:rsidRDefault="00DD5C9C" w:rsidP="003B5D42">
            <w:pPr>
              <w:jc w:val="center"/>
              <w:rPr>
                <w:b/>
                <w:sz w:val="18"/>
                <w:szCs w:val="18"/>
                <w:lang w:bidi="ar-SA"/>
              </w:rPr>
            </w:pPr>
            <w:r w:rsidRPr="009D7DD7">
              <w:rPr>
                <w:b/>
                <w:sz w:val="18"/>
                <w:szCs w:val="18"/>
                <w:lang w:bidi="ar-SA"/>
              </w:rPr>
              <w:t>(</w:t>
            </w:r>
            <w:r>
              <w:rPr>
                <w:b/>
                <w:sz w:val="18"/>
                <w:szCs w:val="18"/>
                <w:lang w:bidi="ar-SA"/>
              </w:rPr>
              <w:t>2</w:t>
            </w:r>
            <w:r w:rsidRPr="009D7DD7">
              <w:rPr>
                <w:b/>
                <w:sz w:val="18"/>
                <w:szCs w:val="18"/>
                <w:lang w:bidi="ar-SA"/>
              </w:rPr>
              <w:t>)</w:t>
            </w:r>
          </w:p>
          <w:p w14:paraId="25B5DAD1" w14:textId="77777777" w:rsidR="00DD5C9C" w:rsidRDefault="00DD5C9C" w:rsidP="003B5D42">
            <w:pPr>
              <w:jc w:val="center"/>
              <w:rPr>
                <w:b/>
                <w:sz w:val="18"/>
                <w:szCs w:val="18"/>
                <w:lang w:bidi="ar-SA"/>
              </w:rPr>
            </w:pPr>
            <w:r>
              <w:rPr>
                <w:b/>
                <w:sz w:val="18"/>
                <w:szCs w:val="18"/>
                <w:lang w:bidi="ar-SA"/>
              </w:rPr>
              <w:t>P90</w:t>
            </w:r>
          </w:p>
          <w:p w14:paraId="25B5DAD2" w14:textId="77777777" w:rsidR="00DD5C9C" w:rsidRPr="009D7DD7" w:rsidRDefault="00DD5C9C" w:rsidP="003B5D42">
            <w:pPr>
              <w:jc w:val="center"/>
              <w:rPr>
                <w:b/>
                <w:sz w:val="18"/>
                <w:szCs w:val="18"/>
                <w:lang w:bidi="ar-SA"/>
              </w:rPr>
            </w:pPr>
            <w:r>
              <w:rPr>
                <w:b/>
                <w:sz w:val="18"/>
                <w:szCs w:val="18"/>
                <w:lang w:bidi="ar-SA"/>
              </w:rPr>
              <w:t>consumer</w:t>
            </w:r>
          </w:p>
        </w:tc>
      </w:tr>
      <w:tr w:rsidR="00DD5C9C" w14:paraId="25B5DAD5" w14:textId="77777777" w:rsidTr="003B5D42">
        <w:trPr>
          <w:trHeight w:val="351"/>
        </w:trPr>
        <w:tc>
          <w:tcPr>
            <w:tcW w:w="9408" w:type="dxa"/>
            <w:gridSpan w:val="6"/>
            <w:vAlign w:val="center"/>
          </w:tcPr>
          <w:p w14:paraId="25B5DAD4" w14:textId="77777777" w:rsidR="00DD5C9C" w:rsidRPr="009709D5" w:rsidRDefault="00DD5C9C" w:rsidP="003B5D42">
            <w:pPr>
              <w:rPr>
                <w:sz w:val="18"/>
                <w:szCs w:val="18"/>
                <w:lang w:bidi="ar-SA"/>
              </w:rPr>
            </w:pPr>
            <w:r w:rsidRPr="009709D5">
              <w:rPr>
                <w:sz w:val="18"/>
                <w:szCs w:val="18"/>
                <w:lang w:bidi="ar-SA"/>
              </w:rPr>
              <w:t>Australian adults (18 years and over)</w:t>
            </w:r>
          </w:p>
        </w:tc>
      </w:tr>
      <w:tr w:rsidR="00DD5C9C" w14:paraId="25B5DADC" w14:textId="77777777" w:rsidTr="003B5D42">
        <w:trPr>
          <w:trHeight w:val="397"/>
        </w:trPr>
        <w:tc>
          <w:tcPr>
            <w:tcW w:w="3936" w:type="dxa"/>
            <w:vAlign w:val="center"/>
          </w:tcPr>
          <w:p w14:paraId="25B5DAD6" w14:textId="77777777" w:rsidR="00DD5C9C" w:rsidRPr="009F10F2" w:rsidRDefault="00DD5C9C" w:rsidP="003B5D42">
            <w:pPr>
              <w:ind w:left="284"/>
              <w:rPr>
                <w:sz w:val="18"/>
                <w:szCs w:val="18"/>
                <w:lang w:bidi="ar-SA"/>
              </w:rPr>
            </w:pPr>
            <w:r w:rsidRPr="009F10F2">
              <w:rPr>
                <w:sz w:val="18"/>
                <w:szCs w:val="18"/>
                <w:lang w:bidi="ar-SA"/>
              </w:rPr>
              <w:t xml:space="preserve">Predicted </w:t>
            </w:r>
            <w:r>
              <w:rPr>
                <w:sz w:val="18"/>
                <w:szCs w:val="18"/>
                <w:lang w:bidi="ar-SA"/>
              </w:rPr>
              <w:t>i</w:t>
            </w:r>
            <w:r w:rsidRPr="009F10F2">
              <w:rPr>
                <w:sz w:val="18"/>
                <w:szCs w:val="18"/>
                <w:lang w:bidi="ar-SA"/>
              </w:rPr>
              <w:t xml:space="preserve">ncrease in </w:t>
            </w:r>
            <w:r>
              <w:rPr>
                <w:sz w:val="18"/>
                <w:szCs w:val="18"/>
                <w:lang w:bidi="ar-SA"/>
              </w:rPr>
              <w:t xml:space="preserve">serum </w:t>
            </w:r>
            <w:r w:rsidRPr="009F10F2">
              <w:rPr>
                <w:sz w:val="18"/>
                <w:szCs w:val="18"/>
                <w:lang w:bidi="ar-SA"/>
              </w:rPr>
              <w:t>25OHD</w:t>
            </w:r>
            <w:r>
              <w:rPr>
                <w:sz w:val="18"/>
                <w:szCs w:val="18"/>
                <w:lang w:bidi="ar-SA"/>
              </w:rPr>
              <w:t xml:space="preserve"> (nM)</w:t>
            </w:r>
          </w:p>
        </w:tc>
        <w:tc>
          <w:tcPr>
            <w:tcW w:w="992" w:type="dxa"/>
            <w:vAlign w:val="center"/>
          </w:tcPr>
          <w:p w14:paraId="25B5DAD7" w14:textId="77777777" w:rsidR="00DD5C9C" w:rsidRPr="009F10F2" w:rsidRDefault="00DD5C9C" w:rsidP="003B5D42">
            <w:pPr>
              <w:jc w:val="center"/>
              <w:rPr>
                <w:sz w:val="18"/>
                <w:szCs w:val="18"/>
                <w:lang w:bidi="ar-SA"/>
              </w:rPr>
            </w:pPr>
            <w:r>
              <w:rPr>
                <w:sz w:val="18"/>
                <w:szCs w:val="18"/>
                <w:lang w:bidi="ar-SA"/>
              </w:rPr>
              <w:t>0</w:t>
            </w:r>
          </w:p>
        </w:tc>
        <w:tc>
          <w:tcPr>
            <w:tcW w:w="1120" w:type="dxa"/>
            <w:vAlign w:val="center"/>
          </w:tcPr>
          <w:p w14:paraId="25B5DAD8" w14:textId="77777777" w:rsidR="00DD5C9C" w:rsidRPr="009F10F2" w:rsidRDefault="00DD5C9C" w:rsidP="003B5D42">
            <w:pPr>
              <w:jc w:val="center"/>
              <w:rPr>
                <w:sz w:val="18"/>
                <w:szCs w:val="18"/>
                <w:lang w:bidi="ar-SA"/>
              </w:rPr>
            </w:pPr>
            <w:r>
              <w:rPr>
                <w:sz w:val="18"/>
                <w:szCs w:val="18"/>
                <w:lang w:bidi="ar-SA"/>
              </w:rPr>
              <w:t>4.0</w:t>
            </w:r>
          </w:p>
        </w:tc>
        <w:tc>
          <w:tcPr>
            <w:tcW w:w="1148" w:type="dxa"/>
            <w:vAlign w:val="center"/>
          </w:tcPr>
          <w:p w14:paraId="25B5DAD9" w14:textId="77777777" w:rsidR="00DD5C9C" w:rsidRPr="009F10F2" w:rsidRDefault="00DD5C9C" w:rsidP="003B5D42">
            <w:pPr>
              <w:jc w:val="center"/>
              <w:rPr>
                <w:sz w:val="18"/>
                <w:szCs w:val="18"/>
                <w:lang w:bidi="ar-SA"/>
              </w:rPr>
            </w:pPr>
            <w:r>
              <w:rPr>
                <w:sz w:val="18"/>
                <w:szCs w:val="18"/>
                <w:lang w:bidi="ar-SA"/>
              </w:rPr>
              <w:t>7.4</w:t>
            </w:r>
          </w:p>
        </w:tc>
        <w:tc>
          <w:tcPr>
            <w:tcW w:w="1092" w:type="dxa"/>
            <w:vAlign w:val="center"/>
          </w:tcPr>
          <w:p w14:paraId="25B5DADA" w14:textId="77777777" w:rsidR="00DD5C9C" w:rsidRPr="009F10F2" w:rsidRDefault="00DD5C9C" w:rsidP="003B5D42">
            <w:pPr>
              <w:jc w:val="center"/>
              <w:rPr>
                <w:sz w:val="18"/>
                <w:szCs w:val="18"/>
                <w:lang w:bidi="ar-SA"/>
              </w:rPr>
            </w:pPr>
            <w:r>
              <w:rPr>
                <w:sz w:val="18"/>
                <w:szCs w:val="18"/>
                <w:lang w:bidi="ar-SA"/>
              </w:rPr>
              <w:t>10.6</w:t>
            </w:r>
          </w:p>
        </w:tc>
        <w:tc>
          <w:tcPr>
            <w:tcW w:w="1120" w:type="dxa"/>
            <w:vAlign w:val="center"/>
          </w:tcPr>
          <w:p w14:paraId="25B5DADB" w14:textId="77777777" w:rsidR="00DD5C9C" w:rsidRPr="009F10F2" w:rsidRDefault="00DD5C9C" w:rsidP="003B5D42">
            <w:pPr>
              <w:jc w:val="center"/>
              <w:rPr>
                <w:sz w:val="18"/>
                <w:szCs w:val="18"/>
                <w:lang w:bidi="ar-SA"/>
              </w:rPr>
            </w:pPr>
            <w:r>
              <w:rPr>
                <w:sz w:val="18"/>
                <w:szCs w:val="18"/>
                <w:lang w:bidi="ar-SA"/>
              </w:rPr>
              <w:t>21.2</w:t>
            </w:r>
          </w:p>
        </w:tc>
      </w:tr>
      <w:tr w:rsidR="00DD5C9C" w14:paraId="25B5DAE3" w14:textId="77777777" w:rsidTr="003B5D42">
        <w:trPr>
          <w:trHeight w:val="397"/>
        </w:trPr>
        <w:tc>
          <w:tcPr>
            <w:tcW w:w="3936" w:type="dxa"/>
            <w:vAlign w:val="center"/>
          </w:tcPr>
          <w:p w14:paraId="25B5DADD" w14:textId="77777777" w:rsidR="00DD5C9C" w:rsidRPr="009F10F2" w:rsidRDefault="00DD5C9C" w:rsidP="003B5D42">
            <w:pPr>
              <w:ind w:left="284"/>
              <w:rPr>
                <w:sz w:val="18"/>
                <w:szCs w:val="18"/>
                <w:lang w:bidi="ar-SA"/>
              </w:rPr>
            </w:pPr>
            <w:r w:rsidRPr="009709D5">
              <w:rPr>
                <w:sz w:val="18"/>
                <w:szCs w:val="18"/>
                <w:lang w:bidi="ar-SA"/>
              </w:rPr>
              <w:t>Proportion (%)</w:t>
            </w:r>
            <w:r>
              <w:rPr>
                <w:sz w:val="18"/>
                <w:szCs w:val="18"/>
                <w:lang w:bidi="ar-SA"/>
              </w:rPr>
              <w:t xml:space="preserve"> serum 25OHD &lt;</w:t>
            </w:r>
            <w:r w:rsidRPr="009F10F2">
              <w:rPr>
                <w:sz w:val="18"/>
                <w:szCs w:val="18"/>
                <w:lang w:bidi="ar-SA"/>
              </w:rPr>
              <w:t xml:space="preserve"> 40 nM</w:t>
            </w:r>
          </w:p>
        </w:tc>
        <w:tc>
          <w:tcPr>
            <w:tcW w:w="992" w:type="dxa"/>
            <w:vAlign w:val="center"/>
          </w:tcPr>
          <w:p w14:paraId="25B5DADE" w14:textId="77777777" w:rsidR="00DD5C9C" w:rsidRPr="009F10F2" w:rsidRDefault="00DD5C9C" w:rsidP="003B5D42">
            <w:pPr>
              <w:jc w:val="center"/>
              <w:rPr>
                <w:sz w:val="18"/>
                <w:szCs w:val="18"/>
                <w:lang w:bidi="ar-SA"/>
              </w:rPr>
            </w:pPr>
            <w:r>
              <w:rPr>
                <w:sz w:val="18"/>
                <w:szCs w:val="18"/>
                <w:lang w:bidi="ar-SA"/>
              </w:rPr>
              <w:t xml:space="preserve">13.4 </w:t>
            </w:r>
            <w:r w:rsidRPr="008D6C01">
              <w:rPr>
                <w:szCs w:val="22"/>
                <w:lang w:bidi="ar-SA"/>
              </w:rPr>
              <w:t>*</w:t>
            </w:r>
          </w:p>
        </w:tc>
        <w:tc>
          <w:tcPr>
            <w:tcW w:w="1120" w:type="dxa"/>
            <w:vAlign w:val="center"/>
          </w:tcPr>
          <w:p w14:paraId="25B5DADF" w14:textId="77777777" w:rsidR="00DD5C9C" w:rsidRPr="009F10F2" w:rsidRDefault="00DD5C9C" w:rsidP="003B5D42">
            <w:pPr>
              <w:jc w:val="center"/>
              <w:rPr>
                <w:sz w:val="18"/>
                <w:szCs w:val="18"/>
                <w:lang w:bidi="ar-SA"/>
              </w:rPr>
            </w:pPr>
            <w:r>
              <w:rPr>
                <w:sz w:val="18"/>
                <w:szCs w:val="18"/>
                <w:lang w:bidi="ar-SA"/>
              </w:rPr>
              <w:t>12.4</w:t>
            </w:r>
          </w:p>
        </w:tc>
        <w:tc>
          <w:tcPr>
            <w:tcW w:w="1148" w:type="dxa"/>
            <w:vAlign w:val="center"/>
          </w:tcPr>
          <w:p w14:paraId="25B5DAE0" w14:textId="77777777" w:rsidR="00DD5C9C" w:rsidRPr="009F10F2" w:rsidRDefault="00DD5C9C" w:rsidP="003B5D42">
            <w:pPr>
              <w:jc w:val="center"/>
              <w:rPr>
                <w:sz w:val="18"/>
                <w:szCs w:val="18"/>
                <w:lang w:bidi="ar-SA"/>
              </w:rPr>
            </w:pPr>
            <w:r>
              <w:rPr>
                <w:sz w:val="18"/>
                <w:szCs w:val="18"/>
                <w:lang w:bidi="ar-SA"/>
              </w:rPr>
              <w:t>11.6</w:t>
            </w:r>
          </w:p>
        </w:tc>
        <w:tc>
          <w:tcPr>
            <w:tcW w:w="1092" w:type="dxa"/>
            <w:vAlign w:val="center"/>
          </w:tcPr>
          <w:p w14:paraId="25B5DAE1" w14:textId="77777777" w:rsidR="00DD5C9C" w:rsidRPr="009F10F2" w:rsidRDefault="00DD5C9C" w:rsidP="003B5D42">
            <w:pPr>
              <w:jc w:val="center"/>
              <w:rPr>
                <w:sz w:val="18"/>
                <w:szCs w:val="18"/>
                <w:lang w:bidi="ar-SA"/>
              </w:rPr>
            </w:pPr>
            <w:r>
              <w:rPr>
                <w:sz w:val="18"/>
                <w:szCs w:val="18"/>
                <w:lang w:bidi="ar-SA"/>
              </w:rPr>
              <w:t>6.2</w:t>
            </w:r>
          </w:p>
        </w:tc>
        <w:tc>
          <w:tcPr>
            <w:tcW w:w="1120" w:type="dxa"/>
            <w:vAlign w:val="center"/>
          </w:tcPr>
          <w:p w14:paraId="25B5DAE2" w14:textId="77777777" w:rsidR="00DD5C9C" w:rsidRPr="009F10F2" w:rsidRDefault="00DD5C9C" w:rsidP="003B5D42">
            <w:pPr>
              <w:jc w:val="center"/>
              <w:rPr>
                <w:sz w:val="18"/>
                <w:szCs w:val="18"/>
                <w:lang w:bidi="ar-SA"/>
              </w:rPr>
            </w:pPr>
            <w:r>
              <w:rPr>
                <w:sz w:val="18"/>
                <w:szCs w:val="18"/>
                <w:lang w:bidi="ar-SA"/>
              </w:rPr>
              <w:t>1.6</w:t>
            </w:r>
          </w:p>
        </w:tc>
      </w:tr>
      <w:tr w:rsidR="00DD5C9C" w14:paraId="25B5DAEA" w14:textId="77777777" w:rsidTr="003B5D42">
        <w:trPr>
          <w:trHeight w:val="397"/>
        </w:trPr>
        <w:tc>
          <w:tcPr>
            <w:tcW w:w="3936" w:type="dxa"/>
            <w:vAlign w:val="center"/>
          </w:tcPr>
          <w:p w14:paraId="25B5DAE4" w14:textId="77777777" w:rsidR="00DD5C9C" w:rsidRPr="009F10F2" w:rsidRDefault="00DD5C9C" w:rsidP="00AF79AC">
            <w:pPr>
              <w:ind w:left="284"/>
              <w:rPr>
                <w:sz w:val="18"/>
                <w:szCs w:val="18"/>
                <w:lang w:bidi="ar-SA"/>
              </w:rPr>
            </w:pPr>
            <w:r w:rsidRPr="009F10F2">
              <w:rPr>
                <w:sz w:val="18"/>
                <w:szCs w:val="18"/>
                <w:lang w:bidi="ar-SA"/>
              </w:rPr>
              <w:t>Proportion</w:t>
            </w:r>
            <w:r>
              <w:rPr>
                <w:sz w:val="18"/>
                <w:szCs w:val="18"/>
                <w:lang w:bidi="ar-SA"/>
              </w:rPr>
              <w:t xml:space="preserve"> (%) serum 25OHD</w:t>
            </w:r>
            <w:r w:rsidR="00AF79AC">
              <w:rPr>
                <w:sz w:val="18"/>
                <w:szCs w:val="18"/>
                <w:lang w:bidi="ar-SA"/>
              </w:rPr>
              <w:t xml:space="preserve"> </w:t>
            </w:r>
            <w:r>
              <w:rPr>
                <w:sz w:val="18"/>
                <w:szCs w:val="18"/>
                <w:lang w:bidi="ar-SA"/>
              </w:rPr>
              <w:t>&gt;</w:t>
            </w:r>
            <w:r w:rsidRPr="009F10F2">
              <w:rPr>
                <w:sz w:val="18"/>
                <w:szCs w:val="18"/>
                <w:lang w:bidi="ar-SA"/>
              </w:rPr>
              <w:t xml:space="preserve"> 125 nM</w:t>
            </w:r>
          </w:p>
        </w:tc>
        <w:tc>
          <w:tcPr>
            <w:tcW w:w="992" w:type="dxa"/>
            <w:vAlign w:val="center"/>
          </w:tcPr>
          <w:p w14:paraId="25B5DAE5" w14:textId="77777777" w:rsidR="00DD5C9C" w:rsidRPr="009F10F2" w:rsidRDefault="00DD5C9C" w:rsidP="003B5D42">
            <w:pPr>
              <w:jc w:val="center"/>
              <w:rPr>
                <w:sz w:val="18"/>
                <w:szCs w:val="18"/>
                <w:lang w:bidi="ar-SA"/>
              </w:rPr>
            </w:pPr>
            <w:r>
              <w:rPr>
                <w:sz w:val="18"/>
                <w:szCs w:val="18"/>
                <w:lang w:bidi="ar-SA"/>
              </w:rPr>
              <w:t>3.2</w:t>
            </w:r>
            <w:r w:rsidRPr="008D6C01">
              <w:rPr>
                <w:szCs w:val="22"/>
                <w:lang w:bidi="ar-SA"/>
              </w:rPr>
              <w:t xml:space="preserve"> **</w:t>
            </w:r>
          </w:p>
        </w:tc>
        <w:tc>
          <w:tcPr>
            <w:tcW w:w="1120" w:type="dxa"/>
            <w:vAlign w:val="center"/>
          </w:tcPr>
          <w:p w14:paraId="25B5DAE6" w14:textId="77777777" w:rsidR="00DD5C9C" w:rsidRPr="009F10F2" w:rsidRDefault="00DD5C9C" w:rsidP="003B5D42">
            <w:pPr>
              <w:jc w:val="center"/>
              <w:rPr>
                <w:sz w:val="18"/>
                <w:szCs w:val="18"/>
                <w:lang w:bidi="ar-SA"/>
              </w:rPr>
            </w:pPr>
            <w:r>
              <w:rPr>
                <w:sz w:val="18"/>
                <w:szCs w:val="18"/>
                <w:lang w:bidi="ar-SA"/>
              </w:rPr>
              <w:t>3.3</w:t>
            </w:r>
          </w:p>
        </w:tc>
        <w:tc>
          <w:tcPr>
            <w:tcW w:w="1148" w:type="dxa"/>
            <w:vAlign w:val="center"/>
          </w:tcPr>
          <w:p w14:paraId="25B5DAE7" w14:textId="77777777" w:rsidR="00DD5C9C" w:rsidRPr="009F10F2" w:rsidRDefault="00DD5C9C" w:rsidP="003B5D42">
            <w:pPr>
              <w:jc w:val="center"/>
              <w:rPr>
                <w:sz w:val="18"/>
                <w:szCs w:val="18"/>
                <w:lang w:bidi="ar-SA"/>
              </w:rPr>
            </w:pPr>
            <w:r>
              <w:rPr>
                <w:sz w:val="18"/>
                <w:szCs w:val="18"/>
                <w:lang w:bidi="ar-SA"/>
              </w:rPr>
              <w:t>3.5</w:t>
            </w:r>
          </w:p>
        </w:tc>
        <w:tc>
          <w:tcPr>
            <w:tcW w:w="1092" w:type="dxa"/>
            <w:vAlign w:val="center"/>
          </w:tcPr>
          <w:p w14:paraId="25B5DAE8" w14:textId="77777777" w:rsidR="00DD5C9C" w:rsidRPr="009F10F2" w:rsidRDefault="00DD5C9C" w:rsidP="003B5D42">
            <w:pPr>
              <w:jc w:val="center"/>
              <w:rPr>
                <w:sz w:val="18"/>
                <w:szCs w:val="18"/>
                <w:lang w:bidi="ar-SA"/>
              </w:rPr>
            </w:pPr>
            <w:r>
              <w:rPr>
                <w:sz w:val="18"/>
                <w:szCs w:val="18"/>
                <w:lang w:bidi="ar-SA"/>
              </w:rPr>
              <w:t>4.5</w:t>
            </w:r>
          </w:p>
        </w:tc>
        <w:tc>
          <w:tcPr>
            <w:tcW w:w="1120" w:type="dxa"/>
            <w:vAlign w:val="center"/>
          </w:tcPr>
          <w:p w14:paraId="25B5DAE9" w14:textId="77777777" w:rsidR="00DD5C9C" w:rsidRPr="009F10F2" w:rsidRDefault="00DD5C9C" w:rsidP="003B5D42">
            <w:pPr>
              <w:jc w:val="center"/>
              <w:rPr>
                <w:sz w:val="18"/>
                <w:szCs w:val="18"/>
                <w:lang w:bidi="ar-SA"/>
              </w:rPr>
            </w:pPr>
            <w:r>
              <w:rPr>
                <w:sz w:val="18"/>
                <w:szCs w:val="18"/>
                <w:lang w:bidi="ar-SA"/>
              </w:rPr>
              <w:t>7.5</w:t>
            </w:r>
          </w:p>
        </w:tc>
      </w:tr>
      <w:tr w:rsidR="00DD5C9C" w14:paraId="25B5DAEC" w14:textId="77777777" w:rsidTr="003B5D42">
        <w:trPr>
          <w:trHeight w:val="303"/>
        </w:trPr>
        <w:tc>
          <w:tcPr>
            <w:tcW w:w="9408" w:type="dxa"/>
            <w:gridSpan w:val="6"/>
            <w:vAlign w:val="center"/>
          </w:tcPr>
          <w:p w14:paraId="25B5DAEB" w14:textId="77777777" w:rsidR="00DD5C9C" w:rsidRPr="009709D5" w:rsidRDefault="00DD5C9C" w:rsidP="003B5D42">
            <w:pPr>
              <w:rPr>
                <w:sz w:val="18"/>
                <w:szCs w:val="18"/>
                <w:lang w:bidi="ar-SA"/>
              </w:rPr>
            </w:pPr>
            <w:r w:rsidRPr="009709D5">
              <w:rPr>
                <w:sz w:val="18"/>
                <w:szCs w:val="18"/>
                <w:lang w:bidi="ar-SA"/>
              </w:rPr>
              <w:t>New Zealand adults (15 years and over)</w:t>
            </w:r>
          </w:p>
        </w:tc>
      </w:tr>
      <w:tr w:rsidR="00DD5C9C" w14:paraId="25B5DAF3" w14:textId="77777777" w:rsidTr="003B5D42">
        <w:trPr>
          <w:trHeight w:val="397"/>
        </w:trPr>
        <w:tc>
          <w:tcPr>
            <w:tcW w:w="3936" w:type="dxa"/>
            <w:vAlign w:val="center"/>
          </w:tcPr>
          <w:p w14:paraId="25B5DAED" w14:textId="77777777" w:rsidR="00DD5C9C" w:rsidRPr="009F10F2" w:rsidRDefault="00DD5C9C" w:rsidP="003B5D42">
            <w:pPr>
              <w:ind w:left="284"/>
              <w:rPr>
                <w:sz w:val="18"/>
                <w:szCs w:val="18"/>
                <w:lang w:bidi="ar-SA"/>
              </w:rPr>
            </w:pPr>
            <w:r w:rsidRPr="009F10F2">
              <w:rPr>
                <w:sz w:val="18"/>
                <w:szCs w:val="18"/>
                <w:lang w:bidi="ar-SA"/>
              </w:rPr>
              <w:t xml:space="preserve">Predicted </w:t>
            </w:r>
            <w:r>
              <w:rPr>
                <w:sz w:val="18"/>
                <w:szCs w:val="18"/>
                <w:lang w:bidi="ar-SA"/>
              </w:rPr>
              <w:t>i</w:t>
            </w:r>
            <w:r w:rsidRPr="009F10F2">
              <w:rPr>
                <w:sz w:val="18"/>
                <w:szCs w:val="18"/>
                <w:lang w:bidi="ar-SA"/>
              </w:rPr>
              <w:t xml:space="preserve">ncrease in </w:t>
            </w:r>
            <w:r>
              <w:rPr>
                <w:sz w:val="18"/>
                <w:szCs w:val="18"/>
                <w:lang w:bidi="ar-SA"/>
              </w:rPr>
              <w:t xml:space="preserve">serum </w:t>
            </w:r>
            <w:r w:rsidRPr="009F10F2">
              <w:rPr>
                <w:sz w:val="18"/>
                <w:szCs w:val="18"/>
                <w:lang w:bidi="ar-SA"/>
              </w:rPr>
              <w:t>25OHD</w:t>
            </w:r>
            <w:r>
              <w:rPr>
                <w:sz w:val="18"/>
                <w:szCs w:val="18"/>
                <w:lang w:bidi="ar-SA"/>
              </w:rPr>
              <w:t xml:space="preserve"> (nM)</w:t>
            </w:r>
          </w:p>
        </w:tc>
        <w:tc>
          <w:tcPr>
            <w:tcW w:w="992" w:type="dxa"/>
            <w:vAlign w:val="center"/>
          </w:tcPr>
          <w:p w14:paraId="25B5DAEE" w14:textId="77777777" w:rsidR="00DD5C9C" w:rsidRPr="009F10F2" w:rsidRDefault="00DD5C9C" w:rsidP="003B5D42">
            <w:pPr>
              <w:jc w:val="center"/>
              <w:rPr>
                <w:sz w:val="18"/>
                <w:szCs w:val="18"/>
                <w:lang w:bidi="ar-SA"/>
              </w:rPr>
            </w:pPr>
            <w:r>
              <w:rPr>
                <w:sz w:val="18"/>
                <w:szCs w:val="18"/>
                <w:lang w:bidi="ar-SA"/>
              </w:rPr>
              <w:t>0</w:t>
            </w:r>
          </w:p>
        </w:tc>
        <w:tc>
          <w:tcPr>
            <w:tcW w:w="1120" w:type="dxa"/>
            <w:vAlign w:val="center"/>
          </w:tcPr>
          <w:p w14:paraId="25B5DAEF" w14:textId="77777777" w:rsidR="00DD5C9C" w:rsidRPr="009F10F2" w:rsidRDefault="00DD5C9C" w:rsidP="003B5D42">
            <w:pPr>
              <w:jc w:val="center"/>
              <w:rPr>
                <w:sz w:val="18"/>
                <w:szCs w:val="18"/>
                <w:lang w:bidi="ar-SA"/>
              </w:rPr>
            </w:pPr>
            <w:r>
              <w:rPr>
                <w:sz w:val="18"/>
                <w:szCs w:val="18"/>
                <w:lang w:bidi="ar-SA"/>
              </w:rPr>
              <w:t>3.5</w:t>
            </w:r>
          </w:p>
        </w:tc>
        <w:tc>
          <w:tcPr>
            <w:tcW w:w="1148" w:type="dxa"/>
            <w:vAlign w:val="center"/>
          </w:tcPr>
          <w:p w14:paraId="25B5DAF0" w14:textId="77777777" w:rsidR="00DD5C9C" w:rsidRPr="009F10F2" w:rsidRDefault="00DD5C9C" w:rsidP="003B5D42">
            <w:pPr>
              <w:jc w:val="center"/>
              <w:rPr>
                <w:sz w:val="18"/>
                <w:szCs w:val="18"/>
                <w:lang w:bidi="ar-SA"/>
              </w:rPr>
            </w:pPr>
            <w:r>
              <w:rPr>
                <w:sz w:val="18"/>
                <w:szCs w:val="18"/>
                <w:lang w:bidi="ar-SA"/>
              </w:rPr>
              <w:t>6.5</w:t>
            </w:r>
          </w:p>
        </w:tc>
        <w:tc>
          <w:tcPr>
            <w:tcW w:w="1092" w:type="dxa"/>
            <w:vAlign w:val="center"/>
          </w:tcPr>
          <w:p w14:paraId="25B5DAF1" w14:textId="77777777" w:rsidR="00DD5C9C" w:rsidRPr="009F10F2" w:rsidRDefault="00DD5C9C" w:rsidP="003B5D42">
            <w:pPr>
              <w:jc w:val="center"/>
              <w:rPr>
                <w:sz w:val="18"/>
                <w:szCs w:val="18"/>
                <w:lang w:bidi="ar-SA"/>
              </w:rPr>
            </w:pPr>
            <w:r>
              <w:rPr>
                <w:sz w:val="18"/>
                <w:szCs w:val="18"/>
                <w:lang w:bidi="ar-SA"/>
              </w:rPr>
              <w:t>10.6</w:t>
            </w:r>
          </w:p>
        </w:tc>
        <w:tc>
          <w:tcPr>
            <w:tcW w:w="1120" w:type="dxa"/>
            <w:vAlign w:val="center"/>
          </w:tcPr>
          <w:p w14:paraId="25B5DAF2" w14:textId="77777777" w:rsidR="00DD5C9C" w:rsidRPr="009F10F2" w:rsidRDefault="00DD5C9C" w:rsidP="003B5D42">
            <w:pPr>
              <w:jc w:val="center"/>
              <w:rPr>
                <w:sz w:val="18"/>
                <w:szCs w:val="18"/>
                <w:lang w:bidi="ar-SA"/>
              </w:rPr>
            </w:pPr>
            <w:r>
              <w:rPr>
                <w:sz w:val="18"/>
                <w:szCs w:val="18"/>
                <w:lang w:bidi="ar-SA"/>
              </w:rPr>
              <w:t>18.4</w:t>
            </w:r>
          </w:p>
        </w:tc>
      </w:tr>
      <w:tr w:rsidR="00DD5C9C" w14:paraId="25B5DAFA" w14:textId="77777777" w:rsidTr="003B5D42">
        <w:trPr>
          <w:trHeight w:val="397"/>
        </w:trPr>
        <w:tc>
          <w:tcPr>
            <w:tcW w:w="3936" w:type="dxa"/>
            <w:vAlign w:val="center"/>
          </w:tcPr>
          <w:p w14:paraId="25B5DAF4" w14:textId="77777777" w:rsidR="00DD5C9C" w:rsidRPr="009F10F2" w:rsidRDefault="00DD5C9C" w:rsidP="003B5D42">
            <w:pPr>
              <w:ind w:left="284"/>
              <w:rPr>
                <w:sz w:val="18"/>
                <w:szCs w:val="18"/>
                <w:lang w:bidi="ar-SA"/>
              </w:rPr>
            </w:pPr>
            <w:r w:rsidRPr="009709D5">
              <w:rPr>
                <w:sz w:val="18"/>
                <w:szCs w:val="18"/>
                <w:lang w:bidi="ar-SA"/>
              </w:rPr>
              <w:t>Proportion (%)</w:t>
            </w:r>
            <w:r>
              <w:rPr>
                <w:sz w:val="18"/>
                <w:szCs w:val="18"/>
                <w:lang w:bidi="ar-SA"/>
              </w:rPr>
              <w:t xml:space="preserve"> serum 25OHD &lt;</w:t>
            </w:r>
            <w:r w:rsidRPr="009F10F2">
              <w:rPr>
                <w:sz w:val="18"/>
                <w:szCs w:val="18"/>
                <w:lang w:bidi="ar-SA"/>
              </w:rPr>
              <w:t xml:space="preserve"> 40 nM</w:t>
            </w:r>
          </w:p>
        </w:tc>
        <w:tc>
          <w:tcPr>
            <w:tcW w:w="992" w:type="dxa"/>
            <w:vAlign w:val="center"/>
          </w:tcPr>
          <w:p w14:paraId="25B5DAF5" w14:textId="77777777" w:rsidR="00DD5C9C" w:rsidRPr="009F10F2" w:rsidRDefault="00DD5C9C" w:rsidP="003B5D42">
            <w:pPr>
              <w:jc w:val="center"/>
              <w:rPr>
                <w:sz w:val="18"/>
                <w:szCs w:val="18"/>
                <w:lang w:bidi="ar-SA"/>
              </w:rPr>
            </w:pPr>
            <w:r>
              <w:rPr>
                <w:sz w:val="18"/>
                <w:szCs w:val="18"/>
                <w:lang w:bidi="ar-SA"/>
              </w:rPr>
              <w:t>20.9</w:t>
            </w:r>
          </w:p>
        </w:tc>
        <w:tc>
          <w:tcPr>
            <w:tcW w:w="1120" w:type="dxa"/>
            <w:vAlign w:val="center"/>
          </w:tcPr>
          <w:p w14:paraId="25B5DAF6" w14:textId="77777777" w:rsidR="00DD5C9C" w:rsidRPr="009F10F2" w:rsidRDefault="00DD5C9C" w:rsidP="003B5D42">
            <w:pPr>
              <w:jc w:val="center"/>
              <w:rPr>
                <w:sz w:val="18"/>
                <w:szCs w:val="18"/>
                <w:lang w:bidi="ar-SA"/>
              </w:rPr>
            </w:pPr>
            <w:r>
              <w:rPr>
                <w:sz w:val="18"/>
                <w:szCs w:val="18"/>
                <w:lang w:bidi="ar-SA"/>
              </w:rPr>
              <w:t>19.2</w:t>
            </w:r>
          </w:p>
        </w:tc>
        <w:tc>
          <w:tcPr>
            <w:tcW w:w="1148" w:type="dxa"/>
            <w:vAlign w:val="center"/>
          </w:tcPr>
          <w:p w14:paraId="25B5DAF7" w14:textId="77777777" w:rsidR="00DD5C9C" w:rsidRPr="009F10F2" w:rsidRDefault="00DD5C9C" w:rsidP="003B5D42">
            <w:pPr>
              <w:jc w:val="center"/>
              <w:rPr>
                <w:sz w:val="18"/>
                <w:szCs w:val="18"/>
                <w:lang w:bidi="ar-SA"/>
              </w:rPr>
            </w:pPr>
            <w:r>
              <w:rPr>
                <w:sz w:val="18"/>
                <w:szCs w:val="18"/>
                <w:lang w:bidi="ar-SA"/>
              </w:rPr>
              <w:t>17.8</w:t>
            </w:r>
          </w:p>
        </w:tc>
        <w:tc>
          <w:tcPr>
            <w:tcW w:w="1092" w:type="dxa"/>
            <w:vAlign w:val="center"/>
          </w:tcPr>
          <w:p w14:paraId="25B5DAF8" w14:textId="77777777" w:rsidR="00DD5C9C" w:rsidRPr="009F10F2" w:rsidRDefault="00DD5C9C" w:rsidP="003B5D42">
            <w:pPr>
              <w:jc w:val="center"/>
              <w:rPr>
                <w:sz w:val="18"/>
                <w:szCs w:val="18"/>
                <w:lang w:bidi="ar-SA"/>
              </w:rPr>
            </w:pPr>
            <w:r>
              <w:rPr>
                <w:sz w:val="18"/>
                <w:szCs w:val="18"/>
                <w:lang w:bidi="ar-SA"/>
              </w:rPr>
              <w:t>8.4</w:t>
            </w:r>
          </w:p>
        </w:tc>
        <w:tc>
          <w:tcPr>
            <w:tcW w:w="1120" w:type="dxa"/>
            <w:vAlign w:val="center"/>
          </w:tcPr>
          <w:p w14:paraId="25B5DAF9" w14:textId="77777777" w:rsidR="00DD5C9C" w:rsidRPr="009F10F2" w:rsidRDefault="00DD5C9C" w:rsidP="003B5D42">
            <w:pPr>
              <w:jc w:val="center"/>
              <w:rPr>
                <w:sz w:val="18"/>
                <w:szCs w:val="18"/>
                <w:lang w:bidi="ar-SA"/>
              </w:rPr>
            </w:pPr>
            <w:r>
              <w:rPr>
                <w:sz w:val="18"/>
                <w:szCs w:val="18"/>
                <w:lang w:bidi="ar-SA"/>
              </w:rPr>
              <w:t>1.5</w:t>
            </w:r>
          </w:p>
        </w:tc>
      </w:tr>
      <w:tr w:rsidR="00DD5C9C" w14:paraId="25B5DB01" w14:textId="77777777" w:rsidTr="003B5D42">
        <w:trPr>
          <w:trHeight w:val="397"/>
        </w:trPr>
        <w:tc>
          <w:tcPr>
            <w:tcW w:w="3936" w:type="dxa"/>
            <w:vAlign w:val="center"/>
          </w:tcPr>
          <w:p w14:paraId="25B5DAFB" w14:textId="77777777" w:rsidR="00DD5C9C" w:rsidRPr="009F10F2" w:rsidRDefault="00DD5C9C" w:rsidP="00AF79AC">
            <w:pPr>
              <w:ind w:left="284"/>
              <w:rPr>
                <w:sz w:val="18"/>
                <w:szCs w:val="18"/>
                <w:lang w:bidi="ar-SA"/>
              </w:rPr>
            </w:pPr>
            <w:r w:rsidRPr="009F10F2">
              <w:rPr>
                <w:sz w:val="18"/>
                <w:szCs w:val="18"/>
                <w:lang w:bidi="ar-SA"/>
              </w:rPr>
              <w:t>Proportion</w:t>
            </w:r>
            <w:r>
              <w:rPr>
                <w:sz w:val="18"/>
                <w:szCs w:val="18"/>
                <w:lang w:bidi="ar-SA"/>
              </w:rPr>
              <w:t xml:space="preserve"> (%) serum 25OHD</w:t>
            </w:r>
            <w:r w:rsidR="00AF79AC">
              <w:rPr>
                <w:sz w:val="18"/>
                <w:szCs w:val="18"/>
                <w:lang w:bidi="ar-SA"/>
              </w:rPr>
              <w:t xml:space="preserve"> </w:t>
            </w:r>
            <w:r>
              <w:rPr>
                <w:sz w:val="18"/>
                <w:szCs w:val="18"/>
                <w:lang w:bidi="ar-SA"/>
              </w:rPr>
              <w:t>&gt;</w:t>
            </w:r>
            <w:r w:rsidRPr="009F10F2">
              <w:rPr>
                <w:sz w:val="18"/>
                <w:szCs w:val="18"/>
                <w:lang w:bidi="ar-SA"/>
              </w:rPr>
              <w:t xml:space="preserve"> 125 nM</w:t>
            </w:r>
          </w:p>
        </w:tc>
        <w:tc>
          <w:tcPr>
            <w:tcW w:w="992" w:type="dxa"/>
            <w:vAlign w:val="center"/>
          </w:tcPr>
          <w:p w14:paraId="25B5DAFC" w14:textId="77777777" w:rsidR="00DD5C9C" w:rsidRPr="009F10F2" w:rsidRDefault="00DD5C9C" w:rsidP="003B5D42">
            <w:pPr>
              <w:jc w:val="center"/>
              <w:rPr>
                <w:sz w:val="18"/>
                <w:szCs w:val="18"/>
                <w:lang w:bidi="ar-SA"/>
              </w:rPr>
            </w:pPr>
            <w:r>
              <w:rPr>
                <w:sz w:val="18"/>
                <w:szCs w:val="18"/>
                <w:lang w:bidi="ar-SA"/>
              </w:rPr>
              <w:t>1.4</w:t>
            </w:r>
          </w:p>
        </w:tc>
        <w:tc>
          <w:tcPr>
            <w:tcW w:w="1120" w:type="dxa"/>
            <w:vAlign w:val="center"/>
          </w:tcPr>
          <w:p w14:paraId="25B5DAFD" w14:textId="77777777" w:rsidR="00DD5C9C" w:rsidRPr="009F10F2" w:rsidRDefault="00DD5C9C" w:rsidP="003B5D42">
            <w:pPr>
              <w:jc w:val="center"/>
              <w:rPr>
                <w:sz w:val="18"/>
                <w:szCs w:val="18"/>
                <w:lang w:bidi="ar-SA"/>
              </w:rPr>
            </w:pPr>
            <w:r>
              <w:rPr>
                <w:sz w:val="18"/>
                <w:szCs w:val="18"/>
                <w:lang w:bidi="ar-SA"/>
              </w:rPr>
              <w:t>1.6</w:t>
            </w:r>
          </w:p>
        </w:tc>
        <w:tc>
          <w:tcPr>
            <w:tcW w:w="1148" w:type="dxa"/>
            <w:vAlign w:val="center"/>
          </w:tcPr>
          <w:p w14:paraId="25B5DAFE" w14:textId="77777777" w:rsidR="00DD5C9C" w:rsidRPr="009F10F2" w:rsidRDefault="00DD5C9C" w:rsidP="003B5D42">
            <w:pPr>
              <w:jc w:val="center"/>
              <w:rPr>
                <w:sz w:val="18"/>
                <w:szCs w:val="18"/>
                <w:lang w:bidi="ar-SA"/>
              </w:rPr>
            </w:pPr>
            <w:r>
              <w:rPr>
                <w:sz w:val="18"/>
                <w:szCs w:val="18"/>
                <w:lang w:bidi="ar-SA"/>
              </w:rPr>
              <w:t>1.9</w:t>
            </w:r>
          </w:p>
        </w:tc>
        <w:tc>
          <w:tcPr>
            <w:tcW w:w="1092" w:type="dxa"/>
            <w:vAlign w:val="center"/>
          </w:tcPr>
          <w:p w14:paraId="25B5DAFF" w14:textId="77777777" w:rsidR="00DD5C9C" w:rsidRPr="009F10F2" w:rsidRDefault="00DD5C9C" w:rsidP="003B5D42">
            <w:pPr>
              <w:jc w:val="center"/>
              <w:rPr>
                <w:sz w:val="18"/>
                <w:szCs w:val="18"/>
                <w:lang w:bidi="ar-SA"/>
              </w:rPr>
            </w:pPr>
            <w:r>
              <w:rPr>
                <w:sz w:val="18"/>
                <w:szCs w:val="18"/>
                <w:lang w:bidi="ar-SA"/>
              </w:rPr>
              <w:t>3.5</w:t>
            </w:r>
          </w:p>
        </w:tc>
        <w:tc>
          <w:tcPr>
            <w:tcW w:w="1120" w:type="dxa"/>
            <w:vAlign w:val="center"/>
          </w:tcPr>
          <w:p w14:paraId="25B5DB00" w14:textId="77777777" w:rsidR="00DD5C9C" w:rsidRPr="009F10F2" w:rsidRDefault="00DD5C9C" w:rsidP="003B5D42">
            <w:pPr>
              <w:jc w:val="center"/>
              <w:rPr>
                <w:sz w:val="18"/>
                <w:szCs w:val="18"/>
                <w:lang w:bidi="ar-SA"/>
              </w:rPr>
            </w:pPr>
            <w:r>
              <w:rPr>
                <w:sz w:val="18"/>
                <w:szCs w:val="18"/>
                <w:lang w:bidi="ar-SA"/>
              </w:rPr>
              <w:t>5.5</w:t>
            </w:r>
          </w:p>
        </w:tc>
      </w:tr>
    </w:tbl>
    <w:p w14:paraId="25B5DB02" w14:textId="77777777" w:rsidR="00DD5C9C" w:rsidRDefault="00DD5C9C" w:rsidP="003B5D42">
      <w:pPr>
        <w:ind w:left="142" w:right="-306" w:hanging="142"/>
        <w:rPr>
          <w:sz w:val="16"/>
          <w:szCs w:val="16"/>
          <w:lang w:bidi="ar-SA"/>
        </w:rPr>
      </w:pPr>
      <w:r w:rsidRPr="00131F31">
        <w:rPr>
          <w:sz w:val="20"/>
          <w:szCs w:val="20"/>
          <w:vertAlign w:val="superscript"/>
          <w:lang w:eastAsia="en-AU"/>
        </w:rPr>
        <w:t xml:space="preserve">* </w:t>
      </w:r>
      <w:r w:rsidRPr="00232C76">
        <w:rPr>
          <w:sz w:val="16"/>
          <w:szCs w:val="16"/>
          <w:lang w:bidi="ar-SA"/>
        </w:rPr>
        <w:t>This value is derived from ABS Table Builder using AHS Core Content – Risk Factors and Selected Health Conditi</w:t>
      </w:r>
      <w:r>
        <w:rPr>
          <w:sz w:val="16"/>
          <w:szCs w:val="16"/>
          <w:lang w:bidi="ar-SA"/>
        </w:rPr>
        <w:t>ons, 2011</w:t>
      </w:r>
      <w:r w:rsidRPr="00362AEA">
        <w:rPr>
          <w:sz w:val="16"/>
          <w:szCs w:val="16"/>
          <w:lang w:bidi="ar-SA"/>
        </w:rPr>
        <w:t>–</w:t>
      </w:r>
      <w:r>
        <w:rPr>
          <w:sz w:val="16"/>
          <w:szCs w:val="16"/>
          <w:lang w:bidi="ar-SA"/>
        </w:rPr>
        <w:t>12.</w:t>
      </w:r>
    </w:p>
    <w:p w14:paraId="25B5DB03" w14:textId="77777777" w:rsidR="00DD5C9C" w:rsidRDefault="00DD5C9C" w:rsidP="003B5D42">
      <w:pPr>
        <w:ind w:left="142" w:right="-306" w:hanging="142"/>
        <w:rPr>
          <w:sz w:val="16"/>
          <w:szCs w:val="16"/>
          <w:lang w:bidi="ar-SA"/>
        </w:rPr>
      </w:pPr>
      <w:r w:rsidRPr="00131F31">
        <w:rPr>
          <w:sz w:val="20"/>
          <w:szCs w:val="20"/>
          <w:lang w:bidi="ar-SA"/>
        </w:rPr>
        <w:t>**</w:t>
      </w:r>
      <w:r>
        <w:rPr>
          <w:sz w:val="16"/>
          <w:szCs w:val="16"/>
          <w:lang w:bidi="ar-SA"/>
        </w:rPr>
        <w:t>This value differs from the Table Builder-derived value (1.3%) for the proportion with serum 25OHD &gt; 125 nM due to a rounding error which occurs in the distribution fitting.</w:t>
      </w:r>
    </w:p>
    <w:p w14:paraId="25B5DB04" w14:textId="77777777" w:rsidR="00DD5C9C" w:rsidRDefault="00DD5C9C" w:rsidP="003B5D42">
      <w:pPr>
        <w:pStyle w:val="Heading5"/>
        <w:numPr>
          <w:ilvl w:val="0"/>
          <w:numId w:val="0"/>
        </w:numPr>
        <w:rPr>
          <w:lang w:eastAsia="en-AU"/>
        </w:rPr>
      </w:pPr>
      <w:r>
        <w:rPr>
          <w:lang w:eastAsia="en-AU"/>
        </w:rPr>
        <w:t>Impact on proportion with serum 25OHD concentration &lt; 40 nM</w:t>
      </w:r>
    </w:p>
    <w:p w14:paraId="25B5DB05" w14:textId="77777777" w:rsidR="00DD5C9C" w:rsidRDefault="00DD5C9C" w:rsidP="003B5D42">
      <w:pPr>
        <w:rPr>
          <w:lang w:eastAsia="en-AU" w:bidi="ar-SA"/>
        </w:rPr>
      </w:pPr>
      <w:r w:rsidRPr="00364E49">
        <w:rPr>
          <w:lang w:eastAsia="en-AU" w:bidi="ar-SA"/>
        </w:rPr>
        <w:t xml:space="preserve">For Australians aged 18 </w:t>
      </w:r>
      <w:r>
        <w:rPr>
          <w:lang w:eastAsia="en-AU" w:bidi="ar-SA"/>
        </w:rPr>
        <w:t xml:space="preserve">years </w:t>
      </w:r>
      <w:r w:rsidRPr="00364E49">
        <w:rPr>
          <w:lang w:eastAsia="en-AU" w:bidi="ar-SA"/>
        </w:rPr>
        <w:t xml:space="preserve">and </w:t>
      </w:r>
      <w:r>
        <w:rPr>
          <w:lang w:eastAsia="en-AU" w:bidi="ar-SA"/>
        </w:rPr>
        <w:t>above</w:t>
      </w:r>
      <w:r w:rsidRPr="00364E49">
        <w:rPr>
          <w:lang w:eastAsia="en-AU" w:bidi="ar-SA"/>
        </w:rPr>
        <w:t xml:space="preserve">, the prevalence of serum 25OHD </w:t>
      </w:r>
      <w:r>
        <w:rPr>
          <w:rFonts w:cs="Arial"/>
          <w:lang w:eastAsia="en-AU" w:bidi="ar-SA"/>
        </w:rPr>
        <w:t>&lt;</w:t>
      </w:r>
      <w:r w:rsidRPr="00364E49">
        <w:rPr>
          <w:lang w:eastAsia="en-AU" w:bidi="ar-SA"/>
        </w:rPr>
        <w:t xml:space="preserve"> 40 nM was found to decrease from a baseline level of </w:t>
      </w:r>
      <w:r>
        <w:rPr>
          <w:lang w:eastAsia="en-AU" w:bidi="ar-SA"/>
        </w:rPr>
        <w:t>13.4</w:t>
      </w:r>
      <w:r w:rsidRPr="00364E49">
        <w:rPr>
          <w:lang w:eastAsia="en-AU" w:bidi="ar-SA"/>
        </w:rPr>
        <w:t xml:space="preserve">% down to </w:t>
      </w:r>
      <w:r>
        <w:rPr>
          <w:lang w:eastAsia="en-AU" w:bidi="ar-SA"/>
        </w:rPr>
        <w:t>1.6</w:t>
      </w:r>
      <w:r w:rsidRPr="00364E49">
        <w:rPr>
          <w:lang w:eastAsia="en-AU" w:bidi="ar-SA"/>
        </w:rPr>
        <w:t xml:space="preserve">% for the highest vitamin D intakes predicted from the modelling scenarios (Table 13). </w:t>
      </w:r>
      <w:r>
        <w:rPr>
          <w:lang w:eastAsia="en-AU" w:bidi="ar-SA"/>
        </w:rPr>
        <w:t>Similarly, d</w:t>
      </w:r>
      <w:r w:rsidRPr="009924C9">
        <w:rPr>
          <w:lang w:eastAsia="en-AU" w:bidi="ar-SA"/>
        </w:rPr>
        <w:t xml:space="preserve">ata from the New Zealand </w:t>
      </w:r>
      <w:r>
        <w:rPr>
          <w:lang w:eastAsia="en-AU" w:bidi="ar-SA"/>
        </w:rPr>
        <w:t xml:space="preserve">adult </w:t>
      </w:r>
      <w:r w:rsidRPr="009924C9">
        <w:rPr>
          <w:lang w:eastAsia="en-AU" w:bidi="ar-SA"/>
        </w:rPr>
        <w:t xml:space="preserve">survey shows </w:t>
      </w:r>
      <w:r>
        <w:rPr>
          <w:lang w:eastAsia="en-AU" w:bidi="ar-SA"/>
        </w:rPr>
        <w:t xml:space="preserve">the prevalence </w:t>
      </w:r>
      <w:r w:rsidRPr="008856E8">
        <w:rPr>
          <w:lang w:eastAsia="en-AU" w:bidi="ar-SA"/>
        </w:rPr>
        <w:t xml:space="preserve">of serum 25OHD </w:t>
      </w:r>
      <w:r>
        <w:rPr>
          <w:rFonts w:cs="Arial"/>
          <w:lang w:eastAsia="en-AU" w:bidi="ar-SA"/>
        </w:rPr>
        <w:t>&lt;</w:t>
      </w:r>
      <w:r w:rsidRPr="008856E8">
        <w:rPr>
          <w:lang w:eastAsia="en-AU" w:bidi="ar-SA"/>
        </w:rPr>
        <w:t xml:space="preserve"> 40 nM was found to decrease from a baseline level of </w:t>
      </w:r>
      <w:r>
        <w:rPr>
          <w:lang w:eastAsia="en-AU" w:bidi="ar-SA"/>
        </w:rPr>
        <w:t>20.9</w:t>
      </w:r>
      <w:r w:rsidRPr="008856E8">
        <w:rPr>
          <w:lang w:eastAsia="en-AU" w:bidi="ar-SA"/>
        </w:rPr>
        <w:t>% down to</w:t>
      </w:r>
      <w:r>
        <w:rPr>
          <w:lang w:eastAsia="en-AU" w:bidi="ar-SA"/>
        </w:rPr>
        <w:t xml:space="preserve"> 1.5</w:t>
      </w:r>
      <w:r w:rsidRPr="008856E8">
        <w:rPr>
          <w:lang w:eastAsia="en-AU" w:bidi="ar-SA"/>
        </w:rPr>
        <w:t>% for the highest vitamin D intakes predicted from the modelling</w:t>
      </w:r>
      <w:r>
        <w:rPr>
          <w:lang w:eastAsia="en-AU" w:bidi="ar-SA"/>
        </w:rPr>
        <w:t xml:space="preserve"> scenarios</w:t>
      </w:r>
      <w:r w:rsidRPr="008856E8">
        <w:rPr>
          <w:lang w:eastAsia="en-AU" w:bidi="ar-SA"/>
        </w:rPr>
        <w:t xml:space="preserve">. </w:t>
      </w:r>
      <w:r w:rsidRPr="00364E49">
        <w:rPr>
          <w:lang w:eastAsia="en-AU" w:bidi="ar-SA"/>
        </w:rPr>
        <w:t xml:space="preserve">Therefore, it can be concluded voluntary fortification of breakfast </w:t>
      </w:r>
      <w:r>
        <w:rPr>
          <w:lang w:eastAsia="en-AU" w:bidi="ar-SA"/>
        </w:rPr>
        <w:t>cereal</w:t>
      </w:r>
      <w:r w:rsidRPr="00364E49">
        <w:rPr>
          <w:lang w:eastAsia="en-AU" w:bidi="ar-SA"/>
        </w:rPr>
        <w:t xml:space="preserve"> with vitamin D will potentially improve t</w:t>
      </w:r>
      <w:r>
        <w:rPr>
          <w:lang w:eastAsia="en-AU" w:bidi="ar-SA"/>
        </w:rPr>
        <w:t>he vitamin D status of persons who</w:t>
      </w:r>
      <w:r w:rsidRPr="00364E49">
        <w:rPr>
          <w:lang w:eastAsia="en-AU" w:bidi="ar-SA"/>
        </w:rPr>
        <w:t xml:space="preserve"> have low vitamin D status and </w:t>
      </w:r>
      <w:r>
        <w:rPr>
          <w:lang w:eastAsia="en-AU" w:bidi="ar-SA"/>
        </w:rPr>
        <w:t xml:space="preserve">are possibly </w:t>
      </w:r>
      <w:r w:rsidRPr="00364E49">
        <w:rPr>
          <w:lang w:eastAsia="en-AU" w:bidi="ar-SA"/>
        </w:rPr>
        <w:t>deficient.</w:t>
      </w:r>
      <w:r>
        <w:rPr>
          <w:lang w:eastAsia="en-AU" w:bidi="ar-SA"/>
        </w:rPr>
        <w:t xml:space="preserve"> </w:t>
      </w:r>
    </w:p>
    <w:p w14:paraId="25B5DB06" w14:textId="77777777" w:rsidR="00DD5C9C" w:rsidRPr="00982D62" w:rsidRDefault="00DD5C9C" w:rsidP="003B5D42">
      <w:pPr>
        <w:ind w:left="142" w:right="-306" w:hanging="142"/>
        <w:rPr>
          <w:sz w:val="16"/>
          <w:szCs w:val="16"/>
          <w:lang w:bidi="ar-SA"/>
        </w:rPr>
      </w:pPr>
    </w:p>
    <w:p w14:paraId="25B5DB07" w14:textId="77777777" w:rsidR="00DD5C9C" w:rsidRDefault="00DD5C9C" w:rsidP="003B5D42">
      <w:pPr>
        <w:rPr>
          <w:i/>
          <w:lang w:eastAsia="en-AU" w:bidi="ar-SA"/>
        </w:rPr>
      </w:pPr>
      <w:r w:rsidRPr="00F92FCC">
        <w:rPr>
          <w:i/>
          <w:lang w:eastAsia="en-AU" w:bidi="ar-SA"/>
        </w:rPr>
        <w:t>Impact on proportion with serum 25OHD concentrations &gt;</w:t>
      </w:r>
      <w:r>
        <w:rPr>
          <w:i/>
          <w:lang w:eastAsia="en-AU" w:bidi="ar-SA"/>
        </w:rPr>
        <w:t xml:space="preserve"> </w:t>
      </w:r>
      <w:r w:rsidRPr="00F92FCC">
        <w:rPr>
          <w:i/>
          <w:lang w:eastAsia="en-AU" w:bidi="ar-SA"/>
        </w:rPr>
        <w:t>125 nM</w:t>
      </w:r>
    </w:p>
    <w:p w14:paraId="25B5DB08" w14:textId="77777777" w:rsidR="00DD5C9C" w:rsidRPr="00F92FCC" w:rsidRDefault="00DD5C9C" w:rsidP="003B5D42">
      <w:pPr>
        <w:rPr>
          <w:i/>
          <w:lang w:eastAsia="en-AU" w:bidi="ar-SA"/>
        </w:rPr>
      </w:pPr>
    </w:p>
    <w:p w14:paraId="25B5DB09" w14:textId="77777777" w:rsidR="00DD5C9C" w:rsidRDefault="00DD5C9C" w:rsidP="003B5D42">
      <w:pPr>
        <w:rPr>
          <w:lang w:eastAsia="en-AU" w:bidi="ar-SA"/>
        </w:rPr>
      </w:pPr>
      <w:r w:rsidRPr="00F92FCC">
        <w:rPr>
          <w:lang w:eastAsia="en-AU" w:bidi="ar-SA"/>
        </w:rPr>
        <w:t>For Australians aged 18</w:t>
      </w:r>
      <w:r>
        <w:rPr>
          <w:lang w:eastAsia="en-AU" w:bidi="ar-SA"/>
        </w:rPr>
        <w:t xml:space="preserve"> years</w:t>
      </w:r>
      <w:r w:rsidRPr="00F92FCC">
        <w:rPr>
          <w:lang w:eastAsia="en-AU" w:bidi="ar-SA"/>
        </w:rPr>
        <w:t xml:space="preserve"> and </w:t>
      </w:r>
      <w:r>
        <w:rPr>
          <w:lang w:eastAsia="en-AU" w:bidi="ar-SA"/>
        </w:rPr>
        <w:t>above</w:t>
      </w:r>
      <w:r w:rsidRPr="00F92FCC">
        <w:rPr>
          <w:lang w:eastAsia="en-AU" w:bidi="ar-SA"/>
        </w:rPr>
        <w:t xml:space="preserve">, the prevalence of serum 25OHD </w:t>
      </w:r>
      <w:r>
        <w:rPr>
          <w:lang w:eastAsia="en-AU" w:bidi="ar-SA"/>
        </w:rPr>
        <w:t>&gt;</w:t>
      </w:r>
      <w:r w:rsidRPr="00F92FCC">
        <w:rPr>
          <w:lang w:eastAsia="en-AU" w:bidi="ar-SA"/>
        </w:rPr>
        <w:t xml:space="preserve"> 125 nM was found to increase from a baseline of </w:t>
      </w:r>
      <w:r>
        <w:rPr>
          <w:lang w:eastAsia="en-AU" w:bidi="ar-SA"/>
        </w:rPr>
        <w:t>3.2</w:t>
      </w:r>
      <w:r w:rsidRPr="00F92FCC">
        <w:rPr>
          <w:lang w:eastAsia="en-AU" w:bidi="ar-SA"/>
        </w:rPr>
        <w:t>%</w:t>
      </w:r>
      <w:r>
        <w:rPr>
          <w:lang w:eastAsia="en-AU" w:bidi="ar-SA"/>
        </w:rPr>
        <w:t xml:space="preserve"> (or 1.3% as determined from Table Builder analysis which does not include rounding error)</w:t>
      </w:r>
      <w:r w:rsidRPr="00F92FCC">
        <w:rPr>
          <w:lang w:eastAsia="en-AU" w:bidi="ar-SA"/>
        </w:rPr>
        <w:t xml:space="preserve"> to 7.</w:t>
      </w:r>
      <w:r>
        <w:rPr>
          <w:lang w:eastAsia="en-AU" w:bidi="ar-SA"/>
        </w:rPr>
        <w:t>5</w:t>
      </w:r>
      <w:r w:rsidRPr="00F92FCC">
        <w:rPr>
          <w:lang w:eastAsia="en-AU" w:bidi="ar-SA"/>
        </w:rPr>
        <w:t>% for the highest vitamin D intakes from the modelling scenarios (Table 1</w:t>
      </w:r>
      <w:r>
        <w:rPr>
          <w:lang w:eastAsia="en-AU" w:bidi="ar-SA"/>
        </w:rPr>
        <w:t>3</w:t>
      </w:r>
      <w:r w:rsidRPr="00F92FCC">
        <w:rPr>
          <w:lang w:eastAsia="en-AU" w:bidi="ar-SA"/>
        </w:rPr>
        <w:t xml:space="preserve">). </w:t>
      </w:r>
      <w:r w:rsidRPr="008856E8">
        <w:rPr>
          <w:lang w:eastAsia="en-AU" w:bidi="ar-SA"/>
        </w:rPr>
        <w:t xml:space="preserve">Similarly, data from the New Zealand adult survey shows the prevalence </w:t>
      </w:r>
      <w:r>
        <w:rPr>
          <w:lang w:eastAsia="en-AU" w:bidi="ar-SA"/>
        </w:rPr>
        <w:t xml:space="preserve">of serum 25OHD &gt; 125 </w:t>
      </w:r>
      <w:r w:rsidRPr="008856E8">
        <w:rPr>
          <w:lang w:eastAsia="en-AU" w:bidi="ar-SA"/>
        </w:rPr>
        <w:t xml:space="preserve">nM was found to </w:t>
      </w:r>
      <w:r>
        <w:rPr>
          <w:lang w:eastAsia="en-AU" w:bidi="ar-SA"/>
        </w:rPr>
        <w:t xml:space="preserve">increase </w:t>
      </w:r>
      <w:r w:rsidRPr="008856E8">
        <w:rPr>
          <w:lang w:eastAsia="en-AU" w:bidi="ar-SA"/>
        </w:rPr>
        <w:t xml:space="preserve">from a baseline level of </w:t>
      </w:r>
      <w:r>
        <w:rPr>
          <w:lang w:eastAsia="en-AU" w:bidi="ar-SA"/>
        </w:rPr>
        <w:t>1.4</w:t>
      </w:r>
      <w:r w:rsidRPr="008856E8">
        <w:rPr>
          <w:lang w:eastAsia="en-AU" w:bidi="ar-SA"/>
        </w:rPr>
        <w:t xml:space="preserve">% </w:t>
      </w:r>
      <w:r>
        <w:rPr>
          <w:lang w:eastAsia="en-AU" w:bidi="ar-SA"/>
        </w:rPr>
        <w:t>up to 5</w:t>
      </w:r>
      <w:r w:rsidRPr="008856E8">
        <w:rPr>
          <w:lang w:eastAsia="en-AU" w:bidi="ar-SA"/>
        </w:rPr>
        <w:t>.5% for the highest vitamin D intakes predicted from the modelling scenarios</w:t>
      </w:r>
      <w:r>
        <w:rPr>
          <w:lang w:eastAsia="en-AU" w:bidi="ar-SA"/>
        </w:rPr>
        <w:t>.</w:t>
      </w:r>
      <w:r w:rsidR="00813093">
        <w:rPr>
          <w:lang w:eastAsia="en-AU" w:bidi="ar-SA"/>
        </w:rPr>
        <w:t xml:space="preserve"> For both Australian and New Zealand adults, the prevalence of serum 25OHD &gt; 150 nM, the upper value in the range of serum </w:t>
      </w:r>
      <w:r w:rsidR="00A028B1">
        <w:rPr>
          <w:lang w:eastAsia="en-AU" w:bidi="ar-SA"/>
        </w:rPr>
        <w:t xml:space="preserve">25OHD </w:t>
      </w:r>
      <w:r w:rsidR="00813093">
        <w:rPr>
          <w:lang w:eastAsia="en-AU" w:bidi="ar-SA"/>
        </w:rPr>
        <w:t>that the IOM concluded would be of concern, did not increase above baseline levels (data not shown).</w:t>
      </w:r>
    </w:p>
    <w:p w14:paraId="25B5DB0B" w14:textId="77777777" w:rsidR="00DD5C9C" w:rsidRDefault="00DD5C9C" w:rsidP="003B5D42">
      <w:pPr>
        <w:pStyle w:val="Heading3"/>
      </w:pPr>
      <w:bookmarkStart w:id="40" w:name="_Toc406575709"/>
      <w:r w:rsidRPr="00053E3A">
        <w:t>Data</w:t>
      </w:r>
      <w:r>
        <w:t xml:space="preserve"> gaps and limitations</w:t>
      </w:r>
      <w:bookmarkEnd w:id="40"/>
      <w:r>
        <w:t xml:space="preserve"> </w:t>
      </w:r>
    </w:p>
    <w:p w14:paraId="25B5DB0C" w14:textId="77777777" w:rsidR="00DD5C9C" w:rsidRPr="00DD0758" w:rsidRDefault="00DD5C9C" w:rsidP="003B5D42">
      <w:pPr>
        <w:rPr>
          <w:lang w:bidi="ar-SA"/>
        </w:rPr>
      </w:pPr>
      <w:r>
        <w:rPr>
          <w:lang w:bidi="ar-SA"/>
        </w:rPr>
        <w:t>The conclusions of the risk assessment were based on three components that factor into the potential effects on vitamin D status: (1) RTE breakfast cereal consumption (Section 5.2.1), (2) assumed vitamin D concentration in fortified breakfast cereal (Section 5.2.3), and (3) estimated effects of consuming vitamin D fortified breakfast cereal on serum 25OHD, particularly in relation to elevated concentrations (Section 6).</w:t>
      </w:r>
    </w:p>
    <w:p w14:paraId="25B5DB0D" w14:textId="0943CF68" w:rsidR="000223BB" w:rsidRDefault="000223BB" w:rsidP="003B5D42">
      <w:pPr>
        <w:rPr>
          <w:lang w:bidi="ar-SA"/>
        </w:rPr>
      </w:pPr>
      <w:r>
        <w:rPr>
          <w:lang w:bidi="ar-SA"/>
        </w:rPr>
        <w:br w:type="page"/>
      </w:r>
    </w:p>
    <w:p w14:paraId="25B5DB0E" w14:textId="77777777" w:rsidR="00DD5C9C" w:rsidRDefault="00DD5C9C" w:rsidP="003B5D42">
      <w:pPr>
        <w:rPr>
          <w:lang w:bidi="ar-SA"/>
        </w:rPr>
      </w:pPr>
      <w:r>
        <w:rPr>
          <w:lang w:bidi="ar-SA"/>
        </w:rPr>
        <w:lastRenderedPageBreak/>
        <w:t xml:space="preserve">Limitations in relation to (1) </w:t>
      </w:r>
      <w:r w:rsidR="00AF79AC">
        <w:rPr>
          <w:lang w:bidi="ar-SA"/>
        </w:rPr>
        <w:t>–</w:t>
      </w:r>
      <w:r>
        <w:rPr>
          <w:lang w:bidi="ar-SA"/>
        </w:rPr>
        <w:t xml:space="preserve"> </w:t>
      </w:r>
      <w:r w:rsidRPr="00666024">
        <w:rPr>
          <w:lang w:bidi="ar-SA"/>
        </w:rPr>
        <w:t>RTE breakfast cereal consumption</w:t>
      </w:r>
      <w:r>
        <w:rPr>
          <w:lang w:bidi="ar-SA"/>
        </w:rPr>
        <w:t xml:space="preserve"> </w:t>
      </w:r>
      <w:r w:rsidR="00AF79AC">
        <w:rPr>
          <w:lang w:bidi="ar-SA"/>
        </w:rPr>
        <w:t>–</w:t>
      </w:r>
      <w:r w:rsidRPr="00666024">
        <w:rPr>
          <w:lang w:bidi="ar-SA"/>
        </w:rPr>
        <w:t xml:space="preserve"> </w:t>
      </w:r>
      <w:r>
        <w:rPr>
          <w:lang w:bidi="ar-SA"/>
        </w:rPr>
        <w:t xml:space="preserve">are: </w:t>
      </w:r>
    </w:p>
    <w:p w14:paraId="25B5DB0F" w14:textId="77777777" w:rsidR="00F45149" w:rsidRDefault="00F45149" w:rsidP="003B5D42">
      <w:pPr>
        <w:rPr>
          <w:lang w:bidi="ar-SA"/>
        </w:rPr>
      </w:pPr>
    </w:p>
    <w:p w14:paraId="25B5DB10" w14:textId="77777777" w:rsidR="00DD5C9C" w:rsidRDefault="00DD5C9C" w:rsidP="00F45149">
      <w:pPr>
        <w:pStyle w:val="FSBullet1"/>
      </w:pPr>
      <w:r w:rsidRPr="00535F54">
        <w:t>Age of the adult food consumption data – The 1995 NNS is the most recent comprehensive set of quantitative data on food consumption patterns for Australian adults and older teenagers currently available to FSANZ for modelling purposes. There is greater uncertainty when assessing consumption of foods that have been introduced to the market since the 1995 and 1997 NNSs were conducted, or for which there may have been changes in food consumption patterns over time. However summary reports for the 2011–12 NNPAS and 2008–09 ANS referred in this report indicate overall breakfast cereal consumption patterns remain similar.</w:t>
      </w:r>
    </w:p>
    <w:p w14:paraId="44B5E041" w14:textId="77777777" w:rsidR="000223BB" w:rsidRPr="000223BB" w:rsidRDefault="000223BB" w:rsidP="000223BB">
      <w:pPr>
        <w:rPr>
          <w:lang w:bidi="ar-SA"/>
        </w:rPr>
      </w:pPr>
    </w:p>
    <w:p w14:paraId="25B5DB11" w14:textId="77777777" w:rsidR="00DD5C9C" w:rsidRDefault="00DD5C9C" w:rsidP="00F45149">
      <w:pPr>
        <w:pStyle w:val="FSBullet1"/>
      </w:pPr>
      <w:r w:rsidRPr="00535F54">
        <w:t>Estimating usual consumption – Estimating food consumption from one or two days of dietary data tends to overestimate the average amounts eaten of less frequently consumed foods. This is likely to have a less impact in relation to breakfast cereal consumption as this is a relatively commonly consumed food group.</w:t>
      </w:r>
    </w:p>
    <w:p w14:paraId="030D38A8" w14:textId="77777777" w:rsidR="000223BB" w:rsidRPr="000223BB" w:rsidRDefault="000223BB" w:rsidP="000223BB">
      <w:pPr>
        <w:rPr>
          <w:lang w:bidi="ar-SA"/>
        </w:rPr>
      </w:pPr>
    </w:p>
    <w:p w14:paraId="25B5DB12" w14:textId="77777777" w:rsidR="00DD5C9C" w:rsidRPr="00535F54" w:rsidRDefault="00DD5C9C" w:rsidP="00F45149">
      <w:pPr>
        <w:pStyle w:val="FSBullet1"/>
      </w:pPr>
      <w:r w:rsidRPr="00535F54">
        <w:t>Lack of market share information – There is no identification of foods by factors such as brand, production method or treatment process available to</w:t>
      </w:r>
      <w:r w:rsidR="00AF79AC">
        <w:t xml:space="preserve"> </w:t>
      </w:r>
      <w:r w:rsidRPr="00535F54">
        <w:t xml:space="preserve">FSANZ so only broad market share assumptions, relating to the overall proportion of the breakfast cereal category or sub categories that may be voluntarily fortified in Australia and New Zealand, could be made. In this case the assumed market share of 35% coverage for voluntary fortification of RTE breakfast cereal was based on the maximum figure reported in other countries. </w:t>
      </w:r>
    </w:p>
    <w:p w14:paraId="25B5DB13" w14:textId="77777777" w:rsidR="00DD5C9C" w:rsidRPr="001F61B8" w:rsidRDefault="00DD5C9C" w:rsidP="003B5D42">
      <w:pPr>
        <w:rPr>
          <w:lang w:bidi="ar-SA"/>
        </w:rPr>
      </w:pPr>
    </w:p>
    <w:p w14:paraId="25B5DB14" w14:textId="77777777" w:rsidR="00DD5C9C" w:rsidRDefault="009D6650" w:rsidP="00B62436">
      <w:pPr>
        <w:pStyle w:val="FSBullet"/>
        <w:keepNext/>
        <w:keepLines/>
        <w:numPr>
          <w:ilvl w:val="0"/>
          <w:numId w:val="0"/>
        </w:numPr>
        <w:ind w:right="-286"/>
        <w:rPr>
          <w:lang w:bidi="ar-SA"/>
        </w:rPr>
      </w:pPr>
      <w:r>
        <w:rPr>
          <w:lang w:bidi="ar-SA"/>
        </w:rPr>
        <w:t>Limitations in relation to (2)</w:t>
      </w:r>
      <w:r w:rsidR="00DD5C9C">
        <w:rPr>
          <w:lang w:bidi="ar-SA"/>
        </w:rPr>
        <w:t xml:space="preserve"> </w:t>
      </w:r>
      <w:r w:rsidR="00AF79AC">
        <w:rPr>
          <w:lang w:bidi="ar-SA"/>
        </w:rPr>
        <w:t>–</w:t>
      </w:r>
      <w:r w:rsidR="00DD5C9C">
        <w:rPr>
          <w:lang w:bidi="ar-SA"/>
        </w:rPr>
        <w:t xml:space="preserve"> </w:t>
      </w:r>
      <w:r w:rsidR="00DD5C9C" w:rsidRPr="00666024">
        <w:rPr>
          <w:lang w:bidi="ar-SA"/>
        </w:rPr>
        <w:t xml:space="preserve">assumed vitamin D concentration in fortified breakfast </w:t>
      </w:r>
      <w:r w:rsidR="00DD5C9C">
        <w:rPr>
          <w:lang w:bidi="ar-SA"/>
        </w:rPr>
        <w:t>cereal</w:t>
      </w:r>
      <w:r w:rsidR="00DD5C9C" w:rsidRPr="00666024">
        <w:rPr>
          <w:lang w:bidi="ar-SA"/>
        </w:rPr>
        <w:t xml:space="preserve"> </w:t>
      </w:r>
      <w:r w:rsidR="00AF79AC">
        <w:rPr>
          <w:lang w:bidi="ar-SA"/>
        </w:rPr>
        <w:t>–</w:t>
      </w:r>
      <w:r w:rsidR="00DD5C9C">
        <w:rPr>
          <w:lang w:bidi="ar-SA"/>
        </w:rPr>
        <w:t>are:</w:t>
      </w:r>
    </w:p>
    <w:p w14:paraId="25B5DB15" w14:textId="77777777" w:rsidR="00F45149" w:rsidRPr="00F45149" w:rsidRDefault="00F45149" w:rsidP="00AF79AC">
      <w:pPr>
        <w:keepNext/>
        <w:keepLines/>
        <w:rPr>
          <w:lang w:bidi="ar-SA"/>
        </w:rPr>
      </w:pPr>
    </w:p>
    <w:p w14:paraId="25B5DB16" w14:textId="77777777" w:rsidR="00DD5C9C" w:rsidRDefault="00DD5C9C" w:rsidP="00AF79AC">
      <w:pPr>
        <w:pStyle w:val="FSBullet1"/>
        <w:keepNext/>
        <w:keepLines/>
      </w:pPr>
      <w:r w:rsidRPr="006004BA">
        <w:t>Food manufacturers add extra vitamins to compensate for these losses and the term used for the extra addition is ‘overage’. This is a well-known and understood practice when foods are fortified with nutrients including vitamins.</w:t>
      </w:r>
      <w:r>
        <w:t xml:space="preserve"> </w:t>
      </w:r>
      <w:r w:rsidRPr="006004BA">
        <w:t>Breakfast cereal manufacturers would need to know the total vitamin D losses for their products during production and storage at various temperature and humidity conditions for the shelf life of their product so they can add sufficient vitamin D to compensate for the losses</w:t>
      </w:r>
      <w:r>
        <w:t>. Based on a theoretical worked example provided by the Applicant, a</w:t>
      </w:r>
      <w:r w:rsidRPr="00B979E3">
        <w:t xml:space="preserve"> level of 5 µg vitamin D/serving was assumed for fortified breakfast cereal as consumed for modelling purposes, which may over- or underestimate actual values</w:t>
      </w:r>
      <w:r>
        <w:t>.</w:t>
      </w:r>
    </w:p>
    <w:p w14:paraId="25B5DB17" w14:textId="77777777" w:rsidR="00DD5C9C" w:rsidRDefault="00DD5C9C" w:rsidP="003B5D42">
      <w:pPr>
        <w:pStyle w:val="FSBullet"/>
        <w:numPr>
          <w:ilvl w:val="0"/>
          <w:numId w:val="0"/>
        </w:numPr>
        <w:rPr>
          <w:lang w:bidi="ar-SA"/>
        </w:rPr>
      </w:pPr>
    </w:p>
    <w:p w14:paraId="25B5DB18" w14:textId="77777777" w:rsidR="00DD5C9C" w:rsidRDefault="00DD5C9C" w:rsidP="003B5D42">
      <w:pPr>
        <w:pStyle w:val="FSBullet"/>
        <w:numPr>
          <w:ilvl w:val="0"/>
          <w:numId w:val="0"/>
        </w:numPr>
        <w:rPr>
          <w:lang w:bidi="ar-SA"/>
        </w:rPr>
      </w:pPr>
      <w:r>
        <w:rPr>
          <w:lang w:bidi="ar-SA"/>
        </w:rPr>
        <w:t xml:space="preserve">Limitations in relation to (3) </w:t>
      </w:r>
      <w:r w:rsidR="00AF79AC">
        <w:rPr>
          <w:lang w:bidi="ar-SA"/>
        </w:rPr>
        <w:t>–</w:t>
      </w:r>
      <w:r>
        <w:rPr>
          <w:lang w:bidi="ar-SA"/>
        </w:rPr>
        <w:t xml:space="preserve"> estimated effects of </w:t>
      </w:r>
      <w:r w:rsidRPr="003A2826">
        <w:rPr>
          <w:lang w:bidi="ar-SA"/>
        </w:rPr>
        <w:t xml:space="preserve">consuming vitamin D fortified breakfast </w:t>
      </w:r>
      <w:r>
        <w:rPr>
          <w:lang w:bidi="ar-SA"/>
        </w:rPr>
        <w:t>cereal</w:t>
      </w:r>
      <w:r w:rsidRPr="003A2826">
        <w:rPr>
          <w:lang w:bidi="ar-SA"/>
        </w:rPr>
        <w:t xml:space="preserve"> on serum 25OHD </w:t>
      </w:r>
      <w:r w:rsidR="00AF79AC">
        <w:rPr>
          <w:lang w:bidi="ar-SA"/>
        </w:rPr>
        <w:t>–</w:t>
      </w:r>
      <w:r>
        <w:rPr>
          <w:lang w:bidi="ar-SA"/>
        </w:rPr>
        <w:t xml:space="preserve"> are: </w:t>
      </w:r>
    </w:p>
    <w:p w14:paraId="25B5DB19" w14:textId="77777777" w:rsidR="00F45149" w:rsidRPr="00F45149" w:rsidRDefault="00F45149" w:rsidP="00F45149">
      <w:pPr>
        <w:rPr>
          <w:lang w:bidi="ar-SA"/>
        </w:rPr>
      </w:pPr>
    </w:p>
    <w:p w14:paraId="25B5DB1A" w14:textId="77777777" w:rsidR="00DD5C9C" w:rsidRDefault="00DD5C9C" w:rsidP="00F45149">
      <w:pPr>
        <w:pStyle w:val="FSBullet1"/>
      </w:pPr>
      <w:r w:rsidRPr="00535F54">
        <w:t>Baseline concentrations for serum 25OHD concentrations were taken from the most recent surveys in Australia and New Zealand measuring serum 25OHD but these</w:t>
      </w:r>
      <w:r w:rsidR="009D6650">
        <w:t xml:space="preserve"> did not completely align with </w:t>
      </w:r>
      <w:r w:rsidRPr="00535F54">
        <w:t xml:space="preserve">age ranges in the food consumption surveys. The surveys cover 12 years and above or 18 years and above (some data was not available for 12-17 years)for the Australian population, and 5 years and above for the New Zealand population. For New Zealand children, a different assay was used to measure 25OHD so these values were not comparable to other surveys. </w:t>
      </w:r>
    </w:p>
    <w:p w14:paraId="33D78FE7" w14:textId="77777777" w:rsidR="000223BB" w:rsidRPr="000223BB" w:rsidRDefault="000223BB" w:rsidP="000223BB">
      <w:pPr>
        <w:rPr>
          <w:lang w:bidi="ar-SA"/>
        </w:rPr>
      </w:pPr>
    </w:p>
    <w:p w14:paraId="25B5DB1B" w14:textId="77777777" w:rsidR="00DD5C9C" w:rsidRPr="00535F54" w:rsidRDefault="00DD5C9C" w:rsidP="00F45149">
      <w:pPr>
        <w:pStyle w:val="FSBullet1"/>
      </w:pPr>
      <w:r w:rsidRPr="00535F54">
        <w:t xml:space="preserve">Limitations related to dose response equation – The efficacy of a given amount of dietary vitamin D to raise serum 25OHD may be impacted by factors on serum 25OHD such as sun exposure and dietary calcium or phosphorus intake. It was not possible to account for these effects in the meta-analysis used to define the dose response equation used in this assessment (Black et al. 2012). </w:t>
      </w:r>
    </w:p>
    <w:p w14:paraId="53791D8C" w14:textId="77777777" w:rsidR="00B62436" w:rsidRDefault="00B62436" w:rsidP="00F45149">
      <w:pPr>
        <w:pStyle w:val="FSBullet1"/>
      </w:pPr>
      <w:r>
        <w:br w:type="page"/>
      </w:r>
    </w:p>
    <w:p w14:paraId="25B5DB1C" w14:textId="5526FB07" w:rsidR="00DD5C9C" w:rsidRDefault="00DD5C9C" w:rsidP="00F45149">
      <w:pPr>
        <w:pStyle w:val="FSBullet1"/>
      </w:pPr>
      <w:r w:rsidRPr="00535F54">
        <w:lastRenderedPageBreak/>
        <w:t>Additional dietary vitamin D intake will increase serum 25OHD concentration to a greater degree in those with low vitamin D status compared to those with high vitamin D status (25OHD &gt; 50 nM) (NHMRC and NZ MoH 2006). As a result, the predicted proportions of the populations with 25OHD &gt; 125 nM following fortification may be overestimated.</w:t>
      </w:r>
    </w:p>
    <w:p w14:paraId="065C5B6A" w14:textId="77777777" w:rsidR="000223BB" w:rsidRPr="000223BB" w:rsidRDefault="000223BB" w:rsidP="000223BB">
      <w:pPr>
        <w:rPr>
          <w:lang w:bidi="ar-SA"/>
        </w:rPr>
      </w:pPr>
    </w:p>
    <w:p w14:paraId="25B5DB1D" w14:textId="77777777" w:rsidR="00DD5C9C" w:rsidRPr="00535F54" w:rsidRDefault="00DD5C9C" w:rsidP="00F45149">
      <w:pPr>
        <w:pStyle w:val="FSBullet1"/>
      </w:pPr>
      <w:r w:rsidRPr="00535F54">
        <w:t xml:space="preserve">The Black et al. (2012) meta-analysis was also based on a relatively limited number of fortification studies so it is possible that the conversion used in this assessment may change as more data emerges using improved assays methods.  </w:t>
      </w:r>
    </w:p>
    <w:p w14:paraId="25B5DB1E" w14:textId="77777777" w:rsidR="00DD5C9C" w:rsidRDefault="00DD5C9C" w:rsidP="003B5D42">
      <w:pPr>
        <w:pStyle w:val="Heading2"/>
      </w:pPr>
      <w:bookmarkStart w:id="41" w:name="_Toc406575710"/>
      <w:r>
        <w:t>Conclusions</w:t>
      </w:r>
      <w:bookmarkEnd w:id="41"/>
      <w:r>
        <w:t xml:space="preserve"> </w:t>
      </w:r>
    </w:p>
    <w:p w14:paraId="25B5DB1F" w14:textId="77777777" w:rsidR="00DD5C9C" w:rsidRDefault="00DD5C9C" w:rsidP="003B5D42">
      <w:pPr>
        <w:pStyle w:val="Heading3"/>
      </w:pPr>
      <w:bookmarkStart w:id="42" w:name="_Toc401759358"/>
      <w:bookmarkStart w:id="43" w:name="_Toc406575711"/>
      <w:r>
        <w:t>Risk Characterisation</w:t>
      </w:r>
      <w:bookmarkEnd w:id="42"/>
      <w:bookmarkEnd w:id="43"/>
      <w:r>
        <w:t xml:space="preserve"> </w:t>
      </w:r>
    </w:p>
    <w:p w14:paraId="25B5DB20" w14:textId="77777777" w:rsidR="00DD5C9C" w:rsidRDefault="00DD5C9C" w:rsidP="003B5D42">
      <w:pPr>
        <w:rPr>
          <w:lang w:bidi="ar-SA"/>
        </w:rPr>
      </w:pPr>
      <w:r>
        <w:rPr>
          <w:lang w:bidi="ar-SA"/>
        </w:rPr>
        <w:t xml:space="preserve">Vitamin D is obtained from both dietary sources and from synthesis in the skin with UV-B (sunlight) exposure. The best measure of vitamin D status is serum 25OHD concentration which accounts for all sources of vitamin D if measured using a reliable and validated assay. Recent results from ANZ surveys measuring serum 25OHD concentration indicated that </w:t>
      </w:r>
      <w:r w:rsidRPr="009C24FA">
        <w:rPr>
          <w:lang w:bidi="ar-SA"/>
        </w:rPr>
        <w:t xml:space="preserve">the majority of the </w:t>
      </w:r>
      <w:r>
        <w:rPr>
          <w:lang w:bidi="ar-SA"/>
        </w:rPr>
        <w:t xml:space="preserve">ANZ </w:t>
      </w:r>
      <w:r w:rsidRPr="009C24FA">
        <w:rPr>
          <w:lang w:bidi="ar-SA"/>
        </w:rPr>
        <w:t xml:space="preserve">population have adequate vitamin D status. However, the prevalence of low values </w:t>
      </w:r>
      <w:r>
        <w:rPr>
          <w:lang w:bidi="ar-SA"/>
        </w:rPr>
        <w:t>was</w:t>
      </w:r>
      <w:r w:rsidRPr="009C24FA">
        <w:rPr>
          <w:lang w:bidi="ar-SA"/>
        </w:rPr>
        <w:t xml:space="preserve"> higher in winter than summer, varie</w:t>
      </w:r>
      <w:r>
        <w:rPr>
          <w:lang w:bidi="ar-SA"/>
        </w:rPr>
        <w:t>d</w:t>
      </w:r>
      <w:r w:rsidRPr="009C24FA">
        <w:rPr>
          <w:lang w:bidi="ar-SA"/>
        </w:rPr>
        <w:t xml:space="preserve"> with region, and </w:t>
      </w:r>
      <w:r>
        <w:rPr>
          <w:lang w:bidi="ar-SA"/>
        </w:rPr>
        <w:t>was</w:t>
      </w:r>
      <w:r w:rsidRPr="009C24FA">
        <w:rPr>
          <w:lang w:bidi="ar-SA"/>
        </w:rPr>
        <w:t xml:space="preserve"> more common in</w:t>
      </w:r>
      <w:r>
        <w:rPr>
          <w:lang w:bidi="ar-SA"/>
        </w:rPr>
        <w:t xml:space="preserve"> indigenous and</w:t>
      </w:r>
      <w:r w:rsidRPr="009C24FA">
        <w:rPr>
          <w:lang w:bidi="ar-SA"/>
        </w:rPr>
        <w:t xml:space="preserve"> some migrant groups.</w:t>
      </w:r>
      <w:r>
        <w:rPr>
          <w:lang w:bidi="ar-SA"/>
        </w:rPr>
        <w:t xml:space="preserve"> Therefore, certain population groups may benefit from additional vitamin D from dietary sources. </w:t>
      </w:r>
    </w:p>
    <w:p w14:paraId="25B5DB21" w14:textId="77777777" w:rsidR="00DD5C9C" w:rsidRDefault="00DD5C9C" w:rsidP="003B5D42">
      <w:pPr>
        <w:rPr>
          <w:lang w:bidi="ar-SA"/>
        </w:rPr>
      </w:pPr>
    </w:p>
    <w:p w14:paraId="25B5DB22" w14:textId="77777777" w:rsidR="00DD5C9C" w:rsidRDefault="00DD5C9C" w:rsidP="003B5D42">
      <w:pPr>
        <w:rPr>
          <w:lang w:bidi="ar-SA"/>
        </w:rPr>
      </w:pPr>
      <w:r>
        <w:rPr>
          <w:lang w:bidi="ar-SA"/>
        </w:rPr>
        <w:t>Because vitamin D can be obtained from dietary and other sources, the exposure assessment used a two-step process. First breakfast cereal consumption data were used to estimate vitamin D intakes under several scenarios for consumption of vitamin D fortified cereal. Vitamin D intakes were then used to predict potential increases in serum 25OHD concentration.</w:t>
      </w:r>
    </w:p>
    <w:p w14:paraId="25B5DB23" w14:textId="77777777" w:rsidR="00DD5C9C" w:rsidRDefault="00DD5C9C" w:rsidP="003B5D42">
      <w:pPr>
        <w:rPr>
          <w:lang w:bidi="ar-SA"/>
        </w:rPr>
      </w:pPr>
    </w:p>
    <w:p w14:paraId="25B5DB24" w14:textId="77777777" w:rsidR="00DD5C9C" w:rsidRDefault="00DD5C9C" w:rsidP="003B5D42">
      <w:pPr>
        <w:rPr>
          <w:lang w:bidi="ar-SA"/>
        </w:rPr>
      </w:pPr>
      <w:r>
        <w:rPr>
          <w:lang w:bidi="ar-SA"/>
        </w:rPr>
        <w:t xml:space="preserve">Serum 25OHD &lt; 40 nM was determined to be an appropriate </w:t>
      </w:r>
      <w:r w:rsidR="002544DE">
        <w:rPr>
          <w:lang w:bidi="ar-SA"/>
        </w:rPr>
        <w:t>cut-off value</w:t>
      </w:r>
      <w:r>
        <w:rPr>
          <w:lang w:bidi="ar-SA"/>
        </w:rPr>
        <w:t xml:space="preserve"> to indicate low vitamin D status and risk of inadequate intakes. The predicted mean serum 25OHD across all ANZ populations and under all modelling scenarios ranged from 52–88 nM which is considered to be within physiological levels of serum 25OHD and indicates adequate vitamin D </w:t>
      </w:r>
      <w:r w:rsidR="00056B19">
        <w:rPr>
          <w:lang w:bidi="ar-SA"/>
        </w:rPr>
        <w:t xml:space="preserve">status. For Australian adults, </w:t>
      </w:r>
      <w:r>
        <w:rPr>
          <w:lang w:bidi="ar-SA"/>
        </w:rPr>
        <w:t xml:space="preserve">the prevalence of serum 25OHD &lt; 40 nM was found to decrease from a baseline level of 13.4% down to 1.6% for the highest vitamin D intakes predicted from the modelling scenarios. Similarly prevalence of serum 25OHD &lt; 40 nM was found to decrease from 20.9% down to 1.5% for New Zealand adults. </w:t>
      </w:r>
    </w:p>
    <w:p w14:paraId="25B5DB25" w14:textId="77777777" w:rsidR="00DD5C9C" w:rsidRDefault="00DD5C9C" w:rsidP="003B5D42">
      <w:pPr>
        <w:rPr>
          <w:lang w:bidi="ar-SA"/>
        </w:rPr>
      </w:pPr>
    </w:p>
    <w:p w14:paraId="25B5DB26" w14:textId="77777777" w:rsidR="00DD5C9C" w:rsidRDefault="00DD5C9C" w:rsidP="003B5D42">
      <w:pPr>
        <w:rPr>
          <w:lang w:bidi="ar-SA"/>
        </w:rPr>
      </w:pPr>
      <w:r>
        <w:rPr>
          <w:lang w:bidi="ar-SA"/>
        </w:rPr>
        <w:t xml:space="preserve">Serum 25OHD &gt; 125 nM was determined to be an appropriate </w:t>
      </w:r>
      <w:r w:rsidR="002544DE">
        <w:rPr>
          <w:lang w:bidi="ar-SA"/>
        </w:rPr>
        <w:t>cut-off value</w:t>
      </w:r>
      <w:r>
        <w:rPr>
          <w:lang w:bidi="ar-SA"/>
        </w:rPr>
        <w:t xml:space="preserve"> to indicate high vitamin D status and risk of excess intakes. For Australian adults the prevalence of serum 25OHD &gt; 125 nM was found to increase from a baseline of 1.3% to 7.5%, and for New Zealand adults from 1.4% to 5.5% , for the highest vitamin D intakes from the modelling scenarios. Highest intakes were predicted with brand loyal, high cereal consumers which represented a conservative, worst-case scenario for vitamin D intake. T</w:t>
      </w:r>
      <w:r w:rsidRPr="005A24D6">
        <w:rPr>
          <w:lang w:bidi="ar-SA"/>
        </w:rPr>
        <w:t>he indicative proportion of persons exceeding 125 nM remain</w:t>
      </w:r>
      <w:r>
        <w:rPr>
          <w:lang w:bidi="ar-SA"/>
        </w:rPr>
        <w:t>ed</w:t>
      </w:r>
      <w:r w:rsidRPr="005A24D6">
        <w:rPr>
          <w:lang w:bidi="ar-SA"/>
        </w:rPr>
        <w:t xml:space="preserve"> under 10% across all population groups and modelling scenarios. </w:t>
      </w:r>
    </w:p>
    <w:p w14:paraId="25B5DB27" w14:textId="77777777" w:rsidR="00DD5C9C" w:rsidRDefault="00DD5C9C" w:rsidP="003B5D42">
      <w:pPr>
        <w:rPr>
          <w:lang w:bidi="ar-SA"/>
        </w:rPr>
      </w:pPr>
    </w:p>
    <w:p w14:paraId="25B5DB28" w14:textId="77777777" w:rsidR="00DD5C9C" w:rsidRDefault="00DD5C9C" w:rsidP="003B5D42">
      <w:pPr>
        <w:rPr>
          <w:lang w:bidi="ar-SA"/>
        </w:rPr>
      </w:pPr>
      <w:r w:rsidRPr="00747915">
        <w:rPr>
          <w:lang w:bidi="ar-SA"/>
        </w:rPr>
        <w:t>Modelling under the four scenarios indicate</w:t>
      </w:r>
      <w:r>
        <w:rPr>
          <w:lang w:bidi="ar-SA"/>
        </w:rPr>
        <w:t>d</w:t>
      </w:r>
      <w:r w:rsidRPr="00747915">
        <w:rPr>
          <w:lang w:bidi="ar-SA"/>
        </w:rPr>
        <w:t xml:space="preserve"> that no persons </w:t>
      </w:r>
      <w:r>
        <w:rPr>
          <w:lang w:bidi="ar-SA"/>
        </w:rPr>
        <w:t xml:space="preserve">were likely to </w:t>
      </w:r>
      <w:r w:rsidRPr="00747915">
        <w:rPr>
          <w:lang w:bidi="ar-SA"/>
        </w:rPr>
        <w:t xml:space="preserve">reach serum 25OHD </w:t>
      </w:r>
      <w:r>
        <w:rPr>
          <w:lang w:bidi="ar-SA"/>
        </w:rPr>
        <w:t>of 220–500 nM – the concentration for which t</w:t>
      </w:r>
      <w:r w:rsidRPr="00EA3D9E">
        <w:rPr>
          <w:lang w:bidi="ar-SA"/>
        </w:rPr>
        <w:t xml:space="preserve">he Working Group of the Australian and New Zealand Bone and Mineral Society and Osteoporosis Australia </w:t>
      </w:r>
      <w:r w:rsidRPr="00EA3D9E">
        <w:rPr>
          <w:noProof/>
          <w:lang w:bidi="ar-SA"/>
        </w:rPr>
        <w:t>(Nowson et al. 2012)</w:t>
      </w:r>
      <w:r w:rsidRPr="00EA3D9E">
        <w:rPr>
          <w:lang w:bidi="ar-SA"/>
        </w:rPr>
        <w:t xml:space="preserve"> </w:t>
      </w:r>
      <w:r>
        <w:rPr>
          <w:lang w:bidi="ar-SA"/>
        </w:rPr>
        <w:t xml:space="preserve">concluded that adverse effects associated with </w:t>
      </w:r>
      <w:r w:rsidRPr="00EA3D9E">
        <w:rPr>
          <w:lang w:bidi="ar-SA"/>
        </w:rPr>
        <w:t>hypercalcaemia</w:t>
      </w:r>
      <w:r>
        <w:rPr>
          <w:lang w:bidi="ar-SA"/>
        </w:rPr>
        <w:t xml:space="preserve"> may occur. </w:t>
      </w:r>
    </w:p>
    <w:p w14:paraId="25B5DB29" w14:textId="77777777" w:rsidR="00DD5C9C" w:rsidRDefault="00DD5C9C" w:rsidP="003B5D42">
      <w:pPr>
        <w:rPr>
          <w:lang w:bidi="ar-SA"/>
        </w:rPr>
      </w:pPr>
    </w:p>
    <w:p w14:paraId="5325124B" w14:textId="77777777" w:rsidR="000223BB" w:rsidRDefault="000223BB" w:rsidP="003B5D42">
      <w:pPr>
        <w:rPr>
          <w:lang w:bidi="ar-SA"/>
        </w:rPr>
      </w:pPr>
      <w:r>
        <w:rPr>
          <w:lang w:bidi="ar-SA"/>
        </w:rPr>
        <w:br w:type="page"/>
      </w:r>
    </w:p>
    <w:p w14:paraId="25B5DB2A" w14:textId="627F9286" w:rsidR="00DD5C9C" w:rsidRDefault="00DD5C9C" w:rsidP="003B5D42">
      <w:pPr>
        <w:rPr>
          <w:lang w:bidi="ar-SA"/>
        </w:rPr>
      </w:pPr>
      <w:r>
        <w:rPr>
          <w:lang w:bidi="ar-SA"/>
        </w:rPr>
        <w:lastRenderedPageBreak/>
        <w:t xml:space="preserve">Therefore, it is </w:t>
      </w:r>
      <w:r w:rsidRPr="004A6085">
        <w:rPr>
          <w:lang w:bidi="ar-SA"/>
        </w:rPr>
        <w:t>concluded that fortification of breakfast cereal with vitamin D (D</w:t>
      </w:r>
      <w:r w:rsidRPr="00053E3A">
        <w:rPr>
          <w:vertAlign w:val="subscript"/>
          <w:lang w:bidi="ar-SA"/>
        </w:rPr>
        <w:t>2</w:t>
      </w:r>
      <w:r w:rsidRPr="004A6085">
        <w:rPr>
          <w:lang w:bidi="ar-SA"/>
        </w:rPr>
        <w:t xml:space="preserve"> or D</w:t>
      </w:r>
      <w:r w:rsidRPr="00053E3A">
        <w:rPr>
          <w:vertAlign w:val="subscript"/>
          <w:lang w:bidi="ar-SA"/>
        </w:rPr>
        <w:t>3</w:t>
      </w:r>
      <w:r w:rsidRPr="004A6085">
        <w:rPr>
          <w:lang w:bidi="ar-SA"/>
        </w:rPr>
        <w:t xml:space="preserve">) at </w:t>
      </w:r>
      <w:r>
        <w:rPr>
          <w:lang w:bidi="ar-SA"/>
        </w:rPr>
        <w:t>the</w:t>
      </w:r>
      <w:r>
        <w:rPr>
          <w:rFonts w:eastAsia="Calibri"/>
          <w:szCs w:val="22"/>
          <w:lang w:bidi="ar-SA"/>
        </w:rPr>
        <w:t xml:space="preserve"> modelled level does not pose a risk to public health and safety.</w:t>
      </w:r>
      <w:r w:rsidRPr="004A6085">
        <w:rPr>
          <w:lang w:bidi="ar-SA"/>
        </w:rPr>
        <w:t xml:space="preserve"> Additionally, vitamin D fortification of breakfast cereal has the potential to increase the vitamin D status of individuals who may have less than adequate vitamin D</w:t>
      </w:r>
      <w:r>
        <w:rPr>
          <w:lang w:bidi="ar-SA"/>
        </w:rPr>
        <w:t xml:space="preserve"> levels.</w:t>
      </w:r>
    </w:p>
    <w:p w14:paraId="25B5DB2B" w14:textId="77777777" w:rsidR="00DD5C9C" w:rsidRDefault="00DD5C9C" w:rsidP="003B5D42">
      <w:pPr>
        <w:pStyle w:val="Heading3"/>
      </w:pPr>
      <w:bookmarkStart w:id="44" w:name="_Toc401759359"/>
      <w:bookmarkStart w:id="45" w:name="_Toc406575712"/>
      <w:r>
        <w:t>Specific responses to assessment questions</w:t>
      </w:r>
      <w:bookmarkEnd w:id="44"/>
      <w:bookmarkEnd w:id="45"/>
    </w:p>
    <w:p w14:paraId="25B5DB2C" w14:textId="77777777" w:rsidR="00DD5C9C" w:rsidRDefault="00DD5C9C" w:rsidP="003B5D42">
      <w:r>
        <w:t>Specific responses to assessment questions listed in Section 1.2 were summarised from the relevant sections of this assessment report.</w:t>
      </w:r>
    </w:p>
    <w:p w14:paraId="25B5DB2D" w14:textId="77777777" w:rsidR="00DD5C9C" w:rsidRDefault="00DD5C9C" w:rsidP="003B5D42">
      <w:pPr>
        <w:rPr>
          <w:rFonts w:eastAsia="Calibri"/>
          <w:szCs w:val="22"/>
          <w:lang w:bidi="ar-SA"/>
        </w:rPr>
      </w:pPr>
    </w:p>
    <w:p w14:paraId="25B5DB2E" w14:textId="77777777" w:rsidR="00DD5C9C" w:rsidRPr="0014241E" w:rsidRDefault="00DD5C9C" w:rsidP="003B5D42">
      <w:pPr>
        <w:rPr>
          <w:rFonts w:eastAsia="Calibri"/>
          <w:b/>
          <w:szCs w:val="22"/>
          <w:lang w:bidi="ar-SA"/>
        </w:rPr>
      </w:pPr>
      <w:r w:rsidRPr="0014241E">
        <w:rPr>
          <w:rFonts w:eastAsia="Calibri"/>
          <w:b/>
          <w:szCs w:val="22"/>
          <w:lang w:bidi="ar-SA"/>
        </w:rPr>
        <w:t>Question 1)</w:t>
      </w:r>
      <w:r w:rsidRPr="0014241E">
        <w:rPr>
          <w:rFonts w:eastAsia="Calibri"/>
          <w:b/>
          <w:szCs w:val="22"/>
          <w:lang w:bidi="ar-SA"/>
        </w:rPr>
        <w:tab/>
        <w:t xml:space="preserve">What is the likely effect of processing and storage on the lability of vitamin D3 in breakfast </w:t>
      </w:r>
      <w:r>
        <w:rPr>
          <w:rFonts w:eastAsia="Calibri"/>
          <w:b/>
          <w:szCs w:val="22"/>
          <w:lang w:bidi="ar-SA"/>
        </w:rPr>
        <w:t>cereal</w:t>
      </w:r>
      <w:r w:rsidRPr="0014241E">
        <w:rPr>
          <w:rFonts w:eastAsia="Calibri"/>
          <w:b/>
          <w:szCs w:val="22"/>
          <w:lang w:bidi="ar-SA"/>
        </w:rPr>
        <w:t>?</w:t>
      </w:r>
    </w:p>
    <w:tbl>
      <w:tblPr>
        <w:tblStyle w:val="TableGrid61"/>
        <w:tblW w:w="0" w:type="auto"/>
        <w:tblInd w:w="108" w:type="dxa"/>
        <w:tblLook w:val="04A0" w:firstRow="1" w:lastRow="0" w:firstColumn="1" w:lastColumn="0" w:noHBand="0" w:noVBand="1"/>
      </w:tblPr>
      <w:tblGrid>
        <w:gridCol w:w="938"/>
        <w:gridCol w:w="8240"/>
      </w:tblGrid>
      <w:tr w:rsidR="00DD5C9C" w:rsidRPr="00CB5C26" w14:paraId="25B5DB31" w14:textId="77777777" w:rsidTr="003B5D42">
        <w:trPr>
          <w:trHeight w:val="383"/>
        </w:trPr>
        <w:tc>
          <w:tcPr>
            <w:tcW w:w="939" w:type="dxa"/>
            <w:shd w:val="clear" w:color="auto" w:fill="EEECE1" w:themeFill="background2"/>
            <w:vAlign w:val="center"/>
          </w:tcPr>
          <w:p w14:paraId="25B5DB2F" w14:textId="77777777" w:rsidR="00DD5C9C" w:rsidRPr="00CB5C26" w:rsidRDefault="00DD5C9C" w:rsidP="003B5D42">
            <w:pPr>
              <w:rPr>
                <w:rFonts w:cs="Arial"/>
                <w:b/>
                <w:i/>
                <w:szCs w:val="20"/>
                <w:lang w:bidi="ar-SA"/>
              </w:rPr>
            </w:pPr>
            <w:r w:rsidRPr="0014241E">
              <w:rPr>
                <w:rFonts w:eastAsia="Calibri"/>
                <w:b/>
                <w:szCs w:val="22"/>
                <w:lang w:bidi="ar-SA"/>
              </w:rPr>
              <w:t xml:space="preserve"> </w:t>
            </w:r>
            <w:r w:rsidRPr="00CB5C26">
              <w:rPr>
                <w:rFonts w:cs="Arial"/>
                <w:b/>
                <w:i/>
                <w:szCs w:val="20"/>
                <w:lang w:bidi="ar-SA"/>
              </w:rPr>
              <w:t xml:space="preserve">Section </w:t>
            </w:r>
          </w:p>
        </w:tc>
        <w:tc>
          <w:tcPr>
            <w:tcW w:w="8283" w:type="dxa"/>
            <w:shd w:val="clear" w:color="auto" w:fill="EEECE1" w:themeFill="background2"/>
            <w:vAlign w:val="center"/>
          </w:tcPr>
          <w:p w14:paraId="25B5DB30" w14:textId="77777777"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14:paraId="25B5DB34" w14:textId="77777777" w:rsidTr="003B5D42">
        <w:trPr>
          <w:trHeight w:val="416"/>
        </w:trPr>
        <w:tc>
          <w:tcPr>
            <w:tcW w:w="939" w:type="dxa"/>
            <w:vAlign w:val="center"/>
          </w:tcPr>
          <w:p w14:paraId="25B5DB32" w14:textId="77777777" w:rsidR="00DD5C9C" w:rsidRPr="00CB5C26" w:rsidRDefault="00DD5C9C" w:rsidP="003B5D42">
            <w:pPr>
              <w:rPr>
                <w:rFonts w:cs="Arial"/>
                <w:szCs w:val="20"/>
                <w:lang w:bidi="ar-SA"/>
              </w:rPr>
            </w:pPr>
            <w:r w:rsidRPr="00CB5C26">
              <w:rPr>
                <w:rFonts w:cs="Arial"/>
                <w:szCs w:val="20"/>
                <w:lang w:bidi="ar-SA"/>
              </w:rPr>
              <w:t>2.5</w:t>
            </w:r>
          </w:p>
        </w:tc>
        <w:tc>
          <w:tcPr>
            <w:tcW w:w="8283" w:type="dxa"/>
            <w:vAlign w:val="center"/>
          </w:tcPr>
          <w:p w14:paraId="25B5DB33" w14:textId="77777777" w:rsidR="00DD5C9C" w:rsidRPr="00CB5C26" w:rsidRDefault="00DD5C9C" w:rsidP="003B5D42">
            <w:pPr>
              <w:rPr>
                <w:rFonts w:cs="Arial"/>
                <w:szCs w:val="20"/>
                <w:lang w:bidi="ar-SA"/>
              </w:rPr>
            </w:pPr>
            <w:r w:rsidRPr="00CB5C26">
              <w:rPr>
                <w:rFonts w:cs="Arial"/>
                <w:szCs w:val="20"/>
                <w:lang w:bidi="ar-SA"/>
              </w:rPr>
              <w:t xml:space="preserve">Vitamin D is relatively unstable to heat and moisture and is also degraded during the commercial shelf life of the product due to due to oxidation and storage at ambient temperature and humidity. Current best estimate </w:t>
            </w:r>
            <w:r>
              <w:rPr>
                <w:rFonts w:cs="Arial"/>
                <w:szCs w:val="20"/>
                <w:lang w:bidi="ar-SA"/>
              </w:rPr>
              <w:t xml:space="preserve">is a </w:t>
            </w:r>
            <w:r w:rsidRPr="00CB5C26">
              <w:rPr>
                <w:rFonts w:cs="Arial"/>
                <w:szCs w:val="20"/>
                <w:lang w:bidi="ar-SA"/>
              </w:rPr>
              <w:t xml:space="preserve">30% loss on manufacture and 10%/month loss on storage thereafter. A theoretically worked example indicates an approximate post-manufacture loss of 70% at the end of shelf life. </w:t>
            </w:r>
            <w:r w:rsidRPr="0098122A">
              <w:rPr>
                <w:rFonts w:cs="Arial"/>
                <w:szCs w:val="20"/>
                <w:lang w:bidi="ar-SA"/>
              </w:rPr>
              <w:t>Based</w:t>
            </w:r>
            <w:r>
              <w:rPr>
                <w:rFonts w:cs="Arial"/>
                <w:szCs w:val="20"/>
                <w:lang w:bidi="ar-SA"/>
              </w:rPr>
              <w:t xml:space="preserve"> these manufacturing and storage losses, and on</w:t>
            </w:r>
            <w:r w:rsidRPr="0098122A">
              <w:rPr>
                <w:rFonts w:cs="Arial"/>
                <w:szCs w:val="20"/>
                <w:lang w:bidi="ar-SA"/>
              </w:rPr>
              <w:t xml:space="preserve"> the requested maximum claim per normal serving of 25% regulatory RDI (10 µg) per reference quantity, </w:t>
            </w:r>
            <w:r>
              <w:rPr>
                <w:rFonts w:cs="Arial"/>
                <w:szCs w:val="20"/>
                <w:lang w:bidi="ar-SA"/>
              </w:rPr>
              <w:t>t</w:t>
            </w:r>
            <w:r w:rsidRPr="00CB5C26">
              <w:rPr>
                <w:rFonts w:cs="Arial"/>
                <w:szCs w:val="20"/>
                <w:lang w:bidi="ar-SA"/>
              </w:rPr>
              <w:t>he midpoint of the shelf life was estimated to be 5 µg/serving and this was the figure used to estimate vitamin D intakes for the dietary intake assessment.</w:t>
            </w:r>
          </w:p>
        </w:tc>
      </w:tr>
    </w:tbl>
    <w:p w14:paraId="25B5DB35" w14:textId="77777777" w:rsidR="00DD5C9C" w:rsidRDefault="00DD5C9C" w:rsidP="003B5D42">
      <w:pPr>
        <w:rPr>
          <w:rFonts w:eastAsia="Calibri"/>
          <w:b/>
          <w:szCs w:val="22"/>
          <w:lang w:bidi="ar-SA"/>
        </w:rPr>
      </w:pPr>
    </w:p>
    <w:p w14:paraId="25B5DB36" w14:textId="77777777" w:rsidR="00DD5C9C" w:rsidRPr="0014241E" w:rsidRDefault="00DD5C9C" w:rsidP="003B5D42">
      <w:pPr>
        <w:rPr>
          <w:rFonts w:eastAsia="Calibri"/>
          <w:b/>
          <w:szCs w:val="22"/>
          <w:lang w:bidi="ar-SA"/>
        </w:rPr>
      </w:pPr>
      <w:r w:rsidRPr="0014241E">
        <w:rPr>
          <w:rFonts w:eastAsia="Calibri"/>
          <w:b/>
          <w:szCs w:val="22"/>
          <w:lang w:bidi="ar-SA"/>
        </w:rPr>
        <w:t>Question 2)</w:t>
      </w:r>
      <w:r w:rsidRPr="0014241E">
        <w:rPr>
          <w:rFonts w:eastAsia="Calibri"/>
          <w:b/>
          <w:szCs w:val="22"/>
          <w:lang w:bidi="ar-SA"/>
        </w:rPr>
        <w:tab/>
        <w:t>Is vitamin D bioavailable from vitamin D-fortified breakfast cereal consumed with milk?</w:t>
      </w:r>
    </w:p>
    <w:tbl>
      <w:tblPr>
        <w:tblStyle w:val="TableGrid61"/>
        <w:tblW w:w="9214" w:type="dxa"/>
        <w:tblInd w:w="108" w:type="dxa"/>
        <w:tblLook w:val="04A0" w:firstRow="1" w:lastRow="0" w:firstColumn="1" w:lastColumn="0" w:noHBand="0" w:noVBand="1"/>
      </w:tblPr>
      <w:tblGrid>
        <w:gridCol w:w="939"/>
        <w:gridCol w:w="8275"/>
      </w:tblGrid>
      <w:tr w:rsidR="00DD5C9C" w:rsidRPr="00CB5C26" w14:paraId="25B5DB39" w14:textId="77777777" w:rsidTr="003B5D42">
        <w:trPr>
          <w:trHeight w:val="383"/>
        </w:trPr>
        <w:tc>
          <w:tcPr>
            <w:tcW w:w="939" w:type="dxa"/>
            <w:shd w:val="clear" w:color="auto" w:fill="EEECE1" w:themeFill="background2"/>
            <w:vAlign w:val="center"/>
          </w:tcPr>
          <w:p w14:paraId="25B5DB37" w14:textId="77777777" w:rsidR="00DD5C9C" w:rsidRPr="00CB5C26" w:rsidRDefault="00DD5C9C" w:rsidP="003B5D42">
            <w:pPr>
              <w:rPr>
                <w:rFonts w:cs="Arial"/>
                <w:b/>
                <w:i/>
                <w:szCs w:val="20"/>
                <w:lang w:bidi="ar-SA"/>
              </w:rPr>
            </w:pPr>
            <w:r w:rsidRPr="00CB5C26">
              <w:rPr>
                <w:rFonts w:cs="Arial"/>
                <w:b/>
                <w:i/>
                <w:szCs w:val="20"/>
                <w:lang w:bidi="ar-SA"/>
              </w:rPr>
              <w:t>Section</w:t>
            </w:r>
          </w:p>
        </w:tc>
        <w:tc>
          <w:tcPr>
            <w:tcW w:w="8275" w:type="dxa"/>
            <w:shd w:val="clear" w:color="auto" w:fill="EEECE1" w:themeFill="background2"/>
            <w:vAlign w:val="center"/>
          </w:tcPr>
          <w:p w14:paraId="25B5DB38" w14:textId="77777777"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14:paraId="25B5DB3C" w14:textId="77777777" w:rsidTr="003B5D42">
        <w:trPr>
          <w:trHeight w:val="1226"/>
        </w:trPr>
        <w:tc>
          <w:tcPr>
            <w:tcW w:w="939" w:type="dxa"/>
            <w:vAlign w:val="center"/>
          </w:tcPr>
          <w:p w14:paraId="25B5DB3A" w14:textId="77777777" w:rsidR="00DD5C9C" w:rsidRPr="00CB5C26" w:rsidRDefault="00DD5C9C" w:rsidP="003B5D42">
            <w:pPr>
              <w:rPr>
                <w:rFonts w:cs="Arial"/>
                <w:szCs w:val="20"/>
                <w:lang w:bidi="ar-SA"/>
              </w:rPr>
            </w:pPr>
            <w:r>
              <w:rPr>
                <w:rFonts w:cs="Arial"/>
                <w:szCs w:val="20"/>
                <w:lang w:bidi="ar-SA"/>
              </w:rPr>
              <w:t>3.2</w:t>
            </w:r>
          </w:p>
        </w:tc>
        <w:tc>
          <w:tcPr>
            <w:tcW w:w="8275" w:type="dxa"/>
            <w:vAlign w:val="center"/>
          </w:tcPr>
          <w:p w14:paraId="25B5DB3B" w14:textId="77777777" w:rsidR="00DD5C9C" w:rsidRPr="00CB5C26" w:rsidRDefault="00DD5C9C" w:rsidP="003B5D42">
            <w:pPr>
              <w:rPr>
                <w:rFonts w:cs="Arial"/>
                <w:szCs w:val="20"/>
                <w:lang w:bidi="ar-SA"/>
              </w:rPr>
            </w:pPr>
            <w:r w:rsidRPr="00CB5C26">
              <w:rPr>
                <w:rFonts w:cs="Arial"/>
                <w:szCs w:val="20"/>
                <w:lang w:bidi="ar-SA"/>
              </w:rPr>
              <w:t xml:space="preserve">Vitamin D requires no digestion and is absorbed in the intestine in association with fat and bile salts. Because it is soluble in lipids, it is possible that fat-containing meals facilitate absorption although this has mainly been examined in relation to vitamin D consumed as a supplement. Studies on absorption of vitamin D in food suggest that the fat content in food has minimal effect on absorption. There are no specific data examining whether milk facilitates the absorption of vitamin D from breakfast </w:t>
            </w:r>
            <w:r>
              <w:rPr>
                <w:rFonts w:cs="Arial"/>
                <w:szCs w:val="20"/>
                <w:lang w:bidi="ar-SA"/>
              </w:rPr>
              <w:t>cereal</w:t>
            </w:r>
            <w:r w:rsidRPr="00CB5C26">
              <w:rPr>
                <w:rFonts w:cs="Arial"/>
                <w:szCs w:val="20"/>
                <w:lang w:bidi="ar-SA"/>
              </w:rPr>
              <w:t xml:space="preserve">. As breakfast </w:t>
            </w:r>
            <w:r>
              <w:rPr>
                <w:rFonts w:cs="Arial"/>
                <w:szCs w:val="20"/>
                <w:lang w:bidi="ar-SA"/>
              </w:rPr>
              <w:t>cereal</w:t>
            </w:r>
            <w:r w:rsidRPr="00CB5C26">
              <w:rPr>
                <w:rFonts w:cs="Arial"/>
                <w:szCs w:val="20"/>
                <w:lang w:bidi="ar-SA"/>
              </w:rPr>
              <w:t xml:space="preserve"> contain</w:t>
            </w:r>
            <w:r>
              <w:rPr>
                <w:rFonts w:cs="Arial"/>
                <w:szCs w:val="20"/>
                <w:lang w:bidi="ar-SA"/>
              </w:rPr>
              <w:t>s</w:t>
            </w:r>
            <w:r w:rsidRPr="00CB5C26">
              <w:rPr>
                <w:rFonts w:cs="Arial"/>
                <w:szCs w:val="20"/>
                <w:lang w:bidi="ar-SA"/>
              </w:rPr>
              <w:t xml:space="preserve"> between 1–5 g fat /100 g, consumption of vitamin D-fortified cereal with or without milk is likely to be absorbed with comparable efficacy. </w:t>
            </w:r>
          </w:p>
        </w:tc>
      </w:tr>
      <w:tr w:rsidR="00DD5C9C" w:rsidRPr="00CB5C26" w14:paraId="25B5DB3F" w14:textId="77777777" w:rsidTr="003B5D42">
        <w:trPr>
          <w:trHeight w:val="558"/>
        </w:trPr>
        <w:tc>
          <w:tcPr>
            <w:tcW w:w="939" w:type="dxa"/>
            <w:vAlign w:val="center"/>
          </w:tcPr>
          <w:p w14:paraId="25B5DB3D" w14:textId="77777777" w:rsidR="00DD5C9C" w:rsidRPr="00CB5C26" w:rsidRDefault="00DD5C9C" w:rsidP="003B5D42">
            <w:pPr>
              <w:rPr>
                <w:rFonts w:cs="Arial"/>
                <w:szCs w:val="20"/>
                <w:lang w:bidi="ar-SA"/>
              </w:rPr>
            </w:pPr>
            <w:r w:rsidRPr="00CB5C26">
              <w:rPr>
                <w:rFonts w:cs="Arial"/>
                <w:szCs w:val="20"/>
                <w:lang w:bidi="ar-SA"/>
              </w:rPr>
              <w:t>3.</w:t>
            </w:r>
            <w:r>
              <w:rPr>
                <w:rFonts w:cs="Arial"/>
                <w:szCs w:val="20"/>
                <w:lang w:bidi="ar-SA"/>
              </w:rPr>
              <w:t>3</w:t>
            </w:r>
          </w:p>
        </w:tc>
        <w:tc>
          <w:tcPr>
            <w:tcW w:w="8275" w:type="dxa"/>
            <w:vAlign w:val="center"/>
          </w:tcPr>
          <w:p w14:paraId="25B5DB3E" w14:textId="77777777" w:rsidR="00DD5C9C" w:rsidRPr="00CB5C26" w:rsidRDefault="00DD5C9C" w:rsidP="003B5D42">
            <w:pPr>
              <w:rPr>
                <w:rFonts w:cs="Arial"/>
                <w:szCs w:val="20"/>
                <w:lang w:bidi="ar-SA"/>
              </w:rPr>
            </w:pPr>
            <w:r w:rsidRPr="00CB5C26">
              <w:rPr>
                <w:rFonts w:cs="Arial"/>
                <w:szCs w:val="20"/>
                <w:lang w:bidi="ar-SA"/>
              </w:rPr>
              <w:t>There is current debate on the relative bioavailability of D</w:t>
            </w:r>
            <w:r w:rsidRPr="00CB5C26">
              <w:rPr>
                <w:rFonts w:cs="Arial"/>
                <w:szCs w:val="20"/>
                <w:vertAlign w:val="subscript"/>
                <w:lang w:bidi="ar-SA"/>
              </w:rPr>
              <w:t>2</w:t>
            </w:r>
            <w:r w:rsidRPr="00CB5C26">
              <w:rPr>
                <w:rFonts w:cs="Arial"/>
                <w:szCs w:val="20"/>
                <w:lang w:bidi="ar-SA"/>
              </w:rPr>
              <w:t xml:space="preserve"> compared to D</w:t>
            </w:r>
            <w:r w:rsidRPr="00CB5C26">
              <w:rPr>
                <w:rFonts w:cs="Arial"/>
                <w:szCs w:val="20"/>
                <w:vertAlign w:val="subscript"/>
                <w:lang w:bidi="ar-SA"/>
              </w:rPr>
              <w:t>3</w:t>
            </w:r>
            <w:r w:rsidRPr="00CB5C26">
              <w:rPr>
                <w:rFonts w:cs="Arial"/>
                <w:szCs w:val="20"/>
                <w:lang w:bidi="ar-SA"/>
              </w:rPr>
              <w:t xml:space="preserve">. This question has been addressed mainly by determining the ability of the two forms to increase serum 25OHD but some research is obfuscated by assays that do not </w:t>
            </w:r>
            <w:r w:rsidRPr="00166D2C">
              <w:rPr>
                <w:rFonts w:cs="Arial"/>
                <w:szCs w:val="20"/>
                <w:lang w:bidi="ar-SA"/>
              </w:rPr>
              <w:t>quantify</w:t>
            </w:r>
            <w:r w:rsidRPr="00CB5C26">
              <w:rPr>
                <w:rFonts w:cs="Arial"/>
                <w:szCs w:val="20"/>
                <w:lang w:bidi="ar-SA"/>
              </w:rPr>
              <w:t xml:space="preserve"> 25OHD</w:t>
            </w:r>
            <w:r w:rsidRPr="00CB5C26">
              <w:rPr>
                <w:rFonts w:cs="Arial"/>
                <w:szCs w:val="20"/>
                <w:vertAlign w:val="subscript"/>
                <w:lang w:bidi="ar-SA"/>
              </w:rPr>
              <w:t>2</w:t>
            </w:r>
            <w:r w:rsidRPr="00CB5C26">
              <w:rPr>
                <w:rFonts w:cs="Arial"/>
                <w:szCs w:val="20"/>
                <w:lang w:bidi="ar-SA"/>
              </w:rPr>
              <w:t xml:space="preserve"> and 25OHD</w:t>
            </w:r>
            <w:r w:rsidRPr="00CB5C26">
              <w:rPr>
                <w:rFonts w:cs="Arial"/>
                <w:szCs w:val="20"/>
                <w:vertAlign w:val="subscript"/>
                <w:lang w:bidi="ar-SA"/>
              </w:rPr>
              <w:t>3</w:t>
            </w:r>
            <w:r w:rsidRPr="00CB5C26">
              <w:rPr>
                <w:rFonts w:cs="Arial"/>
                <w:szCs w:val="20"/>
                <w:lang w:bidi="ar-SA"/>
              </w:rPr>
              <w:t xml:space="preserve"> equally. Based on a recent RCT and meta-analysis</w:t>
            </w:r>
            <w:r>
              <w:rPr>
                <w:rFonts w:cs="Arial"/>
                <w:szCs w:val="20"/>
                <w:lang w:bidi="ar-SA"/>
              </w:rPr>
              <w:t>,</w:t>
            </w:r>
            <w:r w:rsidRPr="00CB5C26">
              <w:rPr>
                <w:rFonts w:cs="Arial"/>
                <w:szCs w:val="20"/>
                <w:lang w:bidi="ar-SA"/>
              </w:rPr>
              <w:t xml:space="preserve"> vitamin</w:t>
            </w:r>
            <w:r>
              <w:rPr>
                <w:rFonts w:cs="Arial"/>
                <w:szCs w:val="20"/>
                <w:lang w:bidi="ar-SA"/>
              </w:rPr>
              <w:t>s</w:t>
            </w:r>
            <w:r w:rsidRPr="00CB5C26">
              <w:rPr>
                <w:rFonts w:cs="Arial"/>
                <w:szCs w:val="20"/>
                <w:lang w:bidi="ar-SA"/>
              </w:rPr>
              <w:t xml:space="preserve"> D</w:t>
            </w:r>
            <w:r w:rsidRPr="00CB5C26">
              <w:rPr>
                <w:rFonts w:cs="Arial"/>
                <w:szCs w:val="20"/>
                <w:vertAlign w:val="subscript"/>
                <w:lang w:bidi="ar-SA"/>
              </w:rPr>
              <w:t>2</w:t>
            </w:r>
            <w:r w:rsidRPr="00CB5C26">
              <w:rPr>
                <w:rFonts w:cs="Arial"/>
                <w:szCs w:val="20"/>
                <w:lang w:bidi="ar-SA"/>
              </w:rPr>
              <w:t xml:space="preserve"> and D</w:t>
            </w:r>
            <w:r w:rsidRPr="00CB5C26">
              <w:rPr>
                <w:rFonts w:cs="Arial"/>
                <w:szCs w:val="20"/>
                <w:vertAlign w:val="subscript"/>
                <w:lang w:bidi="ar-SA"/>
              </w:rPr>
              <w:t xml:space="preserve">3 </w:t>
            </w:r>
            <w:r w:rsidRPr="00CB5C26">
              <w:rPr>
                <w:rFonts w:cs="Arial"/>
                <w:szCs w:val="20"/>
                <w:lang w:bidi="ar-SA"/>
              </w:rPr>
              <w:t>present in fortified foods up to levels of 25 µg/day have been shown to be equally effective in raising serum 25OHD concentration. Only high levels of D</w:t>
            </w:r>
            <w:r w:rsidRPr="00CB5C26">
              <w:rPr>
                <w:rFonts w:cs="Arial"/>
                <w:szCs w:val="20"/>
                <w:vertAlign w:val="subscript"/>
                <w:lang w:bidi="ar-SA"/>
              </w:rPr>
              <w:t>2</w:t>
            </w:r>
            <w:r w:rsidRPr="00CB5C26">
              <w:rPr>
                <w:rFonts w:cs="Arial"/>
                <w:szCs w:val="20"/>
                <w:lang w:bidi="ar-SA"/>
              </w:rPr>
              <w:t xml:space="preserve"> consumed as a supplement in doses of 125–1250 µg are less effective at raising serum 25OHD than equivalent amounts of D</w:t>
            </w:r>
            <w:r w:rsidRPr="00CB5C26">
              <w:rPr>
                <w:rFonts w:cs="Arial"/>
                <w:szCs w:val="20"/>
                <w:vertAlign w:val="subscript"/>
                <w:lang w:bidi="ar-SA"/>
              </w:rPr>
              <w:t>3</w:t>
            </w:r>
            <w:r w:rsidRPr="00CB5C26">
              <w:rPr>
                <w:rFonts w:cs="Arial"/>
                <w:szCs w:val="20"/>
                <w:lang w:bidi="ar-SA"/>
              </w:rPr>
              <w:t xml:space="preserve">. These amounts are not comparable to </w:t>
            </w:r>
            <w:r>
              <w:rPr>
                <w:rFonts w:cs="Arial"/>
                <w:szCs w:val="20"/>
                <w:lang w:bidi="ar-SA"/>
              </w:rPr>
              <w:t>levels</w:t>
            </w:r>
            <w:r w:rsidRPr="00CB5C26">
              <w:rPr>
                <w:rFonts w:cs="Arial"/>
                <w:szCs w:val="20"/>
                <w:lang w:bidi="ar-SA"/>
              </w:rPr>
              <w:t xml:space="preserve"> in food (endogenous or fortified). </w:t>
            </w:r>
          </w:p>
        </w:tc>
      </w:tr>
    </w:tbl>
    <w:p w14:paraId="25B5DB40" w14:textId="77777777" w:rsidR="00DD5C9C" w:rsidRPr="0014241E" w:rsidRDefault="00DD5C9C" w:rsidP="003B5D42">
      <w:pPr>
        <w:rPr>
          <w:rFonts w:eastAsia="Calibri"/>
          <w:b/>
          <w:szCs w:val="22"/>
          <w:lang w:bidi="ar-SA"/>
        </w:rPr>
      </w:pPr>
    </w:p>
    <w:p w14:paraId="75E79BF2" w14:textId="77777777" w:rsidR="000223BB" w:rsidRDefault="000223BB" w:rsidP="003B5D42">
      <w:pPr>
        <w:rPr>
          <w:rFonts w:eastAsia="Calibri"/>
          <w:b/>
          <w:szCs w:val="22"/>
          <w:lang w:bidi="ar-SA"/>
        </w:rPr>
      </w:pPr>
      <w:r>
        <w:rPr>
          <w:rFonts w:eastAsia="Calibri"/>
          <w:b/>
          <w:szCs w:val="22"/>
          <w:lang w:bidi="ar-SA"/>
        </w:rPr>
        <w:br w:type="page"/>
      </w:r>
    </w:p>
    <w:p w14:paraId="25B5DB41" w14:textId="14C21D38" w:rsidR="00DD5C9C" w:rsidRPr="0014241E" w:rsidRDefault="00DD5C9C" w:rsidP="003B5D42">
      <w:pPr>
        <w:rPr>
          <w:rFonts w:eastAsia="Calibri"/>
          <w:b/>
          <w:szCs w:val="22"/>
          <w:lang w:bidi="ar-SA"/>
        </w:rPr>
      </w:pPr>
      <w:r w:rsidRPr="0014241E">
        <w:rPr>
          <w:rFonts w:eastAsia="Calibri"/>
          <w:b/>
          <w:szCs w:val="22"/>
          <w:lang w:bidi="ar-SA"/>
        </w:rPr>
        <w:lastRenderedPageBreak/>
        <w:t>Question 3)</w:t>
      </w:r>
      <w:r w:rsidRPr="0014241E">
        <w:rPr>
          <w:rFonts w:eastAsia="Calibri"/>
          <w:b/>
          <w:szCs w:val="22"/>
          <w:lang w:bidi="ar-SA"/>
        </w:rPr>
        <w:tab/>
        <w:t>What is the evidence for vitamin D inadequacy in Australian and New Zealand?</w:t>
      </w:r>
    </w:p>
    <w:tbl>
      <w:tblPr>
        <w:tblStyle w:val="TableGrid61"/>
        <w:tblW w:w="9214" w:type="dxa"/>
        <w:tblInd w:w="108" w:type="dxa"/>
        <w:tblLook w:val="04A0" w:firstRow="1" w:lastRow="0" w:firstColumn="1" w:lastColumn="0" w:noHBand="0" w:noVBand="1"/>
      </w:tblPr>
      <w:tblGrid>
        <w:gridCol w:w="939"/>
        <w:gridCol w:w="8275"/>
      </w:tblGrid>
      <w:tr w:rsidR="00DD5C9C" w:rsidRPr="00CB5C26" w14:paraId="25B5DB44" w14:textId="77777777" w:rsidTr="003B5D42">
        <w:trPr>
          <w:trHeight w:val="383"/>
        </w:trPr>
        <w:tc>
          <w:tcPr>
            <w:tcW w:w="939" w:type="dxa"/>
            <w:shd w:val="clear" w:color="auto" w:fill="EEECE1" w:themeFill="background2"/>
            <w:vAlign w:val="center"/>
          </w:tcPr>
          <w:p w14:paraId="25B5DB42" w14:textId="77777777" w:rsidR="00DD5C9C" w:rsidRPr="00CB5C26" w:rsidRDefault="00DD5C9C" w:rsidP="003B5D42">
            <w:pPr>
              <w:rPr>
                <w:rFonts w:cs="Arial"/>
                <w:b/>
                <w:i/>
                <w:szCs w:val="20"/>
                <w:lang w:bidi="ar-SA"/>
              </w:rPr>
            </w:pPr>
            <w:r w:rsidRPr="00CB5C26">
              <w:rPr>
                <w:rFonts w:cs="Arial"/>
                <w:b/>
                <w:i/>
                <w:szCs w:val="20"/>
                <w:lang w:bidi="ar-SA"/>
              </w:rPr>
              <w:t>Section</w:t>
            </w:r>
          </w:p>
        </w:tc>
        <w:tc>
          <w:tcPr>
            <w:tcW w:w="8275" w:type="dxa"/>
            <w:shd w:val="clear" w:color="auto" w:fill="EEECE1" w:themeFill="background2"/>
            <w:vAlign w:val="center"/>
          </w:tcPr>
          <w:p w14:paraId="25B5DB43" w14:textId="77777777"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14:paraId="25B5DB4D" w14:textId="77777777" w:rsidTr="003B5D42">
        <w:trPr>
          <w:trHeight w:val="841"/>
        </w:trPr>
        <w:tc>
          <w:tcPr>
            <w:tcW w:w="939" w:type="dxa"/>
            <w:vAlign w:val="center"/>
          </w:tcPr>
          <w:p w14:paraId="25B5DB45" w14:textId="77777777" w:rsidR="00DD5C9C" w:rsidRPr="00CB5C26" w:rsidRDefault="00DD5C9C" w:rsidP="003B5D42">
            <w:pPr>
              <w:rPr>
                <w:rFonts w:cs="Arial"/>
                <w:szCs w:val="20"/>
                <w:lang w:bidi="ar-SA"/>
              </w:rPr>
            </w:pPr>
            <w:r>
              <w:rPr>
                <w:rFonts w:cs="Arial"/>
                <w:szCs w:val="20"/>
                <w:lang w:bidi="ar-SA"/>
              </w:rPr>
              <w:t>6.1</w:t>
            </w:r>
          </w:p>
        </w:tc>
        <w:tc>
          <w:tcPr>
            <w:tcW w:w="8275" w:type="dxa"/>
            <w:vAlign w:val="center"/>
          </w:tcPr>
          <w:p w14:paraId="25B5DB46" w14:textId="77777777" w:rsidR="00DD5C9C" w:rsidRPr="00CB5C26" w:rsidRDefault="00DD5C9C" w:rsidP="003B5D42">
            <w:pPr>
              <w:rPr>
                <w:rFonts w:cs="Arial"/>
                <w:szCs w:val="20"/>
                <w:lang w:bidi="ar-SA"/>
              </w:rPr>
            </w:pPr>
            <w:r w:rsidRPr="00CB5C26">
              <w:rPr>
                <w:rFonts w:cs="Arial"/>
                <w:szCs w:val="20"/>
                <w:lang w:bidi="ar-SA"/>
              </w:rPr>
              <w:t xml:space="preserve">Evidence for vitamin D inadequacy has been reported for the ANZ population through several nationally-based surveys measuring serum 25OHD concentrations. Because different assay methodologies and different </w:t>
            </w:r>
            <w:r w:rsidR="002544DE">
              <w:rPr>
                <w:rFonts w:cs="Arial"/>
                <w:szCs w:val="20"/>
                <w:lang w:bidi="ar-SA"/>
              </w:rPr>
              <w:t>cut-off value</w:t>
            </w:r>
            <w:r w:rsidRPr="00CB5C26">
              <w:rPr>
                <w:rFonts w:cs="Arial"/>
                <w:szCs w:val="20"/>
                <w:lang w:bidi="ar-SA"/>
              </w:rPr>
              <w:t xml:space="preserve">s to describe vitamin D status were used in these surveys, prevalence data are not directly comparable (i.e. using a common </w:t>
            </w:r>
            <w:r w:rsidR="002544DE">
              <w:rPr>
                <w:rFonts w:cs="Arial"/>
                <w:szCs w:val="20"/>
                <w:lang w:bidi="ar-SA"/>
              </w:rPr>
              <w:t>cut-off value</w:t>
            </w:r>
            <w:r w:rsidRPr="00CB5C26">
              <w:rPr>
                <w:rFonts w:cs="Arial"/>
                <w:szCs w:val="20"/>
                <w:lang w:bidi="ar-SA"/>
              </w:rPr>
              <w:t xml:space="preserve"> to indicate inadequacy). </w:t>
            </w:r>
          </w:p>
          <w:p w14:paraId="25B5DB47" w14:textId="77777777" w:rsidR="00DD5C9C" w:rsidRPr="00CB5C26" w:rsidRDefault="00DD5C9C" w:rsidP="003B5D42">
            <w:pPr>
              <w:rPr>
                <w:rFonts w:cs="Arial"/>
                <w:szCs w:val="20"/>
                <w:lang w:bidi="ar-SA"/>
              </w:rPr>
            </w:pPr>
          </w:p>
          <w:p w14:paraId="25B5DB48" w14:textId="77777777" w:rsidR="00DD5C9C" w:rsidRPr="00CB5C26" w:rsidRDefault="00DD5C9C" w:rsidP="003B5D42">
            <w:pPr>
              <w:rPr>
                <w:rFonts w:cs="Arial"/>
                <w:szCs w:val="20"/>
                <w:lang w:bidi="ar-SA"/>
              </w:rPr>
            </w:pPr>
            <w:r w:rsidRPr="00CB5C26">
              <w:rPr>
                <w:rFonts w:cs="Arial"/>
                <w:szCs w:val="20"/>
                <w:lang w:bidi="ar-SA"/>
              </w:rPr>
              <w:t>Nationally-based surveys reported that:</w:t>
            </w:r>
          </w:p>
          <w:p w14:paraId="25B5DB49" w14:textId="77777777" w:rsidR="00DD5C9C" w:rsidRPr="00016C1E" w:rsidRDefault="00DD5C9C" w:rsidP="00DD5C9C">
            <w:pPr>
              <w:numPr>
                <w:ilvl w:val="0"/>
                <w:numId w:val="31"/>
              </w:numPr>
              <w:ind w:left="371" w:hanging="315"/>
              <w:contextualSpacing/>
              <w:rPr>
                <w:rFonts w:cs="Arial"/>
                <w:szCs w:val="20"/>
                <w:lang w:bidi="ar-SA"/>
              </w:rPr>
            </w:pPr>
            <w:r w:rsidRPr="00016C1E">
              <w:rPr>
                <w:rFonts w:cs="Arial"/>
                <w:szCs w:val="20"/>
                <w:lang w:bidi="ar-SA"/>
              </w:rPr>
              <w:t xml:space="preserve">13.4% of Australians (12 years and above) and 20.9% of New Zealand adults (15 years and above) have 25OHD &lt; 40 nM </w:t>
            </w:r>
          </w:p>
          <w:p w14:paraId="25B5DB4A" w14:textId="77777777" w:rsidR="00DD5C9C" w:rsidRPr="00016C1E" w:rsidRDefault="00DD5C9C" w:rsidP="00DD5C9C">
            <w:pPr>
              <w:numPr>
                <w:ilvl w:val="0"/>
                <w:numId w:val="31"/>
              </w:numPr>
              <w:ind w:left="371" w:hanging="315"/>
              <w:contextualSpacing/>
              <w:rPr>
                <w:rFonts w:cs="Arial"/>
                <w:szCs w:val="20"/>
                <w:lang w:bidi="ar-SA"/>
              </w:rPr>
            </w:pPr>
            <w:r w:rsidRPr="00016C1E">
              <w:rPr>
                <w:rFonts w:cs="Arial"/>
                <w:szCs w:val="20"/>
                <w:lang w:bidi="ar-SA"/>
              </w:rPr>
              <w:t>31% of New Zealand children (5–14 years) have serum 25OHD &lt; than 37.5 nM</w:t>
            </w:r>
          </w:p>
          <w:p w14:paraId="25B5DB4B" w14:textId="77777777" w:rsidR="00DD5C9C" w:rsidRPr="00CB5C26" w:rsidRDefault="00DD5C9C" w:rsidP="003B5D42">
            <w:pPr>
              <w:ind w:left="56"/>
              <w:rPr>
                <w:rFonts w:cs="Arial"/>
                <w:szCs w:val="20"/>
                <w:lang w:bidi="ar-SA"/>
              </w:rPr>
            </w:pPr>
          </w:p>
          <w:p w14:paraId="25B5DB4C" w14:textId="77777777" w:rsidR="00DD5C9C" w:rsidRPr="00CB5C26" w:rsidRDefault="00DD5C9C" w:rsidP="003B5D42">
            <w:pPr>
              <w:rPr>
                <w:rFonts w:cs="Arial"/>
                <w:szCs w:val="20"/>
                <w:lang w:bidi="ar-SA"/>
              </w:rPr>
            </w:pPr>
            <w:r w:rsidRPr="00CB5C26">
              <w:rPr>
                <w:rFonts w:cs="Arial"/>
                <w:szCs w:val="20"/>
                <w:lang w:bidi="ar-SA"/>
              </w:rPr>
              <w:t xml:space="preserve">The survey data indicate that the majority of persons in ANZ have adequate vitamin D status but that prevalence of low vitamin D was higher in winter than summer, varied with region, and was more common in indigenous and some migrant groups. </w:t>
            </w:r>
          </w:p>
        </w:tc>
      </w:tr>
    </w:tbl>
    <w:p w14:paraId="25B5DB4E" w14:textId="77777777" w:rsidR="00DD5C9C" w:rsidRDefault="00DD5C9C" w:rsidP="003B5D42">
      <w:pPr>
        <w:rPr>
          <w:rFonts w:eastAsia="Calibri"/>
          <w:b/>
          <w:szCs w:val="22"/>
          <w:lang w:bidi="ar-SA"/>
        </w:rPr>
      </w:pPr>
    </w:p>
    <w:p w14:paraId="25B5DB4F" w14:textId="77777777" w:rsidR="00DD5C9C" w:rsidRPr="0014241E" w:rsidRDefault="00DD5C9C" w:rsidP="003B5D42">
      <w:pPr>
        <w:rPr>
          <w:rFonts w:eastAsia="Calibri"/>
          <w:b/>
          <w:szCs w:val="22"/>
          <w:lang w:bidi="ar-SA"/>
        </w:rPr>
      </w:pPr>
      <w:r w:rsidRPr="0014241E">
        <w:rPr>
          <w:rFonts w:eastAsia="Calibri"/>
          <w:b/>
          <w:szCs w:val="22"/>
          <w:lang w:bidi="ar-SA"/>
        </w:rPr>
        <w:t>Question 4)</w:t>
      </w:r>
      <w:r w:rsidRPr="0014241E">
        <w:rPr>
          <w:rFonts w:eastAsia="Calibri"/>
          <w:b/>
          <w:szCs w:val="22"/>
          <w:lang w:bidi="ar-SA"/>
        </w:rPr>
        <w:tab/>
        <w:t>What is the risk to health from consumption of vitamin D-fortified breakfast cereal in Australia and New Zealand?</w:t>
      </w:r>
    </w:p>
    <w:tbl>
      <w:tblPr>
        <w:tblStyle w:val="TableGrid61"/>
        <w:tblW w:w="0" w:type="auto"/>
        <w:tblInd w:w="108" w:type="dxa"/>
        <w:tblLook w:val="04A0" w:firstRow="1" w:lastRow="0" w:firstColumn="1" w:lastColumn="0" w:noHBand="0" w:noVBand="1"/>
      </w:tblPr>
      <w:tblGrid>
        <w:gridCol w:w="938"/>
        <w:gridCol w:w="8240"/>
      </w:tblGrid>
      <w:tr w:rsidR="00DD5C9C" w:rsidRPr="00CB5C26" w14:paraId="25B5DB52" w14:textId="77777777" w:rsidTr="003B5D42">
        <w:trPr>
          <w:trHeight w:val="383"/>
        </w:trPr>
        <w:tc>
          <w:tcPr>
            <w:tcW w:w="939" w:type="dxa"/>
            <w:shd w:val="clear" w:color="auto" w:fill="EEECE1" w:themeFill="background2"/>
            <w:vAlign w:val="center"/>
          </w:tcPr>
          <w:p w14:paraId="25B5DB50" w14:textId="77777777" w:rsidR="00DD5C9C" w:rsidRPr="00CB5C26" w:rsidRDefault="00DD5C9C" w:rsidP="003B5D42">
            <w:pPr>
              <w:rPr>
                <w:rFonts w:cs="Arial"/>
                <w:b/>
                <w:i/>
                <w:szCs w:val="20"/>
                <w:lang w:bidi="ar-SA"/>
              </w:rPr>
            </w:pPr>
            <w:r w:rsidRPr="00CB5C26">
              <w:rPr>
                <w:rFonts w:cs="Arial"/>
                <w:b/>
                <w:i/>
                <w:szCs w:val="20"/>
                <w:lang w:bidi="ar-SA"/>
              </w:rPr>
              <w:t xml:space="preserve">Section </w:t>
            </w:r>
          </w:p>
        </w:tc>
        <w:tc>
          <w:tcPr>
            <w:tcW w:w="8283" w:type="dxa"/>
            <w:shd w:val="clear" w:color="auto" w:fill="EEECE1" w:themeFill="background2"/>
            <w:vAlign w:val="center"/>
          </w:tcPr>
          <w:p w14:paraId="25B5DB51" w14:textId="77777777" w:rsidR="00DD5C9C" w:rsidRPr="00CB5C26" w:rsidRDefault="00DD5C9C" w:rsidP="003B5D42">
            <w:pPr>
              <w:rPr>
                <w:rFonts w:cs="Arial"/>
                <w:b/>
                <w:i/>
                <w:szCs w:val="20"/>
                <w:lang w:bidi="ar-SA"/>
              </w:rPr>
            </w:pPr>
            <w:r w:rsidRPr="00CB5C26">
              <w:rPr>
                <w:rFonts w:cs="Arial"/>
                <w:b/>
                <w:i/>
                <w:szCs w:val="20"/>
                <w:lang w:bidi="ar-SA"/>
              </w:rPr>
              <w:t>Summary response/conclusion</w:t>
            </w:r>
          </w:p>
        </w:tc>
      </w:tr>
      <w:tr w:rsidR="00DD5C9C" w:rsidRPr="00CB5C26" w14:paraId="25B5DB57" w14:textId="77777777" w:rsidTr="003B5D42">
        <w:trPr>
          <w:trHeight w:val="841"/>
        </w:trPr>
        <w:tc>
          <w:tcPr>
            <w:tcW w:w="939" w:type="dxa"/>
            <w:vAlign w:val="center"/>
          </w:tcPr>
          <w:p w14:paraId="25B5DB53" w14:textId="77777777" w:rsidR="00DD5C9C" w:rsidRPr="00CB5C26" w:rsidRDefault="00DD5C9C" w:rsidP="003B5D42">
            <w:pPr>
              <w:rPr>
                <w:rFonts w:cs="Arial"/>
                <w:szCs w:val="20"/>
                <w:lang w:bidi="ar-SA"/>
              </w:rPr>
            </w:pPr>
            <w:r>
              <w:rPr>
                <w:rFonts w:cs="Arial"/>
                <w:szCs w:val="20"/>
                <w:lang w:bidi="ar-SA"/>
              </w:rPr>
              <w:t>3.5</w:t>
            </w:r>
          </w:p>
        </w:tc>
        <w:tc>
          <w:tcPr>
            <w:tcW w:w="8283" w:type="dxa"/>
            <w:vAlign w:val="center"/>
          </w:tcPr>
          <w:p w14:paraId="25B5DB54" w14:textId="77777777" w:rsidR="00DD5C9C" w:rsidRDefault="00DD5C9C" w:rsidP="003B5D42">
            <w:pPr>
              <w:rPr>
                <w:rFonts w:cs="Arial"/>
                <w:szCs w:val="20"/>
                <w:lang w:bidi="ar-SA"/>
              </w:rPr>
            </w:pPr>
            <w:r w:rsidRPr="00CB5C26">
              <w:rPr>
                <w:rFonts w:cs="Arial"/>
                <w:szCs w:val="20"/>
                <w:lang w:bidi="ar-SA"/>
              </w:rPr>
              <w:t xml:space="preserve">Excessive </w:t>
            </w:r>
            <w:r>
              <w:rPr>
                <w:rFonts w:cs="Arial"/>
                <w:szCs w:val="20"/>
                <w:lang w:bidi="ar-SA"/>
              </w:rPr>
              <w:t>nutrient</w:t>
            </w:r>
            <w:r w:rsidRPr="00CB5C26">
              <w:rPr>
                <w:rFonts w:cs="Arial"/>
                <w:szCs w:val="20"/>
                <w:lang w:bidi="ar-SA"/>
              </w:rPr>
              <w:t xml:space="preserve"> intake is usually assessed against the UL but </w:t>
            </w:r>
            <w:r>
              <w:rPr>
                <w:rFonts w:cs="Arial"/>
                <w:szCs w:val="20"/>
                <w:lang w:bidi="ar-SA"/>
              </w:rPr>
              <w:t xml:space="preserve">for vitamin D </w:t>
            </w:r>
            <w:r w:rsidRPr="00CB5C26">
              <w:rPr>
                <w:rFonts w:cs="Arial"/>
                <w:szCs w:val="20"/>
                <w:lang w:bidi="ar-SA"/>
              </w:rPr>
              <w:t xml:space="preserve">this does not account </w:t>
            </w:r>
            <w:r>
              <w:rPr>
                <w:rFonts w:cs="Arial"/>
                <w:szCs w:val="20"/>
                <w:lang w:bidi="ar-SA"/>
              </w:rPr>
              <w:t xml:space="preserve">for </w:t>
            </w:r>
            <w:r w:rsidRPr="00CB5C26">
              <w:rPr>
                <w:rFonts w:cs="Arial"/>
                <w:szCs w:val="20"/>
                <w:lang w:bidi="ar-SA"/>
              </w:rPr>
              <w:t xml:space="preserve">the contribution of vitamin D from sun exposure and the recommended UL varies between different expert bodies. Therefore, risk of excessive vitamin D intake was determined from expert body conclusions on serum 25OHD concentrations that may be linked to adverse effects. </w:t>
            </w:r>
          </w:p>
          <w:p w14:paraId="25B5DB55" w14:textId="77777777" w:rsidR="00DD5C9C" w:rsidRPr="00CB5C26" w:rsidRDefault="00DD5C9C" w:rsidP="003B5D42">
            <w:pPr>
              <w:rPr>
                <w:rFonts w:cs="Arial"/>
                <w:szCs w:val="20"/>
                <w:lang w:bidi="ar-SA"/>
              </w:rPr>
            </w:pPr>
          </w:p>
          <w:p w14:paraId="25B5DB56" w14:textId="77777777" w:rsidR="00DD5C9C" w:rsidRPr="00CB5C26" w:rsidRDefault="00DD5C9C" w:rsidP="003B5D42">
            <w:pPr>
              <w:rPr>
                <w:rFonts w:cs="Arial"/>
                <w:szCs w:val="20"/>
                <w:lang w:bidi="ar-SA"/>
              </w:rPr>
            </w:pPr>
            <w:r w:rsidRPr="00CB5C26">
              <w:rPr>
                <w:rFonts w:cs="Arial"/>
                <w:szCs w:val="20"/>
                <w:lang w:bidi="ar-SA"/>
              </w:rPr>
              <w:t xml:space="preserve">Very high vitamin D intakes (i.e. &gt; 250 µg/day only as a vitamin D supplement) give rise to serum 25OHD concentrations in the range of 220–700 nM </w:t>
            </w:r>
            <w:r>
              <w:rPr>
                <w:rFonts w:cs="Arial"/>
                <w:szCs w:val="20"/>
                <w:lang w:bidi="ar-SA"/>
              </w:rPr>
              <w:t xml:space="preserve">, which </w:t>
            </w:r>
            <w:r w:rsidRPr="00CB5C26">
              <w:rPr>
                <w:rFonts w:cs="Arial"/>
                <w:szCs w:val="20"/>
                <w:lang w:bidi="ar-SA"/>
              </w:rPr>
              <w:t xml:space="preserve">are associated </w:t>
            </w:r>
            <w:r>
              <w:rPr>
                <w:rFonts w:cs="Arial"/>
                <w:szCs w:val="20"/>
                <w:lang w:bidi="ar-SA"/>
              </w:rPr>
              <w:t xml:space="preserve">with </w:t>
            </w:r>
            <w:r w:rsidRPr="00CB5C26">
              <w:rPr>
                <w:rFonts w:cs="Arial"/>
                <w:szCs w:val="20"/>
                <w:lang w:bidi="ar-SA"/>
              </w:rPr>
              <w:t xml:space="preserve">adverse health effects related to calcium regulation. Moderately high serum 25OHD, that is, in the range 125–220 nM, has been proposed to be linked to other long term adverse health outcomes (e.g. cardiovascular disease) but results of studies are variable. Because of this uncertainty, the recent vitamin D review published by the </w:t>
            </w:r>
            <w:r>
              <w:rPr>
                <w:rFonts w:cs="Arial"/>
                <w:szCs w:val="20"/>
                <w:lang w:bidi="ar-SA"/>
              </w:rPr>
              <w:t>IOM</w:t>
            </w:r>
            <w:r w:rsidRPr="00CB5C26">
              <w:rPr>
                <w:rFonts w:cs="Arial"/>
                <w:szCs w:val="20"/>
                <w:lang w:bidi="ar-SA"/>
              </w:rPr>
              <w:t xml:space="preserve"> concluded that serum 25OHD concentrations in the range 125–150 nM would be of concern. Therefore, the criterion for excess was taken to be the proportion of population groups with serum 25OHD concentrations above 125 nM</w:t>
            </w:r>
            <w:r>
              <w:rPr>
                <w:rFonts w:cs="Arial"/>
                <w:szCs w:val="20"/>
                <w:lang w:bidi="ar-SA"/>
              </w:rPr>
              <w:t xml:space="preserve"> for this risk assessment</w:t>
            </w:r>
            <w:r w:rsidRPr="00CB5C26">
              <w:rPr>
                <w:rFonts w:cs="Arial"/>
                <w:szCs w:val="20"/>
                <w:lang w:bidi="ar-SA"/>
              </w:rPr>
              <w:t>.</w:t>
            </w:r>
          </w:p>
        </w:tc>
      </w:tr>
      <w:tr w:rsidR="00DD5C9C" w:rsidRPr="00CB5C26" w14:paraId="25B5DB5A" w14:textId="77777777" w:rsidTr="003B5D42">
        <w:trPr>
          <w:trHeight w:val="274"/>
        </w:trPr>
        <w:tc>
          <w:tcPr>
            <w:tcW w:w="939" w:type="dxa"/>
            <w:vAlign w:val="center"/>
          </w:tcPr>
          <w:p w14:paraId="25B5DB58" w14:textId="77777777" w:rsidR="00DD5C9C" w:rsidRPr="00D77BDE" w:rsidRDefault="00DD5C9C" w:rsidP="003B5D42">
            <w:pPr>
              <w:rPr>
                <w:rFonts w:cs="Arial"/>
                <w:szCs w:val="20"/>
                <w:lang w:bidi="ar-SA"/>
              </w:rPr>
            </w:pPr>
            <w:r>
              <w:rPr>
                <w:rFonts w:cs="Arial"/>
                <w:szCs w:val="20"/>
                <w:lang w:bidi="ar-SA"/>
              </w:rPr>
              <w:t>6</w:t>
            </w:r>
            <w:r w:rsidRPr="00D77BDE">
              <w:rPr>
                <w:rFonts w:cs="Arial"/>
                <w:szCs w:val="20"/>
                <w:lang w:bidi="ar-SA"/>
              </w:rPr>
              <w:t>.2</w:t>
            </w:r>
          </w:p>
        </w:tc>
        <w:tc>
          <w:tcPr>
            <w:tcW w:w="8283" w:type="dxa"/>
            <w:vAlign w:val="center"/>
          </w:tcPr>
          <w:p w14:paraId="25B5DB59" w14:textId="77777777" w:rsidR="00DD5C9C" w:rsidRPr="00CB5C26" w:rsidRDefault="00DD5C9C" w:rsidP="00AF79AC">
            <w:pPr>
              <w:rPr>
                <w:rFonts w:cs="Arial"/>
                <w:szCs w:val="20"/>
                <w:lang w:bidi="ar-SA"/>
              </w:rPr>
            </w:pPr>
            <w:r w:rsidRPr="00CB5C26">
              <w:rPr>
                <w:rFonts w:cs="Arial"/>
                <w:szCs w:val="20"/>
                <w:lang w:bidi="ar-SA"/>
              </w:rPr>
              <w:t>The reported population distribution of serum 25OHD concentration in each survey was used to estimate the proportion of persons that would exceed serum 25OHD &gt; 125 nM. Four modelling scenarios were used to estimate the predicted increase in serum 25OHD for high (90</w:t>
            </w:r>
            <w:r w:rsidRPr="00CB5C26">
              <w:rPr>
                <w:rFonts w:cs="Arial"/>
                <w:szCs w:val="20"/>
                <w:vertAlign w:val="superscript"/>
                <w:lang w:bidi="ar-SA"/>
              </w:rPr>
              <w:t>th</w:t>
            </w:r>
            <w:r w:rsidRPr="00CB5C26">
              <w:rPr>
                <w:rFonts w:cs="Arial"/>
                <w:szCs w:val="20"/>
                <w:lang w:bidi="ar-SA"/>
              </w:rPr>
              <w:t xml:space="preserve"> percentile) and mean cereal consumption. The proportion of the </w:t>
            </w:r>
            <w:r>
              <w:rPr>
                <w:rFonts w:cs="Arial"/>
                <w:szCs w:val="20"/>
                <w:lang w:bidi="ar-SA"/>
              </w:rPr>
              <w:t xml:space="preserve">Australian adult </w:t>
            </w:r>
            <w:r w:rsidRPr="00CB5C26">
              <w:rPr>
                <w:rFonts w:cs="Arial"/>
                <w:szCs w:val="20"/>
                <w:lang w:bidi="ar-SA"/>
              </w:rPr>
              <w:t>population with serum 25OHD &gt; 125 nM was increased from a baseline level of 1.3</w:t>
            </w:r>
            <w:r>
              <w:rPr>
                <w:rFonts w:cs="Arial"/>
                <w:szCs w:val="20"/>
                <w:lang w:bidi="ar-SA"/>
              </w:rPr>
              <w:t>% to 7.5</w:t>
            </w:r>
            <w:r w:rsidRPr="00CB5C26">
              <w:rPr>
                <w:rFonts w:cs="Arial"/>
                <w:szCs w:val="20"/>
                <w:lang w:bidi="ar-SA"/>
              </w:rPr>
              <w:t>% for the scenario with the highest vitamin D intakes (90</w:t>
            </w:r>
            <w:r w:rsidRPr="00CB5C26">
              <w:rPr>
                <w:rFonts w:cs="Arial"/>
                <w:szCs w:val="20"/>
                <w:vertAlign w:val="superscript"/>
                <w:lang w:bidi="ar-SA"/>
              </w:rPr>
              <w:t>th</w:t>
            </w:r>
            <w:r w:rsidRPr="00CB5C26">
              <w:rPr>
                <w:rFonts w:cs="Arial"/>
                <w:szCs w:val="20"/>
                <w:lang w:bidi="ar-SA"/>
              </w:rPr>
              <w:t xml:space="preserve"> percentile, brand loyal cereal adult consumers). </w:t>
            </w:r>
            <w:r>
              <w:rPr>
                <w:rFonts w:cs="Arial"/>
                <w:szCs w:val="20"/>
                <w:lang w:bidi="ar-SA"/>
              </w:rPr>
              <w:t xml:space="preserve">For New Zealand adults, the proportion increased from a baseline of 1.4% to 5.5% for the highest vitamin D intakes. </w:t>
            </w:r>
            <w:r w:rsidRPr="00CB5C26">
              <w:rPr>
                <w:rFonts w:cs="Arial"/>
                <w:szCs w:val="20"/>
                <w:lang w:bidi="ar-SA"/>
              </w:rPr>
              <w:t>This modelling scenario is likely to represent a</w:t>
            </w:r>
            <w:r>
              <w:rPr>
                <w:rFonts w:cs="Arial"/>
                <w:szCs w:val="20"/>
                <w:lang w:bidi="ar-SA"/>
              </w:rPr>
              <w:t xml:space="preserve"> conservative, worst-case scenario</w:t>
            </w:r>
            <w:r w:rsidRPr="00CB5C26">
              <w:rPr>
                <w:rFonts w:cs="Arial"/>
                <w:szCs w:val="20"/>
                <w:lang w:bidi="ar-SA"/>
              </w:rPr>
              <w:t xml:space="preserve"> of the effect </w:t>
            </w:r>
            <w:r w:rsidRPr="00166D2C">
              <w:rPr>
                <w:rFonts w:cs="Arial"/>
                <w:szCs w:val="20"/>
                <w:lang w:bidi="ar-SA"/>
              </w:rPr>
              <w:t xml:space="preserve">on serum 25OHD </w:t>
            </w:r>
            <w:r w:rsidRPr="00CB5C26">
              <w:rPr>
                <w:rFonts w:cs="Arial"/>
                <w:szCs w:val="20"/>
                <w:lang w:bidi="ar-SA"/>
              </w:rPr>
              <w:t xml:space="preserve">status. Therefore, FSANZ concludes that there is minimal risk to health from </w:t>
            </w:r>
            <w:r>
              <w:rPr>
                <w:rFonts w:cs="Arial"/>
                <w:szCs w:val="20"/>
                <w:lang w:bidi="ar-SA"/>
              </w:rPr>
              <w:t>mean</w:t>
            </w:r>
            <w:r w:rsidRPr="00CB5C26">
              <w:rPr>
                <w:rFonts w:cs="Arial"/>
                <w:szCs w:val="20"/>
                <w:lang w:bidi="ar-SA"/>
              </w:rPr>
              <w:t xml:space="preserve"> and high consumption of voluntarily vitamin D-fortified cereal in Australia and New Zealand at the </w:t>
            </w:r>
            <w:r>
              <w:rPr>
                <w:rFonts w:cs="Arial"/>
                <w:szCs w:val="20"/>
                <w:lang w:bidi="ar-SA"/>
              </w:rPr>
              <w:t>maximum claim requested by</w:t>
            </w:r>
            <w:r w:rsidRPr="00CB5C26">
              <w:rPr>
                <w:rFonts w:cs="Arial"/>
                <w:szCs w:val="20"/>
                <w:lang w:bidi="ar-SA"/>
              </w:rPr>
              <w:t xml:space="preserve"> the Applicant.  </w:t>
            </w:r>
          </w:p>
        </w:tc>
      </w:tr>
    </w:tbl>
    <w:p w14:paraId="25B5DB5B" w14:textId="77777777" w:rsidR="00B8400A" w:rsidRDefault="00B8400A" w:rsidP="003B5D42">
      <w:pPr>
        <w:rPr>
          <w:rFonts w:eastAsia="Calibri"/>
          <w:b/>
          <w:szCs w:val="22"/>
          <w:lang w:bidi="ar-SA"/>
        </w:rPr>
      </w:pPr>
    </w:p>
    <w:p w14:paraId="60F76E34" w14:textId="77777777" w:rsidR="000223BB" w:rsidRDefault="000223BB" w:rsidP="003B5D42">
      <w:pPr>
        <w:rPr>
          <w:rFonts w:eastAsia="Calibri"/>
          <w:b/>
          <w:szCs w:val="22"/>
          <w:lang w:bidi="ar-SA"/>
        </w:rPr>
      </w:pPr>
      <w:r>
        <w:rPr>
          <w:rFonts w:eastAsia="Calibri"/>
          <w:b/>
          <w:szCs w:val="22"/>
          <w:lang w:bidi="ar-SA"/>
        </w:rPr>
        <w:br w:type="page"/>
      </w:r>
    </w:p>
    <w:p w14:paraId="25B5DB5C" w14:textId="06D2D30E" w:rsidR="00DD5C9C" w:rsidRPr="0014241E" w:rsidRDefault="00DD5C9C" w:rsidP="003B5D42">
      <w:pPr>
        <w:rPr>
          <w:rFonts w:eastAsia="Calibri"/>
          <w:b/>
          <w:szCs w:val="22"/>
          <w:lang w:bidi="ar-SA"/>
        </w:rPr>
      </w:pPr>
      <w:r w:rsidRPr="0014241E">
        <w:rPr>
          <w:rFonts w:eastAsia="Calibri"/>
          <w:b/>
          <w:szCs w:val="22"/>
          <w:lang w:bidi="ar-SA"/>
        </w:rPr>
        <w:lastRenderedPageBreak/>
        <w:t>Question 5)</w:t>
      </w:r>
      <w:r w:rsidRPr="0014241E">
        <w:rPr>
          <w:rFonts w:eastAsia="Calibri"/>
          <w:b/>
          <w:szCs w:val="22"/>
          <w:lang w:bidi="ar-SA"/>
        </w:rPr>
        <w:tab/>
        <w:t>What is the benefit to health from consumption of vitamin D-fortified breakfast cereal in Australia and New Zealand?</w:t>
      </w:r>
    </w:p>
    <w:tbl>
      <w:tblPr>
        <w:tblStyle w:val="TableGrid61"/>
        <w:tblW w:w="0" w:type="auto"/>
        <w:tblInd w:w="108" w:type="dxa"/>
        <w:tblLook w:val="04A0" w:firstRow="1" w:lastRow="0" w:firstColumn="1" w:lastColumn="0" w:noHBand="0" w:noVBand="1"/>
      </w:tblPr>
      <w:tblGrid>
        <w:gridCol w:w="1008"/>
        <w:gridCol w:w="8170"/>
      </w:tblGrid>
      <w:tr w:rsidR="00DD5C9C" w:rsidRPr="00914709" w14:paraId="25B5DB5F" w14:textId="77777777" w:rsidTr="003B5D42">
        <w:trPr>
          <w:trHeight w:val="383"/>
        </w:trPr>
        <w:tc>
          <w:tcPr>
            <w:tcW w:w="1011" w:type="dxa"/>
            <w:shd w:val="clear" w:color="auto" w:fill="EEECE1" w:themeFill="background2"/>
            <w:vAlign w:val="center"/>
          </w:tcPr>
          <w:p w14:paraId="25B5DB5D" w14:textId="77777777" w:rsidR="00DD5C9C" w:rsidRPr="00914709" w:rsidRDefault="00DD5C9C" w:rsidP="003B5D42">
            <w:pPr>
              <w:rPr>
                <w:rFonts w:cs="Arial"/>
                <w:b/>
                <w:i/>
                <w:szCs w:val="20"/>
                <w:lang w:bidi="ar-SA"/>
              </w:rPr>
            </w:pPr>
            <w:r w:rsidRPr="00914709">
              <w:rPr>
                <w:rFonts w:cs="Arial"/>
                <w:b/>
                <w:i/>
                <w:szCs w:val="20"/>
                <w:lang w:bidi="ar-SA"/>
              </w:rPr>
              <w:t>Section</w:t>
            </w:r>
          </w:p>
        </w:tc>
        <w:tc>
          <w:tcPr>
            <w:tcW w:w="8283" w:type="dxa"/>
            <w:shd w:val="clear" w:color="auto" w:fill="EEECE1" w:themeFill="background2"/>
            <w:vAlign w:val="center"/>
          </w:tcPr>
          <w:p w14:paraId="25B5DB5E" w14:textId="77777777" w:rsidR="00DD5C9C" w:rsidRPr="00914709" w:rsidRDefault="00DD5C9C" w:rsidP="003B5D42">
            <w:pPr>
              <w:rPr>
                <w:rFonts w:cs="Arial"/>
                <w:b/>
                <w:i/>
                <w:szCs w:val="20"/>
                <w:lang w:bidi="ar-SA"/>
              </w:rPr>
            </w:pPr>
            <w:r w:rsidRPr="00914709">
              <w:rPr>
                <w:rFonts w:cs="Arial"/>
                <w:b/>
                <w:i/>
                <w:szCs w:val="20"/>
                <w:lang w:bidi="ar-SA"/>
              </w:rPr>
              <w:t>Summary response/conclusion</w:t>
            </w:r>
          </w:p>
        </w:tc>
      </w:tr>
      <w:tr w:rsidR="00DD5C9C" w:rsidRPr="00914709" w14:paraId="25B5DB62" w14:textId="77777777" w:rsidTr="003B5D42">
        <w:trPr>
          <w:trHeight w:val="1226"/>
        </w:trPr>
        <w:tc>
          <w:tcPr>
            <w:tcW w:w="1011" w:type="dxa"/>
            <w:vAlign w:val="center"/>
          </w:tcPr>
          <w:p w14:paraId="25B5DB60" w14:textId="77777777" w:rsidR="00DD5C9C" w:rsidRPr="00914709" w:rsidRDefault="00DD5C9C" w:rsidP="003B5D42">
            <w:pPr>
              <w:rPr>
                <w:rFonts w:cs="Arial"/>
                <w:b/>
                <w:szCs w:val="20"/>
                <w:lang w:bidi="ar-SA"/>
              </w:rPr>
            </w:pPr>
            <w:r>
              <w:rPr>
                <w:rFonts w:cs="Arial"/>
                <w:szCs w:val="20"/>
                <w:lang w:bidi="ar-SA"/>
              </w:rPr>
              <w:t>3.4</w:t>
            </w:r>
            <w:r w:rsidRPr="00914709">
              <w:rPr>
                <w:rFonts w:cs="Arial"/>
                <w:b/>
                <w:szCs w:val="20"/>
                <w:lang w:bidi="ar-SA"/>
              </w:rPr>
              <w:t xml:space="preserve"> </w:t>
            </w:r>
          </w:p>
        </w:tc>
        <w:tc>
          <w:tcPr>
            <w:tcW w:w="8283" w:type="dxa"/>
            <w:vAlign w:val="center"/>
          </w:tcPr>
          <w:p w14:paraId="25B5DB61" w14:textId="77777777" w:rsidR="00DD5C9C" w:rsidRPr="00914709" w:rsidRDefault="00DD5C9C" w:rsidP="003B5D42">
            <w:pPr>
              <w:rPr>
                <w:rFonts w:cs="Arial"/>
                <w:szCs w:val="20"/>
                <w:lang w:bidi="ar-SA"/>
              </w:rPr>
            </w:pPr>
            <w:r w:rsidRPr="00914709">
              <w:rPr>
                <w:rFonts w:cs="Arial"/>
                <w:szCs w:val="20"/>
                <w:lang w:bidi="ar-SA"/>
              </w:rPr>
              <w:t xml:space="preserve">The </w:t>
            </w:r>
            <w:r>
              <w:rPr>
                <w:rFonts w:cs="Arial"/>
                <w:szCs w:val="20"/>
                <w:lang w:bidi="ar-SA"/>
              </w:rPr>
              <w:t xml:space="preserve">proportion with serum 25OHD less than 40 nM was used to estimate the prevalence of inadequate 25OHD serum concentrations in the ANZ populations. </w:t>
            </w:r>
            <w:r w:rsidRPr="00914709">
              <w:rPr>
                <w:rFonts w:cs="Arial"/>
                <w:szCs w:val="20"/>
                <w:lang w:bidi="ar-SA"/>
              </w:rPr>
              <w:t>This value was chosen because the most recent EAR from the IOM was calculated assuming that 40 nM was a suitable level for 50% of the population and is</w:t>
            </w:r>
            <w:r>
              <w:rPr>
                <w:rFonts w:cs="Arial"/>
                <w:szCs w:val="20"/>
                <w:lang w:bidi="ar-SA"/>
              </w:rPr>
              <w:t xml:space="preserve"> analogous to using the EAR Cut Point</w:t>
            </w:r>
            <w:r w:rsidRPr="00914709">
              <w:rPr>
                <w:rFonts w:cs="Arial"/>
                <w:szCs w:val="20"/>
                <w:lang w:bidi="ar-SA"/>
              </w:rPr>
              <w:t xml:space="preserve"> method used in other FSANZ nutrient intake assessments to estimate the prevalence of inadequate intakes. It should be noted however, the results of ANZ national surveys report vitamin D status using different </w:t>
            </w:r>
            <w:r w:rsidR="002544DE">
              <w:rPr>
                <w:rFonts w:cs="Arial"/>
                <w:szCs w:val="20"/>
                <w:lang w:bidi="ar-SA"/>
              </w:rPr>
              <w:t>cut-off value</w:t>
            </w:r>
            <w:r w:rsidRPr="00914709">
              <w:rPr>
                <w:rFonts w:cs="Arial"/>
                <w:szCs w:val="20"/>
                <w:lang w:bidi="ar-SA"/>
              </w:rPr>
              <w:t>s for serum 25OHD concentration.</w:t>
            </w:r>
          </w:p>
        </w:tc>
      </w:tr>
      <w:tr w:rsidR="00DD5C9C" w:rsidRPr="00914709" w14:paraId="25B5DB65" w14:textId="77777777" w:rsidTr="003B5D42">
        <w:trPr>
          <w:trHeight w:val="274"/>
        </w:trPr>
        <w:tc>
          <w:tcPr>
            <w:tcW w:w="1011" w:type="dxa"/>
            <w:vAlign w:val="center"/>
          </w:tcPr>
          <w:p w14:paraId="25B5DB63" w14:textId="77777777" w:rsidR="00DD5C9C" w:rsidRPr="00D77BDE" w:rsidRDefault="00DD5C9C" w:rsidP="003B5D42">
            <w:pPr>
              <w:rPr>
                <w:rFonts w:eastAsia="Calibri" w:cs="Arial"/>
                <w:szCs w:val="20"/>
                <w:lang w:bidi="ar-SA"/>
              </w:rPr>
            </w:pPr>
            <w:r w:rsidRPr="00D77BDE">
              <w:rPr>
                <w:rFonts w:cs="Arial"/>
                <w:szCs w:val="20"/>
                <w:lang w:bidi="ar-SA"/>
              </w:rPr>
              <w:t>6.2</w:t>
            </w:r>
          </w:p>
        </w:tc>
        <w:tc>
          <w:tcPr>
            <w:tcW w:w="8283" w:type="dxa"/>
            <w:vAlign w:val="center"/>
          </w:tcPr>
          <w:p w14:paraId="25B5DB64" w14:textId="77777777" w:rsidR="00DD5C9C" w:rsidRPr="00914709" w:rsidRDefault="00DD5C9C" w:rsidP="003B5D42">
            <w:pPr>
              <w:rPr>
                <w:rFonts w:eastAsia="Calibri" w:cs="Arial"/>
                <w:szCs w:val="20"/>
                <w:lang w:bidi="ar-SA"/>
              </w:rPr>
            </w:pPr>
            <w:r w:rsidRPr="00914709">
              <w:rPr>
                <w:rFonts w:cs="Arial"/>
                <w:szCs w:val="20"/>
                <w:lang w:bidi="ar-SA"/>
              </w:rPr>
              <w:t xml:space="preserve">Mean consumption of vitamin D-fortified cereal gave a predicted serum 25OHD concentration in the range of 57.9–79.6 nM for a brand loyal consumer, and 52.8–72.7 nM for a consumer assuming a 35% market share of fortified breakfast </w:t>
            </w:r>
            <w:r>
              <w:rPr>
                <w:rFonts w:cs="Arial"/>
                <w:szCs w:val="20"/>
                <w:lang w:bidi="ar-SA"/>
              </w:rPr>
              <w:t>cereal</w:t>
            </w:r>
            <w:r w:rsidRPr="00914709">
              <w:rPr>
                <w:rFonts w:cs="Arial"/>
                <w:szCs w:val="20"/>
                <w:lang w:bidi="ar-SA"/>
              </w:rPr>
              <w:t>. High consumption (90</w:t>
            </w:r>
            <w:r w:rsidRPr="00914709">
              <w:rPr>
                <w:rFonts w:cs="Arial"/>
                <w:szCs w:val="20"/>
                <w:vertAlign w:val="superscript"/>
                <w:lang w:bidi="ar-SA"/>
              </w:rPr>
              <w:t>th</w:t>
            </w:r>
            <w:r w:rsidRPr="00914709">
              <w:rPr>
                <w:rFonts w:cs="Arial"/>
                <w:szCs w:val="20"/>
                <w:lang w:bidi="ar-SA"/>
              </w:rPr>
              <w:t xml:space="preserve"> percentile) of vitamin D-fortified cereal gave a predicted serum 25OHD concentration in the range 62.2–88.5 nM for a brand loyal consumer and 54.3–75.8 nM for a consumer assuming a 35% market share of fortified </w:t>
            </w:r>
            <w:r>
              <w:rPr>
                <w:rFonts w:cs="Arial"/>
                <w:szCs w:val="20"/>
                <w:lang w:bidi="ar-SA"/>
              </w:rPr>
              <w:t>cereal</w:t>
            </w:r>
            <w:r w:rsidRPr="00914709">
              <w:rPr>
                <w:rFonts w:cs="Arial"/>
                <w:szCs w:val="20"/>
                <w:lang w:bidi="ar-SA"/>
              </w:rPr>
              <w:t xml:space="preserve">. These ranges were well within the physiological range of serum 25OHD concentration. The modelled scenarios showed that the proportion with serum 25OHD &lt; 40 nM in Australia would decrease from a baseline of 13.4% </w:t>
            </w:r>
            <w:r>
              <w:rPr>
                <w:rFonts w:cs="Arial"/>
                <w:szCs w:val="20"/>
                <w:lang w:bidi="ar-SA"/>
              </w:rPr>
              <w:t xml:space="preserve">down </w:t>
            </w:r>
            <w:r w:rsidRPr="00914709">
              <w:rPr>
                <w:rFonts w:cs="Arial"/>
                <w:szCs w:val="20"/>
                <w:lang w:bidi="ar-SA"/>
              </w:rPr>
              <w:t xml:space="preserve">to </w:t>
            </w:r>
            <w:r>
              <w:rPr>
                <w:rFonts w:cs="Arial"/>
                <w:szCs w:val="20"/>
                <w:lang w:bidi="ar-SA"/>
              </w:rPr>
              <w:t>1.6</w:t>
            </w:r>
            <w:r w:rsidRPr="00914709">
              <w:rPr>
                <w:rFonts w:cs="Arial"/>
                <w:szCs w:val="20"/>
                <w:lang w:bidi="ar-SA"/>
              </w:rPr>
              <w:t>% for high</w:t>
            </w:r>
            <w:r>
              <w:rPr>
                <w:rFonts w:cs="Arial"/>
                <w:szCs w:val="20"/>
                <w:lang w:bidi="ar-SA"/>
              </w:rPr>
              <w:t>est vitamin D intakes estimated for brand loyal, 90</w:t>
            </w:r>
            <w:r w:rsidRPr="00016C1E">
              <w:rPr>
                <w:rFonts w:cs="Arial"/>
                <w:szCs w:val="20"/>
                <w:vertAlign w:val="superscript"/>
                <w:lang w:bidi="ar-SA"/>
              </w:rPr>
              <w:t>th</w:t>
            </w:r>
            <w:r>
              <w:rPr>
                <w:rFonts w:cs="Arial"/>
                <w:szCs w:val="20"/>
                <w:lang w:bidi="ar-SA"/>
              </w:rPr>
              <w:t xml:space="preserve"> percentile </w:t>
            </w:r>
            <w:r w:rsidRPr="00914709">
              <w:rPr>
                <w:rFonts w:cs="Arial"/>
                <w:szCs w:val="20"/>
                <w:lang w:bidi="ar-SA"/>
              </w:rPr>
              <w:t>cereal cons</w:t>
            </w:r>
            <w:r>
              <w:rPr>
                <w:rFonts w:cs="Arial"/>
                <w:szCs w:val="20"/>
                <w:lang w:bidi="ar-SA"/>
              </w:rPr>
              <w:t>umers</w:t>
            </w:r>
            <w:r w:rsidRPr="00914709">
              <w:rPr>
                <w:rFonts w:cs="Arial"/>
                <w:szCs w:val="20"/>
                <w:lang w:bidi="ar-SA"/>
              </w:rPr>
              <w:t>.</w:t>
            </w:r>
            <w:r>
              <w:rPr>
                <w:rFonts w:cs="Arial"/>
                <w:szCs w:val="20"/>
                <w:lang w:bidi="ar-SA"/>
              </w:rPr>
              <w:t xml:space="preserve"> Similar reduction was estimated for New Zealand adults where the baseline proportion with serum &lt; 40 nM was reduced from 20.9% to 1.5 % for the highest consumption of vitamin D fortified cereal.</w:t>
            </w:r>
          </w:p>
        </w:tc>
      </w:tr>
    </w:tbl>
    <w:p w14:paraId="09FBEAC5" w14:textId="77777777" w:rsidR="000223BB" w:rsidRDefault="000223BB" w:rsidP="003B5D42">
      <w:pPr>
        <w:pStyle w:val="Heading3"/>
        <w:numPr>
          <w:ilvl w:val="0"/>
          <w:numId w:val="0"/>
        </w:numPr>
        <w:ind w:left="567" w:hanging="567"/>
      </w:pPr>
      <w:bookmarkStart w:id="46" w:name="_Toc406575713"/>
      <w:r>
        <w:br w:type="page"/>
      </w:r>
    </w:p>
    <w:p w14:paraId="25B5DB67" w14:textId="2A7C9F67" w:rsidR="00DD5C9C" w:rsidRDefault="00DD5C9C" w:rsidP="003B5D42">
      <w:pPr>
        <w:pStyle w:val="Heading3"/>
        <w:numPr>
          <w:ilvl w:val="0"/>
          <w:numId w:val="0"/>
        </w:numPr>
        <w:ind w:left="567" w:hanging="567"/>
      </w:pPr>
      <w:r w:rsidRPr="00864879">
        <w:lastRenderedPageBreak/>
        <w:t>Appendix 1:</w:t>
      </w:r>
      <w:r>
        <w:t xml:space="preserve"> Key attributes of nutrition surveys used in this assessment</w:t>
      </w:r>
      <w:bookmarkEnd w:id="46"/>
      <w:r>
        <w:t xml:space="preserve"> </w:t>
      </w:r>
    </w:p>
    <w:p w14:paraId="25B5DB68" w14:textId="77777777" w:rsidR="00DD5C9C" w:rsidRPr="002A1BE2" w:rsidRDefault="00DD5C9C" w:rsidP="003B5D42">
      <w:pPr>
        <w:keepNext/>
        <w:spacing w:before="240" w:after="240"/>
        <w:outlineLvl w:val="3"/>
        <w:rPr>
          <w:b/>
          <w:bCs/>
          <w:i/>
          <w:iCs/>
          <w:lang w:bidi="ar-SA"/>
        </w:rPr>
      </w:pPr>
      <w:r w:rsidRPr="00277FF0">
        <w:rPr>
          <w:b/>
          <w:bCs/>
          <w:i/>
          <w:iCs/>
          <w:lang w:bidi="ar-SA"/>
        </w:rPr>
        <w:t>2007 Australian Children’s Nutrition and Physical Activity Survey (2007 ANCNPAS)</w:t>
      </w:r>
    </w:p>
    <w:p w14:paraId="25B5DB69" w14:textId="77777777" w:rsidR="00DD5C9C" w:rsidRPr="00C10787" w:rsidRDefault="00DD5C9C" w:rsidP="003B5D42">
      <w:pPr>
        <w:rPr>
          <w:lang w:bidi="ar-SA"/>
        </w:rPr>
      </w:pPr>
      <w:r w:rsidRPr="00C10787">
        <w:rPr>
          <w:lang w:bidi="ar-SA"/>
        </w:rPr>
        <w:t>The 2007 ANCNPAS collected data on nutrition and physical activity for 4,487 children aged 2</w:t>
      </w:r>
      <w:r w:rsidRPr="00362AEA">
        <w:rPr>
          <w:lang w:bidi="ar-SA"/>
        </w:rPr>
        <w:t>–</w:t>
      </w:r>
      <w:r w:rsidRPr="00C10787">
        <w:rPr>
          <w:lang w:bidi="ar-SA"/>
        </w:rPr>
        <w:t>16 years across Australia. The survey was conducted over a seven month time period, from February to August 2007. The results of the 2007 ANCNPAS were weighted to represent the overall population of Australian children because stratified sampling with non-proportional samples was used.</w:t>
      </w:r>
    </w:p>
    <w:p w14:paraId="25B5DB6A" w14:textId="77777777" w:rsidR="00DD5C9C" w:rsidRPr="00C10787" w:rsidRDefault="00DD5C9C" w:rsidP="003B5D42">
      <w:pPr>
        <w:rPr>
          <w:lang w:bidi="ar-SA"/>
        </w:rPr>
      </w:pPr>
    </w:p>
    <w:p w14:paraId="25B5DB6B" w14:textId="77777777" w:rsidR="00DD5C9C" w:rsidRDefault="00DD5C9C" w:rsidP="003B5D42">
      <w:pPr>
        <w:rPr>
          <w:lang w:bidi="ar-SA"/>
        </w:rPr>
      </w:pPr>
      <w:r w:rsidRPr="00C10787">
        <w:rPr>
          <w:lang w:bidi="ar-SA"/>
        </w:rPr>
        <w:t>In contrast to other national nutrition surveys used to date by FSANZ (e.g. the 1995 NNS), respondents in the 2007 ANCNPAS completed two 24</w:t>
      </w:r>
      <w:r w:rsidRPr="00C10787">
        <w:rPr>
          <w:lang w:bidi="ar-SA"/>
        </w:rPr>
        <w:noBreakHyphen/>
        <w:t xml:space="preserve">hour recalls on non-consecutive days. The availability of two days of food consumption data </w:t>
      </w:r>
      <w:r>
        <w:rPr>
          <w:lang w:bidi="ar-SA"/>
        </w:rPr>
        <w:t xml:space="preserve">to calculate an average consumption amount over two days </w:t>
      </w:r>
      <w:r w:rsidRPr="00C10787">
        <w:rPr>
          <w:lang w:bidi="ar-SA"/>
        </w:rPr>
        <w:t>provides a more realistic estimate of long term consumption of infrequently consumed foods, because it takes account of those who may eat a food on one day of the survey but not on the other. Using only one 24-hour recall may capture an unusual eating occasion for an individual that does not describe how they normally eat.</w:t>
      </w:r>
    </w:p>
    <w:p w14:paraId="25B5DB6C" w14:textId="77777777" w:rsidR="00DD5C9C" w:rsidRDefault="00DD5C9C" w:rsidP="003B5D42">
      <w:pPr>
        <w:rPr>
          <w:lang w:bidi="ar-SA"/>
        </w:rPr>
      </w:pPr>
      <w:r w:rsidRPr="00A206EF">
        <w:rPr>
          <w:b/>
          <w:lang w:bidi="ar-SA"/>
        </w:rPr>
        <w:t>Reference:</w:t>
      </w:r>
      <w:r>
        <w:rPr>
          <w:lang w:bidi="ar-SA"/>
        </w:rPr>
        <w:t xml:space="preserve"> </w:t>
      </w:r>
      <w:r w:rsidRPr="00D26158">
        <w:rPr>
          <w:lang w:bidi="ar-SA"/>
        </w:rPr>
        <w:t xml:space="preserve">Department of Health and Ageing, 2008, 2007 </w:t>
      </w:r>
      <w:r w:rsidRPr="00F04DE9">
        <w:rPr>
          <w:i/>
          <w:lang w:bidi="ar-SA"/>
        </w:rPr>
        <w:t>Australian National Children’s Nutrition and Physical Activity Survey- Main Findings</w:t>
      </w:r>
      <w:r>
        <w:rPr>
          <w:lang w:bidi="ar-SA"/>
        </w:rPr>
        <w:t xml:space="preserve">. Commonwealth of Australia, </w:t>
      </w:r>
      <w:r w:rsidRPr="00D26158">
        <w:rPr>
          <w:lang w:bidi="ar-SA"/>
        </w:rPr>
        <w:t>Canberra</w:t>
      </w:r>
      <w:r>
        <w:rPr>
          <w:lang w:bidi="ar-SA"/>
        </w:rPr>
        <w:t>.</w:t>
      </w:r>
      <w:bookmarkStart w:id="47" w:name="_Toc238553772"/>
    </w:p>
    <w:p w14:paraId="25B5DB6D" w14:textId="77777777" w:rsidR="00DD5C9C" w:rsidRPr="00A206EF" w:rsidRDefault="009B582B" w:rsidP="003B5D42">
      <w:pPr>
        <w:rPr>
          <w:lang w:bidi="ar-SA"/>
        </w:rPr>
      </w:pPr>
      <w:hyperlink r:id="rId22" w:history="1">
        <w:r w:rsidR="00DD5C9C" w:rsidRPr="00A206EF">
          <w:rPr>
            <w:color w:val="3333FF"/>
            <w:u w:val="single"/>
            <w:lang w:bidi="ar-SA"/>
          </w:rPr>
          <w:t>http://www.health.gov.au/internet/main/publishing.nsf/Content/phd-nutrition-childrens-survey</w:t>
        </w:r>
      </w:hyperlink>
    </w:p>
    <w:bookmarkEnd w:id="47"/>
    <w:p w14:paraId="25B5DB6E" w14:textId="77777777" w:rsidR="00DD5C9C" w:rsidRPr="002A1BE2" w:rsidRDefault="00DD5C9C" w:rsidP="003B5D42">
      <w:pPr>
        <w:keepNext/>
        <w:spacing w:before="240" w:after="240"/>
        <w:outlineLvl w:val="3"/>
        <w:rPr>
          <w:b/>
          <w:bCs/>
          <w:i/>
          <w:iCs/>
          <w:lang w:bidi="ar-SA"/>
        </w:rPr>
      </w:pPr>
      <w:r w:rsidRPr="00B103A7">
        <w:rPr>
          <w:b/>
          <w:bCs/>
          <w:i/>
          <w:iCs/>
          <w:lang w:bidi="ar-SA"/>
        </w:rPr>
        <w:t>1995 Australian National Nutrition Survey (1995 ANNS)</w:t>
      </w:r>
    </w:p>
    <w:p w14:paraId="25B5DB6F" w14:textId="77777777" w:rsidR="00DD5C9C" w:rsidRDefault="00DD5C9C" w:rsidP="003B5D42">
      <w:pPr>
        <w:rPr>
          <w:lang w:eastAsia="en-AU" w:bidi="ar-SA"/>
        </w:rPr>
      </w:pPr>
      <w:r w:rsidRPr="00C10787">
        <w:rPr>
          <w:lang w:eastAsia="en-AU" w:bidi="ar-SA"/>
        </w:rPr>
        <w:t>The 1995 NNS provides comprehensive information on dietary patterns of a sample of 13,858 Australians aged 2 years and above. The survey used a 24-hour recall method for all respondents, with 10% of respondents also completing a second 24-hour recall on another, non-consecutive day. The data were collected over a 13 month period. These data are used unweighted in calculations. It is the most recent NNS for Australians aged 17 years and above currently in FSANZ’s modelling program (data from the 2011</w:t>
      </w:r>
      <w:r w:rsidRPr="00362AEA">
        <w:rPr>
          <w:lang w:eastAsia="en-AU" w:bidi="ar-SA"/>
        </w:rPr>
        <w:t>–</w:t>
      </w:r>
      <w:r w:rsidRPr="00C10787">
        <w:rPr>
          <w:lang w:eastAsia="en-AU" w:bidi="ar-SA"/>
        </w:rPr>
        <w:t>13 Australian Health Survey not yet available for use, see below). Only the data from respondents aged 17 years and above from this survey were used in this assessment.</w:t>
      </w:r>
    </w:p>
    <w:p w14:paraId="25B5DB70" w14:textId="77777777" w:rsidR="00DD5C9C" w:rsidRPr="00D26158" w:rsidRDefault="00DD5C9C" w:rsidP="003B5D42">
      <w:pPr>
        <w:rPr>
          <w:lang w:bidi="ar-SA"/>
        </w:rPr>
      </w:pPr>
      <w:r w:rsidRPr="00A206EF">
        <w:rPr>
          <w:b/>
          <w:lang w:eastAsia="en-AU" w:bidi="ar-SA"/>
        </w:rPr>
        <w:t>Reference:</w:t>
      </w:r>
      <w:r>
        <w:rPr>
          <w:lang w:eastAsia="en-AU" w:bidi="ar-SA"/>
        </w:rPr>
        <w:t xml:space="preserve"> </w:t>
      </w:r>
      <w:r w:rsidRPr="00D26158">
        <w:rPr>
          <w:lang w:bidi="ar-SA"/>
        </w:rPr>
        <w:t xml:space="preserve">McLennan W &amp; Podger A, 1999, </w:t>
      </w:r>
      <w:r w:rsidRPr="00D26158">
        <w:rPr>
          <w:i/>
          <w:iCs/>
          <w:lang w:bidi="ar-SA"/>
        </w:rPr>
        <w:t>National Nutrition Survey. Foods Eaten. Australia.</w:t>
      </w:r>
      <w:r>
        <w:rPr>
          <w:i/>
          <w:iCs/>
          <w:lang w:bidi="ar-SA"/>
        </w:rPr>
        <w:t xml:space="preserve"> </w:t>
      </w:r>
      <w:r w:rsidRPr="00D26158">
        <w:rPr>
          <w:i/>
          <w:iCs/>
          <w:lang w:bidi="ar-SA"/>
        </w:rPr>
        <w:t>1995</w:t>
      </w:r>
      <w:r w:rsidRPr="00D26158">
        <w:rPr>
          <w:lang w:bidi="ar-SA"/>
        </w:rPr>
        <w:t xml:space="preserve">. (ABS Catalogue number 4804.0), Commonwealth of Australia, Canberra. </w:t>
      </w:r>
      <w:hyperlink r:id="rId23" w:history="1">
        <w:r w:rsidRPr="00A206EF">
          <w:rPr>
            <w:color w:val="3333FF"/>
            <w:u w:val="single"/>
            <w:lang w:bidi="ar-SA"/>
          </w:rPr>
          <w:t>http://www.abs.gov.au/ausstats/abs@.nsf/PrimaryMainFeatures/4804.0?OpenDocument</w:t>
        </w:r>
      </w:hyperlink>
      <w:r>
        <w:rPr>
          <w:lang w:bidi="ar-SA"/>
        </w:rPr>
        <w:t xml:space="preserve"> </w:t>
      </w:r>
    </w:p>
    <w:p w14:paraId="25B5DB71" w14:textId="77777777" w:rsidR="00DD5C9C" w:rsidRPr="002A1BE2" w:rsidRDefault="00DD5C9C" w:rsidP="003B5D42">
      <w:pPr>
        <w:keepNext/>
        <w:spacing w:before="240" w:after="240"/>
        <w:outlineLvl w:val="3"/>
        <w:rPr>
          <w:b/>
          <w:bCs/>
          <w:i/>
          <w:iCs/>
          <w:lang w:bidi="ar-SA"/>
        </w:rPr>
      </w:pPr>
      <w:r w:rsidRPr="002A1BE2">
        <w:rPr>
          <w:b/>
          <w:bCs/>
          <w:i/>
          <w:iCs/>
          <w:lang w:bidi="ar-SA"/>
        </w:rPr>
        <w:t xml:space="preserve">2002 New Zealand National Children’s Nutrition Survey (2002 </w:t>
      </w:r>
      <w:r>
        <w:rPr>
          <w:b/>
          <w:bCs/>
          <w:i/>
          <w:iCs/>
          <w:lang w:bidi="ar-SA"/>
        </w:rPr>
        <w:t xml:space="preserve">NZ </w:t>
      </w:r>
      <w:r w:rsidRPr="002A1BE2">
        <w:rPr>
          <w:b/>
          <w:bCs/>
          <w:i/>
          <w:iCs/>
          <w:lang w:bidi="ar-SA"/>
        </w:rPr>
        <w:t>NCNS)</w:t>
      </w:r>
    </w:p>
    <w:p w14:paraId="25B5DB72" w14:textId="77777777" w:rsidR="00DD5C9C" w:rsidRDefault="00DD5C9C" w:rsidP="003B5D42">
      <w:pPr>
        <w:rPr>
          <w:lang w:bidi="ar-SA"/>
        </w:rPr>
      </w:pPr>
      <w:r w:rsidRPr="00C10787">
        <w:rPr>
          <w:lang w:bidi="ar-SA"/>
        </w:rPr>
        <w:t>The 2002 NCNS provides comprehensive information on the dietary patterns of a nationally representative sample of 3,275 New Zealand children aged 5</w:t>
      </w:r>
      <w:r w:rsidRPr="00362AEA">
        <w:rPr>
          <w:lang w:bidi="ar-SA"/>
        </w:rPr>
        <w:t>–</w:t>
      </w:r>
      <w:r w:rsidRPr="00C10787">
        <w:rPr>
          <w:lang w:bidi="ar-SA"/>
        </w:rPr>
        <w:t>14 years, including sufficient numbers of children in the M</w:t>
      </w:r>
      <w:r w:rsidRPr="00C10787">
        <w:rPr>
          <w:rFonts w:cs="Arial"/>
          <w:lang w:bidi="ar-SA"/>
        </w:rPr>
        <w:t>ā</w:t>
      </w:r>
      <w:r w:rsidRPr="00C10787">
        <w:rPr>
          <w:lang w:bidi="ar-SA"/>
        </w:rPr>
        <w:t>ori and Pacific groups to enable ethnic-specific analyses. The survey was conducted using a 24-hour recall methodology and collected data on dietary supplements as well as foods and beverages. A repeat 24-hour diet recall was obtained from a subsample of 15% of respondents. The results of the 2002 NCNS were weighted to represent the overall population of New Zealand children because stratified sampling with non-proportional samples was used in the survey.</w:t>
      </w:r>
    </w:p>
    <w:p w14:paraId="25B5DB73" w14:textId="77777777" w:rsidR="00DD5C9C" w:rsidRDefault="00DD5C9C" w:rsidP="003B5D42">
      <w:pPr>
        <w:rPr>
          <w:lang w:bidi="ar-SA"/>
        </w:rPr>
      </w:pPr>
      <w:r w:rsidRPr="00A206EF">
        <w:rPr>
          <w:b/>
          <w:lang w:bidi="ar-SA"/>
        </w:rPr>
        <w:t>Reference:</w:t>
      </w:r>
      <w:r>
        <w:rPr>
          <w:lang w:bidi="ar-SA"/>
        </w:rPr>
        <w:t xml:space="preserve"> </w:t>
      </w:r>
      <w:r w:rsidRPr="00D26158">
        <w:rPr>
          <w:lang w:bidi="ar-SA"/>
        </w:rPr>
        <w:t xml:space="preserve">Ministry of Health, 2003, </w:t>
      </w:r>
      <w:r w:rsidRPr="00F04DE9">
        <w:rPr>
          <w:i/>
          <w:lang w:bidi="ar-SA"/>
        </w:rPr>
        <w:t xml:space="preserve">NZ Food NZ Children: Key results of the 2002 National Children’s Nutrition Survey. </w:t>
      </w:r>
      <w:r w:rsidRPr="00D26158">
        <w:rPr>
          <w:lang w:bidi="ar-SA"/>
        </w:rPr>
        <w:t>Wellington: Ministry of Health.</w:t>
      </w:r>
    </w:p>
    <w:p w14:paraId="25B5DB74" w14:textId="77777777" w:rsidR="00DD5C9C" w:rsidRDefault="009B582B" w:rsidP="003B5D42">
      <w:pPr>
        <w:rPr>
          <w:lang w:bidi="ar-SA"/>
        </w:rPr>
      </w:pPr>
      <w:hyperlink r:id="rId24" w:history="1">
        <w:r w:rsidR="00DD5C9C" w:rsidRPr="004C561A">
          <w:rPr>
            <w:rStyle w:val="Hyperlink"/>
            <w:lang w:bidi="ar-SA"/>
          </w:rPr>
          <w:t>http://www.moh.govt.nz/notebook/nbbooks.nsf/0/658d849a2bac7421cc256dd9006cc7ec/$FILE/nzfoodnzchildren.pdf</w:t>
        </w:r>
      </w:hyperlink>
    </w:p>
    <w:p w14:paraId="6100F2ED" w14:textId="77777777" w:rsidR="000223BB" w:rsidRDefault="000223BB" w:rsidP="003B5D42">
      <w:pPr>
        <w:keepNext/>
        <w:spacing w:before="240" w:after="240"/>
        <w:outlineLvl w:val="3"/>
        <w:rPr>
          <w:b/>
          <w:bCs/>
          <w:i/>
          <w:iCs/>
          <w:lang w:bidi="ar-SA"/>
        </w:rPr>
      </w:pPr>
      <w:r>
        <w:rPr>
          <w:b/>
          <w:bCs/>
          <w:i/>
          <w:iCs/>
          <w:lang w:bidi="ar-SA"/>
        </w:rPr>
        <w:br w:type="page"/>
      </w:r>
    </w:p>
    <w:p w14:paraId="25B5DB75" w14:textId="7670D0A3" w:rsidR="00DD5C9C" w:rsidRPr="00DD45B9" w:rsidRDefault="00DD5C9C" w:rsidP="003B5D42">
      <w:pPr>
        <w:keepNext/>
        <w:spacing w:before="240" w:after="240"/>
        <w:outlineLvl w:val="3"/>
        <w:rPr>
          <w:bCs/>
          <w:i/>
          <w:iCs/>
          <w:lang w:bidi="ar-SA"/>
        </w:rPr>
      </w:pPr>
      <w:r>
        <w:rPr>
          <w:b/>
          <w:bCs/>
          <w:i/>
          <w:iCs/>
          <w:lang w:bidi="ar-SA"/>
        </w:rPr>
        <w:lastRenderedPageBreak/>
        <w:t>2008–09</w:t>
      </w:r>
      <w:r w:rsidRPr="00DD45B9">
        <w:rPr>
          <w:b/>
          <w:bCs/>
          <w:i/>
          <w:iCs/>
          <w:lang w:bidi="ar-SA"/>
        </w:rPr>
        <w:t xml:space="preserve"> New Zealand Adult Nutrition Survey</w:t>
      </w:r>
      <w:r w:rsidRPr="00DD45B9">
        <w:rPr>
          <w:bCs/>
          <w:i/>
          <w:iCs/>
          <w:lang w:bidi="ar-SA"/>
        </w:rPr>
        <w:t xml:space="preserve"> </w:t>
      </w:r>
      <w:r w:rsidRPr="00DD45B9">
        <w:rPr>
          <w:b/>
          <w:bCs/>
          <w:i/>
          <w:iCs/>
          <w:lang w:bidi="ar-SA"/>
        </w:rPr>
        <w:t>(2008</w:t>
      </w:r>
      <w:r>
        <w:rPr>
          <w:b/>
          <w:bCs/>
          <w:i/>
          <w:iCs/>
          <w:lang w:bidi="ar-SA"/>
        </w:rPr>
        <w:t>–09</w:t>
      </w:r>
      <w:r w:rsidRPr="00DD45B9">
        <w:rPr>
          <w:b/>
          <w:bCs/>
          <w:i/>
          <w:iCs/>
          <w:lang w:bidi="ar-SA"/>
        </w:rPr>
        <w:t xml:space="preserve"> NZ ANS)</w:t>
      </w:r>
    </w:p>
    <w:p w14:paraId="456C7E95" w14:textId="77777777" w:rsidR="00B62436" w:rsidRDefault="00DD5C9C" w:rsidP="003B5D42">
      <w:pPr>
        <w:autoSpaceDE w:val="0"/>
        <w:autoSpaceDN w:val="0"/>
        <w:adjustRightInd w:val="0"/>
        <w:rPr>
          <w:rFonts w:cs="Arial"/>
          <w:lang w:bidi="ar-SA"/>
        </w:rPr>
      </w:pPr>
      <w:r w:rsidRPr="00DD45B9">
        <w:rPr>
          <w:rFonts w:cs="Arial"/>
          <w:lang w:bidi="ar-SA"/>
        </w:rPr>
        <w:t>The New Zealand 2008</w:t>
      </w:r>
      <w:r>
        <w:rPr>
          <w:rFonts w:cs="Arial"/>
          <w:lang w:bidi="ar-SA"/>
        </w:rPr>
        <w:t xml:space="preserve">–09 </w:t>
      </w:r>
      <w:r w:rsidRPr="00DD45B9">
        <w:rPr>
          <w:rFonts w:cs="Arial"/>
          <w:lang w:bidi="ar-SA"/>
        </w:rPr>
        <w:t xml:space="preserve">Adult Nutrition Survey was carried out from October 2008 to October 2009. The Survey involved face-to-face 24-hour recall interviews with 4721 </w:t>
      </w:r>
    </w:p>
    <w:p w14:paraId="25B5DB76" w14:textId="6E40E175" w:rsidR="00DD5C9C" w:rsidRPr="00DD45B9" w:rsidRDefault="00DD5C9C" w:rsidP="003B5D42">
      <w:pPr>
        <w:autoSpaceDE w:val="0"/>
        <w:autoSpaceDN w:val="0"/>
        <w:adjustRightInd w:val="0"/>
        <w:rPr>
          <w:rFonts w:cs="Arial"/>
          <w:lang w:bidi="ar-SA"/>
        </w:rPr>
      </w:pPr>
      <w:r w:rsidRPr="00DD45B9">
        <w:rPr>
          <w:rFonts w:cs="Arial"/>
          <w:lang w:bidi="ar-SA"/>
        </w:rPr>
        <w:t>New Zealanders aged 15 years and above living in private dwellings, with 25% of respondents completing a second 24-hour recall.</w:t>
      </w:r>
    </w:p>
    <w:p w14:paraId="25B5DB77" w14:textId="77777777" w:rsidR="00DD5C9C" w:rsidRPr="00DD45B9" w:rsidRDefault="00DD5C9C" w:rsidP="003B5D42">
      <w:pPr>
        <w:rPr>
          <w:lang w:bidi="ar-SA"/>
        </w:rPr>
      </w:pPr>
      <w:r w:rsidRPr="00DD45B9">
        <w:rPr>
          <w:rFonts w:cs="Arial"/>
          <w:b/>
          <w:lang w:bidi="ar-SA"/>
        </w:rPr>
        <w:t>Reference:</w:t>
      </w:r>
      <w:r w:rsidRPr="00DD45B9">
        <w:rPr>
          <w:rFonts w:cs="Arial"/>
          <w:lang w:bidi="ar-SA"/>
        </w:rPr>
        <w:t xml:space="preserve">  </w:t>
      </w:r>
      <w:r w:rsidRPr="00DD45B9">
        <w:rPr>
          <w:lang w:bidi="ar-SA"/>
        </w:rPr>
        <w:t>University of Otago and Ministry of Health, 2011, A Focus on Nutrition: Key findings of the 2008/09 New Zealand Adult Nutrition Survey. Wellington: Ministry of Health.</w:t>
      </w:r>
    </w:p>
    <w:p w14:paraId="25B5DB78" w14:textId="77777777" w:rsidR="00DD5C9C" w:rsidRPr="00DD45B9" w:rsidRDefault="009B582B" w:rsidP="003B5D42">
      <w:pPr>
        <w:rPr>
          <w:rFonts w:cs="Arial"/>
          <w:lang w:bidi="ar-SA"/>
        </w:rPr>
      </w:pPr>
      <w:hyperlink r:id="rId25" w:history="1">
        <w:r w:rsidR="00DD5C9C" w:rsidRPr="00DD45B9">
          <w:rPr>
            <w:color w:val="3333FF"/>
            <w:u w:val="single"/>
            <w:lang w:bidi="ar-SA"/>
          </w:rPr>
          <w:t>http://www.health.govt.nz/publication/focus-nutrition-key-findings-2008-09-nz-adult-nutrition-survey</w:t>
        </w:r>
      </w:hyperlink>
    </w:p>
    <w:p w14:paraId="25B5DB79" w14:textId="77777777" w:rsidR="00DD5C9C" w:rsidRPr="00DD45B9" w:rsidRDefault="00DD5C9C" w:rsidP="003B5D42">
      <w:pPr>
        <w:keepNext/>
        <w:spacing w:before="240" w:after="240"/>
        <w:outlineLvl w:val="3"/>
        <w:rPr>
          <w:b/>
          <w:bCs/>
          <w:i/>
          <w:iCs/>
          <w:lang w:bidi="ar-SA"/>
        </w:rPr>
      </w:pPr>
      <w:r w:rsidRPr="00DD45B9">
        <w:rPr>
          <w:b/>
          <w:bCs/>
          <w:i/>
          <w:iCs/>
          <w:lang w:bidi="ar-SA"/>
        </w:rPr>
        <w:t>More recent Australian nutrition survey data</w:t>
      </w:r>
    </w:p>
    <w:p w14:paraId="25B5DB7A" w14:textId="77777777" w:rsidR="00DD5C9C" w:rsidRPr="00DD45B9" w:rsidRDefault="00DD5C9C" w:rsidP="003B5D42">
      <w:pPr>
        <w:keepNext/>
        <w:keepLines/>
        <w:rPr>
          <w:rFonts w:cs="Arial"/>
          <w:lang w:bidi="ar-SA"/>
        </w:rPr>
      </w:pPr>
      <w:r w:rsidRPr="00DD45B9">
        <w:rPr>
          <w:rFonts w:cs="Arial"/>
          <w:lang w:bidi="ar-SA"/>
        </w:rPr>
        <w:t>More recent food consumption data for Australia have been collected. However, these data are not yet available in FSANZ’s dietary modelling program for use in risk assessments. Where relevant, published summary data from this more recent survey have been provided.</w:t>
      </w:r>
    </w:p>
    <w:p w14:paraId="25B5DB7B" w14:textId="77777777" w:rsidR="00DD5C9C" w:rsidRPr="00C10787" w:rsidRDefault="00DD5C9C" w:rsidP="003B5D42">
      <w:pPr>
        <w:autoSpaceDE w:val="0"/>
        <w:autoSpaceDN w:val="0"/>
        <w:adjustRightInd w:val="0"/>
        <w:rPr>
          <w:rFonts w:cs="Arial"/>
          <w:lang w:bidi="ar-SA"/>
        </w:rPr>
      </w:pPr>
    </w:p>
    <w:p w14:paraId="25B5DB7C" w14:textId="77777777" w:rsidR="00DD5C9C" w:rsidRDefault="00DD5C9C" w:rsidP="003B5D42">
      <w:pPr>
        <w:rPr>
          <w:lang w:bidi="ar-SA"/>
        </w:rPr>
      </w:pPr>
      <w:r>
        <w:rPr>
          <w:lang w:bidi="ar-SA"/>
        </w:rPr>
        <w:t>The 2011–12</w:t>
      </w:r>
      <w:r w:rsidRPr="00C10787">
        <w:rPr>
          <w:lang w:bidi="ar-SA"/>
        </w:rPr>
        <w:t xml:space="preserve"> National Nutrition and Physical Activity Survey (NNPAS) was conducted as part of the 2011</w:t>
      </w:r>
      <w:r>
        <w:rPr>
          <w:lang w:bidi="ar-SA"/>
        </w:rPr>
        <w:t xml:space="preserve">–13 </w:t>
      </w:r>
      <w:r w:rsidRPr="00C10787">
        <w:rPr>
          <w:lang w:bidi="ar-SA"/>
        </w:rPr>
        <w:t>Australian Health Survey (AHS). The 2011</w:t>
      </w:r>
      <w:r w:rsidRPr="00362AEA">
        <w:rPr>
          <w:lang w:bidi="ar-SA"/>
        </w:rPr>
        <w:t>–</w:t>
      </w:r>
      <w:r w:rsidRPr="00C10787">
        <w:rPr>
          <w:lang w:bidi="ar-SA"/>
        </w:rPr>
        <w:t>12 NNPAS was conducted from 29 May 2011 to 9 June 2012 (with a pause between 6 August 2011 and 2 October 2011 while the 2011 Australian Census was conducted). Twelve thousand, one hundred and fifty three Australians aged 2 years and above living in private dwellings undertook a 24-hour recall interview, with 63.6% of respondents completing a second 24-hour recall.</w:t>
      </w:r>
    </w:p>
    <w:p w14:paraId="25B5DB7D" w14:textId="77777777" w:rsidR="00DD5C9C" w:rsidRDefault="00DD5C9C" w:rsidP="003B5D42">
      <w:pPr>
        <w:rPr>
          <w:lang w:bidi="ar-SA"/>
        </w:rPr>
      </w:pPr>
      <w:r w:rsidRPr="00A206EF">
        <w:rPr>
          <w:b/>
          <w:lang w:bidi="ar-SA"/>
        </w:rPr>
        <w:t xml:space="preserve">Reference: </w:t>
      </w:r>
      <w:r w:rsidRPr="00D26158">
        <w:rPr>
          <w:lang w:bidi="ar-SA"/>
        </w:rPr>
        <w:t xml:space="preserve">Australian Bureau of Statistics, 2014, 2011-12 </w:t>
      </w:r>
      <w:r w:rsidRPr="00F04DE9">
        <w:rPr>
          <w:i/>
          <w:lang w:bidi="ar-SA"/>
        </w:rPr>
        <w:t>National Nutrition and Physical Activity Survey: Main Findings</w:t>
      </w:r>
      <w:r>
        <w:rPr>
          <w:lang w:bidi="ar-SA"/>
        </w:rPr>
        <w:t>.</w:t>
      </w:r>
      <w:r w:rsidRPr="00D26158">
        <w:rPr>
          <w:lang w:bidi="ar-SA"/>
        </w:rPr>
        <w:t xml:space="preserve"> ABS, Canberra </w:t>
      </w:r>
    </w:p>
    <w:p w14:paraId="25B5DB7E" w14:textId="77777777" w:rsidR="00DD5C9C" w:rsidRDefault="009B582B" w:rsidP="003B5D42">
      <w:pPr>
        <w:rPr>
          <w:lang w:bidi="ar-SA"/>
        </w:rPr>
      </w:pPr>
      <w:hyperlink r:id="rId26" w:history="1">
        <w:r w:rsidR="00DD5C9C" w:rsidRPr="00A70BDD">
          <w:rPr>
            <w:rStyle w:val="Hyperlink"/>
            <w:lang w:bidi="ar-SA"/>
          </w:rPr>
          <w:t>http://www.abs.gov.au/ausstats/abs@.nsf/Lookup/by%20Subject/4364.0.55.007~2011-12~Main%20Features~Key%20Findings~1</w:t>
        </w:r>
      </w:hyperlink>
    </w:p>
    <w:p w14:paraId="25B5DB7F" w14:textId="77777777" w:rsidR="00DD5C9C" w:rsidRPr="00C10787" w:rsidRDefault="00DD5C9C" w:rsidP="003B5D42">
      <w:pPr>
        <w:rPr>
          <w:lang w:bidi="ar-SA"/>
        </w:rPr>
      </w:pPr>
    </w:p>
    <w:p w14:paraId="25B5DB80" w14:textId="77777777" w:rsidR="00DD5C9C" w:rsidRDefault="00DD5C9C" w:rsidP="003B5D42">
      <w:pPr>
        <w:rPr>
          <w:lang w:bidi="ar-SA"/>
        </w:rPr>
      </w:pPr>
      <w:r w:rsidRPr="00C10787">
        <w:rPr>
          <w:lang w:bidi="ar-SA"/>
        </w:rPr>
        <w:t>Neither the 2008</w:t>
      </w:r>
      <w:r w:rsidRPr="00362AEA">
        <w:rPr>
          <w:lang w:bidi="ar-SA"/>
        </w:rPr>
        <w:t>–</w:t>
      </w:r>
      <w:r w:rsidRPr="00C10787">
        <w:rPr>
          <w:lang w:bidi="ar-SA"/>
        </w:rPr>
        <w:t xml:space="preserve">09 </w:t>
      </w:r>
      <w:r>
        <w:rPr>
          <w:lang w:bidi="ar-SA"/>
        </w:rPr>
        <w:t xml:space="preserve">NZ </w:t>
      </w:r>
      <w:r w:rsidRPr="00C10787">
        <w:rPr>
          <w:lang w:bidi="ar-SA"/>
        </w:rPr>
        <w:t>ANS nor the 2011</w:t>
      </w:r>
      <w:r w:rsidRPr="00362AEA">
        <w:rPr>
          <w:lang w:bidi="ar-SA"/>
        </w:rPr>
        <w:t>–</w:t>
      </w:r>
      <w:r w:rsidRPr="00C10787">
        <w:rPr>
          <w:lang w:bidi="ar-SA"/>
        </w:rPr>
        <w:t xml:space="preserve">12 NNPAS reported vitamin D intakes from food. Estimating vitamin D status using the biomedical results collected from both surveys </w:t>
      </w:r>
      <w:r>
        <w:rPr>
          <w:lang w:bidi="ar-SA"/>
        </w:rPr>
        <w:t>was</w:t>
      </w:r>
      <w:r w:rsidRPr="00C10787">
        <w:rPr>
          <w:lang w:bidi="ar-SA"/>
        </w:rPr>
        <w:t xml:space="preserve"> considered a more accurate estimate of vitamin D status in the Australian and New Zealand populations as this measure takes into account the overall effect of diet, supplement use and sunlight exposure.</w:t>
      </w:r>
    </w:p>
    <w:p w14:paraId="25B5DB81" w14:textId="77777777" w:rsidR="00DD5C9C" w:rsidRDefault="00DD5C9C" w:rsidP="003B5D42">
      <w:pPr>
        <w:rPr>
          <w:lang w:bidi="ar-SA"/>
        </w:rPr>
      </w:pPr>
      <w:r>
        <w:rPr>
          <w:lang w:bidi="ar-SA"/>
        </w:rPr>
        <w:br w:type="page"/>
      </w:r>
    </w:p>
    <w:p w14:paraId="25B5DB82" w14:textId="77777777" w:rsidR="00DD5C9C" w:rsidRDefault="00DD5C9C" w:rsidP="003B5D42">
      <w:pPr>
        <w:pStyle w:val="Heading3"/>
        <w:numPr>
          <w:ilvl w:val="0"/>
          <w:numId w:val="0"/>
        </w:numPr>
        <w:ind w:left="567" w:hanging="567"/>
      </w:pPr>
      <w:bookmarkStart w:id="48" w:name="_Toc406575714"/>
      <w:r>
        <w:lastRenderedPageBreak/>
        <w:t>Appendix 2: Serum 25OHD results as reported in ANZ Surveys</w:t>
      </w:r>
      <w:bookmarkEnd w:id="48"/>
    </w:p>
    <w:p w14:paraId="25B5DB83" w14:textId="77777777" w:rsidR="00DD5C9C" w:rsidRPr="005C4C67" w:rsidRDefault="00DD5C9C" w:rsidP="003B5D42">
      <w:pPr>
        <w:rPr>
          <w:i/>
        </w:rPr>
      </w:pPr>
      <w:r>
        <w:rPr>
          <w:i/>
        </w:rPr>
        <w:t xml:space="preserve">2011–13 </w:t>
      </w:r>
      <w:r w:rsidRPr="005C4C67">
        <w:rPr>
          <w:i/>
        </w:rPr>
        <w:t>Australia Health Survey (AHS)</w:t>
      </w:r>
    </w:p>
    <w:p w14:paraId="25B5DB84" w14:textId="77777777" w:rsidR="00DD5C9C" w:rsidRDefault="00DD5C9C" w:rsidP="003B5D42"/>
    <w:p w14:paraId="25B5DB85" w14:textId="77777777" w:rsidR="00DD5C9C" w:rsidRPr="00DD19A5" w:rsidRDefault="00DD5C9C" w:rsidP="003B5D42">
      <w:r w:rsidRPr="00DD19A5">
        <w:t>The National Health Measures Survey (NHMS) component of the Australian Health Survey (AHS) conducted by the Australian Bureau of Statistics (ABS) analysed serum 25OHD for the population aged 12</w:t>
      </w:r>
      <w:r>
        <w:t xml:space="preserve"> years</w:t>
      </w:r>
      <w:r w:rsidRPr="00DD19A5">
        <w:t xml:space="preserve"> and </w:t>
      </w:r>
      <w:r>
        <w:t>above</w:t>
      </w:r>
      <w:r w:rsidRPr="00DD19A5">
        <w:t xml:space="preserve">. Blood was collected from adults 12 years and </w:t>
      </w:r>
      <w:r>
        <w:t>above</w:t>
      </w:r>
      <w:r w:rsidRPr="00DD19A5">
        <w:t xml:space="preserve">, including pregnant women and serum 25OHD was measured using tandem Mass Spectrometry (LC-MS/MS) methodology. Assays were conducted in collaboration with the international </w:t>
      </w:r>
      <w:r>
        <w:t xml:space="preserve">Vitamin D Standardisation Program, </w:t>
      </w:r>
      <w:r w:rsidRPr="00DD19A5">
        <w:t xml:space="preserve">VDSP </w:t>
      </w:r>
      <w:r w:rsidRPr="00DD19A5">
        <w:rPr>
          <w:noProof/>
        </w:rPr>
        <w:t>(Cashman et al. 2013)</w:t>
      </w:r>
      <w:r w:rsidRPr="00DD19A5">
        <w:t xml:space="preserve"> such that additional controls (</w:t>
      </w:r>
      <w:r w:rsidRPr="00B40791">
        <w:t>quantification of D</w:t>
      </w:r>
      <w:r w:rsidRPr="00B40791">
        <w:rPr>
          <w:vertAlign w:val="subscript"/>
        </w:rPr>
        <w:t>2</w:t>
      </w:r>
      <w:r w:rsidRPr="00DD19A5">
        <w:t xml:space="preserve"> and D</w:t>
      </w:r>
      <w:r w:rsidRPr="00DD19A5">
        <w:rPr>
          <w:vertAlign w:val="subscript"/>
        </w:rPr>
        <w:t>3</w:t>
      </w:r>
      <w:r w:rsidRPr="00DD19A5">
        <w:t xml:space="preserve">, </w:t>
      </w:r>
      <w:r>
        <w:t xml:space="preserve">and </w:t>
      </w:r>
      <w:r w:rsidRPr="00DD19A5">
        <w:t xml:space="preserve">use of standard reference materials) were used to allow comparison to other international analyses. </w:t>
      </w:r>
    </w:p>
    <w:p w14:paraId="25B5DB86" w14:textId="77777777" w:rsidR="00DD5C9C" w:rsidRDefault="00DD5C9C" w:rsidP="003B5D42"/>
    <w:p w14:paraId="25B5DB87" w14:textId="77777777" w:rsidR="00DD5C9C" w:rsidRDefault="00DD5C9C" w:rsidP="003B5D42">
      <w:r>
        <w:t xml:space="preserve">Selected 25OHD results from AHS </w:t>
      </w:r>
      <w:r>
        <w:rPr>
          <w:noProof/>
        </w:rPr>
        <w:t>(ABS 2014a)</w:t>
      </w:r>
      <w:r>
        <w:t xml:space="preserve"> are presented in</w:t>
      </w:r>
      <w:r w:rsidRPr="00053E3A">
        <w:t xml:space="preserve"> Figures 1–</w:t>
      </w:r>
      <w:r>
        <w:t>4 of this Appendix</w:t>
      </w:r>
      <w:r w:rsidRPr="00053E3A">
        <w:t xml:space="preserve">. Serum 25OHD was measured for ages 12 and </w:t>
      </w:r>
      <w:r>
        <w:t>above</w:t>
      </w:r>
      <w:r w:rsidRPr="00053E3A">
        <w:t xml:space="preserve"> (Figure 1) or 18 </w:t>
      </w:r>
      <w:r>
        <w:t xml:space="preserve">years </w:t>
      </w:r>
      <w:r w:rsidRPr="00053E3A">
        <w:t xml:space="preserve">and </w:t>
      </w:r>
      <w:r>
        <w:t>above</w:t>
      </w:r>
      <w:r w:rsidRPr="00053E3A">
        <w:t xml:space="preserve"> (Figure 2</w:t>
      </w:r>
      <w:r w:rsidRPr="00362AEA">
        <w:t>–</w:t>
      </w:r>
      <w:r w:rsidRPr="00053E3A">
        <w:t xml:space="preserve">4). Sampling and assay methods as reported </w:t>
      </w:r>
      <w:r w:rsidRPr="00053E3A">
        <w:rPr>
          <w:noProof/>
        </w:rPr>
        <w:t>(ABS 2014a; ABS 2014b; ABS 2014c)</w:t>
      </w:r>
      <w:r w:rsidRPr="00053E3A">
        <w:t xml:space="preserve">. The </w:t>
      </w:r>
      <w:r>
        <w:t>proportion</w:t>
      </w:r>
      <w:r w:rsidRPr="00053E3A">
        <w:t xml:space="preserve"> of the population </w:t>
      </w:r>
      <w:r>
        <w:t xml:space="preserve">with serum levels within different ranges </w:t>
      </w:r>
      <w:r w:rsidRPr="00053E3A">
        <w:t xml:space="preserve">was reported in AHS tables using </w:t>
      </w:r>
      <w:r>
        <w:t xml:space="preserve">the </w:t>
      </w:r>
      <w:r w:rsidR="002544DE">
        <w:t>cut-off value</w:t>
      </w:r>
      <w:r w:rsidRPr="00053E3A">
        <w:t>s indicated</w:t>
      </w:r>
      <w:r>
        <w:t xml:space="preserve"> in Figure 1</w:t>
      </w:r>
      <w:r w:rsidRPr="00053E3A">
        <w:t xml:space="preserve">, </w:t>
      </w:r>
      <w:r>
        <w:t xml:space="preserve">and </w:t>
      </w:r>
      <w:r w:rsidRPr="00053E3A">
        <w:t xml:space="preserve">as published on the </w:t>
      </w:r>
      <w:r>
        <w:t>ABS</w:t>
      </w:r>
      <w:r w:rsidRPr="00053E3A">
        <w:t xml:space="preserve"> website: </w:t>
      </w:r>
    </w:p>
    <w:p w14:paraId="25B5DB88" w14:textId="77777777" w:rsidR="00DD5C9C" w:rsidRDefault="009B582B" w:rsidP="003B5D42">
      <w:hyperlink r:id="rId27" w:history="1">
        <w:r w:rsidR="00DD5C9C" w:rsidRPr="00C5485A">
          <w:rPr>
            <w:rStyle w:val="Hyperlink"/>
          </w:rPr>
          <w:t>http://www.abs.gov.au/AUSSTATS/abs@.nsf/DetailsPage/4364.0.55.0062011-12?OpenDocument</w:t>
        </w:r>
      </w:hyperlink>
    </w:p>
    <w:p w14:paraId="25B5DB8B" w14:textId="77777777" w:rsidR="00DD5C9C" w:rsidRDefault="00DD5C9C" w:rsidP="003B5D42">
      <w:r>
        <w:rPr>
          <w:noProof/>
          <w:lang w:eastAsia="en-GB" w:bidi="ar-SA"/>
        </w:rPr>
        <w:drawing>
          <wp:inline distT="0" distB="0" distL="0" distR="0" wp14:anchorId="25B5DCE1" wp14:editId="25B5DCE2">
            <wp:extent cx="5836920" cy="4304729"/>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5B5DB8C" w14:textId="45832766" w:rsidR="00DD5C9C" w:rsidRPr="000223BB" w:rsidRDefault="00DD5C9C" w:rsidP="003B5D42">
      <w:pPr>
        <w:ind w:left="1134" w:hanging="1134"/>
        <w:rPr>
          <w:i/>
          <w:szCs w:val="22"/>
        </w:rPr>
      </w:pPr>
      <w:r w:rsidRPr="000223BB">
        <w:rPr>
          <w:i/>
          <w:szCs w:val="22"/>
        </w:rPr>
        <w:t>Figure A1</w:t>
      </w:r>
      <w:r w:rsidRPr="000223BB">
        <w:rPr>
          <w:i/>
          <w:szCs w:val="22"/>
        </w:rPr>
        <w:tab/>
        <w:t>Vitamin D status of Australian popula</w:t>
      </w:r>
      <w:r w:rsidR="000223BB">
        <w:rPr>
          <w:i/>
          <w:szCs w:val="22"/>
        </w:rPr>
        <w:t>tion 12 years and above, by age</w:t>
      </w:r>
    </w:p>
    <w:p w14:paraId="25B5DB8D" w14:textId="77777777" w:rsidR="00DD5C9C" w:rsidRPr="00535F54" w:rsidRDefault="00DD5C9C" w:rsidP="003B5D42">
      <w:pPr>
        <w:tabs>
          <w:tab w:val="left" w:pos="851"/>
        </w:tabs>
        <w:spacing w:before="120"/>
        <w:rPr>
          <w:i/>
          <w:sz w:val="18"/>
          <w:szCs w:val="18"/>
        </w:rPr>
      </w:pPr>
      <w:r w:rsidRPr="00535F54">
        <w:rPr>
          <w:i/>
          <w:sz w:val="18"/>
          <w:szCs w:val="18"/>
        </w:rPr>
        <w:t>Source: Australian Bureau of Statistics, Australian Health Survey: Biomedical results for Nutrients 2011–12, Table 1.1 Nutrient biomarkers(a) by age then sex, means and medians.</w:t>
      </w:r>
    </w:p>
    <w:p w14:paraId="25B5DB8E" w14:textId="4CF16DF2" w:rsidR="000223BB" w:rsidRDefault="000223BB" w:rsidP="003B5D42">
      <w:pPr>
        <w:ind w:left="993" w:hanging="993"/>
      </w:pPr>
      <w:r>
        <w:br w:type="page"/>
      </w:r>
    </w:p>
    <w:p w14:paraId="25B5DB8F" w14:textId="77777777" w:rsidR="00DD5C9C" w:rsidRDefault="00DD5C9C" w:rsidP="003B5D42">
      <w:pPr>
        <w:ind w:left="993" w:hanging="993"/>
      </w:pPr>
      <w:r>
        <w:rPr>
          <w:noProof/>
          <w:lang w:eastAsia="en-GB" w:bidi="ar-SA"/>
        </w:rPr>
        <w:lastRenderedPageBreak/>
        <w:drawing>
          <wp:inline distT="0" distB="0" distL="0" distR="0" wp14:anchorId="25B5DCE3" wp14:editId="25B5DCE4">
            <wp:extent cx="5836920" cy="4242368"/>
            <wp:effectExtent l="0" t="0" r="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5B5DB90" w14:textId="179B095C" w:rsidR="00DD5C9C" w:rsidRPr="000223BB" w:rsidRDefault="00DD5C9C" w:rsidP="003B5D42">
      <w:pPr>
        <w:ind w:left="1134" w:hanging="1134"/>
        <w:rPr>
          <w:i/>
          <w:szCs w:val="22"/>
        </w:rPr>
      </w:pPr>
      <w:r w:rsidRPr="000223BB">
        <w:rPr>
          <w:i/>
          <w:szCs w:val="22"/>
        </w:rPr>
        <w:t>Figure A2</w:t>
      </w:r>
      <w:r w:rsidRPr="000223BB">
        <w:rPr>
          <w:i/>
          <w:szCs w:val="22"/>
        </w:rPr>
        <w:tab/>
        <w:t xml:space="preserve">Vitamin D status of Australian population aged 12 years </w:t>
      </w:r>
      <w:r w:rsidR="000223BB">
        <w:rPr>
          <w:i/>
          <w:szCs w:val="22"/>
        </w:rPr>
        <w:t>and above by state or territory</w:t>
      </w:r>
    </w:p>
    <w:p w14:paraId="25B5DB91" w14:textId="77777777" w:rsidR="00DD5C9C" w:rsidRPr="00F92FCC" w:rsidRDefault="00DD5C9C" w:rsidP="003B5D42">
      <w:pPr>
        <w:spacing w:before="120"/>
        <w:rPr>
          <w:sz w:val="18"/>
          <w:szCs w:val="18"/>
        </w:rPr>
      </w:pPr>
      <w:r w:rsidRPr="00535F54">
        <w:rPr>
          <w:i/>
          <w:sz w:val="18"/>
          <w:szCs w:val="18"/>
        </w:rPr>
        <w:t>Source: Australian Bureau of Statistics, Australian Health Survey: Biomedical results for Nutrients 2011–12, Table 2.1 Nutrient biomarkers(a) by State and Territory, means and medians</w:t>
      </w:r>
      <w:r w:rsidRPr="00F92FCC">
        <w:rPr>
          <w:sz w:val="18"/>
          <w:szCs w:val="18"/>
        </w:rPr>
        <w:t>.</w:t>
      </w:r>
    </w:p>
    <w:p w14:paraId="25B5DB93" w14:textId="77777777" w:rsidR="00DD5C9C" w:rsidRDefault="00DD5C9C" w:rsidP="003B5D42">
      <w:pPr>
        <w:rPr>
          <w:noProof/>
          <w:lang w:eastAsia="en-GB" w:bidi="ar-SA"/>
        </w:rPr>
      </w:pPr>
    </w:p>
    <w:p w14:paraId="25B5DB94" w14:textId="77777777" w:rsidR="00DD5C9C" w:rsidRDefault="00DD5C9C" w:rsidP="003B5D42">
      <w:pPr>
        <w:rPr>
          <w:noProof/>
          <w:lang w:eastAsia="en-GB" w:bidi="ar-SA"/>
        </w:rPr>
      </w:pPr>
      <w:r>
        <w:rPr>
          <w:noProof/>
          <w:lang w:eastAsia="en-GB" w:bidi="ar-SA"/>
        </w:rPr>
        <w:drawing>
          <wp:inline distT="0" distB="0" distL="0" distR="0" wp14:anchorId="25B5DCE5" wp14:editId="25B5DCE6">
            <wp:extent cx="5836920" cy="2920331"/>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5B5DB95" w14:textId="6B6A4269" w:rsidR="00DD5C9C" w:rsidRPr="00535F54" w:rsidRDefault="00DD5C9C" w:rsidP="003B5D42">
      <w:pPr>
        <w:tabs>
          <w:tab w:val="left" w:pos="851"/>
        </w:tabs>
        <w:ind w:left="1134" w:hanging="1134"/>
        <w:rPr>
          <w:i/>
          <w:noProof/>
          <w:szCs w:val="22"/>
          <w:lang w:eastAsia="en-GB" w:bidi="ar-SA"/>
        </w:rPr>
      </w:pPr>
      <w:r w:rsidRPr="000223BB">
        <w:rPr>
          <w:i/>
          <w:noProof/>
          <w:szCs w:val="22"/>
          <w:lang w:eastAsia="en-GB" w:bidi="ar-SA"/>
        </w:rPr>
        <w:t>Figure A3</w:t>
      </w:r>
      <w:r w:rsidRPr="000223BB">
        <w:rPr>
          <w:i/>
          <w:noProof/>
          <w:szCs w:val="22"/>
          <w:lang w:eastAsia="en-GB" w:bidi="ar-SA"/>
        </w:rPr>
        <w:tab/>
        <w:t>Vitamin D status of Australian population aged 12 years and above by country of</w:t>
      </w:r>
      <w:r w:rsidR="000223BB">
        <w:rPr>
          <w:i/>
          <w:noProof/>
          <w:szCs w:val="22"/>
          <w:lang w:eastAsia="en-GB" w:bidi="ar-SA"/>
        </w:rPr>
        <w:t xml:space="preserve"> birth</w:t>
      </w:r>
    </w:p>
    <w:p w14:paraId="25B5DB96" w14:textId="77777777" w:rsidR="00DD5C9C" w:rsidRPr="00535F54" w:rsidRDefault="00DD5C9C" w:rsidP="003B5D42">
      <w:pPr>
        <w:tabs>
          <w:tab w:val="left" w:pos="851"/>
        </w:tabs>
        <w:spacing w:before="120"/>
        <w:rPr>
          <w:i/>
          <w:sz w:val="18"/>
          <w:szCs w:val="18"/>
        </w:rPr>
      </w:pPr>
      <w:r w:rsidRPr="00535F54">
        <w:rPr>
          <w:i/>
          <w:sz w:val="18"/>
          <w:szCs w:val="18"/>
        </w:rPr>
        <w:t>Source: Australian Bureau of Statistics, Australian Health Survey: Biomedical results for Nutrients 2011–12, Table 10.1 Vitamin D by selected population characteristics.</w:t>
      </w:r>
    </w:p>
    <w:p w14:paraId="25B5DB97" w14:textId="77777777" w:rsidR="00DD5C9C" w:rsidRDefault="00DD5C9C" w:rsidP="003B5D42">
      <w:pPr>
        <w:rPr>
          <w:noProof/>
          <w:lang w:eastAsia="en-GB" w:bidi="ar-SA"/>
        </w:rPr>
      </w:pPr>
      <w:r>
        <w:rPr>
          <w:noProof/>
          <w:lang w:eastAsia="en-GB" w:bidi="ar-SA"/>
        </w:rPr>
        <w:lastRenderedPageBreak/>
        <w:drawing>
          <wp:inline distT="0" distB="0" distL="0" distR="0" wp14:anchorId="25B5DCE7" wp14:editId="25B5DCE8">
            <wp:extent cx="5215467" cy="3228623"/>
            <wp:effectExtent l="0" t="0" r="444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5B5DB98" w14:textId="77777777" w:rsidR="00DD5C9C" w:rsidRPr="00535F54" w:rsidRDefault="00DD5C9C" w:rsidP="003B5D42">
      <w:pPr>
        <w:ind w:left="1134" w:hanging="1134"/>
        <w:rPr>
          <w:i/>
          <w:noProof/>
          <w:szCs w:val="22"/>
          <w:lang w:eastAsia="en-GB" w:bidi="ar-SA"/>
        </w:rPr>
      </w:pPr>
      <w:r w:rsidRPr="00535F54">
        <w:rPr>
          <w:b/>
          <w:i/>
          <w:noProof/>
          <w:szCs w:val="22"/>
          <w:lang w:eastAsia="en-GB" w:bidi="ar-SA"/>
        </w:rPr>
        <w:t xml:space="preserve">Figure </w:t>
      </w:r>
      <w:r>
        <w:rPr>
          <w:b/>
          <w:i/>
          <w:noProof/>
          <w:szCs w:val="22"/>
          <w:lang w:eastAsia="en-GB" w:bidi="ar-SA"/>
        </w:rPr>
        <w:t>A</w:t>
      </w:r>
      <w:r w:rsidRPr="00535F54">
        <w:rPr>
          <w:b/>
          <w:i/>
          <w:noProof/>
          <w:szCs w:val="22"/>
          <w:lang w:eastAsia="en-GB" w:bidi="ar-SA"/>
        </w:rPr>
        <w:t>4</w:t>
      </w:r>
      <w:r w:rsidRPr="00535F54">
        <w:rPr>
          <w:i/>
          <w:noProof/>
          <w:szCs w:val="22"/>
          <w:lang w:eastAsia="en-GB" w:bidi="ar-SA"/>
        </w:rPr>
        <w:tab/>
        <w:t>Seasonality of vitamin D status: percentage of popultation (aged 18 years and above) with serum 25OHD &lt; 50 nM, by state or territory.</w:t>
      </w:r>
    </w:p>
    <w:p w14:paraId="25B5DB99" w14:textId="77777777" w:rsidR="00DD5C9C" w:rsidRPr="00F92FCC" w:rsidRDefault="00DD5C9C" w:rsidP="003B5D42">
      <w:pPr>
        <w:spacing w:before="120"/>
        <w:rPr>
          <w:noProof/>
          <w:sz w:val="18"/>
          <w:szCs w:val="18"/>
          <w:lang w:eastAsia="en-GB" w:bidi="ar-SA"/>
        </w:rPr>
      </w:pPr>
      <w:r w:rsidRPr="00535F54">
        <w:rPr>
          <w:i/>
          <w:noProof/>
          <w:sz w:val="18"/>
          <w:szCs w:val="18"/>
          <w:lang w:eastAsia="en-GB" w:bidi="ar-SA"/>
        </w:rPr>
        <w:t>Source: Australian Bureau of Statistics, Australian Health Survey: Biomedical results for Nutrients 2011–12, Table 8.1 Vitamin D by selected population characteristics</w:t>
      </w:r>
      <w:r w:rsidRPr="00F92FCC">
        <w:rPr>
          <w:noProof/>
          <w:sz w:val="18"/>
          <w:szCs w:val="18"/>
          <w:lang w:eastAsia="en-GB" w:bidi="ar-SA"/>
        </w:rPr>
        <w:t>.</w:t>
      </w:r>
    </w:p>
    <w:p w14:paraId="25B5DB9A" w14:textId="77777777" w:rsidR="00DD5C9C" w:rsidRPr="00026F69" w:rsidRDefault="00DD5C9C" w:rsidP="003B5D42">
      <w:pPr>
        <w:ind w:left="1134" w:hanging="1134"/>
        <w:rPr>
          <w:noProof/>
          <w:sz w:val="20"/>
          <w:szCs w:val="20"/>
          <w:lang w:eastAsia="en-GB" w:bidi="ar-SA"/>
        </w:rPr>
      </w:pPr>
    </w:p>
    <w:p w14:paraId="25B5DB9C" w14:textId="77777777" w:rsidR="00DD5C9C" w:rsidRDefault="00DD5C9C" w:rsidP="003B5D42">
      <w:pPr>
        <w:rPr>
          <w:i/>
        </w:rPr>
      </w:pPr>
      <w:r>
        <w:rPr>
          <w:i/>
        </w:rPr>
        <w:t>2008</w:t>
      </w:r>
      <w:r w:rsidRPr="00362AEA">
        <w:rPr>
          <w:i/>
        </w:rPr>
        <w:t>–</w:t>
      </w:r>
      <w:r>
        <w:rPr>
          <w:i/>
        </w:rPr>
        <w:t xml:space="preserve">09 </w:t>
      </w:r>
      <w:r w:rsidRPr="005C4C67">
        <w:rPr>
          <w:i/>
        </w:rPr>
        <w:t xml:space="preserve">New Zealand Adult Health Survey </w:t>
      </w:r>
    </w:p>
    <w:p w14:paraId="25B5DB9D" w14:textId="77777777" w:rsidR="00DD5C9C" w:rsidRPr="005C4C67" w:rsidRDefault="00DD5C9C" w:rsidP="003B5D42"/>
    <w:p w14:paraId="25B5DB9E" w14:textId="77777777" w:rsidR="00DD5C9C" w:rsidRDefault="00DD5C9C" w:rsidP="003B5D42">
      <w:r w:rsidRPr="00DD19A5">
        <w:t xml:space="preserve">The vitamin D status </w:t>
      </w:r>
      <w:r>
        <w:t>of</w:t>
      </w:r>
      <w:r w:rsidRPr="00DD19A5">
        <w:t xml:space="preserve"> </w:t>
      </w:r>
      <w:r>
        <w:t xml:space="preserve">the </w:t>
      </w:r>
      <w:r w:rsidRPr="00DD19A5">
        <w:t xml:space="preserve">New Zealand population aged 15 years and </w:t>
      </w:r>
      <w:r>
        <w:t>above</w:t>
      </w:r>
      <w:r w:rsidRPr="00DD19A5">
        <w:t xml:space="preserve"> was measured as part of the 2008</w:t>
      </w:r>
      <w:r w:rsidRPr="00362AEA">
        <w:t>–</w:t>
      </w:r>
      <w:r w:rsidRPr="00DD19A5">
        <w:t>09 New</w:t>
      </w:r>
      <w:r>
        <w:t xml:space="preserve"> Zealand Adult Nutrition Survey </w:t>
      </w:r>
      <w:r>
        <w:rPr>
          <w:noProof/>
        </w:rPr>
        <w:t>(Ministry of Health 2012a)</w:t>
      </w:r>
      <w:r>
        <w:t>.</w:t>
      </w:r>
      <w:r w:rsidRPr="00DD19A5">
        <w:t xml:space="preserve"> Blood samples were analysed for 25OHD using the HPLC-tandem MS method. Data were reported using </w:t>
      </w:r>
      <w:r w:rsidR="002544DE">
        <w:t>cut-off value</w:t>
      </w:r>
      <w:r w:rsidRPr="00DD19A5">
        <w:t>s of 25OHD &lt; 25 nM, 25OHD = 25</w:t>
      </w:r>
      <w:r w:rsidRPr="00362AEA">
        <w:t>–</w:t>
      </w:r>
      <w:r w:rsidRPr="00DD19A5">
        <w:t>49 nM, and 25OHD &gt; 50 nM.</w:t>
      </w:r>
    </w:p>
    <w:p w14:paraId="25B5DB9F" w14:textId="77777777" w:rsidR="00DD5C9C" w:rsidRPr="00DD19A5" w:rsidRDefault="00DD5C9C" w:rsidP="003B5D42"/>
    <w:p w14:paraId="25B5DBA0" w14:textId="77777777" w:rsidR="00DD5C9C" w:rsidRDefault="00DD5C9C" w:rsidP="003B5D42">
      <w:r>
        <w:rPr>
          <w:noProof/>
          <w:lang w:eastAsia="en-GB" w:bidi="ar-SA"/>
        </w:rPr>
        <w:drawing>
          <wp:inline distT="0" distB="0" distL="0" distR="0" wp14:anchorId="25B5DCE9" wp14:editId="25B5DCEA">
            <wp:extent cx="4526606" cy="2943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527373" cy="2943724"/>
                    </a:xfrm>
                    <a:prstGeom prst="rect">
                      <a:avLst/>
                    </a:prstGeom>
                  </pic:spPr>
                </pic:pic>
              </a:graphicData>
            </a:graphic>
          </wp:inline>
        </w:drawing>
      </w:r>
    </w:p>
    <w:p w14:paraId="25B5DBA1" w14:textId="10A0F6E1" w:rsidR="00DD5C9C" w:rsidRPr="000223BB" w:rsidRDefault="00DD5C9C" w:rsidP="003B5D42">
      <w:pPr>
        <w:spacing w:before="120"/>
        <w:ind w:left="1134" w:hanging="1134"/>
        <w:rPr>
          <w:i/>
          <w:szCs w:val="22"/>
        </w:rPr>
      </w:pPr>
      <w:r w:rsidRPr="000223BB">
        <w:rPr>
          <w:i/>
          <w:szCs w:val="22"/>
        </w:rPr>
        <w:t>Figure A5</w:t>
      </w:r>
      <w:r w:rsidRPr="000223BB">
        <w:rPr>
          <w:i/>
          <w:szCs w:val="22"/>
        </w:rPr>
        <w:tab/>
        <w:t>Prevalence of vitamin D status in New Zealand ad</w:t>
      </w:r>
      <w:r w:rsidR="000223BB">
        <w:rPr>
          <w:i/>
          <w:szCs w:val="22"/>
        </w:rPr>
        <w:t>ults (ages 15 years and above)</w:t>
      </w:r>
    </w:p>
    <w:p w14:paraId="25B5DBA2" w14:textId="77777777" w:rsidR="00DD5C9C" w:rsidRPr="00535F54" w:rsidRDefault="00DD5C9C" w:rsidP="003B5D42">
      <w:pPr>
        <w:spacing w:before="120"/>
        <w:rPr>
          <w:i/>
          <w:sz w:val="18"/>
          <w:szCs w:val="18"/>
          <w:lang w:val="en-NZ"/>
        </w:rPr>
      </w:pPr>
      <w:r w:rsidRPr="00535F54">
        <w:rPr>
          <w:i/>
          <w:sz w:val="18"/>
          <w:szCs w:val="18"/>
          <w:lang w:val="en-NZ"/>
        </w:rPr>
        <w:t>Source: Figure 1 in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sidRPr="00535F54">
        <w:rPr>
          <w:i/>
          <w:sz w:val="18"/>
          <w:szCs w:val="18"/>
          <w:lang w:val="en-NZ"/>
        </w:rPr>
        <w:t>.</w:t>
      </w:r>
    </w:p>
    <w:p w14:paraId="25B5DBA4" w14:textId="77777777" w:rsidR="00DD5C9C" w:rsidRDefault="00DD5C9C" w:rsidP="003B5D42">
      <w:r>
        <w:rPr>
          <w:rFonts w:ascii="Georgia" w:hAnsi="Georgia"/>
          <w:noProof/>
          <w:szCs w:val="20"/>
          <w:lang w:eastAsia="en-GB" w:bidi="ar-SA"/>
        </w:rPr>
        <w:lastRenderedPageBreak/>
        <w:drawing>
          <wp:inline distT="0" distB="0" distL="0" distR="0" wp14:anchorId="25B5DCEB" wp14:editId="25B5DCEC">
            <wp:extent cx="5314528" cy="3266768"/>
            <wp:effectExtent l="0" t="0" r="0" b="0"/>
            <wp:docPr id="10" name="Picture 10" descr="Figure 2: Prevalence of vitamin D deficiency by age group among adults aged 15 years and over (unadjusted prevalence), 20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revalence of vitamin D deficiency by age group among adults aged 15 years and over (unadjusted prevalence), 2008/0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17637" cy="3268679"/>
                    </a:xfrm>
                    <a:prstGeom prst="rect">
                      <a:avLst/>
                    </a:prstGeom>
                    <a:noFill/>
                    <a:ln>
                      <a:noFill/>
                    </a:ln>
                  </pic:spPr>
                </pic:pic>
              </a:graphicData>
            </a:graphic>
          </wp:inline>
        </w:drawing>
      </w:r>
    </w:p>
    <w:p w14:paraId="25B5DBA5" w14:textId="0A2BD103" w:rsidR="00DD5C9C" w:rsidRPr="000223BB" w:rsidRDefault="00DD5C9C" w:rsidP="003B5D42">
      <w:pPr>
        <w:ind w:left="1134" w:hanging="1134"/>
        <w:rPr>
          <w:i/>
          <w:szCs w:val="22"/>
        </w:rPr>
      </w:pPr>
      <w:r w:rsidRPr="000223BB">
        <w:rPr>
          <w:i/>
          <w:szCs w:val="22"/>
        </w:rPr>
        <w:t>Figure A6</w:t>
      </w:r>
      <w:r w:rsidRPr="000223BB">
        <w:rPr>
          <w:i/>
          <w:szCs w:val="22"/>
        </w:rPr>
        <w:tab/>
        <w:t xml:space="preserve">Prevalence of vitamin deficiency by age group  </w:t>
      </w:r>
    </w:p>
    <w:p w14:paraId="25B5DBA6" w14:textId="77777777" w:rsidR="00DD5C9C" w:rsidRPr="00514CF0" w:rsidRDefault="00DD5C9C" w:rsidP="003B5D42">
      <w:pPr>
        <w:spacing w:before="120"/>
        <w:rPr>
          <w:sz w:val="18"/>
          <w:szCs w:val="18"/>
          <w:lang w:val="en-NZ"/>
        </w:rPr>
      </w:pPr>
      <w:r w:rsidRPr="00535F54">
        <w:rPr>
          <w:i/>
          <w:sz w:val="18"/>
          <w:szCs w:val="18"/>
          <w:lang w:val="en-NZ"/>
        </w:rPr>
        <w:t>Source: Figure 2 in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Pr>
          <w:sz w:val="18"/>
          <w:szCs w:val="18"/>
          <w:lang w:val="en-NZ"/>
        </w:rPr>
        <w:t>.</w:t>
      </w:r>
    </w:p>
    <w:p w14:paraId="25B5DBA8" w14:textId="77777777" w:rsidR="00DD5C9C" w:rsidRDefault="00DD5C9C" w:rsidP="003B5D42"/>
    <w:p w14:paraId="25B5DBA9" w14:textId="77777777" w:rsidR="00DD5C9C" w:rsidRDefault="00DD5C9C" w:rsidP="003B5D42">
      <w:r>
        <w:rPr>
          <w:noProof/>
          <w:lang w:eastAsia="en-GB" w:bidi="ar-SA"/>
        </w:rPr>
        <w:drawing>
          <wp:inline distT="0" distB="0" distL="0" distR="0" wp14:anchorId="25B5DCED" wp14:editId="25B5DCEE">
            <wp:extent cx="5741933" cy="35238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48608" cy="3527985"/>
                    </a:xfrm>
                    <a:prstGeom prst="rect">
                      <a:avLst/>
                    </a:prstGeom>
                    <a:noFill/>
                  </pic:spPr>
                </pic:pic>
              </a:graphicData>
            </a:graphic>
          </wp:inline>
        </w:drawing>
      </w:r>
    </w:p>
    <w:p w14:paraId="25B5DBAA" w14:textId="70BE245E" w:rsidR="00DD5C9C" w:rsidRPr="000223BB" w:rsidRDefault="00DD5C9C" w:rsidP="003B5D42">
      <w:pPr>
        <w:spacing w:before="120"/>
        <w:ind w:left="1134" w:hanging="1134"/>
        <w:rPr>
          <w:szCs w:val="22"/>
        </w:rPr>
      </w:pPr>
      <w:r w:rsidRPr="000223BB">
        <w:rPr>
          <w:i/>
          <w:szCs w:val="22"/>
        </w:rPr>
        <w:t>Figure A7</w:t>
      </w:r>
      <w:r w:rsidRPr="000223BB">
        <w:rPr>
          <w:szCs w:val="22"/>
        </w:rPr>
        <w:tab/>
      </w:r>
      <w:r w:rsidRPr="000223BB">
        <w:rPr>
          <w:i/>
          <w:szCs w:val="22"/>
        </w:rPr>
        <w:t xml:space="preserve">Prevalence </w:t>
      </w:r>
      <w:r w:rsidR="000223BB">
        <w:rPr>
          <w:i/>
          <w:szCs w:val="22"/>
        </w:rPr>
        <w:t>of vitamin deficiency by region</w:t>
      </w:r>
    </w:p>
    <w:p w14:paraId="25B5DBAB" w14:textId="77777777" w:rsidR="00DD5C9C" w:rsidRPr="00535F54" w:rsidRDefault="00DD5C9C" w:rsidP="003B5D42">
      <w:pPr>
        <w:spacing w:before="120"/>
        <w:rPr>
          <w:i/>
          <w:sz w:val="18"/>
          <w:szCs w:val="18"/>
          <w:lang w:val="en-NZ"/>
        </w:rPr>
      </w:pPr>
      <w:r w:rsidRPr="00535F54">
        <w:rPr>
          <w:i/>
          <w:sz w:val="18"/>
          <w:szCs w:val="18"/>
          <w:lang w:val="en-NZ"/>
        </w:rPr>
        <w:t>Source: Figure 8 in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sidRPr="00535F54">
        <w:rPr>
          <w:i/>
          <w:sz w:val="18"/>
          <w:szCs w:val="18"/>
        </w:rPr>
        <w:t>.</w:t>
      </w:r>
    </w:p>
    <w:p w14:paraId="3DD6CDFF" w14:textId="0B8FAB9A" w:rsidR="00DD5C9C" w:rsidRDefault="000223BB" w:rsidP="003B5D42">
      <w:r>
        <w:br w:type="page"/>
      </w:r>
    </w:p>
    <w:p w14:paraId="25B5DBAD" w14:textId="77777777" w:rsidR="00DD5C9C" w:rsidRDefault="00DD5C9C" w:rsidP="003B5D42">
      <w:r>
        <w:rPr>
          <w:noProof/>
          <w:lang w:eastAsia="en-GB" w:bidi="ar-SA"/>
        </w:rPr>
        <w:lastRenderedPageBreak/>
        <w:drawing>
          <wp:inline distT="0" distB="0" distL="0" distR="0" wp14:anchorId="25B5DCEF" wp14:editId="25B5DCF0">
            <wp:extent cx="4707467" cy="2889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08540" cy="2889683"/>
                    </a:xfrm>
                    <a:prstGeom prst="rect">
                      <a:avLst/>
                    </a:prstGeom>
                    <a:noFill/>
                  </pic:spPr>
                </pic:pic>
              </a:graphicData>
            </a:graphic>
          </wp:inline>
        </w:drawing>
      </w:r>
    </w:p>
    <w:p w14:paraId="25B5DBAE" w14:textId="6B6725E7" w:rsidR="00DD5C9C" w:rsidRPr="000223BB" w:rsidRDefault="00DD5C9C" w:rsidP="003B5D42">
      <w:pPr>
        <w:spacing w:before="120"/>
        <w:ind w:left="1134" w:hanging="1134"/>
        <w:rPr>
          <w:i/>
          <w:szCs w:val="22"/>
        </w:rPr>
      </w:pPr>
      <w:r w:rsidRPr="000223BB">
        <w:rPr>
          <w:i/>
          <w:szCs w:val="22"/>
        </w:rPr>
        <w:t>Figure A8</w:t>
      </w:r>
      <w:r w:rsidRPr="000223BB">
        <w:rPr>
          <w:i/>
          <w:szCs w:val="22"/>
        </w:rPr>
        <w:tab/>
        <w:t>Prevalence o</w:t>
      </w:r>
      <w:r w:rsidR="000223BB">
        <w:rPr>
          <w:i/>
          <w:szCs w:val="22"/>
        </w:rPr>
        <w:t>f vitamin deficiency by month</w:t>
      </w:r>
    </w:p>
    <w:p w14:paraId="25B5DBAF" w14:textId="77777777" w:rsidR="00DD5C9C" w:rsidRPr="00535F54" w:rsidRDefault="00DD5C9C" w:rsidP="003B5D42">
      <w:pPr>
        <w:spacing w:before="120"/>
        <w:rPr>
          <w:i/>
          <w:sz w:val="20"/>
          <w:szCs w:val="20"/>
        </w:rPr>
      </w:pPr>
      <w:r w:rsidRPr="00535F54">
        <w:rPr>
          <w:i/>
          <w:sz w:val="18"/>
          <w:szCs w:val="18"/>
          <w:lang w:val="en-NZ"/>
        </w:rPr>
        <w:t>Source: 2008</w:t>
      </w:r>
      <w:r w:rsidRPr="00535F54">
        <w:rPr>
          <w:i/>
          <w:sz w:val="18"/>
          <w:szCs w:val="18"/>
        </w:rPr>
        <w:t>–</w:t>
      </w:r>
      <w:r w:rsidRPr="00535F54">
        <w:rPr>
          <w:i/>
          <w:sz w:val="18"/>
          <w:szCs w:val="18"/>
          <w:lang w:val="en-NZ"/>
        </w:rPr>
        <w:t xml:space="preserve">09 New Zealand Adult Nutrition Survey: Vitamin D Status of New Zealand Adults </w:t>
      </w:r>
      <w:r w:rsidRPr="00535F54">
        <w:rPr>
          <w:i/>
          <w:noProof/>
          <w:sz w:val="18"/>
          <w:szCs w:val="18"/>
          <w:lang w:val="en-NZ"/>
        </w:rPr>
        <w:t>(Ministry of Health 2012a)</w:t>
      </w:r>
      <w:r w:rsidRPr="00535F54">
        <w:rPr>
          <w:i/>
          <w:sz w:val="20"/>
          <w:szCs w:val="20"/>
        </w:rPr>
        <w:t>.</w:t>
      </w:r>
    </w:p>
    <w:p w14:paraId="25B5DBB0" w14:textId="77777777" w:rsidR="00DD5C9C" w:rsidRDefault="00DD5C9C" w:rsidP="003B5D42">
      <w:pPr>
        <w:rPr>
          <w:sz w:val="20"/>
          <w:szCs w:val="20"/>
        </w:rPr>
      </w:pPr>
    </w:p>
    <w:p w14:paraId="25B5DBB1" w14:textId="77777777" w:rsidR="00DD5C9C" w:rsidRDefault="00DD5C9C" w:rsidP="003B5D42">
      <w:pPr>
        <w:rPr>
          <w:i/>
          <w:lang w:bidi="ar-SA"/>
        </w:rPr>
      </w:pPr>
      <w:r>
        <w:rPr>
          <w:i/>
          <w:lang w:bidi="ar-SA"/>
        </w:rPr>
        <w:t xml:space="preserve">2002 </w:t>
      </w:r>
      <w:r w:rsidRPr="00DD19A5">
        <w:rPr>
          <w:i/>
          <w:lang w:bidi="ar-SA"/>
        </w:rPr>
        <w:t xml:space="preserve">New Zealand </w:t>
      </w:r>
      <w:r>
        <w:rPr>
          <w:i/>
          <w:lang w:bidi="ar-SA"/>
        </w:rPr>
        <w:t xml:space="preserve">National </w:t>
      </w:r>
      <w:r w:rsidRPr="00DD19A5">
        <w:rPr>
          <w:i/>
          <w:lang w:bidi="ar-SA"/>
        </w:rPr>
        <w:t xml:space="preserve">Children’s </w:t>
      </w:r>
      <w:r>
        <w:rPr>
          <w:i/>
          <w:lang w:bidi="ar-SA"/>
        </w:rPr>
        <w:t>Nutrition</w:t>
      </w:r>
      <w:r w:rsidRPr="00DD19A5">
        <w:rPr>
          <w:i/>
          <w:lang w:bidi="ar-SA"/>
        </w:rPr>
        <w:t xml:space="preserve"> Survey </w:t>
      </w:r>
    </w:p>
    <w:p w14:paraId="25B5DBB2" w14:textId="77777777" w:rsidR="00DD5C9C" w:rsidRPr="00DD19A5" w:rsidRDefault="00DD5C9C" w:rsidP="003B5D42">
      <w:pPr>
        <w:rPr>
          <w:i/>
          <w:lang w:bidi="ar-SA"/>
        </w:rPr>
      </w:pPr>
    </w:p>
    <w:p w14:paraId="25B5DBB4" w14:textId="7E8CA5E0" w:rsidR="00DD5C9C" w:rsidRDefault="00DD5C9C" w:rsidP="003B5D42">
      <w:pPr>
        <w:rPr>
          <w:lang w:bidi="ar-SA"/>
        </w:rPr>
      </w:pPr>
      <w:r w:rsidRPr="00DD19A5">
        <w:rPr>
          <w:lang w:bidi="ar-SA"/>
        </w:rPr>
        <w:t xml:space="preserve">The 2002 </w:t>
      </w:r>
      <w:r>
        <w:rPr>
          <w:lang w:bidi="ar-SA"/>
        </w:rPr>
        <w:t xml:space="preserve">NZ </w:t>
      </w:r>
      <w:r w:rsidRPr="00DD19A5">
        <w:rPr>
          <w:lang w:bidi="ar-SA"/>
        </w:rPr>
        <w:t xml:space="preserve">NCNS also included serum 25OHD measurements </w:t>
      </w:r>
      <w:r w:rsidRPr="00DD19A5">
        <w:rPr>
          <w:noProof/>
          <w:lang w:bidi="ar-SA"/>
        </w:rPr>
        <w:t>(Rockell et al. 2005)</w:t>
      </w:r>
      <w:r w:rsidRPr="00DD19A5">
        <w:rPr>
          <w:lang w:bidi="ar-SA"/>
        </w:rPr>
        <w:t>. A nation</w:t>
      </w:r>
      <w:r>
        <w:rPr>
          <w:lang w:bidi="ar-SA"/>
        </w:rPr>
        <w:t>al sample of school children (n=1585</w:t>
      </w:r>
      <w:r w:rsidRPr="00DD19A5">
        <w:rPr>
          <w:lang w:bidi="ar-SA"/>
        </w:rPr>
        <w:t>) was used with an over-sampling of M</w:t>
      </w:r>
      <w:r w:rsidR="00C233AA">
        <w:rPr>
          <w:rFonts w:cs="Arial"/>
          <w:lang w:bidi="ar-SA"/>
        </w:rPr>
        <w:t>ā</w:t>
      </w:r>
      <w:r w:rsidRPr="00DD19A5">
        <w:rPr>
          <w:lang w:bidi="ar-SA"/>
        </w:rPr>
        <w:t>ori and Pacific children to allow ethnic-specific analysis to be conducted. Serum 25OHD was determined using the DiaSorin radio-immunoassay method that measured total 25OHD concentration</w:t>
      </w:r>
      <w:r>
        <w:rPr>
          <w:lang w:bidi="ar-SA"/>
        </w:rPr>
        <w:t xml:space="preserve"> and this is a different assay than that used for the Australian and New Zealand adult surveys.</w:t>
      </w:r>
      <w:r w:rsidRPr="00DD19A5">
        <w:rPr>
          <w:lang w:bidi="ar-SA"/>
        </w:rPr>
        <w:t xml:space="preserve"> Standard reference materials were not available for this study </w:t>
      </w:r>
      <w:r>
        <w:rPr>
          <w:lang w:bidi="ar-SA"/>
        </w:rPr>
        <w:t>although</w:t>
      </w:r>
      <w:r w:rsidRPr="00DD19A5">
        <w:rPr>
          <w:lang w:bidi="ar-SA"/>
        </w:rPr>
        <w:t xml:space="preserve"> randomly selected samples were assayed in a second laboratory using the same method and there was no statistically significant variation between the two laboratory an</w:t>
      </w:r>
      <w:r w:rsidR="000223BB">
        <w:rPr>
          <w:lang w:bidi="ar-SA"/>
        </w:rPr>
        <w:t>alyses.</w:t>
      </w:r>
    </w:p>
    <w:p w14:paraId="25B5DBB5" w14:textId="2A7C33CD" w:rsidR="00DD5C9C" w:rsidRPr="000223BB" w:rsidRDefault="00DD5C9C" w:rsidP="003B5D42">
      <w:pPr>
        <w:pStyle w:val="FSTableFigureHeading"/>
        <w:rPr>
          <w:i w:val="0"/>
        </w:rPr>
      </w:pPr>
      <w:r w:rsidRPr="000223BB">
        <w:rPr>
          <w:i w:val="0"/>
        </w:rPr>
        <w:t>Table A1</w:t>
      </w:r>
      <w:r w:rsidRPr="000223BB">
        <w:rPr>
          <w:i w:val="0"/>
        </w:rPr>
        <w:tab/>
        <w:t xml:space="preserve">Mean serum 25OHD and proportion below two </w:t>
      </w:r>
      <w:r w:rsidR="002544DE" w:rsidRPr="000223BB">
        <w:rPr>
          <w:i w:val="0"/>
        </w:rPr>
        <w:t>cut-off value</w:t>
      </w:r>
      <w:r w:rsidRPr="000223BB">
        <w:rPr>
          <w:i w:val="0"/>
        </w:rPr>
        <w:t>s, 200</w:t>
      </w:r>
      <w:r w:rsidR="00C233AA">
        <w:rPr>
          <w:i w:val="0"/>
        </w:rPr>
        <w:t>2 New Zealand Children’s Survey</w:t>
      </w:r>
      <w:r w:rsidRPr="000223BB">
        <w:rPr>
          <w:i w:val="0"/>
        </w:rPr>
        <w:t>*</w:t>
      </w:r>
    </w:p>
    <w:tbl>
      <w:tblPr>
        <w:tblW w:w="9087" w:type="dxa"/>
        <w:tblInd w:w="9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134"/>
        <w:gridCol w:w="1560"/>
        <w:gridCol w:w="2409"/>
        <w:gridCol w:w="2268"/>
      </w:tblGrid>
      <w:tr w:rsidR="00DD5C9C" w:rsidRPr="005B16F8" w14:paraId="25B5DBBB" w14:textId="77777777" w:rsidTr="000223BB">
        <w:trPr>
          <w:trHeight w:val="313"/>
          <w:tblHeader/>
        </w:trPr>
        <w:tc>
          <w:tcPr>
            <w:tcW w:w="1716" w:type="dxa"/>
            <w:vMerge w:val="restart"/>
            <w:tcBorders>
              <w:top w:val="single" w:sz="4" w:space="0" w:color="auto"/>
              <w:left w:val="single" w:sz="4" w:space="0" w:color="auto"/>
              <w:right w:val="single" w:sz="4" w:space="0" w:color="auto"/>
            </w:tcBorders>
            <w:shd w:val="clear" w:color="auto" w:fill="auto"/>
            <w:noWrap/>
            <w:vAlign w:val="center"/>
          </w:tcPr>
          <w:p w14:paraId="25B5DBB6" w14:textId="77777777" w:rsidR="00DD5C9C" w:rsidRPr="00501FF8" w:rsidRDefault="00DD5C9C" w:rsidP="003B5D42">
            <w:pPr>
              <w:rPr>
                <w:rFonts w:cs="Arial"/>
                <w:b/>
                <w:sz w:val="18"/>
                <w:szCs w:val="18"/>
                <w:lang w:bidi="ar-SA"/>
              </w:rPr>
            </w:pPr>
            <w:r w:rsidRPr="00501FF8">
              <w:rPr>
                <w:rFonts w:cs="Arial"/>
                <w:b/>
                <w:sz w:val="18"/>
                <w:szCs w:val="18"/>
                <w:lang w:bidi="ar-SA"/>
              </w:rPr>
              <w:t xml:space="preserve">Population group </w:t>
            </w:r>
          </w:p>
        </w:tc>
        <w:tc>
          <w:tcPr>
            <w:tcW w:w="1134" w:type="dxa"/>
            <w:vMerge w:val="restart"/>
            <w:tcBorders>
              <w:top w:val="single" w:sz="4" w:space="0" w:color="auto"/>
              <w:left w:val="single" w:sz="4" w:space="0" w:color="auto"/>
              <w:right w:val="single" w:sz="4" w:space="0" w:color="auto"/>
            </w:tcBorders>
            <w:vAlign w:val="center"/>
          </w:tcPr>
          <w:p w14:paraId="25B5DBB7" w14:textId="77777777" w:rsidR="00DD5C9C" w:rsidRPr="00501FF8" w:rsidRDefault="00DD5C9C" w:rsidP="003B5D42">
            <w:pPr>
              <w:jc w:val="center"/>
              <w:rPr>
                <w:rFonts w:cs="Arial"/>
                <w:b/>
                <w:sz w:val="18"/>
                <w:szCs w:val="18"/>
                <w:lang w:bidi="ar-SA"/>
              </w:rPr>
            </w:pPr>
            <w:r w:rsidRPr="00501FF8">
              <w:rPr>
                <w:rFonts w:cs="Arial"/>
                <w:b/>
                <w:sz w:val="18"/>
                <w:szCs w:val="18"/>
                <w:lang w:bidi="ar-SA"/>
              </w:rPr>
              <w:t>Age (years)</w:t>
            </w:r>
          </w:p>
        </w:tc>
        <w:tc>
          <w:tcPr>
            <w:tcW w:w="1560" w:type="dxa"/>
            <w:vMerge w:val="restart"/>
            <w:tcBorders>
              <w:top w:val="single" w:sz="4" w:space="0" w:color="auto"/>
              <w:left w:val="single" w:sz="4" w:space="0" w:color="auto"/>
              <w:right w:val="single" w:sz="4" w:space="0" w:color="auto"/>
            </w:tcBorders>
            <w:vAlign w:val="center"/>
          </w:tcPr>
          <w:p w14:paraId="25B5DBB8" w14:textId="77777777" w:rsidR="00DD5C9C" w:rsidRPr="00501FF8" w:rsidRDefault="00DD5C9C" w:rsidP="003B5D42">
            <w:pPr>
              <w:jc w:val="center"/>
              <w:rPr>
                <w:rFonts w:cs="Arial"/>
                <w:b/>
                <w:sz w:val="18"/>
                <w:szCs w:val="18"/>
                <w:lang w:bidi="ar-SA"/>
              </w:rPr>
            </w:pPr>
            <w:r w:rsidRPr="00501FF8">
              <w:rPr>
                <w:rFonts w:cs="Arial"/>
                <w:b/>
                <w:sz w:val="18"/>
                <w:szCs w:val="18"/>
                <w:lang w:bidi="ar-SA"/>
              </w:rPr>
              <w:t>Mean serum</w:t>
            </w:r>
          </w:p>
          <w:p w14:paraId="25B5DBB9" w14:textId="77777777" w:rsidR="00DD5C9C" w:rsidRPr="00501FF8" w:rsidRDefault="00DD5C9C" w:rsidP="003B5D42">
            <w:pPr>
              <w:jc w:val="center"/>
              <w:rPr>
                <w:rFonts w:cs="Arial"/>
                <w:b/>
                <w:sz w:val="18"/>
                <w:szCs w:val="18"/>
                <w:lang w:bidi="ar-SA"/>
              </w:rPr>
            </w:pPr>
            <w:r w:rsidRPr="00501FF8">
              <w:rPr>
                <w:rFonts w:cs="Arial"/>
                <w:b/>
                <w:sz w:val="18"/>
                <w:szCs w:val="18"/>
                <w:lang w:bidi="ar-SA"/>
              </w:rPr>
              <w:t>25OHD (nM)</w:t>
            </w:r>
          </w:p>
        </w:tc>
        <w:tc>
          <w:tcPr>
            <w:tcW w:w="46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B5DBBA" w14:textId="77777777" w:rsidR="00DD5C9C" w:rsidRPr="00501FF8" w:rsidRDefault="00DD5C9C" w:rsidP="003B5D42">
            <w:pPr>
              <w:jc w:val="center"/>
              <w:rPr>
                <w:rFonts w:cs="Arial"/>
                <w:b/>
                <w:sz w:val="18"/>
                <w:szCs w:val="18"/>
                <w:lang w:bidi="ar-SA"/>
              </w:rPr>
            </w:pPr>
            <w:r w:rsidRPr="00501FF8">
              <w:rPr>
                <w:rFonts w:cs="Arial"/>
                <w:b/>
                <w:sz w:val="18"/>
                <w:szCs w:val="18"/>
                <w:lang w:bidi="ar-SA"/>
              </w:rPr>
              <w:t>Proportion (%)</w:t>
            </w:r>
          </w:p>
        </w:tc>
      </w:tr>
      <w:tr w:rsidR="00DD5C9C" w:rsidRPr="005B16F8" w14:paraId="25B5DBC1" w14:textId="77777777" w:rsidTr="000223BB">
        <w:trPr>
          <w:trHeight w:val="289"/>
          <w:tblHeader/>
        </w:trPr>
        <w:tc>
          <w:tcPr>
            <w:tcW w:w="1716" w:type="dxa"/>
            <w:vMerge/>
            <w:tcBorders>
              <w:left w:val="single" w:sz="4" w:space="0" w:color="auto"/>
              <w:bottom w:val="single" w:sz="4" w:space="0" w:color="auto"/>
              <w:right w:val="single" w:sz="4" w:space="0" w:color="auto"/>
            </w:tcBorders>
            <w:shd w:val="clear" w:color="auto" w:fill="auto"/>
            <w:noWrap/>
            <w:vAlign w:val="center"/>
          </w:tcPr>
          <w:p w14:paraId="25B5DBBC" w14:textId="77777777" w:rsidR="00DD5C9C" w:rsidRPr="00501FF8" w:rsidRDefault="00DD5C9C" w:rsidP="003B5D42">
            <w:pPr>
              <w:rPr>
                <w:rFonts w:cs="Arial"/>
                <w:b/>
                <w:sz w:val="18"/>
                <w:szCs w:val="18"/>
                <w:lang w:bidi="ar-SA"/>
              </w:rPr>
            </w:pPr>
          </w:p>
        </w:tc>
        <w:tc>
          <w:tcPr>
            <w:tcW w:w="1134" w:type="dxa"/>
            <w:vMerge/>
            <w:tcBorders>
              <w:left w:val="single" w:sz="4" w:space="0" w:color="auto"/>
              <w:bottom w:val="single" w:sz="4" w:space="0" w:color="auto"/>
              <w:right w:val="single" w:sz="4" w:space="0" w:color="auto"/>
            </w:tcBorders>
            <w:vAlign w:val="center"/>
          </w:tcPr>
          <w:p w14:paraId="25B5DBBD" w14:textId="77777777" w:rsidR="00DD5C9C" w:rsidRPr="00501FF8" w:rsidRDefault="00DD5C9C" w:rsidP="003B5D42">
            <w:pPr>
              <w:jc w:val="center"/>
              <w:rPr>
                <w:rFonts w:cs="Arial"/>
                <w:b/>
                <w:sz w:val="18"/>
                <w:szCs w:val="18"/>
                <w:lang w:bidi="ar-SA"/>
              </w:rPr>
            </w:pPr>
          </w:p>
        </w:tc>
        <w:tc>
          <w:tcPr>
            <w:tcW w:w="1560" w:type="dxa"/>
            <w:vMerge/>
            <w:tcBorders>
              <w:left w:val="single" w:sz="4" w:space="0" w:color="auto"/>
              <w:bottom w:val="single" w:sz="4" w:space="0" w:color="auto"/>
              <w:right w:val="single" w:sz="4" w:space="0" w:color="auto"/>
            </w:tcBorders>
            <w:vAlign w:val="center"/>
          </w:tcPr>
          <w:p w14:paraId="25B5DBBE" w14:textId="77777777" w:rsidR="00DD5C9C" w:rsidRPr="00501FF8" w:rsidRDefault="00DD5C9C" w:rsidP="003B5D42">
            <w:pPr>
              <w:jc w:val="center"/>
              <w:rPr>
                <w:rFonts w:cs="Arial"/>
                <w:b/>
                <w:sz w:val="18"/>
                <w:szCs w:val="18"/>
                <w:lang w:bidi="ar-SA"/>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DBBF" w14:textId="77777777" w:rsidR="00DD5C9C" w:rsidRPr="00501FF8" w:rsidRDefault="00DD5C9C" w:rsidP="003B5D42">
            <w:pPr>
              <w:jc w:val="center"/>
              <w:rPr>
                <w:rFonts w:cs="Arial"/>
                <w:b/>
                <w:sz w:val="18"/>
                <w:szCs w:val="18"/>
                <w:lang w:bidi="ar-SA"/>
              </w:rPr>
            </w:pPr>
            <w:r w:rsidRPr="00501FF8">
              <w:rPr>
                <w:rFonts w:cs="Arial"/>
                <w:b/>
                <w:sz w:val="18"/>
                <w:szCs w:val="18"/>
                <w:lang w:bidi="ar-SA"/>
              </w:rPr>
              <w:t>25OHD &lt; 17.5 nM</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5DBC0" w14:textId="77777777" w:rsidR="00DD5C9C" w:rsidRPr="00501FF8" w:rsidRDefault="00DD5C9C" w:rsidP="003B5D42">
            <w:pPr>
              <w:jc w:val="center"/>
              <w:rPr>
                <w:rFonts w:cs="Arial"/>
                <w:b/>
                <w:sz w:val="18"/>
                <w:szCs w:val="18"/>
                <w:lang w:bidi="ar-SA"/>
              </w:rPr>
            </w:pPr>
            <w:r w:rsidRPr="00501FF8">
              <w:rPr>
                <w:rFonts w:cs="Arial"/>
                <w:b/>
                <w:sz w:val="18"/>
                <w:szCs w:val="18"/>
                <w:lang w:bidi="ar-SA"/>
              </w:rPr>
              <w:t>25OHD &lt; 37.5 nM</w:t>
            </w:r>
          </w:p>
        </w:tc>
      </w:tr>
      <w:tr w:rsidR="00DD5C9C" w:rsidRPr="005B16F8" w14:paraId="25B5DBC7"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C2" w14:textId="77777777" w:rsidR="00DD5C9C" w:rsidRPr="00501FF8" w:rsidRDefault="00DD5C9C" w:rsidP="003B5D42">
            <w:pPr>
              <w:rPr>
                <w:rFonts w:cs="Arial"/>
                <w:sz w:val="18"/>
                <w:szCs w:val="18"/>
                <w:lang w:bidi="ar-SA"/>
              </w:rPr>
            </w:pPr>
            <w:r w:rsidRPr="00501FF8">
              <w:rPr>
                <w:rFonts w:cs="Arial"/>
                <w:sz w:val="18"/>
                <w:szCs w:val="18"/>
                <w:lang w:bidi="ar-SA"/>
              </w:rPr>
              <w:t>All children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C3"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C4" w14:textId="77777777" w:rsidR="00DD5C9C" w:rsidRPr="00501FF8" w:rsidRDefault="00DD5C9C" w:rsidP="003B5D42">
            <w:pPr>
              <w:jc w:val="center"/>
              <w:rPr>
                <w:rFonts w:cs="Arial"/>
                <w:sz w:val="18"/>
                <w:szCs w:val="18"/>
                <w:lang w:bidi="ar-SA"/>
              </w:rPr>
            </w:pPr>
            <w:r w:rsidRPr="00501FF8">
              <w:rPr>
                <w:rFonts w:cs="Arial"/>
                <w:sz w:val="18"/>
                <w:szCs w:val="18"/>
                <w:lang w:bidi="ar-SA"/>
              </w:rPr>
              <w:t>50</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C5"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C6" w14:textId="77777777" w:rsidR="00DD5C9C" w:rsidRPr="00501FF8" w:rsidRDefault="00DD5C9C" w:rsidP="003B5D42">
            <w:pPr>
              <w:jc w:val="center"/>
              <w:rPr>
                <w:rFonts w:cs="Arial"/>
                <w:sz w:val="18"/>
                <w:szCs w:val="18"/>
                <w:lang w:bidi="ar-SA"/>
              </w:rPr>
            </w:pPr>
            <w:r w:rsidRPr="00501FF8">
              <w:rPr>
                <w:rFonts w:cs="Arial"/>
                <w:sz w:val="18"/>
                <w:szCs w:val="18"/>
                <w:lang w:bidi="ar-SA"/>
              </w:rPr>
              <w:t>31</w:t>
            </w:r>
          </w:p>
        </w:tc>
      </w:tr>
      <w:tr w:rsidR="00DD5C9C" w:rsidRPr="005B16F8" w14:paraId="25B5DBCD"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C8" w14:textId="77777777" w:rsidR="00DD5C9C" w:rsidRPr="00501FF8" w:rsidRDefault="00DD5C9C" w:rsidP="003B5D42">
            <w:pPr>
              <w:ind w:left="474"/>
              <w:rPr>
                <w:rFonts w:cs="Arial"/>
                <w:sz w:val="18"/>
                <w:szCs w:val="18"/>
                <w:lang w:bidi="ar-SA"/>
              </w:rPr>
            </w:pPr>
            <w:r w:rsidRPr="00501FF8">
              <w:rPr>
                <w:rFonts w:cs="Arial"/>
                <w:sz w:val="18"/>
                <w:szCs w:val="18"/>
                <w:lang w:bidi="ar-SA"/>
              </w:rPr>
              <w:t>All boys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C9"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CA" w14:textId="77777777" w:rsidR="00DD5C9C" w:rsidRPr="00501FF8" w:rsidRDefault="00DD5C9C" w:rsidP="003B5D42">
            <w:pPr>
              <w:jc w:val="center"/>
              <w:rPr>
                <w:rFonts w:cs="Arial"/>
                <w:sz w:val="18"/>
                <w:szCs w:val="18"/>
                <w:lang w:bidi="ar-SA"/>
              </w:rPr>
            </w:pPr>
            <w:r w:rsidRPr="00501FF8">
              <w:rPr>
                <w:rFonts w:cs="Arial"/>
                <w:sz w:val="18"/>
                <w:szCs w:val="18"/>
                <w:lang w:bidi="ar-SA"/>
              </w:rPr>
              <w:t>52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CB" w14:textId="77777777"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CC" w14:textId="77777777" w:rsidR="00DD5C9C" w:rsidRPr="00501FF8" w:rsidRDefault="00DD5C9C" w:rsidP="003B5D42">
            <w:pPr>
              <w:jc w:val="center"/>
              <w:rPr>
                <w:rFonts w:cs="Arial"/>
                <w:sz w:val="18"/>
                <w:szCs w:val="18"/>
                <w:lang w:bidi="ar-SA"/>
              </w:rPr>
            </w:pPr>
            <w:r w:rsidRPr="00501FF8">
              <w:rPr>
                <w:rFonts w:cs="Arial"/>
                <w:sz w:val="18"/>
                <w:szCs w:val="18"/>
                <w:lang w:bidi="ar-SA"/>
              </w:rPr>
              <w:t>27</w:t>
            </w:r>
          </w:p>
        </w:tc>
      </w:tr>
      <w:tr w:rsidR="00DD5C9C" w:rsidRPr="005B16F8" w14:paraId="25B5DBD3"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CE"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CF" w14:textId="77777777"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D0" w14:textId="77777777" w:rsidR="00DD5C9C" w:rsidRPr="00501FF8" w:rsidRDefault="00DD5C9C" w:rsidP="003B5D42">
            <w:pPr>
              <w:jc w:val="center"/>
              <w:rPr>
                <w:rFonts w:cs="Arial"/>
                <w:sz w:val="18"/>
                <w:szCs w:val="18"/>
                <w:lang w:bidi="ar-SA"/>
              </w:rPr>
            </w:pPr>
            <w:r w:rsidRPr="00501FF8">
              <w:rPr>
                <w:rFonts w:cs="Arial"/>
                <w:sz w:val="18"/>
                <w:szCs w:val="18"/>
                <w:lang w:bidi="ar-SA"/>
              </w:rPr>
              <w:t>57</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1" w14:textId="77777777" w:rsidR="00DD5C9C" w:rsidRPr="00501FF8" w:rsidRDefault="00DD5C9C" w:rsidP="003B5D42">
            <w:pPr>
              <w:jc w:val="center"/>
              <w:rPr>
                <w:rFonts w:cs="Arial"/>
                <w:sz w:val="18"/>
                <w:szCs w:val="18"/>
                <w:lang w:bidi="ar-SA"/>
              </w:rPr>
            </w:pPr>
            <w:r w:rsidRPr="00501FF8">
              <w:rPr>
                <w:rFonts w:cs="Arial"/>
                <w:sz w:val="18"/>
                <w:szCs w:val="18"/>
                <w:lang w:bidi="ar-SA"/>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2" w14:textId="77777777" w:rsidR="00DD5C9C" w:rsidRPr="00501FF8" w:rsidRDefault="00DD5C9C" w:rsidP="003B5D42">
            <w:pPr>
              <w:jc w:val="center"/>
              <w:rPr>
                <w:rFonts w:cs="Arial"/>
                <w:sz w:val="18"/>
                <w:szCs w:val="18"/>
                <w:lang w:bidi="ar-SA"/>
              </w:rPr>
            </w:pPr>
            <w:r w:rsidRPr="00501FF8">
              <w:rPr>
                <w:rFonts w:cs="Arial"/>
                <w:sz w:val="18"/>
                <w:szCs w:val="18"/>
                <w:lang w:bidi="ar-SA"/>
              </w:rPr>
              <w:t>19</w:t>
            </w:r>
          </w:p>
        </w:tc>
      </w:tr>
      <w:tr w:rsidR="00DD5C9C" w:rsidRPr="005B16F8" w14:paraId="25B5DBD9"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4"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D5" w14:textId="77777777"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D6" w14:textId="77777777" w:rsidR="00DD5C9C" w:rsidRPr="00501FF8" w:rsidRDefault="00DD5C9C" w:rsidP="003B5D42">
            <w:pPr>
              <w:jc w:val="center"/>
              <w:rPr>
                <w:rFonts w:cs="Arial"/>
                <w:sz w:val="18"/>
                <w:szCs w:val="18"/>
                <w:lang w:bidi="ar-SA"/>
              </w:rPr>
            </w:pPr>
            <w:r w:rsidRPr="00501FF8">
              <w:rPr>
                <w:rFonts w:cs="Arial"/>
                <w:sz w:val="18"/>
                <w:szCs w:val="18"/>
                <w:lang w:bidi="ar-SA"/>
              </w:rPr>
              <w:t>53</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7" w14:textId="77777777"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8" w14:textId="77777777" w:rsidR="00DD5C9C" w:rsidRPr="00501FF8" w:rsidRDefault="00DD5C9C" w:rsidP="003B5D42">
            <w:pPr>
              <w:jc w:val="center"/>
              <w:rPr>
                <w:rFonts w:cs="Arial"/>
                <w:sz w:val="18"/>
                <w:szCs w:val="18"/>
                <w:lang w:bidi="ar-SA"/>
              </w:rPr>
            </w:pPr>
            <w:r w:rsidRPr="00501FF8">
              <w:rPr>
                <w:rFonts w:cs="Arial"/>
                <w:sz w:val="18"/>
                <w:szCs w:val="18"/>
                <w:lang w:bidi="ar-SA"/>
              </w:rPr>
              <w:t>24</w:t>
            </w:r>
          </w:p>
        </w:tc>
      </w:tr>
      <w:tr w:rsidR="00DD5C9C" w:rsidRPr="005B16F8" w14:paraId="25B5DBDF"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A"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DB" w14:textId="77777777"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DC" w14:textId="77777777" w:rsidR="00DD5C9C" w:rsidRPr="00501FF8" w:rsidRDefault="00DD5C9C" w:rsidP="003B5D42">
            <w:pPr>
              <w:jc w:val="center"/>
              <w:rPr>
                <w:rFonts w:cs="Arial"/>
                <w:sz w:val="18"/>
                <w:szCs w:val="18"/>
                <w:lang w:bidi="ar-SA"/>
              </w:rPr>
            </w:pPr>
            <w:r w:rsidRPr="00501FF8">
              <w:rPr>
                <w:rFonts w:cs="Arial"/>
                <w:sz w:val="18"/>
                <w:szCs w:val="18"/>
                <w:lang w:bidi="ar-SA"/>
              </w:rPr>
              <w:t>50</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D"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DE" w14:textId="77777777" w:rsidR="00DD5C9C" w:rsidRPr="00501FF8" w:rsidRDefault="00DD5C9C" w:rsidP="003B5D42">
            <w:pPr>
              <w:jc w:val="center"/>
              <w:rPr>
                <w:rFonts w:cs="Arial"/>
                <w:sz w:val="18"/>
                <w:szCs w:val="18"/>
                <w:lang w:bidi="ar-SA"/>
              </w:rPr>
            </w:pPr>
            <w:r w:rsidRPr="00501FF8">
              <w:rPr>
                <w:rFonts w:cs="Arial"/>
                <w:sz w:val="18"/>
                <w:szCs w:val="18"/>
                <w:lang w:bidi="ar-SA"/>
              </w:rPr>
              <w:t>33</w:t>
            </w:r>
          </w:p>
        </w:tc>
      </w:tr>
      <w:tr w:rsidR="00DD5C9C" w:rsidRPr="005B16F8" w14:paraId="25B5DBE5"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0" w14:textId="77777777" w:rsidR="00DD5C9C" w:rsidRPr="00501FF8" w:rsidRDefault="00DD5C9C" w:rsidP="003B5D42">
            <w:pPr>
              <w:ind w:left="474"/>
              <w:rPr>
                <w:rFonts w:cs="Arial"/>
                <w:sz w:val="18"/>
                <w:szCs w:val="18"/>
                <w:lang w:bidi="ar-SA"/>
              </w:rPr>
            </w:pPr>
            <w:r w:rsidRPr="00501FF8">
              <w:rPr>
                <w:rFonts w:cs="Arial"/>
                <w:sz w:val="18"/>
                <w:szCs w:val="18"/>
                <w:lang w:bidi="ar-SA"/>
              </w:rPr>
              <w:t>All girls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E1"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E2" w14:textId="77777777" w:rsidR="00DD5C9C" w:rsidRPr="00501FF8" w:rsidRDefault="00DD5C9C" w:rsidP="003B5D42">
            <w:pPr>
              <w:jc w:val="center"/>
              <w:rPr>
                <w:rFonts w:cs="Arial"/>
                <w:sz w:val="18"/>
                <w:szCs w:val="18"/>
                <w:lang w:bidi="ar-SA"/>
              </w:rPr>
            </w:pPr>
            <w:r w:rsidRPr="00501FF8">
              <w:rPr>
                <w:rFonts w:cs="Arial"/>
                <w:sz w:val="18"/>
                <w:szCs w:val="18"/>
                <w:lang w:bidi="ar-SA"/>
              </w:rPr>
              <w:t>47</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3"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4" w14:textId="77777777" w:rsidR="00DD5C9C" w:rsidRPr="00501FF8" w:rsidRDefault="00DD5C9C" w:rsidP="003B5D42">
            <w:pPr>
              <w:jc w:val="center"/>
              <w:rPr>
                <w:rFonts w:cs="Arial"/>
                <w:sz w:val="18"/>
                <w:szCs w:val="18"/>
                <w:lang w:bidi="ar-SA"/>
              </w:rPr>
            </w:pPr>
            <w:r w:rsidRPr="00501FF8">
              <w:rPr>
                <w:rFonts w:cs="Arial"/>
                <w:sz w:val="18"/>
                <w:szCs w:val="18"/>
                <w:lang w:bidi="ar-SA"/>
              </w:rPr>
              <w:t>36</w:t>
            </w:r>
          </w:p>
        </w:tc>
      </w:tr>
      <w:tr w:rsidR="00DD5C9C" w:rsidRPr="005B16F8" w14:paraId="25B5DBEB"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6"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E7" w14:textId="77777777"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E8" w14:textId="77777777" w:rsidR="00DD5C9C" w:rsidRPr="00501FF8" w:rsidRDefault="00DD5C9C" w:rsidP="003B5D42">
            <w:pPr>
              <w:jc w:val="center"/>
              <w:rPr>
                <w:rFonts w:cs="Arial"/>
                <w:sz w:val="18"/>
                <w:szCs w:val="18"/>
                <w:lang w:bidi="ar-SA"/>
              </w:rPr>
            </w:pPr>
            <w:r w:rsidRPr="00501FF8">
              <w:rPr>
                <w:rFonts w:cs="Arial"/>
                <w:sz w:val="18"/>
                <w:szCs w:val="18"/>
                <w:lang w:bidi="ar-SA"/>
              </w:rPr>
              <w:t>48</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9" w14:textId="77777777" w:rsidR="00DD5C9C" w:rsidRPr="00501FF8" w:rsidRDefault="00DD5C9C" w:rsidP="003B5D42">
            <w:pPr>
              <w:jc w:val="center"/>
              <w:rPr>
                <w:rFonts w:cs="Arial"/>
                <w:sz w:val="18"/>
                <w:szCs w:val="18"/>
                <w:lang w:bidi="ar-SA"/>
              </w:rPr>
            </w:pPr>
            <w:r w:rsidRPr="00501FF8">
              <w:rPr>
                <w:rFonts w:cs="Arial"/>
                <w:sz w:val="18"/>
                <w:szCs w:val="18"/>
                <w:lang w:bidi="ar-SA"/>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A" w14:textId="77777777" w:rsidR="00DD5C9C" w:rsidRPr="00501FF8" w:rsidRDefault="00DD5C9C" w:rsidP="003B5D42">
            <w:pPr>
              <w:jc w:val="center"/>
              <w:rPr>
                <w:rFonts w:cs="Arial"/>
                <w:sz w:val="18"/>
                <w:szCs w:val="18"/>
                <w:lang w:bidi="ar-SA"/>
              </w:rPr>
            </w:pPr>
            <w:r w:rsidRPr="00501FF8">
              <w:rPr>
                <w:rFonts w:cs="Arial"/>
                <w:sz w:val="18"/>
                <w:szCs w:val="18"/>
                <w:lang w:bidi="ar-SA"/>
              </w:rPr>
              <w:t>29</w:t>
            </w:r>
          </w:p>
        </w:tc>
      </w:tr>
      <w:tr w:rsidR="00DD5C9C" w:rsidRPr="005B16F8" w14:paraId="25B5DBF1"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C"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ED" w14:textId="77777777"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EE" w14:textId="77777777" w:rsidR="00DD5C9C" w:rsidRPr="00501FF8" w:rsidRDefault="00DD5C9C" w:rsidP="003B5D42">
            <w:pPr>
              <w:jc w:val="center"/>
              <w:rPr>
                <w:rFonts w:cs="Arial"/>
                <w:sz w:val="18"/>
                <w:szCs w:val="18"/>
                <w:lang w:bidi="ar-SA"/>
              </w:rPr>
            </w:pPr>
            <w:r w:rsidRPr="00501FF8">
              <w:rPr>
                <w:rFonts w:cs="Arial"/>
                <w:sz w:val="18"/>
                <w:szCs w:val="18"/>
                <w:lang w:bidi="ar-SA"/>
              </w:rPr>
              <w:t>51</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EF" w14:textId="77777777" w:rsidR="00DD5C9C" w:rsidRPr="00501FF8" w:rsidRDefault="00DD5C9C" w:rsidP="003B5D42">
            <w:pPr>
              <w:jc w:val="center"/>
              <w:rPr>
                <w:rFonts w:cs="Arial"/>
                <w:sz w:val="18"/>
                <w:szCs w:val="18"/>
                <w:lang w:bidi="ar-SA"/>
              </w:rPr>
            </w:pPr>
            <w:r w:rsidRPr="00501FF8">
              <w:rPr>
                <w:rFonts w:cs="Arial"/>
                <w:sz w:val="18"/>
                <w:szCs w:val="18"/>
                <w:lang w:bidi="ar-SA"/>
              </w:rPr>
              <w:t>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F0" w14:textId="77777777" w:rsidR="00DD5C9C" w:rsidRPr="00501FF8" w:rsidRDefault="00DD5C9C" w:rsidP="003B5D42">
            <w:pPr>
              <w:jc w:val="center"/>
              <w:rPr>
                <w:rFonts w:cs="Arial"/>
                <w:sz w:val="18"/>
                <w:szCs w:val="18"/>
                <w:lang w:bidi="ar-SA"/>
              </w:rPr>
            </w:pPr>
            <w:r w:rsidRPr="00501FF8">
              <w:rPr>
                <w:rFonts w:cs="Arial"/>
                <w:sz w:val="18"/>
                <w:szCs w:val="18"/>
                <w:lang w:bidi="ar-SA"/>
              </w:rPr>
              <w:t>31</w:t>
            </w:r>
          </w:p>
        </w:tc>
      </w:tr>
      <w:tr w:rsidR="00DD5C9C" w:rsidRPr="005B16F8" w14:paraId="25B5DBF7"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F2"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F3" w14:textId="77777777"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BF4" w14:textId="77777777" w:rsidR="00DD5C9C" w:rsidRPr="00501FF8" w:rsidRDefault="00DD5C9C" w:rsidP="003B5D42">
            <w:pPr>
              <w:jc w:val="center"/>
              <w:rPr>
                <w:rFonts w:cs="Arial"/>
                <w:sz w:val="18"/>
                <w:szCs w:val="18"/>
                <w:lang w:bidi="ar-SA"/>
              </w:rPr>
            </w:pPr>
            <w:r w:rsidRPr="00501FF8">
              <w:rPr>
                <w:rFonts w:cs="Arial"/>
                <w:sz w:val="18"/>
                <w:szCs w:val="18"/>
                <w:lang w:bidi="ar-SA"/>
              </w:rPr>
              <w:t>42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F5" w14:textId="77777777" w:rsidR="00DD5C9C" w:rsidRPr="00501FF8" w:rsidRDefault="00DD5C9C" w:rsidP="003B5D42">
            <w:pPr>
              <w:jc w:val="center"/>
              <w:rPr>
                <w:rFonts w:cs="Arial"/>
                <w:sz w:val="18"/>
                <w:szCs w:val="18"/>
                <w:lang w:bidi="ar-SA"/>
              </w:rPr>
            </w:pPr>
            <w:r w:rsidRPr="00501FF8">
              <w:rPr>
                <w:rFonts w:cs="Arial"/>
                <w:sz w:val="18"/>
                <w:szCs w:val="18"/>
                <w:lang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BF6" w14:textId="77777777" w:rsidR="00DD5C9C" w:rsidRPr="00501FF8" w:rsidRDefault="00DD5C9C" w:rsidP="003B5D42">
            <w:pPr>
              <w:jc w:val="center"/>
              <w:rPr>
                <w:rFonts w:cs="Arial"/>
                <w:sz w:val="18"/>
                <w:szCs w:val="18"/>
                <w:lang w:bidi="ar-SA"/>
              </w:rPr>
            </w:pPr>
            <w:r w:rsidRPr="00501FF8">
              <w:rPr>
                <w:rFonts w:cs="Arial"/>
                <w:sz w:val="18"/>
                <w:szCs w:val="18"/>
                <w:lang w:bidi="ar-SA"/>
              </w:rPr>
              <w:t>43</w:t>
            </w:r>
          </w:p>
        </w:tc>
      </w:tr>
      <w:tr w:rsidR="00DD5C9C" w:rsidRPr="005B16F8" w14:paraId="25B5DBFD"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BF8" w14:textId="186DB03C" w:rsidR="00DD5C9C" w:rsidRPr="00501FF8" w:rsidRDefault="00DD5C9C" w:rsidP="000223BB">
            <w:pPr>
              <w:rPr>
                <w:rFonts w:cs="Arial"/>
                <w:sz w:val="18"/>
                <w:szCs w:val="18"/>
                <w:lang w:bidi="ar-SA"/>
              </w:rPr>
            </w:pPr>
            <w:r w:rsidRPr="00501FF8">
              <w:rPr>
                <w:rFonts w:cs="Arial"/>
                <w:sz w:val="18"/>
                <w:szCs w:val="18"/>
                <w:lang w:bidi="ar-SA"/>
              </w:rPr>
              <w:t>All M</w:t>
            </w:r>
            <w:r w:rsidR="000223BB">
              <w:rPr>
                <w:rFonts w:cs="Arial"/>
                <w:sz w:val="18"/>
                <w:szCs w:val="18"/>
                <w:lang w:bidi="ar-SA"/>
              </w:rPr>
              <w:t>ā</w:t>
            </w:r>
            <w:r w:rsidRPr="00501FF8">
              <w:rPr>
                <w:rFonts w:cs="Arial"/>
                <w:sz w:val="18"/>
                <w:szCs w:val="18"/>
                <w:lang w:bidi="ar-SA"/>
              </w:rPr>
              <w:t>ori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BF9"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BFA" w14:textId="77777777" w:rsidR="00DD5C9C" w:rsidRPr="00501FF8" w:rsidRDefault="00DD5C9C" w:rsidP="003B5D42">
            <w:pPr>
              <w:jc w:val="center"/>
              <w:rPr>
                <w:rFonts w:cs="Arial"/>
                <w:sz w:val="18"/>
                <w:szCs w:val="18"/>
                <w:lang w:bidi="ar-SA"/>
              </w:rPr>
            </w:pPr>
            <w:r w:rsidRPr="00501FF8">
              <w:rPr>
                <w:rFonts w:cs="Arial"/>
                <w:sz w:val="18"/>
                <w:szCs w:val="18"/>
                <w:lang w:bidi="ar-SA"/>
              </w:rPr>
              <w:t>43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BFB" w14:textId="77777777" w:rsidR="00DD5C9C" w:rsidRPr="00501FF8" w:rsidRDefault="00DD5C9C" w:rsidP="003B5D42">
            <w:pPr>
              <w:jc w:val="center"/>
              <w:rPr>
                <w:rFonts w:cs="Arial"/>
                <w:sz w:val="18"/>
                <w:szCs w:val="18"/>
                <w:lang w:bidi="ar-SA"/>
              </w:rPr>
            </w:pPr>
            <w:r w:rsidRPr="00501FF8">
              <w:rPr>
                <w:rFonts w:cs="Arial"/>
                <w:sz w:val="18"/>
                <w:szCs w:val="18"/>
                <w:lang w:bidi="ar-SA"/>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BFC" w14:textId="77777777" w:rsidR="00DD5C9C" w:rsidRPr="00501FF8" w:rsidRDefault="00DD5C9C" w:rsidP="003B5D42">
            <w:pPr>
              <w:jc w:val="center"/>
              <w:rPr>
                <w:rFonts w:cs="Arial"/>
                <w:sz w:val="18"/>
                <w:szCs w:val="18"/>
                <w:lang w:bidi="ar-SA"/>
              </w:rPr>
            </w:pPr>
            <w:r w:rsidRPr="00501FF8">
              <w:rPr>
                <w:rFonts w:cs="Arial"/>
                <w:sz w:val="18"/>
                <w:szCs w:val="18"/>
                <w:lang w:bidi="ar-SA"/>
              </w:rPr>
              <w:t>41</w:t>
            </w:r>
          </w:p>
        </w:tc>
      </w:tr>
      <w:tr w:rsidR="00DD5C9C" w:rsidRPr="005B16F8" w14:paraId="25B5DC03"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BFE" w14:textId="108ABDC5" w:rsidR="00DD5C9C" w:rsidRPr="00501FF8" w:rsidRDefault="00DD5C9C" w:rsidP="000223BB">
            <w:pPr>
              <w:ind w:left="474"/>
              <w:rPr>
                <w:rFonts w:cs="Arial"/>
                <w:sz w:val="18"/>
                <w:szCs w:val="18"/>
                <w:lang w:bidi="ar-SA"/>
              </w:rPr>
            </w:pPr>
            <w:r w:rsidRPr="00501FF8">
              <w:rPr>
                <w:rFonts w:cs="Arial"/>
                <w:sz w:val="18"/>
                <w:szCs w:val="18"/>
                <w:lang w:bidi="ar-SA"/>
              </w:rPr>
              <w:t>M</w:t>
            </w:r>
            <w:r w:rsidR="000223BB">
              <w:rPr>
                <w:rFonts w:cs="Arial"/>
                <w:sz w:val="18"/>
                <w:szCs w:val="18"/>
                <w:lang w:bidi="ar-SA"/>
              </w:rPr>
              <w:t>ā</w:t>
            </w:r>
            <w:r w:rsidRPr="00501FF8">
              <w:rPr>
                <w:rFonts w:cs="Arial"/>
                <w:sz w:val="18"/>
                <w:szCs w:val="18"/>
                <w:lang w:bidi="ar-SA"/>
              </w:rPr>
              <w:t>ori boys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BFF"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00" w14:textId="77777777" w:rsidR="00DD5C9C" w:rsidRPr="00501FF8" w:rsidRDefault="00DD5C9C" w:rsidP="003B5D42">
            <w:pPr>
              <w:jc w:val="center"/>
              <w:rPr>
                <w:rFonts w:cs="Arial"/>
                <w:sz w:val="18"/>
                <w:szCs w:val="18"/>
                <w:lang w:bidi="ar-SA"/>
              </w:rPr>
            </w:pPr>
            <w:r w:rsidRPr="00501FF8">
              <w:rPr>
                <w:rFonts w:cs="Arial"/>
                <w:sz w:val="18"/>
                <w:szCs w:val="18"/>
                <w:lang w:bidi="ar-SA"/>
              </w:rPr>
              <w:t>47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1"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2" w14:textId="77777777" w:rsidR="00DD5C9C" w:rsidRPr="00501FF8" w:rsidRDefault="00DD5C9C" w:rsidP="003B5D42">
            <w:pPr>
              <w:jc w:val="center"/>
              <w:rPr>
                <w:rFonts w:cs="Arial"/>
                <w:sz w:val="18"/>
                <w:szCs w:val="18"/>
                <w:lang w:bidi="ar-SA"/>
              </w:rPr>
            </w:pPr>
            <w:r w:rsidRPr="00501FF8">
              <w:rPr>
                <w:rFonts w:cs="Arial"/>
                <w:sz w:val="18"/>
                <w:szCs w:val="18"/>
                <w:lang w:bidi="ar-SA"/>
              </w:rPr>
              <w:t>36</w:t>
            </w:r>
          </w:p>
        </w:tc>
      </w:tr>
      <w:tr w:rsidR="00DD5C9C" w:rsidRPr="005B16F8" w14:paraId="25B5DC09"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4"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05" w14:textId="77777777"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06" w14:textId="77777777" w:rsidR="00DD5C9C" w:rsidRPr="00501FF8" w:rsidRDefault="00DD5C9C" w:rsidP="003B5D42">
            <w:pPr>
              <w:jc w:val="center"/>
              <w:rPr>
                <w:rFonts w:cs="Arial"/>
                <w:sz w:val="18"/>
                <w:szCs w:val="18"/>
                <w:lang w:bidi="ar-SA"/>
              </w:rPr>
            </w:pPr>
            <w:r w:rsidRPr="00501FF8">
              <w:rPr>
                <w:rFonts w:cs="Arial"/>
                <w:sz w:val="18"/>
                <w:szCs w:val="18"/>
                <w:lang w:bidi="ar-SA"/>
              </w:rPr>
              <w:t>48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7"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8" w14:textId="77777777" w:rsidR="00DD5C9C" w:rsidRPr="00501FF8" w:rsidRDefault="00DD5C9C" w:rsidP="003B5D42">
            <w:pPr>
              <w:jc w:val="center"/>
              <w:rPr>
                <w:rFonts w:cs="Arial"/>
                <w:sz w:val="18"/>
                <w:szCs w:val="18"/>
                <w:lang w:bidi="ar-SA"/>
              </w:rPr>
            </w:pPr>
            <w:r w:rsidRPr="00501FF8">
              <w:rPr>
                <w:rFonts w:cs="Arial"/>
                <w:sz w:val="18"/>
                <w:szCs w:val="18"/>
                <w:lang w:bidi="ar-SA"/>
              </w:rPr>
              <w:t>26</w:t>
            </w:r>
          </w:p>
        </w:tc>
      </w:tr>
      <w:tr w:rsidR="00DD5C9C" w:rsidRPr="005B16F8" w14:paraId="25B5DC0F"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A"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0B" w14:textId="77777777"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0C" w14:textId="77777777" w:rsidR="00DD5C9C" w:rsidRPr="00501FF8" w:rsidRDefault="00DD5C9C" w:rsidP="003B5D42">
            <w:pPr>
              <w:jc w:val="center"/>
              <w:rPr>
                <w:rFonts w:cs="Arial"/>
                <w:sz w:val="18"/>
                <w:szCs w:val="18"/>
                <w:lang w:bidi="ar-SA"/>
              </w:rPr>
            </w:pPr>
            <w:r w:rsidRPr="00501FF8">
              <w:rPr>
                <w:rFonts w:cs="Arial"/>
                <w:sz w:val="18"/>
                <w:szCs w:val="18"/>
                <w:lang w:bidi="ar-SA"/>
              </w:rPr>
              <w:t>47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D"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0E" w14:textId="77777777" w:rsidR="00DD5C9C" w:rsidRPr="00501FF8" w:rsidRDefault="00DD5C9C" w:rsidP="003B5D42">
            <w:pPr>
              <w:jc w:val="center"/>
              <w:rPr>
                <w:rFonts w:cs="Arial"/>
                <w:sz w:val="18"/>
                <w:szCs w:val="18"/>
                <w:lang w:bidi="ar-SA"/>
              </w:rPr>
            </w:pPr>
            <w:r w:rsidRPr="00501FF8">
              <w:rPr>
                <w:rFonts w:cs="Arial"/>
                <w:sz w:val="18"/>
                <w:szCs w:val="18"/>
                <w:lang w:bidi="ar-SA"/>
              </w:rPr>
              <w:t>38</w:t>
            </w:r>
          </w:p>
        </w:tc>
      </w:tr>
      <w:tr w:rsidR="00DD5C9C" w:rsidRPr="005B16F8" w14:paraId="25B5DC15"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0"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11" w14:textId="77777777"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12" w14:textId="77777777" w:rsidR="00DD5C9C" w:rsidRPr="00501FF8" w:rsidRDefault="00DD5C9C" w:rsidP="003B5D42">
            <w:pPr>
              <w:jc w:val="center"/>
              <w:rPr>
                <w:rFonts w:cs="Arial"/>
                <w:sz w:val="18"/>
                <w:szCs w:val="18"/>
                <w:lang w:bidi="ar-SA"/>
              </w:rPr>
            </w:pPr>
            <w:r w:rsidRPr="00501FF8">
              <w:rPr>
                <w:rFonts w:cs="Arial"/>
                <w:sz w:val="18"/>
                <w:szCs w:val="18"/>
                <w:lang w:bidi="ar-SA"/>
              </w:rPr>
              <w:t>45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3"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4" w14:textId="77777777" w:rsidR="00DD5C9C" w:rsidRPr="00501FF8" w:rsidRDefault="00DD5C9C" w:rsidP="003B5D42">
            <w:pPr>
              <w:jc w:val="center"/>
              <w:rPr>
                <w:rFonts w:cs="Arial"/>
                <w:sz w:val="18"/>
                <w:szCs w:val="18"/>
                <w:lang w:bidi="ar-SA"/>
              </w:rPr>
            </w:pPr>
            <w:r w:rsidRPr="00501FF8">
              <w:rPr>
                <w:rFonts w:cs="Arial"/>
                <w:sz w:val="18"/>
                <w:szCs w:val="18"/>
                <w:lang w:bidi="ar-SA"/>
              </w:rPr>
              <w:t>40</w:t>
            </w:r>
          </w:p>
        </w:tc>
      </w:tr>
      <w:tr w:rsidR="00DD5C9C" w:rsidRPr="005B16F8" w14:paraId="25B5DC1B"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6" w14:textId="0C21E98B" w:rsidR="00DD5C9C" w:rsidRPr="00501FF8" w:rsidRDefault="00DD5C9C" w:rsidP="000223BB">
            <w:pPr>
              <w:ind w:left="474"/>
              <w:rPr>
                <w:rFonts w:cs="Arial"/>
                <w:sz w:val="18"/>
                <w:szCs w:val="18"/>
                <w:lang w:bidi="ar-SA"/>
              </w:rPr>
            </w:pPr>
            <w:r w:rsidRPr="00501FF8">
              <w:rPr>
                <w:rFonts w:cs="Arial"/>
                <w:sz w:val="18"/>
                <w:szCs w:val="18"/>
                <w:lang w:bidi="ar-SA"/>
              </w:rPr>
              <w:lastRenderedPageBreak/>
              <w:t>M</w:t>
            </w:r>
            <w:r w:rsidR="000223BB">
              <w:rPr>
                <w:rFonts w:cs="Arial"/>
                <w:sz w:val="18"/>
                <w:szCs w:val="18"/>
                <w:lang w:bidi="ar-SA"/>
              </w:rPr>
              <w:t>ā</w:t>
            </w:r>
            <w:r w:rsidRPr="00501FF8">
              <w:rPr>
                <w:rFonts w:cs="Arial"/>
                <w:sz w:val="18"/>
                <w:szCs w:val="18"/>
                <w:lang w:bidi="ar-SA"/>
              </w:rPr>
              <w:t>ori girls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17"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18" w14:textId="77777777" w:rsidR="00DD5C9C" w:rsidRPr="00501FF8" w:rsidRDefault="00DD5C9C" w:rsidP="003B5D42">
            <w:pPr>
              <w:jc w:val="center"/>
              <w:rPr>
                <w:rFonts w:cs="Arial"/>
                <w:sz w:val="18"/>
                <w:szCs w:val="18"/>
                <w:lang w:bidi="ar-SA"/>
              </w:rPr>
            </w:pPr>
            <w:r w:rsidRPr="00501FF8">
              <w:rPr>
                <w:rFonts w:cs="Arial"/>
                <w:sz w:val="18"/>
                <w:szCs w:val="18"/>
                <w:lang w:bidi="ar-SA"/>
              </w:rPr>
              <w:t>40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9" w14:textId="77777777" w:rsidR="00DD5C9C" w:rsidRPr="00501FF8" w:rsidRDefault="00DD5C9C" w:rsidP="003B5D42">
            <w:pPr>
              <w:jc w:val="center"/>
              <w:rPr>
                <w:rFonts w:cs="Arial"/>
                <w:sz w:val="18"/>
                <w:szCs w:val="18"/>
                <w:lang w:bidi="ar-SA"/>
              </w:rPr>
            </w:pPr>
            <w:r w:rsidRPr="00501FF8">
              <w:rPr>
                <w:rFonts w:cs="Arial"/>
                <w:sz w:val="18"/>
                <w:szCs w:val="18"/>
                <w:lang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A" w14:textId="77777777" w:rsidR="00DD5C9C" w:rsidRPr="00501FF8" w:rsidRDefault="00DD5C9C" w:rsidP="003B5D42">
            <w:pPr>
              <w:jc w:val="center"/>
              <w:rPr>
                <w:rFonts w:cs="Arial"/>
                <w:sz w:val="18"/>
                <w:szCs w:val="18"/>
                <w:lang w:bidi="ar-SA"/>
              </w:rPr>
            </w:pPr>
            <w:r w:rsidRPr="00501FF8">
              <w:rPr>
                <w:rFonts w:cs="Arial"/>
                <w:sz w:val="18"/>
                <w:szCs w:val="18"/>
                <w:lang w:bidi="ar-SA"/>
              </w:rPr>
              <w:t>46</w:t>
            </w:r>
          </w:p>
        </w:tc>
      </w:tr>
      <w:tr w:rsidR="00DD5C9C" w:rsidRPr="005B16F8" w14:paraId="25B5DC21"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C"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1D" w14:textId="77777777"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1E" w14:textId="77777777" w:rsidR="00DD5C9C" w:rsidRPr="00501FF8" w:rsidRDefault="00DD5C9C" w:rsidP="003B5D42">
            <w:pPr>
              <w:jc w:val="center"/>
              <w:rPr>
                <w:rFonts w:cs="Arial"/>
                <w:sz w:val="18"/>
                <w:szCs w:val="18"/>
                <w:lang w:bidi="ar-SA"/>
              </w:rPr>
            </w:pPr>
            <w:r w:rsidRPr="00501FF8">
              <w:rPr>
                <w:rFonts w:cs="Arial"/>
                <w:sz w:val="18"/>
                <w:szCs w:val="18"/>
                <w:lang w:bidi="ar-SA"/>
              </w:rPr>
              <w:t>42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1F"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20" w14:textId="77777777" w:rsidR="00DD5C9C" w:rsidRPr="00501FF8" w:rsidRDefault="00DD5C9C" w:rsidP="003B5D42">
            <w:pPr>
              <w:jc w:val="center"/>
              <w:rPr>
                <w:rFonts w:cs="Arial"/>
                <w:sz w:val="18"/>
                <w:szCs w:val="18"/>
                <w:lang w:bidi="ar-SA"/>
              </w:rPr>
            </w:pPr>
            <w:r w:rsidRPr="00501FF8">
              <w:rPr>
                <w:rFonts w:cs="Arial"/>
                <w:sz w:val="18"/>
                <w:szCs w:val="18"/>
                <w:lang w:bidi="ar-SA"/>
              </w:rPr>
              <w:t>45</w:t>
            </w:r>
          </w:p>
        </w:tc>
      </w:tr>
      <w:tr w:rsidR="00DD5C9C" w:rsidRPr="005B16F8" w14:paraId="25B5DC27"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22"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23" w14:textId="77777777"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24" w14:textId="77777777" w:rsidR="00DD5C9C" w:rsidRPr="00501FF8" w:rsidRDefault="00DD5C9C" w:rsidP="003B5D42">
            <w:pPr>
              <w:jc w:val="center"/>
              <w:rPr>
                <w:rFonts w:cs="Arial"/>
                <w:sz w:val="18"/>
                <w:szCs w:val="18"/>
                <w:lang w:bidi="ar-SA"/>
              </w:rPr>
            </w:pPr>
            <w:r w:rsidRPr="00501FF8">
              <w:rPr>
                <w:rFonts w:cs="Arial"/>
                <w:sz w:val="18"/>
                <w:szCs w:val="18"/>
                <w:lang w:bidi="ar-SA"/>
              </w:rPr>
              <w:t>46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25" w14:textId="77777777" w:rsidR="00DD5C9C" w:rsidRPr="00501FF8" w:rsidRDefault="00DD5C9C" w:rsidP="003B5D42">
            <w:pPr>
              <w:jc w:val="center"/>
              <w:rPr>
                <w:rFonts w:cs="Arial"/>
                <w:sz w:val="18"/>
                <w:szCs w:val="18"/>
                <w:lang w:bidi="ar-SA"/>
              </w:rPr>
            </w:pPr>
            <w:r w:rsidRPr="00501FF8">
              <w:rPr>
                <w:rFonts w:cs="Arial"/>
                <w:sz w:val="18"/>
                <w:szCs w:val="18"/>
                <w:lang w:bidi="ar-SA"/>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26" w14:textId="77777777" w:rsidR="00DD5C9C" w:rsidRPr="00501FF8" w:rsidRDefault="00DD5C9C" w:rsidP="003B5D42">
            <w:pPr>
              <w:jc w:val="center"/>
              <w:rPr>
                <w:rFonts w:cs="Arial"/>
                <w:sz w:val="18"/>
                <w:szCs w:val="18"/>
                <w:lang w:bidi="ar-SA"/>
              </w:rPr>
            </w:pPr>
            <w:r w:rsidRPr="00501FF8">
              <w:rPr>
                <w:rFonts w:cs="Arial"/>
                <w:sz w:val="18"/>
                <w:szCs w:val="18"/>
                <w:lang w:bidi="ar-SA"/>
              </w:rPr>
              <w:t>33</w:t>
            </w:r>
          </w:p>
        </w:tc>
      </w:tr>
      <w:tr w:rsidR="00DD5C9C" w:rsidRPr="005B16F8" w14:paraId="25B5DC2D"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28"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29" w14:textId="77777777"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2A" w14:textId="77777777" w:rsidR="00DD5C9C" w:rsidRPr="00501FF8" w:rsidRDefault="00DD5C9C" w:rsidP="003B5D42">
            <w:pPr>
              <w:jc w:val="center"/>
              <w:rPr>
                <w:rFonts w:cs="Arial"/>
                <w:sz w:val="18"/>
                <w:szCs w:val="18"/>
                <w:lang w:bidi="ar-SA"/>
              </w:rPr>
            </w:pPr>
            <w:r w:rsidRPr="00501FF8">
              <w:rPr>
                <w:rFonts w:cs="Arial"/>
                <w:sz w:val="18"/>
                <w:szCs w:val="18"/>
                <w:lang w:bidi="ar-SA"/>
              </w:rPr>
              <w:t>35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2B" w14:textId="77777777" w:rsidR="00DD5C9C" w:rsidRPr="00501FF8" w:rsidRDefault="00DD5C9C" w:rsidP="003B5D42">
            <w:pPr>
              <w:jc w:val="center"/>
              <w:rPr>
                <w:rFonts w:cs="Arial"/>
                <w:sz w:val="18"/>
                <w:szCs w:val="18"/>
                <w:lang w:bidi="ar-SA"/>
              </w:rPr>
            </w:pPr>
            <w:r w:rsidRPr="00501FF8">
              <w:rPr>
                <w:rFonts w:cs="Arial"/>
                <w:sz w:val="18"/>
                <w:szCs w:val="18"/>
                <w:lang w:bidi="ar-SA"/>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2C" w14:textId="77777777" w:rsidR="00DD5C9C" w:rsidRPr="00501FF8" w:rsidRDefault="00DD5C9C" w:rsidP="003B5D42">
            <w:pPr>
              <w:jc w:val="center"/>
              <w:rPr>
                <w:rFonts w:cs="Arial"/>
                <w:sz w:val="18"/>
                <w:szCs w:val="18"/>
                <w:lang w:bidi="ar-SA"/>
              </w:rPr>
            </w:pPr>
            <w:r w:rsidRPr="00501FF8">
              <w:rPr>
                <w:rFonts w:cs="Arial"/>
                <w:sz w:val="18"/>
                <w:szCs w:val="18"/>
                <w:lang w:bidi="ar-SA"/>
              </w:rPr>
              <w:t>58</w:t>
            </w:r>
          </w:p>
        </w:tc>
      </w:tr>
      <w:tr w:rsidR="00DD5C9C" w:rsidRPr="005B16F8" w14:paraId="25B5DC33"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2E" w14:textId="77777777" w:rsidR="00DD5C9C" w:rsidRPr="00501FF8" w:rsidRDefault="00DD5C9C" w:rsidP="003B5D42">
            <w:pPr>
              <w:rPr>
                <w:rFonts w:cs="Arial"/>
                <w:sz w:val="18"/>
                <w:szCs w:val="18"/>
                <w:lang w:bidi="ar-SA"/>
              </w:rPr>
            </w:pPr>
            <w:r w:rsidRPr="00501FF8">
              <w:rPr>
                <w:rFonts w:cs="Arial"/>
                <w:sz w:val="18"/>
                <w:szCs w:val="18"/>
                <w:lang w:bidi="ar-SA"/>
              </w:rPr>
              <w:t>All Pacific</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2F"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30" w14:textId="77777777" w:rsidR="00DD5C9C" w:rsidRPr="00501FF8" w:rsidRDefault="00DD5C9C" w:rsidP="003B5D42">
            <w:pPr>
              <w:jc w:val="center"/>
              <w:rPr>
                <w:rFonts w:cs="Arial"/>
                <w:sz w:val="18"/>
                <w:szCs w:val="18"/>
                <w:lang w:bidi="ar-SA"/>
              </w:rPr>
            </w:pPr>
            <w:r w:rsidRPr="00501FF8">
              <w:rPr>
                <w:rFonts w:cs="Arial"/>
                <w:sz w:val="18"/>
                <w:szCs w:val="18"/>
                <w:lang w:bidi="ar-SA"/>
              </w:rPr>
              <w:t>36</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1" w14:textId="77777777" w:rsidR="00DD5C9C" w:rsidRPr="00501FF8" w:rsidRDefault="00DD5C9C" w:rsidP="003B5D42">
            <w:pPr>
              <w:jc w:val="center"/>
              <w:rPr>
                <w:rFonts w:cs="Arial"/>
                <w:sz w:val="18"/>
                <w:szCs w:val="18"/>
                <w:lang w:bidi="ar-SA"/>
              </w:rPr>
            </w:pPr>
            <w:r w:rsidRPr="00501FF8">
              <w:rPr>
                <w:rFonts w:cs="Arial"/>
                <w:sz w:val="18"/>
                <w:szCs w:val="18"/>
                <w:lang w:bidi="ar-SA"/>
              </w:rPr>
              <w:t>8</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2" w14:textId="77777777" w:rsidR="00DD5C9C" w:rsidRPr="00501FF8" w:rsidRDefault="00DD5C9C" w:rsidP="003B5D42">
            <w:pPr>
              <w:jc w:val="center"/>
              <w:rPr>
                <w:rFonts w:cs="Arial"/>
                <w:sz w:val="18"/>
                <w:szCs w:val="18"/>
                <w:lang w:bidi="ar-SA"/>
              </w:rPr>
            </w:pPr>
            <w:r w:rsidRPr="00501FF8">
              <w:rPr>
                <w:rFonts w:cs="Arial"/>
                <w:sz w:val="18"/>
                <w:szCs w:val="18"/>
                <w:lang w:bidi="ar-SA"/>
              </w:rPr>
              <w:t>59</w:t>
            </w:r>
          </w:p>
        </w:tc>
      </w:tr>
      <w:tr w:rsidR="00DD5C9C" w:rsidRPr="005B16F8" w14:paraId="25B5DC39"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4" w14:textId="77777777" w:rsidR="00DD5C9C" w:rsidRPr="00501FF8" w:rsidRDefault="00DD5C9C" w:rsidP="003B5D42">
            <w:pPr>
              <w:ind w:left="474"/>
              <w:rPr>
                <w:rFonts w:cs="Arial"/>
                <w:sz w:val="18"/>
                <w:szCs w:val="18"/>
                <w:lang w:bidi="ar-SA"/>
              </w:rPr>
            </w:pPr>
            <w:r w:rsidRPr="00501FF8">
              <w:rPr>
                <w:rFonts w:cs="Arial"/>
                <w:sz w:val="18"/>
                <w:szCs w:val="18"/>
                <w:lang w:bidi="ar-SA"/>
              </w:rPr>
              <w:t>Pacific boys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35"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36" w14:textId="77777777" w:rsidR="00DD5C9C" w:rsidRPr="00501FF8" w:rsidRDefault="00DD5C9C" w:rsidP="003B5D42">
            <w:pPr>
              <w:jc w:val="center"/>
              <w:rPr>
                <w:rFonts w:cs="Arial"/>
                <w:sz w:val="18"/>
                <w:szCs w:val="18"/>
                <w:lang w:bidi="ar-SA"/>
              </w:rPr>
            </w:pPr>
            <w:r w:rsidRPr="00501FF8">
              <w:rPr>
                <w:rFonts w:cs="Arial"/>
                <w:sz w:val="18"/>
                <w:szCs w:val="18"/>
                <w:lang w:bidi="ar-SA"/>
              </w:rPr>
              <w:t>38</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7" w14:textId="77777777" w:rsidR="00DD5C9C" w:rsidRPr="00501FF8" w:rsidRDefault="00DD5C9C" w:rsidP="003B5D42">
            <w:pPr>
              <w:jc w:val="center"/>
              <w:rPr>
                <w:rFonts w:cs="Arial"/>
                <w:sz w:val="18"/>
                <w:szCs w:val="18"/>
                <w:lang w:bidi="ar-SA"/>
              </w:rPr>
            </w:pPr>
            <w:r w:rsidRPr="00501FF8">
              <w:rPr>
                <w:rFonts w:cs="Arial"/>
                <w:sz w:val="18"/>
                <w:szCs w:val="18"/>
                <w:lang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8" w14:textId="77777777" w:rsidR="00DD5C9C" w:rsidRPr="00501FF8" w:rsidRDefault="00DD5C9C" w:rsidP="003B5D42">
            <w:pPr>
              <w:jc w:val="center"/>
              <w:rPr>
                <w:rFonts w:cs="Arial"/>
                <w:sz w:val="18"/>
                <w:szCs w:val="18"/>
                <w:lang w:bidi="ar-SA"/>
              </w:rPr>
            </w:pPr>
            <w:r w:rsidRPr="00501FF8">
              <w:rPr>
                <w:rFonts w:cs="Arial"/>
                <w:sz w:val="18"/>
                <w:szCs w:val="18"/>
                <w:lang w:bidi="ar-SA"/>
              </w:rPr>
              <w:t>53</w:t>
            </w:r>
          </w:p>
        </w:tc>
      </w:tr>
      <w:tr w:rsidR="00DD5C9C" w:rsidRPr="005B16F8" w14:paraId="25B5DC3F"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A"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3B" w14:textId="77777777"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3C" w14:textId="77777777" w:rsidR="00DD5C9C" w:rsidRPr="00501FF8" w:rsidRDefault="00DD5C9C" w:rsidP="003B5D42">
            <w:pPr>
              <w:jc w:val="center"/>
              <w:rPr>
                <w:rFonts w:cs="Arial"/>
                <w:sz w:val="18"/>
                <w:szCs w:val="18"/>
                <w:lang w:bidi="ar-SA"/>
              </w:rPr>
            </w:pPr>
            <w:r w:rsidRPr="00501FF8">
              <w:rPr>
                <w:rFonts w:cs="Arial"/>
                <w:sz w:val="18"/>
                <w:szCs w:val="18"/>
                <w:lang w:bidi="ar-SA"/>
              </w:rPr>
              <w:t>42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D" w14:textId="77777777" w:rsidR="00DD5C9C" w:rsidRPr="00501FF8" w:rsidRDefault="00DD5C9C" w:rsidP="003B5D42">
            <w:pPr>
              <w:jc w:val="center"/>
              <w:rPr>
                <w:rFonts w:cs="Arial"/>
                <w:sz w:val="18"/>
                <w:szCs w:val="18"/>
                <w:lang w:bidi="ar-SA"/>
              </w:rPr>
            </w:pPr>
            <w:r w:rsidRPr="00501FF8">
              <w:rPr>
                <w:rFonts w:cs="Arial"/>
                <w:sz w:val="18"/>
                <w:szCs w:val="18"/>
                <w:lang w:bidi="ar-SA"/>
              </w:rPr>
              <w:t>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3E" w14:textId="77777777" w:rsidR="00DD5C9C" w:rsidRPr="00501FF8" w:rsidRDefault="00DD5C9C" w:rsidP="003B5D42">
            <w:pPr>
              <w:jc w:val="center"/>
              <w:rPr>
                <w:rFonts w:cs="Arial"/>
                <w:sz w:val="18"/>
                <w:szCs w:val="18"/>
                <w:lang w:bidi="ar-SA"/>
              </w:rPr>
            </w:pPr>
            <w:r w:rsidRPr="00501FF8">
              <w:rPr>
                <w:rFonts w:cs="Arial"/>
                <w:sz w:val="18"/>
                <w:szCs w:val="18"/>
                <w:lang w:bidi="ar-SA"/>
              </w:rPr>
              <w:t>49</w:t>
            </w:r>
          </w:p>
        </w:tc>
      </w:tr>
      <w:tr w:rsidR="00DD5C9C" w:rsidRPr="005B16F8" w14:paraId="25B5DC45"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0"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41" w14:textId="77777777"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42" w14:textId="77777777" w:rsidR="00DD5C9C" w:rsidRPr="00501FF8" w:rsidRDefault="00DD5C9C" w:rsidP="003B5D42">
            <w:pPr>
              <w:jc w:val="center"/>
              <w:rPr>
                <w:rFonts w:cs="Arial"/>
                <w:sz w:val="18"/>
                <w:szCs w:val="18"/>
                <w:lang w:bidi="ar-SA"/>
              </w:rPr>
            </w:pPr>
            <w:r w:rsidRPr="00501FF8">
              <w:rPr>
                <w:rFonts w:cs="Arial"/>
                <w:sz w:val="18"/>
                <w:szCs w:val="18"/>
                <w:lang w:bidi="ar-SA"/>
              </w:rPr>
              <w:t>40</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3" w14:textId="77777777" w:rsidR="00DD5C9C" w:rsidRPr="00501FF8" w:rsidRDefault="00DD5C9C" w:rsidP="003B5D42">
            <w:pPr>
              <w:jc w:val="center"/>
              <w:rPr>
                <w:rFonts w:cs="Arial"/>
                <w:sz w:val="18"/>
                <w:szCs w:val="18"/>
                <w:lang w:bidi="ar-SA"/>
              </w:rPr>
            </w:pPr>
            <w:r w:rsidRPr="00501FF8">
              <w:rPr>
                <w:rFonts w:cs="Arial"/>
                <w:sz w:val="18"/>
                <w:szCs w:val="18"/>
                <w:lang w:bidi="ar-SA"/>
              </w:rPr>
              <w:t>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4" w14:textId="77777777" w:rsidR="00DD5C9C" w:rsidRPr="00501FF8" w:rsidRDefault="00DD5C9C" w:rsidP="003B5D42">
            <w:pPr>
              <w:jc w:val="center"/>
              <w:rPr>
                <w:rFonts w:cs="Arial"/>
                <w:sz w:val="18"/>
                <w:szCs w:val="18"/>
                <w:lang w:bidi="ar-SA"/>
              </w:rPr>
            </w:pPr>
            <w:r w:rsidRPr="00501FF8">
              <w:rPr>
                <w:rFonts w:cs="Arial"/>
                <w:sz w:val="18"/>
                <w:szCs w:val="18"/>
                <w:lang w:bidi="ar-SA"/>
              </w:rPr>
              <w:t>50</w:t>
            </w:r>
          </w:p>
        </w:tc>
      </w:tr>
      <w:tr w:rsidR="00DD5C9C" w:rsidRPr="005B16F8" w14:paraId="25B5DC4B"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6"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47" w14:textId="77777777"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48" w14:textId="77777777" w:rsidR="00DD5C9C" w:rsidRPr="00501FF8" w:rsidRDefault="00DD5C9C" w:rsidP="003B5D42">
            <w:pPr>
              <w:jc w:val="center"/>
              <w:rPr>
                <w:rFonts w:cs="Arial"/>
                <w:sz w:val="18"/>
                <w:szCs w:val="18"/>
                <w:lang w:bidi="ar-SA"/>
              </w:rPr>
            </w:pPr>
            <w:r w:rsidRPr="00501FF8">
              <w:rPr>
                <w:rFonts w:cs="Arial"/>
                <w:sz w:val="18"/>
                <w:szCs w:val="18"/>
                <w:lang w:bidi="ar-SA"/>
              </w:rPr>
              <w:t>36</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9" w14:textId="77777777" w:rsidR="00DD5C9C" w:rsidRPr="00501FF8" w:rsidRDefault="00DD5C9C" w:rsidP="003B5D42">
            <w:pPr>
              <w:jc w:val="center"/>
              <w:rPr>
                <w:rFonts w:cs="Arial"/>
                <w:sz w:val="18"/>
                <w:szCs w:val="18"/>
                <w:lang w:bidi="ar-SA"/>
              </w:rPr>
            </w:pPr>
            <w:r w:rsidRPr="00501FF8">
              <w:rPr>
                <w:rFonts w:cs="Arial"/>
                <w:sz w:val="18"/>
                <w:szCs w:val="18"/>
                <w:lang w:bidi="ar-SA"/>
              </w:rPr>
              <w:t>10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A" w14:textId="77777777" w:rsidR="00DD5C9C" w:rsidRPr="00501FF8" w:rsidRDefault="00DD5C9C" w:rsidP="003B5D42">
            <w:pPr>
              <w:jc w:val="center"/>
              <w:rPr>
                <w:rFonts w:cs="Arial"/>
                <w:sz w:val="18"/>
                <w:szCs w:val="18"/>
                <w:lang w:bidi="ar-SA"/>
              </w:rPr>
            </w:pPr>
            <w:r w:rsidRPr="00501FF8">
              <w:rPr>
                <w:rFonts w:cs="Arial"/>
                <w:sz w:val="18"/>
                <w:szCs w:val="18"/>
                <w:lang w:bidi="ar-SA"/>
              </w:rPr>
              <w:t>61</w:t>
            </w:r>
          </w:p>
        </w:tc>
      </w:tr>
      <w:tr w:rsidR="00DD5C9C" w:rsidRPr="005B16F8" w14:paraId="25B5DC51"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C" w14:textId="77777777" w:rsidR="00DD5C9C" w:rsidRPr="00501FF8" w:rsidRDefault="00DD5C9C" w:rsidP="003B5D42">
            <w:pPr>
              <w:ind w:left="474"/>
              <w:rPr>
                <w:rFonts w:cs="Arial"/>
                <w:sz w:val="18"/>
                <w:szCs w:val="18"/>
                <w:lang w:bidi="ar-SA"/>
              </w:rPr>
            </w:pPr>
            <w:r w:rsidRPr="00501FF8">
              <w:rPr>
                <w:rFonts w:cs="Arial"/>
                <w:sz w:val="18"/>
                <w:szCs w:val="18"/>
                <w:lang w:bidi="ar-SA"/>
              </w:rPr>
              <w:t>Pacific girls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4D"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4E" w14:textId="77777777" w:rsidR="00DD5C9C" w:rsidRPr="00501FF8" w:rsidRDefault="00DD5C9C" w:rsidP="003B5D42">
            <w:pPr>
              <w:jc w:val="center"/>
              <w:rPr>
                <w:rFonts w:cs="Arial"/>
                <w:sz w:val="18"/>
                <w:szCs w:val="18"/>
                <w:lang w:bidi="ar-SA"/>
              </w:rPr>
            </w:pPr>
            <w:r w:rsidRPr="00501FF8">
              <w:rPr>
                <w:rFonts w:cs="Arial"/>
                <w:sz w:val="18"/>
                <w:szCs w:val="18"/>
                <w:lang w:bidi="ar-SA"/>
              </w:rPr>
              <w:t>34</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4F" w14:textId="77777777" w:rsidR="00DD5C9C" w:rsidRPr="00501FF8" w:rsidRDefault="00DD5C9C" w:rsidP="003B5D42">
            <w:pPr>
              <w:jc w:val="center"/>
              <w:rPr>
                <w:rFonts w:cs="Arial"/>
                <w:sz w:val="18"/>
                <w:szCs w:val="18"/>
                <w:lang w:bidi="ar-SA"/>
              </w:rPr>
            </w:pPr>
            <w:r w:rsidRPr="00501FF8">
              <w:rPr>
                <w:rFonts w:cs="Arial"/>
                <w:sz w:val="18"/>
                <w:szCs w:val="18"/>
                <w:lang w:bidi="ar-SA"/>
              </w:rPr>
              <w:t>9</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0" w14:textId="77777777" w:rsidR="00DD5C9C" w:rsidRPr="00501FF8" w:rsidRDefault="00DD5C9C" w:rsidP="003B5D42">
            <w:pPr>
              <w:jc w:val="center"/>
              <w:rPr>
                <w:rFonts w:cs="Arial"/>
                <w:sz w:val="18"/>
                <w:szCs w:val="18"/>
                <w:lang w:bidi="ar-SA"/>
              </w:rPr>
            </w:pPr>
            <w:r w:rsidRPr="00501FF8">
              <w:rPr>
                <w:rFonts w:cs="Arial"/>
                <w:sz w:val="18"/>
                <w:szCs w:val="18"/>
                <w:lang w:bidi="ar-SA"/>
              </w:rPr>
              <w:t>64</w:t>
            </w:r>
          </w:p>
        </w:tc>
      </w:tr>
      <w:tr w:rsidR="00DD5C9C" w:rsidRPr="005B16F8" w14:paraId="25B5DC57"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2"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53" w14:textId="77777777" w:rsidR="00DD5C9C" w:rsidRPr="00501FF8" w:rsidRDefault="00DD5C9C" w:rsidP="003B5D42">
            <w:pPr>
              <w:jc w:val="center"/>
              <w:rPr>
                <w:rFonts w:cs="Arial"/>
                <w:sz w:val="18"/>
                <w:szCs w:val="18"/>
                <w:lang w:bidi="ar-SA"/>
              </w:rPr>
            </w:pPr>
            <w:r w:rsidRPr="00501FF8">
              <w:rPr>
                <w:rFonts w:cs="Arial"/>
                <w:sz w:val="18"/>
                <w:szCs w:val="18"/>
                <w:lang w:bidi="ar-SA"/>
              </w:rPr>
              <w:t>5–6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54" w14:textId="77777777" w:rsidR="00DD5C9C" w:rsidRPr="00501FF8" w:rsidRDefault="00DD5C9C" w:rsidP="003B5D42">
            <w:pPr>
              <w:jc w:val="center"/>
              <w:rPr>
                <w:rFonts w:cs="Arial"/>
                <w:sz w:val="18"/>
                <w:szCs w:val="18"/>
                <w:lang w:bidi="ar-SA"/>
              </w:rPr>
            </w:pPr>
            <w:r w:rsidRPr="00501FF8">
              <w:rPr>
                <w:rFonts w:cs="Arial"/>
                <w:sz w:val="18"/>
                <w:szCs w:val="18"/>
                <w:lang w:bidi="ar-SA"/>
              </w:rPr>
              <w:t>39</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5" w14:textId="77777777"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6" w14:textId="77777777" w:rsidR="00DD5C9C" w:rsidRPr="00501FF8" w:rsidRDefault="00DD5C9C" w:rsidP="003B5D42">
            <w:pPr>
              <w:jc w:val="center"/>
              <w:rPr>
                <w:rFonts w:cs="Arial"/>
                <w:sz w:val="18"/>
                <w:szCs w:val="18"/>
                <w:lang w:bidi="ar-SA"/>
              </w:rPr>
            </w:pPr>
            <w:r w:rsidRPr="00501FF8">
              <w:rPr>
                <w:rFonts w:cs="Arial"/>
                <w:sz w:val="18"/>
                <w:szCs w:val="18"/>
                <w:lang w:bidi="ar-SA"/>
              </w:rPr>
              <w:t>47</w:t>
            </w:r>
          </w:p>
        </w:tc>
      </w:tr>
      <w:tr w:rsidR="00DD5C9C" w:rsidRPr="005B16F8" w14:paraId="25B5DC5D"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8"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59" w14:textId="77777777" w:rsidR="00DD5C9C" w:rsidRPr="00501FF8" w:rsidRDefault="00DD5C9C" w:rsidP="003B5D42">
            <w:pPr>
              <w:jc w:val="center"/>
              <w:rPr>
                <w:rFonts w:cs="Arial"/>
                <w:sz w:val="18"/>
                <w:szCs w:val="18"/>
                <w:lang w:bidi="ar-SA"/>
              </w:rPr>
            </w:pPr>
            <w:r w:rsidRPr="00501FF8">
              <w:rPr>
                <w:rFonts w:cs="Arial"/>
                <w:sz w:val="18"/>
                <w:szCs w:val="18"/>
                <w:lang w:bidi="ar-SA"/>
              </w:rPr>
              <w:t>7–10</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5A" w14:textId="77777777" w:rsidR="00DD5C9C" w:rsidRPr="00501FF8" w:rsidRDefault="00DD5C9C" w:rsidP="003B5D42">
            <w:pPr>
              <w:jc w:val="center"/>
              <w:rPr>
                <w:rFonts w:cs="Arial"/>
                <w:sz w:val="18"/>
                <w:szCs w:val="18"/>
                <w:lang w:bidi="ar-SA"/>
              </w:rPr>
            </w:pPr>
            <w:r w:rsidRPr="00501FF8">
              <w:rPr>
                <w:rFonts w:cs="Arial"/>
                <w:sz w:val="18"/>
                <w:szCs w:val="18"/>
                <w:lang w:bidi="ar-SA"/>
              </w:rPr>
              <w:t>34</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B" w14:textId="77777777" w:rsidR="00DD5C9C" w:rsidRPr="00501FF8" w:rsidRDefault="00DD5C9C" w:rsidP="003B5D42">
            <w:pPr>
              <w:jc w:val="center"/>
              <w:rPr>
                <w:rFonts w:cs="Arial"/>
                <w:sz w:val="18"/>
                <w:szCs w:val="18"/>
                <w:lang w:bidi="ar-SA"/>
              </w:rPr>
            </w:pPr>
            <w:r w:rsidRPr="00501FF8">
              <w:rPr>
                <w:rFonts w:cs="Arial"/>
                <w:sz w:val="18"/>
                <w:szCs w:val="18"/>
                <w:lang w:bidi="ar-SA"/>
              </w:rPr>
              <w:t>8</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C" w14:textId="77777777" w:rsidR="00DD5C9C" w:rsidRPr="00501FF8" w:rsidRDefault="00DD5C9C" w:rsidP="003B5D42">
            <w:pPr>
              <w:jc w:val="center"/>
              <w:rPr>
                <w:rFonts w:cs="Arial"/>
                <w:sz w:val="18"/>
                <w:szCs w:val="18"/>
                <w:lang w:bidi="ar-SA"/>
              </w:rPr>
            </w:pPr>
            <w:r w:rsidRPr="00501FF8">
              <w:rPr>
                <w:rFonts w:cs="Arial"/>
                <w:sz w:val="18"/>
                <w:szCs w:val="18"/>
                <w:lang w:bidi="ar-SA"/>
              </w:rPr>
              <w:t>66</w:t>
            </w:r>
          </w:p>
        </w:tc>
      </w:tr>
      <w:tr w:rsidR="00DD5C9C" w:rsidRPr="005B16F8" w14:paraId="25B5DC63"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5E" w14:textId="77777777" w:rsidR="00DD5C9C" w:rsidRPr="00501FF8" w:rsidRDefault="00DD5C9C" w:rsidP="003B5D42">
            <w:pPr>
              <w:rPr>
                <w:rFonts w:cs="Arial"/>
                <w:sz w:val="18"/>
                <w:szCs w:val="18"/>
                <w:lang w:bidi="ar-S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5F" w14:textId="77777777" w:rsidR="00DD5C9C" w:rsidRPr="00501FF8" w:rsidRDefault="00DD5C9C" w:rsidP="003B5D42">
            <w:pPr>
              <w:jc w:val="center"/>
              <w:rPr>
                <w:rFonts w:cs="Arial"/>
                <w:sz w:val="18"/>
                <w:szCs w:val="18"/>
                <w:lang w:bidi="ar-SA"/>
              </w:rPr>
            </w:pPr>
            <w:r w:rsidRPr="00501FF8">
              <w:rPr>
                <w:rFonts w:cs="Arial"/>
                <w:sz w:val="18"/>
                <w:szCs w:val="18"/>
                <w:lang w:bidi="ar-SA"/>
              </w:rPr>
              <w:t>11–14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5DC60" w14:textId="77777777" w:rsidR="00DD5C9C" w:rsidRPr="00501FF8" w:rsidRDefault="00DD5C9C" w:rsidP="003B5D42">
            <w:pPr>
              <w:jc w:val="center"/>
              <w:rPr>
                <w:rFonts w:cs="Arial"/>
                <w:sz w:val="18"/>
                <w:szCs w:val="18"/>
                <w:lang w:bidi="ar-SA"/>
              </w:rPr>
            </w:pPr>
            <w:r w:rsidRPr="00501FF8">
              <w:rPr>
                <w:rFonts w:cs="Arial"/>
                <w:sz w:val="18"/>
                <w:szCs w:val="18"/>
                <w:lang w:bidi="ar-SA"/>
              </w:rPr>
              <w:t>32</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61" w14:textId="77777777" w:rsidR="00DD5C9C" w:rsidRPr="00501FF8" w:rsidRDefault="00DD5C9C" w:rsidP="003B5D42">
            <w:pPr>
              <w:jc w:val="center"/>
              <w:rPr>
                <w:rFonts w:cs="Arial"/>
                <w:sz w:val="18"/>
                <w:szCs w:val="18"/>
                <w:lang w:bidi="ar-SA"/>
              </w:rPr>
            </w:pPr>
            <w:r w:rsidRPr="00501FF8">
              <w:rPr>
                <w:rFonts w:cs="Arial"/>
                <w:sz w:val="18"/>
                <w:szCs w:val="18"/>
                <w:lang w:bidi="ar-SA"/>
              </w:rPr>
              <w:t>13</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5B5DC62" w14:textId="77777777" w:rsidR="00DD5C9C" w:rsidRPr="00501FF8" w:rsidRDefault="00DD5C9C" w:rsidP="003B5D42">
            <w:pPr>
              <w:jc w:val="center"/>
              <w:rPr>
                <w:rFonts w:cs="Arial"/>
                <w:sz w:val="18"/>
                <w:szCs w:val="18"/>
                <w:lang w:bidi="ar-SA"/>
              </w:rPr>
            </w:pPr>
            <w:r w:rsidRPr="00501FF8">
              <w:rPr>
                <w:rFonts w:cs="Arial"/>
                <w:sz w:val="18"/>
                <w:szCs w:val="18"/>
                <w:lang w:bidi="ar-SA"/>
              </w:rPr>
              <w:t>71</w:t>
            </w:r>
          </w:p>
        </w:tc>
      </w:tr>
      <w:tr w:rsidR="00DD5C9C" w:rsidRPr="005B16F8" w14:paraId="25B5DC69"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64" w14:textId="77777777" w:rsidR="00DD5C9C" w:rsidRPr="00501FF8" w:rsidRDefault="00DD5C9C" w:rsidP="003B5D42">
            <w:pPr>
              <w:rPr>
                <w:rFonts w:cs="Arial"/>
                <w:sz w:val="18"/>
                <w:szCs w:val="18"/>
                <w:lang w:bidi="ar-SA"/>
              </w:rPr>
            </w:pPr>
            <w:r w:rsidRPr="00501FF8">
              <w:rPr>
                <w:rFonts w:cs="Arial"/>
                <w:sz w:val="18"/>
                <w:szCs w:val="18"/>
                <w:lang w:bidi="ar-SA"/>
              </w:rPr>
              <w:t>All children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5" w14:textId="77777777" w:rsidR="00DD5C9C" w:rsidRPr="00501FF8" w:rsidRDefault="00DD5C9C" w:rsidP="003B5D42">
            <w:pPr>
              <w:jc w:val="center"/>
              <w:rPr>
                <w:rFonts w:cs="Arial"/>
                <w:sz w:val="18"/>
                <w:szCs w:val="18"/>
                <w:lang w:bidi="ar-SA"/>
              </w:rPr>
            </w:pPr>
            <w:r w:rsidRPr="00501FF8">
              <w:rPr>
                <w:rFonts w:cs="Arial"/>
                <w:sz w:val="18"/>
                <w:szCs w:val="18"/>
                <w:lang w:bidi="ar-SA"/>
              </w:rPr>
              <w:t>5–14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6" w14:textId="77777777" w:rsidR="00DD5C9C" w:rsidRPr="00501FF8" w:rsidRDefault="00DD5C9C" w:rsidP="003B5D42">
            <w:pPr>
              <w:jc w:val="center"/>
              <w:rPr>
                <w:rFonts w:cs="Arial"/>
                <w:sz w:val="18"/>
                <w:szCs w:val="18"/>
                <w:lang w:bidi="ar-SA"/>
              </w:rPr>
            </w:pP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7" w14:textId="77777777" w:rsidR="00DD5C9C" w:rsidRPr="00501FF8" w:rsidRDefault="00DD5C9C" w:rsidP="003B5D42">
            <w:pPr>
              <w:jc w:val="center"/>
              <w:rPr>
                <w:rFonts w:cs="Arial"/>
                <w:sz w:val="18"/>
                <w:szCs w:val="18"/>
                <w:lang w:bidi="ar-SA"/>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8" w14:textId="77777777" w:rsidR="00DD5C9C" w:rsidRPr="00501FF8" w:rsidRDefault="00DD5C9C" w:rsidP="003B5D42">
            <w:pPr>
              <w:jc w:val="center"/>
              <w:rPr>
                <w:rFonts w:cs="Arial"/>
                <w:sz w:val="18"/>
                <w:szCs w:val="18"/>
                <w:lang w:bidi="ar-SA"/>
              </w:rPr>
            </w:pPr>
          </w:p>
        </w:tc>
      </w:tr>
      <w:tr w:rsidR="00DD5C9C" w:rsidRPr="005B16F8" w14:paraId="25B5DC6F"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6A" w14:textId="77777777" w:rsidR="00DD5C9C" w:rsidRPr="00501FF8" w:rsidRDefault="00DD5C9C" w:rsidP="003B5D42">
            <w:pPr>
              <w:ind w:left="474"/>
              <w:rPr>
                <w:rFonts w:cs="Arial"/>
                <w:sz w:val="18"/>
                <w:szCs w:val="18"/>
                <w:lang w:bidi="ar-SA"/>
              </w:rPr>
            </w:pPr>
            <w:r w:rsidRPr="00501FF8">
              <w:rPr>
                <w:rFonts w:cs="Arial"/>
                <w:sz w:val="18"/>
                <w:szCs w:val="18"/>
                <w:lang w:bidi="ar-SA"/>
              </w:rPr>
              <w:t>Winter</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B" w14:textId="77777777"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C" w14:textId="77777777" w:rsidR="00DD5C9C" w:rsidRPr="00501FF8" w:rsidRDefault="00DD5C9C" w:rsidP="003B5D42">
            <w:pPr>
              <w:jc w:val="center"/>
              <w:rPr>
                <w:rFonts w:cs="Arial"/>
                <w:sz w:val="18"/>
                <w:szCs w:val="18"/>
                <w:lang w:bidi="ar-SA"/>
              </w:rPr>
            </w:pPr>
            <w:r w:rsidRPr="00501FF8">
              <w:rPr>
                <w:rFonts w:cs="Arial"/>
                <w:sz w:val="18"/>
                <w:szCs w:val="18"/>
                <w:lang w:bidi="ar-SA"/>
              </w:rPr>
              <w:t>43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D" w14:textId="77777777" w:rsidR="00DD5C9C" w:rsidRPr="00501FF8" w:rsidRDefault="00DD5C9C" w:rsidP="003B5D42">
            <w:pPr>
              <w:jc w:val="center"/>
              <w:rPr>
                <w:rFonts w:cs="Arial"/>
                <w:sz w:val="18"/>
                <w:szCs w:val="18"/>
                <w:lang w:bidi="ar-SA"/>
              </w:rPr>
            </w:pPr>
            <w:r w:rsidRPr="00501FF8">
              <w:rPr>
                <w:rFonts w:cs="Arial"/>
                <w:sz w:val="18"/>
                <w:szCs w:val="18"/>
                <w:lang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6E" w14:textId="77777777" w:rsidR="00DD5C9C" w:rsidRPr="00501FF8" w:rsidRDefault="00DD5C9C" w:rsidP="003B5D42">
            <w:pPr>
              <w:jc w:val="center"/>
              <w:rPr>
                <w:rFonts w:cs="Arial"/>
                <w:sz w:val="18"/>
                <w:szCs w:val="18"/>
                <w:lang w:bidi="ar-SA"/>
              </w:rPr>
            </w:pPr>
            <w:r w:rsidRPr="00501FF8">
              <w:rPr>
                <w:rFonts w:cs="Arial"/>
                <w:sz w:val="18"/>
                <w:szCs w:val="18"/>
                <w:lang w:bidi="ar-SA"/>
              </w:rPr>
              <w:t>42</w:t>
            </w:r>
          </w:p>
        </w:tc>
      </w:tr>
      <w:tr w:rsidR="00DD5C9C" w:rsidRPr="005B16F8" w14:paraId="25B5DC75"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70" w14:textId="77777777" w:rsidR="00DD5C9C" w:rsidRPr="00501FF8" w:rsidRDefault="00DD5C9C" w:rsidP="003B5D42">
            <w:pPr>
              <w:ind w:left="474"/>
              <w:rPr>
                <w:rFonts w:cs="Arial"/>
                <w:sz w:val="18"/>
                <w:szCs w:val="18"/>
                <w:lang w:bidi="ar-SA"/>
              </w:rPr>
            </w:pPr>
            <w:r w:rsidRPr="00501FF8">
              <w:rPr>
                <w:rFonts w:cs="Arial"/>
                <w:sz w:val="18"/>
                <w:szCs w:val="18"/>
                <w:lang w:bidi="ar-SA"/>
              </w:rPr>
              <w:t>Summer</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1" w14:textId="77777777"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2" w14:textId="77777777" w:rsidR="00DD5C9C" w:rsidRPr="00501FF8" w:rsidRDefault="00DD5C9C" w:rsidP="003B5D42">
            <w:pPr>
              <w:jc w:val="center"/>
              <w:rPr>
                <w:rFonts w:cs="Arial"/>
                <w:sz w:val="18"/>
                <w:szCs w:val="18"/>
                <w:lang w:bidi="ar-SA"/>
              </w:rPr>
            </w:pPr>
            <w:r w:rsidRPr="00501FF8">
              <w:rPr>
                <w:rFonts w:cs="Arial"/>
                <w:sz w:val="18"/>
                <w:szCs w:val="18"/>
                <w:lang w:bidi="ar-SA"/>
              </w:rPr>
              <w:t>58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3" w14:textId="77777777" w:rsidR="00DD5C9C" w:rsidRPr="00501FF8" w:rsidRDefault="00DD5C9C" w:rsidP="003B5D42">
            <w:pPr>
              <w:jc w:val="center"/>
              <w:rPr>
                <w:rFonts w:cs="Arial"/>
                <w:sz w:val="18"/>
                <w:szCs w:val="18"/>
                <w:lang w:bidi="ar-SA"/>
              </w:rPr>
            </w:pPr>
            <w:r w:rsidRPr="00501FF8">
              <w:rPr>
                <w:rFonts w:cs="Arial"/>
                <w:sz w:val="18"/>
                <w:szCs w:val="18"/>
                <w:lang w:bidi="ar-SA"/>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4" w14:textId="77777777" w:rsidR="00DD5C9C" w:rsidRPr="00501FF8" w:rsidRDefault="00DD5C9C" w:rsidP="003B5D42">
            <w:pPr>
              <w:jc w:val="center"/>
              <w:rPr>
                <w:rFonts w:cs="Arial"/>
                <w:sz w:val="18"/>
                <w:szCs w:val="18"/>
                <w:lang w:bidi="ar-SA"/>
              </w:rPr>
            </w:pPr>
            <w:r w:rsidRPr="00501FF8">
              <w:rPr>
                <w:rFonts w:cs="Arial"/>
                <w:sz w:val="18"/>
                <w:szCs w:val="18"/>
                <w:lang w:bidi="ar-SA"/>
              </w:rPr>
              <w:t>14</w:t>
            </w:r>
          </w:p>
        </w:tc>
      </w:tr>
      <w:tr w:rsidR="00DD5C9C" w:rsidRPr="005B16F8" w14:paraId="25B5DC7B"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76" w14:textId="77777777" w:rsidR="00DD5C9C" w:rsidRPr="00501FF8" w:rsidRDefault="00DD5C9C" w:rsidP="003B5D42">
            <w:pPr>
              <w:ind w:left="474"/>
              <w:rPr>
                <w:rFonts w:cs="Arial"/>
                <w:sz w:val="18"/>
                <w:szCs w:val="18"/>
                <w:lang w:bidi="ar-SA"/>
              </w:rPr>
            </w:pPr>
            <w:r w:rsidRPr="00501FF8">
              <w:rPr>
                <w:rFonts w:cs="Arial"/>
                <w:sz w:val="18"/>
                <w:szCs w:val="18"/>
                <w:lang w:bidi="ar-SA"/>
              </w:rPr>
              <w:t>South Island</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7" w14:textId="77777777"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8" w14:textId="77777777" w:rsidR="00DD5C9C" w:rsidRPr="00501FF8" w:rsidRDefault="00DD5C9C" w:rsidP="003B5D42">
            <w:pPr>
              <w:jc w:val="center"/>
              <w:rPr>
                <w:rFonts w:cs="Arial"/>
                <w:sz w:val="18"/>
                <w:szCs w:val="18"/>
                <w:lang w:bidi="ar-SA"/>
              </w:rPr>
            </w:pPr>
            <w:r w:rsidRPr="00501FF8">
              <w:rPr>
                <w:rFonts w:cs="Arial"/>
                <w:sz w:val="18"/>
                <w:szCs w:val="18"/>
                <w:lang w:bidi="ar-SA"/>
              </w:rPr>
              <w:t>48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9" w14:textId="77777777" w:rsidR="00DD5C9C" w:rsidRPr="00501FF8" w:rsidRDefault="00DD5C9C" w:rsidP="003B5D42">
            <w:pPr>
              <w:jc w:val="center"/>
              <w:rPr>
                <w:rFonts w:cs="Arial"/>
                <w:sz w:val="18"/>
                <w:szCs w:val="18"/>
                <w:lang w:bidi="ar-SA"/>
              </w:rPr>
            </w:pPr>
            <w:r w:rsidRPr="00501FF8">
              <w:rPr>
                <w:rFonts w:cs="Arial"/>
                <w:sz w:val="18"/>
                <w:szCs w:val="18"/>
                <w:lang w:bidi="ar-SA"/>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A" w14:textId="77777777" w:rsidR="00DD5C9C" w:rsidRPr="00501FF8" w:rsidRDefault="00DD5C9C" w:rsidP="003B5D42">
            <w:pPr>
              <w:jc w:val="center"/>
              <w:rPr>
                <w:rFonts w:cs="Arial"/>
                <w:sz w:val="18"/>
                <w:szCs w:val="18"/>
                <w:lang w:bidi="ar-SA"/>
              </w:rPr>
            </w:pPr>
            <w:r w:rsidRPr="00501FF8">
              <w:rPr>
                <w:rFonts w:cs="Arial"/>
                <w:sz w:val="18"/>
                <w:szCs w:val="18"/>
                <w:lang w:bidi="ar-SA"/>
              </w:rPr>
              <w:t>27</w:t>
            </w:r>
          </w:p>
        </w:tc>
      </w:tr>
      <w:tr w:rsidR="00DD5C9C" w:rsidRPr="005B16F8" w14:paraId="25B5DC81" w14:textId="77777777" w:rsidTr="003B5D42">
        <w:trPr>
          <w:trHeight w:val="283"/>
        </w:trPr>
        <w:tc>
          <w:tcPr>
            <w:tcW w:w="17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5DC7C" w14:textId="77777777" w:rsidR="00DD5C9C" w:rsidRPr="00501FF8" w:rsidRDefault="00DD5C9C" w:rsidP="003B5D42">
            <w:pPr>
              <w:ind w:left="474"/>
              <w:jc w:val="center"/>
              <w:rPr>
                <w:rFonts w:cs="Arial"/>
                <w:sz w:val="18"/>
                <w:szCs w:val="18"/>
                <w:lang w:bidi="ar-SA"/>
              </w:rPr>
            </w:pPr>
            <w:r w:rsidRPr="00501FF8">
              <w:rPr>
                <w:rFonts w:cs="Arial"/>
                <w:sz w:val="18"/>
                <w:szCs w:val="18"/>
                <w:lang w:bidi="ar-SA"/>
              </w:rPr>
              <w:t>North Island</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D" w14:textId="77777777" w:rsidR="00DD5C9C" w:rsidRPr="00501FF8" w:rsidRDefault="00DD5C9C" w:rsidP="003B5D42">
            <w:pPr>
              <w:jc w:val="center"/>
              <w:rPr>
                <w:rFonts w:cs="Arial"/>
                <w:sz w:val="18"/>
                <w:szCs w:val="18"/>
                <w:lang w:bidi="ar-SA"/>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E" w14:textId="77777777" w:rsidR="00DD5C9C" w:rsidRPr="00501FF8" w:rsidRDefault="00DD5C9C" w:rsidP="003B5D42">
            <w:pPr>
              <w:jc w:val="center"/>
              <w:rPr>
                <w:rFonts w:cs="Arial"/>
                <w:sz w:val="18"/>
                <w:szCs w:val="18"/>
                <w:lang w:bidi="ar-SA"/>
              </w:rPr>
            </w:pPr>
            <w:r w:rsidRPr="00501FF8">
              <w:rPr>
                <w:rFonts w:cs="Arial"/>
                <w:sz w:val="18"/>
                <w:szCs w:val="18"/>
                <w:lang w:bidi="ar-SA"/>
              </w:rPr>
              <w:t>50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7F" w14:textId="77777777" w:rsidR="00DD5C9C" w:rsidRPr="00501FF8" w:rsidRDefault="00DD5C9C" w:rsidP="003B5D42">
            <w:pPr>
              <w:jc w:val="center"/>
              <w:rPr>
                <w:rFonts w:cs="Arial"/>
                <w:sz w:val="18"/>
                <w:szCs w:val="18"/>
                <w:lang w:bidi="ar-SA"/>
              </w:rPr>
            </w:pPr>
            <w:r w:rsidRPr="00501FF8">
              <w:rPr>
                <w:rFonts w:cs="Arial"/>
                <w:sz w:val="18"/>
                <w:szCs w:val="18"/>
                <w:lang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5DC80" w14:textId="77777777" w:rsidR="00DD5C9C" w:rsidRPr="00501FF8" w:rsidRDefault="00DD5C9C" w:rsidP="003B5D42">
            <w:pPr>
              <w:jc w:val="center"/>
              <w:rPr>
                <w:rFonts w:cs="Arial"/>
                <w:sz w:val="18"/>
                <w:szCs w:val="18"/>
                <w:lang w:bidi="ar-SA"/>
              </w:rPr>
            </w:pPr>
            <w:r w:rsidRPr="00501FF8">
              <w:rPr>
                <w:rFonts w:cs="Arial"/>
                <w:sz w:val="18"/>
                <w:szCs w:val="18"/>
                <w:lang w:bidi="ar-SA"/>
              </w:rPr>
              <w:t>29</w:t>
            </w:r>
          </w:p>
        </w:tc>
      </w:tr>
    </w:tbl>
    <w:p w14:paraId="25B5DC82" w14:textId="77777777" w:rsidR="00DD5C9C" w:rsidRPr="00501FF8" w:rsidRDefault="00DD5C9C" w:rsidP="003B5D42">
      <w:pPr>
        <w:rPr>
          <w:sz w:val="16"/>
          <w:szCs w:val="16"/>
          <w:lang w:bidi="ar-SA"/>
        </w:rPr>
      </w:pPr>
      <w:r w:rsidRPr="00501FF8">
        <w:rPr>
          <w:sz w:val="20"/>
          <w:szCs w:val="20"/>
          <w:lang w:bidi="ar-SA"/>
        </w:rPr>
        <w:t>*</w:t>
      </w:r>
      <w:r w:rsidRPr="00501FF8">
        <w:rPr>
          <w:sz w:val="16"/>
          <w:szCs w:val="16"/>
          <w:lang w:bidi="ar-SA"/>
        </w:rPr>
        <w:t xml:space="preserve"> Source: Adapted from Table 2 and Table 4 in Rockell et al. (2005). Data were adjusted for survey weighting. </w:t>
      </w:r>
      <w:r w:rsidRPr="00501FF8">
        <w:rPr>
          <w:sz w:val="16"/>
          <w:szCs w:val="16"/>
          <w:lang w:bidi="ar-SA"/>
        </w:rPr>
        <w:br w:type="page"/>
      </w:r>
    </w:p>
    <w:p w14:paraId="25B5DC83" w14:textId="77777777" w:rsidR="00DD5C9C" w:rsidRPr="007B2A2E" w:rsidRDefault="00DD5C9C" w:rsidP="007B2A2E">
      <w:pPr>
        <w:pStyle w:val="Heading1"/>
      </w:pPr>
      <w:bookmarkStart w:id="49" w:name="_Toc406575715"/>
      <w:r w:rsidRPr="007B2A2E">
        <w:lastRenderedPageBreak/>
        <w:t>References</w:t>
      </w:r>
      <w:bookmarkEnd w:id="49"/>
    </w:p>
    <w:p w14:paraId="25B5DC84" w14:textId="77777777" w:rsidR="00DD5C9C" w:rsidRPr="00DD5C9C" w:rsidRDefault="00DD5C9C" w:rsidP="003B5D42">
      <w:pPr>
        <w:pStyle w:val="References"/>
        <w:outlineLvl w:val="9"/>
        <w:rPr>
          <w:sz w:val="20"/>
          <w:szCs w:val="20"/>
        </w:rPr>
      </w:pPr>
      <w:r w:rsidRPr="00DD5C9C">
        <w:rPr>
          <w:sz w:val="20"/>
          <w:szCs w:val="20"/>
        </w:rPr>
        <w:t>Abboud M, Gordon-Thomson C, Hoy AJ, Balaban S, Rybchyn MS, Cole L, Su Y, Brennan-Speranza TC, Fraser DR, Mason RS (2013a) Uptake of 25-hydroxyvitamin D by muscle and fat cells. J Steroid Biochem Mol Biol</w:t>
      </w:r>
      <w:r w:rsidR="00AF79AC">
        <w:rPr>
          <w:sz w:val="20"/>
          <w:szCs w:val="20"/>
        </w:rPr>
        <w:t xml:space="preserve"> 144 Part </w:t>
      </w:r>
      <w:r>
        <w:rPr>
          <w:sz w:val="20"/>
          <w:szCs w:val="20"/>
        </w:rPr>
        <w:t>A:232</w:t>
      </w:r>
      <w:r>
        <w:rPr>
          <w:sz w:val="20"/>
          <w:szCs w:val="20"/>
        </w:rPr>
        <w:sym w:font="Symbol" w:char="F02D"/>
      </w:r>
      <w:r w:rsidRPr="00DD5C9C">
        <w:rPr>
          <w:sz w:val="20"/>
          <w:szCs w:val="20"/>
        </w:rPr>
        <w:t>6</w:t>
      </w:r>
    </w:p>
    <w:p w14:paraId="25B5DC85" w14:textId="77777777" w:rsidR="00DD5C9C" w:rsidRPr="00DD5C9C" w:rsidRDefault="00DD5C9C" w:rsidP="003B5D42">
      <w:pPr>
        <w:pStyle w:val="References"/>
        <w:outlineLvl w:val="9"/>
        <w:rPr>
          <w:sz w:val="20"/>
          <w:szCs w:val="20"/>
        </w:rPr>
      </w:pPr>
      <w:r w:rsidRPr="00DD5C9C">
        <w:rPr>
          <w:sz w:val="20"/>
          <w:szCs w:val="20"/>
        </w:rPr>
        <w:t>Abboud M, Puglisi DA, Davies BN, Rybchyn M, Whitehead NP, Brock KE, Cole L, Gordon-Thomson C, Fraser DR, Mason RS (2013b) Evidence for a specific uptake and retention mechanism for 25-hydroxyvitamin D (25OHD) in skeletal muscle cells. Endocrinology 154(9):3022–3030</w:t>
      </w:r>
    </w:p>
    <w:p w14:paraId="25B5DC86" w14:textId="77777777" w:rsidR="00DD5C9C" w:rsidRPr="00DD5C9C" w:rsidRDefault="00DD5C9C" w:rsidP="003B5D42">
      <w:pPr>
        <w:pStyle w:val="References"/>
        <w:spacing w:after="0"/>
        <w:outlineLvl w:val="9"/>
        <w:rPr>
          <w:sz w:val="20"/>
          <w:szCs w:val="20"/>
        </w:rPr>
      </w:pPr>
      <w:r w:rsidRPr="00DD5C9C">
        <w:rPr>
          <w:sz w:val="20"/>
          <w:szCs w:val="20"/>
        </w:rPr>
        <w:t>ABS (2014a) Australian Health Survey: Biomedical Results for Nutrients, 2011 - 2012. Downloads. 4364.0.55.006. Australian Bureau of Statistics, Canberra.</w:t>
      </w:r>
    </w:p>
    <w:p w14:paraId="25B5DC87" w14:textId="77777777" w:rsidR="00DD5C9C" w:rsidRPr="00DD5C9C" w:rsidRDefault="009B582B" w:rsidP="003B5D42">
      <w:pPr>
        <w:pStyle w:val="References"/>
        <w:outlineLvl w:val="9"/>
        <w:rPr>
          <w:sz w:val="20"/>
          <w:szCs w:val="20"/>
        </w:rPr>
      </w:pPr>
      <w:hyperlink r:id="rId36" w:history="1">
        <w:r w:rsidR="00364678" w:rsidRPr="002108AA">
          <w:rPr>
            <w:rStyle w:val="Hyperlink"/>
            <w:sz w:val="20"/>
            <w:szCs w:val="20"/>
          </w:rPr>
          <w:t>http://www.abs.gov.au/AUSSTATS/abs@.nsf/DetailsPage/4364.0.55.0062011-12?OpenDocument</w:t>
        </w:r>
      </w:hyperlink>
      <w:r w:rsidR="00DD5C9C" w:rsidRPr="00DD5C9C">
        <w:rPr>
          <w:sz w:val="20"/>
          <w:szCs w:val="20"/>
        </w:rPr>
        <w:t>. Accessed 24 June 2014a</w:t>
      </w:r>
    </w:p>
    <w:p w14:paraId="25B5DC88" w14:textId="77777777" w:rsidR="00DD5C9C" w:rsidRPr="00DD5C9C" w:rsidRDefault="00DD5C9C" w:rsidP="003B5D42">
      <w:pPr>
        <w:pStyle w:val="References"/>
        <w:spacing w:after="0"/>
        <w:outlineLvl w:val="9"/>
        <w:rPr>
          <w:sz w:val="20"/>
          <w:szCs w:val="20"/>
        </w:rPr>
      </w:pPr>
      <w:r w:rsidRPr="00DD5C9C">
        <w:rPr>
          <w:sz w:val="20"/>
          <w:szCs w:val="20"/>
        </w:rPr>
        <w:t>ABS (2014b) Australian Health Survey: Biomedical Results for Nutrients, 2011 - 2012. Explanatory Notes. 4364.0.55.006. Australian Bureau of Statistics, Canberra.</w:t>
      </w:r>
    </w:p>
    <w:p w14:paraId="25B5DC89" w14:textId="77777777" w:rsidR="00DD5C9C" w:rsidRPr="00DD5C9C" w:rsidRDefault="009B582B" w:rsidP="003B5D42">
      <w:pPr>
        <w:pStyle w:val="References"/>
        <w:outlineLvl w:val="9"/>
        <w:rPr>
          <w:sz w:val="20"/>
          <w:szCs w:val="20"/>
        </w:rPr>
      </w:pPr>
      <w:hyperlink r:id="rId37" w:history="1">
        <w:r w:rsidR="00DD5C9C" w:rsidRPr="002108AA">
          <w:rPr>
            <w:rStyle w:val="Hyperlink"/>
            <w:sz w:val="20"/>
            <w:szCs w:val="20"/>
          </w:rPr>
          <w:t>http://www.abs.gov.au/ausstats/abs@.nsf/Latestproducts/4364.0.55.006Explanatory%20Notes602011-12?opendocument&amp;tabname=Notes&amp;prodno=4364.0.55.006&amp;issue=2011-12&amp;num=&amp;view=#</w:t>
        </w:r>
      </w:hyperlink>
      <w:r w:rsidR="00DD5C9C">
        <w:rPr>
          <w:sz w:val="20"/>
          <w:szCs w:val="20"/>
        </w:rPr>
        <w:t>.</w:t>
      </w:r>
      <w:r w:rsidR="00DD5C9C" w:rsidRPr="00DD5C9C">
        <w:rPr>
          <w:sz w:val="20"/>
          <w:szCs w:val="20"/>
        </w:rPr>
        <w:t>Accessed 24 June 2014b</w:t>
      </w:r>
    </w:p>
    <w:p w14:paraId="25B5DC8A" w14:textId="77777777" w:rsidR="00DD5C9C" w:rsidRPr="00DD5C9C" w:rsidRDefault="00DD5C9C" w:rsidP="003B5D42">
      <w:pPr>
        <w:pStyle w:val="References"/>
        <w:spacing w:after="0"/>
        <w:outlineLvl w:val="9"/>
        <w:rPr>
          <w:sz w:val="20"/>
          <w:szCs w:val="20"/>
        </w:rPr>
      </w:pPr>
      <w:r w:rsidRPr="00DD5C9C">
        <w:rPr>
          <w:sz w:val="20"/>
          <w:szCs w:val="20"/>
        </w:rPr>
        <w:t>ABS (2014c) Australian Health Survey: Users' Guide, 2011 - 2013. Vitamin D. 4364.0.55.006. Australian Bureau of Statistics, Canberra.</w:t>
      </w:r>
    </w:p>
    <w:p w14:paraId="25B5DC8B" w14:textId="77777777" w:rsidR="00DD5C9C" w:rsidRPr="00DD5C9C" w:rsidRDefault="009B582B" w:rsidP="003B5D42">
      <w:pPr>
        <w:pStyle w:val="References"/>
        <w:outlineLvl w:val="9"/>
        <w:rPr>
          <w:sz w:val="20"/>
          <w:szCs w:val="20"/>
        </w:rPr>
      </w:pPr>
      <w:hyperlink r:id="rId38" w:history="1">
        <w:r w:rsidR="00DD5C9C" w:rsidRPr="002108AA">
          <w:rPr>
            <w:rStyle w:val="Hyperlink"/>
            <w:sz w:val="20"/>
            <w:szCs w:val="20"/>
          </w:rPr>
          <w:t>http://www.abs.gov.au/ausstats/abs@.nsf/Lookup/A1EDAAF77352877CCA257CBA001A868D?opendocument</w:t>
        </w:r>
      </w:hyperlink>
      <w:r w:rsidR="00DD5C9C" w:rsidRPr="00DD5C9C">
        <w:rPr>
          <w:sz w:val="20"/>
          <w:szCs w:val="20"/>
        </w:rPr>
        <w:t>.</w:t>
      </w:r>
      <w:r w:rsidR="00DD5C9C">
        <w:rPr>
          <w:sz w:val="20"/>
          <w:szCs w:val="20"/>
        </w:rPr>
        <w:t xml:space="preserve"> </w:t>
      </w:r>
      <w:r w:rsidR="00DD5C9C" w:rsidRPr="00DD5C9C">
        <w:rPr>
          <w:sz w:val="20"/>
          <w:szCs w:val="20"/>
        </w:rPr>
        <w:t>Accessed 24 June 2014c</w:t>
      </w:r>
    </w:p>
    <w:p w14:paraId="25B5DC8C" w14:textId="77777777" w:rsidR="00DD5C9C" w:rsidRPr="00DD5C9C" w:rsidRDefault="00DD5C9C" w:rsidP="003B5D42">
      <w:pPr>
        <w:pStyle w:val="References"/>
        <w:outlineLvl w:val="9"/>
        <w:rPr>
          <w:sz w:val="20"/>
          <w:szCs w:val="20"/>
        </w:rPr>
      </w:pPr>
      <w:r w:rsidRPr="00DD5C9C">
        <w:rPr>
          <w:sz w:val="20"/>
          <w:szCs w:val="20"/>
        </w:rPr>
        <w:t>Autier P, Boniol M, Pizot C, Mullie P (2014) Vitamin D status and ill health: a systematic review. Lancet Diabetes Endocrinol 2(1):76–89</w:t>
      </w:r>
    </w:p>
    <w:p w14:paraId="25B5DC8D" w14:textId="77777777" w:rsidR="00DD5C9C" w:rsidRPr="00DD5C9C" w:rsidRDefault="00DD5C9C" w:rsidP="003B5D42">
      <w:pPr>
        <w:pStyle w:val="References"/>
        <w:outlineLvl w:val="9"/>
        <w:rPr>
          <w:sz w:val="20"/>
          <w:szCs w:val="20"/>
        </w:rPr>
      </w:pPr>
      <w:r w:rsidRPr="00DD5C9C">
        <w:rPr>
          <w:sz w:val="20"/>
          <w:szCs w:val="20"/>
        </w:rPr>
        <w:t>Black LJ, Seamans KM, Cashman KD, Kiely M (2012) An updated systematic review and meta-analysis of the efficacy of vitamin D food fortification. J Nutr 142(6):1102–1108</w:t>
      </w:r>
    </w:p>
    <w:p w14:paraId="25B5DC8E" w14:textId="77777777" w:rsidR="00DD5C9C" w:rsidRPr="00DD5C9C" w:rsidRDefault="00DD5C9C" w:rsidP="003B5D42">
      <w:pPr>
        <w:pStyle w:val="References"/>
        <w:outlineLvl w:val="9"/>
        <w:rPr>
          <w:sz w:val="20"/>
          <w:szCs w:val="20"/>
        </w:rPr>
      </w:pPr>
      <w:r w:rsidRPr="00DD5C9C">
        <w:rPr>
          <w:sz w:val="20"/>
          <w:szCs w:val="20"/>
        </w:rPr>
        <w:t>Bolland MJ, Grey A, Gamble GD, Reid IR (2014) The effect of vitamin D supplementation on skeletal, vascular, or cancer outcomes: a trial sequential meta-analysis. Lancet Diabetes Endocrinol 2(4):307–320</w:t>
      </w:r>
    </w:p>
    <w:p w14:paraId="25B5DC8F" w14:textId="77777777" w:rsidR="00DD5C9C" w:rsidRPr="00DD5C9C" w:rsidRDefault="00DD5C9C" w:rsidP="003B5D42">
      <w:pPr>
        <w:pStyle w:val="References"/>
        <w:outlineLvl w:val="9"/>
        <w:rPr>
          <w:sz w:val="20"/>
          <w:szCs w:val="20"/>
        </w:rPr>
      </w:pPr>
      <w:r w:rsidRPr="00DD5C9C">
        <w:rPr>
          <w:sz w:val="20"/>
          <w:szCs w:val="20"/>
        </w:rPr>
        <w:t>Carter GD (2012) 25-hydroxyvitamin D: a difficult analyte. Clin Chem 58(3):486–488</w:t>
      </w:r>
    </w:p>
    <w:p w14:paraId="25B5DC90" w14:textId="77777777" w:rsidR="00DD5C9C" w:rsidRPr="00DD5C9C" w:rsidRDefault="00DD5C9C" w:rsidP="003B5D42">
      <w:pPr>
        <w:pStyle w:val="References"/>
        <w:outlineLvl w:val="9"/>
        <w:rPr>
          <w:sz w:val="20"/>
          <w:szCs w:val="20"/>
        </w:rPr>
      </w:pPr>
      <w:r w:rsidRPr="00DD5C9C">
        <w:rPr>
          <w:sz w:val="20"/>
          <w:szCs w:val="20"/>
        </w:rPr>
        <w:t>Cashman KD, Seamans KM, Lucey AJ, Stocklin E, Weber P, Kiely M, Hill TR (2012) Relative effectiveness of oral 25-hydroxyvitamin D3 and vitamin D3 in raising wintertime serum 25-hydroxyvitamin D in older adults. Am J Clin Nutr 95(6):1350–1356</w:t>
      </w:r>
    </w:p>
    <w:p w14:paraId="25B5DC91" w14:textId="77777777" w:rsidR="00DD5C9C" w:rsidRPr="00DD5C9C" w:rsidRDefault="00DD5C9C" w:rsidP="003B5D42">
      <w:pPr>
        <w:pStyle w:val="References"/>
        <w:outlineLvl w:val="9"/>
        <w:rPr>
          <w:sz w:val="20"/>
          <w:szCs w:val="20"/>
        </w:rPr>
      </w:pPr>
      <w:r w:rsidRPr="00DD5C9C">
        <w:rPr>
          <w:sz w:val="20"/>
          <w:szCs w:val="20"/>
        </w:rPr>
        <w:t>Cashman KD, Kiely M, Kinsella M, Durazo-Arvizu RA, Tian L, Zhang Y, Lucey A, Flynn A, Gibney MJ, Vesper HW, Phinney KW, Coates PM, Picciano MF, Sempos CT (2013) Evaluation of Vitamin D Standardization Program protocols for standardizing serum 25-hydroxyvitamin D data: a case study of the program's potential for national nutrition and health surveys. Am J Clin Nutr</w:t>
      </w:r>
      <w:r>
        <w:rPr>
          <w:sz w:val="20"/>
          <w:szCs w:val="20"/>
        </w:rPr>
        <w:t xml:space="preserve"> 97(6):1235</w:t>
      </w:r>
      <w:r>
        <w:rPr>
          <w:sz w:val="20"/>
          <w:szCs w:val="20"/>
        </w:rPr>
        <w:sym w:font="Symbol" w:char="F02D"/>
      </w:r>
      <w:r>
        <w:rPr>
          <w:sz w:val="20"/>
          <w:szCs w:val="20"/>
        </w:rPr>
        <w:t>1242</w:t>
      </w:r>
    </w:p>
    <w:p w14:paraId="25B5DC92" w14:textId="77777777" w:rsidR="00DD5C9C" w:rsidRPr="00DD5C9C" w:rsidRDefault="00DD5C9C" w:rsidP="003B5D42">
      <w:pPr>
        <w:pStyle w:val="References"/>
        <w:outlineLvl w:val="9"/>
        <w:rPr>
          <w:sz w:val="20"/>
          <w:szCs w:val="20"/>
        </w:rPr>
      </w:pPr>
      <w:r w:rsidRPr="00DD5C9C">
        <w:rPr>
          <w:sz w:val="20"/>
          <w:szCs w:val="20"/>
        </w:rPr>
        <w:t>Chowdhury R, Kunutsor S, Vitezova A, Oliver-Williams C, Chowdhury S, Kiefte-de-Jong JC, Khan H, Baena CP, Prabhakaran D, Hoshen MB, Feldman BS, Pan A, Johnson L, Crowe F, Hu FB, Franco OH (2014) Vitamin D and risk of cause specific death: systematic review and meta-analysis of observational cohort and randomised intervention studies. BMJ 348:g1903</w:t>
      </w:r>
    </w:p>
    <w:p w14:paraId="25B5DC93" w14:textId="77777777" w:rsidR="00DD5C9C" w:rsidRPr="00DD5C9C" w:rsidRDefault="00DD5C9C" w:rsidP="003B5D42">
      <w:pPr>
        <w:pStyle w:val="References"/>
        <w:outlineLvl w:val="9"/>
        <w:rPr>
          <w:sz w:val="20"/>
          <w:szCs w:val="20"/>
        </w:rPr>
      </w:pPr>
      <w:r w:rsidRPr="00DD5C9C">
        <w:rPr>
          <w:sz w:val="20"/>
          <w:szCs w:val="20"/>
        </w:rPr>
        <w:t>Clements MR, Johnson L, Fraser DR (1987) A new mechanism for induced vitamin D deficiency in calcium deprivation. Nature 325(6099):62–65</w:t>
      </w:r>
    </w:p>
    <w:p w14:paraId="25B5DC94" w14:textId="77777777" w:rsidR="00DD5C9C" w:rsidRPr="00DD5C9C" w:rsidRDefault="00DD5C9C" w:rsidP="003B5D42">
      <w:pPr>
        <w:pStyle w:val="References"/>
        <w:outlineLvl w:val="9"/>
        <w:rPr>
          <w:sz w:val="20"/>
          <w:szCs w:val="20"/>
        </w:rPr>
      </w:pPr>
      <w:r w:rsidRPr="00DD5C9C">
        <w:rPr>
          <w:sz w:val="20"/>
          <w:szCs w:val="20"/>
        </w:rPr>
        <w:t>Connell AB, Jenkins N, Black M, Pasco JA, Kotowicz MA, Schneider HG (2011) Overreporting of vitamin D deficiency with the Roche Elecsys Vitamin D3 (25-OH) method. Pathology 43(4):368–371</w:t>
      </w:r>
    </w:p>
    <w:p w14:paraId="25B5DC95" w14:textId="77777777" w:rsidR="00DD5C9C" w:rsidRPr="00DD5C9C" w:rsidRDefault="00DD5C9C" w:rsidP="003B5D42">
      <w:pPr>
        <w:pStyle w:val="References"/>
        <w:outlineLvl w:val="9"/>
        <w:rPr>
          <w:sz w:val="20"/>
          <w:szCs w:val="20"/>
        </w:rPr>
      </w:pPr>
      <w:r w:rsidRPr="00DD5C9C">
        <w:rPr>
          <w:sz w:val="20"/>
          <w:szCs w:val="20"/>
        </w:rPr>
        <w:lastRenderedPageBreak/>
        <w:t>Daly RM, Gagnon C, Lu ZX, Magliano DJ, Dunstan DW, Sikaris KA, Zimmet PZ, Ebeling PR, Shaw JE (2011) Prevalence of vitamin D deficiency and its determinants in Australian adults aged 25 years and older: A national, population-based study. Clin Endocrinol (Oxf)</w:t>
      </w:r>
      <w:r>
        <w:rPr>
          <w:sz w:val="20"/>
          <w:szCs w:val="20"/>
        </w:rPr>
        <w:t xml:space="preserve"> 77(1):26</w:t>
      </w:r>
      <w:r>
        <w:rPr>
          <w:sz w:val="20"/>
          <w:szCs w:val="20"/>
        </w:rPr>
        <w:sym w:font="Symbol" w:char="F02D"/>
      </w:r>
      <w:r>
        <w:rPr>
          <w:sz w:val="20"/>
          <w:szCs w:val="20"/>
        </w:rPr>
        <w:t>35</w:t>
      </w:r>
    </w:p>
    <w:p w14:paraId="25B5DC96" w14:textId="77777777" w:rsidR="00DD5C9C" w:rsidRPr="00DD5C9C" w:rsidRDefault="00DD5C9C" w:rsidP="003B5D42">
      <w:pPr>
        <w:pStyle w:val="References"/>
        <w:outlineLvl w:val="9"/>
        <w:rPr>
          <w:sz w:val="20"/>
          <w:szCs w:val="20"/>
        </w:rPr>
      </w:pPr>
      <w:r w:rsidRPr="00DD5C9C">
        <w:rPr>
          <w:sz w:val="20"/>
          <w:szCs w:val="20"/>
        </w:rPr>
        <w:t>Durup D, Jorgensen HL, Christensen J, Schwarz P, Heegaard AM, Lind B (2012) A reverse J-shaped association of all-cause mortality with serum 25-hydroxyvitamin D in general practice: the CopD study. J Clin Endocrinol Metab 97(8):2644–2652</w:t>
      </w:r>
    </w:p>
    <w:p w14:paraId="25B5DC97" w14:textId="77777777" w:rsidR="00DD5C9C" w:rsidRPr="00DD5C9C" w:rsidRDefault="00DD5C9C" w:rsidP="003B5D42">
      <w:pPr>
        <w:pStyle w:val="References"/>
        <w:outlineLvl w:val="9"/>
        <w:rPr>
          <w:sz w:val="20"/>
          <w:szCs w:val="20"/>
        </w:rPr>
      </w:pPr>
      <w:r w:rsidRPr="00DD5C9C">
        <w:rPr>
          <w:sz w:val="20"/>
          <w:szCs w:val="20"/>
        </w:rPr>
        <w:t>Ebeling PR, Daly RM, Kerr DA, Kimlin MG (2013) An evidence-informed strategy to prevent osteoporosis in Australia. Med J Aust 198(2):90–91</w:t>
      </w:r>
    </w:p>
    <w:p w14:paraId="25B5DC98" w14:textId="77777777" w:rsidR="00DD5C9C" w:rsidRPr="00DD5C9C" w:rsidRDefault="00DD5C9C" w:rsidP="003B5D42">
      <w:pPr>
        <w:pStyle w:val="References"/>
        <w:outlineLvl w:val="9"/>
        <w:rPr>
          <w:sz w:val="20"/>
          <w:szCs w:val="20"/>
        </w:rPr>
      </w:pPr>
      <w:r w:rsidRPr="00DD5C9C">
        <w:rPr>
          <w:sz w:val="20"/>
          <w:szCs w:val="20"/>
        </w:rPr>
        <w:t>EFSA Panel on dietetic products naaN (2012a) Scientific Opinion on Tolerable Upper Intake Level of vitamin D. EFSA Journal 10(7):2813–2858</w:t>
      </w:r>
    </w:p>
    <w:p w14:paraId="25B5DC99" w14:textId="77777777" w:rsidR="00DD5C9C" w:rsidRPr="00DD5C9C" w:rsidRDefault="00DD5C9C" w:rsidP="003B5D42">
      <w:pPr>
        <w:pStyle w:val="References"/>
        <w:outlineLvl w:val="9"/>
        <w:rPr>
          <w:sz w:val="20"/>
          <w:szCs w:val="20"/>
        </w:rPr>
      </w:pPr>
      <w:r w:rsidRPr="00DD5C9C">
        <w:rPr>
          <w:sz w:val="20"/>
          <w:szCs w:val="20"/>
        </w:rPr>
        <w:t>Fisk CM, Theobald HE, Sanders TA (2012) Fortified malted milk drinks containing low-dose ergocalciferol and cholecalciferol do not differ in their capacity to raise serum 25-hydroxyvitamin D concentrations in healthy men and women not exposed to UV-B. J Nutr 142(7):1286–1290</w:t>
      </w:r>
    </w:p>
    <w:p w14:paraId="25B5DC9A" w14:textId="77777777" w:rsidR="00DD5C9C" w:rsidRPr="00DD5C9C" w:rsidRDefault="00DD5C9C" w:rsidP="003B5D42">
      <w:pPr>
        <w:pStyle w:val="References"/>
        <w:spacing w:after="0"/>
        <w:outlineLvl w:val="9"/>
        <w:rPr>
          <w:sz w:val="20"/>
          <w:szCs w:val="20"/>
        </w:rPr>
      </w:pPr>
      <w:r w:rsidRPr="00DD5C9C">
        <w:rPr>
          <w:sz w:val="20"/>
          <w:szCs w:val="20"/>
        </w:rPr>
        <w:t>FSANZ (2009) Principles and practices of dietary exposure assessment for food regulatory purposes. Food Standards Australia New Zealand, Canberra.</w:t>
      </w:r>
    </w:p>
    <w:p w14:paraId="25B5DC9B" w14:textId="77777777" w:rsidR="00DD5C9C" w:rsidRPr="00DD5C9C" w:rsidRDefault="009B582B" w:rsidP="003B5D42">
      <w:pPr>
        <w:pStyle w:val="References"/>
        <w:outlineLvl w:val="9"/>
        <w:rPr>
          <w:sz w:val="20"/>
          <w:szCs w:val="20"/>
        </w:rPr>
      </w:pPr>
      <w:hyperlink r:id="rId39" w:history="1">
        <w:r w:rsidR="00DD5C9C" w:rsidRPr="002108AA">
          <w:rPr>
            <w:rStyle w:val="Hyperlink"/>
            <w:sz w:val="20"/>
            <w:szCs w:val="20"/>
          </w:rPr>
          <w:t>http://www.foodstandards.gov.au/science/exposure/documents/Principles%20_%20practices%20exposure%20assessment%202009.pdf</w:t>
        </w:r>
      </w:hyperlink>
      <w:r w:rsidR="00DD5C9C">
        <w:rPr>
          <w:sz w:val="20"/>
          <w:szCs w:val="20"/>
        </w:rPr>
        <w:t xml:space="preserve">. </w:t>
      </w:r>
      <w:r w:rsidR="00DD5C9C" w:rsidRPr="00DD5C9C">
        <w:rPr>
          <w:sz w:val="20"/>
          <w:szCs w:val="20"/>
        </w:rPr>
        <w:t>Accessed 10 November 2014</w:t>
      </w:r>
    </w:p>
    <w:p w14:paraId="25B5DC9C" w14:textId="77777777" w:rsidR="00DD5C9C" w:rsidRPr="00DD5C9C" w:rsidRDefault="00DD5C9C" w:rsidP="003B5D42">
      <w:pPr>
        <w:pStyle w:val="References"/>
        <w:spacing w:after="0"/>
        <w:outlineLvl w:val="9"/>
        <w:rPr>
          <w:sz w:val="20"/>
          <w:szCs w:val="20"/>
        </w:rPr>
      </w:pPr>
      <w:r w:rsidRPr="00DD5C9C">
        <w:rPr>
          <w:sz w:val="20"/>
          <w:szCs w:val="20"/>
        </w:rPr>
        <w:t>FSANZ (2014) AUSNUT 2011-13 food measures database. Food Standards Australia New Zealand, Canberra.</w:t>
      </w:r>
    </w:p>
    <w:p w14:paraId="25B5DC9D" w14:textId="77777777" w:rsidR="00DD5C9C" w:rsidRDefault="009B582B" w:rsidP="003B5D42">
      <w:pPr>
        <w:pStyle w:val="References"/>
        <w:outlineLvl w:val="9"/>
        <w:rPr>
          <w:sz w:val="20"/>
          <w:szCs w:val="20"/>
        </w:rPr>
      </w:pPr>
      <w:hyperlink r:id="rId40" w:history="1">
        <w:r w:rsidR="003D3A04" w:rsidRPr="00757DF2">
          <w:rPr>
            <w:rStyle w:val="Hyperlink"/>
            <w:sz w:val="20"/>
            <w:szCs w:val="20"/>
          </w:rPr>
          <w:t>http://www.foodstandards.gov.au/science/monitoringnutrients/ausnut/foodmeasures/Pages/default.aspx. Accessed 10 November 2014</w:t>
        </w:r>
      </w:hyperlink>
    </w:p>
    <w:p w14:paraId="25B5DC9E" w14:textId="77777777" w:rsidR="003D3A04" w:rsidRPr="00DD5C9C" w:rsidRDefault="003D3A04" w:rsidP="003B5D42">
      <w:pPr>
        <w:pStyle w:val="References"/>
        <w:outlineLvl w:val="9"/>
        <w:rPr>
          <w:sz w:val="20"/>
          <w:szCs w:val="20"/>
        </w:rPr>
      </w:pPr>
      <w:r>
        <w:rPr>
          <w:sz w:val="20"/>
          <w:szCs w:val="20"/>
        </w:rPr>
        <w:t>Gropper SS and Smith JL (2013) Fat-soluble vitamins. In: Advanced nutrition and human metabolism. Wadsworth, Cengage Learning, International edition. p. 390-400.</w:t>
      </w:r>
    </w:p>
    <w:p w14:paraId="25B5DC9F" w14:textId="77777777" w:rsidR="00DD5C9C" w:rsidRPr="00DD5C9C" w:rsidRDefault="00DD5C9C" w:rsidP="003B5D42">
      <w:pPr>
        <w:pStyle w:val="References"/>
        <w:outlineLvl w:val="9"/>
        <w:rPr>
          <w:sz w:val="20"/>
          <w:szCs w:val="20"/>
        </w:rPr>
      </w:pPr>
      <w:r w:rsidRPr="00DD5C9C">
        <w:rPr>
          <w:sz w:val="20"/>
          <w:szCs w:val="20"/>
        </w:rPr>
        <w:t>Hathcock JN, Shao A, Vieth R, Heaney R (2007) Risk assessment for vitamin D. Am J Clin Nutr 85(1):6–18</w:t>
      </w:r>
    </w:p>
    <w:p w14:paraId="25B5DCA0" w14:textId="77777777" w:rsidR="00DD5C9C" w:rsidRPr="00DD5C9C" w:rsidRDefault="00DD5C9C" w:rsidP="003B5D42">
      <w:pPr>
        <w:pStyle w:val="References"/>
        <w:outlineLvl w:val="9"/>
        <w:rPr>
          <w:sz w:val="20"/>
          <w:szCs w:val="20"/>
        </w:rPr>
      </w:pPr>
      <w:r w:rsidRPr="00DD5C9C">
        <w:rPr>
          <w:sz w:val="20"/>
          <w:szCs w:val="20"/>
        </w:rPr>
        <w:t>Holick MF, Binkley NC, Bischoff-Ferrari HA, Gordon CM, Hanley DA, Heaney RP, Murad MH, Weaver CM (2011) Evaluation, treatment, and prevention of vitamin D deficiency: an Endocrine Society clinical practice guideline. J Clin Endocrinol Metab 96(7):1911–1930</w:t>
      </w:r>
    </w:p>
    <w:p w14:paraId="25B5DCA1" w14:textId="77777777" w:rsidR="00DD5C9C" w:rsidRPr="00DD5C9C" w:rsidRDefault="00DD5C9C" w:rsidP="003B5D42">
      <w:pPr>
        <w:pStyle w:val="References"/>
        <w:outlineLvl w:val="9"/>
        <w:rPr>
          <w:sz w:val="20"/>
          <w:szCs w:val="20"/>
        </w:rPr>
      </w:pPr>
      <w:r w:rsidRPr="00DD5C9C">
        <w:rPr>
          <w:sz w:val="20"/>
          <w:szCs w:val="20"/>
        </w:rPr>
        <w:t>Horwitz W, Latimer GWJ (2012) AOAC Official Methods of Analysis. 19 ed, AOAC International, Gaithersburg</w:t>
      </w:r>
    </w:p>
    <w:p w14:paraId="25B5DCA2" w14:textId="77777777" w:rsidR="00DD5C9C" w:rsidRPr="00DD5C9C" w:rsidRDefault="00DD5C9C" w:rsidP="003B5D42">
      <w:pPr>
        <w:pStyle w:val="References"/>
        <w:outlineLvl w:val="9"/>
        <w:rPr>
          <w:sz w:val="20"/>
          <w:szCs w:val="20"/>
        </w:rPr>
      </w:pPr>
      <w:r w:rsidRPr="00DD5C9C">
        <w:rPr>
          <w:sz w:val="20"/>
          <w:szCs w:val="20"/>
        </w:rPr>
        <w:t>Houghton LA, Vieth R (2006) The case against ergocalciferol (vitamin D2) as a vitamin supplement. Am J Clin Nutr 84(4):694–697</w:t>
      </w:r>
    </w:p>
    <w:p w14:paraId="25B5DCA3" w14:textId="77777777" w:rsidR="00DD5C9C" w:rsidRPr="00DD5C9C" w:rsidRDefault="00DD5C9C" w:rsidP="003B5D42">
      <w:pPr>
        <w:pStyle w:val="References"/>
        <w:outlineLvl w:val="9"/>
        <w:rPr>
          <w:sz w:val="20"/>
          <w:szCs w:val="20"/>
        </w:rPr>
      </w:pPr>
      <w:r w:rsidRPr="00DD5C9C">
        <w:rPr>
          <w:sz w:val="20"/>
          <w:szCs w:val="20"/>
        </w:rPr>
        <w:t>Huang M, LaLuzerne P, Winters D, Sullivan D (2009) Measurement of vitamin D in foods and nutritional supplements by liquid chromatography/tandem mass spectrometry. J AOAC Int 92(5):1327–1335</w:t>
      </w:r>
    </w:p>
    <w:p w14:paraId="25B5DCA4" w14:textId="77777777" w:rsidR="00DD5C9C" w:rsidRPr="00DD5C9C" w:rsidRDefault="00DD5C9C" w:rsidP="003B5D42">
      <w:pPr>
        <w:pStyle w:val="References"/>
        <w:spacing w:after="0"/>
        <w:outlineLvl w:val="9"/>
        <w:rPr>
          <w:sz w:val="20"/>
          <w:szCs w:val="20"/>
        </w:rPr>
      </w:pPr>
      <w:r w:rsidRPr="00DD5C9C">
        <w:rPr>
          <w:sz w:val="20"/>
          <w:szCs w:val="20"/>
        </w:rPr>
        <w:t>IOM (2011) Dietary Reference Intakes for Vitamin D and Calcium. National Academies Press Institute of Medicine.</w:t>
      </w:r>
    </w:p>
    <w:p w14:paraId="25B5DCA5" w14:textId="77777777" w:rsidR="00364678" w:rsidRPr="00364678" w:rsidRDefault="009B582B" w:rsidP="003B5D42">
      <w:pPr>
        <w:pStyle w:val="References"/>
        <w:outlineLvl w:val="9"/>
        <w:rPr>
          <w:sz w:val="20"/>
          <w:szCs w:val="20"/>
        </w:rPr>
      </w:pPr>
      <w:hyperlink r:id="rId41" w:history="1">
        <w:r w:rsidR="00364678" w:rsidRPr="002108AA">
          <w:rPr>
            <w:rStyle w:val="Hyperlink"/>
            <w:sz w:val="20"/>
            <w:szCs w:val="20"/>
          </w:rPr>
          <w:t>http://www.nap.edu/catalog.php?record_id=13050</w:t>
        </w:r>
      </w:hyperlink>
    </w:p>
    <w:p w14:paraId="25B5DCA6" w14:textId="77777777" w:rsidR="00DD5C9C" w:rsidRPr="00DD5C9C" w:rsidRDefault="00DD5C9C" w:rsidP="003B5D42">
      <w:pPr>
        <w:pStyle w:val="References"/>
        <w:outlineLvl w:val="9"/>
        <w:rPr>
          <w:sz w:val="20"/>
          <w:szCs w:val="20"/>
        </w:rPr>
      </w:pPr>
      <w:r w:rsidRPr="00DD5C9C">
        <w:rPr>
          <w:sz w:val="20"/>
          <w:szCs w:val="20"/>
        </w:rPr>
        <w:t>Jones G (2008) Pharmacokinetics of vitamin D toxicity. Am J Clin Nutr 88(2):582S–586S</w:t>
      </w:r>
    </w:p>
    <w:p w14:paraId="25B5DCA7" w14:textId="77777777" w:rsidR="00DD5C9C" w:rsidRPr="00DD5C9C" w:rsidRDefault="00DD5C9C" w:rsidP="003B5D42">
      <w:pPr>
        <w:pStyle w:val="References"/>
        <w:outlineLvl w:val="9"/>
        <w:rPr>
          <w:sz w:val="20"/>
          <w:szCs w:val="20"/>
        </w:rPr>
      </w:pPr>
      <w:r w:rsidRPr="00DD5C9C">
        <w:rPr>
          <w:sz w:val="20"/>
          <w:szCs w:val="20"/>
        </w:rPr>
        <w:t>Jones G, Strugnell SA, DeLuca HF (1998) Current understanding of the molecular actions of vitamin D. Physiol Rev 78(4):1193–1231</w:t>
      </w:r>
    </w:p>
    <w:p w14:paraId="25B5DCA8" w14:textId="77777777" w:rsidR="00DD5C9C" w:rsidRPr="00DD5C9C" w:rsidRDefault="00DD5C9C" w:rsidP="003B5D42">
      <w:pPr>
        <w:pStyle w:val="References"/>
        <w:outlineLvl w:val="9"/>
        <w:rPr>
          <w:sz w:val="20"/>
          <w:szCs w:val="20"/>
        </w:rPr>
      </w:pPr>
      <w:r w:rsidRPr="00DD5C9C">
        <w:rPr>
          <w:sz w:val="20"/>
          <w:szCs w:val="20"/>
        </w:rPr>
        <w:t>Lai JK, Lucas RM, Clements MS, Harrison SL, Banks E (2010) Assessing vitamin D status: pitfalls for the unwary. Mol Nutr Food Res 54(8):1062–1071</w:t>
      </w:r>
    </w:p>
    <w:p w14:paraId="25B5DCA9" w14:textId="77777777" w:rsidR="00DD5C9C" w:rsidRPr="00DD5C9C" w:rsidRDefault="00DD5C9C" w:rsidP="003B5D42">
      <w:pPr>
        <w:pStyle w:val="References"/>
        <w:outlineLvl w:val="9"/>
        <w:rPr>
          <w:sz w:val="20"/>
          <w:szCs w:val="20"/>
        </w:rPr>
      </w:pPr>
      <w:r w:rsidRPr="00DD5C9C">
        <w:rPr>
          <w:sz w:val="20"/>
          <w:szCs w:val="20"/>
        </w:rPr>
        <w:lastRenderedPageBreak/>
        <w:t>Liu J, Greenfield H, Fraser DR (2014) An exploratory study of the content of vitamin D compounds in selected samples of Australian eggs. Nutrition and Dietetics</w:t>
      </w:r>
      <w:r w:rsidR="00364678">
        <w:rPr>
          <w:sz w:val="20"/>
          <w:szCs w:val="20"/>
        </w:rPr>
        <w:t xml:space="preserve"> 71:46</w:t>
      </w:r>
      <w:r w:rsidR="00364678">
        <w:rPr>
          <w:sz w:val="20"/>
          <w:szCs w:val="20"/>
        </w:rPr>
        <w:sym w:font="Symbol" w:char="F02D"/>
      </w:r>
      <w:r w:rsidR="00364678">
        <w:rPr>
          <w:sz w:val="20"/>
          <w:szCs w:val="20"/>
        </w:rPr>
        <w:t>50</w:t>
      </w:r>
    </w:p>
    <w:p w14:paraId="25B5DCAA" w14:textId="77777777" w:rsidR="00DD5C9C" w:rsidRPr="00DD5C9C" w:rsidRDefault="00DD5C9C" w:rsidP="003B5D42">
      <w:pPr>
        <w:pStyle w:val="References"/>
        <w:outlineLvl w:val="9"/>
        <w:rPr>
          <w:sz w:val="20"/>
          <w:szCs w:val="20"/>
        </w:rPr>
      </w:pPr>
      <w:r w:rsidRPr="00DD5C9C">
        <w:rPr>
          <w:sz w:val="20"/>
          <w:szCs w:val="20"/>
        </w:rPr>
        <w:t>Liu J, Greenfield H, Strobel N, Fraser DR (2013) The influence of latitude on the concentration of vitamin D3 and 25-hydroxy-vitamin D3 in Australian red meat. Food Chem 140(3):432–435</w:t>
      </w:r>
    </w:p>
    <w:p w14:paraId="25B5DCAB" w14:textId="77777777" w:rsidR="00DD5C9C" w:rsidRPr="00DD5C9C" w:rsidRDefault="00DD5C9C" w:rsidP="003B5D42">
      <w:pPr>
        <w:pStyle w:val="References"/>
        <w:spacing w:after="0"/>
        <w:outlineLvl w:val="9"/>
        <w:rPr>
          <w:sz w:val="20"/>
          <w:szCs w:val="20"/>
        </w:rPr>
      </w:pPr>
      <w:r w:rsidRPr="00DD5C9C">
        <w:rPr>
          <w:sz w:val="20"/>
          <w:szCs w:val="20"/>
        </w:rPr>
        <w:t>Ministry of Health (2012a) Vitamin D Status of New Zealand Adults. Ministry of Health, Wellington.</w:t>
      </w:r>
    </w:p>
    <w:p w14:paraId="25B5DCAC" w14:textId="77777777" w:rsidR="00DD5C9C" w:rsidRPr="00DD5C9C" w:rsidRDefault="00DD5C9C" w:rsidP="003B5D42">
      <w:pPr>
        <w:pStyle w:val="References"/>
        <w:outlineLvl w:val="9"/>
        <w:rPr>
          <w:sz w:val="20"/>
          <w:szCs w:val="20"/>
        </w:rPr>
      </w:pPr>
      <w:r w:rsidRPr="00DD5C9C">
        <w:rPr>
          <w:sz w:val="20"/>
          <w:szCs w:val="20"/>
        </w:rPr>
        <w:t>http://www.health.govt.nz/publication/vitamin-d-status-new-zealand-adults. Accessed 25 June 2014a</w:t>
      </w:r>
    </w:p>
    <w:p w14:paraId="25B5DCAD" w14:textId="77777777" w:rsidR="00DD5C9C" w:rsidRPr="00DD5C9C" w:rsidRDefault="00DD5C9C" w:rsidP="003B5D42">
      <w:pPr>
        <w:pStyle w:val="References"/>
        <w:spacing w:after="0"/>
        <w:outlineLvl w:val="9"/>
        <w:rPr>
          <w:sz w:val="20"/>
          <w:szCs w:val="20"/>
        </w:rPr>
      </w:pPr>
      <w:r w:rsidRPr="00DD5C9C">
        <w:rPr>
          <w:sz w:val="20"/>
          <w:szCs w:val="20"/>
        </w:rPr>
        <w:t>Ministry of Health (2012b) The Health of New Zealand Children: Key findings of the New Zealand Health Survey 2011/12. Ministry of Health, Wellington.</w:t>
      </w:r>
    </w:p>
    <w:p w14:paraId="25B5DCAE" w14:textId="77777777" w:rsidR="00DD5C9C" w:rsidRPr="00DD5C9C" w:rsidRDefault="009B582B" w:rsidP="003B5D42">
      <w:pPr>
        <w:pStyle w:val="References"/>
        <w:outlineLvl w:val="9"/>
        <w:rPr>
          <w:sz w:val="20"/>
          <w:szCs w:val="20"/>
        </w:rPr>
      </w:pPr>
      <w:hyperlink r:id="rId42" w:history="1">
        <w:r w:rsidR="00364678" w:rsidRPr="002108AA">
          <w:rPr>
            <w:rStyle w:val="Hyperlink"/>
            <w:sz w:val="20"/>
            <w:szCs w:val="20"/>
          </w:rPr>
          <w:t>http://www.health.govt.nz/publication/health-new-zealand-children-2011-12</w:t>
        </w:r>
      </w:hyperlink>
      <w:r w:rsidR="00364678">
        <w:rPr>
          <w:sz w:val="20"/>
          <w:szCs w:val="20"/>
        </w:rPr>
        <w:t xml:space="preserve">. </w:t>
      </w:r>
      <w:r w:rsidR="00DD5C9C" w:rsidRPr="00DD5C9C">
        <w:rPr>
          <w:sz w:val="20"/>
          <w:szCs w:val="20"/>
        </w:rPr>
        <w:t>Accessed 31 July 2014b</w:t>
      </w:r>
    </w:p>
    <w:p w14:paraId="25B5DCAF" w14:textId="77777777" w:rsidR="00DD5C9C" w:rsidRPr="00DD5C9C" w:rsidRDefault="00DD5C9C" w:rsidP="003B5D42">
      <w:pPr>
        <w:pStyle w:val="References"/>
        <w:spacing w:after="0"/>
        <w:outlineLvl w:val="9"/>
        <w:rPr>
          <w:sz w:val="20"/>
          <w:szCs w:val="20"/>
        </w:rPr>
      </w:pPr>
      <w:r w:rsidRPr="00DD5C9C">
        <w:rPr>
          <w:sz w:val="20"/>
          <w:szCs w:val="20"/>
        </w:rPr>
        <w:t>Ministry of Health &amp; Cancer Society of New Zealand (2012) Consensus statement on vitamin D and sun exposure in New Zealand. Ministry of Health, Wellington.</w:t>
      </w:r>
    </w:p>
    <w:p w14:paraId="25B5DCB0" w14:textId="77777777" w:rsidR="00DD5C9C" w:rsidRPr="00DD5C9C" w:rsidRDefault="009B582B" w:rsidP="003B5D42">
      <w:pPr>
        <w:pStyle w:val="References"/>
        <w:outlineLvl w:val="9"/>
        <w:rPr>
          <w:sz w:val="20"/>
          <w:szCs w:val="20"/>
        </w:rPr>
      </w:pPr>
      <w:hyperlink r:id="rId43" w:history="1">
        <w:r w:rsidR="00364678" w:rsidRPr="002108AA">
          <w:rPr>
            <w:rStyle w:val="Hyperlink"/>
            <w:sz w:val="20"/>
            <w:szCs w:val="20"/>
          </w:rPr>
          <w:t>http://www.health.govt.nz/publication/consensus-statement-vitamin-d-and-sun-exposure-new-zealand</w:t>
        </w:r>
      </w:hyperlink>
      <w:r w:rsidR="00DD5C9C" w:rsidRPr="00DD5C9C">
        <w:rPr>
          <w:sz w:val="20"/>
          <w:szCs w:val="20"/>
        </w:rPr>
        <w:t>. Accessed 9 July 2014</w:t>
      </w:r>
    </w:p>
    <w:p w14:paraId="25B5DCB1" w14:textId="77777777" w:rsidR="00DD5C9C" w:rsidRPr="00DD5C9C" w:rsidRDefault="00DD5C9C" w:rsidP="003B5D42">
      <w:pPr>
        <w:pStyle w:val="References"/>
        <w:spacing w:after="0"/>
        <w:outlineLvl w:val="9"/>
        <w:rPr>
          <w:sz w:val="20"/>
          <w:szCs w:val="20"/>
        </w:rPr>
      </w:pPr>
      <w:r w:rsidRPr="00DD5C9C">
        <w:rPr>
          <w:sz w:val="20"/>
          <w:szCs w:val="20"/>
        </w:rPr>
        <w:t>National Institutes of Health (2014) Vitamin D standardization program (VDSP).</w:t>
      </w:r>
    </w:p>
    <w:p w14:paraId="25B5DCB2" w14:textId="77777777" w:rsidR="00DD5C9C" w:rsidRPr="00DD5C9C" w:rsidRDefault="009B582B" w:rsidP="003B5D42">
      <w:pPr>
        <w:pStyle w:val="References"/>
        <w:outlineLvl w:val="9"/>
        <w:rPr>
          <w:sz w:val="20"/>
          <w:szCs w:val="20"/>
        </w:rPr>
      </w:pPr>
      <w:hyperlink r:id="rId44" w:history="1">
        <w:r w:rsidR="00364678" w:rsidRPr="002108AA">
          <w:rPr>
            <w:rStyle w:val="Hyperlink"/>
            <w:sz w:val="20"/>
            <w:szCs w:val="20"/>
          </w:rPr>
          <w:t>http://ods.od.nih.gov/Research/vdsp.aspx</w:t>
        </w:r>
      </w:hyperlink>
      <w:r w:rsidR="00364678">
        <w:rPr>
          <w:sz w:val="20"/>
          <w:szCs w:val="20"/>
        </w:rPr>
        <w:t xml:space="preserve">. </w:t>
      </w:r>
      <w:r w:rsidR="00DD5C9C" w:rsidRPr="00DD5C9C">
        <w:rPr>
          <w:sz w:val="20"/>
          <w:szCs w:val="20"/>
        </w:rPr>
        <w:t>Accessed 16 October 2014</w:t>
      </w:r>
    </w:p>
    <w:p w14:paraId="25B5DCB3" w14:textId="77777777" w:rsidR="00DD5C9C" w:rsidRPr="00DD5C9C" w:rsidRDefault="00DD5C9C" w:rsidP="003B5D42">
      <w:pPr>
        <w:pStyle w:val="References"/>
        <w:spacing w:after="0"/>
        <w:outlineLvl w:val="9"/>
        <w:rPr>
          <w:sz w:val="20"/>
          <w:szCs w:val="20"/>
        </w:rPr>
      </w:pPr>
      <w:r w:rsidRPr="00DD5C9C">
        <w:rPr>
          <w:sz w:val="20"/>
          <w:szCs w:val="20"/>
        </w:rPr>
        <w:t>NHMRC and NZ MoH (2006) Nutrient Reference Values for Australia and New Zealand. Commonwealth of Australia, Canberra.</w:t>
      </w:r>
    </w:p>
    <w:p w14:paraId="25B5DCB4" w14:textId="77777777" w:rsidR="00364678" w:rsidRPr="00364678" w:rsidRDefault="009B582B" w:rsidP="003B5D42">
      <w:pPr>
        <w:pStyle w:val="References"/>
        <w:outlineLvl w:val="9"/>
        <w:rPr>
          <w:sz w:val="20"/>
          <w:szCs w:val="20"/>
        </w:rPr>
      </w:pPr>
      <w:hyperlink r:id="rId45" w:history="1">
        <w:r w:rsidR="00364678" w:rsidRPr="002108AA">
          <w:rPr>
            <w:rStyle w:val="Hyperlink"/>
            <w:sz w:val="20"/>
            <w:szCs w:val="20"/>
          </w:rPr>
          <w:t>http://www.nrv.gov.au/nutrients/vitamin-d</w:t>
        </w:r>
      </w:hyperlink>
    </w:p>
    <w:p w14:paraId="25B5DCB5" w14:textId="77777777" w:rsidR="00DD5C9C" w:rsidRPr="00DD5C9C" w:rsidRDefault="00DD5C9C" w:rsidP="003B5D42">
      <w:pPr>
        <w:pStyle w:val="References"/>
        <w:spacing w:after="0"/>
        <w:outlineLvl w:val="9"/>
        <w:rPr>
          <w:sz w:val="20"/>
          <w:szCs w:val="20"/>
        </w:rPr>
      </w:pPr>
      <w:r w:rsidRPr="00DD5C9C">
        <w:rPr>
          <w:sz w:val="20"/>
          <w:szCs w:val="20"/>
        </w:rPr>
        <w:t>NHMRC and NZ MOH (2006) Nutrient Reference Values for Australia and New Zealand. Commonwealth of Australia, Canberra.</w:t>
      </w:r>
    </w:p>
    <w:p w14:paraId="25B5DCB6" w14:textId="77777777" w:rsidR="00364678" w:rsidRPr="00364678" w:rsidRDefault="009B582B" w:rsidP="003B5D42">
      <w:pPr>
        <w:pStyle w:val="References"/>
        <w:outlineLvl w:val="9"/>
        <w:rPr>
          <w:sz w:val="20"/>
          <w:szCs w:val="20"/>
        </w:rPr>
      </w:pPr>
      <w:hyperlink r:id="rId46" w:history="1">
        <w:r w:rsidR="00364678" w:rsidRPr="002108AA">
          <w:rPr>
            <w:rStyle w:val="Hyperlink"/>
            <w:sz w:val="20"/>
            <w:szCs w:val="20"/>
          </w:rPr>
          <w:t>http://www.nrv.gov.au/</w:t>
        </w:r>
      </w:hyperlink>
    </w:p>
    <w:p w14:paraId="25B5DCB7" w14:textId="77777777" w:rsidR="00DD5C9C" w:rsidRPr="00DD5C9C" w:rsidRDefault="00DD5C9C" w:rsidP="003B5D42">
      <w:pPr>
        <w:pStyle w:val="References"/>
        <w:outlineLvl w:val="9"/>
        <w:rPr>
          <w:sz w:val="20"/>
          <w:szCs w:val="20"/>
        </w:rPr>
      </w:pPr>
      <w:r w:rsidRPr="00DD5C9C">
        <w:rPr>
          <w:sz w:val="20"/>
          <w:szCs w:val="20"/>
        </w:rPr>
        <w:t>Nowson CA, McGrath JJ, Ebeling PR, Haikerwal A, Daly RM, Sanders KM, Seibel MJ, Mason RS (2012) Vitamin D and health in adults in Australia and New Zealand: a position statement. Med J Aust 196(11):686–687</w:t>
      </w:r>
    </w:p>
    <w:p w14:paraId="25B5DCB8" w14:textId="77777777" w:rsidR="00DD5C9C" w:rsidRPr="00DD5C9C" w:rsidRDefault="00DD5C9C" w:rsidP="003B5D42">
      <w:pPr>
        <w:pStyle w:val="References"/>
        <w:outlineLvl w:val="9"/>
        <w:rPr>
          <w:sz w:val="20"/>
          <w:szCs w:val="20"/>
        </w:rPr>
      </w:pPr>
      <w:r w:rsidRPr="00DD5C9C">
        <w:rPr>
          <w:sz w:val="20"/>
          <w:szCs w:val="20"/>
        </w:rPr>
        <w:t>O'Donnell S, Cranney A, Horsley T, Weiler HA, Atkinson SA, Hanley DA, Ooi DS, Ward L, Barrowman N, Fang M, Sampson M, Tsertsvadze A, Yazdi F (2008) Efficacy of food fortification on serum 25-hydroxyvitamin D concentrations: systematic review. Am J Clin Nutr 88(6):1528–1534</w:t>
      </w:r>
    </w:p>
    <w:p w14:paraId="25B5DCB9" w14:textId="77777777" w:rsidR="00DD5C9C" w:rsidRPr="00DD5C9C" w:rsidRDefault="00DD5C9C" w:rsidP="003B5D42">
      <w:pPr>
        <w:pStyle w:val="References"/>
        <w:outlineLvl w:val="9"/>
        <w:rPr>
          <w:sz w:val="20"/>
          <w:szCs w:val="20"/>
        </w:rPr>
      </w:pPr>
      <w:r w:rsidRPr="00DD5C9C">
        <w:rPr>
          <w:sz w:val="20"/>
          <w:szCs w:val="20"/>
        </w:rPr>
        <w:t>O'Mahony L, Stepien M, Gibney MJ, Nugent AP, Brennan L (2011) The potential role of vitamin D enhanced foods in improving vitamin D status. Nutrients 3(12):1023–1041</w:t>
      </w:r>
    </w:p>
    <w:p w14:paraId="25B5DCBA" w14:textId="77777777" w:rsidR="00DD5C9C" w:rsidRPr="00DD5C9C" w:rsidRDefault="00DD5C9C" w:rsidP="003B5D42">
      <w:pPr>
        <w:pStyle w:val="References"/>
        <w:outlineLvl w:val="9"/>
        <w:rPr>
          <w:sz w:val="20"/>
          <w:szCs w:val="20"/>
        </w:rPr>
      </w:pPr>
      <w:r w:rsidRPr="00DD5C9C">
        <w:rPr>
          <w:sz w:val="20"/>
          <w:szCs w:val="20"/>
        </w:rPr>
        <w:t>Ott DB (1988) The effect of packaging on vitamin stability in cereal grain products</w:t>
      </w:r>
      <w:r w:rsidRPr="00DD5C9C">
        <w:rPr>
          <w:rFonts w:ascii="Symbol" w:hAnsi="Symbol"/>
          <w:sz w:val="20"/>
          <w:szCs w:val="20"/>
        </w:rPr>
        <w:t></w:t>
      </w:r>
      <w:r w:rsidRPr="00DD5C9C">
        <w:rPr>
          <w:sz w:val="20"/>
          <w:szCs w:val="20"/>
        </w:rPr>
        <w:t>ÇöA review. Journal of food composition and analysis 1(2):189–201</w:t>
      </w:r>
    </w:p>
    <w:p w14:paraId="25B5DCBB" w14:textId="77777777" w:rsidR="00DD5C9C" w:rsidRPr="00DD5C9C" w:rsidRDefault="00DD5C9C" w:rsidP="003B5D42">
      <w:pPr>
        <w:pStyle w:val="References"/>
        <w:outlineLvl w:val="9"/>
        <w:rPr>
          <w:sz w:val="20"/>
          <w:szCs w:val="20"/>
        </w:rPr>
      </w:pPr>
      <w:r w:rsidRPr="00DD5C9C">
        <w:rPr>
          <w:sz w:val="20"/>
          <w:szCs w:val="20"/>
        </w:rPr>
        <w:t>Ovesen L, Brot C, Jakobsen J (2003) Food contents and biological activity of 25-hydroxyvitamin D: a vitamin D metabolite to be reckoned with? Ann Nutr Metab 47(3-4):107–113</w:t>
      </w:r>
    </w:p>
    <w:p w14:paraId="25B5DCBC" w14:textId="77777777" w:rsidR="00DD5C9C" w:rsidRPr="00DD5C9C" w:rsidRDefault="00DD5C9C" w:rsidP="003B5D42">
      <w:pPr>
        <w:pStyle w:val="References"/>
        <w:outlineLvl w:val="9"/>
        <w:rPr>
          <w:sz w:val="20"/>
          <w:szCs w:val="20"/>
        </w:rPr>
      </w:pPr>
      <w:r w:rsidRPr="00DD5C9C">
        <w:rPr>
          <w:sz w:val="20"/>
          <w:szCs w:val="20"/>
        </w:rPr>
        <w:t>Pierens SL, Fraser DR (2014) The origin and metabolism of vitamin D in rainbow trout. J Steroid Biochem Mol Biol</w:t>
      </w:r>
      <w:r w:rsidR="00364678">
        <w:rPr>
          <w:sz w:val="20"/>
          <w:szCs w:val="20"/>
        </w:rPr>
        <w:t xml:space="preserve"> 145C:58</w:t>
      </w:r>
      <w:r w:rsidR="00364678">
        <w:rPr>
          <w:sz w:val="20"/>
          <w:szCs w:val="20"/>
        </w:rPr>
        <w:sym w:font="Symbol" w:char="F02D"/>
      </w:r>
      <w:r w:rsidR="00364678">
        <w:rPr>
          <w:sz w:val="20"/>
          <w:szCs w:val="20"/>
        </w:rPr>
        <w:t>64</w:t>
      </w:r>
    </w:p>
    <w:p w14:paraId="25B5DCBD" w14:textId="77777777" w:rsidR="00DD5C9C" w:rsidRPr="00DD5C9C" w:rsidRDefault="00DD5C9C" w:rsidP="003B5D42">
      <w:pPr>
        <w:pStyle w:val="References"/>
        <w:outlineLvl w:val="9"/>
        <w:rPr>
          <w:sz w:val="20"/>
          <w:szCs w:val="20"/>
        </w:rPr>
      </w:pPr>
      <w:r w:rsidRPr="00DD5C9C">
        <w:rPr>
          <w:sz w:val="20"/>
          <w:szCs w:val="20"/>
        </w:rPr>
        <w:t>Prosser DE, Jones G (2004) Enzymes involved in the activation and inactivation of vitamin D. Trends Biochem Sci 29(12):664–673</w:t>
      </w:r>
    </w:p>
    <w:p w14:paraId="25B5DCBE" w14:textId="77777777" w:rsidR="00364678" w:rsidRPr="00DD5C9C" w:rsidRDefault="00DD5C9C" w:rsidP="003B5D42">
      <w:pPr>
        <w:pStyle w:val="References"/>
        <w:outlineLvl w:val="9"/>
        <w:rPr>
          <w:sz w:val="20"/>
          <w:szCs w:val="20"/>
        </w:rPr>
      </w:pPr>
      <w:r w:rsidRPr="00DD5C9C">
        <w:rPr>
          <w:sz w:val="20"/>
          <w:szCs w:val="20"/>
        </w:rPr>
        <w:t>Reid IR (2014) Effects of vitamin D supplements on bone density. J Endocrinol Invest</w:t>
      </w:r>
      <w:r w:rsidR="00364678">
        <w:rPr>
          <w:sz w:val="20"/>
          <w:szCs w:val="20"/>
        </w:rPr>
        <w:t xml:space="preserve"> </w:t>
      </w:r>
      <w:r w:rsidR="00364678">
        <w:rPr>
          <w:rFonts w:cs="Arial"/>
          <w:sz w:val="20"/>
          <w:szCs w:val="20"/>
        </w:rPr>
        <w:t xml:space="preserve">[Epub ahead of print]. </w:t>
      </w:r>
      <w:hyperlink r:id="rId47" w:history="1">
        <w:r w:rsidR="00364678" w:rsidRPr="002108AA">
          <w:rPr>
            <w:rStyle w:val="Hyperlink"/>
            <w:rFonts w:cs="Arial"/>
            <w:sz w:val="20"/>
            <w:szCs w:val="20"/>
          </w:rPr>
          <w:t>http://www.ncbi.nlm.nih.gov/pubmed/25038903?dopt=Citation</w:t>
        </w:r>
      </w:hyperlink>
    </w:p>
    <w:p w14:paraId="25B5DCBF" w14:textId="77777777" w:rsidR="00DD5C9C" w:rsidRPr="00DD5C9C" w:rsidRDefault="00DD5C9C" w:rsidP="003B5D42">
      <w:pPr>
        <w:pStyle w:val="References"/>
        <w:outlineLvl w:val="9"/>
        <w:rPr>
          <w:sz w:val="20"/>
          <w:szCs w:val="20"/>
        </w:rPr>
      </w:pPr>
      <w:r w:rsidRPr="00DD5C9C">
        <w:rPr>
          <w:sz w:val="20"/>
          <w:szCs w:val="20"/>
        </w:rPr>
        <w:t>Reid IR, Bolland MJ, Grey A (2014) Effects of vitamin D supplements on bone mineral density: a systematic review and meta-analysis. Lancet 383(9912):146–155</w:t>
      </w:r>
    </w:p>
    <w:p w14:paraId="25B5DCC0" w14:textId="77777777" w:rsidR="00DD5C9C" w:rsidRPr="00DD5C9C" w:rsidRDefault="00DD5C9C" w:rsidP="003B5D42">
      <w:pPr>
        <w:pStyle w:val="References"/>
        <w:outlineLvl w:val="9"/>
        <w:rPr>
          <w:sz w:val="20"/>
          <w:szCs w:val="20"/>
        </w:rPr>
      </w:pPr>
      <w:r w:rsidRPr="00DD5C9C">
        <w:rPr>
          <w:sz w:val="20"/>
          <w:szCs w:val="20"/>
        </w:rPr>
        <w:lastRenderedPageBreak/>
        <w:t>Riaz MN, Asif M, Ali R (2009) Stability of vitamins during extrusion. Crit Rev Food Sci Nutr 49(4):361–368</w:t>
      </w:r>
    </w:p>
    <w:p w14:paraId="25B5DCC1" w14:textId="77777777" w:rsidR="00DD5C9C" w:rsidRPr="00DD5C9C" w:rsidRDefault="00DD5C9C" w:rsidP="003B5D42">
      <w:pPr>
        <w:pStyle w:val="References"/>
        <w:outlineLvl w:val="9"/>
        <w:rPr>
          <w:sz w:val="20"/>
          <w:szCs w:val="20"/>
        </w:rPr>
      </w:pPr>
      <w:r w:rsidRPr="00DD5C9C">
        <w:rPr>
          <w:sz w:val="20"/>
          <w:szCs w:val="20"/>
        </w:rPr>
        <w:t>Rockell JE, Green TJ, Skeaff CM, Whiting SJ, Taylor RW, Williams SM, Parnell WR, Scragg R, Wilson N, Schaaf D, Fitzgerald ED, Wohlers MW (2005) Season and ethnicity are determinants of serum 25-hydroxyvitamin D concentrations in New Zealand children aged 5-14 y. J Nutr 135(11):2602–2608</w:t>
      </w:r>
    </w:p>
    <w:p w14:paraId="25B5DCC2" w14:textId="77777777" w:rsidR="00DD5C9C" w:rsidRPr="00DD5C9C" w:rsidRDefault="00DD5C9C" w:rsidP="003B5D42">
      <w:pPr>
        <w:pStyle w:val="References"/>
        <w:outlineLvl w:val="9"/>
        <w:rPr>
          <w:sz w:val="20"/>
          <w:szCs w:val="20"/>
        </w:rPr>
      </w:pPr>
      <w:r w:rsidRPr="00DD5C9C">
        <w:rPr>
          <w:sz w:val="20"/>
          <w:szCs w:val="20"/>
        </w:rPr>
        <w:t>Ross AC, Manson JE, Abrams SA, Aloia JF, Brannon PM, Clinton SK, Durazo-Arvizu RA, Gallagher JC, Gallo RL, Jones G, Kovacs CS, Mayne ST, Rosen CJ, Shapses SA (2011) The 2011 report on dietary reference intakes for calcium and vitamin D from the Institute of Medicine: what clinicians need to know. J Clin Endocrinol Metab 96(1):53–58</w:t>
      </w:r>
    </w:p>
    <w:p w14:paraId="25B5DCC3" w14:textId="77777777" w:rsidR="00DD5C9C" w:rsidRPr="00DD5C9C" w:rsidRDefault="00DD5C9C" w:rsidP="003B5D42">
      <w:pPr>
        <w:pStyle w:val="References"/>
        <w:outlineLvl w:val="9"/>
        <w:rPr>
          <w:sz w:val="20"/>
          <w:szCs w:val="20"/>
        </w:rPr>
      </w:pPr>
      <w:r w:rsidRPr="00DD5C9C">
        <w:rPr>
          <w:sz w:val="20"/>
          <w:szCs w:val="20"/>
        </w:rPr>
        <w:t>Roth HJ, Schmidt-Gayk H, Weber H, Niederau C (2008) Accuracy and clinical implications of seven 25-hydroxyvitamin D methods compared with liquid chromatography-tandem mass spectrometry as a reference. Ann Clin Biochem 45(Pt 2):153–159</w:t>
      </w:r>
    </w:p>
    <w:p w14:paraId="25B5DCC4" w14:textId="77777777" w:rsidR="00DD5C9C" w:rsidRPr="00DD5C9C" w:rsidRDefault="00DD5C9C" w:rsidP="003B5D42">
      <w:pPr>
        <w:pStyle w:val="References"/>
        <w:spacing w:after="0"/>
        <w:outlineLvl w:val="9"/>
        <w:rPr>
          <w:sz w:val="20"/>
          <w:szCs w:val="20"/>
        </w:rPr>
      </w:pPr>
      <w:r w:rsidRPr="00DD5C9C">
        <w:rPr>
          <w:sz w:val="20"/>
          <w:szCs w:val="20"/>
        </w:rPr>
        <w:t>SACN (2007) Update on vitamin D: Position statement by the Scientific Advisory Committee on Nutrition. Food Standards Agency and the UK Department of Health, London.</w:t>
      </w:r>
    </w:p>
    <w:p w14:paraId="25B5DCC5" w14:textId="77777777" w:rsidR="00DD5C9C" w:rsidRPr="00DD5C9C" w:rsidRDefault="009B582B" w:rsidP="003B5D42">
      <w:pPr>
        <w:pStyle w:val="References"/>
        <w:outlineLvl w:val="9"/>
        <w:rPr>
          <w:sz w:val="20"/>
          <w:szCs w:val="20"/>
        </w:rPr>
      </w:pPr>
      <w:hyperlink r:id="rId48" w:history="1">
        <w:r w:rsidR="00364678" w:rsidRPr="002108AA">
          <w:rPr>
            <w:rStyle w:val="Hyperlink"/>
            <w:sz w:val="20"/>
            <w:szCs w:val="20"/>
          </w:rPr>
          <w:t>https://www.gov.uk/government/uploads/system/uploads/attachment_data/file/339349/SACN_Update_on_Vitamin_D_2007.pdf</w:t>
        </w:r>
      </w:hyperlink>
      <w:r w:rsidR="00364678">
        <w:rPr>
          <w:sz w:val="20"/>
          <w:szCs w:val="20"/>
        </w:rPr>
        <w:t xml:space="preserve">. </w:t>
      </w:r>
      <w:r w:rsidR="00DD5C9C" w:rsidRPr="00DD5C9C">
        <w:rPr>
          <w:sz w:val="20"/>
          <w:szCs w:val="20"/>
        </w:rPr>
        <w:t>Accessed 29 October 2014</w:t>
      </w:r>
    </w:p>
    <w:p w14:paraId="25B5DCC6" w14:textId="77777777" w:rsidR="00DD5C9C" w:rsidRPr="00DD5C9C" w:rsidRDefault="00DD5C9C" w:rsidP="003B5D42">
      <w:pPr>
        <w:pStyle w:val="References"/>
        <w:outlineLvl w:val="9"/>
        <w:rPr>
          <w:sz w:val="20"/>
          <w:szCs w:val="20"/>
        </w:rPr>
      </w:pPr>
      <w:r w:rsidRPr="00DD5C9C">
        <w:rPr>
          <w:sz w:val="20"/>
          <w:szCs w:val="20"/>
        </w:rPr>
        <w:t>Schmid A, Walther B (2013) Natural vitamin d content in animal products. Adv Nutr 4(4):453–462</w:t>
      </w:r>
    </w:p>
    <w:p w14:paraId="25B5DCC7" w14:textId="77777777" w:rsidR="00DD5C9C" w:rsidRPr="00DD5C9C" w:rsidRDefault="00DD5C9C" w:rsidP="003B5D42">
      <w:pPr>
        <w:pStyle w:val="References"/>
        <w:outlineLvl w:val="9"/>
        <w:rPr>
          <w:sz w:val="20"/>
          <w:szCs w:val="20"/>
        </w:rPr>
      </w:pPr>
      <w:r w:rsidRPr="00DD5C9C">
        <w:rPr>
          <w:sz w:val="20"/>
          <w:szCs w:val="20"/>
        </w:rPr>
        <w:t>Schuster I (2011) Cytochromes P450 are essential players in the vitamin D signaling system. Biochim Biophys Acta 1814(1):186–199</w:t>
      </w:r>
    </w:p>
    <w:p w14:paraId="25B5DCC8" w14:textId="77777777" w:rsidR="00DD5C9C" w:rsidRPr="00DD5C9C" w:rsidRDefault="00DD5C9C" w:rsidP="003B5D42">
      <w:pPr>
        <w:pStyle w:val="References"/>
        <w:spacing w:after="0"/>
        <w:outlineLvl w:val="9"/>
        <w:rPr>
          <w:sz w:val="20"/>
          <w:szCs w:val="20"/>
        </w:rPr>
      </w:pPr>
      <w:r w:rsidRPr="00DD5C9C">
        <w:rPr>
          <w:sz w:val="20"/>
          <w:szCs w:val="20"/>
        </w:rPr>
        <w:t>Scientific Advisory Committee on Nutrition (2014) Vitamin D Working Group - Minutes of Meeting 5 June 2014.</w:t>
      </w:r>
    </w:p>
    <w:p w14:paraId="25B5DCC9" w14:textId="77777777" w:rsidR="00DD5C9C" w:rsidRPr="00DD5C9C" w:rsidRDefault="009B582B" w:rsidP="003B5D42">
      <w:pPr>
        <w:pStyle w:val="References"/>
        <w:outlineLvl w:val="9"/>
        <w:rPr>
          <w:sz w:val="20"/>
          <w:szCs w:val="20"/>
        </w:rPr>
      </w:pPr>
      <w:hyperlink r:id="rId49" w:anchor="vitamin-d-working-group" w:history="1">
        <w:r w:rsidR="00364678" w:rsidRPr="002108AA">
          <w:rPr>
            <w:rStyle w:val="Hyperlink"/>
            <w:sz w:val="20"/>
            <w:szCs w:val="20"/>
          </w:rPr>
          <w:t>https://www.gov.uk/government/groups/scientific-advisory-committee-on-nutrition#vitamin-d-working-group</w:t>
        </w:r>
      </w:hyperlink>
      <w:r w:rsidR="00364678">
        <w:rPr>
          <w:sz w:val="20"/>
          <w:szCs w:val="20"/>
        </w:rPr>
        <w:t xml:space="preserve">. </w:t>
      </w:r>
      <w:r w:rsidR="00DD5C9C" w:rsidRPr="00DD5C9C">
        <w:rPr>
          <w:sz w:val="20"/>
          <w:szCs w:val="20"/>
        </w:rPr>
        <w:t xml:space="preserve"> Accessed 16 October 2014</w:t>
      </w:r>
    </w:p>
    <w:p w14:paraId="25B5DCCA" w14:textId="77777777" w:rsidR="00DD5C9C" w:rsidRPr="00DD5C9C" w:rsidRDefault="00DD5C9C" w:rsidP="003B5D42">
      <w:pPr>
        <w:pStyle w:val="References"/>
        <w:outlineLvl w:val="9"/>
        <w:rPr>
          <w:sz w:val="20"/>
          <w:szCs w:val="20"/>
        </w:rPr>
      </w:pPr>
      <w:r w:rsidRPr="00DD5C9C">
        <w:rPr>
          <w:sz w:val="20"/>
          <w:szCs w:val="20"/>
        </w:rPr>
        <w:t>Snellman G, Melhus H, Gedeborg R, Byberg L, Berglund L, Wernroth L, Michaelsson K (2010) Determining vitamin D status: a comparison between commercially available assays. PLoS One 5(7):e11555</w:t>
      </w:r>
    </w:p>
    <w:p w14:paraId="25B5DCCB" w14:textId="77777777" w:rsidR="00DD5C9C" w:rsidRPr="00DD5C9C" w:rsidRDefault="00DD5C9C" w:rsidP="003B5D42">
      <w:pPr>
        <w:pStyle w:val="References"/>
        <w:outlineLvl w:val="9"/>
        <w:rPr>
          <w:sz w:val="20"/>
          <w:szCs w:val="20"/>
        </w:rPr>
      </w:pPr>
      <w:r w:rsidRPr="00DD5C9C">
        <w:rPr>
          <w:sz w:val="20"/>
          <w:szCs w:val="20"/>
        </w:rPr>
        <w:t>Spedding S, Vanlint S, Morris H, Scragg R (2013) Does vitamin D sufficiency equate to a single serum 25-hydroxyvitamin d level or are different levels required for non-skeletal diseases? Nutrients 5(12):5127–5139</w:t>
      </w:r>
    </w:p>
    <w:p w14:paraId="25B5DCCC" w14:textId="77777777" w:rsidR="00DD5C9C" w:rsidRPr="00DD5C9C" w:rsidRDefault="00DD5C9C" w:rsidP="003B5D42">
      <w:pPr>
        <w:pStyle w:val="References"/>
        <w:outlineLvl w:val="9"/>
        <w:rPr>
          <w:sz w:val="20"/>
          <w:szCs w:val="20"/>
        </w:rPr>
      </w:pPr>
      <w:r w:rsidRPr="00DD5C9C">
        <w:rPr>
          <w:sz w:val="20"/>
          <w:szCs w:val="20"/>
        </w:rPr>
        <w:t>Tangpricha V, Koutkia P, Rieke SM, Chen TC, Perez AA, Holick MF (2003) Fortification of orange juice with vitamin D: a novel approach for enhancing vitamin D nutritional health. Am J Clin Nutr 77(6):1478–1483</w:t>
      </w:r>
    </w:p>
    <w:p w14:paraId="25B5DCCD" w14:textId="77777777" w:rsidR="00DD5C9C" w:rsidRPr="00DD5C9C" w:rsidRDefault="00DD5C9C" w:rsidP="003B5D42">
      <w:pPr>
        <w:pStyle w:val="References"/>
        <w:outlineLvl w:val="9"/>
        <w:rPr>
          <w:sz w:val="20"/>
          <w:szCs w:val="20"/>
        </w:rPr>
      </w:pPr>
      <w:r w:rsidRPr="00DD5C9C">
        <w:rPr>
          <w:sz w:val="20"/>
          <w:szCs w:val="20"/>
        </w:rPr>
        <w:t>Taylor CL, Patterson KY, Roseland JM, Wise SA, Merkel JM, Pehrsson PR, Yetley EA (2014) Including Food 25-Hydroxyvitamin D in Intake Estimates May Reduce the Discrepancy between Dietary and Serum Measures of Vitamin D Status. J Nutr</w:t>
      </w:r>
      <w:r w:rsidR="00364678">
        <w:rPr>
          <w:sz w:val="20"/>
          <w:szCs w:val="20"/>
        </w:rPr>
        <w:t xml:space="preserve"> 144(5): 654</w:t>
      </w:r>
      <w:r w:rsidR="00364678">
        <w:rPr>
          <w:sz w:val="20"/>
          <w:szCs w:val="20"/>
        </w:rPr>
        <w:sym w:font="Symbol" w:char="F02D"/>
      </w:r>
      <w:r w:rsidR="00364678">
        <w:rPr>
          <w:sz w:val="20"/>
          <w:szCs w:val="20"/>
        </w:rPr>
        <w:t>659</w:t>
      </w:r>
    </w:p>
    <w:p w14:paraId="25B5DCCE" w14:textId="77777777" w:rsidR="00DD5C9C" w:rsidRPr="00DD5C9C" w:rsidRDefault="00DD5C9C" w:rsidP="003B5D42">
      <w:pPr>
        <w:pStyle w:val="References"/>
        <w:outlineLvl w:val="9"/>
        <w:rPr>
          <w:sz w:val="20"/>
          <w:szCs w:val="20"/>
        </w:rPr>
      </w:pPr>
      <w:r w:rsidRPr="00DD5C9C">
        <w:rPr>
          <w:sz w:val="20"/>
          <w:szCs w:val="20"/>
        </w:rPr>
        <w:t>Theodoratou E, Tzoulaki I, Zgaga L, Ioannidis JP (2014) Vitamin D and multiple health outcomes: umbrella review of systematic reviews and meta-analyses of observational studies and randomised trials. BMJ 348:g2035</w:t>
      </w:r>
    </w:p>
    <w:p w14:paraId="25B5DCCF" w14:textId="77777777" w:rsidR="00DD5C9C" w:rsidRPr="00DD5C9C" w:rsidRDefault="00DD5C9C" w:rsidP="003B5D42">
      <w:pPr>
        <w:pStyle w:val="References"/>
        <w:outlineLvl w:val="9"/>
        <w:rPr>
          <w:sz w:val="20"/>
          <w:szCs w:val="20"/>
        </w:rPr>
      </w:pPr>
      <w:r w:rsidRPr="00DD5C9C">
        <w:rPr>
          <w:sz w:val="20"/>
          <w:szCs w:val="20"/>
        </w:rPr>
        <w:t>Tripkovic L, Lambert H, Hart K, Smith CP, Bucca G, Penson S, Chope G, Hypponen E, Berry J, Vieth R, Lanham-New S (2012) Comparison of vitamin D2 and vitamin D3 supplementation in raising serum 25-hydroxyvitamin D status: a systematic review and meta-analysis. Am J Clin Nutr 95(6):1357–1364</w:t>
      </w:r>
    </w:p>
    <w:p w14:paraId="25B5DCD0" w14:textId="77777777" w:rsidR="00DD5C9C" w:rsidRPr="00DD5C9C" w:rsidRDefault="00DD5C9C" w:rsidP="003B5D42">
      <w:pPr>
        <w:pStyle w:val="References"/>
        <w:outlineLvl w:val="9"/>
        <w:rPr>
          <w:sz w:val="20"/>
          <w:szCs w:val="20"/>
        </w:rPr>
      </w:pPr>
      <w:r w:rsidRPr="00DD5C9C">
        <w:rPr>
          <w:sz w:val="20"/>
          <w:szCs w:val="20"/>
        </w:rPr>
        <w:t>Tsiaras WG, Weinstock MA (2011) Factors influencing vitamin D status. Acta Derm Venereol 91(2):115–124</w:t>
      </w:r>
    </w:p>
    <w:p w14:paraId="1C397190" w14:textId="77777777" w:rsidR="000223BB" w:rsidRDefault="000223BB" w:rsidP="003B5D42">
      <w:pPr>
        <w:pStyle w:val="References"/>
        <w:spacing w:after="0"/>
        <w:outlineLvl w:val="9"/>
        <w:rPr>
          <w:sz w:val="20"/>
          <w:szCs w:val="20"/>
        </w:rPr>
      </w:pPr>
      <w:r>
        <w:rPr>
          <w:sz w:val="20"/>
          <w:szCs w:val="20"/>
        </w:rPr>
        <w:br w:type="page"/>
      </w:r>
    </w:p>
    <w:p w14:paraId="25B5DCD1" w14:textId="3E1A9100" w:rsidR="00DD5C9C" w:rsidRPr="00DD5C9C" w:rsidRDefault="00DD5C9C" w:rsidP="003B5D42">
      <w:pPr>
        <w:pStyle w:val="References"/>
        <w:spacing w:after="0"/>
        <w:outlineLvl w:val="9"/>
        <w:rPr>
          <w:sz w:val="20"/>
          <w:szCs w:val="20"/>
        </w:rPr>
      </w:pPr>
      <w:r w:rsidRPr="00DD5C9C">
        <w:rPr>
          <w:sz w:val="20"/>
          <w:szCs w:val="20"/>
        </w:rPr>
        <w:lastRenderedPageBreak/>
        <w:t>U.S.Pharmacopeial Convention (2014) Food Chemicals Codex, 9th Edition.</w:t>
      </w:r>
    </w:p>
    <w:p w14:paraId="25B5DCD2" w14:textId="77777777" w:rsidR="00364678" w:rsidRPr="00364678" w:rsidRDefault="009B582B" w:rsidP="003B5D42">
      <w:pPr>
        <w:pStyle w:val="References"/>
        <w:outlineLvl w:val="9"/>
        <w:rPr>
          <w:sz w:val="20"/>
          <w:szCs w:val="20"/>
        </w:rPr>
      </w:pPr>
      <w:hyperlink r:id="rId50" w:history="1">
        <w:r w:rsidR="00364678" w:rsidRPr="002108AA">
          <w:rPr>
            <w:rStyle w:val="Hyperlink"/>
            <w:sz w:val="20"/>
            <w:szCs w:val="20"/>
          </w:rPr>
          <w:t>http://www.usp.org/food-ingredients/food-chemicals-codex</w:t>
        </w:r>
      </w:hyperlink>
    </w:p>
    <w:p w14:paraId="25B5DCD3" w14:textId="77777777" w:rsidR="00DD5C9C" w:rsidRPr="00DD5C9C" w:rsidRDefault="00DD5C9C" w:rsidP="003B5D42">
      <w:pPr>
        <w:pStyle w:val="References"/>
        <w:outlineLvl w:val="9"/>
        <w:rPr>
          <w:sz w:val="20"/>
          <w:szCs w:val="20"/>
        </w:rPr>
      </w:pPr>
      <w:r w:rsidRPr="00DD5C9C">
        <w:rPr>
          <w:sz w:val="20"/>
          <w:szCs w:val="20"/>
        </w:rPr>
        <w:t>Urbain P, Singler F, Ihorst G, Biesalski HK, Bertz H (2011) Bioavailability of vitamin D(2) from UV-B-irradiated button mushrooms in healthy adults deficient in serum 25-hydroxyvitamin D: a randomized controlled trial. Eur J Clin Nutr 65(8):965–971</w:t>
      </w:r>
    </w:p>
    <w:p w14:paraId="25B5DCD4" w14:textId="77777777" w:rsidR="00DD5C9C" w:rsidRPr="00DD5C9C" w:rsidRDefault="00DD5C9C" w:rsidP="003B5D42">
      <w:pPr>
        <w:pStyle w:val="References"/>
        <w:spacing w:after="0"/>
        <w:outlineLvl w:val="9"/>
        <w:rPr>
          <w:sz w:val="20"/>
          <w:szCs w:val="20"/>
        </w:rPr>
      </w:pPr>
      <w:r w:rsidRPr="00DD5C9C">
        <w:rPr>
          <w:sz w:val="20"/>
          <w:szCs w:val="20"/>
        </w:rPr>
        <w:t>Wagner D, Hanwell HE, Vieth R (2009) An evaluation of automated methods for measurement of serum 25-hydroxyvitamin D. Clin Biochem 42(15):1549–1556</w:t>
      </w:r>
    </w:p>
    <w:sectPr w:rsidR="00DD5C9C" w:rsidRPr="00DD5C9C" w:rsidSect="00C233AA">
      <w:footerReference w:type="default" r:id="rId51"/>
      <w:pgSz w:w="11906" w:h="16838"/>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E">
      <wne:macro wne:macroName="NORMAL.NEWMACROS.MACRO1"/>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D7253" w14:textId="77777777" w:rsidR="009B582B" w:rsidRDefault="009B582B">
      <w:r>
        <w:separator/>
      </w:r>
    </w:p>
  </w:endnote>
  <w:endnote w:type="continuationSeparator" w:id="0">
    <w:p w14:paraId="2D984515" w14:textId="77777777" w:rsidR="009B582B" w:rsidRDefault="009B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LancetPro">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5DCF6" w14:textId="77777777" w:rsidR="00C233AA" w:rsidRDefault="00C233AA" w:rsidP="003B5D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B5DCF7" w14:textId="77777777" w:rsidR="00C233AA" w:rsidRDefault="00C23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49033"/>
      <w:docPartObj>
        <w:docPartGallery w:val="Page Numbers (Bottom of Page)"/>
        <w:docPartUnique/>
      </w:docPartObj>
    </w:sdtPr>
    <w:sdtEndPr>
      <w:rPr>
        <w:noProof/>
      </w:rPr>
    </w:sdtEndPr>
    <w:sdtContent>
      <w:p w14:paraId="25B5DCF8" w14:textId="77777777" w:rsidR="00C233AA" w:rsidRDefault="00C233AA" w:rsidP="003B5D42">
        <w:pPr>
          <w:pStyle w:val="Footer"/>
          <w:jc w:val="center"/>
        </w:pPr>
        <w:r>
          <w:fldChar w:fldCharType="begin"/>
        </w:r>
        <w:r>
          <w:instrText xml:space="preserve"> PAGE   \* MERGEFORMAT </w:instrText>
        </w:r>
        <w:r>
          <w:fldChar w:fldCharType="separate"/>
        </w:r>
        <w:r w:rsidR="00E82441">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4A2DF" w14:textId="77777777" w:rsidR="000E1131" w:rsidRDefault="000E11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353807"/>
      <w:docPartObj>
        <w:docPartGallery w:val="Page Numbers (Bottom of Page)"/>
        <w:docPartUnique/>
      </w:docPartObj>
    </w:sdtPr>
    <w:sdtEndPr>
      <w:rPr>
        <w:noProof/>
      </w:rPr>
    </w:sdtEndPr>
    <w:sdtContent>
      <w:p w14:paraId="25B5DCFA" w14:textId="77777777" w:rsidR="00C233AA" w:rsidRDefault="00C233AA" w:rsidP="003B5D42">
        <w:pPr>
          <w:pStyle w:val="Footer"/>
          <w:jc w:val="center"/>
        </w:pPr>
        <w:r>
          <w:fldChar w:fldCharType="begin"/>
        </w:r>
        <w:r>
          <w:instrText xml:space="preserve"> PAGE   \* MERGEFORMAT </w:instrText>
        </w:r>
        <w:r>
          <w:fldChar w:fldCharType="separate"/>
        </w:r>
        <w:r w:rsidR="00E82441">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98057" w14:textId="77777777" w:rsidR="009B582B" w:rsidRDefault="009B582B">
      <w:r>
        <w:separator/>
      </w:r>
    </w:p>
  </w:footnote>
  <w:footnote w:type="continuationSeparator" w:id="0">
    <w:p w14:paraId="7241393E" w14:textId="77777777" w:rsidR="009B582B" w:rsidRDefault="009B5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A9981" w14:textId="77777777" w:rsidR="000E1131" w:rsidRDefault="000E1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D4DE" w14:textId="77777777" w:rsidR="000E1131" w:rsidRDefault="000E1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5DCF9" w14:textId="77777777" w:rsidR="00C233AA" w:rsidRDefault="00C233A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56B4CC72"/>
    <w:lvl w:ilvl="0" w:tplc="C33ECC02">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25CC4"/>
    <w:multiLevelType w:val="multilevel"/>
    <w:tmpl w:val="ECD8A358"/>
    <w:lvl w:ilvl="0">
      <w:start w:val="1"/>
      <w:numFmt w:val="decimal"/>
      <w:pStyle w:val="Style1"/>
      <w:lvlText w:val="%1"/>
      <w:lvlJc w:val="left"/>
      <w:pPr>
        <w:ind w:left="360" w:hanging="360"/>
      </w:pPr>
      <w:rPr>
        <w:rFonts w:hint="default"/>
      </w:rPr>
    </w:lvl>
    <w:lvl w:ilvl="1">
      <w:start w:val="1"/>
      <w:numFmt w:val="decimal"/>
      <w:pStyle w:val="Style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2E1B55"/>
    <w:multiLevelType w:val="singleLevel"/>
    <w:tmpl w:val="1A46536C"/>
    <w:lvl w:ilvl="0">
      <w:start w:val="1"/>
      <w:numFmt w:val="bullet"/>
      <w:pStyle w:val="TableText"/>
      <w:lvlText w:val=""/>
      <w:lvlJc w:val="left"/>
      <w:pPr>
        <w:tabs>
          <w:tab w:val="num" w:pos="284"/>
        </w:tabs>
        <w:ind w:left="284" w:hanging="284"/>
      </w:pPr>
      <w:rPr>
        <w:rFonts w:ascii="Symbol" w:hAnsi="Symbol" w:hint="default"/>
        <w:sz w:val="16"/>
        <w:szCs w:val="16"/>
      </w:rPr>
    </w:lvl>
  </w:abstractNum>
  <w:abstractNum w:abstractNumId="3">
    <w:nsid w:val="0C39214B"/>
    <w:multiLevelType w:val="hybridMultilevel"/>
    <w:tmpl w:val="CD3C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A7CF9"/>
    <w:multiLevelType w:val="hybridMultilevel"/>
    <w:tmpl w:val="297827B8"/>
    <w:lvl w:ilvl="0" w:tplc="6108F7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3F959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120EF0"/>
    <w:multiLevelType w:val="hybridMultilevel"/>
    <w:tmpl w:val="930E216E"/>
    <w:lvl w:ilvl="0" w:tplc="0809000F">
      <w:start w:val="1"/>
      <w:numFmt w:val="decimal"/>
      <w:lvlText w:val="%1."/>
      <w:lvlJc w:val="left"/>
      <w:pPr>
        <w:ind w:left="502"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D70076"/>
    <w:multiLevelType w:val="hybridMultilevel"/>
    <w:tmpl w:val="B9C6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54271"/>
    <w:multiLevelType w:val="hybridMultilevel"/>
    <w:tmpl w:val="FBF0AE2A"/>
    <w:lvl w:ilvl="0" w:tplc="174AECF0">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6B7C5B"/>
    <w:multiLevelType w:val="hybridMultilevel"/>
    <w:tmpl w:val="88E4387E"/>
    <w:lvl w:ilvl="0" w:tplc="0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6758B0"/>
    <w:multiLevelType w:val="hybridMultilevel"/>
    <w:tmpl w:val="3142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C7B0754"/>
    <w:multiLevelType w:val="hybridMultilevel"/>
    <w:tmpl w:val="A812691C"/>
    <w:lvl w:ilvl="0" w:tplc="6108F7AC">
      <w:start w:val="1"/>
      <w:numFmt w:val="decimal"/>
      <w:lvlText w:val="(%1)"/>
      <w:lvlJc w:val="left"/>
      <w:pPr>
        <w:ind w:left="502"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DD0351"/>
    <w:multiLevelType w:val="hybridMultilevel"/>
    <w:tmpl w:val="CB92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9E1627"/>
    <w:multiLevelType w:val="multilevel"/>
    <w:tmpl w:val="D534DE64"/>
    <w:lvl w:ilvl="0">
      <w:start w:val="1"/>
      <w:numFmt w:val="decimal"/>
      <w:lvlText w:val="%1"/>
      <w:lvlJc w:val="left"/>
      <w:pPr>
        <w:ind w:left="360" w:hanging="360"/>
      </w:pPr>
      <w:rPr>
        <w:rFonts w:hint="default"/>
      </w:rPr>
    </w:lvl>
    <w:lvl w:ilvl="1">
      <w:start w:val="1"/>
      <w:numFmt w:val="decimal"/>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48E41D78"/>
    <w:multiLevelType w:val="hybridMultilevel"/>
    <w:tmpl w:val="7F904CCE"/>
    <w:lvl w:ilvl="0" w:tplc="1B724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A7169D"/>
    <w:multiLevelType w:val="multilevel"/>
    <w:tmpl w:val="E9FE3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6E084F"/>
    <w:multiLevelType w:val="hybridMultilevel"/>
    <w:tmpl w:val="02281D4E"/>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FDB1824"/>
    <w:multiLevelType w:val="hybridMultilevel"/>
    <w:tmpl w:val="BF8E3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4FC591D"/>
    <w:multiLevelType w:val="multilevel"/>
    <w:tmpl w:val="1908BB9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897" w:hanging="3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Heading4"/>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24"/>
  </w:num>
  <w:num w:numId="9">
    <w:abstractNumId w:val="16"/>
  </w:num>
  <w:num w:numId="10">
    <w:abstractNumId w:val="20"/>
  </w:num>
  <w:num w:numId="11">
    <w:abstractNumId w:val="24"/>
  </w:num>
  <w:num w:numId="12">
    <w:abstractNumId w:val="16"/>
  </w:num>
  <w:num w:numId="13">
    <w:abstractNumId w:val="20"/>
  </w:num>
  <w:num w:numId="14">
    <w:abstractNumId w:val="0"/>
  </w:num>
  <w:num w:numId="15">
    <w:abstractNumId w:val="9"/>
  </w:num>
  <w:num w:numId="16">
    <w:abstractNumId w:val="17"/>
  </w:num>
  <w:num w:numId="17">
    <w:abstractNumId w:val="5"/>
  </w:num>
  <w:num w:numId="18">
    <w:abstractNumId w:val="3"/>
  </w:num>
  <w:num w:numId="19">
    <w:abstractNumId w:val="2"/>
  </w:num>
  <w:num w:numId="20">
    <w:abstractNumId w:val="22"/>
  </w:num>
  <w:num w:numId="21">
    <w:abstractNumId w:val="10"/>
  </w:num>
  <w:num w:numId="22">
    <w:abstractNumId w:val="1"/>
  </w:num>
  <w:num w:numId="23">
    <w:abstractNumId w:val="4"/>
  </w:num>
  <w:num w:numId="24">
    <w:abstractNumId w:val="19"/>
  </w:num>
  <w:num w:numId="25">
    <w:abstractNumId w:val="15"/>
  </w:num>
  <w:num w:numId="26">
    <w:abstractNumId w:val="18"/>
  </w:num>
  <w:num w:numId="27">
    <w:abstractNumId w:val="11"/>
  </w:num>
  <w:num w:numId="28">
    <w:abstractNumId w:val="8"/>
  </w:num>
  <w:num w:numId="29">
    <w:abstractNumId w:val="23"/>
  </w:num>
  <w:num w:numId="30">
    <w:abstractNumId w:val="6"/>
  </w:num>
  <w:num w:numId="31">
    <w:abstractNumId w:val="14"/>
  </w:num>
  <w:num w:numId="32">
    <w:abstractNumId w:val="7"/>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DD5C9C"/>
    <w:rsid w:val="0000542C"/>
    <w:rsid w:val="00010E5C"/>
    <w:rsid w:val="000223BB"/>
    <w:rsid w:val="000231D7"/>
    <w:rsid w:val="00041643"/>
    <w:rsid w:val="00056B19"/>
    <w:rsid w:val="000622E7"/>
    <w:rsid w:val="00063334"/>
    <w:rsid w:val="00066854"/>
    <w:rsid w:val="00066D85"/>
    <w:rsid w:val="000A38F8"/>
    <w:rsid w:val="000E1131"/>
    <w:rsid w:val="000F2196"/>
    <w:rsid w:val="001734EA"/>
    <w:rsid w:val="001755D3"/>
    <w:rsid w:val="00184403"/>
    <w:rsid w:val="00191770"/>
    <w:rsid w:val="001C5126"/>
    <w:rsid w:val="001C761E"/>
    <w:rsid w:val="001E696B"/>
    <w:rsid w:val="002232B1"/>
    <w:rsid w:val="00234C31"/>
    <w:rsid w:val="002544DE"/>
    <w:rsid w:val="0033021F"/>
    <w:rsid w:val="00341D25"/>
    <w:rsid w:val="00364678"/>
    <w:rsid w:val="003B5D42"/>
    <w:rsid w:val="003D3A04"/>
    <w:rsid w:val="00404702"/>
    <w:rsid w:val="00404BAB"/>
    <w:rsid w:val="00441D77"/>
    <w:rsid w:val="00443F05"/>
    <w:rsid w:val="00461C3D"/>
    <w:rsid w:val="00486619"/>
    <w:rsid w:val="004D3868"/>
    <w:rsid w:val="004E6694"/>
    <w:rsid w:val="0054036E"/>
    <w:rsid w:val="005B578D"/>
    <w:rsid w:val="005C1996"/>
    <w:rsid w:val="006648ED"/>
    <w:rsid w:val="006B6900"/>
    <w:rsid w:val="006D473E"/>
    <w:rsid w:val="00793DE6"/>
    <w:rsid w:val="007B2A2E"/>
    <w:rsid w:val="007F6456"/>
    <w:rsid w:val="00813093"/>
    <w:rsid w:val="00830393"/>
    <w:rsid w:val="00833D5A"/>
    <w:rsid w:val="00860EE7"/>
    <w:rsid w:val="00877A81"/>
    <w:rsid w:val="008931F6"/>
    <w:rsid w:val="008C6960"/>
    <w:rsid w:val="008D11D5"/>
    <w:rsid w:val="008E2339"/>
    <w:rsid w:val="008E520E"/>
    <w:rsid w:val="00935023"/>
    <w:rsid w:val="009806A5"/>
    <w:rsid w:val="009B582B"/>
    <w:rsid w:val="009D6650"/>
    <w:rsid w:val="009E265A"/>
    <w:rsid w:val="00A01C3C"/>
    <w:rsid w:val="00A028B1"/>
    <w:rsid w:val="00A16689"/>
    <w:rsid w:val="00A25B29"/>
    <w:rsid w:val="00A26F82"/>
    <w:rsid w:val="00A369B9"/>
    <w:rsid w:val="00AE2641"/>
    <w:rsid w:val="00AF79AC"/>
    <w:rsid w:val="00B53154"/>
    <w:rsid w:val="00B57F0D"/>
    <w:rsid w:val="00B62436"/>
    <w:rsid w:val="00B8400A"/>
    <w:rsid w:val="00BC2133"/>
    <w:rsid w:val="00BE4F3A"/>
    <w:rsid w:val="00C019A6"/>
    <w:rsid w:val="00C233AA"/>
    <w:rsid w:val="00C572A2"/>
    <w:rsid w:val="00C91549"/>
    <w:rsid w:val="00D5526B"/>
    <w:rsid w:val="00D66962"/>
    <w:rsid w:val="00D87D9C"/>
    <w:rsid w:val="00D92B3B"/>
    <w:rsid w:val="00D9790F"/>
    <w:rsid w:val="00DA7DED"/>
    <w:rsid w:val="00DC4391"/>
    <w:rsid w:val="00DC559B"/>
    <w:rsid w:val="00DD5C9C"/>
    <w:rsid w:val="00DE5B4D"/>
    <w:rsid w:val="00DF4A30"/>
    <w:rsid w:val="00E0050C"/>
    <w:rsid w:val="00E2450C"/>
    <w:rsid w:val="00E262C6"/>
    <w:rsid w:val="00E340B5"/>
    <w:rsid w:val="00E4001E"/>
    <w:rsid w:val="00E40F7B"/>
    <w:rsid w:val="00E43FEA"/>
    <w:rsid w:val="00E53ACA"/>
    <w:rsid w:val="00E82441"/>
    <w:rsid w:val="00E9409E"/>
    <w:rsid w:val="00EA525C"/>
    <w:rsid w:val="00F1441D"/>
    <w:rsid w:val="00F4105E"/>
    <w:rsid w:val="00F45149"/>
    <w:rsid w:val="00F53357"/>
    <w:rsid w:val="00F616DA"/>
    <w:rsid w:val="00F61F9B"/>
    <w:rsid w:val="00F76F95"/>
    <w:rsid w:val="00FA6B6E"/>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5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D5C9C"/>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DD5C9C"/>
    <w:pPr>
      <w:keepNext/>
      <w:spacing w:after="240"/>
      <w:ind w:left="432" w:hanging="432"/>
      <w:outlineLvl w:val="0"/>
    </w:pPr>
    <w:rPr>
      <w:b/>
      <w:bCs/>
      <w:sz w:val="36"/>
      <w:szCs w:val="28"/>
      <w:lang w:bidi="ar-SA"/>
    </w:rPr>
  </w:style>
  <w:style w:type="paragraph" w:styleId="Heading2">
    <w:name w:val="heading 2"/>
    <w:aliases w:val="FSHeading 2,Section heading"/>
    <w:basedOn w:val="Heading3"/>
    <w:next w:val="Normal"/>
    <w:link w:val="Heading2Char"/>
    <w:autoRedefine/>
    <w:uiPriority w:val="9"/>
    <w:unhideWhenUsed/>
    <w:qFormat/>
    <w:rsid w:val="00E262C6"/>
    <w:pPr>
      <w:numPr>
        <w:ilvl w:val="0"/>
      </w:numPr>
      <w:ind w:left="851" w:hanging="851"/>
      <w:outlineLvl w:val="1"/>
    </w:pPr>
    <w:rPr>
      <w:sz w:val="28"/>
      <w:szCs w:val="28"/>
    </w:rPr>
  </w:style>
  <w:style w:type="paragraph" w:styleId="Heading3">
    <w:name w:val="heading 3"/>
    <w:aliases w:val="FSHeading 3,Subheading 1"/>
    <w:basedOn w:val="ListParagraph"/>
    <w:link w:val="Heading3Char"/>
    <w:autoRedefine/>
    <w:uiPriority w:val="9"/>
    <w:unhideWhenUsed/>
    <w:qFormat/>
    <w:rsid w:val="00E262C6"/>
    <w:pPr>
      <w:numPr>
        <w:ilvl w:val="1"/>
        <w:numId w:val="29"/>
      </w:numPr>
      <w:spacing w:before="240" w:after="240"/>
      <w:ind w:left="851" w:hanging="851"/>
      <w:outlineLvl w:val="2"/>
    </w:pPr>
    <w:rPr>
      <w:b/>
      <w:szCs w:val="22"/>
      <w:lang w:bidi="ar-SA"/>
    </w:rPr>
  </w:style>
  <w:style w:type="paragraph" w:styleId="Heading4">
    <w:name w:val="heading 4"/>
    <w:aliases w:val="FSHeading 4,Subheading 2"/>
    <w:basedOn w:val="Heading3"/>
    <w:next w:val="Normal"/>
    <w:link w:val="Heading4Char"/>
    <w:uiPriority w:val="9"/>
    <w:unhideWhenUsed/>
    <w:qFormat/>
    <w:rsid w:val="00E262C6"/>
    <w:pPr>
      <w:numPr>
        <w:ilvl w:val="2"/>
      </w:numPr>
      <w:ind w:left="851" w:hanging="851"/>
      <w:outlineLvl w:val="3"/>
    </w:pPr>
    <w:rPr>
      <w:i/>
    </w:rPr>
  </w:style>
  <w:style w:type="paragraph" w:styleId="Heading5">
    <w:name w:val="heading 5"/>
    <w:aliases w:val="FSHeading 5,Subheading 3"/>
    <w:basedOn w:val="Normal"/>
    <w:next w:val="Normal"/>
    <w:link w:val="Heading5Char"/>
    <w:uiPriority w:val="9"/>
    <w:unhideWhenUsed/>
    <w:qFormat/>
    <w:rsid w:val="00DD5C9C"/>
    <w:pPr>
      <w:keepNext/>
      <w:numPr>
        <w:ilvl w:val="4"/>
        <w:numId w:val="24"/>
      </w:numPr>
      <w:spacing w:before="240" w:after="240"/>
      <w:outlineLvl w:val="4"/>
    </w:pPr>
    <w:rPr>
      <w:i/>
      <w:szCs w:val="22"/>
      <w:lang w:bidi="ar-SA"/>
    </w:rPr>
  </w:style>
  <w:style w:type="paragraph" w:styleId="Heading6">
    <w:name w:val="heading 6"/>
    <w:basedOn w:val="Normal"/>
    <w:next w:val="Normal"/>
    <w:link w:val="Heading6Char"/>
    <w:uiPriority w:val="9"/>
    <w:unhideWhenUsed/>
    <w:rsid w:val="00DD5C9C"/>
    <w:pPr>
      <w:numPr>
        <w:ilvl w:val="5"/>
        <w:numId w:val="24"/>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DD5C9C"/>
    <w:pPr>
      <w:numPr>
        <w:ilvl w:val="6"/>
        <w:numId w:val="24"/>
      </w:numPr>
      <w:spacing w:before="240" w:after="60"/>
      <w:outlineLvl w:val="6"/>
    </w:pPr>
  </w:style>
  <w:style w:type="paragraph" w:styleId="Heading8">
    <w:name w:val="heading 8"/>
    <w:basedOn w:val="Normal"/>
    <w:next w:val="Normal"/>
    <w:link w:val="Heading8Char"/>
    <w:uiPriority w:val="9"/>
    <w:unhideWhenUsed/>
    <w:rsid w:val="00DD5C9C"/>
    <w:pPr>
      <w:numPr>
        <w:ilvl w:val="7"/>
        <w:numId w:val="24"/>
      </w:numPr>
      <w:spacing w:before="240" w:after="60"/>
      <w:outlineLvl w:val="7"/>
    </w:pPr>
    <w:rPr>
      <w:i/>
      <w:iCs/>
    </w:rPr>
  </w:style>
  <w:style w:type="paragraph" w:styleId="Heading9">
    <w:name w:val="heading 9"/>
    <w:basedOn w:val="Normal"/>
    <w:next w:val="Normal"/>
    <w:link w:val="Heading9Char"/>
    <w:uiPriority w:val="9"/>
    <w:unhideWhenUsed/>
    <w:rsid w:val="00DD5C9C"/>
    <w:pPr>
      <w:numPr>
        <w:ilvl w:val="8"/>
        <w:numId w:val="2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D5C9C"/>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E262C6"/>
    <w:rPr>
      <w:rFonts w:eastAsia="Times New Roman" w:cs="Times New Roman"/>
      <w:b/>
      <w:sz w:val="28"/>
      <w:szCs w:val="28"/>
      <w:lang w:val="en-GB"/>
    </w:rPr>
  </w:style>
  <w:style w:type="character" w:customStyle="1" w:styleId="Heading3Char">
    <w:name w:val="Heading 3 Char"/>
    <w:aliases w:val="FSHeading 3 Char,Subheading 1 Char"/>
    <w:link w:val="Heading3"/>
    <w:uiPriority w:val="9"/>
    <w:rsid w:val="00E262C6"/>
    <w:rPr>
      <w:rFonts w:eastAsia="Times New Roman" w:cs="Times New Roman"/>
      <w:b/>
      <w:lang w:val="en-GB"/>
    </w:rPr>
  </w:style>
  <w:style w:type="character" w:customStyle="1" w:styleId="Heading4Char">
    <w:name w:val="Heading 4 Char"/>
    <w:aliases w:val="FSHeading 4 Char,Subheading 2 Char"/>
    <w:link w:val="Heading4"/>
    <w:uiPriority w:val="9"/>
    <w:rsid w:val="00E262C6"/>
    <w:rPr>
      <w:rFonts w:eastAsia="Times New Roman" w:cs="Times New Roman"/>
      <w:b/>
      <w:i/>
      <w:lang w:val="en-GB"/>
    </w:rPr>
  </w:style>
  <w:style w:type="character" w:customStyle="1" w:styleId="Heading5Char">
    <w:name w:val="Heading 5 Char"/>
    <w:aliases w:val="FSHeading 5 Char,Subheading 3 Char"/>
    <w:link w:val="Heading5"/>
    <w:uiPriority w:val="9"/>
    <w:rsid w:val="00DD5C9C"/>
    <w:rPr>
      <w:rFonts w:eastAsia="Times New Roman" w:cs="Times New Roman"/>
      <w:i/>
      <w:lang w:val="en-GB"/>
    </w:rPr>
  </w:style>
  <w:style w:type="character" w:customStyle="1" w:styleId="Heading6Char">
    <w:name w:val="Heading 6 Char"/>
    <w:basedOn w:val="DefaultParagraphFont"/>
    <w:link w:val="Heading6"/>
    <w:uiPriority w:val="9"/>
    <w:rsid w:val="00DD5C9C"/>
    <w:rPr>
      <w:rFonts w:eastAsia="Times New Roman" w:cs="Arial Unicode MS"/>
      <w:b/>
      <w:bCs/>
      <w:lang w:val="en-GB" w:bidi="en-US"/>
    </w:rPr>
  </w:style>
  <w:style w:type="paragraph" w:customStyle="1" w:styleId="Table2">
    <w:name w:val="Table 2"/>
    <w:basedOn w:val="Normal"/>
    <w:rsid w:val="00DD5C9C"/>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DD5C9C"/>
    <w:pPr>
      <w:keepNext/>
      <w:jc w:val="center"/>
    </w:pPr>
    <w:rPr>
      <w:iCs/>
      <w:smallCap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DD5C9C"/>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DD5C9C"/>
    <w:pPr>
      <w:tabs>
        <w:tab w:val="left" w:pos="851"/>
      </w:tabs>
    </w:pPr>
    <w:rPr>
      <w:b/>
      <w:szCs w:val="20"/>
    </w:rPr>
  </w:style>
  <w:style w:type="paragraph" w:customStyle="1" w:styleId="ClauseList">
    <w:name w:val="Clause List"/>
    <w:basedOn w:val="Clause"/>
    <w:next w:val="Normal"/>
    <w:rsid w:val="00DD5C9C"/>
  </w:style>
  <w:style w:type="paragraph" w:customStyle="1" w:styleId="Definition">
    <w:name w:val="Definition"/>
    <w:basedOn w:val="Normal"/>
    <w:next w:val="Normal"/>
    <w:rsid w:val="00DD5C9C"/>
    <w:pPr>
      <w:ind w:left="1701" w:hanging="851"/>
    </w:pPr>
    <w:rPr>
      <w:szCs w:val="20"/>
    </w:rPr>
  </w:style>
  <w:style w:type="paragraph" w:customStyle="1" w:styleId="DivisionHeading">
    <w:name w:val="Division Heading"/>
    <w:basedOn w:val="Normal"/>
    <w:next w:val="Normal"/>
    <w:rsid w:val="00DD5C9C"/>
    <w:pPr>
      <w:tabs>
        <w:tab w:val="left" w:pos="851"/>
      </w:tabs>
      <w:jc w:val="center"/>
    </w:pPr>
    <w:rPr>
      <w:b/>
      <w:sz w:val="28"/>
      <w:szCs w:val="20"/>
    </w:rPr>
  </w:style>
  <w:style w:type="paragraph" w:customStyle="1" w:styleId="EditorialNoteLine1">
    <w:name w:val="Editorial Note Line 1"/>
    <w:basedOn w:val="Normal"/>
    <w:next w:val="Normal"/>
    <w:rsid w:val="00DD5C9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DD5C9C"/>
    <w:rPr>
      <w:b w:val="0"/>
    </w:rPr>
  </w:style>
  <w:style w:type="paragraph" w:styleId="Footer">
    <w:name w:val="footer"/>
    <w:aliases w:val="FSFooter"/>
    <w:basedOn w:val="Normal"/>
    <w:link w:val="FooterChar"/>
    <w:uiPriority w:val="99"/>
    <w:rsid w:val="00DD5C9C"/>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DD5C9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DD5C9C"/>
    <w:rPr>
      <w:sz w:val="20"/>
      <w:szCs w:val="20"/>
    </w:rPr>
  </w:style>
  <w:style w:type="character" w:customStyle="1" w:styleId="FootnoteTextChar">
    <w:name w:val="Footnote Text Char"/>
    <w:aliases w:val="Footnotes Text Char,FSFootnotes Text Char"/>
    <w:basedOn w:val="DefaultParagraphFont"/>
    <w:link w:val="FootnoteText"/>
    <w:rsid w:val="00DD5C9C"/>
    <w:rPr>
      <w:rFonts w:eastAsia="Times New Roman" w:cs="Times New Roman"/>
      <w:sz w:val="20"/>
      <w:szCs w:val="20"/>
      <w:lang w:val="en-GB" w:bidi="en-US"/>
    </w:rPr>
  </w:style>
  <w:style w:type="paragraph" w:customStyle="1" w:styleId="FSBullet1">
    <w:name w:val="FSBullet 1"/>
    <w:basedOn w:val="Normal"/>
    <w:next w:val="Normal"/>
    <w:link w:val="FSBullet1Char"/>
    <w:qFormat/>
    <w:rsid w:val="00C91549"/>
    <w:pPr>
      <w:numPr>
        <w:numId w:val="15"/>
      </w:numPr>
      <w:ind w:left="567" w:hanging="567"/>
    </w:pPr>
    <w:rPr>
      <w:rFonts w:eastAsia="Calibri" w:cs="Arial"/>
      <w:lang w:bidi="ar-SA"/>
    </w:rPr>
  </w:style>
  <w:style w:type="character" w:customStyle="1" w:styleId="FSBullet1Char">
    <w:name w:val="FSBullet 1 Char"/>
    <w:link w:val="FSBullet1"/>
    <w:rsid w:val="00C91549"/>
    <w:rPr>
      <w:rFonts w:eastAsia="Calibri"/>
      <w:szCs w:val="24"/>
      <w:lang w:val="en-GB"/>
    </w:rPr>
  </w:style>
  <w:style w:type="paragraph" w:customStyle="1" w:styleId="FSBullet2">
    <w:name w:val="FSBullet 2"/>
    <w:basedOn w:val="Normal"/>
    <w:qFormat/>
    <w:rsid w:val="00DD5C9C"/>
    <w:pPr>
      <w:numPr>
        <w:numId w:val="16"/>
      </w:numPr>
      <w:ind w:left="1134" w:hanging="567"/>
    </w:pPr>
    <w:rPr>
      <w:rFonts w:eastAsia="Calibri"/>
      <w:szCs w:val="22"/>
      <w:lang w:bidi="ar-SA"/>
    </w:rPr>
  </w:style>
  <w:style w:type="paragraph" w:customStyle="1" w:styleId="FSBullet3">
    <w:name w:val="FSBullet 3"/>
    <w:basedOn w:val="Normal"/>
    <w:qFormat/>
    <w:rsid w:val="00DD5C9C"/>
    <w:pPr>
      <w:keepNext/>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DD5C9C"/>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rsid w:val="00DD5C9C"/>
  </w:style>
  <w:style w:type="character" w:customStyle="1" w:styleId="HeaderChar">
    <w:name w:val="Header Char"/>
    <w:aliases w:val="FSHeader Char"/>
    <w:basedOn w:val="DefaultParagraphFont"/>
    <w:link w:val="Header"/>
    <w:rsid w:val="00DD5C9C"/>
    <w:rPr>
      <w:rFonts w:eastAsia="Times New Roman" w:cs="Times New Roman"/>
      <w:szCs w:val="24"/>
      <w:lang w:val="en-GB" w:bidi="en-US"/>
    </w:rPr>
  </w:style>
  <w:style w:type="paragraph" w:customStyle="1" w:styleId="Paragraph">
    <w:name w:val="Paragraph"/>
    <w:basedOn w:val="Clause"/>
    <w:next w:val="Normal"/>
    <w:rsid w:val="00DD5C9C"/>
    <w:pPr>
      <w:tabs>
        <w:tab w:val="clear" w:pos="851"/>
      </w:tabs>
      <w:ind w:left="1702" w:hanging="851"/>
    </w:pPr>
  </w:style>
  <w:style w:type="paragraph" w:customStyle="1" w:styleId="ScheduleHeading">
    <w:name w:val="Schedule Heading"/>
    <w:basedOn w:val="Normal"/>
    <w:next w:val="Normal"/>
    <w:rsid w:val="00DD5C9C"/>
    <w:pPr>
      <w:tabs>
        <w:tab w:val="left" w:pos="851"/>
      </w:tabs>
      <w:jc w:val="center"/>
    </w:pPr>
    <w:rPr>
      <w:b/>
      <w:caps/>
      <w:szCs w:val="20"/>
    </w:rPr>
  </w:style>
  <w:style w:type="paragraph" w:customStyle="1" w:styleId="Standardtitle">
    <w:name w:val="Standard title"/>
    <w:basedOn w:val="Normal"/>
    <w:rsid w:val="00DD5C9C"/>
    <w:pPr>
      <w:tabs>
        <w:tab w:val="left" w:pos="851"/>
      </w:tabs>
      <w:jc w:val="center"/>
    </w:pPr>
    <w:rPr>
      <w:b/>
      <w:i/>
      <w:iCs/>
      <w:caps/>
      <w:sz w:val="28"/>
      <w:szCs w:val="20"/>
    </w:rPr>
  </w:style>
  <w:style w:type="paragraph" w:customStyle="1" w:styleId="Subclause">
    <w:name w:val="Subclause"/>
    <w:basedOn w:val="Clause"/>
    <w:rsid w:val="00DD5C9C"/>
    <w:pPr>
      <w:ind w:hanging="11"/>
    </w:pPr>
  </w:style>
  <w:style w:type="paragraph" w:customStyle="1" w:styleId="Subparagraph">
    <w:name w:val="Subparagraph"/>
    <w:basedOn w:val="Paragraph"/>
    <w:next w:val="Normal"/>
    <w:rsid w:val="00DD5C9C"/>
    <w:pPr>
      <w:ind w:left="2553"/>
    </w:pPr>
  </w:style>
  <w:style w:type="paragraph" w:customStyle="1" w:styleId="Table1">
    <w:name w:val="Table 1"/>
    <w:basedOn w:val="Normal"/>
    <w:rsid w:val="00DD5C9C"/>
    <w:pPr>
      <w:spacing w:after="120"/>
      <w:jc w:val="center"/>
    </w:pPr>
    <w:rPr>
      <w:b/>
      <w:bCs/>
      <w:sz w:val="20"/>
      <w:szCs w:val="20"/>
    </w:rPr>
  </w:style>
  <w:style w:type="paragraph" w:customStyle="1" w:styleId="TitleBorder">
    <w:name w:val="TitleBorder"/>
    <w:basedOn w:val="Normal"/>
    <w:rsid w:val="00DD5C9C"/>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D5C9C"/>
    <w:pPr>
      <w:ind w:left="720"/>
      <w:contextualSpacing/>
    </w:pPr>
  </w:style>
  <w:style w:type="character" w:customStyle="1" w:styleId="Heading7Char">
    <w:name w:val="Heading 7 Char"/>
    <w:basedOn w:val="DefaultParagraphFont"/>
    <w:link w:val="Heading7"/>
    <w:uiPriority w:val="9"/>
    <w:rsid w:val="00DD5C9C"/>
    <w:rPr>
      <w:rFonts w:eastAsia="Times New Roman" w:cs="Times New Roman"/>
      <w:szCs w:val="24"/>
      <w:lang w:val="en-GB" w:bidi="en-US"/>
    </w:rPr>
  </w:style>
  <w:style w:type="character" w:customStyle="1" w:styleId="Heading8Char">
    <w:name w:val="Heading 8 Char"/>
    <w:basedOn w:val="DefaultParagraphFont"/>
    <w:link w:val="Heading8"/>
    <w:uiPriority w:val="9"/>
    <w:rsid w:val="00DD5C9C"/>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DD5C9C"/>
    <w:rPr>
      <w:rFonts w:ascii="Cambria" w:eastAsia="Times New Roman" w:hAnsi="Cambria" w:cs="Times New Roman"/>
      <w:lang w:val="en-GB" w:bidi="en-US"/>
    </w:rPr>
  </w:style>
  <w:style w:type="character" w:styleId="Hyperlink">
    <w:name w:val="Hyperlink"/>
    <w:basedOn w:val="DefaultParagraphFont"/>
    <w:uiPriority w:val="99"/>
    <w:rsid w:val="00DD5C9C"/>
    <w:rPr>
      <w:rFonts w:ascii="Arial" w:hAnsi="Arial"/>
      <w:color w:val="3333FF"/>
      <w:u w:val="single"/>
    </w:rPr>
  </w:style>
  <w:style w:type="paragraph" w:customStyle="1" w:styleId="FSTitle">
    <w:name w:val="FS Title"/>
    <w:basedOn w:val="Normal"/>
    <w:qFormat/>
    <w:rsid w:val="00DD5C9C"/>
    <w:rPr>
      <w:rFonts w:cs="Tahoma"/>
      <w:bCs/>
      <w:sz w:val="32"/>
    </w:rPr>
  </w:style>
  <w:style w:type="paragraph" w:customStyle="1" w:styleId="FSDash">
    <w:name w:val="FS Dash"/>
    <w:basedOn w:val="Normal"/>
    <w:qFormat/>
    <w:rsid w:val="00DD5C9C"/>
    <w:pPr>
      <w:ind w:left="1134" w:hanging="567"/>
    </w:pPr>
  </w:style>
  <w:style w:type="paragraph" w:styleId="TOC1">
    <w:name w:val="toc 1"/>
    <w:basedOn w:val="Normal"/>
    <w:next w:val="Normal"/>
    <w:autoRedefine/>
    <w:uiPriority w:val="39"/>
    <w:rsid w:val="00DD5C9C"/>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DD5C9C"/>
    <w:pPr>
      <w:ind w:left="220"/>
    </w:pPr>
    <w:rPr>
      <w:rFonts w:asciiTheme="minorHAnsi" w:hAnsiTheme="minorHAnsi" w:cstheme="minorHAnsi"/>
      <w:smallCaps/>
      <w:sz w:val="20"/>
      <w:szCs w:val="20"/>
    </w:rPr>
  </w:style>
  <w:style w:type="character" w:styleId="PageNumber">
    <w:name w:val="page number"/>
    <w:basedOn w:val="DefaultParagraphFont"/>
    <w:rsid w:val="00DD5C9C"/>
    <w:rPr>
      <w:rFonts w:ascii="Arial" w:hAnsi="Arial"/>
    </w:rPr>
  </w:style>
  <w:style w:type="paragraph" w:styleId="TOC3">
    <w:name w:val="toc 3"/>
    <w:basedOn w:val="Normal"/>
    <w:next w:val="Normal"/>
    <w:autoRedefine/>
    <w:uiPriority w:val="39"/>
    <w:rsid w:val="00DD5C9C"/>
    <w:pPr>
      <w:ind w:left="440"/>
    </w:pPr>
    <w:rPr>
      <w:rFonts w:asciiTheme="minorHAnsi" w:hAnsiTheme="minorHAnsi" w:cstheme="minorHAnsi"/>
      <w:i/>
      <w:iCs/>
      <w:sz w:val="20"/>
      <w:szCs w:val="20"/>
    </w:rPr>
  </w:style>
  <w:style w:type="paragraph" w:styleId="TOC4">
    <w:name w:val="toc 4"/>
    <w:basedOn w:val="Normal"/>
    <w:next w:val="Normal"/>
    <w:autoRedefine/>
    <w:uiPriority w:val="39"/>
    <w:rsid w:val="00DD5C9C"/>
    <w:pPr>
      <w:ind w:left="660"/>
    </w:pPr>
    <w:rPr>
      <w:rFonts w:asciiTheme="minorHAnsi" w:hAnsiTheme="minorHAnsi" w:cstheme="minorHAnsi"/>
      <w:sz w:val="18"/>
      <w:szCs w:val="18"/>
    </w:rPr>
  </w:style>
  <w:style w:type="paragraph" w:styleId="TOC5">
    <w:name w:val="toc 5"/>
    <w:basedOn w:val="Normal"/>
    <w:next w:val="Normal"/>
    <w:autoRedefine/>
    <w:uiPriority w:val="39"/>
    <w:rsid w:val="00DD5C9C"/>
    <w:pPr>
      <w:ind w:left="880"/>
    </w:pPr>
    <w:rPr>
      <w:rFonts w:asciiTheme="minorHAnsi" w:hAnsiTheme="minorHAnsi" w:cstheme="minorHAnsi"/>
      <w:sz w:val="18"/>
      <w:szCs w:val="18"/>
    </w:rPr>
  </w:style>
  <w:style w:type="character" w:styleId="FollowedHyperlink">
    <w:name w:val="FollowedHyperlink"/>
    <w:basedOn w:val="DefaultParagraphFont"/>
    <w:rsid w:val="00DD5C9C"/>
    <w:rPr>
      <w:rFonts w:ascii="Arial" w:hAnsi="Arial"/>
      <w:color w:val="3333FF"/>
      <w:sz w:val="22"/>
      <w:u w:val="single"/>
    </w:rPr>
  </w:style>
  <w:style w:type="paragraph" w:styleId="TOC6">
    <w:name w:val="toc 6"/>
    <w:basedOn w:val="Normal"/>
    <w:next w:val="Normal"/>
    <w:autoRedefine/>
    <w:uiPriority w:val="39"/>
    <w:rsid w:val="00DD5C9C"/>
    <w:pPr>
      <w:ind w:left="1100"/>
    </w:pPr>
    <w:rPr>
      <w:rFonts w:asciiTheme="minorHAnsi" w:hAnsiTheme="minorHAnsi" w:cstheme="minorHAnsi"/>
      <w:sz w:val="18"/>
      <w:szCs w:val="18"/>
    </w:rPr>
  </w:style>
  <w:style w:type="paragraph" w:customStyle="1" w:styleId="Box1">
    <w:name w:val="Box 1"/>
    <w:basedOn w:val="Normal"/>
    <w:rsid w:val="00DD5C9C"/>
    <w:pPr>
      <w:tabs>
        <w:tab w:val="num" w:pos="120"/>
      </w:tabs>
      <w:ind w:left="113" w:hanging="113"/>
    </w:pPr>
    <w:rPr>
      <w:sz w:val="16"/>
    </w:rPr>
  </w:style>
  <w:style w:type="paragraph" w:customStyle="1" w:styleId="Box2">
    <w:name w:val="Box 2"/>
    <w:basedOn w:val="Normal"/>
    <w:rsid w:val="00DD5C9C"/>
    <w:pPr>
      <w:tabs>
        <w:tab w:val="left" w:pos="4608"/>
        <w:tab w:val="left" w:pos="9180"/>
        <w:tab w:val="left" w:pos="9216"/>
      </w:tabs>
      <w:jc w:val="center"/>
    </w:pPr>
    <w:rPr>
      <w:b/>
      <w:bCs/>
      <w:i/>
      <w:iCs/>
      <w:color w:val="000000"/>
      <w:sz w:val="16"/>
    </w:rPr>
  </w:style>
  <w:style w:type="paragraph" w:customStyle="1" w:styleId="Box3">
    <w:name w:val="Box 3"/>
    <w:basedOn w:val="Normal"/>
    <w:rsid w:val="00DD5C9C"/>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DD5C9C"/>
    <w:rPr>
      <w:b/>
      <w:bCs/>
      <w:iCs w:val="0"/>
    </w:rPr>
  </w:style>
  <w:style w:type="paragraph" w:customStyle="1" w:styleId="142tabletext10">
    <w:name w:val="1.4.2 table text1"/>
    <w:basedOn w:val="Normal"/>
    <w:rsid w:val="00DD5C9C"/>
    <w:pPr>
      <w:ind w:left="142" w:hanging="142"/>
    </w:pPr>
    <w:rPr>
      <w:smallCaps/>
      <w:sz w:val="20"/>
      <w:szCs w:val="20"/>
    </w:rPr>
  </w:style>
  <w:style w:type="paragraph" w:customStyle="1" w:styleId="142tabletext20">
    <w:name w:val="1.4.2 table text2"/>
    <w:basedOn w:val="142tabletext10"/>
    <w:rsid w:val="00DD5C9C"/>
  </w:style>
  <w:style w:type="paragraph" w:customStyle="1" w:styleId="Footnote">
    <w:name w:val="Footnote"/>
    <w:basedOn w:val="Normal"/>
    <w:rsid w:val="00DD5C9C"/>
    <w:pPr>
      <w:tabs>
        <w:tab w:val="left" w:pos="851"/>
      </w:tabs>
    </w:pPr>
    <w:rPr>
      <w:sz w:val="20"/>
      <w:szCs w:val="20"/>
    </w:rPr>
  </w:style>
  <w:style w:type="paragraph" w:customStyle="1" w:styleId="MiscellaneousHeading">
    <w:name w:val="Miscellaneous Heading"/>
    <w:basedOn w:val="Normal"/>
    <w:next w:val="Normal"/>
    <w:rsid w:val="00DD5C9C"/>
    <w:rPr>
      <w:b/>
      <w:szCs w:val="20"/>
    </w:rPr>
  </w:style>
  <w:style w:type="paragraph" w:customStyle="1" w:styleId="TableHeading">
    <w:name w:val="Table Heading"/>
    <w:basedOn w:val="Normal"/>
    <w:next w:val="Normal"/>
    <w:rsid w:val="00DD5C9C"/>
    <w:pPr>
      <w:tabs>
        <w:tab w:val="left" w:pos="851"/>
      </w:tabs>
      <w:jc w:val="center"/>
    </w:pPr>
    <w:rPr>
      <w:b/>
      <w:szCs w:val="20"/>
    </w:rPr>
  </w:style>
  <w:style w:type="paragraph" w:styleId="TOC7">
    <w:name w:val="toc 7"/>
    <w:basedOn w:val="Normal"/>
    <w:next w:val="Normal"/>
    <w:autoRedefine/>
    <w:uiPriority w:val="39"/>
    <w:rsid w:val="00DD5C9C"/>
    <w:pPr>
      <w:ind w:left="1320"/>
    </w:pPr>
    <w:rPr>
      <w:rFonts w:asciiTheme="minorHAnsi" w:hAnsiTheme="minorHAnsi" w:cstheme="minorHAnsi"/>
      <w:sz w:val="18"/>
      <w:szCs w:val="18"/>
    </w:rPr>
  </w:style>
  <w:style w:type="paragraph" w:styleId="TOC8">
    <w:name w:val="toc 8"/>
    <w:basedOn w:val="Normal"/>
    <w:next w:val="Normal"/>
    <w:autoRedefine/>
    <w:uiPriority w:val="39"/>
    <w:rsid w:val="00DD5C9C"/>
    <w:pPr>
      <w:ind w:left="1540"/>
    </w:pPr>
    <w:rPr>
      <w:rFonts w:asciiTheme="minorHAnsi" w:hAnsiTheme="minorHAnsi" w:cstheme="minorHAnsi"/>
      <w:sz w:val="18"/>
      <w:szCs w:val="18"/>
    </w:rPr>
  </w:style>
  <w:style w:type="paragraph" w:styleId="TOC9">
    <w:name w:val="toc 9"/>
    <w:basedOn w:val="Normal"/>
    <w:next w:val="Normal"/>
    <w:autoRedefine/>
    <w:uiPriority w:val="39"/>
    <w:rsid w:val="00DD5C9C"/>
    <w:pPr>
      <w:ind w:left="1760"/>
    </w:pPr>
    <w:rPr>
      <w:rFonts w:asciiTheme="minorHAnsi" w:hAnsiTheme="minorHAnsi" w:cstheme="minorHAnsi"/>
      <w:sz w:val="18"/>
      <w:szCs w:val="18"/>
    </w:rPr>
  </w:style>
  <w:style w:type="character" w:styleId="FootnoteReference">
    <w:name w:val="footnote reference"/>
    <w:basedOn w:val="DefaultParagraphFont"/>
    <w:semiHidden/>
    <w:rsid w:val="00DD5C9C"/>
    <w:rPr>
      <w:vertAlign w:val="superscript"/>
    </w:rPr>
  </w:style>
  <w:style w:type="paragraph" w:customStyle="1" w:styleId="FSDecisionHeading">
    <w:name w:val="FS Decision Heading"/>
    <w:basedOn w:val="Normal"/>
    <w:next w:val="FSDecisiontext"/>
    <w:qFormat/>
    <w:rsid w:val="00DD5C9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D5C9C"/>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DD5C9C"/>
    <w:rPr>
      <w:rFonts w:ascii="Tahoma" w:hAnsi="Tahoma" w:cs="Tahoma"/>
      <w:sz w:val="16"/>
      <w:szCs w:val="16"/>
    </w:rPr>
  </w:style>
  <w:style w:type="character" w:customStyle="1" w:styleId="BalloonTextChar">
    <w:name w:val="Balloon Text Char"/>
    <w:basedOn w:val="DefaultParagraphFont"/>
    <w:link w:val="BalloonText"/>
    <w:semiHidden/>
    <w:rsid w:val="00DD5C9C"/>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DD5C9C"/>
    <w:pPr>
      <w:outlineLvl w:val="9"/>
    </w:pPr>
  </w:style>
  <w:style w:type="paragraph" w:customStyle="1" w:styleId="FSBullet">
    <w:name w:val="FS Bullet"/>
    <w:basedOn w:val="Normal"/>
    <w:next w:val="Normal"/>
    <w:link w:val="FSBulletChar"/>
    <w:qFormat/>
    <w:rsid w:val="00DD5C9C"/>
    <w:pPr>
      <w:numPr>
        <w:numId w:val="14"/>
      </w:numPr>
    </w:pPr>
    <w:rPr>
      <w:rFonts w:cs="Arial"/>
    </w:rPr>
  </w:style>
  <w:style w:type="character" w:customStyle="1" w:styleId="FSBulletChar">
    <w:name w:val="FS Bullet Char"/>
    <w:basedOn w:val="DefaultParagraphFont"/>
    <w:link w:val="FSBullet"/>
    <w:rsid w:val="00DD5C9C"/>
    <w:rPr>
      <w:rFonts w:eastAsia="Times New Roman"/>
      <w:szCs w:val="24"/>
      <w:lang w:val="en-GB" w:bidi="en-US"/>
    </w:rPr>
  </w:style>
  <w:style w:type="table" w:styleId="TableGrid">
    <w:name w:val="Table Grid"/>
    <w:basedOn w:val="TableNormal"/>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D5C9C"/>
    <w:rPr>
      <w:rFonts w:cs="Arial"/>
      <w:b/>
    </w:rPr>
  </w:style>
  <w:style w:type="paragraph" w:customStyle="1" w:styleId="FSTableHeading">
    <w:name w:val="FS Table Heading"/>
    <w:basedOn w:val="Normal"/>
    <w:qFormat/>
    <w:rsid w:val="00DD5C9C"/>
    <w:pPr>
      <w:jc w:val="center"/>
    </w:pPr>
    <w:rPr>
      <w:rFonts w:ascii="Arial Bold" w:hAnsi="Arial Bold" w:cs="Arial"/>
      <w:b/>
      <w:sz w:val="20"/>
      <w:szCs w:val="20"/>
    </w:rPr>
  </w:style>
  <w:style w:type="paragraph" w:customStyle="1" w:styleId="FSTableText">
    <w:name w:val="FS Table Text"/>
    <w:basedOn w:val="Normal"/>
    <w:qFormat/>
    <w:rsid w:val="00DD5C9C"/>
    <w:rPr>
      <w:rFonts w:cs="Arial"/>
      <w:sz w:val="20"/>
      <w:szCs w:val="20"/>
    </w:rPr>
  </w:style>
  <w:style w:type="paragraph" w:customStyle="1" w:styleId="FSFigureTitle">
    <w:name w:val="FS Figure Title"/>
    <w:basedOn w:val="Normal"/>
    <w:next w:val="Normal"/>
    <w:qFormat/>
    <w:rsid w:val="00DD5C9C"/>
    <w:rPr>
      <w:rFonts w:cs="Arial"/>
      <w:i/>
    </w:rPr>
  </w:style>
  <w:style w:type="character" w:styleId="CommentReference">
    <w:name w:val="annotation reference"/>
    <w:basedOn w:val="DefaultParagraphFont"/>
    <w:uiPriority w:val="99"/>
    <w:rsid w:val="00DD5C9C"/>
    <w:rPr>
      <w:sz w:val="16"/>
      <w:szCs w:val="16"/>
    </w:rPr>
  </w:style>
  <w:style w:type="paragraph" w:styleId="CommentText">
    <w:name w:val="annotation text"/>
    <w:basedOn w:val="Normal"/>
    <w:link w:val="CommentTextChar"/>
    <w:uiPriority w:val="99"/>
    <w:rsid w:val="00DD5C9C"/>
    <w:rPr>
      <w:sz w:val="20"/>
      <w:szCs w:val="20"/>
    </w:rPr>
  </w:style>
  <w:style w:type="character" w:customStyle="1" w:styleId="CommentTextChar">
    <w:name w:val="Comment Text Char"/>
    <w:basedOn w:val="DefaultParagraphFont"/>
    <w:link w:val="CommentText"/>
    <w:uiPriority w:val="99"/>
    <w:rsid w:val="00DD5C9C"/>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DD5C9C"/>
    <w:rPr>
      <w:b/>
      <w:bCs/>
    </w:rPr>
  </w:style>
  <w:style w:type="character" w:customStyle="1" w:styleId="CommentSubjectChar">
    <w:name w:val="Comment Subject Char"/>
    <w:basedOn w:val="CommentTextChar"/>
    <w:link w:val="CommentSubject"/>
    <w:rsid w:val="00DD5C9C"/>
    <w:rPr>
      <w:rFonts w:eastAsia="Times New Roman" w:cs="Times New Roman"/>
      <w:b/>
      <w:bCs/>
      <w:sz w:val="20"/>
      <w:szCs w:val="20"/>
      <w:lang w:val="en-GB" w:bidi="en-US"/>
    </w:rPr>
  </w:style>
  <w:style w:type="paragraph" w:styleId="DocumentMap">
    <w:name w:val="Document Map"/>
    <w:basedOn w:val="Normal"/>
    <w:link w:val="DocumentMapChar"/>
    <w:rsid w:val="00DD5C9C"/>
    <w:rPr>
      <w:rFonts w:ascii="Tahoma" w:hAnsi="Tahoma" w:cs="Tahoma"/>
      <w:sz w:val="16"/>
      <w:szCs w:val="16"/>
    </w:rPr>
  </w:style>
  <w:style w:type="character" w:customStyle="1" w:styleId="DocumentMapChar">
    <w:name w:val="Document Map Char"/>
    <w:basedOn w:val="DefaultParagraphFont"/>
    <w:link w:val="DocumentMap"/>
    <w:rsid w:val="00DD5C9C"/>
    <w:rPr>
      <w:rFonts w:ascii="Tahoma" w:eastAsia="Times New Roman" w:hAnsi="Tahoma" w:cs="Tahoma"/>
      <w:sz w:val="16"/>
      <w:szCs w:val="16"/>
      <w:lang w:val="en-GB" w:bidi="en-US"/>
    </w:rPr>
  </w:style>
  <w:style w:type="table" w:styleId="MediumShading1-Accent3">
    <w:name w:val="Medium Shading 1 Accent 3"/>
    <w:basedOn w:val="TableNormal"/>
    <w:uiPriority w:val="63"/>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Heading1"/>
    <w:link w:val="ReferencesChar"/>
    <w:qFormat/>
    <w:rsid w:val="00DD5C9C"/>
    <w:pPr>
      <w:tabs>
        <w:tab w:val="left" w:pos="0"/>
      </w:tabs>
      <w:ind w:left="0" w:firstLine="0"/>
    </w:pPr>
    <w:rPr>
      <w:b w:val="0"/>
      <w:noProof/>
    </w:rPr>
  </w:style>
  <w:style w:type="character" w:customStyle="1" w:styleId="ReferencesChar">
    <w:name w:val="References Char"/>
    <w:basedOn w:val="Heading1Char"/>
    <w:link w:val="References"/>
    <w:rsid w:val="00DD5C9C"/>
    <w:rPr>
      <w:rFonts w:eastAsia="Times New Roman" w:cs="Times New Roman"/>
      <w:b w:val="0"/>
      <w:bCs/>
      <w:noProof/>
      <w:sz w:val="36"/>
      <w:szCs w:val="28"/>
      <w:lang w:val="en-GB"/>
    </w:rPr>
  </w:style>
  <w:style w:type="character" w:styleId="PlaceholderText">
    <w:name w:val="Placeholder Text"/>
    <w:basedOn w:val="DefaultParagraphFont"/>
    <w:uiPriority w:val="99"/>
    <w:semiHidden/>
    <w:rsid w:val="00DD5C9C"/>
    <w:rPr>
      <w:color w:val="808080"/>
    </w:rPr>
  </w:style>
  <w:style w:type="table" w:customStyle="1" w:styleId="TableGrid3">
    <w:name w:val="Table Grid3"/>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DD5C9C"/>
    <w:pPr>
      <w:widowControl w:val="0"/>
    </w:pPr>
    <w:rPr>
      <w:rFonts w:ascii="Calibri" w:eastAsia="Times New Roman" w:hAnsi="Calibri"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Text">
    <w:name w:val="TableText"/>
    <w:basedOn w:val="Normal"/>
    <w:rsid w:val="00DD5C9C"/>
    <w:pPr>
      <w:numPr>
        <w:numId w:val="19"/>
      </w:numPr>
      <w:tabs>
        <w:tab w:val="clear" w:pos="284"/>
      </w:tabs>
      <w:spacing w:before="80" w:after="80" w:line="264" w:lineRule="auto"/>
      <w:ind w:left="0" w:firstLine="0"/>
    </w:pPr>
    <w:rPr>
      <w:sz w:val="20"/>
      <w:szCs w:val="20"/>
      <w:lang w:val="en-NZ" w:eastAsia="en-GB" w:bidi="ar-SA"/>
    </w:rPr>
  </w:style>
  <w:style w:type="table" w:customStyle="1" w:styleId="MediumGrid1-Accent31">
    <w:name w:val="Medium Grid 1 - Accent 31"/>
    <w:basedOn w:val="TableNormal"/>
    <w:next w:val="MediumGrid1-Accent3"/>
    <w:uiPriority w:val="67"/>
    <w:rsid w:val="00DD5C9C"/>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3">
    <w:name w:val="Medium Grid 1 Accent 3"/>
    <w:basedOn w:val="TableNormal"/>
    <w:uiPriority w:val="67"/>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4">
    <w:name w:val="Table Grid4"/>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rsid w:val="00DD5C9C"/>
    <w:pPr>
      <w:numPr>
        <w:numId w:val="22"/>
      </w:numPr>
    </w:pPr>
  </w:style>
  <w:style w:type="character" w:customStyle="1" w:styleId="Style1Char">
    <w:name w:val="Style1 Char"/>
    <w:basedOn w:val="Heading3Char"/>
    <w:link w:val="Style1"/>
    <w:rsid w:val="00DD5C9C"/>
    <w:rPr>
      <w:rFonts w:eastAsia="Times New Roman" w:cs="Times New Roman"/>
      <w:b/>
      <w:lang w:val="en-GB"/>
    </w:rPr>
  </w:style>
  <w:style w:type="paragraph" w:styleId="NormalWeb">
    <w:name w:val="Normal (Web)"/>
    <w:basedOn w:val="Normal"/>
    <w:uiPriority w:val="99"/>
    <w:unhideWhenUsed/>
    <w:rsid w:val="00DD5C9C"/>
    <w:pPr>
      <w:spacing w:before="100" w:beforeAutospacing="1" w:after="100" w:afterAutospacing="1"/>
    </w:pPr>
    <w:rPr>
      <w:rFonts w:ascii="Times New Roman" w:hAnsi="Times New Roman"/>
      <w:sz w:val="24"/>
      <w:lang w:eastAsia="en-GB" w:bidi="ar-SA"/>
    </w:rPr>
  </w:style>
  <w:style w:type="table" w:customStyle="1" w:styleId="TableGrid5">
    <w:name w:val="Table Grid5"/>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msg-info">
    <w:name w:val="user-msg-info"/>
    <w:basedOn w:val="DefaultParagraphFont"/>
    <w:rsid w:val="00DD5C9C"/>
  </w:style>
  <w:style w:type="paragraph" w:styleId="Revision">
    <w:name w:val="Revision"/>
    <w:hidden/>
    <w:uiPriority w:val="99"/>
    <w:semiHidden/>
    <w:rsid w:val="00DD5C9C"/>
    <w:rPr>
      <w:rFonts w:eastAsia="Times New Roman" w:cs="Times New Roman"/>
      <w:szCs w:val="24"/>
      <w:lang w:val="en-GB" w:bidi="en-US"/>
    </w:rPr>
  </w:style>
  <w:style w:type="table" w:customStyle="1" w:styleId="TableGrid81">
    <w:name w:val="Table Grid8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DD5C9C"/>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DD5C9C"/>
    <w:pPr>
      <w:keepNext/>
      <w:spacing w:after="240"/>
      <w:ind w:left="432" w:hanging="432"/>
      <w:outlineLvl w:val="0"/>
    </w:pPr>
    <w:rPr>
      <w:b/>
      <w:bCs/>
      <w:sz w:val="36"/>
      <w:szCs w:val="28"/>
      <w:lang w:bidi="ar-SA"/>
    </w:rPr>
  </w:style>
  <w:style w:type="paragraph" w:styleId="Heading2">
    <w:name w:val="heading 2"/>
    <w:aliases w:val="FSHeading 2,Section heading"/>
    <w:basedOn w:val="Heading3"/>
    <w:next w:val="Normal"/>
    <w:link w:val="Heading2Char"/>
    <w:autoRedefine/>
    <w:uiPriority w:val="9"/>
    <w:unhideWhenUsed/>
    <w:qFormat/>
    <w:rsid w:val="00E262C6"/>
    <w:pPr>
      <w:numPr>
        <w:ilvl w:val="0"/>
      </w:numPr>
      <w:ind w:left="851" w:hanging="851"/>
      <w:outlineLvl w:val="1"/>
    </w:pPr>
    <w:rPr>
      <w:sz w:val="28"/>
      <w:szCs w:val="28"/>
    </w:rPr>
  </w:style>
  <w:style w:type="paragraph" w:styleId="Heading3">
    <w:name w:val="heading 3"/>
    <w:aliases w:val="FSHeading 3,Subheading 1"/>
    <w:basedOn w:val="ListParagraph"/>
    <w:link w:val="Heading3Char"/>
    <w:autoRedefine/>
    <w:uiPriority w:val="9"/>
    <w:unhideWhenUsed/>
    <w:qFormat/>
    <w:rsid w:val="00E262C6"/>
    <w:pPr>
      <w:numPr>
        <w:ilvl w:val="1"/>
        <w:numId w:val="29"/>
      </w:numPr>
      <w:spacing w:before="240" w:after="240"/>
      <w:ind w:left="851" w:hanging="851"/>
      <w:outlineLvl w:val="2"/>
    </w:pPr>
    <w:rPr>
      <w:b/>
      <w:szCs w:val="22"/>
      <w:lang w:bidi="ar-SA"/>
    </w:rPr>
  </w:style>
  <w:style w:type="paragraph" w:styleId="Heading4">
    <w:name w:val="heading 4"/>
    <w:aliases w:val="FSHeading 4,Subheading 2"/>
    <w:basedOn w:val="Heading3"/>
    <w:next w:val="Normal"/>
    <w:link w:val="Heading4Char"/>
    <w:uiPriority w:val="9"/>
    <w:unhideWhenUsed/>
    <w:qFormat/>
    <w:rsid w:val="00E262C6"/>
    <w:pPr>
      <w:numPr>
        <w:ilvl w:val="2"/>
      </w:numPr>
      <w:ind w:left="851" w:hanging="851"/>
      <w:outlineLvl w:val="3"/>
    </w:pPr>
    <w:rPr>
      <w:i/>
    </w:rPr>
  </w:style>
  <w:style w:type="paragraph" w:styleId="Heading5">
    <w:name w:val="heading 5"/>
    <w:aliases w:val="FSHeading 5,Subheading 3"/>
    <w:basedOn w:val="Normal"/>
    <w:next w:val="Normal"/>
    <w:link w:val="Heading5Char"/>
    <w:uiPriority w:val="9"/>
    <w:unhideWhenUsed/>
    <w:qFormat/>
    <w:rsid w:val="00DD5C9C"/>
    <w:pPr>
      <w:keepNext/>
      <w:numPr>
        <w:ilvl w:val="4"/>
        <w:numId w:val="24"/>
      </w:numPr>
      <w:spacing w:before="240" w:after="240"/>
      <w:outlineLvl w:val="4"/>
    </w:pPr>
    <w:rPr>
      <w:i/>
      <w:szCs w:val="22"/>
      <w:lang w:bidi="ar-SA"/>
    </w:rPr>
  </w:style>
  <w:style w:type="paragraph" w:styleId="Heading6">
    <w:name w:val="heading 6"/>
    <w:basedOn w:val="Normal"/>
    <w:next w:val="Normal"/>
    <w:link w:val="Heading6Char"/>
    <w:uiPriority w:val="9"/>
    <w:unhideWhenUsed/>
    <w:rsid w:val="00DD5C9C"/>
    <w:pPr>
      <w:numPr>
        <w:ilvl w:val="5"/>
        <w:numId w:val="24"/>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DD5C9C"/>
    <w:pPr>
      <w:numPr>
        <w:ilvl w:val="6"/>
        <w:numId w:val="24"/>
      </w:numPr>
      <w:spacing w:before="240" w:after="60"/>
      <w:outlineLvl w:val="6"/>
    </w:pPr>
  </w:style>
  <w:style w:type="paragraph" w:styleId="Heading8">
    <w:name w:val="heading 8"/>
    <w:basedOn w:val="Normal"/>
    <w:next w:val="Normal"/>
    <w:link w:val="Heading8Char"/>
    <w:uiPriority w:val="9"/>
    <w:unhideWhenUsed/>
    <w:rsid w:val="00DD5C9C"/>
    <w:pPr>
      <w:numPr>
        <w:ilvl w:val="7"/>
        <w:numId w:val="24"/>
      </w:numPr>
      <w:spacing w:before="240" w:after="60"/>
      <w:outlineLvl w:val="7"/>
    </w:pPr>
    <w:rPr>
      <w:i/>
      <w:iCs/>
    </w:rPr>
  </w:style>
  <w:style w:type="paragraph" w:styleId="Heading9">
    <w:name w:val="heading 9"/>
    <w:basedOn w:val="Normal"/>
    <w:next w:val="Normal"/>
    <w:link w:val="Heading9Char"/>
    <w:uiPriority w:val="9"/>
    <w:unhideWhenUsed/>
    <w:rsid w:val="00DD5C9C"/>
    <w:pPr>
      <w:numPr>
        <w:ilvl w:val="8"/>
        <w:numId w:val="2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D5C9C"/>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E262C6"/>
    <w:rPr>
      <w:rFonts w:eastAsia="Times New Roman" w:cs="Times New Roman"/>
      <w:b/>
      <w:sz w:val="28"/>
      <w:szCs w:val="28"/>
      <w:lang w:val="en-GB"/>
    </w:rPr>
  </w:style>
  <w:style w:type="character" w:customStyle="1" w:styleId="Heading3Char">
    <w:name w:val="Heading 3 Char"/>
    <w:aliases w:val="FSHeading 3 Char,Subheading 1 Char"/>
    <w:link w:val="Heading3"/>
    <w:uiPriority w:val="9"/>
    <w:rsid w:val="00E262C6"/>
    <w:rPr>
      <w:rFonts w:eastAsia="Times New Roman" w:cs="Times New Roman"/>
      <w:b/>
      <w:lang w:val="en-GB"/>
    </w:rPr>
  </w:style>
  <w:style w:type="character" w:customStyle="1" w:styleId="Heading4Char">
    <w:name w:val="Heading 4 Char"/>
    <w:aliases w:val="FSHeading 4 Char,Subheading 2 Char"/>
    <w:link w:val="Heading4"/>
    <w:uiPriority w:val="9"/>
    <w:rsid w:val="00E262C6"/>
    <w:rPr>
      <w:rFonts w:eastAsia="Times New Roman" w:cs="Times New Roman"/>
      <w:b/>
      <w:i/>
      <w:lang w:val="en-GB"/>
    </w:rPr>
  </w:style>
  <w:style w:type="character" w:customStyle="1" w:styleId="Heading5Char">
    <w:name w:val="Heading 5 Char"/>
    <w:aliases w:val="FSHeading 5 Char,Subheading 3 Char"/>
    <w:link w:val="Heading5"/>
    <w:uiPriority w:val="9"/>
    <w:rsid w:val="00DD5C9C"/>
    <w:rPr>
      <w:rFonts w:eastAsia="Times New Roman" w:cs="Times New Roman"/>
      <w:i/>
      <w:lang w:val="en-GB"/>
    </w:rPr>
  </w:style>
  <w:style w:type="character" w:customStyle="1" w:styleId="Heading6Char">
    <w:name w:val="Heading 6 Char"/>
    <w:basedOn w:val="DefaultParagraphFont"/>
    <w:link w:val="Heading6"/>
    <w:uiPriority w:val="9"/>
    <w:rsid w:val="00DD5C9C"/>
    <w:rPr>
      <w:rFonts w:eastAsia="Times New Roman" w:cs="Arial Unicode MS"/>
      <w:b/>
      <w:bCs/>
      <w:lang w:val="en-GB" w:bidi="en-US"/>
    </w:rPr>
  </w:style>
  <w:style w:type="paragraph" w:customStyle="1" w:styleId="Table2">
    <w:name w:val="Table 2"/>
    <w:basedOn w:val="Normal"/>
    <w:rsid w:val="00DD5C9C"/>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DD5C9C"/>
    <w:pPr>
      <w:keepNext/>
      <w:jc w:val="center"/>
    </w:pPr>
    <w:rPr>
      <w:iCs/>
      <w:smallCaps/>
      <w:sz w:val="2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DD5C9C"/>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DD5C9C"/>
    <w:pPr>
      <w:tabs>
        <w:tab w:val="left" w:pos="851"/>
      </w:tabs>
    </w:pPr>
    <w:rPr>
      <w:b/>
      <w:szCs w:val="20"/>
    </w:rPr>
  </w:style>
  <w:style w:type="paragraph" w:customStyle="1" w:styleId="ClauseList">
    <w:name w:val="Clause List"/>
    <w:basedOn w:val="Clause"/>
    <w:next w:val="Normal"/>
    <w:rsid w:val="00DD5C9C"/>
  </w:style>
  <w:style w:type="paragraph" w:customStyle="1" w:styleId="Definition">
    <w:name w:val="Definition"/>
    <w:basedOn w:val="Normal"/>
    <w:next w:val="Normal"/>
    <w:rsid w:val="00DD5C9C"/>
    <w:pPr>
      <w:ind w:left="1701" w:hanging="851"/>
    </w:pPr>
    <w:rPr>
      <w:szCs w:val="20"/>
    </w:rPr>
  </w:style>
  <w:style w:type="paragraph" w:customStyle="1" w:styleId="DivisionHeading">
    <w:name w:val="Division Heading"/>
    <w:basedOn w:val="Normal"/>
    <w:next w:val="Normal"/>
    <w:rsid w:val="00DD5C9C"/>
    <w:pPr>
      <w:tabs>
        <w:tab w:val="left" w:pos="851"/>
      </w:tabs>
      <w:jc w:val="center"/>
    </w:pPr>
    <w:rPr>
      <w:b/>
      <w:sz w:val="28"/>
      <w:szCs w:val="20"/>
    </w:rPr>
  </w:style>
  <w:style w:type="paragraph" w:customStyle="1" w:styleId="EditorialNoteLine1">
    <w:name w:val="Editorial Note Line 1"/>
    <w:basedOn w:val="Normal"/>
    <w:next w:val="Normal"/>
    <w:rsid w:val="00DD5C9C"/>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DD5C9C"/>
    <w:rPr>
      <w:b w:val="0"/>
    </w:rPr>
  </w:style>
  <w:style w:type="paragraph" w:styleId="Footer">
    <w:name w:val="footer"/>
    <w:aliases w:val="FSFooter"/>
    <w:basedOn w:val="Normal"/>
    <w:link w:val="FooterChar"/>
    <w:uiPriority w:val="99"/>
    <w:rsid w:val="00DD5C9C"/>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DD5C9C"/>
    <w:rPr>
      <w:rFonts w:eastAsia="Times New Roman" w:cs="Times New Roman"/>
      <w:sz w:val="20"/>
      <w:szCs w:val="24"/>
      <w:lang w:val="en-GB" w:bidi="en-US"/>
    </w:rPr>
  </w:style>
  <w:style w:type="paragraph" w:styleId="FootnoteText">
    <w:name w:val="footnote text"/>
    <w:aliases w:val="Footnotes Text,FSFootnotes Text"/>
    <w:basedOn w:val="Normal"/>
    <w:link w:val="FootnoteTextChar"/>
    <w:rsid w:val="00DD5C9C"/>
    <w:rPr>
      <w:sz w:val="20"/>
      <w:szCs w:val="20"/>
    </w:rPr>
  </w:style>
  <w:style w:type="character" w:customStyle="1" w:styleId="FootnoteTextChar">
    <w:name w:val="Footnote Text Char"/>
    <w:aliases w:val="Footnotes Text Char,FSFootnotes Text Char"/>
    <w:basedOn w:val="DefaultParagraphFont"/>
    <w:link w:val="FootnoteText"/>
    <w:rsid w:val="00DD5C9C"/>
    <w:rPr>
      <w:rFonts w:eastAsia="Times New Roman" w:cs="Times New Roman"/>
      <w:sz w:val="20"/>
      <w:szCs w:val="20"/>
      <w:lang w:val="en-GB" w:bidi="en-US"/>
    </w:rPr>
  </w:style>
  <w:style w:type="paragraph" w:customStyle="1" w:styleId="FSBullet1">
    <w:name w:val="FSBullet 1"/>
    <w:basedOn w:val="Normal"/>
    <w:next w:val="Normal"/>
    <w:link w:val="FSBullet1Char"/>
    <w:qFormat/>
    <w:rsid w:val="00C91549"/>
    <w:pPr>
      <w:numPr>
        <w:numId w:val="15"/>
      </w:numPr>
      <w:ind w:left="567" w:hanging="567"/>
    </w:pPr>
    <w:rPr>
      <w:rFonts w:eastAsia="Calibri" w:cs="Arial"/>
      <w:lang w:bidi="ar-SA"/>
    </w:rPr>
  </w:style>
  <w:style w:type="character" w:customStyle="1" w:styleId="FSBullet1Char">
    <w:name w:val="FSBullet 1 Char"/>
    <w:link w:val="FSBullet1"/>
    <w:rsid w:val="00C91549"/>
    <w:rPr>
      <w:rFonts w:eastAsia="Calibri"/>
      <w:szCs w:val="24"/>
      <w:lang w:val="en-GB"/>
    </w:rPr>
  </w:style>
  <w:style w:type="paragraph" w:customStyle="1" w:styleId="FSBullet2">
    <w:name w:val="FSBullet 2"/>
    <w:basedOn w:val="Normal"/>
    <w:qFormat/>
    <w:rsid w:val="00DD5C9C"/>
    <w:pPr>
      <w:numPr>
        <w:numId w:val="16"/>
      </w:numPr>
      <w:ind w:left="1134" w:hanging="567"/>
    </w:pPr>
    <w:rPr>
      <w:rFonts w:eastAsia="Calibri"/>
      <w:szCs w:val="22"/>
      <w:lang w:bidi="ar-SA"/>
    </w:rPr>
  </w:style>
  <w:style w:type="paragraph" w:customStyle="1" w:styleId="FSBullet3">
    <w:name w:val="FSBullet 3"/>
    <w:basedOn w:val="Normal"/>
    <w:qFormat/>
    <w:rsid w:val="00DD5C9C"/>
    <w:pPr>
      <w:keepNext/>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DD5C9C"/>
    <w:pPr>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rsid w:val="00DD5C9C"/>
  </w:style>
  <w:style w:type="character" w:customStyle="1" w:styleId="HeaderChar">
    <w:name w:val="Header Char"/>
    <w:aliases w:val="FSHeader Char"/>
    <w:basedOn w:val="DefaultParagraphFont"/>
    <w:link w:val="Header"/>
    <w:rsid w:val="00DD5C9C"/>
    <w:rPr>
      <w:rFonts w:eastAsia="Times New Roman" w:cs="Times New Roman"/>
      <w:szCs w:val="24"/>
      <w:lang w:val="en-GB" w:bidi="en-US"/>
    </w:rPr>
  </w:style>
  <w:style w:type="paragraph" w:customStyle="1" w:styleId="Paragraph">
    <w:name w:val="Paragraph"/>
    <w:basedOn w:val="Clause"/>
    <w:next w:val="Normal"/>
    <w:rsid w:val="00DD5C9C"/>
    <w:pPr>
      <w:tabs>
        <w:tab w:val="clear" w:pos="851"/>
      </w:tabs>
      <w:ind w:left="1702" w:hanging="851"/>
    </w:pPr>
  </w:style>
  <w:style w:type="paragraph" w:customStyle="1" w:styleId="ScheduleHeading">
    <w:name w:val="Schedule Heading"/>
    <w:basedOn w:val="Normal"/>
    <w:next w:val="Normal"/>
    <w:rsid w:val="00DD5C9C"/>
    <w:pPr>
      <w:tabs>
        <w:tab w:val="left" w:pos="851"/>
      </w:tabs>
      <w:jc w:val="center"/>
    </w:pPr>
    <w:rPr>
      <w:b/>
      <w:caps/>
      <w:szCs w:val="20"/>
    </w:rPr>
  </w:style>
  <w:style w:type="paragraph" w:customStyle="1" w:styleId="Standardtitle">
    <w:name w:val="Standard title"/>
    <w:basedOn w:val="Normal"/>
    <w:rsid w:val="00DD5C9C"/>
    <w:pPr>
      <w:tabs>
        <w:tab w:val="left" w:pos="851"/>
      </w:tabs>
      <w:jc w:val="center"/>
    </w:pPr>
    <w:rPr>
      <w:b/>
      <w:i/>
      <w:iCs/>
      <w:caps/>
      <w:sz w:val="28"/>
      <w:szCs w:val="20"/>
    </w:rPr>
  </w:style>
  <w:style w:type="paragraph" w:customStyle="1" w:styleId="Subclause">
    <w:name w:val="Subclause"/>
    <w:basedOn w:val="Clause"/>
    <w:rsid w:val="00DD5C9C"/>
    <w:pPr>
      <w:ind w:hanging="11"/>
    </w:pPr>
  </w:style>
  <w:style w:type="paragraph" w:customStyle="1" w:styleId="Subparagraph">
    <w:name w:val="Subparagraph"/>
    <w:basedOn w:val="Paragraph"/>
    <w:next w:val="Normal"/>
    <w:rsid w:val="00DD5C9C"/>
    <w:pPr>
      <w:ind w:left="2553"/>
    </w:pPr>
  </w:style>
  <w:style w:type="paragraph" w:customStyle="1" w:styleId="Table1">
    <w:name w:val="Table 1"/>
    <w:basedOn w:val="Normal"/>
    <w:rsid w:val="00DD5C9C"/>
    <w:pPr>
      <w:spacing w:after="120"/>
      <w:jc w:val="center"/>
    </w:pPr>
    <w:rPr>
      <w:b/>
      <w:bCs/>
      <w:sz w:val="20"/>
      <w:szCs w:val="20"/>
    </w:rPr>
  </w:style>
  <w:style w:type="paragraph" w:customStyle="1" w:styleId="TitleBorder">
    <w:name w:val="TitleBorder"/>
    <w:basedOn w:val="Normal"/>
    <w:rsid w:val="00DD5C9C"/>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D5C9C"/>
    <w:pPr>
      <w:ind w:left="720"/>
      <w:contextualSpacing/>
    </w:pPr>
  </w:style>
  <w:style w:type="character" w:customStyle="1" w:styleId="Heading7Char">
    <w:name w:val="Heading 7 Char"/>
    <w:basedOn w:val="DefaultParagraphFont"/>
    <w:link w:val="Heading7"/>
    <w:uiPriority w:val="9"/>
    <w:rsid w:val="00DD5C9C"/>
    <w:rPr>
      <w:rFonts w:eastAsia="Times New Roman" w:cs="Times New Roman"/>
      <w:szCs w:val="24"/>
      <w:lang w:val="en-GB" w:bidi="en-US"/>
    </w:rPr>
  </w:style>
  <w:style w:type="character" w:customStyle="1" w:styleId="Heading8Char">
    <w:name w:val="Heading 8 Char"/>
    <w:basedOn w:val="DefaultParagraphFont"/>
    <w:link w:val="Heading8"/>
    <w:uiPriority w:val="9"/>
    <w:rsid w:val="00DD5C9C"/>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DD5C9C"/>
    <w:rPr>
      <w:rFonts w:ascii="Cambria" w:eastAsia="Times New Roman" w:hAnsi="Cambria" w:cs="Times New Roman"/>
      <w:lang w:val="en-GB" w:bidi="en-US"/>
    </w:rPr>
  </w:style>
  <w:style w:type="character" w:styleId="Hyperlink">
    <w:name w:val="Hyperlink"/>
    <w:basedOn w:val="DefaultParagraphFont"/>
    <w:uiPriority w:val="99"/>
    <w:rsid w:val="00DD5C9C"/>
    <w:rPr>
      <w:rFonts w:ascii="Arial" w:hAnsi="Arial"/>
      <w:color w:val="3333FF"/>
      <w:u w:val="single"/>
    </w:rPr>
  </w:style>
  <w:style w:type="paragraph" w:customStyle="1" w:styleId="FSTitle">
    <w:name w:val="FS Title"/>
    <w:basedOn w:val="Normal"/>
    <w:qFormat/>
    <w:rsid w:val="00DD5C9C"/>
    <w:rPr>
      <w:rFonts w:cs="Tahoma"/>
      <w:bCs/>
      <w:sz w:val="32"/>
    </w:rPr>
  </w:style>
  <w:style w:type="paragraph" w:customStyle="1" w:styleId="FSDash">
    <w:name w:val="FS Dash"/>
    <w:basedOn w:val="Normal"/>
    <w:qFormat/>
    <w:rsid w:val="00DD5C9C"/>
    <w:pPr>
      <w:ind w:left="1134" w:hanging="567"/>
    </w:pPr>
  </w:style>
  <w:style w:type="paragraph" w:styleId="TOC1">
    <w:name w:val="toc 1"/>
    <w:basedOn w:val="Normal"/>
    <w:next w:val="Normal"/>
    <w:autoRedefine/>
    <w:uiPriority w:val="39"/>
    <w:rsid w:val="00DD5C9C"/>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DD5C9C"/>
    <w:pPr>
      <w:ind w:left="220"/>
    </w:pPr>
    <w:rPr>
      <w:rFonts w:asciiTheme="minorHAnsi" w:hAnsiTheme="minorHAnsi" w:cstheme="minorHAnsi"/>
      <w:smallCaps/>
      <w:sz w:val="20"/>
      <w:szCs w:val="20"/>
    </w:rPr>
  </w:style>
  <w:style w:type="character" w:styleId="PageNumber">
    <w:name w:val="page number"/>
    <w:basedOn w:val="DefaultParagraphFont"/>
    <w:rsid w:val="00DD5C9C"/>
    <w:rPr>
      <w:rFonts w:ascii="Arial" w:hAnsi="Arial"/>
    </w:rPr>
  </w:style>
  <w:style w:type="paragraph" w:styleId="TOC3">
    <w:name w:val="toc 3"/>
    <w:basedOn w:val="Normal"/>
    <w:next w:val="Normal"/>
    <w:autoRedefine/>
    <w:uiPriority w:val="39"/>
    <w:rsid w:val="00DD5C9C"/>
    <w:pPr>
      <w:ind w:left="440"/>
    </w:pPr>
    <w:rPr>
      <w:rFonts w:asciiTheme="minorHAnsi" w:hAnsiTheme="minorHAnsi" w:cstheme="minorHAnsi"/>
      <w:i/>
      <w:iCs/>
      <w:sz w:val="20"/>
      <w:szCs w:val="20"/>
    </w:rPr>
  </w:style>
  <w:style w:type="paragraph" w:styleId="TOC4">
    <w:name w:val="toc 4"/>
    <w:basedOn w:val="Normal"/>
    <w:next w:val="Normal"/>
    <w:autoRedefine/>
    <w:uiPriority w:val="39"/>
    <w:rsid w:val="00DD5C9C"/>
    <w:pPr>
      <w:ind w:left="660"/>
    </w:pPr>
    <w:rPr>
      <w:rFonts w:asciiTheme="minorHAnsi" w:hAnsiTheme="minorHAnsi" w:cstheme="minorHAnsi"/>
      <w:sz w:val="18"/>
      <w:szCs w:val="18"/>
    </w:rPr>
  </w:style>
  <w:style w:type="paragraph" w:styleId="TOC5">
    <w:name w:val="toc 5"/>
    <w:basedOn w:val="Normal"/>
    <w:next w:val="Normal"/>
    <w:autoRedefine/>
    <w:uiPriority w:val="39"/>
    <w:rsid w:val="00DD5C9C"/>
    <w:pPr>
      <w:ind w:left="880"/>
    </w:pPr>
    <w:rPr>
      <w:rFonts w:asciiTheme="minorHAnsi" w:hAnsiTheme="minorHAnsi" w:cstheme="minorHAnsi"/>
      <w:sz w:val="18"/>
      <w:szCs w:val="18"/>
    </w:rPr>
  </w:style>
  <w:style w:type="character" w:styleId="FollowedHyperlink">
    <w:name w:val="FollowedHyperlink"/>
    <w:basedOn w:val="DefaultParagraphFont"/>
    <w:rsid w:val="00DD5C9C"/>
    <w:rPr>
      <w:rFonts w:ascii="Arial" w:hAnsi="Arial"/>
      <w:color w:val="3333FF"/>
      <w:sz w:val="22"/>
      <w:u w:val="single"/>
    </w:rPr>
  </w:style>
  <w:style w:type="paragraph" w:styleId="TOC6">
    <w:name w:val="toc 6"/>
    <w:basedOn w:val="Normal"/>
    <w:next w:val="Normal"/>
    <w:autoRedefine/>
    <w:uiPriority w:val="39"/>
    <w:rsid w:val="00DD5C9C"/>
    <w:pPr>
      <w:ind w:left="1100"/>
    </w:pPr>
    <w:rPr>
      <w:rFonts w:asciiTheme="minorHAnsi" w:hAnsiTheme="minorHAnsi" w:cstheme="minorHAnsi"/>
      <w:sz w:val="18"/>
      <w:szCs w:val="18"/>
    </w:rPr>
  </w:style>
  <w:style w:type="paragraph" w:customStyle="1" w:styleId="Box1">
    <w:name w:val="Box 1"/>
    <w:basedOn w:val="Normal"/>
    <w:rsid w:val="00DD5C9C"/>
    <w:pPr>
      <w:tabs>
        <w:tab w:val="num" w:pos="120"/>
      </w:tabs>
      <w:ind w:left="113" w:hanging="113"/>
    </w:pPr>
    <w:rPr>
      <w:sz w:val="16"/>
    </w:rPr>
  </w:style>
  <w:style w:type="paragraph" w:customStyle="1" w:styleId="Box2">
    <w:name w:val="Box 2"/>
    <w:basedOn w:val="Normal"/>
    <w:rsid w:val="00DD5C9C"/>
    <w:pPr>
      <w:tabs>
        <w:tab w:val="left" w:pos="4608"/>
        <w:tab w:val="left" w:pos="9180"/>
        <w:tab w:val="left" w:pos="9216"/>
      </w:tabs>
      <w:jc w:val="center"/>
    </w:pPr>
    <w:rPr>
      <w:b/>
      <w:bCs/>
      <w:i/>
      <w:iCs/>
      <w:color w:val="000000"/>
      <w:sz w:val="16"/>
    </w:rPr>
  </w:style>
  <w:style w:type="paragraph" w:customStyle="1" w:styleId="Box3">
    <w:name w:val="Box 3"/>
    <w:basedOn w:val="Normal"/>
    <w:rsid w:val="00DD5C9C"/>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DD5C9C"/>
    <w:rPr>
      <w:b/>
      <w:bCs/>
      <w:iCs w:val="0"/>
    </w:rPr>
  </w:style>
  <w:style w:type="paragraph" w:customStyle="1" w:styleId="142tabletext10">
    <w:name w:val="1.4.2 table text1"/>
    <w:basedOn w:val="Normal"/>
    <w:rsid w:val="00DD5C9C"/>
    <w:pPr>
      <w:ind w:left="142" w:hanging="142"/>
    </w:pPr>
    <w:rPr>
      <w:smallCaps/>
      <w:sz w:val="20"/>
      <w:szCs w:val="20"/>
    </w:rPr>
  </w:style>
  <w:style w:type="paragraph" w:customStyle="1" w:styleId="142tabletext20">
    <w:name w:val="1.4.2 table text2"/>
    <w:basedOn w:val="142tabletext10"/>
    <w:rsid w:val="00DD5C9C"/>
  </w:style>
  <w:style w:type="paragraph" w:customStyle="1" w:styleId="Footnote">
    <w:name w:val="Footnote"/>
    <w:basedOn w:val="Normal"/>
    <w:rsid w:val="00DD5C9C"/>
    <w:pPr>
      <w:tabs>
        <w:tab w:val="left" w:pos="851"/>
      </w:tabs>
    </w:pPr>
    <w:rPr>
      <w:sz w:val="20"/>
      <w:szCs w:val="20"/>
    </w:rPr>
  </w:style>
  <w:style w:type="paragraph" w:customStyle="1" w:styleId="MiscellaneousHeading">
    <w:name w:val="Miscellaneous Heading"/>
    <w:basedOn w:val="Normal"/>
    <w:next w:val="Normal"/>
    <w:rsid w:val="00DD5C9C"/>
    <w:rPr>
      <w:b/>
      <w:szCs w:val="20"/>
    </w:rPr>
  </w:style>
  <w:style w:type="paragraph" w:customStyle="1" w:styleId="TableHeading">
    <w:name w:val="Table Heading"/>
    <w:basedOn w:val="Normal"/>
    <w:next w:val="Normal"/>
    <w:rsid w:val="00DD5C9C"/>
    <w:pPr>
      <w:tabs>
        <w:tab w:val="left" w:pos="851"/>
      </w:tabs>
      <w:jc w:val="center"/>
    </w:pPr>
    <w:rPr>
      <w:b/>
      <w:szCs w:val="20"/>
    </w:rPr>
  </w:style>
  <w:style w:type="paragraph" w:styleId="TOC7">
    <w:name w:val="toc 7"/>
    <w:basedOn w:val="Normal"/>
    <w:next w:val="Normal"/>
    <w:autoRedefine/>
    <w:uiPriority w:val="39"/>
    <w:rsid w:val="00DD5C9C"/>
    <w:pPr>
      <w:ind w:left="1320"/>
    </w:pPr>
    <w:rPr>
      <w:rFonts w:asciiTheme="minorHAnsi" w:hAnsiTheme="minorHAnsi" w:cstheme="minorHAnsi"/>
      <w:sz w:val="18"/>
      <w:szCs w:val="18"/>
    </w:rPr>
  </w:style>
  <w:style w:type="paragraph" w:styleId="TOC8">
    <w:name w:val="toc 8"/>
    <w:basedOn w:val="Normal"/>
    <w:next w:val="Normal"/>
    <w:autoRedefine/>
    <w:uiPriority w:val="39"/>
    <w:rsid w:val="00DD5C9C"/>
    <w:pPr>
      <w:ind w:left="1540"/>
    </w:pPr>
    <w:rPr>
      <w:rFonts w:asciiTheme="minorHAnsi" w:hAnsiTheme="minorHAnsi" w:cstheme="minorHAnsi"/>
      <w:sz w:val="18"/>
      <w:szCs w:val="18"/>
    </w:rPr>
  </w:style>
  <w:style w:type="paragraph" w:styleId="TOC9">
    <w:name w:val="toc 9"/>
    <w:basedOn w:val="Normal"/>
    <w:next w:val="Normal"/>
    <w:autoRedefine/>
    <w:uiPriority w:val="39"/>
    <w:rsid w:val="00DD5C9C"/>
    <w:pPr>
      <w:ind w:left="1760"/>
    </w:pPr>
    <w:rPr>
      <w:rFonts w:asciiTheme="minorHAnsi" w:hAnsiTheme="minorHAnsi" w:cstheme="minorHAnsi"/>
      <w:sz w:val="18"/>
      <w:szCs w:val="18"/>
    </w:rPr>
  </w:style>
  <w:style w:type="character" w:styleId="FootnoteReference">
    <w:name w:val="footnote reference"/>
    <w:basedOn w:val="DefaultParagraphFont"/>
    <w:semiHidden/>
    <w:rsid w:val="00DD5C9C"/>
    <w:rPr>
      <w:vertAlign w:val="superscript"/>
    </w:rPr>
  </w:style>
  <w:style w:type="paragraph" w:customStyle="1" w:styleId="FSDecisionHeading">
    <w:name w:val="FS Decision Heading"/>
    <w:basedOn w:val="Normal"/>
    <w:next w:val="FSDecisiontext"/>
    <w:qFormat/>
    <w:rsid w:val="00DD5C9C"/>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D5C9C"/>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DD5C9C"/>
    <w:rPr>
      <w:rFonts w:ascii="Tahoma" w:hAnsi="Tahoma" w:cs="Tahoma"/>
      <w:sz w:val="16"/>
      <w:szCs w:val="16"/>
    </w:rPr>
  </w:style>
  <w:style w:type="character" w:customStyle="1" w:styleId="BalloonTextChar">
    <w:name w:val="Balloon Text Char"/>
    <w:basedOn w:val="DefaultParagraphFont"/>
    <w:link w:val="BalloonText"/>
    <w:semiHidden/>
    <w:rsid w:val="00DD5C9C"/>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DD5C9C"/>
    <w:pPr>
      <w:outlineLvl w:val="9"/>
    </w:pPr>
  </w:style>
  <w:style w:type="paragraph" w:customStyle="1" w:styleId="FSBullet">
    <w:name w:val="FS Bullet"/>
    <w:basedOn w:val="Normal"/>
    <w:next w:val="Normal"/>
    <w:link w:val="FSBulletChar"/>
    <w:qFormat/>
    <w:rsid w:val="00DD5C9C"/>
    <w:pPr>
      <w:numPr>
        <w:numId w:val="14"/>
      </w:numPr>
    </w:pPr>
    <w:rPr>
      <w:rFonts w:cs="Arial"/>
    </w:rPr>
  </w:style>
  <w:style w:type="character" w:customStyle="1" w:styleId="FSBulletChar">
    <w:name w:val="FS Bullet Char"/>
    <w:basedOn w:val="DefaultParagraphFont"/>
    <w:link w:val="FSBullet"/>
    <w:rsid w:val="00DD5C9C"/>
    <w:rPr>
      <w:rFonts w:eastAsia="Times New Roman"/>
      <w:szCs w:val="24"/>
      <w:lang w:val="en-GB" w:bidi="en-US"/>
    </w:rPr>
  </w:style>
  <w:style w:type="table" w:styleId="TableGrid">
    <w:name w:val="Table Grid"/>
    <w:basedOn w:val="TableNormal"/>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DD5C9C"/>
    <w:rPr>
      <w:rFonts w:cs="Arial"/>
      <w:b/>
    </w:rPr>
  </w:style>
  <w:style w:type="paragraph" w:customStyle="1" w:styleId="FSTableHeading">
    <w:name w:val="FS Table Heading"/>
    <w:basedOn w:val="Normal"/>
    <w:qFormat/>
    <w:rsid w:val="00DD5C9C"/>
    <w:pPr>
      <w:jc w:val="center"/>
    </w:pPr>
    <w:rPr>
      <w:rFonts w:ascii="Arial Bold" w:hAnsi="Arial Bold" w:cs="Arial"/>
      <w:b/>
      <w:sz w:val="20"/>
      <w:szCs w:val="20"/>
    </w:rPr>
  </w:style>
  <w:style w:type="paragraph" w:customStyle="1" w:styleId="FSTableText">
    <w:name w:val="FS Table Text"/>
    <w:basedOn w:val="Normal"/>
    <w:qFormat/>
    <w:rsid w:val="00DD5C9C"/>
    <w:rPr>
      <w:rFonts w:cs="Arial"/>
      <w:sz w:val="20"/>
      <w:szCs w:val="20"/>
    </w:rPr>
  </w:style>
  <w:style w:type="paragraph" w:customStyle="1" w:styleId="FSFigureTitle">
    <w:name w:val="FS Figure Title"/>
    <w:basedOn w:val="Normal"/>
    <w:next w:val="Normal"/>
    <w:qFormat/>
    <w:rsid w:val="00DD5C9C"/>
    <w:rPr>
      <w:rFonts w:cs="Arial"/>
      <w:i/>
    </w:rPr>
  </w:style>
  <w:style w:type="character" w:styleId="CommentReference">
    <w:name w:val="annotation reference"/>
    <w:basedOn w:val="DefaultParagraphFont"/>
    <w:uiPriority w:val="99"/>
    <w:rsid w:val="00DD5C9C"/>
    <w:rPr>
      <w:sz w:val="16"/>
      <w:szCs w:val="16"/>
    </w:rPr>
  </w:style>
  <w:style w:type="paragraph" w:styleId="CommentText">
    <w:name w:val="annotation text"/>
    <w:basedOn w:val="Normal"/>
    <w:link w:val="CommentTextChar"/>
    <w:uiPriority w:val="99"/>
    <w:rsid w:val="00DD5C9C"/>
    <w:rPr>
      <w:sz w:val="20"/>
      <w:szCs w:val="20"/>
    </w:rPr>
  </w:style>
  <w:style w:type="character" w:customStyle="1" w:styleId="CommentTextChar">
    <w:name w:val="Comment Text Char"/>
    <w:basedOn w:val="DefaultParagraphFont"/>
    <w:link w:val="CommentText"/>
    <w:uiPriority w:val="99"/>
    <w:rsid w:val="00DD5C9C"/>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DD5C9C"/>
    <w:rPr>
      <w:b/>
      <w:bCs/>
    </w:rPr>
  </w:style>
  <w:style w:type="character" w:customStyle="1" w:styleId="CommentSubjectChar">
    <w:name w:val="Comment Subject Char"/>
    <w:basedOn w:val="CommentTextChar"/>
    <w:link w:val="CommentSubject"/>
    <w:rsid w:val="00DD5C9C"/>
    <w:rPr>
      <w:rFonts w:eastAsia="Times New Roman" w:cs="Times New Roman"/>
      <w:b/>
      <w:bCs/>
      <w:sz w:val="20"/>
      <w:szCs w:val="20"/>
      <w:lang w:val="en-GB" w:bidi="en-US"/>
    </w:rPr>
  </w:style>
  <w:style w:type="paragraph" w:styleId="DocumentMap">
    <w:name w:val="Document Map"/>
    <w:basedOn w:val="Normal"/>
    <w:link w:val="DocumentMapChar"/>
    <w:rsid w:val="00DD5C9C"/>
    <w:rPr>
      <w:rFonts w:ascii="Tahoma" w:hAnsi="Tahoma" w:cs="Tahoma"/>
      <w:sz w:val="16"/>
      <w:szCs w:val="16"/>
    </w:rPr>
  </w:style>
  <w:style w:type="character" w:customStyle="1" w:styleId="DocumentMapChar">
    <w:name w:val="Document Map Char"/>
    <w:basedOn w:val="DefaultParagraphFont"/>
    <w:link w:val="DocumentMap"/>
    <w:rsid w:val="00DD5C9C"/>
    <w:rPr>
      <w:rFonts w:ascii="Tahoma" w:eastAsia="Times New Roman" w:hAnsi="Tahoma" w:cs="Tahoma"/>
      <w:sz w:val="16"/>
      <w:szCs w:val="16"/>
      <w:lang w:val="en-GB" w:bidi="en-US"/>
    </w:rPr>
  </w:style>
  <w:style w:type="table" w:styleId="MediumShading1-Accent3">
    <w:name w:val="Medium Shading 1 Accent 3"/>
    <w:basedOn w:val="TableNormal"/>
    <w:uiPriority w:val="63"/>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Heading1"/>
    <w:link w:val="ReferencesChar"/>
    <w:qFormat/>
    <w:rsid w:val="00DD5C9C"/>
    <w:pPr>
      <w:tabs>
        <w:tab w:val="left" w:pos="0"/>
      </w:tabs>
      <w:ind w:left="0" w:firstLine="0"/>
    </w:pPr>
    <w:rPr>
      <w:b w:val="0"/>
      <w:noProof/>
    </w:rPr>
  </w:style>
  <w:style w:type="character" w:customStyle="1" w:styleId="ReferencesChar">
    <w:name w:val="References Char"/>
    <w:basedOn w:val="Heading1Char"/>
    <w:link w:val="References"/>
    <w:rsid w:val="00DD5C9C"/>
    <w:rPr>
      <w:rFonts w:eastAsia="Times New Roman" w:cs="Times New Roman"/>
      <w:b w:val="0"/>
      <w:bCs/>
      <w:noProof/>
      <w:sz w:val="36"/>
      <w:szCs w:val="28"/>
      <w:lang w:val="en-GB"/>
    </w:rPr>
  </w:style>
  <w:style w:type="character" w:styleId="PlaceholderText">
    <w:name w:val="Placeholder Text"/>
    <w:basedOn w:val="DefaultParagraphFont"/>
    <w:uiPriority w:val="99"/>
    <w:semiHidden/>
    <w:rsid w:val="00DD5C9C"/>
    <w:rPr>
      <w:color w:val="808080"/>
    </w:rPr>
  </w:style>
  <w:style w:type="table" w:customStyle="1" w:styleId="TableGrid3">
    <w:name w:val="Table Grid3"/>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DD5C9C"/>
    <w:pPr>
      <w:widowControl w:val="0"/>
    </w:pPr>
    <w:rPr>
      <w:rFonts w:ascii="Calibri" w:eastAsia="Times New Roman" w:hAnsi="Calibri"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ableText">
    <w:name w:val="TableText"/>
    <w:basedOn w:val="Normal"/>
    <w:rsid w:val="00DD5C9C"/>
    <w:pPr>
      <w:numPr>
        <w:numId w:val="19"/>
      </w:numPr>
      <w:tabs>
        <w:tab w:val="clear" w:pos="284"/>
      </w:tabs>
      <w:spacing w:before="80" w:after="80" w:line="264" w:lineRule="auto"/>
      <w:ind w:left="0" w:firstLine="0"/>
    </w:pPr>
    <w:rPr>
      <w:sz w:val="20"/>
      <w:szCs w:val="20"/>
      <w:lang w:val="en-NZ" w:eastAsia="en-GB" w:bidi="ar-SA"/>
    </w:rPr>
  </w:style>
  <w:style w:type="table" w:customStyle="1" w:styleId="MediumGrid1-Accent31">
    <w:name w:val="Medium Grid 1 - Accent 31"/>
    <w:basedOn w:val="TableNormal"/>
    <w:next w:val="MediumGrid1-Accent3"/>
    <w:uiPriority w:val="67"/>
    <w:rsid w:val="00DD5C9C"/>
    <w:rPr>
      <w:rFonts w:eastAsia="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3">
    <w:name w:val="Medium Grid 1 Accent 3"/>
    <w:basedOn w:val="TableNormal"/>
    <w:uiPriority w:val="67"/>
    <w:rsid w:val="00DD5C9C"/>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TableGrid4">
    <w:name w:val="Table Grid4"/>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rsid w:val="00DD5C9C"/>
    <w:pPr>
      <w:numPr>
        <w:numId w:val="22"/>
      </w:numPr>
    </w:pPr>
  </w:style>
  <w:style w:type="character" w:customStyle="1" w:styleId="Style1Char">
    <w:name w:val="Style1 Char"/>
    <w:basedOn w:val="Heading3Char"/>
    <w:link w:val="Style1"/>
    <w:rsid w:val="00DD5C9C"/>
    <w:rPr>
      <w:rFonts w:eastAsia="Times New Roman" w:cs="Times New Roman"/>
      <w:b/>
      <w:lang w:val="en-GB"/>
    </w:rPr>
  </w:style>
  <w:style w:type="paragraph" w:styleId="NormalWeb">
    <w:name w:val="Normal (Web)"/>
    <w:basedOn w:val="Normal"/>
    <w:uiPriority w:val="99"/>
    <w:unhideWhenUsed/>
    <w:rsid w:val="00DD5C9C"/>
    <w:pPr>
      <w:spacing w:before="100" w:beforeAutospacing="1" w:after="100" w:afterAutospacing="1"/>
    </w:pPr>
    <w:rPr>
      <w:rFonts w:ascii="Times New Roman" w:hAnsi="Times New Roman"/>
      <w:sz w:val="24"/>
      <w:lang w:eastAsia="en-GB" w:bidi="ar-SA"/>
    </w:rPr>
  </w:style>
  <w:style w:type="table" w:customStyle="1" w:styleId="TableGrid5">
    <w:name w:val="Table Grid5"/>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msg-info">
    <w:name w:val="user-msg-info"/>
    <w:basedOn w:val="DefaultParagraphFont"/>
    <w:rsid w:val="00DD5C9C"/>
  </w:style>
  <w:style w:type="paragraph" w:styleId="Revision">
    <w:name w:val="Revision"/>
    <w:hidden/>
    <w:uiPriority w:val="99"/>
    <w:semiHidden/>
    <w:rsid w:val="00DD5C9C"/>
    <w:rPr>
      <w:rFonts w:eastAsia="Times New Roman" w:cs="Times New Roman"/>
      <w:szCs w:val="24"/>
      <w:lang w:val="en-GB" w:bidi="en-US"/>
    </w:rPr>
  </w:style>
  <w:style w:type="table" w:customStyle="1" w:styleId="TableGrid81">
    <w:name w:val="Table Grid81"/>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DD5C9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DD5C9C"/>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abs.gov.au/ausstats/abs@.nsf/Lookup/by%20Subject/4364.0.55.007~2011-12~Main%20Features~Key%20Findings~1" TargetMode="External"/><Relationship Id="rId39" Type="http://schemas.openxmlformats.org/officeDocument/2006/relationships/hyperlink" Target="http://www.foodstandards.gov.au/science/exposure/documents/Principles%20_%20practices%20exposure%20assessment%202009.pdf" TargetMode="External"/><Relationship Id="rId21" Type="http://schemas.openxmlformats.org/officeDocument/2006/relationships/image" Target="media/image5.png"/><Relationship Id="rId34" Type="http://schemas.openxmlformats.org/officeDocument/2006/relationships/image" Target="media/image8.png"/><Relationship Id="rId42" Type="http://schemas.openxmlformats.org/officeDocument/2006/relationships/hyperlink" Target="http://www.health.govt.nz/publication/health-new-zealand-children-2011-12" TargetMode="External"/><Relationship Id="rId47" Type="http://schemas.openxmlformats.org/officeDocument/2006/relationships/hyperlink" Target="http://www.ncbi.nlm.nih.gov/pubmed/25038903?dopt=Citation" TargetMode="External"/><Relationship Id="rId50" Type="http://schemas.openxmlformats.org/officeDocument/2006/relationships/hyperlink" Target="http://www.usp.org/food-ingredients/food-chemicals-codex" TargetMode="External"/><Relationship Id="rId55"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chart" Target="charts/chart2.xml"/><Relationship Id="rId11" Type="http://schemas.openxmlformats.org/officeDocument/2006/relationships/header" Target="header1.xml"/><Relationship Id="rId24" Type="http://schemas.openxmlformats.org/officeDocument/2006/relationships/hyperlink" Target="http://www.moh.govt.nz/notebook/nbbooks.nsf/0/658d849a2bac7421cc256dd9006cc7ec/$FILE/nzfoodnzchildren.pdf" TargetMode="External"/><Relationship Id="rId32" Type="http://schemas.openxmlformats.org/officeDocument/2006/relationships/image" Target="media/image6.png"/><Relationship Id="rId37" Type="http://schemas.openxmlformats.org/officeDocument/2006/relationships/hyperlink" Target="http://www.abs.gov.au/ausstats/abs@.nsf/Latestproducts/4364.0.55.006Explanatory%20Notes602011-12?opendocument&amp;tabname=Notes&amp;prodno=4364.0.55.006&amp;issue=2011-12&amp;num=&amp;view=" TargetMode="External"/><Relationship Id="rId40" Type="http://schemas.openxmlformats.org/officeDocument/2006/relationships/hyperlink" Target="http://www.foodstandards.gov.au/science/monitoringnutrients/ausnut/foodmeasures/Pages/default.aspx.%20Accessed%2010%20November%202014" TargetMode="External"/><Relationship Id="rId45" Type="http://schemas.openxmlformats.org/officeDocument/2006/relationships/hyperlink" Target="http://www.nrv.gov.au/nutrients/vitamin-d" TargetMode="External"/><Relationship Id="rId53"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chart" Target="charts/chart4.xml"/><Relationship Id="rId44" Type="http://schemas.openxmlformats.org/officeDocument/2006/relationships/hyperlink" Target="http://ods.od.nih.gov/Research/vdsp.aspx"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health.gov.au/internet/main/publishing.nsf/Content/phd-nutrition-childrens-survey" TargetMode="External"/><Relationship Id="rId27" Type="http://schemas.openxmlformats.org/officeDocument/2006/relationships/hyperlink" Target="http://www.abs.gov.au/AUSSTATS/abs@.nsf/DetailsPage/4364.0.55.0062011-12?OpenDocument" TargetMode="External"/><Relationship Id="rId30" Type="http://schemas.openxmlformats.org/officeDocument/2006/relationships/chart" Target="charts/chart3.xml"/><Relationship Id="rId35" Type="http://schemas.openxmlformats.org/officeDocument/2006/relationships/image" Target="media/image9.png"/><Relationship Id="rId43" Type="http://schemas.openxmlformats.org/officeDocument/2006/relationships/hyperlink" Target="http://www.health.govt.nz/publication/consensus-statement-vitamin-d-and-sun-exposure-new-zealand" TargetMode="External"/><Relationship Id="rId48" Type="http://schemas.openxmlformats.org/officeDocument/2006/relationships/hyperlink" Target="https://www.gov.uk/government/uploads/system/uploads/attachment_data/file/339349/SACN_Update_on_Vitamin_D_2007.pdf" TargetMode="External"/><Relationship Id="rId56" Type="http://schemas.openxmlformats.org/officeDocument/2006/relationships/customXml" Target="../customXml/item4.xml"/><Relationship Id="rId8" Type="http://schemas.openxmlformats.org/officeDocument/2006/relationships/footnotes" Target="foot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www.health.govt.nz/publication/focus-nutrition-key-findings-2008-09-nz-adult-nutrition-survey" TargetMode="External"/><Relationship Id="rId33" Type="http://schemas.openxmlformats.org/officeDocument/2006/relationships/image" Target="media/image7.emf"/><Relationship Id="rId38" Type="http://schemas.openxmlformats.org/officeDocument/2006/relationships/hyperlink" Target="http://www.abs.gov.au/ausstats/abs@.nsf/Lookup/A1EDAAF77352877CCA257CBA001A868D?opendocument" TargetMode="External"/><Relationship Id="rId46" Type="http://schemas.openxmlformats.org/officeDocument/2006/relationships/hyperlink" Target="http://www.nrv.gov.au/" TargetMode="External"/><Relationship Id="rId20" Type="http://schemas.openxmlformats.org/officeDocument/2006/relationships/hyperlink" Target="http://www.abs.gov.au/AUSSTATS/abs@.nsf/DetailsPage/4364.0.55.0062011-12?OpenDocument" TargetMode="External"/><Relationship Id="rId41" Type="http://schemas.openxmlformats.org/officeDocument/2006/relationships/hyperlink" Target="http://www.nap.edu/catalog.php?record_id=13050" TargetMode="External"/><Relationship Id="rId54"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abs.gov.au/ausstats/abs@.nsf/PrimaryMainFeatures/4804.0?OpenDocument" TargetMode="External"/><Relationship Id="rId28" Type="http://schemas.openxmlformats.org/officeDocument/2006/relationships/chart" Target="charts/chart1.xml"/><Relationship Id="rId36" Type="http://schemas.openxmlformats.org/officeDocument/2006/relationships/hyperlink" Target="http://www.abs.gov.au/AUSSTATS/abs@.nsf/DetailsPage/4364.0.55.0062011-12?OpenDocument" TargetMode="External"/><Relationship Id="rId49" Type="http://schemas.openxmlformats.org/officeDocument/2006/relationships/hyperlink" Target="https://www.gov.uk/government/groups/scientific-advisory-committee-on-nutrition"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'25OHD by deficiency status'!$C$4</c:f>
              <c:strCache>
                <c:ptCount val="1"/>
                <c:pt idx="0">
                  <c:v>25OHD &lt; 30 nm</c:v>
                </c:pt>
              </c:strCache>
            </c:strRef>
          </c:tx>
          <c:invertIfNegative val="0"/>
          <c:cat>
            <c:strRef>
              <c:f>'25OHD by deficiency status'!$B$5:$B$12</c:f>
              <c:strCache>
                <c:ptCount val="8"/>
                <c:pt idx="0">
                  <c:v>12–17</c:v>
                </c:pt>
                <c:pt idx="1">
                  <c:v>18–24</c:v>
                </c:pt>
                <c:pt idx="2">
                  <c:v>25–34</c:v>
                </c:pt>
                <c:pt idx="3">
                  <c:v>35–44</c:v>
                </c:pt>
                <c:pt idx="4">
                  <c:v>45–54</c:v>
                </c:pt>
                <c:pt idx="5">
                  <c:v>55–64</c:v>
                </c:pt>
                <c:pt idx="6">
                  <c:v>65–74</c:v>
                </c:pt>
                <c:pt idx="7">
                  <c:v>75 years and over</c:v>
                </c:pt>
              </c:strCache>
            </c:strRef>
          </c:cat>
          <c:val>
            <c:numRef>
              <c:f>'25OHD by deficiency status'!$C$5:$C$12</c:f>
              <c:numCache>
                <c:formatCode>""#,##0.0""</c:formatCode>
                <c:ptCount val="8"/>
                <c:pt idx="0">
                  <c:v>3.1</c:v>
                </c:pt>
                <c:pt idx="1">
                  <c:v>11.6</c:v>
                </c:pt>
                <c:pt idx="2">
                  <c:v>10.8</c:v>
                </c:pt>
                <c:pt idx="3">
                  <c:v>6.9</c:v>
                </c:pt>
                <c:pt idx="4">
                  <c:v>4.5</c:v>
                </c:pt>
                <c:pt idx="5">
                  <c:v>2.4</c:v>
                </c:pt>
                <c:pt idx="6">
                  <c:v>2.4</c:v>
                </c:pt>
                <c:pt idx="7">
                  <c:v>3.9</c:v>
                </c:pt>
              </c:numCache>
            </c:numRef>
          </c:val>
        </c:ser>
        <c:ser>
          <c:idx val="1"/>
          <c:order val="1"/>
          <c:tx>
            <c:strRef>
              <c:f>'25OHD by deficiency status'!$D$4</c:f>
              <c:strCache>
                <c:ptCount val="1"/>
                <c:pt idx="0">
                  <c:v>25OHD = 30-49 nM</c:v>
                </c:pt>
              </c:strCache>
            </c:strRef>
          </c:tx>
          <c:invertIfNegative val="0"/>
          <c:cat>
            <c:strRef>
              <c:f>'25OHD by deficiency status'!$B$5:$B$12</c:f>
              <c:strCache>
                <c:ptCount val="8"/>
                <c:pt idx="0">
                  <c:v>12–17</c:v>
                </c:pt>
                <c:pt idx="1">
                  <c:v>18–24</c:v>
                </c:pt>
                <c:pt idx="2">
                  <c:v>25–34</c:v>
                </c:pt>
                <c:pt idx="3">
                  <c:v>35–44</c:v>
                </c:pt>
                <c:pt idx="4">
                  <c:v>45–54</c:v>
                </c:pt>
                <c:pt idx="5">
                  <c:v>55–64</c:v>
                </c:pt>
                <c:pt idx="6">
                  <c:v>65–74</c:v>
                </c:pt>
                <c:pt idx="7">
                  <c:v>75 years and over</c:v>
                </c:pt>
              </c:strCache>
            </c:strRef>
          </c:cat>
          <c:val>
            <c:numRef>
              <c:f>'25OHD by deficiency status'!$D$5:$D$12</c:f>
              <c:numCache>
                <c:formatCode>""#,##0.0""</c:formatCode>
                <c:ptCount val="8"/>
                <c:pt idx="0">
                  <c:v>12.3</c:v>
                </c:pt>
                <c:pt idx="1">
                  <c:v>19.399999999999999</c:v>
                </c:pt>
                <c:pt idx="2">
                  <c:v>20</c:v>
                </c:pt>
                <c:pt idx="3">
                  <c:v>16.100000000000001</c:v>
                </c:pt>
                <c:pt idx="4">
                  <c:v>17.2</c:v>
                </c:pt>
                <c:pt idx="5">
                  <c:v>15.1</c:v>
                </c:pt>
                <c:pt idx="6">
                  <c:v>13</c:v>
                </c:pt>
                <c:pt idx="7">
                  <c:v>16.3</c:v>
                </c:pt>
              </c:numCache>
            </c:numRef>
          </c:val>
        </c:ser>
        <c:ser>
          <c:idx val="2"/>
          <c:order val="2"/>
          <c:tx>
            <c:strRef>
              <c:f>'25OHD by deficiency status'!$E$4</c:f>
              <c:strCache>
                <c:ptCount val="1"/>
                <c:pt idx="0">
                  <c:v>25OHD &gt; 50 nM</c:v>
                </c:pt>
              </c:strCache>
            </c:strRef>
          </c:tx>
          <c:invertIfNegative val="0"/>
          <c:cat>
            <c:strRef>
              <c:f>'25OHD by deficiency status'!$B$5:$B$12</c:f>
              <c:strCache>
                <c:ptCount val="8"/>
                <c:pt idx="0">
                  <c:v>12–17</c:v>
                </c:pt>
                <c:pt idx="1">
                  <c:v>18–24</c:v>
                </c:pt>
                <c:pt idx="2">
                  <c:v>25–34</c:v>
                </c:pt>
                <c:pt idx="3">
                  <c:v>35–44</c:v>
                </c:pt>
                <c:pt idx="4">
                  <c:v>45–54</c:v>
                </c:pt>
                <c:pt idx="5">
                  <c:v>55–64</c:v>
                </c:pt>
                <c:pt idx="6">
                  <c:v>65–74</c:v>
                </c:pt>
                <c:pt idx="7">
                  <c:v>75 years and over</c:v>
                </c:pt>
              </c:strCache>
            </c:strRef>
          </c:cat>
          <c:val>
            <c:numRef>
              <c:f>'25OHD by deficiency status'!$E$5:$E$12</c:f>
              <c:numCache>
                <c:formatCode>""#,##0.0""</c:formatCode>
                <c:ptCount val="8"/>
                <c:pt idx="0">
                  <c:v>71.2</c:v>
                </c:pt>
                <c:pt idx="1">
                  <c:v>66.400000000000006</c:v>
                </c:pt>
                <c:pt idx="2">
                  <c:v>66.3</c:v>
                </c:pt>
                <c:pt idx="3">
                  <c:v>75.3</c:v>
                </c:pt>
                <c:pt idx="4">
                  <c:v>77.099999999999994</c:v>
                </c:pt>
                <c:pt idx="5">
                  <c:v>81.599999999999994</c:v>
                </c:pt>
                <c:pt idx="6">
                  <c:v>83.4</c:v>
                </c:pt>
                <c:pt idx="7">
                  <c:v>78.3</c:v>
                </c:pt>
              </c:numCache>
            </c:numRef>
          </c:val>
        </c:ser>
        <c:dLbls>
          <c:showLegendKey val="0"/>
          <c:showVal val="0"/>
          <c:showCatName val="0"/>
          <c:showSerName val="0"/>
          <c:showPercent val="0"/>
          <c:showBubbleSize val="0"/>
        </c:dLbls>
        <c:gapWidth val="150"/>
        <c:overlap val="100"/>
        <c:axId val="37481856"/>
        <c:axId val="37540992"/>
      </c:barChart>
      <c:catAx>
        <c:axId val="37481856"/>
        <c:scaling>
          <c:orientation val="minMax"/>
        </c:scaling>
        <c:delete val="0"/>
        <c:axPos val="b"/>
        <c:majorTickMark val="out"/>
        <c:minorTickMark val="none"/>
        <c:tickLblPos val="nextTo"/>
        <c:crossAx val="37540992"/>
        <c:crosses val="autoZero"/>
        <c:auto val="1"/>
        <c:lblAlgn val="ctr"/>
        <c:lblOffset val="100"/>
        <c:noMultiLvlLbl val="0"/>
      </c:catAx>
      <c:valAx>
        <c:axId val="37540992"/>
        <c:scaling>
          <c:orientation val="minMax"/>
        </c:scaling>
        <c:delete val="0"/>
        <c:axPos val="l"/>
        <c:majorGridlines/>
        <c:title>
          <c:tx>
            <c:rich>
              <a:bodyPr rot="-5400000" vert="horz"/>
              <a:lstStyle/>
              <a:p>
                <a:pPr>
                  <a:defRPr/>
                </a:pPr>
                <a:r>
                  <a:rPr lang="en-GB"/>
                  <a:t>Percentage</a:t>
                </a:r>
                <a:r>
                  <a:rPr lang="en-GB" baseline="0"/>
                  <a:t>  of Population </a:t>
                </a:r>
                <a:endParaRPr lang="en-GB"/>
              </a:p>
            </c:rich>
          </c:tx>
          <c:overlay val="0"/>
        </c:title>
        <c:numFmt formatCode="0%" sourceLinked="1"/>
        <c:majorTickMark val="out"/>
        <c:minorTickMark val="none"/>
        <c:tickLblPos val="nextTo"/>
        <c:crossAx val="37481856"/>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'25OHD by deficiency status'!$C$18</c:f>
              <c:strCache>
                <c:ptCount val="1"/>
                <c:pt idx="0">
                  <c:v>25OHD &lt; 30 nm</c:v>
                </c:pt>
              </c:strCache>
            </c:strRef>
          </c:tx>
          <c:invertIfNegative val="0"/>
          <c:cat>
            <c:strRef>
              <c:f>'25OHD by deficiency status'!$B$19:$B$27</c:f>
              <c:strCache>
                <c:ptCount val="9"/>
                <c:pt idx="0">
                  <c:v>NSW</c:v>
                </c:pt>
                <c:pt idx="1">
                  <c:v>Vic.</c:v>
                </c:pt>
                <c:pt idx="2">
                  <c:v>Qld</c:v>
                </c:pt>
                <c:pt idx="3">
                  <c:v>SA</c:v>
                </c:pt>
                <c:pt idx="4">
                  <c:v>WA</c:v>
                </c:pt>
                <c:pt idx="5">
                  <c:v>Tas.</c:v>
                </c:pt>
                <c:pt idx="6">
                  <c:v>NT</c:v>
                </c:pt>
                <c:pt idx="7">
                  <c:v>ACT</c:v>
                </c:pt>
                <c:pt idx="8">
                  <c:v>Australia</c:v>
                </c:pt>
              </c:strCache>
            </c:strRef>
          </c:cat>
          <c:val>
            <c:numRef>
              <c:f>'25OHD by deficiency status'!$C$19:$C$27</c:f>
              <c:numCache>
                <c:formatCode>""#,##0.0""</c:formatCode>
                <c:ptCount val="9"/>
                <c:pt idx="0">
                  <c:v>8.3000000000000007</c:v>
                </c:pt>
                <c:pt idx="1">
                  <c:v>9.1999999999999993</c:v>
                </c:pt>
                <c:pt idx="2">
                  <c:v>1.8</c:v>
                </c:pt>
                <c:pt idx="3">
                  <c:v>6.1</c:v>
                </c:pt>
                <c:pt idx="4">
                  <c:v>3.4</c:v>
                </c:pt>
                <c:pt idx="5">
                  <c:v>5.8</c:v>
                </c:pt>
                <c:pt idx="6" formatCode="&quot;*&quot;#,##0.0&quot;&quot;">
                  <c:v>0</c:v>
                </c:pt>
                <c:pt idx="7">
                  <c:v>7.5</c:v>
                </c:pt>
                <c:pt idx="8">
                  <c:v>6.5</c:v>
                </c:pt>
              </c:numCache>
            </c:numRef>
          </c:val>
        </c:ser>
        <c:ser>
          <c:idx val="1"/>
          <c:order val="1"/>
          <c:tx>
            <c:strRef>
              <c:f>'25OHD by deficiency status'!$D$18</c:f>
              <c:strCache>
                <c:ptCount val="1"/>
                <c:pt idx="0">
                  <c:v>25OHD = 30-49 nM</c:v>
                </c:pt>
              </c:strCache>
            </c:strRef>
          </c:tx>
          <c:invertIfNegative val="0"/>
          <c:cat>
            <c:strRef>
              <c:f>'25OHD by deficiency status'!$B$19:$B$27</c:f>
              <c:strCache>
                <c:ptCount val="9"/>
                <c:pt idx="0">
                  <c:v>NSW</c:v>
                </c:pt>
                <c:pt idx="1">
                  <c:v>Vic.</c:v>
                </c:pt>
                <c:pt idx="2">
                  <c:v>Qld</c:v>
                </c:pt>
                <c:pt idx="3">
                  <c:v>SA</c:v>
                </c:pt>
                <c:pt idx="4">
                  <c:v>WA</c:v>
                </c:pt>
                <c:pt idx="5">
                  <c:v>Tas.</c:v>
                </c:pt>
                <c:pt idx="6">
                  <c:v>NT</c:v>
                </c:pt>
                <c:pt idx="7">
                  <c:v>ACT</c:v>
                </c:pt>
                <c:pt idx="8">
                  <c:v>Australia</c:v>
                </c:pt>
              </c:strCache>
            </c:strRef>
          </c:cat>
          <c:val>
            <c:numRef>
              <c:f>'25OHD by deficiency status'!$D$19:$D$27</c:f>
              <c:numCache>
                <c:formatCode>""#,##0.0""</c:formatCode>
                <c:ptCount val="9"/>
                <c:pt idx="0">
                  <c:v>18.600000000000001</c:v>
                </c:pt>
                <c:pt idx="1">
                  <c:v>21.4</c:v>
                </c:pt>
                <c:pt idx="2">
                  <c:v>9.3000000000000007</c:v>
                </c:pt>
                <c:pt idx="3">
                  <c:v>20.6</c:v>
                </c:pt>
                <c:pt idx="4">
                  <c:v>12.7</c:v>
                </c:pt>
                <c:pt idx="5">
                  <c:v>18.8</c:v>
                </c:pt>
                <c:pt idx="6">
                  <c:v>12</c:v>
                </c:pt>
                <c:pt idx="7">
                  <c:v>20.399999999999999</c:v>
                </c:pt>
                <c:pt idx="8">
                  <c:v>17</c:v>
                </c:pt>
              </c:numCache>
            </c:numRef>
          </c:val>
        </c:ser>
        <c:ser>
          <c:idx val="2"/>
          <c:order val="2"/>
          <c:tx>
            <c:strRef>
              <c:f>'25OHD by deficiency status'!$E$18</c:f>
              <c:strCache>
                <c:ptCount val="1"/>
                <c:pt idx="0">
                  <c:v>25OHD &gt; 50 nM</c:v>
                </c:pt>
              </c:strCache>
            </c:strRef>
          </c:tx>
          <c:invertIfNegative val="0"/>
          <c:cat>
            <c:strRef>
              <c:f>'25OHD by deficiency status'!$B$19:$B$27</c:f>
              <c:strCache>
                <c:ptCount val="9"/>
                <c:pt idx="0">
                  <c:v>NSW</c:v>
                </c:pt>
                <c:pt idx="1">
                  <c:v>Vic.</c:v>
                </c:pt>
                <c:pt idx="2">
                  <c:v>Qld</c:v>
                </c:pt>
                <c:pt idx="3">
                  <c:v>SA</c:v>
                </c:pt>
                <c:pt idx="4">
                  <c:v>WA</c:v>
                </c:pt>
                <c:pt idx="5">
                  <c:v>Tas.</c:v>
                </c:pt>
                <c:pt idx="6">
                  <c:v>NT</c:v>
                </c:pt>
                <c:pt idx="7">
                  <c:v>ACT</c:v>
                </c:pt>
                <c:pt idx="8">
                  <c:v>Australia</c:v>
                </c:pt>
              </c:strCache>
            </c:strRef>
          </c:cat>
          <c:val>
            <c:numRef>
              <c:f>'25OHD by deficiency status'!$E$19:$E$27</c:f>
              <c:numCache>
                <c:formatCode>""#,##0.0""</c:formatCode>
                <c:ptCount val="9"/>
                <c:pt idx="0">
                  <c:v>71.8</c:v>
                </c:pt>
                <c:pt idx="1">
                  <c:v>67.400000000000006</c:v>
                </c:pt>
                <c:pt idx="2">
                  <c:v>87.3</c:v>
                </c:pt>
                <c:pt idx="3">
                  <c:v>71.2</c:v>
                </c:pt>
                <c:pt idx="4">
                  <c:v>81</c:v>
                </c:pt>
                <c:pt idx="5">
                  <c:v>73.2</c:v>
                </c:pt>
                <c:pt idx="6">
                  <c:v>84.9</c:v>
                </c:pt>
                <c:pt idx="7">
                  <c:v>69.099999999999994</c:v>
                </c:pt>
                <c:pt idx="8">
                  <c:v>74.8</c:v>
                </c:pt>
              </c:numCache>
            </c:numRef>
          </c:val>
        </c:ser>
        <c:dLbls>
          <c:showLegendKey val="0"/>
          <c:showVal val="0"/>
          <c:showCatName val="0"/>
          <c:showSerName val="0"/>
          <c:showPercent val="0"/>
          <c:showBubbleSize val="0"/>
        </c:dLbls>
        <c:gapWidth val="150"/>
        <c:overlap val="100"/>
        <c:axId val="37685888"/>
        <c:axId val="37695872"/>
      </c:barChart>
      <c:catAx>
        <c:axId val="37685888"/>
        <c:scaling>
          <c:orientation val="minMax"/>
        </c:scaling>
        <c:delete val="0"/>
        <c:axPos val="b"/>
        <c:majorTickMark val="out"/>
        <c:minorTickMark val="none"/>
        <c:tickLblPos val="nextTo"/>
        <c:crossAx val="37695872"/>
        <c:crosses val="autoZero"/>
        <c:auto val="1"/>
        <c:lblAlgn val="ctr"/>
        <c:lblOffset val="100"/>
        <c:noMultiLvlLbl val="0"/>
      </c:catAx>
      <c:valAx>
        <c:axId val="37695872"/>
        <c:scaling>
          <c:orientation val="minMax"/>
        </c:scaling>
        <c:delete val="0"/>
        <c:axPos val="l"/>
        <c:majorGridlines/>
        <c:title>
          <c:tx>
            <c:rich>
              <a:bodyPr rot="-5400000" vert="horz"/>
              <a:lstStyle/>
              <a:p>
                <a:pPr>
                  <a:defRPr/>
                </a:pPr>
                <a:r>
                  <a:rPr lang="en-GB"/>
                  <a:t>Percentage</a:t>
                </a:r>
                <a:r>
                  <a:rPr lang="en-GB" baseline="0"/>
                  <a:t> of Population </a:t>
                </a:r>
                <a:endParaRPr lang="en-GB"/>
              </a:p>
            </c:rich>
          </c:tx>
          <c:layout>
            <c:manualLayout>
              <c:xMode val="edge"/>
              <c:yMode val="edge"/>
              <c:x val="2.1912237176674901E-2"/>
              <c:y val="0.17433813778258231"/>
            </c:manualLayout>
          </c:layout>
          <c:overlay val="0"/>
        </c:title>
        <c:numFmt formatCode="0%" sourceLinked="1"/>
        <c:majorTickMark val="out"/>
        <c:minorTickMark val="none"/>
        <c:tickLblPos val="nextTo"/>
        <c:crossAx val="37685888"/>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'Country &lt; or &gt; 50 nM'!$C$4:$C$5</c:f>
              <c:strCache>
                <c:ptCount val="1"/>
                <c:pt idx="0">
                  <c:v>25OHD &lt; 50 nM</c:v>
                </c:pt>
              </c:strCache>
            </c:strRef>
          </c:tx>
          <c:invertIfNegative val="0"/>
          <c:cat>
            <c:strRef>
              <c:f>'Country &lt; or &gt; 50 nM'!$B$6:$B$18</c:f>
              <c:strCache>
                <c:ptCount val="13"/>
                <c:pt idx="0">
                  <c:v>Australia</c:v>
                </c:pt>
                <c:pt idx="1">
                  <c:v>Oceania</c:v>
                </c:pt>
                <c:pt idx="2">
                  <c:v> UK </c:v>
                </c:pt>
                <c:pt idx="3">
                  <c:v>Other NW Europe </c:v>
                </c:pt>
                <c:pt idx="4">
                  <c:v>S &amp; E Europe </c:v>
                </c:pt>
                <c:pt idx="5">
                  <c:v>N Africa&amp; Middle East </c:v>
                </c:pt>
                <c:pt idx="6">
                  <c:v>SE Asia </c:v>
                </c:pt>
                <c:pt idx="7">
                  <c:v>NE Asia</c:v>
                </c:pt>
                <c:pt idx="8">
                  <c:v>S &amp; Central Asia</c:v>
                </c:pt>
                <c:pt idx="9">
                  <c:v>Americas</c:v>
                </c:pt>
                <c:pt idx="10">
                  <c:v>Sub-Saharan Africa</c:v>
                </c:pt>
                <c:pt idx="11">
                  <c:v>Total overseas born</c:v>
                </c:pt>
                <c:pt idx="12">
                  <c:v>Total</c:v>
                </c:pt>
              </c:strCache>
            </c:strRef>
          </c:cat>
          <c:val>
            <c:numRef>
              <c:f>'Country &lt; or &gt; 50 nM'!$C$6:$C$18</c:f>
              <c:numCache>
                <c:formatCode>""#,##0.0""</c:formatCode>
                <c:ptCount val="13"/>
                <c:pt idx="0">
                  <c:v>17</c:v>
                </c:pt>
                <c:pt idx="1">
                  <c:v>20.399999999999999</c:v>
                </c:pt>
                <c:pt idx="2">
                  <c:v>16.3</c:v>
                </c:pt>
                <c:pt idx="3">
                  <c:v>20.6</c:v>
                </c:pt>
                <c:pt idx="4">
                  <c:v>28.4</c:v>
                </c:pt>
                <c:pt idx="5">
                  <c:v>49.9</c:v>
                </c:pt>
                <c:pt idx="6">
                  <c:v>57.9</c:v>
                </c:pt>
                <c:pt idx="7">
                  <c:v>63.7</c:v>
                </c:pt>
                <c:pt idx="8">
                  <c:v>67.400000000000006</c:v>
                </c:pt>
                <c:pt idx="9">
                  <c:v>21.7</c:v>
                </c:pt>
                <c:pt idx="10" formatCode="&quot;*&quot;#,##0.0&quot;&quot;">
                  <c:v>30.1</c:v>
                </c:pt>
                <c:pt idx="11">
                  <c:v>37.299999999999997</c:v>
                </c:pt>
                <c:pt idx="12">
                  <c:v>23.5</c:v>
                </c:pt>
              </c:numCache>
            </c:numRef>
          </c:val>
        </c:ser>
        <c:ser>
          <c:idx val="1"/>
          <c:order val="1"/>
          <c:tx>
            <c:strRef>
              <c:f>'Country &lt; or &gt; 50 nM'!$D$4:$D$5</c:f>
              <c:strCache>
                <c:ptCount val="1"/>
                <c:pt idx="0">
                  <c:v>25OHD ≥ 50 nM </c:v>
                </c:pt>
              </c:strCache>
            </c:strRef>
          </c:tx>
          <c:invertIfNegative val="0"/>
          <c:cat>
            <c:strRef>
              <c:f>'Country &lt; or &gt; 50 nM'!$B$6:$B$18</c:f>
              <c:strCache>
                <c:ptCount val="13"/>
                <c:pt idx="0">
                  <c:v>Australia</c:v>
                </c:pt>
                <c:pt idx="1">
                  <c:v>Oceania</c:v>
                </c:pt>
                <c:pt idx="2">
                  <c:v> UK </c:v>
                </c:pt>
                <c:pt idx="3">
                  <c:v>Other NW Europe </c:v>
                </c:pt>
                <c:pt idx="4">
                  <c:v>S &amp; E Europe </c:v>
                </c:pt>
                <c:pt idx="5">
                  <c:v>N Africa&amp; Middle East </c:v>
                </c:pt>
                <c:pt idx="6">
                  <c:v>SE Asia </c:v>
                </c:pt>
                <c:pt idx="7">
                  <c:v>NE Asia</c:v>
                </c:pt>
                <c:pt idx="8">
                  <c:v>S &amp; Central Asia</c:v>
                </c:pt>
                <c:pt idx="9">
                  <c:v>Americas</c:v>
                </c:pt>
                <c:pt idx="10">
                  <c:v>Sub-Saharan Africa</c:v>
                </c:pt>
                <c:pt idx="11">
                  <c:v>Total overseas born</c:v>
                </c:pt>
                <c:pt idx="12">
                  <c:v>Total</c:v>
                </c:pt>
              </c:strCache>
            </c:strRef>
          </c:cat>
          <c:val>
            <c:numRef>
              <c:f>'Country &lt; or &gt; 50 nM'!$D$6:$D$18</c:f>
              <c:numCache>
                <c:formatCode>""#,##0.0""</c:formatCode>
                <c:ptCount val="13"/>
                <c:pt idx="0">
                  <c:v>81.099999999999994</c:v>
                </c:pt>
                <c:pt idx="1">
                  <c:v>79.2</c:v>
                </c:pt>
                <c:pt idx="2">
                  <c:v>81.599999999999994</c:v>
                </c:pt>
                <c:pt idx="3">
                  <c:v>79</c:v>
                </c:pt>
                <c:pt idx="4">
                  <c:v>70.7</c:v>
                </c:pt>
                <c:pt idx="5">
                  <c:v>46.3</c:v>
                </c:pt>
                <c:pt idx="6">
                  <c:v>41.1</c:v>
                </c:pt>
                <c:pt idx="7">
                  <c:v>34.6</c:v>
                </c:pt>
                <c:pt idx="8">
                  <c:v>31</c:v>
                </c:pt>
                <c:pt idx="9">
                  <c:v>75.5</c:v>
                </c:pt>
                <c:pt idx="10">
                  <c:v>68.400000000000006</c:v>
                </c:pt>
                <c:pt idx="11">
                  <c:v>61.1</c:v>
                </c:pt>
                <c:pt idx="12">
                  <c:v>74.8</c:v>
                </c:pt>
              </c:numCache>
            </c:numRef>
          </c:val>
        </c:ser>
        <c:dLbls>
          <c:showLegendKey val="0"/>
          <c:showVal val="0"/>
          <c:showCatName val="0"/>
          <c:showSerName val="0"/>
          <c:showPercent val="0"/>
          <c:showBubbleSize val="0"/>
        </c:dLbls>
        <c:gapWidth val="150"/>
        <c:overlap val="100"/>
        <c:axId val="37799040"/>
        <c:axId val="37800576"/>
      </c:barChart>
      <c:catAx>
        <c:axId val="37799040"/>
        <c:scaling>
          <c:orientation val="minMax"/>
        </c:scaling>
        <c:delete val="0"/>
        <c:axPos val="b"/>
        <c:majorTickMark val="out"/>
        <c:minorTickMark val="none"/>
        <c:tickLblPos val="nextTo"/>
        <c:crossAx val="37800576"/>
        <c:crosses val="autoZero"/>
        <c:auto val="1"/>
        <c:lblAlgn val="ctr"/>
        <c:lblOffset val="100"/>
        <c:noMultiLvlLbl val="0"/>
      </c:catAx>
      <c:valAx>
        <c:axId val="37800576"/>
        <c:scaling>
          <c:orientation val="minMax"/>
          <c:max val="100"/>
        </c:scaling>
        <c:delete val="0"/>
        <c:axPos val="l"/>
        <c:majorGridlines/>
        <c:title>
          <c:tx>
            <c:rich>
              <a:bodyPr rot="-5400000" vert="horz"/>
              <a:lstStyle/>
              <a:p>
                <a:pPr>
                  <a:defRPr/>
                </a:pPr>
                <a:r>
                  <a:rPr lang="en-GB"/>
                  <a:t>Percentage</a:t>
                </a:r>
                <a:r>
                  <a:rPr lang="en-GB" baseline="0"/>
                  <a:t> of Population </a:t>
                </a:r>
              </a:p>
            </c:rich>
          </c:tx>
          <c:overlay val="0"/>
        </c:title>
        <c:numFmt formatCode="&quot;&quot;#,##0.0&quot;&quot;" sourceLinked="1"/>
        <c:majorTickMark val="out"/>
        <c:minorTickMark val="none"/>
        <c:tickLblPos val="nextTo"/>
        <c:crossAx val="3779904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'Season &lt; or &gt; 50 nM'!$C$4</c:f>
              <c:strCache>
                <c:ptCount val="1"/>
                <c:pt idx="0">
                  <c:v>Summer </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nM'!$C$5:$C$13</c:f>
              <c:numCache>
                <c:formatCode>""#,##0.0""</c:formatCode>
                <c:ptCount val="9"/>
                <c:pt idx="0">
                  <c:v>18.899999999999999</c:v>
                </c:pt>
                <c:pt idx="1">
                  <c:v>16.2</c:v>
                </c:pt>
                <c:pt idx="2">
                  <c:v>6.3</c:v>
                </c:pt>
                <c:pt idx="3">
                  <c:v>14.8</c:v>
                </c:pt>
                <c:pt idx="4">
                  <c:v>12.6</c:v>
                </c:pt>
                <c:pt idx="5">
                  <c:v>14.3</c:v>
                </c:pt>
                <c:pt idx="6" formatCode="&quot;*&quot;#,##0.0&quot;&quot;">
                  <c:v>15.2</c:v>
                </c:pt>
                <c:pt idx="7">
                  <c:v>12.8</c:v>
                </c:pt>
                <c:pt idx="8">
                  <c:v>14.3</c:v>
                </c:pt>
              </c:numCache>
            </c:numRef>
          </c:val>
        </c:ser>
        <c:ser>
          <c:idx val="1"/>
          <c:order val="1"/>
          <c:tx>
            <c:strRef>
              <c:f>'Season &lt; or &gt; 50 nM'!$D$4</c:f>
              <c:strCache>
                <c:ptCount val="1"/>
                <c:pt idx="0">
                  <c:v>Autumn</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nM'!$D$5:$D$13</c:f>
              <c:numCache>
                <c:formatCode>""#,##0.0""</c:formatCode>
                <c:ptCount val="9"/>
                <c:pt idx="0">
                  <c:v>19</c:v>
                </c:pt>
                <c:pt idx="1">
                  <c:v>20.399999999999999</c:v>
                </c:pt>
                <c:pt idx="2">
                  <c:v>11</c:v>
                </c:pt>
                <c:pt idx="3">
                  <c:v>20</c:v>
                </c:pt>
                <c:pt idx="4">
                  <c:v>10.5</c:v>
                </c:pt>
                <c:pt idx="5">
                  <c:v>13.3</c:v>
                </c:pt>
                <c:pt idx="6" formatCode="&quot;*&quot;#,##0.0&quot;&quot;">
                  <c:v>10.5</c:v>
                </c:pt>
                <c:pt idx="7">
                  <c:v>23.3</c:v>
                </c:pt>
                <c:pt idx="8">
                  <c:v>16.8</c:v>
                </c:pt>
              </c:numCache>
            </c:numRef>
          </c:val>
        </c:ser>
        <c:ser>
          <c:idx val="2"/>
          <c:order val="2"/>
          <c:tx>
            <c:strRef>
              <c:f>'Season &lt; or &gt; 50 nM'!$E$4</c:f>
              <c:strCache>
                <c:ptCount val="1"/>
                <c:pt idx="0">
                  <c:v>Winter</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nM'!$E$5:$E$13</c:f>
              <c:numCache>
                <c:formatCode>""#,##0.0""</c:formatCode>
                <c:ptCount val="9"/>
                <c:pt idx="0">
                  <c:v>39.299999999999997</c:v>
                </c:pt>
                <c:pt idx="1">
                  <c:v>48.7</c:v>
                </c:pt>
                <c:pt idx="2">
                  <c:v>14.7</c:v>
                </c:pt>
                <c:pt idx="3">
                  <c:v>41.6</c:v>
                </c:pt>
                <c:pt idx="4">
                  <c:v>27.7</c:v>
                </c:pt>
                <c:pt idx="5">
                  <c:v>43.1</c:v>
                </c:pt>
                <c:pt idx="6" formatCode="&quot;*&quot;#,##0.0&quot;&quot;">
                  <c:v>16.8</c:v>
                </c:pt>
                <c:pt idx="7">
                  <c:v>48.9</c:v>
                </c:pt>
                <c:pt idx="8">
                  <c:v>36</c:v>
                </c:pt>
              </c:numCache>
            </c:numRef>
          </c:val>
        </c:ser>
        <c:ser>
          <c:idx val="3"/>
          <c:order val="3"/>
          <c:tx>
            <c:strRef>
              <c:f>'Season &lt; or &gt; 50 nM'!$F$4</c:f>
              <c:strCache>
                <c:ptCount val="1"/>
                <c:pt idx="0">
                  <c:v>Spring</c:v>
                </c:pt>
              </c:strCache>
            </c:strRef>
          </c:tx>
          <c:invertIfNegative val="0"/>
          <c:cat>
            <c:strRef>
              <c:f>'Season &lt; or &gt; 50 nM'!$B$5:$B$13</c:f>
              <c:strCache>
                <c:ptCount val="9"/>
                <c:pt idx="0">
                  <c:v>NSW</c:v>
                </c:pt>
                <c:pt idx="1">
                  <c:v>Vic.</c:v>
                </c:pt>
                <c:pt idx="2">
                  <c:v>Qld</c:v>
                </c:pt>
                <c:pt idx="3">
                  <c:v>SA</c:v>
                </c:pt>
                <c:pt idx="4">
                  <c:v>WA</c:v>
                </c:pt>
                <c:pt idx="5">
                  <c:v>Tas.</c:v>
                </c:pt>
                <c:pt idx="6">
                  <c:v>NT</c:v>
                </c:pt>
                <c:pt idx="7">
                  <c:v>ACT</c:v>
                </c:pt>
                <c:pt idx="8">
                  <c:v>Australia</c:v>
                </c:pt>
              </c:strCache>
            </c:strRef>
          </c:cat>
          <c:val>
            <c:numRef>
              <c:f>'Season &lt; or &gt; 50 nM'!$F$5:$F$13</c:f>
              <c:numCache>
                <c:formatCode>""#,##0.0""</c:formatCode>
                <c:ptCount val="9"/>
                <c:pt idx="0">
                  <c:v>35.700000000000003</c:v>
                </c:pt>
                <c:pt idx="1">
                  <c:v>37.299999999999997</c:v>
                </c:pt>
                <c:pt idx="2">
                  <c:v>13.4</c:v>
                </c:pt>
                <c:pt idx="3">
                  <c:v>34</c:v>
                </c:pt>
                <c:pt idx="4">
                  <c:v>19.600000000000001</c:v>
                </c:pt>
                <c:pt idx="5">
                  <c:v>34.4</c:v>
                </c:pt>
                <c:pt idx="6" formatCode="&quot;**&quot;#,##0.0&quot;&quot;">
                  <c:v>4.3</c:v>
                </c:pt>
                <c:pt idx="7">
                  <c:v>30.4</c:v>
                </c:pt>
                <c:pt idx="8">
                  <c:v>30.5</c:v>
                </c:pt>
              </c:numCache>
            </c:numRef>
          </c:val>
        </c:ser>
        <c:dLbls>
          <c:showLegendKey val="0"/>
          <c:showVal val="0"/>
          <c:showCatName val="0"/>
          <c:showSerName val="0"/>
          <c:showPercent val="0"/>
          <c:showBubbleSize val="0"/>
        </c:dLbls>
        <c:gapWidth val="150"/>
        <c:axId val="37774464"/>
        <c:axId val="37776000"/>
      </c:barChart>
      <c:catAx>
        <c:axId val="37774464"/>
        <c:scaling>
          <c:orientation val="minMax"/>
        </c:scaling>
        <c:delete val="0"/>
        <c:axPos val="b"/>
        <c:majorTickMark val="out"/>
        <c:minorTickMark val="none"/>
        <c:tickLblPos val="nextTo"/>
        <c:crossAx val="37776000"/>
        <c:crosses val="autoZero"/>
        <c:auto val="1"/>
        <c:lblAlgn val="ctr"/>
        <c:lblOffset val="100"/>
        <c:noMultiLvlLbl val="0"/>
      </c:catAx>
      <c:valAx>
        <c:axId val="37776000"/>
        <c:scaling>
          <c:orientation val="minMax"/>
          <c:max val="100"/>
        </c:scaling>
        <c:delete val="0"/>
        <c:axPos val="l"/>
        <c:majorGridlines/>
        <c:title>
          <c:tx>
            <c:rich>
              <a:bodyPr rot="-5400000" vert="horz"/>
              <a:lstStyle/>
              <a:p>
                <a:pPr>
                  <a:defRPr/>
                </a:pPr>
                <a:r>
                  <a:rPr lang="en-GB"/>
                  <a:t>Percentage</a:t>
                </a:r>
                <a:r>
                  <a:rPr lang="en-GB" baseline="0"/>
                  <a:t> of Popultation  </a:t>
                </a:r>
              </a:p>
            </c:rich>
          </c:tx>
          <c:overlay val="0"/>
        </c:title>
        <c:numFmt formatCode="&quot;&quot;#,##0.0&quot;&quot;" sourceLinked="1"/>
        <c:majorTickMark val="out"/>
        <c:minorTickMark val="none"/>
        <c:tickLblPos val="nextTo"/>
        <c:crossAx val="37774464"/>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36E9F-6AAD-4CBC-9582-7546C7C72584}"/>
</file>

<file path=customXml/itemProps2.xml><?xml version="1.0" encoding="utf-8"?>
<ds:datastoreItem xmlns:ds="http://schemas.openxmlformats.org/officeDocument/2006/customXml" ds:itemID="{C6AB0FCA-82EF-4AF0-A31E-1F349BADCD2C}"/>
</file>

<file path=customXml/itemProps3.xml><?xml version="1.0" encoding="utf-8"?>
<ds:datastoreItem xmlns:ds="http://schemas.openxmlformats.org/officeDocument/2006/customXml" ds:itemID="{4F1CC2CC-0F3B-4EDD-8545-E19AB8F1722A}"/>
</file>

<file path=customXml/itemProps4.xml><?xml version="1.0" encoding="utf-8"?>
<ds:datastoreItem xmlns:ds="http://schemas.openxmlformats.org/officeDocument/2006/customXml" ds:itemID="{6CC753A3-F153-4F4A-924E-37019206FD97}"/>
</file>

<file path=docProps/app.xml><?xml version="1.0" encoding="utf-8"?>
<Properties xmlns="http://schemas.openxmlformats.org/officeDocument/2006/extended-properties" xmlns:vt="http://schemas.openxmlformats.org/officeDocument/2006/docPropsVTypes">
  <Template>Normal</Template>
  <TotalTime>0</TotalTime>
  <Pages>1</Pages>
  <Words>22594</Words>
  <Characters>128791</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A1090-AppR-SD1</dc:title>
  <dc:creator/>
  <cp:lastModifiedBy/>
  <cp:revision>1</cp:revision>
  <dcterms:created xsi:type="dcterms:W3CDTF">2015-05-26T06:17:00Z</dcterms:created>
  <dcterms:modified xsi:type="dcterms:W3CDTF">2015-05-26T06:20:00Z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