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11C4A7A6" wp14:editId="40604EF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30921" w:rsidRDefault="00030921" w:rsidP="00030921">
      <w:pPr>
        <w:rPr>
          <w:b/>
          <w:sz w:val="28"/>
          <w:szCs w:val="28"/>
        </w:rPr>
      </w:pPr>
      <w:r>
        <w:rPr>
          <w:b/>
          <w:sz w:val="28"/>
          <w:szCs w:val="28"/>
        </w:rPr>
        <w:t>3 June 2014</w:t>
      </w:r>
    </w:p>
    <w:p w:rsidR="00030921" w:rsidRDefault="00030921" w:rsidP="00030921">
      <w:pPr>
        <w:rPr>
          <w:b/>
          <w:sz w:val="28"/>
          <w:szCs w:val="28"/>
        </w:rPr>
      </w:pPr>
      <w:r>
        <w:rPr>
          <w:b/>
          <w:sz w:val="28"/>
          <w:szCs w:val="28"/>
        </w:rPr>
        <w:t>[10–14]</w:t>
      </w:r>
    </w:p>
    <w:p w:rsidR="00BA24E2" w:rsidRDefault="00BA24E2" w:rsidP="00E203C2"/>
    <w:p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145671">
        <w:rPr>
          <w:b/>
        </w:rPr>
        <w:t>A</w:t>
      </w:r>
      <w:r w:rsidR="00A91DF1" w:rsidRPr="00145671">
        <w:rPr>
          <w:b/>
        </w:rPr>
        <w:t>pplication</w:t>
      </w:r>
      <w:r w:rsidR="00D056F1" w:rsidRPr="00145671">
        <w:rPr>
          <w:b/>
        </w:rPr>
        <w:t xml:space="preserve"> A</w:t>
      </w:r>
      <w:r w:rsidR="00145671" w:rsidRPr="00145671">
        <w:rPr>
          <w:b/>
        </w:rPr>
        <w:t>1091</w:t>
      </w:r>
    </w:p>
    <w:p w:rsidR="00E203C2" w:rsidRPr="00E203C2" w:rsidRDefault="00E203C2" w:rsidP="00E203C2"/>
    <w:p w:rsidR="00D056F1" w:rsidRPr="00145671" w:rsidRDefault="00145671" w:rsidP="002432EE">
      <w:pPr>
        <w:pStyle w:val="FSTitle"/>
      </w:pPr>
      <w:r w:rsidRPr="00145671">
        <w:t>Enzyme Nomenclature Change – Carboxyl Proteinase to Aspergillopepsin I &amp; II</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413CA8" w:rsidRDefault="00E063C6" w:rsidP="00E203C2">
      <w:pPr>
        <w:rPr>
          <w:color w:val="FF0000"/>
          <w:sz w:val="20"/>
          <w:szCs w:val="20"/>
        </w:rPr>
      </w:pPr>
      <w:r w:rsidRPr="00283D82">
        <w:rPr>
          <w:sz w:val="20"/>
          <w:szCs w:val="20"/>
        </w:rPr>
        <w:t xml:space="preserve">FSANZ </w:t>
      </w:r>
      <w:r w:rsidR="00D81D38" w:rsidRPr="00283D82">
        <w:rPr>
          <w:sz w:val="20"/>
          <w:szCs w:val="20"/>
        </w:rPr>
        <w:t>has assessed an A</w:t>
      </w:r>
      <w:r w:rsidR="00351B07" w:rsidRPr="00283D82">
        <w:rPr>
          <w:sz w:val="20"/>
          <w:szCs w:val="20"/>
        </w:rPr>
        <w:t xml:space="preserve">pplication made by </w:t>
      </w:r>
      <w:r w:rsidR="00283D82" w:rsidRPr="00283D82">
        <w:rPr>
          <w:sz w:val="20"/>
          <w:szCs w:val="20"/>
        </w:rPr>
        <w:t>the Australian Wine Research Institute</w:t>
      </w:r>
      <w:r w:rsidR="00351B07" w:rsidRPr="00283D82">
        <w:rPr>
          <w:sz w:val="20"/>
          <w:szCs w:val="20"/>
        </w:rPr>
        <w:t xml:space="preserve"> </w:t>
      </w:r>
      <w:r w:rsidR="007C174F" w:rsidRPr="00283D82">
        <w:rPr>
          <w:sz w:val="20"/>
          <w:szCs w:val="20"/>
        </w:rPr>
        <w:t>to</w:t>
      </w:r>
      <w:r w:rsidR="00351B07" w:rsidRPr="00283D82">
        <w:rPr>
          <w:sz w:val="20"/>
          <w:szCs w:val="20"/>
        </w:rPr>
        <w:t xml:space="preserve"> </w:t>
      </w:r>
      <w:r w:rsidR="00283D82" w:rsidRPr="00283D82">
        <w:rPr>
          <w:sz w:val="20"/>
          <w:szCs w:val="20"/>
        </w:rPr>
        <w:t>amend the processing aid Standard to update the current entry for the enzyme carboxyl proteinase,</w:t>
      </w:r>
      <w:r w:rsidR="00413CA8" w:rsidRPr="00283D82">
        <w:rPr>
          <w:sz w:val="20"/>
          <w:szCs w:val="20"/>
        </w:rPr>
        <w:t xml:space="preserve"> and has prepared a draft </w:t>
      </w:r>
      <w:r w:rsidR="00D8470F" w:rsidRPr="00283D82">
        <w:rPr>
          <w:sz w:val="20"/>
          <w:szCs w:val="20"/>
        </w:rPr>
        <w:t>food regulatory measure</w:t>
      </w:r>
      <w:r w:rsidR="00351B07" w:rsidRPr="00283D82">
        <w:rPr>
          <w:sz w:val="20"/>
          <w:szCs w:val="20"/>
        </w:rPr>
        <w:t xml:space="preserve">. </w:t>
      </w:r>
      <w:r w:rsidR="00D22F3C" w:rsidRPr="00283D82">
        <w:rPr>
          <w:sz w:val="20"/>
          <w:szCs w:val="20"/>
        </w:rPr>
        <w:t xml:space="preserve">Pursuant to section 31 of the </w:t>
      </w:r>
      <w:r w:rsidR="00D22F3C" w:rsidRPr="00283D82">
        <w:rPr>
          <w:i/>
          <w:sz w:val="20"/>
          <w:szCs w:val="20"/>
        </w:rPr>
        <w:t>Food Standard</w:t>
      </w:r>
      <w:r w:rsidR="00E203C2" w:rsidRPr="00283D82">
        <w:rPr>
          <w:i/>
          <w:sz w:val="20"/>
          <w:szCs w:val="20"/>
        </w:rPr>
        <w:t>s Australia New Zealand Act 1991</w:t>
      </w:r>
      <w:r w:rsidR="00D22F3C" w:rsidRPr="00283D82">
        <w:rPr>
          <w:i/>
          <w:sz w:val="20"/>
          <w:szCs w:val="20"/>
        </w:rPr>
        <w:t xml:space="preserve"> </w:t>
      </w:r>
      <w:r w:rsidR="00E203C2" w:rsidRPr="00283D82">
        <w:rPr>
          <w:sz w:val="20"/>
          <w:szCs w:val="20"/>
        </w:rPr>
        <w:t>(</w:t>
      </w:r>
      <w:r w:rsidR="00D22F3C" w:rsidRPr="00283D82">
        <w:rPr>
          <w:sz w:val="20"/>
          <w:szCs w:val="20"/>
        </w:rPr>
        <w:t>FSANZ Act), FSANZ now c</w:t>
      </w:r>
      <w:r w:rsidR="00E203C2" w:rsidRPr="00283D82">
        <w:rPr>
          <w:sz w:val="20"/>
          <w:szCs w:val="20"/>
        </w:rPr>
        <w:t xml:space="preserve">alls for submissions to assist consideration of the </w:t>
      </w:r>
      <w:r w:rsidR="00413CA8" w:rsidRPr="00283D82">
        <w:rPr>
          <w:sz w:val="20"/>
          <w:szCs w:val="20"/>
        </w:rPr>
        <w:t xml:space="preserve">draft </w:t>
      </w:r>
      <w:r w:rsidR="00D8470F" w:rsidRPr="00283D82">
        <w:rPr>
          <w:sz w:val="20"/>
          <w:szCs w:val="20"/>
        </w:rPr>
        <w:t>food regulatory measure</w:t>
      </w:r>
      <w:r w:rsidR="00D22F3C" w:rsidRPr="00413CA8">
        <w:rPr>
          <w:color w:val="FF0000"/>
          <w:sz w:val="20"/>
          <w:szCs w:val="20"/>
        </w:rPr>
        <w:t>.</w:t>
      </w:r>
    </w:p>
    <w:p w:rsidR="00413CA8" w:rsidRPr="007C174F" w:rsidRDefault="00413CA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w:t>
      </w:r>
      <w:r w:rsidR="00F7765A">
        <w:rPr>
          <w:color w:val="000000"/>
          <w:sz w:val="20"/>
          <w:szCs w:val="20"/>
          <w:lang w:val="en-AU"/>
        </w:rPr>
        <w:t>them</w:t>
      </w:r>
      <w:r w:rsidRPr="007C174F">
        <w:rPr>
          <w:color w:val="000000"/>
          <w:sz w:val="20"/>
          <w:szCs w:val="20"/>
          <w:lang w:val="en-AU"/>
        </w:rPr>
        <w:t xml:space="preserve"> electronically through the FSANZ website </w:t>
      </w:r>
      <w:r w:rsidR="00F7765A">
        <w:rPr>
          <w:color w:val="000000"/>
          <w:sz w:val="20"/>
          <w:szCs w:val="20"/>
          <w:lang w:val="en-AU"/>
        </w:rPr>
        <w:t>at</w:t>
      </w:r>
      <w:r w:rsidR="0037520F">
        <w:rPr>
          <w:color w:val="000000"/>
          <w:sz w:val="20"/>
          <w:szCs w:val="20"/>
          <w:lang w:val="en-AU"/>
        </w:rPr>
        <w:t xml:space="preserve"> </w:t>
      </w:r>
      <w:hyperlink r:id="rId12" w:history="1">
        <w:r w:rsidR="00AE4E6E">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063C6" w:rsidRPr="00030921" w:rsidRDefault="00E063C6" w:rsidP="00F7765A">
      <w:pPr>
        <w:tabs>
          <w:tab w:val="left" w:pos="7920"/>
        </w:tabs>
        <w:autoSpaceDE w:val="0"/>
        <w:autoSpaceDN w:val="0"/>
        <w:adjustRightInd w:val="0"/>
        <w:spacing w:before="120" w:after="12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030921">
        <w:rPr>
          <w:rFonts w:cs="Arial"/>
          <w:b/>
          <w:bCs/>
          <w:sz w:val="24"/>
        </w:rPr>
        <w:t xml:space="preserve"> </w:t>
      </w:r>
      <w:r w:rsidR="00030921" w:rsidRPr="00030921">
        <w:rPr>
          <w:rFonts w:cs="Arial"/>
          <w:b/>
          <w:bCs/>
          <w:sz w:val="24"/>
        </w:rPr>
        <w:t>15 July 2014</w:t>
      </w: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063C6" w:rsidP="00F7765A">
      <w:pPr>
        <w:tabs>
          <w:tab w:val="left" w:pos="4536"/>
        </w:tabs>
        <w:spacing w:before="120"/>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274D3E"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84895019" w:history="1">
        <w:r w:rsidR="00274D3E" w:rsidRPr="001C34FE">
          <w:rPr>
            <w:rStyle w:val="Hyperlink"/>
            <w:noProof/>
          </w:rPr>
          <w:t>Executive summary</w:t>
        </w:r>
        <w:r w:rsidR="00274D3E">
          <w:rPr>
            <w:noProof/>
            <w:webHidden/>
          </w:rPr>
          <w:tab/>
        </w:r>
        <w:r w:rsidR="00274D3E">
          <w:rPr>
            <w:noProof/>
            <w:webHidden/>
          </w:rPr>
          <w:fldChar w:fldCharType="begin"/>
        </w:r>
        <w:r w:rsidR="00274D3E">
          <w:rPr>
            <w:noProof/>
            <w:webHidden/>
          </w:rPr>
          <w:instrText xml:space="preserve"> PAGEREF _Toc384895019 \h </w:instrText>
        </w:r>
        <w:r w:rsidR="00274D3E">
          <w:rPr>
            <w:noProof/>
            <w:webHidden/>
          </w:rPr>
        </w:r>
        <w:r w:rsidR="00274D3E">
          <w:rPr>
            <w:noProof/>
            <w:webHidden/>
          </w:rPr>
          <w:fldChar w:fldCharType="separate"/>
        </w:r>
        <w:r w:rsidR="0041513D">
          <w:rPr>
            <w:noProof/>
            <w:webHidden/>
          </w:rPr>
          <w:t>2</w:t>
        </w:r>
        <w:r w:rsidR="00274D3E">
          <w:rPr>
            <w:noProof/>
            <w:webHidden/>
          </w:rPr>
          <w:fldChar w:fldCharType="end"/>
        </w:r>
      </w:hyperlink>
    </w:p>
    <w:p w:rsidR="00274D3E" w:rsidRDefault="004151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4895020" w:history="1">
        <w:r w:rsidR="00274D3E" w:rsidRPr="001C34FE">
          <w:rPr>
            <w:rStyle w:val="Hyperlink"/>
            <w:noProof/>
          </w:rPr>
          <w:t>1</w:t>
        </w:r>
        <w:r w:rsidR="00274D3E">
          <w:rPr>
            <w:rFonts w:eastAsiaTheme="minorEastAsia" w:cstheme="minorBidi"/>
            <w:b w:val="0"/>
            <w:bCs w:val="0"/>
            <w:caps w:val="0"/>
            <w:noProof/>
            <w:sz w:val="22"/>
            <w:szCs w:val="22"/>
            <w:lang w:eastAsia="en-GB" w:bidi="ar-SA"/>
          </w:rPr>
          <w:tab/>
        </w:r>
        <w:r w:rsidR="00274D3E" w:rsidRPr="001C34FE">
          <w:rPr>
            <w:rStyle w:val="Hyperlink"/>
            <w:noProof/>
          </w:rPr>
          <w:t>Introduction</w:t>
        </w:r>
        <w:r w:rsidR="00274D3E">
          <w:rPr>
            <w:noProof/>
            <w:webHidden/>
          </w:rPr>
          <w:tab/>
        </w:r>
        <w:r w:rsidR="00274D3E">
          <w:rPr>
            <w:noProof/>
            <w:webHidden/>
          </w:rPr>
          <w:fldChar w:fldCharType="begin"/>
        </w:r>
        <w:r w:rsidR="00274D3E">
          <w:rPr>
            <w:noProof/>
            <w:webHidden/>
          </w:rPr>
          <w:instrText xml:space="preserve"> PAGEREF _Toc384895020 \h </w:instrText>
        </w:r>
        <w:r w:rsidR="00274D3E">
          <w:rPr>
            <w:noProof/>
            <w:webHidden/>
          </w:rPr>
        </w:r>
        <w:r w:rsidR="00274D3E">
          <w:rPr>
            <w:noProof/>
            <w:webHidden/>
          </w:rPr>
          <w:fldChar w:fldCharType="separate"/>
        </w:r>
        <w:r>
          <w:rPr>
            <w:noProof/>
            <w:webHidden/>
          </w:rPr>
          <w:t>3</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1" w:history="1">
        <w:r w:rsidR="00274D3E" w:rsidRPr="001C34FE">
          <w:rPr>
            <w:rStyle w:val="Hyperlink"/>
            <w:noProof/>
          </w:rPr>
          <w:t>1.1</w:t>
        </w:r>
        <w:r w:rsidR="00274D3E">
          <w:rPr>
            <w:rFonts w:eastAsiaTheme="minorEastAsia" w:cstheme="minorBidi"/>
            <w:smallCaps w:val="0"/>
            <w:noProof/>
            <w:sz w:val="22"/>
            <w:szCs w:val="22"/>
            <w:lang w:eastAsia="en-GB" w:bidi="ar-SA"/>
          </w:rPr>
          <w:tab/>
        </w:r>
        <w:r w:rsidR="00274D3E" w:rsidRPr="001C34FE">
          <w:rPr>
            <w:rStyle w:val="Hyperlink"/>
            <w:noProof/>
          </w:rPr>
          <w:t>The Applicant</w:t>
        </w:r>
        <w:r w:rsidR="00274D3E">
          <w:rPr>
            <w:noProof/>
            <w:webHidden/>
          </w:rPr>
          <w:tab/>
        </w:r>
        <w:r w:rsidR="00274D3E">
          <w:rPr>
            <w:noProof/>
            <w:webHidden/>
          </w:rPr>
          <w:fldChar w:fldCharType="begin"/>
        </w:r>
        <w:r w:rsidR="00274D3E">
          <w:rPr>
            <w:noProof/>
            <w:webHidden/>
          </w:rPr>
          <w:instrText xml:space="preserve"> PAGEREF _Toc384895021 \h </w:instrText>
        </w:r>
        <w:r w:rsidR="00274D3E">
          <w:rPr>
            <w:noProof/>
            <w:webHidden/>
          </w:rPr>
        </w:r>
        <w:r w:rsidR="00274D3E">
          <w:rPr>
            <w:noProof/>
            <w:webHidden/>
          </w:rPr>
          <w:fldChar w:fldCharType="separate"/>
        </w:r>
        <w:r>
          <w:rPr>
            <w:noProof/>
            <w:webHidden/>
          </w:rPr>
          <w:t>3</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2" w:history="1">
        <w:r w:rsidR="00274D3E" w:rsidRPr="001C34FE">
          <w:rPr>
            <w:rStyle w:val="Hyperlink"/>
            <w:noProof/>
          </w:rPr>
          <w:t>1.2</w:t>
        </w:r>
        <w:r w:rsidR="00274D3E">
          <w:rPr>
            <w:rFonts w:eastAsiaTheme="minorEastAsia" w:cstheme="minorBidi"/>
            <w:smallCaps w:val="0"/>
            <w:noProof/>
            <w:sz w:val="22"/>
            <w:szCs w:val="22"/>
            <w:lang w:eastAsia="en-GB" w:bidi="ar-SA"/>
          </w:rPr>
          <w:tab/>
        </w:r>
        <w:r w:rsidR="00274D3E" w:rsidRPr="001C34FE">
          <w:rPr>
            <w:rStyle w:val="Hyperlink"/>
            <w:noProof/>
          </w:rPr>
          <w:t>The Application</w:t>
        </w:r>
        <w:r w:rsidR="00274D3E">
          <w:rPr>
            <w:noProof/>
            <w:webHidden/>
          </w:rPr>
          <w:tab/>
        </w:r>
        <w:r w:rsidR="00274D3E">
          <w:rPr>
            <w:noProof/>
            <w:webHidden/>
          </w:rPr>
          <w:fldChar w:fldCharType="begin"/>
        </w:r>
        <w:r w:rsidR="00274D3E">
          <w:rPr>
            <w:noProof/>
            <w:webHidden/>
          </w:rPr>
          <w:instrText xml:space="preserve"> PAGEREF _Toc384895022 \h </w:instrText>
        </w:r>
        <w:r w:rsidR="00274D3E">
          <w:rPr>
            <w:noProof/>
            <w:webHidden/>
          </w:rPr>
        </w:r>
        <w:r w:rsidR="00274D3E">
          <w:rPr>
            <w:noProof/>
            <w:webHidden/>
          </w:rPr>
          <w:fldChar w:fldCharType="separate"/>
        </w:r>
        <w:r>
          <w:rPr>
            <w:noProof/>
            <w:webHidden/>
          </w:rPr>
          <w:t>3</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3" w:history="1">
        <w:r w:rsidR="00274D3E" w:rsidRPr="001C34FE">
          <w:rPr>
            <w:rStyle w:val="Hyperlink"/>
            <w:noProof/>
          </w:rPr>
          <w:t>1.3</w:t>
        </w:r>
        <w:r w:rsidR="00274D3E">
          <w:rPr>
            <w:rFonts w:eastAsiaTheme="minorEastAsia" w:cstheme="minorBidi"/>
            <w:smallCaps w:val="0"/>
            <w:noProof/>
            <w:sz w:val="22"/>
            <w:szCs w:val="22"/>
            <w:lang w:eastAsia="en-GB" w:bidi="ar-SA"/>
          </w:rPr>
          <w:tab/>
        </w:r>
        <w:r w:rsidR="00274D3E" w:rsidRPr="001C34FE">
          <w:rPr>
            <w:rStyle w:val="Hyperlink"/>
            <w:noProof/>
          </w:rPr>
          <w:t>The current Standard and details of proposed changes</w:t>
        </w:r>
        <w:r w:rsidR="00274D3E">
          <w:rPr>
            <w:noProof/>
            <w:webHidden/>
          </w:rPr>
          <w:tab/>
        </w:r>
        <w:r w:rsidR="00274D3E">
          <w:rPr>
            <w:noProof/>
            <w:webHidden/>
          </w:rPr>
          <w:fldChar w:fldCharType="begin"/>
        </w:r>
        <w:r w:rsidR="00274D3E">
          <w:rPr>
            <w:noProof/>
            <w:webHidden/>
          </w:rPr>
          <w:instrText xml:space="preserve"> PAGEREF _Toc384895023 \h </w:instrText>
        </w:r>
        <w:r w:rsidR="00274D3E">
          <w:rPr>
            <w:noProof/>
            <w:webHidden/>
          </w:rPr>
        </w:r>
        <w:r w:rsidR="00274D3E">
          <w:rPr>
            <w:noProof/>
            <w:webHidden/>
          </w:rPr>
          <w:fldChar w:fldCharType="separate"/>
        </w:r>
        <w:r>
          <w:rPr>
            <w:noProof/>
            <w:webHidden/>
          </w:rPr>
          <w:t>3</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4" w:history="1">
        <w:r w:rsidR="00274D3E" w:rsidRPr="001C34FE">
          <w:rPr>
            <w:rStyle w:val="Hyperlink"/>
            <w:noProof/>
            <w:u w:color="FFFF00"/>
          </w:rPr>
          <w:t>1.4</w:t>
        </w:r>
        <w:r w:rsidR="00274D3E">
          <w:rPr>
            <w:rFonts w:eastAsiaTheme="minorEastAsia" w:cstheme="minorBidi"/>
            <w:smallCaps w:val="0"/>
            <w:noProof/>
            <w:sz w:val="22"/>
            <w:szCs w:val="22"/>
            <w:lang w:eastAsia="en-GB" w:bidi="ar-SA"/>
          </w:rPr>
          <w:tab/>
        </w:r>
        <w:r w:rsidR="00274D3E" w:rsidRPr="001C34FE">
          <w:rPr>
            <w:rStyle w:val="Hyperlink"/>
            <w:noProof/>
            <w:u w:color="FFFF00"/>
          </w:rPr>
          <w:t>Reasons for accepting Application</w:t>
        </w:r>
        <w:r w:rsidR="00274D3E">
          <w:rPr>
            <w:noProof/>
            <w:webHidden/>
          </w:rPr>
          <w:tab/>
        </w:r>
        <w:r w:rsidR="00274D3E">
          <w:rPr>
            <w:noProof/>
            <w:webHidden/>
          </w:rPr>
          <w:fldChar w:fldCharType="begin"/>
        </w:r>
        <w:r w:rsidR="00274D3E">
          <w:rPr>
            <w:noProof/>
            <w:webHidden/>
          </w:rPr>
          <w:instrText xml:space="preserve"> PAGEREF _Toc384895024 \h </w:instrText>
        </w:r>
        <w:r w:rsidR="00274D3E">
          <w:rPr>
            <w:noProof/>
            <w:webHidden/>
          </w:rPr>
        </w:r>
        <w:r w:rsidR="00274D3E">
          <w:rPr>
            <w:noProof/>
            <w:webHidden/>
          </w:rPr>
          <w:fldChar w:fldCharType="separate"/>
        </w:r>
        <w:r>
          <w:rPr>
            <w:noProof/>
            <w:webHidden/>
          </w:rPr>
          <w:t>4</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5" w:history="1">
        <w:r w:rsidR="00274D3E" w:rsidRPr="001C34FE">
          <w:rPr>
            <w:rStyle w:val="Hyperlink"/>
            <w:noProof/>
          </w:rPr>
          <w:t>1.5</w:t>
        </w:r>
        <w:r w:rsidR="00274D3E">
          <w:rPr>
            <w:rFonts w:eastAsiaTheme="minorEastAsia" w:cstheme="minorBidi"/>
            <w:smallCaps w:val="0"/>
            <w:noProof/>
            <w:sz w:val="22"/>
            <w:szCs w:val="22"/>
            <w:lang w:eastAsia="en-GB" w:bidi="ar-SA"/>
          </w:rPr>
          <w:tab/>
        </w:r>
        <w:r w:rsidR="00274D3E" w:rsidRPr="001C34FE">
          <w:rPr>
            <w:rStyle w:val="Hyperlink"/>
            <w:noProof/>
          </w:rPr>
          <w:t>Procedure for assessment</w:t>
        </w:r>
        <w:r w:rsidR="00274D3E">
          <w:rPr>
            <w:noProof/>
            <w:webHidden/>
          </w:rPr>
          <w:tab/>
        </w:r>
        <w:r w:rsidR="00274D3E">
          <w:rPr>
            <w:noProof/>
            <w:webHidden/>
          </w:rPr>
          <w:fldChar w:fldCharType="begin"/>
        </w:r>
        <w:r w:rsidR="00274D3E">
          <w:rPr>
            <w:noProof/>
            <w:webHidden/>
          </w:rPr>
          <w:instrText xml:space="preserve"> PAGEREF _Toc384895025 \h </w:instrText>
        </w:r>
        <w:r w:rsidR="00274D3E">
          <w:rPr>
            <w:noProof/>
            <w:webHidden/>
          </w:rPr>
        </w:r>
        <w:r w:rsidR="00274D3E">
          <w:rPr>
            <w:noProof/>
            <w:webHidden/>
          </w:rPr>
          <w:fldChar w:fldCharType="separate"/>
        </w:r>
        <w:r>
          <w:rPr>
            <w:noProof/>
            <w:webHidden/>
          </w:rPr>
          <w:t>4</w:t>
        </w:r>
        <w:r w:rsidR="00274D3E">
          <w:rPr>
            <w:noProof/>
            <w:webHidden/>
          </w:rPr>
          <w:fldChar w:fldCharType="end"/>
        </w:r>
      </w:hyperlink>
    </w:p>
    <w:p w:rsidR="00274D3E" w:rsidRDefault="004151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4895026" w:history="1">
        <w:r w:rsidR="00274D3E" w:rsidRPr="001C34FE">
          <w:rPr>
            <w:rStyle w:val="Hyperlink"/>
            <w:noProof/>
          </w:rPr>
          <w:t>2</w:t>
        </w:r>
        <w:r w:rsidR="00274D3E">
          <w:rPr>
            <w:rFonts w:eastAsiaTheme="minorEastAsia" w:cstheme="minorBidi"/>
            <w:b w:val="0"/>
            <w:bCs w:val="0"/>
            <w:caps w:val="0"/>
            <w:noProof/>
            <w:sz w:val="22"/>
            <w:szCs w:val="22"/>
            <w:lang w:eastAsia="en-GB" w:bidi="ar-SA"/>
          </w:rPr>
          <w:tab/>
        </w:r>
        <w:r w:rsidR="00274D3E" w:rsidRPr="001C34FE">
          <w:rPr>
            <w:rStyle w:val="Hyperlink"/>
            <w:noProof/>
          </w:rPr>
          <w:t>Summary of the assessment</w:t>
        </w:r>
        <w:r w:rsidR="00274D3E">
          <w:rPr>
            <w:noProof/>
            <w:webHidden/>
          </w:rPr>
          <w:tab/>
        </w:r>
        <w:r w:rsidR="00274D3E">
          <w:rPr>
            <w:noProof/>
            <w:webHidden/>
          </w:rPr>
          <w:fldChar w:fldCharType="begin"/>
        </w:r>
        <w:r w:rsidR="00274D3E">
          <w:rPr>
            <w:noProof/>
            <w:webHidden/>
          </w:rPr>
          <w:instrText xml:space="preserve"> PAGEREF _Toc384895026 \h </w:instrText>
        </w:r>
        <w:r w:rsidR="00274D3E">
          <w:rPr>
            <w:noProof/>
            <w:webHidden/>
          </w:rPr>
        </w:r>
        <w:r w:rsidR="00274D3E">
          <w:rPr>
            <w:noProof/>
            <w:webHidden/>
          </w:rPr>
          <w:fldChar w:fldCharType="separate"/>
        </w:r>
        <w:r>
          <w:rPr>
            <w:noProof/>
            <w:webHidden/>
          </w:rPr>
          <w:t>4</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27" w:history="1">
        <w:r w:rsidR="00274D3E" w:rsidRPr="001C34FE">
          <w:rPr>
            <w:rStyle w:val="Hyperlink"/>
            <w:noProof/>
          </w:rPr>
          <w:t>2.1</w:t>
        </w:r>
        <w:r w:rsidR="00274D3E">
          <w:rPr>
            <w:rFonts w:eastAsiaTheme="minorEastAsia" w:cstheme="minorBidi"/>
            <w:smallCaps w:val="0"/>
            <w:noProof/>
            <w:sz w:val="22"/>
            <w:szCs w:val="22"/>
            <w:lang w:eastAsia="en-GB" w:bidi="ar-SA"/>
          </w:rPr>
          <w:tab/>
        </w:r>
        <w:r w:rsidR="00274D3E" w:rsidRPr="001C34FE">
          <w:rPr>
            <w:rStyle w:val="Hyperlink"/>
            <w:noProof/>
          </w:rPr>
          <w:t>Risk assessment</w:t>
        </w:r>
        <w:r w:rsidR="00274D3E">
          <w:rPr>
            <w:noProof/>
            <w:webHidden/>
          </w:rPr>
          <w:tab/>
        </w:r>
        <w:r w:rsidR="00274D3E">
          <w:rPr>
            <w:noProof/>
            <w:webHidden/>
          </w:rPr>
          <w:fldChar w:fldCharType="begin"/>
        </w:r>
        <w:r w:rsidR="00274D3E">
          <w:rPr>
            <w:noProof/>
            <w:webHidden/>
          </w:rPr>
          <w:instrText xml:space="preserve"> PAGEREF _Toc384895027 \h </w:instrText>
        </w:r>
        <w:r w:rsidR="00274D3E">
          <w:rPr>
            <w:noProof/>
            <w:webHidden/>
          </w:rPr>
        </w:r>
        <w:r w:rsidR="00274D3E">
          <w:rPr>
            <w:noProof/>
            <w:webHidden/>
          </w:rPr>
          <w:fldChar w:fldCharType="separate"/>
        </w:r>
        <w:r>
          <w:rPr>
            <w:noProof/>
            <w:webHidden/>
          </w:rPr>
          <w:t>4</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28" w:history="1">
        <w:r w:rsidR="00274D3E" w:rsidRPr="001C34FE">
          <w:rPr>
            <w:rStyle w:val="Hyperlink"/>
            <w:noProof/>
          </w:rPr>
          <w:t>2.1.1</w:t>
        </w:r>
        <w:r w:rsidR="00274D3E">
          <w:rPr>
            <w:rFonts w:eastAsiaTheme="minorEastAsia" w:cstheme="minorBidi"/>
            <w:i w:val="0"/>
            <w:iCs w:val="0"/>
            <w:noProof/>
            <w:sz w:val="22"/>
            <w:szCs w:val="22"/>
            <w:lang w:eastAsia="en-GB" w:bidi="ar-SA"/>
          </w:rPr>
          <w:tab/>
        </w:r>
        <w:r w:rsidR="00274D3E" w:rsidRPr="001C34FE">
          <w:rPr>
            <w:rStyle w:val="Hyperlink"/>
            <w:noProof/>
          </w:rPr>
          <w:t>Rationale for the nomenclature change</w:t>
        </w:r>
        <w:r w:rsidR="00274D3E">
          <w:rPr>
            <w:noProof/>
            <w:webHidden/>
          </w:rPr>
          <w:tab/>
        </w:r>
        <w:r w:rsidR="00274D3E">
          <w:rPr>
            <w:noProof/>
            <w:webHidden/>
          </w:rPr>
          <w:fldChar w:fldCharType="begin"/>
        </w:r>
        <w:r w:rsidR="00274D3E">
          <w:rPr>
            <w:noProof/>
            <w:webHidden/>
          </w:rPr>
          <w:instrText xml:space="preserve"> PAGEREF _Toc384895028 \h </w:instrText>
        </w:r>
        <w:r w:rsidR="00274D3E">
          <w:rPr>
            <w:noProof/>
            <w:webHidden/>
          </w:rPr>
        </w:r>
        <w:r w:rsidR="00274D3E">
          <w:rPr>
            <w:noProof/>
            <w:webHidden/>
          </w:rPr>
          <w:fldChar w:fldCharType="separate"/>
        </w:r>
        <w:r>
          <w:rPr>
            <w:noProof/>
            <w:webHidden/>
          </w:rPr>
          <w:t>5</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29" w:history="1">
        <w:r w:rsidR="00274D3E" w:rsidRPr="001C34FE">
          <w:rPr>
            <w:rStyle w:val="Hyperlink"/>
            <w:noProof/>
          </w:rPr>
          <w:t>2.1.2</w:t>
        </w:r>
        <w:r w:rsidR="00274D3E">
          <w:rPr>
            <w:rFonts w:eastAsiaTheme="minorEastAsia" w:cstheme="minorBidi"/>
            <w:i w:val="0"/>
            <w:iCs w:val="0"/>
            <w:noProof/>
            <w:sz w:val="22"/>
            <w:szCs w:val="22"/>
            <w:lang w:eastAsia="en-GB" w:bidi="ar-SA"/>
          </w:rPr>
          <w:tab/>
        </w:r>
        <w:r w:rsidR="00274D3E" w:rsidRPr="001C34FE">
          <w:rPr>
            <w:rStyle w:val="Hyperlink"/>
            <w:noProof/>
          </w:rPr>
          <w:t>Scope of the carboxyl proteinase category</w:t>
        </w:r>
        <w:r w:rsidR="00274D3E">
          <w:rPr>
            <w:noProof/>
            <w:webHidden/>
          </w:rPr>
          <w:tab/>
        </w:r>
        <w:r w:rsidR="00274D3E">
          <w:rPr>
            <w:noProof/>
            <w:webHidden/>
          </w:rPr>
          <w:fldChar w:fldCharType="begin"/>
        </w:r>
        <w:r w:rsidR="00274D3E">
          <w:rPr>
            <w:noProof/>
            <w:webHidden/>
          </w:rPr>
          <w:instrText xml:space="preserve"> PAGEREF _Toc384895029 \h </w:instrText>
        </w:r>
        <w:r w:rsidR="00274D3E">
          <w:rPr>
            <w:noProof/>
            <w:webHidden/>
          </w:rPr>
        </w:r>
        <w:r w:rsidR="00274D3E">
          <w:rPr>
            <w:noProof/>
            <w:webHidden/>
          </w:rPr>
          <w:fldChar w:fldCharType="separate"/>
        </w:r>
        <w:r>
          <w:rPr>
            <w:noProof/>
            <w:webHidden/>
          </w:rPr>
          <w:t>5</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30" w:history="1">
        <w:r w:rsidR="00274D3E" w:rsidRPr="001C34FE">
          <w:rPr>
            <w:rStyle w:val="Hyperlink"/>
            <w:noProof/>
          </w:rPr>
          <w:t>2.2</w:t>
        </w:r>
        <w:r w:rsidR="00274D3E">
          <w:rPr>
            <w:rFonts w:eastAsiaTheme="minorEastAsia" w:cstheme="minorBidi"/>
            <w:smallCaps w:val="0"/>
            <w:noProof/>
            <w:sz w:val="22"/>
            <w:szCs w:val="22"/>
            <w:lang w:eastAsia="en-GB" w:bidi="ar-SA"/>
          </w:rPr>
          <w:tab/>
        </w:r>
        <w:r w:rsidR="00274D3E" w:rsidRPr="001C34FE">
          <w:rPr>
            <w:rStyle w:val="Hyperlink"/>
            <w:noProof/>
          </w:rPr>
          <w:t>Risk management</w:t>
        </w:r>
        <w:r w:rsidR="00274D3E">
          <w:rPr>
            <w:noProof/>
            <w:webHidden/>
          </w:rPr>
          <w:tab/>
        </w:r>
        <w:r w:rsidR="00274D3E">
          <w:rPr>
            <w:noProof/>
            <w:webHidden/>
          </w:rPr>
          <w:fldChar w:fldCharType="begin"/>
        </w:r>
        <w:r w:rsidR="00274D3E">
          <w:rPr>
            <w:noProof/>
            <w:webHidden/>
          </w:rPr>
          <w:instrText xml:space="preserve"> PAGEREF _Toc384895030 \h </w:instrText>
        </w:r>
        <w:r w:rsidR="00274D3E">
          <w:rPr>
            <w:noProof/>
            <w:webHidden/>
          </w:rPr>
        </w:r>
        <w:r w:rsidR="00274D3E">
          <w:rPr>
            <w:noProof/>
            <w:webHidden/>
          </w:rPr>
          <w:fldChar w:fldCharType="separate"/>
        </w:r>
        <w:r>
          <w:rPr>
            <w:noProof/>
            <w:webHidden/>
          </w:rPr>
          <w:t>6</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31" w:history="1">
        <w:r w:rsidR="00274D3E" w:rsidRPr="001C34FE">
          <w:rPr>
            <w:rStyle w:val="Hyperlink"/>
            <w:noProof/>
          </w:rPr>
          <w:t>2.3</w:t>
        </w:r>
        <w:r w:rsidR="00274D3E">
          <w:rPr>
            <w:rFonts w:eastAsiaTheme="minorEastAsia" w:cstheme="minorBidi"/>
            <w:smallCaps w:val="0"/>
            <w:noProof/>
            <w:sz w:val="22"/>
            <w:szCs w:val="22"/>
            <w:lang w:eastAsia="en-GB" w:bidi="ar-SA"/>
          </w:rPr>
          <w:tab/>
        </w:r>
        <w:r w:rsidR="00274D3E" w:rsidRPr="001C34FE">
          <w:rPr>
            <w:rStyle w:val="Hyperlink"/>
            <w:noProof/>
          </w:rPr>
          <w:t>Risk communication</w:t>
        </w:r>
        <w:r w:rsidR="00274D3E">
          <w:rPr>
            <w:noProof/>
            <w:webHidden/>
          </w:rPr>
          <w:tab/>
        </w:r>
        <w:r w:rsidR="00274D3E">
          <w:rPr>
            <w:noProof/>
            <w:webHidden/>
          </w:rPr>
          <w:fldChar w:fldCharType="begin"/>
        </w:r>
        <w:r w:rsidR="00274D3E">
          <w:rPr>
            <w:noProof/>
            <w:webHidden/>
          </w:rPr>
          <w:instrText xml:space="preserve"> PAGEREF _Toc384895031 \h </w:instrText>
        </w:r>
        <w:r w:rsidR="00274D3E">
          <w:rPr>
            <w:noProof/>
            <w:webHidden/>
          </w:rPr>
        </w:r>
        <w:r w:rsidR="00274D3E">
          <w:rPr>
            <w:noProof/>
            <w:webHidden/>
          </w:rPr>
          <w:fldChar w:fldCharType="separate"/>
        </w:r>
        <w:r>
          <w:rPr>
            <w:noProof/>
            <w:webHidden/>
          </w:rPr>
          <w:t>7</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32" w:history="1">
        <w:r w:rsidR="00274D3E" w:rsidRPr="001C34FE">
          <w:rPr>
            <w:rStyle w:val="Hyperlink"/>
            <w:noProof/>
          </w:rPr>
          <w:t>2.3.1</w:t>
        </w:r>
        <w:r w:rsidR="00274D3E">
          <w:rPr>
            <w:rFonts w:eastAsiaTheme="minorEastAsia" w:cstheme="minorBidi"/>
            <w:i w:val="0"/>
            <w:iCs w:val="0"/>
            <w:noProof/>
            <w:sz w:val="22"/>
            <w:szCs w:val="22"/>
            <w:lang w:eastAsia="en-GB" w:bidi="ar-SA"/>
          </w:rPr>
          <w:tab/>
        </w:r>
        <w:r w:rsidR="00274D3E" w:rsidRPr="001C34FE">
          <w:rPr>
            <w:rStyle w:val="Hyperlink"/>
            <w:noProof/>
          </w:rPr>
          <w:t>Consultation</w:t>
        </w:r>
        <w:r w:rsidR="00274D3E">
          <w:rPr>
            <w:noProof/>
            <w:webHidden/>
          </w:rPr>
          <w:tab/>
        </w:r>
        <w:r w:rsidR="00274D3E">
          <w:rPr>
            <w:noProof/>
            <w:webHidden/>
          </w:rPr>
          <w:fldChar w:fldCharType="begin"/>
        </w:r>
        <w:r w:rsidR="00274D3E">
          <w:rPr>
            <w:noProof/>
            <w:webHidden/>
          </w:rPr>
          <w:instrText xml:space="preserve"> PAGEREF _Toc384895032 \h </w:instrText>
        </w:r>
        <w:r w:rsidR="00274D3E">
          <w:rPr>
            <w:noProof/>
            <w:webHidden/>
          </w:rPr>
        </w:r>
        <w:r w:rsidR="00274D3E">
          <w:rPr>
            <w:noProof/>
            <w:webHidden/>
          </w:rPr>
          <w:fldChar w:fldCharType="separate"/>
        </w:r>
        <w:r>
          <w:rPr>
            <w:noProof/>
            <w:webHidden/>
          </w:rPr>
          <w:t>7</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33" w:history="1">
        <w:r w:rsidR="00274D3E" w:rsidRPr="001C34FE">
          <w:rPr>
            <w:rStyle w:val="Hyperlink"/>
            <w:noProof/>
          </w:rPr>
          <w:t>2.3.2</w:t>
        </w:r>
        <w:r w:rsidR="00274D3E">
          <w:rPr>
            <w:rFonts w:eastAsiaTheme="minorEastAsia" w:cstheme="minorBidi"/>
            <w:i w:val="0"/>
            <w:iCs w:val="0"/>
            <w:noProof/>
            <w:sz w:val="22"/>
            <w:szCs w:val="22"/>
            <w:lang w:eastAsia="en-GB" w:bidi="ar-SA"/>
          </w:rPr>
          <w:tab/>
        </w:r>
        <w:r w:rsidR="00274D3E" w:rsidRPr="001C34FE">
          <w:rPr>
            <w:rStyle w:val="Hyperlink"/>
            <w:noProof/>
          </w:rPr>
          <w:t>World Trade Organization (WTO)</w:t>
        </w:r>
        <w:r w:rsidR="00274D3E">
          <w:rPr>
            <w:noProof/>
            <w:webHidden/>
          </w:rPr>
          <w:tab/>
        </w:r>
        <w:r w:rsidR="00274D3E">
          <w:rPr>
            <w:noProof/>
            <w:webHidden/>
          </w:rPr>
          <w:fldChar w:fldCharType="begin"/>
        </w:r>
        <w:r w:rsidR="00274D3E">
          <w:rPr>
            <w:noProof/>
            <w:webHidden/>
          </w:rPr>
          <w:instrText xml:space="preserve"> PAGEREF _Toc384895033 \h </w:instrText>
        </w:r>
        <w:r w:rsidR="00274D3E">
          <w:rPr>
            <w:noProof/>
            <w:webHidden/>
          </w:rPr>
        </w:r>
        <w:r w:rsidR="00274D3E">
          <w:rPr>
            <w:noProof/>
            <w:webHidden/>
          </w:rPr>
          <w:fldChar w:fldCharType="separate"/>
        </w:r>
        <w:r>
          <w:rPr>
            <w:noProof/>
            <w:webHidden/>
          </w:rPr>
          <w:t>7</w:t>
        </w:r>
        <w:r w:rsidR="00274D3E">
          <w:rPr>
            <w:noProof/>
            <w:webHidden/>
          </w:rPr>
          <w:fldChar w:fldCharType="end"/>
        </w:r>
      </w:hyperlink>
    </w:p>
    <w:p w:rsidR="00274D3E" w:rsidRDefault="0041513D">
      <w:pPr>
        <w:pStyle w:val="TOC2"/>
        <w:tabs>
          <w:tab w:val="left" w:pos="880"/>
          <w:tab w:val="right" w:leader="dot" w:pos="9060"/>
        </w:tabs>
        <w:rPr>
          <w:rFonts w:eastAsiaTheme="minorEastAsia" w:cstheme="minorBidi"/>
          <w:smallCaps w:val="0"/>
          <w:noProof/>
          <w:sz w:val="22"/>
          <w:szCs w:val="22"/>
          <w:lang w:eastAsia="en-GB" w:bidi="ar-SA"/>
        </w:rPr>
      </w:pPr>
      <w:hyperlink w:anchor="_Toc384895034" w:history="1">
        <w:r w:rsidR="00274D3E" w:rsidRPr="001C34FE">
          <w:rPr>
            <w:rStyle w:val="Hyperlink"/>
            <w:noProof/>
          </w:rPr>
          <w:t>2.4</w:t>
        </w:r>
        <w:r w:rsidR="00274D3E">
          <w:rPr>
            <w:rFonts w:eastAsiaTheme="minorEastAsia" w:cstheme="minorBidi"/>
            <w:smallCaps w:val="0"/>
            <w:noProof/>
            <w:sz w:val="22"/>
            <w:szCs w:val="22"/>
            <w:lang w:eastAsia="en-GB" w:bidi="ar-SA"/>
          </w:rPr>
          <w:tab/>
        </w:r>
        <w:r w:rsidR="00274D3E" w:rsidRPr="001C34FE">
          <w:rPr>
            <w:rStyle w:val="Hyperlink"/>
            <w:noProof/>
          </w:rPr>
          <w:t>FSANZ Act assessment requirements</w:t>
        </w:r>
        <w:r w:rsidR="00274D3E">
          <w:rPr>
            <w:noProof/>
            <w:webHidden/>
          </w:rPr>
          <w:tab/>
        </w:r>
        <w:r w:rsidR="00274D3E">
          <w:rPr>
            <w:noProof/>
            <w:webHidden/>
          </w:rPr>
          <w:fldChar w:fldCharType="begin"/>
        </w:r>
        <w:r w:rsidR="00274D3E">
          <w:rPr>
            <w:noProof/>
            <w:webHidden/>
          </w:rPr>
          <w:instrText xml:space="preserve"> PAGEREF _Toc384895034 \h </w:instrText>
        </w:r>
        <w:r w:rsidR="00274D3E">
          <w:rPr>
            <w:noProof/>
            <w:webHidden/>
          </w:rPr>
        </w:r>
        <w:r w:rsidR="00274D3E">
          <w:rPr>
            <w:noProof/>
            <w:webHidden/>
          </w:rPr>
          <w:fldChar w:fldCharType="separate"/>
        </w:r>
        <w:r>
          <w:rPr>
            <w:noProof/>
            <w:webHidden/>
          </w:rPr>
          <w:t>7</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35" w:history="1">
        <w:r w:rsidR="00274D3E" w:rsidRPr="001C34FE">
          <w:rPr>
            <w:rStyle w:val="Hyperlink"/>
            <w:noProof/>
          </w:rPr>
          <w:t>2.4.1</w:t>
        </w:r>
        <w:r w:rsidR="00274D3E">
          <w:rPr>
            <w:rFonts w:eastAsiaTheme="minorEastAsia" w:cstheme="minorBidi"/>
            <w:i w:val="0"/>
            <w:iCs w:val="0"/>
            <w:noProof/>
            <w:sz w:val="22"/>
            <w:szCs w:val="22"/>
            <w:lang w:eastAsia="en-GB" w:bidi="ar-SA"/>
          </w:rPr>
          <w:tab/>
        </w:r>
        <w:r w:rsidR="00274D3E" w:rsidRPr="001C34FE">
          <w:rPr>
            <w:rStyle w:val="Hyperlink"/>
            <w:noProof/>
          </w:rPr>
          <w:t>Section 29 – Regulatory impact</w:t>
        </w:r>
        <w:r w:rsidR="00274D3E">
          <w:rPr>
            <w:noProof/>
            <w:webHidden/>
          </w:rPr>
          <w:tab/>
        </w:r>
        <w:r w:rsidR="00274D3E">
          <w:rPr>
            <w:noProof/>
            <w:webHidden/>
          </w:rPr>
          <w:fldChar w:fldCharType="begin"/>
        </w:r>
        <w:r w:rsidR="00274D3E">
          <w:rPr>
            <w:noProof/>
            <w:webHidden/>
          </w:rPr>
          <w:instrText xml:space="preserve"> PAGEREF _Toc384895035 \h </w:instrText>
        </w:r>
        <w:r w:rsidR="00274D3E">
          <w:rPr>
            <w:noProof/>
            <w:webHidden/>
          </w:rPr>
        </w:r>
        <w:r w:rsidR="00274D3E">
          <w:rPr>
            <w:noProof/>
            <w:webHidden/>
          </w:rPr>
          <w:fldChar w:fldCharType="separate"/>
        </w:r>
        <w:r>
          <w:rPr>
            <w:noProof/>
            <w:webHidden/>
          </w:rPr>
          <w:t>7</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36" w:history="1">
        <w:r w:rsidR="00274D3E" w:rsidRPr="001C34FE">
          <w:rPr>
            <w:rStyle w:val="Hyperlink"/>
            <w:noProof/>
          </w:rPr>
          <w:t>2.4.2</w:t>
        </w:r>
        <w:r w:rsidR="00274D3E">
          <w:rPr>
            <w:rFonts w:eastAsiaTheme="minorEastAsia" w:cstheme="minorBidi"/>
            <w:i w:val="0"/>
            <w:iCs w:val="0"/>
            <w:noProof/>
            <w:sz w:val="22"/>
            <w:szCs w:val="22"/>
            <w:lang w:eastAsia="en-GB" w:bidi="ar-SA"/>
          </w:rPr>
          <w:tab/>
        </w:r>
        <w:r w:rsidR="00274D3E" w:rsidRPr="001C34FE">
          <w:rPr>
            <w:rStyle w:val="Hyperlink"/>
            <w:noProof/>
          </w:rPr>
          <w:t>Subsection 18(1) – Objectives in the FSANZ Act</w:t>
        </w:r>
        <w:r w:rsidR="00274D3E">
          <w:rPr>
            <w:noProof/>
            <w:webHidden/>
          </w:rPr>
          <w:tab/>
        </w:r>
        <w:r w:rsidR="00274D3E">
          <w:rPr>
            <w:noProof/>
            <w:webHidden/>
          </w:rPr>
          <w:fldChar w:fldCharType="begin"/>
        </w:r>
        <w:r w:rsidR="00274D3E">
          <w:rPr>
            <w:noProof/>
            <w:webHidden/>
          </w:rPr>
          <w:instrText xml:space="preserve"> PAGEREF _Toc384895036 \h </w:instrText>
        </w:r>
        <w:r w:rsidR="00274D3E">
          <w:rPr>
            <w:noProof/>
            <w:webHidden/>
          </w:rPr>
        </w:r>
        <w:r w:rsidR="00274D3E">
          <w:rPr>
            <w:noProof/>
            <w:webHidden/>
          </w:rPr>
          <w:fldChar w:fldCharType="separate"/>
        </w:r>
        <w:r>
          <w:rPr>
            <w:noProof/>
            <w:webHidden/>
          </w:rPr>
          <w:t>9</w:t>
        </w:r>
        <w:r w:rsidR="00274D3E">
          <w:rPr>
            <w:noProof/>
            <w:webHidden/>
          </w:rPr>
          <w:fldChar w:fldCharType="end"/>
        </w:r>
      </w:hyperlink>
    </w:p>
    <w:p w:rsidR="00274D3E" w:rsidRDefault="0041513D">
      <w:pPr>
        <w:pStyle w:val="TOC3"/>
        <w:tabs>
          <w:tab w:val="left" w:pos="1100"/>
          <w:tab w:val="right" w:leader="dot" w:pos="9060"/>
        </w:tabs>
        <w:rPr>
          <w:rFonts w:eastAsiaTheme="minorEastAsia" w:cstheme="minorBidi"/>
          <w:i w:val="0"/>
          <w:iCs w:val="0"/>
          <w:noProof/>
          <w:sz w:val="22"/>
          <w:szCs w:val="22"/>
          <w:lang w:eastAsia="en-GB" w:bidi="ar-SA"/>
        </w:rPr>
      </w:pPr>
      <w:hyperlink w:anchor="_Toc384895037" w:history="1">
        <w:r w:rsidR="00274D3E" w:rsidRPr="001C34FE">
          <w:rPr>
            <w:rStyle w:val="Hyperlink"/>
            <w:noProof/>
          </w:rPr>
          <w:t>2.4.3</w:t>
        </w:r>
        <w:r w:rsidR="00274D3E">
          <w:rPr>
            <w:rFonts w:eastAsiaTheme="minorEastAsia" w:cstheme="minorBidi"/>
            <w:i w:val="0"/>
            <w:iCs w:val="0"/>
            <w:noProof/>
            <w:sz w:val="22"/>
            <w:szCs w:val="22"/>
            <w:lang w:eastAsia="en-GB" w:bidi="ar-SA"/>
          </w:rPr>
          <w:tab/>
        </w:r>
        <w:r w:rsidR="00274D3E" w:rsidRPr="001C34FE">
          <w:rPr>
            <w:rStyle w:val="Hyperlink"/>
            <w:noProof/>
          </w:rPr>
          <w:t>Subsection 18(2) considerations</w:t>
        </w:r>
        <w:r w:rsidR="00274D3E">
          <w:rPr>
            <w:noProof/>
            <w:webHidden/>
          </w:rPr>
          <w:tab/>
        </w:r>
        <w:r w:rsidR="00274D3E">
          <w:rPr>
            <w:noProof/>
            <w:webHidden/>
          </w:rPr>
          <w:fldChar w:fldCharType="begin"/>
        </w:r>
        <w:r w:rsidR="00274D3E">
          <w:rPr>
            <w:noProof/>
            <w:webHidden/>
          </w:rPr>
          <w:instrText xml:space="preserve"> PAGEREF _Toc384895037 \h </w:instrText>
        </w:r>
        <w:r w:rsidR="00274D3E">
          <w:rPr>
            <w:noProof/>
            <w:webHidden/>
          </w:rPr>
        </w:r>
        <w:r w:rsidR="00274D3E">
          <w:rPr>
            <w:noProof/>
            <w:webHidden/>
          </w:rPr>
          <w:fldChar w:fldCharType="separate"/>
        </w:r>
        <w:r>
          <w:rPr>
            <w:noProof/>
            <w:webHidden/>
          </w:rPr>
          <w:t>9</w:t>
        </w:r>
        <w:r w:rsidR="00274D3E">
          <w:rPr>
            <w:noProof/>
            <w:webHidden/>
          </w:rPr>
          <w:fldChar w:fldCharType="end"/>
        </w:r>
      </w:hyperlink>
    </w:p>
    <w:p w:rsidR="00274D3E" w:rsidRDefault="004151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4895038" w:history="1">
        <w:r w:rsidR="00274D3E" w:rsidRPr="001C34FE">
          <w:rPr>
            <w:rStyle w:val="Hyperlink"/>
            <w:noProof/>
          </w:rPr>
          <w:t>3</w:t>
        </w:r>
        <w:r w:rsidR="00274D3E">
          <w:rPr>
            <w:rFonts w:eastAsiaTheme="minorEastAsia" w:cstheme="minorBidi"/>
            <w:b w:val="0"/>
            <w:bCs w:val="0"/>
            <w:caps w:val="0"/>
            <w:noProof/>
            <w:sz w:val="22"/>
            <w:szCs w:val="22"/>
            <w:lang w:eastAsia="en-GB" w:bidi="ar-SA"/>
          </w:rPr>
          <w:tab/>
        </w:r>
        <w:r w:rsidR="00274D3E" w:rsidRPr="001C34FE">
          <w:rPr>
            <w:rStyle w:val="Hyperlink"/>
            <w:noProof/>
          </w:rPr>
          <w:t>Draft variation</w:t>
        </w:r>
        <w:r w:rsidR="00274D3E">
          <w:rPr>
            <w:noProof/>
            <w:webHidden/>
          </w:rPr>
          <w:tab/>
        </w:r>
        <w:r w:rsidR="00274D3E">
          <w:rPr>
            <w:noProof/>
            <w:webHidden/>
          </w:rPr>
          <w:fldChar w:fldCharType="begin"/>
        </w:r>
        <w:r w:rsidR="00274D3E">
          <w:rPr>
            <w:noProof/>
            <w:webHidden/>
          </w:rPr>
          <w:instrText xml:space="preserve"> PAGEREF _Toc384895038 \h </w:instrText>
        </w:r>
        <w:r w:rsidR="00274D3E">
          <w:rPr>
            <w:noProof/>
            <w:webHidden/>
          </w:rPr>
        </w:r>
        <w:r w:rsidR="00274D3E">
          <w:rPr>
            <w:noProof/>
            <w:webHidden/>
          </w:rPr>
          <w:fldChar w:fldCharType="separate"/>
        </w:r>
        <w:r>
          <w:rPr>
            <w:noProof/>
            <w:webHidden/>
          </w:rPr>
          <w:t>10</w:t>
        </w:r>
        <w:r w:rsidR="00274D3E">
          <w:rPr>
            <w:noProof/>
            <w:webHidden/>
          </w:rPr>
          <w:fldChar w:fldCharType="end"/>
        </w:r>
      </w:hyperlink>
    </w:p>
    <w:p w:rsidR="00274D3E" w:rsidRDefault="0041513D">
      <w:pPr>
        <w:pStyle w:val="TOC1"/>
        <w:tabs>
          <w:tab w:val="left" w:pos="440"/>
          <w:tab w:val="right" w:leader="dot" w:pos="9060"/>
        </w:tabs>
        <w:rPr>
          <w:rFonts w:eastAsiaTheme="minorEastAsia" w:cstheme="minorBidi"/>
          <w:b w:val="0"/>
          <w:bCs w:val="0"/>
          <w:caps w:val="0"/>
          <w:noProof/>
          <w:sz w:val="22"/>
          <w:szCs w:val="22"/>
          <w:lang w:eastAsia="en-GB" w:bidi="ar-SA"/>
        </w:rPr>
      </w:pPr>
      <w:hyperlink w:anchor="_Toc384895039" w:history="1">
        <w:r w:rsidR="00274D3E" w:rsidRPr="001C34FE">
          <w:rPr>
            <w:rStyle w:val="Hyperlink"/>
            <w:noProof/>
          </w:rPr>
          <w:t>4</w:t>
        </w:r>
        <w:r w:rsidR="00274D3E">
          <w:rPr>
            <w:rFonts w:eastAsiaTheme="minorEastAsia" w:cstheme="minorBidi"/>
            <w:b w:val="0"/>
            <w:bCs w:val="0"/>
            <w:caps w:val="0"/>
            <w:noProof/>
            <w:sz w:val="22"/>
            <w:szCs w:val="22"/>
            <w:lang w:eastAsia="en-GB" w:bidi="ar-SA"/>
          </w:rPr>
          <w:tab/>
        </w:r>
        <w:r w:rsidR="00274D3E" w:rsidRPr="001C34FE">
          <w:rPr>
            <w:rStyle w:val="Hyperlink"/>
            <w:noProof/>
          </w:rPr>
          <w:t>References</w:t>
        </w:r>
        <w:r w:rsidR="00274D3E">
          <w:rPr>
            <w:noProof/>
            <w:webHidden/>
          </w:rPr>
          <w:tab/>
        </w:r>
        <w:r w:rsidR="00274D3E">
          <w:rPr>
            <w:noProof/>
            <w:webHidden/>
          </w:rPr>
          <w:fldChar w:fldCharType="begin"/>
        </w:r>
        <w:r w:rsidR="00274D3E">
          <w:rPr>
            <w:noProof/>
            <w:webHidden/>
          </w:rPr>
          <w:instrText xml:space="preserve"> PAGEREF _Toc384895039 \h </w:instrText>
        </w:r>
        <w:r w:rsidR="00274D3E">
          <w:rPr>
            <w:noProof/>
            <w:webHidden/>
          </w:rPr>
        </w:r>
        <w:r w:rsidR="00274D3E">
          <w:rPr>
            <w:noProof/>
            <w:webHidden/>
          </w:rPr>
          <w:fldChar w:fldCharType="separate"/>
        </w:r>
        <w:r>
          <w:rPr>
            <w:noProof/>
            <w:webHidden/>
          </w:rPr>
          <w:t>11</w:t>
        </w:r>
        <w:r w:rsidR="00274D3E">
          <w:rPr>
            <w:noProof/>
            <w:webHidden/>
          </w:rPr>
          <w:fldChar w:fldCharType="end"/>
        </w:r>
      </w:hyperlink>
    </w:p>
    <w:p w:rsidR="00274D3E" w:rsidRDefault="0041513D">
      <w:pPr>
        <w:pStyle w:val="TOC2"/>
        <w:tabs>
          <w:tab w:val="right" w:leader="dot" w:pos="9060"/>
        </w:tabs>
        <w:rPr>
          <w:rFonts w:eastAsiaTheme="minorEastAsia" w:cstheme="minorBidi"/>
          <w:smallCaps w:val="0"/>
          <w:noProof/>
          <w:sz w:val="22"/>
          <w:szCs w:val="22"/>
          <w:lang w:eastAsia="en-GB" w:bidi="ar-SA"/>
        </w:rPr>
      </w:pPr>
      <w:hyperlink w:anchor="_Toc384895040" w:history="1">
        <w:r w:rsidR="00274D3E" w:rsidRPr="001C34FE">
          <w:rPr>
            <w:rStyle w:val="Hyperlink"/>
            <w:noProof/>
          </w:rPr>
          <w:t xml:space="preserve">Attachment A – Draft variation to the </w:t>
        </w:r>
        <w:r w:rsidR="00274D3E" w:rsidRPr="001C34FE">
          <w:rPr>
            <w:rStyle w:val="Hyperlink"/>
            <w:i/>
            <w:noProof/>
          </w:rPr>
          <w:t>Australia New Zealand Food Standards Code</w:t>
        </w:r>
        <w:r w:rsidR="00274D3E">
          <w:rPr>
            <w:noProof/>
            <w:webHidden/>
          </w:rPr>
          <w:tab/>
        </w:r>
        <w:r w:rsidR="00274D3E">
          <w:rPr>
            <w:noProof/>
            <w:webHidden/>
          </w:rPr>
          <w:fldChar w:fldCharType="begin"/>
        </w:r>
        <w:r w:rsidR="00274D3E">
          <w:rPr>
            <w:noProof/>
            <w:webHidden/>
          </w:rPr>
          <w:instrText xml:space="preserve"> PAGEREF _Toc384895040 \h </w:instrText>
        </w:r>
        <w:r w:rsidR="00274D3E">
          <w:rPr>
            <w:noProof/>
            <w:webHidden/>
          </w:rPr>
        </w:r>
        <w:r w:rsidR="00274D3E">
          <w:rPr>
            <w:noProof/>
            <w:webHidden/>
          </w:rPr>
          <w:fldChar w:fldCharType="separate"/>
        </w:r>
        <w:r>
          <w:rPr>
            <w:noProof/>
            <w:webHidden/>
          </w:rPr>
          <w:t>12</w:t>
        </w:r>
        <w:r w:rsidR="00274D3E">
          <w:rPr>
            <w:noProof/>
            <w:webHidden/>
          </w:rPr>
          <w:fldChar w:fldCharType="end"/>
        </w:r>
      </w:hyperlink>
    </w:p>
    <w:p w:rsidR="00274D3E" w:rsidRDefault="0041513D">
      <w:pPr>
        <w:pStyle w:val="TOC2"/>
        <w:tabs>
          <w:tab w:val="right" w:leader="dot" w:pos="9060"/>
        </w:tabs>
        <w:rPr>
          <w:rFonts w:eastAsiaTheme="minorEastAsia" w:cstheme="minorBidi"/>
          <w:smallCaps w:val="0"/>
          <w:noProof/>
          <w:sz w:val="22"/>
          <w:szCs w:val="22"/>
          <w:lang w:eastAsia="en-GB" w:bidi="ar-SA"/>
        </w:rPr>
      </w:pPr>
      <w:hyperlink w:anchor="_Toc384895041" w:history="1">
        <w:r w:rsidR="00274D3E" w:rsidRPr="001C34FE">
          <w:rPr>
            <w:rStyle w:val="Hyperlink"/>
            <w:noProof/>
          </w:rPr>
          <w:t>Attachment B – Draft Explanatory Statement</w:t>
        </w:r>
        <w:r w:rsidR="00274D3E">
          <w:rPr>
            <w:noProof/>
            <w:webHidden/>
          </w:rPr>
          <w:tab/>
        </w:r>
        <w:r w:rsidR="00274D3E">
          <w:rPr>
            <w:noProof/>
            <w:webHidden/>
          </w:rPr>
          <w:fldChar w:fldCharType="begin"/>
        </w:r>
        <w:r w:rsidR="00274D3E">
          <w:rPr>
            <w:noProof/>
            <w:webHidden/>
          </w:rPr>
          <w:instrText xml:space="preserve"> PAGEREF _Toc384895041 \h </w:instrText>
        </w:r>
        <w:r w:rsidR="00274D3E">
          <w:rPr>
            <w:noProof/>
            <w:webHidden/>
          </w:rPr>
        </w:r>
        <w:r w:rsidR="00274D3E">
          <w:rPr>
            <w:noProof/>
            <w:webHidden/>
          </w:rPr>
          <w:fldChar w:fldCharType="separate"/>
        </w:r>
        <w:r>
          <w:rPr>
            <w:noProof/>
            <w:webHidden/>
          </w:rPr>
          <w:t>14</w:t>
        </w:r>
        <w:r w:rsidR="00274D3E">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89264A" w:rsidRPr="003A7725" w:rsidRDefault="0089264A" w:rsidP="003A7725">
      <w:pPr>
        <w:ind w:left="1134" w:hanging="1134"/>
        <w:rPr>
          <w:color w:val="FF0000"/>
        </w:rPr>
      </w:pPr>
    </w:p>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38489501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4B74A2" w:rsidRDefault="004B74A2" w:rsidP="00A56E34">
      <w:bookmarkStart w:id="9" w:name="_Toc286391003"/>
      <w:r>
        <w:t>FSANZ has received an Application to amend Standard 1.3.3</w:t>
      </w:r>
      <w:r w:rsidR="00683AE1">
        <w:t xml:space="preserve"> – Processing Aids </w:t>
      </w:r>
      <w:r w:rsidR="002E4B87">
        <w:t xml:space="preserve">in </w:t>
      </w:r>
      <w:r w:rsidR="00683AE1">
        <w:t xml:space="preserve">the </w:t>
      </w:r>
      <w:r w:rsidR="00683AE1" w:rsidRPr="00683AE1">
        <w:rPr>
          <w:i/>
        </w:rPr>
        <w:t>Australia New Zealand Food Standards Code</w:t>
      </w:r>
      <w:r w:rsidR="00683AE1">
        <w:t xml:space="preserve"> (the Code)</w:t>
      </w:r>
      <w:r>
        <w:t xml:space="preserve"> from the Australian Wine Research Institute.</w:t>
      </w:r>
    </w:p>
    <w:p w:rsidR="004B74A2" w:rsidRDefault="004B74A2" w:rsidP="00A56E34"/>
    <w:p w:rsidR="004B74A2" w:rsidRDefault="004B74A2" w:rsidP="00A56E34">
      <w:r w:rsidRPr="004277E5">
        <w:t xml:space="preserve">The purpose of the Application is to </w:t>
      </w:r>
      <w:r>
        <w:t xml:space="preserve">update the Table to clause 17 of Standard 1.3.3 to reflect a change to the naming and classification of carboxyl proteinase enzymes that was made by the International Union of Biochemistry and Molecular Biology (IUBMB). The Application requests that </w:t>
      </w:r>
      <w:r w:rsidR="00683AE1">
        <w:t xml:space="preserve">the enzyme </w:t>
      </w:r>
      <w:r>
        <w:t xml:space="preserve">carboxyl proteinase is </w:t>
      </w:r>
      <w:r w:rsidR="00683AE1">
        <w:t xml:space="preserve">updated and </w:t>
      </w:r>
      <w:r>
        <w:t>replaced with Aspergillopepsin I and Aspergillopepsin II</w:t>
      </w:r>
      <w:r w:rsidR="00683AE1">
        <w:t>.</w:t>
      </w:r>
      <w:r>
        <w:t xml:space="preserve"> </w:t>
      </w:r>
      <w:r w:rsidR="00683AE1">
        <w:t xml:space="preserve">The justification for the changes is </w:t>
      </w:r>
      <w:r w:rsidR="00743E66">
        <w:t>to align them with current international enzyme nomenclature recommendations</w:t>
      </w:r>
      <w:r w:rsidR="00594C25">
        <w:t xml:space="preserve"> (IUBMB, 1992)</w:t>
      </w:r>
      <w:r>
        <w:t>.</w:t>
      </w:r>
    </w:p>
    <w:p w:rsidR="004B74A2" w:rsidRDefault="004B74A2" w:rsidP="00A56E34"/>
    <w:p w:rsidR="004B74A2" w:rsidRDefault="004B74A2" w:rsidP="00A56E34">
      <w:r>
        <w:t xml:space="preserve">FSANZ has </w:t>
      </w:r>
      <w:r w:rsidR="00357CEB">
        <w:t>assessed</w:t>
      </w:r>
      <w:r>
        <w:t xml:space="preserve"> this Application from two perspectives: to determine the reason behind the IUBMB nomenclature change </w:t>
      </w:r>
      <w:r w:rsidR="00683AE1">
        <w:t xml:space="preserve">for </w:t>
      </w:r>
      <w:r>
        <w:t xml:space="preserve">carboxyl proteinase, and </w:t>
      </w:r>
      <w:r w:rsidR="00E1578F">
        <w:t>to ascertain if</w:t>
      </w:r>
      <w:r>
        <w:t xml:space="preserve"> the scope of </w:t>
      </w:r>
      <w:r w:rsidR="00594C25">
        <w:t xml:space="preserve">the </w:t>
      </w:r>
      <w:r>
        <w:t xml:space="preserve">enzymes </w:t>
      </w:r>
      <w:r w:rsidR="00F00B54">
        <w:t>proposed by the Applicant</w:t>
      </w:r>
      <w:r w:rsidR="00E1578F">
        <w:t xml:space="preserve"> matches that of the current permissions</w:t>
      </w:r>
      <w:r w:rsidR="00683AE1">
        <w:t xml:space="preserve"> </w:t>
      </w:r>
      <w:r w:rsidR="00594C25">
        <w:t>i</w:t>
      </w:r>
      <w:r w:rsidR="00683AE1">
        <w:t>n the Code.</w:t>
      </w:r>
    </w:p>
    <w:p w:rsidR="00F00B54" w:rsidRDefault="00F00B54" w:rsidP="00A56E34"/>
    <w:p w:rsidR="00F00B54" w:rsidRDefault="00F00B54" w:rsidP="00A56E34">
      <w:r>
        <w:t xml:space="preserve">The </w:t>
      </w:r>
      <w:r w:rsidR="00E1578F">
        <w:t xml:space="preserve">likely </w:t>
      </w:r>
      <w:r>
        <w:t xml:space="preserve">reason for the </w:t>
      </w:r>
      <w:r w:rsidR="00CF2FEB">
        <w:t xml:space="preserve">IUBMB’s nomenclature change </w:t>
      </w:r>
      <w:r>
        <w:t>is that IUBMB reviewed its rules for naming and classifying enzymes. Enzyme names that end in -</w:t>
      </w:r>
      <w:proofErr w:type="gramStart"/>
      <w:r>
        <w:t>ase</w:t>
      </w:r>
      <w:proofErr w:type="gramEnd"/>
      <w:r>
        <w:t xml:space="preserve"> can no longer refer to groups of enzymes (as was the case with carboxyl proteinase); such names can only apply to single catalytic entities. Also the </w:t>
      </w:r>
      <w:r w:rsidR="00AA61BE">
        <w:t xml:space="preserve">IUBMB recommendations no longer use </w:t>
      </w:r>
      <w:r>
        <w:t xml:space="preserve">‘proteinase’ </w:t>
      </w:r>
      <w:r w:rsidR="00AA61BE">
        <w:t xml:space="preserve">as </w:t>
      </w:r>
      <w:r w:rsidR="002E4B87">
        <w:t>it has</w:t>
      </w:r>
      <w:r w:rsidR="00AA61BE">
        <w:t xml:space="preserve"> determined that ‘peptidase’ is a term that more accurately reflects the catalytic activity of these enzymes</w:t>
      </w:r>
      <w:r>
        <w:t xml:space="preserve">. </w:t>
      </w:r>
      <w:r w:rsidR="00720A35">
        <w:t xml:space="preserve">IUBMB has updated the </w:t>
      </w:r>
      <w:r>
        <w:t xml:space="preserve">carboxyl proteinase category </w:t>
      </w:r>
      <w:r w:rsidR="00720A35">
        <w:t>in accordance with these rules by sp</w:t>
      </w:r>
      <w:r>
        <w:t>lit</w:t>
      </w:r>
      <w:r w:rsidR="00720A35">
        <w:t>ting</w:t>
      </w:r>
      <w:r>
        <w:t xml:space="preserve"> the category into smaller groups of enzymes with names that reflect their microbiological source.</w:t>
      </w:r>
    </w:p>
    <w:p w:rsidR="00F00B54" w:rsidRDefault="00F00B54" w:rsidP="00A56E34"/>
    <w:p w:rsidR="00F00B54" w:rsidRDefault="00357CEB" w:rsidP="00A56E34">
      <w:r>
        <w:t>The current permissions for carboxyl proteinase in Standard 1.3.3 permit enzymes from four microbiological sources only</w:t>
      </w:r>
      <w:r w:rsidR="00D80913">
        <w:t xml:space="preserve">: </w:t>
      </w:r>
      <w:r w:rsidRPr="002F704A">
        <w:rPr>
          <w:i/>
        </w:rPr>
        <w:t>Aspergillus melleus</w:t>
      </w:r>
      <w:r>
        <w:rPr>
          <w:i/>
        </w:rPr>
        <w:t xml:space="preserve">, </w:t>
      </w:r>
      <w:r w:rsidR="002E4B87" w:rsidRPr="002F704A">
        <w:rPr>
          <w:i/>
        </w:rPr>
        <w:t>A</w:t>
      </w:r>
      <w:r w:rsidR="002E4B87">
        <w:rPr>
          <w:i/>
        </w:rPr>
        <w:t>.</w:t>
      </w:r>
      <w:r w:rsidR="002E4B87" w:rsidRPr="002F704A">
        <w:rPr>
          <w:i/>
        </w:rPr>
        <w:t xml:space="preserve"> </w:t>
      </w:r>
      <w:proofErr w:type="gramStart"/>
      <w:r w:rsidRPr="002F704A">
        <w:rPr>
          <w:i/>
        </w:rPr>
        <w:t>niger</w:t>
      </w:r>
      <w:proofErr w:type="gramEnd"/>
      <w:r>
        <w:rPr>
          <w:i/>
        </w:rPr>
        <w:t xml:space="preserve">, </w:t>
      </w:r>
      <w:r w:rsidR="002E4B87" w:rsidRPr="002F704A">
        <w:rPr>
          <w:i/>
        </w:rPr>
        <w:t>A</w:t>
      </w:r>
      <w:r w:rsidR="002E4B87">
        <w:rPr>
          <w:i/>
        </w:rPr>
        <w:t>.</w:t>
      </w:r>
      <w:r w:rsidR="002E4B87" w:rsidRPr="002F704A">
        <w:rPr>
          <w:i/>
        </w:rPr>
        <w:t xml:space="preserve"> </w:t>
      </w:r>
      <w:r w:rsidRPr="002F704A">
        <w:rPr>
          <w:i/>
        </w:rPr>
        <w:t>oryzae</w:t>
      </w:r>
      <w:r>
        <w:rPr>
          <w:i/>
        </w:rPr>
        <w:t xml:space="preserve"> </w:t>
      </w:r>
      <w:r w:rsidR="00D80913" w:rsidRPr="00D80913">
        <w:t xml:space="preserve">and </w:t>
      </w:r>
      <w:r w:rsidRPr="002F704A">
        <w:rPr>
          <w:i/>
        </w:rPr>
        <w:t>Rhizomucor miehei</w:t>
      </w:r>
      <w:r>
        <w:t xml:space="preserve">. Aspergillopepsin I and II </w:t>
      </w:r>
      <w:r w:rsidR="00594C25">
        <w:t xml:space="preserve">enzymes </w:t>
      </w:r>
      <w:r>
        <w:t xml:space="preserve">are the only </w:t>
      </w:r>
      <w:r w:rsidR="00D80913">
        <w:t>IUBMB replacements for carboxyl proteinase</w:t>
      </w:r>
      <w:r>
        <w:t xml:space="preserve"> that have </w:t>
      </w:r>
      <w:r w:rsidRPr="002F704A">
        <w:rPr>
          <w:i/>
        </w:rPr>
        <w:t>A</w:t>
      </w:r>
      <w:r>
        <w:rPr>
          <w:i/>
        </w:rPr>
        <w:t>.</w:t>
      </w:r>
      <w:r w:rsidR="002E4B87">
        <w:rPr>
          <w:i/>
        </w:rPr>
        <w:t xml:space="preserve"> </w:t>
      </w:r>
      <w:proofErr w:type="gramStart"/>
      <w:r w:rsidRPr="002F704A">
        <w:rPr>
          <w:i/>
        </w:rPr>
        <w:t>niger</w:t>
      </w:r>
      <w:proofErr w:type="gramEnd"/>
      <w:r w:rsidR="00E1578F">
        <w:rPr>
          <w:i/>
        </w:rPr>
        <w:t xml:space="preserve"> </w:t>
      </w:r>
      <w:r w:rsidR="00E1578F">
        <w:t>and</w:t>
      </w:r>
      <w:r>
        <w:rPr>
          <w:i/>
        </w:rPr>
        <w:t xml:space="preserve"> </w:t>
      </w:r>
      <w:r w:rsidRPr="002F704A">
        <w:rPr>
          <w:i/>
        </w:rPr>
        <w:t>A</w:t>
      </w:r>
      <w:r>
        <w:rPr>
          <w:i/>
        </w:rPr>
        <w:t>.</w:t>
      </w:r>
      <w:r w:rsidR="002E4B87">
        <w:rPr>
          <w:i/>
        </w:rPr>
        <w:t xml:space="preserve"> </w:t>
      </w:r>
      <w:r w:rsidRPr="002F704A">
        <w:rPr>
          <w:i/>
        </w:rPr>
        <w:t>oryzae</w:t>
      </w:r>
      <w:r>
        <w:rPr>
          <w:i/>
        </w:rPr>
        <w:t xml:space="preserve"> </w:t>
      </w:r>
      <w:r w:rsidRPr="00743E66">
        <w:t>listed</w:t>
      </w:r>
      <w:r>
        <w:rPr>
          <w:i/>
        </w:rPr>
        <w:t xml:space="preserve"> </w:t>
      </w:r>
      <w:r w:rsidRPr="00B158DC">
        <w:t xml:space="preserve">as their source </w:t>
      </w:r>
      <w:r w:rsidR="00683AE1" w:rsidRPr="00B158DC">
        <w:t>microorganisms</w:t>
      </w:r>
      <w:r>
        <w:t xml:space="preserve">. Replacing the carboxyl proteinase </w:t>
      </w:r>
      <w:r w:rsidR="00A722D0">
        <w:t xml:space="preserve">permission </w:t>
      </w:r>
      <w:r>
        <w:t xml:space="preserve">with </w:t>
      </w:r>
      <w:r w:rsidR="00A722D0">
        <w:t xml:space="preserve">permissions for </w:t>
      </w:r>
      <w:r>
        <w:t xml:space="preserve">these two </w:t>
      </w:r>
      <w:r w:rsidR="00683AE1">
        <w:t>new enzyme</w:t>
      </w:r>
      <w:r w:rsidR="00B20EA7">
        <w:t xml:space="preserve"> group</w:t>
      </w:r>
      <w:r w:rsidR="00594C25">
        <w:t>s,</w:t>
      </w:r>
      <w:r w:rsidR="00683AE1">
        <w:t xml:space="preserve"> </w:t>
      </w:r>
      <w:r>
        <w:t>using these source microorganisms</w:t>
      </w:r>
      <w:r w:rsidR="00594C25">
        <w:t>,</w:t>
      </w:r>
      <w:r>
        <w:t xml:space="preserve"> is therefore consistent with IUBMB recommendations.</w:t>
      </w:r>
      <w:r w:rsidR="00720A35">
        <w:t xml:space="preserve"> FSANZ notes that an existing entry for </w:t>
      </w:r>
      <w:r w:rsidR="00683AE1">
        <w:t xml:space="preserve">the mucorpepsin source microorganism </w:t>
      </w:r>
      <w:r w:rsidR="00720A35">
        <w:t xml:space="preserve">in the Table to clause 17 </w:t>
      </w:r>
      <w:r w:rsidR="008F19D8">
        <w:t xml:space="preserve">of Standard 1.3.3 </w:t>
      </w:r>
      <w:r w:rsidR="002A2F24">
        <w:t>can</w:t>
      </w:r>
      <w:r>
        <w:t xml:space="preserve"> </w:t>
      </w:r>
      <w:r w:rsidR="00720A35">
        <w:t xml:space="preserve">provide </w:t>
      </w:r>
      <w:r w:rsidR="002A2F24">
        <w:t xml:space="preserve">the remaining microbiological source </w:t>
      </w:r>
      <w:r w:rsidR="00720A35">
        <w:t xml:space="preserve">permission </w:t>
      </w:r>
      <w:r w:rsidR="00330B2E">
        <w:t xml:space="preserve">(for </w:t>
      </w:r>
      <w:r w:rsidR="00330B2E" w:rsidRPr="002F704A">
        <w:rPr>
          <w:i/>
        </w:rPr>
        <w:t>Rhizomucor miehei</w:t>
      </w:r>
      <w:r w:rsidR="00330B2E">
        <w:t xml:space="preserve">) </w:t>
      </w:r>
      <w:r w:rsidR="002E4D54">
        <w:t xml:space="preserve">that is </w:t>
      </w:r>
      <w:r>
        <w:t xml:space="preserve">currently </w:t>
      </w:r>
      <w:r w:rsidR="002A2F24">
        <w:t>listed in</w:t>
      </w:r>
      <w:r>
        <w:t xml:space="preserve"> </w:t>
      </w:r>
      <w:r w:rsidR="00720A35">
        <w:t xml:space="preserve">the carboxyl proteinase </w:t>
      </w:r>
      <w:r w:rsidR="00EC10AE">
        <w:t>entry</w:t>
      </w:r>
      <w:r w:rsidR="00720A35">
        <w:t xml:space="preserve">. </w:t>
      </w:r>
    </w:p>
    <w:p w:rsidR="002A2F24" w:rsidRDefault="002A2F24" w:rsidP="00A56E34"/>
    <w:p w:rsidR="00357CEB" w:rsidRDefault="002A2F24" w:rsidP="00A56E34">
      <w:r>
        <w:t>FSANZ has therefore concluded th</w:t>
      </w:r>
      <w:r w:rsidRPr="008C751E">
        <w:t>at</w:t>
      </w:r>
      <w:r>
        <w:t xml:space="preserve"> the carboxyl proteinase </w:t>
      </w:r>
      <w:r w:rsidR="00594C25">
        <w:t xml:space="preserve">entry </w:t>
      </w:r>
      <w:r>
        <w:t xml:space="preserve">in the Table to </w:t>
      </w:r>
      <w:r w:rsidR="002E4B87">
        <w:t>c</w:t>
      </w:r>
      <w:r>
        <w:t xml:space="preserve">lause 17 of Standard 1.3.3 should be replaced with two new </w:t>
      </w:r>
      <w:r w:rsidR="00594C25">
        <w:t>entries</w:t>
      </w:r>
      <w:r w:rsidR="002E4B87">
        <w:t xml:space="preserve">, </w:t>
      </w:r>
      <w:r>
        <w:t xml:space="preserve">Aspergillopepsin I and Aspergillopepsin II. The microbiological sources for these two enzyme </w:t>
      </w:r>
      <w:r w:rsidR="00EC10AE">
        <w:t xml:space="preserve">names </w:t>
      </w:r>
      <w:r>
        <w:t xml:space="preserve">are </w:t>
      </w:r>
      <w:r w:rsidR="00E1578F">
        <w:t xml:space="preserve">proposed to be </w:t>
      </w:r>
      <w:r w:rsidRPr="002F704A">
        <w:rPr>
          <w:i/>
        </w:rPr>
        <w:t xml:space="preserve">Aspergillus </w:t>
      </w:r>
      <w:proofErr w:type="gramStart"/>
      <w:r w:rsidRPr="002F704A">
        <w:rPr>
          <w:i/>
        </w:rPr>
        <w:t>niger</w:t>
      </w:r>
      <w:proofErr w:type="gramEnd"/>
      <w:r>
        <w:rPr>
          <w:i/>
        </w:rPr>
        <w:t xml:space="preserve"> and </w:t>
      </w:r>
      <w:r w:rsidRPr="00AC2064">
        <w:rPr>
          <w:i/>
        </w:rPr>
        <w:t>Aspergillus oryzae</w:t>
      </w:r>
      <w:r w:rsidR="00537CA2">
        <w:rPr>
          <w:i/>
        </w:rPr>
        <w:t>,</w:t>
      </w:r>
      <w:r>
        <w:rPr>
          <w:i/>
        </w:rPr>
        <w:t xml:space="preserve"> and Aspergillus niger </w:t>
      </w:r>
      <w:r>
        <w:t xml:space="preserve">respectively. </w:t>
      </w:r>
    </w:p>
    <w:p w:rsidR="00357CEB" w:rsidRDefault="00357CEB" w:rsidP="00A56E34"/>
    <w:p w:rsidR="00357CEB" w:rsidRDefault="00357CEB" w:rsidP="00A56E34"/>
    <w:p w:rsidR="004B74A2" w:rsidRDefault="004B74A2" w:rsidP="00A56E34"/>
    <w:p w:rsidR="0053464E" w:rsidRDefault="0053464E" w:rsidP="00A56E34">
      <w:r>
        <w:br w:type="page"/>
      </w:r>
    </w:p>
    <w:p w:rsidR="002A5F8B" w:rsidRPr="000B6AF2" w:rsidRDefault="00F33BB8" w:rsidP="000B6AF2">
      <w:pPr>
        <w:pStyle w:val="Heading1"/>
      </w:pPr>
      <w:bookmarkStart w:id="10" w:name="_Toc300933417"/>
      <w:bookmarkStart w:id="11" w:name="_Toc384895020"/>
      <w:r>
        <w:lastRenderedPageBreak/>
        <w:t>1</w:t>
      </w:r>
      <w:r w:rsidR="001542D8">
        <w:tab/>
      </w:r>
      <w:r w:rsidR="002A5F8B" w:rsidRPr="000B6AF2">
        <w:t>Introduction</w:t>
      </w:r>
      <w:bookmarkEnd w:id="9"/>
      <w:bookmarkEnd w:id="10"/>
      <w:bookmarkEnd w:id="11"/>
    </w:p>
    <w:p w:rsidR="0053464E" w:rsidRPr="0053464E" w:rsidRDefault="00F33BB8" w:rsidP="00A56E34">
      <w:pPr>
        <w:pStyle w:val="Heading2"/>
      </w:pPr>
      <w:bookmarkStart w:id="12" w:name="_Toc300761890"/>
      <w:bookmarkStart w:id="13" w:name="_Toc300933419"/>
      <w:bookmarkStart w:id="14" w:name="_Toc384895021"/>
      <w:r>
        <w:t>1</w:t>
      </w:r>
      <w:r w:rsidR="0053464E" w:rsidRPr="0053464E">
        <w:t>.1</w:t>
      </w:r>
      <w:r w:rsidR="0053464E" w:rsidRPr="0053464E">
        <w:tab/>
        <w:t>The Applicant</w:t>
      </w:r>
      <w:bookmarkEnd w:id="12"/>
      <w:bookmarkEnd w:id="13"/>
      <w:bookmarkEnd w:id="14"/>
    </w:p>
    <w:p w:rsidR="001C62BD" w:rsidRPr="001C62BD" w:rsidRDefault="001C62BD" w:rsidP="001C62BD">
      <w:bookmarkStart w:id="15" w:name="_Toc300761891"/>
      <w:bookmarkStart w:id="16" w:name="_Toc300933420"/>
      <w:r>
        <w:t xml:space="preserve">The Australian </w:t>
      </w:r>
      <w:r w:rsidRPr="001C62BD">
        <w:t>Wine Research Institute Ltd</w:t>
      </w:r>
      <w:r w:rsidR="002E6356">
        <w:t xml:space="preserve"> (AWRI)</w:t>
      </w:r>
      <w:r w:rsidRPr="001C62BD">
        <w:t xml:space="preserve"> </w:t>
      </w:r>
      <w:r w:rsidR="002E6356">
        <w:t>is</w:t>
      </w:r>
      <w:r w:rsidRPr="001C62BD">
        <w:t xml:space="preserve"> an organisation that supports Australian grape and wine producers with</w:t>
      </w:r>
      <w:r w:rsidR="002E6356">
        <w:t xml:space="preserve"> new</w:t>
      </w:r>
      <w:r w:rsidRPr="001C62BD">
        <w:t xml:space="preserve"> </w:t>
      </w:r>
      <w:r>
        <w:t xml:space="preserve">innovations, tools and </w:t>
      </w:r>
      <w:r w:rsidRPr="001C62BD">
        <w:t>practices</w:t>
      </w:r>
      <w:r w:rsidR="001521B3">
        <w:t xml:space="preserve"> for their businesses</w:t>
      </w:r>
      <w:r w:rsidRPr="001C62BD">
        <w:t xml:space="preserve">. </w:t>
      </w:r>
    </w:p>
    <w:p w:rsidR="0053464E" w:rsidRPr="0053464E" w:rsidRDefault="00F33BB8" w:rsidP="001521B3">
      <w:pPr>
        <w:pStyle w:val="Heading2"/>
      </w:pPr>
      <w:bookmarkStart w:id="17" w:name="_Toc384895022"/>
      <w:r>
        <w:t>1</w:t>
      </w:r>
      <w:r w:rsidR="0053464E" w:rsidRPr="0053464E">
        <w:t>.2</w:t>
      </w:r>
      <w:r w:rsidR="0053464E" w:rsidRPr="0053464E">
        <w:tab/>
        <w:t xml:space="preserve">The </w:t>
      </w:r>
      <w:r w:rsidR="0053464E" w:rsidRPr="00A56E34">
        <w:t>Application</w:t>
      </w:r>
      <w:bookmarkEnd w:id="15"/>
      <w:bookmarkEnd w:id="16"/>
      <w:bookmarkEnd w:id="17"/>
    </w:p>
    <w:p w:rsidR="00C70F71" w:rsidRPr="00C70F71" w:rsidRDefault="00C70F71" w:rsidP="00C70F71">
      <w:r w:rsidRPr="004277E5">
        <w:t xml:space="preserve">The Application was received by FSANZ on </w:t>
      </w:r>
      <w:r>
        <w:t>19 September 2013</w:t>
      </w:r>
      <w:r w:rsidRPr="004277E5">
        <w:t xml:space="preserve">. The purpose of the Application is to </w:t>
      </w:r>
      <w:r>
        <w:t xml:space="preserve">update the Table to clause 17 of Standard 1.3.3 – Processing Aids to reflect a change to </w:t>
      </w:r>
      <w:r w:rsidR="00BE00A9">
        <w:t xml:space="preserve">the naming </w:t>
      </w:r>
      <w:r w:rsidR="00F720CE">
        <w:t xml:space="preserve">and classification </w:t>
      </w:r>
      <w:r w:rsidR="00BE00A9">
        <w:t xml:space="preserve">of carboxyl proteinase enzymes that was </w:t>
      </w:r>
      <w:r>
        <w:t xml:space="preserve">made by the International Union of Biochemistry and Molecular Biology (IUBMB). The </w:t>
      </w:r>
      <w:r w:rsidRPr="00C70F71">
        <w:t>IUBMB is</w:t>
      </w:r>
      <w:r>
        <w:t xml:space="preserve"> a not-for-profit organisation that</w:t>
      </w:r>
      <w:r w:rsidRPr="00C70F71">
        <w:t xml:space="preserve"> promot</w:t>
      </w:r>
      <w:r>
        <w:t>es</w:t>
      </w:r>
      <w:r w:rsidRPr="00C70F71">
        <w:t xml:space="preserve"> research and education in biochemistry and molecular biology throughout the world</w:t>
      </w:r>
      <w:r w:rsidR="00EC10AE">
        <w:t xml:space="preserve"> and is viewed internationally as the authority for enzyme nomenclature</w:t>
      </w:r>
      <w:r>
        <w:t>. Previous IUBMB nomenclature recommendations have formed the basis for the names of enzymes that are currently listed in Standard 1.3.3</w:t>
      </w:r>
      <w:r w:rsidR="00350532">
        <w:t>.</w:t>
      </w:r>
    </w:p>
    <w:p w:rsidR="00C70F71" w:rsidRDefault="00C70F71" w:rsidP="00C70F71"/>
    <w:p w:rsidR="00E36EF5" w:rsidRDefault="00E36EF5" w:rsidP="00C70F71">
      <w:r>
        <w:t>The IUBMB currently recommends</w:t>
      </w:r>
      <w:r w:rsidR="00717CA0">
        <w:t xml:space="preserve"> </w:t>
      </w:r>
      <w:r w:rsidR="00040D70" w:rsidRPr="00040D70">
        <w:rPr>
          <w:szCs w:val="22"/>
        </w:rPr>
        <w:t>(IUBMB, 19</w:t>
      </w:r>
      <w:r w:rsidR="00040D70">
        <w:rPr>
          <w:szCs w:val="22"/>
        </w:rPr>
        <w:t>92</w:t>
      </w:r>
      <w:r w:rsidR="00040D70" w:rsidRPr="00040D70">
        <w:rPr>
          <w:szCs w:val="22"/>
        </w:rPr>
        <w:t>)</w:t>
      </w:r>
      <w:r>
        <w:t xml:space="preserve"> that carboxyl proteinase enzymes (EC 3.4.23.6) be split into twelve new enzyme categories:</w:t>
      </w:r>
    </w:p>
    <w:p w:rsidR="00075C83" w:rsidRDefault="00075C83" w:rsidP="00075C83">
      <w:pPr>
        <w:pStyle w:val="FSBullet"/>
        <w:sectPr w:rsidR="00075C83" w:rsidSect="00CC36E7">
          <w:pgSz w:w="11906" w:h="16838"/>
          <w:pgMar w:top="1418" w:right="1418" w:bottom="1134" w:left="1418" w:header="709" w:footer="709" w:gutter="0"/>
          <w:pgNumType w:start="1"/>
          <w:cols w:space="708"/>
          <w:docGrid w:linePitch="360"/>
        </w:sectPr>
      </w:pPr>
    </w:p>
    <w:p w:rsidR="00E36EF5" w:rsidRDefault="00E36EF5" w:rsidP="00075C83">
      <w:pPr>
        <w:pStyle w:val="FSBullet"/>
        <w:spacing w:before="120"/>
      </w:pPr>
      <w:r>
        <w:lastRenderedPageBreak/>
        <w:t>A</w:t>
      </w:r>
      <w:r w:rsidR="008D4424">
        <w:t>s</w:t>
      </w:r>
      <w:r>
        <w:t>pergillopepsin I (EC 3.4.23.18)</w:t>
      </w:r>
    </w:p>
    <w:p w:rsidR="00E36EF5" w:rsidRDefault="00E36EF5" w:rsidP="00075C83">
      <w:pPr>
        <w:pStyle w:val="FSBullet"/>
      </w:pPr>
      <w:r>
        <w:t>A</w:t>
      </w:r>
      <w:r w:rsidR="008D4424">
        <w:t>s</w:t>
      </w:r>
      <w:r>
        <w:t>pergillopepsin II (EC 3.4.23.19)</w:t>
      </w:r>
    </w:p>
    <w:p w:rsidR="00E36EF5" w:rsidRDefault="00E36EF5" w:rsidP="00075C83">
      <w:pPr>
        <w:pStyle w:val="FSBullet"/>
      </w:pPr>
      <w:r>
        <w:t>Penicillopepsin (EC.4.23.20)</w:t>
      </w:r>
    </w:p>
    <w:p w:rsidR="00E36EF5" w:rsidRDefault="00075C83" w:rsidP="00075C83">
      <w:pPr>
        <w:pStyle w:val="FSBullet"/>
      </w:pPr>
      <w:r>
        <w:t>Rhiz</w:t>
      </w:r>
      <w:r w:rsidR="00E36EF5">
        <w:t xml:space="preserve">opepsin </w:t>
      </w:r>
      <w:r>
        <w:t>(EC 3.4.23.21</w:t>
      </w:r>
      <w:r w:rsidR="00E36EF5">
        <w:t>)</w:t>
      </w:r>
    </w:p>
    <w:p w:rsidR="00075C83" w:rsidRDefault="00075C83" w:rsidP="00075C83">
      <w:pPr>
        <w:pStyle w:val="FSBullet"/>
      </w:pPr>
      <w:r>
        <w:t>Endothiapepsin (EC 3.4.23.22)</w:t>
      </w:r>
    </w:p>
    <w:p w:rsidR="00075C83" w:rsidRDefault="00075C83" w:rsidP="00075C83">
      <w:pPr>
        <w:pStyle w:val="FSBullet"/>
      </w:pPr>
      <w:r>
        <w:t>Mucorpepsin (EC 3.4.23.23)</w:t>
      </w:r>
    </w:p>
    <w:p w:rsidR="00075C83" w:rsidRDefault="00075C83" w:rsidP="00075C83">
      <w:pPr>
        <w:pStyle w:val="FSBullet"/>
        <w:spacing w:before="120"/>
      </w:pPr>
      <w:r>
        <w:lastRenderedPageBreak/>
        <w:t>Candidapepsin (EC 3.4.23.24)</w:t>
      </w:r>
    </w:p>
    <w:p w:rsidR="00075C83" w:rsidRDefault="00075C83" w:rsidP="00075C83">
      <w:pPr>
        <w:pStyle w:val="FSBullet"/>
      </w:pPr>
      <w:r>
        <w:t>Saccharopepsin (EC 3.4.23.25)</w:t>
      </w:r>
    </w:p>
    <w:p w:rsidR="00075C83" w:rsidRDefault="00075C83" w:rsidP="00075C83">
      <w:pPr>
        <w:pStyle w:val="FSBullet"/>
      </w:pPr>
      <w:r>
        <w:t>Rhodotorulapepsin (EC 3.4.23.26)</w:t>
      </w:r>
    </w:p>
    <w:p w:rsidR="00075C83" w:rsidRDefault="00075C83" w:rsidP="00075C83">
      <w:pPr>
        <w:pStyle w:val="FSBullet"/>
      </w:pPr>
      <w:r>
        <w:t>Physaropepsin (EC 3.4.23.27)</w:t>
      </w:r>
    </w:p>
    <w:p w:rsidR="00075C83" w:rsidRDefault="00075C83" w:rsidP="00075C83">
      <w:pPr>
        <w:pStyle w:val="FSBullet"/>
      </w:pPr>
      <w:r>
        <w:t>Acrocylindroopepsin (EC 3.4.23.28)</w:t>
      </w:r>
    </w:p>
    <w:p w:rsidR="00075C83" w:rsidRDefault="00075C83" w:rsidP="00075C83">
      <w:pPr>
        <w:pStyle w:val="FSBullet"/>
      </w:pPr>
      <w:r>
        <w:t>Pycnoporopepsin (EC 3.4.23.30)</w:t>
      </w:r>
    </w:p>
    <w:p w:rsidR="00075C83" w:rsidRDefault="00075C83" w:rsidP="00075C83">
      <w:pPr>
        <w:sectPr w:rsidR="00075C83" w:rsidSect="00075C83">
          <w:type w:val="continuous"/>
          <w:pgSz w:w="11906" w:h="16838"/>
          <w:pgMar w:top="1418" w:right="1418" w:bottom="1134" w:left="1418" w:header="709" w:footer="709" w:gutter="0"/>
          <w:pgNumType w:start="1"/>
          <w:cols w:num="2" w:space="708"/>
          <w:docGrid w:linePitch="360"/>
        </w:sectPr>
      </w:pPr>
    </w:p>
    <w:p w:rsidR="00075C83" w:rsidRDefault="00075C83" w:rsidP="00075C83"/>
    <w:p w:rsidR="0053464E" w:rsidRPr="00F33BB8" w:rsidRDefault="00BE00A9" w:rsidP="00F720CE">
      <w:pPr>
        <w:rPr>
          <w:color w:val="00B050"/>
        </w:rPr>
      </w:pPr>
      <w:r>
        <w:t>T</w:t>
      </w:r>
      <w:r w:rsidR="00C70F71">
        <w:t xml:space="preserve">he </w:t>
      </w:r>
      <w:r w:rsidR="00F720CE">
        <w:t>Applicant has stated that</w:t>
      </w:r>
      <w:r w:rsidR="00E36EF5">
        <w:t xml:space="preserve"> because the</w:t>
      </w:r>
      <w:r w:rsidR="00F720CE">
        <w:t xml:space="preserve"> current enzyme nomenclature for carboxyl proteinase enzymes is out-of-date, the entry in Standard 1.3.3 </w:t>
      </w:r>
      <w:r w:rsidR="00E36EF5">
        <w:t xml:space="preserve">should be updated to </w:t>
      </w:r>
      <w:r w:rsidR="00F720CE">
        <w:t xml:space="preserve">provide regulatory certainty </w:t>
      </w:r>
      <w:r w:rsidR="00E1578F">
        <w:t>for</w:t>
      </w:r>
      <w:r w:rsidR="00E36EF5">
        <w:t xml:space="preserve"> the</w:t>
      </w:r>
      <w:r w:rsidR="00F720CE">
        <w:t xml:space="preserve"> permission</w:t>
      </w:r>
      <w:r w:rsidR="00E1578F">
        <w:t xml:space="preserve"> to</w:t>
      </w:r>
      <w:r w:rsidR="00F720CE">
        <w:t xml:space="preserve"> use these enzymes</w:t>
      </w:r>
      <w:r w:rsidR="008D786A">
        <w:t>.</w:t>
      </w:r>
      <w:r w:rsidR="00F720CE">
        <w:t xml:space="preserve"> </w:t>
      </w:r>
    </w:p>
    <w:p w:rsidR="0053464E" w:rsidRPr="0053464E" w:rsidRDefault="00F33BB8" w:rsidP="00A56E34">
      <w:pPr>
        <w:pStyle w:val="Heading2"/>
      </w:pPr>
      <w:bookmarkStart w:id="18" w:name="_Toc300761892"/>
      <w:bookmarkStart w:id="19" w:name="_Toc300933421"/>
      <w:bookmarkStart w:id="20" w:name="_Toc384895023"/>
      <w:r>
        <w:t>1</w:t>
      </w:r>
      <w:r w:rsidR="00A56E34">
        <w:t>.3</w:t>
      </w:r>
      <w:r w:rsidR="00A56E34">
        <w:tab/>
        <w:t>The c</w:t>
      </w:r>
      <w:r w:rsidR="0053464E" w:rsidRPr="0053464E">
        <w:t>urrent Standard</w:t>
      </w:r>
      <w:bookmarkEnd w:id="18"/>
      <w:bookmarkEnd w:id="19"/>
      <w:r w:rsidR="008D786A">
        <w:t xml:space="preserve"> and details of proposed changes</w:t>
      </w:r>
      <w:bookmarkEnd w:id="20"/>
    </w:p>
    <w:p w:rsidR="00C00226" w:rsidRDefault="00B815F2" w:rsidP="00B815F2">
      <w:pPr>
        <w:pStyle w:val="Heading3"/>
      </w:pPr>
      <w:r>
        <w:t>1.3.1</w:t>
      </w:r>
      <w:r>
        <w:tab/>
      </w:r>
      <w:r w:rsidR="00C00226">
        <w:t>History of enzyme processing aid</w:t>
      </w:r>
      <w:r w:rsidR="00B96F4E" w:rsidRPr="00B96F4E">
        <w:t xml:space="preserve"> </w:t>
      </w:r>
      <w:r w:rsidR="00B96F4E">
        <w:t>regulations</w:t>
      </w:r>
    </w:p>
    <w:p w:rsidR="00C00226" w:rsidRDefault="00C00226" w:rsidP="008D786A">
      <w:r>
        <w:t xml:space="preserve">Standard A16 – Processing Aids was introduced into the </w:t>
      </w:r>
      <w:r w:rsidRPr="00CE1B2F">
        <w:t>Australian</w:t>
      </w:r>
      <w:r w:rsidRPr="00604A96">
        <w:rPr>
          <w:i/>
        </w:rPr>
        <w:t xml:space="preserve"> Food Standards Code</w:t>
      </w:r>
      <w:r>
        <w:t xml:space="preserve"> in 1996, following consideration by FSANZ under</w:t>
      </w:r>
      <w:r w:rsidR="002E4B87">
        <w:t xml:space="preserve"> Proposal </w:t>
      </w:r>
      <w:r>
        <w:t>P86 – Development of a Standard to Regulate Processing Aids. During P86, FSANZ adopted the principle of naming and classifying enzyme processing aids according to IUBMB nomenclature recommendations. This principle was supported by submitters during several rounds of public consultation.</w:t>
      </w:r>
    </w:p>
    <w:p w:rsidR="00C00226" w:rsidRDefault="00C00226" w:rsidP="008D786A"/>
    <w:p w:rsidR="00DA248C" w:rsidRDefault="0021146F" w:rsidP="008D786A">
      <w:r>
        <w:t xml:space="preserve">Australia and New Zealand moved to a joint food regulatory system in 2002. </w:t>
      </w:r>
      <w:r w:rsidR="00DA248C">
        <w:t xml:space="preserve">As part of this process, </w:t>
      </w:r>
      <w:r>
        <w:t>FSANZ replaced Standard A16 with Standard 1.3.3</w:t>
      </w:r>
      <w:r w:rsidR="00DA248C">
        <w:t xml:space="preserve"> following </w:t>
      </w:r>
      <w:r>
        <w:t xml:space="preserve">a review of </w:t>
      </w:r>
      <w:r w:rsidR="00DA248C">
        <w:t xml:space="preserve">how </w:t>
      </w:r>
      <w:r>
        <w:t>pro</w:t>
      </w:r>
      <w:r w:rsidR="00DA248C">
        <w:t>cessing aid</w:t>
      </w:r>
      <w:r>
        <w:t>s</w:t>
      </w:r>
      <w:r w:rsidR="00DA248C">
        <w:t xml:space="preserve"> were regulated in both countries</w:t>
      </w:r>
      <w:r>
        <w:t xml:space="preserve">. The enzyme processing aid requirements in Standard 1.3.3 were further reviewed in 2008 under Proposal P276 – Review of Processing Aids (Enzymes). </w:t>
      </w:r>
    </w:p>
    <w:p w:rsidR="00DA248C" w:rsidRDefault="00DA248C" w:rsidP="008D786A"/>
    <w:p w:rsidR="009D2B8F" w:rsidRDefault="0021146F" w:rsidP="00CE1B2F">
      <w:pPr>
        <w:widowControl/>
      </w:pPr>
      <w:r>
        <w:t xml:space="preserve">During all of these reviews, FSANZ reaffirmed the use of IUBMB nomenclature as the basis of naming and classifying enzyme processing aids. During Proposal P276, FSANZ proposed to use </w:t>
      </w:r>
      <w:r w:rsidR="00CF2FEB">
        <w:t xml:space="preserve">the </w:t>
      </w:r>
      <w:r>
        <w:t xml:space="preserve">1992 IUBMB recommendations to update </w:t>
      </w:r>
      <w:r w:rsidR="00DA248C">
        <w:t xml:space="preserve">the nomenclature for </w:t>
      </w:r>
      <w:r>
        <w:t xml:space="preserve">several enzymes (including carboxyl proteinase). However, industry submitter feedback at the time stated that this was unnecessary, and that the preference was to maintain existing nomenclature arrangements in Standard 1.3.3. </w:t>
      </w:r>
      <w:r w:rsidR="009D2B8F">
        <w:br w:type="page"/>
      </w:r>
    </w:p>
    <w:p w:rsidR="00DA248C" w:rsidRDefault="00B815F2" w:rsidP="00B815F2">
      <w:pPr>
        <w:pStyle w:val="Heading3"/>
      </w:pPr>
      <w:r>
        <w:lastRenderedPageBreak/>
        <w:t>1.3.2</w:t>
      </w:r>
      <w:r>
        <w:tab/>
      </w:r>
      <w:r w:rsidR="00DA248C">
        <w:t>Current Standard</w:t>
      </w:r>
    </w:p>
    <w:p w:rsidR="006A051D" w:rsidRDefault="006A051D" w:rsidP="008D786A">
      <w:r>
        <w:t>Clause 17 of Standard 1.3.3 provides permissions for enzymes of microbial origin that may be used as processing aids</w:t>
      </w:r>
      <w:r w:rsidR="00EC10AE">
        <w:t xml:space="preserve"> in the manufacture of food</w:t>
      </w:r>
      <w:r>
        <w:t>. The Table to clause 17 lists these enzymes and their permitted microbi</w:t>
      </w:r>
      <w:r w:rsidR="00E1578F">
        <w:t>ological</w:t>
      </w:r>
      <w:r>
        <w:t xml:space="preserve"> sources, and the current entry for carboxyl proteinase as follows:</w:t>
      </w:r>
    </w:p>
    <w:p w:rsidR="006A051D" w:rsidRDefault="006A051D" w:rsidP="008D786A"/>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6A051D" w:rsidRPr="00753967" w:rsidTr="00E36EF5">
        <w:trPr>
          <w:tblHeader/>
          <w:jc w:val="center"/>
        </w:trPr>
        <w:tc>
          <w:tcPr>
            <w:tcW w:w="4001" w:type="dxa"/>
            <w:tcBorders>
              <w:top w:val="single" w:sz="6" w:space="0" w:color="auto"/>
              <w:left w:val="single" w:sz="6" w:space="0" w:color="auto"/>
              <w:bottom w:val="single" w:sz="6" w:space="0" w:color="auto"/>
              <w:right w:val="single" w:sz="6" w:space="0" w:color="auto"/>
            </w:tcBorders>
          </w:tcPr>
          <w:p w:rsidR="006A051D" w:rsidRPr="00CE1B2F" w:rsidRDefault="006A051D" w:rsidP="006A051D">
            <w:pPr>
              <w:rPr>
                <w:b/>
                <w:sz w:val="20"/>
              </w:rPr>
            </w:pPr>
            <w:r w:rsidRPr="00CE1B2F">
              <w:rPr>
                <w:b/>
                <w:sz w:val="20"/>
              </w:rPr>
              <w:t>Enzyme</w:t>
            </w:r>
          </w:p>
        </w:tc>
        <w:tc>
          <w:tcPr>
            <w:tcW w:w="5071" w:type="dxa"/>
            <w:tcBorders>
              <w:top w:val="single" w:sz="6" w:space="0" w:color="auto"/>
              <w:left w:val="single" w:sz="6" w:space="0" w:color="auto"/>
              <w:bottom w:val="single" w:sz="6" w:space="0" w:color="auto"/>
              <w:right w:val="single" w:sz="6" w:space="0" w:color="auto"/>
            </w:tcBorders>
          </w:tcPr>
          <w:p w:rsidR="006A051D" w:rsidRPr="00CE1B2F" w:rsidRDefault="006A051D" w:rsidP="006A051D">
            <w:pPr>
              <w:rPr>
                <w:b/>
                <w:sz w:val="20"/>
              </w:rPr>
            </w:pPr>
            <w:r w:rsidRPr="00CE1B2F">
              <w:rPr>
                <w:b/>
                <w:sz w:val="20"/>
              </w:rPr>
              <w:t>Source</w:t>
            </w:r>
          </w:p>
        </w:tc>
      </w:tr>
      <w:tr w:rsidR="006A051D" w:rsidRPr="002F704A" w:rsidDel="00B6101B" w:rsidTr="00E36EF5">
        <w:trPr>
          <w:cantSplit/>
          <w:jc w:val="center"/>
        </w:trPr>
        <w:tc>
          <w:tcPr>
            <w:tcW w:w="4001" w:type="dxa"/>
            <w:tcBorders>
              <w:top w:val="single" w:sz="6" w:space="0" w:color="auto"/>
              <w:left w:val="single" w:sz="6" w:space="0" w:color="auto"/>
              <w:bottom w:val="single" w:sz="6" w:space="0" w:color="auto"/>
              <w:right w:val="single" w:sz="6" w:space="0" w:color="auto"/>
            </w:tcBorders>
          </w:tcPr>
          <w:p w:rsidR="006A051D" w:rsidRPr="00CE1B2F" w:rsidRDefault="006A051D" w:rsidP="006A051D">
            <w:pPr>
              <w:rPr>
                <w:sz w:val="20"/>
              </w:rPr>
            </w:pPr>
            <w:r w:rsidRPr="00CE1B2F">
              <w:rPr>
                <w:sz w:val="20"/>
              </w:rPr>
              <w:t>Carboxyl proteinase</w:t>
            </w:r>
          </w:p>
          <w:p w:rsidR="006A051D" w:rsidRPr="00CE1B2F" w:rsidDel="00B6101B" w:rsidRDefault="006A051D" w:rsidP="006A051D">
            <w:pPr>
              <w:rPr>
                <w:sz w:val="20"/>
              </w:rPr>
            </w:pPr>
            <w:r w:rsidRPr="00CE1B2F">
              <w:rPr>
                <w:sz w:val="20"/>
              </w:rPr>
              <w:t>EC 3.4.23.6</w:t>
            </w:r>
          </w:p>
        </w:tc>
        <w:tc>
          <w:tcPr>
            <w:tcW w:w="5071" w:type="dxa"/>
            <w:tcBorders>
              <w:top w:val="single" w:sz="6" w:space="0" w:color="auto"/>
              <w:left w:val="single" w:sz="6" w:space="0" w:color="auto"/>
              <w:bottom w:val="single" w:sz="4" w:space="0" w:color="auto"/>
              <w:right w:val="single" w:sz="4" w:space="0" w:color="auto"/>
            </w:tcBorders>
          </w:tcPr>
          <w:p w:rsidR="006A051D" w:rsidRPr="00CE1B2F" w:rsidRDefault="006A051D" w:rsidP="006A051D">
            <w:pPr>
              <w:rPr>
                <w:i/>
                <w:sz w:val="20"/>
              </w:rPr>
            </w:pPr>
            <w:r w:rsidRPr="00CE1B2F">
              <w:rPr>
                <w:i/>
                <w:sz w:val="20"/>
              </w:rPr>
              <w:t>Aspergillus melleus</w:t>
            </w:r>
          </w:p>
          <w:p w:rsidR="006A051D" w:rsidRPr="00CE1B2F" w:rsidRDefault="006A051D" w:rsidP="006A051D">
            <w:pPr>
              <w:rPr>
                <w:i/>
                <w:sz w:val="20"/>
              </w:rPr>
            </w:pPr>
            <w:r w:rsidRPr="00CE1B2F">
              <w:rPr>
                <w:i/>
                <w:sz w:val="20"/>
              </w:rPr>
              <w:t>Aspergillus niger</w:t>
            </w:r>
          </w:p>
          <w:p w:rsidR="006A051D" w:rsidRPr="00CE1B2F" w:rsidRDefault="006A051D" w:rsidP="006A051D">
            <w:pPr>
              <w:rPr>
                <w:i/>
                <w:sz w:val="20"/>
              </w:rPr>
            </w:pPr>
            <w:r w:rsidRPr="00CE1B2F">
              <w:rPr>
                <w:i/>
                <w:sz w:val="20"/>
              </w:rPr>
              <w:t>Aspergillus oryzae</w:t>
            </w:r>
          </w:p>
          <w:p w:rsidR="006A051D" w:rsidRPr="00CE1B2F" w:rsidDel="00B6101B" w:rsidRDefault="006A051D" w:rsidP="006A051D">
            <w:pPr>
              <w:rPr>
                <w:i/>
                <w:sz w:val="20"/>
              </w:rPr>
            </w:pPr>
            <w:r w:rsidRPr="00CE1B2F">
              <w:rPr>
                <w:i/>
                <w:sz w:val="20"/>
              </w:rPr>
              <w:t>Rhizomucor miehei</w:t>
            </w:r>
          </w:p>
        </w:tc>
      </w:tr>
    </w:tbl>
    <w:p w:rsidR="00DA248C" w:rsidRDefault="00F26534" w:rsidP="00F26534">
      <w:pPr>
        <w:pStyle w:val="Heading3"/>
      </w:pPr>
      <w:r>
        <w:t>1.3.3</w:t>
      </w:r>
      <w:r>
        <w:tab/>
      </w:r>
      <w:r w:rsidR="00DA248C">
        <w:t>Proposed changes to Standard 1.3.3</w:t>
      </w:r>
    </w:p>
    <w:p w:rsidR="006A051D" w:rsidRDefault="006A051D" w:rsidP="008D786A">
      <w:r>
        <w:t>The Applicant has requested that th</w:t>
      </w:r>
      <w:r w:rsidR="00096DB0">
        <w:t>e carboxyl proteinase</w:t>
      </w:r>
      <w:r>
        <w:t xml:space="preserve"> entry </w:t>
      </w:r>
      <w:r w:rsidR="00AC2064">
        <w:t>be</w:t>
      </w:r>
      <w:r>
        <w:t xml:space="preserve"> deleted and replaced with </w:t>
      </w:r>
      <w:r w:rsidR="00330878">
        <w:t xml:space="preserve">the following two </w:t>
      </w:r>
      <w:r>
        <w:t xml:space="preserve">new entries </w:t>
      </w:r>
      <w:r w:rsidR="00330878">
        <w:t>that reflect IUBMB nomenclature changes</w:t>
      </w:r>
      <w:r>
        <w:t>:</w:t>
      </w:r>
    </w:p>
    <w:p w:rsidR="006A051D" w:rsidRDefault="006A051D" w:rsidP="008D786A"/>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6A051D" w:rsidRPr="006A051D" w:rsidTr="00E36EF5">
        <w:trPr>
          <w:tblHeader/>
          <w:jc w:val="center"/>
        </w:trPr>
        <w:tc>
          <w:tcPr>
            <w:tcW w:w="4001" w:type="dxa"/>
            <w:tcBorders>
              <w:top w:val="single" w:sz="6" w:space="0" w:color="auto"/>
              <w:left w:val="single" w:sz="6" w:space="0" w:color="auto"/>
              <w:bottom w:val="single" w:sz="6" w:space="0" w:color="auto"/>
              <w:right w:val="single" w:sz="6" w:space="0" w:color="auto"/>
            </w:tcBorders>
          </w:tcPr>
          <w:p w:rsidR="006A051D" w:rsidRPr="00CE1B2F" w:rsidRDefault="006A051D" w:rsidP="00E36EF5">
            <w:pPr>
              <w:rPr>
                <w:b/>
                <w:sz w:val="20"/>
              </w:rPr>
            </w:pPr>
            <w:r w:rsidRPr="00CE1B2F">
              <w:rPr>
                <w:b/>
                <w:sz w:val="20"/>
              </w:rPr>
              <w:t>Enzyme</w:t>
            </w:r>
          </w:p>
        </w:tc>
        <w:tc>
          <w:tcPr>
            <w:tcW w:w="5071" w:type="dxa"/>
            <w:tcBorders>
              <w:top w:val="single" w:sz="6" w:space="0" w:color="auto"/>
              <w:left w:val="single" w:sz="6" w:space="0" w:color="auto"/>
              <w:bottom w:val="single" w:sz="6" w:space="0" w:color="auto"/>
              <w:right w:val="single" w:sz="6" w:space="0" w:color="auto"/>
            </w:tcBorders>
          </w:tcPr>
          <w:p w:rsidR="006A051D" w:rsidRPr="00CE1B2F" w:rsidRDefault="006A051D" w:rsidP="00E36EF5">
            <w:pPr>
              <w:rPr>
                <w:b/>
                <w:sz w:val="20"/>
              </w:rPr>
            </w:pPr>
            <w:r w:rsidRPr="00CE1B2F">
              <w:rPr>
                <w:b/>
                <w:sz w:val="20"/>
              </w:rPr>
              <w:t>Source</w:t>
            </w:r>
          </w:p>
        </w:tc>
      </w:tr>
      <w:tr w:rsidR="006A051D" w:rsidRPr="002F704A" w:rsidDel="00B6101B" w:rsidTr="006A051D">
        <w:trPr>
          <w:cantSplit/>
          <w:jc w:val="center"/>
        </w:trPr>
        <w:tc>
          <w:tcPr>
            <w:tcW w:w="4001" w:type="dxa"/>
            <w:tcBorders>
              <w:top w:val="single" w:sz="6" w:space="0" w:color="auto"/>
              <w:left w:val="single" w:sz="6" w:space="0" w:color="auto"/>
              <w:bottom w:val="single" w:sz="6" w:space="0" w:color="auto"/>
              <w:right w:val="single" w:sz="6" w:space="0" w:color="auto"/>
            </w:tcBorders>
          </w:tcPr>
          <w:p w:rsidR="006A051D" w:rsidRPr="00CE1B2F" w:rsidRDefault="006A051D" w:rsidP="00E36EF5">
            <w:pPr>
              <w:rPr>
                <w:sz w:val="20"/>
              </w:rPr>
            </w:pPr>
            <w:r w:rsidRPr="00CE1B2F">
              <w:rPr>
                <w:sz w:val="20"/>
              </w:rPr>
              <w:t>Aspergillopepsin I</w:t>
            </w:r>
          </w:p>
          <w:p w:rsidR="006A051D" w:rsidRPr="00CE1B2F" w:rsidDel="00B6101B" w:rsidRDefault="006A051D" w:rsidP="00E36EF5">
            <w:pPr>
              <w:rPr>
                <w:sz w:val="20"/>
              </w:rPr>
            </w:pPr>
            <w:r w:rsidRPr="00CE1B2F">
              <w:rPr>
                <w:sz w:val="20"/>
              </w:rPr>
              <w:t>EC 3.4.23.18</w:t>
            </w:r>
          </w:p>
        </w:tc>
        <w:tc>
          <w:tcPr>
            <w:tcW w:w="5071" w:type="dxa"/>
            <w:tcBorders>
              <w:top w:val="single" w:sz="6" w:space="0" w:color="auto"/>
              <w:left w:val="single" w:sz="6" w:space="0" w:color="auto"/>
              <w:bottom w:val="single" w:sz="6" w:space="0" w:color="auto"/>
              <w:right w:val="single" w:sz="4" w:space="0" w:color="auto"/>
            </w:tcBorders>
          </w:tcPr>
          <w:p w:rsidR="006A051D" w:rsidRPr="00CE1B2F" w:rsidRDefault="006A051D" w:rsidP="00E36EF5">
            <w:pPr>
              <w:rPr>
                <w:i/>
                <w:sz w:val="20"/>
              </w:rPr>
            </w:pPr>
            <w:r w:rsidRPr="00CE1B2F">
              <w:rPr>
                <w:i/>
                <w:sz w:val="20"/>
              </w:rPr>
              <w:t>Aspergillus melleus</w:t>
            </w:r>
          </w:p>
          <w:p w:rsidR="006A051D" w:rsidRPr="00CE1B2F" w:rsidRDefault="006A051D" w:rsidP="00E36EF5">
            <w:pPr>
              <w:rPr>
                <w:i/>
                <w:sz w:val="20"/>
              </w:rPr>
            </w:pPr>
            <w:r w:rsidRPr="00CE1B2F">
              <w:rPr>
                <w:i/>
                <w:sz w:val="20"/>
              </w:rPr>
              <w:t>Aspergillus niger</w:t>
            </w:r>
          </w:p>
          <w:p w:rsidR="006A051D" w:rsidRPr="00CE1B2F" w:rsidRDefault="006A051D" w:rsidP="00E36EF5">
            <w:pPr>
              <w:rPr>
                <w:i/>
                <w:sz w:val="20"/>
              </w:rPr>
            </w:pPr>
            <w:r w:rsidRPr="00CE1B2F">
              <w:rPr>
                <w:i/>
                <w:sz w:val="20"/>
              </w:rPr>
              <w:t>Aspergillus oryzae</w:t>
            </w:r>
          </w:p>
          <w:p w:rsidR="006A051D" w:rsidRPr="00CE1B2F" w:rsidDel="00B6101B" w:rsidRDefault="006A051D" w:rsidP="00E36EF5">
            <w:pPr>
              <w:rPr>
                <w:i/>
                <w:sz w:val="20"/>
              </w:rPr>
            </w:pPr>
            <w:r w:rsidRPr="00CE1B2F">
              <w:rPr>
                <w:i/>
                <w:sz w:val="20"/>
              </w:rPr>
              <w:t>Rhizomucor miehei</w:t>
            </w:r>
          </w:p>
        </w:tc>
      </w:tr>
      <w:tr w:rsidR="006A051D" w:rsidRPr="002F704A" w:rsidDel="00B6101B" w:rsidTr="00E36EF5">
        <w:trPr>
          <w:cantSplit/>
          <w:jc w:val="center"/>
        </w:trPr>
        <w:tc>
          <w:tcPr>
            <w:tcW w:w="4001" w:type="dxa"/>
            <w:tcBorders>
              <w:top w:val="single" w:sz="6" w:space="0" w:color="auto"/>
              <w:left w:val="single" w:sz="6" w:space="0" w:color="auto"/>
              <w:bottom w:val="single" w:sz="6" w:space="0" w:color="auto"/>
              <w:right w:val="single" w:sz="6" w:space="0" w:color="auto"/>
            </w:tcBorders>
          </w:tcPr>
          <w:p w:rsidR="006A051D" w:rsidRPr="00CE1B2F" w:rsidRDefault="006A051D" w:rsidP="00E36EF5">
            <w:pPr>
              <w:rPr>
                <w:sz w:val="20"/>
              </w:rPr>
            </w:pPr>
            <w:r w:rsidRPr="00CE1B2F">
              <w:rPr>
                <w:sz w:val="20"/>
              </w:rPr>
              <w:t>Aspergillopepsin II</w:t>
            </w:r>
          </w:p>
          <w:p w:rsidR="006A051D" w:rsidRPr="00CE1B2F" w:rsidDel="00B6101B" w:rsidRDefault="006A051D" w:rsidP="00E36EF5">
            <w:pPr>
              <w:rPr>
                <w:sz w:val="20"/>
              </w:rPr>
            </w:pPr>
            <w:r w:rsidRPr="00CE1B2F">
              <w:rPr>
                <w:sz w:val="20"/>
              </w:rPr>
              <w:t>EC 3.4.23.1</w:t>
            </w:r>
            <w:r w:rsidR="00330878" w:rsidRPr="00CE1B2F">
              <w:rPr>
                <w:sz w:val="20"/>
              </w:rPr>
              <w:t>9</w:t>
            </w:r>
          </w:p>
        </w:tc>
        <w:tc>
          <w:tcPr>
            <w:tcW w:w="5071" w:type="dxa"/>
            <w:tcBorders>
              <w:top w:val="single" w:sz="6" w:space="0" w:color="auto"/>
              <w:left w:val="single" w:sz="6" w:space="0" w:color="auto"/>
              <w:bottom w:val="single" w:sz="4" w:space="0" w:color="auto"/>
              <w:right w:val="single" w:sz="4" w:space="0" w:color="auto"/>
            </w:tcBorders>
          </w:tcPr>
          <w:p w:rsidR="006A051D" w:rsidRPr="00CE1B2F" w:rsidRDefault="006A051D" w:rsidP="00E36EF5">
            <w:pPr>
              <w:rPr>
                <w:i/>
                <w:sz w:val="20"/>
              </w:rPr>
            </w:pPr>
            <w:r w:rsidRPr="00CE1B2F">
              <w:rPr>
                <w:i/>
                <w:sz w:val="20"/>
              </w:rPr>
              <w:t>Aspergillus niger</w:t>
            </w:r>
          </w:p>
          <w:p w:rsidR="006A051D" w:rsidRPr="00CE1B2F" w:rsidDel="00B6101B" w:rsidRDefault="006A051D" w:rsidP="00E36EF5">
            <w:pPr>
              <w:rPr>
                <w:i/>
                <w:sz w:val="20"/>
              </w:rPr>
            </w:pPr>
          </w:p>
        </w:tc>
      </w:tr>
    </w:tbl>
    <w:p w:rsidR="00EC10AE" w:rsidRDefault="00EC10AE" w:rsidP="008D786A"/>
    <w:p w:rsidR="00096DB0" w:rsidRDefault="00096DB0" w:rsidP="008D786A">
      <w:r>
        <w:t>The Applicant stated that the Australian wine industry ha</w:t>
      </w:r>
      <w:r w:rsidR="002E4B87">
        <w:t>d</w:t>
      </w:r>
      <w:r>
        <w:t xml:space="preserve"> recently developed a mixture of Aspergillopepsin I and II enzymes for use in wine processing. AWRI ha</w:t>
      </w:r>
      <w:r w:rsidR="002E4B87">
        <w:t>d</w:t>
      </w:r>
      <w:r>
        <w:t xml:space="preserve"> therefore made </w:t>
      </w:r>
      <w:r w:rsidR="002E4B87">
        <w:t xml:space="preserve">the </w:t>
      </w:r>
      <w:r w:rsidR="00CF2FEB">
        <w:t>A</w:t>
      </w:r>
      <w:r>
        <w:t xml:space="preserve">pplication to FSANZ to ensure that wine manufacturers </w:t>
      </w:r>
      <w:r w:rsidR="00CE1B2F">
        <w:t>have</w:t>
      </w:r>
      <w:r w:rsidR="002E4B87">
        <w:t xml:space="preserve"> </w:t>
      </w:r>
      <w:r>
        <w:t>regulatory certainty over the permissions to use this new mixture of enzymes.</w:t>
      </w:r>
    </w:p>
    <w:p w:rsidR="00096DB0" w:rsidRDefault="00096DB0" w:rsidP="008D786A"/>
    <w:p w:rsidR="006A051D" w:rsidRPr="00F33BB8" w:rsidRDefault="00330878" w:rsidP="008D786A">
      <w:r>
        <w:t>Although</w:t>
      </w:r>
      <w:r w:rsidR="002E4B87">
        <w:t xml:space="preserve"> the</w:t>
      </w:r>
      <w:r>
        <w:t xml:space="preserve"> IUBMB has reclassified the carboxyl proteinase enzymes into twelve new enzyme </w:t>
      </w:r>
      <w:r w:rsidR="0004369D">
        <w:t>groups</w:t>
      </w:r>
      <w:r>
        <w:t>, the Applicant has only</w:t>
      </w:r>
      <w:r w:rsidR="00C87664">
        <w:t xml:space="preserve"> requested the </w:t>
      </w:r>
      <w:r w:rsidR="00EC10AE">
        <w:t xml:space="preserve">inclusion </w:t>
      </w:r>
      <w:r w:rsidR="00C87664">
        <w:t xml:space="preserve">of </w:t>
      </w:r>
      <w:r w:rsidR="008F227B">
        <w:t>A</w:t>
      </w:r>
      <w:r w:rsidR="00C87664">
        <w:t>spergill</w:t>
      </w:r>
      <w:r>
        <w:t xml:space="preserve">opepsin I and II in the </w:t>
      </w:r>
      <w:r w:rsidR="00075C83">
        <w:t>T</w:t>
      </w:r>
      <w:r>
        <w:t>able</w:t>
      </w:r>
      <w:r w:rsidR="00075C83">
        <w:t xml:space="preserve"> to clause 17</w:t>
      </w:r>
      <w:r>
        <w:t>. The intent is not to add new source organism permissions into the table, but to only update the names for the existing permissions.</w:t>
      </w:r>
    </w:p>
    <w:p w:rsidR="00AF387F" w:rsidRPr="000B6AF2" w:rsidRDefault="00F33BB8" w:rsidP="00D062E4">
      <w:pPr>
        <w:pStyle w:val="Heading2"/>
        <w:rPr>
          <w:u w:color="FFFF00"/>
        </w:rPr>
      </w:pPr>
      <w:bookmarkStart w:id="21" w:name="_Toc286391007"/>
      <w:bookmarkStart w:id="22" w:name="_Toc300933423"/>
      <w:bookmarkStart w:id="23" w:name="_Toc384895024"/>
      <w:bookmarkStart w:id="24" w:name="_Toc175381432"/>
      <w:r>
        <w:rPr>
          <w:u w:color="FFFF00"/>
        </w:rPr>
        <w:t>1</w:t>
      </w:r>
      <w:r w:rsidR="00606C88">
        <w:rPr>
          <w:u w:color="FFFF00"/>
        </w:rPr>
        <w:t>.4</w:t>
      </w:r>
      <w:r w:rsidR="001542D8">
        <w:rPr>
          <w:u w:color="FFFF00"/>
        </w:rPr>
        <w:tab/>
      </w:r>
      <w:r w:rsidR="00741EFE" w:rsidRPr="009A4EDE">
        <w:rPr>
          <w:u w:color="FFFF00"/>
        </w:rPr>
        <w:t>Reasons for accepting A</w:t>
      </w:r>
      <w:r w:rsidR="00AF387F" w:rsidRPr="009A4EDE">
        <w:rPr>
          <w:u w:color="FFFF00"/>
        </w:rPr>
        <w:t>pplication</w:t>
      </w:r>
      <w:bookmarkEnd w:id="21"/>
      <w:bookmarkEnd w:id="22"/>
      <w:bookmarkEnd w:id="23"/>
    </w:p>
    <w:p w:rsidR="009A4EDE" w:rsidRPr="00DE79D9" w:rsidRDefault="009A4EDE" w:rsidP="009A4EDE">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DE79D9">
        <w:t>The Application was accepted for assessment because</w:t>
      </w:r>
      <w:r>
        <w:t xml:space="preserve"> it</w:t>
      </w:r>
      <w:r w:rsidRPr="00DE79D9">
        <w:t>:</w:t>
      </w:r>
    </w:p>
    <w:p w:rsidR="009A4EDE" w:rsidRPr="007D2EBC" w:rsidRDefault="009A4EDE" w:rsidP="009A4EDE"/>
    <w:p w:rsidR="009A4EDE" w:rsidRPr="009A4EDE" w:rsidRDefault="009A4EDE" w:rsidP="009A4EDE">
      <w:pPr>
        <w:pStyle w:val="FSBullet1"/>
      </w:pPr>
      <w:r w:rsidRPr="009A4EDE">
        <w:t>complied with the procedural requirements under subsection 22(2) of the FSANZ Act</w:t>
      </w:r>
    </w:p>
    <w:p w:rsidR="009A4EDE" w:rsidRPr="009A4EDE" w:rsidRDefault="009A4EDE" w:rsidP="009A4EDE">
      <w:pPr>
        <w:pStyle w:val="FSBullet1"/>
      </w:pPr>
      <w:proofErr w:type="gramStart"/>
      <w:r w:rsidRPr="009A4EDE">
        <w:t>related</w:t>
      </w:r>
      <w:proofErr w:type="gramEnd"/>
      <w:r w:rsidRPr="009A4EDE">
        <w:t xml:space="preserve"> to a matter that warranted the variation of a food regulatory measure.</w:t>
      </w:r>
    </w:p>
    <w:p w:rsidR="00DE79D9" w:rsidRDefault="00D3171B" w:rsidP="00DE79D9">
      <w:pPr>
        <w:pStyle w:val="Heading2"/>
      </w:pPr>
      <w:bookmarkStart w:id="32" w:name="_Toc384895025"/>
      <w:r>
        <w:t>1</w:t>
      </w:r>
      <w:r w:rsidR="00606C88">
        <w:t>.5</w:t>
      </w:r>
      <w:r w:rsidR="00DE79D9">
        <w:tab/>
        <w:t>Procedure for assessment</w:t>
      </w:r>
      <w:bookmarkEnd w:id="32"/>
    </w:p>
    <w:p w:rsidR="00DE79D9" w:rsidRDefault="00DE79D9" w:rsidP="00DE79D9">
      <w:r w:rsidRPr="009A4EDE">
        <w:t>The Application is being assessed under the</w:t>
      </w:r>
      <w:r w:rsidR="009A4EDE" w:rsidRPr="009A4EDE">
        <w:t xml:space="preserve"> </w:t>
      </w:r>
      <w:r w:rsidRPr="009A4EDE">
        <w:t>General</w:t>
      </w:r>
      <w:r w:rsidR="009A4EDE">
        <w:t xml:space="preserve"> </w:t>
      </w:r>
      <w:r w:rsidRPr="009A4EDE">
        <w:t>Procedure.</w:t>
      </w:r>
    </w:p>
    <w:p w:rsidR="009D2B8F" w:rsidRPr="009A4EDE" w:rsidRDefault="009D2B8F" w:rsidP="00DE79D9"/>
    <w:p w:rsidR="00AF387F" w:rsidRPr="00180C41" w:rsidRDefault="00D3171B" w:rsidP="00180C41">
      <w:pPr>
        <w:pStyle w:val="Heading1"/>
      </w:pPr>
      <w:bookmarkStart w:id="33" w:name="_Toc300933424"/>
      <w:bookmarkStart w:id="34" w:name="_Toc384895026"/>
      <w:r>
        <w:t>2</w:t>
      </w:r>
      <w:r w:rsidR="001542D8">
        <w:tab/>
      </w:r>
      <w:r w:rsidR="00350DBD">
        <w:t>S</w:t>
      </w:r>
      <w:r w:rsidR="00FB1533">
        <w:t>ummary of the a</w:t>
      </w:r>
      <w:r w:rsidR="00FD2FBE">
        <w:t>ssessment</w:t>
      </w:r>
      <w:bookmarkEnd w:id="25"/>
      <w:bookmarkEnd w:id="33"/>
      <w:bookmarkEnd w:id="34"/>
    </w:p>
    <w:p w:rsidR="004F69F6" w:rsidRPr="00932F14" w:rsidRDefault="00D3171B" w:rsidP="004646F8">
      <w:pPr>
        <w:pStyle w:val="Heading2"/>
      </w:pPr>
      <w:bookmarkStart w:id="35" w:name="_Toc300933438"/>
      <w:bookmarkStart w:id="36" w:name="_Toc286391009"/>
      <w:bookmarkStart w:id="37" w:name="_Toc300933425"/>
      <w:bookmarkStart w:id="38" w:name="_Toc384895027"/>
      <w:bookmarkStart w:id="39" w:name="_Toc120358583"/>
      <w:bookmarkStart w:id="40" w:name="_Toc175381440"/>
      <w:r w:rsidRPr="008D4424">
        <w:t>2</w:t>
      </w:r>
      <w:r w:rsidR="00F33BB8" w:rsidRPr="008D4424">
        <w:t>.1</w:t>
      </w:r>
      <w:r w:rsidR="00F33BB8" w:rsidRPr="008D4424">
        <w:tab/>
      </w:r>
      <w:bookmarkEnd w:id="35"/>
      <w:r w:rsidR="004F69F6" w:rsidRPr="00932F14">
        <w:t xml:space="preserve">Risk </w:t>
      </w:r>
      <w:r w:rsidR="00741EFE">
        <w:t>a</w:t>
      </w:r>
      <w:r w:rsidR="004F69F6" w:rsidRPr="00932F14">
        <w:t>ssessment</w:t>
      </w:r>
      <w:bookmarkEnd w:id="36"/>
      <w:bookmarkEnd w:id="37"/>
      <w:bookmarkEnd w:id="38"/>
      <w:r w:rsidR="004F69F6" w:rsidRPr="00932F14">
        <w:t xml:space="preserve"> </w:t>
      </w:r>
      <w:bookmarkEnd w:id="39"/>
      <w:bookmarkEnd w:id="40"/>
    </w:p>
    <w:p w:rsidR="009D2B8F" w:rsidRDefault="00CF2FEB" w:rsidP="00CD210C">
      <w:r>
        <w:t xml:space="preserve">FSANZ’s approach to date has been to base </w:t>
      </w:r>
      <w:r w:rsidR="00CD210C">
        <w:t xml:space="preserve">the name of the enzyme categories </w:t>
      </w:r>
      <w:r w:rsidR="009B4796">
        <w:t xml:space="preserve">in Standard 1.3.3 </w:t>
      </w:r>
      <w:r w:rsidR="00CD210C">
        <w:t>on those recommended by the IUBMB.</w:t>
      </w:r>
      <w:r w:rsidR="0042595A">
        <w:t xml:space="preserve"> </w:t>
      </w:r>
      <w:r w:rsidR="00CD210C">
        <w:t xml:space="preserve">As such, it is imperative that any change </w:t>
      </w:r>
      <w:r w:rsidR="00E1578F">
        <w:t>t</w:t>
      </w:r>
      <w:r w:rsidR="00CD210C">
        <w:t xml:space="preserve">o </w:t>
      </w:r>
      <w:r w:rsidR="00E1578F">
        <w:t xml:space="preserve">the </w:t>
      </w:r>
      <w:r w:rsidR="00CD210C">
        <w:t xml:space="preserve">name of an enzyme category does not change its </w:t>
      </w:r>
      <w:r w:rsidR="009B4796">
        <w:t xml:space="preserve">original </w:t>
      </w:r>
      <w:r w:rsidR="00CD210C">
        <w:t xml:space="preserve">functionality or scope of </w:t>
      </w:r>
      <w:r w:rsidR="00EC10AE">
        <w:t xml:space="preserve">the original </w:t>
      </w:r>
      <w:r w:rsidR="00CD210C">
        <w:t xml:space="preserve">permission. </w:t>
      </w:r>
      <w:r w:rsidR="009D2B8F">
        <w:br w:type="page"/>
      </w:r>
    </w:p>
    <w:p w:rsidR="002C743B" w:rsidRDefault="002C743B" w:rsidP="002C743B">
      <w:pPr>
        <w:pStyle w:val="Heading3"/>
      </w:pPr>
      <w:bookmarkStart w:id="41" w:name="_Toc384895028"/>
      <w:r>
        <w:lastRenderedPageBreak/>
        <w:t>2.1.1</w:t>
      </w:r>
      <w:r>
        <w:tab/>
        <w:t xml:space="preserve">Rationale for </w:t>
      </w:r>
      <w:r w:rsidR="00D95663">
        <w:t xml:space="preserve">the </w:t>
      </w:r>
      <w:r>
        <w:t>nomenclature change</w:t>
      </w:r>
      <w:bookmarkEnd w:id="41"/>
    </w:p>
    <w:p w:rsidR="002C743B" w:rsidRDefault="00D95663" w:rsidP="002C743B">
      <w:r>
        <w:t xml:space="preserve">The IUBMB has not provided a direct rationale for why carboxyl proteinase has been split </w:t>
      </w:r>
      <w:r w:rsidR="00E869A4">
        <w:t xml:space="preserve">and renamed </w:t>
      </w:r>
      <w:r>
        <w:t xml:space="preserve">into twelve separate enzyme categories. However, it is likely that the IUBMB has removed the </w:t>
      </w:r>
      <w:r w:rsidR="00307AD4">
        <w:t xml:space="preserve">carboxyl proteinase </w:t>
      </w:r>
      <w:r>
        <w:t xml:space="preserve">enzyme category so that there is no longer any reference to ‘proteinase’. </w:t>
      </w:r>
      <w:r w:rsidR="00307AD4">
        <w:t>IUBMB revised the general principles for naming enzymes in 1992</w:t>
      </w:r>
      <w:r w:rsidR="00717CA0">
        <w:t xml:space="preserve"> </w:t>
      </w:r>
      <w:r w:rsidR="00040D70" w:rsidRPr="00040D70">
        <w:rPr>
          <w:szCs w:val="22"/>
        </w:rPr>
        <w:t>(IUBMB, 19</w:t>
      </w:r>
      <w:r w:rsidR="00040D70">
        <w:rPr>
          <w:szCs w:val="22"/>
        </w:rPr>
        <w:t>92</w:t>
      </w:r>
      <w:r w:rsidR="00040D70" w:rsidRPr="00040D70">
        <w:rPr>
          <w:szCs w:val="22"/>
        </w:rPr>
        <w:t>)</w:t>
      </w:r>
      <w:r w:rsidR="00307AD4">
        <w:t>, and some of these principles conflict with the name ‘carboxyl proteinase’:</w:t>
      </w:r>
    </w:p>
    <w:p w:rsidR="002E4B87" w:rsidRDefault="002E4B87" w:rsidP="00CE1B2F"/>
    <w:p w:rsidR="00307AD4" w:rsidRDefault="002E4B87" w:rsidP="00CE1B2F">
      <w:pPr>
        <w:ind w:left="567" w:hanging="567"/>
      </w:pPr>
      <w:r>
        <w:t>1.</w:t>
      </w:r>
      <w:r>
        <w:tab/>
      </w:r>
      <w:r w:rsidR="00307AD4">
        <w:t>Names purporting to be the names of enzymes, especially those ending in –</w:t>
      </w:r>
      <w:proofErr w:type="gramStart"/>
      <w:r w:rsidR="00307AD4">
        <w:t>ase</w:t>
      </w:r>
      <w:proofErr w:type="gramEnd"/>
      <w:r w:rsidR="00307AD4">
        <w:t xml:space="preserve">, should only be used for single enzymes </w:t>
      </w:r>
      <w:r w:rsidR="00B96F4E">
        <w:t xml:space="preserve">(single catalytic entities), and </w:t>
      </w:r>
      <w:r w:rsidR="00307AD4">
        <w:t xml:space="preserve">should not </w:t>
      </w:r>
      <w:r w:rsidR="00B96F4E">
        <w:t>be used for</w:t>
      </w:r>
      <w:r w:rsidR="00307AD4">
        <w:t xml:space="preserve"> more than one enzyme (carboxyl proteinase was one such </w:t>
      </w:r>
      <w:r w:rsidR="00B96F4E">
        <w:t xml:space="preserve">name that applied to a </w:t>
      </w:r>
      <w:r w:rsidR="00307AD4">
        <w:t>group of enzymes).</w:t>
      </w:r>
    </w:p>
    <w:p w:rsidR="002E4B87" w:rsidRDefault="002E4B87" w:rsidP="00CE1B2F">
      <w:pPr>
        <w:ind w:left="567" w:hanging="567"/>
      </w:pPr>
    </w:p>
    <w:p w:rsidR="00307AD4" w:rsidRDefault="002E4B87" w:rsidP="00CE1B2F">
      <w:pPr>
        <w:ind w:left="567" w:hanging="567"/>
      </w:pPr>
      <w:r>
        <w:t>2.</w:t>
      </w:r>
      <w:r>
        <w:tab/>
      </w:r>
      <w:r w:rsidR="0076637C">
        <w:t xml:space="preserve">Enzymes are </w:t>
      </w:r>
      <w:r w:rsidR="00D0205F">
        <w:t xml:space="preserve">to be </w:t>
      </w:r>
      <w:r w:rsidR="0076637C">
        <w:t xml:space="preserve">principally classified according to the reaction that they catalyse. The IUBMB acknowledged that this principle was difficult to apply to enzymes that begin with the number 3.4, which have now been named as ‘peptidases’ to reflect their catalytic activity. The difficulty lies with the historical use of ‘peptidase’ </w:t>
      </w:r>
      <w:r w:rsidR="00D0205F">
        <w:t xml:space="preserve">as a category name </w:t>
      </w:r>
      <w:r w:rsidR="0076637C">
        <w:t xml:space="preserve">for </w:t>
      </w:r>
      <w:r w:rsidR="00E869A4">
        <w:t xml:space="preserve">only </w:t>
      </w:r>
      <w:r w:rsidR="0076637C">
        <w:t>some of the 3.4 enzymes (3.4.11-19)</w:t>
      </w:r>
      <w:r w:rsidR="00D0205F">
        <w:t>,</w:t>
      </w:r>
      <w:r w:rsidR="0076637C">
        <w:t xml:space="preserve"> </w:t>
      </w:r>
      <w:r w:rsidR="00E869A4">
        <w:t xml:space="preserve">with </w:t>
      </w:r>
      <w:r w:rsidR="00D0205F">
        <w:t xml:space="preserve">‘proteinase’ </w:t>
      </w:r>
      <w:r w:rsidR="00E869A4">
        <w:t xml:space="preserve">used </w:t>
      </w:r>
      <w:r w:rsidR="00D0205F">
        <w:t>for other 3.4 enzymes (3.4.21-99). To resolve this</w:t>
      </w:r>
      <w:r w:rsidR="00E869A4">
        <w:t xml:space="preserve"> problem, the </w:t>
      </w:r>
      <w:r w:rsidR="00D0205F">
        <w:t xml:space="preserve">IUBMB decided that </w:t>
      </w:r>
      <w:r w:rsidR="002604FF">
        <w:t xml:space="preserve">both </w:t>
      </w:r>
      <w:r w:rsidR="00D0205F">
        <w:t>3.4.11-19 and 3.4.21-99 enzyme</w:t>
      </w:r>
      <w:r w:rsidR="002604FF">
        <w:t xml:space="preserve"> </w:t>
      </w:r>
      <w:r w:rsidR="004C6300">
        <w:t xml:space="preserve">subcategory </w:t>
      </w:r>
      <w:r w:rsidR="002604FF">
        <w:t>group</w:t>
      </w:r>
      <w:r w:rsidR="00D0205F">
        <w:t>s would be referred to</w:t>
      </w:r>
      <w:r w:rsidR="002604FF">
        <w:t xml:space="preserve"> as peptidases by using the names</w:t>
      </w:r>
      <w:r w:rsidR="00D0205F">
        <w:t xml:space="preserve"> ‘exopeptidases’ and ‘endopeptidases’ respectively, and that ‘proteinase’ would no longer be used.</w:t>
      </w:r>
    </w:p>
    <w:p w:rsidR="002C743B" w:rsidRDefault="002C743B" w:rsidP="002C743B"/>
    <w:p w:rsidR="00D0205F" w:rsidRDefault="00D0205F" w:rsidP="002C743B">
      <w:r>
        <w:t xml:space="preserve">Although the name ‘carboxyl proteinase’ is no longer used, it is unclear </w:t>
      </w:r>
      <w:r w:rsidR="00C91775">
        <w:t xml:space="preserve">to FSANZ </w:t>
      </w:r>
      <w:r>
        <w:t>why the enzymes in this category were split into twelve smaller groups. However</w:t>
      </w:r>
      <w:r w:rsidR="002E4B87">
        <w:t>,</w:t>
      </w:r>
      <w:r>
        <w:t xml:space="preserve"> the likely reason is that the split was made to ensure that the enzymes were named to better reflect their microbi</w:t>
      </w:r>
      <w:r w:rsidR="00942516">
        <w:t>ologic</w:t>
      </w:r>
      <w:r>
        <w:t>al source.</w:t>
      </w:r>
    </w:p>
    <w:p w:rsidR="00CD210C" w:rsidRDefault="009B4796" w:rsidP="009B4796">
      <w:pPr>
        <w:pStyle w:val="Heading3"/>
      </w:pPr>
      <w:bookmarkStart w:id="42" w:name="_Toc384895029"/>
      <w:r>
        <w:t>2.1.</w:t>
      </w:r>
      <w:r w:rsidR="002C743B">
        <w:t>2</w:t>
      </w:r>
      <w:r>
        <w:tab/>
      </w:r>
      <w:r w:rsidR="00CD210C">
        <w:t>Scope of</w:t>
      </w:r>
      <w:r w:rsidR="00D95663">
        <w:t xml:space="preserve"> the</w:t>
      </w:r>
      <w:r w:rsidR="00CD210C">
        <w:t xml:space="preserve"> </w:t>
      </w:r>
      <w:r>
        <w:t>carboxyl proteinase category</w:t>
      </w:r>
      <w:bookmarkEnd w:id="42"/>
    </w:p>
    <w:p w:rsidR="002E4B87" w:rsidRDefault="00F01DD7" w:rsidP="009B4796">
      <w:pPr>
        <w:rPr>
          <w:i/>
        </w:rPr>
      </w:pPr>
      <w:r>
        <w:t>Carboxyl proteinase was first introduced as the EC</w:t>
      </w:r>
      <w:r w:rsidR="008F0AC6">
        <w:rPr>
          <w:rStyle w:val="FootnoteReference"/>
        </w:rPr>
        <w:footnoteReference w:id="1"/>
      </w:r>
      <w:r>
        <w:t xml:space="preserve"> 3.4.23.6 enzyme cate</w:t>
      </w:r>
      <w:r w:rsidR="00040D70">
        <w:t>gory by the IUBMB in its 197</w:t>
      </w:r>
      <w:r w:rsidR="00E1578F">
        <w:t>2</w:t>
      </w:r>
      <w:r>
        <w:t xml:space="preserve"> set of nomenclature recommendations</w:t>
      </w:r>
      <w:r w:rsidR="008F227B">
        <w:t xml:space="preserve"> </w:t>
      </w:r>
      <w:r w:rsidR="00040D70" w:rsidRPr="00040D70">
        <w:rPr>
          <w:szCs w:val="22"/>
        </w:rPr>
        <w:t>(IUBMB, 1979)</w:t>
      </w:r>
      <w:r>
        <w:t xml:space="preserve">. At this time, the category was named ‘microbial carboxyl </w:t>
      </w:r>
      <w:r w:rsidRPr="006252B6">
        <w:t>proteinases’</w:t>
      </w:r>
      <w:r w:rsidR="00471656" w:rsidRPr="006252B6">
        <w:t xml:space="preserve"> and </w:t>
      </w:r>
      <w:r w:rsidR="009B4796">
        <w:t>refer</w:t>
      </w:r>
      <w:r w:rsidR="006252B6">
        <w:t>red</w:t>
      </w:r>
      <w:r w:rsidR="009B4796">
        <w:t xml:space="preserve"> to </w:t>
      </w:r>
      <w:r w:rsidR="006252B6">
        <w:t>20</w:t>
      </w:r>
      <w:r w:rsidR="009B4796">
        <w:t xml:space="preserve"> microbial sources for </w:t>
      </w:r>
      <w:r w:rsidR="00C74E19">
        <w:t>this enzyme</w:t>
      </w:r>
      <w:r w:rsidR="009B4796">
        <w:t xml:space="preserve"> c</w:t>
      </w:r>
      <w:r w:rsidR="00AB6F40">
        <w:t>ategory</w:t>
      </w:r>
      <w:r w:rsidR="00C74E19">
        <w:t xml:space="preserve">. However, </w:t>
      </w:r>
      <w:r w:rsidR="00E1578F">
        <w:t xml:space="preserve">while </w:t>
      </w:r>
      <w:r w:rsidR="00C74E19">
        <w:t xml:space="preserve">the current permissions for carboxyl proteinase in </w:t>
      </w:r>
      <w:r w:rsidR="00AB6F40">
        <w:t>Standard 1.3.3</w:t>
      </w:r>
      <w:r w:rsidR="00E1578F">
        <w:t xml:space="preserve"> are based on the 1972 recommendations, they </w:t>
      </w:r>
      <w:r w:rsidR="00C74E19">
        <w:t>do not permit enzymes from all of the</w:t>
      </w:r>
      <w:r w:rsidR="00E1578F">
        <w:t xml:space="preserve"> listed</w:t>
      </w:r>
      <w:r w:rsidR="00C74E19">
        <w:t xml:space="preserve"> sources, with only </w:t>
      </w:r>
      <w:r w:rsidR="009B4796">
        <w:t xml:space="preserve">four sources </w:t>
      </w:r>
      <w:r w:rsidR="00C74E19">
        <w:t xml:space="preserve">permitted </w:t>
      </w:r>
      <w:r w:rsidR="009B4796">
        <w:t>(</w:t>
      </w:r>
      <w:r w:rsidR="009B4796" w:rsidRPr="002F704A">
        <w:rPr>
          <w:i/>
        </w:rPr>
        <w:t>Aspergillus melleus</w:t>
      </w:r>
      <w:r w:rsidR="009B4796">
        <w:rPr>
          <w:i/>
        </w:rPr>
        <w:t xml:space="preserve">, </w:t>
      </w:r>
      <w:r w:rsidR="002E4B87" w:rsidRPr="002F704A">
        <w:rPr>
          <w:i/>
        </w:rPr>
        <w:t>A</w:t>
      </w:r>
      <w:r w:rsidR="002E4B87">
        <w:rPr>
          <w:i/>
        </w:rPr>
        <w:t>.</w:t>
      </w:r>
      <w:r w:rsidR="002E4B87" w:rsidRPr="002F704A">
        <w:rPr>
          <w:i/>
        </w:rPr>
        <w:t xml:space="preserve"> </w:t>
      </w:r>
      <w:r w:rsidR="009B4796" w:rsidRPr="002F704A">
        <w:rPr>
          <w:i/>
        </w:rPr>
        <w:t>niger</w:t>
      </w:r>
      <w:r w:rsidR="009B4796">
        <w:rPr>
          <w:i/>
        </w:rPr>
        <w:t xml:space="preserve">, </w:t>
      </w:r>
    </w:p>
    <w:p w:rsidR="00FD008C" w:rsidRDefault="002E4B87" w:rsidP="009B4796">
      <w:proofErr w:type="gramStart"/>
      <w:r w:rsidRPr="002F704A">
        <w:rPr>
          <w:i/>
        </w:rPr>
        <w:t>A</w:t>
      </w:r>
      <w:r>
        <w:rPr>
          <w:i/>
        </w:rPr>
        <w:t>.</w:t>
      </w:r>
      <w:r w:rsidRPr="002F704A">
        <w:rPr>
          <w:i/>
        </w:rPr>
        <w:t xml:space="preserve"> </w:t>
      </w:r>
      <w:r w:rsidR="009B4796" w:rsidRPr="002F704A">
        <w:rPr>
          <w:i/>
        </w:rPr>
        <w:t>oryzae</w:t>
      </w:r>
      <w:r w:rsidR="009B4796">
        <w:rPr>
          <w:i/>
        </w:rPr>
        <w:t xml:space="preserve">, </w:t>
      </w:r>
      <w:r w:rsidR="009B4796" w:rsidRPr="002F704A">
        <w:rPr>
          <w:i/>
        </w:rPr>
        <w:t>Rhizomucor miehei</w:t>
      </w:r>
      <w:r w:rsidR="009B4796">
        <w:t>).</w:t>
      </w:r>
      <w:proofErr w:type="gramEnd"/>
    </w:p>
    <w:p w:rsidR="002B4682" w:rsidRDefault="002B4682" w:rsidP="009B4796"/>
    <w:p w:rsidR="00D05EDC" w:rsidRDefault="00D0205F" w:rsidP="009B4796">
      <w:r>
        <w:t xml:space="preserve">As discussed, </w:t>
      </w:r>
      <w:r w:rsidR="00792587">
        <w:t>the</w:t>
      </w:r>
      <w:r w:rsidR="002B4682">
        <w:t xml:space="preserve"> </w:t>
      </w:r>
      <w:r w:rsidR="00C74E19">
        <w:t xml:space="preserve">1992 IUBMB recommendations </w:t>
      </w:r>
      <w:r w:rsidR="00040D70" w:rsidRPr="00040D70">
        <w:rPr>
          <w:szCs w:val="22"/>
        </w:rPr>
        <w:t>(IUBMB, 19</w:t>
      </w:r>
      <w:r w:rsidR="00040D70">
        <w:rPr>
          <w:szCs w:val="22"/>
        </w:rPr>
        <w:t>92</w:t>
      </w:r>
      <w:r w:rsidR="00040D70" w:rsidRPr="00040D70">
        <w:rPr>
          <w:szCs w:val="22"/>
        </w:rPr>
        <w:t>)</w:t>
      </w:r>
      <w:r w:rsidR="008F227B">
        <w:t xml:space="preserve"> </w:t>
      </w:r>
      <w:r w:rsidR="00C74E19">
        <w:t xml:space="preserve">have split </w:t>
      </w:r>
      <w:r w:rsidR="002B4682">
        <w:t>carboxyl proteinase into tw</w:t>
      </w:r>
      <w:r w:rsidR="00E869A4">
        <w:t xml:space="preserve">elve separate </w:t>
      </w:r>
      <w:r w:rsidR="00BA51A2">
        <w:t xml:space="preserve">new </w:t>
      </w:r>
      <w:r w:rsidR="00E869A4">
        <w:t xml:space="preserve">enzyme </w:t>
      </w:r>
      <w:r w:rsidR="00B20EA7">
        <w:t>groups</w:t>
      </w:r>
      <w:r w:rsidR="00282FB4">
        <w:t>, each with its own microbiological sources</w:t>
      </w:r>
      <w:r w:rsidR="002B4682">
        <w:t xml:space="preserve">. </w:t>
      </w:r>
      <w:r w:rsidR="00D51820">
        <w:t xml:space="preserve">FSANZ has reviewed the IUBMB specifications for these </w:t>
      </w:r>
      <w:r w:rsidR="00BA51A2">
        <w:t>new enzymes</w:t>
      </w:r>
      <w:r w:rsidR="00D51820">
        <w:t xml:space="preserve">, and has determined that the Applicant’s </w:t>
      </w:r>
      <w:r w:rsidR="00FA55A5">
        <w:t xml:space="preserve">selection of names </w:t>
      </w:r>
      <w:r w:rsidR="00050510">
        <w:t xml:space="preserve">and sources </w:t>
      </w:r>
      <w:r w:rsidR="00470B94">
        <w:t xml:space="preserve">does not </w:t>
      </w:r>
      <w:r w:rsidR="00AC2064">
        <w:t xml:space="preserve">completely </w:t>
      </w:r>
      <w:r w:rsidR="00D51820">
        <w:t>accord with the</w:t>
      </w:r>
      <w:r w:rsidR="00050510">
        <w:t>se requirements</w:t>
      </w:r>
      <w:r w:rsidR="00D51820">
        <w:t xml:space="preserve">. </w:t>
      </w:r>
      <w:r w:rsidR="00D05EDC">
        <w:t xml:space="preserve">A summary of FSANZ’s review is provided in Table 1 below. </w:t>
      </w:r>
    </w:p>
    <w:p w:rsidR="008404C0" w:rsidRDefault="008404C0" w:rsidP="009B4796"/>
    <w:p w:rsidR="009D2B8F" w:rsidRDefault="009D2B8F" w:rsidP="00F818D2">
      <w:pPr>
        <w:spacing w:after="120"/>
        <w:rPr>
          <w:b/>
        </w:rPr>
      </w:pPr>
      <w:r>
        <w:rPr>
          <w:b/>
        </w:rPr>
        <w:br w:type="page"/>
      </w:r>
    </w:p>
    <w:p w:rsidR="008404C0" w:rsidRPr="008404C0" w:rsidRDefault="008404C0" w:rsidP="00F818D2">
      <w:pPr>
        <w:spacing w:after="120"/>
        <w:rPr>
          <w:b/>
        </w:rPr>
      </w:pPr>
      <w:r w:rsidRPr="008404C0">
        <w:rPr>
          <w:b/>
        </w:rPr>
        <w:lastRenderedPageBreak/>
        <w:t>Table 1: Revision to the scope of amendments to Standard 1.3.3</w:t>
      </w:r>
    </w:p>
    <w:tbl>
      <w:tblPr>
        <w:tblStyle w:val="TableGrid"/>
        <w:tblW w:w="9729" w:type="dxa"/>
        <w:tblLayout w:type="fixed"/>
        <w:tblLook w:val="04A0" w:firstRow="1" w:lastRow="0" w:firstColumn="1" w:lastColumn="0" w:noHBand="0" w:noVBand="1"/>
      </w:tblPr>
      <w:tblGrid>
        <w:gridCol w:w="1384"/>
        <w:gridCol w:w="1231"/>
        <w:gridCol w:w="780"/>
        <w:gridCol w:w="2100"/>
        <w:gridCol w:w="1231"/>
        <w:gridCol w:w="3003"/>
      </w:tblGrid>
      <w:tr w:rsidR="00FF2F60" w:rsidRPr="008404C0" w:rsidTr="00F818D2">
        <w:tc>
          <w:tcPr>
            <w:tcW w:w="2615" w:type="dxa"/>
            <w:gridSpan w:val="2"/>
            <w:shd w:val="clear" w:color="auto" w:fill="EAF1DD" w:themeFill="accent3" w:themeFillTint="33"/>
          </w:tcPr>
          <w:p w:rsidR="00FF2F60" w:rsidRPr="0042595A" w:rsidRDefault="00FF2F60" w:rsidP="00FF2F60">
            <w:pPr>
              <w:rPr>
                <w:b/>
                <w:sz w:val="20"/>
              </w:rPr>
            </w:pPr>
            <w:r w:rsidRPr="0042595A">
              <w:rPr>
                <w:b/>
                <w:sz w:val="20"/>
              </w:rPr>
              <w:t>Current permissions in Standard 1.3.3</w:t>
            </w:r>
          </w:p>
        </w:tc>
        <w:tc>
          <w:tcPr>
            <w:tcW w:w="780" w:type="dxa"/>
            <w:vMerge w:val="restart"/>
            <w:shd w:val="clear" w:color="auto" w:fill="EAF1DD" w:themeFill="accent3" w:themeFillTint="33"/>
          </w:tcPr>
          <w:p w:rsidR="00FF2F60" w:rsidRPr="0042595A" w:rsidRDefault="00FF2F60" w:rsidP="00FF2F60">
            <w:pPr>
              <w:rPr>
                <w:b/>
                <w:sz w:val="20"/>
              </w:rPr>
            </w:pPr>
          </w:p>
        </w:tc>
        <w:tc>
          <w:tcPr>
            <w:tcW w:w="3331" w:type="dxa"/>
            <w:gridSpan w:val="2"/>
            <w:shd w:val="clear" w:color="auto" w:fill="EAF1DD" w:themeFill="accent3" w:themeFillTint="33"/>
          </w:tcPr>
          <w:p w:rsidR="00FF2F60" w:rsidRPr="0042595A" w:rsidRDefault="00FF2F60" w:rsidP="00FF2F60">
            <w:pPr>
              <w:rPr>
                <w:b/>
                <w:sz w:val="20"/>
              </w:rPr>
            </w:pPr>
            <w:r w:rsidRPr="0042595A">
              <w:rPr>
                <w:b/>
                <w:sz w:val="20"/>
              </w:rPr>
              <w:t>FSANZ’s revised amendments</w:t>
            </w:r>
          </w:p>
        </w:tc>
        <w:tc>
          <w:tcPr>
            <w:tcW w:w="3003" w:type="dxa"/>
            <w:vMerge w:val="restart"/>
            <w:shd w:val="clear" w:color="auto" w:fill="EAF1DD" w:themeFill="accent3" w:themeFillTint="33"/>
          </w:tcPr>
          <w:p w:rsidR="00FF2F60" w:rsidRPr="0042595A" w:rsidRDefault="00FF2F60" w:rsidP="00FF2F60">
            <w:pPr>
              <w:rPr>
                <w:b/>
                <w:sz w:val="20"/>
              </w:rPr>
            </w:pPr>
            <w:r w:rsidRPr="0042595A">
              <w:rPr>
                <w:b/>
                <w:sz w:val="20"/>
              </w:rPr>
              <w:t>Reason for revision</w:t>
            </w:r>
          </w:p>
        </w:tc>
      </w:tr>
      <w:tr w:rsidR="00FF2F60" w:rsidRPr="008404C0" w:rsidTr="00F818D2">
        <w:tc>
          <w:tcPr>
            <w:tcW w:w="1384" w:type="dxa"/>
            <w:tcBorders>
              <w:bottom w:val="single" w:sz="4" w:space="0" w:color="000000"/>
            </w:tcBorders>
            <w:shd w:val="clear" w:color="auto" w:fill="EAF1DD" w:themeFill="accent3" w:themeFillTint="33"/>
          </w:tcPr>
          <w:p w:rsidR="00FF2F60" w:rsidRPr="008404C0" w:rsidRDefault="00FF2F60" w:rsidP="00FF2F60">
            <w:pPr>
              <w:rPr>
                <w:b/>
              </w:rPr>
            </w:pPr>
            <w:r w:rsidRPr="008404C0">
              <w:rPr>
                <w:b/>
              </w:rPr>
              <w:t>Enzyme</w:t>
            </w:r>
          </w:p>
        </w:tc>
        <w:tc>
          <w:tcPr>
            <w:tcW w:w="1231" w:type="dxa"/>
            <w:tcBorders>
              <w:bottom w:val="single" w:sz="4" w:space="0" w:color="000000"/>
            </w:tcBorders>
            <w:shd w:val="clear" w:color="auto" w:fill="EAF1DD" w:themeFill="accent3" w:themeFillTint="33"/>
          </w:tcPr>
          <w:p w:rsidR="00FF2F60" w:rsidRPr="0042595A" w:rsidRDefault="00FF2F60" w:rsidP="00FF2F60">
            <w:pPr>
              <w:rPr>
                <w:b/>
                <w:sz w:val="20"/>
              </w:rPr>
            </w:pPr>
            <w:r w:rsidRPr="0042595A">
              <w:rPr>
                <w:b/>
                <w:sz w:val="20"/>
              </w:rPr>
              <w:t>Permitted Source</w:t>
            </w:r>
          </w:p>
        </w:tc>
        <w:tc>
          <w:tcPr>
            <w:tcW w:w="780" w:type="dxa"/>
            <w:vMerge/>
            <w:tcBorders>
              <w:bottom w:val="single" w:sz="4" w:space="0" w:color="000000"/>
            </w:tcBorders>
            <w:shd w:val="clear" w:color="auto" w:fill="EAF1DD" w:themeFill="accent3" w:themeFillTint="33"/>
          </w:tcPr>
          <w:p w:rsidR="00FF2F60" w:rsidRPr="0042595A" w:rsidRDefault="00FF2F60" w:rsidP="00FF2F60">
            <w:pPr>
              <w:rPr>
                <w:b/>
                <w:sz w:val="20"/>
              </w:rPr>
            </w:pPr>
          </w:p>
        </w:tc>
        <w:tc>
          <w:tcPr>
            <w:tcW w:w="2100" w:type="dxa"/>
            <w:tcBorders>
              <w:bottom w:val="single" w:sz="4" w:space="0" w:color="000000"/>
            </w:tcBorders>
            <w:shd w:val="clear" w:color="auto" w:fill="EAF1DD" w:themeFill="accent3" w:themeFillTint="33"/>
          </w:tcPr>
          <w:p w:rsidR="00FF2F60" w:rsidRPr="0042595A" w:rsidRDefault="00FF2F60" w:rsidP="00FF2F60">
            <w:pPr>
              <w:rPr>
                <w:b/>
                <w:sz w:val="20"/>
              </w:rPr>
            </w:pPr>
            <w:r w:rsidRPr="0042595A">
              <w:rPr>
                <w:b/>
                <w:sz w:val="20"/>
              </w:rPr>
              <w:t>Enzyme</w:t>
            </w:r>
          </w:p>
        </w:tc>
        <w:tc>
          <w:tcPr>
            <w:tcW w:w="1231" w:type="dxa"/>
            <w:tcBorders>
              <w:bottom w:val="single" w:sz="4" w:space="0" w:color="000000"/>
            </w:tcBorders>
            <w:shd w:val="clear" w:color="auto" w:fill="EAF1DD" w:themeFill="accent3" w:themeFillTint="33"/>
          </w:tcPr>
          <w:p w:rsidR="00FF2F60" w:rsidRPr="0042595A" w:rsidRDefault="00FF2F60" w:rsidP="00FF2F60">
            <w:pPr>
              <w:rPr>
                <w:b/>
                <w:sz w:val="20"/>
              </w:rPr>
            </w:pPr>
            <w:r w:rsidRPr="0042595A">
              <w:rPr>
                <w:b/>
                <w:sz w:val="20"/>
              </w:rPr>
              <w:t>Permitted Source</w:t>
            </w:r>
          </w:p>
        </w:tc>
        <w:tc>
          <w:tcPr>
            <w:tcW w:w="3003" w:type="dxa"/>
            <w:vMerge/>
            <w:tcBorders>
              <w:bottom w:val="single" w:sz="4" w:space="0" w:color="000000"/>
            </w:tcBorders>
          </w:tcPr>
          <w:p w:rsidR="00FF2F60" w:rsidRPr="0042595A" w:rsidRDefault="00FF2F60" w:rsidP="00FF2F60">
            <w:pPr>
              <w:rPr>
                <w:b/>
                <w:sz w:val="20"/>
              </w:rPr>
            </w:pPr>
          </w:p>
        </w:tc>
      </w:tr>
      <w:tr w:rsidR="00FF2F60" w:rsidRPr="008404C0" w:rsidTr="00F818D2">
        <w:tc>
          <w:tcPr>
            <w:tcW w:w="1384" w:type="dxa"/>
            <w:vMerge w:val="restart"/>
          </w:tcPr>
          <w:p w:rsidR="00FF2F60" w:rsidRPr="00F818D2" w:rsidRDefault="00FF2F60" w:rsidP="00FF2F60">
            <w:pPr>
              <w:rPr>
                <w:sz w:val="20"/>
              </w:rPr>
            </w:pPr>
          </w:p>
          <w:p w:rsidR="00FF2F60" w:rsidRPr="00F818D2" w:rsidRDefault="00FF2F60" w:rsidP="00FF2F60">
            <w:pPr>
              <w:rPr>
                <w:sz w:val="20"/>
              </w:rPr>
            </w:pPr>
          </w:p>
          <w:p w:rsidR="00FF2F60" w:rsidRPr="00F818D2" w:rsidRDefault="00FF2F60" w:rsidP="00FF2F60">
            <w:pPr>
              <w:rPr>
                <w:sz w:val="20"/>
              </w:rPr>
            </w:pPr>
          </w:p>
          <w:p w:rsidR="00FF2F60" w:rsidRPr="00F818D2" w:rsidRDefault="00FF2F60" w:rsidP="00FF2F60">
            <w:pPr>
              <w:rPr>
                <w:sz w:val="20"/>
              </w:rPr>
            </w:pPr>
            <w:r w:rsidRPr="00F818D2">
              <w:rPr>
                <w:sz w:val="20"/>
              </w:rPr>
              <w:t>Carboxyl proteinase</w:t>
            </w:r>
          </w:p>
        </w:tc>
        <w:tc>
          <w:tcPr>
            <w:tcW w:w="1231" w:type="dxa"/>
            <w:vAlign w:val="center"/>
          </w:tcPr>
          <w:p w:rsidR="00FF2F60" w:rsidRPr="0042595A" w:rsidRDefault="00FF2F60" w:rsidP="00FF2F60">
            <w:pPr>
              <w:rPr>
                <w:i/>
                <w:sz w:val="20"/>
              </w:rPr>
            </w:pPr>
            <w:r w:rsidRPr="0042595A">
              <w:rPr>
                <w:i/>
                <w:sz w:val="20"/>
              </w:rPr>
              <w:t>A. melleus</w:t>
            </w:r>
          </w:p>
        </w:tc>
        <w:tc>
          <w:tcPr>
            <w:tcW w:w="780" w:type="dxa"/>
            <w:vAlign w:val="center"/>
          </w:tcPr>
          <w:p w:rsidR="00FF2F60" w:rsidRPr="0042595A" w:rsidRDefault="00FF2F60" w:rsidP="00FF2F60">
            <w:pPr>
              <w:jc w:val="center"/>
              <w:rPr>
                <w:b/>
                <w:sz w:val="20"/>
              </w:rPr>
            </w:pPr>
            <w:r w:rsidRPr="0042595A">
              <w:rPr>
                <w:b/>
                <w:noProof/>
                <w:sz w:val="20"/>
                <w:lang w:eastAsia="en-GB" w:bidi="ar-SA"/>
              </w:rPr>
              <mc:AlternateContent>
                <mc:Choice Requires="wps">
                  <w:drawing>
                    <wp:anchor distT="0" distB="0" distL="114300" distR="114300" simplePos="0" relativeHeight="251691008" behindDoc="0" locked="0" layoutInCell="1" allowOverlap="1" wp14:anchorId="727F5B38" wp14:editId="1ADB71E6">
                      <wp:simplePos x="0" y="0"/>
                      <wp:positionH relativeFrom="column">
                        <wp:posOffset>-7620</wp:posOffset>
                      </wp:positionH>
                      <wp:positionV relativeFrom="paragraph">
                        <wp:posOffset>73660</wp:posOffset>
                      </wp:positionV>
                      <wp:extent cx="396240" cy="0"/>
                      <wp:effectExtent l="0" t="76200" r="22860" b="114300"/>
                      <wp:wrapNone/>
                      <wp:docPr id="5" name="Straight Arrow Connector 5"/>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6pt;margin-top:5.8pt;width:31.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" strokecolor="windowText" strokeweight="2pt">
                      <v:stroke endarrow="open"/>
                    </v:shape>
                  </w:pict>
                </mc:Fallback>
              </mc:AlternateContent>
            </w:r>
            <w:r w:rsidRPr="0042595A">
              <w:rPr>
                <w:b/>
                <w:sz w:val="20"/>
              </w:rPr>
              <w:t>X</w:t>
            </w:r>
          </w:p>
        </w:tc>
        <w:tc>
          <w:tcPr>
            <w:tcW w:w="2100" w:type="dxa"/>
          </w:tcPr>
          <w:p w:rsidR="00FF2F60" w:rsidRPr="0042595A" w:rsidRDefault="00FF2F60" w:rsidP="00FF2F60">
            <w:pPr>
              <w:rPr>
                <w:sz w:val="20"/>
              </w:rPr>
            </w:pPr>
          </w:p>
        </w:tc>
        <w:tc>
          <w:tcPr>
            <w:tcW w:w="1231" w:type="dxa"/>
          </w:tcPr>
          <w:p w:rsidR="00FF2F60" w:rsidRPr="0042595A" w:rsidRDefault="00FF2F60" w:rsidP="00FF2F60">
            <w:pPr>
              <w:rPr>
                <w:i/>
                <w:sz w:val="20"/>
              </w:rPr>
            </w:pPr>
          </w:p>
        </w:tc>
        <w:tc>
          <w:tcPr>
            <w:tcW w:w="3003" w:type="dxa"/>
          </w:tcPr>
          <w:p w:rsidR="00FF2F60" w:rsidRPr="0042595A" w:rsidRDefault="00FF2F60" w:rsidP="00142957">
            <w:pPr>
              <w:spacing w:before="120" w:after="120"/>
              <w:rPr>
                <w:sz w:val="20"/>
              </w:rPr>
            </w:pPr>
            <w:r w:rsidRPr="0042595A">
              <w:rPr>
                <w:sz w:val="20"/>
              </w:rPr>
              <w:t>Not recognised by the IUBMB as a source of these enzymes</w:t>
            </w:r>
          </w:p>
        </w:tc>
      </w:tr>
      <w:tr w:rsidR="00FF2F60" w:rsidRPr="008404C0" w:rsidTr="00F818D2">
        <w:tc>
          <w:tcPr>
            <w:tcW w:w="1384" w:type="dxa"/>
            <w:vMerge/>
          </w:tcPr>
          <w:p w:rsidR="00FF2F60" w:rsidRPr="00F818D2" w:rsidRDefault="00FF2F60" w:rsidP="00FF2F60">
            <w:pPr>
              <w:rPr>
                <w:sz w:val="20"/>
              </w:rPr>
            </w:pPr>
          </w:p>
        </w:tc>
        <w:tc>
          <w:tcPr>
            <w:tcW w:w="1231" w:type="dxa"/>
            <w:vAlign w:val="center"/>
          </w:tcPr>
          <w:p w:rsidR="00FF2F60" w:rsidRPr="0042595A" w:rsidRDefault="00FF2F60" w:rsidP="00FF2F60">
            <w:pPr>
              <w:rPr>
                <w:i/>
                <w:sz w:val="20"/>
              </w:rPr>
            </w:pPr>
            <w:r w:rsidRPr="0042595A">
              <w:rPr>
                <w:i/>
                <w:sz w:val="20"/>
              </w:rPr>
              <w:t>A. niger</w:t>
            </w:r>
          </w:p>
        </w:tc>
        <w:tc>
          <w:tcPr>
            <w:tcW w:w="780" w:type="dxa"/>
          </w:tcPr>
          <w:p w:rsidR="00FF2F60" w:rsidRPr="0042595A" w:rsidRDefault="00FF2F60" w:rsidP="00FF2F60">
            <w:pPr>
              <w:rPr>
                <w:sz w:val="20"/>
              </w:rPr>
            </w:pPr>
            <w:r w:rsidRPr="0042595A">
              <w:rPr>
                <w:noProof/>
                <w:sz w:val="20"/>
                <w:lang w:eastAsia="en-GB" w:bidi="ar-SA"/>
              </w:rPr>
              <mc:AlternateContent>
                <mc:Choice Requires="wps">
                  <w:drawing>
                    <wp:anchor distT="0" distB="0" distL="114300" distR="114300" simplePos="0" relativeHeight="251689984" behindDoc="0" locked="0" layoutInCell="1" allowOverlap="1" wp14:anchorId="6FAD5673" wp14:editId="67DA6812">
                      <wp:simplePos x="0" y="0"/>
                      <wp:positionH relativeFrom="column">
                        <wp:posOffset>-13970</wp:posOffset>
                      </wp:positionH>
                      <wp:positionV relativeFrom="paragraph">
                        <wp:posOffset>271145</wp:posOffset>
                      </wp:positionV>
                      <wp:extent cx="396240" cy="0"/>
                      <wp:effectExtent l="0" t="76200" r="22860" b="114300"/>
                      <wp:wrapNone/>
                      <wp:docPr id="6" name="Straight Arrow Connector 6"/>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1.1pt;margin-top:21.35pt;width:31.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" strokecolor="windowText" strokeweight="2pt">
                      <v:stroke endarrow="open"/>
                    </v:shape>
                  </w:pict>
                </mc:Fallback>
              </mc:AlternateContent>
            </w:r>
          </w:p>
        </w:tc>
        <w:tc>
          <w:tcPr>
            <w:tcW w:w="2100" w:type="dxa"/>
            <w:vAlign w:val="center"/>
          </w:tcPr>
          <w:p w:rsidR="00FF2F60" w:rsidRPr="0042595A" w:rsidRDefault="00FF2F60" w:rsidP="00FF2F60">
            <w:pPr>
              <w:rPr>
                <w:sz w:val="20"/>
              </w:rPr>
            </w:pPr>
            <w:r w:rsidRPr="0042595A">
              <w:rPr>
                <w:sz w:val="20"/>
              </w:rPr>
              <w:t>Aspergillopepsin I and II</w:t>
            </w:r>
          </w:p>
        </w:tc>
        <w:tc>
          <w:tcPr>
            <w:tcW w:w="1231" w:type="dxa"/>
            <w:vAlign w:val="center"/>
          </w:tcPr>
          <w:p w:rsidR="00FF2F60" w:rsidRPr="0042595A" w:rsidRDefault="00FF2F60" w:rsidP="00FF2F60">
            <w:pPr>
              <w:rPr>
                <w:i/>
                <w:sz w:val="20"/>
              </w:rPr>
            </w:pPr>
            <w:r w:rsidRPr="0042595A">
              <w:rPr>
                <w:i/>
                <w:sz w:val="20"/>
              </w:rPr>
              <w:t>A. niger</w:t>
            </w:r>
          </w:p>
        </w:tc>
        <w:tc>
          <w:tcPr>
            <w:tcW w:w="3003" w:type="dxa"/>
          </w:tcPr>
          <w:p w:rsidR="00FF2F60" w:rsidRPr="0042595A" w:rsidRDefault="00FF2F60" w:rsidP="00142957">
            <w:pPr>
              <w:spacing w:before="120" w:after="120"/>
              <w:rPr>
                <w:sz w:val="20"/>
              </w:rPr>
            </w:pPr>
            <w:r w:rsidRPr="0042595A">
              <w:rPr>
                <w:sz w:val="20"/>
              </w:rPr>
              <w:t>Recognised by IUBMB as a source of EC 3.4.23.18 and EC 3.4.23.19</w:t>
            </w:r>
          </w:p>
        </w:tc>
      </w:tr>
      <w:tr w:rsidR="00FF2F60" w:rsidRPr="008404C0" w:rsidTr="00F818D2">
        <w:tc>
          <w:tcPr>
            <w:tcW w:w="1384" w:type="dxa"/>
            <w:vMerge/>
          </w:tcPr>
          <w:p w:rsidR="00FF2F60" w:rsidRPr="00F818D2" w:rsidRDefault="00FF2F60" w:rsidP="00FF2F60">
            <w:pPr>
              <w:rPr>
                <w:sz w:val="20"/>
              </w:rPr>
            </w:pPr>
          </w:p>
        </w:tc>
        <w:tc>
          <w:tcPr>
            <w:tcW w:w="1231" w:type="dxa"/>
            <w:vAlign w:val="center"/>
          </w:tcPr>
          <w:p w:rsidR="00FF2F60" w:rsidRPr="0042595A" w:rsidRDefault="00FF2F60" w:rsidP="00FF2F60">
            <w:pPr>
              <w:rPr>
                <w:i/>
                <w:sz w:val="20"/>
              </w:rPr>
            </w:pPr>
            <w:r w:rsidRPr="0042595A">
              <w:rPr>
                <w:i/>
                <w:sz w:val="20"/>
              </w:rPr>
              <w:t>A. oryzae</w:t>
            </w:r>
          </w:p>
        </w:tc>
        <w:tc>
          <w:tcPr>
            <w:tcW w:w="780" w:type="dxa"/>
          </w:tcPr>
          <w:p w:rsidR="00FF2F60" w:rsidRPr="0042595A" w:rsidRDefault="00FF2F60" w:rsidP="00FF2F60">
            <w:pPr>
              <w:rPr>
                <w:sz w:val="20"/>
              </w:rPr>
            </w:pPr>
            <w:r w:rsidRPr="0042595A">
              <w:rPr>
                <w:noProof/>
                <w:sz w:val="20"/>
                <w:lang w:eastAsia="en-GB" w:bidi="ar-SA"/>
              </w:rPr>
              <mc:AlternateContent>
                <mc:Choice Requires="wps">
                  <w:drawing>
                    <wp:anchor distT="0" distB="0" distL="114300" distR="114300" simplePos="0" relativeHeight="251692032" behindDoc="0" locked="0" layoutInCell="1" allowOverlap="1" wp14:anchorId="40D762C4" wp14:editId="21F4C615">
                      <wp:simplePos x="0" y="0"/>
                      <wp:positionH relativeFrom="column">
                        <wp:posOffset>-13970</wp:posOffset>
                      </wp:positionH>
                      <wp:positionV relativeFrom="paragraph">
                        <wp:posOffset>255905</wp:posOffset>
                      </wp:positionV>
                      <wp:extent cx="396240" cy="0"/>
                      <wp:effectExtent l="0" t="76200" r="22860" b="114300"/>
                      <wp:wrapNone/>
                      <wp:docPr id="7" name="Straight Arrow Connector 7"/>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1pt;margin-top:20.15pt;width:31.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" strokecolor="windowText" strokeweight="2pt">
                      <v:stroke endarrow="open"/>
                    </v:shape>
                  </w:pict>
                </mc:Fallback>
              </mc:AlternateContent>
            </w:r>
          </w:p>
        </w:tc>
        <w:tc>
          <w:tcPr>
            <w:tcW w:w="2100" w:type="dxa"/>
            <w:vAlign w:val="center"/>
          </w:tcPr>
          <w:p w:rsidR="00FF2F60" w:rsidRPr="0042595A" w:rsidRDefault="00FF2F60" w:rsidP="00FF2F60">
            <w:pPr>
              <w:rPr>
                <w:sz w:val="20"/>
              </w:rPr>
            </w:pPr>
            <w:r w:rsidRPr="0042595A">
              <w:rPr>
                <w:sz w:val="20"/>
              </w:rPr>
              <w:t>Aspergillopepsin I</w:t>
            </w:r>
          </w:p>
        </w:tc>
        <w:tc>
          <w:tcPr>
            <w:tcW w:w="1231" w:type="dxa"/>
            <w:vAlign w:val="center"/>
          </w:tcPr>
          <w:p w:rsidR="00FF2F60" w:rsidRPr="0042595A" w:rsidRDefault="00FF2F60" w:rsidP="00FF2F60">
            <w:pPr>
              <w:rPr>
                <w:i/>
                <w:sz w:val="20"/>
              </w:rPr>
            </w:pPr>
            <w:r w:rsidRPr="0042595A">
              <w:rPr>
                <w:i/>
                <w:sz w:val="20"/>
              </w:rPr>
              <w:t>A. oryzae</w:t>
            </w:r>
          </w:p>
        </w:tc>
        <w:tc>
          <w:tcPr>
            <w:tcW w:w="3003" w:type="dxa"/>
          </w:tcPr>
          <w:p w:rsidR="00FF2F60" w:rsidRPr="0042595A" w:rsidRDefault="00FF2F60" w:rsidP="00142957">
            <w:pPr>
              <w:spacing w:before="120" w:after="120"/>
              <w:rPr>
                <w:sz w:val="20"/>
              </w:rPr>
            </w:pPr>
            <w:r w:rsidRPr="0042595A">
              <w:rPr>
                <w:sz w:val="20"/>
              </w:rPr>
              <w:t>Recognised by IUBMB as a source of EC 3.4.23.18 (but not EC 3.4.23.19)</w:t>
            </w:r>
          </w:p>
        </w:tc>
      </w:tr>
      <w:tr w:rsidR="00FF2F60" w:rsidRPr="008404C0" w:rsidTr="00F818D2">
        <w:tc>
          <w:tcPr>
            <w:tcW w:w="1384" w:type="dxa"/>
            <w:vMerge/>
            <w:tcBorders>
              <w:bottom w:val="double" w:sz="4" w:space="0" w:color="auto"/>
            </w:tcBorders>
          </w:tcPr>
          <w:p w:rsidR="00FF2F60" w:rsidRPr="00F818D2" w:rsidRDefault="00FF2F60" w:rsidP="00FF2F60">
            <w:pPr>
              <w:rPr>
                <w:sz w:val="20"/>
              </w:rPr>
            </w:pPr>
          </w:p>
        </w:tc>
        <w:tc>
          <w:tcPr>
            <w:tcW w:w="1231" w:type="dxa"/>
            <w:tcBorders>
              <w:bottom w:val="double" w:sz="4" w:space="0" w:color="auto"/>
            </w:tcBorders>
            <w:vAlign w:val="center"/>
          </w:tcPr>
          <w:p w:rsidR="00FF2F60" w:rsidRDefault="00FF2F60" w:rsidP="00FF2F60">
            <w:pPr>
              <w:rPr>
                <w:i/>
                <w:sz w:val="20"/>
              </w:rPr>
            </w:pPr>
            <w:r w:rsidRPr="0042595A">
              <w:rPr>
                <w:i/>
                <w:sz w:val="20"/>
              </w:rPr>
              <w:t>R. miehei</w:t>
            </w:r>
          </w:p>
          <w:p w:rsidR="00FF2F60" w:rsidRPr="0042595A" w:rsidRDefault="00FF2F60" w:rsidP="00FF2F60">
            <w:pPr>
              <w:rPr>
                <w:i/>
                <w:sz w:val="20"/>
              </w:rPr>
            </w:pPr>
          </w:p>
        </w:tc>
        <w:tc>
          <w:tcPr>
            <w:tcW w:w="780" w:type="dxa"/>
            <w:tcBorders>
              <w:bottom w:val="double" w:sz="4" w:space="0" w:color="auto"/>
            </w:tcBorders>
          </w:tcPr>
          <w:p w:rsidR="00FF2F60" w:rsidRPr="0042595A" w:rsidRDefault="00142957" w:rsidP="00FF2F60">
            <w:pPr>
              <w:jc w:val="center"/>
              <w:rPr>
                <w:sz w:val="20"/>
              </w:rPr>
            </w:pPr>
            <w:r w:rsidRPr="00F818D2">
              <w:rPr>
                <w:noProof/>
                <w:sz w:val="20"/>
                <w:lang w:eastAsia="en-GB" w:bidi="ar-SA"/>
              </w:rPr>
              <mc:AlternateContent>
                <mc:Choice Requires="wps">
                  <w:drawing>
                    <wp:anchor distT="0" distB="0" distL="114300" distR="114300" simplePos="0" relativeHeight="251694080" behindDoc="0" locked="0" layoutInCell="1" allowOverlap="1" wp14:anchorId="465FD50B" wp14:editId="657CD06D">
                      <wp:simplePos x="0" y="0"/>
                      <wp:positionH relativeFrom="column">
                        <wp:posOffset>227965</wp:posOffset>
                      </wp:positionH>
                      <wp:positionV relativeFrom="paragraph">
                        <wp:posOffset>477520</wp:posOffset>
                      </wp:positionV>
                      <wp:extent cx="7620" cy="876300"/>
                      <wp:effectExtent l="95250" t="0" r="68580" b="57150"/>
                      <wp:wrapNone/>
                      <wp:docPr id="9" name="Straight Connector 9"/>
                      <wp:cNvGraphicFramePr/>
                      <a:graphic xmlns:a="http://schemas.openxmlformats.org/drawingml/2006/main">
                        <a:graphicData uri="http://schemas.microsoft.com/office/word/2010/wordprocessingShape">
                          <wps:wsp>
                            <wps:cNvCnPr/>
                            <wps:spPr>
                              <a:xfrm flipH="1">
                                <a:off x="0" y="0"/>
                                <a:ext cx="7620" cy="876300"/>
                              </a:xfrm>
                              <a:prstGeom prst="line">
                                <a:avLst/>
                              </a:prstGeom>
                              <a:ln w="25400">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37.6pt" to="18.5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" strokecolor="black [3213]" strokeweight="2pt">
                      <v:stroke dashstyle="dash" endarrow="open"/>
                    </v:line>
                  </w:pict>
                </mc:Fallback>
              </mc:AlternateContent>
            </w:r>
            <w:r w:rsidRPr="00F818D2">
              <w:rPr>
                <w:noProof/>
                <w:sz w:val="20"/>
                <w:lang w:eastAsia="en-GB" w:bidi="ar-SA"/>
              </w:rPr>
              <mc:AlternateContent>
                <mc:Choice Requires="wps">
                  <w:drawing>
                    <wp:anchor distT="0" distB="0" distL="114300" distR="114300" simplePos="0" relativeHeight="251695104" behindDoc="0" locked="0" layoutInCell="1" allowOverlap="1" wp14:anchorId="0054BFBE" wp14:editId="4E4C7CD7">
                      <wp:simplePos x="0" y="0"/>
                      <wp:positionH relativeFrom="column">
                        <wp:posOffset>-6350</wp:posOffset>
                      </wp:positionH>
                      <wp:positionV relativeFrom="paragraph">
                        <wp:posOffset>476250</wp:posOffset>
                      </wp:positionV>
                      <wp:extent cx="23622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236220" cy="0"/>
                              </a:xfrm>
                              <a:prstGeom prst="line">
                                <a:avLst/>
                              </a:prstGeom>
                              <a:ln w="254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37.5pt" to="18.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" strokecolor="black [3213]" strokeweight="2pt">
                      <v:stroke dashstyle="dash"/>
                    </v:line>
                  </w:pict>
                </mc:Fallback>
              </mc:AlternateContent>
            </w:r>
          </w:p>
        </w:tc>
        <w:tc>
          <w:tcPr>
            <w:tcW w:w="2100" w:type="dxa"/>
            <w:tcBorders>
              <w:bottom w:val="double" w:sz="4" w:space="0" w:color="auto"/>
            </w:tcBorders>
            <w:vAlign w:val="center"/>
          </w:tcPr>
          <w:p w:rsidR="00FF2F60" w:rsidRDefault="00FF2F60" w:rsidP="00FF2F60">
            <w:pPr>
              <w:rPr>
                <w:sz w:val="20"/>
              </w:rPr>
            </w:pPr>
            <w:r w:rsidRPr="0042595A">
              <w:rPr>
                <w:sz w:val="20"/>
              </w:rPr>
              <w:t>Mucorpepsin</w:t>
            </w:r>
          </w:p>
          <w:p w:rsidR="00142957" w:rsidRPr="0042595A" w:rsidRDefault="00142957" w:rsidP="00F818D2">
            <w:pPr>
              <w:rPr>
                <w:sz w:val="20"/>
              </w:rPr>
            </w:pPr>
            <w:r>
              <w:rPr>
                <w:sz w:val="20"/>
              </w:rPr>
              <w:t>(already in Standard 1.3.3, so no change due to changes to carboxyl proteinase)</w:t>
            </w:r>
          </w:p>
        </w:tc>
        <w:tc>
          <w:tcPr>
            <w:tcW w:w="1231" w:type="dxa"/>
            <w:tcBorders>
              <w:bottom w:val="double" w:sz="4" w:space="0" w:color="auto"/>
            </w:tcBorders>
            <w:vAlign w:val="center"/>
          </w:tcPr>
          <w:p w:rsidR="00FF2F60" w:rsidRPr="0042595A" w:rsidRDefault="00FF2F60" w:rsidP="00FF2F60">
            <w:pPr>
              <w:rPr>
                <w:sz w:val="20"/>
              </w:rPr>
            </w:pPr>
            <w:r w:rsidRPr="0042595A">
              <w:rPr>
                <w:i/>
                <w:sz w:val="20"/>
              </w:rPr>
              <w:t>R. miehei</w:t>
            </w:r>
          </w:p>
        </w:tc>
        <w:tc>
          <w:tcPr>
            <w:tcW w:w="3003" w:type="dxa"/>
            <w:tcBorders>
              <w:bottom w:val="double" w:sz="4" w:space="0" w:color="auto"/>
            </w:tcBorders>
          </w:tcPr>
          <w:p w:rsidR="00FF2F60" w:rsidRPr="0042595A" w:rsidRDefault="00FF2F60" w:rsidP="00F818D2">
            <w:pPr>
              <w:spacing w:before="120" w:after="120"/>
              <w:rPr>
                <w:sz w:val="20"/>
              </w:rPr>
            </w:pPr>
            <w:r w:rsidRPr="0042595A">
              <w:rPr>
                <w:sz w:val="20"/>
              </w:rPr>
              <w:t xml:space="preserve">Mucorpepsin is one of the twelve enzymes that replace carboxyl proteinase. </w:t>
            </w:r>
            <w:r w:rsidRPr="0042595A">
              <w:rPr>
                <w:i/>
                <w:sz w:val="20"/>
              </w:rPr>
              <w:t>R. miehei</w:t>
            </w:r>
            <w:r w:rsidRPr="0042595A">
              <w:rPr>
                <w:sz w:val="20"/>
              </w:rPr>
              <w:t xml:space="preserve"> is recognised by IUBMB as a source of </w:t>
            </w:r>
            <w:r w:rsidR="00F818D2">
              <w:rPr>
                <w:sz w:val="20"/>
              </w:rPr>
              <w:t>M</w:t>
            </w:r>
            <w:r w:rsidRPr="0042595A">
              <w:rPr>
                <w:sz w:val="20"/>
              </w:rPr>
              <w:t xml:space="preserve">ucorpepsin </w:t>
            </w:r>
            <w:r w:rsidR="00A05E1B">
              <w:rPr>
                <w:sz w:val="20"/>
              </w:rPr>
              <w:t>but not Aspergill</w:t>
            </w:r>
            <w:r w:rsidR="007A11ED">
              <w:rPr>
                <w:sz w:val="20"/>
              </w:rPr>
              <w:t>opepsin</w:t>
            </w:r>
            <w:r w:rsidR="00A05E1B">
              <w:rPr>
                <w:sz w:val="20"/>
              </w:rPr>
              <w:t xml:space="preserve"> I or II.</w:t>
            </w:r>
          </w:p>
        </w:tc>
      </w:tr>
      <w:tr w:rsidR="00FF2F60" w:rsidRPr="008404C0" w:rsidTr="00F818D2">
        <w:tc>
          <w:tcPr>
            <w:tcW w:w="1384" w:type="dxa"/>
            <w:tcBorders>
              <w:top w:val="double" w:sz="4" w:space="0" w:color="auto"/>
            </w:tcBorders>
            <w:vAlign w:val="center"/>
          </w:tcPr>
          <w:p w:rsidR="00A05E1B" w:rsidRPr="00F818D2" w:rsidRDefault="00A05E1B" w:rsidP="00142957">
            <w:pPr>
              <w:spacing w:before="120" w:after="120"/>
              <w:rPr>
                <w:sz w:val="20"/>
                <w:szCs w:val="22"/>
              </w:rPr>
            </w:pPr>
            <w:r w:rsidRPr="00F818D2">
              <w:rPr>
                <w:sz w:val="20"/>
                <w:szCs w:val="22"/>
              </w:rPr>
              <w:t>Mucorpepsin</w:t>
            </w:r>
          </w:p>
          <w:p w:rsidR="00FF2F60" w:rsidRPr="00F818D2" w:rsidRDefault="00FF2F60" w:rsidP="00142957">
            <w:pPr>
              <w:spacing w:before="120" w:after="120"/>
              <w:rPr>
                <w:sz w:val="20"/>
              </w:rPr>
            </w:pPr>
          </w:p>
        </w:tc>
        <w:tc>
          <w:tcPr>
            <w:tcW w:w="1231" w:type="dxa"/>
            <w:tcBorders>
              <w:top w:val="double" w:sz="4" w:space="0" w:color="auto"/>
            </w:tcBorders>
            <w:vAlign w:val="center"/>
          </w:tcPr>
          <w:p w:rsidR="00A05E1B" w:rsidRDefault="00A05E1B" w:rsidP="00142957">
            <w:pPr>
              <w:spacing w:before="120" w:after="120"/>
              <w:rPr>
                <w:i/>
                <w:sz w:val="20"/>
              </w:rPr>
            </w:pPr>
            <w:r w:rsidRPr="0042595A">
              <w:rPr>
                <w:i/>
                <w:sz w:val="20"/>
              </w:rPr>
              <w:t>R. miehei</w:t>
            </w:r>
          </w:p>
          <w:p w:rsidR="00FF2F60" w:rsidRPr="008404C0" w:rsidRDefault="00FF2F60" w:rsidP="00142957">
            <w:pPr>
              <w:spacing w:before="120" w:after="120"/>
              <w:rPr>
                <w:i/>
              </w:rPr>
            </w:pPr>
          </w:p>
        </w:tc>
        <w:tc>
          <w:tcPr>
            <w:tcW w:w="780" w:type="dxa"/>
            <w:tcBorders>
              <w:top w:val="double" w:sz="4" w:space="0" w:color="auto"/>
            </w:tcBorders>
          </w:tcPr>
          <w:p w:rsidR="00FF2F60" w:rsidRPr="008404C0" w:rsidRDefault="00142957" w:rsidP="00142957">
            <w:pPr>
              <w:spacing w:before="120" w:after="120"/>
            </w:pPr>
            <w:r w:rsidRPr="00F818D2">
              <w:rPr>
                <w:noProof/>
                <w:sz w:val="20"/>
                <w:lang w:eastAsia="en-GB" w:bidi="ar-SA"/>
              </w:rPr>
              <mc:AlternateContent>
                <mc:Choice Requires="wps">
                  <w:drawing>
                    <wp:anchor distT="0" distB="0" distL="114300" distR="114300" simplePos="0" relativeHeight="251693056" behindDoc="0" locked="0" layoutInCell="1" allowOverlap="1" wp14:anchorId="675E3360" wp14:editId="23E5C7FD">
                      <wp:simplePos x="0" y="0"/>
                      <wp:positionH relativeFrom="column">
                        <wp:posOffset>-8255</wp:posOffset>
                      </wp:positionH>
                      <wp:positionV relativeFrom="paragraph">
                        <wp:posOffset>306070</wp:posOffset>
                      </wp:positionV>
                      <wp:extent cx="396240" cy="0"/>
                      <wp:effectExtent l="0" t="76200" r="22860" b="114300"/>
                      <wp:wrapNone/>
                      <wp:docPr id="8" name="Straight Arrow Connector 8"/>
                      <wp:cNvGraphicFramePr/>
                      <a:graphic xmlns:a="http://schemas.openxmlformats.org/drawingml/2006/main">
                        <a:graphicData uri="http://schemas.microsoft.com/office/word/2010/wordprocessingShape">
                          <wps:wsp>
                            <wps:cNvCnPr/>
                            <wps:spPr>
                              <a:xfrm>
                                <a:off x="0" y="0"/>
                                <a:ext cx="39624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65pt;margin-top:24.1pt;width:31.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" strokecolor="windowText" strokeweight="2pt">
                      <v:stroke endarrow="open"/>
                    </v:shape>
                  </w:pict>
                </mc:Fallback>
              </mc:AlternateContent>
            </w:r>
          </w:p>
        </w:tc>
        <w:tc>
          <w:tcPr>
            <w:tcW w:w="2100" w:type="dxa"/>
            <w:tcBorders>
              <w:top w:val="double" w:sz="4" w:space="0" w:color="auto"/>
            </w:tcBorders>
          </w:tcPr>
          <w:p w:rsidR="00A05E1B" w:rsidRPr="0042595A" w:rsidRDefault="00A05E1B" w:rsidP="00142957">
            <w:pPr>
              <w:spacing w:before="120" w:after="120"/>
              <w:rPr>
                <w:sz w:val="20"/>
              </w:rPr>
            </w:pPr>
            <w:r w:rsidRPr="0042595A">
              <w:rPr>
                <w:sz w:val="20"/>
              </w:rPr>
              <w:t>Mucorpepsin</w:t>
            </w:r>
          </w:p>
          <w:p w:rsidR="00FF2F60" w:rsidRPr="008404C0" w:rsidRDefault="00142957" w:rsidP="00142957">
            <w:pPr>
              <w:spacing w:before="120" w:after="120"/>
            </w:pPr>
            <w:r w:rsidRPr="0042595A">
              <w:rPr>
                <w:sz w:val="20"/>
              </w:rPr>
              <w:t>(no change to entry in Standard 1.3.3)</w:t>
            </w:r>
          </w:p>
        </w:tc>
        <w:tc>
          <w:tcPr>
            <w:tcW w:w="1231" w:type="dxa"/>
            <w:tcBorders>
              <w:top w:val="double" w:sz="4" w:space="0" w:color="auto"/>
            </w:tcBorders>
          </w:tcPr>
          <w:p w:rsidR="00FF2F60" w:rsidRPr="008404C0" w:rsidRDefault="00A05E1B" w:rsidP="00142957">
            <w:pPr>
              <w:spacing w:before="120" w:after="120"/>
              <w:rPr>
                <w:i/>
              </w:rPr>
            </w:pPr>
            <w:r w:rsidRPr="0042595A">
              <w:rPr>
                <w:i/>
                <w:sz w:val="20"/>
              </w:rPr>
              <w:t>R. miehei</w:t>
            </w:r>
          </w:p>
        </w:tc>
        <w:tc>
          <w:tcPr>
            <w:tcW w:w="3003" w:type="dxa"/>
            <w:tcBorders>
              <w:top w:val="double" w:sz="4" w:space="0" w:color="auto"/>
            </w:tcBorders>
          </w:tcPr>
          <w:p w:rsidR="00A05E1B" w:rsidRPr="00A05E1B" w:rsidRDefault="00142957" w:rsidP="00142957">
            <w:pPr>
              <w:spacing w:before="120" w:after="120"/>
              <w:rPr>
                <w:sz w:val="20"/>
                <w:szCs w:val="20"/>
              </w:rPr>
            </w:pPr>
            <w:r w:rsidRPr="00A05E1B">
              <w:rPr>
                <w:sz w:val="20"/>
                <w:szCs w:val="20"/>
              </w:rPr>
              <w:t xml:space="preserve">No change, as this permission already exists in </w:t>
            </w:r>
            <w:r>
              <w:rPr>
                <w:sz w:val="20"/>
                <w:szCs w:val="20"/>
              </w:rPr>
              <w:t>Standard 1.3.3</w:t>
            </w:r>
            <w:r w:rsidRPr="00A05E1B">
              <w:rPr>
                <w:sz w:val="20"/>
                <w:szCs w:val="20"/>
              </w:rPr>
              <w:t>.</w:t>
            </w:r>
          </w:p>
        </w:tc>
      </w:tr>
    </w:tbl>
    <w:p w:rsidR="00FF2F60" w:rsidRDefault="00142957" w:rsidP="009B4796">
      <w:r>
        <w:t xml:space="preserve"> </w:t>
      </w:r>
    </w:p>
    <w:p w:rsidR="00AC2064" w:rsidRDefault="00AC2064" w:rsidP="009B4796">
      <w:pPr>
        <w:rPr>
          <w:i/>
        </w:rPr>
      </w:pPr>
      <w:r>
        <w:t>IUBMB does not list</w:t>
      </w:r>
      <w:r w:rsidR="00050510">
        <w:t xml:space="preserve"> either</w:t>
      </w:r>
      <w:r>
        <w:t xml:space="preserve"> </w:t>
      </w:r>
      <w:r w:rsidRPr="002F704A">
        <w:rPr>
          <w:i/>
        </w:rPr>
        <w:t>A</w:t>
      </w:r>
      <w:r>
        <w:rPr>
          <w:i/>
        </w:rPr>
        <w:t>.</w:t>
      </w:r>
      <w:r w:rsidR="002E4B87">
        <w:rPr>
          <w:i/>
        </w:rPr>
        <w:t xml:space="preserve"> </w:t>
      </w:r>
      <w:r w:rsidRPr="002F704A">
        <w:rPr>
          <w:i/>
        </w:rPr>
        <w:t>melleus</w:t>
      </w:r>
      <w:r>
        <w:rPr>
          <w:i/>
        </w:rPr>
        <w:t xml:space="preserve"> </w:t>
      </w:r>
      <w:r>
        <w:t>or</w:t>
      </w:r>
      <w:r>
        <w:rPr>
          <w:i/>
        </w:rPr>
        <w:t xml:space="preserve"> </w:t>
      </w:r>
      <w:r w:rsidRPr="002F704A">
        <w:rPr>
          <w:i/>
        </w:rPr>
        <w:t>R</w:t>
      </w:r>
      <w:r>
        <w:rPr>
          <w:i/>
        </w:rPr>
        <w:t>.</w:t>
      </w:r>
      <w:r w:rsidR="002E4B87">
        <w:rPr>
          <w:i/>
        </w:rPr>
        <w:t xml:space="preserve"> </w:t>
      </w:r>
      <w:r w:rsidRPr="002F704A">
        <w:rPr>
          <w:i/>
        </w:rPr>
        <w:t>miehei</w:t>
      </w:r>
      <w:r>
        <w:t xml:space="preserve"> as microbiological sources of Aspergillopepsin I. </w:t>
      </w:r>
      <w:r w:rsidRPr="002F704A">
        <w:rPr>
          <w:i/>
        </w:rPr>
        <w:t>A</w:t>
      </w:r>
      <w:r>
        <w:rPr>
          <w:i/>
        </w:rPr>
        <w:t>.</w:t>
      </w:r>
      <w:r w:rsidR="002E4B87">
        <w:rPr>
          <w:i/>
        </w:rPr>
        <w:t xml:space="preserve"> </w:t>
      </w:r>
      <w:r w:rsidRPr="002F704A">
        <w:rPr>
          <w:i/>
        </w:rPr>
        <w:t>melleus</w:t>
      </w:r>
      <w:r>
        <w:rPr>
          <w:i/>
        </w:rPr>
        <w:t xml:space="preserve"> </w:t>
      </w:r>
      <w:r>
        <w:t xml:space="preserve">is </w:t>
      </w:r>
      <w:r w:rsidR="00C74E19">
        <w:t xml:space="preserve">not listed </w:t>
      </w:r>
      <w:r>
        <w:t xml:space="preserve">as a source for any of the </w:t>
      </w:r>
      <w:r w:rsidR="00C74E19">
        <w:t>twelve</w:t>
      </w:r>
      <w:r w:rsidR="00470B94">
        <w:t xml:space="preserve"> n</w:t>
      </w:r>
      <w:r>
        <w:t xml:space="preserve">ew </w:t>
      </w:r>
      <w:r w:rsidR="00BA51A2">
        <w:t xml:space="preserve">enzymes </w:t>
      </w:r>
      <w:r w:rsidR="00C74E19">
        <w:t xml:space="preserve">(including the two </w:t>
      </w:r>
      <w:r w:rsidR="00BA51A2">
        <w:t xml:space="preserve">enzymes </w:t>
      </w:r>
      <w:r w:rsidR="00C74E19">
        <w:t>requested by the Applicant)</w:t>
      </w:r>
      <w:r w:rsidR="00442B35">
        <w:t xml:space="preserve"> or </w:t>
      </w:r>
      <w:r w:rsidR="00820E4F">
        <w:t xml:space="preserve">as a source </w:t>
      </w:r>
      <w:r w:rsidR="00442B35">
        <w:t>for any other functionally related enzyme</w:t>
      </w:r>
      <w:r w:rsidR="006464CA">
        <w:t xml:space="preserve">. </w:t>
      </w:r>
      <w:r w:rsidR="00442B35">
        <w:t xml:space="preserve">IUBMB lists </w:t>
      </w:r>
      <w:r w:rsidR="00820E4F" w:rsidRPr="00820E4F">
        <w:rPr>
          <w:i/>
        </w:rPr>
        <w:t>A.</w:t>
      </w:r>
      <w:r w:rsidR="002E4B87">
        <w:rPr>
          <w:i/>
        </w:rPr>
        <w:t xml:space="preserve"> </w:t>
      </w:r>
      <w:r w:rsidR="00820E4F" w:rsidRPr="00820E4F">
        <w:rPr>
          <w:i/>
        </w:rPr>
        <w:t>melleus</w:t>
      </w:r>
      <w:r w:rsidR="00820E4F">
        <w:t xml:space="preserve"> as a source for oryzin – EC 3.4.21.63</w:t>
      </w:r>
      <w:r w:rsidR="00820E4F" w:rsidRPr="00820E4F">
        <w:t xml:space="preserve"> </w:t>
      </w:r>
      <w:r w:rsidR="00820E4F">
        <w:t>only</w:t>
      </w:r>
      <w:r w:rsidR="006464CA">
        <w:t xml:space="preserve">. </w:t>
      </w:r>
      <w:r w:rsidR="00820E4F">
        <w:t>However</w:t>
      </w:r>
      <w:r w:rsidR="00C74E19">
        <w:t xml:space="preserve"> one of the new </w:t>
      </w:r>
      <w:r w:rsidR="00BA51A2">
        <w:t xml:space="preserve">enzymes </w:t>
      </w:r>
      <w:r>
        <w:t xml:space="preserve">– mucorpepsin (EC 3.4.23.23) – does </w:t>
      </w:r>
      <w:r w:rsidR="006464CA">
        <w:t xml:space="preserve">have </w:t>
      </w:r>
      <w:r w:rsidR="00CE1B2F">
        <w:br w:type="textWrapping" w:clear="all"/>
      </w:r>
      <w:r w:rsidRPr="002F704A">
        <w:rPr>
          <w:i/>
        </w:rPr>
        <w:t>R</w:t>
      </w:r>
      <w:r>
        <w:rPr>
          <w:i/>
        </w:rPr>
        <w:t>.</w:t>
      </w:r>
      <w:r w:rsidR="002E4B87">
        <w:rPr>
          <w:i/>
        </w:rPr>
        <w:t xml:space="preserve"> </w:t>
      </w:r>
      <w:r w:rsidRPr="002F704A">
        <w:rPr>
          <w:i/>
        </w:rPr>
        <w:t>miehei</w:t>
      </w:r>
      <w:r>
        <w:t xml:space="preserve"> </w:t>
      </w:r>
      <w:r w:rsidR="006464CA">
        <w:t xml:space="preserve">listed </w:t>
      </w:r>
      <w:r>
        <w:t>as a source microorganism.</w:t>
      </w:r>
    </w:p>
    <w:p w:rsidR="00AC2064" w:rsidRDefault="00AC2064" w:rsidP="009B4796">
      <w:pPr>
        <w:rPr>
          <w:i/>
        </w:rPr>
      </w:pPr>
    </w:p>
    <w:p w:rsidR="002B4682" w:rsidRDefault="00D51820" w:rsidP="009B4796">
      <w:r>
        <w:t>Aspergillopepsin I and II categories (EC 3.4.23.18 and 3.4.23.19</w:t>
      </w:r>
      <w:r w:rsidR="00B158DC">
        <w:t xml:space="preserve">) </w:t>
      </w:r>
      <w:r>
        <w:t xml:space="preserve">are the </w:t>
      </w:r>
      <w:r w:rsidR="00792587">
        <w:t xml:space="preserve">only </w:t>
      </w:r>
      <w:r w:rsidR="00B158DC">
        <w:t xml:space="preserve">new </w:t>
      </w:r>
      <w:r w:rsidR="00E41EAD">
        <w:t xml:space="preserve">enzymes </w:t>
      </w:r>
      <w:r w:rsidR="00FA55A5">
        <w:t xml:space="preserve">that have </w:t>
      </w:r>
      <w:r w:rsidRPr="002F704A">
        <w:rPr>
          <w:i/>
        </w:rPr>
        <w:t>A</w:t>
      </w:r>
      <w:r>
        <w:rPr>
          <w:i/>
        </w:rPr>
        <w:t>.</w:t>
      </w:r>
      <w:r w:rsidR="002E4B87">
        <w:rPr>
          <w:i/>
        </w:rPr>
        <w:t xml:space="preserve"> </w:t>
      </w:r>
      <w:proofErr w:type="gramStart"/>
      <w:r w:rsidRPr="002F704A">
        <w:rPr>
          <w:i/>
        </w:rPr>
        <w:t>niger</w:t>
      </w:r>
      <w:proofErr w:type="gramEnd"/>
      <w:r w:rsidR="00E1578F">
        <w:rPr>
          <w:i/>
        </w:rPr>
        <w:t xml:space="preserve"> </w:t>
      </w:r>
      <w:r w:rsidR="00E1578F" w:rsidRPr="00E1578F">
        <w:t>and</w:t>
      </w:r>
      <w:r>
        <w:rPr>
          <w:i/>
        </w:rPr>
        <w:t xml:space="preserve"> </w:t>
      </w:r>
      <w:r w:rsidRPr="002F704A">
        <w:rPr>
          <w:i/>
        </w:rPr>
        <w:t>A</w:t>
      </w:r>
      <w:r>
        <w:rPr>
          <w:i/>
        </w:rPr>
        <w:t>.</w:t>
      </w:r>
      <w:r w:rsidR="002E4B87">
        <w:rPr>
          <w:i/>
        </w:rPr>
        <w:t xml:space="preserve"> </w:t>
      </w:r>
      <w:r w:rsidRPr="002F704A">
        <w:rPr>
          <w:i/>
        </w:rPr>
        <w:t>oryzae</w:t>
      </w:r>
      <w:r w:rsidR="00B158DC">
        <w:rPr>
          <w:i/>
        </w:rPr>
        <w:t xml:space="preserve"> </w:t>
      </w:r>
      <w:r w:rsidR="00B158DC" w:rsidRPr="00B158DC">
        <w:t xml:space="preserve">as their source </w:t>
      </w:r>
      <w:r w:rsidR="00E41EAD" w:rsidRPr="00B158DC">
        <w:t>microorganisms</w:t>
      </w:r>
      <w:r w:rsidR="00E43653">
        <w:t>. R</w:t>
      </w:r>
      <w:r w:rsidR="00470B94">
        <w:t>eplac</w:t>
      </w:r>
      <w:r w:rsidR="00E43653">
        <w:t>ing</w:t>
      </w:r>
      <w:r w:rsidR="00470B94">
        <w:t xml:space="preserve"> carboxyl proteinase with these </w:t>
      </w:r>
      <w:r w:rsidR="00E43653">
        <w:t xml:space="preserve">two </w:t>
      </w:r>
      <w:r w:rsidR="00B20EA7">
        <w:t xml:space="preserve">new </w:t>
      </w:r>
      <w:r w:rsidR="00E41EAD">
        <w:t>enzyme</w:t>
      </w:r>
      <w:r w:rsidR="00B20EA7">
        <w:t xml:space="preserve"> group</w:t>
      </w:r>
      <w:r w:rsidR="00E41EAD">
        <w:t>s</w:t>
      </w:r>
      <w:r w:rsidR="00B20EA7">
        <w:t>,</w:t>
      </w:r>
      <w:r w:rsidR="00E41EAD">
        <w:t xml:space="preserve"> </w:t>
      </w:r>
      <w:r w:rsidR="00470B94">
        <w:t>using these source microorganisms only</w:t>
      </w:r>
      <w:r w:rsidR="00B20EA7">
        <w:t>,</w:t>
      </w:r>
      <w:r w:rsidR="00E43653">
        <w:t xml:space="preserve"> is therefore consistent with IUBMB recommendations</w:t>
      </w:r>
      <w:r w:rsidR="00792587">
        <w:t>.</w:t>
      </w:r>
      <w:r w:rsidR="00C87664">
        <w:t xml:space="preserve"> </w:t>
      </w:r>
      <w:r w:rsidR="00F818D2">
        <w:t>Mucorpepsin</w:t>
      </w:r>
      <w:r w:rsidR="00C87664">
        <w:t xml:space="preserve"> is already listed in the Table to clause 17 of Standard 1.3.3 and so the table does not need to be updated </w:t>
      </w:r>
      <w:r w:rsidR="00B158DC">
        <w:t>to</w:t>
      </w:r>
      <w:r w:rsidR="00470B94">
        <w:t xml:space="preserve"> provide permission to use the </w:t>
      </w:r>
      <w:r w:rsidR="00C36A8B">
        <w:t xml:space="preserve">currently permitted </w:t>
      </w:r>
      <w:r w:rsidR="00470B94">
        <w:t>enzyme</w:t>
      </w:r>
      <w:r w:rsidR="00C36A8B">
        <w:t>s that are</w:t>
      </w:r>
      <w:r w:rsidR="00470B94">
        <w:t xml:space="preserve"> derived from </w:t>
      </w:r>
      <w:r w:rsidR="00470B94" w:rsidRPr="002F704A">
        <w:rPr>
          <w:i/>
        </w:rPr>
        <w:t>R</w:t>
      </w:r>
      <w:r w:rsidR="00470B94">
        <w:rPr>
          <w:i/>
        </w:rPr>
        <w:t>.</w:t>
      </w:r>
      <w:r w:rsidR="002E4B87">
        <w:rPr>
          <w:i/>
        </w:rPr>
        <w:t xml:space="preserve"> </w:t>
      </w:r>
      <w:r w:rsidR="00470B94" w:rsidRPr="002F704A">
        <w:rPr>
          <w:i/>
        </w:rPr>
        <w:t>miehei</w:t>
      </w:r>
      <w:r w:rsidR="00B158DC">
        <w:t>.</w:t>
      </w:r>
      <w:r w:rsidR="00470B94">
        <w:t xml:space="preserve"> </w:t>
      </w:r>
    </w:p>
    <w:p w:rsidR="004F69F6" w:rsidRPr="00932F14" w:rsidRDefault="00D3171B" w:rsidP="004646F8">
      <w:pPr>
        <w:pStyle w:val="Heading2"/>
      </w:pPr>
      <w:bookmarkStart w:id="43" w:name="_Toc175381442"/>
      <w:bookmarkStart w:id="44" w:name="_Toc286391010"/>
      <w:bookmarkStart w:id="45" w:name="_Toc300933426"/>
      <w:bookmarkStart w:id="46" w:name="_Toc384895030"/>
      <w:r>
        <w:t>2</w:t>
      </w:r>
      <w:r w:rsidR="0045556F">
        <w:t>.</w:t>
      </w:r>
      <w:r w:rsidR="00F720CE">
        <w:t>2</w:t>
      </w:r>
      <w:r w:rsidR="00271F00">
        <w:tab/>
      </w:r>
      <w:bookmarkEnd w:id="43"/>
      <w:bookmarkEnd w:id="44"/>
      <w:bookmarkEnd w:id="45"/>
      <w:r w:rsidR="0045556F">
        <w:t>R</w:t>
      </w:r>
      <w:r w:rsidR="00707E72">
        <w:t>isk m</w:t>
      </w:r>
      <w:r w:rsidR="008A35FB">
        <w:t>anagement</w:t>
      </w:r>
      <w:bookmarkEnd w:id="46"/>
    </w:p>
    <w:p w:rsidR="003B776B" w:rsidRDefault="00672D92" w:rsidP="00672D92">
      <w:bookmarkStart w:id="47" w:name="_Toc300933435"/>
      <w:bookmarkStart w:id="48" w:name="_Toc300761910"/>
      <w:r w:rsidRPr="008F227B">
        <w:t>The risk assessment shows that the</w:t>
      </w:r>
      <w:r w:rsidR="008F227B" w:rsidRPr="008F227B">
        <w:t xml:space="preserve"> </w:t>
      </w:r>
      <w:r w:rsidR="00A15925">
        <w:t>description of the enzymes and source organisms</w:t>
      </w:r>
      <w:r w:rsidR="00A15925" w:rsidRPr="008F227B">
        <w:t xml:space="preserve"> </w:t>
      </w:r>
      <w:r w:rsidR="008F227B" w:rsidRPr="008F227B">
        <w:t>proposed by the</w:t>
      </w:r>
      <w:r w:rsidRPr="008F227B">
        <w:t xml:space="preserve"> Application </w:t>
      </w:r>
      <w:r w:rsidR="00E80170">
        <w:t>are equivalent to</w:t>
      </w:r>
      <w:r w:rsidR="008F227B" w:rsidRPr="008F227B">
        <w:t xml:space="preserve"> the original carboxyl proteinase </w:t>
      </w:r>
      <w:r w:rsidR="00847E0E">
        <w:t>enzyme</w:t>
      </w:r>
      <w:r w:rsidR="00B9156E">
        <w:t>s</w:t>
      </w:r>
      <w:r w:rsidR="00847E0E" w:rsidRPr="008F227B">
        <w:t xml:space="preserve"> </w:t>
      </w:r>
      <w:r w:rsidR="008F227B" w:rsidRPr="008F227B">
        <w:t xml:space="preserve">(provided </w:t>
      </w:r>
      <w:r w:rsidR="008F227B" w:rsidRPr="008F227B">
        <w:rPr>
          <w:i/>
        </w:rPr>
        <w:t>A.</w:t>
      </w:r>
      <w:r w:rsidR="002E4B87">
        <w:rPr>
          <w:i/>
        </w:rPr>
        <w:t xml:space="preserve"> </w:t>
      </w:r>
      <w:r w:rsidR="008F227B" w:rsidRPr="008F227B">
        <w:rPr>
          <w:i/>
        </w:rPr>
        <w:t>melleus</w:t>
      </w:r>
      <w:r w:rsidR="008F227B" w:rsidRPr="008F227B">
        <w:t xml:space="preserve"> and </w:t>
      </w:r>
      <w:r w:rsidR="008F227B" w:rsidRPr="008F227B">
        <w:rPr>
          <w:i/>
        </w:rPr>
        <w:t>R.</w:t>
      </w:r>
      <w:r w:rsidR="002E4B87">
        <w:rPr>
          <w:i/>
        </w:rPr>
        <w:t xml:space="preserve"> </w:t>
      </w:r>
      <w:r w:rsidR="008F227B" w:rsidRPr="008F227B">
        <w:rPr>
          <w:i/>
        </w:rPr>
        <w:t>miehei</w:t>
      </w:r>
      <w:r w:rsidR="008F227B" w:rsidRPr="008F227B">
        <w:t xml:space="preserve"> are removed as microbi</w:t>
      </w:r>
      <w:r w:rsidR="008F227B">
        <w:t>o</w:t>
      </w:r>
      <w:r w:rsidR="008F227B" w:rsidRPr="008F227B">
        <w:t>logical sources)</w:t>
      </w:r>
      <w:r w:rsidR="00A15925">
        <w:t>.</w:t>
      </w:r>
      <w:r w:rsidR="00B96F4E">
        <w:t xml:space="preserve"> It should be noted that the removal of </w:t>
      </w:r>
      <w:r w:rsidR="00B96F4E" w:rsidRPr="003B776B">
        <w:rPr>
          <w:i/>
        </w:rPr>
        <w:t>A.</w:t>
      </w:r>
      <w:r w:rsidR="002E4B87">
        <w:rPr>
          <w:i/>
        </w:rPr>
        <w:t xml:space="preserve"> </w:t>
      </w:r>
      <w:r w:rsidR="00B96F4E" w:rsidRPr="003B776B">
        <w:rPr>
          <w:i/>
        </w:rPr>
        <w:t>melleus</w:t>
      </w:r>
      <w:r w:rsidR="00B96F4E">
        <w:t xml:space="preserve"> as a source of these enzymes will not adversely affect industry</w:t>
      </w:r>
      <w:r w:rsidR="003B776B">
        <w:t xml:space="preserve"> manufacturing practices</w:t>
      </w:r>
      <w:r w:rsidR="00B96F4E">
        <w:t xml:space="preserve">, as carboxyl proteinase enzymes could not be </w:t>
      </w:r>
      <w:r w:rsidR="003B776B">
        <w:t xml:space="preserve">previously </w:t>
      </w:r>
      <w:r w:rsidR="00B96F4E">
        <w:t>sourced from this organism.</w:t>
      </w:r>
      <w:r w:rsidR="00442B35">
        <w:t xml:space="preserve"> </w:t>
      </w:r>
    </w:p>
    <w:p w:rsidR="00A05E1B" w:rsidRDefault="00A05E1B">
      <w:pPr>
        <w:widowControl/>
      </w:pPr>
    </w:p>
    <w:p w:rsidR="009D2B8F" w:rsidRDefault="003B776B" w:rsidP="00672D92">
      <w:r>
        <w:t xml:space="preserve">Because the </w:t>
      </w:r>
      <w:r w:rsidR="00A15925">
        <w:t>proposed changes</w:t>
      </w:r>
      <w:r>
        <w:t xml:space="preserve"> do not alter the range of permitted enzyme processing aids, they</w:t>
      </w:r>
      <w:r w:rsidR="008F227B" w:rsidRPr="008F227B">
        <w:t xml:space="preserve"> </w:t>
      </w:r>
      <w:r w:rsidR="008F227B">
        <w:t xml:space="preserve">do not need </w:t>
      </w:r>
      <w:r w:rsidR="00A15925">
        <w:t xml:space="preserve">to be accompanied by </w:t>
      </w:r>
      <w:r w:rsidR="008F227B">
        <w:t>any further risk management strategies to manage public health and safety risks</w:t>
      </w:r>
      <w:r w:rsidR="00672D92" w:rsidRPr="008F227B">
        <w:t xml:space="preserve">. </w:t>
      </w:r>
      <w:r w:rsidR="00672D92">
        <w:t>Additionally, p</w:t>
      </w:r>
      <w:r w:rsidR="00672D92" w:rsidRPr="008C751E">
        <w:t xml:space="preserve">rocessing aids </w:t>
      </w:r>
      <w:r w:rsidR="005F5EA6">
        <w:t>do not have</w:t>
      </w:r>
      <w:r w:rsidR="00672D92" w:rsidRPr="008C751E">
        <w:t xml:space="preserve"> to be labelled in the ingredient list </w:t>
      </w:r>
      <w:r w:rsidR="005F5EA6">
        <w:t>of</w:t>
      </w:r>
      <w:r w:rsidR="00672D92" w:rsidRPr="008C751E">
        <w:t xml:space="preserve"> foods</w:t>
      </w:r>
      <w:r w:rsidR="00672D92">
        <w:t>,</w:t>
      </w:r>
      <w:r w:rsidR="00672D92" w:rsidRPr="008C751E">
        <w:t xml:space="preserve"> since they do not have a technological function in the final product.</w:t>
      </w:r>
      <w:r w:rsidR="00672D92" w:rsidRPr="00672D92">
        <w:t xml:space="preserve"> </w:t>
      </w:r>
      <w:r w:rsidR="00672D92">
        <w:t xml:space="preserve">The change in enzyme naming and categorisation will therefore have no impact on labelling requirements within the Code. </w:t>
      </w:r>
      <w:r w:rsidR="009D2B8F">
        <w:br w:type="page"/>
      </w:r>
    </w:p>
    <w:p w:rsidR="000E0F9F" w:rsidRDefault="00672D92" w:rsidP="000E0F9F">
      <w:r>
        <w:lastRenderedPageBreak/>
        <w:t xml:space="preserve">Therefore, this Application does not require the implementation of any new specific risk management measures or </w:t>
      </w:r>
      <w:r w:rsidR="00E1578F">
        <w:t>alteration to</w:t>
      </w:r>
      <w:r>
        <w:t xml:space="preserve"> existing strategies. </w:t>
      </w:r>
      <w:bookmarkStart w:id="49" w:name="_Toc384895031"/>
    </w:p>
    <w:p w:rsidR="00E520FE" w:rsidRPr="00932F14" w:rsidRDefault="00F720CE" w:rsidP="00E520FE">
      <w:pPr>
        <w:pStyle w:val="Heading2"/>
      </w:pPr>
      <w:r>
        <w:t>2.</w:t>
      </w:r>
      <w:r w:rsidR="00F64738">
        <w:t>3</w:t>
      </w:r>
      <w:r w:rsidR="00E520FE">
        <w:tab/>
        <w:t>Risk communication</w:t>
      </w:r>
      <w:bookmarkEnd w:id="47"/>
      <w:bookmarkEnd w:id="49"/>
      <w:r w:rsidR="00E520FE">
        <w:t xml:space="preserve"> </w:t>
      </w:r>
    </w:p>
    <w:p w:rsidR="00E520FE" w:rsidRPr="00672D92" w:rsidRDefault="00E520FE" w:rsidP="00672D92">
      <w:pPr>
        <w:pStyle w:val="Heading3"/>
      </w:pPr>
      <w:bookmarkStart w:id="50" w:name="_Toc300933437"/>
      <w:bookmarkStart w:id="51" w:name="_Toc384895032"/>
      <w:bookmarkStart w:id="52" w:name="_Toc286391012"/>
      <w:r w:rsidRPr="00672D92">
        <w:t>2.</w:t>
      </w:r>
      <w:r w:rsidR="00F64738">
        <w:t>3</w:t>
      </w:r>
      <w:r w:rsidRPr="00672D92">
        <w:t>.1</w:t>
      </w:r>
      <w:r w:rsidRPr="00672D92">
        <w:tab/>
        <w:t>Consultation</w:t>
      </w:r>
      <w:bookmarkEnd w:id="50"/>
      <w:bookmarkEnd w:id="51"/>
    </w:p>
    <w:p w:rsidR="00672D92" w:rsidRPr="00C8068E" w:rsidRDefault="00672D92" w:rsidP="00672D92">
      <w:r w:rsidRPr="00C8068E">
        <w:t xml:space="preserve">FSANZ </w:t>
      </w:r>
      <w:r>
        <w:t xml:space="preserve">has </w:t>
      </w:r>
      <w:r w:rsidRPr="00C8068E">
        <w:t xml:space="preserve">developed and applied a </w:t>
      </w:r>
      <w:r w:rsidR="00717CA0">
        <w:t xml:space="preserve">standard </w:t>
      </w:r>
      <w:r w:rsidRPr="00C8068E">
        <w:t>communication strategy to this Application. All calls for submissions are notified via the FSANZ Notification Circular, media release</w:t>
      </w:r>
      <w:r>
        <w:t xml:space="preserve">, </w:t>
      </w:r>
      <w:r w:rsidRPr="00C8068E">
        <w:t xml:space="preserve">FSANZ’s social media tools and </w:t>
      </w:r>
      <w:r w:rsidRPr="00D007F7">
        <w:t>Food Standards News</w:t>
      </w:r>
      <w:r w:rsidRPr="00C8068E">
        <w:t xml:space="preserve">. </w:t>
      </w:r>
    </w:p>
    <w:p w:rsidR="00672D92" w:rsidRPr="00C8068E" w:rsidRDefault="00672D92" w:rsidP="00672D92"/>
    <w:p w:rsidR="002E4B87" w:rsidRPr="00D007F7" w:rsidRDefault="00672D92" w:rsidP="002E4B87">
      <w:pPr>
        <w:rPr>
          <w:szCs w:val="22"/>
        </w:rPr>
      </w:pPr>
      <w:r w:rsidRPr="00C8068E">
        <w:t xml:space="preserve">The process by which FSANZ considers standard development matters is open, accountable, consultative and transparent. Public submissions are called to obtain the views of interested parties on issues raised by the </w:t>
      </w:r>
      <w:r w:rsidR="00CF2FEB">
        <w:t>A</w:t>
      </w:r>
      <w:r w:rsidRPr="00C8068E">
        <w:t xml:space="preserve">pplication and the impacts of regulatory options. </w:t>
      </w:r>
      <w:r w:rsidR="002E4B87" w:rsidRPr="00D007F7">
        <w:rPr>
          <w:szCs w:val="22"/>
        </w:rPr>
        <w:t xml:space="preserve">Every submission on an application or proposal is considered by the FSANZ Board. All comments are valued and contribute to the rigour of our assessment. </w:t>
      </w:r>
    </w:p>
    <w:p w:rsidR="00672D92" w:rsidRPr="0048255F" w:rsidRDefault="00672D92" w:rsidP="00672D92"/>
    <w:p w:rsidR="00672D92" w:rsidRPr="00C8068E" w:rsidRDefault="00672D92" w:rsidP="00672D92">
      <w:r w:rsidRPr="0048255F">
        <w:t>The Applicant, individuals and organisations that make submissions on this Application will be notified at each stage of the assessment.</w:t>
      </w:r>
      <w:r>
        <w:t xml:space="preserve"> </w:t>
      </w:r>
      <w:r w:rsidRPr="00C8068E">
        <w:t xml:space="preserve">Subscribers and interested parties are also notified </w:t>
      </w:r>
      <w:r>
        <w:t xml:space="preserve">via email </w:t>
      </w:r>
      <w:r w:rsidRPr="00C8068E">
        <w:t xml:space="preserve">about the availability of reports for public comment. </w:t>
      </w:r>
    </w:p>
    <w:p w:rsidR="00672D92" w:rsidRPr="00C8068E" w:rsidRDefault="00672D92" w:rsidP="00672D92"/>
    <w:p w:rsidR="0027513D" w:rsidRPr="0027513D" w:rsidRDefault="00672D92" w:rsidP="00672D92">
      <w:pPr>
        <w:rPr>
          <w:color w:val="00B050"/>
          <w:szCs w:val="22"/>
        </w:rPr>
      </w:pPr>
      <w:r w:rsidRPr="0048255F">
        <w:t xml:space="preserve">If the draft variation to the Code is approved by the FSANZ Board, that decision will be notified to </w:t>
      </w:r>
      <w:r>
        <w:t xml:space="preserve">the </w:t>
      </w:r>
      <w:r w:rsidRPr="004C469C">
        <w:rPr>
          <w:lang w:val="en-AU"/>
        </w:rPr>
        <w:t>COAG Legislative and Governance Forum on Food Regulation (the Forum)</w:t>
      </w:r>
      <w:r w:rsidRPr="0048255F">
        <w:t>. If the decision is not subject to a request for a review, the Applicant and stakeholders including the public will be notified of the gazettal of the variation to the Code in the national press and on the FSANZ website.</w:t>
      </w:r>
      <w:r w:rsidR="0027513D" w:rsidRPr="0027513D">
        <w:rPr>
          <w:color w:val="00B050"/>
          <w:szCs w:val="22"/>
        </w:rPr>
        <w:t xml:space="preserve"> </w:t>
      </w:r>
    </w:p>
    <w:p w:rsidR="00E520FE" w:rsidRPr="00022DBC" w:rsidRDefault="00022DBC" w:rsidP="00022DBC">
      <w:pPr>
        <w:pStyle w:val="Heading3"/>
      </w:pPr>
      <w:bookmarkStart w:id="53" w:name="_Toc300761912"/>
      <w:bookmarkStart w:id="54" w:name="_Toc300933439"/>
      <w:bookmarkStart w:id="55" w:name="_Toc384895033"/>
      <w:bookmarkEnd w:id="52"/>
      <w:r w:rsidRPr="00022DBC">
        <w:t>2.</w:t>
      </w:r>
      <w:r w:rsidR="00F64738">
        <w:t>3</w:t>
      </w:r>
      <w:r w:rsidRPr="00022DBC">
        <w:t>.2</w:t>
      </w:r>
      <w:r w:rsidR="00E520FE" w:rsidRPr="00022DBC">
        <w:tab/>
        <w:t>World Trade Organization (WTO)</w:t>
      </w:r>
      <w:bookmarkEnd w:id="53"/>
      <w:bookmarkEnd w:id="54"/>
      <w:bookmarkEnd w:id="55"/>
    </w:p>
    <w:p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605C7A" w:rsidRDefault="00605C7A" w:rsidP="00E520FE">
      <w:pPr>
        <w:tabs>
          <w:tab w:val="left" w:pos="1560"/>
        </w:tabs>
        <w:rPr>
          <w:rFonts w:cs="Arial"/>
        </w:rPr>
      </w:pPr>
    </w:p>
    <w:p w:rsidR="00A05E1B" w:rsidRDefault="00E520FE" w:rsidP="00E520FE">
      <w:pPr>
        <w:tabs>
          <w:tab w:val="left" w:pos="1560"/>
        </w:tabs>
        <w:rPr>
          <w:rFonts w:cs="Arial"/>
          <w:iCs/>
        </w:rPr>
      </w:pPr>
      <w:r w:rsidRPr="00605C7A">
        <w:rPr>
          <w:rFonts w:cs="Arial"/>
        </w:rPr>
        <w:t xml:space="preserve">There </w:t>
      </w:r>
      <w:r w:rsidR="00605C7A" w:rsidRPr="00605C7A">
        <w:rPr>
          <w:rFonts w:cs="Arial"/>
        </w:rPr>
        <w:t>are no</w:t>
      </w:r>
      <w:r w:rsidRPr="00605C7A">
        <w:rPr>
          <w:rFonts w:cs="Arial"/>
        </w:rPr>
        <w:t xml:space="preserve"> relevant international standards</w:t>
      </w:r>
      <w:r w:rsidR="00717CA0">
        <w:rPr>
          <w:rFonts w:cs="Arial"/>
        </w:rPr>
        <w:t xml:space="preserve"> that will be affected</w:t>
      </w:r>
      <w:r w:rsidR="00605C7A" w:rsidRPr="00605C7A">
        <w:rPr>
          <w:rFonts w:cs="Arial"/>
        </w:rPr>
        <w:t>,</w:t>
      </w:r>
      <w:r w:rsidRPr="00605C7A">
        <w:rPr>
          <w:rFonts w:cs="Arial"/>
        </w:rPr>
        <w:t xml:space="preserve"> </w:t>
      </w:r>
      <w:r w:rsidR="004F41D0">
        <w:rPr>
          <w:rFonts w:cs="Arial"/>
        </w:rPr>
        <w:t>and t</w:t>
      </w:r>
      <w:r w:rsidR="00605C7A">
        <w:rPr>
          <w:rFonts w:cs="Arial"/>
        </w:rPr>
        <w:t xml:space="preserve">he proposed variation to the Code </w:t>
      </w:r>
      <w:r w:rsidR="004F41D0">
        <w:rPr>
          <w:rFonts w:cs="Arial"/>
        </w:rPr>
        <w:t>will have no effect on imported foods that have used these processing aids, as the current</w:t>
      </w:r>
      <w:r w:rsidR="00605C7A">
        <w:rPr>
          <w:rFonts w:cs="Arial"/>
        </w:rPr>
        <w:t xml:space="preserve"> range of enzymes that are permitted for use as processing aids in Standard 1.3.3</w:t>
      </w:r>
      <w:r w:rsidR="004F41D0">
        <w:rPr>
          <w:rFonts w:cs="Arial"/>
        </w:rPr>
        <w:t xml:space="preserve"> will remain unchanged</w:t>
      </w:r>
      <w:r w:rsidR="00605C7A">
        <w:rPr>
          <w:rFonts w:cs="Arial"/>
        </w:rPr>
        <w:t xml:space="preserve">. </w:t>
      </w:r>
      <w:r w:rsidR="004F41D0">
        <w:rPr>
          <w:rFonts w:cs="Arial"/>
        </w:rPr>
        <w:t>As such, th</w:t>
      </w:r>
      <w:r w:rsidR="0041428F">
        <w:rPr>
          <w:rFonts w:cs="Arial"/>
        </w:rPr>
        <w:t xml:space="preserve">e proposed variation </w:t>
      </w:r>
      <w:r w:rsidR="004F41D0" w:rsidRPr="00605C7A">
        <w:rPr>
          <w:rFonts w:cs="Arial"/>
        </w:rPr>
        <w:t>is unlikely to have a significant effect on international trade</w:t>
      </w:r>
      <w:r w:rsidR="004F41D0">
        <w:rPr>
          <w:rFonts w:cs="Arial"/>
        </w:rPr>
        <w:t xml:space="preserve">, and FSANZ considers a </w:t>
      </w:r>
      <w:r w:rsidRPr="0024582E">
        <w:rPr>
          <w:rFonts w:cs="Arial"/>
          <w:iCs/>
        </w:rPr>
        <w:t xml:space="preserve">notification to the WTO </w:t>
      </w:r>
      <w:r w:rsidR="004F41D0">
        <w:rPr>
          <w:rFonts w:cs="Arial"/>
          <w:iCs/>
        </w:rPr>
        <w:t>(</w:t>
      </w:r>
      <w:r w:rsidRPr="0024582E">
        <w:rPr>
          <w:rFonts w:cs="Arial"/>
          <w:iCs/>
        </w:rPr>
        <w:t xml:space="preserve">under </w:t>
      </w:r>
      <w:r w:rsidRPr="004F41D0">
        <w:rPr>
          <w:rFonts w:cs="Arial"/>
        </w:rPr>
        <w:t>Australia’s and New Zealand’s</w:t>
      </w:r>
      <w:r w:rsidRPr="004F41D0">
        <w:rPr>
          <w:rFonts w:cs="Arial"/>
          <w:iCs/>
        </w:rPr>
        <w:t xml:space="preserve"> obligations </w:t>
      </w:r>
      <w:r w:rsidR="004F41D0">
        <w:rPr>
          <w:rFonts w:cs="Arial"/>
          <w:iCs/>
        </w:rPr>
        <w:t>to</w:t>
      </w:r>
      <w:r w:rsidRPr="004F41D0">
        <w:rPr>
          <w:rFonts w:cs="Arial"/>
          <w:iCs/>
        </w:rPr>
        <w:t xml:space="preserve"> the WTO Technical Barriers to Trade or Sanitary and Phytosanitary Measures Agreement</w:t>
      </w:r>
      <w:r w:rsidR="004F41D0">
        <w:rPr>
          <w:rFonts w:cs="Arial"/>
          <w:iCs/>
        </w:rPr>
        <w:t>)</w:t>
      </w:r>
      <w:r w:rsidRPr="004F41D0">
        <w:rPr>
          <w:rFonts w:cs="Arial"/>
          <w:iCs/>
        </w:rPr>
        <w:t xml:space="preserve"> </w:t>
      </w:r>
      <w:r w:rsidR="004F41D0">
        <w:rPr>
          <w:rFonts w:cs="Arial"/>
          <w:iCs/>
        </w:rPr>
        <w:t>to be un</w:t>
      </w:r>
      <w:r w:rsidRPr="004F41D0">
        <w:rPr>
          <w:rFonts w:cs="Arial"/>
          <w:iCs/>
        </w:rPr>
        <w:t>necessary</w:t>
      </w:r>
      <w:r w:rsidRPr="0024582E">
        <w:rPr>
          <w:rFonts w:cs="Arial"/>
          <w:iCs/>
        </w:rPr>
        <w:t>.</w:t>
      </w:r>
    </w:p>
    <w:p w:rsidR="00F64738" w:rsidRDefault="00F64738" w:rsidP="00F64738">
      <w:pPr>
        <w:pStyle w:val="Heading2"/>
      </w:pPr>
      <w:bookmarkStart w:id="56" w:name="_Toc384895034"/>
      <w:bookmarkStart w:id="57" w:name="_Toc286391014"/>
      <w:bookmarkStart w:id="58" w:name="_Toc175381455"/>
      <w:bookmarkStart w:id="59" w:name="_Toc300933445"/>
      <w:bookmarkEnd w:id="26"/>
      <w:bookmarkEnd w:id="27"/>
      <w:bookmarkEnd w:id="28"/>
      <w:bookmarkEnd w:id="29"/>
      <w:bookmarkEnd w:id="30"/>
      <w:bookmarkEnd w:id="31"/>
      <w:bookmarkEnd w:id="48"/>
      <w:r>
        <w:t>2.4</w:t>
      </w:r>
      <w:r>
        <w:tab/>
        <w:t>FSANZ Act assessment requirements</w:t>
      </w:r>
      <w:bookmarkEnd w:id="56"/>
    </w:p>
    <w:p w:rsidR="00D77A0C" w:rsidRPr="00866F8B" w:rsidRDefault="00D77A0C" w:rsidP="00D77A0C">
      <w:bookmarkStart w:id="60" w:name="_Toc384895035"/>
      <w:r w:rsidRPr="00866F8B">
        <w:t xml:space="preserve">When assessing this </w:t>
      </w:r>
      <w:r>
        <w:t xml:space="preserve">Application </w:t>
      </w:r>
      <w:r w:rsidRPr="00866F8B">
        <w:t xml:space="preserve">and the subsequent development of a food regulatory measure, FSANZ has had regard to the </w:t>
      </w:r>
      <w:r w:rsidRPr="00866F8B" w:rsidDel="00932F14">
        <w:t xml:space="preserve">following </w:t>
      </w:r>
      <w:r>
        <w:t>matters in section 2</w:t>
      </w:r>
      <w:r w:rsidRPr="00866F8B">
        <w:t>9 of the FSANZ Act:</w:t>
      </w:r>
    </w:p>
    <w:p w:rsidR="00F64738" w:rsidRPr="00A22E55" w:rsidRDefault="00F64738" w:rsidP="00F64738">
      <w:pPr>
        <w:pStyle w:val="Heading3"/>
        <w:rPr>
          <w:color w:val="auto"/>
        </w:rPr>
      </w:pPr>
      <w:r w:rsidRPr="00A22E55">
        <w:rPr>
          <w:color w:val="auto"/>
        </w:rPr>
        <w:t>2.</w:t>
      </w:r>
      <w:r>
        <w:rPr>
          <w:color w:val="auto"/>
        </w:rPr>
        <w:t>4</w:t>
      </w:r>
      <w:r w:rsidRPr="00A22E55">
        <w:rPr>
          <w:color w:val="auto"/>
        </w:rPr>
        <w:t>.1</w:t>
      </w:r>
      <w:r w:rsidRPr="00A22E55">
        <w:rPr>
          <w:color w:val="auto"/>
        </w:rPr>
        <w:tab/>
        <w:t xml:space="preserve">Section 29 </w:t>
      </w:r>
      <w:bookmarkEnd w:id="60"/>
    </w:p>
    <w:p w:rsidR="00D77A0C" w:rsidRDefault="00D77A0C" w:rsidP="00D77A0C">
      <w:pPr>
        <w:pStyle w:val="Heading4"/>
      </w:pPr>
      <w:r>
        <w:t>2.4.1.1</w:t>
      </w:r>
      <w:r>
        <w:tab/>
        <w:t>Cost benefit analysis</w:t>
      </w:r>
    </w:p>
    <w:p w:rsidR="009316AF" w:rsidRDefault="009316AF" w:rsidP="009316AF">
      <w:pPr>
        <w:rPr>
          <w:rFonts w:cs="Arial"/>
          <w:color w:val="000000" w:themeColor="text1"/>
        </w:rPr>
      </w:pPr>
      <w:r w:rsidRPr="00023CB0">
        <w:rPr>
          <w:rFonts w:cs="Arial"/>
          <w:color w:val="000000" w:themeColor="text1"/>
        </w:rPr>
        <w:t>Two regulatory options were considered</w:t>
      </w:r>
      <w:r>
        <w:rPr>
          <w:rFonts w:cs="Arial"/>
          <w:color w:val="000000" w:themeColor="text1"/>
        </w:rPr>
        <w:t xml:space="preserve"> for Application A1091</w:t>
      </w:r>
      <w:r w:rsidRPr="00023CB0">
        <w:rPr>
          <w:rFonts w:cs="Arial"/>
          <w:color w:val="000000" w:themeColor="text1"/>
        </w:rPr>
        <w:t xml:space="preserve">: </w:t>
      </w:r>
    </w:p>
    <w:p w:rsidR="009316AF" w:rsidRDefault="00D77A0C" w:rsidP="00F818D2">
      <w:pPr>
        <w:spacing w:before="120"/>
        <w:ind w:left="567" w:hanging="567"/>
        <w:rPr>
          <w:rFonts w:cs="Arial"/>
          <w:color w:val="000000" w:themeColor="text1"/>
        </w:rPr>
      </w:pPr>
      <w:r>
        <w:rPr>
          <w:rFonts w:cs="Arial"/>
          <w:color w:val="000000" w:themeColor="text1"/>
        </w:rPr>
        <w:t>1.</w:t>
      </w:r>
      <w:r w:rsidR="009316AF" w:rsidRPr="00023CB0">
        <w:rPr>
          <w:rFonts w:cs="Arial"/>
          <w:color w:val="000000" w:themeColor="text1"/>
        </w:rPr>
        <w:t xml:space="preserve"> </w:t>
      </w:r>
      <w:r w:rsidR="009316AF">
        <w:rPr>
          <w:rFonts w:cs="Arial"/>
          <w:color w:val="000000" w:themeColor="text1"/>
        </w:rPr>
        <w:tab/>
      </w:r>
      <w:proofErr w:type="gramStart"/>
      <w:r w:rsidR="009316AF" w:rsidRPr="00023CB0">
        <w:rPr>
          <w:rFonts w:cs="Arial"/>
          <w:color w:val="000000" w:themeColor="text1"/>
        </w:rPr>
        <w:t>prepar</w:t>
      </w:r>
      <w:r w:rsidR="009316AF">
        <w:rPr>
          <w:rFonts w:cs="Arial"/>
          <w:color w:val="000000" w:themeColor="text1"/>
        </w:rPr>
        <w:t>e</w:t>
      </w:r>
      <w:proofErr w:type="gramEnd"/>
      <w:r w:rsidR="009316AF" w:rsidRPr="00023CB0">
        <w:rPr>
          <w:rFonts w:cs="Arial"/>
          <w:color w:val="000000" w:themeColor="text1"/>
        </w:rPr>
        <w:t xml:space="preserve"> </w:t>
      </w:r>
      <w:r w:rsidR="009316AF">
        <w:rPr>
          <w:rFonts w:cs="Arial"/>
          <w:color w:val="000000" w:themeColor="text1"/>
        </w:rPr>
        <w:t xml:space="preserve">a </w:t>
      </w:r>
      <w:r w:rsidR="009316AF" w:rsidRPr="00023CB0">
        <w:rPr>
          <w:rFonts w:cs="Arial"/>
          <w:color w:val="000000" w:themeColor="text1"/>
        </w:rPr>
        <w:t xml:space="preserve">draft variation to Standard </w:t>
      </w:r>
      <w:r w:rsidR="009316AF">
        <w:rPr>
          <w:rFonts w:cs="Arial"/>
          <w:color w:val="000000" w:themeColor="text1"/>
        </w:rPr>
        <w:t xml:space="preserve">1.3.3 to replace the carboxyl proteinase entry in the Table to </w:t>
      </w:r>
      <w:r>
        <w:rPr>
          <w:rFonts w:cs="Arial"/>
          <w:color w:val="000000" w:themeColor="text1"/>
        </w:rPr>
        <w:t>c</w:t>
      </w:r>
      <w:r w:rsidR="009316AF">
        <w:rPr>
          <w:rFonts w:cs="Arial"/>
          <w:color w:val="000000" w:themeColor="text1"/>
        </w:rPr>
        <w:t>lause 17 with entries for Aspergillopepsin I and II</w:t>
      </w:r>
    </w:p>
    <w:p w:rsidR="009D2B8F" w:rsidRDefault="00D77A0C" w:rsidP="00F818D2">
      <w:pPr>
        <w:spacing w:before="120"/>
        <w:ind w:left="567" w:hanging="567"/>
        <w:rPr>
          <w:rFonts w:cs="Arial"/>
          <w:color w:val="000000" w:themeColor="text1"/>
        </w:rPr>
      </w:pPr>
      <w:r>
        <w:rPr>
          <w:rFonts w:cs="Arial"/>
          <w:color w:val="000000" w:themeColor="text1"/>
        </w:rPr>
        <w:t>2.</w:t>
      </w:r>
      <w:r w:rsidR="009316AF" w:rsidRPr="00023CB0">
        <w:rPr>
          <w:rFonts w:cs="Arial"/>
          <w:color w:val="000000" w:themeColor="text1"/>
        </w:rPr>
        <w:t xml:space="preserve"> </w:t>
      </w:r>
      <w:r w:rsidR="009316AF">
        <w:rPr>
          <w:rFonts w:cs="Arial"/>
          <w:color w:val="000000" w:themeColor="text1"/>
        </w:rPr>
        <w:tab/>
      </w:r>
      <w:proofErr w:type="gramStart"/>
      <w:r w:rsidR="009316AF" w:rsidRPr="00023CB0">
        <w:rPr>
          <w:rFonts w:cs="Arial"/>
          <w:color w:val="000000" w:themeColor="text1"/>
        </w:rPr>
        <w:t>reject</w:t>
      </w:r>
      <w:proofErr w:type="gramEnd"/>
      <w:r w:rsidR="009316AF" w:rsidRPr="00023CB0">
        <w:rPr>
          <w:rFonts w:cs="Arial"/>
          <w:color w:val="000000" w:themeColor="text1"/>
        </w:rPr>
        <w:t xml:space="preserve"> the Application</w:t>
      </w:r>
      <w:r w:rsidR="009316AF">
        <w:rPr>
          <w:rFonts w:cs="Arial"/>
          <w:color w:val="000000" w:themeColor="text1"/>
        </w:rPr>
        <w:t>.</w:t>
      </w:r>
      <w:r w:rsidR="009316AF" w:rsidRPr="00023CB0">
        <w:rPr>
          <w:rFonts w:cs="Arial"/>
          <w:color w:val="000000" w:themeColor="text1"/>
        </w:rPr>
        <w:t xml:space="preserve"> </w:t>
      </w:r>
      <w:r w:rsidR="009D2B8F">
        <w:rPr>
          <w:rFonts w:cs="Arial"/>
          <w:color w:val="000000" w:themeColor="text1"/>
        </w:rPr>
        <w:br w:type="page"/>
      </w:r>
    </w:p>
    <w:p w:rsidR="009316AF" w:rsidRDefault="009316AF" w:rsidP="009316AF">
      <w:r>
        <w:rPr>
          <w:rFonts w:cs="Arial"/>
        </w:rPr>
        <w:lastRenderedPageBreak/>
        <w:t>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w:t>
      </w:r>
      <w:r w:rsidR="00E85611">
        <w:t xml:space="preserve"> </w:t>
      </w:r>
    </w:p>
    <w:p w:rsidR="009316AF" w:rsidRDefault="009316AF" w:rsidP="009316AF"/>
    <w:p w:rsidR="009316AF" w:rsidRDefault="009316AF" w:rsidP="009316AF">
      <w:pPr>
        <w:rPr>
          <w:rFonts w:cs="Arial"/>
        </w:rPr>
      </w:pPr>
      <w:r>
        <w:t>The level of analysis is commensurate to the nature of the Application and significance of the impacts.</w:t>
      </w:r>
    </w:p>
    <w:p w:rsidR="009316AF" w:rsidRDefault="009316AF" w:rsidP="009316AF">
      <w:pPr>
        <w:rPr>
          <w:bCs/>
        </w:rPr>
      </w:pPr>
    </w:p>
    <w:p w:rsidR="009316AF" w:rsidRPr="00EE3242" w:rsidRDefault="009316AF" w:rsidP="009316AF">
      <w:pPr>
        <w:rPr>
          <w:rFonts w:cs="Arial"/>
        </w:rPr>
      </w:pPr>
      <w:r>
        <w:t xml:space="preserve">FSANZ has informed the Office of Best </w:t>
      </w:r>
      <w:r w:rsidRPr="0083246A">
        <w:t xml:space="preserve">Practice Regulation (OBPR) of this Application and the details of the proposed variations. OBPR has informed FSANZ </w:t>
      </w:r>
      <w:r>
        <w:t>(OBPR</w:t>
      </w:r>
      <w:r w:rsidRPr="00700D25">
        <w:t xml:space="preserve">, </w:t>
      </w:r>
      <w:r>
        <w:t>pers. com.)</w:t>
      </w:r>
      <w:r>
        <w:rPr>
          <w:rStyle w:val="FootnoteReference"/>
        </w:rPr>
        <w:footnoteReference w:id="2"/>
      </w:r>
      <w:r>
        <w:t xml:space="preserve"> </w:t>
      </w:r>
      <w:proofErr w:type="gramStart"/>
      <w:r w:rsidRPr="0083246A">
        <w:t>that</w:t>
      </w:r>
      <w:proofErr w:type="gramEnd"/>
      <w:r w:rsidRPr="0083246A">
        <w:t xml:space="preserve"> this Application is likely to have a minor regulatory impact on business and, as such, a C</w:t>
      </w:r>
      <w:r>
        <w:t xml:space="preserve">ouncil of </w:t>
      </w:r>
      <w:r w:rsidRPr="0083246A">
        <w:t>A</w:t>
      </w:r>
      <w:r>
        <w:t xml:space="preserve">ustralian </w:t>
      </w:r>
      <w:r w:rsidRPr="0083246A">
        <w:t>G</w:t>
      </w:r>
      <w:r>
        <w:t>overnments (COAG)</w:t>
      </w:r>
      <w:r w:rsidRPr="0083246A">
        <w:t xml:space="preserve"> Regulation Impact Stateme</w:t>
      </w:r>
      <w:r>
        <w:t>nt does not need to be prepared.</w:t>
      </w:r>
      <w:r>
        <w:rPr>
          <w:bCs/>
        </w:rPr>
        <w:t xml:space="preserve"> However, FSANZ has </w:t>
      </w:r>
      <w:r w:rsidR="00633D7C">
        <w:rPr>
          <w:bCs/>
        </w:rPr>
        <w:t>prepared</w:t>
      </w:r>
      <w:r>
        <w:rPr>
          <w:bCs/>
        </w:rPr>
        <w:t xml:space="preserve"> a limited impact analysis</w:t>
      </w:r>
      <w:r w:rsidR="000E0F9F">
        <w:rPr>
          <w:bCs/>
        </w:rPr>
        <w:t xml:space="preserve"> </w:t>
      </w:r>
      <w:r w:rsidR="00633D7C">
        <w:rPr>
          <w:bCs/>
        </w:rPr>
        <w:t>so</w:t>
      </w:r>
      <w:r w:rsidR="000E0F9F">
        <w:rPr>
          <w:bCs/>
        </w:rPr>
        <w:t xml:space="preserve"> that potential costs and benefits are known and accommodated</w:t>
      </w:r>
      <w:r>
        <w:rPr>
          <w:bCs/>
        </w:rPr>
        <w:t>.</w:t>
      </w:r>
      <w:r w:rsidR="00E85611" w:rsidRPr="00E85611">
        <w:t xml:space="preserve"> </w:t>
      </w:r>
      <w:r w:rsidR="00E85611">
        <w:t>This analysis is provided in the tables below.</w:t>
      </w:r>
    </w:p>
    <w:p w:rsidR="009316AF" w:rsidRDefault="009316AF" w:rsidP="009316AF"/>
    <w:p w:rsidR="009316AF" w:rsidRDefault="00B92457" w:rsidP="009316AF">
      <w:pPr>
        <w:rPr>
          <w:szCs w:val="22"/>
        </w:rPr>
      </w:pPr>
      <w:r>
        <w:t xml:space="preserve">Our </w:t>
      </w:r>
      <w:r w:rsidR="009316AF" w:rsidRPr="001B01A5">
        <w:t xml:space="preserve">consideration of the </w:t>
      </w:r>
      <w:r w:rsidR="009316AF">
        <w:t>costs and benefits</w:t>
      </w:r>
      <w:r w:rsidR="009316AF" w:rsidRPr="001B01A5">
        <w:t xml:space="preserve"> of the regulatory options </w:t>
      </w:r>
      <w:r w:rsidR="009316AF" w:rsidRPr="001B01A5">
        <w:rPr>
          <w:szCs w:val="22"/>
        </w:rPr>
        <w:t xml:space="preserve">is not intended to be an exhaustive, quantitative </w:t>
      </w:r>
      <w:r w:rsidR="009316AF">
        <w:rPr>
          <w:szCs w:val="22"/>
        </w:rPr>
        <w:t>economic</w:t>
      </w:r>
      <w:r w:rsidR="009316AF" w:rsidRPr="001B01A5">
        <w:rPr>
          <w:szCs w:val="22"/>
        </w:rPr>
        <w:t xml:space="preserve"> analysis of the options and, in fact, most of the </w:t>
      </w:r>
      <w:r w:rsidR="009316AF">
        <w:rPr>
          <w:szCs w:val="22"/>
        </w:rPr>
        <w:t>effects</w:t>
      </w:r>
      <w:r w:rsidR="009316AF" w:rsidRPr="001B01A5">
        <w:rPr>
          <w:szCs w:val="22"/>
        </w:rPr>
        <w:t xml:space="preserve"> that are considered cannot be assigned a dollar value. </w:t>
      </w:r>
    </w:p>
    <w:p w:rsidR="009316AF" w:rsidRDefault="009316AF" w:rsidP="009316AF">
      <w:pPr>
        <w:pStyle w:val="Heading4"/>
        <w:keepLines/>
      </w:pPr>
      <w:r>
        <w:t>Option 1 – Prepare a draft variation to Standard 1.3.3</w:t>
      </w:r>
    </w:p>
    <w:tbl>
      <w:tblPr>
        <w:tblStyle w:val="TableGrid"/>
        <w:tblW w:w="9322" w:type="dxa"/>
        <w:tblLook w:val="04A0" w:firstRow="1" w:lastRow="0" w:firstColumn="1" w:lastColumn="0" w:noHBand="0" w:noVBand="1"/>
      </w:tblPr>
      <w:tblGrid>
        <w:gridCol w:w="1417"/>
        <w:gridCol w:w="7905"/>
      </w:tblGrid>
      <w:tr w:rsidR="009316AF" w:rsidRPr="004B51F6" w:rsidTr="00B96F4E">
        <w:tc>
          <w:tcPr>
            <w:tcW w:w="0" w:type="auto"/>
            <w:shd w:val="clear" w:color="auto" w:fill="C2D69B" w:themeFill="accent3" w:themeFillTint="99"/>
          </w:tcPr>
          <w:p w:rsidR="009316AF" w:rsidRPr="004B51F6" w:rsidRDefault="009316AF" w:rsidP="00B96F4E">
            <w:pPr>
              <w:keepNext/>
              <w:keepLines/>
              <w:rPr>
                <w:b/>
                <w:sz w:val="20"/>
                <w:szCs w:val="20"/>
              </w:rPr>
            </w:pPr>
            <w:r w:rsidRPr="004B51F6">
              <w:rPr>
                <w:b/>
                <w:sz w:val="20"/>
                <w:szCs w:val="20"/>
              </w:rPr>
              <w:t>Sector</w:t>
            </w:r>
          </w:p>
        </w:tc>
        <w:tc>
          <w:tcPr>
            <w:tcW w:w="7905" w:type="dxa"/>
            <w:shd w:val="clear" w:color="auto" w:fill="C2D69B" w:themeFill="accent3" w:themeFillTint="99"/>
          </w:tcPr>
          <w:p w:rsidR="009316AF" w:rsidRPr="004B51F6" w:rsidRDefault="009316AF" w:rsidP="00B96F4E">
            <w:pPr>
              <w:keepNext/>
              <w:keepLines/>
              <w:rPr>
                <w:b/>
                <w:sz w:val="20"/>
                <w:szCs w:val="20"/>
              </w:rPr>
            </w:pPr>
            <w:r w:rsidRPr="004B51F6">
              <w:rPr>
                <w:b/>
                <w:sz w:val="20"/>
                <w:szCs w:val="20"/>
              </w:rPr>
              <w:t>Costs or benefits to sector</w:t>
            </w:r>
          </w:p>
        </w:tc>
      </w:tr>
      <w:tr w:rsidR="009316AF" w:rsidRPr="008C751E" w:rsidTr="00B96F4E">
        <w:tc>
          <w:tcPr>
            <w:tcW w:w="0" w:type="auto"/>
          </w:tcPr>
          <w:p w:rsidR="009316AF" w:rsidRPr="008C751E" w:rsidRDefault="009316AF" w:rsidP="005F45E7">
            <w:pPr>
              <w:keepNext/>
              <w:keepLines/>
              <w:spacing w:before="120"/>
              <w:rPr>
                <w:sz w:val="20"/>
                <w:szCs w:val="20"/>
              </w:rPr>
            </w:pPr>
            <w:r w:rsidRPr="008C751E">
              <w:rPr>
                <w:sz w:val="20"/>
                <w:szCs w:val="20"/>
              </w:rPr>
              <w:t>Consumers</w:t>
            </w:r>
          </w:p>
        </w:tc>
        <w:tc>
          <w:tcPr>
            <w:tcW w:w="7905" w:type="dxa"/>
          </w:tcPr>
          <w:p w:rsidR="009316AF" w:rsidRPr="008C751E" w:rsidRDefault="009316AF" w:rsidP="005F45E7">
            <w:pPr>
              <w:keepNext/>
              <w:keepLines/>
              <w:spacing w:before="120" w:after="120"/>
              <w:rPr>
                <w:sz w:val="20"/>
                <w:szCs w:val="20"/>
              </w:rPr>
            </w:pPr>
            <w:r>
              <w:rPr>
                <w:sz w:val="20"/>
                <w:szCs w:val="20"/>
              </w:rPr>
              <w:t>There should be no measurable impact on consumers, as existing food processing techniques will remain unchanged</w:t>
            </w:r>
            <w:r w:rsidR="00DC7227">
              <w:rPr>
                <w:sz w:val="20"/>
                <w:szCs w:val="20"/>
              </w:rPr>
              <w:t>, and will continue to have the same cost profile.</w:t>
            </w:r>
          </w:p>
        </w:tc>
      </w:tr>
      <w:tr w:rsidR="009316AF" w:rsidRPr="008C751E" w:rsidTr="005F45E7">
        <w:trPr>
          <w:trHeight w:val="1809"/>
        </w:trPr>
        <w:tc>
          <w:tcPr>
            <w:tcW w:w="0" w:type="auto"/>
          </w:tcPr>
          <w:p w:rsidR="009316AF" w:rsidRPr="008C751E" w:rsidRDefault="009316AF" w:rsidP="005F45E7">
            <w:pPr>
              <w:keepNext/>
              <w:keepLines/>
              <w:spacing w:before="120"/>
              <w:rPr>
                <w:sz w:val="20"/>
                <w:szCs w:val="20"/>
              </w:rPr>
            </w:pPr>
            <w:r w:rsidRPr="008C751E">
              <w:rPr>
                <w:sz w:val="20"/>
                <w:szCs w:val="20"/>
              </w:rPr>
              <w:t>Industry</w:t>
            </w:r>
          </w:p>
        </w:tc>
        <w:tc>
          <w:tcPr>
            <w:tcW w:w="7905" w:type="dxa"/>
          </w:tcPr>
          <w:p w:rsidR="00DC7227" w:rsidRDefault="009316AF" w:rsidP="005F45E7">
            <w:pPr>
              <w:keepNext/>
              <w:keepLines/>
              <w:spacing w:before="120"/>
              <w:rPr>
                <w:sz w:val="20"/>
                <w:szCs w:val="20"/>
              </w:rPr>
            </w:pPr>
            <w:r w:rsidRPr="008C751E">
              <w:rPr>
                <w:sz w:val="20"/>
                <w:szCs w:val="20"/>
              </w:rPr>
              <w:t xml:space="preserve">There are specific benefits to </w:t>
            </w:r>
            <w:r w:rsidR="006464CA">
              <w:rPr>
                <w:sz w:val="20"/>
                <w:szCs w:val="20"/>
              </w:rPr>
              <w:t xml:space="preserve">the </w:t>
            </w:r>
            <w:r w:rsidR="00DC7227">
              <w:rPr>
                <w:sz w:val="20"/>
                <w:szCs w:val="20"/>
              </w:rPr>
              <w:t xml:space="preserve">wine industry with </w:t>
            </w:r>
            <w:r w:rsidRPr="008C751E">
              <w:rPr>
                <w:sz w:val="20"/>
                <w:szCs w:val="20"/>
              </w:rPr>
              <w:t xml:space="preserve">this option, </w:t>
            </w:r>
            <w:r w:rsidR="00DC7227">
              <w:rPr>
                <w:sz w:val="20"/>
                <w:szCs w:val="20"/>
              </w:rPr>
              <w:t xml:space="preserve">as they use Aspergillopepsin I and II </w:t>
            </w:r>
            <w:r w:rsidR="00C54C3D">
              <w:rPr>
                <w:sz w:val="20"/>
                <w:szCs w:val="20"/>
              </w:rPr>
              <w:t xml:space="preserve">enzymes </w:t>
            </w:r>
            <w:r w:rsidR="00DC7227">
              <w:rPr>
                <w:sz w:val="20"/>
                <w:szCs w:val="20"/>
              </w:rPr>
              <w:t xml:space="preserve">as part of wine processing methods. </w:t>
            </w:r>
          </w:p>
          <w:p w:rsidR="00DC7227" w:rsidRDefault="00DC7227" w:rsidP="00B96F4E">
            <w:pPr>
              <w:keepNext/>
              <w:keepLines/>
              <w:rPr>
                <w:sz w:val="20"/>
                <w:szCs w:val="20"/>
              </w:rPr>
            </w:pPr>
          </w:p>
          <w:p w:rsidR="009316AF" w:rsidRDefault="00DC7227" w:rsidP="00B92457">
            <w:pPr>
              <w:keepNext/>
              <w:keepLines/>
              <w:rPr>
                <w:sz w:val="20"/>
                <w:szCs w:val="20"/>
              </w:rPr>
            </w:pPr>
            <w:r>
              <w:rPr>
                <w:sz w:val="20"/>
                <w:szCs w:val="20"/>
              </w:rPr>
              <w:t xml:space="preserve">The benefits to industry will not be financial in nature, but will instead be related to certainty over the regulatory status </w:t>
            </w:r>
            <w:r w:rsidR="005E1036">
              <w:rPr>
                <w:sz w:val="20"/>
                <w:szCs w:val="20"/>
              </w:rPr>
              <w:t xml:space="preserve">with </w:t>
            </w:r>
            <w:r>
              <w:rPr>
                <w:sz w:val="20"/>
                <w:szCs w:val="20"/>
              </w:rPr>
              <w:t>the use of Aspergillopepsin I and II enzymes</w:t>
            </w:r>
            <w:r w:rsidR="00C54C3D">
              <w:rPr>
                <w:sz w:val="20"/>
                <w:szCs w:val="20"/>
              </w:rPr>
              <w:t>. Currently, the Code permits the use of these enzymes, but refers to them by different names. Under this option, a change in the nomenclature to Aspergillopepsin I and II will allow the industry</w:t>
            </w:r>
            <w:r>
              <w:rPr>
                <w:sz w:val="20"/>
                <w:szCs w:val="20"/>
              </w:rPr>
              <w:t xml:space="preserve"> to </w:t>
            </w:r>
            <w:r w:rsidR="00C54C3D">
              <w:rPr>
                <w:sz w:val="20"/>
                <w:szCs w:val="20"/>
              </w:rPr>
              <w:t xml:space="preserve">be confident that they </w:t>
            </w:r>
            <w:r w:rsidR="00CF2FEB">
              <w:rPr>
                <w:sz w:val="20"/>
                <w:szCs w:val="20"/>
              </w:rPr>
              <w:t>are permitted to use</w:t>
            </w:r>
            <w:r w:rsidR="00C54C3D">
              <w:rPr>
                <w:sz w:val="20"/>
                <w:szCs w:val="20"/>
              </w:rPr>
              <w:t xml:space="preserve"> these enzymes in their </w:t>
            </w:r>
            <w:r>
              <w:rPr>
                <w:sz w:val="20"/>
                <w:szCs w:val="20"/>
              </w:rPr>
              <w:t>manufacturing practices.</w:t>
            </w:r>
          </w:p>
          <w:p w:rsidR="00B92457" w:rsidRDefault="00B92457" w:rsidP="00B92457">
            <w:pPr>
              <w:keepNext/>
              <w:keepLines/>
              <w:rPr>
                <w:sz w:val="20"/>
                <w:szCs w:val="20"/>
              </w:rPr>
            </w:pPr>
          </w:p>
          <w:p w:rsidR="00C54C3D" w:rsidRPr="008C751E" w:rsidRDefault="00B92457" w:rsidP="00B92457">
            <w:pPr>
              <w:keepNext/>
              <w:keepLines/>
              <w:spacing w:after="120"/>
              <w:rPr>
                <w:sz w:val="20"/>
                <w:szCs w:val="20"/>
              </w:rPr>
            </w:pPr>
            <w:r>
              <w:rPr>
                <w:sz w:val="20"/>
                <w:szCs w:val="20"/>
              </w:rPr>
              <w:t>I</w:t>
            </w:r>
            <w:r w:rsidR="00C54C3D">
              <w:rPr>
                <w:sz w:val="20"/>
                <w:szCs w:val="20"/>
              </w:rPr>
              <w:t xml:space="preserve">ndustry will also have certainty that </w:t>
            </w:r>
            <w:r>
              <w:rPr>
                <w:sz w:val="20"/>
                <w:szCs w:val="20"/>
              </w:rPr>
              <w:t xml:space="preserve">where </w:t>
            </w:r>
            <w:r w:rsidR="00C54C3D">
              <w:rPr>
                <w:sz w:val="20"/>
                <w:szCs w:val="20"/>
              </w:rPr>
              <w:t>oversea</w:t>
            </w:r>
            <w:r>
              <w:rPr>
                <w:sz w:val="20"/>
                <w:szCs w:val="20"/>
              </w:rPr>
              <w:t xml:space="preserve">s food regulations </w:t>
            </w:r>
            <w:r w:rsidR="00C54C3D">
              <w:rPr>
                <w:sz w:val="20"/>
                <w:szCs w:val="20"/>
              </w:rPr>
              <w:t>permi</w:t>
            </w:r>
            <w:r>
              <w:rPr>
                <w:sz w:val="20"/>
                <w:szCs w:val="20"/>
              </w:rPr>
              <w:t xml:space="preserve">t enzymes referred to as either </w:t>
            </w:r>
            <w:r w:rsidR="00C54C3D">
              <w:rPr>
                <w:sz w:val="20"/>
                <w:szCs w:val="20"/>
              </w:rPr>
              <w:t xml:space="preserve">Aspergillopepsin I </w:t>
            </w:r>
            <w:r>
              <w:rPr>
                <w:sz w:val="20"/>
                <w:szCs w:val="20"/>
              </w:rPr>
              <w:t>or</w:t>
            </w:r>
            <w:r w:rsidR="00C54C3D">
              <w:rPr>
                <w:sz w:val="20"/>
                <w:szCs w:val="20"/>
              </w:rPr>
              <w:t xml:space="preserve"> II</w:t>
            </w:r>
            <w:r>
              <w:rPr>
                <w:sz w:val="20"/>
                <w:szCs w:val="20"/>
              </w:rPr>
              <w:t xml:space="preserve">, that the </w:t>
            </w:r>
            <w:r w:rsidR="00C54C3D">
              <w:rPr>
                <w:sz w:val="20"/>
                <w:szCs w:val="20"/>
              </w:rPr>
              <w:t>Code</w:t>
            </w:r>
            <w:r>
              <w:rPr>
                <w:sz w:val="20"/>
                <w:szCs w:val="20"/>
              </w:rPr>
              <w:t xml:space="preserve"> also permits these enzymes.</w:t>
            </w:r>
            <w:r w:rsidR="00C54C3D">
              <w:rPr>
                <w:sz w:val="20"/>
                <w:szCs w:val="20"/>
              </w:rPr>
              <w:t xml:space="preserve"> </w:t>
            </w:r>
            <w:r>
              <w:rPr>
                <w:sz w:val="20"/>
                <w:szCs w:val="20"/>
              </w:rPr>
              <w:t>This consistency will assist industry in accessing overseas markets.</w:t>
            </w:r>
          </w:p>
        </w:tc>
      </w:tr>
      <w:tr w:rsidR="009316AF" w:rsidRPr="008C751E" w:rsidTr="00B96F4E">
        <w:tc>
          <w:tcPr>
            <w:tcW w:w="0" w:type="auto"/>
          </w:tcPr>
          <w:p w:rsidR="009316AF" w:rsidRPr="008C751E" w:rsidRDefault="009316AF" w:rsidP="005F45E7">
            <w:pPr>
              <w:keepNext/>
              <w:keepLines/>
              <w:spacing w:before="120"/>
              <w:rPr>
                <w:sz w:val="20"/>
                <w:szCs w:val="20"/>
              </w:rPr>
            </w:pPr>
            <w:r w:rsidRPr="008C751E">
              <w:rPr>
                <w:sz w:val="20"/>
                <w:szCs w:val="20"/>
              </w:rPr>
              <w:t>Governments</w:t>
            </w:r>
          </w:p>
        </w:tc>
        <w:tc>
          <w:tcPr>
            <w:tcW w:w="7905" w:type="dxa"/>
          </w:tcPr>
          <w:p w:rsidR="009316AF" w:rsidRPr="008C751E" w:rsidRDefault="00DC7227" w:rsidP="005E1036">
            <w:pPr>
              <w:keepNext/>
              <w:keepLines/>
              <w:spacing w:before="120" w:after="120"/>
              <w:rPr>
                <w:sz w:val="20"/>
                <w:szCs w:val="20"/>
              </w:rPr>
            </w:pPr>
            <w:r>
              <w:rPr>
                <w:sz w:val="20"/>
                <w:szCs w:val="20"/>
              </w:rPr>
              <w:t xml:space="preserve">Government enforcement authorities will benefit from additional clarity in Standard 1.3.3 as to </w:t>
            </w:r>
            <w:r w:rsidR="005E1036">
              <w:rPr>
                <w:sz w:val="20"/>
                <w:szCs w:val="20"/>
              </w:rPr>
              <w:t xml:space="preserve">the </w:t>
            </w:r>
            <w:r>
              <w:rPr>
                <w:sz w:val="20"/>
                <w:szCs w:val="20"/>
              </w:rPr>
              <w:t xml:space="preserve">enzymes </w:t>
            </w:r>
            <w:r w:rsidR="005E1036">
              <w:rPr>
                <w:sz w:val="20"/>
                <w:szCs w:val="20"/>
              </w:rPr>
              <w:t xml:space="preserve">that </w:t>
            </w:r>
            <w:r>
              <w:rPr>
                <w:sz w:val="20"/>
                <w:szCs w:val="20"/>
              </w:rPr>
              <w:t>are permitted for use as processing aids (improved clarity on the correct names and classification of enzymes). There are no costs to governments from this Application.</w:t>
            </w:r>
          </w:p>
        </w:tc>
      </w:tr>
    </w:tbl>
    <w:p w:rsidR="00D007F7" w:rsidRDefault="00D007F7" w:rsidP="00D007F7">
      <w:pPr>
        <w:widowControl/>
      </w:pPr>
    </w:p>
    <w:p w:rsidR="009316AF" w:rsidRPr="00D007F7" w:rsidRDefault="009316AF" w:rsidP="00D007F7">
      <w:pPr>
        <w:widowControl/>
        <w:rPr>
          <w:b/>
          <w:i/>
        </w:rPr>
      </w:pPr>
      <w:r w:rsidRPr="00D007F7">
        <w:rPr>
          <w:b/>
          <w:i/>
        </w:rPr>
        <w:t>Option 2 – Reject the Application</w:t>
      </w:r>
    </w:p>
    <w:p w:rsidR="00D007F7" w:rsidRDefault="00D007F7" w:rsidP="00D007F7">
      <w:pPr>
        <w:widowControl/>
      </w:pPr>
    </w:p>
    <w:tbl>
      <w:tblPr>
        <w:tblStyle w:val="TableGrid"/>
        <w:tblW w:w="9322" w:type="dxa"/>
        <w:tblLook w:val="04A0" w:firstRow="1" w:lastRow="0" w:firstColumn="1" w:lastColumn="0" w:noHBand="0" w:noVBand="1"/>
      </w:tblPr>
      <w:tblGrid>
        <w:gridCol w:w="1417"/>
        <w:gridCol w:w="7905"/>
      </w:tblGrid>
      <w:tr w:rsidR="009316AF" w:rsidRPr="004B51F6" w:rsidTr="00B96F4E">
        <w:tc>
          <w:tcPr>
            <w:tcW w:w="0" w:type="auto"/>
            <w:shd w:val="clear" w:color="auto" w:fill="C2D69B" w:themeFill="accent3" w:themeFillTint="99"/>
          </w:tcPr>
          <w:p w:rsidR="009316AF" w:rsidRPr="004B51F6" w:rsidRDefault="009316AF" w:rsidP="00B96F4E">
            <w:pPr>
              <w:rPr>
                <w:b/>
                <w:sz w:val="20"/>
                <w:szCs w:val="20"/>
              </w:rPr>
            </w:pPr>
            <w:bookmarkStart w:id="61" w:name="_Toc120358590"/>
            <w:bookmarkStart w:id="62" w:name="_Toc294176162"/>
            <w:r w:rsidRPr="004B51F6">
              <w:rPr>
                <w:b/>
                <w:sz w:val="20"/>
                <w:szCs w:val="20"/>
              </w:rPr>
              <w:t>Sector</w:t>
            </w:r>
          </w:p>
        </w:tc>
        <w:tc>
          <w:tcPr>
            <w:tcW w:w="7905" w:type="dxa"/>
            <w:shd w:val="clear" w:color="auto" w:fill="C2D69B" w:themeFill="accent3" w:themeFillTint="99"/>
          </w:tcPr>
          <w:p w:rsidR="009316AF" w:rsidRPr="004B51F6" w:rsidRDefault="009316AF" w:rsidP="00B96F4E">
            <w:pPr>
              <w:rPr>
                <w:b/>
                <w:sz w:val="20"/>
                <w:szCs w:val="20"/>
              </w:rPr>
            </w:pPr>
            <w:r w:rsidRPr="004B51F6">
              <w:rPr>
                <w:b/>
                <w:sz w:val="20"/>
                <w:szCs w:val="20"/>
              </w:rPr>
              <w:t>Costs or benefits to sector</w:t>
            </w:r>
          </w:p>
        </w:tc>
      </w:tr>
      <w:tr w:rsidR="009316AF" w:rsidRPr="008C751E" w:rsidTr="00B96F4E">
        <w:tc>
          <w:tcPr>
            <w:tcW w:w="0" w:type="auto"/>
          </w:tcPr>
          <w:p w:rsidR="009316AF" w:rsidRPr="008C751E" w:rsidRDefault="009316AF" w:rsidP="005F45E7">
            <w:pPr>
              <w:spacing w:before="120" w:after="120"/>
              <w:rPr>
                <w:sz w:val="20"/>
                <w:szCs w:val="20"/>
              </w:rPr>
            </w:pPr>
            <w:r w:rsidRPr="008C751E">
              <w:rPr>
                <w:sz w:val="20"/>
                <w:szCs w:val="20"/>
              </w:rPr>
              <w:t>Consumers</w:t>
            </w:r>
          </w:p>
        </w:tc>
        <w:tc>
          <w:tcPr>
            <w:tcW w:w="7905" w:type="dxa"/>
          </w:tcPr>
          <w:p w:rsidR="009316AF" w:rsidRPr="008C751E" w:rsidRDefault="009316AF" w:rsidP="005F45E7">
            <w:pPr>
              <w:spacing w:before="120" w:after="120"/>
              <w:rPr>
                <w:sz w:val="20"/>
                <w:szCs w:val="20"/>
              </w:rPr>
            </w:pPr>
            <w:r w:rsidRPr="008C751E">
              <w:rPr>
                <w:sz w:val="20"/>
                <w:szCs w:val="20"/>
              </w:rPr>
              <w:t>There are no benefits or costs to consumers of this option.</w:t>
            </w:r>
          </w:p>
        </w:tc>
      </w:tr>
      <w:tr w:rsidR="009316AF" w:rsidRPr="008C751E" w:rsidTr="00B96F4E">
        <w:tc>
          <w:tcPr>
            <w:tcW w:w="0" w:type="auto"/>
          </w:tcPr>
          <w:p w:rsidR="009316AF" w:rsidRPr="008C751E" w:rsidRDefault="009316AF" w:rsidP="005F45E7">
            <w:pPr>
              <w:spacing w:before="120" w:after="120"/>
              <w:rPr>
                <w:sz w:val="20"/>
                <w:szCs w:val="20"/>
              </w:rPr>
            </w:pPr>
            <w:r w:rsidRPr="008C751E">
              <w:rPr>
                <w:sz w:val="20"/>
                <w:szCs w:val="20"/>
              </w:rPr>
              <w:t>Industry</w:t>
            </w:r>
          </w:p>
        </w:tc>
        <w:tc>
          <w:tcPr>
            <w:tcW w:w="7905" w:type="dxa"/>
          </w:tcPr>
          <w:p w:rsidR="009316AF" w:rsidRPr="008C751E" w:rsidRDefault="009316AF" w:rsidP="005F45E7">
            <w:pPr>
              <w:spacing w:before="120" w:after="120"/>
              <w:rPr>
                <w:sz w:val="20"/>
                <w:szCs w:val="20"/>
              </w:rPr>
            </w:pPr>
            <w:r w:rsidRPr="008C751E">
              <w:rPr>
                <w:sz w:val="20"/>
                <w:szCs w:val="20"/>
              </w:rPr>
              <w:t xml:space="preserve">There are no benefits to industry with this option. However, </w:t>
            </w:r>
            <w:r w:rsidR="00154338">
              <w:rPr>
                <w:sz w:val="20"/>
                <w:szCs w:val="20"/>
              </w:rPr>
              <w:t>having the out-of-date ‘carboxyl proteinase’ enzyme name and category means that uncertainty will remain for industry as to whether this permission applies to Aspergillopepsin I and II enzymes or not, given that the name and category is no longer recommended for use.</w:t>
            </w:r>
          </w:p>
        </w:tc>
      </w:tr>
      <w:tr w:rsidR="009316AF" w:rsidRPr="008C751E" w:rsidTr="00B96F4E">
        <w:tc>
          <w:tcPr>
            <w:tcW w:w="0" w:type="auto"/>
          </w:tcPr>
          <w:p w:rsidR="009316AF" w:rsidRPr="008C751E" w:rsidRDefault="009316AF" w:rsidP="005F45E7">
            <w:pPr>
              <w:spacing w:before="120" w:after="120"/>
              <w:rPr>
                <w:sz w:val="20"/>
                <w:szCs w:val="20"/>
              </w:rPr>
            </w:pPr>
            <w:r w:rsidRPr="008C751E">
              <w:rPr>
                <w:sz w:val="20"/>
                <w:szCs w:val="20"/>
              </w:rPr>
              <w:t>Governments</w:t>
            </w:r>
          </w:p>
        </w:tc>
        <w:tc>
          <w:tcPr>
            <w:tcW w:w="7905" w:type="dxa"/>
          </w:tcPr>
          <w:p w:rsidR="009316AF" w:rsidRPr="008C751E" w:rsidRDefault="009316AF" w:rsidP="005F45E7">
            <w:pPr>
              <w:spacing w:before="120" w:after="120"/>
              <w:rPr>
                <w:sz w:val="20"/>
                <w:szCs w:val="20"/>
              </w:rPr>
            </w:pPr>
            <w:r w:rsidRPr="008C751E">
              <w:rPr>
                <w:sz w:val="20"/>
                <w:szCs w:val="20"/>
              </w:rPr>
              <w:t>There are no benefits or costs to governments for this option.</w:t>
            </w:r>
          </w:p>
        </w:tc>
      </w:tr>
    </w:tbl>
    <w:bookmarkEnd w:id="61"/>
    <w:bookmarkEnd w:id="62"/>
    <w:p w:rsidR="00D77A0C" w:rsidRDefault="00C91775" w:rsidP="009316AF">
      <w:pPr>
        <w:rPr>
          <w:rFonts w:cs="Arial"/>
          <w:color w:val="000000" w:themeColor="text1"/>
        </w:rPr>
      </w:pPr>
      <w:r>
        <w:rPr>
          <w:lang w:bidi="ar-SA"/>
        </w:rPr>
        <w:lastRenderedPageBreak/>
        <w:t>B</w:t>
      </w:r>
      <w:r w:rsidR="009316AF">
        <w:rPr>
          <w:lang w:bidi="ar-SA"/>
        </w:rPr>
        <w:t xml:space="preserve">rief analysis indicates the preferred option is to </w:t>
      </w:r>
      <w:r w:rsidR="009316AF" w:rsidRPr="00023CB0">
        <w:rPr>
          <w:rFonts w:cs="Arial"/>
          <w:color w:val="000000" w:themeColor="text1"/>
        </w:rPr>
        <w:t>prepar</w:t>
      </w:r>
      <w:r w:rsidR="009316AF">
        <w:rPr>
          <w:rFonts w:cs="Arial"/>
          <w:color w:val="000000" w:themeColor="text1"/>
        </w:rPr>
        <w:t>e</w:t>
      </w:r>
      <w:r w:rsidR="009316AF" w:rsidRPr="00023CB0">
        <w:rPr>
          <w:rFonts w:cs="Arial"/>
          <w:color w:val="000000" w:themeColor="text1"/>
        </w:rPr>
        <w:t xml:space="preserve"> </w:t>
      </w:r>
      <w:r w:rsidR="006464CA">
        <w:rPr>
          <w:rFonts w:cs="Arial"/>
          <w:color w:val="000000" w:themeColor="text1"/>
        </w:rPr>
        <w:t xml:space="preserve">a </w:t>
      </w:r>
      <w:r w:rsidR="009316AF" w:rsidRPr="00023CB0">
        <w:rPr>
          <w:rFonts w:cs="Arial"/>
          <w:color w:val="000000" w:themeColor="text1"/>
        </w:rPr>
        <w:t>draft variation to Standard</w:t>
      </w:r>
      <w:r w:rsidR="009316AF">
        <w:rPr>
          <w:rFonts w:cs="Arial"/>
          <w:color w:val="000000" w:themeColor="text1"/>
        </w:rPr>
        <w:t>s</w:t>
      </w:r>
      <w:r w:rsidR="009316AF" w:rsidRPr="00023CB0">
        <w:rPr>
          <w:rFonts w:cs="Arial"/>
          <w:color w:val="000000" w:themeColor="text1"/>
        </w:rPr>
        <w:t xml:space="preserve"> </w:t>
      </w:r>
      <w:r w:rsidR="009316AF">
        <w:rPr>
          <w:rFonts w:cs="Arial"/>
          <w:color w:val="000000" w:themeColor="text1"/>
        </w:rPr>
        <w:t>1.3.3</w:t>
      </w:r>
      <w:r w:rsidR="00154338">
        <w:rPr>
          <w:rFonts w:cs="Arial"/>
          <w:color w:val="000000" w:themeColor="text1"/>
        </w:rPr>
        <w:t xml:space="preserve"> to replace the carboxyl proteinase entry in the Table to </w:t>
      </w:r>
      <w:r w:rsidR="00D77A0C">
        <w:rPr>
          <w:rFonts w:cs="Arial"/>
          <w:color w:val="000000" w:themeColor="text1"/>
        </w:rPr>
        <w:t>c</w:t>
      </w:r>
      <w:r w:rsidR="00154338">
        <w:rPr>
          <w:rFonts w:cs="Arial"/>
          <w:color w:val="000000" w:themeColor="text1"/>
        </w:rPr>
        <w:t>lause 17 with entries for Aspergillopepsin I and II</w:t>
      </w:r>
      <w:r w:rsidR="009316AF">
        <w:rPr>
          <w:rFonts w:cs="Arial"/>
          <w:color w:val="000000" w:themeColor="text1"/>
        </w:rPr>
        <w:t xml:space="preserve">. </w:t>
      </w:r>
    </w:p>
    <w:p w:rsidR="00633D7C" w:rsidRDefault="00633D7C" w:rsidP="009316AF">
      <w:pPr>
        <w:rPr>
          <w:rFonts w:cs="Arial"/>
          <w:color w:val="000000" w:themeColor="text1"/>
        </w:rPr>
      </w:pPr>
    </w:p>
    <w:p w:rsidR="009316AF" w:rsidRDefault="00D46D9A" w:rsidP="009316AF">
      <w:pPr>
        <w:rPr>
          <w:rFonts w:cs="Arial"/>
          <w:color w:val="000000" w:themeColor="text1"/>
        </w:rPr>
      </w:pPr>
      <w:r>
        <w:rPr>
          <w:rFonts w:cs="Arial"/>
          <w:color w:val="000000" w:themeColor="text1"/>
        </w:rPr>
        <w:t xml:space="preserve">There are no costs linked to updating the nomenclature to </w:t>
      </w:r>
      <w:r w:rsidR="00323BBD">
        <w:rPr>
          <w:rFonts w:cs="Arial"/>
          <w:color w:val="000000" w:themeColor="text1"/>
        </w:rPr>
        <w:t xml:space="preserve">the </w:t>
      </w:r>
      <w:r>
        <w:rPr>
          <w:rFonts w:cs="Arial"/>
          <w:color w:val="000000" w:themeColor="text1"/>
        </w:rPr>
        <w:t>1992 IUBMB recommendations for Aspergillopepsin I and II or removing the reference to</w:t>
      </w:r>
      <w:r w:rsidRPr="006464CA">
        <w:t xml:space="preserve"> </w:t>
      </w:r>
      <w:r w:rsidRPr="006464CA">
        <w:rPr>
          <w:rFonts w:cs="Arial"/>
          <w:i/>
          <w:color w:val="000000" w:themeColor="text1"/>
        </w:rPr>
        <w:t>A.</w:t>
      </w:r>
      <w:r>
        <w:rPr>
          <w:rFonts w:cs="Arial"/>
          <w:i/>
          <w:color w:val="000000" w:themeColor="text1"/>
        </w:rPr>
        <w:t xml:space="preserve"> </w:t>
      </w:r>
      <w:r w:rsidRPr="006464CA">
        <w:rPr>
          <w:rFonts w:cs="Arial"/>
          <w:i/>
          <w:color w:val="000000" w:themeColor="text1"/>
        </w:rPr>
        <w:t>melleus</w:t>
      </w:r>
      <w:r>
        <w:rPr>
          <w:rFonts w:cs="Arial"/>
          <w:color w:val="000000" w:themeColor="text1"/>
        </w:rPr>
        <w:t>, while there are benefits to governments and the food industry (especially the wine industry) from improved regulatory clarity associated with the use of these enzymes.</w:t>
      </w:r>
    </w:p>
    <w:p w:rsidR="00D77A0C" w:rsidRDefault="00D77A0C" w:rsidP="00D77A0C">
      <w:pPr>
        <w:pStyle w:val="Heading4"/>
      </w:pPr>
      <w:r>
        <w:t>2.4.1.2</w:t>
      </w:r>
      <w:r>
        <w:tab/>
        <w:t>Other measures</w:t>
      </w:r>
    </w:p>
    <w:p w:rsidR="00D77A0C" w:rsidRDefault="00D77A0C" w:rsidP="00D77A0C">
      <w:pPr>
        <w:rPr>
          <w:color w:val="FF0000"/>
        </w:rPr>
      </w:pPr>
      <w:r>
        <w:t>There are no</w:t>
      </w:r>
      <w:r w:rsidRPr="007F7BF7">
        <w:t xml:space="preserve"> other measures </w:t>
      </w:r>
      <w:r>
        <w:t xml:space="preserve">(whether available to FSANZ or not) that </w:t>
      </w:r>
      <w:r w:rsidRPr="007F7BF7">
        <w:t>would</w:t>
      </w:r>
      <w:r>
        <w:t xml:space="preserve"> be more cost-</w:t>
      </w:r>
      <w:r w:rsidRPr="00C06C58">
        <w:t>effective than a food regulatory measure developed or varied as a result of the Application</w:t>
      </w:r>
      <w:r>
        <w:rPr>
          <w:color w:val="FF0000"/>
        </w:rPr>
        <w:t>.</w:t>
      </w:r>
    </w:p>
    <w:p w:rsidR="00D77A0C" w:rsidRDefault="00D77A0C" w:rsidP="00D77A0C">
      <w:pPr>
        <w:pStyle w:val="Heading4"/>
      </w:pPr>
      <w:r>
        <w:t>2.4.1.3</w:t>
      </w:r>
      <w:r>
        <w:tab/>
        <w:t>A</w:t>
      </w:r>
      <w:r w:rsidRPr="00914030">
        <w:t>ny relevant New Zealand standards</w:t>
      </w:r>
    </w:p>
    <w:p w:rsidR="00D77A0C" w:rsidRDefault="00D77A0C" w:rsidP="00D77A0C">
      <w:pPr>
        <w:rPr>
          <w:lang w:bidi="ar-SA"/>
        </w:rPr>
      </w:pPr>
      <w:r>
        <w:rPr>
          <w:lang w:bidi="ar-SA"/>
        </w:rPr>
        <w:t>There are no</w:t>
      </w:r>
      <w:r w:rsidR="00C91775">
        <w:rPr>
          <w:lang w:bidi="ar-SA"/>
        </w:rPr>
        <w:t xml:space="preserve"> relevant New Zealand Standards, as t</w:t>
      </w:r>
      <w:r w:rsidR="00323BBD" w:rsidRPr="00323BBD">
        <w:rPr>
          <w:lang w:bidi="ar-SA"/>
        </w:rPr>
        <w:t xml:space="preserve">he changes are to joint </w:t>
      </w:r>
      <w:r w:rsidR="00C91775">
        <w:rPr>
          <w:lang w:bidi="ar-SA"/>
        </w:rPr>
        <w:t xml:space="preserve">Australia and New Zealand </w:t>
      </w:r>
      <w:r w:rsidR="00323BBD" w:rsidRPr="00323BBD">
        <w:rPr>
          <w:lang w:bidi="ar-SA"/>
        </w:rPr>
        <w:t>standards</w:t>
      </w:r>
      <w:r w:rsidR="00C91775">
        <w:rPr>
          <w:lang w:bidi="ar-SA"/>
        </w:rPr>
        <w:t>.</w:t>
      </w:r>
    </w:p>
    <w:p w:rsidR="00D77A0C" w:rsidRPr="00914030" w:rsidRDefault="00D77A0C" w:rsidP="00D77A0C">
      <w:pPr>
        <w:pStyle w:val="Heading4"/>
      </w:pPr>
      <w:r>
        <w:t>2.4.1.4</w:t>
      </w:r>
      <w:r>
        <w:tab/>
        <w:t>Any other relevant matters</w:t>
      </w:r>
    </w:p>
    <w:p w:rsidR="00D77A0C" w:rsidRDefault="00D77A0C" w:rsidP="00D77A0C">
      <w:pPr>
        <w:rPr>
          <w:lang w:bidi="ar-SA"/>
        </w:rPr>
      </w:pPr>
      <w:r>
        <w:rPr>
          <w:lang w:bidi="ar-SA"/>
        </w:rPr>
        <w:t>There are no other relevant matters.</w:t>
      </w:r>
    </w:p>
    <w:p w:rsidR="00F64738" w:rsidRDefault="00F64738" w:rsidP="00F64738">
      <w:pPr>
        <w:pStyle w:val="Heading3"/>
      </w:pPr>
      <w:bookmarkStart w:id="63" w:name="_Toc384895036"/>
      <w:r>
        <w:t>2.</w:t>
      </w:r>
      <w:r w:rsidR="00D77A0C">
        <w:t>5</w:t>
      </w:r>
      <w:r>
        <w:t>.</w:t>
      </w:r>
      <w:r w:rsidR="00D77A0C">
        <w:t>1</w:t>
      </w:r>
      <w:r>
        <w:tab/>
      </w:r>
      <w:r w:rsidR="00274D3E">
        <w:t>Subs</w:t>
      </w:r>
      <w:r>
        <w:t>ection 18</w:t>
      </w:r>
      <w:r w:rsidR="00274D3E">
        <w:t>(1)</w:t>
      </w:r>
      <w:bookmarkEnd w:id="63"/>
    </w:p>
    <w:p w:rsidR="00F64738" w:rsidRDefault="00F64738" w:rsidP="00F64738">
      <w:r w:rsidRPr="00866F8B">
        <w:rPr>
          <w:rFonts w:cs="Arial"/>
        </w:rPr>
        <w:t>FSANZ</w:t>
      </w:r>
      <w:r w:rsidRPr="009368AA">
        <w:rPr>
          <w:rFonts w:cs="Arial"/>
        </w:rPr>
        <w:t xml:space="preserve"> </w:t>
      </w:r>
      <w:r w:rsidRPr="00914030">
        <w:rPr>
          <w:rFonts w:cs="Arial"/>
        </w:rPr>
        <w:t xml:space="preserve">has </w:t>
      </w:r>
      <w:r w:rsidR="00D77A0C">
        <w:rPr>
          <w:rFonts w:cs="Arial"/>
        </w:rPr>
        <w:t xml:space="preserve">also </w:t>
      </w:r>
      <w:r w:rsidRPr="00914030">
        <w:t xml:space="preserve">considered the three objectives in subsection 18(1) of the </w:t>
      </w:r>
      <w:r>
        <w:t>FSANZ Act during the assessment.</w:t>
      </w:r>
    </w:p>
    <w:p w:rsidR="00F64738" w:rsidRPr="00914030" w:rsidRDefault="00F64738" w:rsidP="00F64738">
      <w:pPr>
        <w:pStyle w:val="Heading4"/>
        <w:rPr>
          <w:lang w:eastAsia="en-AU"/>
        </w:rPr>
      </w:pPr>
      <w:bookmarkStart w:id="64" w:name="_Toc297029117"/>
      <w:bookmarkStart w:id="65" w:name="_Toc300761898"/>
      <w:bookmarkStart w:id="66" w:name="_Toc300933441"/>
      <w:r>
        <w:rPr>
          <w:lang w:eastAsia="en-AU"/>
        </w:rPr>
        <w:t>2.</w:t>
      </w:r>
      <w:r w:rsidR="00D77A0C">
        <w:rPr>
          <w:lang w:eastAsia="en-AU"/>
        </w:rPr>
        <w:t>5</w:t>
      </w:r>
      <w:r>
        <w:rPr>
          <w:lang w:eastAsia="en-AU"/>
        </w:rPr>
        <w:t>.</w:t>
      </w:r>
      <w:r w:rsidR="00D77A0C">
        <w:rPr>
          <w:lang w:eastAsia="en-AU"/>
        </w:rPr>
        <w:t>1</w:t>
      </w:r>
      <w:r w:rsidRPr="00914030">
        <w:rPr>
          <w:lang w:eastAsia="en-AU"/>
        </w:rPr>
        <w:t>.1</w:t>
      </w:r>
      <w:r w:rsidRPr="00914030">
        <w:rPr>
          <w:lang w:eastAsia="en-AU"/>
        </w:rPr>
        <w:tab/>
        <w:t>Protection of public health and safety</w:t>
      </w:r>
      <w:bookmarkEnd w:id="64"/>
      <w:bookmarkEnd w:id="65"/>
      <w:bookmarkEnd w:id="66"/>
    </w:p>
    <w:p w:rsidR="00F64738" w:rsidRDefault="00F64738" w:rsidP="00F64738">
      <w:r>
        <w:t>FSANZ is of the view that this Application poses no risk to public health and safety. The assessment of the scope mentioned in Section 2.1.2 demonstrates that the source organisms for Aspergillopepsin I and II, and therefore the types of enzymes that will be permitted, are equivalent to those that were previously permitted under the carboxyl proteinase entry.</w:t>
      </w:r>
    </w:p>
    <w:p w:rsidR="00F64738" w:rsidRPr="00914030" w:rsidRDefault="00F64738" w:rsidP="00F64738">
      <w:pPr>
        <w:pStyle w:val="Heading4"/>
        <w:rPr>
          <w:lang w:eastAsia="en-AU"/>
        </w:rPr>
      </w:pPr>
      <w:bookmarkStart w:id="67" w:name="_Toc300761899"/>
      <w:bookmarkStart w:id="68" w:name="_Toc300933442"/>
      <w:bookmarkStart w:id="69" w:name="_Toc300761900"/>
      <w:bookmarkStart w:id="70" w:name="_Toc300933443"/>
      <w:r>
        <w:rPr>
          <w:lang w:eastAsia="en-AU"/>
        </w:rPr>
        <w:t>2.</w:t>
      </w:r>
      <w:r w:rsidR="00D77A0C">
        <w:rPr>
          <w:lang w:eastAsia="en-AU"/>
        </w:rPr>
        <w:t>5</w:t>
      </w:r>
      <w:r>
        <w:rPr>
          <w:lang w:eastAsia="en-AU"/>
        </w:rPr>
        <w:t>.</w:t>
      </w:r>
      <w:r w:rsidR="00D77A0C">
        <w:rPr>
          <w:lang w:eastAsia="en-AU"/>
        </w:rPr>
        <w:t>1</w:t>
      </w:r>
      <w:r>
        <w:rPr>
          <w:lang w:eastAsia="en-AU"/>
        </w:rPr>
        <w:t>.</w:t>
      </w:r>
      <w:r w:rsidRPr="00914030">
        <w:rPr>
          <w:lang w:eastAsia="en-AU"/>
        </w:rPr>
        <w:t>2</w:t>
      </w:r>
      <w:r w:rsidRPr="00914030">
        <w:rPr>
          <w:lang w:eastAsia="en-AU"/>
        </w:rPr>
        <w:tab/>
        <w:t>The provision of adequate information relating to food to enable consumers to make informed choices</w:t>
      </w:r>
      <w:bookmarkEnd w:id="67"/>
      <w:bookmarkEnd w:id="68"/>
    </w:p>
    <w:p w:rsidR="00F64738" w:rsidRDefault="00F64738" w:rsidP="00F64738">
      <w:pPr>
        <w:rPr>
          <w:lang w:eastAsia="en-AU"/>
        </w:rPr>
      </w:pPr>
      <w:r>
        <w:t xml:space="preserve">FSANZ does not propose any new risk management strategies relating to the provision of information to consumers, because existing strategies provide sufficient risk management. Therefore, the </w:t>
      </w:r>
      <w:r w:rsidR="00CF2FEB">
        <w:t>A</w:t>
      </w:r>
      <w:r>
        <w:t>pplication has no impact on the provision of information relating to food to enable consumers to make informed choices.</w:t>
      </w:r>
    </w:p>
    <w:p w:rsidR="00F64738" w:rsidRPr="00914030" w:rsidRDefault="00F64738" w:rsidP="00F64738">
      <w:pPr>
        <w:pStyle w:val="Heading4"/>
        <w:rPr>
          <w:lang w:eastAsia="en-AU"/>
        </w:rPr>
      </w:pPr>
      <w:r>
        <w:rPr>
          <w:lang w:eastAsia="en-AU"/>
        </w:rPr>
        <w:t>2.</w:t>
      </w:r>
      <w:r w:rsidR="00D77A0C">
        <w:rPr>
          <w:lang w:eastAsia="en-AU"/>
        </w:rPr>
        <w:t>5</w:t>
      </w:r>
      <w:r>
        <w:rPr>
          <w:lang w:eastAsia="en-AU"/>
        </w:rPr>
        <w:t>.</w:t>
      </w:r>
      <w:r w:rsidR="00D77A0C">
        <w:rPr>
          <w:lang w:eastAsia="en-AU"/>
        </w:rPr>
        <w:t>1</w:t>
      </w:r>
      <w:r>
        <w:rPr>
          <w:lang w:eastAsia="en-AU"/>
        </w:rPr>
        <w:t>.</w:t>
      </w:r>
      <w:r w:rsidRPr="00914030">
        <w:rPr>
          <w:lang w:eastAsia="en-AU"/>
        </w:rPr>
        <w:t>3</w:t>
      </w:r>
      <w:r w:rsidRPr="00914030">
        <w:rPr>
          <w:lang w:eastAsia="en-AU"/>
        </w:rPr>
        <w:tab/>
        <w:t>The prevention of misleading or deceptive conduct</w:t>
      </w:r>
      <w:bookmarkEnd w:id="69"/>
      <w:bookmarkEnd w:id="70"/>
    </w:p>
    <w:p w:rsidR="00F64738" w:rsidRDefault="00F64738" w:rsidP="00F64738">
      <w:pPr>
        <w:widowControl/>
        <w:autoSpaceDE w:val="0"/>
        <w:autoSpaceDN w:val="0"/>
        <w:adjustRightInd w:val="0"/>
      </w:pPr>
      <w:r>
        <w:t xml:space="preserve">There will be no changes to food manufacturing practices as a result of this </w:t>
      </w:r>
      <w:r w:rsidR="00CF2FEB">
        <w:t>A</w:t>
      </w:r>
      <w:r>
        <w:t xml:space="preserve">pplication. Therefore, the </w:t>
      </w:r>
      <w:r w:rsidR="00CF2FEB">
        <w:t>A</w:t>
      </w:r>
      <w:r>
        <w:t xml:space="preserve">pplication does not increase the potential for misleading or deceptive conduct.  </w:t>
      </w:r>
    </w:p>
    <w:p w:rsidR="00F64738" w:rsidRDefault="00F64738" w:rsidP="00F64738">
      <w:pPr>
        <w:pStyle w:val="Heading3"/>
      </w:pPr>
      <w:bookmarkStart w:id="71" w:name="_Toc300761901"/>
      <w:bookmarkStart w:id="72" w:name="_Toc300933444"/>
      <w:bookmarkStart w:id="73" w:name="_Toc370223480"/>
      <w:bookmarkStart w:id="74" w:name="_Toc384895037"/>
      <w:r>
        <w:t>2.</w:t>
      </w:r>
      <w:r w:rsidR="00D77A0C">
        <w:t>5</w:t>
      </w:r>
      <w:r>
        <w:t>.3</w:t>
      </w:r>
      <w:r w:rsidRPr="00914030">
        <w:tab/>
        <w:t xml:space="preserve">Subsection 18(2) </w:t>
      </w:r>
      <w:bookmarkEnd w:id="71"/>
      <w:bookmarkEnd w:id="72"/>
      <w:r w:rsidRPr="00914030">
        <w:t>considerations</w:t>
      </w:r>
      <w:bookmarkEnd w:id="73"/>
      <w:bookmarkEnd w:id="74"/>
    </w:p>
    <w:p w:rsidR="00D77A0C" w:rsidRPr="00914030" w:rsidRDefault="00D77A0C" w:rsidP="00D77A0C">
      <w:pPr>
        <w:rPr>
          <w:rFonts w:cs="Arial"/>
        </w:rPr>
      </w:pPr>
      <w:r w:rsidRPr="00914030">
        <w:rPr>
          <w:rFonts w:cs="Arial"/>
        </w:rPr>
        <w:t>FSANZ has also had regard to:</w:t>
      </w:r>
    </w:p>
    <w:p w:rsidR="00D77A0C" w:rsidRPr="00914030" w:rsidRDefault="00D77A0C" w:rsidP="00D77A0C">
      <w:pPr>
        <w:rPr>
          <w:rFonts w:cs="Arial"/>
        </w:rPr>
      </w:pPr>
    </w:p>
    <w:p w:rsidR="009D2B8F" w:rsidRDefault="009D2B8F" w:rsidP="00F64738">
      <w:pPr>
        <w:pStyle w:val="FSBullet1"/>
        <w:rPr>
          <w:b/>
        </w:rPr>
      </w:pPr>
      <w:r>
        <w:rPr>
          <w:b/>
        </w:rPr>
        <w:br w:type="page"/>
      </w:r>
    </w:p>
    <w:p w:rsidR="00F64738" w:rsidRPr="008828D9" w:rsidRDefault="00F64738" w:rsidP="00F64738">
      <w:pPr>
        <w:pStyle w:val="FSBullet1"/>
        <w:rPr>
          <w:b/>
        </w:rPr>
      </w:pPr>
      <w:r w:rsidRPr="008828D9">
        <w:rPr>
          <w:b/>
        </w:rPr>
        <w:lastRenderedPageBreak/>
        <w:t>the need for standards to be based on risk analysis using the best available scientific evidence</w:t>
      </w:r>
    </w:p>
    <w:p w:rsidR="00F64738" w:rsidRDefault="00F64738" w:rsidP="00F64738">
      <w:pPr>
        <w:rPr>
          <w:lang w:bidi="ar-SA"/>
        </w:rPr>
      </w:pPr>
    </w:p>
    <w:p w:rsidR="00F64738" w:rsidRPr="00E84F18" w:rsidRDefault="00F64738" w:rsidP="00F64738">
      <w:r w:rsidRPr="00E84F18">
        <w:t>FSANZ has used the best available scientific evidence to conduct the risk analysis which is provided in Section 2.1 of this report.</w:t>
      </w:r>
    </w:p>
    <w:p w:rsidR="00F64738" w:rsidRPr="008828D9" w:rsidRDefault="00F64738" w:rsidP="00F64738">
      <w:pPr>
        <w:rPr>
          <w:lang w:bidi="ar-SA"/>
        </w:rPr>
      </w:pPr>
    </w:p>
    <w:p w:rsidR="00F64738" w:rsidRPr="008828D9" w:rsidRDefault="00F64738" w:rsidP="00F64738">
      <w:pPr>
        <w:pStyle w:val="FSBullet1"/>
        <w:rPr>
          <w:b/>
        </w:rPr>
      </w:pPr>
      <w:r w:rsidRPr="008828D9">
        <w:rPr>
          <w:b/>
        </w:rPr>
        <w:t>the promotion of consistency between domestic and international food standards</w:t>
      </w:r>
    </w:p>
    <w:p w:rsidR="00F64738" w:rsidRDefault="00F64738" w:rsidP="00F64738">
      <w:pPr>
        <w:rPr>
          <w:lang w:bidi="ar-SA"/>
        </w:rPr>
      </w:pPr>
    </w:p>
    <w:p w:rsidR="00F64738" w:rsidRPr="00BE3818" w:rsidRDefault="00F64738" w:rsidP="00F64738">
      <w:pPr>
        <w:rPr>
          <w:color w:val="00B050"/>
        </w:rPr>
      </w:pPr>
      <w:r w:rsidRPr="0018424F">
        <w:t xml:space="preserve">There are no Codex Alimentarius Standards for enzymes. However, Aspergillopepsin I </w:t>
      </w:r>
      <w:proofErr w:type="gramStart"/>
      <w:r w:rsidRPr="0018424F">
        <w:t>has</w:t>
      </w:r>
      <w:proofErr w:type="gramEnd"/>
      <w:r w:rsidRPr="0018424F">
        <w:t xml:space="preserve"> been provided with a Generally Recognised as Safe (GRAS) status in the </w:t>
      </w:r>
      <w:r w:rsidR="00C06C58">
        <w:t>United States pf America</w:t>
      </w:r>
      <w:r w:rsidRPr="0018424F">
        <w:t xml:space="preserve"> (GRN 000333), although the permitted source organisms differ from those proposed under this </w:t>
      </w:r>
      <w:r w:rsidR="00CF2FEB">
        <w:t>A</w:t>
      </w:r>
      <w:r w:rsidRPr="0018424F">
        <w:t>pplication.</w:t>
      </w:r>
    </w:p>
    <w:p w:rsidR="00F64738" w:rsidRPr="008828D9" w:rsidRDefault="00F64738" w:rsidP="00F64738">
      <w:pPr>
        <w:rPr>
          <w:lang w:bidi="ar-SA"/>
        </w:rPr>
      </w:pPr>
    </w:p>
    <w:p w:rsidR="00F64738" w:rsidRDefault="00F64738" w:rsidP="00F64738">
      <w:pPr>
        <w:pStyle w:val="FSBullet1"/>
      </w:pPr>
      <w:r w:rsidRPr="00F64738">
        <w:rPr>
          <w:b/>
        </w:rPr>
        <w:t>the desirability of an efficient and internationally competitive food industry</w:t>
      </w:r>
    </w:p>
    <w:p w:rsidR="00F64738" w:rsidRPr="008828D9" w:rsidRDefault="00F64738" w:rsidP="00F64738">
      <w:pPr>
        <w:pStyle w:val="FSBullet1"/>
        <w:rPr>
          <w:b/>
        </w:rPr>
      </w:pPr>
      <w:r w:rsidRPr="008828D9">
        <w:rPr>
          <w:b/>
        </w:rPr>
        <w:t>the promotion of fair trading in food</w:t>
      </w:r>
    </w:p>
    <w:p w:rsidR="00F64738" w:rsidRDefault="00F64738" w:rsidP="00F64738">
      <w:pPr>
        <w:rPr>
          <w:lang w:bidi="ar-SA"/>
        </w:rPr>
      </w:pPr>
    </w:p>
    <w:p w:rsidR="00F64738" w:rsidRPr="00E84F18" w:rsidRDefault="00F64738" w:rsidP="00F64738">
      <w:r w:rsidRPr="00E84F18">
        <w:t xml:space="preserve">The proposed amendments will provide </w:t>
      </w:r>
      <w:r>
        <w:t xml:space="preserve">all sectors of </w:t>
      </w:r>
      <w:r w:rsidRPr="00E84F18">
        <w:t>the food industry with greater regulatory clarity and certainty in the use of processing aids. Th</w:t>
      </w:r>
      <w:r>
        <w:t xml:space="preserve">ese changes will therefore minimise any barriers to the </w:t>
      </w:r>
      <w:r w:rsidRPr="00E84F18">
        <w:t>competitiveness of local manufacturing</w:t>
      </w:r>
      <w:r>
        <w:t xml:space="preserve"> that may exist in respect to the use of enzyme processing aids</w:t>
      </w:r>
      <w:r w:rsidRPr="00E84F18">
        <w:t>.</w:t>
      </w:r>
    </w:p>
    <w:p w:rsidR="00F64738" w:rsidRPr="008828D9" w:rsidRDefault="00F64738" w:rsidP="00F64738">
      <w:pPr>
        <w:rPr>
          <w:lang w:bidi="ar-SA"/>
        </w:rPr>
      </w:pPr>
    </w:p>
    <w:p w:rsidR="00F64738" w:rsidRPr="008828D9" w:rsidRDefault="00F64738" w:rsidP="00F64738">
      <w:pPr>
        <w:pStyle w:val="FSBullet1"/>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3"/>
      </w:r>
      <w:r w:rsidRPr="008828D9">
        <w:rPr>
          <w:b/>
        </w:rPr>
        <w:t>.</w:t>
      </w:r>
    </w:p>
    <w:p w:rsidR="00F64738" w:rsidRDefault="00F64738" w:rsidP="00F64738">
      <w:pPr>
        <w:rPr>
          <w:lang w:bidi="ar-SA"/>
        </w:rPr>
      </w:pPr>
    </w:p>
    <w:p w:rsidR="00F64738" w:rsidRDefault="00F64738" w:rsidP="00F64738">
      <w:pPr>
        <w:rPr>
          <w:color w:val="00B050"/>
        </w:rPr>
      </w:pPr>
      <w:r w:rsidRPr="008C73E0">
        <w:t xml:space="preserve">There are no written policy guidelines from the </w:t>
      </w:r>
      <w:r w:rsidRPr="008C73E0">
        <w:rPr>
          <w:lang w:val="en-AU"/>
        </w:rPr>
        <w:t xml:space="preserve">COAG </w:t>
      </w:r>
      <w:r w:rsidRPr="008828D9">
        <w:rPr>
          <w:lang w:val="en-AU"/>
        </w:rPr>
        <w:t>Legislative and Governance Forum on Food Regulation</w:t>
      </w:r>
      <w:r>
        <w:rPr>
          <w:lang w:val="en-AU"/>
        </w:rPr>
        <w:t xml:space="preserve"> that apply to this Application</w:t>
      </w:r>
      <w:r w:rsidRPr="002B2BB5">
        <w:rPr>
          <w:color w:val="00B050"/>
        </w:rPr>
        <w:t>.</w:t>
      </w:r>
    </w:p>
    <w:p w:rsidR="00F64738" w:rsidRDefault="00F64738" w:rsidP="00F64738">
      <w:pPr>
        <w:rPr>
          <w:color w:val="00B050"/>
        </w:rPr>
      </w:pPr>
    </w:p>
    <w:p w:rsidR="009B74AC" w:rsidRDefault="00867B23" w:rsidP="00A22E55">
      <w:pPr>
        <w:pStyle w:val="Heading1"/>
      </w:pPr>
      <w:bookmarkStart w:id="75" w:name="_Toc384895038"/>
      <w:r>
        <w:t>3</w:t>
      </w:r>
      <w:r w:rsidR="00F604DE">
        <w:tab/>
      </w:r>
      <w:bookmarkEnd w:id="57"/>
      <w:bookmarkEnd w:id="58"/>
      <w:bookmarkEnd w:id="59"/>
      <w:r w:rsidR="00C06C58">
        <w:t xml:space="preserve">Conclusion </w:t>
      </w:r>
    </w:p>
    <w:bookmarkEnd w:id="75"/>
    <w:p w:rsidR="00E75054" w:rsidRPr="00380C7A" w:rsidRDefault="0052582B" w:rsidP="00E75054">
      <w:r w:rsidRPr="008C751E">
        <w:t xml:space="preserve">The conclusion of </w:t>
      </w:r>
      <w:r>
        <w:t>this report is th</w:t>
      </w:r>
      <w:r w:rsidRPr="008C751E">
        <w:t>at</w:t>
      </w:r>
      <w:r>
        <w:t xml:space="preserve"> the carboxyl proteinase </w:t>
      </w:r>
      <w:r w:rsidR="00891531">
        <w:t xml:space="preserve">enzyme entry </w:t>
      </w:r>
      <w:r>
        <w:t xml:space="preserve">in the Table to Clause 17 of Standard 1.3.3 should be replaced with two new </w:t>
      </w:r>
      <w:r w:rsidR="00F64738">
        <w:t>enzyme</w:t>
      </w:r>
      <w:r w:rsidR="00891531">
        <w:t>s</w:t>
      </w:r>
      <w:r>
        <w:t xml:space="preserve">: Aspergillopepsin I and Aspergillopepsin II. The microbiological sources for these two </w:t>
      </w:r>
      <w:proofErr w:type="gramStart"/>
      <w:r>
        <w:t>enzyme</w:t>
      </w:r>
      <w:proofErr w:type="gramEnd"/>
      <w:r>
        <w:t xml:space="preserve"> are </w:t>
      </w:r>
      <w:r w:rsidR="00E1578F">
        <w:t xml:space="preserve">proposed to be </w:t>
      </w:r>
      <w:r w:rsidRPr="002F704A">
        <w:rPr>
          <w:i/>
        </w:rPr>
        <w:t>Aspergillus niger</w:t>
      </w:r>
      <w:r>
        <w:rPr>
          <w:i/>
        </w:rPr>
        <w:t xml:space="preserve"> and </w:t>
      </w:r>
      <w:r w:rsidRPr="00AC2064">
        <w:rPr>
          <w:i/>
        </w:rPr>
        <w:t>Aspergillus oryzae</w:t>
      </w:r>
      <w:r>
        <w:rPr>
          <w:i/>
        </w:rPr>
        <w:t xml:space="preserve">; and Aspergillus niger </w:t>
      </w:r>
      <w:r>
        <w:t>respectively. A</w:t>
      </w:r>
      <w:r w:rsidR="00A12B44" w:rsidRPr="00380C7A">
        <w:t xml:space="preserve"> draft </w:t>
      </w:r>
      <w:r w:rsidR="000D295F" w:rsidRPr="00380C7A">
        <w:t>variation</w:t>
      </w:r>
      <w:r w:rsidR="00A12B44" w:rsidRPr="00380C7A">
        <w:t xml:space="preserve"> </w:t>
      </w:r>
      <w:r>
        <w:t xml:space="preserve">with these changes </w:t>
      </w:r>
      <w:r w:rsidR="00380C7A" w:rsidRPr="00380C7A">
        <w:t xml:space="preserve">has been provided </w:t>
      </w:r>
      <w:r w:rsidR="00A12B44" w:rsidRPr="00380C7A">
        <w:t xml:space="preserve">at </w:t>
      </w:r>
      <w:r w:rsidR="00D26814" w:rsidRPr="00380C7A">
        <w:t>Attachment A</w:t>
      </w:r>
      <w:r>
        <w:t xml:space="preserve"> for comment by submitters</w:t>
      </w:r>
      <w:r w:rsidR="00D26814" w:rsidRPr="00380C7A">
        <w:t xml:space="preserve">. </w:t>
      </w:r>
      <w:r w:rsidR="00E75054" w:rsidRPr="00380C7A">
        <w:t xml:space="preserve">The </w:t>
      </w:r>
      <w:r w:rsidR="008A3221" w:rsidRPr="00380C7A">
        <w:t xml:space="preserve">draft </w:t>
      </w:r>
      <w:r w:rsidR="00E75054" w:rsidRPr="00380C7A">
        <w:t xml:space="preserve">variation </w:t>
      </w:r>
      <w:r w:rsidR="005A3A03" w:rsidRPr="00380C7A">
        <w:t>is intended to take</w:t>
      </w:r>
      <w:r w:rsidR="00E75054" w:rsidRPr="00380C7A">
        <w:t xml:space="preserve"> effect on </w:t>
      </w:r>
      <w:r w:rsidR="00380C7A" w:rsidRPr="00380C7A">
        <w:t>the date of gazettal.</w:t>
      </w:r>
    </w:p>
    <w:p w:rsidR="00E75054" w:rsidRDefault="00E75054" w:rsidP="00A12B44"/>
    <w:p w:rsidR="009B74AC" w:rsidRPr="00932F14" w:rsidRDefault="009B74AC" w:rsidP="009B74AC">
      <w:pPr>
        <w:pStyle w:val="Heading1"/>
      </w:pPr>
      <w:r>
        <w:t>4</w:t>
      </w:r>
      <w:r>
        <w:tab/>
        <w:t xml:space="preserve">Draft </w:t>
      </w:r>
      <w:r w:rsidRPr="00D14405">
        <w:t>variation</w:t>
      </w:r>
    </w:p>
    <w:p w:rsidR="00C06C58" w:rsidRPr="00D77A0C" w:rsidRDefault="009D2B8F" w:rsidP="00C06C58">
      <w:r>
        <w:t>T</w:t>
      </w:r>
      <w:r w:rsidR="002F0ADB">
        <w:t xml:space="preserve">he draft variation is </w:t>
      </w:r>
      <w:r w:rsidR="002F0ADB" w:rsidRPr="00D77A0C">
        <w:t>at Attachment A</w:t>
      </w:r>
      <w:r w:rsidR="002F0ADB">
        <w:t>. The draft variation</w:t>
      </w:r>
      <w:r w:rsidR="002F0ADB" w:rsidRPr="002F0ADB">
        <w:t xml:space="preserve"> </w:t>
      </w:r>
      <w:r w:rsidR="002F0ADB" w:rsidRPr="00D77A0C">
        <w:t>is intended to take effect on gazettal</w:t>
      </w:r>
      <w:r w:rsidR="002F0ADB">
        <w:t xml:space="preserve">. </w:t>
      </w:r>
    </w:p>
    <w:p w:rsidR="00C06C58" w:rsidRDefault="00C06C58" w:rsidP="00C06C58"/>
    <w:p w:rsidR="00A12B44" w:rsidRPr="00D26814" w:rsidRDefault="00D26814" w:rsidP="00A12B44">
      <w:pPr>
        <w:rPr>
          <w:u w:val="single"/>
        </w:rPr>
      </w:pPr>
      <w:r>
        <w:t>A draft explanator</w:t>
      </w:r>
      <w:r w:rsidRPr="00D26814">
        <w:t xml:space="preserve">y statement 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Legislative Instru</w:t>
      </w:r>
      <w:r>
        <w:t xml:space="preserve">ments. </w:t>
      </w:r>
    </w:p>
    <w:p w:rsidR="006B7A51" w:rsidRPr="00EA71DC" w:rsidRDefault="00827725" w:rsidP="00827725">
      <w:pPr>
        <w:pStyle w:val="Heading2"/>
      </w:pPr>
      <w:bookmarkStart w:id="76" w:name="_Toc11735643"/>
      <w:bookmarkStart w:id="77" w:name="_Toc29883130"/>
      <w:bookmarkStart w:id="78" w:name="_Toc41906817"/>
      <w:bookmarkStart w:id="79" w:name="_Toc41907564"/>
      <w:bookmarkStart w:id="80" w:name="_Toc43112360"/>
      <w:r>
        <w:t>4</w:t>
      </w:r>
      <w:r w:rsidR="006B7A51">
        <w:t>.</w:t>
      </w:r>
      <w:r>
        <w:t>2</w:t>
      </w:r>
      <w:r w:rsidR="006B7A51">
        <w:tab/>
      </w:r>
      <w:r w:rsidR="006B7A51" w:rsidRPr="00EA71DC">
        <w:t xml:space="preserve">Transitional arrangements </w:t>
      </w:r>
      <w:r w:rsidR="009D2B8F">
        <w:t>for Code Revision</w:t>
      </w:r>
    </w:p>
    <w:p w:rsidR="006B7A51" w:rsidRDefault="006B7A51" w:rsidP="006B7A51">
      <w:r w:rsidRPr="00EA71DC">
        <w:rPr>
          <w:rFonts w:cs="Arial"/>
        </w:rPr>
        <w:t xml:space="preserve">FSANZ is reviewing the Code in order to improve its clarity and legal efficacy. This review is being undertaken through Proposal P1025 – </w:t>
      </w:r>
      <w:r>
        <w:t>details of which are on</w:t>
      </w:r>
      <w:r w:rsidRPr="00E24DE8">
        <w:t xml:space="preserve"> the FSANZ website</w:t>
      </w:r>
      <w:r>
        <w:t>.</w:t>
      </w:r>
      <w:r>
        <w:rPr>
          <w:rStyle w:val="FootnoteReference"/>
        </w:rPr>
        <w:footnoteReference w:id="4"/>
      </w:r>
      <w:r w:rsidRPr="00E24DE8">
        <w:t xml:space="preserve"> </w:t>
      </w:r>
    </w:p>
    <w:p w:rsidR="006B7A51" w:rsidRDefault="006B7A51" w:rsidP="006B7A51"/>
    <w:p w:rsidR="009D2B8F" w:rsidRDefault="006B7A51" w:rsidP="006B7A51">
      <w:r w:rsidRPr="00E24DE8">
        <w:t>FSANZ released a draft revision of the Code for public comment in May 2013. The draft revision has changed t</w:t>
      </w:r>
      <w:r>
        <w:t>he Code’s structure and format.</w:t>
      </w:r>
      <w:r w:rsidRPr="00E24DE8">
        <w:t xml:space="preserve"> A further draft revision of the Code and call </w:t>
      </w:r>
      <w:r w:rsidRPr="00810C82">
        <w:t xml:space="preserve">for submissions will be released in the near future. </w:t>
      </w:r>
      <w:r w:rsidR="009D2B8F">
        <w:br w:type="page"/>
      </w:r>
    </w:p>
    <w:p w:rsidR="006B7A51" w:rsidRDefault="006B7A51" w:rsidP="006B7A51">
      <w:r w:rsidRPr="00EA71DC">
        <w:rPr>
          <w:rFonts w:cs="Arial"/>
        </w:rPr>
        <w:lastRenderedPageBreak/>
        <w:t xml:space="preserve">The FSANZ Board is expected to consider </w:t>
      </w:r>
      <w:r w:rsidR="00827725">
        <w:rPr>
          <w:rFonts w:cs="Arial"/>
        </w:rPr>
        <w:t xml:space="preserve">Proposal </w:t>
      </w:r>
      <w:r w:rsidRPr="00EA71DC">
        <w:rPr>
          <w:rFonts w:cs="Arial"/>
        </w:rPr>
        <w:t xml:space="preserve">P1025 and the proposed changes to the Code in late 2014. If approved, it expected that the new Code will commence in 2015 and will repeal and replace the current Code. The new Code will then need to be amended to incorporate any outstanding changes made to the current Code, </w:t>
      </w:r>
      <w:r>
        <w:t>including</w:t>
      </w:r>
      <w:r w:rsidRPr="00E24DE8">
        <w:t xml:space="preserve"> the</w:t>
      </w:r>
      <w:r w:rsidR="00827725">
        <w:t xml:space="preserve"> draft</w:t>
      </w:r>
      <w:r w:rsidRPr="00E24DE8">
        <w:t xml:space="preserve"> variations </w:t>
      </w:r>
      <w:r>
        <w:t>at Attachment A.</w:t>
      </w:r>
    </w:p>
    <w:p w:rsidR="006B7A51" w:rsidRPr="00924C80" w:rsidRDefault="006B7A51" w:rsidP="006B7A51">
      <w:pPr>
        <w:rPr>
          <w:rFonts w:cs="Arial"/>
          <w:color w:val="FF0000"/>
        </w:rPr>
      </w:pPr>
    </w:p>
    <w:p w:rsidR="00924C80" w:rsidRPr="000974DD" w:rsidRDefault="00827725" w:rsidP="00E75054">
      <w:pPr>
        <w:pStyle w:val="Heading1"/>
      </w:pPr>
      <w:bookmarkStart w:id="81" w:name="_Toc300933452"/>
      <w:bookmarkStart w:id="82" w:name="_Toc384895039"/>
      <w:r>
        <w:t>5</w:t>
      </w:r>
      <w:r w:rsidR="00924C80" w:rsidRPr="000974DD">
        <w:tab/>
        <w:t>R</w:t>
      </w:r>
      <w:bookmarkEnd w:id="81"/>
      <w:r w:rsidR="006C28E2" w:rsidRPr="000974DD">
        <w:t>eferences</w:t>
      </w:r>
      <w:bookmarkEnd w:id="82"/>
    </w:p>
    <w:p w:rsidR="00BD2F6C" w:rsidRDefault="00BD2F6C" w:rsidP="00924C80">
      <w:pPr>
        <w:rPr>
          <w:sz w:val="20"/>
          <w:szCs w:val="20"/>
        </w:rPr>
      </w:pPr>
      <w:proofErr w:type="gramStart"/>
      <w:r w:rsidRPr="00BD2F6C">
        <w:rPr>
          <w:sz w:val="20"/>
          <w:szCs w:val="20"/>
        </w:rPr>
        <w:t>IUBMB</w:t>
      </w:r>
      <w:r>
        <w:rPr>
          <w:sz w:val="20"/>
          <w:szCs w:val="20"/>
        </w:rPr>
        <w:t xml:space="preserve"> (1979).</w:t>
      </w:r>
      <w:proofErr w:type="gramEnd"/>
      <w:r>
        <w:rPr>
          <w:sz w:val="20"/>
          <w:szCs w:val="20"/>
        </w:rPr>
        <w:t xml:space="preserve"> Enzyme Nomenclature: Recommendations (1978) of the Nomenclature Committee of the International Union of Biochemistry and Molecular Biology. Academic Press Ltd, New York.</w:t>
      </w:r>
    </w:p>
    <w:p w:rsidR="00BD2F6C" w:rsidRDefault="00BD2F6C" w:rsidP="00924C80">
      <w:pPr>
        <w:rPr>
          <w:sz w:val="20"/>
          <w:szCs w:val="20"/>
        </w:rPr>
      </w:pPr>
    </w:p>
    <w:p w:rsidR="00924C80" w:rsidRDefault="00BD2F6C" w:rsidP="00924C80">
      <w:pPr>
        <w:rPr>
          <w:sz w:val="20"/>
          <w:szCs w:val="20"/>
        </w:rPr>
      </w:pPr>
      <w:proofErr w:type="gramStart"/>
      <w:r w:rsidRPr="00BD2F6C">
        <w:rPr>
          <w:sz w:val="20"/>
          <w:szCs w:val="20"/>
        </w:rPr>
        <w:t>IUBMB</w:t>
      </w:r>
      <w:r>
        <w:rPr>
          <w:sz w:val="20"/>
          <w:szCs w:val="20"/>
        </w:rPr>
        <w:t xml:space="preserve"> (1992).</w:t>
      </w:r>
      <w:proofErr w:type="gramEnd"/>
      <w:r>
        <w:rPr>
          <w:sz w:val="20"/>
          <w:szCs w:val="20"/>
        </w:rPr>
        <w:t xml:space="preserve"> Enzyme Nomenclature: Recommendations (1992) of the Nomenclature Committee of the International Union of Biochemistry and Molecular Biology. Academic Press Ltd, California.</w:t>
      </w:r>
    </w:p>
    <w:p w:rsidR="00827725" w:rsidRDefault="00827725" w:rsidP="00924C80">
      <w:pPr>
        <w:rPr>
          <w:sz w:val="20"/>
          <w:szCs w:val="20"/>
        </w:rPr>
      </w:pPr>
    </w:p>
    <w:bookmarkEnd w:id="76"/>
    <w:bookmarkEnd w:id="77"/>
    <w:bookmarkEnd w:id="78"/>
    <w:bookmarkEnd w:id="79"/>
    <w:bookmarkEnd w:id="80"/>
    <w:p w:rsidR="003C4969" w:rsidRPr="00924C80" w:rsidRDefault="00924C80" w:rsidP="00827725">
      <w:pPr>
        <w:pStyle w:val="Heading1"/>
      </w:pPr>
      <w:r w:rsidRPr="00924C80">
        <w:t>A</w:t>
      </w:r>
      <w:r>
        <w:t>ttachments</w:t>
      </w:r>
    </w:p>
    <w:p w:rsidR="00924C80" w:rsidRPr="00906F5D" w:rsidRDefault="00A4175D" w:rsidP="00D14405">
      <w:pPr>
        <w:pStyle w:val="CommentText"/>
        <w:ind w:left="567" w:hanging="567"/>
      </w:pPr>
      <w:r w:rsidRPr="00906F5D">
        <w:rPr>
          <w:sz w:val="22"/>
          <w:szCs w:val="22"/>
        </w:rPr>
        <w:t>A.</w:t>
      </w:r>
      <w:r w:rsidRPr="00906F5D">
        <w:rPr>
          <w:sz w:val="22"/>
          <w:szCs w:val="22"/>
        </w:rPr>
        <w:tab/>
      </w:r>
      <w:r w:rsidR="00410C76" w:rsidRPr="00906F5D">
        <w:rPr>
          <w:sz w:val="22"/>
          <w:szCs w:val="22"/>
        </w:rPr>
        <w:t xml:space="preserve">Draft </w:t>
      </w:r>
      <w:r w:rsidR="0007466A" w:rsidRPr="00906F5D">
        <w:rPr>
          <w:sz w:val="22"/>
          <w:szCs w:val="22"/>
        </w:rPr>
        <w:t xml:space="preserve">variation to the </w:t>
      </w:r>
      <w:r w:rsidR="0007466A" w:rsidRPr="00906F5D">
        <w:rPr>
          <w:i/>
          <w:sz w:val="22"/>
          <w:szCs w:val="22"/>
        </w:rPr>
        <w:t>Australia New Zealand Food Standards Code</w:t>
      </w:r>
      <w:r w:rsidR="00364841" w:rsidRPr="00906F5D">
        <w:rPr>
          <w:sz w:val="22"/>
          <w:szCs w:val="22"/>
        </w:rPr>
        <w:t xml:space="preserve"> </w:t>
      </w:r>
    </w:p>
    <w:p w:rsidR="001542D8" w:rsidRPr="00906F5D" w:rsidRDefault="00A4175D" w:rsidP="00A4175D">
      <w:pPr>
        <w:rPr>
          <w:szCs w:val="22"/>
        </w:rPr>
      </w:pPr>
      <w:r w:rsidRPr="00906F5D">
        <w:rPr>
          <w:szCs w:val="22"/>
        </w:rPr>
        <w:t>B.</w:t>
      </w:r>
      <w:r w:rsidRPr="00906F5D">
        <w:rPr>
          <w:szCs w:val="22"/>
        </w:rPr>
        <w:tab/>
      </w:r>
      <w:r w:rsidR="001542D8" w:rsidRPr="00906F5D">
        <w:rPr>
          <w:szCs w:val="22"/>
        </w:rPr>
        <w:t>Draft Explanatory Statement</w:t>
      </w:r>
    </w:p>
    <w:p w:rsidR="005E1036" w:rsidRDefault="005E1036">
      <w:pPr>
        <w:widowControl/>
        <w:rPr>
          <w:rFonts w:cs="Arial"/>
          <w:b/>
          <w:bCs/>
          <w:sz w:val="28"/>
          <w:szCs w:val="22"/>
          <w:lang w:bidi="ar-SA"/>
        </w:rPr>
      </w:pPr>
      <w:bookmarkStart w:id="83" w:name="_Toc29883131"/>
      <w:bookmarkStart w:id="84" w:name="_Toc41906818"/>
      <w:bookmarkStart w:id="85" w:name="_Toc41907565"/>
      <w:bookmarkStart w:id="86" w:name="_Toc120358596"/>
      <w:bookmarkStart w:id="87" w:name="_Toc175381458"/>
      <w:bookmarkStart w:id="88" w:name="_Toc11735644"/>
      <w:bookmarkStart w:id="89" w:name="_Toc286391017"/>
      <w:bookmarkStart w:id="90" w:name="_Toc300933453"/>
      <w:bookmarkStart w:id="91" w:name="_Toc384895040"/>
      <w:r>
        <w:br w:type="page"/>
      </w:r>
    </w:p>
    <w:p w:rsidR="003C4969" w:rsidRPr="00932F14" w:rsidRDefault="003C4969" w:rsidP="00A54934">
      <w:pPr>
        <w:pStyle w:val="Heading2"/>
        <w:ind w:left="0" w:firstLine="0"/>
      </w:pPr>
      <w:r w:rsidRPr="00932F14">
        <w:lastRenderedPageBreak/>
        <w:t xml:space="preserve">Attachment </w:t>
      </w:r>
      <w:bookmarkEnd w:id="83"/>
      <w:bookmarkEnd w:id="84"/>
      <w:bookmarkEnd w:id="85"/>
      <w:bookmarkEnd w:id="86"/>
      <w:bookmarkEnd w:id="87"/>
      <w:r w:rsidR="00456B54">
        <w:t>A</w:t>
      </w:r>
      <w:bookmarkStart w:id="92" w:name="_Toc120358597"/>
      <w:bookmarkStart w:id="93" w:name="_Toc175381459"/>
      <w:bookmarkEnd w:id="88"/>
      <w:r w:rsidR="007C174F">
        <w:t xml:space="preserve"> – </w:t>
      </w:r>
      <w:r w:rsidRPr="00932F14">
        <w:t xml:space="preserve">Draft variation to the </w:t>
      </w:r>
      <w:r w:rsidRPr="007C174F">
        <w:rPr>
          <w:i/>
        </w:rPr>
        <w:t>Australia New Zealand Food Standards Code</w:t>
      </w:r>
      <w:bookmarkEnd w:id="89"/>
      <w:bookmarkEnd w:id="90"/>
      <w:bookmarkEnd w:id="92"/>
      <w:bookmarkEnd w:id="93"/>
      <w:bookmarkEnd w:id="91"/>
    </w:p>
    <w:p w:rsidR="00A83230" w:rsidRPr="00C0014E" w:rsidRDefault="00A83230" w:rsidP="00A83230">
      <w:pPr>
        <w:rPr>
          <w:noProof/>
          <w:sz w:val="20"/>
          <w:lang w:val="en-AU" w:eastAsia="en-AU"/>
        </w:rPr>
      </w:pPr>
      <w:r w:rsidRPr="00C0014E">
        <w:rPr>
          <w:noProof/>
          <w:sz w:val="20"/>
          <w:lang w:eastAsia="en-GB" w:bidi="ar-SA"/>
        </w:rPr>
        <w:drawing>
          <wp:inline distT="0" distB="0" distL="0" distR="0" wp14:anchorId="186FDD53" wp14:editId="168A715A">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83230" w:rsidRPr="006153A1" w:rsidRDefault="00A83230" w:rsidP="00A83230">
      <w:pPr>
        <w:pStyle w:val="Title"/>
        <w:pBdr>
          <w:bottom w:val="single" w:sz="4" w:space="1" w:color="auto"/>
        </w:pBdr>
        <w:rPr>
          <w:b w:val="0"/>
          <w:bCs w:val="0"/>
          <w:szCs w:val="20"/>
          <w:lang w:val="en-GB"/>
        </w:rPr>
      </w:pPr>
    </w:p>
    <w:p w:rsidR="00A83230" w:rsidRDefault="00A83230" w:rsidP="00A83230">
      <w:pPr>
        <w:pBdr>
          <w:bottom w:val="single" w:sz="4" w:space="1" w:color="auto"/>
        </w:pBdr>
        <w:rPr>
          <w:b/>
          <w:sz w:val="20"/>
        </w:rPr>
      </w:pPr>
      <w:r w:rsidRPr="006153A1">
        <w:rPr>
          <w:b/>
          <w:sz w:val="20"/>
        </w:rPr>
        <w:t>Food Standards (</w:t>
      </w:r>
      <w:r w:rsidRPr="00F618DF">
        <w:rPr>
          <w:b/>
          <w:sz w:val="20"/>
        </w:rPr>
        <w:t>A</w:t>
      </w:r>
      <w:r>
        <w:rPr>
          <w:b/>
          <w:sz w:val="20"/>
        </w:rPr>
        <w:t xml:space="preserve">1091 </w:t>
      </w:r>
      <w:r w:rsidRPr="00A32232">
        <w:rPr>
          <w:b/>
          <w:sz w:val="20"/>
        </w:rPr>
        <w:t xml:space="preserve">– </w:t>
      </w:r>
      <w:r>
        <w:rPr>
          <w:b/>
          <w:sz w:val="20"/>
        </w:rPr>
        <w:t xml:space="preserve">Enzyme Nomenclature Change </w:t>
      </w:r>
      <w:r w:rsidR="00D46D9A">
        <w:rPr>
          <w:b/>
          <w:sz w:val="20"/>
        </w:rPr>
        <w:t>–</w:t>
      </w:r>
      <w:r>
        <w:rPr>
          <w:b/>
          <w:sz w:val="20"/>
        </w:rPr>
        <w:t xml:space="preserve"> C</w:t>
      </w:r>
      <w:r w:rsidRPr="00721849">
        <w:rPr>
          <w:b/>
          <w:sz w:val="20"/>
        </w:rPr>
        <w:t xml:space="preserve">arboxyl </w:t>
      </w:r>
      <w:r>
        <w:rPr>
          <w:b/>
          <w:sz w:val="20"/>
        </w:rPr>
        <w:t>P</w:t>
      </w:r>
      <w:r w:rsidRPr="00721849">
        <w:rPr>
          <w:b/>
          <w:sz w:val="20"/>
        </w:rPr>
        <w:t>roteinase</w:t>
      </w:r>
      <w:r>
        <w:rPr>
          <w:b/>
          <w:sz w:val="20"/>
        </w:rPr>
        <w:t xml:space="preserve"> to Aspergillopepsin </w:t>
      </w:r>
      <w:r w:rsidRPr="00080399">
        <w:rPr>
          <w:rFonts w:ascii="Times New Roman" w:hAnsi="Times New Roman"/>
          <w:b/>
          <w:sz w:val="20"/>
        </w:rPr>
        <w:t>I</w:t>
      </w:r>
      <w:r w:rsidRPr="00080399">
        <w:rPr>
          <w:b/>
          <w:sz w:val="20"/>
        </w:rPr>
        <w:t xml:space="preserve"> &amp; </w:t>
      </w:r>
      <w:r w:rsidRPr="00080399">
        <w:rPr>
          <w:rFonts w:ascii="Times New Roman" w:hAnsi="Times New Roman"/>
          <w:b/>
          <w:sz w:val="20"/>
        </w:rPr>
        <w:t>II</w:t>
      </w:r>
      <w:r>
        <w:rPr>
          <w:b/>
          <w:sz w:val="20"/>
        </w:rPr>
        <w:t>)</w:t>
      </w:r>
      <w:r w:rsidRPr="00C0014E">
        <w:rPr>
          <w:b/>
          <w:sz w:val="20"/>
        </w:rPr>
        <w:t xml:space="preserve"> Variation</w:t>
      </w:r>
    </w:p>
    <w:p w:rsidR="00A83230" w:rsidRPr="00C0014E" w:rsidRDefault="00A83230" w:rsidP="00A83230">
      <w:pPr>
        <w:pBdr>
          <w:bottom w:val="single" w:sz="4" w:space="1" w:color="auto"/>
        </w:pBdr>
        <w:rPr>
          <w:b/>
          <w:sz w:val="20"/>
        </w:rPr>
      </w:pPr>
    </w:p>
    <w:p w:rsidR="00A83230" w:rsidRPr="008F2616" w:rsidRDefault="00A83230" w:rsidP="00A83230">
      <w:pPr>
        <w:rPr>
          <w:sz w:val="20"/>
        </w:rPr>
      </w:pPr>
    </w:p>
    <w:p w:rsidR="00A83230" w:rsidRPr="008F2616" w:rsidRDefault="00A83230" w:rsidP="00A8323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A83230" w:rsidRPr="008F2616" w:rsidRDefault="00A83230" w:rsidP="00A83230">
      <w:pPr>
        <w:rPr>
          <w:sz w:val="20"/>
        </w:rPr>
      </w:pPr>
    </w:p>
    <w:p w:rsidR="00A83230" w:rsidRPr="008F2616" w:rsidRDefault="00A83230" w:rsidP="00A83230">
      <w:pPr>
        <w:rPr>
          <w:sz w:val="20"/>
        </w:rPr>
      </w:pPr>
      <w:r w:rsidRPr="008F2616">
        <w:rPr>
          <w:sz w:val="20"/>
        </w:rPr>
        <w:t xml:space="preserve">Dated </w:t>
      </w:r>
      <w:r>
        <w:rPr>
          <w:sz w:val="20"/>
        </w:rPr>
        <w:t>[To be completed by Standards Management Officer]</w:t>
      </w:r>
    </w:p>
    <w:p w:rsidR="00A83230" w:rsidRPr="008F2616" w:rsidRDefault="00A83230" w:rsidP="00A83230">
      <w:pPr>
        <w:rPr>
          <w:sz w:val="20"/>
        </w:rPr>
      </w:pPr>
    </w:p>
    <w:p w:rsidR="00A83230" w:rsidRDefault="00A83230" w:rsidP="00A83230">
      <w:pPr>
        <w:rPr>
          <w:sz w:val="20"/>
        </w:rPr>
      </w:pPr>
    </w:p>
    <w:p w:rsidR="00A83230" w:rsidRDefault="00A83230" w:rsidP="00A83230">
      <w:pPr>
        <w:rPr>
          <w:sz w:val="20"/>
        </w:rPr>
      </w:pPr>
    </w:p>
    <w:p w:rsidR="00A83230" w:rsidRPr="008F2616" w:rsidRDefault="00A83230" w:rsidP="00A83230">
      <w:pPr>
        <w:rPr>
          <w:sz w:val="20"/>
        </w:rPr>
      </w:pPr>
    </w:p>
    <w:p w:rsidR="00A83230" w:rsidRPr="008F2616" w:rsidRDefault="00A83230" w:rsidP="00A83230">
      <w:pPr>
        <w:rPr>
          <w:sz w:val="20"/>
        </w:rPr>
      </w:pPr>
    </w:p>
    <w:p w:rsidR="00A83230" w:rsidRPr="008F2616" w:rsidRDefault="00A83230" w:rsidP="00A83230">
      <w:pPr>
        <w:rPr>
          <w:sz w:val="20"/>
        </w:rPr>
      </w:pPr>
      <w:r w:rsidRPr="008F2616">
        <w:rPr>
          <w:sz w:val="20"/>
        </w:rPr>
        <w:t>Standards Management Officer</w:t>
      </w:r>
    </w:p>
    <w:p w:rsidR="00A83230" w:rsidRPr="008F2616" w:rsidRDefault="00A83230" w:rsidP="00A83230">
      <w:pPr>
        <w:rPr>
          <w:sz w:val="20"/>
        </w:rPr>
      </w:pPr>
      <w:r w:rsidRPr="008F2616">
        <w:rPr>
          <w:sz w:val="20"/>
        </w:rPr>
        <w:t>Delegate of the Board of Food Standards Australia New Zealand</w:t>
      </w:r>
    </w:p>
    <w:p w:rsidR="00A83230" w:rsidRDefault="00A83230" w:rsidP="00A83230">
      <w:pPr>
        <w:rPr>
          <w:sz w:val="20"/>
        </w:rPr>
      </w:pPr>
    </w:p>
    <w:p w:rsidR="00A83230" w:rsidRDefault="00A83230" w:rsidP="00A83230">
      <w:pPr>
        <w:rPr>
          <w:sz w:val="20"/>
        </w:rPr>
      </w:pPr>
    </w:p>
    <w:p w:rsidR="00A83230" w:rsidRDefault="00A83230" w:rsidP="00A83230">
      <w:pPr>
        <w:rPr>
          <w:sz w:val="20"/>
        </w:rPr>
      </w:pPr>
    </w:p>
    <w:p w:rsidR="00A83230" w:rsidRDefault="00A83230" w:rsidP="00A83230">
      <w:pPr>
        <w:rPr>
          <w:sz w:val="20"/>
        </w:rPr>
      </w:pPr>
    </w:p>
    <w:p w:rsidR="00A83230" w:rsidRDefault="00A83230" w:rsidP="00A83230">
      <w:pPr>
        <w:rPr>
          <w:sz w:val="20"/>
        </w:rPr>
      </w:pPr>
    </w:p>
    <w:p w:rsidR="00A83230" w:rsidRPr="00574DE1" w:rsidRDefault="00A83230" w:rsidP="00A83230">
      <w:pPr>
        <w:pStyle w:val="EditorialNoteLine1"/>
        <w:rPr>
          <w:lang w:val="en-AU"/>
        </w:rPr>
      </w:pPr>
      <w:r w:rsidRPr="00574DE1">
        <w:rPr>
          <w:lang w:val="en-AU"/>
        </w:rPr>
        <w:t xml:space="preserve">Note:  </w:t>
      </w:r>
    </w:p>
    <w:p w:rsidR="00A83230" w:rsidRPr="00574DE1" w:rsidRDefault="00A83230" w:rsidP="00A83230">
      <w:pPr>
        <w:pStyle w:val="EditorialNotetext"/>
        <w:rPr>
          <w:lang w:val="en-AU"/>
        </w:rPr>
      </w:pPr>
    </w:p>
    <w:p w:rsidR="00A83230" w:rsidRDefault="00A83230" w:rsidP="00A83230">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A83230" w:rsidRDefault="00A83230" w:rsidP="00A83230">
      <w:pPr>
        <w:rPr>
          <w:sz w:val="20"/>
        </w:rPr>
      </w:pPr>
    </w:p>
    <w:p w:rsidR="00A83230" w:rsidRDefault="00A83230" w:rsidP="00A83230">
      <w:pPr>
        <w:widowControl/>
        <w:rPr>
          <w:sz w:val="20"/>
        </w:rPr>
      </w:pPr>
      <w:r>
        <w:rPr>
          <w:sz w:val="20"/>
        </w:rPr>
        <w:br w:type="page"/>
      </w:r>
    </w:p>
    <w:p w:rsidR="00A83230" w:rsidRDefault="00A83230" w:rsidP="00A83230">
      <w:pPr>
        <w:pStyle w:val="Clauseheading"/>
      </w:pPr>
      <w:r>
        <w:lastRenderedPageBreak/>
        <w:t>1</w:t>
      </w:r>
      <w:r>
        <w:tab/>
        <w:t>Name</w:t>
      </w:r>
    </w:p>
    <w:p w:rsidR="00A83230" w:rsidRDefault="00A83230" w:rsidP="00A83230">
      <w:pPr>
        <w:pStyle w:val="Clause"/>
      </w:pPr>
    </w:p>
    <w:p w:rsidR="00A83230" w:rsidRPr="00F618DF" w:rsidRDefault="00A83230" w:rsidP="00A83230">
      <w:pPr>
        <w:pStyle w:val="Clause"/>
      </w:pPr>
      <w:r w:rsidRPr="00DB170D">
        <w:t xml:space="preserve">This instrument is the </w:t>
      </w:r>
      <w:r>
        <w:rPr>
          <w:i/>
        </w:rPr>
        <w:t xml:space="preserve">Food Standards </w:t>
      </w:r>
      <w:r w:rsidRPr="00F618DF">
        <w:rPr>
          <w:i/>
        </w:rPr>
        <w:t>(</w:t>
      </w:r>
      <w:r w:rsidRPr="006C3FEB">
        <w:rPr>
          <w:i/>
        </w:rPr>
        <w:t xml:space="preserve">A1091 – Enzyme Nomenclature Change </w:t>
      </w:r>
      <w:r w:rsidR="00D46D9A">
        <w:rPr>
          <w:i/>
        </w:rPr>
        <w:t>–</w:t>
      </w:r>
      <w:r w:rsidR="00D46D9A" w:rsidRPr="006C3FEB">
        <w:rPr>
          <w:i/>
        </w:rPr>
        <w:t xml:space="preserve"> </w:t>
      </w:r>
      <w:r w:rsidRPr="006C3FEB">
        <w:rPr>
          <w:i/>
        </w:rPr>
        <w:t xml:space="preserve">Carboxyl Proteinase to Aspergillopepsin </w:t>
      </w:r>
      <w:r w:rsidRPr="00B7527A">
        <w:rPr>
          <w:rFonts w:ascii="Times New Roman" w:hAnsi="Times New Roman"/>
          <w:i/>
        </w:rPr>
        <w:t>I</w:t>
      </w:r>
      <w:r w:rsidRPr="00B7527A">
        <w:rPr>
          <w:i/>
        </w:rPr>
        <w:t xml:space="preserve"> &amp; </w:t>
      </w:r>
      <w:r w:rsidRPr="00B7527A">
        <w:rPr>
          <w:rFonts w:ascii="Times New Roman" w:hAnsi="Times New Roman"/>
          <w:i/>
        </w:rPr>
        <w:t>II</w:t>
      </w:r>
      <w:r w:rsidRPr="00F618DF">
        <w:rPr>
          <w:i/>
        </w:rPr>
        <w:t>) Variation</w:t>
      </w:r>
      <w:r w:rsidRPr="00F618DF">
        <w:t>.</w:t>
      </w:r>
    </w:p>
    <w:p w:rsidR="00A83230" w:rsidRDefault="00A83230" w:rsidP="00A83230">
      <w:pPr>
        <w:pStyle w:val="Clause"/>
      </w:pPr>
    </w:p>
    <w:p w:rsidR="00A83230" w:rsidRPr="0036244B" w:rsidRDefault="00A83230" w:rsidP="00A83230">
      <w:pPr>
        <w:pStyle w:val="Clauseheading"/>
      </w:pPr>
      <w:r w:rsidRPr="0036244B">
        <w:t>2</w:t>
      </w:r>
      <w:r w:rsidRPr="0036244B">
        <w:tab/>
      </w:r>
      <w:r w:rsidRPr="00840145">
        <w:t>Variation</w:t>
      </w:r>
      <w:r w:rsidRPr="0036244B">
        <w:t xml:space="preserve"> to </w:t>
      </w:r>
      <w:r w:rsidR="00E67227">
        <w:t xml:space="preserve">a </w:t>
      </w:r>
      <w:r w:rsidRPr="0036244B">
        <w:t xml:space="preserve">Standard in the </w:t>
      </w:r>
      <w:r w:rsidRPr="00395BDF">
        <w:rPr>
          <w:i/>
        </w:rPr>
        <w:t>Australia New Zealand Food Standards Code</w:t>
      </w:r>
    </w:p>
    <w:p w:rsidR="00A83230" w:rsidRDefault="00A83230" w:rsidP="00A83230">
      <w:pPr>
        <w:pStyle w:val="Clause"/>
      </w:pPr>
    </w:p>
    <w:p w:rsidR="00A83230" w:rsidRDefault="00A83230" w:rsidP="00A83230">
      <w:pPr>
        <w:pStyle w:val="Clause"/>
      </w:pPr>
      <w:r>
        <w:t xml:space="preserve">The Schedule varies a Standard in the </w:t>
      </w:r>
      <w:r w:rsidRPr="00FF1C11">
        <w:rPr>
          <w:i/>
        </w:rPr>
        <w:t>Australia New Zealand Food Standards Code</w:t>
      </w:r>
      <w:r>
        <w:t>.</w:t>
      </w:r>
    </w:p>
    <w:p w:rsidR="00A83230" w:rsidRDefault="00A83230" w:rsidP="00A83230">
      <w:pPr>
        <w:rPr>
          <w:sz w:val="20"/>
        </w:rPr>
      </w:pPr>
    </w:p>
    <w:p w:rsidR="00A83230" w:rsidRDefault="00A83230" w:rsidP="00A83230">
      <w:pPr>
        <w:pStyle w:val="Clauseheading"/>
      </w:pPr>
      <w:r>
        <w:t>3</w:t>
      </w:r>
      <w:r>
        <w:tab/>
        <w:t>Commencement</w:t>
      </w:r>
    </w:p>
    <w:p w:rsidR="00A83230" w:rsidRDefault="00A83230" w:rsidP="00A83230">
      <w:pPr>
        <w:pStyle w:val="Clause"/>
      </w:pPr>
    </w:p>
    <w:p w:rsidR="00A83230" w:rsidRDefault="00A83230" w:rsidP="00A83230">
      <w:pPr>
        <w:pStyle w:val="Clause"/>
      </w:pPr>
      <w:r>
        <w:t>The variation commenc</w:t>
      </w:r>
      <w:r w:rsidRPr="000055C4">
        <w:t>e</w:t>
      </w:r>
      <w:r>
        <w:t>s</w:t>
      </w:r>
      <w:r w:rsidRPr="000055C4">
        <w:t xml:space="preserve"> on</w:t>
      </w:r>
      <w:r>
        <w:t xml:space="preserve"> </w:t>
      </w:r>
      <w:r w:rsidRPr="00B7527A">
        <w:rPr>
          <w:rFonts w:eastAsia="Calibri"/>
        </w:rPr>
        <w:t>the date of gazettal</w:t>
      </w:r>
      <w:r>
        <w:rPr>
          <w:rFonts w:eastAsia="Calibri" w:cs="Arial"/>
          <w:sz w:val="22"/>
          <w:szCs w:val="22"/>
        </w:rPr>
        <w:t>.</w:t>
      </w:r>
    </w:p>
    <w:p w:rsidR="00A83230" w:rsidRDefault="00A83230" w:rsidP="00A83230">
      <w:pPr>
        <w:pStyle w:val="ScheduleHeading"/>
      </w:pPr>
    </w:p>
    <w:p w:rsidR="00A83230" w:rsidRDefault="00A83230" w:rsidP="00A83230">
      <w:pPr>
        <w:pStyle w:val="ScheduleHeading"/>
      </w:pPr>
      <w:r>
        <w:t>SCHEDULE</w:t>
      </w:r>
    </w:p>
    <w:p w:rsidR="00A83230" w:rsidRPr="0036244B" w:rsidRDefault="00A83230" w:rsidP="00A83230">
      <w:pPr>
        <w:widowControl/>
        <w:rPr>
          <w:sz w:val="20"/>
        </w:rPr>
      </w:pPr>
    </w:p>
    <w:p w:rsidR="00A83230" w:rsidRDefault="00A83230">
      <w:pPr>
        <w:pStyle w:val="Clause"/>
      </w:pPr>
      <w:r w:rsidRPr="00F93FC3">
        <w:rPr>
          <w:b/>
          <w:bCs/>
        </w:rPr>
        <w:t>[1]</w:t>
      </w:r>
      <w:r w:rsidRPr="00F93FC3">
        <w:tab/>
      </w:r>
      <w:r w:rsidRPr="00F93FC3">
        <w:rPr>
          <w:b/>
          <w:bCs/>
        </w:rPr>
        <w:t>Standard 1.</w:t>
      </w:r>
      <w:r>
        <w:rPr>
          <w:b/>
          <w:bCs/>
        </w:rPr>
        <w:t>3</w:t>
      </w:r>
      <w:r w:rsidRPr="00F93FC3">
        <w:rPr>
          <w:b/>
          <w:bCs/>
        </w:rPr>
        <w:t>.</w:t>
      </w:r>
      <w:r>
        <w:rPr>
          <w:b/>
          <w:bCs/>
        </w:rPr>
        <w:t>3</w:t>
      </w:r>
      <w:r w:rsidRPr="00F93FC3">
        <w:t xml:space="preserve"> is varied by</w:t>
      </w:r>
    </w:p>
    <w:p w:rsidR="00A83230" w:rsidRDefault="00A83230">
      <w:pPr>
        <w:pStyle w:val="Clause"/>
      </w:pPr>
    </w:p>
    <w:p w:rsidR="00A83230" w:rsidRDefault="00A83230" w:rsidP="00E94746">
      <w:pPr>
        <w:pStyle w:val="Subclause"/>
      </w:pPr>
      <w:r>
        <w:t>[1.1]</w:t>
      </w:r>
      <w:r>
        <w:tab/>
        <w:t>omitting from the Table to clause 17</w:t>
      </w:r>
    </w:p>
    <w:p w:rsidR="00A83230" w:rsidRDefault="00A83230" w:rsidP="00A83230">
      <w:pPr>
        <w:pStyle w:val="Subclause"/>
      </w:pPr>
    </w:p>
    <w:p w:rsidR="00A83230" w:rsidRDefault="00A83230" w:rsidP="00A83230">
      <w:pPr>
        <w:pStyle w:val="Subclause"/>
      </w:pPr>
      <w: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A83230" w:rsidRPr="00C63437" w:rsidDel="00B6101B" w:rsidTr="00BD2F6C">
        <w:trPr>
          <w:cantSplit/>
          <w:jc w:val="center"/>
        </w:trPr>
        <w:tc>
          <w:tcPr>
            <w:tcW w:w="4001" w:type="dxa"/>
            <w:tcBorders>
              <w:top w:val="single" w:sz="6" w:space="0" w:color="auto"/>
              <w:left w:val="single" w:sz="6" w:space="0" w:color="auto"/>
              <w:bottom w:val="single" w:sz="6" w:space="0" w:color="auto"/>
              <w:right w:val="single" w:sz="6" w:space="0" w:color="auto"/>
            </w:tcBorders>
          </w:tcPr>
          <w:p w:rsidR="00A83230" w:rsidRPr="00C63437" w:rsidRDefault="00A83230" w:rsidP="00BD2F6C">
            <w:pPr>
              <w:pStyle w:val="Table2"/>
            </w:pPr>
            <w:r w:rsidRPr="00C63437">
              <w:t>Carboxyl proteinase</w:t>
            </w:r>
          </w:p>
          <w:p w:rsidR="00A83230" w:rsidRPr="00C63437" w:rsidDel="00B6101B" w:rsidRDefault="00A83230" w:rsidP="00BD2F6C">
            <w:pPr>
              <w:pStyle w:val="Table2"/>
            </w:pPr>
            <w:r w:rsidRPr="00C63437">
              <w:t>EC 3.4.23.6</w:t>
            </w:r>
          </w:p>
        </w:tc>
        <w:tc>
          <w:tcPr>
            <w:tcW w:w="5071" w:type="dxa"/>
            <w:tcBorders>
              <w:top w:val="single" w:sz="6" w:space="0" w:color="auto"/>
              <w:left w:val="single" w:sz="6" w:space="0" w:color="auto"/>
              <w:bottom w:val="single" w:sz="4" w:space="0" w:color="auto"/>
              <w:right w:val="single" w:sz="4" w:space="0" w:color="auto"/>
            </w:tcBorders>
          </w:tcPr>
          <w:p w:rsidR="00A83230" w:rsidRPr="00FB0C69" w:rsidRDefault="00A83230" w:rsidP="00BD2F6C">
            <w:pPr>
              <w:pStyle w:val="Table2"/>
              <w:rPr>
                <w:bCs w:val="0"/>
                <w:i/>
                <w:iCs/>
              </w:rPr>
            </w:pPr>
            <w:r w:rsidRPr="00FB0C69">
              <w:rPr>
                <w:bCs w:val="0"/>
                <w:i/>
                <w:iCs/>
              </w:rPr>
              <w:t>Aspergillus melleus</w:t>
            </w:r>
          </w:p>
          <w:p w:rsidR="00A83230" w:rsidRPr="00FB0C69" w:rsidRDefault="00A83230" w:rsidP="00BD2F6C">
            <w:pPr>
              <w:pStyle w:val="Table2"/>
              <w:rPr>
                <w:bCs w:val="0"/>
                <w:i/>
                <w:iCs/>
              </w:rPr>
            </w:pPr>
            <w:r w:rsidRPr="00FB0C69">
              <w:rPr>
                <w:bCs w:val="0"/>
                <w:i/>
                <w:iCs/>
              </w:rPr>
              <w:t>Aspergillus niger</w:t>
            </w:r>
          </w:p>
          <w:p w:rsidR="00A83230" w:rsidRPr="00FB0C69" w:rsidRDefault="00A83230" w:rsidP="00BD2F6C">
            <w:pPr>
              <w:pStyle w:val="Table2"/>
              <w:rPr>
                <w:bCs w:val="0"/>
                <w:i/>
                <w:iCs/>
              </w:rPr>
            </w:pPr>
            <w:r w:rsidRPr="00FB0C69">
              <w:rPr>
                <w:bCs w:val="0"/>
                <w:i/>
                <w:iCs/>
              </w:rPr>
              <w:t>Aspergillus oryzae</w:t>
            </w:r>
          </w:p>
          <w:p w:rsidR="00A83230" w:rsidRPr="00FB0C69" w:rsidDel="00B6101B" w:rsidRDefault="00A83230" w:rsidP="00BD2F6C">
            <w:pPr>
              <w:pStyle w:val="Table2"/>
              <w:rPr>
                <w:bCs w:val="0"/>
                <w:i/>
                <w:iCs/>
              </w:rPr>
            </w:pPr>
            <w:r w:rsidRPr="00FB0C69">
              <w:rPr>
                <w:bCs w:val="0"/>
                <w:i/>
                <w:iCs/>
              </w:rPr>
              <w:t>Rhizomucor miehei</w:t>
            </w:r>
          </w:p>
        </w:tc>
      </w:tr>
    </w:tbl>
    <w:p w:rsidR="00A83230" w:rsidRDefault="00A83230" w:rsidP="00A83230">
      <w:pPr>
        <w:pStyle w:val="Subclause"/>
        <w:jc w:val="right"/>
      </w:pPr>
      <w:r w:rsidRPr="00F93FC3">
        <w:t>”</w:t>
      </w:r>
    </w:p>
    <w:p w:rsidR="00A83230" w:rsidRDefault="00A83230" w:rsidP="00A83230">
      <w:pPr>
        <w:pStyle w:val="Subclause"/>
      </w:pPr>
      <w:r>
        <w:t>[1.2]</w:t>
      </w:r>
      <w:r>
        <w:tab/>
        <w:t>inserting in the Table to clause 17, in alphabetical order</w:t>
      </w:r>
    </w:p>
    <w:p w:rsidR="00A83230" w:rsidRDefault="00A83230" w:rsidP="00A83230">
      <w:pPr>
        <w:pStyle w:val="Subclause"/>
      </w:pPr>
    </w:p>
    <w:p w:rsidR="00A83230" w:rsidRDefault="00A83230" w:rsidP="00A83230">
      <w:pPr>
        <w:pStyle w:val="Subclause"/>
      </w:pPr>
      <w:r>
        <w:t>“</w:t>
      </w:r>
    </w:p>
    <w:tbl>
      <w:tblPr>
        <w:tblW w:w="9072" w:type="dxa"/>
        <w:jc w:val="center"/>
        <w:tblLayout w:type="fixed"/>
        <w:tblCellMar>
          <w:left w:w="80" w:type="dxa"/>
          <w:right w:w="80" w:type="dxa"/>
        </w:tblCellMar>
        <w:tblLook w:val="0000" w:firstRow="0" w:lastRow="0" w:firstColumn="0" w:lastColumn="0" w:noHBand="0" w:noVBand="0"/>
      </w:tblPr>
      <w:tblGrid>
        <w:gridCol w:w="4001"/>
        <w:gridCol w:w="5071"/>
      </w:tblGrid>
      <w:tr w:rsidR="00A83230" w:rsidRPr="002F704A" w:rsidDel="00B6101B" w:rsidTr="00BD2F6C">
        <w:trPr>
          <w:cantSplit/>
          <w:jc w:val="center"/>
        </w:trPr>
        <w:tc>
          <w:tcPr>
            <w:tcW w:w="4001" w:type="dxa"/>
            <w:tcBorders>
              <w:top w:val="single" w:sz="6" w:space="0" w:color="auto"/>
              <w:left w:val="single" w:sz="6" w:space="0" w:color="auto"/>
              <w:bottom w:val="single" w:sz="6" w:space="0" w:color="auto"/>
              <w:right w:val="single" w:sz="6" w:space="0" w:color="auto"/>
            </w:tcBorders>
          </w:tcPr>
          <w:p w:rsidR="00A83230" w:rsidRDefault="00A83230" w:rsidP="00BD2F6C">
            <w:pPr>
              <w:pStyle w:val="Table2"/>
              <w:rPr>
                <w:rFonts w:ascii="Times New Roman" w:hAnsi="Times New Roman"/>
              </w:rPr>
            </w:pPr>
            <w:r w:rsidRPr="001B61E4">
              <w:t xml:space="preserve">Aspergillopepsin </w:t>
            </w:r>
            <w:r w:rsidRPr="001B61E4">
              <w:rPr>
                <w:rFonts w:ascii="Times New Roman" w:hAnsi="Times New Roman"/>
              </w:rPr>
              <w:t>I</w:t>
            </w:r>
          </w:p>
          <w:p w:rsidR="00A83230" w:rsidRPr="001B61E4" w:rsidRDefault="00A83230" w:rsidP="00BD2F6C">
            <w:pPr>
              <w:pStyle w:val="Table2"/>
            </w:pPr>
            <w:r>
              <w:t>EC 3.4.23.18</w:t>
            </w:r>
          </w:p>
        </w:tc>
        <w:tc>
          <w:tcPr>
            <w:tcW w:w="5071" w:type="dxa"/>
            <w:tcBorders>
              <w:top w:val="single" w:sz="6" w:space="0" w:color="auto"/>
              <w:left w:val="single" w:sz="6" w:space="0" w:color="auto"/>
              <w:bottom w:val="single" w:sz="4" w:space="0" w:color="auto"/>
              <w:right w:val="single" w:sz="4" w:space="0" w:color="auto"/>
            </w:tcBorders>
          </w:tcPr>
          <w:p w:rsidR="00A83230" w:rsidRDefault="00A83230" w:rsidP="00BD2F6C">
            <w:pPr>
              <w:pStyle w:val="Table2"/>
              <w:rPr>
                <w:i/>
              </w:rPr>
            </w:pPr>
            <w:r>
              <w:rPr>
                <w:i/>
              </w:rPr>
              <w:t>Aspergillus niger</w:t>
            </w:r>
          </w:p>
          <w:p w:rsidR="00A83230" w:rsidRPr="002F704A" w:rsidDel="00B6101B" w:rsidRDefault="00A83230" w:rsidP="00BD2F6C">
            <w:pPr>
              <w:pStyle w:val="Table2"/>
              <w:rPr>
                <w:i/>
              </w:rPr>
            </w:pPr>
            <w:r>
              <w:rPr>
                <w:i/>
              </w:rPr>
              <w:t>Aspergillus oryzae</w:t>
            </w:r>
          </w:p>
        </w:tc>
      </w:tr>
      <w:tr w:rsidR="00A83230" w:rsidRPr="002F704A" w:rsidDel="00B6101B" w:rsidTr="00BD2F6C">
        <w:trPr>
          <w:cantSplit/>
          <w:jc w:val="center"/>
        </w:trPr>
        <w:tc>
          <w:tcPr>
            <w:tcW w:w="4001" w:type="dxa"/>
            <w:tcBorders>
              <w:top w:val="single" w:sz="6" w:space="0" w:color="auto"/>
              <w:left w:val="single" w:sz="6" w:space="0" w:color="auto"/>
              <w:bottom w:val="single" w:sz="6" w:space="0" w:color="auto"/>
              <w:right w:val="single" w:sz="6" w:space="0" w:color="auto"/>
            </w:tcBorders>
          </w:tcPr>
          <w:p w:rsidR="00A83230" w:rsidRDefault="00A83230" w:rsidP="00BD2F6C">
            <w:pPr>
              <w:pStyle w:val="Table2"/>
              <w:rPr>
                <w:rFonts w:ascii="Times New Roman" w:hAnsi="Times New Roman"/>
              </w:rPr>
            </w:pPr>
            <w:r w:rsidRPr="001B61E4">
              <w:t xml:space="preserve">Aspergillopepsin </w:t>
            </w:r>
            <w:r w:rsidRPr="001B61E4">
              <w:rPr>
                <w:rFonts w:ascii="Times New Roman" w:hAnsi="Times New Roman"/>
              </w:rPr>
              <w:t>I</w:t>
            </w:r>
            <w:r>
              <w:rPr>
                <w:rFonts w:ascii="Times New Roman" w:hAnsi="Times New Roman"/>
              </w:rPr>
              <w:t>I</w:t>
            </w:r>
          </w:p>
          <w:p w:rsidR="00A83230" w:rsidRPr="001B61E4" w:rsidRDefault="00A83230" w:rsidP="00BD2F6C">
            <w:pPr>
              <w:pStyle w:val="Table2"/>
            </w:pPr>
            <w:r>
              <w:t>EC 3.4.23.19</w:t>
            </w:r>
          </w:p>
        </w:tc>
        <w:tc>
          <w:tcPr>
            <w:tcW w:w="5071" w:type="dxa"/>
            <w:tcBorders>
              <w:top w:val="single" w:sz="6" w:space="0" w:color="auto"/>
              <w:left w:val="single" w:sz="6" w:space="0" w:color="auto"/>
              <w:bottom w:val="single" w:sz="4" w:space="0" w:color="auto"/>
              <w:right w:val="single" w:sz="4" w:space="0" w:color="auto"/>
            </w:tcBorders>
          </w:tcPr>
          <w:p w:rsidR="00A83230" w:rsidRDefault="00A83230" w:rsidP="00BD2F6C">
            <w:pPr>
              <w:pStyle w:val="Table2"/>
              <w:rPr>
                <w:i/>
              </w:rPr>
            </w:pPr>
            <w:r>
              <w:rPr>
                <w:i/>
              </w:rPr>
              <w:t>Aspergillus niger</w:t>
            </w:r>
          </w:p>
          <w:p w:rsidR="00A83230" w:rsidRDefault="00A83230" w:rsidP="00BD2F6C">
            <w:pPr>
              <w:pStyle w:val="Table2"/>
              <w:rPr>
                <w:i/>
              </w:rPr>
            </w:pPr>
          </w:p>
        </w:tc>
      </w:tr>
    </w:tbl>
    <w:p w:rsidR="00D46D9A" w:rsidRDefault="00D46D9A" w:rsidP="00D46D9A">
      <w:pPr>
        <w:pStyle w:val="Subclause"/>
        <w:jc w:val="right"/>
      </w:pPr>
      <w:r w:rsidRPr="00F93FC3">
        <w:t>”</w:t>
      </w:r>
    </w:p>
    <w:p w:rsidR="00D46D9A" w:rsidRPr="00395BDF" w:rsidRDefault="00D46D9A" w:rsidP="007C174F">
      <w:pPr>
        <w:rPr>
          <w:sz w:val="20"/>
        </w:rPr>
      </w:pPr>
    </w:p>
    <w:p w:rsidR="00AF06FC" w:rsidRDefault="00AF06FC" w:rsidP="007C174F">
      <w:r>
        <w:br w:type="page"/>
      </w:r>
    </w:p>
    <w:p w:rsidR="00AF06FC" w:rsidRDefault="00AF06FC" w:rsidP="004646F8">
      <w:pPr>
        <w:pStyle w:val="Heading2"/>
      </w:pPr>
      <w:bookmarkStart w:id="94" w:name="_Toc300933454"/>
      <w:bookmarkStart w:id="95" w:name="_Toc384895041"/>
      <w:r w:rsidRPr="00932F14">
        <w:lastRenderedPageBreak/>
        <w:t xml:space="preserve">Attachment </w:t>
      </w:r>
      <w:r>
        <w:t>B – Draft Explanatory Statement</w:t>
      </w:r>
      <w:bookmarkEnd w:id="94"/>
      <w:bookmarkEnd w:id="95"/>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sidR="00E1578F">
        <w:rPr>
          <w:rFonts w:eastAsia="Calibri" w:cs="Arial"/>
          <w:bCs/>
          <w:szCs w:val="22"/>
          <w:lang w:val="en-AU" w:bidi="ar-SA"/>
        </w:rPr>
        <w:t>FSANZ</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010412" w:rsidRDefault="00AF06FC" w:rsidP="00AF06FC">
      <w:pPr>
        <w:widowControl/>
        <w:autoSpaceDE w:val="0"/>
        <w:autoSpaceDN w:val="0"/>
        <w:adjustRightInd w:val="0"/>
        <w:rPr>
          <w:rFonts w:eastAsia="Calibri" w:cs="Arial"/>
          <w:bCs/>
          <w:szCs w:val="22"/>
          <w:lang w:val="en-AU" w:bidi="ar-SA"/>
        </w:rPr>
      </w:pPr>
      <w:r w:rsidRPr="00010412">
        <w:rPr>
          <w:rFonts w:eastAsia="Calibri" w:cs="Arial"/>
          <w:bCs/>
          <w:szCs w:val="22"/>
          <w:lang w:val="en-AU" w:bidi="ar-SA"/>
        </w:rPr>
        <w:t xml:space="preserve">Division 1 of Part 3 of the FSANZ Act specifies that the </w:t>
      </w:r>
      <w:r w:rsidR="00E1578F">
        <w:rPr>
          <w:rFonts w:eastAsia="Calibri" w:cs="Arial"/>
          <w:bCs/>
          <w:szCs w:val="22"/>
          <w:lang w:val="en-AU" w:bidi="ar-SA"/>
        </w:rPr>
        <w:t>FSANZ</w:t>
      </w:r>
      <w:r w:rsidRPr="00010412">
        <w:rPr>
          <w:rFonts w:eastAsia="Calibri" w:cs="Arial"/>
          <w:bCs/>
          <w:szCs w:val="22"/>
          <w:lang w:val="en-AU" w:bidi="ar-SA"/>
        </w:rPr>
        <w:t xml:space="preserve"> may accept applications for the development or variation of food regulatory measures, including standards. This Division also stipulates the procedure for considering an application for the development or variation of food regulatory measures</w:t>
      </w:r>
      <w:r w:rsidR="006B4BA1" w:rsidRPr="00010412">
        <w:rPr>
          <w:rFonts w:eastAsia="Calibri" w:cs="Arial"/>
          <w:bCs/>
          <w:szCs w:val="22"/>
          <w:lang w:val="en-AU" w:bidi="ar-SA"/>
        </w:rPr>
        <w:t xml:space="preserve">. </w:t>
      </w:r>
    </w:p>
    <w:p w:rsidR="00AF06FC" w:rsidRPr="00010412" w:rsidRDefault="00AF06FC" w:rsidP="00AF06FC">
      <w:pPr>
        <w:widowControl/>
        <w:autoSpaceDE w:val="0"/>
        <w:autoSpaceDN w:val="0"/>
        <w:adjustRightInd w:val="0"/>
        <w:rPr>
          <w:rFonts w:eastAsia="Calibri" w:cs="Arial"/>
          <w:bCs/>
          <w:szCs w:val="22"/>
          <w:lang w:val="en-AU" w:bidi="ar-SA"/>
        </w:rPr>
      </w:pPr>
    </w:p>
    <w:p w:rsidR="00AF06FC" w:rsidRDefault="00AF06FC" w:rsidP="00AF06FC">
      <w:pPr>
        <w:widowControl/>
        <w:autoSpaceDE w:val="0"/>
        <w:autoSpaceDN w:val="0"/>
        <w:adjustRightInd w:val="0"/>
        <w:rPr>
          <w:rFonts w:eastAsia="Calibri" w:cs="Arial"/>
          <w:bCs/>
          <w:color w:val="FF0000"/>
          <w:szCs w:val="22"/>
          <w:lang w:val="en-AU" w:bidi="ar-SA"/>
        </w:rPr>
      </w:pPr>
      <w:r w:rsidRPr="00010412">
        <w:rPr>
          <w:rFonts w:eastAsia="Calibri" w:cs="Arial"/>
          <w:bCs/>
          <w:szCs w:val="22"/>
          <w:lang w:val="en-AU" w:bidi="ar-SA"/>
        </w:rPr>
        <w:t xml:space="preserve">FSANZ </w:t>
      </w:r>
      <w:r w:rsidR="00A45E07">
        <w:rPr>
          <w:rFonts w:eastAsia="Calibri" w:cs="Arial"/>
          <w:bCs/>
          <w:szCs w:val="22"/>
          <w:lang w:val="en-AU" w:bidi="ar-SA"/>
        </w:rPr>
        <w:t>has received</w:t>
      </w:r>
      <w:r w:rsidRPr="00010412">
        <w:rPr>
          <w:rFonts w:eastAsia="Calibri" w:cs="Arial"/>
          <w:bCs/>
          <w:szCs w:val="22"/>
          <w:lang w:val="en-AU" w:bidi="ar-SA"/>
        </w:rPr>
        <w:t xml:space="preserve"> Application A</w:t>
      </w:r>
      <w:r w:rsidR="00010412">
        <w:rPr>
          <w:rFonts w:eastAsia="Calibri" w:cs="Arial"/>
          <w:bCs/>
          <w:szCs w:val="22"/>
          <w:lang w:val="en-AU" w:bidi="ar-SA"/>
        </w:rPr>
        <w:t>1091</w:t>
      </w:r>
      <w:r w:rsidRPr="00010412">
        <w:rPr>
          <w:rFonts w:eastAsia="Calibri" w:cs="Arial"/>
          <w:bCs/>
          <w:szCs w:val="22"/>
          <w:lang w:val="en-AU" w:bidi="ar-SA"/>
        </w:rPr>
        <w:t xml:space="preserve"> which seeks to </w:t>
      </w:r>
      <w:r w:rsidR="00010412">
        <w:t xml:space="preserve">update the Table to clause 17 of Standard 1.3.3 – Processing Aids to reflect the </w:t>
      </w:r>
      <w:r w:rsidR="007473BF">
        <w:t xml:space="preserve">current </w:t>
      </w:r>
      <w:r w:rsidR="00010412">
        <w:t>naming and classification of carboxyl proteinase enzymes</w:t>
      </w:r>
      <w:r w:rsidRPr="00010412">
        <w:rPr>
          <w:rFonts w:eastAsia="Calibri" w:cs="Arial"/>
          <w:bCs/>
          <w:szCs w:val="22"/>
          <w:lang w:val="en-AU" w:bidi="ar-SA"/>
        </w:rPr>
        <w:t xml:space="preserve">. The </w:t>
      </w:r>
      <w:r w:rsidR="00E1578F">
        <w:rPr>
          <w:rFonts w:eastAsia="Calibri" w:cs="Arial"/>
          <w:bCs/>
          <w:szCs w:val="22"/>
          <w:lang w:val="en-AU" w:bidi="ar-SA"/>
        </w:rPr>
        <w:t>FSANZ</w:t>
      </w:r>
      <w:r w:rsidRPr="00010412">
        <w:rPr>
          <w:rFonts w:eastAsia="Calibri" w:cs="Arial"/>
          <w:bCs/>
          <w:szCs w:val="22"/>
          <w:lang w:val="en-AU" w:bidi="ar-SA"/>
        </w:rPr>
        <w:t xml:space="preserve"> </w:t>
      </w:r>
      <w:r w:rsidR="00A45E07">
        <w:rPr>
          <w:rFonts w:eastAsia="Calibri" w:cs="Arial"/>
          <w:bCs/>
          <w:szCs w:val="22"/>
          <w:lang w:val="en-AU" w:bidi="ar-SA"/>
        </w:rPr>
        <w:t xml:space="preserve">has </w:t>
      </w:r>
      <w:r w:rsidRPr="00010412">
        <w:rPr>
          <w:rFonts w:eastAsia="Calibri" w:cs="Arial"/>
          <w:bCs/>
          <w:szCs w:val="22"/>
          <w:lang w:val="en-AU" w:bidi="ar-SA"/>
        </w:rPr>
        <w:t xml:space="preserve">considered the Application in accordance with Division 1 of Part 3 </w:t>
      </w:r>
      <w:r w:rsidR="00A45E07">
        <w:rPr>
          <w:rFonts w:eastAsia="Calibri" w:cs="Arial"/>
          <w:bCs/>
          <w:szCs w:val="22"/>
          <w:lang w:val="en-AU" w:bidi="ar-SA"/>
        </w:rPr>
        <w:t xml:space="preserve">of the FSANZ Act </w:t>
      </w:r>
      <w:r w:rsidRPr="00010412">
        <w:rPr>
          <w:rFonts w:eastAsia="Calibri" w:cs="Arial"/>
          <w:bCs/>
          <w:szCs w:val="22"/>
          <w:lang w:val="en-AU" w:bidi="ar-SA"/>
        </w:rPr>
        <w:t xml:space="preserve">and has </w:t>
      </w:r>
      <w:r w:rsidR="00E94746">
        <w:rPr>
          <w:rFonts w:eastAsia="Calibri" w:cs="Arial"/>
          <w:bCs/>
          <w:szCs w:val="22"/>
          <w:lang w:val="en-AU" w:bidi="ar-SA"/>
        </w:rPr>
        <w:t>prepared</w:t>
      </w:r>
      <w:r w:rsidR="00E94746" w:rsidRPr="00010412">
        <w:rPr>
          <w:rFonts w:eastAsia="Calibri" w:cs="Arial"/>
          <w:bCs/>
          <w:szCs w:val="22"/>
          <w:lang w:val="en-AU" w:bidi="ar-SA"/>
        </w:rPr>
        <w:t xml:space="preserve"> </w:t>
      </w:r>
      <w:r w:rsidRPr="00010412">
        <w:rPr>
          <w:rFonts w:eastAsia="Calibri" w:cs="Arial"/>
          <w:bCs/>
          <w:szCs w:val="22"/>
          <w:lang w:val="en-AU" w:bidi="ar-SA"/>
        </w:rPr>
        <w:t xml:space="preserve">a draft </w:t>
      </w:r>
      <w:r w:rsidR="00A45E07">
        <w:rPr>
          <w:rFonts w:eastAsia="Calibri" w:cs="Arial"/>
          <w:bCs/>
          <w:szCs w:val="22"/>
          <w:lang w:val="en-AU" w:bidi="ar-SA"/>
        </w:rPr>
        <w:t>variation to Standard 1.3.3</w:t>
      </w:r>
      <w:r w:rsidRPr="00010412">
        <w:rPr>
          <w:rFonts w:eastAsia="Calibri" w:cs="Arial"/>
          <w:bCs/>
          <w:szCs w:val="22"/>
          <w:lang w:val="en-AU" w:bidi="ar-SA"/>
        </w:rPr>
        <w:t>.</w:t>
      </w:r>
      <w:r w:rsidRPr="000576EB">
        <w:rPr>
          <w:rFonts w:eastAsia="Calibri" w:cs="Arial"/>
          <w:bCs/>
          <w:color w:val="FF0000"/>
          <w:szCs w:val="22"/>
          <w:lang w:val="en-AU" w:bidi="ar-SA"/>
        </w:rPr>
        <w:t xml:space="preserve"> </w:t>
      </w:r>
    </w:p>
    <w:p w:rsidR="00AF06FC" w:rsidRDefault="00AF06FC" w:rsidP="00AF06FC">
      <w:pPr>
        <w:widowControl/>
        <w:autoSpaceDE w:val="0"/>
        <w:autoSpaceDN w:val="0"/>
        <w:adjustRightInd w:val="0"/>
        <w:rPr>
          <w:rFonts w:eastAsia="Calibri" w:cs="Arial"/>
          <w:bCs/>
          <w:color w:val="FF0000"/>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805204" w:rsidRDefault="00E94746" w:rsidP="00AF06FC">
      <w:pPr>
        <w:rPr>
          <w:lang w:val="en-AU" w:eastAsia="en-GB" w:bidi="ar-SA"/>
        </w:rPr>
      </w:pPr>
      <w:r>
        <w:rPr>
          <w:lang w:val="en-AU" w:eastAsia="en-GB" w:bidi="ar-SA"/>
        </w:rPr>
        <w:t>The draft variation will</w:t>
      </w:r>
      <w:r w:rsidDel="00E94746">
        <w:rPr>
          <w:lang w:val="en-AU" w:eastAsia="en-GB" w:bidi="ar-SA"/>
        </w:rPr>
        <w:t xml:space="preserve"> </w:t>
      </w:r>
      <w:r w:rsidR="007301D1">
        <w:rPr>
          <w:lang w:val="en-AU" w:eastAsia="en-GB" w:bidi="ar-SA"/>
        </w:rPr>
        <w:t>replace the carboxyl proteinase (EC 3.4.23.6) entry in the Table to clause 17 of Standard 1.3.3 with two new entries: Aspergillopepsin I (EC 3.4.23.18) and Aspergillopepsin II (EC 3.4.23.19). This variation</w:t>
      </w:r>
      <w:r w:rsidR="00805204">
        <w:rPr>
          <w:lang w:val="en-AU" w:eastAsia="en-GB" w:bidi="ar-SA"/>
        </w:rPr>
        <w:t xml:space="preserve"> updates the naming and classification for the enzymes previously permitted by carboxyl proteinase, so that they are consistent with the current recommendations of the International Union of Biochemistry and Molecular Biology.</w:t>
      </w:r>
    </w:p>
    <w:p w:rsidR="00805204" w:rsidRDefault="00805204" w:rsidP="00AF06FC">
      <w:pPr>
        <w:rPr>
          <w:lang w:val="en-AU" w:eastAsia="en-GB" w:bidi="ar-SA"/>
        </w:rPr>
      </w:pPr>
    </w:p>
    <w:p w:rsidR="00AF06FC" w:rsidRDefault="00805204" w:rsidP="00AF06FC">
      <w:pPr>
        <w:rPr>
          <w:lang w:val="en-AU" w:eastAsia="en-GB" w:bidi="ar-SA"/>
        </w:rPr>
      </w:pPr>
      <w:r>
        <w:rPr>
          <w:lang w:val="en-AU" w:eastAsia="en-GB" w:bidi="ar-SA"/>
        </w:rPr>
        <w:t xml:space="preserve">The </w:t>
      </w:r>
      <w:r w:rsidR="00E94746">
        <w:rPr>
          <w:lang w:val="en-AU" w:eastAsia="en-GB" w:bidi="ar-SA"/>
        </w:rPr>
        <w:t xml:space="preserve">draft </w:t>
      </w:r>
      <w:r>
        <w:rPr>
          <w:lang w:val="en-AU" w:eastAsia="en-GB" w:bidi="ar-SA"/>
        </w:rPr>
        <w:t>variation,</w:t>
      </w:r>
      <w:r w:rsidR="007301D1">
        <w:rPr>
          <w:lang w:val="en-AU" w:eastAsia="en-GB" w:bidi="ar-SA"/>
        </w:rPr>
        <w:t xml:space="preserve"> along with an existing entry in the Table to clause 17 for mucorpepsin (EC </w:t>
      </w:r>
      <w:r>
        <w:rPr>
          <w:lang w:val="en-AU" w:eastAsia="en-GB" w:bidi="ar-SA"/>
        </w:rPr>
        <w:t xml:space="preserve">3.4.23.23), provides </w:t>
      </w:r>
      <w:r w:rsidR="00E1578F">
        <w:rPr>
          <w:lang w:val="en-AU" w:eastAsia="en-GB" w:bidi="ar-SA"/>
        </w:rPr>
        <w:t>equivalent</w:t>
      </w:r>
      <w:r>
        <w:rPr>
          <w:lang w:val="en-AU" w:eastAsia="en-GB" w:bidi="ar-SA"/>
        </w:rPr>
        <w:t xml:space="preserve"> permissions for the use of enzyme processing aids as currently provided by carboxyl proteinase. </w:t>
      </w:r>
      <w:r w:rsidR="00E94746">
        <w:rPr>
          <w:lang w:val="en-AU" w:eastAsia="en-GB" w:bidi="ar-SA"/>
        </w:rPr>
        <w:t>The draft variation will</w:t>
      </w:r>
      <w:r w:rsidR="00D46D9A">
        <w:rPr>
          <w:lang w:val="en-AU" w:eastAsia="en-GB" w:bidi="ar-SA"/>
        </w:rPr>
        <w:t xml:space="preserve"> plac</w:t>
      </w:r>
      <w:r w:rsidR="00E94746">
        <w:rPr>
          <w:lang w:val="en-AU" w:eastAsia="en-GB" w:bidi="ar-SA"/>
        </w:rPr>
        <w:t>e</w:t>
      </w:r>
      <w:r w:rsidR="00D46D9A">
        <w:rPr>
          <w:lang w:val="en-AU" w:eastAsia="en-GB" w:bidi="ar-SA"/>
        </w:rPr>
        <w:t xml:space="preserve"> </w:t>
      </w:r>
      <w:r w:rsidR="00D46D9A" w:rsidRPr="00805204">
        <w:rPr>
          <w:i/>
          <w:lang w:val="en-AU" w:eastAsia="en-GB" w:bidi="ar-SA"/>
        </w:rPr>
        <w:t xml:space="preserve">Aspergillus </w:t>
      </w:r>
      <w:proofErr w:type="gramStart"/>
      <w:r w:rsidR="00D46D9A" w:rsidRPr="00805204">
        <w:rPr>
          <w:i/>
          <w:lang w:val="en-AU" w:eastAsia="en-GB" w:bidi="ar-SA"/>
        </w:rPr>
        <w:t>niger</w:t>
      </w:r>
      <w:proofErr w:type="gramEnd"/>
      <w:r w:rsidR="00D46D9A">
        <w:rPr>
          <w:lang w:val="en-AU" w:eastAsia="en-GB" w:bidi="ar-SA"/>
        </w:rPr>
        <w:t xml:space="preserve"> and </w:t>
      </w:r>
      <w:r w:rsidR="00D46D9A" w:rsidRPr="00805204">
        <w:rPr>
          <w:i/>
          <w:lang w:val="en-AU" w:eastAsia="en-GB" w:bidi="ar-SA"/>
        </w:rPr>
        <w:t>A</w:t>
      </w:r>
      <w:r w:rsidR="00D46D9A">
        <w:rPr>
          <w:i/>
          <w:lang w:val="en-AU" w:eastAsia="en-GB" w:bidi="ar-SA"/>
        </w:rPr>
        <w:t xml:space="preserve">. </w:t>
      </w:r>
      <w:r w:rsidR="00D46D9A" w:rsidRPr="00805204">
        <w:rPr>
          <w:i/>
          <w:lang w:val="en-AU" w:eastAsia="en-GB" w:bidi="ar-SA"/>
        </w:rPr>
        <w:t>oryzae</w:t>
      </w:r>
      <w:r w:rsidR="00D46D9A">
        <w:rPr>
          <w:lang w:val="en-AU" w:eastAsia="en-GB" w:bidi="ar-SA"/>
        </w:rPr>
        <w:t xml:space="preserve"> into the microbiological sources column of Aspergillopepsin I, and </w:t>
      </w:r>
      <w:r w:rsidR="00D46D9A" w:rsidRPr="00805204">
        <w:rPr>
          <w:i/>
          <w:lang w:val="en-AU" w:eastAsia="en-GB" w:bidi="ar-SA"/>
        </w:rPr>
        <w:t>A</w:t>
      </w:r>
      <w:r w:rsidR="00D46D9A">
        <w:rPr>
          <w:i/>
          <w:lang w:val="en-AU" w:eastAsia="en-GB" w:bidi="ar-SA"/>
        </w:rPr>
        <w:t>.</w:t>
      </w:r>
      <w:r w:rsidR="00D46D9A" w:rsidRPr="00805204">
        <w:rPr>
          <w:i/>
          <w:lang w:val="en-AU" w:eastAsia="en-GB" w:bidi="ar-SA"/>
        </w:rPr>
        <w:t xml:space="preserve"> niger</w:t>
      </w:r>
      <w:r w:rsidR="00D46D9A">
        <w:rPr>
          <w:lang w:val="en-AU" w:eastAsia="en-GB" w:bidi="ar-SA"/>
        </w:rPr>
        <w:t xml:space="preserve"> into the microbiological sources column of Aspergillopepsin II, to ensure that the equivalent range of enzyme processing aids is permitted for use.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193D61" w:rsidRDefault="00CC36E7" w:rsidP="00F64653">
      <w:pPr>
        <w:rPr>
          <w:lang w:val="en-AU"/>
        </w:rPr>
      </w:pPr>
      <w:r w:rsidRPr="00F634A1">
        <w:rPr>
          <w:szCs w:val="22"/>
        </w:rPr>
        <w:t xml:space="preserve">In accordance with the procedure in </w:t>
      </w:r>
      <w:r w:rsidRPr="00193D61">
        <w:rPr>
          <w:szCs w:val="22"/>
        </w:rPr>
        <w:t xml:space="preserve">Division </w:t>
      </w:r>
      <w:r w:rsidR="00805204" w:rsidRPr="00193D61">
        <w:rPr>
          <w:szCs w:val="22"/>
        </w:rPr>
        <w:t xml:space="preserve">1 </w:t>
      </w:r>
      <w:r w:rsidRPr="00193D61">
        <w:rPr>
          <w:szCs w:val="22"/>
        </w:rPr>
        <w:t xml:space="preserve">of Part </w:t>
      </w:r>
      <w:r w:rsidR="00805204" w:rsidRPr="00193D61">
        <w:rPr>
          <w:szCs w:val="22"/>
        </w:rPr>
        <w:t>3</w:t>
      </w:r>
      <w:r w:rsidRPr="00193D61">
        <w:rPr>
          <w:szCs w:val="22"/>
        </w:rPr>
        <w:t xml:space="preserve"> of the FSANZ Act, </w:t>
      </w:r>
      <w:r w:rsidR="00E1578F">
        <w:rPr>
          <w:rFonts w:eastAsia="Calibri" w:cs="Arial"/>
          <w:bCs/>
          <w:szCs w:val="22"/>
          <w:lang w:val="en-AU" w:bidi="ar-SA"/>
        </w:rPr>
        <w:t>FSANZ</w:t>
      </w:r>
      <w:r w:rsidRPr="00193D61">
        <w:rPr>
          <w:szCs w:val="22"/>
        </w:rPr>
        <w:t>’s consideration of Application A</w:t>
      </w:r>
      <w:r w:rsidR="00805204" w:rsidRPr="00193D61">
        <w:rPr>
          <w:szCs w:val="22"/>
        </w:rPr>
        <w:t>1091</w:t>
      </w:r>
      <w:r w:rsidRPr="00193D61">
        <w:rPr>
          <w:szCs w:val="22"/>
        </w:rPr>
        <w:t xml:space="preserve"> will include </w:t>
      </w:r>
      <w:r w:rsidR="00193D61" w:rsidRPr="00193D61">
        <w:rPr>
          <w:szCs w:val="22"/>
        </w:rPr>
        <w:t>o</w:t>
      </w:r>
      <w:r w:rsidRPr="00193D61">
        <w:rPr>
          <w:szCs w:val="22"/>
        </w:rPr>
        <w:t xml:space="preserve">ne round of public consultation following an assessment and the preparation of a draft </w:t>
      </w:r>
      <w:r w:rsidR="002A1132">
        <w:rPr>
          <w:szCs w:val="22"/>
        </w:rPr>
        <w:t>variation</w:t>
      </w:r>
      <w:r w:rsidR="002A1132" w:rsidRPr="00193D61">
        <w:rPr>
          <w:szCs w:val="22"/>
        </w:rPr>
        <w:t xml:space="preserve"> </w:t>
      </w:r>
      <w:r w:rsidRPr="00193D61">
        <w:rPr>
          <w:szCs w:val="22"/>
        </w:rPr>
        <w:t xml:space="preserve">and associated report. </w:t>
      </w:r>
      <w:r w:rsidR="00193D61" w:rsidRPr="00036418">
        <w:rPr>
          <w:szCs w:val="22"/>
        </w:rPr>
        <w:t>A call for submissions (including the draft variation) will occur for a six-week consultation period.</w:t>
      </w:r>
    </w:p>
    <w:p w:rsidR="00AF06FC" w:rsidRPr="00D06616" w:rsidRDefault="00AF06FC" w:rsidP="00AF06FC">
      <w:pPr>
        <w:rPr>
          <w:rFonts w:eastAsia="Calibri"/>
          <w:color w:val="FF0000"/>
          <w:lang w:val="en-AU" w:bidi="ar-SA"/>
        </w:rPr>
      </w:pPr>
    </w:p>
    <w:p w:rsidR="00AF06FC" w:rsidRPr="00D06616" w:rsidRDefault="00AF06FC" w:rsidP="00AF06FC">
      <w:pPr>
        <w:widowControl/>
        <w:autoSpaceDE w:val="0"/>
        <w:autoSpaceDN w:val="0"/>
        <w:adjustRightInd w:val="0"/>
        <w:rPr>
          <w:rFonts w:cs="Arial"/>
          <w:color w:val="FF0000"/>
          <w:szCs w:val="22"/>
        </w:rPr>
      </w:pPr>
      <w:r w:rsidRPr="00193D61">
        <w:rPr>
          <w:rFonts w:eastAsia="Calibri" w:cs="Arial"/>
          <w:bCs/>
          <w:szCs w:val="22"/>
          <w:lang w:val="en-AU" w:bidi="ar-SA"/>
        </w:rPr>
        <w:t xml:space="preserve">A Regulation Impact Statement </w:t>
      </w:r>
      <w:r w:rsidR="00D46D9A">
        <w:rPr>
          <w:rFonts w:eastAsia="Calibri" w:cs="Arial"/>
          <w:bCs/>
          <w:szCs w:val="22"/>
          <w:lang w:val="en-AU" w:bidi="ar-SA"/>
        </w:rPr>
        <w:t xml:space="preserve">(RIS) </w:t>
      </w:r>
      <w:r w:rsidR="008A4A74">
        <w:rPr>
          <w:rFonts w:eastAsia="Calibri" w:cs="Arial"/>
          <w:bCs/>
          <w:szCs w:val="22"/>
          <w:lang w:val="en-AU" w:bidi="ar-SA"/>
        </w:rPr>
        <w:t>has not been prepared</w:t>
      </w:r>
      <w:r w:rsidRPr="00193D61">
        <w:rPr>
          <w:rFonts w:eastAsia="Calibri" w:cs="Arial"/>
          <w:bCs/>
          <w:szCs w:val="22"/>
          <w:lang w:val="en-AU" w:bidi="ar-SA"/>
        </w:rPr>
        <w:t xml:space="preserve"> because the proposed variation to Standard </w:t>
      </w:r>
      <w:r w:rsidR="00193D61">
        <w:rPr>
          <w:rFonts w:eastAsia="Calibri" w:cs="Arial"/>
          <w:bCs/>
          <w:szCs w:val="22"/>
          <w:lang w:val="en-AU" w:bidi="ar-SA"/>
        </w:rPr>
        <w:t>1.3.3 is</w:t>
      </w:r>
      <w:r w:rsidRPr="00193D61">
        <w:t xml:space="preserve"> likely to have a minor impact on business and individuals</w:t>
      </w:r>
      <w:r w:rsidR="00436B8D" w:rsidRPr="00193D61">
        <w:t xml:space="preserve">. </w:t>
      </w:r>
      <w:r w:rsidR="00193D61" w:rsidRPr="00193D61">
        <w:t xml:space="preserve">FSANZ has consulted with the Office of Best Practice Regulation to confirm that a </w:t>
      </w:r>
      <w:r w:rsidR="00D46D9A">
        <w:t>RIS</w:t>
      </w:r>
      <w:r w:rsidR="00193D61" w:rsidRPr="00193D61">
        <w:t xml:space="preserve"> is not required.</w:t>
      </w:r>
    </w:p>
    <w:p w:rsidR="00553969"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D46D9A" w:rsidRDefault="00D46D9A" w:rsidP="00700239">
      <w:pPr>
        <w:rPr>
          <w:b/>
        </w:rPr>
      </w:pPr>
      <w:r>
        <w:rPr>
          <w:b/>
        </w:rPr>
        <w:br w:type="page"/>
      </w:r>
    </w:p>
    <w:p w:rsidR="00700239" w:rsidRPr="00700239" w:rsidRDefault="00700239" w:rsidP="00700239">
      <w:pPr>
        <w:rPr>
          <w:b/>
          <w:lang w:val="en-AU" w:eastAsia="en-GB" w:bidi="ar-SA"/>
        </w:rPr>
      </w:pPr>
      <w:r w:rsidRPr="00700239">
        <w:rPr>
          <w:b/>
        </w:rPr>
        <w:lastRenderedPageBreak/>
        <w:t>6.</w:t>
      </w:r>
      <w:r w:rsidRPr="00700239">
        <w:rPr>
          <w:b/>
        </w:rPr>
        <w:tab/>
      </w:r>
      <w:r w:rsidRPr="00700239">
        <w:rPr>
          <w:b/>
          <w:lang w:val="en-AU" w:eastAsia="en-GB" w:bidi="ar-SA"/>
        </w:rPr>
        <w:t>Variation</w:t>
      </w:r>
    </w:p>
    <w:p w:rsidR="00294BAD" w:rsidRPr="00AD344F" w:rsidRDefault="00294BAD" w:rsidP="00AF06FC">
      <w:pPr>
        <w:rPr>
          <w:b/>
        </w:rPr>
      </w:pPr>
    </w:p>
    <w:p w:rsidR="00AF06FC" w:rsidRDefault="00193D61" w:rsidP="00AF06FC">
      <w:pPr>
        <w:rPr>
          <w:lang w:val="en-AU" w:eastAsia="en-GB" w:bidi="ar-SA"/>
        </w:rPr>
      </w:pPr>
      <w:r w:rsidRPr="000C2201">
        <w:t xml:space="preserve">The variation </w:t>
      </w:r>
      <w:r>
        <w:t xml:space="preserve">replaces </w:t>
      </w:r>
      <w:r>
        <w:rPr>
          <w:lang w:val="en-AU" w:eastAsia="en-GB" w:bidi="ar-SA"/>
        </w:rPr>
        <w:t>the carboxyl proteinase (EC 3.4.23.6) entry in the Table to clause 17 of Standard 1.3.3 with Aspergillopepsin I (EC 3.4.23.18) and Aspergillopepsin II (EC 3.4.23.19)</w:t>
      </w:r>
      <w:r w:rsidRPr="000C2201">
        <w:t>.</w:t>
      </w:r>
      <w:r>
        <w:t xml:space="preserve"> </w:t>
      </w:r>
    </w:p>
    <w:p w:rsidR="007C174F" w:rsidRDefault="007C174F" w:rsidP="007C174F"/>
    <w:p w:rsidR="007C174F" w:rsidRDefault="007C174F" w:rsidP="007C174F"/>
    <w:sectPr w:rsidR="007C174F" w:rsidSect="00C91775">
      <w:type w:val="continuous"/>
      <w:pgSz w:w="11906" w:h="16838"/>
      <w:pgMar w:top="1418" w:right="1418"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957" w:rsidRDefault="00142957">
      <w:r>
        <w:separator/>
      </w:r>
    </w:p>
  </w:endnote>
  <w:endnote w:type="continuationSeparator" w:id="0">
    <w:p w:rsidR="00142957" w:rsidRDefault="0014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57" w:rsidRDefault="0014295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957" w:rsidRDefault="001429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57" w:rsidRDefault="0014295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513D">
      <w:rPr>
        <w:rStyle w:val="PageNumber"/>
        <w:noProof/>
      </w:rPr>
      <w:t>i</w:t>
    </w:r>
    <w:r>
      <w:rPr>
        <w:rStyle w:val="PageNumber"/>
      </w:rPr>
      <w:fldChar w:fldCharType="end"/>
    </w:r>
  </w:p>
  <w:p w:rsidR="00142957" w:rsidRDefault="0014295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8F" w:rsidRDefault="009D2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957" w:rsidRDefault="00142957">
      <w:r>
        <w:separator/>
      </w:r>
    </w:p>
  </w:footnote>
  <w:footnote w:type="continuationSeparator" w:id="0">
    <w:p w:rsidR="00142957" w:rsidRDefault="00142957">
      <w:r>
        <w:continuationSeparator/>
      </w:r>
    </w:p>
  </w:footnote>
  <w:footnote w:id="1">
    <w:p w:rsidR="00142957" w:rsidRPr="009D2B8F" w:rsidRDefault="00142957">
      <w:pPr>
        <w:pStyle w:val="FootnoteText"/>
        <w:rPr>
          <w:sz w:val="18"/>
          <w:lang w:val="en-AU"/>
        </w:rPr>
      </w:pPr>
      <w:r w:rsidRPr="009D2B8F">
        <w:rPr>
          <w:rStyle w:val="FootnoteReference"/>
          <w:sz w:val="18"/>
        </w:rPr>
        <w:footnoteRef/>
      </w:r>
      <w:r w:rsidRPr="009D2B8F">
        <w:rPr>
          <w:sz w:val="18"/>
        </w:rPr>
        <w:t xml:space="preserve"> </w:t>
      </w:r>
      <w:r w:rsidRPr="009D2B8F">
        <w:rPr>
          <w:sz w:val="18"/>
          <w:lang w:val="en-AU"/>
        </w:rPr>
        <w:t>EC stands for Enzyme Commission number</w:t>
      </w:r>
    </w:p>
  </w:footnote>
  <w:footnote w:id="2">
    <w:p w:rsidR="00142957" w:rsidRPr="009D2B8F" w:rsidRDefault="00142957" w:rsidP="009316AF">
      <w:pPr>
        <w:pStyle w:val="FootnoteText"/>
        <w:rPr>
          <w:sz w:val="18"/>
          <w:lang w:val="en-AU"/>
        </w:rPr>
      </w:pPr>
      <w:r w:rsidRPr="009D2B8F">
        <w:rPr>
          <w:rStyle w:val="FootnoteReference"/>
          <w:sz w:val="18"/>
        </w:rPr>
        <w:footnoteRef/>
      </w:r>
      <w:r w:rsidRPr="009D2B8F">
        <w:rPr>
          <w:sz w:val="18"/>
        </w:rPr>
        <w:t xml:space="preserve"> </w:t>
      </w:r>
      <w:proofErr w:type="gramStart"/>
      <w:r w:rsidRPr="009D2B8F">
        <w:rPr>
          <w:sz w:val="18"/>
          <w:lang w:val="en-AU"/>
        </w:rPr>
        <w:t xml:space="preserve">OBPR (2014) </w:t>
      </w:r>
      <w:r w:rsidRPr="009D2B8F">
        <w:rPr>
          <w:i/>
          <w:sz w:val="18"/>
          <w:lang w:val="en-AU"/>
        </w:rPr>
        <w:t>personal communication</w:t>
      </w:r>
      <w:r w:rsidRPr="009D2B8F">
        <w:rPr>
          <w:sz w:val="18"/>
          <w:lang w:val="en-AU"/>
        </w:rPr>
        <w:t xml:space="preserve"> 14 March 2014.</w:t>
      </w:r>
      <w:proofErr w:type="gramEnd"/>
      <w:r w:rsidRPr="009D2B8F">
        <w:rPr>
          <w:sz w:val="18"/>
          <w:lang w:val="en-AU"/>
        </w:rPr>
        <w:t xml:space="preserve"> </w:t>
      </w:r>
      <w:proofErr w:type="gramStart"/>
      <w:r w:rsidRPr="009D2B8F">
        <w:rPr>
          <w:sz w:val="18"/>
          <w:lang w:val="en-AU"/>
        </w:rPr>
        <w:t>OBPR ID 16758.</w:t>
      </w:r>
      <w:proofErr w:type="gramEnd"/>
    </w:p>
  </w:footnote>
  <w:footnote w:id="3">
    <w:p w:rsidR="00142957" w:rsidRPr="009D2B8F" w:rsidRDefault="00142957" w:rsidP="00F64738">
      <w:pPr>
        <w:pStyle w:val="Footnote"/>
        <w:rPr>
          <w:szCs w:val="18"/>
          <w:lang w:val="en-AU"/>
        </w:rPr>
      </w:pPr>
      <w:r w:rsidRPr="009D2B8F">
        <w:rPr>
          <w:rStyle w:val="FootnoteReference"/>
          <w:szCs w:val="18"/>
        </w:rPr>
        <w:footnoteRef/>
      </w:r>
      <w:r w:rsidRPr="009D2B8F">
        <w:rPr>
          <w:szCs w:val="18"/>
        </w:rPr>
        <w:t xml:space="preserve"> </w:t>
      </w:r>
      <w:r w:rsidRPr="009D2B8F">
        <w:rPr>
          <w:szCs w:val="18"/>
          <w:lang w:val="en-AU"/>
        </w:rPr>
        <w:t>Now known as the COAG Legislative and Governance Forum on Food Regulation</w:t>
      </w:r>
    </w:p>
  </w:footnote>
  <w:footnote w:id="4">
    <w:p w:rsidR="00142957" w:rsidRPr="009D2B8F" w:rsidRDefault="00142957" w:rsidP="006B7A51">
      <w:pPr>
        <w:pStyle w:val="FootnoteText"/>
        <w:rPr>
          <w:sz w:val="18"/>
          <w:szCs w:val="18"/>
          <w:lang w:val="en-AU"/>
        </w:rPr>
      </w:pPr>
      <w:r w:rsidRPr="009D2B8F">
        <w:rPr>
          <w:rStyle w:val="FootnoteReference"/>
          <w:sz w:val="18"/>
          <w:szCs w:val="18"/>
        </w:rPr>
        <w:footnoteRef/>
      </w:r>
      <w:r w:rsidRPr="009D2B8F">
        <w:rPr>
          <w:sz w:val="18"/>
          <w:szCs w:val="18"/>
        </w:rPr>
        <w:t xml:space="preserve"> </w:t>
      </w:r>
      <w:hyperlink r:id="rId1" w:history="1">
        <w:r w:rsidRPr="009D2B8F">
          <w:rPr>
            <w:rStyle w:val="Hyperlink"/>
            <w:sz w:val="18"/>
            <w:szCs w:val="18"/>
          </w:rPr>
          <w:t>http://www.foodstandards.gov.au/code/proposals/Pages/proposalp1025coderev5755.aspx</w:t>
        </w:r>
      </w:hyperlink>
      <w:r w:rsidRPr="009D2B8F">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B8F" w:rsidRDefault="009D2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57" w:rsidRPr="006342E0" w:rsidRDefault="00142957"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957" w:rsidRDefault="0014295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D9608E"/>
    <w:multiLevelType w:val="hybridMultilevel"/>
    <w:tmpl w:val="D88AC0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nsid w:val="778F7011"/>
    <w:multiLevelType w:val="hybridMultilevel"/>
    <w:tmpl w:val="34AE41A8"/>
    <w:lvl w:ilvl="0" w:tplc="DF80F4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6E6D11"/>
    <w:multiLevelType w:val="hybridMultilevel"/>
    <w:tmpl w:val="D62024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 w:numId="9">
    <w:abstractNumId w:val="3"/>
  </w:num>
  <w:num w:numId="10">
    <w:abstractNumId w:val="9"/>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0412"/>
    <w:rsid w:val="00012D9F"/>
    <w:rsid w:val="00016CB6"/>
    <w:rsid w:val="00022DBC"/>
    <w:rsid w:val="00030921"/>
    <w:rsid w:val="00030ECE"/>
    <w:rsid w:val="00034F87"/>
    <w:rsid w:val="00035FF3"/>
    <w:rsid w:val="000365BF"/>
    <w:rsid w:val="00040D70"/>
    <w:rsid w:val="000427B2"/>
    <w:rsid w:val="0004369D"/>
    <w:rsid w:val="00050510"/>
    <w:rsid w:val="00051021"/>
    <w:rsid w:val="00051ED9"/>
    <w:rsid w:val="00057181"/>
    <w:rsid w:val="000602BA"/>
    <w:rsid w:val="00064B2D"/>
    <w:rsid w:val="00065F1F"/>
    <w:rsid w:val="0007466A"/>
    <w:rsid w:val="00075C83"/>
    <w:rsid w:val="00076D33"/>
    <w:rsid w:val="000778D6"/>
    <w:rsid w:val="00091CC2"/>
    <w:rsid w:val="000952FA"/>
    <w:rsid w:val="00096DB0"/>
    <w:rsid w:val="000974DD"/>
    <w:rsid w:val="000A27E9"/>
    <w:rsid w:val="000A3D8B"/>
    <w:rsid w:val="000A5DF8"/>
    <w:rsid w:val="000B6AF2"/>
    <w:rsid w:val="000D0F16"/>
    <w:rsid w:val="000D295F"/>
    <w:rsid w:val="000D6FD4"/>
    <w:rsid w:val="000E0AE4"/>
    <w:rsid w:val="000E0F9F"/>
    <w:rsid w:val="000E3DBC"/>
    <w:rsid w:val="000F07B8"/>
    <w:rsid w:val="00107CC3"/>
    <w:rsid w:val="00113CE3"/>
    <w:rsid w:val="00117522"/>
    <w:rsid w:val="00142957"/>
    <w:rsid w:val="00145671"/>
    <w:rsid w:val="001521B3"/>
    <w:rsid w:val="001542D8"/>
    <w:rsid w:val="00154338"/>
    <w:rsid w:val="00180C41"/>
    <w:rsid w:val="00182C4C"/>
    <w:rsid w:val="00183682"/>
    <w:rsid w:val="0018424F"/>
    <w:rsid w:val="00193D61"/>
    <w:rsid w:val="00197D8D"/>
    <w:rsid w:val="001A1A75"/>
    <w:rsid w:val="001A7E9A"/>
    <w:rsid w:val="001B5BC2"/>
    <w:rsid w:val="001B7989"/>
    <w:rsid w:val="001C27A3"/>
    <w:rsid w:val="001C282C"/>
    <w:rsid w:val="001C3D2F"/>
    <w:rsid w:val="001C5295"/>
    <w:rsid w:val="001C62BD"/>
    <w:rsid w:val="001E09FA"/>
    <w:rsid w:val="001F5B9C"/>
    <w:rsid w:val="001F7215"/>
    <w:rsid w:val="001F74B2"/>
    <w:rsid w:val="00203540"/>
    <w:rsid w:val="0021146F"/>
    <w:rsid w:val="0022025F"/>
    <w:rsid w:val="00221D07"/>
    <w:rsid w:val="00227E4A"/>
    <w:rsid w:val="002432EE"/>
    <w:rsid w:val="0024582E"/>
    <w:rsid w:val="002547EF"/>
    <w:rsid w:val="00256B98"/>
    <w:rsid w:val="00256D65"/>
    <w:rsid w:val="002604FF"/>
    <w:rsid w:val="00271F00"/>
    <w:rsid w:val="00273A80"/>
    <w:rsid w:val="00274D3E"/>
    <w:rsid w:val="0027513D"/>
    <w:rsid w:val="00276026"/>
    <w:rsid w:val="00282FB4"/>
    <w:rsid w:val="00283D82"/>
    <w:rsid w:val="002851C8"/>
    <w:rsid w:val="0029204E"/>
    <w:rsid w:val="00292C94"/>
    <w:rsid w:val="00294BAD"/>
    <w:rsid w:val="0029631C"/>
    <w:rsid w:val="002A0194"/>
    <w:rsid w:val="002A1132"/>
    <w:rsid w:val="002A2F24"/>
    <w:rsid w:val="002A5C45"/>
    <w:rsid w:val="002A5F8B"/>
    <w:rsid w:val="002A7F6C"/>
    <w:rsid w:val="002B0D8E"/>
    <w:rsid w:val="002B4682"/>
    <w:rsid w:val="002B4E9C"/>
    <w:rsid w:val="002C743B"/>
    <w:rsid w:val="002D6809"/>
    <w:rsid w:val="002E086A"/>
    <w:rsid w:val="002E4B87"/>
    <w:rsid w:val="002E4D54"/>
    <w:rsid w:val="002E6356"/>
    <w:rsid w:val="002F0ADB"/>
    <w:rsid w:val="002F6488"/>
    <w:rsid w:val="00307AD4"/>
    <w:rsid w:val="00310E84"/>
    <w:rsid w:val="00315A71"/>
    <w:rsid w:val="003213F9"/>
    <w:rsid w:val="00323BBD"/>
    <w:rsid w:val="00323DBF"/>
    <w:rsid w:val="00330878"/>
    <w:rsid w:val="003309A8"/>
    <w:rsid w:val="00330B2E"/>
    <w:rsid w:val="00332B12"/>
    <w:rsid w:val="00336711"/>
    <w:rsid w:val="00347935"/>
    <w:rsid w:val="00350532"/>
    <w:rsid w:val="00350DBD"/>
    <w:rsid w:val="00351927"/>
    <w:rsid w:val="00351B07"/>
    <w:rsid w:val="00357CEB"/>
    <w:rsid w:val="0036268A"/>
    <w:rsid w:val="00364841"/>
    <w:rsid w:val="00371AC6"/>
    <w:rsid w:val="00371B29"/>
    <w:rsid w:val="00372182"/>
    <w:rsid w:val="0037520F"/>
    <w:rsid w:val="00380C7A"/>
    <w:rsid w:val="00391769"/>
    <w:rsid w:val="0039469B"/>
    <w:rsid w:val="003953E1"/>
    <w:rsid w:val="003956B3"/>
    <w:rsid w:val="00395BDF"/>
    <w:rsid w:val="003A68BE"/>
    <w:rsid w:val="003A7725"/>
    <w:rsid w:val="003B3C9D"/>
    <w:rsid w:val="003B776B"/>
    <w:rsid w:val="003B78E0"/>
    <w:rsid w:val="003C4969"/>
    <w:rsid w:val="003D6E38"/>
    <w:rsid w:val="003E41D5"/>
    <w:rsid w:val="003E46BA"/>
    <w:rsid w:val="003E7D22"/>
    <w:rsid w:val="003F626B"/>
    <w:rsid w:val="003F74C1"/>
    <w:rsid w:val="00405B1A"/>
    <w:rsid w:val="00407241"/>
    <w:rsid w:val="0040761E"/>
    <w:rsid w:val="00410C76"/>
    <w:rsid w:val="00411907"/>
    <w:rsid w:val="00413CA8"/>
    <w:rsid w:val="0041428F"/>
    <w:rsid w:val="0041513D"/>
    <w:rsid w:val="00417EE3"/>
    <w:rsid w:val="004207EB"/>
    <w:rsid w:val="0042595A"/>
    <w:rsid w:val="00435FA5"/>
    <w:rsid w:val="00436B8D"/>
    <w:rsid w:val="00437276"/>
    <w:rsid w:val="00442B35"/>
    <w:rsid w:val="00447E67"/>
    <w:rsid w:val="0045556F"/>
    <w:rsid w:val="00456B54"/>
    <w:rsid w:val="00464643"/>
    <w:rsid w:val="004646F8"/>
    <w:rsid w:val="00470B94"/>
    <w:rsid w:val="00471656"/>
    <w:rsid w:val="00486793"/>
    <w:rsid w:val="004A2037"/>
    <w:rsid w:val="004A3685"/>
    <w:rsid w:val="004B216C"/>
    <w:rsid w:val="004B74A2"/>
    <w:rsid w:val="004C2CE7"/>
    <w:rsid w:val="004C6300"/>
    <w:rsid w:val="004D15D6"/>
    <w:rsid w:val="004D30A6"/>
    <w:rsid w:val="004F41D0"/>
    <w:rsid w:val="004F4F98"/>
    <w:rsid w:val="004F69F6"/>
    <w:rsid w:val="004F79AC"/>
    <w:rsid w:val="005017CF"/>
    <w:rsid w:val="005112DC"/>
    <w:rsid w:val="00512290"/>
    <w:rsid w:val="005207D8"/>
    <w:rsid w:val="00521F70"/>
    <w:rsid w:val="0052582B"/>
    <w:rsid w:val="0053464E"/>
    <w:rsid w:val="00536F32"/>
    <w:rsid w:val="00537CA2"/>
    <w:rsid w:val="005437B2"/>
    <w:rsid w:val="00553969"/>
    <w:rsid w:val="00562917"/>
    <w:rsid w:val="00586228"/>
    <w:rsid w:val="00593AE7"/>
    <w:rsid w:val="0059498B"/>
    <w:rsid w:val="00594C25"/>
    <w:rsid w:val="005A3A03"/>
    <w:rsid w:val="005B615C"/>
    <w:rsid w:val="005B6AF4"/>
    <w:rsid w:val="005C04CB"/>
    <w:rsid w:val="005C71BA"/>
    <w:rsid w:val="005D16AD"/>
    <w:rsid w:val="005D72E1"/>
    <w:rsid w:val="005E05D6"/>
    <w:rsid w:val="005E1036"/>
    <w:rsid w:val="005E6E16"/>
    <w:rsid w:val="005F400E"/>
    <w:rsid w:val="005F45E7"/>
    <w:rsid w:val="005F5EA6"/>
    <w:rsid w:val="005F7342"/>
    <w:rsid w:val="00602373"/>
    <w:rsid w:val="00603A08"/>
    <w:rsid w:val="00604A96"/>
    <w:rsid w:val="00605C7A"/>
    <w:rsid w:val="00606C88"/>
    <w:rsid w:val="00610A3C"/>
    <w:rsid w:val="00611BED"/>
    <w:rsid w:val="00615669"/>
    <w:rsid w:val="00623198"/>
    <w:rsid w:val="006252B6"/>
    <w:rsid w:val="00627F48"/>
    <w:rsid w:val="006303D7"/>
    <w:rsid w:val="00633ACA"/>
    <w:rsid w:val="00633D7C"/>
    <w:rsid w:val="006342CC"/>
    <w:rsid w:val="006342E0"/>
    <w:rsid w:val="00642A47"/>
    <w:rsid w:val="006464CA"/>
    <w:rsid w:val="00646FDD"/>
    <w:rsid w:val="00663FCF"/>
    <w:rsid w:val="006652A2"/>
    <w:rsid w:val="00672D92"/>
    <w:rsid w:val="0067337F"/>
    <w:rsid w:val="00681754"/>
    <w:rsid w:val="00683AE1"/>
    <w:rsid w:val="006937FF"/>
    <w:rsid w:val="006965BF"/>
    <w:rsid w:val="006A051D"/>
    <w:rsid w:val="006A3034"/>
    <w:rsid w:val="006A48A7"/>
    <w:rsid w:val="006B4BA1"/>
    <w:rsid w:val="006B7A51"/>
    <w:rsid w:val="006C28E2"/>
    <w:rsid w:val="006C5CF5"/>
    <w:rsid w:val="006F4A82"/>
    <w:rsid w:val="00700239"/>
    <w:rsid w:val="0070373B"/>
    <w:rsid w:val="00707E72"/>
    <w:rsid w:val="007113EB"/>
    <w:rsid w:val="00711C83"/>
    <w:rsid w:val="00717CA0"/>
    <w:rsid w:val="00720A35"/>
    <w:rsid w:val="0072150F"/>
    <w:rsid w:val="00722982"/>
    <w:rsid w:val="00724FA4"/>
    <w:rsid w:val="00726C2F"/>
    <w:rsid w:val="007301D1"/>
    <w:rsid w:val="00730800"/>
    <w:rsid w:val="00737902"/>
    <w:rsid w:val="00741EFE"/>
    <w:rsid w:val="00743E66"/>
    <w:rsid w:val="007473BF"/>
    <w:rsid w:val="00757E08"/>
    <w:rsid w:val="007602AA"/>
    <w:rsid w:val="007652EF"/>
    <w:rsid w:val="0076637C"/>
    <w:rsid w:val="00772BDC"/>
    <w:rsid w:val="00780792"/>
    <w:rsid w:val="00792587"/>
    <w:rsid w:val="00792A21"/>
    <w:rsid w:val="007A11ED"/>
    <w:rsid w:val="007A44B4"/>
    <w:rsid w:val="007A7D3D"/>
    <w:rsid w:val="007B037E"/>
    <w:rsid w:val="007B225D"/>
    <w:rsid w:val="007C174F"/>
    <w:rsid w:val="007C1C64"/>
    <w:rsid w:val="007D2CBD"/>
    <w:rsid w:val="007D40A1"/>
    <w:rsid w:val="007E48BC"/>
    <w:rsid w:val="007E79F7"/>
    <w:rsid w:val="007F3630"/>
    <w:rsid w:val="007F381D"/>
    <w:rsid w:val="00805204"/>
    <w:rsid w:val="00807559"/>
    <w:rsid w:val="00817B81"/>
    <w:rsid w:val="00820E4F"/>
    <w:rsid w:val="00827725"/>
    <w:rsid w:val="0083246A"/>
    <w:rsid w:val="008404C0"/>
    <w:rsid w:val="008450BC"/>
    <w:rsid w:val="008466CF"/>
    <w:rsid w:val="00847E0E"/>
    <w:rsid w:val="00850CC8"/>
    <w:rsid w:val="00851A60"/>
    <w:rsid w:val="0085334B"/>
    <w:rsid w:val="00866841"/>
    <w:rsid w:val="00867B23"/>
    <w:rsid w:val="00870214"/>
    <w:rsid w:val="00876515"/>
    <w:rsid w:val="008828D9"/>
    <w:rsid w:val="00885C51"/>
    <w:rsid w:val="00885EB0"/>
    <w:rsid w:val="00891531"/>
    <w:rsid w:val="0089264A"/>
    <w:rsid w:val="00893FAF"/>
    <w:rsid w:val="00896B85"/>
    <w:rsid w:val="008A22BE"/>
    <w:rsid w:val="008A3221"/>
    <w:rsid w:val="008A35FB"/>
    <w:rsid w:val="008A4A74"/>
    <w:rsid w:val="008B0075"/>
    <w:rsid w:val="008C1B36"/>
    <w:rsid w:val="008C73E0"/>
    <w:rsid w:val="008D06C6"/>
    <w:rsid w:val="008D4424"/>
    <w:rsid w:val="008D786A"/>
    <w:rsid w:val="008E6250"/>
    <w:rsid w:val="008F0AC6"/>
    <w:rsid w:val="008F19D8"/>
    <w:rsid w:val="008F227B"/>
    <w:rsid w:val="00902AF6"/>
    <w:rsid w:val="00906F5D"/>
    <w:rsid w:val="00914030"/>
    <w:rsid w:val="00920249"/>
    <w:rsid w:val="00924C80"/>
    <w:rsid w:val="009316AF"/>
    <w:rsid w:val="00932F14"/>
    <w:rsid w:val="00933553"/>
    <w:rsid w:val="009368AA"/>
    <w:rsid w:val="0094247F"/>
    <w:rsid w:val="00942516"/>
    <w:rsid w:val="00942D60"/>
    <w:rsid w:val="00944BA4"/>
    <w:rsid w:val="0096523B"/>
    <w:rsid w:val="00966EE3"/>
    <w:rsid w:val="00972D06"/>
    <w:rsid w:val="009A391C"/>
    <w:rsid w:val="009A4EDE"/>
    <w:rsid w:val="009A50F2"/>
    <w:rsid w:val="009B460C"/>
    <w:rsid w:val="009B4796"/>
    <w:rsid w:val="009B74AC"/>
    <w:rsid w:val="009C28D4"/>
    <w:rsid w:val="009C4322"/>
    <w:rsid w:val="009D2B8F"/>
    <w:rsid w:val="009D790B"/>
    <w:rsid w:val="009E0A61"/>
    <w:rsid w:val="009E3010"/>
    <w:rsid w:val="009F007E"/>
    <w:rsid w:val="009F7065"/>
    <w:rsid w:val="00A02987"/>
    <w:rsid w:val="00A044BC"/>
    <w:rsid w:val="00A0478B"/>
    <w:rsid w:val="00A05E1B"/>
    <w:rsid w:val="00A12B44"/>
    <w:rsid w:val="00A150C3"/>
    <w:rsid w:val="00A15925"/>
    <w:rsid w:val="00A22E55"/>
    <w:rsid w:val="00A2612E"/>
    <w:rsid w:val="00A40193"/>
    <w:rsid w:val="00A4175D"/>
    <w:rsid w:val="00A45E07"/>
    <w:rsid w:val="00A54934"/>
    <w:rsid w:val="00A56DC7"/>
    <w:rsid w:val="00A56E34"/>
    <w:rsid w:val="00A722D0"/>
    <w:rsid w:val="00A74FD1"/>
    <w:rsid w:val="00A755AA"/>
    <w:rsid w:val="00A83230"/>
    <w:rsid w:val="00A84A58"/>
    <w:rsid w:val="00A91DF1"/>
    <w:rsid w:val="00AA61BE"/>
    <w:rsid w:val="00AB6F40"/>
    <w:rsid w:val="00AC2064"/>
    <w:rsid w:val="00AD22F9"/>
    <w:rsid w:val="00AD72C7"/>
    <w:rsid w:val="00AD7A3D"/>
    <w:rsid w:val="00AE4E6E"/>
    <w:rsid w:val="00AE766D"/>
    <w:rsid w:val="00AF06FC"/>
    <w:rsid w:val="00AF3391"/>
    <w:rsid w:val="00AF387F"/>
    <w:rsid w:val="00B00E7F"/>
    <w:rsid w:val="00B11012"/>
    <w:rsid w:val="00B158DC"/>
    <w:rsid w:val="00B173DA"/>
    <w:rsid w:val="00B20EA7"/>
    <w:rsid w:val="00B21DCC"/>
    <w:rsid w:val="00B25F37"/>
    <w:rsid w:val="00B3787B"/>
    <w:rsid w:val="00B44422"/>
    <w:rsid w:val="00B46EA0"/>
    <w:rsid w:val="00B51E03"/>
    <w:rsid w:val="00B71F51"/>
    <w:rsid w:val="00B731D3"/>
    <w:rsid w:val="00B815F2"/>
    <w:rsid w:val="00B839A3"/>
    <w:rsid w:val="00B853D2"/>
    <w:rsid w:val="00B902BD"/>
    <w:rsid w:val="00B9156E"/>
    <w:rsid w:val="00B92457"/>
    <w:rsid w:val="00B9694C"/>
    <w:rsid w:val="00B96F4E"/>
    <w:rsid w:val="00BA24E2"/>
    <w:rsid w:val="00BA51A2"/>
    <w:rsid w:val="00BC0161"/>
    <w:rsid w:val="00BD2A39"/>
    <w:rsid w:val="00BD2E80"/>
    <w:rsid w:val="00BD2F6C"/>
    <w:rsid w:val="00BE00A9"/>
    <w:rsid w:val="00BE11B8"/>
    <w:rsid w:val="00BE3818"/>
    <w:rsid w:val="00BE3B3B"/>
    <w:rsid w:val="00BF7FF0"/>
    <w:rsid w:val="00C00226"/>
    <w:rsid w:val="00C06C58"/>
    <w:rsid w:val="00C12502"/>
    <w:rsid w:val="00C1266C"/>
    <w:rsid w:val="00C14FD2"/>
    <w:rsid w:val="00C36578"/>
    <w:rsid w:val="00C36A8B"/>
    <w:rsid w:val="00C40AA5"/>
    <w:rsid w:val="00C46F70"/>
    <w:rsid w:val="00C476D0"/>
    <w:rsid w:val="00C51ECC"/>
    <w:rsid w:val="00C54C3D"/>
    <w:rsid w:val="00C56F71"/>
    <w:rsid w:val="00C70F71"/>
    <w:rsid w:val="00C71916"/>
    <w:rsid w:val="00C72A06"/>
    <w:rsid w:val="00C74E19"/>
    <w:rsid w:val="00C836E3"/>
    <w:rsid w:val="00C86577"/>
    <w:rsid w:val="00C87664"/>
    <w:rsid w:val="00C91775"/>
    <w:rsid w:val="00C92E07"/>
    <w:rsid w:val="00C94942"/>
    <w:rsid w:val="00C96868"/>
    <w:rsid w:val="00C96A50"/>
    <w:rsid w:val="00CA0416"/>
    <w:rsid w:val="00CB1375"/>
    <w:rsid w:val="00CC36E7"/>
    <w:rsid w:val="00CC3C83"/>
    <w:rsid w:val="00CC560B"/>
    <w:rsid w:val="00CC75E2"/>
    <w:rsid w:val="00CD210C"/>
    <w:rsid w:val="00CD46EB"/>
    <w:rsid w:val="00CD7EBF"/>
    <w:rsid w:val="00CE1B2F"/>
    <w:rsid w:val="00CE25C8"/>
    <w:rsid w:val="00CE33C1"/>
    <w:rsid w:val="00CE5195"/>
    <w:rsid w:val="00CF2FEB"/>
    <w:rsid w:val="00D007F7"/>
    <w:rsid w:val="00D0205F"/>
    <w:rsid w:val="00D056F1"/>
    <w:rsid w:val="00D05EDC"/>
    <w:rsid w:val="00D062E4"/>
    <w:rsid w:val="00D11171"/>
    <w:rsid w:val="00D14405"/>
    <w:rsid w:val="00D22F3C"/>
    <w:rsid w:val="00D23DB6"/>
    <w:rsid w:val="00D26814"/>
    <w:rsid w:val="00D3171B"/>
    <w:rsid w:val="00D43FE6"/>
    <w:rsid w:val="00D46D9A"/>
    <w:rsid w:val="00D51820"/>
    <w:rsid w:val="00D51A95"/>
    <w:rsid w:val="00D5714D"/>
    <w:rsid w:val="00D60568"/>
    <w:rsid w:val="00D70C7A"/>
    <w:rsid w:val="00D73931"/>
    <w:rsid w:val="00D77A0C"/>
    <w:rsid w:val="00D80913"/>
    <w:rsid w:val="00D81D38"/>
    <w:rsid w:val="00D8470F"/>
    <w:rsid w:val="00D8471A"/>
    <w:rsid w:val="00D94224"/>
    <w:rsid w:val="00D95663"/>
    <w:rsid w:val="00D97922"/>
    <w:rsid w:val="00DA10A8"/>
    <w:rsid w:val="00DA248C"/>
    <w:rsid w:val="00DA33B5"/>
    <w:rsid w:val="00DB1E08"/>
    <w:rsid w:val="00DB2973"/>
    <w:rsid w:val="00DB324A"/>
    <w:rsid w:val="00DB7A08"/>
    <w:rsid w:val="00DC1B56"/>
    <w:rsid w:val="00DC2129"/>
    <w:rsid w:val="00DC3C72"/>
    <w:rsid w:val="00DC6570"/>
    <w:rsid w:val="00DC7227"/>
    <w:rsid w:val="00DD33A6"/>
    <w:rsid w:val="00DD3C5E"/>
    <w:rsid w:val="00DE79D9"/>
    <w:rsid w:val="00DF25C3"/>
    <w:rsid w:val="00E04062"/>
    <w:rsid w:val="00E059AF"/>
    <w:rsid w:val="00E063C6"/>
    <w:rsid w:val="00E1578F"/>
    <w:rsid w:val="00E17089"/>
    <w:rsid w:val="00E2003B"/>
    <w:rsid w:val="00E203C2"/>
    <w:rsid w:val="00E279D8"/>
    <w:rsid w:val="00E319B1"/>
    <w:rsid w:val="00E36EF5"/>
    <w:rsid w:val="00E40ED4"/>
    <w:rsid w:val="00E41EAD"/>
    <w:rsid w:val="00E423B0"/>
    <w:rsid w:val="00E43653"/>
    <w:rsid w:val="00E43680"/>
    <w:rsid w:val="00E44E0D"/>
    <w:rsid w:val="00E520FE"/>
    <w:rsid w:val="00E5492F"/>
    <w:rsid w:val="00E62DEF"/>
    <w:rsid w:val="00E67227"/>
    <w:rsid w:val="00E70A86"/>
    <w:rsid w:val="00E75054"/>
    <w:rsid w:val="00E751D6"/>
    <w:rsid w:val="00E777EC"/>
    <w:rsid w:val="00E80170"/>
    <w:rsid w:val="00E80FCD"/>
    <w:rsid w:val="00E81F6E"/>
    <w:rsid w:val="00E84F18"/>
    <w:rsid w:val="00E85611"/>
    <w:rsid w:val="00E869A4"/>
    <w:rsid w:val="00E94746"/>
    <w:rsid w:val="00EA499C"/>
    <w:rsid w:val="00EA7F2F"/>
    <w:rsid w:val="00EB7383"/>
    <w:rsid w:val="00EC00DE"/>
    <w:rsid w:val="00EC10AE"/>
    <w:rsid w:val="00EC30E1"/>
    <w:rsid w:val="00ED172A"/>
    <w:rsid w:val="00ED36D5"/>
    <w:rsid w:val="00EE0A23"/>
    <w:rsid w:val="00F00B54"/>
    <w:rsid w:val="00F01DD7"/>
    <w:rsid w:val="00F0750B"/>
    <w:rsid w:val="00F134C1"/>
    <w:rsid w:val="00F14BEC"/>
    <w:rsid w:val="00F225C5"/>
    <w:rsid w:val="00F2587A"/>
    <w:rsid w:val="00F26534"/>
    <w:rsid w:val="00F279ED"/>
    <w:rsid w:val="00F33BB8"/>
    <w:rsid w:val="00F3715D"/>
    <w:rsid w:val="00F420C8"/>
    <w:rsid w:val="00F42A4C"/>
    <w:rsid w:val="00F44029"/>
    <w:rsid w:val="00F53B04"/>
    <w:rsid w:val="00F604DE"/>
    <w:rsid w:val="00F64653"/>
    <w:rsid w:val="00F64738"/>
    <w:rsid w:val="00F715C7"/>
    <w:rsid w:val="00F720CE"/>
    <w:rsid w:val="00F7765A"/>
    <w:rsid w:val="00F818D2"/>
    <w:rsid w:val="00FA55A5"/>
    <w:rsid w:val="00FB1533"/>
    <w:rsid w:val="00FB27F7"/>
    <w:rsid w:val="00FB7512"/>
    <w:rsid w:val="00FD008C"/>
    <w:rsid w:val="00FD2FBE"/>
    <w:rsid w:val="00FD7547"/>
    <w:rsid w:val="00FE2239"/>
    <w:rsid w:val="00FF1A93"/>
    <w:rsid w:val="00FF2F6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075C83"/>
    <w:pPr>
      <w:ind w:left="720"/>
      <w:contextualSpacing/>
    </w:pPr>
  </w:style>
  <w:style w:type="character" w:customStyle="1" w:styleId="ClauseChar">
    <w:name w:val="Clause Char"/>
    <w:basedOn w:val="DefaultParagraphFont"/>
    <w:link w:val="Clause"/>
    <w:uiPriority w:val="10"/>
    <w:rsid w:val="00A83230"/>
    <w:rPr>
      <w:rFonts w:ascii="Arial" w:hAnsi="Arial"/>
      <w:lang w:eastAsia="en-US" w:bidi="en-US"/>
    </w:rPr>
  </w:style>
  <w:style w:type="paragraph" w:styleId="Title">
    <w:name w:val="Title"/>
    <w:basedOn w:val="Normal"/>
    <w:link w:val="TitleChar"/>
    <w:uiPriority w:val="10"/>
    <w:qFormat/>
    <w:rsid w:val="00A83230"/>
    <w:pPr>
      <w:tabs>
        <w:tab w:val="left" w:pos="851"/>
      </w:tabs>
      <w:jc w:val="center"/>
    </w:pPr>
    <w:rPr>
      <w:b/>
      <w:bCs/>
      <w:sz w:val="20"/>
      <w:lang w:val="en-AU" w:bidi="ar-SA"/>
    </w:rPr>
  </w:style>
  <w:style w:type="character" w:customStyle="1" w:styleId="TitleChar">
    <w:name w:val="Title Char"/>
    <w:basedOn w:val="DefaultParagraphFont"/>
    <w:link w:val="Title"/>
    <w:uiPriority w:val="10"/>
    <w:rsid w:val="00A83230"/>
    <w:rPr>
      <w:rFonts w:ascii="Arial" w:hAnsi="Arial"/>
      <w:b/>
      <w:bCs/>
      <w:szCs w:val="24"/>
      <w:lang w:val="en-AU" w:eastAsia="en-US"/>
    </w:rPr>
  </w:style>
  <w:style w:type="character" w:customStyle="1" w:styleId="FootnoteTextChar">
    <w:name w:val="Footnote Text Char"/>
    <w:aliases w:val="Footnotes Text Char,FSFootnotes Text Char"/>
    <w:basedOn w:val="DefaultParagraphFont"/>
    <w:link w:val="FootnoteText"/>
    <w:uiPriority w:val="5"/>
    <w:rsid w:val="00E84F18"/>
    <w:rPr>
      <w:rFonts w:ascii="Arial" w:hAnsi="Arial"/>
      <w:lang w:eastAsia="en-US" w:bidi="en-US"/>
    </w:rPr>
  </w:style>
  <w:style w:type="character" w:customStyle="1" w:styleId="FooterChar">
    <w:name w:val="Footer Char"/>
    <w:basedOn w:val="DefaultParagraphFont"/>
    <w:link w:val="Footer"/>
    <w:uiPriority w:val="99"/>
    <w:rsid w:val="00C91775"/>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075C83"/>
    <w:pPr>
      <w:ind w:left="720"/>
      <w:contextualSpacing/>
    </w:pPr>
  </w:style>
  <w:style w:type="character" w:customStyle="1" w:styleId="ClauseChar">
    <w:name w:val="Clause Char"/>
    <w:basedOn w:val="DefaultParagraphFont"/>
    <w:link w:val="Clause"/>
    <w:uiPriority w:val="10"/>
    <w:rsid w:val="00A83230"/>
    <w:rPr>
      <w:rFonts w:ascii="Arial" w:hAnsi="Arial"/>
      <w:lang w:eastAsia="en-US" w:bidi="en-US"/>
    </w:rPr>
  </w:style>
  <w:style w:type="paragraph" w:styleId="Title">
    <w:name w:val="Title"/>
    <w:basedOn w:val="Normal"/>
    <w:link w:val="TitleChar"/>
    <w:uiPriority w:val="10"/>
    <w:qFormat/>
    <w:rsid w:val="00A83230"/>
    <w:pPr>
      <w:tabs>
        <w:tab w:val="left" w:pos="851"/>
      </w:tabs>
      <w:jc w:val="center"/>
    </w:pPr>
    <w:rPr>
      <w:b/>
      <w:bCs/>
      <w:sz w:val="20"/>
      <w:lang w:val="en-AU" w:bidi="ar-SA"/>
    </w:rPr>
  </w:style>
  <w:style w:type="character" w:customStyle="1" w:styleId="TitleChar">
    <w:name w:val="Title Char"/>
    <w:basedOn w:val="DefaultParagraphFont"/>
    <w:link w:val="Title"/>
    <w:uiPriority w:val="10"/>
    <w:rsid w:val="00A83230"/>
    <w:rPr>
      <w:rFonts w:ascii="Arial" w:hAnsi="Arial"/>
      <w:b/>
      <w:bCs/>
      <w:szCs w:val="24"/>
      <w:lang w:val="en-AU" w:eastAsia="en-US"/>
    </w:rPr>
  </w:style>
  <w:style w:type="character" w:customStyle="1" w:styleId="FootnoteTextChar">
    <w:name w:val="Footnote Text Char"/>
    <w:aliases w:val="Footnotes Text Char,FSFootnotes Text Char"/>
    <w:basedOn w:val="DefaultParagraphFont"/>
    <w:link w:val="FootnoteText"/>
    <w:uiPriority w:val="5"/>
    <w:rsid w:val="00E84F18"/>
    <w:rPr>
      <w:rFonts w:ascii="Arial" w:hAnsi="Arial"/>
      <w:lang w:eastAsia="en-US" w:bidi="en-US"/>
    </w:rPr>
  </w:style>
  <w:style w:type="character" w:customStyle="1" w:styleId="FooterChar">
    <w:name w:val="Footer Char"/>
    <w:basedOn w:val="DefaultParagraphFont"/>
    <w:link w:val="Footer"/>
    <w:uiPriority w:val="99"/>
    <w:rsid w:val="00C91775"/>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315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www.foodstandards.gov.au/code/changes/publiccomment/Pages/default.aspx"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FB440-4156-402F-9253-4FA8ACEEA632}"/>
</file>

<file path=customXml/itemProps2.xml><?xml version="1.0" encoding="utf-8"?>
<ds:datastoreItem xmlns:ds="http://schemas.openxmlformats.org/officeDocument/2006/customXml" ds:itemID="{E7C35D68-7DD8-42FC-A60E-68DCB2EB8A53}"/>
</file>

<file path=customXml/itemProps3.xml><?xml version="1.0" encoding="utf-8"?>
<ds:datastoreItem xmlns:ds="http://schemas.openxmlformats.org/officeDocument/2006/customXml" ds:itemID="{A99A7A10-31B5-410A-AEE9-AF941335DE33}"/>
</file>

<file path=customXml/itemProps4.xml><?xml version="1.0" encoding="utf-8"?>
<ds:datastoreItem xmlns:ds="http://schemas.openxmlformats.org/officeDocument/2006/customXml" ds:itemID="{E8FBF9A2-43B2-4124-9E55-4289FDE6C3E4}"/>
</file>

<file path=docProps/app.xml><?xml version="1.0" encoding="utf-8"?>
<Properties xmlns="http://schemas.openxmlformats.org/officeDocument/2006/extended-properties" xmlns:vt="http://schemas.openxmlformats.org/officeDocument/2006/docPropsVTypes">
  <Template>Normal</Template>
  <TotalTime>0</TotalTime>
  <Pages>16</Pages>
  <Words>5178</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35751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A1091-CFS</dc:title>
  <dc:creator/>
  <cp:lastModifiedBy/>
  <cp:revision>1</cp:revision>
  <dcterms:created xsi:type="dcterms:W3CDTF">2014-05-29T00:42:00Z</dcterms:created>
  <dcterms:modified xsi:type="dcterms:W3CDTF">2014-05-29T00:43:00Z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