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58612" w14:textId="19856BB8" w:rsidR="0012388D" w:rsidRDefault="00772BDC" w:rsidP="00CA5734">
      <w:pPr>
        <w:rPr>
          <w:rFonts w:cs="Arial"/>
        </w:rPr>
      </w:pPr>
      <w:r>
        <w:rPr>
          <w:rFonts w:cs="Arial"/>
          <w:noProof/>
          <w:lang w:eastAsia="en-GB" w:bidi="ar-SA"/>
        </w:rPr>
        <w:drawing>
          <wp:inline distT="0" distB="0" distL="0" distR="0" wp14:anchorId="4D8588B7" wp14:editId="2E82277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bookmarkStart w:id="0" w:name="_GoBack"/>
      <w:bookmarkEnd w:id="0"/>
    </w:p>
    <w:p w14:paraId="4D858613" w14:textId="77777777" w:rsidR="00A671E6" w:rsidRPr="00A671E6" w:rsidRDefault="00A671E6" w:rsidP="00A671E6">
      <w:pPr>
        <w:rPr>
          <w:color w:val="FF0000"/>
        </w:rPr>
      </w:pPr>
    </w:p>
    <w:p w14:paraId="217669F8" w14:textId="77777777" w:rsidR="00ED70BB" w:rsidRDefault="00ED70BB" w:rsidP="00ED70BB">
      <w:pPr>
        <w:rPr>
          <w:b/>
          <w:sz w:val="28"/>
          <w:szCs w:val="28"/>
        </w:rPr>
      </w:pPr>
      <w:r>
        <w:rPr>
          <w:b/>
          <w:sz w:val="28"/>
          <w:szCs w:val="28"/>
        </w:rPr>
        <w:t>2 June 2015</w:t>
      </w:r>
    </w:p>
    <w:p w14:paraId="56CC202A" w14:textId="77777777" w:rsidR="00ED70BB" w:rsidRPr="00344F64" w:rsidRDefault="00ED70BB" w:rsidP="00ED70BB">
      <w:pPr>
        <w:rPr>
          <w:b/>
          <w:sz w:val="28"/>
          <w:szCs w:val="28"/>
        </w:rPr>
      </w:pPr>
      <w:r w:rsidRPr="00344F64">
        <w:rPr>
          <w:b/>
          <w:sz w:val="28"/>
          <w:szCs w:val="28"/>
        </w:rPr>
        <w:t>[10–15]</w:t>
      </w:r>
    </w:p>
    <w:p w14:paraId="4D858616" w14:textId="77777777" w:rsidR="00A671E6" w:rsidRPr="00A671E6" w:rsidRDefault="00A671E6" w:rsidP="00A671E6"/>
    <w:p w14:paraId="4D858617" w14:textId="77777777" w:rsidR="0012388D" w:rsidRPr="00774AA2" w:rsidRDefault="00B425AA" w:rsidP="00B425AA">
      <w:pPr>
        <w:pStyle w:val="FSTitle"/>
        <w:rPr>
          <w:color w:val="000000" w:themeColor="text1"/>
        </w:rPr>
      </w:pPr>
      <w:r w:rsidRPr="00774AA2">
        <w:rPr>
          <w:color w:val="000000" w:themeColor="text1"/>
        </w:rPr>
        <w:t>A</w:t>
      </w:r>
      <w:r w:rsidR="00DD265C" w:rsidRPr="00774AA2">
        <w:rPr>
          <w:color w:val="000000" w:themeColor="text1"/>
        </w:rPr>
        <w:t>pproval</w:t>
      </w:r>
      <w:r w:rsidRPr="00774AA2">
        <w:rPr>
          <w:color w:val="000000" w:themeColor="text1"/>
        </w:rPr>
        <w:t xml:space="preserve"> R</w:t>
      </w:r>
      <w:r w:rsidR="00DD265C" w:rsidRPr="00774AA2">
        <w:rPr>
          <w:color w:val="000000" w:themeColor="text1"/>
        </w:rPr>
        <w:t>eport</w:t>
      </w:r>
      <w:r w:rsidRPr="00774AA2">
        <w:rPr>
          <w:color w:val="000000" w:themeColor="text1"/>
        </w:rPr>
        <w:t xml:space="preserve"> – </w:t>
      </w:r>
      <w:r w:rsidR="00EB6590" w:rsidRPr="00774AA2">
        <w:rPr>
          <w:color w:val="000000" w:themeColor="text1"/>
        </w:rPr>
        <w:t>A</w:t>
      </w:r>
      <w:r w:rsidR="00DD265C" w:rsidRPr="00774AA2">
        <w:rPr>
          <w:color w:val="000000" w:themeColor="text1"/>
        </w:rPr>
        <w:t>pplication</w:t>
      </w:r>
      <w:r w:rsidR="00D9796A" w:rsidRPr="00774AA2">
        <w:rPr>
          <w:color w:val="000000" w:themeColor="text1"/>
        </w:rPr>
        <w:t xml:space="preserve"> A1097</w:t>
      </w:r>
    </w:p>
    <w:p w14:paraId="4D858618" w14:textId="77777777" w:rsidR="003A7B84" w:rsidRPr="00774AA2" w:rsidRDefault="003A7B84" w:rsidP="00A671E6">
      <w:pPr>
        <w:rPr>
          <w:color w:val="000000" w:themeColor="text1"/>
        </w:rPr>
      </w:pPr>
    </w:p>
    <w:p w14:paraId="4D858619" w14:textId="77777777" w:rsidR="0012388D" w:rsidRPr="00774AA2" w:rsidRDefault="00774AA2" w:rsidP="00B425AA">
      <w:pPr>
        <w:pStyle w:val="FSTitle"/>
        <w:rPr>
          <w:color w:val="000000" w:themeColor="text1"/>
        </w:rPr>
      </w:pPr>
      <w:r w:rsidRPr="00774AA2">
        <w:rPr>
          <w:color w:val="000000" w:themeColor="text1"/>
        </w:rPr>
        <w:t>Food derived from Herbicide-tolerant and Insect-protected Corn Line MON87411</w:t>
      </w:r>
    </w:p>
    <w:p w14:paraId="4D85861A" w14:textId="77777777" w:rsidR="003A7B84" w:rsidRPr="00774AA2" w:rsidRDefault="003A7B84" w:rsidP="00871116">
      <w:pPr>
        <w:pBdr>
          <w:bottom w:val="single" w:sz="12" w:space="1" w:color="auto"/>
        </w:pBdr>
        <w:tabs>
          <w:tab w:val="left" w:pos="1140"/>
        </w:tabs>
        <w:rPr>
          <w:rFonts w:cs="Arial"/>
          <w:bCs/>
          <w:color w:val="000000" w:themeColor="text1"/>
        </w:rPr>
      </w:pPr>
    </w:p>
    <w:p w14:paraId="4D85861B" w14:textId="77777777" w:rsidR="003A7B84" w:rsidRPr="00E327A6" w:rsidRDefault="003A7B84" w:rsidP="003A7B84"/>
    <w:p w14:paraId="4D85861C" w14:textId="77777777" w:rsidR="00EB6590" w:rsidRPr="00774AA2" w:rsidRDefault="000F3CFE" w:rsidP="00CA5734">
      <w:pPr>
        <w:rPr>
          <w:szCs w:val="22"/>
        </w:rPr>
      </w:pPr>
      <w:r w:rsidRPr="00774AA2">
        <w:rPr>
          <w:color w:val="000000" w:themeColor="text1"/>
        </w:rPr>
        <w:t xml:space="preserve">Food Standards Australia New Zealand (FSANZ) </w:t>
      </w:r>
      <w:r w:rsidRPr="00774AA2">
        <w:rPr>
          <w:color w:val="000000" w:themeColor="text1"/>
          <w:szCs w:val="22"/>
        </w:rPr>
        <w:t>has</w:t>
      </w:r>
      <w:r w:rsidR="00081B0A" w:rsidRPr="00774AA2">
        <w:rPr>
          <w:color w:val="000000" w:themeColor="text1"/>
          <w:szCs w:val="22"/>
        </w:rPr>
        <w:t xml:space="preserve"> assessed an application</w:t>
      </w:r>
      <w:r w:rsidR="00774AA2" w:rsidRPr="00774AA2">
        <w:rPr>
          <w:color w:val="000000" w:themeColor="text1"/>
          <w:szCs w:val="22"/>
        </w:rPr>
        <w:t xml:space="preserve"> made by Monsanto Australia Ltd</w:t>
      </w:r>
      <w:r w:rsidR="00081B0A" w:rsidRPr="00774AA2">
        <w:rPr>
          <w:color w:val="000000" w:themeColor="text1"/>
          <w:szCs w:val="22"/>
        </w:rPr>
        <w:t xml:space="preserve"> </w:t>
      </w:r>
      <w:r w:rsidR="00774AA2" w:rsidRPr="00774AA2">
        <w:rPr>
          <w:color w:val="000000" w:themeColor="text1"/>
          <w:szCs w:val="22"/>
        </w:rPr>
        <w:t>seeking permission for food derived from corn line MON87411, which is genetically modified to provide tolerance to the herbicide glyphosate and protection against corn rootworm, in particular western corn rootworm.</w:t>
      </w:r>
    </w:p>
    <w:p w14:paraId="4D85861D" w14:textId="77777777" w:rsidR="00CA5734" w:rsidRDefault="00CA5734" w:rsidP="00CA5734"/>
    <w:p w14:paraId="4D85861E" w14:textId="77777777" w:rsidR="00081B0A" w:rsidRDefault="00081B0A" w:rsidP="00CA5734">
      <w:r w:rsidRPr="00774AA2">
        <w:rPr>
          <w:color w:val="000000" w:themeColor="text1"/>
        </w:rPr>
        <w:t xml:space="preserve">On </w:t>
      </w:r>
      <w:r w:rsidR="00774AA2" w:rsidRPr="00774AA2">
        <w:rPr>
          <w:color w:val="000000" w:themeColor="text1"/>
        </w:rPr>
        <w:t>16 December 2014</w:t>
      </w:r>
      <w:r w:rsidR="00735645">
        <w:rPr>
          <w:color w:val="000000" w:themeColor="text1"/>
        </w:rPr>
        <w:t>,</w:t>
      </w:r>
      <w:r w:rsidRPr="00774AA2">
        <w:rPr>
          <w:color w:val="000000" w:themeColor="text1"/>
        </w:rPr>
        <w:t xml:space="preserve"> FSANZ </w:t>
      </w:r>
      <w:r>
        <w:t xml:space="preserve">sought </w:t>
      </w:r>
      <w:r w:rsidR="003A7B84">
        <w:t xml:space="preserve">submissions </w:t>
      </w:r>
      <w:r w:rsidR="00A671E6">
        <w:t xml:space="preserve">on </w:t>
      </w:r>
      <w:r w:rsidR="00F526BD">
        <w:t xml:space="preserve">a draft </w:t>
      </w:r>
      <w:r w:rsidR="00E30092" w:rsidRPr="00774AA2">
        <w:rPr>
          <w:color w:val="000000" w:themeColor="text1"/>
        </w:rPr>
        <w:t xml:space="preserve">variation </w:t>
      </w:r>
      <w:r w:rsidR="00774AA2" w:rsidRPr="00774AA2">
        <w:rPr>
          <w:color w:val="000000" w:themeColor="text1"/>
        </w:rPr>
        <w:t>to Standard 1.5.2</w:t>
      </w:r>
      <w:r w:rsidR="003A7B84" w:rsidRPr="00774AA2">
        <w:rPr>
          <w:color w:val="000000" w:themeColor="text1"/>
        </w:rPr>
        <w:t xml:space="preserve"> and </w:t>
      </w:r>
      <w:r w:rsidR="003A7B84">
        <w:t xml:space="preserve">published an </w:t>
      </w:r>
      <w:r w:rsidR="00EC21DF">
        <w:t>associated r</w:t>
      </w:r>
      <w:r w:rsidR="003A7B84">
        <w:t>eport</w:t>
      </w:r>
      <w:r>
        <w:t>.</w:t>
      </w:r>
      <w:r w:rsidR="008333F4">
        <w:t xml:space="preserve"> FSANZ </w:t>
      </w:r>
      <w:r w:rsidR="008333F4" w:rsidRPr="00A04423">
        <w:t xml:space="preserve">received </w:t>
      </w:r>
      <w:r w:rsidR="00EE74BE" w:rsidRPr="00A04423">
        <w:t>23</w:t>
      </w:r>
      <w:r w:rsidR="00F526BD" w:rsidRPr="00A04423">
        <w:t xml:space="preserve"> submissions</w:t>
      </w:r>
      <w:r w:rsidR="00F526BD">
        <w:t>.</w:t>
      </w:r>
    </w:p>
    <w:p w14:paraId="4D85861F" w14:textId="77777777" w:rsidR="00CA5734" w:rsidRDefault="00CA5734" w:rsidP="00CA5734"/>
    <w:p w14:paraId="4D858620" w14:textId="03BDA2DE" w:rsidR="00081B0A" w:rsidRPr="00ED70BB" w:rsidRDefault="00081B0A" w:rsidP="00CA5734">
      <w:r>
        <w:t xml:space="preserve">FSANZ approved the </w:t>
      </w:r>
      <w:r w:rsidRPr="00774AA2">
        <w:rPr>
          <w:color w:val="000000" w:themeColor="text1"/>
        </w:rPr>
        <w:t xml:space="preserve">draft </w:t>
      </w:r>
      <w:r w:rsidR="00E30092" w:rsidRPr="00774AA2">
        <w:rPr>
          <w:color w:val="000000" w:themeColor="text1"/>
        </w:rPr>
        <w:t xml:space="preserve">variation </w:t>
      </w:r>
      <w:r w:rsidR="00774AA2" w:rsidRPr="00774AA2">
        <w:rPr>
          <w:color w:val="000000" w:themeColor="text1"/>
        </w:rPr>
        <w:t>to the Standard</w:t>
      </w:r>
      <w:r w:rsidR="003A7B84" w:rsidRPr="00774AA2">
        <w:rPr>
          <w:color w:val="000000" w:themeColor="text1"/>
        </w:rPr>
        <w:t xml:space="preserve"> </w:t>
      </w:r>
      <w:r w:rsidR="0012388D">
        <w:t>on</w:t>
      </w:r>
      <w:r w:rsidR="00ED70BB" w:rsidRPr="00ED70BB">
        <w:t xml:space="preserve"> 20 May 2015</w:t>
      </w:r>
      <w:r w:rsidRPr="00ED70BB">
        <w:t xml:space="preserve">. </w:t>
      </w:r>
      <w:r w:rsidR="003A7B84" w:rsidRPr="00ED70BB">
        <w:t xml:space="preserve">The </w:t>
      </w:r>
      <w:r w:rsidR="00011187" w:rsidRPr="00ED70BB">
        <w:rPr>
          <w:rFonts w:cs="Helvetica"/>
          <w:lang w:val="en-AU"/>
        </w:rPr>
        <w:t xml:space="preserve">Australia and New Zealand Ministerial Forum on Food </w:t>
      </w:r>
      <w:r w:rsidR="00011187" w:rsidRPr="00ED70BB">
        <w:rPr>
          <w:rFonts w:cs="Arial"/>
        </w:rPr>
        <w:t>Regulation</w:t>
      </w:r>
      <w:r w:rsidR="00011187" w:rsidRPr="00ED70BB">
        <w:rPr>
          <w:rStyle w:val="FootnoteReference"/>
          <w:rFonts w:cs="Arial"/>
        </w:rPr>
        <w:footnoteReference w:id="1"/>
      </w:r>
      <w:r w:rsidR="00011187" w:rsidRPr="00ED70BB">
        <w:rPr>
          <w:rFonts w:cs="Helvetica"/>
          <w:lang w:val="en-AU"/>
        </w:rPr>
        <w:t xml:space="preserve"> </w:t>
      </w:r>
      <w:r w:rsidR="00861C13" w:rsidRPr="00ED70BB">
        <w:rPr>
          <w:rFonts w:cs="Arial"/>
        </w:rPr>
        <w:t>(F</w:t>
      </w:r>
      <w:r w:rsidR="00014E34" w:rsidRPr="00ED70BB">
        <w:rPr>
          <w:rFonts w:cs="Arial"/>
        </w:rPr>
        <w:t>orum</w:t>
      </w:r>
      <w:r w:rsidR="00861C13" w:rsidRPr="00ED70BB">
        <w:rPr>
          <w:rFonts w:cs="Arial"/>
        </w:rPr>
        <w:t>)</w:t>
      </w:r>
      <w:r w:rsidR="003A7B84" w:rsidRPr="00ED70BB">
        <w:t xml:space="preserve"> was notified of FSANZ’s decision on </w:t>
      </w:r>
      <w:r w:rsidR="00ED70BB" w:rsidRPr="00ED70BB">
        <w:t>26 May 2015</w:t>
      </w:r>
      <w:r w:rsidR="003A7B84" w:rsidRPr="00ED70BB">
        <w:t>.</w:t>
      </w:r>
    </w:p>
    <w:p w14:paraId="4D858621" w14:textId="77777777" w:rsidR="00CA5734" w:rsidRPr="00ED70BB" w:rsidRDefault="00CA5734" w:rsidP="00CA5734"/>
    <w:p w14:paraId="4D858622" w14:textId="77777777" w:rsidR="00081B0A" w:rsidRDefault="003A7B84" w:rsidP="00CA5734">
      <w:r>
        <w:t>This R</w:t>
      </w:r>
      <w:r w:rsidR="00B425AA">
        <w:t xml:space="preserve">eport is provided pursuant </w:t>
      </w:r>
      <w:r w:rsidR="00B425AA" w:rsidRPr="00774AA2">
        <w:rPr>
          <w:color w:val="000000" w:themeColor="text1"/>
        </w:rPr>
        <w:t xml:space="preserve">to </w:t>
      </w:r>
      <w:r w:rsidR="009A2699" w:rsidRPr="00774AA2">
        <w:rPr>
          <w:color w:val="000000" w:themeColor="text1"/>
        </w:rPr>
        <w:t>paragraph</w:t>
      </w:r>
      <w:r w:rsidR="00081B0A" w:rsidRPr="00774AA2">
        <w:rPr>
          <w:color w:val="000000" w:themeColor="text1"/>
        </w:rPr>
        <w:t xml:space="preserve"> 33(1</w:t>
      </w:r>
      <w:proofErr w:type="gramStart"/>
      <w:r w:rsidR="00081B0A" w:rsidRPr="00774AA2">
        <w:rPr>
          <w:color w:val="000000" w:themeColor="text1"/>
        </w:rPr>
        <w:t>)(</w:t>
      </w:r>
      <w:proofErr w:type="gramEnd"/>
      <w:r w:rsidR="00081B0A" w:rsidRPr="00774AA2">
        <w:rPr>
          <w:color w:val="000000" w:themeColor="text1"/>
        </w:rPr>
        <w:t>b)</w:t>
      </w:r>
      <w:r w:rsidR="00F33470" w:rsidRPr="00774AA2">
        <w:rPr>
          <w:color w:val="000000" w:themeColor="text1"/>
        </w:rPr>
        <w:t>)</w:t>
      </w:r>
      <w:r w:rsidR="00081B0A" w:rsidRPr="00774AA2">
        <w:rPr>
          <w:color w:val="000000" w:themeColor="text1"/>
        </w:rPr>
        <w:t xml:space="preserve"> of </w:t>
      </w:r>
      <w:r w:rsidR="00081B0A">
        <w:t xml:space="preserve">the </w:t>
      </w:r>
      <w:r w:rsidR="00081B0A" w:rsidRPr="0012388D">
        <w:rPr>
          <w:i/>
        </w:rPr>
        <w:t>Food Standards Australia New Zealand Act 1991</w:t>
      </w:r>
      <w:r w:rsidR="00081B0A">
        <w:t xml:space="preserve"> (the FSANZ Act).</w:t>
      </w:r>
    </w:p>
    <w:p w14:paraId="4D858623" w14:textId="77777777" w:rsidR="00F526BD" w:rsidRDefault="00F526BD" w:rsidP="00A671E6"/>
    <w:p w14:paraId="4D858624" w14:textId="77777777" w:rsidR="00EB6590" w:rsidRDefault="00EB6590" w:rsidP="00F526BD"/>
    <w:p w14:paraId="4D858625" w14:textId="77777777" w:rsidR="00A671E6" w:rsidRDefault="00A671E6" w:rsidP="00CC5468">
      <w:pPr>
        <w:sectPr w:rsidR="00A671E6" w:rsidSect="007A53B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p>
    <w:p w14:paraId="4D858626"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4D858627" w14:textId="77777777" w:rsidR="00CE59AA" w:rsidRPr="006E10A1" w:rsidRDefault="00CE59AA" w:rsidP="00CE59AA">
      <w:pPr>
        <w:rPr>
          <w:rFonts w:cs="Arial"/>
          <w:sz w:val="20"/>
          <w:szCs w:val="20"/>
        </w:rPr>
      </w:pPr>
    </w:p>
    <w:p w14:paraId="334983A3" w14:textId="77777777" w:rsidR="0039477A" w:rsidRPr="0039477A"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39477A">
        <w:rPr>
          <w:rFonts w:ascii="Arial" w:hAnsi="Arial" w:cs="Arial"/>
          <w:b w:val="0"/>
          <w:bCs w:val="0"/>
          <w:caps w:val="0"/>
          <w:smallCaps/>
        </w:rPr>
        <w:fldChar w:fldCharType="begin"/>
      </w:r>
      <w:r w:rsidRPr="0039477A">
        <w:rPr>
          <w:rFonts w:ascii="Arial" w:hAnsi="Arial" w:cs="Arial"/>
        </w:rPr>
        <w:instrText xml:space="preserve"> TOC \h \z \t "Heading 1,1,Heading 2,2,Heading 3,3" </w:instrText>
      </w:r>
      <w:r w:rsidRPr="0039477A">
        <w:rPr>
          <w:rFonts w:ascii="Arial" w:hAnsi="Arial" w:cs="Arial"/>
          <w:b w:val="0"/>
          <w:bCs w:val="0"/>
          <w:caps w:val="0"/>
          <w:smallCaps/>
        </w:rPr>
        <w:fldChar w:fldCharType="separate"/>
      </w:r>
      <w:hyperlink w:anchor="_Toc419907009" w:history="1">
        <w:r w:rsidR="0039477A" w:rsidRPr="0039477A">
          <w:rPr>
            <w:rStyle w:val="Hyperlink"/>
            <w:rFonts w:ascii="Arial" w:hAnsi="Arial" w:cs="Arial"/>
            <w:noProof/>
          </w:rPr>
          <w:t>Executive summary</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_Toc419907009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2</w:t>
        </w:r>
        <w:r w:rsidR="0039477A" w:rsidRPr="0039477A">
          <w:rPr>
            <w:rFonts w:ascii="Arial" w:hAnsi="Arial" w:cs="Arial"/>
            <w:noProof/>
            <w:webHidden/>
          </w:rPr>
          <w:fldChar w:fldCharType="end"/>
        </w:r>
      </w:hyperlink>
    </w:p>
    <w:p w14:paraId="264BC8C7" w14:textId="77777777" w:rsidR="0039477A" w:rsidRPr="0039477A" w:rsidRDefault="001776FB">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19907010" w:history="1">
        <w:r w:rsidR="0039477A" w:rsidRPr="0039477A">
          <w:rPr>
            <w:rStyle w:val="Hyperlink"/>
            <w:rFonts w:ascii="Arial" w:hAnsi="Arial" w:cs="Arial"/>
            <w:noProof/>
          </w:rPr>
          <w:t>1</w:t>
        </w:r>
        <w:r w:rsidR="0039477A" w:rsidRPr="0039477A">
          <w:rPr>
            <w:rFonts w:ascii="Arial" w:eastAsiaTheme="minorEastAsia" w:hAnsi="Arial" w:cs="Arial"/>
            <w:b w:val="0"/>
            <w:bCs w:val="0"/>
            <w:caps w:val="0"/>
            <w:noProof/>
            <w:sz w:val="22"/>
            <w:szCs w:val="22"/>
            <w:lang w:eastAsia="en-GB" w:bidi="ar-SA"/>
          </w:rPr>
          <w:tab/>
        </w:r>
        <w:r w:rsidR="0039477A" w:rsidRPr="0039477A">
          <w:rPr>
            <w:rStyle w:val="Hyperlink"/>
            <w:rFonts w:ascii="Arial" w:hAnsi="Arial" w:cs="Arial"/>
            <w:noProof/>
          </w:rPr>
          <w:t>Introduction</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_Toc419907010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3</w:t>
        </w:r>
        <w:r w:rsidR="0039477A" w:rsidRPr="0039477A">
          <w:rPr>
            <w:rFonts w:ascii="Arial" w:hAnsi="Arial" w:cs="Arial"/>
            <w:noProof/>
            <w:webHidden/>
          </w:rPr>
          <w:fldChar w:fldCharType="end"/>
        </w:r>
      </w:hyperlink>
    </w:p>
    <w:p w14:paraId="4462357D"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1" w:history="1">
        <w:r w:rsidR="0039477A" w:rsidRPr="0039477A">
          <w:rPr>
            <w:rStyle w:val="Hyperlink"/>
            <w:rFonts w:ascii="Arial" w:hAnsi="Arial" w:cs="Arial"/>
            <w:noProof/>
          </w:rPr>
          <w:t>1.1</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The Applicant</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_Toc419907011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3</w:t>
        </w:r>
        <w:r w:rsidR="0039477A" w:rsidRPr="0039477A">
          <w:rPr>
            <w:rFonts w:ascii="Arial" w:hAnsi="Arial" w:cs="Arial"/>
            <w:noProof/>
            <w:webHidden/>
          </w:rPr>
          <w:fldChar w:fldCharType="end"/>
        </w:r>
      </w:hyperlink>
    </w:p>
    <w:p w14:paraId="06AAC2EC"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2" w:history="1">
        <w:r w:rsidR="0039477A" w:rsidRPr="0039477A">
          <w:rPr>
            <w:rStyle w:val="Hyperlink"/>
            <w:rFonts w:ascii="Arial" w:hAnsi="Arial" w:cs="Arial"/>
            <w:noProof/>
          </w:rPr>
          <w:t>1.2</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The Application</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_Toc419907012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3</w:t>
        </w:r>
        <w:r w:rsidR="0039477A" w:rsidRPr="0039477A">
          <w:rPr>
            <w:rFonts w:ascii="Arial" w:hAnsi="Arial" w:cs="Arial"/>
            <w:noProof/>
            <w:webHidden/>
          </w:rPr>
          <w:fldChar w:fldCharType="end"/>
        </w:r>
      </w:hyperlink>
    </w:p>
    <w:p w14:paraId="60048849"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3" w:history="1">
        <w:r w:rsidR="0039477A" w:rsidRPr="0039477A">
          <w:rPr>
            <w:rStyle w:val="Hyperlink"/>
            <w:rFonts w:ascii="Arial" w:hAnsi="Arial" w:cs="Arial"/>
            <w:noProof/>
          </w:rPr>
          <w:t>1.3</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The current Standard</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_Toc419907013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3</w:t>
        </w:r>
        <w:r w:rsidR="0039477A" w:rsidRPr="0039477A">
          <w:rPr>
            <w:rFonts w:ascii="Arial" w:hAnsi="Arial" w:cs="Arial"/>
            <w:noProof/>
            <w:webHidden/>
          </w:rPr>
          <w:fldChar w:fldCharType="end"/>
        </w:r>
      </w:hyperlink>
    </w:p>
    <w:p w14:paraId="28ED4D56"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4" w:history="1">
        <w:r w:rsidR="0039477A" w:rsidRPr="0039477A">
          <w:rPr>
            <w:rStyle w:val="Hyperlink"/>
            <w:rFonts w:ascii="Arial" w:hAnsi="Arial" w:cs="Arial"/>
            <w:noProof/>
            <w:u w:color="FFFF00"/>
          </w:rPr>
          <w:t>1.4</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u w:color="FFFF00"/>
          </w:rPr>
          <w:t>Reasons for accepting the Application</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_Toc419907014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4</w:t>
        </w:r>
        <w:r w:rsidR="0039477A" w:rsidRPr="0039477A">
          <w:rPr>
            <w:rFonts w:ascii="Arial" w:hAnsi="Arial" w:cs="Arial"/>
            <w:noProof/>
            <w:webHidden/>
          </w:rPr>
          <w:fldChar w:fldCharType="end"/>
        </w:r>
      </w:hyperlink>
    </w:p>
    <w:p w14:paraId="32BC968A"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5" w:history="1">
        <w:r w:rsidR="0039477A" w:rsidRPr="0039477A">
          <w:rPr>
            <w:rStyle w:val="Hyperlink"/>
            <w:rFonts w:ascii="Arial" w:hAnsi="Arial" w:cs="Arial"/>
            <w:noProof/>
          </w:rPr>
          <w:t>1.5</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Procedure for assessment</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_Toc419907015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4</w:t>
        </w:r>
        <w:r w:rsidR="0039477A" w:rsidRPr="0039477A">
          <w:rPr>
            <w:rFonts w:ascii="Arial" w:hAnsi="Arial" w:cs="Arial"/>
            <w:noProof/>
            <w:webHidden/>
          </w:rPr>
          <w:fldChar w:fldCharType="end"/>
        </w:r>
      </w:hyperlink>
    </w:p>
    <w:p w14:paraId="07E7EBC0"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6" w:history="1">
        <w:r w:rsidR="0039477A" w:rsidRPr="0039477A">
          <w:rPr>
            <w:rStyle w:val="Hyperlink"/>
            <w:rFonts w:ascii="Arial" w:hAnsi="Arial" w:cs="Arial"/>
            <w:noProof/>
          </w:rPr>
          <w:t>1.6</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Decision</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_Toc419907016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4</w:t>
        </w:r>
        <w:r w:rsidR="0039477A" w:rsidRPr="0039477A">
          <w:rPr>
            <w:rFonts w:ascii="Arial" w:hAnsi="Arial" w:cs="Arial"/>
            <w:noProof/>
            <w:webHidden/>
          </w:rPr>
          <w:fldChar w:fldCharType="end"/>
        </w:r>
      </w:hyperlink>
    </w:p>
    <w:p w14:paraId="674BE064" w14:textId="77777777" w:rsidR="0039477A" w:rsidRPr="0039477A" w:rsidRDefault="001776FB">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19907017" w:history="1">
        <w:r w:rsidR="0039477A" w:rsidRPr="0039477A">
          <w:rPr>
            <w:rStyle w:val="Hyperlink"/>
            <w:rFonts w:ascii="Arial" w:hAnsi="Arial" w:cs="Arial"/>
            <w:noProof/>
          </w:rPr>
          <w:t>2</w:t>
        </w:r>
        <w:r w:rsidR="0039477A" w:rsidRPr="0039477A">
          <w:rPr>
            <w:rFonts w:ascii="Arial" w:eastAsiaTheme="minorEastAsia" w:hAnsi="Arial" w:cs="Arial"/>
            <w:b w:val="0"/>
            <w:bCs w:val="0"/>
            <w:caps w:val="0"/>
            <w:noProof/>
            <w:sz w:val="22"/>
            <w:szCs w:val="22"/>
            <w:lang w:eastAsia="en-GB" w:bidi="ar-SA"/>
          </w:rPr>
          <w:tab/>
        </w:r>
        <w:r w:rsidR="0039477A" w:rsidRPr="0039477A">
          <w:rPr>
            <w:rStyle w:val="Hyperlink"/>
            <w:rFonts w:ascii="Arial" w:hAnsi="Arial" w:cs="Arial"/>
            <w:noProof/>
          </w:rPr>
          <w:t xml:space="preserve">Summary </w:t>
        </w:r>
        <w:r w:rsidR="0039477A" w:rsidRPr="0039477A">
          <w:rPr>
            <w:rStyle w:val="Hyperlink"/>
            <w:rFonts w:ascii="Arial" w:hAnsi="Arial" w:cs="Arial"/>
            <w:noProof/>
            <w:u w:color="FFFF00"/>
          </w:rPr>
          <w:t>of</w:t>
        </w:r>
        <w:r w:rsidR="0039477A" w:rsidRPr="0039477A">
          <w:rPr>
            <w:rStyle w:val="Hyperlink"/>
            <w:rFonts w:ascii="Arial" w:hAnsi="Arial" w:cs="Arial"/>
            <w:noProof/>
          </w:rPr>
          <w:t xml:space="preserve"> the findings</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_Toc419907017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4</w:t>
        </w:r>
        <w:r w:rsidR="0039477A" w:rsidRPr="0039477A">
          <w:rPr>
            <w:rFonts w:ascii="Arial" w:hAnsi="Arial" w:cs="Arial"/>
            <w:noProof/>
            <w:webHidden/>
          </w:rPr>
          <w:fldChar w:fldCharType="end"/>
        </w:r>
      </w:hyperlink>
    </w:p>
    <w:p w14:paraId="64EC4CA5"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8" w:history="1">
        <w:r w:rsidR="0039477A" w:rsidRPr="0039477A">
          <w:rPr>
            <w:rStyle w:val="Hyperlink"/>
            <w:rFonts w:ascii="Arial" w:hAnsi="Arial" w:cs="Arial"/>
            <w:noProof/>
          </w:rPr>
          <w:t>2.1</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Summary of issues raised in submissions</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_Toc419907018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4</w:t>
        </w:r>
        <w:r w:rsidR="0039477A" w:rsidRPr="0039477A">
          <w:rPr>
            <w:rFonts w:ascii="Arial" w:hAnsi="Arial" w:cs="Arial"/>
            <w:noProof/>
            <w:webHidden/>
          </w:rPr>
          <w:fldChar w:fldCharType="end"/>
        </w:r>
      </w:hyperlink>
    </w:p>
    <w:p w14:paraId="58453A7E"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19" w:history="1">
        <w:r w:rsidR="0039477A" w:rsidRPr="0039477A">
          <w:rPr>
            <w:rStyle w:val="Hyperlink"/>
            <w:rFonts w:ascii="Arial" w:hAnsi="Arial" w:cs="Arial"/>
            <w:noProof/>
          </w:rPr>
          <w:t>2.2</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Safety assessment</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_Toc419907019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13</w:t>
        </w:r>
        <w:r w:rsidR="0039477A" w:rsidRPr="0039477A">
          <w:rPr>
            <w:rFonts w:ascii="Arial" w:hAnsi="Arial" w:cs="Arial"/>
            <w:noProof/>
            <w:webHidden/>
          </w:rPr>
          <w:fldChar w:fldCharType="end"/>
        </w:r>
      </w:hyperlink>
    </w:p>
    <w:p w14:paraId="72E1EAD5"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20" w:history="1">
        <w:r w:rsidR="0039477A" w:rsidRPr="0039477A">
          <w:rPr>
            <w:rStyle w:val="Hyperlink"/>
            <w:rFonts w:ascii="Arial" w:hAnsi="Arial" w:cs="Arial"/>
            <w:noProof/>
          </w:rPr>
          <w:t>2.3</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Risk management</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_Toc419907020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14</w:t>
        </w:r>
        <w:r w:rsidR="0039477A" w:rsidRPr="0039477A">
          <w:rPr>
            <w:rFonts w:ascii="Arial" w:hAnsi="Arial" w:cs="Arial"/>
            <w:noProof/>
            <w:webHidden/>
          </w:rPr>
          <w:fldChar w:fldCharType="end"/>
        </w:r>
      </w:hyperlink>
    </w:p>
    <w:p w14:paraId="5FFADF45" w14:textId="77777777" w:rsidR="0039477A" w:rsidRPr="0039477A" w:rsidRDefault="001776FB">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19907021" w:history="1">
        <w:r w:rsidR="0039477A" w:rsidRPr="0039477A">
          <w:rPr>
            <w:rStyle w:val="Hyperlink"/>
            <w:rFonts w:ascii="Arial" w:hAnsi="Arial" w:cs="Arial"/>
            <w:noProof/>
          </w:rPr>
          <w:t>2.3.2</w:t>
        </w:r>
        <w:r w:rsidR="0039477A" w:rsidRPr="0039477A">
          <w:rPr>
            <w:rFonts w:ascii="Arial" w:eastAsiaTheme="minorEastAsia" w:hAnsi="Arial" w:cs="Arial"/>
            <w:i w:val="0"/>
            <w:iCs w:val="0"/>
            <w:noProof/>
            <w:sz w:val="22"/>
            <w:szCs w:val="22"/>
            <w:lang w:eastAsia="en-GB" w:bidi="ar-SA"/>
          </w:rPr>
          <w:tab/>
        </w:r>
        <w:r w:rsidR="0039477A" w:rsidRPr="0039477A">
          <w:rPr>
            <w:rStyle w:val="Hyperlink"/>
            <w:rFonts w:ascii="Arial" w:hAnsi="Arial" w:cs="Arial"/>
            <w:noProof/>
          </w:rPr>
          <w:t>Detection methodology</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_Toc419907021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14</w:t>
        </w:r>
        <w:r w:rsidR="0039477A" w:rsidRPr="0039477A">
          <w:rPr>
            <w:rFonts w:ascii="Arial" w:hAnsi="Arial" w:cs="Arial"/>
            <w:noProof/>
            <w:webHidden/>
          </w:rPr>
          <w:fldChar w:fldCharType="end"/>
        </w:r>
      </w:hyperlink>
    </w:p>
    <w:p w14:paraId="36543781"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22" w:history="1">
        <w:r w:rsidR="0039477A" w:rsidRPr="0039477A">
          <w:rPr>
            <w:rStyle w:val="Hyperlink"/>
            <w:rFonts w:ascii="Arial" w:hAnsi="Arial" w:cs="Arial"/>
            <w:noProof/>
          </w:rPr>
          <w:t>2.4</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Risk communication</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_Toc419907022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14</w:t>
        </w:r>
        <w:r w:rsidR="0039477A" w:rsidRPr="0039477A">
          <w:rPr>
            <w:rFonts w:ascii="Arial" w:hAnsi="Arial" w:cs="Arial"/>
            <w:noProof/>
            <w:webHidden/>
          </w:rPr>
          <w:fldChar w:fldCharType="end"/>
        </w:r>
      </w:hyperlink>
    </w:p>
    <w:p w14:paraId="57E216BF"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23" w:history="1">
        <w:r w:rsidR="0039477A" w:rsidRPr="0039477A">
          <w:rPr>
            <w:rStyle w:val="Hyperlink"/>
            <w:rFonts w:ascii="Arial" w:hAnsi="Arial" w:cs="Arial"/>
            <w:noProof/>
          </w:rPr>
          <w:t>2.5</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FSANZ Act assessment requirements</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_Toc419907023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15</w:t>
        </w:r>
        <w:r w:rsidR="0039477A" w:rsidRPr="0039477A">
          <w:rPr>
            <w:rFonts w:ascii="Arial" w:hAnsi="Arial" w:cs="Arial"/>
            <w:noProof/>
            <w:webHidden/>
          </w:rPr>
          <w:fldChar w:fldCharType="end"/>
        </w:r>
      </w:hyperlink>
    </w:p>
    <w:p w14:paraId="178F70C9" w14:textId="77777777" w:rsidR="0039477A" w:rsidRPr="0039477A" w:rsidRDefault="001776FB">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19907024" w:history="1">
        <w:r w:rsidR="0039477A" w:rsidRPr="0039477A">
          <w:rPr>
            <w:rStyle w:val="Hyperlink"/>
            <w:rFonts w:ascii="Arial" w:hAnsi="Arial" w:cs="Arial"/>
            <w:noProof/>
          </w:rPr>
          <w:t>2.5.1</w:t>
        </w:r>
        <w:r w:rsidR="0039477A" w:rsidRPr="0039477A">
          <w:rPr>
            <w:rFonts w:ascii="Arial" w:eastAsiaTheme="minorEastAsia" w:hAnsi="Arial" w:cs="Arial"/>
            <w:i w:val="0"/>
            <w:iCs w:val="0"/>
            <w:noProof/>
            <w:sz w:val="22"/>
            <w:szCs w:val="22"/>
            <w:lang w:eastAsia="en-GB" w:bidi="ar-SA"/>
          </w:rPr>
          <w:tab/>
        </w:r>
        <w:r w:rsidR="0039477A" w:rsidRPr="0039477A">
          <w:rPr>
            <w:rStyle w:val="Hyperlink"/>
            <w:rFonts w:ascii="Arial" w:hAnsi="Arial" w:cs="Arial"/>
            <w:noProof/>
          </w:rPr>
          <w:t>Section 29</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_Toc419907024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15</w:t>
        </w:r>
        <w:r w:rsidR="0039477A" w:rsidRPr="0039477A">
          <w:rPr>
            <w:rFonts w:ascii="Arial" w:hAnsi="Arial" w:cs="Arial"/>
            <w:noProof/>
            <w:webHidden/>
          </w:rPr>
          <w:fldChar w:fldCharType="end"/>
        </w:r>
      </w:hyperlink>
    </w:p>
    <w:p w14:paraId="74E688DC" w14:textId="77777777" w:rsidR="0039477A" w:rsidRPr="0039477A" w:rsidRDefault="001776FB">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19907025" w:history="1">
        <w:r w:rsidR="0039477A" w:rsidRPr="0039477A">
          <w:rPr>
            <w:rStyle w:val="Hyperlink"/>
            <w:rFonts w:ascii="Arial" w:hAnsi="Arial" w:cs="Arial"/>
            <w:noProof/>
          </w:rPr>
          <w:t>2.5.2.</w:t>
        </w:r>
        <w:r w:rsidR="0039477A" w:rsidRPr="0039477A">
          <w:rPr>
            <w:rFonts w:ascii="Arial" w:eastAsiaTheme="minorEastAsia" w:hAnsi="Arial" w:cs="Arial"/>
            <w:i w:val="0"/>
            <w:iCs w:val="0"/>
            <w:noProof/>
            <w:sz w:val="22"/>
            <w:szCs w:val="22"/>
            <w:lang w:eastAsia="en-GB" w:bidi="ar-SA"/>
          </w:rPr>
          <w:tab/>
        </w:r>
        <w:r w:rsidR="0039477A" w:rsidRPr="0039477A">
          <w:rPr>
            <w:rStyle w:val="Hyperlink"/>
            <w:rFonts w:ascii="Arial" w:hAnsi="Arial" w:cs="Arial"/>
            <w:noProof/>
          </w:rPr>
          <w:t>Subsection 18(1)</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_Toc419907025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17</w:t>
        </w:r>
        <w:r w:rsidR="0039477A" w:rsidRPr="0039477A">
          <w:rPr>
            <w:rFonts w:ascii="Arial" w:hAnsi="Arial" w:cs="Arial"/>
            <w:noProof/>
            <w:webHidden/>
          </w:rPr>
          <w:fldChar w:fldCharType="end"/>
        </w:r>
      </w:hyperlink>
    </w:p>
    <w:p w14:paraId="4B1D68D1" w14:textId="77777777" w:rsidR="0039477A" w:rsidRPr="0039477A" w:rsidRDefault="001776FB">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19907026" w:history="1">
        <w:r w:rsidR="0039477A" w:rsidRPr="0039477A">
          <w:rPr>
            <w:rStyle w:val="Hyperlink"/>
            <w:rFonts w:ascii="Arial" w:hAnsi="Arial" w:cs="Arial"/>
            <w:noProof/>
          </w:rPr>
          <w:t>3</w:t>
        </w:r>
        <w:r w:rsidR="0039477A" w:rsidRPr="0039477A">
          <w:rPr>
            <w:rFonts w:ascii="Arial" w:eastAsiaTheme="minorEastAsia" w:hAnsi="Arial" w:cs="Arial"/>
            <w:b w:val="0"/>
            <w:bCs w:val="0"/>
            <w:caps w:val="0"/>
            <w:noProof/>
            <w:sz w:val="22"/>
            <w:szCs w:val="22"/>
            <w:lang w:eastAsia="en-GB" w:bidi="ar-SA"/>
          </w:rPr>
          <w:tab/>
        </w:r>
        <w:r w:rsidR="0039477A" w:rsidRPr="0039477A">
          <w:rPr>
            <w:rStyle w:val="Hyperlink"/>
            <w:rFonts w:ascii="Arial" w:hAnsi="Arial" w:cs="Arial"/>
            <w:noProof/>
          </w:rPr>
          <w:t>Transitional arrangements</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_Toc419907026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19</w:t>
        </w:r>
        <w:r w:rsidR="0039477A" w:rsidRPr="0039477A">
          <w:rPr>
            <w:rFonts w:ascii="Arial" w:hAnsi="Arial" w:cs="Arial"/>
            <w:noProof/>
            <w:webHidden/>
          </w:rPr>
          <w:fldChar w:fldCharType="end"/>
        </w:r>
      </w:hyperlink>
    </w:p>
    <w:p w14:paraId="424AEE5F" w14:textId="77777777" w:rsidR="0039477A" w:rsidRPr="0039477A" w:rsidRDefault="001776FB">
      <w:pPr>
        <w:pStyle w:val="TOC2"/>
        <w:tabs>
          <w:tab w:val="left" w:pos="880"/>
          <w:tab w:val="right" w:leader="dot" w:pos="9016"/>
        </w:tabs>
        <w:rPr>
          <w:rFonts w:ascii="Arial" w:eastAsiaTheme="minorEastAsia" w:hAnsi="Arial" w:cs="Arial"/>
          <w:smallCaps w:val="0"/>
          <w:noProof/>
          <w:sz w:val="22"/>
          <w:szCs w:val="22"/>
          <w:lang w:eastAsia="en-GB" w:bidi="ar-SA"/>
        </w:rPr>
      </w:pPr>
      <w:hyperlink w:anchor="_Toc419907027" w:history="1">
        <w:r w:rsidR="0039477A" w:rsidRPr="0039477A">
          <w:rPr>
            <w:rStyle w:val="Hyperlink"/>
            <w:rFonts w:ascii="Arial" w:hAnsi="Arial" w:cs="Arial"/>
            <w:noProof/>
          </w:rPr>
          <w:t>3.1</w:t>
        </w:r>
        <w:r w:rsidR="0039477A" w:rsidRPr="0039477A">
          <w:rPr>
            <w:rFonts w:ascii="Arial" w:eastAsiaTheme="minorEastAsia" w:hAnsi="Arial" w:cs="Arial"/>
            <w:smallCaps w:val="0"/>
            <w:noProof/>
            <w:sz w:val="22"/>
            <w:szCs w:val="22"/>
            <w:lang w:eastAsia="en-GB" w:bidi="ar-SA"/>
          </w:rPr>
          <w:tab/>
        </w:r>
        <w:r w:rsidR="0039477A" w:rsidRPr="0039477A">
          <w:rPr>
            <w:rStyle w:val="Hyperlink"/>
            <w:rFonts w:ascii="Arial" w:hAnsi="Arial" w:cs="Arial"/>
            <w:noProof/>
          </w:rPr>
          <w:t>Transitional arrangements for Code Revision</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_Toc419907027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19</w:t>
        </w:r>
        <w:r w:rsidR="0039477A" w:rsidRPr="0039477A">
          <w:rPr>
            <w:rFonts w:ascii="Arial" w:hAnsi="Arial" w:cs="Arial"/>
            <w:noProof/>
            <w:webHidden/>
          </w:rPr>
          <w:fldChar w:fldCharType="end"/>
        </w:r>
      </w:hyperlink>
    </w:p>
    <w:p w14:paraId="4FA78130" w14:textId="77777777" w:rsidR="0039477A" w:rsidRPr="0039477A" w:rsidRDefault="001776FB">
      <w:pPr>
        <w:pStyle w:val="TOC2"/>
        <w:tabs>
          <w:tab w:val="right" w:leader="dot" w:pos="9016"/>
        </w:tabs>
        <w:rPr>
          <w:rFonts w:ascii="Arial" w:eastAsiaTheme="minorEastAsia" w:hAnsi="Arial" w:cs="Arial"/>
          <w:smallCaps w:val="0"/>
          <w:noProof/>
          <w:sz w:val="22"/>
          <w:szCs w:val="22"/>
          <w:lang w:eastAsia="en-GB" w:bidi="ar-SA"/>
        </w:rPr>
      </w:pPr>
      <w:hyperlink w:anchor="_Toc419907028" w:history="1">
        <w:r w:rsidR="0039477A" w:rsidRPr="0039477A">
          <w:rPr>
            <w:rStyle w:val="Hyperlink"/>
            <w:rFonts w:ascii="Arial" w:hAnsi="Arial" w:cs="Arial"/>
            <w:noProof/>
          </w:rPr>
          <w:t xml:space="preserve">Attachment A – Approved draft variation to the current </w:t>
        </w:r>
        <w:r w:rsidR="0039477A" w:rsidRPr="0039477A">
          <w:rPr>
            <w:rStyle w:val="Hyperlink"/>
            <w:rFonts w:ascii="Arial" w:hAnsi="Arial" w:cs="Arial"/>
            <w:i/>
            <w:noProof/>
          </w:rPr>
          <w:t>Australia New Zealand Food Standards Code</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_Toc419907028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21</w:t>
        </w:r>
        <w:r w:rsidR="0039477A" w:rsidRPr="0039477A">
          <w:rPr>
            <w:rFonts w:ascii="Arial" w:hAnsi="Arial" w:cs="Arial"/>
            <w:noProof/>
            <w:webHidden/>
          </w:rPr>
          <w:fldChar w:fldCharType="end"/>
        </w:r>
      </w:hyperlink>
    </w:p>
    <w:p w14:paraId="6813DDA2" w14:textId="77777777" w:rsidR="0039477A" w:rsidRPr="0039477A" w:rsidRDefault="001776FB">
      <w:pPr>
        <w:pStyle w:val="TOC2"/>
        <w:tabs>
          <w:tab w:val="right" w:leader="dot" w:pos="9016"/>
        </w:tabs>
        <w:rPr>
          <w:rFonts w:ascii="Arial" w:eastAsiaTheme="minorEastAsia" w:hAnsi="Arial" w:cs="Arial"/>
          <w:smallCaps w:val="0"/>
          <w:noProof/>
          <w:sz w:val="22"/>
          <w:szCs w:val="22"/>
          <w:lang w:eastAsia="en-GB" w:bidi="ar-SA"/>
        </w:rPr>
      </w:pPr>
      <w:hyperlink w:anchor="_Toc419907029" w:history="1">
        <w:r w:rsidR="0039477A" w:rsidRPr="0039477A">
          <w:rPr>
            <w:rStyle w:val="Hyperlink"/>
            <w:rFonts w:ascii="Arial" w:hAnsi="Arial" w:cs="Arial"/>
            <w:noProof/>
          </w:rPr>
          <w:t>Explanatory Statement</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_Toc419907029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23</w:t>
        </w:r>
        <w:r w:rsidR="0039477A" w:rsidRPr="0039477A">
          <w:rPr>
            <w:rFonts w:ascii="Arial" w:hAnsi="Arial" w:cs="Arial"/>
            <w:noProof/>
            <w:webHidden/>
          </w:rPr>
          <w:fldChar w:fldCharType="end"/>
        </w:r>
      </w:hyperlink>
    </w:p>
    <w:p w14:paraId="5D2A8FD4" w14:textId="77777777" w:rsidR="0039477A" w:rsidRPr="0039477A" w:rsidRDefault="001776FB">
      <w:pPr>
        <w:pStyle w:val="TOC2"/>
        <w:tabs>
          <w:tab w:val="right" w:leader="dot" w:pos="9016"/>
        </w:tabs>
        <w:rPr>
          <w:rFonts w:ascii="Arial" w:eastAsiaTheme="minorEastAsia" w:hAnsi="Arial" w:cs="Arial"/>
          <w:smallCaps w:val="0"/>
          <w:noProof/>
          <w:sz w:val="22"/>
          <w:szCs w:val="22"/>
          <w:lang w:eastAsia="en-GB" w:bidi="ar-SA"/>
        </w:rPr>
      </w:pPr>
      <w:hyperlink w:anchor="_Toc419907030" w:history="1">
        <w:r w:rsidR="0039477A" w:rsidRPr="0039477A">
          <w:rPr>
            <w:rStyle w:val="Hyperlink"/>
            <w:rFonts w:ascii="Arial" w:hAnsi="Arial" w:cs="Arial"/>
            <w:noProof/>
          </w:rPr>
          <w:t xml:space="preserve">Attachment B – Approved draft variation to the revised </w:t>
        </w:r>
        <w:r w:rsidR="0039477A" w:rsidRPr="0039477A">
          <w:rPr>
            <w:rStyle w:val="Hyperlink"/>
            <w:rFonts w:ascii="Arial" w:hAnsi="Arial" w:cs="Arial"/>
            <w:i/>
            <w:noProof/>
          </w:rPr>
          <w:t xml:space="preserve">Australia New Zealand Food Standards Code </w:t>
        </w:r>
        <w:r w:rsidR="0039477A" w:rsidRPr="0039477A">
          <w:rPr>
            <w:rStyle w:val="Hyperlink"/>
            <w:rFonts w:ascii="Arial" w:hAnsi="Arial" w:cs="Arial"/>
            <w:noProof/>
          </w:rPr>
          <w:t>(commencing 1 March 2016)</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_Toc419907030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25</w:t>
        </w:r>
        <w:r w:rsidR="0039477A" w:rsidRPr="0039477A">
          <w:rPr>
            <w:rFonts w:ascii="Arial" w:hAnsi="Arial" w:cs="Arial"/>
            <w:noProof/>
            <w:webHidden/>
          </w:rPr>
          <w:fldChar w:fldCharType="end"/>
        </w:r>
      </w:hyperlink>
    </w:p>
    <w:p w14:paraId="44DC9B25" w14:textId="77777777" w:rsidR="0039477A" w:rsidRPr="0039477A" w:rsidRDefault="001776FB">
      <w:pPr>
        <w:pStyle w:val="TOC2"/>
        <w:tabs>
          <w:tab w:val="right" w:leader="dot" w:pos="9016"/>
        </w:tabs>
        <w:rPr>
          <w:rFonts w:ascii="Arial" w:eastAsiaTheme="minorEastAsia" w:hAnsi="Arial" w:cs="Arial"/>
          <w:smallCaps w:val="0"/>
          <w:noProof/>
          <w:sz w:val="22"/>
          <w:szCs w:val="22"/>
          <w:lang w:eastAsia="en-GB" w:bidi="ar-SA"/>
        </w:rPr>
      </w:pPr>
      <w:hyperlink w:anchor="_Toc419907031" w:history="1">
        <w:r w:rsidR="0039477A" w:rsidRPr="0039477A">
          <w:rPr>
            <w:rStyle w:val="Hyperlink"/>
            <w:rFonts w:ascii="Arial" w:hAnsi="Arial" w:cs="Arial"/>
            <w:noProof/>
          </w:rPr>
          <w:t>Explanatory Statement</w:t>
        </w:r>
        <w:r w:rsidR="0039477A" w:rsidRPr="0039477A">
          <w:rPr>
            <w:rFonts w:ascii="Arial" w:hAnsi="Arial" w:cs="Arial"/>
            <w:noProof/>
            <w:webHidden/>
          </w:rPr>
          <w:tab/>
        </w:r>
        <w:r w:rsidR="0039477A" w:rsidRPr="0039477A">
          <w:rPr>
            <w:rFonts w:ascii="Arial" w:hAnsi="Arial" w:cs="Arial"/>
            <w:noProof/>
            <w:webHidden/>
          </w:rPr>
          <w:fldChar w:fldCharType="begin"/>
        </w:r>
        <w:r w:rsidR="0039477A" w:rsidRPr="0039477A">
          <w:rPr>
            <w:rFonts w:ascii="Arial" w:hAnsi="Arial" w:cs="Arial"/>
            <w:noProof/>
            <w:webHidden/>
          </w:rPr>
          <w:instrText xml:space="preserve"> PAGEREF _Toc419907031 \h </w:instrText>
        </w:r>
        <w:r w:rsidR="0039477A" w:rsidRPr="0039477A">
          <w:rPr>
            <w:rFonts w:ascii="Arial" w:hAnsi="Arial" w:cs="Arial"/>
            <w:noProof/>
            <w:webHidden/>
          </w:rPr>
        </w:r>
        <w:r w:rsidR="0039477A" w:rsidRPr="0039477A">
          <w:rPr>
            <w:rFonts w:ascii="Arial" w:hAnsi="Arial" w:cs="Arial"/>
            <w:noProof/>
            <w:webHidden/>
          </w:rPr>
          <w:fldChar w:fldCharType="separate"/>
        </w:r>
        <w:r w:rsidR="00FD6095">
          <w:rPr>
            <w:rFonts w:ascii="Arial" w:hAnsi="Arial" w:cs="Arial"/>
            <w:noProof/>
            <w:webHidden/>
          </w:rPr>
          <w:t>27</w:t>
        </w:r>
        <w:r w:rsidR="0039477A" w:rsidRPr="0039477A">
          <w:rPr>
            <w:rFonts w:ascii="Arial" w:hAnsi="Arial" w:cs="Arial"/>
            <w:noProof/>
            <w:webHidden/>
          </w:rPr>
          <w:fldChar w:fldCharType="end"/>
        </w:r>
      </w:hyperlink>
    </w:p>
    <w:p w14:paraId="4D85863F" w14:textId="77777777" w:rsidR="0012388D" w:rsidRDefault="00B55714" w:rsidP="00C91C02">
      <w:r w:rsidRPr="0039477A">
        <w:rPr>
          <w:rFonts w:cs="Arial"/>
          <w:sz w:val="20"/>
          <w:szCs w:val="20"/>
        </w:rPr>
        <w:fldChar w:fldCharType="end"/>
      </w:r>
    </w:p>
    <w:p w14:paraId="4D858640" w14:textId="77777777" w:rsidR="007F7BF7" w:rsidRDefault="007F7BF7" w:rsidP="00CA5734"/>
    <w:p w14:paraId="4D858641" w14:textId="77777777" w:rsidR="00A671E6" w:rsidRPr="000B427A" w:rsidRDefault="00A671E6" w:rsidP="00A671E6">
      <w:pPr>
        <w:rPr>
          <w:b/>
          <w:bCs/>
        </w:rPr>
      </w:pPr>
      <w:r w:rsidRPr="000B427A">
        <w:rPr>
          <w:b/>
          <w:bCs/>
        </w:rPr>
        <w:t>S</w:t>
      </w:r>
      <w:r w:rsidR="007C22CB" w:rsidRPr="000B427A">
        <w:rPr>
          <w:b/>
          <w:bCs/>
        </w:rPr>
        <w:t>upporting</w:t>
      </w:r>
      <w:r w:rsidR="009B448F">
        <w:rPr>
          <w:b/>
          <w:bCs/>
        </w:rPr>
        <w:t xml:space="preserve"> document</w:t>
      </w:r>
      <w:r w:rsidRPr="000B427A">
        <w:rPr>
          <w:b/>
          <w:bCs/>
        </w:rPr>
        <w:t xml:space="preserve"> </w:t>
      </w:r>
    </w:p>
    <w:p w14:paraId="4D858642" w14:textId="77777777" w:rsidR="00A671E6" w:rsidRPr="0089264A" w:rsidRDefault="00A671E6" w:rsidP="00A671E6">
      <w:pPr>
        <w:rPr>
          <w:szCs w:val="22"/>
        </w:rPr>
      </w:pPr>
    </w:p>
    <w:p w14:paraId="4D858643" w14:textId="77777777" w:rsidR="00774AA2" w:rsidRDefault="00774AA2" w:rsidP="003D5B92">
      <w:pPr>
        <w:ind w:right="-330"/>
      </w:pPr>
      <w:r w:rsidRPr="00B5032F">
        <w:rPr>
          <w:color w:val="000000" w:themeColor="text1"/>
        </w:rPr>
        <w:t xml:space="preserve">The following document, which informed the assessment of this Application, is available on the FSANZ website at </w:t>
      </w:r>
      <w:hyperlink r:id="rId16" w:history="1">
        <w:r w:rsidR="00B430BE" w:rsidRPr="00B430BE">
          <w:rPr>
            <w:rStyle w:val="Hyperlink"/>
          </w:rPr>
          <w:t>http://www.foodstandards.gov.au/code/applications/Pages/A1097GMCornLineMON87411.aspx</w:t>
        </w:r>
      </w:hyperlink>
    </w:p>
    <w:p w14:paraId="4D858644" w14:textId="77777777" w:rsidR="00774AA2" w:rsidRPr="00B5032F" w:rsidRDefault="00774AA2" w:rsidP="00774AA2">
      <w:pPr>
        <w:rPr>
          <w:color w:val="000000" w:themeColor="text1"/>
        </w:rPr>
      </w:pPr>
    </w:p>
    <w:p w14:paraId="4D858645" w14:textId="77777777" w:rsidR="00774AA2" w:rsidRPr="00774AA2" w:rsidRDefault="00774AA2" w:rsidP="00774AA2">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ssment Report</w:t>
      </w:r>
      <w:r w:rsidR="009B448F">
        <w:rPr>
          <w:rFonts w:cs="Arial"/>
          <w:color w:val="000000" w:themeColor="text1"/>
        </w:rPr>
        <w:t xml:space="preserve"> (at Approval)</w:t>
      </w:r>
    </w:p>
    <w:p w14:paraId="4D858646" w14:textId="77777777" w:rsidR="003C4969" w:rsidRPr="00774AA2" w:rsidRDefault="00D15A08" w:rsidP="009A2699">
      <w:pPr>
        <w:spacing w:line="280" w:lineRule="exact"/>
        <w:ind w:left="851" w:hanging="851"/>
        <w:outlineLvl w:val="3"/>
        <w:rPr>
          <w:vanish/>
          <w:color w:val="000000" w:themeColor="text1"/>
        </w:rPr>
      </w:pPr>
      <w:r w:rsidRPr="00774AA2">
        <w:rPr>
          <w:color w:val="000000" w:themeColor="text1"/>
        </w:rPr>
        <w:br w:type="page"/>
      </w:r>
    </w:p>
    <w:p w14:paraId="4D858647" w14:textId="77777777" w:rsidR="007A53BF" w:rsidRPr="00A12647" w:rsidRDefault="007A53BF" w:rsidP="00CE59AA">
      <w:pPr>
        <w:pStyle w:val="Heading1"/>
        <w:rPr>
          <w:szCs w:val="36"/>
        </w:rPr>
      </w:pPr>
      <w:bookmarkStart w:id="1" w:name="_Toc286391001"/>
      <w:bookmarkStart w:id="2" w:name="_Toc300933414"/>
      <w:bookmarkStart w:id="3" w:name="_Toc370223463"/>
      <w:bookmarkStart w:id="4" w:name="_Toc419907009"/>
      <w:bookmarkStart w:id="5" w:name="_Toc11735627"/>
      <w:bookmarkStart w:id="6" w:name="_Toc29883110"/>
      <w:bookmarkStart w:id="7" w:name="_Toc41906797"/>
      <w:bookmarkStart w:id="8" w:name="_Toc41907544"/>
      <w:bookmarkStart w:id="9" w:name="_Toc120358575"/>
      <w:r w:rsidRPr="00A12647">
        <w:rPr>
          <w:szCs w:val="36"/>
        </w:rPr>
        <w:t>Executive summary</w:t>
      </w:r>
      <w:bookmarkEnd w:id="1"/>
      <w:bookmarkEnd w:id="2"/>
      <w:bookmarkEnd w:id="3"/>
      <w:bookmarkEnd w:id="4"/>
    </w:p>
    <w:p w14:paraId="4D858648" w14:textId="77777777" w:rsidR="00B96FD4" w:rsidRPr="00B96FD4" w:rsidRDefault="00B96FD4" w:rsidP="00B96FD4">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Pr>
          <w:color w:val="000000" w:themeColor="text1"/>
        </w:rPr>
        <w:t xml:space="preserve">Monsanto Australia Ltd </w:t>
      </w:r>
      <w:r>
        <w:rPr>
          <w:rFonts w:cs="Arial"/>
        </w:rPr>
        <w:t>on 15 July 2014. The Applicant</w:t>
      </w:r>
      <w:r w:rsidRPr="00B5032F">
        <w:rPr>
          <w:rFonts w:cs="Arial"/>
        </w:rPr>
        <w:t xml:space="preserve"> requested a variation to Standard 1.5.2 – Food produced using Gene Technology, </w:t>
      </w:r>
      <w:r w:rsidRPr="00B5032F">
        <w:t xml:space="preserve">in the </w:t>
      </w:r>
      <w:r w:rsidRPr="00B5032F">
        <w:rPr>
          <w:i/>
        </w:rPr>
        <w:t>Australia New Zealand Food Standards Code</w:t>
      </w:r>
      <w:r w:rsidRPr="00B5032F">
        <w:t xml:space="preserve"> (the Code)</w:t>
      </w:r>
      <w:r>
        <w:t xml:space="preserve"> </w:t>
      </w:r>
      <w:r w:rsidRPr="00B5032F">
        <w:t>to permit the sale and use of food derived from</w:t>
      </w:r>
      <w:r>
        <w:t xml:space="preserve"> a</w:t>
      </w:r>
      <w:r w:rsidRPr="00B5032F">
        <w:t xml:space="preserve"> genetically m</w:t>
      </w:r>
      <w:r>
        <w:t>odified (GM) corn line, MON87411, that is tolerant to the herbicide glyphosate and protected against western corn rootworm.</w:t>
      </w:r>
    </w:p>
    <w:p w14:paraId="4D858649" w14:textId="77777777" w:rsidR="00B96FD4" w:rsidRPr="005C18EC" w:rsidRDefault="00B96FD4" w:rsidP="00B96FD4">
      <w:pPr>
        <w:rPr>
          <w:rFonts w:cs="Arial"/>
        </w:rPr>
      </w:pPr>
    </w:p>
    <w:p w14:paraId="4D85864A" w14:textId="77777777" w:rsidR="00B96FD4" w:rsidRPr="005C18EC" w:rsidRDefault="00B96FD4" w:rsidP="00B96FD4">
      <w:pPr>
        <w:rPr>
          <w:rFonts w:cs="Arial"/>
        </w:rPr>
      </w:pPr>
      <w:r w:rsidRPr="005C18EC">
        <w:rPr>
          <w:rFonts w:cs="Arial"/>
        </w:rPr>
        <w:t>The primary objective of FSANZ in developing or varying a food regulato</w:t>
      </w:r>
      <w:r>
        <w:rPr>
          <w:rFonts w:cs="Arial"/>
        </w:rPr>
        <w:t>ry measure, as stated in s</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14:paraId="4D85864B" w14:textId="77777777" w:rsidR="00B96FD4" w:rsidRPr="005C18EC" w:rsidRDefault="00B96FD4" w:rsidP="00B96FD4"/>
    <w:p w14:paraId="4D85864C" w14:textId="77777777" w:rsidR="00B96FD4" w:rsidRPr="008F4BDF" w:rsidRDefault="00B96FD4" w:rsidP="00B96FD4">
      <w:r w:rsidRPr="008F4BDF">
        <w:t>The safety assess</w:t>
      </w:r>
      <w:r>
        <w:t>ment of herbicide-tolerant and insect-protected corn line MON87411</w:t>
      </w:r>
      <w:r w:rsidRPr="008F4BDF">
        <w:t xml:space="preserve"> </w:t>
      </w:r>
      <w:r>
        <w:t xml:space="preserve">(also referred to as MON87411) </w:t>
      </w:r>
      <w:r w:rsidRPr="008F4BDF">
        <w:t xml:space="preserve">is provided in Supporting Document </w:t>
      </w:r>
      <w:r w:rsidR="00B430BE">
        <w:t xml:space="preserve">(SD) </w:t>
      </w:r>
      <w:r w:rsidRPr="008F4BDF">
        <w:t xml:space="preserve">1. </w:t>
      </w:r>
      <w:r w:rsidRPr="005C18EC">
        <w:rPr>
          <w:rFonts w:cs="Arial"/>
        </w:rPr>
        <w:t xml:space="preserve">No potential public health and safety concerns have been identified. Based on the data provided in the present Application, and other available information, food derived from </w:t>
      </w:r>
      <w:r>
        <w:t xml:space="preserve">MON87411 </w:t>
      </w:r>
      <w:r w:rsidRPr="005C18EC">
        <w:rPr>
          <w:rFonts w:cs="Arial"/>
        </w:rPr>
        <w:t xml:space="preserve">is considered to be as safe for </w:t>
      </w:r>
      <w:r w:rsidRPr="008F4BDF">
        <w:t>human consumption as food d</w:t>
      </w:r>
      <w:r>
        <w:t>erived from conventional corn</w:t>
      </w:r>
      <w:r w:rsidRPr="008F4BDF">
        <w:t xml:space="preserve"> cultivars.</w:t>
      </w:r>
    </w:p>
    <w:p w14:paraId="4D85864D" w14:textId="77777777" w:rsidR="00B96FD4" w:rsidRPr="008F4BDF" w:rsidRDefault="00B96FD4" w:rsidP="00B96FD4"/>
    <w:p w14:paraId="4D85864E" w14:textId="77777777" w:rsidR="00B96FD4" w:rsidRPr="00272E09" w:rsidRDefault="00B96FD4" w:rsidP="00B96FD4">
      <w:r>
        <w:t>The FSANZ Board has</w:t>
      </w:r>
      <w:r w:rsidRPr="00272E09">
        <w:t xml:space="preserve"> approve</w:t>
      </w:r>
      <w:r>
        <w:t>d</w:t>
      </w:r>
      <w:r w:rsidRPr="00272E09">
        <w:t xml:space="preserve"> draft variation</w:t>
      </w:r>
      <w:r w:rsidR="00923AAD">
        <w:t>s</w:t>
      </w:r>
      <w:r w:rsidRPr="00272E09">
        <w:t xml:space="preserve"> to </w:t>
      </w:r>
      <w:r w:rsidR="00923AAD">
        <w:t xml:space="preserve">the Schedule of </w:t>
      </w:r>
      <w:r w:rsidRPr="00272E09">
        <w:t>Standard 1.5.2</w:t>
      </w:r>
      <w:r w:rsidR="00923AAD">
        <w:t xml:space="preserve"> of the c</w:t>
      </w:r>
      <w:r w:rsidR="00BC367C">
        <w:t xml:space="preserve">urrent Code and to Schedule 26 </w:t>
      </w:r>
      <w:r w:rsidR="00923AAD">
        <w:t>of the revised Code that</w:t>
      </w:r>
      <w:r w:rsidR="00923AAD" w:rsidRPr="00272E09">
        <w:t xml:space="preserve"> </w:t>
      </w:r>
      <w:r w:rsidRPr="00272E09">
        <w:t xml:space="preserve">include </w:t>
      </w:r>
      <w:r w:rsidR="00923AAD">
        <w:t xml:space="preserve">a reference in each to </w:t>
      </w:r>
      <w:r w:rsidRPr="00272E09">
        <w:t xml:space="preserve">food derived from </w:t>
      </w:r>
      <w:r>
        <w:t>herbicide-tolerant and insect-protected corn line MON87411.</w:t>
      </w:r>
    </w:p>
    <w:p w14:paraId="4D85864F" w14:textId="77777777" w:rsidR="00C836FF" w:rsidRDefault="00C836FF" w:rsidP="00BC367C">
      <w:r>
        <w:br w:type="page"/>
      </w:r>
    </w:p>
    <w:p w14:paraId="4D858650" w14:textId="77777777" w:rsidR="007A53BF" w:rsidRPr="00A12647" w:rsidRDefault="007A53BF" w:rsidP="00CE59AA">
      <w:pPr>
        <w:pStyle w:val="Heading1"/>
        <w:rPr>
          <w:color w:val="000000" w:themeColor="text1"/>
          <w:szCs w:val="36"/>
        </w:rPr>
      </w:pPr>
      <w:bookmarkStart w:id="10" w:name="_Toc300933417"/>
      <w:bookmarkStart w:id="11" w:name="_Toc370223464"/>
      <w:bookmarkStart w:id="12" w:name="_Toc419907010"/>
      <w:r w:rsidRPr="00A12647">
        <w:rPr>
          <w:szCs w:val="36"/>
        </w:rPr>
        <w:lastRenderedPageBreak/>
        <w:t>1</w:t>
      </w:r>
      <w:r w:rsidRPr="00A12647">
        <w:rPr>
          <w:szCs w:val="36"/>
        </w:rPr>
        <w:tab/>
      </w:r>
      <w:r w:rsidRPr="00A12647">
        <w:rPr>
          <w:color w:val="000000" w:themeColor="text1"/>
          <w:szCs w:val="36"/>
        </w:rPr>
        <w:t>Introduction</w:t>
      </w:r>
      <w:bookmarkEnd w:id="10"/>
      <w:bookmarkEnd w:id="11"/>
      <w:bookmarkEnd w:id="12"/>
    </w:p>
    <w:p w14:paraId="4D858651" w14:textId="77777777" w:rsidR="007A53BF" w:rsidRPr="00A12647" w:rsidRDefault="007A53BF" w:rsidP="00CE59AA">
      <w:pPr>
        <w:pStyle w:val="Heading2"/>
        <w:rPr>
          <w:color w:val="000000" w:themeColor="text1"/>
          <w:szCs w:val="28"/>
        </w:rPr>
      </w:pPr>
      <w:bookmarkStart w:id="13" w:name="_Toc300761890"/>
      <w:bookmarkStart w:id="14" w:name="_Toc419907011"/>
      <w:bookmarkStart w:id="15" w:name="_Toc300933419"/>
      <w:bookmarkStart w:id="16" w:name="_Toc370223465"/>
      <w:r w:rsidRPr="00A12647">
        <w:rPr>
          <w:color w:val="000000" w:themeColor="text1"/>
          <w:szCs w:val="28"/>
        </w:rPr>
        <w:t>1.1</w:t>
      </w:r>
      <w:r w:rsidRPr="00A12647">
        <w:rPr>
          <w:color w:val="000000" w:themeColor="text1"/>
          <w:szCs w:val="28"/>
        </w:rPr>
        <w:tab/>
        <w:t>The Applicant</w:t>
      </w:r>
      <w:bookmarkEnd w:id="13"/>
      <w:bookmarkEnd w:id="14"/>
      <w:r w:rsidRPr="00A12647">
        <w:rPr>
          <w:color w:val="000000" w:themeColor="text1"/>
          <w:szCs w:val="28"/>
        </w:rPr>
        <w:t xml:space="preserve"> </w:t>
      </w:r>
      <w:bookmarkEnd w:id="15"/>
      <w:bookmarkEnd w:id="16"/>
    </w:p>
    <w:p w14:paraId="4D858652" w14:textId="77777777" w:rsidR="007A53BF" w:rsidRPr="00B96FD4" w:rsidRDefault="00B96FD4" w:rsidP="007A53BF">
      <w:pPr>
        <w:rPr>
          <w:color w:val="000000" w:themeColor="text1"/>
        </w:rPr>
      </w:pPr>
      <w:r w:rsidRPr="00B96FD4">
        <w:rPr>
          <w:color w:val="000000" w:themeColor="text1"/>
        </w:rPr>
        <w:t>Monsanto Australia Ltd is a technology provider to the agricultural and food industries.</w:t>
      </w:r>
    </w:p>
    <w:p w14:paraId="4D858653" w14:textId="77777777" w:rsidR="007A53BF" w:rsidRPr="00A12647" w:rsidRDefault="007A53BF" w:rsidP="00CE59AA">
      <w:pPr>
        <w:pStyle w:val="Heading2"/>
        <w:rPr>
          <w:color w:val="000000" w:themeColor="text1"/>
          <w:szCs w:val="28"/>
        </w:rPr>
      </w:pPr>
      <w:bookmarkStart w:id="17" w:name="_Toc300761891"/>
      <w:bookmarkStart w:id="18" w:name="_Toc300933420"/>
      <w:bookmarkStart w:id="19" w:name="_Toc370223466"/>
      <w:bookmarkStart w:id="20" w:name="_Toc419907012"/>
      <w:r w:rsidRPr="00A12647">
        <w:rPr>
          <w:color w:val="000000" w:themeColor="text1"/>
          <w:szCs w:val="28"/>
        </w:rPr>
        <w:t>1.2</w:t>
      </w:r>
      <w:r w:rsidRPr="00A12647">
        <w:rPr>
          <w:color w:val="000000" w:themeColor="text1"/>
          <w:szCs w:val="28"/>
        </w:rPr>
        <w:tab/>
        <w:t>The Application</w:t>
      </w:r>
      <w:bookmarkEnd w:id="17"/>
      <w:bookmarkEnd w:id="18"/>
      <w:bookmarkEnd w:id="19"/>
      <w:bookmarkEnd w:id="20"/>
    </w:p>
    <w:p w14:paraId="4D858654" w14:textId="77777777" w:rsidR="00B96FD4" w:rsidRDefault="00B96FD4" w:rsidP="00B96FD4">
      <w:pPr>
        <w:rPr>
          <w:color w:val="000000" w:themeColor="text1"/>
        </w:rPr>
      </w:pPr>
      <w:r>
        <w:rPr>
          <w:color w:val="000000" w:themeColor="text1"/>
        </w:rPr>
        <w:t>Application A1097</w:t>
      </w:r>
      <w:r w:rsidRPr="00B5032F">
        <w:rPr>
          <w:color w:val="000000" w:themeColor="text1"/>
        </w:rPr>
        <w:t xml:space="preserve"> was submitted by </w:t>
      </w:r>
      <w:r>
        <w:rPr>
          <w:color w:val="000000" w:themeColor="text1"/>
        </w:rPr>
        <w:t xml:space="preserve">Monsanto Australia Ltd </w:t>
      </w:r>
      <w:r>
        <w:rPr>
          <w:rFonts w:cs="Arial"/>
          <w:color w:val="000000" w:themeColor="text1"/>
        </w:rPr>
        <w:t>on 15 July 2014</w:t>
      </w:r>
      <w:r w:rsidRPr="00B5032F">
        <w:rPr>
          <w:rFonts w:cs="Arial"/>
          <w:color w:val="000000" w:themeColor="text1"/>
        </w:rPr>
        <w:t xml:space="preserve">. </w:t>
      </w:r>
      <w:r w:rsidRPr="00B5032F">
        <w:rPr>
          <w:color w:val="000000" w:themeColor="text1"/>
        </w:rPr>
        <w:t>It sought approval fo</w:t>
      </w:r>
      <w:r>
        <w:rPr>
          <w:color w:val="000000" w:themeColor="text1"/>
        </w:rPr>
        <w:t xml:space="preserve">r food derived from </w:t>
      </w:r>
      <w:r>
        <w:t xml:space="preserve">herbicide-tolerant and insect-protected </w:t>
      </w:r>
      <w:r>
        <w:rPr>
          <w:color w:val="000000" w:themeColor="text1"/>
        </w:rPr>
        <w:t>corn line MON87411</w:t>
      </w:r>
      <w:r w:rsidRPr="00B5032F">
        <w:rPr>
          <w:color w:val="000000" w:themeColor="text1"/>
        </w:rPr>
        <w:t xml:space="preserve"> </w:t>
      </w:r>
      <w:r>
        <w:t xml:space="preserve">(also referred to as MON87411) </w:t>
      </w:r>
      <w:r w:rsidRPr="00B5032F">
        <w:rPr>
          <w:color w:val="000000" w:themeColor="text1"/>
        </w:rPr>
        <w:t>under Standard 1.5.2 – Food produced using Gene Technology.</w:t>
      </w:r>
    </w:p>
    <w:p w14:paraId="4D858655" w14:textId="77777777" w:rsidR="00B96FD4" w:rsidRDefault="00B96FD4" w:rsidP="00B96FD4">
      <w:pPr>
        <w:rPr>
          <w:color w:val="000000" w:themeColor="text1"/>
        </w:rPr>
      </w:pPr>
    </w:p>
    <w:p w14:paraId="4D858656" w14:textId="77777777" w:rsidR="00B96FD4" w:rsidRDefault="00B96FD4" w:rsidP="00B96FD4">
      <w:pPr>
        <w:rPr>
          <w:rFonts w:cs="Arial"/>
          <w:color w:val="000000" w:themeColor="text1"/>
        </w:rPr>
      </w:pPr>
      <w:r>
        <w:rPr>
          <w:rFonts w:cs="Arial"/>
          <w:color w:val="000000" w:themeColor="text1"/>
        </w:rPr>
        <w:t xml:space="preserve">MON87411 </w:t>
      </w:r>
      <w:r w:rsidRPr="00890152">
        <w:rPr>
          <w:rFonts w:cs="Arial"/>
          <w:color w:val="000000" w:themeColor="text1"/>
        </w:rPr>
        <w:t xml:space="preserve">has been modified such that it is both tolerant to the herbicide glyphosate </w:t>
      </w:r>
      <w:r>
        <w:rPr>
          <w:rFonts w:cs="Arial"/>
          <w:color w:val="000000" w:themeColor="text1"/>
        </w:rPr>
        <w:t>and protected against corn root</w:t>
      </w:r>
      <w:r w:rsidRPr="00890152">
        <w:rPr>
          <w:rFonts w:cs="Arial"/>
          <w:color w:val="000000" w:themeColor="text1"/>
        </w:rPr>
        <w:t>worm</w:t>
      </w:r>
      <w:r>
        <w:rPr>
          <w:rFonts w:cs="Arial"/>
          <w:color w:val="000000" w:themeColor="text1"/>
        </w:rPr>
        <w:t>, particularly western corn rootworm.</w:t>
      </w:r>
    </w:p>
    <w:p w14:paraId="4D858657" w14:textId="77777777" w:rsidR="00B96FD4" w:rsidRDefault="00B96FD4" w:rsidP="00B96FD4">
      <w:pPr>
        <w:rPr>
          <w:rFonts w:cs="Arial"/>
          <w:color w:val="000000" w:themeColor="text1"/>
        </w:rPr>
      </w:pPr>
    </w:p>
    <w:p w14:paraId="4D858658" w14:textId="77777777" w:rsidR="00B96FD4" w:rsidRPr="00890152" w:rsidRDefault="00B96FD4" w:rsidP="00B96FD4">
      <w:pPr>
        <w:autoSpaceDE w:val="0"/>
        <w:autoSpaceDN w:val="0"/>
        <w:adjustRightInd w:val="0"/>
        <w:rPr>
          <w:rFonts w:cs="Arial"/>
          <w:color w:val="000000" w:themeColor="text1"/>
        </w:rPr>
      </w:pPr>
      <w:r w:rsidRPr="00890152">
        <w:rPr>
          <w:rFonts w:cs="Arial"/>
          <w:color w:val="000000" w:themeColor="text1"/>
        </w:rPr>
        <w:t xml:space="preserve">Tolerance to glyphosate is achieved through expression of the enzyme 5-enolpyruvyl-3-shikimatephosphate </w:t>
      </w:r>
      <w:r w:rsidRPr="00DB35F2">
        <w:rPr>
          <w:rFonts w:cs="Arial"/>
          <w:color w:val="000000" w:themeColor="text1"/>
        </w:rPr>
        <w:t>synthase (CP4 EPSPS)</w:t>
      </w:r>
      <w:r w:rsidRPr="00890152">
        <w:rPr>
          <w:rFonts w:cs="Arial"/>
          <w:color w:val="000000" w:themeColor="text1"/>
        </w:rPr>
        <w:t xml:space="preserve"> encoded by the </w:t>
      </w:r>
      <w:r w:rsidRPr="00890152">
        <w:rPr>
          <w:rFonts w:cs="Arial"/>
          <w:i/>
          <w:iCs/>
          <w:color w:val="000000" w:themeColor="text1"/>
        </w:rPr>
        <w:t xml:space="preserve">cp4epsps </w:t>
      </w:r>
      <w:r w:rsidRPr="00890152">
        <w:rPr>
          <w:rFonts w:cs="Arial"/>
          <w:color w:val="000000" w:themeColor="text1"/>
        </w:rPr>
        <w:t xml:space="preserve">gene derived from the common soil bacterium </w:t>
      </w:r>
      <w:r w:rsidRPr="00890152">
        <w:rPr>
          <w:rFonts w:cs="Arial"/>
          <w:i/>
          <w:iCs/>
          <w:color w:val="000000" w:themeColor="text1"/>
        </w:rPr>
        <w:t xml:space="preserve">Agrobacterium </w:t>
      </w:r>
      <w:r w:rsidRPr="00890152">
        <w:rPr>
          <w:rFonts w:cs="Arial"/>
          <w:iCs/>
          <w:color w:val="000000" w:themeColor="text1"/>
        </w:rPr>
        <w:t xml:space="preserve">sp. </w:t>
      </w:r>
      <w:r>
        <w:rPr>
          <w:rFonts w:cs="Arial"/>
          <w:iCs/>
          <w:color w:val="000000" w:themeColor="text1"/>
        </w:rPr>
        <w:t xml:space="preserve">strain CP4. </w:t>
      </w:r>
      <w:r w:rsidRPr="00890152">
        <w:rPr>
          <w:rFonts w:cs="Arial"/>
          <w:color w:val="000000" w:themeColor="text1"/>
        </w:rPr>
        <w:t>The CP4 EPSPS protein in</w:t>
      </w:r>
      <w:r>
        <w:rPr>
          <w:rFonts w:cs="Arial"/>
          <w:color w:val="000000" w:themeColor="text1"/>
        </w:rPr>
        <w:t xml:space="preserve"> corn line MON87411 is identical</w:t>
      </w:r>
      <w:r w:rsidRPr="00890152">
        <w:rPr>
          <w:rFonts w:cs="Arial"/>
          <w:color w:val="000000" w:themeColor="text1"/>
        </w:rPr>
        <w:t xml:space="preserve"> to the CP4 EP</w:t>
      </w:r>
      <w:r>
        <w:rPr>
          <w:rFonts w:cs="Arial"/>
          <w:color w:val="000000" w:themeColor="text1"/>
        </w:rPr>
        <w:t>SPS protein present in 14 other</w:t>
      </w:r>
      <w:r w:rsidRPr="00890152">
        <w:rPr>
          <w:rFonts w:cs="Arial"/>
          <w:color w:val="000000" w:themeColor="text1"/>
        </w:rPr>
        <w:t xml:space="preserve"> lines that have been </w:t>
      </w:r>
      <w:r>
        <w:rPr>
          <w:rFonts w:cs="Arial"/>
          <w:color w:val="000000" w:themeColor="text1"/>
        </w:rPr>
        <w:t>developed by Monsanto and approved by FSANZ.</w:t>
      </w:r>
    </w:p>
    <w:p w14:paraId="4D858659" w14:textId="77777777" w:rsidR="00B96FD4" w:rsidRPr="00890152" w:rsidRDefault="00B96FD4" w:rsidP="00B96FD4">
      <w:pPr>
        <w:autoSpaceDE w:val="0"/>
        <w:autoSpaceDN w:val="0"/>
        <w:adjustRightInd w:val="0"/>
        <w:rPr>
          <w:rFonts w:cs="Arial"/>
          <w:color w:val="000000" w:themeColor="text1"/>
        </w:rPr>
      </w:pPr>
    </w:p>
    <w:p w14:paraId="4D85865A" w14:textId="77777777" w:rsidR="00B96FD4" w:rsidRDefault="00B96FD4" w:rsidP="00B96FD4">
      <w:pPr>
        <w:autoSpaceDE w:val="0"/>
        <w:autoSpaceDN w:val="0"/>
        <w:adjustRightInd w:val="0"/>
        <w:rPr>
          <w:rFonts w:cs="Arial"/>
          <w:color w:val="000000" w:themeColor="text1"/>
        </w:rPr>
      </w:pPr>
      <w:r>
        <w:rPr>
          <w:rFonts w:cs="Arial"/>
          <w:color w:val="000000" w:themeColor="text1"/>
        </w:rPr>
        <w:t>Protection against corn rootworm</w:t>
      </w:r>
      <w:r w:rsidRPr="00890152">
        <w:rPr>
          <w:rFonts w:cs="Arial"/>
          <w:color w:val="000000" w:themeColor="text1"/>
        </w:rPr>
        <w:t xml:space="preserve"> occurs via two genetic modifications:</w:t>
      </w:r>
    </w:p>
    <w:p w14:paraId="4D85865B" w14:textId="77777777" w:rsidR="00B96FD4" w:rsidRPr="00890152" w:rsidRDefault="00B96FD4" w:rsidP="00B96FD4">
      <w:pPr>
        <w:autoSpaceDE w:val="0"/>
        <w:autoSpaceDN w:val="0"/>
        <w:adjustRightInd w:val="0"/>
        <w:rPr>
          <w:rFonts w:cs="Arial"/>
          <w:color w:val="000000" w:themeColor="text1"/>
        </w:rPr>
      </w:pPr>
    </w:p>
    <w:p w14:paraId="4D85865C" w14:textId="77777777" w:rsidR="00B96FD4" w:rsidRDefault="00B96FD4" w:rsidP="005A2DF3">
      <w:pPr>
        <w:pStyle w:val="FSBullet1"/>
        <w:numPr>
          <w:ilvl w:val="0"/>
          <w:numId w:val="6"/>
        </w:numPr>
        <w:ind w:left="567" w:hanging="567"/>
      </w:pPr>
      <w:r w:rsidRPr="00890152">
        <w:t xml:space="preserve">The expression of a </w:t>
      </w:r>
      <w:r w:rsidRPr="00890152">
        <w:rPr>
          <w:i/>
          <w:iCs/>
        </w:rPr>
        <w:t xml:space="preserve">cry3Bb1 </w:t>
      </w:r>
      <w:r w:rsidRPr="00890152">
        <w:t xml:space="preserve">gene that produces a modified </w:t>
      </w:r>
      <w:r w:rsidRPr="00890152">
        <w:rPr>
          <w:i/>
          <w:iCs/>
        </w:rPr>
        <w:t xml:space="preserve">Bacillus thuringiensis </w:t>
      </w:r>
      <w:r w:rsidRPr="00890152">
        <w:t xml:space="preserve">(subsp. </w:t>
      </w:r>
      <w:r w:rsidRPr="00890152">
        <w:rPr>
          <w:i/>
          <w:iCs/>
        </w:rPr>
        <w:t>kumamotoensis</w:t>
      </w:r>
      <w:r w:rsidRPr="00890152">
        <w:t>) Cry3Bb</w:t>
      </w:r>
      <w:r>
        <w:t>1 protein to protect against</w:t>
      </w:r>
      <w:r w:rsidRPr="00890152">
        <w:t xml:space="preserve"> larval feeding. The safety of the Cry3Bb1 protein has been previously assessed by FSANZ in two other </w:t>
      </w:r>
      <w:r>
        <w:t xml:space="preserve">approvals involving </w:t>
      </w:r>
      <w:r w:rsidRPr="00890152">
        <w:t>corn ro</w:t>
      </w:r>
      <w:r>
        <w:t>otworm-protection</w:t>
      </w:r>
      <w:r w:rsidRPr="00890152">
        <w:t xml:space="preserve">. </w:t>
      </w:r>
    </w:p>
    <w:p w14:paraId="4D85865D" w14:textId="77777777" w:rsidR="00B96FD4" w:rsidRPr="00ED15F9" w:rsidRDefault="00B96FD4" w:rsidP="00B96FD4"/>
    <w:p w14:paraId="4D85865E" w14:textId="77777777" w:rsidR="00F17C8A" w:rsidRDefault="00B96FD4" w:rsidP="00F17C8A">
      <w:pPr>
        <w:pStyle w:val="FSBullet1"/>
        <w:numPr>
          <w:ilvl w:val="0"/>
          <w:numId w:val="6"/>
        </w:numPr>
        <w:ind w:left="567" w:hanging="567"/>
      </w:pPr>
      <w:r w:rsidRPr="00890152">
        <w:t>The expression of a suppression cassette containing an inverted repeat sequence from the western corn rootworm (</w:t>
      </w:r>
      <w:r w:rsidRPr="00890152">
        <w:rPr>
          <w:i/>
        </w:rPr>
        <w:t>Diabrotica virgifera virgifera</w:t>
      </w:r>
      <w:r w:rsidRPr="00890152">
        <w:t xml:space="preserve">) </w:t>
      </w:r>
      <w:r w:rsidRPr="00890152">
        <w:rPr>
          <w:i/>
        </w:rPr>
        <w:t>Snf7</w:t>
      </w:r>
      <w:r w:rsidRPr="00890152">
        <w:t xml:space="preserve"> gene. This sequence is expressed in </w:t>
      </w:r>
      <w:r w:rsidRPr="00DB35F2">
        <w:t xml:space="preserve">the tissue of corn line MON87411 and results in the formation of a double-stranded RNA (dsRNA) transcript containing a fragment of the </w:t>
      </w:r>
      <w:r w:rsidRPr="00DB35F2">
        <w:rPr>
          <w:i/>
        </w:rPr>
        <w:t xml:space="preserve">Snf7 </w:t>
      </w:r>
      <w:r w:rsidRPr="00DB35F2">
        <w:t xml:space="preserve">gene. </w:t>
      </w:r>
      <w:r>
        <w:t>When</w:t>
      </w:r>
      <w:r w:rsidRPr="00DB35F2">
        <w:t xml:space="preserve"> plant tissue is ingested by corn rootworm, the plant-produced dsRNA is recognised by the corn rootworm RNA interference (RNAi) machinery and results in down-regulation of the endogenous </w:t>
      </w:r>
      <w:r w:rsidRPr="00DB35F2">
        <w:rPr>
          <w:i/>
        </w:rPr>
        <w:t>Snf7</w:t>
      </w:r>
      <w:r w:rsidRPr="00DB35F2">
        <w:t xml:space="preserve"> gene and subsequent death</w:t>
      </w:r>
      <w:r>
        <w:t xml:space="preserve"> of the insect.</w:t>
      </w:r>
    </w:p>
    <w:p w14:paraId="4D85865F" w14:textId="77777777" w:rsidR="00F17C8A" w:rsidRDefault="00F17C8A" w:rsidP="00F17C8A">
      <w:pPr>
        <w:rPr>
          <w:lang w:bidi="ar-SA"/>
        </w:rPr>
      </w:pPr>
    </w:p>
    <w:p w14:paraId="4D858660" w14:textId="77777777" w:rsidR="00F17C8A" w:rsidRPr="00F17C8A" w:rsidRDefault="00F17C8A" w:rsidP="00F17C8A">
      <w:pPr>
        <w:rPr>
          <w:lang w:bidi="ar-SA"/>
        </w:rPr>
      </w:pPr>
      <w:r w:rsidRPr="00DB652B">
        <w:rPr>
          <w:rFonts w:cs="Arial"/>
          <w:color w:val="000000" w:themeColor="text1"/>
          <w:szCs w:val="22"/>
        </w:rPr>
        <w:t xml:space="preserve">According to the Applicant, MON87411 </w:t>
      </w:r>
      <w:r w:rsidRPr="00980AF7">
        <w:rPr>
          <w:color w:val="000000" w:themeColor="text1"/>
          <w:szCs w:val="22"/>
        </w:rPr>
        <w:t>will not be offered for commercial use as a stand-alone product, but will be combined, through traditional breeding, with other approved GM corn lines (a process known as ‘stacking’).</w:t>
      </w:r>
    </w:p>
    <w:p w14:paraId="4D858661" w14:textId="77777777" w:rsidR="007A53BF" w:rsidRPr="00A12647" w:rsidRDefault="007A53BF" w:rsidP="00CE59AA">
      <w:pPr>
        <w:pStyle w:val="Heading2"/>
        <w:rPr>
          <w:szCs w:val="28"/>
        </w:rPr>
      </w:pPr>
      <w:bookmarkStart w:id="21" w:name="_Toc300761892"/>
      <w:bookmarkStart w:id="22" w:name="_Toc300933421"/>
      <w:bookmarkStart w:id="23" w:name="_Toc370223467"/>
      <w:bookmarkStart w:id="24" w:name="_Toc419907013"/>
      <w:r w:rsidRPr="00A12647">
        <w:rPr>
          <w:szCs w:val="28"/>
        </w:rPr>
        <w:t>1.3</w:t>
      </w:r>
      <w:r w:rsidRPr="00A12647">
        <w:rPr>
          <w:szCs w:val="28"/>
        </w:rPr>
        <w:tab/>
        <w:t>The current Standard</w:t>
      </w:r>
      <w:bookmarkEnd w:id="21"/>
      <w:bookmarkEnd w:id="22"/>
      <w:bookmarkEnd w:id="23"/>
      <w:bookmarkEnd w:id="24"/>
    </w:p>
    <w:p w14:paraId="4D858662" w14:textId="77777777" w:rsidR="00B96FD4" w:rsidRDefault="00B96FD4" w:rsidP="00B96FD4">
      <w:r>
        <w:t xml:space="preserve">Standard 1.5.2 </w:t>
      </w:r>
      <w:r w:rsidRPr="007A623F">
        <w:rPr>
          <w:color w:val="000000" w:themeColor="text1"/>
        </w:rPr>
        <w:t>sets out the permission and conditions for</w:t>
      </w:r>
      <w:r>
        <w:t xml:space="preserve"> the sale and use of food produced using gene technology (a GM food). </w:t>
      </w:r>
    </w:p>
    <w:p w14:paraId="4D858663" w14:textId="77777777" w:rsidR="00B96FD4" w:rsidRDefault="00B96FD4" w:rsidP="00B96FD4"/>
    <w:p w14:paraId="4D858664" w14:textId="77777777" w:rsidR="00B96FD4" w:rsidRPr="005C18EC" w:rsidRDefault="00B96FD4" w:rsidP="00B96FD4">
      <w:r w:rsidRPr="005C18EC">
        <w:t xml:space="preserve">Pre-market approval is necessary </w:t>
      </w:r>
      <w:r w:rsidRPr="00514098">
        <w:t>before a GM food may enter</w:t>
      </w:r>
      <w:r w:rsidRPr="005C18EC">
        <w:t xml:space="preserve"> the Australian and New Zealand food supply. Approval of </w:t>
      </w:r>
      <w:r>
        <w:t>such</w:t>
      </w:r>
      <w:r w:rsidRPr="005C18EC">
        <w:t xml:space="preserve"> foods under Standard 1.5.2 is contingent on completion of a comprehensive pre-market safety assessment. Foods that have been assessed and approved are listed in the Schedule to the Standard. </w:t>
      </w:r>
    </w:p>
    <w:p w14:paraId="4D858665" w14:textId="77777777" w:rsidR="00B96FD4" w:rsidRPr="008F4BDF" w:rsidRDefault="00B96FD4" w:rsidP="00B96FD4"/>
    <w:p w14:paraId="4D858666" w14:textId="77777777" w:rsidR="00F17C8A" w:rsidRDefault="00F17C8A">
      <w:pPr>
        <w:widowControl/>
      </w:pPr>
      <w:r>
        <w:br w:type="page"/>
      </w:r>
    </w:p>
    <w:p w14:paraId="4D858667" w14:textId="77777777" w:rsidR="007A53BF" w:rsidRDefault="00B96FD4" w:rsidP="007A53BF">
      <w:r w:rsidRPr="008F4BDF">
        <w:lastRenderedPageBreak/>
        <w:t xml:space="preserve">Standard 1.5.2 contains specific labelling provisions for approved GM foods. </w:t>
      </w:r>
      <w:r>
        <w:t xml:space="preserve">Such foods </w:t>
      </w:r>
      <w:r w:rsidRPr="008F4BDF">
        <w:t>must be identified on labels with the words ‘genetically modified’, if novel DNA and/or novel protein</w:t>
      </w:r>
      <w:r>
        <w:t xml:space="preserve"> (as defined in Standard 1.5.2)</w:t>
      </w:r>
      <w:r w:rsidRPr="008F4BDF">
        <w:t xml:space="preserve"> </w:t>
      </w:r>
      <w:r>
        <w:t>is</w:t>
      </w:r>
      <w:r w:rsidRPr="008F4BDF">
        <w:t xml:space="preserve"> present in the final food, or the food has altered characteristics. In the latter case</w:t>
      </w:r>
      <w:r w:rsidR="006E71C9">
        <w:t>,</w:t>
      </w:r>
      <w:r w:rsidRPr="008F4BDF">
        <w:t xml:space="preserve"> the Standard </w:t>
      </w:r>
      <w:r w:rsidR="006E71C9">
        <w:t xml:space="preserve">may also </w:t>
      </w:r>
      <w:r w:rsidR="00CB2E47">
        <w:t>specify</w:t>
      </w:r>
      <w:r w:rsidRPr="008F4BDF">
        <w:t xml:space="preserve"> additional labelling about the nature of the altered characteristics.</w:t>
      </w:r>
    </w:p>
    <w:p w14:paraId="4D858668" w14:textId="77777777" w:rsidR="00923AAD" w:rsidRDefault="00923AAD" w:rsidP="007A53BF"/>
    <w:p w14:paraId="4D858669" w14:textId="77777777" w:rsidR="00923AAD" w:rsidRPr="00B96FD4" w:rsidRDefault="00923AAD" w:rsidP="007A53BF">
      <w:r>
        <w:t>Standard 1.5.2 is replicated in the revised Code. The relevant Schedule in that version of the Code is Schedule 26.</w:t>
      </w:r>
    </w:p>
    <w:p w14:paraId="4D85866A" w14:textId="77777777" w:rsidR="007A53BF" w:rsidRPr="00A12647" w:rsidRDefault="007A53BF" w:rsidP="00CE59AA">
      <w:pPr>
        <w:pStyle w:val="Heading2"/>
        <w:rPr>
          <w:color w:val="000000" w:themeColor="text1"/>
          <w:szCs w:val="28"/>
          <w:u w:color="FFFF00"/>
        </w:rPr>
      </w:pPr>
      <w:bookmarkStart w:id="25" w:name="_Toc286391007"/>
      <w:bookmarkStart w:id="26" w:name="_Toc300933423"/>
      <w:bookmarkStart w:id="27" w:name="_Toc370223468"/>
      <w:bookmarkStart w:id="28" w:name="_Toc419907014"/>
      <w:bookmarkStart w:id="29" w:name="_Toc175381432"/>
      <w:r w:rsidRPr="00A12647">
        <w:rPr>
          <w:color w:val="000000" w:themeColor="text1"/>
          <w:szCs w:val="28"/>
          <w:u w:color="FFFF00"/>
        </w:rPr>
        <w:t>1.4</w:t>
      </w:r>
      <w:r w:rsidRPr="00A12647">
        <w:rPr>
          <w:color w:val="000000" w:themeColor="text1"/>
          <w:szCs w:val="28"/>
          <w:u w:color="FFFF00"/>
        </w:rPr>
        <w:tab/>
        <w:t xml:space="preserve">Reasons for accepting </w:t>
      </w:r>
      <w:r w:rsidR="00B96FD4" w:rsidRPr="00A12647">
        <w:rPr>
          <w:color w:val="000000" w:themeColor="text1"/>
          <w:szCs w:val="28"/>
          <w:u w:color="FFFF00"/>
        </w:rPr>
        <w:t xml:space="preserve">the </w:t>
      </w:r>
      <w:r w:rsidRPr="00A12647">
        <w:rPr>
          <w:color w:val="000000" w:themeColor="text1"/>
          <w:szCs w:val="28"/>
          <w:u w:color="FFFF00"/>
        </w:rPr>
        <w:t>Application</w:t>
      </w:r>
      <w:bookmarkEnd w:id="25"/>
      <w:bookmarkEnd w:id="26"/>
      <w:bookmarkEnd w:id="27"/>
      <w:bookmarkEnd w:id="28"/>
    </w:p>
    <w:bookmarkEnd w:id="29"/>
    <w:p w14:paraId="4D85866B" w14:textId="77777777" w:rsidR="00B96FD4" w:rsidRPr="00B96FD4" w:rsidRDefault="00B96FD4" w:rsidP="00B96FD4">
      <w:pPr>
        <w:rPr>
          <w:color w:val="000000" w:themeColor="text1"/>
        </w:rPr>
      </w:pPr>
      <w:r w:rsidRPr="00B96FD4">
        <w:rPr>
          <w:color w:val="000000" w:themeColor="text1"/>
        </w:rPr>
        <w:t>The Application was accepted for assessment because:</w:t>
      </w:r>
    </w:p>
    <w:p w14:paraId="4D85866C" w14:textId="77777777" w:rsidR="00B96FD4" w:rsidRPr="00B96FD4" w:rsidRDefault="00B96FD4" w:rsidP="00B96FD4">
      <w:pPr>
        <w:rPr>
          <w:color w:val="000000" w:themeColor="text1"/>
        </w:rPr>
      </w:pPr>
    </w:p>
    <w:p w14:paraId="4D85866D" w14:textId="77777777" w:rsidR="00B96FD4" w:rsidRPr="00B96FD4" w:rsidRDefault="00B96FD4" w:rsidP="005A2DF3">
      <w:pPr>
        <w:pStyle w:val="FSBullet"/>
        <w:numPr>
          <w:ilvl w:val="0"/>
          <w:numId w:val="7"/>
        </w:numPr>
        <w:ind w:left="567" w:hanging="567"/>
        <w:rPr>
          <w:color w:val="000000" w:themeColor="text1"/>
        </w:rPr>
      </w:pPr>
      <w:r w:rsidRPr="00B96FD4">
        <w:rPr>
          <w:color w:val="000000" w:themeColor="text1"/>
        </w:rPr>
        <w:t>it complied with the procedural requirements under subsection 22(2) of the FSANZ Act</w:t>
      </w:r>
    </w:p>
    <w:p w14:paraId="4D85866E" w14:textId="77777777" w:rsidR="00B96FD4" w:rsidRPr="00B96FD4" w:rsidRDefault="00B96FD4" w:rsidP="005A2DF3">
      <w:pPr>
        <w:pStyle w:val="FSBullet"/>
        <w:numPr>
          <w:ilvl w:val="0"/>
          <w:numId w:val="7"/>
        </w:numPr>
        <w:ind w:left="567" w:hanging="567"/>
        <w:rPr>
          <w:color w:val="000000" w:themeColor="text1"/>
        </w:rPr>
      </w:pPr>
      <w:r w:rsidRPr="00B96FD4">
        <w:rPr>
          <w:color w:val="000000" w:themeColor="text1"/>
        </w:rPr>
        <w:t>it related to a matter that warranted the variation of a food regulatory measure</w:t>
      </w:r>
    </w:p>
    <w:p w14:paraId="4D85866F" w14:textId="77777777" w:rsidR="00B96FD4" w:rsidRPr="00B96FD4" w:rsidRDefault="00B96FD4" w:rsidP="005A2DF3">
      <w:pPr>
        <w:pStyle w:val="FSBullet1"/>
        <w:numPr>
          <w:ilvl w:val="0"/>
          <w:numId w:val="5"/>
        </w:numPr>
        <w:ind w:left="567" w:hanging="567"/>
        <w:rPr>
          <w:color w:val="000000" w:themeColor="text1"/>
        </w:rPr>
      </w:pPr>
      <w:r w:rsidRPr="00B96FD4">
        <w:rPr>
          <w:color w:val="000000" w:themeColor="text1"/>
        </w:rPr>
        <w:t xml:space="preserve">it was not so similar to a previous application for the variation of a food regulatory </w:t>
      </w:r>
    </w:p>
    <w:p w14:paraId="4D858670" w14:textId="77777777" w:rsidR="00B96FD4" w:rsidRPr="00B96FD4" w:rsidRDefault="00B96FD4" w:rsidP="00B96FD4">
      <w:pPr>
        <w:pStyle w:val="FSBullet1"/>
        <w:numPr>
          <w:ilvl w:val="0"/>
          <w:numId w:val="0"/>
        </w:numPr>
        <w:ind w:left="567"/>
        <w:rPr>
          <w:color w:val="000000" w:themeColor="text1"/>
        </w:rPr>
      </w:pPr>
      <w:proofErr w:type="gramStart"/>
      <w:r w:rsidRPr="00B96FD4">
        <w:rPr>
          <w:color w:val="000000" w:themeColor="text1"/>
        </w:rPr>
        <w:t>measure</w:t>
      </w:r>
      <w:proofErr w:type="gramEnd"/>
      <w:r w:rsidRPr="00B96FD4">
        <w:rPr>
          <w:color w:val="000000" w:themeColor="text1"/>
        </w:rPr>
        <w:t xml:space="preserve"> that it ought to be rejected.</w:t>
      </w:r>
    </w:p>
    <w:p w14:paraId="4D858671" w14:textId="77777777" w:rsidR="007A53BF" w:rsidRPr="00A12647" w:rsidRDefault="007A53BF" w:rsidP="00CE59AA">
      <w:pPr>
        <w:pStyle w:val="Heading2"/>
        <w:rPr>
          <w:color w:val="000000" w:themeColor="text1"/>
          <w:szCs w:val="28"/>
        </w:rPr>
      </w:pPr>
      <w:bookmarkStart w:id="30" w:name="_Toc370223469"/>
      <w:bookmarkStart w:id="31" w:name="_Toc419907015"/>
      <w:r w:rsidRPr="00A12647">
        <w:rPr>
          <w:color w:val="000000" w:themeColor="text1"/>
          <w:szCs w:val="28"/>
        </w:rPr>
        <w:t>1.5</w:t>
      </w:r>
      <w:r w:rsidRPr="00A12647">
        <w:rPr>
          <w:color w:val="000000" w:themeColor="text1"/>
          <w:szCs w:val="28"/>
        </w:rPr>
        <w:tab/>
        <w:t>Procedure for assessment</w:t>
      </w:r>
      <w:bookmarkEnd w:id="30"/>
      <w:bookmarkEnd w:id="31"/>
    </w:p>
    <w:p w14:paraId="4D858672" w14:textId="77777777" w:rsidR="00AF397D" w:rsidRPr="00B96FD4" w:rsidRDefault="00AF397D" w:rsidP="00AF397D">
      <w:pPr>
        <w:rPr>
          <w:color w:val="000000" w:themeColor="text1"/>
        </w:rPr>
      </w:pPr>
      <w:r w:rsidRPr="00B96FD4">
        <w:rPr>
          <w:color w:val="000000" w:themeColor="text1"/>
        </w:rPr>
        <w:t>The Application was assessed under the General Procedure.</w:t>
      </w:r>
    </w:p>
    <w:p w14:paraId="4D858673" w14:textId="77777777" w:rsidR="00422EC9" w:rsidRPr="00A12647" w:rsidRDefault="007A53BF" w:rsidP="00422EC9">
      <w:pPr>
        <w:pStyle w:val="Heading2"/>
        <w:rPr>
          <w:szCs w:val="28"/>
        </w:rPr>
      </w:pPr>
      <w:bookmarkStart w:id="32" w:name="_Toc419907016"/>
      <w:r w:rsidRPr="00A12647">
        <w:rPr>
          <w:szCs w:val="28"/>
        </w:rPr>
        <w:t>1</w:t>
      </w:r>
      <w:r w:rsidR="00422EC9" w:rsidRPr="00A12647">
        <w:rPr>
          <w:szCs w:val="28"/>
        </w:rPr>
        <w:t>.6</w:t>
      </w:r>
      <w:r w:rsidR="00422EC9" w:rsidRPr="00A12647">
        <w:rPr>
          <w:szCs w:val="28"/>
        </w:rPr>
        <w:tab/>
        <w:t>Decision</w:t>
      </w:r>
      <w:bookmarkEnd w:id="32"/>
    </w:p>
    <w:p w14:paraId="4D858674" w14:textId="77777777" w:rsidR="00923AAD" w:rsidRDefault="00BF4974" w:rsidP="00BF4974">
      <w:pPr>
        <w:rPr>
          <w:color w:val="000000" w:themeColor="text1"/>
        </w:rPr>
      </w:pPr>
      <w:r w:rsidRPr="00BD0B3A">
        <w:rPr>
          <w:color w:val="000000" w:themeColor="text1"/>
        </w:rPr>
        <w:t>The draft variation to Standard 1.5.2</w:t>
      </w:r>
      <w:r w:rsidR="00923AAD">
        <w:rPr>
          <w:color w:val="000000" w:themeColor="text1"/>
        </w:rPr>
        <w:t xml:space="preserve"> of the current Code</w:t>
      </w:r>
      <w:r w:rsidRPr="00BD0B3A">
        <w:rPr>
          <w:color w:val="000000" w:themeColor="text1"/>
        </w:rPr>
        <w:t>, as proposed following assessment, was approved without change</w:t>
      </w:r>
      <w:r w:rsidRPr="00F810AD">
        <w:rPr>
          <w:color w:val="000000" w:themeColor="text1"/>
        </w:rPr>
        <w:t xml:space="preserve">. </w:t>
      </w:r>
      <w:r w:rsidR="00923AAD">
        <w:rPr>
          <w:color w:val="000000" w:themeColor="text1"/>
        </w:rPr>
        <w:t xml:space="preserve"> As a consequence, </w:t>
      </w:r>
      <w:r w:rsidR="003559F5">
        <w:rPr>
          <w:color w:val="000000" w:themeColor="text1"/>
        </w:rPr>
        <w:t>a</w:t>
      </w:r>
      <w:r w:rsidR="00923AAD" w:rsidRPr="00BD0B3A">
        <w:rPr>
          <w:color w:val="000000" w:themeColor="text1"/>
        </w:rPr>
        <w:t xml:space="preserve"> draft variation to </w:t>
      </w:r>
      <w:r w:rsidR="00923AAD">
        <w:rPr>
          <w:color w:val="000000" w:themeColor="text1"/>
        </w:rPr>
        <w:t>Schedule 26 of the revised Code was also approved.</w:t>
      </w:r>
    </w:p>
    <w:p w14:paraId="4D858675" w14:textId="77777777" w:rsidR="00923AAD" w:rsidRDefault="00923AAD" w:rsidP="00BF4974">
      <w:pPr>
        <w:rPr>
          <w:color w:val="000000" w:themeColor="text1"/>
        </w:rPr>
      </w:pPr>
    </w:p>
    <w:p w14:paraId="4D858676" w14:textId="77777777" w:rsidR="00BF4974" w:rsidRDefault="00923AAD" w:rsidP="00BF4974">
      <w:pPr>
        <w:rPr>
          <w:rFonts w:cs="Arial"/>
          <w:color w:val="000000" w:themeColor="text1"/>
        </w:rPr>
      </w:pPr>
      <w:r w:rsidRPr="00BD0B3A">
        <w:rPr>
          <w:color w:val="000000" w:themeColor="text1"/>
        </w:rPr>
        <w:t xml:space="preserve">The </w:t>
      </w:r>
      <w:r w:rsidR="003559F5">
        <w:rPr>
          <w:color w:val="000000" w:themeColor="text1"/>
        </w:rPr>
        <w:t xml:space="preserve">approved </w:t>
      </w:r>
      <w:r w:rsidRPr="00BD0B3A">
        <w:rPr>
          <w:color w:val="000000" w:themeColor="text1"/>
        </w:rPr>
        <w:t>draft variation to Standard 1.5.2</w:t>
      </w:r>
      <w:r>
        <w:rPr>
          <w:color w:val="000000" w:themeColor="text1"/>
        </w:rPr>
        <w:t xml:space="preserve"> of the current Code</w:t>
      </w:r>
      <w:r w:rsidRPr="00F810AD" w:rsidDel="00923AAD">
        <w:rPr>
          <w:rFonts w:cs="Arial"/>
          <w:color w:val="000000" w:themeColor="text1"/>
        </w:rPr>
        <w:t xml:space="preserve"> </w:t>
      </w:r>
      <w:r w:rsidR="00D5587A">
        <w:rPr>
          <w:rFonts w:cs="Arial"/>
          <w:color w:val="000000" w:themeColor="text1"/>
        </w:rPr>
        <w:t>takes effect on gazettal.</w:t>
      </w:r>
    </w:p>
    <w:p w14:paraId="4D858677" w14:textId="77777777" w:rsidR="00923AAD" w:rsidRDefault="00923AAD" w:rsidP="00BF4974">
      <w:pPr>
        <w:rPr>
          <w:rFonts w:cs="Arial"/>
          <w:color w:val="000000" w:themeColor="text1"/>
        </w:rPr>
      </w:pPr>
    </w:p>
    <w:p w14:paraId="4D858678" w14:textId="77777777" w:rsidR="00923AAD" w:rsidRPr="00BD0B3A" w:rsidRDefault="00923AAD" w:rsidP="00BF4974">
      <w:pPr>
        <w:rPr>
          <w:color w:val="000000" w:themeColor="text1"/>
        </w:rPr>
      </w:pPr>
      <w:r>
        <w:rPr>
          <w:rFonts w:cs="Arial"/>
          <w:color w:val="000000" w:themeColor="text1"/>
        </w:rPr>
        <w:t xml:space="preserve">The </w:t>
      </w:r>
      <w:r w:rsidR="003559F5">
        <w:rPr>
          <w:rFonts w:cs="Arial"/>
          <w:color w:val="000000" w:themeColor="text1"/>
        </w:rPr>
        <w:t xml:space="preserve">approved </w:t>
      </w:r>
      <w:r>
        <w:rPr>
          <w:rFonts w:cs="Arial"/>
          <w:color w:val="000000" w:themeColor="text1"/>
        </w:rPr>
        <w:t xml:space="preserve">draft </w:t>
      </w:r>
      <w:r w:rsidR="003559F5" w:rsidRPr="00BD0B3A">
        <w:rPr>
          <w:color w:val="000000" w:themeColor="text1"/>
        </w:rPr>
        <w:t xml:space="preserve">variation to </w:t>
      </w:r>
      <w:r w:rsidR="00D10E21">
        <w:rPr>
          <w:color w:val="000000" w:themeColor="text1"/>
        </w:rPr>
        <w:t>Schedule 26 of the revised Code</w:t>
      </w:r>
      <w:r w:rsidR="003559F5">
        <w:rPr>
          <w:color w:val="000000" w:themeColor="text1"/>
        </w:rPr>
        <w:t xml:space="preserve"> takes effect on 1 March 2016, which is the date on which the revised Code comes into effect.</w:t>
      </w:r>
    </w:p>
    <w:p w14:paraId="4D858679" w14:textId="77777777" w:rsidR="00422EC9" w:rsidRDefault="00422EC9" w:rsidP="00422EC9"/>
    <w:p w14:paraId="4D85867A" w14:textId="3AE5C8CC" w:rsidR="002C1A3B" w:rsidRDefault="00422EC9" w:rsidP="002C1A3B">
      <w:r>
        <w:t xml:space="preserve">The </w:t>
      </w:r>
      <w:r w:rsidR="002C1A3B" w:rsidRPr="00BF4974">
        <w:rPr>
          <w:color w:val="000000" w:themeColor="text1"/>
        </w:rPr>
        <w:t xml:space="preserve">approved </w:t>
      </w:r>
      <w:r w:rsidRPr="00BF4974">
        <w:rPr>
          <w:color w:val="000000" w:themeColor="text1"/>
        </w:rPr>
        <w:t xml:space="preserve">draft </w:t>
      </w:r>
      <w:r w:rsidR="00E30092" w:rsidRPr="00BF4974">
        <w:rPr>
          <w:color w:val="000000" w:themeColor="text1"/>
        </w:rPr>
        <w:t>variation</w:t>
      </w:r>
      <w:r w:rsidR="00923AAD">
        <w:rPr>
          <w:color w:val="000000" w:themeColor="text1"/>
        </w:rPr>
        <w:t>s</w:t>
      </w:r>
      <w:r w:rsidRPr="00BF4974">
        <w:rPr>
          <w:color w:val="000000" w:themeColor="text1"/>
        </w:rPr>
        <w:t xml:space="preserve"> </w:t>
      </w:r>
      <w:r w:rsidR="009E6DD4">
        <w:rPr>
          <w:color w:val="000000" w:themeColor="text1"/>
        </w:rPr>
        <w:t>and</w:t>
      </w:r>
      <w:r w:rsidR="00ED70BB">
        <w:rPr>
          <w:color w:val="000000" w:themeColor="text1"/>
        </w:rPr>
        <w:t xml:space="preserve"> related explanatory statements a</w:t>
      </w:r>
      <w:r w:rsidR="00923AAD">
        <w:rPr>
          <w:color w:val="000000" w:themeColor="text1"/>
        </w:rPr>
        <w:t>re</w:t>
      </w:r>
      <w:r w:rsidR="00923AAD" w:rsidRPr="00BF4974">
        <w:rPr>
          <w:color w:val="000000" w:themeColor="text1"/>
        </w:rPr>
        <w:t xml:space="preserve"> </w:t>
      </w:r>
      <w:r w:rsidRPr="00BF4974">
        <w:rPr>
          <w:color w:val="000000" w:themeColor="text1"/>
        </w:rPr>
        <w:t>at Attachment</w:t>
      </w:r>
      <w:r w:rsidR="003E3974">
        <w:rPr>
          <w:color w:val="000000" w:themeColor="text1"/>
        </w:rPr>
        <w:t>s</w:t>
      </w:r>
      <w:r w:rsidRPr="00BF4974">
        <w:rPr>
          <w:color w:val="000000" w:themeColor="text1"/>
        </w:rPr>
        <w:t xml:space="preserve"> A</w:t>
      </w:r>
      <w:r w:rsidR="003E3974">
        <w:rPr>
          <w:color w:val="000000" w:themeColor="text1"/>
        </w:rPr>
        <w:t xml:space="preserve"> and </w:t>
      </w:r>
      <w:r w:rsidR="00ED70BB">
        <w:rPr>
          <w:color w:val="000000" w:themeColor="text1"/>
        </w:rPr>
        <w:t>B</w:t>
      </w:r>
      <w:r w:rsidRPr="00BF4974">
        <w:rPr>
          <w:color w:val="000000" w:themeColor="text1"/>
        </w:rPr>
        <w:t xml:space="preserve">. </w:t>
      </w:r>
      <w:r w:rsidR="002C1A3B" w:rsidRPr="00BF4974">
        <w:rPr>
          <w:color w:val="000000" w:themeColor="text1"/>
        </w:rPr>
        <w:t xml:space="preserve">An explanatory statement is required to accompany an instrument if it is lodged on the Federal Register of Legislative Instruments. </w:t>
      </w:r>
    </w:p>
    <w:p w14:paraId="4D85867B" w14:textId="77777777" w:rsidR="0012388D" w:rsidRPr="00A12647" w:rsidRDefault="007A53BF" w:rsidP="00755F02">
      <w:pPr>
        <w:pStyle w:val="Heading1"/>
        <w:rPr>
          <w:szCs w:val="36"/>
        </w:rPr>
      </w:pPr>
      <w:bookmarkStart w:id="33" w:name="_Toc419907017"/>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rsidRPr="00A12647">
        <w:rPr>
          <w:szCs w:val="36"/>
        </w:rPr>
        <w:t>2</w:t>
      </w:r>
      <w:r w:rsidR="00AC428E" w:rsidRPr="00A12647">
        <w:rPr>
          <w:szCs w:val="36"/>
        </w:rPr>
        <w:tab/>
      </w:r>
      <w:r w:rsidR="00AF387F" w:rsidRPr="00A12647">
        <w:rPr>
          <w:szCs w:val="36"/>
        </w:rPr>
        <w:t xml:space="preserve">Summary </w:t>
      </w:r>
      <w:r w:rsidR="00AF387F" w:rsidRPr="00A12647">
        <w:rPr>
          <w:szCs w:val="36"/>
          <w:u w:color="FFFF00"/>
        </w:rPr>
        <w:t>of</w:t>
      </w:r>
      <w:r w:rsidR="00AF387F" w:rsidRPr="00A12647">
        <w:rPr>
          <w:szCs w:val="36"/>
        </w:rPr>
        <w:t xml:space="preserve"> the findings</w:t>
      </w:r>
      <w:bookmarkEnd w:id="33"/>
    </w:p>
    <w:p w14:paraId="4D85867C" w14:textId="77777777" w:rsidR="007A53BF" w:rsidRPr="00A12647" w:rsidRDefault="007A53BF" w:rsidP="007A53BF">
      <w:pPr>
        <w:pStyle w:val="Heading2"/>
        <w:rPr>
          <w:szCs w:val="28"/>
        </w:rPr>
      </w:pPr>
      <w:bookmarkStart w:id="40" w:name="_Toc300933438"/>
      <w:bookmarkStart w:id="41" w:name="_Toc370223471"/>
      <w:bookmarkStart w:id="42" w:name="_Toc370225386"/>
      <w:bookmarkStart w:id="43" w:name="_Toc419907018"/>
      <w:bookmarkStart w:id="44" w:name="_Toc286391009"/>
      <w:bookmarkStart w:id="45" w:name="_Toc300933425"/>
      <w:bookmarkStart w:id="46" w:name="_Toc309291838"/>
      <w:bookmarkStart w:id="47" w:name="_Toc309385455"/>
      <w:bookmarkStart w:id="48" w:name="_Toc120358583"/>
      <w:bookmarkStart w:id="49" w:name="_Toc175381440"/>
      <w:r w:rsidRPr="00A12647">
        <w:rPr>
          <w:szCs w:val="28"/>
        </w:rPr>
        <w:t>2.1</w:t>
      </w:r>
      <w:r w:rsidRPr="00A12647">
        <w:rPr>
          <w:szCs w:val="28"/>
        </w:rPr>
        <w:tab/>
        <w:t xml:space="preserve">Summary of issues raised </w:t>
      </w:r>
      <w:bookmarkEnd w:id="40"/>
      <w:r w:rsidRPr="00A12647">
        <w:rPr>
          <w:szCs w:val="28"/>
        </w:rPr>
        <w:t>in submissions</w:t>
      </w:r>
      <w:bookmarkEnd w:id="41"/>
      <w:bookmarkEnd w:id="42"/>
      <w:bookmarkEnd w:id="43"/>
    </w:p>
    <w:p w14:paraId="4D85867D" w14:textId="77777777" w:rsidR="00305629" w:rsidRPr="00435A76" w:rsidRDefault="00EA004F" w:rsidP="00305629">
      <w:pPr>
        <w:rPr>
          <w:color w:val="000000" w:themeColor="text1"/>
        </w:rPr>
      </w:pPr>
      <w:r>
        <w:rPr>
          <w:color w:val="000000" w:themeColor="text1"/>
        </w:rPr>
        <w:t>A total o</w:t>
      </w:r>
      <w:r w:rsidR="00610172">
        <w:rPr>
          <w:color w:val="000000" w:themeColor="text1"/>
        </w:rPr>
        <w:t xml:space="preserve">f </w:t>
      </w:r>
      <w:r w:rsidR="00EE74BE" w:rsidRPr="006B4BC4">
        <w:rPr>
          <w:color w:val="000000" w:themeColor="text1"/>
        </w:rPr>
        <w:t>23</w:t>
      </w:r>
      <w:r w:rsidR="00305629" w:rsidRPr="006B4BC4">
        <w:rPr>
          <w:color w:val="000000" w:themeColor="text1"/>
        </w:rPr>
        <w:t xml:space="preserve"> </w:t>
      </w:r>
      <w:r w:rsidR="00305629" w:rsidRPr="00E45CB3">
        <w:rPr>
          <w:color w:val="000000" w:themeColor="text1"/>
        </w:rPr>
        <w:t xml:space="preserve">submissions </w:t>
      </w:r>
      <w:r>
        <w:rPr>
          <w:color w:val="000000" w:themeColor="text1"/>
        </w:rPr>
        <w:t xml:space="preserve">were </w:t>
      </w:r>
      <w:r w:rsidR="00610172">
        <w:rPr>
          <w:color w:val="000000" w:themeColor="text1"/>
        </w:rPr>
        <w:t>received</w:t>
      </w:r>
      <w:r>
        <w:rPr>
          <w:color w:val="000000" w:themeColor="text1"/>
        </w:rPr>
        <w:t>. Of these</w:t>
      </w:r>
      <w:r w:rsidR="00610172">
        <w:rPr>
          <w:color w:val="000000" w:themeColor="text1"/>
        </w:rPr>
        <w:t>, some raised issues that are outside the scope of FSANZ’s regulatory area e.g. public perception of GM food; opinions about biotechnology developers</w:t>
      </w:r>
      <w:r w:rsidR="007246A7">
        <w:rPr>
          <w:color w:val="000000" w:themeColor="text1"/>
        </w:rPr>
        <w:t xml:space="preserve">; </w:t>
      </w:r>
      <w:r w:rsidR="00A072D1">
        <w:rPr>
          <w:color w:val="000000" w:themeColor="text1"/>
        </w:rPr>
        <w:t xml:space="preserve">enforcement of Standards in the Code; </w:t>
      </w:r>
      <w:r w:rsidR="007246A7">
        <w:rPr>
          <w:color w:val="000000" w:themeColor="text1"/>
        </w:rPr>
        <w:t>maintaining a GM-free trade status and environmental issues.</w:t>
      </w:r>
      <w:r w:rsidR="00305629" w:rsidRPr="00E45CB3">
        <w:rPr>
          <w:color w:val="000000" w:themeColor="text1"/>
        </w:rPr>
        <w:t xml:space="preserve"> I</w:t>
      </w:r>
      <w:r w:rsidR="00415ECF">
        <w:rPr>
          <w:color w:val="000000" w:themeColor="text1"/>
        </w:rPr>
        <w:t>n the latter case, i</w:t>
      </w:r>
      <w:r w:rsidR="00305629" w:rsidRPr="00E45CB3">
        <w:rPr>
          <w:color w:val="000000" w:themeColor="text1"/>
        </w:rPr>
        <w:t xml:space="preserve">ssues to do with the growing of GM </w:t>
      </w:r>
      <w:proofErr w:type="gramStart"/>
      <w:r w:rsidR="00305629" w:rsidRPr="00E45CB3">
        <w:rPr>
          <w:color w:val="000000" w:themeColor="text1"/>
        </w:rPr>
        <w:t>crops</w:t>
      </w:r>
      <w:proofErr w:type="gramEnd"/>
      <w:r w:rsidR="00305629" w:rsidRPr="00E45CB3">
        <w:rPr>
          <w:color w:val="000000" w:themeColor="text1"/>
        </w:rPr>
        <w:t xml:space="preserve"> </w:t>
      </w:r>
      <w:r w:rsidR="00305629" w:rsidRPr="00435A76">
        <w:rPr>
          <w:color w:val="000000" w:themeColor="text1"/>
        </w:rPr>
        <w:t>and any possible effects on the environment are considered in Australia by the Office of the Gene Technology Regulator, and in New Zealand by the Environmental Protection Authority.</w:t>
      </w:r>
    </w:p>
    <w:p w14:paraId="4D85867E" w14:textId="77777777" w:rsidR="00305629" w:rsidRPr="00435A76" w:rsidRDefault="00305629" w:rsidP="00305629">
      <w:pPr>
        <w:rPr>
          <w:color w:val="000000" w:themeColor="text1"/>
        </w:rPr>
      </w:pPr>
    </w:p>
    <w:p w14:paraId="4D85867F" w14:textId="77777777" w:rsidR="00281545" w:rsidRDefault="00305629" w:rsidP="00305629">
      <w:pPr>
        <w:rPr>
          <w:color w:val="000000" w:themeColor="text1"/>
          <w:szCs w:val="22"/>
        </w:rPr>
      </w:pPr>
      <w:r w:rsidRPr="00435A76">
        <w:rPr>
          <w:color w:val="000000" w:themeColor="text1"/>
          <w:szCs w:val="22"/>
        </w:rPr>
        <w:t xml:space="preserve">Responses </w:t>
      </w:r>
      <w:r w:rsidRPr="006B4BC4">
        <w:rPr>
          <w:color w:val="000000" w:themeColor="text1"/>
          <w:szCs w:val="22"/>
        </w:rPr>
        <w:t xml:space="preserve">to </w:t>
      </w:r>
      <w:r w:rsidR="00281545" w:rsidRPr="00281545">
        <w:rPr>
          <w:color w:val="000000" w:themeColor="text1"/>
          <w:szCs w:val="22"/>
        </w:rPr>
        <w:t>11</w:t>
      </w:r>
      <w:r w:rsidRPr="006B4BC4">
        <w:rPr>
          <w:color w:val="000000" w:themeColor="text1"/>
          <w:szCs w:val="22"/>
        </w:rPr>
        <w:t xml:space="preserve"> </w:t>
      </w:r>
      <w:r w:rsidRPr="00435A76">
        <w:rPr>
          <w:color w:val="000000" w:themeColor="text1"/>
          <w:szCs w:val="22"/>
        </w:rPr>
        <w:t>general issues raised or implied</w:t>
      </w:r>
      <w:r w:rsidR="00EA004F">
        <w:rPr>
          <w:color w:val="000000" w:themeColor="text1"/>
          <w:szCs w:val="22"/>
        </w:rPr>
        <w:t xml:space="preserve"> in submissions</w:t>
      </w:r>
      <w:r w:rsidRPr="00435A76">
        <w:rPr>
          <w:color w:val="000000" w:themeColor="text1"/>
          <w:szCs w:val="22"/>
        </w:rPr>
        <w:t>, are provided in Table 1.</w:t>
      </w:r>
      <w:r>
        <w:rPr>
          <w:color w:val="000000" w:themeColor="text1"/>
          <w:szCs w:val="22"/>
        </w:rPr>
        <w:t xml:space="preserve"> </w:t>
      </w:r>
    </w:p>
    <w:p w14:paraId="4D858680" w14:textId="77777777" w:rsidR="00281545" w:rsidRDefault="00281545" w:rsidP="00305629">
      <w:pPr>
        <w:rPr>
          <w:color w:val="000000" w:themeColor="text1"/>
          <w:szCs w:val="22"/>
        </w:rPr>
      </w:pPr>
    </w:p>
    <w:p w14:paraId="4D858681" w14:textId="77777777" w:rsidR="006B4BC4" w:rsidRDefault="006B4BC4">
      <w:pPr>
        <w:widowControl/>
        <w:rPr>
          <w:rFonts w:cs="Arial"/>
          <w:b/>
          <w:color w:val="000000" w:themeColor="text1"/>
        </w:rPr>
      </w:pPr>
      <w:r>
        <w:rPr>
          <w:rFonts w:cs="Arial"/>
          <w:b/>
          <w:color w:val="000000" w:themeColor="text1"/>
        </w:rPr>
        <w:br w:type="page"/>
      </w:r>
    </w:p>
    <w:p w14:paraId="4D858682" w14:textId="77777777" w:rsidR="00305629" w:rsidRDefault="00305629" w:rsidP="00ED70BB">
      <w:pPr>
        <w:keepNext/>
        <w:tabs>
          <w:tab w:val="left" w:pos="1134"/>
        </w:tabs>
        <w:rPr>
          <w:rFonts w:cs="Arial"/>
          <w:b/>
          <w:color w:val="000000" w:themeColor="text1"/>
        </w:rPr>
      </w:pPr>
      <w:r w:rsidRPr="003D5B92">
        <w:rPr>
          <w:rFonts w:cs="Arial"/>
          <w:b/>
          <w:color w:val="000000" w:themeColor="text1"/>
        </w:rPr>
        <w:lastRenderedPageBreak/>
        <w:t xml:space="preserve">Table 1: Summary of general issues </w:t>
      </w:r>
      <w:proofErr w:type="gramStart"/>
      <w:r w:rsidRPr="003D5B92">
        <w:rPr>
          <w:rFonts w:cs="Arial"/>
          <w:b/>
          <w:color w:val="000000" w:themeColor="text1"/>
        </w:rPr>
        <w:t>raised</w:t>
      </w:r>
      <w:proofErr w:type="gramEnd"/>
      <w:r w:rsidRPr="003D5B92">
        <w:rPr>
          <w:rFonts w:cs="Arial"/>
          <w:b/>
          <w:color w:val="000000" w:themeColor="text1"/>
        </w:rPr>
        <w:t xml:space="preserve"> in submissions</w:t>
      </w:r>
    </w:p>
    <w:p w14:paraId="45D2EEFE" w14:textId="77777777" w:rsidR="00ED70BB" w:rsidRPr="003D5B92" w:rsidRDefault="00ED70BB" w:rsidP="00ED70BB">
      <w:pPr>
        <w:keepNext/>
        <w:tabs>
          <w:tab w:val="left" w:pos="1134"/>
        </w:tabs>
        <w:rPr>
          <w:rFonts w:cs="Arial"/>
          <w:b/>
          <w:color w:val="000000" w:themeColor="text1"/>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65"/>
      </w:tblGrid>
      <w:tr w:rsidR="007A53BF" w14:paraId="4D858686" w14:textId="77777777" w:rsidTr="002229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left w:val="none" w:sz="0" w:space="0" w:color="auto"/>
              <w:bottom w:val="none" w:sz="0" w:space="0" w:color="auto"/>
              <w:right w:val="none" w:sz="0" w:space="0" w:color="auto"/>
            </w:tcBorders>
          </w:tcPr>
          <w:p w14:paraId="4D858683" w14:textId="77777777" w:rsidR="007A53BF" w:rsidRDefault="007A53BF" w:rsidP="007A53BF">
            <w:pPr>
              <w:spacing w:after="240"/>
            </w:pPr>
            <w:r>
              <w:t>Issue</w:t>
            </w:r>
          </w:p>
        </w:tc>
        <w:tc>
          <w:tcPr>
            <w:tcW w:w="2268" w:type="dxa"/>
            <w:tcBorders>
              <w:top w:val="none" w:sz="0" w:space="0" w:color="auto"/>
              <w:left w:val="none" w:sz="0" w:space="0" w:color="auto"/>
              <w:bottom w:val="none" w:sz="0" w:space="0" w:color="auto"/>
              <w:right w:val="none" w:sz="0" w:space="0" w:color="auto"/>
            </w:tcBorders>
          </w:tcPr>
          <w:p w14:paraId="4D858684"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5165" w:type="dxa"/>
            <w:tcBorders>
              <w:top w:val="none" w:sz="0" w:space="0" w:color="auto"/>
              <w:left w:val="none" w:sz="0" w:space="0" w:color="auto"/>
              <w:bottom w:val="none" w:sz="0" w:space="0" w:color="auto"/>
              <w:right w:val="none" w:sz="0" w:space="0" w:color="auto"/>
            </w:tcBorders>
          </w:tcPr>
          <w:p w14:paraId="4D858685" w14:textId="77777777" w:rsidR="001D43F6" w:rsidRDefault="007A53BF" w:rsidP="00305629">
            <w:pPr>
              <w:spacing w:after="240"/>
              <w:cnfStyle w:val="100000000000" w:firstRow="1" w:lastRow="0" w:firstColumn="0" w:lastColumn="0" w:oddVBand="0" w:evenVBand="0" w:oddHBand="0" w:evenHBand="0" w:firstRowFirstColumn="0" w:firstRowLastColumn="0" w:lastRowFirstColumn="0" w:lastRowLastColumn="0"/>
            </w:pPr>
            <w:r>
              <w:t>FSANZ response</w:t>
            </w:r>
          </w:p>
        </w:tc>
      </w:tr>
      <w:tr w:rsidR="00305629" w14:paraId="4D85869C" w14:textId="77777777" w:rsidTr="0045588A">
        <w:trPr>
          <w:cnfStyle w:val="000000100000" w:firstRow="0" w:lastRow="0" w:firstColumn="0" w:lastColumn="0" w:oddVBand="0" w:evenVBand="0" w:oddHBand="1" w:evenHBand="0" w:firstRowFirstColumn="0" w:firstRowLastColumn="0" w:lastRowFirstColumn="0" w:lastRowLastColumn="0"/>
          <w:cantSplit/>
          <w:trHeight w:val="5583"/>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none" w:sz="0" w:space="0" w:color="auto"/>
            </w:tcBorders>
          </w:tcPr>
          <w:p w14:paraId="4D858687" w14:textId="77777777" w:rsidR="00305629" w:rsidRPr="006C2DDF" w:rsidRDefault="00305629" w:rsidP="00070153">
            <w:pPr>
              <w:pStyle w:val="Table2"/>
            </w:pPr>
            <w:r w:rsidRPr="006C2DDF">
              <w:t>Concern</w:t>
            </w:r>
            <w:r w:rsidR="008333F4">
              <w:t>s</w:t>
            </w:r>
            <w:r w:rsidRPr="006C2DDF">
              <w:t xml:space="preserve"> with the safety of GM food</w:t>
            </w:r>
            <w:r w:rsidR="008333F4">
              <w:t xml:space="preserve"> and the FSANZ safety assessment process</w:t>
            </w:r>
          </w:p>
          <w:p w14:paraId="4D858688" w14:textId="77777777" w:rsidR="00305629" w:rsidRPr="006C2DDF" w:rsidRDefault="00305629" w:rsidP="00070153">
            <w:pPr>
              <w:pStyle w:val="Table2"/>
            </w:pPr>
          </w:p>
        </w:tc>
        <w:tc>
          <w:tcPr>
            <w:tcW w:w="2268" w:type="dxa"/>
            <w:tcBorders>
              <w:left w:val="none" w:sz="0" w:space="0" w:color="auto"/>
              <w:bottom w:val="single" w:sz="4" w:space="0" w:color="auto"/>
              <w:right w:val="none" w:sz="0" w:space="0" w:color="auto"/>
            </w:tcBorders>
          </w:tcPr>
          <w:p w14:paraId="4D858689" w14:textId="77777777" w:rsidR="008333F4" w:rsidRDefault="008333F4"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Auckland GE Free Coalition</w:t>
            </w:r>
            <w:r w:rsidR="00EE74BE">
              <w:rPr>
                <w:color w:val="000000" w:themeColor="text1"/>
              </w:rPr>
              <w:t xml:space="preserve"> (AGEFC)</w:t>
            </w:r>
          </w:p>
          <w:p w14:paraId="4D85868A" w14:textId="77777777" w:rsidR="00305629" w:rsidRPr="00BA5D9C" w:rsidRDefault="0030562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Tania </w:t>
            </w:r>
            <w:proofErr w:type="spellStart"/>
            <w:r>
              <w:rPr>
                <w:color w:val="000000" w:themeColor="text1"/>
              </w:rPr>
              <w:t>Condren</w:t>
            </w:r>
            <w:proofErr w:type="spellEnd"/>
          </w:p>
          <w:p w14:paraId="4D85868B" w14:textId="77777777" w:rsidR="00305629" w:rsidRDefault="0030562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Michelle Denise</w:t>
            </w:r>
          </w:p>
          <w:p w14:paraId="4D85868C" w14:textId="77777777" w:rsidR="00950A0F" w:rsidRDefault="00950A0F"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FOODwatch</w:t>
            </w:r>
          </w:p>
          <w:p w14:paraId="4D85868D" w14:textId="77777777" w:rsidR="00305629" w:rsidRDefault="0030562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Wambui Gikenye</w:t>
            </w:r>
          </w:p>
          <w:p w14:paraId="4D85868E" w14:textId="77777777" w:rsidR="00A22BF1" w:rsidRDefault="00A22BF1"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GM Free Australia Alliance (GMFAA)</w:t>
            </w:r>
          </w:p>
          <w:p w14:paraId="4D85868F" w14:textId="77777777" w:rsidR="00526552" w:rsidRDefault="00526552"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Fiona </w:t>
            </w:r>
            <w:proofErr w:type="spellStart"/>
            <w:r>
              <w:rPr>
                <w:color w:val="000000" w:themeColor="text1"/>
              </w:rPr>
              <w:t>Guyan</w:t>
            </w:r>
            <w:proofErr w:type="spellEnd"/>
          </w:p>
          <w:p w14:paraId="4D858690" w14:textId="77777777" w:rsidR="00305629" w:rsidRPr="008913EE" w:rsidRDefault="0030562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szCs w:val="18"/>
              </w:rPr>
            </w:pPr>
            <w:r>
              <w:rPr>
                <w:rFonts w:cs="Arial"/>
                <w:szCs w:val="18"/>
                <w:lang w:eastAsia="en-GB" w:bidi="ar-SA"/>
              </w:rPr>
              <w:t>Hugh Halliday</w:t>
            </w:r>
          </w:p>
          <w:p w14:paraId="4D858691" w14:textId="77777777" w:rsidR="008913EE" w:rsidRPr="00504E09" w:rsidRDefault="008913EE"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504E09">
              <w:rPr>
                <w:rFonts w:cs="Arial"/>
                <w:szCs w:val="18"/>
                <w:lang w:eastAsia="en-GB" w:bidi="ar-SA"/>
              </w:rPr>
              <w:t>Susie Lees</w:t>
            </w:r>
          </w:p>
          <w:p w14:paraId="4D858692" w14:textId="77777777" w:rsidR="006551C5" w:rsidRPr="00504E09" w:rsidRDefault="00504E0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504E09">
              <w:rPr>
                <w:rFonts w:cs="Arial"/>
                <w:szCs w:val="18"/>
                <w:lang w:eastAsia="en-GB" w:bidi="ar-SA"/>
              </w:rPr>
              <w:t>Submitter1 (name redacted)</w:t>
            </w:r>
          </w:p>
          <w:p w14:paraId="4D858693" w14:textId="77777777" w:rsidR="00305629" w:rsidRPr="003A67C7" w:rsidRDefault="0030562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szCs w:val="18"/>
              </w:rPr>
            </w:pPr>
            <w:r>
              <w:rPr>
                <w:rFonts w:cs="Arial"/>
                <w:szCs w:val="18"/>
                <w:lang w:eastAsia="en-GB" w:bidi="ar-SA"/>
              </w:rPr>
              <w:t xml:space="preserve">Rebekah Summer &amp; Mark </w:t>
            </w:r>
            <w:proofErr w:type="spellStart"/>
            <w:r>
              <w:rPr>
                <w:rFonts w:cs="Arial"/>
                <w:szCs w:val="18"/>
                <w:lang w:eastAsia="en-GB" w:bidi="ar-SA"/>
              </w:rPr>
              <w:t>Halcroft</w:t>
            </w:r>
            <w:proofErr w:type="spellEnd"/>
          </w:p>
          <w:p w14:paraId="4D858694" w14:textId="77777777" w:rsidR="00305629" w:rsidRPr="006B1CCB" w:rsidRDefault="00305629"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szCs w:val="18"/>
              </w:rPr>
            </w:pPr>
            <w:r>
              <w:rPr>
                <w:rFonts w:cs="Arial"/>
                <w:szCs w:val="18"/>
                <w:lang w:eastAsia="en-GB" w:bidi="ar-SA"/>
              </w:rPr>
              <w:t>Karen Tough</w:t>
            </w:r>
          </w:p>
          <w:p w14:paraId="4D858695" w14:textId="77777777" w:rsidR="006B1CCB" w:rsidRPr="00A62B14" w:rsidRDefault="006B1CCB" w:rsidP="006B1CCB">
            <w:pPr>
              <w:pStyle w:val="Table2"/>
              <w:numPr>
                <w:ilvl w:val="0"/>
                <w:numId w:val="8"/>
              </w:numPr>
              <w:ind w:left="108" w:hanging="213"/>
              <w:cnfStyle w:val="000000100000" w:firstRow="0" w:lastRow="0" w:firstColumn="0" w:lastColumn="0" w:oddVBand="0" w:evenVBand="0" w:oddHBand="1" w:evenHBand="0" w:firstRowFirstColumn="0" w:firstRowLastColumn="0" w:lastRowFirstColumn="0" w:lastRowLastColumn="0"/>
              <w:rPr>
                <w:color w:val="000000" w:themeColor="text1"/>
                <w:szCs w:val="18"/>
              </w:rPr>
            </w:pPr>
            <w:r>
              <w:rPr>
                <w:rFonts w:cs="Arial"/>
                <w:szCs w:val="18"/>
                <w:lang w:eastAsia="en-GB" w:bidi="ar-SA"/>
              </w:rPr>
              <w:t>Physicians &amp; Scientists for Global Responsibility (PSGR)</w:t>
            </w:r>
          </w:p>
        </w:tc>
        <w:tc>
          <w:tcPr>
            <w:tcW w:w="5165" w:type="dxa"/>
            <w:tcBorders>
              <w:left w:val="none" w:sz="0" w:space="0" w:color="auto"/>
              <w:bottom w:val="single" w:sz="4" w:space="0" w:color="auto"/>
            </w:tcBorders>
          </w:tcPr>
          <w:p w14:paraId="4D858696" w14:textId="77777777" w:rsidR="0045588A" w:rsidRDefault="0045588A" w:rsidP="0045588A">
            <w:pPr>
              <w:pStyle w:val="Table2"/>
              <w:cnfStyle w:val="000000100000" w:firstRow="0" w:lastRow="0" w:firstColumn="0" w:lastColumn="0" w:oddVBand="0" w:evenVBand="0" w:oddHBand="1" w:evenHBand="0" w:firstRowFirstColumn="0" w:firstRowLastColumn="0" w:lastRowFirstColumn="0" w:lastRowLastColumn="0"/>
            </w:pPr>
            <w:r w:rsidRPr="003B0D85">
              <w:t xml:space="preserve">The approach used by FSANZ to assess the safety of GM food is based on core principles developed almost 20 years ago and published as guidelines by the Codex Alimentarius Commission (Codex, 2003; Codex, 2004). Over time, the assessment protocol has been the subject of scientific scrutiny; however it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14:paraId="4D858697" w14:textId="77777777" w:rsidR="00687DEB" w:rsidRDefault="00687DEB" w:rsidP="0045588A">
            <w:pPr>
              <w:pStyle w:val="Table2"/>
              <w:cnfStyle w:val="000000100000" w:firstRow="0" w:lastRow="0" w:firstColumn="0" w:lastColumn="0" w:oddVBand="0" w:evenVBand="0" w:oddHBand="1" w:evenHBand="0" w:firstRowFirstColumn="0" w:firstRowLastColumn="0" w:lastRowFirstColumn="0" w:lastRowLastColumn="0"/>
            </w:pPr>
          </w:p>
          <w:p w14:paraId="4D858698" w14:textId="77777777" w:rsidR="00687DEB" w:rsidRDefault="00687DEB" w:rsidP="0045588A">
            <w:pPr>
              <w:pStyle w:val="Table2"/>
              <w:cnfStyle w:val="000000100000" w:firstRow="0" w:lastRow="0" w:firstColumn="0" w:lastColumn="0" w:oddVBand="0" w:evenVBand="0" w:oddHBand="1" w:evenHBand="0" w:firstRowFirstColumn="0" w:firstRowLastColumn="0" w:lastRowFirstColumn="0" w:lastRowLastColumn="0"/>
            </w:pPr>
            <w:r>
              <w:t xml:space="preserve">In 2008, an external review of the FSANZ GM food safety assessment procedure was undertaken. The findings of the review are available at </w:t>
            </w:r>
            <w:hyperlink r:id="rId17" w:history="1">
              <w:r w:rsidRPr="00BF5388">
                <w:rPr>
                  <w:rStyle w:val="Hyperlink"/>
                </w:rPr>
                <w:t>http://www.foodstandards.gov.au/consumer/gmfood/pages/reviewofgeneticallym4394.aspx</w:t>
              </w:r>
            </w:hyperlink>
          </w:p>
          <w:p w14:paraId="4D858699" w14:textId="77777777" w:rsidR="00687DEB" w:rsidRPr="003B0D85" w:rsidRDefault="00687DEB" w:rsidP="0045588A">
            <w:pPr>
              <w:pStyle w:val="Table2"/>
              <w:cnfStyle w:val="000000100000" w:firstRow="0" w:lastRow="0" w:firstColumn="0" w:lastColumn="0" w:oddVBand="0" w:evenVBand="0" w:oddHBand="1" w:evenHBand="0" w:firstRowFirstColumn="0" w:firstRowLastColumn="0" w:lastRowFirstColumn="0" w:lastRowLastColumn="0"/>
            </w:pPr>
          </w:p>
          <w:p w14:paraId="4D85869A" w14:textId="77777777" w:rsidR="0045588A" w:rsidRDefault="0045588A" w:rsidP="0045588A">
            <w:pPr>
              <w:pStyle w:val="Table2"/>
              <w:cnfStyle w:val="000000100000" w:firstRow="0" w:lastRow="0" w:firstColumn="0" w:lastColumn="0" w:oddVBand="0" w:evenVBand="0" w:oddHBand="1" w:evenHBand="0" w:firstRowFirstColumn="0" w:firstRowLastColumn="0" w:lastRowFirstColumn="0" w:lastRowLastColumn="0"/>
            </w:pPr>
            <w:r w:rsidRPr="003B0D85">
              <w:t>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hyperlink r:id="rId18" w:history="1">
              <w:r w:rsidRPr="00924690">
                <w:rPr>
                  <w:rStyle w:val="Hyperlink"/>
                  <w:color w:val="0000FF"/>
                </w:rPr>
                <w:t>http://www.foodstandards.gov.au/consumer/gmfood/adverse/Pages/default.aspx</w:t>
              </w:r>
            </w:hyperlink>
            <w:r w:rsidRPr="003B0D85">
              <w:t xml:space="preserve"> ).</w:t>
            </w:r>
          </w:p>
          <w:p w14:paraId="4D85869B" w14:textId="77777777" w:rsidR="00B430BE" w:rsidRPr="0045588A" w:rsidRDefault="00B430BE" w:rsidP="006C1AF3">
            <w:pPr>
              <w:pStyle w:val="Table2"/>
              <w:ind w:left="0" w:firstLine="0"/>
              <w:cnfStyle w:val="000000100000" w:firstRow="0" w:lastRow="0" w:firstColumn="0" w:lastColumn="0" w:oddVBand="0" w:evenVBand="0" w:oddHBand="1" w:evenHBand="0" w:firstRowFirstColumn="0" w:firstRowLastColumn="0" w:lastRowFirstColumn="0" w:lastRowLastColumn="0"/>
              <w:rPr>
                <w:rFonts w:cs="Arial"/>
                <w:szCs w:val="18"/>
              </w:rPr>
            </w:pPr>
          </w:p>
        </w:tc>
      </w:tr>
      <w:tr w:rsidR="00950A0F" w14:paraId="4D8586A5" w14:textId="77777777" w:rsidTr="00EE74B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4D85869D" w14:textId="77777777" w:rsidR="00950A0F" w:rsidRPr="00950A0F" w:rsidRDefault="00950A0F" w:rsidP="00EE74BE">
            <w:pPr>
              <w:autoSpaceDE w:val="0"/>
              <w:autoSpaceDN w:val="0"/>
              <w:adjustRightInd w:val="0"/>
              <w:ind w:left="142" w:hanging="142"/>
              <w:rPr>
                <w:color w:val="000000" w:themeColor="text1"/>
                <w:sz w:val="18"/>
                <w:szCs w:val="18"/>
                <w:lang w:eastAsia="en-GB" w:bidi="ar-SA"/>
              </w:rPr>
            </w:pPr>
            <w:r w:rsidRPr="00950A0F">
              <w:rPr>
                <w:sz w:val="18"/>
                <w:szCs w:val="18"/>
              </w:rPr>
              <w:t>Lack of consideration of long term feeding studies in the safety assessment</w:t>
            </w:r>
          </w:p>
        </w:tc>
        <w:tc>
          <w:tcPr>
            <w:tcW w:w="2268" w:type="dxa"/>
            <w:tcBorders>
              <w:top w:val="single" w:sz="4" w:space="0" w:color="auto"/>
              <w:left w:val="single" w:sz="4" w:space="0" w:color="auto"/>
              <w:bottom w:val="single" w:sz="4" w:space="0" w:color="auto"/>
              <w:right w:val="single" w:sz="4" w:space="0" w:color="auto"/>
            </w:tcBorders>
          </w:tcPr>
          <w:p w14:paraId="4D85869E" w14:textId="77777777" w:rsidR="00950A0F" w:rsidRDefault="00950A0F" w:rsidP="00950A0F">
            <w:pPr>
              <w:pStyle w:val="Table2"/>
              <w:numPr>
                <w:ilvl w:val="0"/>
                <w:numId w:val="22"/>
              </w:numPr>
              <w:ind w:left="176"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FOODwatch</w:t>
            </w:r>
          </w:p>
          <w:p w14:paraId="4D85869F" w14:textId="77777777" w:rsidR="00A22BF1" w:rsidRDefault="00A22BF1" w:rsidP="00950A0F">
            <w:pPr>
              <w:pStyle w:val="Table2"/>
              <w:numPr>
                <w:ilvl w:val="0"/>
                <w:numId w:val="22"/>
              </w:numPr>
              <w:ind w:left="176"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GMFAA</w:t>
            </w:r>
          </w:p>
          <w:p w14:paraId="4D8586A0" w14:textId="77777777" w:rsidR="005B46A2" w:rsidRDefault="00504E09" w:rsidP="00950A0F">
            <w:pPr>
              <w:pStyle w:val="Table2"/>
              <w:numPr>
                <w:ilvl w:val="0"/>
                <w:numId w:val="22"/>
              </w:numPr>
              <w:ind w:left="176"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Submitter1</w:t>
            </w:r>
            <w:r w:rsidR="003D5B92">
              <w:rPr>
                <w:color w:val="000000" w:themeColor="text1"/>
              </w:rPr>
              <w:t xml:space="preserve"> (name withheld on request)</w:t>
            </w:r>
          </w:p>
        </w:tc>
        <w:tc>
          <w:tcPr>
            <w:tcW w:w="5165" w:type="dxa"/>
            <w:tcBorders>
              <w:top w:val="single" w:sz="4" w:space="0" w:color="auto"/>
              <w:left w:val="single" w:sz="4" w:space="0" w:color="auto"/>
              <w:bottom w:val="single" w:sz="4" w:space="0" w:color="auto"/>
              <w:right w:val="single" w:sz="4" w:space="0" w:color="auto"/>
            </w:tcBorders>
          </w:tcPr>
          <w:p w14:paraId="4D8586A1" w14:textId="77777777" w:rsidR="00950A0F" w:rsidRPr="002D79FB" w:rsidRDefault="00950A0F" w:rsidP="00950A0F">
            <w:pPr>
              <w:pStyle w:val="Table2"/>
              <w:cnfStyle w:val="000000010000" w:firstRow="0" w:lastRow="0" w:firstColumn="0" w:lastColumn="0" w:oddVBand="0" w:evenVBand="0" w:oddHBand="0" w:evenHBand="1" w:firstRowFirstColumn="0" w:firstRowLastColumn="0" w:lastRowFirstColumn="0" w:lastRowLastColumn="0"/>
              <w:rPr>
                <w:bCs w:val="0"/>
              </w:rPr>
            </w:pPr>
            <w:r w:rsidRPr="002D79FB">
              <w:rPr>
                <w:bCs w:val="0"/>
              </w:rPr>
              <w:t xml:space="preserve">There is general consensus among food regulators that the key focus in determining the safety of a GM food is the comparative compositional analysis. This concept was first considered in 1993 </w:t>
            </w:r>
            <w:r w:rsidRPr="002D79FB">
              <w:rPr>
                <w:rFonts w:cs="Arial"/>
                <w:bCs w:val="0"/>
                <w:szCs w:val="22"/>
                <w:lang w:val="en"/>
              </w:rPr>
              <w:fldChar w:fldCharType="begin"/>
            </w:r>
            <w:r w:rsidR="004B76CD">
              <w:rPr>
                <w:rFonts w:cs="Arial"/>
                <w:bCs w:val="0"/>
                <w:szCs w:val="22"/>
                <w:lang w:val="en"/>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development&lt;/Publisher&gt;&lt;Web_URL_Link2&gt;&lt;u&gt;file://F:\Risk Assessment - Chemical Safety\GMO - shared\References\GM References\OECD_1993_safety evaluation of GM foods.pdf&lt;/u&gt;&lt;/Web_URL_Link2&gt;&lt;ZZ_WorkformID&gt;24&lt;/ZZ_WorkformID&gt;&lt;/MDL&gt;&lt;/Cite&gt;&lt;/Refman&gt;</w:instrText>
            </w:r>
            <w:r w:rsidRPr="002D79FB">
              <w:rPr>
                <w:rFonts w:cs="Arial"/>
                <w:bCs w:val="0"/>
                <w:szCs w:val="22"/>
                <w:lang w:val="en"/>
              </w:rPr>
              <w:fldChar w:fldCharType="separate"/>
            </w:r>
            <w:r w:rsidR="00197526">
              <w:rPr>
                <w:rFonts w:cs="Arial"/>
                <w:bCs w:val="0"/>
                <w:noProof/>
                <w:szCs w:val="22"/>
                <w:lang w:val="en"/>
              </w:rPr>
              <w:t>(OECD 1993)</w:t>
            </w:r>
            <w:r w:rsidRPr="002D79FB">
              <w:rPr>
                <w:rFonts w:cs="Arial"/>
                <w:bCs w:val="0"/>
                <w:szCs w:val="22"/>
                <w:lang w:val="en"/>
              </w:rPr>
              <w:fldChar w:fldCharType="end"/>
            </w:r>
            <w:r w:rsidRPr="002D79FB">
              <w:rPr>
                <w:rFonts w:cs="Arial"/>
                <w:bCs w:val="0"/>
                <w:szCs w:val="22"/>
                <w:lang w:val="en"/>
              </w:rPr>
              <w:t xml:space="preserve"> </w:t>
            </w:r>
            <w:r w:rsidRPr="002D79FB">
              <w:rPr>
                <w:bCs w:val="0"/>
              </w:rPr>
              <w:t xml:space="preserve">and there has not been any change to this thinking </w:t>
            </w:r>
            <w:r w:rsidRPr="002D79FB">
              <w:rPr>
                <w:bCs w:val="0"/>
              </w:rPr>
              <w:fldChar w:fldCharType="begin"/>
            </w:r>
            <w:r w:rsidR="004B76CD">
              <w:rPr>
                <w:bCs w:val="0"/>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Safety&lt;/Keywords&gt;&lt;Reprint&gt;In File&lt;/Reprint&gt;&lt;Start_Page&gt;555&lt;/Start_Page&gt;&lt;End_Page&gt;557&lt;/End_Page&gt;&lt;Periodical&gt;Trends in Biotechnology&lt;/Periodical&gt;&lt;Volume&gt;27&lt;/Volume&gt;&lt;Web_URL_Link2&gt;&lt;u&gt;file://F:\Risk Assessment - Chemical Safety\GMO - shared\References\GM References\Herman et al_2009_compositional analysis.pdf&lt;/u&gt;&lt;/Web_URL_Link2&gt;&lt;ZZ_JournalFull&gt;&lt;f name="System"&gt;Trends in Biotechnology&lt;/f&gt;&lt;/ZZ_JournalFull&gt;&lt;ZZ_WorkformID&gt;1&lt;/ZZ_WorkformID&gt;&lt;/MDL&gt;&lt;/Cite&gt;&lt;/Refman&gt;</w:instrText>
            </w:r>
            <w:r w:rsidRPr="002D79FB">
              <w:rPr>
                <w:bCs w:val="0"/>
              </w:rPr>
              <w:fldChar w:fldCharType="separate"/>
            </w:r>
            <w:r w:rsidR="00197526">
              <w:rPr>
                <w:bCs w:val="0"/>
                <w:noProof/>
              </w:rPr>
              <w:t>(Herman et al. 2009)</w:t>
            </w:r>
            <w:r w:rsidRPr="002D79FB">
              <w:rPr>
                <w:bCs w:val="0"/>
              </w:rPr>
              <w:fldChar w:fldCharType="end"/>
            </w:r>
            <w:r w:rsidRPr="002D79FB">
              <w:rPr>
                <w:bCs w:val="0"/>
              </w:rPr>
              <w:t>.</w:t>
            </w:r>
            <w:r>
              <w:rPr>
                <w:bCs w:val="0"/>
              </w:rPr>
              <w:t xml:space="preserve"> The compositional analysis for MON87411 showed that grain from MON87411 is compositionally equivalent to grain from conventional corn varieties.</w:t>
            </w:r>
          </w:p>
          <w:p w14:paraId="4D8586A2" w14:textId="77777777" w:rsidR="00950A0F" w:rsidRPr="002D79FB" w:rsidRDefault="00950A0F" w:rsidP="00950A0F">
            <w:pPr>
              <w:pStyle w:val="Table2"/>
              <w:cnfStyle w:val="000000010000" w:firstRow="0" w:lastRow="0" w:firstColumn="0" w:lastColumn="0" w:oddVBand="0" w:evenVBand="0" w:oddHBand="0" w:evenHBand="1" w:firstRowFirstColumn="0" w:firstRowLastColumn="0" w:lastRowFirstColumn="0" w:lastRowLastColumn="0"/>
              <w:rPr>
                <w:bCs w:val="0"/>
              </w:rPr>
            </w:pPr>
          </w:p>
          <w:p w14:paraId="4D8586A3" w14:textId="77777777" w:rsidR="00950A0F" w:rsidRDefault="00950A0F" w:rsidP="00197526">
            <w:pPr>
              <w:pStyle w:val="Table2"/>
              <w:cnfStyle w:val="000000010000" w:firstRow="0" w:lastRow="0" w:firstColumn="0" w:lastColumn="0" w:oddVBand="0" w:evenVBand="0" w:oddHBand="0" w:evenHBand="1" w:firstRowFirstColumn="0" w:firstRowLastColumn="0" w:lastRowFirstColumn="0" w:lastRowLastColumn="0"/>
              <w:rPr>
                <w:bCs w:val="0"/>
              </w:rPr>
            </w:pPr>
            <w:r w:rsidRPr="002D79FB">
              <w:rPr>
                <w:bCs w:val="0"/>
              </w:rPr>
              <w:t xml:space="preserve">In 2007, FSANZ convened a workshop to formally examine </w:t>
            </w:r>
            <w:r w:rsidRPr="006C2DDF">
              <w:rPr>
                <w:bCs w:val="0"/>
              </w:rPr>
              <w:t>the</w:t>
            </w:r>
            <w:r w:rsidRPr="002D79FB">
              <w:rPr>
                <w:bCs w:val="0"/>
              </w:rPr>
              <w:t xml:space="preserve"> usefulness of animal feeding studies to support the safety assessment of GM foods (</w:t>
            </w:r>
            <w:hyperlink r:id="rId19" w:history="1">
              <w:r w:rsidRPr="007D3F31">
                <w:rPr>
                  <w:rStyle w:val="Hyperlink"/>
                  <w:bCs w:val="0"/>
                  <w:color w:val="0000FF"/>
                  <w:szCs w:val="18"/>
                </w:rPr>
                <w:t>http://www.foodstandards.gov.au/consumer/gmfood/Pages/roleofanimalfeedings3717.aspx</w:t>
              </w:r>
            </w:hyperlink>
            <w:r w:rsidRPr="006C2DDF">
              <w:rPr>
                <w:rStyle w:val="Hyperlink"/>
                <w:bCs w:val="0"/>
                <w:color w:val="auto"/>
                <w:szCs w:val="18"/>
                <w:u w:val="none"/>
              </w:rPr>
              <w:t xml:space="preserve">). </w:t>
            </w:r>
            <w:r w:rsidRPr="002D79FB">
              <w:rPr>
                <w:bCs w:val="0"/>
              </w:rPr>
              <w:t xml:space="preserve">The conclusion was that such studies do not contribute meaningful information on the long-term safety of a GM food, with the possible exception of a food in which the modification introduced a desired nutritional change. Therefore, </w:t>
            </w:r>
            <w:r w:rsidRPr="002D79FB">
              <w:rPr>
                <w:rFonts w:cs="Arial"/>
                <w:bCs w:val="0"/>
              </w:rPr>
              <w:t>for most GM foods,</w:t>
            </w:r>
            <w:r>
              <w:rPr>
                <w:rFonts w:cs="Arial"/>
                <w:bCs w:val="0"/>
              </w:rPr>
              <w:t xml:space="preserve"> including those derived from MON87411,</w:t>
            </w:r>
            <w:r w:rsidRPr="002D79FB">
              <w:rPr>
                <w:rFonts w:cs="Arial"/>
                <w:bCs w:val="0"/>
              </w:rPr>
              <w:t xml:space="preserve"> feeding trials of any length are unlikely to contribute any further useful information to the safety assessment and are not warranted. </w:t>
            </w:r>
            <w:r w:rsidRPr="002D79FB">
              <w:rPr>
                <w:bCs w:val="0"/>
              </w:rPr>
              <w:t xml:space="preserve">There are also concerns about the unethical use of animals for feeding studies in the absence of any clearly identified compositional differences </w:t>
            </w:r>
            <w:r w:rsidRPr="002D79FB">
              <w:rPr>
                <w:bCs w:val="0"/>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4B76CD">
              <w:rPr>
                <w:bCs w:val="0"/>
              </w:rPr>
              <w:instrText xml:space="preserve"> ADDIN REFMGR.CITE </w:instrText>
            </w:r>
            <w:r w:rsidR="004B76CD">
              <w:rPr>
                <w:bCs w:val="0"/>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4B76CD">
              <w:rPr>
                <w:bCs w:val="0"/>
              </w:rPr>
              <w:instrText xml:space="preserve"> ADDIN EN.CITE.DATA </w:instrText>
            </w:r>
            <w:r w:rsidR="004B76CD">
              <w:rPr>
                <w:bCs w:val="0"/>
              </w:rPr>
            </w:r>
            <w:r w:rsidR="004B76CD">
              <w:rPr>
                <w:bCs w:val="0"/>
              </w:rPr>
              <w:fldChar w:fldCharType="end"/>
            </w:r>
            <w:r w:rsidRPr="002D79FB">
              <w:rPr>
                <w:bCs w:val="0"/>
              </w:rPr>
            </w:r>
            <w:r w:rsidRPr="002D79FB">
              <w:rPr>
                <w:bCs w:val="0"/>
              </w:rPr>
              <w:fldChar w:fldCharType="separate"/>
            </w:r>
            <w:r w:rsidR="00197526">
              <w:rPr>
                <w:bCs w:val="0"/>
                <w:noProof/>
              </w:rPr>
              <w:t>(Rigaud 2008; Bartholomaeus et al. 2013)</w:t>
            </w:r>
            <w:r w:rsidRPr="002D79FB">
              <w:rPr>
                <w:bCs w:val="0"/>
              </w:rPr>
              <w:fldChar w:fldCharType="end"/>
            </w:r>
            <w:r w:rsidRPr="002D79FB">
              <w:rPr>
                <w:bCs w:val="0"/>
              </w:rPr>
              <w:t>.</w:t>
            </w:r>
          </w:p>
          <w:p w14:paraId="4D8586A4" w14:textId="77777777" w:rsidR="00B430BE" w:rsidRPr="00C67980" w:rsidRDefault="00B430BE" w:rsidP="00197526">
            <w:pPr>
              <w:pStyle w:val="Table2"/>
              <w:cnfStyle w:val="000000010000" w:firstRow="0" w:lastRow="0" w:firstColumn="0" w:lastColumn="0" w:oddVBand="0" w:evenVBand="0" w:oddHBand="0" w:evenHBand="1" w:firstRowFirstColumn="0" w:firstRowLastColumn="0" w:lastRowFirstColumn="0" w:lastRowLastColumn="0"/>
              <w:rPr>
                <w:bCs w:val="0"/>
              </w:rPr>
            </w:pPr>
          </w:p>
        </w:tc>
      </w:tr>
      <w:tr w:rsidR="00EE74BE" w14:paraId="4D8586AB" w14:textId="77777777" w:rsidTr="00EE74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14:paraId="4D8586A6" w14:textId="77777777" w:rsidR="00EE74BE" w:rsidRPr="00EE74BE" w:rsidRDefault="00EE74BE" w:rsidP="00EE74BE">
            <w:pPr>
              <w:autoSpaceDE w:val="0"/>
              <w:autoSpaceDN w:val="0"/>
              <w:adjustRightInd w:val="0"/>
              <w:ind w:left="142" w:hanging="142"/>
              <w:rPr>
                <w:rFonts w:cs="Arial"/>
                <w:sz w:val="18"/>
                <w:szCs w:val="18"/>
              </w:rPr>
            </w:pPr>
            <w:r w:rsidRPr="00EE74BE">
              <w:rPr>
                <w:color w:val="000000" w:themeColor="text1"/>
                <w:sz w:val="18"/>
                <w:szCs w:val="18"/>
                <w:lang w:eastAsia="en-GB" w:bidi="ar-SA"/>
              </w:rPr>
              <w:lastRenderedPageBreak/>
              <w:t xml:space="preserve">FSANZ, in carrying out its assessment of the Application, has </w:t>
            </w:r>
            <w:r>
              <w:rPr>
                <w:color w:val="000000" w:themeColor="text1"/>
                <w:sz w:val="18"/>
                <w:szCs w:val="18"/>
                <w:lang w:eastAsia="en-GB" w:bidi="ar-SA"/>
              </w:rPr>
              <w:t>compromised sound scientific process by favouring trade outcomes.</w:t>
            </w:r>
          </w:p>
        </w:tc>
        <w:tc>
          <w:tcPr>
            <w:tcW w:w="2268" w:type="dxa"/>
            <w:tcBorders>
              <w:top w:val="single" w:sz="4" w:space="0" w:color="auto"/>
              <w:left w:val="single" w:sz="4" w:space="0" w:color="auto"/>
              <w:bottom w:val="single" w:sz="4" w:space="0" w:color="auto"/>
              <w:right w:val="single" w:sz="4" w:space="0" w:color="auto"/>
            </w:tcBorders>
          </w:tcPr>
          <w:p w14:paraId="4D8586A7" w14:textId="77777777" w:rsidR="00EE74BE" w:rsidRDefault="00EE74BE" w:rsidP="00EE74BE">
            <w:pPr>
              <w:pStyle w:val="Table2"/>
              <w:numPr>
                <w:ilvl w:val="0"/>
                <w:numId w:val="21"/>
              </w:numPr>
              <w:ind w:left="176"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AGEFC</w:t>
            </w:r>
          </w:p>
          <w:p w14:paraId="4D8586A8" w14:textId="77777777" w:rsidR="00EE74BE" w:rsidRDefault="00EE74BE" w:rsidP="00EE74BE">
            <w:pPr>
              <w:pStyle w:val="Table2"/>
              <w:numPr>
                <w:ilvl w:val="0"/>
                <w:numId w:val="21"/>
              </w:numPr>
              <w:ind w:left="176"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Susie Lees</w:t>
            </w:r>
          </w:p>
        </w:tc>
        <w:tc>
          <w:tcPr>
            <w:tcW w:w="5165" w:type="dxa"/>
            <w:tcBorders>
              <w:top w:val="single" w:sz="4" w:space="0" w:color="auto"/>
              <w:left w:val="single" w:sz="4" w:space="0" w:color="auto"/>
              <w:bottom w:val="single" w:sz="4" w:space="0" w:color="auto"/>
              <w:right w:val="single" w:sz="4" w:space="0" w:color="auto"/>
            </w:tcBorders>
          </w:tcPr>
          <w:p w14:paraId="4D8586A9" w14:textId="77777777" w:rsidR="00EE74BE" w:rsidRDefault="00EE74BE" w:rsidP="0045588A">
            <w:pPr>
              <w:pStyle w:val="FSBullet"/>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T</w:t>
            </w:r>
            <w:r w:rsidRPr="00EE74BE">
              <w:rPr>
                <w:color w:val="000000" w:themeColor="text1"/>
                <w:sz w:val="18"/>
                <w:szCs w:val="18"/>
              </w:rPr>
              <w:t>he primary objective of FSANZ in developing or varying a food regulatory measure, (see s 18 of the FSANZ Act), is the protection of public healt</w:t>
            </w:r>
            <w:r>
              <w:rPr>
                <w:color w:val="000000" w:themeColor="text1"/>
                <w:sz w:val="18"/>
                <w:szCs w:val="18"/>
              </w:rPr>
              <w:t>h and safety. Accordingly, the safety a</w:t>
            </w:r>
            <w:r w:rsidRPr="00EE74BE">
              <w:rPr>
                <w:color w:val="000000" w:themeColor="text1"/>
                <w:sz w:val="18"/>
                <w:szCs w:val="18"/>
              </w:rPr>
              <w:t>ssessment forms the central component in cons</w:t>
            </w:r>
            <w:r>
              <w:rPr>
                <w:color w:val="000000" w:themeColor="text1"/>
                <w:sz w:val="18"/>
                <w:szCs w:val="18"/>
              </w:rPr>
              <w:t>idering an application. If the safety a</w:t>
            </w:r>
            <w:r w:rsidRPr="00EE74BE">
              <w:rPr>
                <w:color w:val="000000" w:themeColor="text1"/>
                <w:sz w:val="18"/>
                <w:szCs w:val="18"/>
              </w:rPr>
              <w:t>ssessment identifies a safety concern</w:t>
            </w:r>
            <w:r w:rsidR="00735645">
              <w:rPr>
                <w:color w:val="000000" w:themeColor="text1"/>
                <w:sz w:val="18"/>
                <w:szCs w:val="18"/>
              </w:rPr>
              <w:t>,</w:t>
            </w:r>
            <w:r w:rsidRPr="00EE74BE">
              <w:rPr>
                <w:color w:val="000000" w:themeColor="text1"/>
                <w:sz w:val="18"/>
                <w:szCs w:val="18"/>
              </w:rPr>
              <w:t xml:space="preserve"> it is unlikely that the food would be considered for approv</w:t>
            </w:r>
            <w:r>
              <w:rPr>
                <w:color w:val="000000" w:themeColor="text1"/>
                <w:sz w:val="18"/>
                <w:szCs w:val="18"/>
              </w:rPr>
              <w:t>al. If, on the other hand, the safety a</w:t>
            </w:r>
            <w:r w:rsidRPr="00EE74BE">
              <w:rPr>
                <w:color w:val="000000" w:themeColor="text1"/>
                <w:sz w:val="18"/>
                <w:szCs w:val="18"/>
              </w:rPr>
              <w:t xml:space="preserve">ssessment does not identify any safety concerns, then a number of other statutory obligations, including Australia’s and New Zealand’s ability to meet their obligations under the WTO, must be considered in relation to the approval. </w:t>
            </w:r>
          </w:p>
          <w:p w14:paraId="4D8586AA" w14:textId="77777777" w:rsidR="00B430BE" w:rsidRPr="003D5B92" w:rsidRDefault="00B430BE" w:rsidP="003D5B92">
            <w:pPr>
              <w:cnfStyle w:val="000000100000" w:firstRow="0" w:lastRow="0" w:firstColumn="0" w:lastColumn="0" w:oddVBand="0" w:evenVBand="0" w:oddHBand="1" w:evenHBand="0" w:firstRowFirstColumn="0" w:firstRowLastColumn="0" w:lastRowFirstColumn="0" w:lastRowLastColumn="0"/>
            </w:pPr>
          </w:p>
        </w:tc>
      </w:tr>
      <w:tr w:rsidR="00ED0567" w14:paraId="4D8586AF" w14:textId="77777777" w:rsidTr="00810C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4D8586AC" w14:textId="77777777" w:rsidR="00B430BE" w:rsidRPr="006C2DDF" w:rsidRDefault="00ED0567" w:rsidP="00F73505">
            <w:pPr>
              <w:pStyle w:val="Table2"/>
            </w:pPr>
            <w:r>
              <w:t>Concern that the FSANZ public submission process is a sham because FSANZ takes no notice of submissions</w:t>
            </w:r>
          </w:p>
        </w:tc>
        <w:tc>
          <w:tcPr>
            <w:tcW w:w="2268" w:type="dxa"/>
            <w:tcBorders>
              <w:left w:val="single" w:sz="4" w:space="0" w:color="auto"/>
              <w:bottom w:val="single" w:sz="4" w:space="0" w:color="auto"/>
              <w:right w:val="single" w:sz="4" w:space="0" w:color="auto"/>
            </w:tcBorders>
          </w:tcPr>
          <w:p w14:paraId="4D8586AD" w14:textId="77777777" w:rsidR="00ED0567" w:rsidRDefault="00504E09" w:rsidP="008913EE">
            <w:pPr>
              <w:pStyle w:val="Table2"/>
              <w:numPr>
                <w:ilvl w:val="0"/>
                <w:numId w:val="19"/>
              </w:numPr>
              <w:ind w:left="318" w:hanging="318"/>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Submitter1</w:t>
            </w:r>
          </w:p>
        </w:tc>
        <w:tc>
          <w:tcPr>
            <w:tcW w:w="5165" w:type="dxa"/>
            <w:tcBorders>
              <w:left w:val="single" w:sz="4" w:space="0" w:color="auto"/>
              <w:bottom w:val="single" w:sz="4" w:space="0" w:color="auto"/>
            </w:tcBorders>
          </w:tcPr>
          <w:p w14:paraId="4D8586AE" w14:textId="77777777" w:rsidR="00ED0567" w:rsidRPr="00976D32" w:rsidRDefault="00B430BE" w:rsidP="00B430BE">
            <w:pPr>
              <w:pStyle w:val="Table2"/>
              <w:cnfStyle w:val="000000010000" w:firstRow="0" w:lastRow="0" w:firstColumn="0" w:lastColumn="0" w:oddVBand="0" w:evenVBand="0" w:oddHBand="0" w:evenHBand="1" w:firstRowFirstColumn="0" w:firstRowLastColumn="0" w:lastRowFirstColumn="0" w:lastRowLastColumn="0"/>
              <w:rPr>
                <w:color w:val="000000"/>
              </w:rPr>
            </w:pPr>
            <w:r>
              <w:rPr>
                <w:color w:val="000000" w:themeColor="text1"/>
                <w:szCs w:val="22"/>
              </w:rPr>
              <w:t xml:space="preserve">Every submission on each application received by FSANZ is considered by the FSANZ Board. </w:t>
            </w:r>
            <w:r w:rsidR="00291218">
              <w:rPr>
                <w:color w:val="000000"/>
              </w:rPr>
              <w:t>All submissions are addressed, as e</w:t>
            </w:r>
            <w:r w:rsidR="006551C5">
              <w:rPr>
                <w:color w:val="000000"/>
              </w:rPr>
              <w:t>videnced from Section 2.1 of this</w:t>
            </w:r>
            <w:r w:rsidR="00291218">
              <w:rPr>
                <w:color w:val="000000"/>
              </w:rPr>
              <w:t xml:space="preserve"> </w:t>
            </w:r>
            <w:r>
              <w:rPr>
                <w:color w:val="000000"/>
              </w:rPr>
              <w:t>R</w:t>
            </w:r>
            <w:r w:rsidR="00291218">
              <w:rPr>
                <w:color w:val="000000"/>
              </w:rPr>
              <w:t xml:space="preserve">eport. As stated in Section 2.4 of this report, </w:t>
            </w:r>
            <w:r w:rsidR="00291218">
              <w:rPr>
                <w:color w:val="000000" w:themeColor="text1"/>
                <w:szCs w:val="22"/>
              </w:rPr>
              <w:t xml:space="preserve">all comments are valued and contribute to the rigour of the safety assessment. </w:t>
            </w:r>
          </w:p>
        </w:tc>
      </w:tr>
      <w:tr w:rsidR="00ED0567" w14:paraId="4D8586B6" w14:textId="77777777" w:rsidTr="00810C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4D8586B0" w14:textId="77777777" w:rsidR="00ED0567" w:rsidRPr="006C2DDF" w:rsidRDefault="00ED0567" w:rsidP="00D705BE">
            <w:pPr>
              <w:pStyle w:val="Table2"/>
            </w:pPr>
            <w:r>
              <w:t>Concern that the FSANZ Board has a pecuniary interest in RNAi technology and this represents a conflict of interest</w:t>
            </w:r>
          </w:p>
        </w:tc>
        <w:tc>
          <w:tcPr>
            <w:tcW w:w="2268" w:type="dxa"/>
            <w:tcBorders>
              <w:left w:val="single" w:sz="4" w:space="0" w:color="auto"/>
              <w:bottom w:val="single" w:sz="4" w:space="0" w:color="auto"/>
              <w:right w:val="single" w:sz="4" w:space="0" w:color="auto"/>
            </w:tcBorders>
          </w:tcPr>
          <w:p w14:paraId="4D8586B1" w14:textId="77777777" w:rsidR="00ED0567" w:rsidRDefault="00504E09"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Submitter</w:t>
            </w:r>
            <w:r w:rsidR="00B430BE">
              <w:rPr>
                <w:color w:val="000000" w:themeColor="text1"/>
              </w:rPr>
              <w:t xml:space="preserve"> </w:t>
            </w:r>
            <w:r>
              <w:rPr>
                <w:color w:val="000000" w:themeColor="text1"/>
              </w:rPr>
              <w:t>1</w:t>
            </w:r>
          </w:p>
        </w:tc>
        <w:tc>
          <w:tcPr>
            <w:tcW w:w="5165" w:type="dxa"/>
            <w:tcBorders>
              <w:left w:val="single" w:sz="4" w:space="0" w:color="auto"/>
              <w:bottom w:val="single" w:sz="4" w:space="0" w:color="auto"/>
            </w:tcBorders>
          </w:tcPr>
          <w:p w14:paraId="4D8586B2" w14:textId="77777777" w:rsidR="00291218" w:rsidRPr="00291218" w:rsidRDefault="00291218" w:rsidP="00291218">
            <w:pPr>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91218">
              <w:rPr>
                <w:color w:val="000000" w:themeColor="text1"/>
                <w:sz w:val="18"/>
                <w:szCs w:val="18"/>
              </w:rPr>
              <w:t xml:space="preserve">FSANZ Board members are subject to the requirements of the </w:t>
            </w:r>
            <w:r w:rsidR="00B430BE">
              <w:rPr>
                <w:i/>
                <w:color w:val="000000" w:themeColor="text1"/>
                <w:sz w:val="18"/>
                <w:szCs w:val="18"/>
              </w:rPr>
              <w:t xml:space="preserve">Public Governance, Performance And Accountability Act 2013 </w:t>
            </w:r>
            <w:r w:rsidRPr="00291218">
              <w:rPr>
                <w:color w:val="000000" w:themeColor="text1"/>
                <w:sz w:val="18"/>
                <w:szCs w:val="18"/>
              </w:rPr>
              <w:t xml:space="preserve">and </w:t>
            </w:r>
            <w:r w:rsidR="00B430BE">
              <w:rPr>
                <w:color w:val="000000" w:themeColor="text1"/>
                <w:sz w:val="18"/>
                <w:szCs w:val="18"/>
              </w:rPr>
              <w:t xml:space="preserve">the </w:t>
            </w:r>
            <w:r w:rsidR="00B430BE" w:rsidRPr="003D5B92">
              <w:rPr>
                <w:color w:val="000000" w:themeColor="text1"/>
                <w:sz w:val="18"/>
                <w:szCs w:val="18"/>
              </w:rPr>
              <w:t>FSANZ Act</w:t>
            </w:r>
            <w:r w:rsidR="006551C5" w:rsidRPr="00B430BE">
              <w:rPr>
                <w:color w:val="000000" w:themeColor="text1"/>
                <w:sz w:val="18"/>
                <w:szCs w:val="18"/>
              </w:rPr>
              <w:t>.</w:t>
            </w:r>
            <w:r w:rsidR="006551C5">
              <w:rPr>
                <w:color w:val="000000" w:themeColor="text1"/>
                <w:sz w:val="18"/>
                <w:szCs w:val="18"/>
              </w:rPr>
              <w:t xml:space="preserve"> </w:t>
            </w:r>
            <w:r w:rsidR="00B430BE">
              <w:rPr>
                <w:color w:val="000000" w:themeColor="text1"/>
                <w:sz w:val="18"/>
                <w:szCs w:val="18"/>
              </w:rPr>
              <w:t>W</w:t>
            </w:r>
            <w:r w:rsidRPr="00291218">
              <w:rPr>
                <w:color w:val="000000" w:themeColor="text1"/>
                <w:sz w:val="18"/>
                <w:szCs w:val="18"/>
              </w:rPr>
              <w:t>hen a new Board member is appointed</w:t>
            </w:r>
            <w:r w:rsidR="00B430BE">
              <w:rPr>
                <w:color w:val="000000" w:themeColor="text1"/>
                <w:sz w:val="18"/>
                <w:szCs w:val="18"/>
              </w:rPr>
              <w:t>,</w:t>
            </w:r>
            <w:r w:rsidRPr="00291218">
              <w:rPr>
                <w:color w:val="000000" w:themeColor="text1"/>
                <w:sz w:val="18"/>
                <w:szCs w:val="18"/>
              </w:rPr>
              <w:t xml:space="preserve"> they are required to complete various declaration forms concerning pecuniary, academic and other interests that could give rise to a conflict involving FS</w:t>
            </w:r>
            <w:r w:rsidR="006551C5">
              <w:rPr>
                <w:color w:val="000000" w:themeColor="text1"/>
                <w:sz w:val="18"/>
                <w:szCs w:val="18"/>
              </w:rPr>
              <w:t xml:space="preserve">ANZ’s business and operations. </w:t>
            </w:r>
            <w:r w:rsidRPr="00291218">
              <w:rPr>
                <w:color w:val="000000" w:themeColor="text1"/>
                <w:sz w:val="18"/>
                <w:szCs w:val="18"/>
              </w:rPr>
              <w:t>These declaration forms are tabled at Board meetings and amended from time to time</w:t>
            </w:r>
            <w:r w:rsidR="006551C5">
              <w:rPr>
                <w:color w:val="000000" w:themeColor="text1"/>
                <w:sz w:val="18"/>
                <w:szCs w:val="18"/>
              </w:rPr>
              <w:t xml:space="preserve"> as members’ interests change. </w:t>
            </w:r>
            <w:r w:rsidRPr="00291218">
              <w:rPr>
                <w:color w:val="000000" w:themeColor="text1"/>
                <w:sz w:val="18"/>
                <w:szCs w:val="18"/>
              </w:rPr>
              <w:t>Additionally, at each Board meeting, members must identify agenda items for which they ma</w:t>
            </w:r>
            <w:r w:rsidR="006551C5">
              <w:rPr>
                <w:color w:val="000000" w:themeColor="text1"/>
                <w:sz w:val="18"/>
                <w:szCs w:val="18"/>
              </w:rPr>
              <w:t>y have a conflict of interest</w:t>
            </w:r>
            <w:r w:rsidR="00DD3303">
              <w:rPr>
                <w:color w:val="000000" w:themeColor="text1"/>
                <w:sz w:val="18"/>
                <w:szCs w:val="18"/>
              </w:rPr>
              <w:t xml:space="preserve"> (real or perceived)</w:t>
            </w:r>
            <w:r w:rsidR="006551C5">
              <w:rPr>
                <w:color w:val="000000" w:themeColor="text1"/>
                <w:sz w:val="18"/>
                <w:szCs w:val="18"/>
              </w:rPr>
              <w:t xml:space="preserve">. </w:t>
            </w:r>
            <w:r w:rsidRPr="00291218">
              <w:rPr>
                <w:color w:val="000000" w:themeColor="text1"/>
                <w:sz w:val="18"/>
                <w:szCs w:val="18"/>
              </w:rPr>
              <w:t>Where the Board considers that such a conflict exists, the Board member is either required to be absent during consideration of the item in question or to not vote.</w:t>
            </w:r>
          </w:p>
          <w:p w14:paraId="4D8586B3" w14:textId="77777777" w:rsidR="00291218" w:rsidRPr="00291218" w:rsidRDefault="00291218" w:rsidP="00291218">
            <w:pPr>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D8586B4" w14:textId="77777777" w:rsidR="00291218" w:rsidRPr="00291218" w:rsidRDefault="00291218" w:rsidP="00291218">
            <w:pPr>
              <w:ind w:left="176" w:hanging="176"/>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291218">
              <w:rPr>
                <w:sz w:val="18"/>
                <w:szCs w:val="18"/>
              </w:rPr>
              <w:t>The Board receives advice on conflict of issues</w:t>
            </w:r>
            <w:r w:rsidR="006551C5">
              <w:rPr>
                <w:sz w:val="18"/>
                <w:szCs w:val="18"/>
              </w:rPr>
              <w:t>.</w:t>
            </w:r>
          </w:p>
          <w:p w14:paraId="4D8586B5" w14:textId="77777777" w:rsidR="00ED0567" w:rsidRPr="00976D32" w:rsidRDefault="00ED0567" w:rsidP="00D705BE">
            <w:pPr>
              <w:pStyle w:val="Table2"/>
              <w:cnfStyle w:val="000000100000" w:firstRow="0" w:lastRow="0" w:firstColumn="0" w:lastColumn="0" w:oddVBand="0" w:evenVBand="0" w:oddHBand="1" w:evenHBand="0" w:firstRowFirstColumn="0" w:firstRowLastColumn="0" w:lastRowFirstColumn="0" w:lastRowLastColumn="0"/>
              <w:rPr>
                <w:color w:val="000000"/>
              </w:rPr>
            </w:pPr>
          </w:p>
        </w:tc>
      </w:tr>
      <w:tr w:rsidR="00BF5C74" w14:paraId="4D8586BE" w14:textId="77777777" w:rsidTr="00810C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4D8586B7" w14:textId="77777777" w:rsidR="00BF5C74" w:rsidRPr="00A22BF1" w:rsidRDefault="00BF5C74" w:rsidP="00BF5C74">
            <w:pPr>
              <w:pStyle w:val="Table2"/>
            </w:pPr>
            <w:r w:rsidRPr="00A22BF1">
              <w:rPr>
                <w:lang w:val="en-US" w:bidi="ar-SA"/>
              </w:rPr>
              <w:t>Bt crops have been linked to health and environmental issues</w:t>
            </w:r>
          </w:p>
        </w:tc>
        <w:tc>
          <w:tcPr>
            <w:tcW w:w="2268" w:type="dxa"/>
            <w:tcBorders>
              <w:left w:val="single" w:sz="4" w:space="0" w:color="auto"/>
              <w:bottom w:val="single" w:sz="4" w:space="0" w:color="auto"/>
              <w:right w:val="single" w:sz="4" w:space="0" w:color="auto"/>
            </w:tcBorders>
          </w:tcPr>
          <w:p w14:paraId="4D8586B8" w14:textId="77777777" w:rsidR="00BF5C74" w:rsidRDefault="00BF5C74" w:rsidP="00BF5C74">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GMFAA</w:t>
            </w:r>
          </w:p>
          <w:p w14:paraId="4D8586B9" w14:textId="77777777" w:rsidR="00BF5C74" w:rsidRDefault="00BF5C74" w:rsidP="00BF5C74">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MADGE</w:t>
            </w:r>
          </w:p>
        </w:tc>
        <w:tc>
          <w:tcPr>
            <w:tcW w:w="5165" w:type="dxa"/>
            <w:tcBorders>
              <w:left w:val="single" w:sz="4" w:space="0" w:color="auto"/>
              <w:bottom w:val="single" w:sz="4" w:space="0" w:color="auto"/>
            </w:tcBorders>
          </w:tcPr>
          <w:p w14:paraId="4D8586BA" w14:textId="77777777" w:rsidR="00BF5C74" w:rsidRDefault="00BF5C74" w:rsidP="00BF5C74">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Pr>
                <w:rFonts w:cs="Arial"/>
                <w:color w:val="000000" w:themeColor="text1"/>
                <w:sz w:val="18"/>
                <w:szCs w:val="18"/>
              </w:rPr>
              <w:t xml:space="preserve">There has been widespread consideration about the safety of GM crops modified to contain Cry genes </w:t>
            </w:r>
            <w:r>
              <w:rPr>
                <w:rFonts w:cs="Arial"/>
                <w:color w:val="000000" w:themeColor="text1"/>
                <w:sz w:val="18"/>
                <w:szCs w:val="18"/>
              </w:rPr>
              <w:fldChar w:fldCharType="begin"/>
            </w:r>
            <w:r w:rsidR="004B76CD">
              <w:rPr>
                <w:rFonts w:cs="Arial"/>
                <w:color w:val="000000" w:themeColor="text1"/>
                <w:sz w:val="18"/>
                <w:szCs w:val="18"/>
              </w:rPr>
              <w:instrText xml:space="preserve"> ADDIN REFMGR.CITE &lt;Refman&gt;&lt;Cite&gt;&lt;Author&gt;Mendelsohn&lt;/Author&gt;&lt;Year&gt;2003&lt;/Year&gt;&lt;RecNum&gt;393&lt;/RecNum&gt;&lt;IDText&gt;Are Bt crops safe?&lt;/IDText&gt;&lt;Prefix&gt;see e.g. &lt;/Prefix&gt;&lt;MDL Ref_Type="Journal"&gt;&lt;Ref_Type&gt;Journal&lt;/Ref_Type&gt;&lt;Ref_ID&gt;393&lt;/Ref_ID&gt;&lt;Title_Primary&gt;Are &lt;i&gt;Bt&lt;/i&gt; crops safe?&lt;/Title_Primary&gt;&lt;Authors_Primary&gt;Mendelsohn,M.&lt;/Authors_Primary&gt;&lt;Authors_Primary&gt;Kough,J.&lt;/Authors_Primary&gt;&lt;Authors_Primary&gt;Vaituzis,Z.&lt;/Authors_Primary&gt;&lt;Authors_Primary&gt;Matthews,K.&lt;/Authors_Primary&gt;&lt;Date_Primary&gt;2003&lt;/Date_Primary&gt;&lt;Keywords&gt;Bt&lt;/Keywords&gt;&lt;Reprint&gt;In File&lt;/Reprint&gt;&lt;Start_Page&gt;1003&lt;/Start_Page&gt;&lt;End_Page&gt;1009&lt;/End_Page&gt;&lt;Periodical&gt;Nature Biotechnology&lt;/Periodical&gt;&lt;Volume&gt;21&lt;/Volume&gt;&lt;Web_URL&gt;&lt;u&gt;http://www.epa.gov/opp00001/biopesticides/pips/are_bt_crops_safe.pdf&lt;/u&gt;&lt;/Web_URL&gt;&lt;ZZ_JournalFull&gt;&lt;f name="System"&gt;Nature Biotechnology&lt;/f&gt;&lt;/ZZ_JournalFull&gt;&lt;ZZ_WorkformID&gt;1&lt;/ZZ_WorkformID&gt;&lt;/MDL&gt;&lt;/Cite&gt;&lt;Cite&gt;&lt;Author&gt;Hammond&lt;/Author&gt;&lt;Year&gt;2012&lt;/Year&gt;&lt;RecNum&gt;1799&lt;/RecNum&gt;&lt;IDText&gt;A review of the food safety of Bt crops&lt;/IDText&gt;&lt;MDL Ref_Type="Book Chapter"&gt;&lt;Ref_Type&gt;Book Chapter&lt;/Ref_Type&gt;&lt;Ref_ID&gt;1799&lt;/Ref_ID&gt;&lt;Title_Primary&gt;A review of the food safety of Bt crops&lt;/Title_Primary&gt;&lt;Authors_Primary&gt;Hammond,B.G.&lt;/Authors_Primary&gt;&lt;Authors_Primary&gt;Koch,M.S.&lt;/Authors_Primary&gt;&lt;Date_Primary&gt;2012&lt;/Date_Primary&gt;&lt;Keywords&gt;Bt&lt;/Keywords&gt;&lt;Keywords&gt;Safety&lt;/Keywords&gt;&lt;Keywords&gt;Bacillus&lt;/Keywords&gt;&lt;Keywords&gt;Bacillus thuringiensis&lt;/Keywords&gt;&lt;Keywords&gt;Biotechnology&lt;/Keywords&gt;&lt;Reprint&gt;Not in File&lt;/Reprint&gt;&lt;Start_Page&gt;305&lt;/Start_Page&gt;&lt;End_Page&gt;325&lt;/End_Page&gt;&lt;Title_Secondary&gt;&lt;i&gt;Bacillus thuringiensis&lt;/i&gt; biotechnology&lt;/Title_Secondary&gt;&lt;Authors_Secondary&gt;Sansinenea,E.&lt;/Authors_Secondary&gt;&lt;Pub_Place&gt;New York&lt;/Pub_Place&gt;&lt;Publisher&gt;Springer&lt;/Publisher&gt;&lt;ZZ_WorkformID&gt;3&lt;/ZZ_WorkformID&gt;&lt;/MDL&gt;&lt;/Cite&gt;&lt;/Refman&gt;</w:instrText>
            </w:r>
            <w:r>
              <w:rPr>
                <w:rFonts w:cs="Arial"/>
                <w:color w:val="000000" w:themeColor="text1"/>
                <w:sz w:val="18"/>
                <w:szCs w:val="18"/>
              </w:rPr>
              <w:fldChar w:fldCharType="separate"/>
            </w:r>
            <w:r>
              <w:rPr>
                <w:rFonts w:cs="Arial"/>
                <w:noProof/>
                <w:color w:val="000000" w:themeColor="text1"/>
                <w:sz w:val="18"/>
                <w:szCs w:val="18"/>
              </w:rPr>
              <w:t>(see e.g. Mendelsohn et al. 2003; Hammond and Koch 2012)</w:t>
            </w:r>
            <w:r>
              <w:rPr>
                <w:rFonts w:cs="Arial"/>
                <w:color w:val="000000" w:themeColor="text1"/>
                <w:sz w:val="18"/>
                <w:szCs w:val="18"/>
              </w:rPr>
              <w:fldChar w:fldCharType="end"/>
            </w:r>
            <w:r>
              <w:rPr>
                <w:rFonts w:cs="Arial"/>
                <w:color w:val="000000" w:themeColor="text1"/>
                <w:sz w:val="18"/>
                <w:szCs w:val="18"/>
              </w:rPr>
              <w:t xml:space="preserve"> and the conclusion reached through assessment of the data available is that Bt crops do not pose a safety concern.</w:t>
            </w:r>
          </w:p>
          <w:p w14:paraId="4D8586BB" w14:textId="77777777" w:rsidR="00BF5C74" w:rsidRDefault="00BF5C74" w:rsidP="00BF5C74">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p w14:paraId="4D8586BC" w14:textId="77777777" w:rsidR="00BF5C74" w:rsidRDefault="00BF5C74" w:rsidP="00BF5C74">
            <w:pPr>
              <w:ind w:left="176" w:hanging="176"/>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Pr>
                <w:rFonts w:cs="Arial"/>
                <w:color w:val="000000" w:themeColor="text1"/>
                <w:sz w:val="18"/>
                <w:szCs w:val="18"/>
              </w:rPr>
              <w:t xml:space="preserve">It is also relevant to note that products derived from </w:t>
            </w:r>
            <w:r w:rsidRPr="00A26B57">
              <w:rPr>
                <w:rFonts w:cs="Arial"/>
                <w:i/>
                <w:color w:val="000000" w:themeColor="text1"/>
                <w:sz w:val="18"/>
                <w:szCs w:val="18"/>
              </w:rPr>
              <w:t>B. thuringiensis</w:t>
            </w:r>
            <w:r>
              <w:rPr>
                <w:rFonts w:cs="Arial"/>
                <w:color w:val="000000" w:themeColor="text1"/>
                <w:sz w:val="18"/>
                <w:szCs w:val="18"/>
              </w:rPr>
              <w:t xml:space="preserve"> have been sprayed on crop plants for 50 years. </w:t>
            </w:r>
            <w:r w:rsidRPr="002A781D">
              <w:rPr>
                <w:rFonts w:cs="Arial"/>
                <w:color w:val="000000" w:themeColor="text1"/>
                <w:sz w:val="18"/>
                <w:szCs w:val="18"/>
              </w:rPr>
              <w:t>The effect of</w:t>
            </w:r>
            <w:r>
              <w:rPr>
                <w:rFonts w:cs="Arial"/>
                <w:color w:val="000000" w:themeColor="text1"/>
                <w:sz w:val="18"/>
                <w:szCs w:val="18"/>
              </w:rPr>
              <w:t xml:space="preserve"> these </w:t>
            </w:r>
            <w:r w:rsidRPr="002A781D">
              <w:rPr>
                <w:rFonts w:cs="Arial"/>
                <w:color w:val="000000" w:themeColor="text1"/>
                <w:sz w:val="18"/>
                <w:szCs w:val="18"/>
              </w:rPr>
              <w:t xml:space="preserve">products on human health and the environment was the subject of a critical review by the WHO International Programme on Chemical Safety </w:t>
            </w:r>
            <w:r w:rsidRPr="002A781D">
              <w:rPr>
                <w:rFonts w:cs="Arial"/>
                <w:color w:val="000000" w:themeColor="text1"/>
                <w:sz w:val="18"/>
                <w:szCs w:val="18"/>
              </w:rPr>
              <w:fldChar w:fldCharType="begin"/>
            </w:r>
            <w:r w:rsidR="004B76CD">
              <w:rPr>
                <w:rFonts w:cs="Arial"/>
                <w:color w:val="000000" w:themeColor="text1"/>
                <w:sz w:val="18"/>
                <w:szCs w:val="18"/>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2A781D">
              <w:rPr>
                <w:rFonts w:cs="Arial"/>
                <w:color w:val="000000" w:themeColor="text1"/>
                <w:sz w:val="18"/>
                <w:szCs w:val="18"/>
              </w:rPr>
              <w:fldChar w:fldCharType="separate"/>
            </w:r>
            <w:r w:rsidRPr="002A781D">
              <w:rPr>
                <w:rFonts w:cs="Arial"/>
                <w:noProof/>
                <w:color w:val="000000" w:themeColor="text1"/>
                <w:sz w:val="18"/>
                <w:szCs w:val="18"/>
              </w:rPr>
              <w:t>(WHO 1999)</w:t>
            </w:r>
            <w:r w:rsidRPr="002A781D">
              <w:rPr>
                <w:rFonts w:cs="Arial"/>
                <w:color w:val="000000" w:themeColor="text1"/>
                <w:sz w:val="18"/>
                <w:szCs w:val="18"/>
              </w:rPr>
              <w:fldChar w:fldCharType="end"/>
            </w:r>
            <w:r w:rsidRPr="002A781D">
              <w:rPr>
                <w:rFonts w:cs="Arial"/>
                <w:color w:val="000000" w:themeColor="text1"/>
                <w:sz w:val="18"/>
                <w:szCs w:val="18"/>
              </w:rPr>
              <w:t>. The review concluded that ‘</w:t>
            </w:r>
            <w:r w:rsidRPr="002A781D">
              <w:rPr>
                <w:rFonts w:cs="Arial"/>
                <w:i/>
                <w:color w:val="000000" w:themeColor="text1"/>
                <w:sz w:val="18"/>
                <w:szCs w:val="18"/>
              </w:rPr>
              <w:t>B. thuringiensis</w:t>
            </w:r>
            <w:r w:rsidRPr="002A781D">
              <w:rPr>
                <w:rFonts w:cs="Arial"/>
                <w:color w:val="000000" w:themeColor="text1"/>
                <w:sz w:val="18"/>
                <w:szCs w:val="18"/>
              </w:rPr>
              <w:t xml:space="preserve"> products are unlikely to pose any hazard to humans or other vertebrates or the great majority of non-target invertebrates</w:t>
            </w:r>
            <w:r>
              <w:rPr>
                <w:rFonts w:cs="Arial"/>
                <w:color w:val="000000" w:themeColor="text1"/>
                <w:sz w:val="18"/>
                <w:szCs w:val="18"/>
              </w:rPr>
              <w:t>’</w:t>
            </w:r>
            <w:r w:rsidRPr="002A781D">
              <w:rPr>
                <w:rFonts w:cs="Arial"/>
                <w:color w:val="000000" w:themeColor="text1"/>
                <w:sz w:val="18"/>
                <w:szCs w:val="18"/>
              </w:rPr>
              <w:t xml:space="preserve"> Products containing </w:t>
            </w:r>
            <w:r w:rsidRPr="002A781D">
              <w:rPr>
                <w:rFonts w:cs="Arial"/>
                <w:i/>
                <w:color w:val="000000" w:themeColor="text1"/>
                <w:sz w:val="18"/>
                <w:szCs w:val="18"/>
              </w:rPr>
              <w:t>Bt</w:t>
            </w:r>
            <w:r w:rsidRPr="002A781D">
              <w:rPr>
                <w:rFonts w:cs="Arial"/>
                <w:color w:val="000000" w:themeColor="text1"/>
                <w:sz w:val="18"/>
                <w:szCs w:val="18"/>
              </w:rPr>
              <w:t xml:space="preserve"> are approved for use on crops in Australia and New Zealand and in both countries there is an exemption from maximum residue limits (MRLs) when </w:t>
            </w:r>
            <w:r w:rsidRPr="002A781D">
              <w:rPr>
                <w:rFonts w:cs="Arial"/>
                <w:i/>
                <w:color w:val="000000" w:themeColor="text1"/>
                <w:sz w:val="18"/>
                <w:szCs w:val="18"/>
              </w:rPr>
              <w:t xml:space="preserve">Bt </w:t>
            </w:r>
            <w:r w:rsidRPr="002A781D">
              <w:rPr>
                <w:rFonts w:cs="Arial"/>
                <w:color w:val="000000" w:themeColor="text1"/>
                <w:sz w:val="18"/>
                <w:szCs w:val="18"/>
              </w:rPr>
              <w:t>is used as an insecticide</w:t>
            </w:r>
            <w:r>
              <w:rPr>
                <w:rFonts w:cs="Arial"/>
                <w:color w:val="000000" w:themeColor="text1"/>
                <w:sz w:val="18"/>
                <w:szCs w:val="18"/>
              </w:rPr>
              <w:t>.</w:t>
            </w:r>
          </w:p>
          <w:p w14:paraId="4D8586BD" w14:textId="77777777" w:rsidR="00B430BE" w:rsidRPr="002A781D" w:rsidRDefault="00B430BE" w:rsidP="00BF5C74">
            <w:pPr>
              <w:ind w:left="176" w:hanging="176"/>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p>
        </w:tc>
      </w:tr>
      <w:tr w:rsidR="008913EE" w14:paraId="4D8586D3" w14:textId="77777777" w:rsidTr="00810C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bottom w:val="single" w:sz="4" w:space="0" w:color="auto"/>
              <w:right w:val="single" w:sz="4" w:space="0" w:color="auto"/>
            </w:tcBorders>
          </w:tcPr>
          <w:p w14:paraId="4D8586BF" w14:textId="77777777" w:rsidR="008913EE" w:rsidRPr="006C2DDF" w:rsidRDefault="00BC424F" w:rsidP="00D705BE">
            <w:pPr>
              <w:pStyle w:val="Table2"/>
            </w:pPr>
            <w:r>
              <w:lastRenderedPageBreak/>
              <w:t>C</w:t>
            </w:r>
            <w:r w:rsidR="008913EE" w:rsidRPr="006C2DDF">
              <w:t>oncern with the use of herbicides</w:t>
            </w:r>
            <w:r>
              <w:t xml:space="preserve"> in general and glyphosate in particular</w:t>
            </w:r>
          </w:p>
        </w:tc>
        <w:tc>
          <w:tcPr>
            <w:tcW w:w="2268" w:type="dxa"/>
            <w:tcBorders>
              <w:left w:val="single" w:sz="4" w:space="0" w:color="auto"/>
              <w:bottom w:val="single" w:sz="4" w:space="0" w:color="auto"/>
              <w:right w:val="single" w:sz="4" w:space="0" w:color="auto"/>
            </w:tcBorders>
          </w:tcPr>
          <w:p w14:paraId="4D8586C0" w14:textId="77777777" w:rsidR="00BC424F" w:rsidRDefault="00BC424F"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 xml:space="preserve">Tania </w:t>
            </w:r>
            <w:proofErr w:type="spellStart"/>
            <w:r>
              <w:rPr>
                <w:lang w:val="en-US"/>
              </w:rPr>
              <w:t>Condren</w:t>
            </w:r>
            <w:proofErr w:type="spellEnd"/>
          </w:p>
          <w:p w14:paraId="4D8586C1" w14:textId="77777777" w:rsidR="008913EE" w:rsidRDefault="008913EE"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Michelle Denise</w:t>
            </w:r>
          </w:p>
          <w:p w14:paraId="4D8586C2" w14:textId="77777777" w:rsidR="00BC424F" w:rsidRPr="00BC424F" w:rsidRDefault="00BC424F" w:rsidP="00BC424F">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 xml:space="preserve">GMFAA </w:t>
            </w:r>
          </w:p>
          <w:p w14:paraId="4D8586C3" w14:textId="77777777" w:rsidR="00BC424F" w:rsidRDefault="00BC424F"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Hugh Halliday</w:t>
            </w:r>
          </w:p>
          <w:p w14:paraId="4D8586C4" w14:textId="77777777" w:rsidR="00BC424F" w:rsidRPr="00BC424F" w:rsidRDefault="008913EE" w:rsidP="00BC424F">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Susie Lees</w:t>
            </w:r>
          </w:p>
          <w:p w14:paraId="4D8586C5" w14:textId="77777777" w:rsidR="00BC424F" w:rsidRPr="00BC424F" w:rsidRDefault="00716E5F"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Mothers are Demystifying Genetic Engineering (MADGE)</w:t>
            </w:r>
          </w:p>
          <w:p w14:paraId="4D8586C6" w14:textId="77777777" w:rsidR="00BC424F" w:rsidRPr="00BC424F" w:rsidRDefault="00504E09"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Submitter1</w:t>
            </w:r>
          </w:p>
          <w:p w14:paraId="4D8586C7" w14:textId="77777777" w:rsidR="00BC424F" w:rsidRPr="00BC424F" w:rsidRDefault="00BC424F" w:rsidP="00BC424F">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PSGR</w:t>
            </w:r>
          </w:p>
          <w:p w14:paraId="4D8586C8" w14:textId="77777777" w:rsidR="00BC424F" w:rsidRPr="00BC424F" w:rsidRDefault="00BC424F" w:rsidP="008913EE">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Brian Sandle</w:t>
            </w:r>
          </w:p>
          <w:p w14:paraId="4D8586C9" w14:textId="77777777" w:rsidR="00BC424F" w:rsidRPr="00BC424F" w:rsidRDefault="00BC424F" w:rsidP="00BC424F">
            <w:pPr>
              <w:pStyle w:val="Table2"/>
              <w:numPr>
                <w:ilvl w:val="0"/>
                <w:numId w:val="19"/>
              </w:numPr>
              <w:ind w:left="318" w:hanging="318"/>
              <w:cnfStyle w:val="000000100000" w:firstRow="0" w:lastRow="0" w:firstColumn="0" w:lastColumn="0" w:oddVBand="0" w:evenVBand="0" w:oddHBand="1" w:evenHBand="0" w:firstRowFirstColumn="0" w:firstRowLastColumn="0" w:lastRowFirstColumn="0" w:lastRowLastColumn="0"/>
              <w:rPr>
                <w:color w:val="000000" w:themeColor="text1"/>
              </w:rPr>
            </w:pPr>
            <w:r>
              <w:rPr>
                <w:lang w:val="en-US"/>
              </w:rPr>
              <w:t xml:space="preserve">Rebekah Summer &amp; Mark </w:t>
            </w:r>
            <w:proofErr w:type="spellStart"/>
            <w:r>
              <w:rPr>
                <w:lang w:val="en-US"/>
              </w:rPr>
              <w:t>Halcroft</w:t>
            </w:r>
            <w:proofErr w:type="spellEnd"/>
          </w:p>
        </w:tc>
        <w:tc>
          <w:tcPr>
            <w:tcW w:w="5165" w:type="dxa"/>
            <w:tcBorders>
              <w:left w:val="single" w:sz="4" w:space="0" w:color="auto"/>
              <w:bottom w:val="single" w:sz="4" w:space="0" w:color="auto"/>
            </w:tcBorders>
          </w:tcPr>
          <w:p w14:paraId="4D8586CA" w14:textId="77777777" w:rsidR="008913EE" w:rsidRPr="008913EE" w:rsidRDefault="008913EE" w:rsidP="00BC424F">
            <w:pPr>
              <w:pStyle w:val="ListParagraph"/>
              <w:autoSpaceDE w:val="0"/>
              <w:autoSpaceDN w:val="0"/>
              <w:adjustRightInd w:val="0"/>
              <w:ind w:left="176" w:hanging="176"/>
              <w:cnfStyle w:val="000000100000" w:firstRow="0" w:lastRow="0" w:firstColumn="0" w:lastColumn="0" w:oddVBand="0" w:evenVBand="0" w:oddHBand="1" w:evenHBand="0" w:firstRowFirstColumn="0" w:firstRowLastColumn="0" w:lastRowFirstColumn="0" w:lastRowLastColumn="0"/>
              <w:rPr>
                <w:rStyle w:val="Hyperlink"/>
                <w:rFonts w:cs="Arial"/>
                <w:color w:val="000000" w:themeColor="text1"/>
                <w:sz w:val="18"/>
                <w:szCs w:val="18"/>
                <w:u w:val="none"/>
              </w:rPr>
            </w:pPr>
            <w:r w:rsidRPr="008913EE">
              <w:rPr>
                <w:rFonts w:cs="Arial"/>
                <w:color w:val="000000" w:themeColor="text1"/>
                <w:sz w:val="18"/>
                <w:szCs w:val="18"/>
              </w:rPr>
              <w:t>The use of agricultural and veterinary chemicals is subject to strict government regulation in most trading countries. In Australia and New Zealand, residues of agricultural and veterinary chemicals are prohibited in food (both GM and non-GM) unless they comply with specific limits referred to as MRLs</w:t>
            </w:r>
            <w:r w:rsidR="00F73505" w:rsidRPr="00CC2DB2">
              <w:rPr>
                <w:rFonts w:cs="Arial"/>
                <w:color w:val="000000" w:themeColor="text1"/>
                <w:sz w:val="18"/>
                <w:szCs w:val="18"/>
              </w:rPr>
              <w:t>.</w:t>
            </w:r>
            <w:r w:rsidRPr="00CC2DB2">
              <w:rPr>
                <w:rFonts w:cs="Arial"/>
                <w:color w:val="000000" w:themeColor="text1"/>
                <w:sz w:val="18"/>
                <w:szCs w:val="18"/>
              </w:rPr>
              <w:t xml:space="preserve"> </w:t>
            </w:r>
            <w:r w:rsidR="00CC2DB2" w:rsidRPr="00CC2DB2">
              <w:rPr>
                <w:rFonts w:cs="Arial"/>
                <w:color w:val="000000" w:themeColor="text1"/>
                <w:sz w:val="18"/>
                <w:szCs w:val="18"/>
                <w:lang w:val="en-US"/>
              </w:rPr>
              <w:t>FSANZ and the Australian Pesticides and Veterinary Medicines Authority (APVMA) have shared responsibilities in relation to MRLs for food</w:t>
            </w:r>
            <w:r w:rsidRPr="00CC2DB2">
              <w:rPr>
                <w:rFonts w:cs="Arial"/>
                <w:color w:val="000000" w:themeColor="text1"/>
                <w:sz w:val="18"/>
                <w:szCs w:val="18"/>
              </w:rPr>
              <w:t xml:space="preserve">. The </w:t>
            </w:r>
            <w:r w:rsidRPr="008913EE">
              <w:rPr>
                <w:rFonts w:cs="Arial"/>
                <w:color w:val="000000" w:themeColor="text1"/>
                <w:sz w:val="18"/>
                <w:szCs w:val="18"/>
              </w:rPr>
              <w:t xml:space="preserve">setting of MRLs ensures that residues of agricultural and veterinary chemicals are kept as low as possible and consistent with the approved use of chemical products to control pests and diseases of plants and animals. For further details see the FSANZ website at </w:t>
            </w:r>
            <w:hyperlink r:id="rId20" w:history="1">
              <w:r w:rsidRPr="008913EE">
                <w:rPr>
                  <w:rStyle w:val="Hyperlink"/>
                  <w:rFonts w:cs="Arial"/>
                  <w:sz w:val="18"/>
                  <w:szCs w:val="18"/>
                </w:rPr>
                <w:t>http://www.foodstandards.gov.au/scienceandeducation/factsheets/factsheets/chemicalsinfoodmaxim5429.cfm</w:t>
              </w:r>
            </w:hyperlink>
            <w:r w:rsidRPr="008913EE">
              <w:rPr>
                <w:rStyle w:val="Hyperlink"/>
                <w:rFonts w:cs="Arial"/>
                <w:sz w:val="18"/>
                <w:szCs w:val="18"/>
              </w:rPr>
              <w:t>.</w:t>
            </w:r>
            <w:r w:rsidRPr="008913EE">
              <w:rPr>
                <w:rStyle w:val="Hyperlink"/>
                <w:rFonts w:cs="Arial"/>
                <w:color w:val="000000" w:themeColor="text1"/>
                <w:sz w:val="18"/>
                <w:szCs w:val="18"/>
                <w:u w:val="none"/>
              </w:rPr>
              <w:t xml:space="preserve">  </w:t>
            </w:r>
          </w:p>
          <w:p w14:paraId="4D8586CB" w14:textId="77777777" w:rsidR="00716E5F" w:rsidRDefault="008913EE" w:rsidP="0045588A">
            <w:pPr>
              <w:pStyle w:val="Table2"/>
              <w:cnfStyle w:val="000000100000" w:firstRow="0" w:lastRow="0" w:firstColumn="0" w:lastColumn="0" w:oddVBand="0" w:evenVBand="0" w:oddHBand="1" w:evenHBand="0" w:firstRowFirstColumn="0" w:firstRowLastColumn="0" w:lastRowFirstColumn="0" w:lastRowLastColumn="0"/>
            </w:pPr>
            <w:r w:rsidRPr="0068053E">
              <w:rPr>
                <w:rFonts w:cs="Arial"/>
              </w:rPr>
              <w:t>In undertaking a risk-based assessment to support an MRL, the key issue is whether, in the context of the Australian/New Zealand diet, the consumption of chemical residues in a food remains below the health-based guidance values.</w:t>
            </w:r>
            <w:r w:rsidRPr="0068053E">
              <w:t xml:space="preserve"> Herbicide MRLs themselves are not food safety limits. They specify the amount of permitted residue remaining in a harvested crop after the minimum amount of herbicide has been applied to control weed growth. Exceeding an established MRL </w:t>
            </w:r>
            <w:r w:rsidR="00DD3303">
              <w:t>can occur</w:t>
            </w:r>
            <w:r w:rsidRPr="0068053E">
              <w:t xml:space="preserve"> but it does not necessarily make a food unsafe because the level that is set (and regularly reviewed to take into account changing usage) is designed to ensure the minimum residue level</w:t>
            </w:r>
            <w:r w:rsidR="00810C31">
              <w:t>,</w:t>
            </w:r>
            <w:r w:rsidRPr="0068053E">
              <w:t xml:space="preserve"> not the maximum permissible before there is a health and safety concern</w:t>
            </w:r>
            <w:r w:rsidRPr="00625936">
              <w:t>.</w:t>
            </w:r>
          </w:p>
          <w:p w14:paraId="4D8586CC" w14:textId="77777777" w:rsidR="00716E5F" w:rsidRPr="00446C1B" w:rsidRDefault="00716E5F" w:rsidP="00446C1B">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rFonts w:cs="Arial"/>
                <w:color w:val="auto"/>
                <w:sz w:val="18"/>
                <w:szCs w:val="18"/>
                <w:u w:val="none"/>
                <w:lang w:val="en-US"/>
              </w:rPr>
            </w:pPr>
            <w:r w:rsidRPr="00716E5F">
              <w:rPr>
                <w:rFonts w:cs="Arial"/>
                <w:sz w:val="18"/>
                <w:szCs w:val="18"/>
                <w:lang w:val="en-US"/>
              </w:rPr>
              <w:t>The following points about glyphosate are relevant</w:t>
            </w:r>
            <w:r w:rsidR="00446C1B">
              <w:rPr>
                <w:rFonts w:cs="Arial"/>
                <w:sz w:val="18"/>
                <w:szCs w:val="18"/>
                <w:lang w:val="en-US"/>
              </w:rPr>
              <w:t>:</w:t>
            </w:r>
          </w:p>
          <w:p w14:paraId="4D8586CD" w14:textId="77777777" w:rsidR="00716E5F" w:rsidRPr="00716E5F" w:rsidRDefault="00716E5F" w:rsidP="000D4BF1">
            <w:pPr>
              <w:pStyle w:val="ListParagraph"/>
              <w:numPr>
                <w:ilvl w:val="0"/>
                <w:numId w:val="17"/>
              </w:numPr>
              <w:autoSpaceDE w:val="0"/>
              <w:autoSpaceDN w:val="0"/>
              <w:adjustRightInd w:val="0"/>
              <w:ind w:left="318" w:hanging="318"/>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716E5F">
              <w:rPr>
                <w:rStyle w:val="Hyperlink"/>
                <w:rFonts w:cs="Arial"/>
                <w:color w:val="000000" w:themeColor="text1"/>
                <w:sz w:val="18"/>
                <w:szCs w:val="18"/>
                <w:u w:val="none"/>
              </w:rPr>
              <w:t>The MRL pertaining to glyphosate is given in Standard 1.4.2 (</w:t>
            </w:r>
            <w:hyperlink r:id="rId21" w:history="1">
              <w:r w:rsidRPr="00716E5F">
                <w:rPr>
                  <w:rStyle w:val="Hyperlink"/>
                  <w:rFonts w:cs="Arial"/>
                  <w:sz w:val="18"/>
                  <w:szCs w:val="18"/>
                </w:rPr>
                <w:t>http://www.comlaw.gov.au/Details/F2014C01358/Html/Volume_2</w:t>
              </w:r>
            </w:hyperlink>
            <w:r w:rsidRPr="00716E5F">
              <w:rPr>
                <w:rStyle w:val="Hyperlink"/>
                <w:rFonts w:cs="Arial"/>
                <w:color w:val="000000" w:themeColor="text1"/>
                <w:sz w:val="18"/>
                <w:szCs w:val="18"/>
                <w:u w:val="none"/>
              </w:rPr>
              <w:t>) and the Applicant has indicated that no change to this MRL is being sought as a result of the intended herbicide use on MON87411.</w:t>
            </w:r>
          </w:p>
          <w:p w14:paraId="4D8586CE" w14:textId="77777777" w:rsidR="00716E5F" w:rsidRPr="00716E5F" w:rsidRDefault="00716E5F" w:rsidP="000D4BF1">
            <w:pPr>
              <w:pStyle w:val="FSBullet1"/>
              <w:ind w:left="318" w:hanging="318"/>
              <w:contextual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16E5F">
              <w:rPr>
                <w:color w:val="000000" w:themeColor="text1"/>
                <w:sz w:val="18"/>
                <w:szCs w:val="18"/>
                <w:lang w:eastAsia="en-GB"/>
              </w:rPr>
              <w:t>Glyphosate</w:t>
            </w:r>
            <w:r w:rsidRPr="00716E5F">
              <w:rPr>
                <w:color w:val="000000" w:themeColor="text1"/>
                <w:sz w:val="18"/>
                <w:szCs w:val="18"/>
              </w:rPr>
              <w:t xml:space="preserve"> is a non-selective systemic herbicide with uses on both conventional and GM crops as well as in </w:t>
            </w:r>
            <w:r w:rsidRPr="00716E5F">
              <w:rPr>
                <w:color w:val="000000" w:themeColor="text1"/>
                <w:sz w:val="18"/>
                <w:szCs w:val="18"/>
                <w:lang w:val="en"/>
              </w:rPr>
              <w:t xml:space="preserve">forestry, industrial weed control, lawn, garden, and aquatic environments </w:t>
            </w:r>
            <w:r w:rsidRPr="00716E5F">
              <w:rPr>
                <w:color w:val="000000" w:themeColor="text1"/>
                <w:sz w:val="18"/>
                <w:szCs w:val="18"/>
                <w:lang w:val="en"/>
              </w:rPr>
              <w:fldChar w:fldCharType="begin"/>
            </w:r>
            <w:r w:rsidR="004B76CD">
              <w:rPr>
                <w:color w:val="000000" w:themeColor="text1"/>
                <w:sz w:val="18"/>
                <w:szCs w:val="18"/>
                <w:lang w:val="en"/>
              </w:rPr>
              <w:instrText xml:space="preserve"> ADDIN REFMGR.CITE &lt;Refman&gt;&lt;Cite&gt;&lt;Author&gt;Henderson&lt;/Author&gt;&lt;Year&gt;2010&lt;/Year&gt;&lt;RecNum&gt;1751&lt;/RecNum&gt;&lt;IDText&gt;Glyphosate technical fact sheet&lt;/IDText&gt;&lt;MDL Ref_Type="Pamphlet"&gt;&lt;Ref_Type&gt;Pamphlet&lt;/Ref_Type&gt;&lt;Ref_ID&gt;1751&lt;/Ref_ID&gt;&lt;Title_Primary&gt;Glyphosate technical fact sheet&lt;/Title_Primary&gt;&lt;Authors_Primary&gt;Henderson,A.M.&lt;/Authors_Primary&gt;&lt;Authors_Primary&gt;Gervais,J.A.&lt;/Authors_Primary&gt;&lt;Authors_Primary&gt;Luukinen,B.&lt;/Authors_Primary&gt;&lt;Authors_Primary&gt;Buhl,K.&lt;/Authors_Primary&gt;&lt;Authors_Primary&gt;Stone,D.&lt;/Authors_Primary&gt;&lt;Date_Primary&gt;2010&lt;/Date_Primary&gt;&lt;Keywords&gt;glyphosate&lt;/Keywords&gt;&lt;Reprint&gt;Not in File&lt;/Reprint&gt;&lt;Publisher&gt;National Pesticide Information Center, Oregon State University Extension Services&lt;/Publisher&gt;&lt;Web_URL&gt;&lt;u&gt;http://npic.orst.edu/factsheets/glyphotech.html&lt;/u&gt;&lt;/Web_URL&gt;&lt;ZZ_WorkformID&gt;21&lt;/ZZ_WorkformID&gt;&lt;/MDL&gt;&lt;/Cite&gt;&lt;/Refman&gt;</w:instrText>
            </w:r>
            <w:r w:rsidRPr="00716E5F">
              <w:rPr>
                <w:color w:val="000000" w:themeColor="text1"/>
                <w:sz w:val="18"/>
                <w:szCs w:val="18"/>
                <w:lang w:val="en"/>
              </w:rPr>
              <w:fldChar w:fldCharType="separate"/>
            </w:r>
            <w:r w:rsidRPr="00716E5F">
              <w:rPr>
                <w:noProof/>
                <w:color w:val="000000" w:themeColor="text1"/>
                <w:sz w:val="18"/>
                <w:szCs w:val="18"/>
                <w:lang w:val="en"/>
              </w:rPr>
              <w:t>(Henderson et al. 2010)</w:t>
            </w:r>
            <w:r w:rsidRPr="00716E5F">
              <w:rPr>
                <w:color w:val="000000" w:themeColor="text1"/>
                <w:sz w:val="18"/>
                <w:szCs w:val="18"/>
                <w:lang w:val="en"/>
              </w:rPr>
              <w:fldChar w:fldCharType="end"/>
            </w:r>
            <w:r w:rsidRPr="00716E5F">
              <w:rPr>
                <w:color w:val="000000" w:themeColor="text1"/>
                <w:sz w:val="18"/>
                <w:szCs w:val="18"/>
                <w:lang w:val="en"/>
              </w:rPr>
              <w:t>.</w:t>
            </w:r>
          </w:p>
          <w:p w14:paraId="4D8586CF" w14:textId="77777777" w:rsidR="00716E5F" w:rsidRPr="00716E5F" w:rsidRDefault="00716E5F" w:rsidP="000D4BF1">
            <w:pPr>
              <w:pStyle w:val="FSBullet1"/>
              <w:ind w:left="318" w:right="-286" w:hanging="318"/>
              <w:contextualSpacing/>
              <w:cnfStyle w:val="000000100000" w:firstRow="0" w:lastRow="0" w:firstColumn="0" w:lastColumn="0" w:oddVBand="0" w:evenVBand="0" w:oddHBand="1" w:evenHBand="0" w:firstRowFirstColumn="0" w:firstRowLastColumn="0" w:lastRowFirstColumn="0" w:lastRowLastColumn="0"/>
              <w:rPr>
                <w:sz w:val="18"/>
                <w:szCs w:val="18"/>
              </w:rPr>
            </w:pPr>
            <w:r w:rsidRPr="00716E5F">
              <w:rPr>
                <w:sz w:val="18"/>
                <w:szCs w:val="18"/>
              </w:rPr>
              <w:t>Glyphosate MRLs for a variety of plant-derived food commodities have been adopted by Codex (</w:t>
            </w:r>
            <w:hyperlink r:id="rId22" w:history="1">
              <w:r w:rsidRPr="00716E5F">
                <w:rPr>
                  <w:rStyle w:val="Hyperlink"/>
                  <w:color w:val="0000FF"/>
                  <w:sz w:val="18"/>
                  <w:szCs w:val="18"/>
                </w:rPr>
                <w:t>http://www.codexalimentarius.net/mrls/pestdes/jsp/pest_q-e.jsp</w:t>
              </w:r>
            </w:hyperlink>
            <w:r w:rsidRPr="00716E5F">
              <w:rPr>
                <w:sz w:val="18"/>
                <w:szCs w:val="18"/>
              </w:rPr>
              <w:t xml:space="preserve">), NZ </w:t>
            </w:r>
            <w:r w:rsidRPr="00716E5F">
              <w:rPr>
                <w:sz w:val="18"/>
                <w:szCs w:val="18"/>
                <w:lang w:eastAsia="en-GB"/>
              </w:rPr>
              <w:t>(</w:t>
            </w:r>
            <w:hyperlink r:id="rId23" w:history="1">
              <w:r w:rsidRPr="00716E5F">
                <w:rPr>
                  <w:rStyle w:val="Hyperlink"/>
                  <w:sz w:val="18"/>
                  <w:szCs w:val="18"/>
                  <w:lang w:eastAsia="en-GB"/>
                </w:rPr>
                <w:t>http://www.foodsafety.govt.nz/elibrary/industry/nz-mrl-agricultural-compounds-food-standards-07-2014.pdf</w:t>
              </w:r>
            </w:hyperlink>
            <w:r w:rsidRPr="00716E5F">
              <w:rPr>
                <w:sz w:val="18"/>
                <w:szCs w:val="18"/>
                <w:lang w:eastAsia="en-GB"/>
              </w:rPr>
              <w:t>) and Australia (</w:t>
            </w:r>
            <w:hyperlink r:id="rId24" w:history="1">
              <w:r w:rsidRPr="00716E5F">
                <w:rPr>
                  <w:rStyle w:val="Hyperlink"/>
                  <w:sz w:val="18"/>
                  <w:szCs w:val="18"/>
                  <w:lang w:eastAsia="en-GB"/>
                </w:rPr>
                <w:t>http://www.comlaw.gov.au/Details/F2013C00638</w:t>
              </w:r>
            </w:hyperlink>
            <w:r w:rsidRPr="00716E5F">
              <w:rPr>
                <w:sz w:val="18"/>
                <w:szCs w:val="18"/>
                <w:lang w:eastAsia="en-GB"/>
              </w:rPr>
              <w:t xml:space="preserve">). </w:t>
            </w:r>
          </w:p>
          <w:p w14:paraId="4D8586D0" w14:textId="77777777" w:rsidR="00716E5F" w:rsidRDefault="00716E5F" w:rsidP="000D4BF1">
            <w:pPr>
              <w:pStyle w:val="FSBullet1"/>
              <w:ind w:left="318" w:hanging="318"/>
              <w:contextualSpacing/>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US"/>
              </w:rPr>
            </w:pPr>
            <w:r w:rsidRPr="00716E5F">
              <w:rPr>
                <w:color w:val="000000" w:themeColor="text1"/>
                <w:sz w:val="18"/>
                <w:szCs w:val="18"/>
              </w:rPr>
              <w:t xml:space="preserve">The Joint FAO/WHO Meeting on Pesticide Residues (JMPR) concluded </w:t>
            </w:r>
            <w:r w:rsidRPr="00716E5F">
              <w:rPr>
                <w:color w:val="000000" w:themeColor="text1"/>
                <w:sz w:val="18"/>
                <w:szCs w:val="18"/>
              </w:rPr>
              <w:fldChar w:fldCharType="begin"/>
            </w:r>
            <w:r w:rsidR="004B76CD">
              <w:rPr>
                <w:color w:val="000000" w:themeColor="text1"/>
                <w:sz w:val="18"/>
                <w:szCs w:val="18"/>
              </w:rPr>
              <w:instrText xml:space="preserve"> ADDIN REFMGR.CITE &lt;Refman&gt;&lt;Cite&gt;&lt;Author&gt;FAO&lt;/Author&gt;&lt;Year&gt;2005&lt;/Year&gt;&lt;RecNum&gt;1147&lt;/RecNum&gt;&lt;IDText&gt;Glyphosate. Pesticide residues in food&lt;/IDText&gt;&lt;MDL Ref_Type="Pamphlet"&gt;&lt;Ref_Type&gt;Pamphlet&lt;/Ref_Type&gt;&lt;Ref_ID&gt;1147&lt;/Ref_ID&gt;&lt;Title_Primary&gt;Glyphosate. Pesticide residues in food&lt;/Title_Primary&gt;&lt;Authors_Primary&gt;FAO&lt;/Authors_Primary&gt;&lt;Date_Primary&gt;2005&lt;/Date_Primary&gt;&lt;Reprint&gt;Not in File&lt;/Reprint&gt;&lt;Pub_Place&gt;New York&lt;/Pub_Place&gt;&lt;Publisher&gt;Food and Agriculture Organization of the United Nations&lt;/Publisher&gt;&lt;Web_URL&gt;&lt;u&gt;http://www.fao.org/docrep/009/a0209e/a0209e0d.htm&lt;/u&gt;&lt;/Web_URL&gt;&lt;ZZ_WorkformID&gt;21&lt;/ZZ_WorkformID&gt;&lt;/MDL&gt;&lt;/Cite&gt;&lt;/Refman&gt;</w:instrText>
            </w:r>
            <w:r w:rsidRPr="00716E5F">
              <w:rPr>
                <w:color w:val="000000" w:themeColor="text1"/>
                <w:sz w:val="18"/>
                <w:szCs w:val="18"/>
              </w:rPr>
              <w:fldChar w:fldCharType="separate"/>
            </w:r>
            <w:r w:rsidRPr="00716E5F">
              <w:rPr>
                <w:noProof/>
                <w:color w:val="000000" w:themeColor="text1"/>
                <w:sz w:val="18"/>
                <w:szCs w:val="18"/>
              </w:rPr>
              <w:t>(FAO 2005)</w:t>
            </w:r>
            <w:r w:rsidRPr="00716E5F">
              <w:rPr>
                <w:color w:val="000000" w:themeColor="text1"/>
                <w:sz w:val="18"/>
                <w:szCs w:val="18"/>
              </w:rPr>
              <w:fldChar w:fldCharType="end"/>
            </w:r>
            <w:r w:rsidRPr="00716E5F">
              <w:rPr>
                <w:color w:val="000000" w:themeColor="text1"/>
                <w:sz w:val="18"/>
                <w:szCs w:val="18"/>
              </w:rPr>
              <w:t xml:space="preserve"> that “the long-term intake of residues of glyphosate… from uses that have been considered by the JMPR is unlikely to present a public health concern”.</w:t>
            </w:r>
            <w:r w:rsidRPr="00716E5F">
              <w:rPr>
                <w:color w:val="000000" w:themeColor="text1"/>
                <w:sz w:val="18"/>
                <w:szCs w:val="18"/>
                <w:lang w:val="en-US"/>
              </w:rPr>
              <w:t xml:space="preserve"> </w:t>
            </w:r>
          </w:p>
          <w:p w14:paraId="4D8586D1" w14:textId="77777777" w:rsidR="000D4BF1" w:rsidRPr="00C16E49" w:rsidRDefault="000D4BF1" w:rsidP="000D4BF1">
            <w:pPr>
              <w:pStyle w:val="FSBullet1"/>
              <w:ind w:left="318" w:hanging="318"/>
              <w:cnfStyle w:val="000000100000" w:firstRow="0" w:lastRow="0" w:firstColumn="0" w:lastColumn="0" w:oddVBand="0" w:evenVBand="0" w:oddHBand="1" w:evenHBand="0" w:firstRowFirstColumn="0" w:firstRowLastColumn="0" w:lastRowFirstColumn="0" w:lastRowLastColumn="0"/>
              <w:rPr>
                <w:sz w:val="18"/>
                <w:szCs w:val="18"/>
                <w:lang w:val="en-US"/>
              </w:rPr>
            </w:pPr>
            <w:r w:rsidRPr="00C16E49">
              <w:rPr>
                <w:sz w:val="18"/>
                <w:szCs w:val="18"/>
                <w:lang w:val="en-US"/>
              </w:rPr>
              <w:t xml:space="preserve">A recent </w:t>
            </w:r>
            <w:r w:rsidR="00446C1B" w:rsidRPr="00C16E49">
              <w:rPr>
                <w:sz w:val="18"/>
                <w:szCs w:val="18"/>
                <w:lang w:val="en-US"/>
              </w:rPr>
              <w:t xml:space="preserve">summary </w:t>
            </w:r>
            <w:r w:rsidRPr="00C16E49">
              <w:rPr>
                <w:sz w:val="18"/>
                <w:szCs w:val="18"/>
                <w:lang w:val="en-US"/>
              </w:rPr>
              <w:t xml:space="preserve">report put out by the </w:t>
            </w:r>
            <w:r w:rsidR="00C16E49" w:rsidRPr="00C16E49">
              <w:rPr>
                <w:sz w:val="18"/>
                <w:szCs w:val="18"/>
                <w:lang w:val="en-US"/>
              </w:rPr>
              <w:t xml:space="preserve">WHO </w:t>
            </w:r>
            <w:r w:rsidRPr="00C16E49">
              <w:rPr>
                <w:sz w:val="18"/>
                <w:szCs w:val="18"/>
                <w:lang w:val="en-US"/>
              </w:rPr>
              <w:t>International</w:t>
            </w:r>
            <w:r w:rsidR="00CC2DB2">
              <w:rPr>
                <w:sz w:val="18"/>
                <w:szCs w:val="18"/>
                <w:lang w:val="en-US"/>
              </w:rPr>
              <w:t xml:space="preserve"> Agency for Research on Cancer </w:t>
            </w:r>
            <w:r w:rsidR="00C16E49" w:rsidRPr="00C16E49">
              <w:rPr>
                <w:sz w:val="18"/>
                <w:szCs w:val="18"/>
                <w:lang w:val="en-US"/>
              </w:rPr>
              <w:t>(</w:t>
            </w:r>
            <w:r w:rsidRPr="00C16E49">
              <w:rPr>
                <w:sz w:val="18"/>
                <w:szCs w:val="18"/>
                <w:lang w:val="en-US"/>
              </w:rPr>
              <w:t>IAR</w:t>
            </w:r>
            <w:r w:rsidR="004B76CD" w:rsidRPr="00C16E49">
              <w:rPr>
                <w:sz w:val="18"/>
                <w:szCs w:val="18"/>
                <w:lang w:val="en-US"/>
              </w:rPr>
              <w:t>C</w:t>
            </w:r>
            <w:r w:rsidR="00C16E49" w:rsidRPr="00C16E49">
              <w:rPr>
                <w:sz w:val="18"/>
                <w:szCs w:val="18"/>
                <w:lang w:val="en-US"/>
              </w:rPr>
              <w:t>)</w:t>
            </w:r>
            <w:r w:rsidR="004B76CD" w:rsidRPr="00C16E49">
              <w:rPr>
                <w:sz w:val="18"/>
                <w:szCs w:val="18"/>
                <w:lang w:val="en-US"/>
              </w:rPr>
              <w:t xml:space="preserve"> </w:t>
            </w:r>
            <w:r w:rsidR="004B76CD" w:rsidRPr="00C16E49">
              <w:rPr>
                <w:sz w:val="18"/>
                <w:szCs w:val="18"/>
                <w:lang w:val="en-US"/>
              </w:rPr>
              <w:fldChar w:fldCharType="begin"/>
            </w:r>
            <w:r w:rsidR="004B76CD" w:rsidRPr="00C16E49">
              <w:rPr>
                <w:sz w:val="18"/>
                <w:szCs w:val="18"/>
                <w:lang w:val="en-US"/>
              </w:rPr>
              <w:instrText xml:space="preserve"> ADDIN REFMGR.CITE &lt;Refman&gt;&lt;Cite&gt;&lt;Author&gt;Guyton&lt;/Author&gt;&lt;Year&gt;2015&lt;/Year&gt;&lt;RecNum&gt;1810&lt;/RecNum&gt;&lt;IDText&gt;Carcinogenicity of tetrachlorvinphos, parathion, malathion, diazinon and glyphosate&lt;/IDText&gt;&lt;MDL Ref_Type="Journal (Full)"&gt;&lt;Ref_Type&gt;Journal (Full)&lt;/Ref_Type&gt;&lt;Ref_ID&gt;1810&lt;/Ref_ID&gt;&lt;Title_Primary&gt;Carcinogenicity of tetrachlorvinphos, parathion, malathion, diazinon and glyphosate&lt;/Title_Primary&gt;&lt;Authors_Primary&gt;Guyton,K.Z.&lt;/Authors_Primary&gt;&lt;Authors_Primary&gt;Loomis,D.&lt;/Authors_Primary&gt;&lt;Authors_Primary&gt;Grosse,Y.&lt;/Authors_Primary&gt;&lt;Authors_Primary&gt;El Ghissassi,F.&lt;/Authors_Primary&gt;&lt;Authors_Primary&gt;Benbrahim-Tallaa,L.&lt;/Authors_Primary&gt;&lt;Authors_Primary&gt;Guha,N.&lt;/Authors_Primary&gt;&lt;Authors_Primary&gt;Scoccianti,C.&lt;/Authors_Primary&gt;&lt;Authors_Primary&gt;Mattock,H.&lt;/Authors_Primary&gt;&lt;Authors_Primary&gt;Straif,K.&lt;/Authors_Primary&gt;&lt;Date_Primary&gt;2015&lt;/Date_Primary&gt;&lt;Keywords&gt;glyphosate&lt;/Keywords&gt;&lt;Reprint&gt;Not in File&lt;/Reprint&gt;&lt;Periodical&gt;The Lancet Oncology&lt;/Periodical&gt;&lt;Volume&gt;online pre-publication&lt;/Volume&gt;&lt;Misc_2&gt;&lt;f name="Times New Roman"&gt;DOI: &lt;/f&gt;&lt;f name="Times New Roman"&gt;&lt;u&gt;http://dx.doi.org/10.1016/S1470-2045(15)70134-8&lt;/u&gt;&lt;/f&gt;&lt;/Misc_2&gt;&lt;ZZ_JournalFull&gt;&lt;f name="System"&gt;The Lancet Oncology&lt;/f&gt;&lt;/ZZ_JournalFull&gt;&lt;ZZ_WorkformID&gt;32&lt;/ZZ_WorkformID&gt;&lt;/MDL&gt;&lt;/Cite&gt;&lt;/Refman&gt;</w:instrText>
            </w:r>
            <w:r w:rsidR="004B76CD" w:rsidRPr="00C16E49">
              <w:rPr>
                <w:sz w:val="18"/>
                <w:szCs w:val="18"/>
                <w:lang w:val="en-US"/>
              </w:rPr>
              <w:fldChar w:fldCharType="separate"/>
            </w:r>
            <w:r w:rsidR="004B76CD" w:rsidRPr="00C16E49">
              <w:rPr>
                <w:noProof/>
                <w:sz w:val="18"/>
                <w:szCs w:val="18"/>
                <w:lang w:val="en-US"/>
              </w:rPr>
              <w:t>(Guyton et al. 2015)</w:t>
            </w:r>
            <w:r w:rsidR="004B76CD" w:rsidRPr="00C16E49">
              <w:rPr>
                <w:sz w:val="18"/>
                <w:szCs w:val="18"/>
                <w:lang w:val="en-US"/>
              </w:rPr>
              <w:fldChar w:fldCharType="end"/>
            </w:r>
            <w:r w:rsidRPr="00C16E49">
              <w:rPr>
                <w:sz w:val="18"/>
                <w:szCs w:val="18"/>
                <w:lang w:val="en-US"/>
              </w:rPr>
              <w:t xml:space="preserve"> has classified glyphosate as a Group 2A carcinogen (probably carcinogenic to humans). This </w:t>
            </w:r>
            <w:r w:rsidR="00C16E49" w:rsidRPr="00C16E49">
              <w:rPr>
                <w:sz w:val="18"/>
                <w:szCs w:val="18"/>
                <w:lang w:val="en-US"/>
              </w:rPr>
              <w:t>conclusion is in stark contrast to</w:t>
            </w:r>
            <w:r w:rsidRPr="00C16E49">
              <w:rPr>
                <w:sz w:val="18"/>
                <w:szCs w:val="18"/>
                <w:lang w:val="en-US"/>
              </w:rPr>
              <w:t xml:space="preserve"> the ‘non-carcinogenic’ classification given to the herbicide by a number of national and interna</w:t>
            </w:r>
            <w:r w:rsidR="00446C1B" w:rsidRPr="00C16E49">
              <w:rPr>
                <w:sz w:val="18"/>
                <w:szCs w:val="18"/>
                <w:lang w:val="en-US"/>
              </w:rPr>
              <w:t xml:space="preserve">tional expert committees. Unfortunately, since the full monograph of the IARC will not be published for some time </w:t>
            </w:r>
            <w:r w:rsidR="00C16E49" w:rsidRPr="00C16E49">
              <w:rPr>
                <w:sz w:val="18"/>
                <w:szCs w:val="18"/>
                <w:lang w:val="en-US"/>
              </w:rPr>
              <w:t xml:space="preserve">FSANZ is unable </w:t>
            </w:r>
            <w:r w:rsidR="00446C1B" w:rsidRPr="00C16E49">
              <w:rPr>
                <w:sz w:val="18"/>
                <w:szCs w:val="18"/>
                <w:lang w:val="en-US"/>
              </w:rPr>
              <w:t xml:space="preserve">to </w:t>
            </w:r>
            <w:r w:rsidR="00C16E49" w:rsidRPr="00C16E49">
              <w:rPr>
                <w:sz w:val="18"/>
                <w:szCs w:val="18"/>
                <w:lang w:val="en-US"/>
              </w:rPr>
              <w:t xml:space="preserve">comment on the reasons why </w:t>
            </w:r>
            <w:r w:rsidR="00AF5607" w:rsidRPr="00C16E49">
              <w:rPr>
                <w:sz w:val="18"/>
                <w:szCs w:val="18"/>
                <w:lang w:val="en-US"/>
              </w:rPr>
              <w:t>IARC</w:t>
            </w:r>
            <w:r w:rsidR="00C16E49" w:rsidRPr="00C16E49">
              <w:rPr>
                <w:sz w:val="18"/>
                <w:szCs w:val="18"/>
                <w:lang w:val="en-US"/>
              </w:rPr>
              <w:t>’s</w:t>
            </w:r>
            <w:r w:rsidR="00AF5607" w:rsidRPr="00C16E49">
              <w:rPr>
                <w:sz w:val="18"/>
                <w:szCs w:val="18"/>
                <w:lang w:val="en-US"/>
              </w:rPr>
              <w:t xml:space="preserve"> </w:t>
            </w:r>
            <w:r w:rsidR="00446C1B" w:rsidRPr="00C16E49">
              <w:rPr>
                <w:sz w:val="18"/>
                <w:szCs w:val="18"/>
                <w:lang w:val="en-US"/>
              </w:rPr>
              <w:t>conclusion</w:t>
            </w:r>
            <w:r w:rsidR="00C16E49" w:rsidRPr="00C16E49">
              <w:rPr>
                <w:sz w:val="18"/>
                <w:szCs w:val="18"/>
                <w:lang w:val="en-US"/>
              </w:rPr>
              <w:t xml:space="preserve"> differs so markedly from the WHO specialist </w:t>
            </w:r>
            <w:r w:rsidR="00DD3303">
              <w:rPr>
                <w:sz w:val="18"/>
                <w:szCs w:val="18"/>
                <w:lang w:val="en-US"/>
              </w:rPr>
              <w:t>c</w:t>
            </w:r>
            <w:r w:rsidR="00C16E49" w:rsidRPr="00C16E49">
              <w:rPr>
                <w:sz w:val="18"/>
                <w:szCs w:val="18"/>
                <w:lang w:val="en-US"/>
              </w:rPr>
              <w:t>ommittee on pesticides (</w:t>
            </w:r>
            <w:r w:rsidR="00CC2DB2">
              <w:rPr>
                <w:sz w:val="18"/>
                <w:szCs w:val="18"/>
                <w:lang w:val="en-US"/>
              </w:rPr>
              <w:t>ie. JMPR</w:t>
            </w:r>
            <w:r w:rsidR="00C16E49" w:rsidRPr="00C16E49">
              <w:rPr>
                <w:sz w:val="18"/>
                <w:szCs w:val="18"/>
              </w:rPr>
              <w:t>)</w:t>
            </w:r>
            <w:r w:rsidR="00446C1B" w:rsidRPr="00C16E49">
              <w:rPr>
                <w:sz w:val="18"/>
                <w:szCs w:val="18"/>
                <w:lang w:val="en-US"/>
              </w:rPr>
              <w:t>.</w:t>
            </w:r>
          </w:p>
          <w:p w14:paraId="4D8586D2" w14:textId="77777777" w:rsidR="00B430BE" w:rsidRPr="003D5B92" w:rsidRDefault="00B430BE" w:rsidP="003D5B92">
            <w:pPr>
              <w:cnfStyle w:val="000000100000" w:firstRow="0" w:lastRow="0" w:firstColumn="0" w:lastColumn="0" w:oddVBand="0" w:evenVBand="0" w:oddHBand="1" w:evenHBand="0" w:firstRowFirstColumn="0" w:firstRowLastColumn="0" w:lastRowFirstColumn="0" w:lastRowLastColumn="0"/>
              <w:rPr>
                <w:lang w:val="en-US"/>
              </w:rPr>
            </w:pPr>
          </w:p>
        </w:tc>
      </w:tr>
      <w:tr w:rsidR="00CC1A8C" w14:paraId="4D8586E0" w14:textId="77777777" w:rsidTr="00BF5C74">
        <w:trPr>
          <w:cnfStyle w:val="000000010000" w:firstRow="0" w:lastRow="0" w:firstColumn="0" w:lastColumn="0" w:oddVBand="0" w:evenVBand="0" w:oddHBand="0" w:evenHBand="1" w:firstRowFirstColumn="0" w:firstRowLastColumn="0" w:lastRowFirstColumn="0" w:lastRowLastColumn="0"/>
          <w:cantSplit/>
          <w:trHeight w:val="7426"/>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D8586D4" w14:textId="77777777" w:rsidR="00CC1A8C" w:rsidRDefault="00CC1A8C" w:rsidP="00D705BE">
            <w:pPr>
              <w:pStyle w:val="Table2"/>
            </w:pPr>
            <w:r>
              <w:lastRenderedPageBreak/>
              <w:t>Current GM labelling is inadequate</w:t>
            </w:r>
          </w:p>
        </w:tc>
        <w:tc>
          <w:tcPr>
            <w:tcW w:w="2268" w:type="dxa"/>
            <w:tcBorders>
              <w:left w:val="single" w:sz="4" w:space="0" w:color="auto"/>
              <w:right w:val="single" w:sz="4" w:space="0" w:color="auto"/>
            </w:tcBorders>
          </w:tcPr>
          <w:p w14:paraId="4D8586D5" w14:textId="77777777" w:rsidR="00CC1A8C" w:rsidRDefault="00CC1A8C" w:rsidP="00810C31">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CHOICE</w:t>
            </w:r>
          </w:p>
          <w:p w14:paraId="4D8586D6" w14:textId="77777777" w:rsidR="0045588A" w:rsidRDefault="0045588A" w:rsidP="00810C31">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FOODwatch</w:t>
            </w:r>
          </w:p>
          <w:p w14:paraId="4D8586D7" w14:textId="77777777" w:rsidR="00C67980" w:rsidRDefault="00C67980" w:rsidP="00810C31">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GMFAA</w:t>
            </w:r>
          </w:p>
          <w:p w14:paraId="4D8586D8" w14:textId="77777777" w:rsidR="00F760A5" w:rsidRDefault="00F760A5" w:rsidP="00810C31">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MADGE</w:t>
            </w:r>
          </w:p>
          <w:p w14:paraId="4D8586D9" w14:textId="77777777" w:rsidR="005B46A2" w:rsidRDefault="00504E09" w:rsidP="00810C31">
            <w:pPr>
              <w:pStyle w:val="Table2"/>
              <w:numPr>
                <w:ilvl w:val="0"/>
                <w:numId w:val="18"/>
              </w:numPr>
              <w:ind w:left="318" w:hanging="284"/>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Submitter1</w:t>
            </w:r>
          </w:p>
        </w:tc>
        <w:tc>
          <w:tcPr>
            <w:tcW w:w="5165" w:type="dxa"/>
            <w:tcBorders>
              <w:left w:val="single" w:sz="4" w:space="0" w:color="auto"/>
            </w:tcBorders>
          </w:tcPr>
          <w:p w14:paraId="4D8586DA" w14:textId="77777777" w:rsidR="009D2D29" w:rsidRDefault="009D2D29" w:rsidP="009D2D29">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szCs w:val="18"/>
              </w:rPr>
            </w:pPr>
            <w:r w:rsidRPr="00946962">
              <w:rPr>
                <w:rFonts w:cs="Arial"/>
              </w:rPr>
              <w:t>Only those GM foods assessed by FSANZ as safe are approved for sale. The labelling of approved GM foods is therefore not for safety reasons.</w:t>
            </w:r>
            <w:r w:rsidRPr="00272E09">
              <w:rPr>
                <w:rFonts w:cs="Arial"/>
              </w:rPr>
              <w:t xml:space="preserve"> </w:t>
            </w:r>
            <w:r w:rsidR="0083551D" w:rsidRPr="0045588A">
              <w:rPr>
                <w:rFonts w:cs="Arial"/>
                <w:color w:val="000000"/>
                <w:szCs w:val="18"/>
              </w:rPr>
              <w:t xml:space="preserve">Australia’s </w:t>
            </w:r>
            <w:r w:rsidR="0083551D">
              <w:rPr>
                <w:rFonts w:cs="Arial"/>
                <w:color w:val="000000"/>
                <w:szCs w:val="18"/>
              </w:rPr>
              <w:t xml:space="preserve">and New Zealand’s </w:t>
            </w:r>
            <w:r w:rsidR="0083551D" w:rsidRPr="0045588A">
              <w:rPr>
                <w:rFonts w:cs="Arial"/>
                <w:color w:val="000000"/>
                <w:szCs w:val="18"/>
              </w:rPr>
              <w:t>GM food labelling laws are some of the most extensive in the world</w:t>
            </w:r>
            <w:r w:rsidR="00E27DF3">
              <w:rPr>
                <w:rFonts w:cs="Arial"/>
                <w:color w:val="000000"/>
                <w:szCs w:val="18"/>
              </w:rPr>
              <w:t xml:space="preserve">. They </w:t>
            </w:r>
            <w:r w:rsidR="0083551D" w:rsidRPr="0045588A">
              <w:rPr>
                <w:rFonts w:cs="Arial"/>
                <w:color w:val="000000"/>
                <w:szCs w:val="18"/>
              </w:rPr>
              <w:t>are based on</w:t>
            </w:r>
            <w:r w:rsidR="00254E17">
              <w:rPr>
                <w:rFonts w:cs="Arial"/>
                <w:color w:val="000000"/>
                <w:szCs w:val="18"/>
              </w:rPr>
              <w:t xml:space="preserve"> </w:t>
            </w:r>
            <w:r w:rsidR="00E27DF3">
              <w:rPr>
                <w:rFonts w:cs="Arial"/>
                <w:color w:val="000000"/>
                <w:szCs w:val="18"/>
              </w:rPr>
              <w:t>the presence of GM material or altered characteristics in the final food (</w:t>
            </w:r>
            <w:r w:rsidR="0083551D" w:rsidRPr="0045588A">
              <w:rPr>
                <w:rFonts w:cs="Arial"/>
                <w:color w:val="000000"/>
                <w:szCs w:val="18"/>
              </w:rPr>
              <w:t>‘product</w:t>
            </w:r>
            <w:r w:rsidR="00E27DF3">
              <w:rPr>
                <w:rFonts w:cs="Arial"/>
                <w:color w:val="000000"/>
                <w:szCs w:val="18"/>
              </w:rPr>
              <w:t xml:space="preserve">-based’ labelling) </w:t>
            </w:r>
            <w:r w:rsidR="0083551D" w:rsidRPr="0045588A">
              <w:rPr>
                <w:rFonts w:cs="Arial"/>
                <w:color w:val="000000"/>
                <w:szCs w:val="18"/>
              </w:rPr>
              <w:t>rather than ‘process</w:t>
            </w:r>
            <w:r w:rsidR="00E27DF3">
              <w:rPr>
                <w:rFonts w:cs="Arial"/>
                <w:color w:val="000000"/>
                <w:szCs w:val="18"/>
              </w:rPr>
              <w:t>-based</w:t>
            </w:r>
            <w:r w:rsidR="0083551D" w:rsidRPr="0045588A">
              <w:rPr>
                <w:rFonts w:cs="Arial"/>
                <w:color w:val="000000"/>
                <w:szCs w:val="18"/>
              </w:rPr>
              <w:t>’</w:t>
            </w:r>
            <w:r w:rsidR="00E27DF3">
              <w:rPr>
                <w:rFonts w:cs="Arial"/>
                <w:color w:val="000000"/>
                <w:szCs w:val="18"/>
              </w:rPr>
              <w:t xml:space="preserve"> labelling which is based solely on the production method, irrespective of the presence of GM material or altered characteristics in the final food. This approach was</w:t>
            </w:r>
            <w:r w:rsidR="0083551D" w:rsidRPr="0045588A">
              <w:rPr>
                <w:rFonts w:cs="Arial"/>
                <w:color w:val="000000"/>
                <w:szCs w:val="18"/>
              </w:rPr>
              <w:t xml:space="preserve"> designed to be practical and enforceable.</w:t>
            </w:r>
          </w:p>
          <w:p w14:paraId="4D8586DB" w14:textId="77777777" w:rsidR="00E27DF3" w:rsidRDefault="00E27DF3" w:rsidP="009D2D29">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rPr>
            </w:pPr>
          </w:p>
          <w:p w14:paraId="4D8586DC" w14:textId="77777777" w:rsidR="00410868" w:rsidRDefault="0045588A" w:rsidP="00410868">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szCs w:val="18"/>
              </w:rPr>
            </w:pPr>
            <w:r w:rsidRPr="0045588A">
              <w:rPr>
                <w:rFonts w:cs="Arial"/>
                <w:color w:val="000000"/>
                <w:szCs w:val="18"/>
              </w:rPr>
              <w:t>The c</w:t>
            </w:r>
            <w:r w:rsidRPr="00C67980">
              <w:rPr>
                <w:rFonts w:cs="Arial"/>
                <w:color w:val="000000"/>
                <w:szCs w:val="18"/>
              </w:rPr>
              <w:t xml:space="preserve">urrent labelling laws for GM foods in Australia </w:t>
            </w:r>
            <w:r w:rsidR="005A7667">
              <w:rPr>
                <w:rFonts w:cs="Arial"/>
                <w:color w:val="000000"/>
                <w:szCs w:val="18"/>
              </w:rPr>
              <w:t xml:space="preserve">and New Zealand </w:t>
            </w:r>
            <w:r w:rsidRPr="00C67980">
              <w:rPr>
                <w:rFonts w:cs="Arial"/>
                <w:color w:val="000000"/>
                <w:szCs w:val="18"/>
              </w:rPr>
              <w:t xml:space="preserve">were </w:t>
            </w:r>
            <w:r w:rsidR="0045252B">
              <w:rPr>
                <w:rFonts w:cs="Arial"/>
                <w:color w:val="000000"/>
                <w:szCs w:val="18"/>
              </w:rPr>
              <w:t>decided on</w:t>
            </w:r>
            <w:r w:rsidRPr="00C67980">
              <w:rPr>
                <w:rFonts w:cs="Arial"/>
                <w:color w:val="000000"/>
                <w:szCs w:val="18"/>
              </w:rPr>
              <w:t xml:space="preserve"> by the Australia and New Zealand Food Regulation Ministerial Council (now known as </w:t>
            </w:r>
            <w:r w:rsidRPr="00C67980">
              <w:rPr>
                <w:szCs w:val="18"/>
              </w:rPr>
              <w:t xml:space="preserve">The </w:t>
            </w:r>
            <w:r w:rsidRPr="00C67980">
              <w:rPr>
                <w:rFonts w:cs="Helvetica"/>
                <w:szCs w:val="18"/>
                <w:lang w:val="en-AU"/>
              </w:rPr>
              <w:t xml:space="preserve">Australia and New Zealand Ministerial Forum on Food </w:t>
            </w:r>
            <w:r w:rsidRPr="00C67980">
              <w:rPr>
                <w:rFonts w:cs="Arial"/>
                <w:szCs w:val="18"/>
              </w:rPr>
              <w:t>Regulation</w:t>
            </w:r>
            <w:r w:rsidR="00C67980" w:rsidRPr="00C67980">
              <w:rPr>
                <w:rFonts w:cs="Arial"/>
                <w:szCs w:val="18"/>
              </w:rPr>
              <w:t xml:space="preserve"> – the Forum</w:t>
            </w:r>
            <w:r w:rsidRPr="00C67980">
              <w:rPr>
                <w:rFonts w:cs="Arial"/>
                <w:szCs w:val="18"/>
              </w:rPr>
              <w:t>)</w:t>
            </w:r>
            <w:r w:rsidR="006D5EE8">
              <w:rPr>
                <w:rFonts w:cs="Arial"/>
                <w:szCs w:val="18"/>
              </w:rPr>
              <w:t>.</w:t>
            </w:r>
            <w:r w:rsidR="0083551D">
              <w:rPr>
                <w:rFonts w:cs="Arial"/>
                <w:color w:val="000000"/>
                <w:szCs w:val="18"/>
              </w:rPr>
              <w:t xml:space="preserve"> </w:t>
            </w:r>
            <w:r w:rsidR="0083551D" w:rsidRPr="0045588A">
              <w:rPr>
                <w:rFonts w:cs="Arial"/>
                <w:color w:val="000000"/>
                <w:szCs w:val="18"/>
              </w:rPr>
              <w:t xml:space="preserve">The </w:t>
            </w:r>
            <w:r w:rsidR="0083551D">
              <w:rPr>
                <w:rFonts w:cs="Arial"/>
                <w:color w:val="000000"/>
                <w:szCs w:val="18"/>
              </w:rPr>
              <w:t>Forum</w:t>
            </w:r>
            <w:r w:rsidR="00306D44">
              <w:rPr>
                <w:rFonts w:cs="Arial"/>
                <w:color w:val="000000"/>
                <w:szCs w:val="18"/>
              </w:rPr>
              <w:t xml:space="preserve">’ s </w:t>
            </w:r>
            <w:r w:rsidR="00FB244C" w:rsidRPr="0045588A">
              <w:rPr>
                <w:rFonts w:cs="Arial"/>
                <w:color w:val="000000"/>
                <w:szCs w:val="18"/>
              </w:rPr>
              <w:t>decision to base</w:t>
            </w:r>
            <w:r w:rsidR="006323C3">
              <w:rPr>
                <w:rFonts w:cs="Arial"/>
                <w:color w:val="000000"/>
                <w:szCs w:val="18"/>
              </w:rPr>
              <w:t xml:space="preserve"> GM</w:t>
            </w:r>
            <w:r w:rsidR="00FB244C" w:rsidRPr="0045588A">
              <w:rPr>
                <w:rFonts w:cs="Arial"/>
                <w:color w:val="000000"/>
                <w:szCs w:val="18"/>
              </w:rPr>
              <w:t xml:space="preserve"> labelling on </w:t>
            </w:r>
            <w:r w:rsidR="006323C3">
              <w:rPr>
                <w:rFonts w:cs="Arial"/>
                <w:color w:val="000000"/>
                <w:szCs w:val="18"/>
              </w:rPr>
              <w:t>the final food</w:t>
            </w:r>
            <w:r w:rsidR="001A1440">
              <w:rPr>
                <w:rFonts w:cs="Arial"/>
                <w:color w:val="000000"/>
                <w:szCs w:val="18"/>
              </w:rPr>
              <w:t xml:space="preserve"> </w:t>
            </w:r>
            <w:r w:rsidR="00387786">
              <w:rPr>
                <w:rFonts w:cs="Arial"/>
                <w:color w:val="000000"/>
                <w:szCs w:val="18"/>
              </w:rPr>
              <w:t xml:space="preserve">product </w:t>
            </w:r>
            <w:r w:rsidR="00FB244C" w:rsidRPr="0045588A">
              <w:rPr>
                <w:rFonts w:cs="Arial"/>
                <w:color w:val="000000"/>
                <w:szCs w:val="18"/>
              </w:rPr>
              <w:t>sought to balance the need for consumers to be provided with meaningful information, against the need for such</w:t>
            </w:r>
            <w:r w:rsidR="00410868">
              <w:rPr>
                <w:rFonts w:cs="Arial"/>
                <w:color w:val="000000"/>
                <w:szCs w:val="18"/>
              </w:rPr>
              <w:t xml:space="preserve"> requirements to be pra</w:t>
            </w:r>
            <w:r w:rsidR="009D2D29">
              <w:rPr>
                <w:rFonts w:cs="Arial"/>
                <w:color w:val="000000"/>
                <w:szCs w:val="18"/>
              </w:rPr>
              <w:t xml:space="preserve">ctical and enforceable. </w:t>
            </w:r>
          </w:p>
          <w:p w14:paraId="4D8586DD" w14:textId="77777777" w:rsidR="00306D44" w:rsidRDefault="00306D44" w:rsidP="004C2C7A">
            <w:pPr>
              <w:pStyle w:val="Table2"/>
              <w:ind w:left="0" w:firstLine="0"/>
              <w:cnfStyle w:val="000000010000" w:firstRow="0" w:lastRow="0" w:firstColumn="0" w:lastColumn="0" w:oddVBand="0" w:evenVBand="0" w:oddHBand="0" w:evenHBand="1" w:firstRowFirstColumn="0" w:firstRowLastColumn="0" w:lastRowFirstColumn="0" w:lastRowLastColumn="0"/>
              <w:rPr>
                <w:rFonts w:cs="Arial"/>
                <w:color w:val="000000"/>
                <w:szCs w:val="18"/>
              </w:rPr>
            </w:pPr>
          </w:p>
          <w:p w14:paraId="4D8586DE" w14:textId="77777777" w:rsidR="001F273F" w:rsidRDefault="00C67980" w:rsidP="001F273F">
            <w:pPr>
              <w:pStyle w:val="Table2"/>
              <w:cnfStyle w:val="000000010000" w:firstRow="0" w:lastRow="0" w:firstColumn="0" w:lastColumn="0" w:oddVBand="0" w:evenVBand="0" w:oddHBand="0" w:evenHBand="1" w:firstRowFirstColumn="0" w:firstRowLastColumn="0" w:lastRowFirstColumn="0" w:lastRowLastColumn="0"/>
              <w:rPr>
                <w:rStyle w:val="Hyperlink"/>
              </w:rPr>
            </w:pPr>
            <w:r w:rsidRPr="00C67980">
              <w:rPr>
                <w:szCs w:val="18"/>
                <w:lang w:val="en-US"/>
              </w:rPr>
              <w:t>In December 2011, the Forum respon</w:t>
            </w:r>
            <w:r w:rsidR="005D7179">
              <w:rPr>
                <w:szCs w:val="18"/>
                <w:lang w:val="en-US"/>
              </w:rPr>
              <w:t>ded</w:t>
            </w:r>
            <w:r w:rsidRPr="00C67980">
              <w:rPr>
                <w:szCs w:val="18"/>
                <w:lang w:val="en-US"/>
              </w:rPr>
              <w:t xml:space="preserve"> to</w:t>
            </w:r>
            <w:r w:rsidR="001F273F">
              <w:rPr>
                <w:szCs w:val="18"/>
                <w:lang w:val="en-US"/>
              </w:rPr>
              <w:t xml:space="preserve"> recommendations contained in</w:t>
            </w:r>
            <w:r w:rsidRPr="00C67980">
              <w:rPr>
                <w:szCs w:val="18"/>
                <w:lang w:val="en-US"/>
              </w:rPr>
              <w:t xml:space="preserve"> the Final Report on an independent Review of Food Labelling Law and Policy. </w:t>
            </w:r>
            <w:r w:rsidR="00181DCE">
              <w:rPr>
                <w:szCs w:val="18"/>
                <w:lang w:val="en-US"/>
              </w:rPr>
              <w:t>In its response, t</w:t>
            </w:r>
            <w:r w:rsidRPr="00C67980">
              <w:rPr>
                <w:szCs w:val="18"/>
                <w:lang w:val="en-US"/>
              </w:rPr>
              <w:t>he Forum supported the continuation of the current GM labelling provisions in the Food Standards Code and agreed not to pursue any additional regulatory requirements.</w:t>
            </w:r>
            <w:r w:rsidR="001F273F">
              <w:rPr>
                <w:szCs w:val="18"/>
                <w:lang w:val="en-US"/>
              </w:rPr>
              <w:t xml:space="preserve"> </w:t>
            </w:r>
            <w:r w:rsidR="001F273F" w:rsidRPr="002D79FB">
              <w:t>Further information on the review and the gover</w:t>
            </w:r>
            <w:r w:rsidR="001F273F">
              <w:t xml:space="preserve">nment response is available on the Food Labelling Review website at: </w:t>
            </w:r>
            <w:hyperlink r:id="rId25" w:history="1">
              <w:r w:rsidR="001F273F" w:rsidRPr="00412B98">
                <w:rPr>
                  <w:rStyle w:val="Hyperlink"/>
                </w:rPr>
                <w:t>http://www.foodlabellingreview.gov.au/internet/foodlabelling/publishing.nsf/content/labelling-logic</w:t>
              </w:r>
            </w:hyperlink>
          </w:p>
          <w:p w14:paraId="4D8586DF" w14:textId="77777777" w:rsidR="00C67980" w:rsidRPr="00A53642" w:rsidRDefault="00C67980" w:rsidP="00BF5C74">
            <w:pPr>
              <w:pStyle w:val="Bullet"/>
              <w:numPr>
                <w:ilvl w:val="0"/>
                <w:numId w:val="0"/>
              </w:numPr>
              <w:cnfStyle w:val="000000010000" w:firstRow="0" w:lastRow="0" w:firstColumn="0" w:lastColumn="0" w:oddVBand="0" w:evenVBand="0" w:oddHBand="0" w:evenHBand="1" w:firstRowFirstColumn="0" w:firstRowLastColumn="0" w:lastRowFirstColumn="0" w:lastRowLastColumn="0"/>
              <w:rPr>
                <w:sz w:val="18"/>
                <w:szCs w:val="18"/>
              </w:rPr>
            </w:pPr>
          </w:p>
        </w:tc>
      </w:tr>
      <w:tr w:rsidR="009E7F4C" w14:paraId="4D8586E6" w14:textId="77777777" w:rsidTr="00BF5C74">
        <w:trPr>
          <w:cnfStyle w:val="000000100000" w:firstRow="0" w:lastRow="0" w:firstColumn="0" w:lastColumn="0" w:oddVBand="0" w:evenVBand="0" w:oddHBand="1" w:evenHBand="0" w:firstRowFirstColumn="0" w:firstRowLastColumn="0" w:lastRowFirstColumn="0" w:lastRowLastColumn="0"/>
          <w:cantSplit/>
          <w:trHeight w:val="2606"/>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D8586E1" w14:textId="77777777" w:rsidR="009E7F4C" w:rsidRDefault="009E7F4C" w:rsidP="00735645">
            <w:pPr>
              <w:autoSpaceDE w:val="0"/>
              <w:autoSpaceDN w:val="0"/>
              <w:adjustRightInd w:val="0"/>
              <w:ind w:left="142" w:hanging="142"/>
              <w:rPr>
                <w:rFonts w:cs="Arial"/>
                <w:sz w:val="18"/>
                <w:szCs w:val="18"/>
              </w:rPr>
            </w:pPr>
            <w:r w:rsidRPr="00222947">
              <w:rPr>
                <w:rFonts w:cs="Arial"/>
                <w:sz w:val="18"/>
                <w:szCs w:val="18"/>
              </w:rPr>
              <w:t>Any food plant with novel engineered DNA is not “equivalent” to a conventional food plant’.</w:t>
            </w:r>
          </w:p>
          <w:p w14:paraId="4D8586E2" w14:textId="77777777" w:rsidR="009E7F4C" w:rsidRPr="000778D6" w:rsidRDefault="009E7F4C" w:rsidP="00735645">
            <w:pPr>
              <w:autoSpaceDE w:val="0"/>
              <w:autoSpaceDN w:val="0"/>
              <w:adjustRightInd w:val="0"/>
            </w:pPr>
          </w:p>
        </w:tc>
        <w:tc>
          <w:tcPr>
            <w:tcW w:w="2268" w:type="dxa"/>
            <w:tcBorders>
              <w:left w:val="single" w:sz="4" w:space="0" w:color="auto"/>
              <w:right w:val="single" w:sz="4" w:space="0" w:color="auto"/>
            </w:tcBorders>
          </w:tcPr>
          <w:p w14:paraId="4D8586E3" w14:textId="77777777" w:rsidR="009E7F4C" w:rsidRPr="000778D6" w:rsidRDefault="009E7F4C" w:rsidP="00735645">
            <w:pPr>
              <w:pStyle w:val="Table2"/>
              <w:numPr>
                <w:ilvl w:val="0"/>
                <w:numId w:val="26"/>
              </w:numPr>
              <w:ind w:left="318" w:hanging="284"/>
              <w:cnfStyle w:val="000000100000" w:firstRow="0" w:lastRow="0" w:firstColumn="0" w:lastColumn="0" w:oddVBand="0" w:evenVBand="0" w:oddHBand="1" w:evenHBand="0" w:firstRowFirstColumn="0" w:firstRowLastColumn="0" w:lastRowFirstColumn="0" w:lastRowLastColumn="0"/>
            </w:pPr>
            <w:r>
              <w:rPr>
                <w:color w:val="000000" w:themeColor="text1"/>
              </w:rPr>
              <w:t>PSGR</w:t>
            </w:r>
          </w:p>
        </w:tc>
        <w:tc>
          <w:tcPr>
            <w:tcW w:w="5165" w:type="dxa"/>
            <w:tcBorders>
              <w:left w:val="single" w:sz="4" w:space="0" w:color="auto"/>
            </w:tcBorders>
          </w:tcPr>
          <w:p w14:paraId="4D8586E4" w14:textId="77777777" w:rsidR="009E7F4C" w:rsidRDefault="009E7F4C" w:rsidP="00735645">
            <w:pPr>
              <w:pStyle w:val="Table2"/>
              <w:cnfStyle w:val="000000100000" w:firstRow="0" w:lastRow="0" w:firstColumn="0" w:lastColumn="0" w:oddVBand="0" w:evenVBand="0" w:oddHBand="1" w:evenHBand="0" w:firstRowFirstColumn="0" w:firstRowLastColumn="0" w:lastRowFirstColumn="0" w:lastRowLastColumn="0"/>
            </w:pPr>
            <w:r w:rsidRPr="002D79FB">
              <w:t>The main purpose of a GM food safety assessment is to identify new or altered hazards associated with the food as a result of the genetic modification. If a new or</w:t>
            </w:r>
            <w:r w:rsidRPr="006C2DDF">
              <w:t xml:space="preserve"> altered hazard, nutritional or other food safety concern is identified, further assessment is done to determine its relevance to human health. The first step in this assessment is to undertake a comparison between the GM food and a </w:t>
            </w:r>
            <w:r w:rsidRPr="002D79FB">
              <w:t>conventional counterpart food having an acceptable standard of safety to determine if there are any differences. In the second part of the assessment, any i</w:t>
            </w:r>
            <w:r>
              <w:t xml:space="preserve">dentified differences are subject to further scrutiny </w:t>
            </w:r>
            <w:r w:rsidRPr="00EF4F10">
              <w:t xml:space="preserve">to determine if they raise potential safety </w:t>
            </w:r>
            <w:r>
              <w:t>or</w:t>
            </w:r>
            <w:r w:rsidRPr="00EF4F10">
              <w:t xml:space="preserve"> nutritional </w:t>
            </w:r>
            <w:r>
              <w:t>concerns</w:t>
            </w:r>
            <w:r w:rsidRPr="00EF4F10">
              <w:t xml:space="preserve">. </w:t>
            </w:r>
            <w:r>
              <w:t xml:space="preserve">The expression of a novel protein, as a result of the insertion of novel DNA, constitutes a relevant difference that requires further scrutiny. If it is determined that the identified differences do not raise any safety or nutritional concerns then it can be concluded that the GM food is comparable to </w:t>
            </w:r>
            <w:r w:rsidRPr="00EF4F10">
              <w:t>the conventional counterpart food</w:t>
            </w:r>
            <w:r>
              <w:t xml:space="preserve"> in terms of its safety for human consumption. This does not mean there are no differences, only that the differences do not impact on the safety of the food.</w:t>
            </w:r>
          </w:p>
          <w:p w14:paraId="4D8586E5" w14:textId="77777777" w:rsidR="009E7F4C" w:rsidRPr="000778D6" w:rsidRDefault="009E7F4C" w:rsidP="00735645">
            <w:pPr>
              <w:pStyle w:val="Table2"/>
              <w:cnfStyle w:val="000000100000" w:firstRow="0" w:lastRow="0" w:firstColumn="0" w:lastColumn="0" w:oddVBand="0" w:evenVBand="0" w:oddHBand="1" w:evenHBand="0" w:firstRowFirstColumn="0" w:firstRowLastColumn="0" w:lastRowFirstColumn="0" w:lastRowLastColumn="0"/>
            </w:pPr>
          </w:p>
        </w:tc>
      </w:tr>
      <w:tr w:rsidR="009E7F4C" w14:paraId="4D8586F0" w14:textId="77777777" w:rsidTr="00BF5C74">
        <w:trPr>
          <w:cnfStyle w:val="000000010000" w:firstRow="0" w:lastRow="0" w:firstColumn="0" w:lastColumn="0" w:oddVBand="0" w:evenVBand="0" w:oddHBand="0" w:evenHBand="1" w:firstRowFirstColumn="0" w:firstRowLastColumn="0" w:lastRowFirstColumn="0" w:lastRowLastColumn="0"/>
          <w:cantSplit/>
          <w:trHeight w:val="2606"/>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D8586E7" w14:textId="77777777" w:rsidR="009E7F4C" w:rsidRDefault="009E7F4C" w:rsidP="00BF5C74">
            <w:pPr>
              <w:pStyle w:val="Table2"/>
            </w:pPr>
            <w:r>
              <w:lastRenderedPageBreak/>
              <w:t>The safety of ingesting transgenes</w:t>
            </w:r>
          </w:p>
          <w:p w14:paraId="4D8586E8" w14:textId="77777777" w:rsidR="009E7F4C" w:rsidRDefault="009E7F4C" w:rsidP="00BF5C74">
            <w:pPr>
              <w:pStyle w:val="Table2"/>
            </w:pPr>
          </w:p>
          <w:p w14:paraId="4D8586E9" w14:textId="77777777" w:rsidR="009E7F4C" w:rsidRPr="000778D6" w:rsidRDefault="009E7F4C" w:rsidP="00BF5C74">
            <w:pPr>
              <w:pStyle w:val="Table2"/>
            </w:pPr>
            <w:r>
              <w:t>Horizontal gene transfer</w:t>
            </w:r>
          </w:p>
        </w:tc>
        <w:tc>
          <w:tcPr>
            <w:tcW w:w="2268" w:type="dxa"/>
            <w:tcBorders>
              <w:left w:val="single" w:sz="4" w:space="0" w:color="auto"/>
              <w:right w:val="single" w:sz="4" w:space="0" w:color="auto"/>
            </w:tcBorders>
          </w:tcPr>
          <w:p w14:paraId="4D8586EA" w14:textId="77777777" w:rsidR="009E7F4C" w:rsidRDefault="009E7F4C" w:rsidP="00BF5C74">
            <w:pPr>
              <w:pStyle w:val="Table2"/>
              <w:numPr>
                <w:ilvl w:val="0"/>
                <w:numId w:val="25"/>
              </w:numPr>
              <w:ind w:left="318" w:hanging="284"/>
              <w:cnfStyle w:val="000000010000" w:firstRow="0" w:lastRow="0" w:firstColumn="0" w:lastColumn="0" w:oddVBand="0" w:evenVBand="0" w:oddHBand="0" w:evenHBand="1" w:firstRowFirstColumn="0" w:firstRowLastColumn="0" w:lastRowFirstColumn="0" w:lastRowLastColumn="0"/>
            </w:pPr>
            <w:r>
              <w:t>PSGR</w:t>
            </w:r>
          </w:p>
          <w:p w14:paraId="4D8586EB" w14:textId="77777777" w:rsidR="009E7F4C" w:rsidRPr="000778D6" w:rsidRDefault="009E7F4C" w:rsidP="00BF5C74">
            <w:pPr>
              <w:pStyle w:val="Table2"/>
              <w:numPr>
                <w:ilvl w:val="0"/>
                <w:numId w:val="25"/>
              </w:numPr>
              <w:ind w:left="318" w:hanging="284"/>
              <w:cnfStyle w:val="000000010000" w:firstRow="0" w:lastRow="0" w:firstColumn="0" w:lastColumn="0" w:oddVBand="0" w:evenVBand="0" w:oddHBand="0" w:evenHBand="1" w:firstRowFirstColumn="0" w:firstRowLastColumn="0" w:lastRowFirstColumn="0" w:lastRowLastColumn="0"/>
            </w:pPr>
            <w:r>
              <w:t>Submitter1</w:t>
            </w:r>
          </w:p>
        </w:tc>
        <w:tc>
          <w:tcPr>
            <w:tcW w:w="5165" w:type="dxa"/>
            <w:tcBorders>
              <w:left w:val="single" w:sz="4" w:space="0" w:color="auto"/>
            </w:tcBorders>
          </w:tcPr>
          <w:p w14:paraId="4D8586EC" w14:textId="77777777" w:rsidR="009E7F4C" w:rsidRDefault="009E7F4C" w:rsidP="00BF5C74">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eastAsia="en-GB" w:bidi="ar-SA"/>
              </w:rPr>
            </w:pPr>
            <w:r w:rsidRPr="00954B4F">
              <w:rPr>
                <w:rFonts w:cs="Arial"/>
                <w:color w:val="000000" w:themeColor="text1"/>
                <w:szCs w:val="18"/>
                <w:lang w:eastAsia="en-GB" w:bidi="ar-SA"/>
              </w:rPr>
              <w:t>DNA is a natural</w:t>
            </w:r>
            <w:r>
              <w:rPr>
                <w:rFonts w:cs="Arial"/>
                <w:color w:val="000000" w:themeColor="text1"/>
                <w:szCs w:val="18"/>
                <w:lang w:eastAsia="en-GB" w:bidi="ar-SA"/>
              </w:rPr>
              <w:t xml:space="preserve"> component of the human diet,</w:t>
            </w:r>
            <w:r w:rsidRPr="00954B4F">
              <w:rPr>
                <w:rFonts w:cs="Arial"/>
                <w:color w:val="000000" w:themeColor="text1"/>
                <w:szCs w:val="18"/>
                <w:lang w:eastAsia="en-GB" w:bidi="ar-SA"/>
              </w:rPr>
              <w:t xml:space="preserve"> being </w:t>
            </w:r>
            <w:r w:rsidRPr="00D03929">
              <w:rPr>
                <w:rFonts w:cs="Arial"/>
                <w:color w:val="000000" w:themeColor="text1"/>
                <w:szCs w:val="22"/>
                <w:lang w:eastAsia="en-GB" w:bidi="ar-SA"/>
              </w:rPr>
              <w:t>present</w:t>
            </w:r>
            <w:r w:rsidRPr="00954B4F">
              <w:rPr>
                <w:rFonts w:cs="Arial"/>
                <w:color w:val="000000" w:themeColor="text1"/>
                <w:szCs w:val="18"/>
                <w:lang w:eastAsia="en-GB" w:bidi="ar-SA"/>
              </w:rPr>
              <w:t xml:space="preserve"> to varying degrees in many plant- and animal- derived foods</w:t>
            </w:r>
            <w:r>
              <w:rPr>
                <w:rFonts w:cs="Arial"/>
                <w:color w:val="000000" w:themeColor="text1"/>
                <w:szCs w:val="18"/>
                <w:lang w:eastAsia="en-GB" w:bidi="ar-SA"/>
              </w:rPr>
              <w:t>, especially those that have undergone minimal processing</w:t>
            </w:r>
            <w:r w:rsidRPr="00954B4F">
              <w:rPr>
                <w:rFonts w:cs="Arial"/>
                <w:color w:val="000000" w:themeColor="text1"/>
                <w:szCs w:val="18"/>
                <w:lang w:eastAsia="en-GB" w:bidi="ar-SA"/>
              </w:rPr>
              <w:t>. There is no difference in terms of risk between small fragments of recombinant DNA and the DNA already present in our diet.</w:t>
            </w:r>
          </w:p>
          <w:p w14:paraId="4D8586ED" w14:textId="77777777" w:rsidR="009E7F4C" w:rsidRDefault="009E7F4C" w:rsidP="00BF5C74">
            <w:pPr>
              <w:pStyle w:val="Table2"/>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Cs w:val="18"/>
                <w:lang w:eastAsia="en-GB" w:bidi="ar-SA"/>
              </w:rPr>
            </w:pPr>
          </w:p>
          <w:p w14:paraId="4D8586EE" w14:textId="77777777" w:rsidR="009E7F4C" w:rsidRPr="00404D8A" w:rsidRDefault="009E7F4C" w:rsidP="00BF5C74">
            <w:pPr>
              <w:pStyle w:val="Table2"/>
              <w:cnfStyle w:val="000000010000" w:firstRow="0" w:lastRow="0" w:firstColumn="0" w:lastColumn="0" w:oddVBand="0" w:evenVBand="0" w:oddHBand="0" w:evenHBand="1" w:firstRowFirstColumn="0" w:firstRowLastColumn="0" w:lastRowFirstColumn="0" w:lastRowLastColumn="0"/>
              <w:rPr>
                <w:color w:val="0000FF"/>
              </w:rPr>
            </w:pPr>
            <w:r>
              <w:t>These</w:t>
            </w:r>
            <w:r w:rsidRPr="003B0D85">
              <w:t xml:space="preserve"> issue</w:t>
            </w:r>
            <w:r>
              <w:t>s</w:t>
            </w:r>
            <w:r w:rsidRPr="003B0D85">
              <w:t xml:space="preserve"> has been considered in detail by FSANZ and a summary is available on the FSANZ website -</w:t>
            </w:r>
            <w:hyperlink r:id="rId26" w:history="1">
              <w:r w:rsidRPr="00924690">
                <w:rPr>
                  <w:rStyle w:val="Hyperlink"/>
                  <w:color w:val="0000FF"/>
                </w:rPr>
                <w:t>http://www.foodstandards.gov.au/consumer/gmfood/recombinantdna/Pages/default.aspx</w:t>
              </w:r>
            </w:hyperlink>
          </w:p>
          <w:p w14:paraId="4D8586EF" w14:textId="77777777" w:rsidR="009E7F4C" w:rsidRPr="000778D6" w:rsidRDefault="009E7F4C" w:rsidP="00BF5C74">
            <w:pPr>
              <w:pStyle w:val="Table2"/>
              <w:cnfStyle w:val="000000010000" w:firstRow="0" w:lastRow="0" w:firstColumn="0" w:lastColumn="0" w:oddVBand="0" w:evenVBand="0" w:oddHBand="0" w:evenHBand="1" w:firstRowFirstColumn="0" w:firstRowLastColumn="0" w:lastRowFirstColumn="0" w:lastRowLastColumn="0"/>
            </w:pPr>
          </w:p>
        </w:tc>
      </w:tr>
      <w:tr w:rsidR="009E7F4C" w14:paraId="4D8586FC" w14:textId="77777777" w:rsidTr="00810C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14:paraId="4D8586F1" w14:textId="77777777" w:rsidR="009E7F4C" w:rsidRPr="00CD2A03" w:rsidRDefault="009E7F4C" w:rsidP="00D705BE">
            <w:pPr>
              <w:pStyle w:val="Table2"/>
              <w:rPr>
                <w:b w:val="0"/>
                <w:bCs/>
              </w:rPr>
            </w:pPr>
            <w:r>
              <w:t>Lack of post-market monitoring of GM foods once they are approved</w:t>
            </w:r>
          </w:p>
        </w:tc>
        <w:tc>
          <w:tcPr>
            <w:tcW w:w="2268" w:type="dxa"/>
            <w:tcBorders>
              <w:left w:val="single" w:sz="4" w:space="0" w:color="auto"/>
              <w:right w:val="single" w:sz="4" w:space="0" w:color="auto"/>
            </w:tcBorders>
          </w:tcPr>
          <w:p w14:paraId="4D8586F2" w14:textId="77777777" w:rsidR="009E7F4C" w:rsidRDefault="009E7F4C" w:rsidP="00810C31">
            <w:pPr>
              <w:pStyle w:val="Table2"/>
              <w:numPr>
                <w:ilvl w:val="0"/>
                <w:numId w:val="18"/>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AGEFC</w:t>
            </w:r>
          </w:p>
          <w:p w14:paraId="4D8586F3" w14:textId="77777777" w:rsidR="009E7F4C" w:rsidRDefault="009E7F4C" w:rsidP="00810C31">
            <w:pPr>
              <w:pStyle w:val="Table2"/>
              <w:numPr>
                <w:ilvl w:val="0"/>
                <w:numId w:val="18"/>
              </w:numPr>
              <w:ind w:left="318" w:hanging="284"/>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Susie Lees</w:t>
            </w:r>
          </w:p>
        </w:tc>
        <w:tc>
          <w:tcPr>
            <w:tcW w:w="5165" w:type="dxa"/>
            <w:tcBorders>
              <w:left w:val="single" w:sz="4" w:space="0" w:color="auto"/>
            </w:tcBorders>
          </w:tcPr>
          <w:p w14:paraId="4D8586F4"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r w:rsidRPr="00CD2A03">
              <w:rPr>
                <w:rFonts w:eastAsiaTheme="minorHAnsi" w:cs="Arial"/>
                <w:color w:val="000000" w:themeColor="text1"/>
              </w:rPr>
              <w:t>In the context of a GM food</w:t>
            </w:r>
            <w:r w:rsidR="00DD3303">
              <w:rPr>
                <w:rFonts w:eastAsiaTheme="minorHAnsi" w:cs="Arial"/>
                <w:color w:val="000000" w:themeColor="text1"/>
              </w:rPr>
              <w:t>,</w:t>
            </w:r>
            <w:r w:rsidRPr="00CD2A03">
              <w:rPr>
                <w:rFonts w:eastAsiaTheme="minorHAnsi" w:cs="Arial"/>
                <w:color w:val="000000" w:themeColor="text1"/>
              </w:rPr>
              <w:t xml:space="preserve"> </w:t>
            </w:r>
            <w:r w:rsidRPr="00CD2A03">
              <w:rPr>
                <w:rFonts w:cs="Arial"/>
                <w:color w:val="000000" w:themeColor="text1"/>
              </w:rPr>
              <w:t>it has been recognised internationally that the use of pre-m</w:t>
            </w:r>
            <w:r>
              <w:rPr>
                <w:rFonts w:cs="Arial"/>
                <w:color w:val="000000" w:themeColor="text1"/>
              </w:rPr>
              <w:t xml:space="preserve">arket safety assessment </w:t>
            </w:r>
            <w:r w:rsidRPr="00CD2A03">
              <w:rPr>
                <w:rFonts w:cs="Arial"/>
                <w:color w:val="000000" w:themeColor="text1"/>
              </w:rPr>
              <w:t xml:space="preserve">provides assurance that </w:t>
            </w:r>
            <w:r w:rsidRPr="00CD2A03">
              <w:rPr>
                <w:rFonts w:cs="Arial"/>
              </w:rPr>
              <w:t>a GM food is comparable to its conventional counterpart in relation to health risks and benefits, therefore the likelihood of identifying long-term effects specifically attributable to GM foods</w:t>
            </w:r>
            <w:r>
              <w:rPr>
                <w:rFonts w:cs="Arial"/>
              </w:rPr>
              <w:t xml:space="preserve"> would be very low </w:t>
            </w:r>
            <w:r>
              <w:rPr>
                <w:rFonts w:cs="Arial"/>
              </w:rPr>
              <w:fldChar w:fldCharType="begin"/>
            </w:r>
            <w:r>
              <w:rPr>
                <w:rFonts w:cs="Arial"/>
              </w:rPr>
              <w:instrText xml:space="preserve"> ADDIN REFMGR.CITE &lt;Refman&gt;&lt;Cite&gt;&lt;Author&gt;WHO&lt;/Author&gt;&lt;Year&gt;2000&lt;/Year&gt;&lt;RecNum&gt;1603&lt;/RecNum&gt;&lt;IDText&gt;Safety aspects of genetically modified foods of plant origin. Report of a Joint FAO/WHO Expert Consultation on foods derived frm biotechnology&lt;/IDText&gt;&lt;MDL Ref_Type="Report"&gt;&lt;Ref_Type&gt;Report&lt;/Ref_Type&gt;&lt;Ref_ID&gt;1603&lt;/Ref_ID&gt;&lt;Title_Primary&gt;Safety aspects of genetically modified foods of plant origin. Report of a Joint FAO/WHO Expert Consultation on foods derived frm biotechnology&lt;/Title_Primary&gt;&lt;Authors_Primary&gt;WHO&lt;/Authors_Primary&gt;&lt;Date_Primary&gt;2000&lt;/Date_Primary&gt;&lt;Keywords&gt;Biotechnology&lt;/Keywords&gt;&lt;Keywords&gt;Safety&lt;/Keywords&gt;&lt;Reprint&gt;Not in File&lt;/Reprint&gt;&lt;Pub_Place&gt;Geneva&lt;/Pub_Place&gt;&lt;Publisher&gt;World Health Organization&lt;/Publisher&gt;&lt;Web_URL&gt;&lt;u&gt;http://www.who.int/foodsafety/publications/biotech/en/ec_june2000_en.pdf&lt;/u&gt;&lt;/Web_URL&gt;&lt;Web_URL_Link2&gt;&lt;u&gt;file://F:\Risk Assessment - Chemical Safety\GMO - shared\References\GM References\WHO_2000_safety aspects of GM foods.pdf&lt;/u&gt;&lt;/Web_URL_Link2&gt;&lt;ZZ_WorkformID&gt;24&lt;/ZZ_WorkformID&gt;&lt;/MDL&gt;&lt;/Cite&gt;&lt;/Refman&gt;</w:instrText>
            </w:r>
            <w:r>
              <w:rPr>
                <w:rFonts w:cs="Arial"/>
              </w:rPr>
              <w:fldChar w:fldCharType="separate"/>
            </w:r>
            <w:r>
              <w:rPr>
                <w:rFonts w:cs="Arial"/>
                <w:noProof/>
              </w:rPr>
              <w:t>(WHO 2000)</w:t>
            </w:r>
            <w:r>
              <w:rPr>
                <w:rFonts w:cs="Arial"/>
              </w:rPr>
              <w:fldChar w:fldCharType="end"/>
            </w:r>
            <w:r w:rsidRPr="00CD2A03">
              <w:rPr>
                <w:rFonts w:cs="Arial"/>
              </w:rPr>
              <w:t>. Moreover, the practicality of using post-market monitoring (PMM) to assess the long-term human health impacts of consuming GM foods has not been established.</w:t>
            </w:r>
          </w:p>
          <w:p w14:paraId="4D8586F5"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p>
          <w:p w14:paraId="4D8586F6"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r w:rsidRPr="00CD2A03">
              <w:rPr>
                <w:rFonts w:cs="Arial"/>
              </w:rPr>
              <w:t>Many chronic health problems have complex causes and it is unlikely that observational epidemiological studies could identify such effects specifically related to GM foods. The same also applies to the identification of potential long-term beneficial health effects.</w:t>
            </w:r>
          </w:p>
          <w:p w14:paraId="4D8586F7"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p>
          <w:p w14:paraId="4D8586F8"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r w:rsidRPr="00CD2A03">
              <w:rPr>
                <w:rFonts w:cs="Arial"/>
              </w:rPr>
              <w:t>In general, therefore, FSANZ does not consider PMM to be a practical, enforceable or effective risk management option. This is particularly the case where passive monitoring or general health surveillance, which does not address a specific hypothesis, is proposed.</w:t>
            </w:r>
          </w:p>
          <w:p w14:paraId="4D8586F9"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p>
          <w:p w14:paraId="4D8586FA" w14:textId="77777777" w:rsidR="009E7F4C" w:rsidRDefault="009E7F4C" w:rsidP="00D705BE">
            <w:pPr>
              <w:pStyle w:val="Table2"/>
              <w:cnfStyle w:val="000000100000" w:firstRow="0" w:lastRow="0" w:firstColumn="0" w:lastColumn="0" w:oddVBand="0" w:evenVBand="0" w:oddHBand="1" w:evenHBand="0" w:firstRowFirstColumn="0" w:firstRowLastColumn="0" w:lastRowFirstColumn="0" w:lastRowLastColumn="0"/>
              <w:rPr>
                <w:rFonts w:cs="Arial"/>
              </w:rPr>
            </w:pPr>
            <w:r w:rsidRPr="00CD2A03">
              <w:rPr>
                <w:rFonts w:cs="Arial"/>
              </w:rPr>
              <w:t>Nevertheless</w:t>
            </w:r>
            <w:r w:rsidR="00DD3303">
              <w:rPr>
                <w:rFonts w:cs="Arial"/>
              </w:rPr>
              <w:t>,</w:t>
            </w:r>
            <w:r w:rsidRPr="00CD2A03">
              <w:rPr>
                <w:rFonts w:cs="Arial"/>
              </w:rPr>
              <w:t xml:space="preserve"> it is recognised that PMM may be an appropriate risk management measure in certain circumstances, e.g. where a GM food has been developed specifically to produce a nutritional effect in the population and it may therefore be desirable to confirm assumptions made during the risk assessment. FSANZ decides the need for PMM on a case-by-case basis, taking into account the unique characteristics of the GM food and the feasibility of undertaking such a study.</w:t>
            </w:r>
          </w:p>
          <w:p w14:paraId="4D8586FB" w14:textId="77777777" w:rsidR="009E7F4C" w:rsidRPr="00CD2A03" w:rsidRDefault="009E7F4C" w:rsidP="00D705BE">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4D8586FD" w14:textId="77777777" w:rsidR="00EE4296" w:rsidRPr="00A12647" w:rsidRDefault="00FF002B" w:rsidP="00EE4296">
      <w:pPr>
        <w:pStyle w:val="Heading4"/>
        <w:rPr>
          <w:i w:val="0"/>
          <w:color w:val="000000" w:themeColor="text1"/>
        </w:rPr>
      </w:pPr>
      <w:r w:rsidRPr="00A12647">
        <w:rPr>
          <w:i w:val="0"/>
          <w:color w:val="000000" w:themeColor="text1"/>
        </w:rPr>
        <w:t>2.1.2</w:t>
      </w:r>
      <w:r w:rsidRPr="00A12647">
        <w:rPr>
          <w:i w:val="0"/>
          <w:color w:val="000000" w:themeColor="text1"/>
        </w:rPr>
        <w:tab/>
        <w:t>I</w:t>
      </w:r>
      <w:r w:rsidR="00EE4296" w:rsidRPr="00A12647">
        <w:rPr>
          <w:i w:val="0"/>
          <w:color w:val="000000" w:themeColor="text1"/>
        </w:rPr>
        <w:t>ssues raised</w:t>
      </w:r>
      <w:r w:rsidRPr="00A12647">
        <w:rPr>
          <w:i w:val="0"/>
          <w:color w:val="000000" w:themeColor="text1"/>
        </w:rPr>
        <w:t xml:space="preserve"> specific to the Application</w:t>
      </w:r>
    </w:p>
    <w:p w14:paraId="4D8586FE" w14:textId="77777777" w:rsidR="0031306C" w:rsidRPr="00260397" w:rsidRDefault="00716E5F" w:rsidP="00055A50">
      <w:pPr>
        <w:spacing w:before="240" w:after="240"/>
        <w:rPr>
          <w:b/>
          <w:i/>
          <w:lang w:val="en-US" w:bidi="ar-SA"/>
        </w:rPr>
      </w:pPr>
      <w:r w:rsidRPr="00260397">
        <w:rPr>
          <w:b/>
          <w:i/>
          <w:lang w:val="en-US" w:bidi="ar-SA"/>
        </w:rPr>
        <w:t>2.1.2.1</w:t>
      </w:r>
      <w:r w:rsidR="007246A7" w:rsidRPr="00260397">
        <w:rPr>
          <w:b/>
          <w:i/>
          <w:lang w:val="en-US" w:bidi="ar-SA"/>
        </w:rPr>
        <w:tab/>
      </w:r>
      <w:r w:rsidR="00C67980" w:rsidRPr="00260397">
        <w:rPr>
          <w:b/>
          <w:i/>
          <w:lang w:val="en-US" w:bidi="ar-SA"/>
        </w:rPr>
        <w:t>The studies used to show the safety of</w:t>
      </w:r>
      <w:r w:rsidR="0031306C" w:rsidRPr="00260397">
        <w:rPr>
          <w:b/>
          <w:i/>
          <w:lang w:val="en-US" w:bidi="ar-SA"/>
        </w:rPr>
        <w:t xml:space="preserve"> MON87411</w:t>
      </w:r>
    </w:p>
    <w:p w14:paraId="4D8586FF" w14:textId="77777777" w:rsidR="009441A0" w:rsidRDefault="0031306C" w:rsidP="007246A7">
      <w:pPr>
        <w:rPr>
          <w:lang w:val="en-US" w:bidi="ar-SA"/>
        </w:rPr>
      </w:pPr>
      <w:r w:rsidRPr="0031306C">
        <w:rPr>
          <w:lang w:val="en-US" w:bidi="ar-SA"/>
        </w:rPr>
        <w:t xml:space="preserve">One submitter </w:t>
      </w:r>
      <w:r w:rsidR="00B430BE">
        <w:rPr>
          <w:lang w:val="en-US" w:bidi="ar-SA"/>
        </w:rPr>
        <w:t xml:space="preserve">was </w:t>
      </w:r>
      <w:r w:rsidRPr="0031306C">
        <w:rPr>
          <w:lang w:val="en-US" w:bidi="ar-SA"/>
        </w:rPr>
        <w:t>concern</w:t>
      </w:r>
      <w:r w:rsidR="003A42B6">
        <w:rPr>
          <w:lang w:val="en-US" w:bidi="ar-SA"/>
        </w:rPr>
        <w:t>ed</w:t>
      </w:r>
      <w:r w:rsidRPr="0031306C">
        <w:rPr>
          <w:lang w:val="en-US" w:bidi="ar-SA"/>
        </w:rPr>
        <w:t xml:space="preserve"> that t</w:t>
      </w:r>
      <w:r w:rsidR="009441A0" w:rsidRPr="0031306C">
        <w:rPr>
          <w:lang w:val="en-US" w:bidi="ar-SA"/>
        </w:rPr>
        <w:t xml:space="preserve">he safety assessment </w:t>
      </w:r>
      <w:r w:rsidRPr="0031306C">
        <w:rPr>
          <w:lang w:val="en-US" w:bidi="ar-SA"/>
        </w:rPr>
        <w:t xml:space="preserve">for A1097 </w:t>
      </w:r>
      <w:r w:rsidR="003A42B6">
        <w:rPr>
          <w:lang w:val="en-US" w:bidi="ar-SA"/>
        </w:rPr>
        <w:t>relies on published</w:t>
      </w:r>
      <w:r w:rsidR="003A42B6" w:rsidRPr="0031306C">
        <w:rPr>
          <w:lang w:val="en-US" w:bidi="ar-SA"/>
        </w:rPr>
        <w:t xml:space="preserve"> </w:t>
      </w:r>
      <w:r w:rsidR="009441A0" w:rsidRPr="0031306C">
        <w:rPr>
          <w:lang w:val="en-US" w:bidi="ar-SA"/>
        </w:rPr>
        <w:t xml:space="preserve">information </w:t>
      </w:r>
      <w:r w:rsidR="003A42B6">
        <w:rPr>
          <w:lang w:val="en-US" w:bidi="ar-SA"/>
        </w:rPr>
        <w:t>that is not specific to MON87411</w:t>
      </w:r>
      <w:r w:rsidRPr="0031306C">
        <w:rPr>
          <w:lang w:val="en-US" w:bidi="ar-SA"/>
        </w:rPr>
        <w:t xml:space="preserve"> </w:t>
      </w:r>
      <w:r w:rsidR="009441A0" w:rsidRPr="0031306C">
        <w:rPr>
          <w:lang w:val="en-US" w:bidi="ar-SA"/>
        </w:rPr>
        <w:t xml:space="preserve">to </w:t>
      </w:r>
      <w:r w:rsidR="00F25636" w:rsidRPr="0031306C">
        <w:rPr>
          <w:lang w:val="en-US" w:bidi="ar-SA"/>
        </w:rPr>
        <w:t>support the conclusi</w:t>
      </w:r>
      <w:r w:rsidRPr="0031306C">
        <w:rPr>
          <w:lang w:val="en-US" w:bidi="ar-SA"/>
        </w:rPr>
        <w:t xml:space="preserve">on that </w:t>
      </w:r>
      <w:r w:rsidR="003A42B6">
        <w:rPr>
          <w:lang w:val="en-US" w:bidi="ar-SA"/>
        </w:rPr>
        <w:t xml:space="preserve">food derived from </w:t>
      </w:r>
      <w:r w:rsidRPr="0031306C">
        <w:rPr>
          <w:lang w:val="en-US" w:bidi="ar-SA"/>
        </w:rPr>
        <w:t>MON87411 is safe</w:t>
      </w:r>
      <w:r w:rsidR="003A42B6">
        <w:rPr>
          <w:lang w:val="en-US" w:bidi="ar-SA"/>
        </w:rPr>
        <w:t>.</w:t>
      </w:r>
      <w:r w:rsidRPr="0031306C">
        <w:rPr>
          <w:lang w:val="en-US" w:bidi="ar-SA"/>
        </w:rPr>
        <w:t xml:space="preserve"> </w:t>
      </w:r>
    </w:p>
    <w:p w14:paraId="4D858700" w14:textId="77777777" w:rsidR="008B46E3" w:rsidRDefault="008B46E3" w:rsidP="007246A7">
      <w:pPr>
        <w:rPr>
          <w:lang w:val="en-US" w:bidi="ar-SA"/>
        </w:rPr>
      </w:pPr>
    </w:p>
    <w:p w14:paraId="4D858701" w14:textId="77777777" w:rsidR="00120450" w:rsidRPr="007B3827" w:rsidRDefault="00120450" w:rsidP="00120450">
      <w:pPr>
        <w:rPr>
          <w:color w:val="000000" w:themeColor="text1"/>
        </w:rPr>
      </w:pPr>
      <w:r>
        <w:t>FSANZ</w:t>
      </w:r>
      <w:r w:rsidR="006179C0">
        <w:t>’s</w:t>
      </w:r>
      <w:r>
        <w:t xml:space="preserve"> safety assessment relies largely on </w:t>
      </w:r>
      <w:r w:rsidR="004F1F81">
        <w:t xml:space="preserve">relevant </w:t>
      </w:r>
      <w:r w:rsidR="006179C0">
        <w:t xml:space="preserve">safety </w:t>
      </w:r>
      <w:r>
        <w:t xml:space="preserve">data generated by the Applicant </w:t>
      </w:r>
      <w:r>
        <w:rPr>
          <w:color w:val="000000"/>
        </w:rPr>
        <w:t>complemented</w:t>
      </w:r>
      <w:r w:rsidR="006179C0">
        <w:rPr>
          <w:color w:val="000000"/>
        </w:rPr>
        <w:t>, where appropriate,</w:t>
      </w:r>
      <w:r w:rsidR="00716E5F">
        <w:rPr>
          <w:color w:val="000000"/>
        </w:rPr>
        <w:t xml:space="preserve"> by</w:t>
      </w:r>
      <w:r>
        <w:rPr>
          <w:color w:val="000000"/>
        </w:rPr>
        <w:t xml:space="preserve"> information from the scientific literature.</w:t>
      </w:r>
      <w:r w:rsidR="006179C0">
        <w:rPr>
          <w:color w:val="000000"/>
        </w:rPr>
        <w:t xml:space="preserve"> The safety data generated by </w:t>
      </w:r>
      <w:r w:rsidR="002223F0">
        <w:rPr>
          <w:color w:val="000000"/>
        </w:rPr>
        <w:t xml:space="preserve">the </w:t>
      </w:r>
      <w:r w:rsidR="006179C0">
        <w:rPr>
          <w:color w:val="000000"/>
        </w:rPr>
        <w:t xml:space="preserve">Applicant </w:t>
      </w:r>
      <w:r w:rsidR="00C96641">
        <w:rPr>
          <w:color w:val="000000"/>
        </w:rPr>
        <w:t xml:space="preserve">and supplied with the Application </w:t>
      </w:r>
      <w:r w:rsidR="006179C0">
        <w:rPr>
          <w:color w:val="000000"/>
        </w:rPr>
        <w:t xml:space="preserve">is specific to the particular food in question. </w:t>
      </w:r>
    </w:p>
    <w:p w14:paraId="4D858702" w14:textId="77777777" w:rsidR="00120450" w:rsidRPr="0031306C" w:rsidRDefault="00120450" w:rsidP="007246A7">
      <w:pPr>
        <w:rPr>
          <w:lang w:val="en-US" w:bidi="ar-SA"/>
        </w:rPr>
      </w:pPr>
    </w:p>
    <w:p w14:paraId="4D858703" w14:textId="77777777" w:rsidR="009E7F4C" w:rsidRDefault="009E7F4C">
      <w:pPr>
        <w:widowControl/>
        <w:rPr>
          <w:color w:val="000000" w:themeColor="text1"/>
        </w:rPr>
      </w:pPr>
      <w:r>
        <w:rPr>
          <w:color w:val="000000" w:themeColor="text1"/>
        </w:rPr>
        <w:br w:type="page"/>
      </w:r>
    </w:p>
    <w:p w14:paraId="4D858704" w14:textId="77777777" w:rsidR="00120450" w:rsidRDefault="001541A7" w:rsidP="007246A7">
      <w:pPr>
        <w:rPr>
          <w:color w:val="000000" w:themeColor="text1"/>
        </w:rPr>
      </w:pPr>
      <w:r>
        <w:rPr>
          <w:color w:val="000000" w:themeColor="text1"/>
        </w:rPr>
        <w:lastRenderedPageBreak/>
        <w:t>F</w:t>
      </w:r>
      <w:r w:rsidR="007B3827" w:rsidRPr="00415ECF">
        <w:rPr>
          <w:color w:val="000000" w:themeColor="text1"/>
        </w:rPr>
        <w:t xml:space="preserve">or an Application to be accepted, it must comply with the data requirements set out in the </w:t>
      </w:r>
      <w:r w:rsidR="007B3827" w:rsidRPr="00415ECF">
        <w:rPr>
          <w:i/>
          <w:color w:val="000000" w:themeColor="text1"/>
        </w:rPr>
        <w:t>Application Handbook</w:t>
      </w:r>
      <w:r w:rsidR="003D5B92">
        <w:rPr>
          <w:color w:val="000000" w:themeColor="text1"/>
        </w:rPr>
        <w:t xml:space="preserve"> </w:t>
      </w:r>
      <w:r w:rsidR="003D5B92">
        <w:rPr>
          <w:color w:val="000000" w:themeColor="text1"/>
        </w:rPr>
        <w:fldChar w:fldCharType="begin"/>
      </w:r>
      <w:r w:rsidR="004B76CD">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3D5B92">
        <w:rPr>
          <w:color w:val="000000" w:themeColor="text1"/>
        </w:rPr>
        <w:fldChar w:fldCharType="separate"/>
      </w:r>
      <w:r w:rsidR="003D5B92">
        <w:rPr>
          <w:noProof/>
          <w:color w:val="000000" w:themeColor="text1"/>
        </w:rPr>
        <w:t>(FSANZ 2013a)</w:t>
      </w:r>
      <w:r w:rsidR="003D5B92">
        <w:rPr>
          <w:color w:val="000000" w:themeColor="text1"/>
        </w:rPr>
        <w:fldChar w:fldCharType="end"/>
      </w:r>
      <w:r w:rsidR="007B3827" w:rsidRPr="00415ECF">
        <w:rPr>
          <w:color w:val="000000" w:themeColor="text1"/>
        </w:rPr>
        <w:t xml:space="preserve">. The Applicant for A1097 met all of the data requirements stipulated in the </w:t>
      </w:r>
      <w:r w:rsidR="007B3827" w:rsidRPr="00415ECF">
        <w:rPr>
          <w:i/>
          <w:color w:val="000000" w:themeColor="text1"/>
        </w:rPr>
        <w:t>Application Handbook</w:t>
      </w:r>
      <w:r w:rsidR="007B3827" w:rsidRPr="00415ECF">
        <w:rPr>
          <w:color w:val="000000" w:themeColor="text1"/>
        </w:rPr>
        <w:t xml:space="preserve"> </w:t>
      </w:r>
      <w:r w:rsidR="00B03EC3">
        <w:rPr>
          <w:color w:val="000000" w:themeColor="text1"/>
        </w:rPr>
        <w:fldChar w:fldCharType="begin"/>
      </w:r>
      <w:r w:rsidR="004B76CD">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B03EC3">
        <w:rPr>
          <w:color w:val="000000" w:themeColor="text1"/>
        </w:rPr>
        <w:fldChar w:fldCharType="separate"/>
      </w:r>
      <w:r w:rsidR="00B03EC3">
        <w:rPr>
          <w:noProof/>
          <w:color w:val="000000" w:themeColor="text1"/>
        </w:rPr>
        <w:t>(FSANZ 2013a)</w:t>
      </w:r>
      <w:r w:rsidR="00B03EC3">
        <w:rPr>
          <w:color w:val="000000" w:themeColor="text1"/>
        </w:rPr>
        <w:fldChar w:fldCharType="end"/>
      </w:r>
      <w:r w:rsidR="007B3827" w:rsidRPr="00415ECF">
        <w:rPr>
          <w:color w:val="000000" w:themeColor="text1"/>
        </w:rPr>
        <w:t xml:space="preserve"> for the safety assessment of </w:t>
      </w:r>
      <w:r w:rsidR="00BE39DF">
        <w:rPr>
          <w:color w:val="000000" w:themeColor="text1"/>
        </w:rPr>
        <w:t xml:space="preserve">a </w:t>
      </w:r>
      <w:r w:rsidR="007B3827" w:rsidRPr="00415ECF">
        <w:rPr>
          <w:color w:val="000000" w:themeColor="text1"/>
        </w:rPr>
        <w:t xml:space="preserve">GM food and, upon assessment of these data, FSANZ is satisfied that sufficient evidence has been provided to demonstrate the </w:t>
      </w:r>
      <w:r w:rsidR="00BE39DF">
        <w:rPr>
          <w:color w:val="000000" w:themeColor="text1"/>
        </w:rPr>
        <w:t>safety of</w:t>
      </w:r>
      <w:r w:rsidR="007B3827" w:rsidRPr="007B3827">
        <w:rPr>
          <w:color w:val="000000" w:themeColor="text1"/>
        </w:rPr>
        <w:t xml:space="preserve"> food</w:t>
      </w:r>
      <w:r w:rsidR="00BE39DF">
        <w:rPr>
          <w:color w:val="000000" w:themeColor="text1"/>
        </w:rPr>
        <w:t xml:space="preserve"> derived from MON87411</w:t>
      </w:r>
      <w:r w:rsidR="007B3827" w:rsidRPr="007B3827">
        <w:rPr>
          <w:color w:val="000000" w:themeColor="text1"/>
        </w:rPr>
        <w:t>.</w:t>
      </w:r>
    </w:p>
    <w:p w14:paraId="4D858705" w14:textId="77777777" w:rsidR="00120450" w:rsidRDefault="00120450" w:rsidP="007246A7">
      <w:pPr>
        <w:rPr>
          <w:color w:val="000000" w:themeColor="text1"/>
        </w:rPr>
      </w:pPr>
    </w:p>
    <w:p w14:paraId="4D858706" w14:textId="77777777" w:rsidR="007B3827" w:rsidRPr="00120450" w:rsidRDefault="00120450" w:rsidP="007246A7">
      <w:pPr>
        <w:rPr>
          <w:color w:val="000000" w:themeColor="text1"/>
        </w:rPr>
      </w:pPr>
      <w:r>
        <w:rPr>
          <w:color w:val="000000" w:themeColor="text1"/>
        </w:rPr>
        <w:t>I</w:t>
      </w:r>
      <w:proofErr w:type="spellStart"/>
      <w:r w:rsidR="007B3827" w:rsidRPr="007B3827">
        <w:rPr>
          <w:lang w:val="en-US" w:bidi="ar-SA"/>
        </w:rPr>
        <w:t>n</w:t>
      </w:r>
      <w:proofErr w:type="spellEnd"/>
      <w:r w:rsidR="007B3827" w:rsidRPr="007B3827">
        <w:rPr>
          <w:lang w:val="en-US" w:bidi="ar-SA"/>
        </w:rPr>
        <w:t xml:space="preserve"> addition to </w:t>
      </w:r>
      <w:r>
        <w:rPr>
          <w:lang w:val="en-US" w:bidi="ar-SA"/>
        </w:rPr>
        <w:t>these studies, FSANZ also relie</w:t>
      </w:r>
      <w:r w:rsidR="006C0A8D">
        <w:rPr>
          <w:lang w:val="en-US" w:bidi="ar-SA"/>
        </w:rPr>
        <w:t>s</w:t>
      </w:r>
      <w:r w:rsidR="007B3827" w:rsidRPr="007B3827">
        <w:rPr>
          <w:lang w:val="en-US" w:bidi="ar-SA"/>
        </w:rPr>
        <w:t xml:space="preserve"> on</w:t>
      </w:r>
      <w:r w:rsidR="00BE39DF">
        <w:rPr>
          <w:lang w:val="en-US" w:bidi="ar-SA"/>
        </w:rPr>
        <w:t xml:space="preserve"> </w:t>
      </w:r>
      <w:r w:rsidR="006C0A8D">
        <w:rPr>
          <w:lang w:val="en-US" w:bidi="ar-SA"/>
        </w:rPr>
        <w:t xml:space="preserve">general scientific </w:t>
      </w:r>
      <w:r w:rsidR="007B3827">
        <w:rPr>
          <w:lang w:val="en-US" w:bidi="ar-SA"/>
        </w:rPr>
        <w:t>information</w:t>
      </w:r>
      <w:r w:rsidR="00BE39DF">
        <w:rPr>
          <w:lang w:val="en-US" w:bidi="ar-SA"/>
        </w:rPr>
        <w:t xml:space="preserve"> </w:t>
      </w:r>
      <w:r w:rsidR="007B3827">
        <w:rPr>
          <w:lang w:val="en-US" w:bidi="ar-SA"/>
        </w:rPr>
        <w:t xml:space="preserve">in the published literature </w:t>
      </w:r>
      <w:r w:rsidR="00BE39DF">
        <w:rPr>
          <w:lang w:val="en-US" w:bidi="ar-SA"/>
        </w:rPr>
        <w:t>to inform its conclusions</w:t>
      </w:r>
      <w:r w:rsidR="006C0A8D">
        <w:rPr>
          <w:lang w:val="en-US" w:bidi="ar-SA"/>
        </w:rPr>
        <w:t>, and any assumptions on which these may be based</w:t>
      </w:r>
      <w:r w:rsidR="00BE39DF">
        <w:rPr>
          <w:lang w:val="en-US" w:bidi="ar-SA"/>
        </w:rPr>
        <w:t>.</w:t>
      </w:r>
    </w:p>
    <w:p w14:paraId="4D858707" w14:textId="77777777" w:rsidR="007246A7" w:rsidRPr="00260397" w:rsidRDefault="00716E5F" w:rsidP="00055A50">
      <w:pPr>
        <w:spacing w:before="240" w:after="240"/>
        <w:rPr>
          <w:b/>
          <w:i/>
          <w:lang w:val="en-US" w:bidi="ar-SA"/>
        </w:rPr>
      </w:pPr>
      <w:r w:rsidRPr="00260397">
        <w:rPr>
          <w:b/>
          <w:i/>
          <w:lang w:val="en-US" w:bidi="ar-SA"/>
        </w:rPr>
        <w:t>2.1.2.2</w:t>
      </w:r>
      <w:r w:rsidR="00A22BF1" w:rsidRPr="00260397">
        <w:rPr>
          <w:b/>
          <w:i/>
          <w:lang w:val="en-US" w:bidi="ar-SA"/>
        </w:rPr>
        <w:tab/>
      </w:r>
      <w:r w:rsidR="00A53642" w:rsidRPr="00260397">
        <w:rPr>
          <w:b/>
          <w:i/>
          <w:lang w:val="en-US" w:bidi="ar-SA"/>
        </w:rPr>
        <w:t>Inadequate assessment of the dsRNA in MON87411</w:t>
      </w:r>
      <w:r w:rsidR="00A22BF1" w:rsidRPr="00260397">
        <w:rPr>
          <w:b/>
          <w:i/>
          <w:lang w:val="en-US" w:bidi="ar-SA"/>
        </w:rPr>
        <w:t xml:space="preserve"> </w:t>
      </w:r>
    </w:p>
    <w:p w14:paraId="4D858708" w14:textId="77777777" w:rsidR="00A53642" w:rsidRDefault="00C96641" w:rsidP="00F977BC">
      <w:pPr>
        <w:rPr>
          <w:color w:val="000000" w:themeColor="text1"/>
        </w:rPr>
      </w:pPr>
      <w:r>
        <w:rPr>
          <w:color w:val="000000" w:themeColor="text1"/>
        </w:rPr>
        <w:t xml:space="preserve">Some </w:t>
      </w:r>
      <w:r w:rsidR="00A53642">
        <w:rPr>
          <w:color w:val="000000" w:themeColor="text1"/>
        </w:rPr>
        <w:t>submitters</w:t>
      </w:r>
      <w:r>
        <w:rPr>
          <w:color w:val="000000" w:themeColor="text1"/>
        </w:rPr>
        <w:t xml:space="preserve"> (Centre for Integrated Research in Biosafety</w:t>
      </w:r>
      <w:r w:rsidR="002223F0">
        <w:rPr>
          <w:color w:val="000000" w:themeColor="text1"/>
        </w:rPr>
        <w:t xml:space="preserve"> </w:t>
      </w:r>
      <w:r w:rsidR="00B430BE">
        <w:rPr>
          <w:color w:val="000000" w:themeColor="text1"/>
        </w:rPr>
        <w:t>–</w:t>
      </w:r>
      <w:r w:rsidR="002223F0">
        <w:rPr>
          <w:color w:val="000000" w:themeColor="text1"/>
        </w:rPr>
        <w:t xml:space="preserve"> INBI</w:t>
      </w:r>
      <w:r>
        <w:rPr>
          <w:color w:val="000000" w:themeColor="text1"/>
        </w:rPr>
        <w:t>, GMFAA and MADGE)</w:t>
      </w:r>
      <w:r w:rsidR="00716E5F">
        <w:rPr>
          <w:color w:val="000000" w:themeColor="text1"/>
        </w:rPr>
        <w:t xml:space="preserve"> claim</w:t>
      </w:r>
      <w:r w:rsidR="00A53642">
        <w:rPr>
          <w:color w:val="000000" w:themeColor="text1"/>
        </w:rPr>
        <w:t xml:space="preserve"> that </w:t>
      </w:r>
      <w:r w:rsidR="00F977BC" w:rsidRPr="00415ECF">
        <w:rPr>
          <w:color w:val="000000" w:themeColor="text1"/>
        </w:rPr>
        <w:t xml:space="preserve">FSANZ has not undertaken an adequate safety assessment for evaluating the DvSnf7 dsRNA and that </w:t>
      </w:r>
      <w:r w:rsidR="005A09D1">
        <w:rPr>
          <w:color w:val="000000" w:themeColor="text1"/>
        </w:rPr>
        <w:t>a</w:t>
      </w:r>
      <w:r>
        <w:rPr>
          <w:color w:val="000000" w:themeColor="text1"/>
        </w:rPr>
        <w:t xml:space="preserve"> different </w:t>
      </w:r>
      <w:r w:rsidR="005A09D1">
        <w:rPr>
          <w:color w:val="000000" w:themeColor="text1"/>
        </w:rPr>
        <w:t xml:space="preserve">approach should be used for </w:t>
      </w:r>
      <w:r w:rsidR="002223F0">
        <w:rPr>
          <w:color w:val="000000" w:themeColor="text1"/>
        </w:rPr>
        <w:t>traits</w:t>
      </w:r>
      <w:r w:rsidR="005A09D1">
        <w:rPr>
          <w:color w:val="000000" w:themeColor="text1"/>
        </w:rPr>
        <w:t xml:space="preserve"> involving RNAi. </w:t>
      </w:r>
    </w:p>
    <w:p w14:paraId="4D858709" w14:textId="77777777" w:rsidR="00A53642" w:rsidRDefault="00A53642" w:rsidP="00F977BC">
      <w:pPr>
        <w:rPr>
          <w:color w:val="000000" w:themeColor="text1"/>
        </w:rPr>
      </w:pPr>
    </w:p>
    <w:p w14:paraId="4D85870A" w14:textId="77777777" w:rsidR="001A4812" w:rsidRDefault="005A09D1" w:rsidP="00F977BC">
      <w:pPr>
        <w:rPr>
          <w:color w:val="000000" w:themeColor="text1"/>
        </w:rPr>
      </w:pPr>
      <w:r>
        <w:rPr>
          <w:color w:val="000000" w:themeColor="text1"/>
        </w:rPr>
        <w:t xml:space="preserve">The </w:t>
      </w:r>
      <w:r w:rsidR="00766BE4">
        <w:rPr>
          <w:color w:val="000000" w:themeColor="text1"/>
        </w:rPr>
        <w:t xml:space="preserve">INBI </w:t>
      </w:r>
      <w:r>
        <w:rPr>
          <w:color w:val="000000" w:themeColor="text1"/>
        </w:rPr>
        <w:t>submi</w:t>
      </w:r>
      <w:r w:rsidR="00766BE4">
        <w:rPr>
          <w:color w:val="000000" w:themeColor="text1"/>
        </w:rPr>
        <w:t>ssion</w:t>
      </w:r>
      <w:r>
        <w:rPr>
          <w:color w:val="000000" w:themeColor="text1"/>
        </w:rPr>
        <w:t xml:space="preserve"> </w:t>
      </w:r>
      <w:r w:rsidR="00C96641">
        <w:rPr>
          <w:color w:val="000000" w:themeColor="text1"/>
        </w:rPr>
        <w:t>claim</w:t>
      </w:r>
      <w:r w:rsidR="00766BE4">
        <w:rPr>
          <w:color w:val="000000" w:themeColor="text1"/>
        </w:rPr>
        <w:t>s</w:t>
      </w:r>
      <w:r w:rsidR="00A812D1">
        <w:rPr>
          <w:color w:val="000000" w:themeColor="text1"/>
        </w:rPr>
        <w:t xml:space="preserve"> this different approach should be taken because</w:t>
      </w:r>
      <w:r w:rsidR="001A4812">
        <w:rPr>
          <w:color w:val="000000" w:themeColor="text1"/>
        </w:rPr>
        <w:t>:</w:t>
      </w:r>
    </w:p>
    <w:p w14:paraId="4D85870B" w14:textId="77777777" w:rsidR="001A4812" w:rsidRDefault="001A4812" w:rsidP="00F977BC">
      <w:pPr>
        <w:rPr>
          <w:color w:val="000000" w:themeColor="text1"/>
        </w:rPr>
      </w:pPr>
    </w:p>
    <w:p w14:paraId="4D85870C" w14:textId="77777777" w:rsidR="001A4812" w:rsidRPr="00ED70BB" w:rsidRDefault="001A4812" w:rsidP="00ED70BB">
      <w:pPr>
        <w:pStyle w:val="FSBullet1"/>
      </w:pPr>
      <w:r>
        <w:t>Other regulato</w:t>
      </w:r>
      <w:r w:rsidRPr="00ED70BB">
        <w:t>rs disagree with FSANZ</w:t>
      </w:r>
      <w:r w:rsidR="00766BE4" w:rsidRPr="00ED70BB">
        <w:t xml:space="preserve"> – INBI cites only the US Environmental Protection Agency (EPA)</w:t>
      </w:r>
    </w:p>
    <w:p w14:paraId="4D85870D" w14:textId="77777777" w:rsidR="001A4812" w:rsidRDefault="001A4812" w:rsidP="00ED70BB">
      <w:pPr>
        <w:pStyle w:val="FSBullet1"/>
      </w:pPr>
      <w:r w:rsidRPr="00ED70BB">
        <w:t>FSANZ has n</w:t>
      </w:r>
      <w:r>
        <w:t>ot adequately considered non-ingestion pathways for dietary dsRNA</w:t>
      </w:r>
    </w:p>
    <w:p w14:paraId="4D85870E" w14:textId="77777777" w:rsidR="00935DDE" w:rsidRDefault="00935DDE" w:rsidP="00935DDE">
      <w:pPr>
        <w:rPr>
          <w:color w:val="000000" w:themeColor="text1"/>
        </w:rPr>
      </w:pPr>
    </w:p>
    <w:p w14:paraId="4D85870F" w14:textId="77777777" w:rsidR="001A4812" w:rsidRPr="00935DDE" w:rsidRDefault="00935DDE" w:rsidP="00935DDE">
      <w:pPr>
        <w:rPr>
          <w:color w:val="000000" w:themeColor="text1"/>
        </w:rPr>
      </w:pPr>
      <w:r>
        <w:rPr>
          <w:color w:val="000000" w:themeColor="text1"/>
        </w:rPr>
        <w:t xml:space="preserve">All three submissions claim that </w:t>
      </w:r>
      <w:r w:rsidR="007E12EB" w:rsidRPr="00935DDE">
        <w:rPr>
          <w:color w:val="000000" w:themeColor="text1"/>
        </w:rPr>
        <w:t xml:space="preserve">FSANZ ignores or dismisses peer-reviewed science </w:t>
      </w:r>
    </w:p>
    <w:p w14:paraId="4D858710" w14:textId="77777777" w:rsidR="001A4812" w:rsidRDefault="001A4812" w:rsidP="00F977BC">
      <w:pPr>
        <w:rPr>
          <w:color w:val="000000" w:themeColor="text1"/>
        </w:rPr>
      </w:pPr>
    </w:p>
    <w:p w14:paraId="4D858711" w14:textId="77777777" w:rsidR="00BC7F4D" w:rsidRPr="00BF5C74" w:rsidRDefault="00A52076" w:rsidP="00BF5C74">
      <w:pPr>
        <w:rPr>
          <w:color w:val="000000" w:themeColor="text1"/>
        </w:rPr>
      </w:pPr>
      <w:r>
        <w:rPr>
          <w:color w:val="000000" w:themeColor="text1"/>
        </w:rPr>
        <w:t>T</w:t>
      </w:r>
      <w:r w:rsidR="00BC7F4D">
        <w:rPr>
          <w:color w:val="000000" w:themeColor="text1"/>
        </w:rPr>
        <w:t>hese points are addressed as follows:</w:t>
      </w:r>
    </w:p>
    <w:p w14:paraId="4D858712" w14:textId="77777777" w:rsidR="00F977BC" w:rsidRPr="00055A50" w:rsidRDefault="00766BE4" w:rsidP="003D5B92">
      <w:pPr>
        <w:pStyle w:val="Heading5"/>
      </w:pPr>
      <w:r w:rsidRPr="00055A50">
        <w:t xml:space="preserve">The EPA </w:t>
      </w:r>
      <w:r w:rsidR="001A4812" w:rsidRPr="00055A50">
        <w:t>disagree</w:t>
      </w:r>
      <w:r w:rsidRPr="00055A50">
        <w:t>s</w:t>
      </w:r>
      <w:r w:rsidR="001A4812" w:rsidRPr="00055A50">
        <w:t xml:space="preserve"> with FSANZ</w:t>
      </w:r>
    </w:p>
    <w:p w14:paraId="4D858713" w14:textId="77777777" w:rsidR="002C568D" w:rsidRDefault="009F4F09" w:rsidP="007246A7">
      <w:pPr>
        <w:rPr>
          <w:color w:val="000000" w:themeColor="text1"/>
          <w:lang w:val="en-US" w:bidi="ar-SA"/>
        </w:rPr>
      </w:pPr>
      <w:r>
        <w:rPr>
          <w:color w:val="000000" w:themeColor="text1"/>
          <w:lang w:val="en-US" w:bidi="ar-SA"/>
        </w:rPr>
        <w:t xml:space="preserve">In 2013, </w:t>
      </w:r>
      <w:r w:rsidR="00FA22D8">
        <w:rPr>
          <w:color w:val="000000" w:themeColor="text1"/>
          <w:lang w:val="en-US" w:bidi="ar-SA"/>
        </w:rPr>
        <w:t xml:space="preserve">FSANZ </w:t>
      </w:r>
      <w:r>
        <w:rPr>
          <w:color w:val="000000" w:themeColor="text1"/>
          <w:lang w:val="en-US" w:bidi="ar-SA"/>
        </w:rPr>
        <w:t xml:space="preserve">publicly </w:t>
      </w:r>
      <w:r w:rsidR="00FA22D8">
        <w:rPr>
          <w:color w:val="000000" w:themeColor="text1"/>
          <w:lang w:val="en-US" w:bidi="ar-SA"/>
        </w:rPr>
        <w:t xml:space="preserve">stated </w:t>
      </w:r>
      <w:r w:rsidR="002C568D">
        <w:rPr>
          <w:color w:val="000000" w:themeColor="text1"/>
          <w:lang w:val="en-US" w:bidi="ar-SA"/>
        </w:rPr>
        <w:t xml:space="preserve">its position in relation to RNAi </w:t>
      </w:r>
      <w:r w:rsidR="00F62197">
        <w:rPr>
          <w:lang w:val="en-US" w:bidi="ar-SA"/>
        </w:rPr>
        <w:fldChar w:fldCharType="begin"/>
      </w:r>
      <w:r w:rsidR="004B76CD">
        <w:rPr>
          <w:lang w:val="en-US" w:bidi="ar-SA"/>
        </w:rPr>
        <w:instrText xml:space="preserve"> ADDIN REFMGR.CITE &lt;Refman&gt;&lt;Cite&gt;&lt;Author&gt;FSANZ&lt;/Author&gt;&lt;Year&gt;2013&lt;/Year&gt;&lt;RecNum&gt;1802&lt;/RecNum&gt;&lt;IDText&gt;Response to Heinemann et al on the regulation of GM crops and foods developed using gene silencing&lt;/IDText&gt;&lt;MDL Ref_Type="Online Source"&gt;&lt;Ref_Type&gt;Online Source&lt;/Ref_Type&gt;&lt;Ref_ID&gt;1802&lt;/Ref_ID&gt;&lt;Title_Primary&gt;Response to Heinemann &lt;i&gt;et al&lt;/i&gt; on the regulation of GM crops and foods developed using gene silencing&lt;/Title_Primary&gt;&lt;Authors_Primary&gt;FSANZ&lt;/Authors_Primary&gt;&lt;Date_Primary&gt;2013&lt;/Date_Primary&gt;&lt;Reprint&gt;Not in File&lt;/Reprint&gt;&lt;Publisher&gt;Food Standards Australia New Zealand&lt;/Publisher&gt;&lt;Web_URL&gt;&lt;u&gt;http://www.foodstandards.gov.au/consumer/gmfood/adverse/Pages/default.aspx&lt;/u&gt;&lt;/Web_URL&gt;&lt;ZZ_WorkformID&gt;31&lt;/ZZ_WorkformID&gt;&lt;/MDL&gt;&lt;/Cite&gt;&lt;/Refman&gt;</w:instrText>
      </w:r>
      <w:r w:rsidR="00F62197">
        <w:rPr>
          <w:lang w:val="en-US" w:bidi="ar-SA"/>
        </w:rPr>
        <w:fldChar w:fldCharType="separate"/>
      </w:r>
      <w:r w:rsidR="003D5B92">
        <w:rPr>
          <w:noProof/>
          <w:lang w:val="en-US" w:bidi="ar-SA"/>
        </w:rPr>
        <w:t>(FSANZ 2013b)</w:t>
      </w:r>
      <w:r w:rsidR="00F62197">
        <w:rPr>
          <w:lang w:val="en-US" w:bidi="ar-SA"/>
        </w:rPr>
        <w:fldChar w:fldCharType="end"/>
      </w:r>
      <w:r w:rsidR="00FA22D8">
        <w:rPr>
          <w:lang w:val="en-US" w:bidi="ar-SA"/>
        </w:rPr>
        <w:t xml:space="preserve"> </w:t>
      </w:r>
      <w:r w:rsidR="002C568D">
        <w:rPr>
          <w:color w:val="000000" w:themeColor="text1"/>
          <w:lang w:val="en-US" w:bidi="ar-SA"/>
        </w:rPr>
        <w:t xml:space="preserve">when it </w:t>
      </w:r>
      <w:r>
        <w:rPr>
          <w:color w:val="000000" w:themeColor="text1"/>
          <w:lang w:val="en-US" w:bidi="ar-SA"/>
        </w:rPr>
        <w:t>responded to a paper by Heinemann et al (2013)</w:t>
      </w:r>
      <w:r w:rsidR="006F09DB">
        <w:rPr>
          <w:rStyle w:val="FootnoteReference"/>
          <w:color w:val="000000" w:themeColor="text1"/>
          <w:lang w:val="en-US" w:bidi="ar-SA"/>
        </w:rPr>
        <w:footnoteReference w:id="2"/>
      </w:r>
      <w:r>
        <w:rPr>
          <w:color w:val="000000" w:themeColor="text1"/>
          <w:lang w:val="en-US" w:bidi="ar-SA"/>
        </w:rPr>
        <w:t xml:space="preserve"> which claimed that small dsRNAs produced in GM plants as a result of the use of RNAi technology can create unique risks to human health and safety and that these risks are not being adequately addressed by regulators. FSANZ concluded that </w:t>
      </w:r>
      <w:r w:rsidR="00D87CCF">
        <w:rPr>
          <w:color w:val="000000" w:themeColor="text1"/>
          <w:lang w:val="en-US" w:bidi="ar-SA"/>
        </w:rPr>
        <w:t xml:space="preserve">ingested small dsRNAs are generally safe for human consumption and that </w:t>
      </w:r>
      <w:r>
        <w:rPr>
          <w:color w:val="000000" w:themeColor="text1"/>
          <w:lang w:val="en-US" w:bidi="ar-SA"/>
        </w:rPr>
        <w:t>the current food safety assessment approach was adequate to address any potential risks posed by the use of RNAi in plants</w:t>
      </w:r>
      <w:r w:rsidR="002C568D">
        <w:rPr>
          <w:color w:val="000000" w:themeColor="text1"/>
          <w:lang w:val="en-US" w:bidi="ar-SA"/>
        </w:rPr>
        <w:t>.</w:t>
      </w:r>
      <w:r w:rsidR="00D87CCF">
        <w:rPr>
          <w:color w:val="000000" w:themeColor="text1"/>
          <w:lang w:val="en-US" w:bidi="ar-SA"/>
        </w:rPr>
        <w:t xml:space="preserve"> </w:t>
      </w:r>
    </w:p>
    <w:p w14:paraId="4D858714" w14:textId="77777777" w:rsidR="002C568D" w:rsidRDefault="002C568D" w:rsidP="007246A7">
      <w:pPr>
        <w:rPr>
          <w:color w:val="000000" w:themeColor="text1"/>
          <w:lang w:val="en-US" w:bidi="ar-SA"/>
        </w:rPr>
      </w:pPr>
    </w:p>
    <w:p w14:paraId="4D858715" w14:textId="77777777" w:rsidR="009F4F09" w:rsidRDefault="00766BE4" w:rsidP="007246A7">
      <w:pPr>
        <w:rPr>
          <w:color w:val="000000" w:themeColor="text1"/>
          <w:lang w:val="en-US" w:bidi="ar-SA"/>
        </w:rPr>
      </w:pPr>
      <w:r>
        <w:rPr>
          <w:color w:val="000000" w:themeColor="text1"/>
          <w:lang w:val="en-US" w:bidi="ar-SA"/>
        </w:rPr>
        <w:t xml:space="preserve">INBI </w:t>
      </w:r>
      <w:r w:rsidR="002C568D">
        <w:rPr>
          <w:color w:val="000000" w:themeColor="text1"/>
          <w:lang w:val="en-US" w:bidi="ar-SA"/>
        </w:rPr>
        <w:t>claim</w:t>
      </w:r>
      <w:r>
        <w:rPr>
          <w:color w:val="000000" w:themeColor="text1"/>
          <w:lang w:val="en-US" w:bidi="ar-SA"/>
        </w:rPr>
        <w:t>s</w:t>
      </w:r>
      <w:r w:rsidR="002C568D">
        <w:rPr>
          <w:color w:val="000000" w:themeColor="text1"/>
          <w:lang w:val="en-US" w:bidi="ar-SA"/>
        </w:rPr>
        <w:t xml:space="preserve"> the </w:t>
      </w:r>
      <w:r w:rsidR="00820CBB">
        <w:rPr>
          <w:color w:val="000000" w:themeColor="text1"/>
          <w:lang w:val="en-US" w:bidi="ar-SA"/>
        </w:rPr>
        <w:t>EPA</w:t>
      </w:r>
      <w:r w:rsidR="002C568D">
        <w:rPr>
          <w:color w:val="000000" w:themeColor="text1"/>
          <w:lang w:val="en-US" w:bidi="ar-SA"/>
        </w:rPr>
        <w:t xml:space="preserve"> </w:t>
      </w:r>
      <w:r w:rsidR="00820CBB">
        <w:rPr>
          <w:color w:val="000000" w:themeColor="text1"/>
          <w:lang w:val="en-US" w:bidi="ar-SA"/>
        </w:rPr>
        <w:t>has since concluded that existing risk assessment frameworks are not sufficient to evaluate dsRNA for safety.</w:t>
      </w:r>
    </w:p>
    <w:p w14:paraId="4D858716" w14:textId="77777777" w:rsidR="00151C77" w:rsidRPr="00FA22D8" w:rsidRDefault="00151C77" w:rsidP="007246A7">
      <w:pPr>
        <w:rPr>
          <w:rFonts w:cs="Arial"/>
          <w:szCs w:val="22"/>
          <w:lang w:val="en-US" w:bidi="ar-SA"/>
        </w:rPr>
      </w:pPr>
    </w:p>
    <w:p w14:paraId="4D858717" w14:textId="77777777" w:rsidR="00BF5C74" w:rsidRDefault="00961E7D" w:rsidP="007246A7">
      <w:pPr>
        <w:rPr>
          <w:color w:val="000000" w:themeColor="text1"/>
          <w:lang w:val="en-US" w:bidi="ar-SA"/>
        </w:rPr>
      </w:pPr>
      <w:r w:rsidRPr="00415ECF">
        <w:rPr>
          <w:color w:val="000000" w:themeColor="text1"/>
          <w:lang w:val="en-US" w:bidi="ar-SA"/>
        </w:rPr>
        <w:t>In 2013</w:t>
      </w:r>
      <w:r w:rsidR="00DD3303">
        <w:rPr>
          <w:color w:val="000000" w:themeColor="text1"/>
          <w:lang w:val="en-US" w:bidi="ar-SA"/>
        </w:rPr>
        <w:t>,</w:t>
      </w:r>
      <w:r w:rsidRPr="00415ECF">
        <w:rPr>
          <w:color w:val="000000" w:themeColor="text1"/>
          <w:lang w:val="en-US" w:bidi="ar-SA"/>
        </w:rPr>
        <w:t xml:space="preserve"> the EPA </w:t>
      </w:r>
      <w:r w:rsidR="009110DD">
        <w:rPr>
          <w:color w:val="000000" w:themeColor="text1"/>
          <w:lang w:val="en-US" w:bidi="ar-SA"/>
        </w:rPr>
        <w:fldChar w:fldCharType="begin"/>
      </w:r>
      <w:r w:rsidR="004B76CD">
        <w:rPr>
          <w:color w:val="000000" w:themeColor="text1"/>
          <w:lang w:val="en-US" w:bidi="ar-SA"/>
        </w:rPr>
        <w:instrText xml:space="preserve"> ADDIN REFMGR.CITE &lt;Refman&gt;&lt;Cite&gt;&lt;Author&gt;US EPA&lt;/Author&gt;&lt;Year&gt;2013&lt;/Year&gt;&lt;RecNum&gt;1775&lt;/RecNum&gt;&lt;IDText&gt;White paper on RNAi technology as a pesticide: Problem formulation for human health and ecological risk assessment&lt;/IDText&gt;&lt;MDL Ref_Type="Report"&gt;&lt;Ref_Type&gt;Report&lt;/Ref_Type&gt;&lt;Ref_ID&gt;1775&lt;/Ref_ID&gt;&lt;Title_Primary&gt;White paper on RNAi technology as a pesticide: Problem formulation for human health and ecological risk assessment&lt;/Title_Primary&gt;&lt;Authors_Primary&gt;US EPA&lt;/Authors_Primary&gt;&lt;Date_Primary&gt;2013&lt;/Date_Primary&gt;&lt;Keywords&gt;Human&lt;/Keywords&gt;&lt;Keywords&gt;Risk Assessment&lt;/Keywords&gt;&lt;Reprint&gt;Not in File&lt;/Reprint&gt;&lt;Publisher&gt;US Environmental Protection Agency, Office of Chemical Safety &amp;amp; Pollution Prevention; Office of Pesticide Programs; Biopesticides &amp;amp; Pollution Prevention Division&lt;/Publisher&gt;&lt;Web_URL&gt;&lt;u&gt;http://www.regulations.gov/#%21documentDetail&lt;/u&gt;;D=EPA-HQ-OPP-2013-0485-0011&lt;/Web_URL&gt;&lt;Web_URL_Link2&gt;&lt;u&gt;file://F:\FSANZ Common\GMO\RNAi\RNAi as a pesticide\EPA_RNAi as a pesticide.pdf&lt;/u&gt;&lt;/Web_URL_Link2&gt;&lt;ZZ_WorkformID&gt;24&lt;/ZZ_WorkformID&gt;&lt;/MDL&gt;&lt;/Cite&gt;&lt;/Refman&gt;</w:instrText>
      </w:r>
      <w:r w:rsidR="009110DD">
        <w:rPr>
          <w:color w:val="000000" w:themeColor="text1"/>
          <w:lang w:val="en-US" w:bidi="ar-SA"/>
        </w:rPr>
        <w:fldChar w:fldCharType="separate"/>
      </w:r>
      <w:r w:rsidR="009110DD">
        <w:rPr>
          <w:noProof/>
          <w:color w:val="000000" w:themeColor="text1"/>
          <w:lang w:val="en-US" w:bidi="ar-SA"/>
        </w:rPr>
        <w:t>(US EPA 2013)</w:t>
      </w:r>
      <w:r w:rsidR="009110DD">
        <w:rPr>
          <w:color w:val="000000" w:themeColor="text1"/>
          <w:lang w:val="en-US" w:bidi="ar-SA"/>
        </w:rPr>
        <w:fldChar w:fldCharType="end"/>
      </w:r>
      <w:r w:rsidR="004D7E89" w:rsidRPr="00415ECF">
        <w:rPr>
          <w:color w:val="000000" w:themeColor="text1"/>
          <w:lang w:val="en-US" w:bidi="ar-SA"/>
        </w:rPr>
        <w:t xml:space="preserve"> </w:t>
      </w:r>
      <w:r w:rsidRPr="00415ECF">
        <w:rPr>
          <w:color w:val="000000" w:themeColor="text1"/>
          <w:lang w:val="en-US" w:bidi="ar-SA"/>
        </w:rPr>
        <w:t xml:space="preserve">submitted a white paper on RNAi technology to the Federal Insecticide, Fungicide &amp; Rodenticide Act (FIFRA) Science Advisory Panel. The paper sought to provide details of what is already known about RNAi and to consult with the FIFRA panel on scientific issues that might be unique to RNAi and how these could fit under the existing risk assessment framework. </w:t>
      </w:r>
    </w:p>
    <w:p w14:paraId="4D858718" w14:textId="77777777" w:rsidR="00BF5C74" w:rsidRDefault="00BF5C74" w:rsidP="007246A7">
      <w:pPr>
        <w:rPr>
          <w:color w:val="000000" w:themeColor="text1"/>
          <w:lang w:val="en-US" w:bidi="ar-SA"/>
        </w:rPr>
      </w:pPr>
    </w:p>
    <w:p w14:paraId="4D858719" w14:textId="77777777" w:rsidR="00961E7D" w:rsidRPr="00415ECF" w:rsidRDefault="00961E7D" w:rsidP="007246A7">
      <w:pPr>
        <w:rPr>
          <w:color w:val="000000" w:themeColor="text1"/>
          <w:lang w:val="en-US" w:bidi="ar-SA"/>
        </w:rPr>
      </w:pPr>
      <w:r w:rsidRPr="00415ECF">
        <w:rPr>
          <w:color w:val="000000" w:themeColor="text1"/>
          <w:lang w:val="en-US" w:bidi="ar-SA"/>
        </w:rPr>
        <w:t xml:space="preserve">In turn, the FIFRA panel </w:t>
      </w:r>
      <w:r w:rsidR="009110DD">
        <w:rPr>
          <w:color w:val="000000" w:themeColor="text1"/>
          <w:lang w:val="en-US" w:bidi="ar-SA"/>
        </w:rPr>
        <w:fldChar w:fldCharType="begin"/>
      </w:r>
      <w:r w:rsidR="004B76CD">
        <w:rPr>
          <w:color w:val="000000" w:themeColor="text1"/>
          <w:lang w:val="en-US" w:bidi="ar-SA"/>
        </w:rPr>
        <w:instrText xml:space="preserve"> ADDIN REFMGR.CITE &lt;Refman&gt;&lt;Cite&gt;&lt;Author&gt;FIFRA SAP&lt;/Author&gt;&lt;Year&gt;2014&lt;/Year&gt;&lt;RecNum&gt;1776&lt;/RecNum&gt;&lt;IDText&gt;A set of scientific issues being considered by the Environmental Protection Agency regarding: RNAi technology: Program formulation for human health and ecological risk assessment&lt;/IDText&gt;&lt;MDL Ref_Type="Report"&gt;&lt;Ref_Type&gt;Report&lt;/Ref_Type&gt;&lt;Ref_ID&gt;1776&lt;/Ref_ID&gt;&lt;Title_Primary&gt;A set of scientific issues being considered by the Environmental Protection Agency regarding: RNAi technology: Program formulation for human health and ecological risk assessment&lt;/Title_Primary&gt;&lt;Authors_Primary&gt;FIFRA SAP&lt;/Authors_Primary&gt;&lt;Date_Primary&gt;2014&lt;/Date_Primary&gt;&lt;Keywords&gt;Human&lt;/Keywords&gt;&lt;Keywords&gt;Risk Assessment&lt;/Keywords&gt;&lt;Reprint&gt;Not in File&lt;/Reprint&gt;&lt;Volume&gt;SAP Minutes No. 2014-02&lt;/Volume&gt;&lt;Publisher&gt;Federal Insecticide, Fungicide &amp;amp; Rodenticide Act Scientifc Advisory Panel meeting held at One Potomac Yard, Arlington, Virginia, 28 January 2014&lt;/Publisher&gt;&lt;Web_URL&gt;&lt;u&gt;http://www.epa.gov/scipoly/sap/meetings/2014/january/012814minutes.pdf&lt;/u&gt;&lt;/Web_URL&gt;&lt;Web_URL_Link2&gt;&lt;u&gt;file://F:\FSANZ Common\GMO\RNAi\References_A=cited by Heinemann et al 2013\EPA_2014_RNAi technology. Formulation for Human Health RA.pdf&lt;/u&gt;&lt;/Web_URL_Link2&gt;&lt;ZZ_WorkformID&gt;24&lt;/ZZ_WorkformID&gt;&lt;/MDL&gt;&lt;/Cite&gt;&lt;/Refman&gt;</w:instrText>
      </w:r>
      <w:r w:rsidR="009110DD">
        <w:rPr>
          <w:color w:val="000000" w:themeColor="text1"/>
          <w:lang w:val="en-US" w:bidi="ar-SA"/>
        </w:rPr>
        <w:fldChar w:fldCharType="separate"/>
      </w:r>
      <w:r w:rsidR="009110DD">
        <w:rPr>
          <w:noProof/>
          <w:color w:val="000000" w:themeColor="text1"/>
          <w:lang w:val="en-US" w:bidi="ar-SA"/>
        </w:rPr>
        <w:t>(FIFRA SAP 2014)</w:t>
      </w:r>
      <w:r w:rsidR="009110DD">
        <w:rPr>
          <w:color w:val="000000" w:themeColor="text1"/>
          <w:lang w:val="en-US" w:bidi="ar-SA"/>
        </w:rPr>
        <w:fldChar w:fldCharType="end"/>
      </w:r>
      <w:r w:rsidR="00535EC3" w:rsidRPr="00415ECF">
        <w:rPr>
          <w:color w:val="000000" w:themeColor="text1"/>
          <w:lang w:val="en-US" w:bidi="ar-SA"/>
        </w:rPr>
        <w:t xml:space="preserve"> </w:t>
      </w:r>
      <w:r w:rsidRPr="00415ECF">
        <w:rPr>
          <w:color w:val="000000" w:themeColor="text1"/>
          <w:lang w:val="en-US" w:bidi="ar-SA"/>
        </w:rPr>
        <w:t>addressed seven questions, three of which were specific to human health considerations and four of which were specific to environmental considerations.</w:t>
      </w:r>
    </w:p>
    <w:p w14:paraId="4D85871A" w14:textId="77777777" w:rsidR="00535EC3" w:rsidRPr="00415ECF" w:rsidRDefault="00535EC3" w:rsidP="007246A7">
      <w:pPr>
        <w:rPr>
          <w:color w:val="000000" w:themeColor="text1"/>
          <w:lang w:val="en-US" w:bidi="ar-SA"/>
        </w:rPr>
      </w:pPr>
    </w:p>
    <w:p w14:paraId="4D85871B" w14:textId="77777777" w:rsidR="009E7F4C" w:rsidRDefault="009E7F4C">
      <w:pPr>
        <w:widowControl/>
        <w:rPr>
          <w:color w:val="000000" w:themeColor="text1"/>
          <w:lang w:val="en-US" w:bidi="ar-SA"/>
        </w:rPr>
      </w:pPr>
      <w:r>
        <w:rPr>
          <w:color w:val="000000" w:themeColor="text1"/>
          <w:lang w:val="en-US" w:bidi="ar-SA"/>
        </w:rPr>
        <w:br w:type="page"/>
      </w:r>
    </w:p>
    <w:p w14:paraId="4D85871C" w14:textId="77777777" w:rsidR="0031125A" w:rsidRPr="00935DDE" w:rsidRDefault="005764AA" w:rsidP="007C1578">
      <w:pPr>
        <w:rPr>
          <w:rFonts w:cs="Arial"/>
          <w:szCs w:val="22"/>
          <w:lang w:eastAsia="en-GB" w:bidi="ar-SA"/>
        </w:rPr>
      </w:pPr>
      <w:r>
        <w:rPr>
          <w:color w:val="000000" w:themeColor="text1"/>
          <w:lang w:val="en-US" w:bidi="ar-SA"/>
        </w:rPr>
        <w:lastRenderedPageBreak/>
        <w:t>While t</w:t>
      </w:r>
      <w:r w:rsidR="00535EC3" w:rsidRPr="00415ECF">
        <w:rPr>
          <w:color w:val="000000" w:themeColor="text1"/>
          <w:lang w:val="en-US" w:bidi="ar-SA"/>
        </w:rPr>
        <w:t xml:space="preserve">he FIFRA panel </w:t>
      </w:r>
      <w:r w:rsidR="0031125A">
        <w:rPr>
          <w:rFonts w:cs="Arial"/>
          <w:szCs w:val="22"/>
          <w:lang w:eastAsia="en-GB" w:bidi="ar-SA"/>
        </w:rPr>
        <w:t xml:space="preserve">recommended </w:t>
      </w:r>
      <w:r w:rsidR="0031125A">
        <w:rPr>
          <w:color w:val="000000" w:themeColor="text1"/>
          <w:lang w:val="en-US" w:bidi="ar-SA"/>
        </w:rPr>
        <w:t xml:space="preserve">that additional work </w:t>
      </w:r>
      <w:r w:rsidR="00935DDE">
        <w:rPr>
          <w:color w:val="000000" w:themeColor="text1"/>
          <w:lang w:val="en-US" w:bidi="ar-SA"/>
        </w:rPr>
        <w:t xml:space="preserve">could </w:t>
      </w:r>
      <w:r w:rsidR="0031125A">
        <w:rPr>
          <w:color w:val="000000" w:themeColor="text1"/>
          <w:lang w:val="en-US" w:bidi="ar-SA"/>
        </w:rPr>
        <w:t>be done to address particular knowledge gaps in relation to human health considerations</w:t>
      </w:r>
      <w:r w:rsidR="00DD3303">
        <w:rPr>
          <w:color w:val="000000" w:themeColor="text1"/>
          <w:lang w:val="en-US" w:bidi="ar-SA"/>
        </w:rPr>
        <w:t>,</w:t>
      </w:r>
      <w:r w:rsidR="0031125A">
        <w:rPr>
          <w:color w:val="000000" w:themeColor="text1"/>
          <w:lang w:val="en-US" w:bidi="ar-SA"/>
        </w:rPr>
        <w:t xml:space="preserve"> </w:t>
      </w:r>
      <w:r>
        <w:rPr>
          <w:color w:val="000000" w:themeColor="text1"/>
          <w:lang w:val="en-US" w:bidi="ar-SA"/>
        </w:rPr>
        <w:t>they</w:t>
      </w:r>
      <w:r w:rsidR="0031125A">
        <w:rPr>
          <w:color w:val="000000" w:themeColor="text1"/>
          <w:lang w:val="en-US" w:bidi="ar-SA"/>
        </w:rPr>
        <w:t xml:space="preserve"> also concluded tha</w:t>
      </w:r>
      <w:r w:rsidR="00D10771">
        <w:rPr>
          <w:color w:val="000000" w:themeColor="text1"/>
          <w:lang w:val="en-US" w:bidi="ar-SA"/>
        </w:rPr>
        <w:t>t pest control products using</w:t>
      </w:r>
      <w:r w:rsidR="0031125A">
        <w:rPr>
          <w:color w:val="000000" w:themeColor="text1"/>
          <w:lang w:val="en-US" w:bidi="ar-SA"/>
        </w:rPr>
        <w:t xml:space="preserve"> RNAi technology are not likely to result in adverse effects to humans through ingestion exposures</w:t>
      </w:r>
      <w:r w:rsidR="0031125A">
        <w:rPr>
          <w:lang w:val="en-US" w:bidi="ar-SA"/>
        </w:rPr>
        <w:t xml:space="preserve">. They noted that </w:t>
      </w:r>
      <w:r w:rsidR="00A812D1" w:rsidRPr="00D80A21">
        <w:rPr>
          <w:rFonts w:cs="Arial"/>
          <w:szCs w:val="22"/>
          <w:lang w:eastAsia="en-GB" w:bidi="ar-SA"/>
        </w:rPr>
        <w:t>dietary</w:t>
      </w:r>
      <w:r w:rsidR="0031125A" w:rsidRPr="00D80A21">
        <w:rPr>
          <w:rFonts w:cs="Arial"/>
          <w:szCs w:val="22"/>
          <w:lang w:eastAsia="en-GB" w:bidi="ar-SA"/>
        </w:rPr>
        <w:t xml:space="preserve"> RNA is extensively degraded in the mammalian digestive system by a combination of</w:t>
      </w:r>
      <w:r w:rsidR="0031125A">
        <w:rPr>
          <w:rFonts w:cs="Arial"/>
          <w:szCs w:val="22"/>
          <w:lang w:eastAsia="en-GB" w:bidi="ar-SA"/>
        </w:rPr>
        <w:t xml:space="preserve"> </w:t>
      </w:r>
      <w:r w:rsidR="0031125A" w:rsidRPr="00D80A21">
        <w:rPr>
          <w:rFonts w:cs="Arial"/>
          <w:szCs w:val="22"/>
          <w:lang w:eastAsia="en-GB" w:bidi="ar-SA"/>
        </w:rPr>
        <w:t xml:space="preserve">ribonucleases (RNases) and </w:t>
      </w:r>
      <w:r w:rsidR="00A812D1">
        <w:rPr>
          <w:rFonts w:cs="Arial"/>
          <w:szCs w:val="22"/>
          <w:lang w:eastAsia="en-GB" w:bidi="ar-SA"/>
        </w:rPr>
        <w:t>acids that are likely to ensure</w:t>
      </w:r>
      <w:r w:rsidR="0031125A" w:rsidRPr="00D80A21">
        <w:rPr>
          <w:rFonts w:cs="Arial"/>
          <w:szCs w:val="22"/>
          <w:lang w:eastAsia="en-GB" w:bidi="ar-SA"/>
        </w:rPr>
        <w:t xml:space="preserve"> all structural forms of RNA are degraded</w:t>
      </w:r>
      <w:r w:rsidR="0031125A">
        <w:rPr>
          <w:rFonts w:cs="Arial"/>
          <w:szCs w:val="22"/>
          <w:lang w:eastAsia="en-GB" w:bidi="ar-SA"/>
        </w:rPr>
        <w:t xml:space="preserve"> </w:t>
      </w:r>
      <w:r w:rsidR="0031125A" w:rsidRPr="00D80A21">
        <w:rPr>
          <w:rFonts w:cs="Arial"/>
          <w:szCs w:val="22"/>
          <w:lang w:eastAsia="en-GB" w:bidi="ar-SA"/>
        </w:rPr>
        <w:t xml:space="preserve">throughout the digestive process. </w:t>
      </w:r>
      <w:r w:rsidR="0031125A">
        <w:rPr>
          <w:rFonts w:cs="Arial"/>
          <w:szCs w:val="22"/>
          <w:lang w:eastAsia="en-GB" w:bidi="ar-SA"/>
        </w:rPr>
        <w:t>They also stated t</w:t>
      </w:r>
      <w:r w:rsidR="0031125A" w:rsidRPr="00D80A21">
        <w:rPr>
          <w:rFonts w:cs="Arial"/>
          <w:szCs w:val="22"/>
          <w:lang w:eastAsia="en-GB" w:bidi="ar-SA"/>
        </w:rPr>
        <w:t>here is no convincing evidence that ingested dsRNA is absorbed</w:t>
      </w:r>
      <w:r w:rsidR="0031125A">
        <w:rPr>
          <w:rFonts w:cs="Arial"/>
          <w:szCs w:val="22"/>
          <w:lang w:eastAsia="en-GB" w:bidi="ar-SA"/>
        </w:rPr>
        <w:t xml:space="preserve"> </w:t>
      </w:r>
      <w:r w:rsidR="0031125A" w:rsidRPr="00D80A21">
        <w:rPr>
          <w:rFonts w:cs="Arial"/>
          <w:szCs w:val="22"/>
          <w:lang w:eastAsia="en-GB" w:bidi="ar-SA"/>
        </w:rPr>
        <w:t>from the mammalian gut in a form that causes physiologically relevant adverse effects</w:t>
      </w:r>
      <w:r w:rsidR="0031125A">
        <w:rPr>
          <w:rFonts w:cs="Arial"/>
          <w:szCs w:val="22"/>
          <w:lang w:eastAsia="en-GB" w:bidi="ar-SA"/>
        </w:rPr>
        <w:t>.</w:t>
      </w:r>
      <w:r w:rsidR="00935DDE">
        <w:rPr>
          <w:rFonts w:cs="Arial"/>
          <w:szCs w:val="22"/>
          <w:lang w:eastAsia="en-GB" w:bidi="ar-SA"/>
        </w:rPr>
        <w:t xml:space="preserve"> </w:t>
      </w:r>
      <w:r>
        <w:rPr>
          <w:lang w:val="en-US" w:bidi="ar-SA"/>
        </w:rPr>
        <w:t xml:space="preserve">This conclusion is consistent with that reached by FSANZ </w:t>
      </w:r>
      <w:r w:rsidR="00935DDE">
        <w:rPr>
          <w:lang w:val="en-US" w:bidi="ar-SA"/>
        </w:rPr>
        <w:fldChar w:fldCharType="begin"/>
      </w:r>
      <w:r w:rsidR="004B76CD">
        <w:rPr>
          <w:lang w:val="en-US" w:bidi="ar-SA"/>
        </w:rPr>
        <w:instrText xml:space="preserve"> ADDIN REFMGR.CITE &lt;Refman&gt;&lt;Cite&gt;&lt;Author&gt;FSANZ&lt;/Author&gt;&lt;Year&gt;2013&lt;/Year&gt;&lt;RecNum&gt;1802&lt;/RecNum&gt;&lt;IDText&gt;Response to Heinemann et al on the regulation of GM crops and foods developed using gene silencing&lt;/IDText&gt;&lt;MDL Ref_Type="Online Source"&gt;&lt;Ref_Type&gt;Online Source&lt;/Ref_Type&gt;&lt;Ref_ID&gt;1802&lt;/Ref_ID&gt;&lt;Title_Primary&gt;Response to Heinemann &lt;i&gt;et al&lt;/i&gt; on the regulation of GM crops and foods developed using gene silencing&lt;/Title_Primary&gt;&lt;Authors_Primary&gt;FSANZ&lt;/Authors_Primary&gt;&lt;Date_Primary&gt;2013&lt;/Date_Primary&gt;&lt;Reprint&gt;Not in File&lt;/Reprint&gt;&lt;Publisher&gt;Food Standards Australia New Zealand&lt;/Publisher&gt;&lt;Web_URL&gt;&lt;u&gt;http://www.foodstandards.gov.au/consumer/gmfood/adverse/Pages/default.aspx&lt;/u&gt;&lt;/Web_URL&gt;&lt;ZZ_WorkformID&gt;31&lt;/ZZ_WorkformID&gt;&lt;/MDL&gt;&lt;/Cite&gt;&lt;/Refman&gt;</w:instrText>
      </w:r>
      <w:r w:rsidR="00935DDE">
        <w:rPr>
          <w:lang w:val="en-US" w:bidi="ar-SA"/>
        </w:rPr>
        <w:fldChar w:fldCharType="separate"/>
      </w:r>
      <w:r w:rsidR="003D5B92">
        <w:rPr>
          <w:noProof/>
          <w:lang w:val="en-US" w:bidi="ar-SA"/>
        </w:rPr>
        <w:t>(FSANZ 2013b)</w:t>
      </w:r>
      <w:r w:rsidR="00935DDE">
        <w:rPr>
          <w:lang w:val="en-US" w:bidi="ar-SA"/>
        </w:rPr>
        <w:fldChar w:fldCharType="end"/>
      </w:r>
      <w:r w:rsidR="00935DDE">
        <w:rPr>
          <w:lang w:val="en-US" w:bidi="ar-SA"/>
        </w:rPr>
        <w:t xml:space="preserve"> </w:t>
      </w:r>
      <w:r>
        <w:rPr>
          <w:lang w:val="en-US" w:bidi="ar-SA"/>
        </w:rPr>
        <w:t xml:space="preserve">and reiterated in Section 4.2.3 of the safety assessment for this </w:t>
      </w:r>
      <w:r w:rsidR="00B430BE">
        <w:rPr>
          <w:lang w:val="en-US" w:bidi="ar-SA"/>
        </w:rPr>
        <w:t>A</w:t>
      </w:r>
      <w:r>
        <w:rPr>
          <w:lang w:val="en-US" w:bidi="ar-SA"/>
        </w:rPr>
        <w:t>pplication.</w:t>
      </w:r>
    </w:p>
    <w:p w14:paraId="4D85871D" w14:textId="77777777" w:rsidR="005764AA" w:rsidRDefault="005764AA" w:rsidP="007C1578">
      <w:pPr>
        <w:rPr>
          <w:color w:val="000000" w:themeColor="text1"/>
          <w:lang w:val="en-US" w:bidi="ar-SA"/>
        </w:rPr>
      </w:pPr>
    </w:p>
    <w:p w14:paraId="4D85871E" w14:textId="77777777" w:rsidR="007C1578" w:rsidRDefault="005764AA" w:rsidP="00A812D1">
      <w:pPr>
        <w:widowControl/>
        <w:autoSpaceDE w:val="0"/>
        <w:autoSpaceDN w:val="0"/>
        <w:adjustRightInd w:val="0"/>
        <w:rPr>
          <w:lang w:val="en-US" w:bidi="ar-SA"/>
        </w:rPr>
      </w:pPr>
      <w:r w:rsidRPr="00A812D1">
        <w:rPr>
          <w:rFonts w:cs="Arial"/>
          <w:szCs w:val="22"/>
          <w:lang w:val="en-US" w:bidi="ar-SA"/>
        </w:rPr>
        <w:t xml:space="preserve">In relation to the adequacy of existing risk assessment frameworks, the FIFRA panel’s conclusions regarding this were confined to the environmental risk assessment, where they </w:t>
      </w:r>
      <w:r>
        <w:rPr>
          <w:rFonts w:cs="Arial"/>
          <w:szCs w:val="22"/>
          <w:lang w:val="en-US" w:bidi="ar-SA"/>
        </w:rPr>
        <w:t>indicated that additional in</w:t>
      </w:r>
      <w:r w:rsidRPr="00A812D1">
        <w:rPr>
          <w:rFonts w:cs="Arial"/>
          <w:szCs w:val="22"/>
          <w:lang w:eastAsia="en-GB" w:bidi="ar-SA"/>
        </w:rPr>
        <w:t xml:space="preserve">formation </w:t>
      </w:r>
      <w:r>
        <w:rPr>
          <w:rFonts w:cs="Arial"/>
          <w:szCs w:val="22"/>
          <w:lang w:eastAsia="en-GB" w:bidi="ar-SA"/>
        </w:rPr>
        <w:t>should be</w:t>
      </w:r>
      <w:r w:rsidRPr="00A812D1">
        <w:rPr>
          <w:rFonts w:cs="Arial"/>
          <w:szCs w:val="22"/>
          <w:lang w:eastAsia="en-GB" w:bidi="ar-SA"/>
        </w:rPr>
        <w:t xml:space="preserve"> collected to address uncertainties in</w:t>
      </w:r>
      <w:r>
        <w:rPr>
          <w:rFonts w:cs="Arial"/>
          <w:szCs w:val="22"/>
          <w:lang w:eastAsia="en-GB" w:bidi="ar-SA"/>
        </w:rPr>
        <w:t xml:space="preserve"> </w:t>
      </w:r>
      <w:r w:rsidRPr="00A812D1">
        <w:rPr>
          <w:rFonts w:cs="Arial"/>
          <w:szCs w:val="22"/>
          <w:lang w:eastAsia="en-GB" w:bidi="ar-SA"/>
        </w:rPr>
        <w:t>the environmental fate and ecological risk assessments</w:t>
      </w:r>
      <w:r>
        <w:rPr>
          <w:rFonts w:cs="Arial"/>
          <w:szCs w:val="22"/>
          <w:lang w:eastAsia="en-GB" w:bidi="ar-SA"/>
        </w:rPr>
        <w:t xml:space="preserve">. This conclusion </w:t>
      </w:r>
      <w:r w:rsidR="00820CBB">
        <w:rPr>
          <w:rFonts w:cs="Arial"/>
          <w:szCs w:val="22"/>
          <w:lang w:eastAsia="en-GB" w:bidi="ar-SA"/>
        </w:rPr>
        <w:t>is not directly relevant</w:t>
      </w:r>
      <w:r>
        <w:rPr>
          <w:rFonts w:cs="Arial"/>
          <w:szCs w:val="22"/>
          <w:lang w:eastAsia="en-GB" w:bidi="ar-SA"/>
        </w:rPr>
        <w:t xml:space="preserve"> to </w:t>
      </w:r>
      <w:r w:rsidR="00A1155E">
        <w:rPr>
          <w:rFonts w:cs="Arial"/>
          <w:szCs w:val="22"/>
          <w:lang w:eastAsia="en-GB" w:bidi="ar-SA"/>
        </w:rPr>
        <w:t xml:space="preserve">the </w:t>
      </w:r>
      <w:r>
        <w:rPr>
          <w:rFonts w:cs="Arial"/>
          <w:szCs w:val="22"/>
          <w:lang w:eastAsia="en-GB" w:bidi="ar-SA"/>
        </w:rPr>
        <w:t>food safety assessment.</w:t>
      </w:r>
    </w:p>
    <w:p w14:paraId="4D85871F" w14:textId="77777777" w:rsidR="007C1578" w:rsidRDefault="007C1578" w:rsidP="007246A7">
      <w:pPr>
        <w:rPr>
          <w:lang w:val="en-US" w:bidi="ar-SA"/>
        </w:rPr>
      </w:pPr>
    </w:p>
    <w:p w14:paraId="4D858720" w14:textId="77777777" w:rsidR="00EA7F03" w:rsidRDefault="00EA7F03" w:rsidP="007246A7">
      <w:pPr>
        <w:rPr>
          <w:lang w:val="en-US" w:bidi="ar-SA"/>
        </w:rPr>
      </w:pPr>
      <w:r>
        <w:rPr>
          <w:lang w:val="en-US" w:bidi="ar-SA"/>
        </w:rPr>
        <w:t xml:space="preserve">The US EPA </w:t>
      </w:r>
      <w:r w:rsidR="00133608">
        <w:rPr>
          <w:lang w:val="en-US" w:bidi="ar-SA"/>
        </w:rPr>
        <w:t>has</w:t>
      </w:r>
      <w:r>
        <w:rPr>
          <w:lang w:val="en-US" w:bidi="ar-SA"/>
        </w:rPr>
        <w:t xml:space="preserve"> not yet responded to the FIFRA panel’s </w:t>
      </w:r>
      <w:proofErr w:type="gramStart"/>
      <w:r>
        <w:rPr>
          <w:lang w:val="en-US" w:bidi="ar-SA"/>
        </w:rPr>
        <w:t>recommendations</w:t>
      </w:r>
      <w:r w:rsidR="00CB4811">
        <w:rPr>
          <w:lang w:val="en-US" w:bidi="ar-SA"/>
        </w:rPr>
        <w:t>,</w:t>
      </w:r>
      <w:proofErr w:type="gramEnd"/>
      <w:r w:rsidR="006C1AF3">
        <w:rPr>
          <w:lang w:val="en-US" w:bidi="ar-SA"/>
        </w:rPr>
        <w:t xml:space="preserve"> </w:t>
      </w:r>
      <w:r w:rsidR="00D87CCF">
        <w:rPr>
          <w:lang w:val="en-US" w:bidi="ar-SA"/>
        </w:rPr>
        <w:t xml:space="preserve">therefore </w:t>
      </w:r>
      <w:r w:rsidR="00CB4811">
        <w:rPr>
          <w:lang w:val="en-US" w:bidi="ar-SA"/>
        </w:rPr>
        <w:t xml:space="preserve">there is no </w:t>
      </w:r>
      <w:r w:rsidR="00D87CCF">
        <w:rPr>
          <w:lang w:val="en-US" w:bidi="ar-SA"/>
        </w:rPr>
        <w:t>official EPA position</w:t>
      </w:r>
      <w:r>
        <w:rPr>
          <w:lang w:val="en-US" w:bidi="ar-SA"/>
        </w:rPr>
        <w:t>.</w:t>
      </w:r>
    </w:p>
    <w:p w14:paraId="4D858721" w14:textId="77777777" w:rsidR="00D87CCF" w:rsidRDefault="00D87CCF" w:rsidP="007246A7">
      <w:pPr>
        <w:rPr>
          <w:lang w:val="en-US" w:bidi="ar-SA"/>
        </w:rPr>
      </w:pPr>
    </w:p>
    <w:p w14:paraId="4D858722" w14:textId="77777777" w:rsidR="00055A50" w:rsidRPr="00BF5C74" w:rsidRDefault="006F09DB" w:rsidP="00BF5C74">
      <w:pPr>
        <w:rPr>
          <w:lang w:val="en-US" w:bidi="ar-SA"/>
        </w:rPr>
      </w:pPr>
      <w:r>
        <w:rPr>
          <w:lang w:val="en-US" w:bidi="ar-SA"/>
        </w:rPr>
        <w:t xml:space="preserve">In relation to regulators other than the EPA, the </w:t>
      </w:r>
      <w:r w:rsidR="00A57BC3">
        <w:rPr>
          <w:lang w:val="en-US" w:bidi="ar-SA"/>
        </w:rPr>
        <w:t xml:space="preserve">US Food and Drug Administration </w:t>
      </w:r>
      <w:r w:rsidR="00AD7E42">
        <w:rPr>
          <w:lang w:val="en-US" w:bidi="ar-SA"/>
        </w:rPr>
        <w:t xml:space="preserve">has </w:t>
      </w:r>
      <w:r w:rsidR="006D2F26">
        <w:rPr>
          <w:lang w:val="en-US" w:bidi="ar-SA"/>
        </w:rPr>
        <w:t xml:space="preserve">completed its assessment of </w:t>
      </w:r>
      <w:r w:rsidR="001126E7">
        <w:rPr>
          <w:lang w:val="en-US" w:bidi="ar-SA"/>
        </w:rPr>
        <w:t xml:space="preserve">MON87411 </w:t>
      </w:r>
      <w:r w:rsidR="006D2F26">
        <w:rPr>
          <w:lang w:val="en-US" w:bidi="ar-SA"/>
        </w:rPr>
        <w:t>and ha</w:t>
      </w:r>
      <w:r w:rsidR="00C27B8B">
        <w:rPr>
          <w:lang w:val="en-US" w:bidi="ar-SA"/>
        </w:rPr>
        <w:t>s</w:t>
      </w:r>
      <w:r w:rsidR="00BC367C">
        <w:rPr>
          <w:lang w:val="en-US" w:bidi="ar-SA"/>
        </w:rPr>
        <w:t xml:space="preserve"> stated it has no</w:t>
      </w:r>
      <w:r w:rsidR="006D2F26">
        <w:rPr>
          <w:lang w:val="en-US" w:bidi="ar-SA"/>
        </w:rPr>
        <w:t xml:space="preserve"> further questions regarding food and feed safety at this time</w:t>
      </w:r>
      <w:r w:rsidR="00B53CCF">
        <w:rPr>
          <w:rStyle w:val="FootnoteReference"/>
          <w:lang w:val="en-US" w:bidi="ar-SA"/>
        </w:rPr>
        <w:footnoteReference w:id="3"/>
      </w:r>
      <w:r w:rsidR="001126E7">
        <w:rPr>
          <w:lang w:val="en-US" w:bidi="ar-SA"/>
        </w:rPr>
        <w:t>.</w:t>
      </w:r>
    </w:p>
    <w:p w14:paraId="4D858723" w14:textId="77777777" w:rsidR="003634D3" w:rsidRPr="00055A50" w:rsidRDefault="003634D3" w:rsidP="00B03EC3">
      <w:pPr>
        <w:pStyle w:val="Heading5"/>
      </w:pPr>
      <w:r w:rsidRPr="00055A50">
        <w:t>FSANZ has not adequately considered no</w:t>
      </w:r>
      <w:r w:rsidR="001A70E5">
        <w:t xml:space="preserve">n-ingestion pathways </w:t>
      </w:r>
      <w:r w:rsidR="001122B2">
        <w:t xml:space="preserve">in humans </w:t>
      </w:r>
      <w:r w:rsidR="001A70E5">
        <w:t>for</w:t>
      </w:r>
      <w:r w:rsidRPr="00055A50">
        <w:t xml:space="preserve"> dsRNA</w:t>
      </w:r>
    </w:p>
    <w:p w14:paraId="4D858724" w14:textId="77777777" w:rsidR="000E07D2" w:rsidRPr="00D10E21" w:rsidRDefault="00DD5527" w:rsidP="001A70E5">
      <w:pPr>
        <w:rPr>
          <w:lang w:val="en-US"/>
        </w:rPr>
      </w:pPr>
      <w:r>
        <w:rPr>
          <w:lang w:val="en-US"/>
        </w:rPr>
        <w:t>In its submission, INBI refer</w:t>
      </w:r>
      <w:r w:rsidR="006C5E00">
        <w:rPr>
          <w:lang w:val="en-US"/>
        </w:rPr>
        <w:t>s</w:t>
      </w:r>
      <w:r>
        <w:rPr>
          <w:lang w:val="en-US"/>
        </w:rPr>
        <w:t xml:space="preserve"> to the FIFRA panel’s report which recommends tha</w:t>
      </w:r>
      <w:r w:rsidR="00D10E21">
        <w:rPr>
          <w:lang w:val="en-US"/>
        </w:rPr>
        <w:t>t other exposure pathways</w:t>
      </w:r>
      <w:r>
        <w:rPr>
          <w:lang w:val="en-US"/>
        </w:rPr>
        <w:t xml:space="preserve"> be tested.</w:t>
      </w:r>
      <w:r w:rsidR="00B33324">
        <w:rPr>
          <w:lang w:val="en-US"/>
        </w:rPr>
        <w:t xml:space="preserve"> </w:t>
      </w:r>
      <w:r w:rsidR="001A70E5">
        <w:t xml:space="preserve">A non-ingestion pathway, e.g. inhalation or dermal contact, for substances that are, or are contained in, food is </w:t>
      </w:r>
      <w:r w:rsidR="006C1AF3">
        <w:t xml:space="preserve">a </w:t>
      </w:r>
      <w:r w:rsidR="001A70E5">
        <w:t xml:space="preserve">very minor </w:t>
      </w:r>
      <w:r w:rsidR="006C1AF3">
        <w:t xml:space="preserve">primary </w:t>
      </w:r>
      <w:r w:rsidR="00CB4811">
        <w:t>exposure route</w:t>
      </w:r>
      <w:r w:rsidR="006C1AF3">
        <w:t>.</w:t>
      </w:r>
      <w:r w:rsidR="00CB4811">
        <w:t xml:space="preserve"> </w:t>
      </w:r>
      <w:r w:rsidR="001A70E5">
        <w:t>Coupled with this is the inherent capability of the lungs and the skin to successfully exclude large molecules from secondary exposure sites</w:t>
      </w:r>
      <w:r w:rsidR="004E6882">
        <w:t xml:space="preserve"> within the body</w:t>
      </w:r>
      <w:r w:rsidR="001A70E5">
        <w:t>, a property that is shared by the gastro-intestinal tract</w:t>
      </w:r>
      <w:r w:rsidR="005D4110">
        <w:t xml:space="preserve"> (discussed in Section 4.2.3 of the SD1)</w:t>
      </w:r>
      <w:r w:rsidR="00D10E21">
        <w:t xml:space="preserve">. </w:t>
      </w:r>
      <w:r w:rsidR="005D4110">
        <w:t>For example, p</w:t>
      </w:r>
      <w:r w:rsidR="00955271">
        <w:t>hysiological barriers in the lungs such as mucociliary clearance actions and phagocytosis by macrophages</w:t>
      </w:r>
      <w:r w:rsidR="005D4110">
        <w:t xml:space="preserve"> can effectively remove small RNAs, and any that escape are likely to enter </w:t>
      </w:r>
      <w:r w:rsidR="005D4110">
        <w:rPr>
          <w:lang w:val="en"/>
        </w:rPr>
        <w:t>systemic circulation and be</w:t>
      </w:r>
      <w:r w:rsidR="000E07D2">
        <w:rPr>
          <w:lang w:val="en"/>
        </w:rPr>
        <w:t xml:space="preserve"> renally excreted</w:t>
      </w:r>
      <w:r w:rsidR="005D4110">
        <w:rPr>
          <w:lang w:val="en"/>
        </w:rPr>
        <w:t xml:space="preserve"> in a short time</w:t>
      </w:r>
      <w:r w:rsidR="000E07D2">
        <w:rPr>
          <w:lang w:val="en"/>
        </w:rPr>
        <w:t xml:space="preserve"> </w:t>
      </w:r>
      <w:r w:rsidR="000E07D2">
        <w:rPr>
          <w:lang w:val="en"/>
        </w:rPr>
        <w:fldChar w:fldCharType="begin"/>
      </w:r>
      <w:r w:rsidR="004B76CD">
        <w:rPr>
          <w:lang w:val="en"/>
        </w:rPr>
        <w:instrText xml:space="preserve"> ADDIN REFMGR.CITE &lt;Refman&gt;&lt;Cite&gt;&lt;Author&gt;Moschos&lt;/Author&gt;&lt;Year&gt;2011&lt;/Year&gt;&lt;RecNum&gt;1808&lt;/RecNum&gt;&lt;IDText&gt;Uptake, efficacy, and systemic distribution of naked, inhaled short interfering RNA (siRNA) and locked nucleic acid (LNA) antisense&lt;/IDText&gt;&lt;MDL Ref_Type="Journal (Full)"&gt;&lt;Ref_Type&gt;Journal (Full)&lt;/Ref_Type&gt;&lt;Ref_ID&gt;1808&lt;/Ref_ID&gt;&lt;Title_Primary&gt;Uptake, efficacy, and systemic distribution of naked, inhaled short interfering RNA (siRNA) and locked nucleic acid (LNA) antisense&lt;/Title_Primary&gt;&lt;Authors_Primary&gt;Moschos,S.A.&lt;/Authors_Primary&gt;&lt;Authors_Primary&gt;Frick,M.&lt;/Authors_Primary&gt;&lt;Authors_Primary&gt;Taylor,B.&lt;/Authors_Primary&gt;&lt;Authors_Primary&gt;Turnpenny,P.&lt;/Authors_Primary&gt;&lt;Authors_Primary&gt;Graves,H.&lt;/Authors_Primary&gt;&lt;Authors_Primary&gt;Spink,K.G.&lt;/Authors_Primary&gt;&lt;Authors_Primary&gt;et al.&lt;/Authors_Primary&gt;&lt;Date_Primary&gt;2011&lt;/Date_Primary&gt;&lt;Keywords&gt;Rna&lt;/Keywords&gt;&lt;Reprint&gt;Not in File&lt;/Reprint&gt;&lt;Start_Page&gt;2163&lt;/Start_Page&gt;&lt;End_Page&gt;2168&lt;/End_Page&gt;&lt;Periodical&gt;Molecular Therapy&lt;/Periodical&gt;&lt;Volume&gt;19&lt;/Volume&gt;&lt;Issue&gt;12&lt;/Issue&gt;&lt;Misc_2&gt;&lt;f name="AdvCYEXP"&gt;&lt;i&gt;doi:10.1038/mt.2011.206&lt;/i&gt;&lt;/f&gt;&lt;/Misc_2&gt;&lt;Web_URL_Link2&gt;&lt;u&gt;file://F:\FSANZ Common\GMO\References\GM References_in RefMan\Moschos et al_2011_inhalation of siRNA.pdf&lt;/u&gt;&lt;/Web_URL_Link2&gt;&lt;ZZ_JournalFull&gt;&lt;f name="System"&gt;Molecular Therapy&lt;/f&gt;&lt;/ZZ_JournalFull&gt;&lt;ZZ_WorkformID&gt;32&lt;/ZZ_WorkformID&gt;&lt;/MDL&gt;&lt;/Cite&gt;&lt;/Refman&gt;</w:instrText>
      </w:r>
      <w:r w:rsidR="000E07D2">
        <w:rPr>
          <w:lang w:val="en"/>
        </w:rPr>
        <w:fldChar w:fldCharType="separate"/>
      </w:r>
      <w:r w:rsidR="000E07D2">
        <w:rPr>
          <w:noProof/>
          <w:lang w:val="en"/>
        </w:rPr>
        <w:t>(Moschos et al. 2011)</w:t>
      </w:r>
      <w:r w:rsidR="000E07D2">
        <w:rPr>
          <w:lang w:val="en"/>
        </w:rPr>
        <w:fldChar w:fldCharType="end"/>
      </w:r>
      <w:r w:rsidR="000E07D2">
        <w:rPr>
          <w:lang w:val="en"/>
        </w:rPr>
        <w:t>.</w:t>
      </w:r>
      <w:r w:rsidR="005A4391">
        <w:rPr>
          <w:lang w:val="en"/>
        </w:rPr>
        <w:t xml:space="preserve"> Even specific targeting of lung cells for therapeutic treatment using RNAi is considered to require </w:t>
      </w:r>
      <w:r w:rsidR="005A4391">
        <w:rPr>
          <w:sz w:val="23"/>
          <w:szCs w:val="23"/>
        </w:rPr>
        <w:t xml:space="preserve">sophisticated delivery carriers, chemical modification, and modified RNAi platforms </w:t>
      </w:r>
      <w:r w:rsidR="005A4391">
        <w:rPr>
          <w:sz w:val="23"/>
          <w:szCs w:val="23"/>
        </w:rPr>
        <w:fldChar w:fldCharType="begin"/>
      </w:r>
      <w:r w:rsidR="004B76CD">
        <w:rPr>
          <w:sz w:val="23"/>
          <w:szCs w:val="23"/>
        </w:rPr>
        <w:instrText xml:space="preserve"> ADDIN REFMGR.CITE &lt;Refman&gt;&lt;Cite&gt;&lt;Author&gt;Fujita&lt;/Author&gt;&lt;Year&gt;2015&lt;/Year&gt;&lt;RecNum&gt;1809&lt;/RecNum&gt;&lt;IDText&gt;Development of small RNA delivery systems for lung cancer therapy&lt;/IDText&gt;&lt;MDL Ref_Type="Journal (Full)"&gt;&lt;Ref_Type&gt;Journal (Full)&lt;/Ref_Type&gt;&lt;Ref_ID&gt;1809&lt;/Ref_ID&gt;&lt;Title_Primary&gt;Development of small RNA delivery systems for lung cancer therapy&lt;/Title_Primary&gt;&lt;Authors_Primary&gt;Fujita,Y.&lt;/Authors_Primary&gt;&lt;Authors_Primary&gt;Kuwano,K.&lt;/Authors_Primary&gt;&lt;Authors_Primary&gt;Ochiya,T.&lt;/Authors_Primary&gt;&lt;Date_Primary&gt;2015&lt;/Date_Primary&gt;&lt;Keywords&gt;Small RNA&lt;/Keywords&gt;&lt;Keywords&gt;Rna&lt;/Keywords&gt;&lt;Keywords&gt;Lung&lt;/Keywords&gt;&lt;Keywords&gt;RNA interference&lt;/Keywords&gt;&lt;Keywords&gt;MicroRNAs&lt;/Keywords&gt;&lt;Keywords&gt;microRNA&lt;/Keywords&gt;&lt;Reprint&gt;Not in File&lt;/Reprint&gt;&lt;Start_Page&gt;5254&lt;/Start_Page&gt;&lt;End_Page&gt;5270&lt;/End_Page&gt;&lt;Periodical&gt;International Journal of Molecular Sciences&lt;/Periodical&gt;&lt;Volume&gt;16&lt;/Volume&gt;&lt;Misc_2&gt;&lt;f name="Times New Roman"&gt;doi:10.3390/ijms16035254 &lt;/f&gt;&lt;/Misc_2&gt;&lt;Web_URL_Link2&gt;&lt;u&gt;file://F:\FSANZ Common\GMO\References\GM References_in RefMan\Fujita et al_2015_small RNA for lung cancer therapeutics.pdf&lt;/u&gt;&lt;/Web_URL_Link2&gt;&lt;ZZ_JournalFull&gt;&lt;f name="System"&gt;International Journal of Molecular Sciences&lt;/f&gt;&lt;/ZZ_JournalFull&gt;&lt;ZZ_WorkformID&gt;32&lt;/ZZ_WorkformID&gt;&lt;/MDL&gt;&lt;/Cite&gt;&lt;/Refman&gt;</w:instrText>
      </w:r>
      <w:r w:rsidR="005A4391">
        <w:rPr>
          <w:sz w:val="23"/>
          <w:szCs w:val="23"/>
        </w:rPr>
        <w:fldChar w:fldCharType="separate"/>
      </w:r>
      <w:r w:rsidR="005A4391">
        <w:rPr>
          <w:noProof/>
          <w:sz w:val="23"/>
          <w:szCs w:val="23"/>
        </w:rPr>
        <w:t>(Fujita et al. 2015)</w:t>
      </w:r>
      <w:r w:rsidR="005A4391">
        <w:rPr>
          <w:sz w:val="23"/>
          <w:szCs w:val="23"/>
        </w:rPr>
        <w:fldChar w:fldCharType="end"/>
      </w:r>
      <w:r w:rsidR="005A4391">
        <w:rPr>
          <w:sz w:val="23"/>
          <w:szCs w:val="23"/>
        </w:rPr>
        <w:t>.</w:t>
      </w:r>
    </w:p>
    <w:p w14:paraId="4D858725" w14:textId="77777777" w:rsidR="000E07D2" w:rsidRDefault="000E07D2" w:rsidP="001A70E5"/>
    <w:p w14:paraId="4D858726" w14:textId="77777777" w:rsidR="001A70E5" w:rsidRPr="00184403" w:rsidRDefault="001A70E5" w:rsidP="001A70E5">
      <w:r>
        <w:t>In terms of hazard, data p</w:t>
      </w:r>
      <w:r w:rsidR="005D4110">
        <w:t>rovided in the SD1</w:t>
      </w:r>
      <w:r>
        <w:t xml:space="preserve"> indicate that neither dsRNA nor small RNAs represent a concern. Therefore, with an exposure level much less than that associated with ingestion (which itself results in low exposure) and no significant hazard identified, there is no scientific justification </w:t>
      </w:r>
      <w:r w:rsidR="005D4110">
        <w:t xml:space="preserve">in a food safety assessment </w:t>
      </w:r>
      <w:r>
        <w:t>for considering exposure pathways with even lower risk than ingestion.</w:t>
      </w:r>
    </w:p>
    <w:p w14:paraId="4D858727" w14:textId="77777777" w:rsidR="000930CD" w:rsidRPr="00055A50" w:rsidRDefault="007E12EB" w:rsidP="00B03EC3">
      <w:pPr>
        <w:pStyle w:val="Heading5"/>
        <w:rPr>
          <w:lang w:val="en-US"/>
        </w:rPr>
      </w:pPr>
      <w:r w:rsidRPr="00055A50">
        <w:rPr>
          <w:lang w:val="en-US"/>
        </w:rPr>
        <w:t>FSANZ ignores or dismisses peer-reviewed science</w:t>
      </w:r>
    </w:p>
    <w:p w14:paraId="4D858728" w14:textId="77777777" w:rsidR="007E12EB" w:rsidRDefault="007E12EB" w:rsidP="007D4B20">
      <w:pPr>
        <w:pStyle w:val="ListParagraph"/>
        <w:ind w:left="0"/>
        <w:rPr>
          <w:lang w:val="en-US"/>
        </w:rPr>
      </w:pPr>
      <w:r>
        <w:rPr>
          <w:lang w:val="en-US"/>
        </w:rPr>
        <w:t xml:space="preserve">The GMFAA, INBI and MADGE </w:t>
      </w:r>
      <w:r w:rsidR="0043045B">
        <w:rPr>
          <w:lang w:val="en-US"/>
        </w:rPr>
        <w:t xml:space="preserve">submissions </w:t>
      </w:r>
      <w:r>
        <w:rPr>
          <w:lang w:val="en-US"/>
        </w:rPr>
        <w:t>refer to two papers that were published in 2014</w:t>
      </w:r>
      <w:r w:rsidR="00416FEE">
        <w:rPr>
          <w:lang w:val="en-US"/>
        </w:rPr>
        <w:t xml:space="preserve"> which they claim </w:t>
      </w:r>
      <w:r w:rsidR="007D4B20">
        <w:rPr>
          <w:lang w:val="en-US"/>
        </w:rPr>
        <w:t>provide</w:t>
      </w:r>
      <w:r w:rsidR="00416FEE">
        <w:rPr>
          <w:lang w:val="en-US"/>
        </w:rPr>
        <w:t xml:space="preserve"> </w:t>
      </w:r>
      <w:r w:rsidR="00AD7E42">
        <w:rPr>
          <w:lang w:val="en-US"/>
        </w:rPr>
        <w:t>new</w:t>
      </w:r>
      <w:r w:rsidR="007D4B20">
        <w:rPr>
          <w:lang w:val="en-US"/>
        </w:rPr>
        <w:t xml:space="preserve"> </w:t>
      </w:r>
      <w:r w:rsidR="00416FEE">
        <w:rPr>
          <w:lang w:val="en-US"/>
        </w:rPr>
        <w:t>evidence that ingested small RNAs can exert biological effects in humans</w:t>
      </w:r>
      <w:r w:rsidR="00055A50">
        <w:rPr>
          <w:lang w:val="en-US"/>
        </w:rPr>
        <w:t>. These are</w:t>
      </w:r>
      <w:r>
        <w:rPr>
          <w:lang w:val="en-US"/>
        </w:rPr>
        <w:t>:</w:t>
      </w:r>
    </w:p>
    <w:p w14:paraId="4D858729" w14:textId="7D3DAC9E" w:rsidR="00ED70BB" w:rsidRDefault="00ED70BB" w:rsidP="007D4B20">
      <w:pPr>
        <w:pStyle w:val="ListParagraph"/>
        <w:ind w:left="0"/>
        <w:rPr>
          <w:lang w:val="en-US"/>
        </w:rPr>
      </w:pPr>
      <w:r>
        <w:rPr>
          <w:lang w:val="en-US"/>
        </w:rPr>
        <w:br w:type="page"/>
      </w:r>
    </w:p>
    <w:p w14:paraId="4D85872A" w14:textId="77777777" w:rsidR="007E12EB" w:rsidRPr="00287C92" w:rsidRDefault="00376F16" w:rsidP="00B03EC3">
      <w:pPr>
        <w:pStyle w:val="FSBullet1"/>
        <w:rPr>
          <w:lang w:val="en-US"/>
        </w:rPr>
      </w:pPr>
      <w:r w:rsidRPr="00287C92">
        <w:rPr>
          <w:lang w:val="en-US"/>
        </w:rPr>
        <w:lastRenderedPageBreak/>
        <w:t xml:space="preserve">A paper by </w:t>
      </w:r>
      <w:proofErr w:type="spellStart"/>
      <w:r w:rsidRPr="00287C92">
        <w:rPr>
          <w:lang w:val="en-US"/>
        </w:rPr>
        <w:t>Baier</w:t>
      </w:r>
      <w:proofErr w:type="spellEnd"/>
      <w:r w:rsidRPr="00287C92">
        <w:rPr>
          <w:lang w:val="en-US"/>
        </w:rPr>
        <w:t xml:space="preserve"> et al</w:t>
      </w:r>
      <w:r>
        <w:rPr>
          <w:rStyle w:val="FootnoteReference"/>
          <w:lang w:val="en-US"/>
        </w:rPr>
        <w:footnoteReference w:id="4"/>
      </w:r>
      <w:r w:rsidRPr="00287C92">
        <w:rPr>
          <w:lang w:val="en-US"/>
        </w:rPr>
        <w:t xml:space="preserve"> </w:t>
      </w:r>
      <w:r w:rsidR="004F4E38" w:rsidRPr="00287C92">
        <w:rPr>
          <w:lang w:val="en-US"/>
        </w:rPr>
        <w:t xml:space="preserve">(2014) </w:t>
      </w:r>
      <w:r w:rsidR="007E12EB" w:rsidRPr="00287C92">
        <w:rPr>
          <w:lang w:val="en-US"/>
        </w:rPr>
        <w:t xml:space="preserve">which </w:t>
      </w:r>
      <w:r w:rsidR="007E12EB" w:rsidRPr="00287C92">
        <w:t xml:space="preserve">reported that following oral administration of cow’s milk to healthy human volunteers there was a transient increase in two miRNAs, identical to those found in humans, in the participant’s blood and that this was due to uptake of the cow miRNAs following ingestion. The authors also reported these cow miRNAs </w:t>
      </w:r>
      <w:r w:rsidR="00287C92" w:rsidRPr="00287C92">
        <w:t xml:space="preserve">were able to alter gene expression in human cell cultures. </w:t>
      </w:r>
    </w:p>
    <w:p w14:paraId="4D85872B" w14:textId="77777777" w:rsidR="0055223D" w:rsidRDefault="0055223D">
      <w:pPr>
        <w:pStyle w:val="ListParagraph"/>
        <w:ind w:left="567"/>
        <w:rPr>
          <w:lang w:val="en-US"/>
        </w:rPr>
      </w:pPr>
    </w:p>
    <w:p w14:paraId="4D85872C" w14:textId="77777777" w:rsidR="005B251A" w:rsidRPr="007D4B20" w:rsidRDefault="0055223D" w:rsidP="00B03EC3">
      <w:pPr>
        <w:pStyle w:val="FSBullet1"/>
        <w:rPr>
          <w:lang w:val="en-AU"/>
        </w:rPr>
      </w:pPr>
      <w:r w:rsidRPr="007F10B6">
        <w:rPr>
          <w:lang w:val="en-US"/>
        </w:rPr>
        <w:t xml:space="preserve">A </w:t>
      </w:r>
      <w:r w:rsidR="0043045B" w:rsidRPr="007F10B6">
        <w:rPr>
          <w:lang w:val="en-US"/>
        </w:rPr>
        <w:t xml:space="preserve">paper </w:t>
      </w:r>
      <w:r w:rsidRPr="007F10B6">
        <w:rPr>
          <w:lang w:val="en-US"/>
        </w:rPr>
        <w:t xml:space="preserve">by Lukasik &amp; </w:t>
      </w:r>
      <w:proofErr w:type="spellStart"/>
      <w:r w:rsidRPr="007F10B6">
        <w:rPr>
          <w:lang w:val="en-US"/>
        </w:rPr>
        <w:t>Zielenkiewicz</w:t>
      </w:r>
      <w:proofErr w:type="spellEnd"/>
      <w:r w:rsidRPr="007F10B6">
        <w:rPr>
          <w:lang w:val="en-US"/>
        </w:rPr>
        <w:t xml:space="preserve"> (2014)</w:t>
      </w:r>
      <w:r w:rsidRPr="007F10B6">
        <w:rPr>
          <w:rStyle w:val="FootnoteReference"/>
          <w:lang w:val="en-US"/>
        </w:rPr>
        <w:footnoteReference w:id="5"/>
      </w:r>
      <w:r w:rsidRPr="007F10B6">
        <w:rPr>
          <w:lang w:val="en-US"/>
        </w:rPr>
        <w:t xml:space="preserve"> </w:t>
      </w:r>
      <w:r w:rsidR="0043045B" w:rsidRPr="007F10B6">
        <w:rPr>
          <w:lang w:val="en-US"/>
        </w:rPr>
        <w:t xml:space="preserve">which reported </w:t>
      </w:r>
      <w:r w:rsidR="005B251A" w:rsidRPr="007F10B6">
        <w:rPr>
          <w:lang w:val="en-US"/>
        </w:rPr>
        <w:t xml:space="preserve">the identification of plant miRNAs in mammalian breast milk exosomes using </w:t>
      </w:r>
      <w:r w:rsidR="0043045B" w:rsidRPr="007F10B6">
        <w:rPr>
          <w:lang w:val="en-US"/>
        </w:rPr>
        <w:t xml:space="preserve">bioinformatic analysis of </w:t>
      </w:r>
      <w:r w:rsidR="005B251A" w:rsidRPr="007D4B20">
        <w:rPr>
          <w:lang w:val="en-AU"/>
        </w:rPr>
        <w:t>publicly available, raw data from small RNA high-throughput sequencing studies</w:t>
      </w:r>
      <w:r w:rsidR="007F10B6" w:rsidRPr="007D4B20">
        <w:rPr>
          <w:lang w:val="en-AU"/>
        </w:rPr>
        <w:t>.</w:t>
      </w:r>
      <w:r w:rsidR="00166426">
        <w:rPr>
          <w:lang w:val="en-AU"/>
        </w:rPr>
        <w:t xml:space="preserve"> </w:t>
      </w:r>
      <w:r w:rsidR="00416FEE">
        <w:t>Th</w:t>
      </w:r>
      <w:r w:rsidR="00166426">
        <w:t>e authors also used bioinformatic analysis to predict potential human gene targets for the five most abundant plant miRNAs</w:t>
      </w:r>
      <w:r w:rsidR="008414E9">
        <w:t xml:space="preserve"> </w:t>
      </w:r>
      <w:r w:rsidR="00416FEE">
        <w:t xml:space="preserve">and identified </w:t>
      </w:r>
      <w:r w:rsidR="00166426">
        <w:t>1,282 unique human mRNAs</w:t>
      </w:r>
      <w:r w:rsidR="00416FEE">
        <w:t>.</w:t>
      </w:r>
    </w:p>
    <w:p w14:paraId="4D85872D" w14:textId="77777777" w:rsidR="0043045B" w:rsidRPr="00A21632" w:rsidRDefault="0043045B" w:rsidP="00465864">
      <w:pPr>
        <w:autoSpaceDE w:val="0"/>
        <w:autoSpaceDN w:val="0"/>
        <w:adjustRightInd w:val="0"/>
        <w:rPr>
          <w:rFonts w:cs="Arial"/>
          <w:szCs w:val="22"/>
          <w:lang w:val="en-US"/>
        </w:rPr>
      </w:pPr>
    </w:p>
    <w:p w14:paraId="4D85872E" w14:textId="77777777" w:rsidR="00416FEE" w:rsidRDefault="00416FEE" w:rsidP="00F025AD">
      <w:pPr>
        <w:autoSpaceDE w:val="0"/>
        <w:autoSpaceDN w:val="0"/>
        <w:adjustRightInd w:val="0"/>
        <w:rPr>
          <w:rFonts w:cs="Arial"/>
          <w:szCs w:val="22"/>
          <w:lang w:val="en-US"/>
        </w:rPr>
      </w:pPr>
      <w:r>
        <w:rPr>
          <w:rFonts w:cs="Arial"/>
          <w:lang w:val="en-US"/>
        </w:rPr>
        <w:t xml:space="preserve">The </w:t>
      </w:r>
      <w:r w:rsidR="00CB220F">
        <w:rPr>
          <w:rFonts w:cs="Arial"/>
          <w:lang w:val="en-US"/>
        </w:rPr>
        <w:t>proposal</w:t>
      </w:r>
      <w:r w:rsidR="006C1AF3">
        <w:rPr>
          <w:rFonts w:cs="Arial"/>
          <w:lang w:val="en-US"/>
        </w:rPr>
        <w:t xml:space="preserve"> </w:t>
      </w:r>
      <w:r>
        <w:rPr>
          <w:rFonts w:cs="Arial"/>
          <w:lang w:val="en-US"/>
        </w:rPr>
        <w:t xml:space="preserve">that ingested small RNAs can exert biological effects in humans is </w:t>
      </w:r>
      <w:r w:rsidR="00991F28">
        <w:rPr>
          <w:rFonts w:cs="Arial"/>
          <w:lang w:val="en-US"/>
        </w:rPr>
        <w:t xml:space="preserve">both </w:t>
      </w:r>
      <w:r>
        <w:rPr>
          <w:rFonts w:cs="Arial"/>
          <w:lang w:val="en-US"/>
        </w:rPr>
        <w:t>controversial</w:t>
      </w:r>
      <w:r w:rsidR="00991F28">
        <w:rPr>
          <w:rFonts w:cs="Arial"/>
          <w:lang w:val="en-US"/>
        </w:rPr>
        <w:t xml:space="preserve"> and highly speculative</w:t>
      </w:r>
      <w:r w:rsidR="00E06826">
        <w:rPr>
          <w:rFonts w:cs="Arial"/>
          <w:lang w:val="en-US"/>
        </w:rPr>
        <w:t xml:space="preserve"> and has been </w:t>
      </w:r>
      <w:r w:rsidR="00153B0B">
        <w:rPr>
          <w:rFonts w:cs="Arial"/>
          <w:lang w:val="en-US"/>
        </w:rPr>
        <w:t xml:space="preserve">previously </w:t>
      </w:r>
      <w:r w:rsidR="00E06826">
        <w:rPr>
          <w:rFonts w:cs="Arial"/>
          <w:lang w:val="en-US"/>
        </w:rPr>
        <w:t xml:space="preserve">discussed by FSANZ </w:t>
      </w:r>
      <w:r w:rsidR="00E06826">
        <w:rPr>
          <w:lang w:val="en-US" w:bidi="ar-SA"/>
        </w:rPr>
        <w:fldChar w:fldCharType="begin"/>
      </w:r>
      <w:r w:rsidR="004B76CD">
        <w:rPr>
          <w:lang w:val="en-US" w:bidi="ar-SA"/>
        </w:rPr>
        <w:instrText xml:space="preserve"> ADDIN REFMGR.CITE &lt;Refman&gt;&lt;Cite&gt;&lt;Author&gt;FSANZ&lt;/Author&gt;&lt;Year&gt;2013&lt;/Year&gt;&lt;RecNum&gt;1802&lt;/RecNum&gt;&lt;IDText&gt;Response to Heinemann et al on the regulation of GM crops and foods developed using gene silencing&lt;/IDText&gt;&lt;MDL Ref_Type="Online Source"&gt;&lt;Ref_Type&gt;Online Source&lt;/Ref_Type&gt;&lt;Ref_ID&gt;1802&lt;/Ref_ID&gt;&lt;Title_Primary&gt;Response to Heinemann &lt;i&gt;et al&lt;/i&gt; on the regulation of GM crops and foods developed using gene silencing&lt;/Title_Primary&gt;&lt;Authors_Primary&gt;FSANZ&lt;/Authors_Primary&gt;&lt;Date_Primary&gt;2013&lt;/Date_Primary&gt;&lt;Reprint&gt;Not in File&lt;/Reprint&gt;&lt;Publisher&gt;Food Standards Australia New Zealand&lt;/Publisher&gt;&lt;Web_URL&gt;&lt;u&gt;http://www.foodstandards.gov.au/consumer/gmfood/adverse/Pages/default.aspx&lt;/u&gt;&lt;/Web_URL&gt;&lt;ZZ_WorkformID&gt;31&lt;/ZZ_WorkformID&gt;&lt;/MDL&gt;&lt;/Cite&gt;&lt;/Refman&gt;</w:instrText>
      </w:r>
      <w:r w:rsidR="00E06826">
        <w:rPr>
          <w:lang w:val="en-US" w:bidi="ar-SA"/>
        </w:rPr>
        <w:fldChar w:fldCharType="separate"/>
      </w:r>
      <w:r w:rsidR="003D5B92">
        <w:rPr>
          <w:noProof/>
          <w:lang w:val="en-US" w:bidi="ar-SA"/>
        </w:rPr>
        <w:t>(FSANZ 2013b)</w:t>
      </w:r>
      <w:r w:rsidR="00E06826">
        <w:rPr>
          <w:lang w:val="en-US" w:bidi="ar-SA"/>
        </w:rPr>
        <w:fldChar w:fldCharType="end"/>
      </w:r>
      <w:r w:rsidR="006D5EE8">
        <w:rPr>
          <w:lang w:val="en-US" w:bidi="ar-SA"/>
        </w:rPr>
        <w:t>.</w:t>
      </w:r>
      <w:r>
        <w:rPr>
          <w:rFonts w:cs="Arial"/>
          <w:lang w:val="en-US"/>
        </w:rPr>
        <w:t xml:space="preserve"> In relation to actual uptake, a number of conflicting pieces of evidence exist</w:t>
      </w:r>
      <w:r w:rsidR="001D7F2F">
        <w:rPr>
          <w:rFonts w:cs="Arial"/>
          <w:lang w:val="en-US"/>
        </w:rPr>
        <w:t xml:space="preserve"> and it therefore </w:t>
      </w:r>
      <w:r w:rsidR="00153B0B">
        <w:rPr>
          <w:rFonts w:cs="Arial"/>
          <w:lang w:val="en-US"/>
        </w:rPr>
        <w:t xml:space="preserve">continues to </w:t>
      </w:r>
      <w:r>
        <w:rPr>
          <w:rFonts w:cs="Arial"/>
          <w:lang w:val="en-US"/>
        </w:rPr>
        <w:t>remain an area of uncertainty</w:t>
      </w:r>
      <w:r w:rsidR="001D7F2F">
        <w:rPr>
          <w:rFonts w:cs="Arial"/>
          <w:lang w:val="en-US"/>
        </w:rPr>
        <w:t>.</w:t>
      </w:r>
      <w:r w:rsidR="00FE3AD6">
        <w:rPr>
          <w:rFonts w:cs="Arial"/>
          <w:szCs w:val="22"/>
          <w:lang w:val="en-US"/>
        </w:rPr>
        <w:t xml:space="preserve"> While t</w:t>
      </w:r>
      <w:r>
        <w:rPr>
          <w:rFonts w:cs="Arial"/>
          <w:lang w:val="en-US"/>
        </w:rPr>
        <w:t xml:space="preserve">he </w:t>
      </w:r>
      <w:r w:rsidR="00FE3AD6">
        <w:rPr>
          <w:rFonts w:cs="Arial"/>
          <w:lang w:val="en-US"/>
        </w:rPr>
        <w:t>number of negative studies published so far suggests</w:t>
      </w:r>
      <w:r w:rsidR="001D7F2F">
        <w:rPr>
          <w:rFonts w:cs="Arial"/>
          <w:lang w:val="en-US"/>
        </w:rPr>
        <w:t xml:space="preserve"> </w:t>
      </w:r>
      <w:r>
        <w:rPr>
          <w:rFonts w:cs="Arial"/>
          <w:lang w:val="en-US"/>
        </w:rPr>
        <w:t>that uptake of ingested small RNAs is not a widespread phenomenon</w:t>
      </w:r>
      <w:r w:rsidR="00FE3AD6">
        <w:rPr>
          <w:rFonts w:cs="Arial"/>
          <w:lang w:val="en-US"/>
        </w:rPr>
        <w:t xml:space="preserve"> </w:t>
      </w:r>
      <w:r w:rsidR="00153B0B">
        <w:rPr>
          <w:rFonts w:cs="Arial"/>
          <w:lang w:val="en-US"/>
        </w:rPr>
        <w:t xml:space="preserve">in mammals including humans, </w:t>
      </w:r>
      <w:r w:rsidR="00FE3AD6">
        <w:rPr>
          <w:rFonts w:cs="Arial"/>
          <w:lang w:val="en-US"/>
        </w:rPr>
        <w:t>it cannot be completely ruled out</w:t>
      </w:r>
      <w:r>
        <w:rPr>
          <w:rFonts w:cs="Arial"/>
          <w:lang w:val="en-US"/>
        </w:rPr>
        <w:t xml:space="preserve">. </w:t>
      </w:r>
      <w:r w:rsidR="00B53CCF">
        <w:rPr>
          <w:rFonts w:cs="Arial"/>
          <w:lang w:val="en-US"/>
        </w:rPr>
        <w:t>However, f</w:t>
      </w:r>
      <w:r w:rsidR="0076647C">
        <w:rPr>
          <w:rFonts w:cs="Arial"/>
          <w:lang w:val="en-US"/>
        </w:rPr>
        <w:t>ollowing uptake, t</w:t>
      </w:r>
      <w:r w:rsidR="00FE3AD6">
        <w:rPr>
          <w:rFonts w:cs="Arial"/>
          <w:lang w:val="en-US"/>
        </w:rPr>
        <w:t xml:space="preserve">here are numerous </w:t>
      </w:r>
      <w:r w:rsidR="0076647C">
        <w:rPr>
          <w:rFonts w:cs="Arial"/>
          <w:lang w:val="en-US"/>
        </w:rPr>
        <w:t xml:space="preserve">conditions that need to be met and </w:t>
      </w:r>
      <w:r w:rsidR="00FE3AD6">
        <w:rPr>
          <w:rFonts w:cs="Arial"/>
          <w:lang w:val="en-US"/>
        </w:rPr>
        <w:t>biological barriers</w:t>
      </w:r>
      <w:r w:rsidR="0076647C">
        <w:rPr>
          <w:rFonts w:cs="Arial"/>
          <w:lang w:val="en-US"/>
        </w:rPr>
        <w:t xml:space="preserve"> to </w:t>
      </w:r>
      <w:r w:rsidR="00B53CCF">
        <w:rPr>
          <w:rFonts w:cs="Arial"/>
          <w:lang w:val="en-US"/>
        </w:rPr>
        <w:t xml:space="preserve">be </w:t>
      </w:r>
      <w:r w:rsidR="0076647C">
        <w:rPr>
          <w:rFonts w:cs="Arial"/>
          <w:lang w:val="en-US"/>
        </w:rPr>
        <w:t>overcome before an exogenous small RNA could exert a biological effect, including a</w:t>
      </w:r>
      <w:r w:rsidR="00153B0B">
        <w:rPr>
          <w:rFonts w:cs="Arial"/>
          <w:lang w:val="en-US"/>
        </w:rPr>
        <w:t xml:space="preserve"> potentially</w:t>
      </w:r>
      <w:r w:rsidR="0076647C">
        <w:rPr>
          <w:rFonts w:cs="Arial"/>
          <w:lang w:val="en-US"/>
        </w:rPr>
        <w:t xml:space="preserve"> adverse effect. </w:t>
      </w:r>
      <w:r w:rsidR="00CB220F">
        <w:rPr>
          <w:rFonts w:cs="Arial"/>
          <w:lang w:val="en-US"/>
        </w:rPr>
        <w:t>T</w:t>
      </w:r>
      <w:r w:rsidR="0076647C">
        <w:rPr>
          <w:rFonts w:cs="Arial"/>
          <w:lang w:val="en-US"/>
        </w:rPr>
        <w:t>he overwhelming evidence to</w:t>
      </w:r>
      <w:r w:rsidR="006C1AF3">
        <w:rPr>
          <w:rFonts w:cs="Arial"/>
          <w:lang w:val="en-US"/>
        </w:rPr>
        <w:t xml:space="preserve"> date suggests this is unlikely</w:t>
      </w:r>
      <w:r w:rsidR="0076647C">
        <w:rPr>
          <w:rFonts w:cs="Arial"/>
          <w:lang w:val="en-US"/>
        </w:rPr>
        <w:t xml:space="preserve"> and certainly no more likely for the small RNAs and dsRNAs produced in GM plants compared to the other small RNAs that are naturally abundant in the human diet.</w:t>
      </w:r>
    </w:p>
    <w:p w14:paraId="4D85872F" w14:textId="77777777" w:rsidR="00416FEE" w:rsidRDefault="00416FEE" w:rsidP="00F025AD">
      <w:pPr>
        <w:autoSpaceDE w:val="0"/>
        <w:autoSpaceDN w:val="0"/>
        <w:adjustRightInd w:val="0"/>
        <w:rPr>
          <w:rFonts w:cs="Arial"/>
          <w:szCs w:val="22"/>
          <w:lang w:val="en-US"/>
        </w:rPr>
      </w:pPr>
    </w:p>
    <w:p w14:paraId="4D858730" w14:textId="77777777" w:rsidR="00991F28" w:rsidRDefault="00CB220F" w:rsidP="00F025AD">
      <w:pPr>
        <w:autoSpaceDE w:val="0"/>
        <w:autoSpaceDN w:val="0"/>
        <w:adjustRightInd w:val="0"/>
        <w:rPr>
          <w:rFonts w:cs="Arial"/>
          <w:szCs w:val="22"/>
          <w:lang w:eastAsia="en-GB" w:bidi="ar-SA"/>
        </w:rPr>
      </w:pPr>
      <w:r>
        <w:rPr>
          <w:rFonts w:cs="Arial"/>
          <w:szCs w:val="22"/>
          <w:lang w:eastAsia="en-GB" w:bidi="ar-SA"/>
        </w:rPr>
        <w:t>T</w:t>
      </w:r>
      <w:r w:rsidR="00991F28">
        <w:rPr>
          <w:rFonts w:cs="Arial"/>
          <w:szCs w:val="22"/>
          <w:lang w:eastAsia="en-GB" w:bidi="ar-SA"/>
        </w:rPr>
        <w:t xml:space="preserve">here is </w:t>
      </w:r>
      <w:r w:rsidR="00991F28" w:rsidRPr="00D80A21">
        <w:rPr>
          <w:rFonts w:cs="Arial"/>
          <w:szCs w:val="22"/>
          <w:lang w:eastAsia="en-GB" w:bidi="ar-SA"/>
        </w:rPr>
        <w:t xml:space="preserve">no evidence </w:t>
      </w:r>
      <w:r w:rsidR="00991F28">
        <w:rPr>
          <w:rFonts w:cs="Arial"/>
          <w:szCs w:val="22"/>
          <w:lang w:eastAsia="en-GB" w:bidi="ar-SA"/>
        </w:rPr>
        <w:t xml:space="preserve">of harm to human health from </w:t>
      </w:r>
      <w:r w:rsidR="00991F28" w:rsidRPr="00D80A21">
        <w:rPr>
          <w:rFonts w:cs="Arial"/>
          <w:szCs w:val="22"/>
          <w:lang w:eastAsia="en-GB" w:bidi="ar-SA"/>
        </w:rPr>
        <w:t xml:space="preserve">ingested </w:t>
      </w:r>
      <w:r w:rsidR="00991F28">
        <w:rPr>
          <w:rFonts w:cs="Arial"/>
          <w:szCs w:val="22"/>
          <w:lang w:eastAsia="en-GB" w:bidi="ar-SA"/>
        </w:rPr>
        <w:t xml:space="preserve">small RNAs and </w:t>
      </w:r>
      <w:r w:rsidR="00991F28" w:rsidRPr="00D80A21">
        <w:rPr>
          <w:rFonts w:cs="Arial"/>
          <w:szCs w:val="22"/>
          <w:lang w:eastAsia="en-GB" w:bidi="ar-SA"/>
        </w:rPr>
        <w:t>dsRNA</w:t>
      </w:r>
      <w:r w:rsidR="00991F28">
        <w:rPr>
          <w:rFonts w:cs="Arial"/>
          <w:szCs w:val="22"/>
          <w:lang w:eastAsia="en-GB" w:bidi="ar-SA"/>
        </w:rPr>
        <w:t>s from either GM foods or non-GM foods.</w:t>
      </w:r>
    </w:p>
    <w:p w14:paraId="4D858731" w14:textId="77777777" w:rsidR="00991F28" w:rsidRDefault="00991F28" w:rsidP="00F025AD">
      <w:pPr>
        <w:autoSpaceDE w:val="0"/>
        <w:autoSpaceDN w:val="0"/>
        <w:adjustRightInd w:val="0"/>
        <w:rPr>
          <w:rFonts w:cs="Arial"/>
          <w:szCs w:val="22"/>
          <w:lang w:eastAsia="en-GB" w:bidi="ar-SA"/>
        </w:rPr>
      </w:pPr>
    </w:p>
    <w:p w14:paraId="4D858732" w14:textId="77777777" w:rsidR="00055A50" w:rsidRPr="00BF5C74" w:rsidRDefault="00991F28" w:rsidP="00BF5C74">
      <w:pPr>
        <w:autoSpaceDE w:val="0"/>
        <w:autoSpaceDN w:val="0"/>
        <w:adjustRightInd w:val="0"/>
        <w:rPr>
          <w:rFonts w:cs="Arial"/>
          <w:szCs w:val="22"/>
          <w:lang w:val="en-US"/>
        </w:rPr>
      </w:pPr>
      <w:r>
        <w:rPr>
          <w:rFonts w:cs="Arial"/>
          <w:szCs w:val="22"/>
          <w:lang w:eastAsia="en-GB" w:bidi="ar-SA"/>
        </w:rPr>
        <w:t>FSANZ will continue to monitor the scientific literature for any developments in relation to RNAi technology which may be relevant to the GM food safety assessment.</w:t>
      </w:r>
    </w:p>
    <w:p w14:paraId="4D858733" w14:textId="77777777" w:rsidR="0036749A" w:rsidRPr="00055A50" w:rsidRDefault="003D4173" w:rsidP="00B03EC3">
      <w:pPr>
        <w:pStyle w:val="Heading5"/>
        <w:ind w:left="0" w:firstLine="0"/>
        <w:rPr>
          <w:lang w:val="en-US"/>
        </w:rPr>
      </w:pPr>
      <w:r w:rsidRPr="00055A50">
        <w:rPr>
          <w:lang w:val="en-US"/>
        </w:rPr>
        <w:t>A recent study by</w:t>
      </w:r>
      <w:r w:rsidR="0036749A" w:rsidRPr="00055A50">
        <w:rPr>
          <w:lang w:val="en-US"/>
        </w:rPr>
        <w:t xml:space="preserve"> </w:t>
      </w:r>
      <w:proofErr w:type="spellStart"/>
      <w:r w:rsidR="0036749A" w:rsidRPr="00055A50">
        <w:rPr>
          <w:lang w:val="en-US"/>
        </w:rPr>
        <w:t>Petrick</w:t>
      </w:r>
      <w:proofErr w:type="spellEnd"/>
      <w:r w:rsidR="0036749A" w:rsidRPr="00055A50">
        <w:rPr>
          <w:lang w:val="en-US"/>
        </w:rPr>
        <w:t xml:space="preserve"> et al </w:t>
      </w:r>
      <w:r w:rsidR="00B859B0" w:rsidRPr="00055A50">
        <w:rPr>
          <w:lang w:val="en-US"/>
        </w:rPr>
        <w:t>(2015)</w:t>
      </w:r>
      <w:r w:rsidR="00B859B0" w:rsidRPr="00055A50">
        <w:rPr>
          <w:rStyle w:val="FootnoteReference"/>
          <w:rFonts w:cs="Arial"/>
          <w:u w:val="single"/>
          <w:lang w:val="en-US"/>
        </w:rPr>
        <w:footnoteReference w:id="6"/>
      </w:r>
      <w:r w:rsidR="00B859B0" w:rsidRPr="00055A50">
        <w:rPr>
          <w:lang w:val="en-US"/>
        </w:rPr>
        <w:t xml:space="preserve"> failed to demonstrate that ingested dsRNA has no effect on mammals</w:t>
      </w:r>
      <w:r w:rsidR="00EC28AA" w:rsidRPr="00055A50">
        <w:rPr>
          <w:lang w:val="en-US"/>
        </w:rPr>
        <w:t xml:space="preserve">. </w:t>
      </w:r>
      <w:r w:rsidR="003D14A9" w:rsidRPr="00055A50">
        <w:rPr>
          <w:lang w:val="en-US"/>
        </w:rPr>
        <w:t xml:space="preserve">The INBI submission </w:t>
      </w:r>
      <w:r w:rsidR="00EC28AA" w:rsidRPr="00055A50">
        <w:rPr>
          <w:lang w:val="en-US"/>
        </w:rPr>
        <w:t>outline</w:t>
      </w:r>
      <w:r w:rsidR="00E02960" w:rsidRPr="00055A50">
        <w:rPr>
          <w:lang w:val="en-US"/>
        </w:rPr>
        <w:t>s</w:t>
      </w:r>
      <w:r w:rsidR="00145DCC" w:rsidRPr="00055A50">
        <w:rPr>
          <w:lang w:val="en-US"/>
        </w:rPr>
        <w:t xml:space="preserve"> a number of flaws they perceive with the study.</w:t>
      </w:r>
    </w:p>
    <w:p w14:paraId="4D858734" w14:textId="1BEAAA8C" w:rsidR="00ED70BB" w:rsidRDefault="005C20DC" w:rsidP="005C0763">
      <w:pPr>
        <w:widowControl/>
        <w:autoSpaceDE w:val="0"/>
        <w:autoSpaceDN w:val="0"/>
        <w:adjustRightInd w:val="0"/>
        <w:rPr>
          <w:rFonts w:cs="Arial"/>
          <w:szCs w:val="22"/>
          <w:lang w:eastAsia="en-GB" w:bidi="ar-SA"/>
        </w:rPr>
      </w:pPr>
      <w:proofErr w:type="spellStart"/>
      <w:r>
        <w:rPr>
          <w:rFonts w:cs="Arial"/>
          <w:szCs w:val="22"/>
          <w:lang w:val="en-US"/>
        </w:rPr>
        <w:t>Petrick</w:t>
      </w:r>
      <w:proofErr w:type="spellEnd"/>
      <w:r>
        <w:rPr>
          <w:rFonts w:cs="Arial"/>
          <w:szCs w:val="22"/>
          <w:lang w:val="en-US"/>
        </w:rPr>
        <w:t xml:space="preserve"> et al (2015) </w:t>
      </w:r>
      <w:r w:rsidR="00C14CDD">
        <w:rPr>
          <w:rFonts w:cs="Arial"/>
          <w:szCs w:val="22"/>
          <w:lang w:val="en-US"/>
        </w:rPr>
        <w:t xml:space="preserve">undertook a mouse toxicity study to test the biological barriers to the uptake and activity of a </w:t>
      </w:r>
      <w:r w:rsidR="00466DE9">
        <w:rPr>
          <w:rFonts w:cs="Arial"/>
          <w:szCs w:val="22"/>
          <w:lang w:val="en-US"/>
        </w:rPr>
        <w:t xml:space="preserve">synthetic </w:t>
      </w:r>
      <w:r w:rsidR="00C14CDD">
        <w:rPr>
          <w:rFonts w:cs="Arial"/>
          <w:szCs w:val="22"/>
          <w:lang w:val="en-US"/>
        </w:rPr>
        <w:t xml:space="preserve">dsRNA and </w:t>
      </w:r>
      <w:r w:rsidR="00466DE9">
        <w:rPr>
          <w:rFonts w:cs="Arial"/>
          <w:szCs w:val="22"/>
          <w:lang w:val="en-US"/>
        </w:rPr>
        <w:t>synthetic</w:t>
      </w:r>
      <w:r w:rsidR="00C14CDD">
        <w:rPr>
          <w:rFonts w:cs="Arial"/>
          <w:szCs w:val="22"/>
          <w:lang w:val="en-US"/>
        </w:rPr>
        <w:t xml:space="preserve"> siRNA</w:t>
      </w:r>
      <w:r w:rsidR="00466DE9">
        <w:rPr>
          <w:rFonts w:cs="Arial"/>
          <w:szCs w:val="22"/>
          <w:lang w:val="en-US"/>
        </w:rPr>
        <w:t>s</w:t>
      </w:r>
      <w:r w:rsidR="00C14CDD">
        <w:rPr>
          <w:rFonts w:cs="Arial"/>
          <w:szCs w:val="22"/>
          <w:lang w:val="en-US"/>
        </w:rPr>
        <w:t xml:space="preserve"> designed specifically to target the mouse</w:t>
      </w:r>
      <w:r w:rsidR="00514C3F">
        <w:rPr>
          <w:rFonts w:cs="Arial"/>
          <w:szCs w:val="22"/>
          <w:lang w:val="en-US"/>
        </w:rPr>
        <w:t xml:space="preserve"> </w:t>
      </w:r>
      <w:r w:rsidR="009E6DD4">
        <w:rPr>
          <w:rFonts w:cs="Arial"/>
          <w:szCs w:val="22"/>
          <w:lang w:val="en-US"/>
        </w:rPr>
        <w:t>orthologue</w:t>
      </w:r>
      <w:r w:rsidR="00514C3F">
        <w:rPr>
          <w:rFonts w:cs="Arial"/>
          <w:szCs w:val="22"/>
          <w:lang w:val="en-US"/>
        </w:rPr>
        <w:t xml:space="preserve"> of the</w:t>
      </w:r>
      <w:r w:rsidR="00C14CDD">
        <w:rPr>
          <w:rFonts w:cs="Arial"/>
          <w:szCs w:val="22"/>
          <w:lang w:val="en-US"/>
        </w:rPr>
        <w:t xml:space="preserve"> </w:t>
      </w:r>
      <w:r w:rsidR="00514C3F">
        <w:rPr>
          <w:rFonts w:cs="Arial"/>
          <w:szCs w:val="22"/>
          <w:lang w:val="en-US"/>
        </w:rPr>
        <w:t xml:space="preserve">vacuolar </w:t>
      </w:r>
      <w:r w:rsidR="00C14CDD" w:rsidRPr="000F7024">
        <w:rPr>
          <w:rFonts w:cs="Arial"/>
          <w:szCs w:val="22"/>
          <w:lang w:val="en-US"/>
        </w:rPr>
        <w:t>ATPase</w:t>
      </w:r>
      <w:r w:rsidR="00C14CDD">
        <w:rPr>
          <w:rFonts w:cs="Arial"/>
          <w:szCs w:val="22"/>
          <w:lang w:val="en-US"/>
        </w:rPr>
        <w:t xml:space="preserve"> gene (a</w:t>
      </w:r>
      <w:r w:rsidR="00514C3F">
        <w:rPr>
          <w:rFonts w:cs="Arial"/>
          <w:szCs w:val="22"/>
          <w:lang w:val="en-US"/>
        </w:rPr>
        <w:t>n established</w:t>
      </w:r>
      <w:r w:rsidR="00C14CDD">
        <w:rPr>
          <w:rFonts w:cs="Arial"/>
          <w:szCs w:val="22"/>
          <w:lang w:val="en-US"/>
        </w:rPr>
        <w:t xml:space="preserve"> target </w:t>
      </w:r>
      <w:r w:rsidR="00514C3F">
        <w:rPr>
          <w:rFonts w:cs="Arial"/>
          <w:szCs w:val="22"/>
          <w:lang w:val="en-US"/>
        </w:rPr>
        <w:t>for the</w:t>
      </w:r>
      <w:r w:rsidR="00466DE9">
        <w:rPr>
          <w:rFonts w:cs="Arial"/>
          <w:szCs w:val="22"/>
          <w:lang w:val="en-US"/>
        </w:rPr>
        <w:t xml:space="preserve"> </w:t>
      </w:r>
      <w:r w:rsidR="00C14CDD">
        <w:rPr>
          <w:rFonts w:cs="Arial"/>
          <w:szCs w:val="22"/>
          <w:lang w:val="en-US"/>
        </w:rPr>
        <w:t xml:space="preserve">control </w:t>
      </w:r>
      <w:r w:rsidR="005C0763">
        <w:rPr>
          <w:rFonts w:cs="Arial"/>
          <w:szCs w:val="22"/>
          <w:lang w:val="en-US"/>
        </w:rPr>
        <w:t xml:space="preserve">of corn </w:t>
      </w:r>
      <w:r w:rsidR="00C14CDD">
        <w:rPr>
          <w:rFonts w:cs="Arial"/>
          <w:szCs w:val="22"/>
          <w:lang w:val="en-US"/>
        </w:rPr>
        <w:t>rootworm)</w:t>
      </w:r>
      <w:r w:rsidR="00C129EB">
        <w:rPr>
          <w:rFonts w:cs="Arial"/>
          <w:szCs w:val="22"/>
          <w:lang w:val="en-US"/>
        </w:rPr>
        <w:t>.</w:t>
      </w:r>
      <w:r w:rsidR="004F7D3A">
        <w:rPr>
          <w:rFonts w:cs="Arial"/>
          <w:szCs w:val="22"/>
          <w:lang w:val="en-US"/>
        </w:rPr>
        <w:t xml:space="preserve"> The ability of the siRNAs to suppress the activity of the target mouse gene was confirmed in experiments using mouse kidney cells</w:t>
      </w:r>
      <w:r w:rsidR="008E31F0">
        <w:rPr>
          <w:rFonts w:cs="Arial"/>
          <w:szCs w:val="22"/>
          <w:lang w:val="en-US"/>
        </w:rPr>
        <w:t xml:space="preserve">. </w:t>
      </w:r>
      <w:r w:rsidR="00CB1099">
        <w:rPr>
          <w:rFonts w:cs="Arial"/>
          <w:szCs w:val="22"/>
          <w:lang w:val="en-US"/>
        </w:rPr>
        <w:t>Groups of mice were gavaged daily with either the siRNAs or the dsRNA at doses up to 48 mg/kg bodyweight/day and 64 mg/kg bodyweight/day, respectively, for 28 days</w:t>
      </w:r>
      <w:r w:rsidR="00CB1099" w:rsidRPr="00E340FC">
        <w:rPr>
          <w:rFonts w:cs="Arial"/>
          <w:szCs w:val="22"/>
          <w:lang w:val="en-US"/>
        </w:rPr>
        <w:t>.</w:t>
      </w:r>
      <w:r w:rsidR="008E31F0" w:rsidRPr="00E340FC">
        <w:rPr>
          <w:rFonts w:cs="Arial"/>
          <w:szCs w:val="22"/>
          <w:lang w:val="en-US"/>
        </w:rPr>
        <w:t xml:space="preserve"> </w:t>
      </w:r>
      <w:r w:rsidR="00DE796E" w:rsidRPr="00E340FC">
        <w:rPr>
          <w:rFonts w:cs="Arial"/>
          <w:szCs w:val="22"/>
          <w:lang w:val="en-US"/>
        </w:rPr>
        <w:t xml:space="preserve">These doses were considered to be at levels several orders of magnitude higher than would occur in </w:t>
      </w:r>
      <w:r w:rsidR="00E02960" w:rsidRPr="00E340FC">
        <w:rPr>
          <w:rFonts w:cs="Arial"/>
          <w:szCs w:val="22"/>
          <w:lang w:eastAsia="en-GB" w:bidi="ar-SA"/>
        </w:rPr>
        <w:t>products derived from GM crops currently under development.</w:t>
      </w:r>
      <w:r w:rsidR="00CB1099" w:rsidRPr="00E340FC">
        <w:rPr>
          <w:rFonts w:cs="Arial"/>
          <w:szCs w:val="22"/>
          <w:lang w:val="en-US"/>
        </w:rPr>
        <w:t xml:space="preserve">The authors reported </w:t>
      </w:r>
      <w:r w:rsidR="005C0763" w:rsidRPr="00E340FC">
        <w:rPr>
          <w:rFonts w:cs="Arial"/>
          <w:szCs w:val="22"/>
          <w:lang w:val="en-US"/>
        </w:rPr>
        <w:t>t</w:t>
      </w:r>
      <w:r w:rsidR="005C0763" w:rsidRPr="00E340FC">
        <w:rPr>
          <w:rFonts w:cs="Arial"/>
          <w:szCs w:val="22"/>
          <w:lang w:eastAsia="en-GB" w:bidi="ar-SA"/>
        </w:rPr>
        <w:t>here were no treatment-related effects on body weight, food consumption, clinical observations</w:t>
      </w:r>
      <w:r w:rsidR="005C0763" w:rsidRPr="00E02960">
        <w:rPr>
          <w:rFonts w:cs="Arial"/>
          <w:szCs w:val="22"/>
          <w:lang w:eastAsia="en-GB" w:bidi="ar-SA"/>
        </w:rPr>
        <w:t>, clinical chemistry</w:t>
      </w:r>
      <w:r w:rsidR="005C0763" w:rsidRPr="00DE796E">
        <w:rPr>
          <w:rFonts w:cs="Arial"/>
          <w:szCs w:val="22"/>
          <w:lang w:eastAsia="en-GB" w:bidi="ar-SA"/>
        </w:rPr>
        <w:t>, h</w:t>
      </w:r>
      <w:r w:rsidR="00B430BE">
        <w:rPr>
          <w:rFonts w:cs="Arial"/>
          <w:szCs w:val="22"/>
          <w:lang w:eastAsia="en-GB" w:bidi="ar-SA"/>
        </w:rPr>
        <w:t>a</w:t>
      </w:r>
      <w:r w:rsidR="005C0763" w:rsidRPr="00DE796E">
        <w:rPr>
          <w:rFonts w:cs="Arial"/>
          <w:szCs w:val="22"/>
          <w:lang w:eastAsia="en-GB" w:bidi="ar-SA"/>
        </w:rPr>
        <w:t>ematology, gross patholog</w:t>
      </w:r>
      <w:r w:rsidR="005C0763" w:rsidRPr="000F7024">
        <w:rPr>
          <w:rFonts w:cs="Arial"/>
          <w:szCs w:val="22"/>
          <w:lang w:eastAsia="en-GB" w:bidi="ar-SA"/>
        </w:rPr>
        <w:t>y, or histopathology endpoints.</w:t>
      </w:r>
      <w:r w:rsidR="005C0763">
        <w:rPr>
          <w:rFonts w:cs="Arial"/>
          <w:szCs w:val="22"/>
          <w:lang w:eastAsia="en-GB" w:bidi="ar-SA"/>
        </w:rPr>
        <w:t xml:space="preserve"> There was also no treatment related suppression of the vacuolar ATPase gene in </w:t>
      </w:r>
      <w:r w:rsidR="005C0763" w:rsidRPr="00DE796E">
        <w:rPr>
          <w:rFonts w:cs="Arial"/>
          <w:szCs w:val="22"/>
          <w:lang w:eastAsia="en-GB" w:bidi="ar-SA"/>
        </w:rPr>
        <w:t>selected gastrointestinal tract and systemic</w:t>
      </w:r>
      <w:r w:rsidR="005C0763">
        <w:rPr>
          <w:rFonts w:cs="Arial"/>
          <w:szCs w:val="22"/>
          <w:lang w:eastAsia="en-GB" w:bidi="ar-SA"/>
        </w:rPr>
        <w:t xml:space="preserve"> </w:t>
      </w:r>
      <w:r w:rsidR="005C0763" w:rsidRPr="00DE796E">
        <w:rPr>
          <w:rFonts w:cs="Arial"/>
          <w:szCs w:val="22"/>
          <w:lang w:eastAsia="en-GB" w:bidi="ar-SA"/>
        </w:rPr>
        <w:t xml:space="preserve">tissues. </w:t>
      </w:r>
      <w:r w:rsidR="00ED70BB">
        <w:rPr>
          <w:rFonts w:cs="Arial"/>
          <w:szCs w:val="22"/>
          <w:lang w:eastAsia="en-GB" w:bidi="ar-SA"/>
        </w:rPr>
        <w:br w:type="page"/>
      </w:r>
    </w:p>
    <w:p w14:paraId="4D858735" w14:textId="77777777" w:rsidR="00090647" w:rsidRPr="00090647" w:rsidRDefault="005C0763" w:rsidP="00090647">
      <w:pPr>
        <w:widowControl/>
        <w:autoSpaceDE w:val="0"/>
        <w:autoSpaceDN w:val="0"/>
        <w:adjustRightInd w:val="0"/>
        <w:rPr>
          <w:rFonts w:cs="Arial"/>
          <w:szCs w:val="22"/>
          <w:lang w:val="en-US"/>
        </w:rPr>
      </w:pPr>
      <w:r w:rsidRPr="00DE796E">
        <w:rPr>
          <w:rFonts w:cs="Arial"/>
          <w:szCs w:val="22"/>
          <w:lang w:eastAsia="en-GB" w:bidi="ar-SA"/>
        </w:rPr>
        <w:lastRenderedPageBreak/>
        <w:t>The</w:t>
      </w:r>
      <w:r w:rsidR="000F7024">
        <w:rPr>
          <w:rFonts w:cs="Arial"/>
          <w:szCs w:val="22"/>
          <w:lang w:eastAsia="en-GB" w:bidi="ar-SA"/>
        </w:rPr>
        <w:t xml:space="preserve"> authors claim the </w:t>
      </w:r>
      <w:r w:rsidRPr="00DE796E">
        <w:rPr>
          <w:rFonts w:cs="Arial"/>
          <w:szCs w:val="22"/>
          <w:lang w:eastAsia="en-GB" w:bidi="ar-SA"/>
        </w:rPr>
        <w:t xml:space="preserve">results of this study indicate that orally ingested dsRNAs, even those </w:t>
      </w:r>
      <w:r w:rsidR="000F7024">
        <w:rPr>
          <w:rFonts w:cs="Arial"/>
          <w:szCs w:val="22"/>
          <w:lang w:eastAsia="en-GB" w:bidi="ar-SA"/>
        </w:rPr>
        <w:t xml:space="preserve">designed to </w:t>
      </w:r>
      <w:r w:rsidR="0038123D">
        <w:rPr>
          <w:rFonts w:cs="Arial"/>
          <w:szCs w:val="22"/>
          <w:lang w:eastAsia="en-GB" w:bidi="ar-SA"/>
        </w:rPr>
        <w:t xml:space="preserve">deliberately </w:t>
      </w:r>
      <w:r w:rsidR="000F7024" w:rsidRPr="000F7024">
        <w:rPr>
          <w:rFonts w:cs="Arial"/>
          <w:szCs w:val="22"/>
          <w:lang w:eastAsia="en-GB" w:bidi="ar-SA"/>
        </w:rPr>
        <w:t>target</w:t>
      </w:r>
      <w:r w:rsidRPr="00DE796E">
        <w:rPr>
          <w:rFonts w:cs="Arial"/>
          <w:szCs w:val="22"/>
          <w:lang w:eastAsia="en-GB" w:bidi="ar-SA"/>
        </w:rPr>
        <w:t xml:space="preserve"> a gene in </w:t>
      </w:r>
      <w:r w:rsidR="0038123D">
        <w:rPr>
          <w:rFonts w:cs="Arial"/>
          <w:szCs w:val="22"/>
          <w:lang w:eastAsia="en-GB" w:bidi="ar-SA"/>
        </w:rPr>
        <w:t>a</w:t>
      </w:r>
      <w:r w:rsidRPr="00DE796E">
        <w:rPr>
          <w:rFonts w:cs="Arial"/>
          <w:szCs w:val="22"/>
          <w:lang w:eastAsia="en-GB" w:bidi="ar-SA"/>
        </w:rPr>
        <w:t xml:space="preserve"> test </w:t>
      </w:r>
      <w:r w:rsidR="0038123D">
        <w:rPr>
          <w:rFonts w:cs="Arial"/>
          <w:szCs w:val="22"/>
          <w:lang w:eastAsia="en-GB" w:bidi="ar-SA"/>
        </w:rPr>
        <w:t xml:space="preserve">mammalian </w:t>
      </w:r>
      <w:r w:rsidRPr="00DE796E">
        <w:rPr>
          <w:rFonts w:cs="Arial"/>
          <w:szCs w:val="22"/>
          <w:lang w:eastAsia="en-GB" w:bidi="ar-SA"/>
        </w:rPr>
        <w:t>species,</w:t>
      </w:r>
      <w:r w:rsidR="000F7024">
        <w:rPr>
          <w:rFonts w:cs="Arial"/>
          <w:szCs w:val="22"/>
          <w:lang w:eastAsia="en-GB" w:bidi="ar-SA"/>
        </w:rPr>
        <w:t xml:space="preserve"> </w:t>
      </w:r>
      <w:r w:rsidRPr="00DE796E">
        <w:rPr>
          <w:rFonts w:cs="Arial"/>
          <w:szCs w:val="22"/>
          <w:lang w:eastAsia="en-GB" w:bidi="ar-SA"/>
        </w:rPr>
        <w:t xml:space="preserve">do not produce adverse health effects </w:t>
      </w:r>
      <w:r w:rsidR="000F7024">
        <w:rPr>
          <w:rFonts w:cs="Arial"/>
          <w:szCs w:val="22"/>
          <w:lang w:eastAsia="en-GB" w:bidi="ar-SA"/>
        </w:rPr>
        <w:t>even at extremely high dose levels</w:t>
      </w:r>
      <w:r w:rsidRPr="00DE796E">
        <w:rPr>
          <w:rFonts w:cs="Arial"/>
          <w:szCs w:val="22"/>
          <w:lang w:eastAsia="en-GB" w:bidi="ar-SA"/>
        </w:rPr>
        <w:t>.</w:t>
      </w:r>
      <w:r w:rsidR="00090647">
        <w:rPr>
          <w:rFonts w:cs="Arial"/>
          <w:szCs w:val="22"/>
          <w:lang w:eastAsia="en-GB" w:bidi="ar-SA"/>
        </w:rPr>
        <w:t xml:space="preserve"> </w:t>
      </w:r>
    </w:p>
    <w:p w14:paraId="4D858736" w14:textId="77777777" w:rsidR="00B430BE" w:rsidRDefault="00B430BE" w:rsidP="00145DCC">
      <w:pPr>
        <w:widowControl/>
        <w:autoSpaceDE w:val="0"/>
        <w:autoSpaceDN w:val="0"/>
        <w:adjustRightInd w:val="0"/>
        <w:rPr>
          <w:rFonts w:cs="Arial"/>
          <w:szCs w:val="22"/>
          <w:lang w:val="en-US"/>
        </w:rPr>
      </w:pPr>
    </w:p>
    <w:p w14:paraId="4D858737" w14:textId="77777777" w:rsidR="0038123D" w:rsidRDefault="00EC28AA" w:rsidP="00145DCC">
      <w:pPr>
        <w:widowControl/>
        <w:autoSpaceDE w:val="0"/>
        <w:autoSpaceDN w:val="0"/>
        <w:adjustRightInd w:val="0"/>
        <w:rPr>
          <w:rFonts w:cs="Arial"/>
          <w:szCs w:val="22"/>
          <w:lang w:val="en-US"/>
        </w:rPr>
      </w:pPr>
      <w:r w:rsidRPr="00145DCC">
        <w:rPr>
          <w:rFonts w:cs="Arial"/>
          <w:szCs w:val="22"/>
          <w:lang w:val="en-US"/>
        </w:rPr>
        <w:t>Th</w:t>
      </w:r>
      <w:r w:rsidR="0038123D">
        <w:rPr>
          <w:rFonts w:cs="Arial"/>
          <w:szCs w:val="22"/>
          <w:lang w:val="en-US"/>
        </w:rPr>
        <w:t xml:space="preserve">is </w:t>
      </w:r>
      <w:r w:rsidR="00145DCC" w:rsidRPr="00145DCC">
        <w:rPr>
          <w:rFonts w:cs="Arial"/>
          <w:szCs w:val="22"/>
          <w:lang w:val="en-US"/>
        </w:rPr>
        <w:t xml:space="preserve">study </w:t>
      </w:r>
      <w:r w:rsidR="0038123D">
        <w:rPr>
          <w:rFonts w:cs="Arial"/>
          <w:szCs w:val="22"/>
          <w:lang w:val="en-US"/>
        </w:rPr>
        <w:t xml:space="preserve">does not have any direct relevance </w:t>
      </w:r>
      <w:r w:rsidR="00145DCC" w:rsidRPr="00145DCC">
        <w:rPr>
          <w:rFonts w:cs="Arial"/>
          <w:szCs w:val="22"/>
          <w:lang w:val="en-US"/>
        </w:rPr>
        <w:t xml:space="preserve">to the safety of </w:t>
      </w:r>
      <w:r w:rsidR="0038123D">
        <w:rPr>
          <w:rFonts w:cs="Arial"/>
          <w:szCs w:val="22"/>
          <w:lang w:val="en-US"/>
        </w:rPr>
        <w:t xml:space="preserve">food derived from </w:t>
      </w:r>
      <w:r w:rsidR="00145DCC" w:rsidRPr="00145DCC">
        <w:rPr>
          <w:rFonts w:cs="Arial"/>
          <w:szCs w:val="22"/>
          <w:lang w:val="en-US"/>
        </w:rPr>
        <w:t>MON87</w:t>
      </w:r>
      <w:r w:rsidR="00145DCC">
        <w:rPr>
          <w:rFonts w:cs="Arial"/>
          <w:szCs w:val="22"/>
          <w:lang w:val="en-US"/>
        </w:rPr>
        <w:t>411</w:t>
      </w:r>
      <w:r w:rsidR="00A54F3C">
        <w:rPr>
          <w:rFonts w:cs="Arial"/>
          <w:szCs w:val="22"/>
          <w:lang w:val="en-US"/>
        </w:rPr>
        <w:t xml:space="preserve"> and was not relied upon by FSANZ for the food safety assessment. However, FSANZ considers </w:t>
      </w:r>
      <w:r w:rsidR="0072643E">
        <w:rPr>
          <w:rFonts w:cs="Arial"/>
          <w:szCs w:val="22"/>
          <w:lang w:val="en-US"/>
        </w:rPr>
        <w:t>the results of this study</w:t>
      </w:r>
      <w:r w:rsidR="00A54F3C">
        <w:rPr>
          <w:rFonts w:cs="Arial"/>
          <w:szCs w:val="22"/>
          <w:lang w:val="en-US"/>
        </w:rPr>
        <w:t xml:space="preserve"> </w:t>
      </w:r>
      <w:r w:rsidR="0038123D">
        <w:rPr>
          <w:rFonts w:cs="Arial"/>
          <w:szCs w:val="22"/>
          <w:lang w:val="en-US"/>
        </w:rPr>
        <w:t xml:space="preserve">further </w:t>
      </w:r>
      <w:r w:rsidR="00A54F3C">
        <w:rPr>
          <w:rFonts w:cs="Arial"/>
          <w:szCs w:val="22"/>
          <w:lang w:val="en-US"/>
        </w:rPr>
        <w:t>contribute to the evidence base which demonstrates</w:t>
      </w:r>
      <w:r w:rsidR="0038123D">
        <w:rPr>
          <w:rFonts w:cs="Arial"/>
          <w:szCs w:val="22"/>
          <w:lang w:val="en-US"/>
        </w:rPr>
        <w:t xml:space="preserve"> that ingested dsRNAs </w:t>
      </w:r>
      <w:r w:rsidR="0072643E">
        <w:rPr>
          <w:rFonts w:cs="Arial"/>
          <w:szCs w:val="22"/>
          <w:lang w:val="en-US"/>
        </w:rPr>
        <w:t xml:space="preserve">and small RNAs </w:t>
      </w:r>
      <w:r w:rsidR="0038123D">
        <w:rPr>
          <w:rFonts w:cs="Arial"/>
          <w:szCs w:val="22"/>
          <w:lang w:val="en-US"/>
        </w:rPr>
        <w:t xml:space="preserve">are generally safe for human consumption. </w:t>
      </w:r>
    </w:p>
    <w:p w14:paraId="4D858738" w14:textId="77777777" w:rsidR="008C661E" w:rsidRPr="00260397" w:rsidRDefault="008C661E" w:rsidP="00055A50">
      <w:pPr>
        <w:widowControl/>
        <w:autoSpaceDE w:val="0"/>
        <w:autoSpaceDN w:val="0"/>
        <w:adjustRightInd w:val="0"/>
        <w:spacing w:before="240" w:after="240"/>
        <w:rPr>
          <w:rFonts w:cs="Arial"/>
          <w:b/>
          <w:i/>
          <w:szCs w:val="22"/>
          <w:lang w:eastAsia="en-GB" w:bidi="ar-SA"/>
        </w:rPr>
      </w:pPr>
      <w:r w:rsidRPr="00260397">
        <w:rPr>
          <w:rFonts w:cs="Arial"/>
          <w:b/>
          <w:i/>
          <w:szCs w:val="22"/>
          <w:lang w:eastAsia="en-GB" w:bidi="ar-SA"/>
        </w:rPr>
        <w:t>2.1</w:t>
      </w:r>
      <w:r w:rsidR="00630CCC" w:rsidRPr="00260397">
        <w:rPr>
          <w:rFonts w:cs="Arial"/>
          <w:b/>
          <w:i/>
          <w:szCs w:val="22"/>
          <w:lang w:eastAsia="en-GB" w:bidi="ar-SA"/>
        </w:rPr>
        <w:t>.2.3</w:t>
      </w:r>
      <w:r w:rsidRPr="00260397">
        <w:rPr>
          <w:rFonts w:cs="Arial"/>
          <w:b/>
          <w:i/>
          <w:szCs w:val="22"/>
          <w:lang w:eastAsia="en-GB" w:bidi="ar-SA"/>
        </w:rPr>
        <w:tab/>
        <w:t>Anomalous result in the Acute Oral Toxicity Study</w:t>
      </w:r>
    </w:p>
    <w:p w14:paraId="4D858739" w14:textId="77777777" w:rsidR="0013358B" w:rsidRPr="00BC367C" w:rsidRDefault="00F82599" w:rsidP="00145DCC">
      <w:pPr>
        <w:widowControl/>
        <w:autoSpaceDE w:val="0"/>
        <w:autoSpaceDN w:val="0"/>
        <w:adjustRightInd w:val="0"/>
        <w:rPr>
          <w:color w:val="000000" w:themeColor="text1"/>
          <w:szCs w:val="22"/>
          <w:lang w:val="en-NZ"/>
        </w:rPr>
      </w:pPr>
      <w:r w:rsidRPr="00C2689C">
        <w:rPr>
          <w:rFonts w:cs="Arial"/>
          <w:szCs w:val="22"/>
          <w:lang w:eastAsia="en-GB" w:bidi="ar-SA"/>
        </w:rPr>
        <w:t>Br</w:t>
      </w:r>
      <w:r w:rsidR="008C661E" w:rsidRPr="00C2689C">
        <w:rPr>
          <w:rFonts w:cs="Arial"/>
          <w:szCs w:val="22"/>
          <w:lang w:eastAsia="en-GB" w:bidi="ar-SA"/>
        </w:rPr>
        <w:t>i</w:t>
      </w:r>
      <w:r w:rsidRPr="00C2689C">
        <w:rPr>
          <w:rFonts w:cs="Arial"/>
          <w:szCs w:val="22"/>
          <w:lang w:eastAsia="en-GB" w:bidi="ar-SA"/>
        </w:rPr>
        <w:t>a</w:t>
      </w:r>
      <w:r w:rsidR="00630CCC">
        <w:rPr>
          <w:rFonts w:cs="Arial"/>
          <w:szCs w:val="22"/>
          <w:lang w:eastAsia="en-GB" w:bidi="ar-SA"/>
        </w:rPr>
        <w:t>n Sandle notes that</w:t>
      </w:r>
      <w:r w:rsidR="008C661E" w:rsidRPr="00C2689C">
        <w:rPr>
          <w:rFonts w:cs="Arial"/>
          <w:szCs w:val="22"/>
          <w:lang w:eastAsia="en-GB" w:bidi="ar-SA"/>
        </w:rPr>
        <w:t xml:space="preserve"> the results of </w:t>
      </w:r>
      <w:r w:rsidR="0013358B">
        <w:rPr>
          <w:rFonts w:cs="Arial"/>
          <w:szCs w:val="22"/>
          <w:lang w:eastAsia="en-GB" w:bidi="ar-SA"/>
        </w:rPr>
        <w:t>an acute oral toxicity</w:t>
      </w:r>
      <w:r w:rsidR="0013358B" w:rsidRPr="00C2689C">
        <w:rPr>
          <w:rFonts w:cs="Arial"/>
          <w:szCs w:val="22"/>
          <w:lang w:eastAsia="en-GB" w:bidi="ar-SA"/>
        </w:rPr>
        <w:t xml:space="preserve"> </w:t>
      </w:r>
      <w:r w:rsidR="008C661E" w:rsidRPr="00C2689C">
        <w:rPr>
          <w:rFonts w:cs="Arial"/>
          <w:szCs w:val="22"/>
          <w:lang w:eastAsia="en-GB" w:bidi="ar-SA"/>
        </w:rPr>
        <w:t>study</w:t>
      </w:r>
      <w:r w:rsidR="00CF5C2B" w:rsidRPr="00C2689C">
        <w:rPr>
          <w:rFonts w:cs="Arial"/>
          <w:szCs w:val="22"/>
          <w:lang w:eastAsia="en-GB" w:bidi="ar-SA"/>
        </w:rPr>
        <w:t xml:space="preserve"> (MSL-18711)</w:t>
      </w:r>
      <w:r w:rsidR="008C661E" w:rsidRPr="00C2689C">
        <w:rPr>
          <w:rFonts w:cs="Arial"/>
          <w:szCs w:val="22"/>
          <w:lang w:eastAsia="en-GB" w:bidi="ar-SA"/>
        </w:rPr>
        <w:t xml:space="preserve"> </w:t>
      </w:r>
      <w:r w:rsidR="0013358B">
        <w:rPr>
          <w:rFonts w:cs="Arial"/>
          <w:szCs w:val="22"/>
          <w:lang w:eastAsia="en-GB" w:bidi="ar-SA"/>
        </w:rPr>
        <w:t xml:space="preserve">submitted in support of the Application </w:t>
      </w:r>
      <w:r w:rsidR="008C661E" w:rsidRPr="00C2689C">
        <w:rPr>
          <w:rFonts w:cs="Arial"/>
          <w:szCs w:val="22"/>
          <w:lang w:eastAsia="en-GB" w:bidi="ar-SA"/>
        </w:rPr>
        <w:t>show there was a statistically significant body weight increase in both male and female mice gavaged with the Cry3Bb1 protein compared with the control mice. He was concerned that this weight increase could be related to a steroid-like effect of xeno-</w:t>
      </w:r>
      <w:r w:rsidR="00B430BE">
        <w:rPr>
          <w:rFonts w:cs="Arial"/>
          <w:szCs w:val="22"/>
          <w:lang w:eastAsia="en-GB" w:bidi="ar-SA"/>
        </w:rPr>
        <w:t>o</w:t>
      </w:r>
      <w:r w:rsidR="008C661E" w:rsidRPr="00C2689C">
        <w:rPr>
          <w:rFonts w:cs="Arial"/>
          <w:szCs w:val="22"/>
          <w:lang w:eastAsia="en-GB" w:bidi="ar-SA"/>
        </w:rPr>
        <w:t>estrogens or more highly ex</w:t>
      </w:r>
      <w:r w:rsidR="00D66A7D" w:rsidRPr="00C2689C">
        <w:rPr>
          <w:rFonts w:cs="Arial"/>
          <w:szCs w:val="22"/>
          <w:lang w:eastAsia="en-GB" w:bidi="ar-SA"/>
        </w:rPr>
        <w:t>pressed natural phyto-</w:t>
      </w:r>
      <w:r w:rsidR="00B430BE">
        <w:rPr>
          <w:rFonts w:cs="Arial"/>
          <w:szCs w:val="22"/>
          <w:lang w:eastAsia="en-GB" w:bidi="ar-SA"/>
        </w:rPr>
        <w:t>o</w:t>
      </w:r>
      <w:r w:rsidR="00D66A7D" w:rsidRPr="00C2689C">
        <w:rPr>
          <w:rFonts w:cs="Arial"/>
          <w:szCs w:val="22"/>
          <w:lang w:eastAsia="en-GB" w:bidi="ar-SA"/>
        </w:rPr>
        <w:t>estrogens and therefore, on these grounds, there should not be an approval</w:t>
      </w:r>
      <w:r w:rsidR="008C661E" w:rsidRPr="00C2689C">
        <w:rPr>
          <w:rFonts w:cs="Arial"/>
          <w:szCs w:val="22"/>
          <w:lang w:eastAsia="en-GB" w:bidi="ar-SA"/>
        </w:rPr>
        <w:t xml:space="preserve"> </w:t>
      </w:r>
      <w:r w:rsidR="00D66A7D" w:rsidRPr="00C2689C">
        <w:rPr>
          <w:rFonts w:cs="Arial"/>
          <w:szCs w:val="22"/>
          <w:lang w:eastAsia="en-GB" w:bidi="ar-SA"/>
        </w:rPr>
        <w:t>of food from MON87411.</w:t>
      </w:r>
      <w:r w:rsidR="00C27B8B">
        <w:rPr>
          <w:rFonts w:cs="Arial"/>
          <w:szCs w:val="22"/>
          <w:lang w:eastAsia="en-GB" w:bidi="ar-SA"/>
        </w:rPr>
        <w:t xml:space="preserve"> </w:t>
      </w:r>
      <w:r w:rsidR="0092415A">
        <w:rPr>
          <w:rFonts w:cs="Arial"/>
          <w:szCs w:val="22"/>
          <w:lang w:eastAsia="en-GB" w:bidi="ar-SA"/>
        </w:rPr>
        <w:t>W</w:t>
      </w:r>
      <w:r w:rsidR="00C2689C">
        <w:rPr>
          <w:rFonts w:cs="Arial"/>
          <w:szCs w:val="22"/>
          <w:lang w:eastAsia="en-GB" w:bidi="ar-SA"/>
        </w:rPr>
        <w:t xml:space="preserve">hile </w:t>
      </w:r>
      <w:r w:rsidR="0013358B">
        <w:rPr>
          <w:rFonts w:cs="Arial"/>
          <w:szCs w:val="22"/>
          <w:lang w:eastAsia="en-GB" w:bidi="ar-SA"/>
        </w:rPr>
        <w:t xml:space="preserve">statistically </w:t>
      </w:r>
      <w:r w:rsidR="00C2689C">
        <w:rPr>
          <w:rFonts w:cs="Arial"/>
          <w:szCs w:val="22"/>
          <w:lang w:eastAsia="en-GB" w:bidi="ar-SA"/>
        </w:rPr>
        <w:t>significant differences were found</w:t>
      </w:r>
      <w:r w:rsidR="0092415A">
        <w:rPr>
          <w:rFonts w:cs="Arial"/>
          <w:szCs w:val="22"/>
          <w:lang w:eastAsia="en-GB" w:bidi="ar-SA"/>
        </w:rPr>
        <w:t xml:space="preserve"> in the studies</w:t>
      </w:r>
      <w:r w:rsidR="00C2689C">
        <w:rPr>
          <w:rFonts w:cs="Arial"/>
          <w:szCs w:val="22"/>
          <w:lang w:eastAsia="en-GB" w:bidi="ar-SA"/>
        </w:rPr>
        <w:t xml:space="preserve">, </w:t>
      </w:r>
      <w:r w:rsidR="0013358B">
        <w:rPr>
          <w:rFonts w:cs="Arial"/>
          <w:szCs w:val="22"/>
          <w:lang w:eastAsia="en-GB" w:bidi="ar-SA"/>
        </w:rPr>
        <w:t>in biological terms the differences were small. T</w:t>
      </w:r>
      <w:r w:rsidR="00C2689C">
        <w:rPr>
          <w:rFonts w:cs="Arial"/>
          <w:szCs w:val="22"/>
          <w:lang w:eastAsia="en-GB" w:bidi="ar-SA"/>
        </w:rPr>
        <w:t xml:space="preserve">he standard deviations for the individual body weight changes were very large for both the test and control </w:t>
      </w:r>
      <w:r w:rsidR="00C2689C" w:rsidRPr="00BC367C">
        <w:rPr>
          <w:rFonts w:cs="Arial"/>
          <w:color w:val="000000" w:themeColor="text1"/>
          <w:szCs w:val="22"/>
          <w:lang w:eastAsia="en-GB" w:bidi="ar-SA"/>
        </w:rPr>
        <w:t>groups and importantly, there was no consistent growth rate, or loss of body weight in either group</w:t>
      </w:r>
      <w:r w:rsidR="0013358B" w:rsidRPr="00BC367C">
        <w:rPr>
          <w:color w:val="000000" w:themeColor="text1"/>
          <w:szCs w:val="22"/>
          <w:lang w:val="en-NZ"/>
        </w:rPr>
        <w:t xml:space="preserve">. </w:t>
      </w:r>
    </w:p>
    <w:p w14:paraId="4D85873A" w14:textId="77777777" w:rsidR="0013358B" w:rsidRPr="00BC367C" w:rsidRDefault="0013358B" w:rsidP="00145DCC">
      <w:pPr>
        <w:widowControl/>
        <w:autoSpaceDE w:val="0"/>
        <w:autoSpaceDN w:val="0"/>
        <w:adjustRightInd w:val="0"/>
        <w:rPr>
          <w:color w:val="000000" w:themeColor="text1"/>
          <w:szCs w:val="22"/>
          <w:lang w:val="en-NZ"/>
        </w:rPr>
      </w:pPr>
    </w:p>
    <w:p w14:paraId="4D85873B" w14:textId="77777777" w:rsidR="00C2689C" w:rsidRDefault="0013358B" w:rsidP="00145DCC">
      <w:pPr>
        <w:widowControl/>
        <w:autoSpaceDE w:val="0"/>
        <w:autoSpaceDN w:val="0"/>
        <w:adjustRightInd w:val="0"/>
        <w:rPr>
          <w:rFonts w:cs="Arial"/>
          <w:szCs w:val="22"/>
          <w:lang w:eastAsia="en-GB" w:bidi="ar-SA"/>
        </w:rPr>
      </w:pPr>
      <w:r w:rsidRPr="00BC367C">
        <w:rPr>
          <w:rFonts w:cs="Arial"/>
          <w:color w:val="000000" w:themeColor="text1"/>
          <w:szCs w:val="22"/>
          <w:lang w:eastAsia="en-GB" w:bidi="ar-SA"/>
        </w:rPr>
        <w:t xml:space="preserve">If this was a </w:t>
      </w:r>
      <w:r w:rsidR="0092415A" w:rsidRPr="00BC367C">
        <w:rPr>
          <w:rFonts w:cs="Arial"/>
          <w:color w:val="000000" w:themeColor="text1"/>
          <w:szCs w:val="22"/>
          <w:lang w:eastAsia="en-GB" w:bidi="ar-SA"/>
        </w:rPr>
        <w:t>relevant</w:t>
      </w:r>
      <w:r w:rsidRPr="00BC367C">
        <w:rPr>
          <w:rFonts w:cs="Arial"/>
          <w:color w:val="000000" w:themeColor="text1"/>
          <w:szCs w:val="22"/>
          <w:lang w:eastAsia="en-GB" w:bidi="ar-SA"/>
        </w:rPr>
        <w:t xml:space="preserve"> </w:t>
      </w:r>
      <w:r w:rsidR="00C2689C" w:rsidRPr="00BC367C">
        <w:rPr>
          <w:rFonts w:cs="Arial"/>
          <w:color w:val="000000" w:themeColor="text1"/>
          <w:szCs w:val="22"/>
          <w:lang w:eastAsia="en-GB" w:bidi="ar-SA"/>
        </w:rPr>
        <w:t xml:space="preserve">steroidal/estrogenic </w:t>
      </w:r>
      <w:r w:rsidR="00C2689C">
        <w:rPr>
          <w:rFonts w:cs="Arial"/>
          <w:szCs w:val="22"/>
          <w:lang w:eastAsia="en-GB" w:bidi="ar-SA"/>
        </w:rPr>
        <w:t>effect</w:t>
      </w:r>
      <w:r w:rsidR="00C27B8B">
        <w:rPr>
          <w:rFonts w:cs="Arial"/>
          <w:szCs w:val="22"/>
          <w:lang w:eastAsia="en-GB" w:bidi="ar-SA"/>
        </w:rPr>
        <w:t>,</w:t>
      </w:r>
      <w:r w:rsidR="00C2689C">
        <w:rPr>
          <w:rFonts w:cs="Arial"/>
          <w:szCs w:val="22"/>
          <w:lang w:eastAsia="en-GB" w:bidi="ar-SA"/>
        </w:rPr>
        <w:t xml:space="preserve"> </w:t>
      </w:r>
      <w:r>
        <w:rPr>
          <w:rFonts w:cs="Arial"/>
          <w:szCs w:val="22"/>
          <w:lang w:eastAsia="en-GB" w:bidi="ar-SA"/>
        </w:rPr>
        <w:t xml:space="preserve">the mean group bodyweight differences </w:t>
      </w:r>
      <w:r w:rsidR="00C2689C">
        <w:rPr>
          <w:rFonts w:cs="Arial"/>
          <w:szCs w:val="22"/>
          <w:lang w:eastAsia="en-GB" w:bidi="ar-SA"/>
        </w:rPr>
        <w:t xml:space="preserve">would be expected to </w:t>
      </w:r>
      <w:r>
        <w:rPr>
          <w:rFonts w:cs="Arial"/>
          <w:szCs w:val="22"/>
          <w:lang w:eastAsia="en-GB" w:bidi="ar-SA"/>
        </w:rPr>
        <w:t>be much more marked and there would also need to be much more consistency within groups</w:t>
      </w:r>
      <w:r w:rsidR="00C2689C">
        <w:rPr>
          <w:rFonts w:cs="Arial"/>
          <w:szCs w:val="22"/>
          <w:lang w:eastAsia="en-GB" w:bidi="ar-SA"/>
        </w:rPr>
        <w:t xml:space="preserve">. </w:t>
      </w:r>
      <w:r w:rsidRPr="00DE796E">
        <w:rPr>
          <w:szCs w:val="22"/>
          <w:lang w:val="en-NZ"/>
        </w:rPr>
        <w:t>Differences that are statistically significant but biologically insignificant are common in animal studies, especially rodent studies</w:t>
      </w:r>
      <w:r w:rsidR="0081606B" w:rsidRPr="000F7024">
        <w:rPr>
          <w:rFonts w:cs="Arial"/>
          <w:szCs w:val="22"/>
          <w:lang w:eastAsia="en-GB" w:bidi="ar-SA"/>
        </w:rPr>
        <w:t>.</w:t>
      </w:r>
    </w:p>
    <w:p w14:paraId="4D85873C" w14:textId="77777777" w:rsidR="002C1A3B" w:rsidRPr="00260397" w:rsidRDefault="002C1A3B" w:rsidP="002C1A3B">
      <w:pPr>
        <w:pStyle w:val="Heading2"/>
        <w:rPr>
          <w:color w:val="000000" w:themeColor="text1"/>
          <w:szCs w:val="28"/>
        </w:rPr>
      </w:pPr>
      <w:bookmarkStart w:id="50" w:name="_Toc370223472"/>
      <w:bookmarkStart w:id="51" w:name="_Toc370225387"/>
      <w:bookmarkStart w:id="52" w:name="_Toc419907019"/>
      <w:bookmarkStart w:id="53" w:name="_Toc309291812"/>
      <w:bookmarkStart w:id="54" w:name="_Toc175381442"/>
      <w:bookmarkEnd w:id="44"/>
      <w:bookmarkEnd w:id="45"/>
      <w:bookmarkEnd w:id="46"/>
      <w:bookmarkEnd w:id="47"/>
      <w:bookmarkEnd w:id="48"/>
      <w:bookmarkEnd w:id="49"/>
      <w:r w:rsidRPr="00260397">
        <w:rPr>
          <w:color w:val="000000" w:themeColor="text1"/>
          <w:szCs w:val="28"/>
        </w:rPr>
        <w:t>2.2</w:t>
      </w:r>
      <w:r w:rsidRPr="00260397">
        <w:rPr>
          <w:color w:val="000000" w:themeColor="text1"/>
          <w:szCs w:val="28"/>
        </w:rPr>
        <w:tab/>
      </w:r>
      <w:r w:rsidR="00EE4296" w:rsidRPr="00260397">
        <w:rPr>
          <w:color w:val="000000" w:themeColor="text1"/>
          <w:szCs w:val="28"/>
        </w:rPr>
        <w:t>Safety</w:t>
      </w:r>
      <w:r w:rsidRPr="00260397">
        <w:rPr>
          <w:color w:val="000000" w:themeColor="text1"/>
          <w:szCs w:val="28"/>
        </w:rPr>
        <w:t xml:space="preserve"> assessment</w:t>
      </w:r>
      <w:bookmarkEnd w:id="50"/>
      <w:bookmarkEnd w:id="51"/>
      <w:bookmarkEnd w:id="52"/>
      <w:r w:rsidRPr="00260397">
        <w:rPr>
          <w:color w:val="000000" w:themeColor="text1"/>
          <w:szCs w:val="28"/>
        </w:rPr>
        <w:t xml:space="preserve"> </w:t>
      </w:r>
    </w:p>
    <w:p w14:paraId="4D85873D" w14:textId="77777777" w:rsidR="00EE4296" w:rsidRPr="008F4BDF" w:rsidRDefault="00EE4296" w:rsidP="00EE4296">
      <w:r w:rsidRPr="008F4BDF">
        <w:t>The safety assess</w:t>
      </w:r>
      <w:r>
        <w:t>ment of MON87411</w:t>
      </w:r>
      <w:r w:rsidR="00DF6240">
        <w:t>, as amended following</w:t>
      </w:r>
      <w:r w:rsidRPr="008F4BDF">
        <w:t xml:space="preserve"> </w:t>
      </w:r>
      <w:r w:rsidR="00DF6240">
        <w:t xml:space="preserve">the Call for Submissions, </w:t>
      </w:r>
      <w:r w:rsidRPr="008F4BDF">
        <w:t xml:space="preserve">is provided in the supporting document (SD1) and included the following key elements: </w:t>
      </w:r>
    </w:p>
    <w:p w14:paraId="4D85873E" w14:textId="77777777" w:rsidR="00EE4296" w:rsidRPr="008F4BDF" w:rsidRDefault="00EE4296" w:rsidP="00EE4296"/>
    <w:p w14:paraId="4D85873F" w14:textId="77777777" w:rsidR="00EE4296" w:rsidRPr="005C18EC" w:rsidRDefault="00EE4296" w:rsidP="005A2DF3">
      <w:pPr>
        <w:pStyle w:val="FSBullet1"/>
        <w:numPr>
          <w:ilvl w:val="0"/>
          <w:numId w:val="9"/>
        </w:numPr>
        <w:ind w:left="567" w:hanging="567"/>
        <w:rPr>
          <w:color w:val="000000" w:themeColor="text1"/>
        </w:rPr>
      </w:pPr>
      <w:r w:rsidRPr="005C18EC">
        <w:rPr>
          <w:color w:val="000000" w:themeColor="text1"/>
        </w:rPr>
        <w:t>a character</w:t>
      </w:r>
      <w:r>
        <w:rPr>
          <w:color w:val="000000" w:themeColor="text1"/>
        </w:rPr>
        <w:t>isation of the transferred genetic material, its</w:t>
      </w:r>
      <w:r w:rsidRPr="005C18EC">
        <w:rPr>
          <w:color w:val="000000" w:themeColor="text1"/>
        </w:rPr>
        <w:t xml:space="preserve"> origin, funct</w:t>
      </w:r>
      <w:r>
        <w:rPr>
          <w:color w:val="000000" w:themeColor="text1"/>
        </w:rPr>
        <w:t>ion and stability in the corn</w:t>
      </w:r>
      <w:r w:rsidRPr="005C18EC">
        <w:rPr>
          <w:color w:val="000000" w:themeColor="text1"/>
        </w:rPr>
        <w:t xml:space="preserve"> genome</w:t>
      </w:r>
    </w:p>
    <w:p w14:paraId="4D858740" w14:textId="77777777" w:rsidR="00EE4296" w:rsidRPr="005C18EC" w:rsidRDefault="00EE4296" w:rsidP="005A2DF3">
      <w:pPr>
        <w:pStyle w:val="FSBullet1"/>
        <w:numPr>
          <w:ilvl w:val="0"/>
          <w:numId w:val="9"/>
        </w:numPr>
        <w:ind w:left="567" w:hanging="567"/>
        <w:rPr>
          <w:color w:val="000000" w:themeColor="text1"/>
        </w:rPr>
      </w:pPr>
      <w:r>
        <w:rPr>
          <w:color w:val="000000" w:themeColor="text1"/>
        </w:rPr>
        <w:t>characterisation of novel nucleic acids</w:t>
      </w:r>
      <w:r w:rsidRPr="005C18EC">
        <w:rPr>
          <w:color w:val="000000" w:themeColor="text1"/>
        </w:rPr>
        <w:t xml:space="preserve"> and protein in the whole food</w:t>
      </w:r>
    </w:p>
    <w:p w14:paraId="4D858741" w14:textId="77777777" w:rsidR="00EE4296" w:rsidRPr="005C18EC" w:rsidRDefault="00EE4296" w:rsidP="005A2DF3">
      <w:pPr>
        <w:pStyle w:val="FSBullet1"/>
        <w:numPr>
          <w:ilvl w:val="0"/>
          <w:numId w:val="9"/>
        </w:numPr>
        <w:ind w:left="567" w:hanging="567"/>
        <w:rPr>
          <w:color w:val="000000" w:themeColor="text1"/>
        </w:rPr>
      </w:pPr>
      <w:r w:rsidRPr="005C18EC">
        <w:rPr>
          <w:color w:val="000000" w:themeColor="text1"/>
        </w:rPr>
        <w:t>detailed compositional analyses</w:t>
      </w:r>
    </w:p>
    <w:p w14:paraId="4D858742" w14:textId="77777777" w:rsidR="00EE4296" w:rsidRPr="005C18EC" w:rsidRDefault="00EE4296" w:rsidP="005A2DF3">
      <w:pPr>
        <w:pStyle w:val="FSBullet1"/>
        <w:numPr>
          <w:ilvl w:val="0"/>
          <w:numId w:val="9"/>
        </w:numPr>
        <w:ind w:left="567" w:hanging="567"/>
        <w:rPr>
          <w:color w:val="000000" w:themeColor="text1"/>
        </w:rPr>
      </w:pPr>
      <w:r w:rsidRPr="005C18EC">
        <w:rPr>
          <w:color w:val="000000" w:themeColor="text1"/>
        </w:rPr>
        <w:t>evaluation of intended and unintended changes</w:t>
      </w:r>
    </w:p>
    <w:p w14:paraId="4D858743" w14:textId="77777777" w:rsidR="00EE4296" w:rsidRPr="005C18EC" w:rsidRDefault="00EE4296" w:rsidP="005A2DF3">
      <w:pPr>
        <w:pStyle w:val="FSBullet1"/>
        <w:numPr>
          <w:ilvl w:val="0"/>
          <w:numId w:val="9"/>
        </w:numPr>
        <w:ind w:left="567" w:hanging="567"/>
        <w:rPr>
          <w:color w:val="000000" w:themeColor="text1"/>
        </w:rPr>
      </w:pPr>
      <w:proofErr w:type="gramStart"/>
      <w:r w:rsidRPr="005C18EC">
        <w:rPr>
          <w:color w:val="000000" w:themeColor="text1"/>
        </w:rPr>
        <w:t>the</w:t>
      </w:r>
      <w:proofErr w:type="gramEnd"/>
      <w:r w:rsidRPr="005C18EC">
        <w:rPr>
          <w:color w:val="000000" w:themeColor="text1"/>
        </w:rPr>
        <w:t xml:space="preserve"> potential </w:t>
      </w:r>
      <w:r>
        <w:rPr>
          <w:color w:val="000000" w:themeColor="text1"/>
        </w:rPr>
        <w:t>for any newly expressed protein</w:t>
      </w:r>
      <w:r w:rsidRPr="005C18EC">
        <w:rPr>
          <w:color w:val="000000" w:themeColor="text1"/>
        </w:rPr>
        <w:t xml:space="preserve"> to be either allergenic or toxic in humans. </w:t>
      </w:r>
    </w:p>
    <w:p w14:paraId="4D858744" w14:textId="77777777" w:rsidR="00EE4296" w:rsidRPr="008F4BDF" w:rsidRDefault="00EE4296" w:rsidP="00EE4296"/>
    <w:p w14:paraId="4D858745" w14:textId="77777777" w:rsidR="00EE4296" w:rsidRPr="008F4BDF" w:rsidRDefault="00EE4296" w:rsidP="00EE4296">
      <w:r w:rsidRPr="008F4BDF">
        <w:t>The assess</w:t>
      </w:r>
      <w:r>
        <w:t>ment of MON87411</w:t>
      </w:r>
      <w:r w:rsidRPr="008F4BDF">
        <w:t xml:space="preserve"> was restricted to </w:t>
      </w:r>
      <w:r>
        <w:t xml:space="preserve">human </w:t>
      </w:r>
      <w:r w:rsidRPr="008F4BDF">
        <w:t xml:space="preserve">food safety and nutritional issues. </w:t>
      </w:r>
      <w:r>
        <w:t xml:space="preserve">This assessment therefore does not address any risks to </w:t>
      </w:r>
      <w:r w:rsidR="00153B0B">
        <w:t xml:space="preserve">human health more broadly, </w:t>
      </w:r>
      <w:r>
        <w:t>the environment that may occur as the result of growing GM plants used in food production, or any risks to animals that may consume feed derived from GM plants.</w:t>
      </w:r>
    </w:p>
    <w:p w14:paraId="4D858746" w14:textId="77777777" w:rsidR="006C5E00" w:rsidRDefault="006C5E00">
      <w:pPr>
        <w:widowControl/>
        <w:rPr>
          <w:color w:val="000000" w:themeColor="text1"/>
        </w:rPr>
      </w:pPr>
    </w:p>
    <w:p w14:paraId="4D858747" w14:textId="77777777" w:rsidR="00EE4296" w:rsidRDefault="00EE4296" w:rsidP="00EE4296">
      <w:pPr>
        <w:rPr>
          <w:color w:val="000000" w:themeColor="text1"/>
        </w:rPr>
      </w:pPr>
      <w:r>
        <w:rPr>
          <w:color w:val="000000" w:themeColor="text1"/>
        </w:rPr>
        <w:t>The Applicant for A1097</w:t>
      </w:r>
      <w:r w:rsidRPr="00BD0B3A">
        <w:rPr>
          <w:color w:val="000000" w:themeColor="text1"/>
        </w:rPr>
        <w:t xml:space="preserve"> met all of the data requirements stipulated in the </w:t>
      </w:r>
      <w:r w:rsidRPr="00BD0B3A">
        <w:rPr>
          <w:i/>
          <w:color w:val="000000" w:themeColor="text1"/>
        </w:rPr>
        <w:t>Application Handbook</w:t>
      </w:r>
      <w:r w:rsidRPr="00BD0B3A">
        <w:rPr>
          <w:color w:val="000000" w:themeColor="text1"/>
        </w:rPr>
        <w:t xml:space="preserve"> </w:t>
      </w:r>
      <w:r w:rsidR="00B03EC3">
        <w:rPr>
          <w:color w:val="000000" w:themeColor="text1"/>
        </w:rPr>
        <w:fldChar w:fldCharType="begin"/>
      </w:r>
      <w:r w:rsidR="004B76CD">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B03EC3">
        <w:rPr>
          <w:color w:val="000000" w:themeColor="text1"/>
        </w:rPr>
        <w:fldChar w:fldCharType="separate"/>
      </w:r>
      <w:r w:rsidR="00B03EC3">
        <w:rPr>
          <w:noProof/>
          <w:color w:val="000000" w:themeColor="text1"/>
        </w:rPr>
        <w:t>(FSANZ 2013a)</w:t>
      </w:r>
      <w:r w:rsidR="00B03EC3">
        <w:rPr>
          <w:color w:val="000000" w:themeColor="text1"/>
        </w:rPr>
        <w:fldChar w:fldCharType="end"/>
      </w:r>
      <w:r w:rsidRPr="00BD0B3A">
        <w:rPr>
          <w:color w:val="000000" w:themeColor="text1"/>
        </w:rPr>
        <w:t xml:space="preserve"> for the safety assessment of GM food and, </w:t>
      </w:r>
      <w:r>
        <w:rPr>
          <w:color w:val="000000" w:themeColor="text1"/>
        </w:rPr>
        <w:t xml:space="preserve">after assessing </w:t>
      </w:r>
      <w:r w:rsidRPr="00BD0B3A">
        <w:rPr>
          <w:color w:val="000000" w:themeColor="text1"/>
        </w:rPr>
        <w:t xml:space="preserve">these data, FSANZ is satisfied that sufficient evidence has been provided to demonstrate the safety of the food. </w:t>
      </w:r>
    </w:p>
    <w:p w14:paraId="4D858748" w14:textId="77777777" w:rsidR="00EE4296" w:rsidRDefault="00EE4296" w:rsidP="00EE4296"/>
    <w:p w14:paraId="4D858749" w14:textId="3663093D" w:rsidR="00ED70BB" w:rsidRDefault="006C1AF3" w:rsidP="006C1AF3">
      <w:pPr>
        <w:autoSpaceDE w:val="0"/>
        <w:autoSpaceDN w:val="0"/>
        <w:adjustRightInd w:val="0"/>
        <w:rPr>
          <w:rFonts w:cs="Arial"/>
          <w:color w:val="000000" w:themeColor="text1"/>
        </w:rPr>
      </w:pPr>
      <w:r w:rsidRPr="00AD161F">
        <w:rPr>
          <w:rFonts w:cs="Arial"/>
          <w:color w:val="000000" w:themeColor="text1"/>
        </w:rPr>
        <w:t>FSANZ sought comments on the SD1, particularly the R</w:t>
      </w:r>
      <w:r w:rsidR="00AD161F" w:rsidRPr="00AD161F">
        <w:rPr>
          <w:rFonts w:cs="Arial"/>
          <w:color w:val="000000" w:themeColor="text1"/>
        </w:rPr>
        <w:t>NAi aspects, from two academic experts.</w:t>
      </w:r>
      <w:r w:rsidR="00190528">
        <w:rPr>
          <w:rFonts w:cs="Arial"/>
          <w:color w:val="000000" w:themeColor="text1"/>
        </w:rPr>
        <w:t xml:space="preserve"> </w:t>
      </w:r>
      <w:r w:rsidRPr="00AD161F">
        <w:rPr>
          <w:rFonts w:cs="Arial"/>
          <w:color w:val="000000" w:themeColor="text1"/>
        </w:rPr>
        <w:t>The comments from both reviewers were favourable and neither disagreed with FSANZ’s conclusion on the safety of MON87411. Some minor changes were made to the SD1 in response t</w:t>
      </w:r>
      <w:r w:rsidR="00AD161F" w:rsidRPr="00AD161F">
        <w:rPr>
          <w:rFonts w:cs="Arial"/>
          <w:color w:val="000000" w:themeColor="text1"/>
        </w:rPr>
        <w:t>o suggestions from one of the reviewers.</w:t>
      </w:r>
      <w:r w:rsidR="00ED70BB">
        <w:rPr>
          <w:rFonts w:cs="Arial"/>
          <w:color w:val="000000" w:themeColor="text1"/>
        </w:rPr>
        <w:br w:type="page"/>
      </w:r>
    </w:p>
    <w:p w14:paraId="4D85874A" w14:textId="77777777" w:rsidR="008143ED" w:rsidRPr="006C5E00" w:rsidRDefault="00EE4296" w:rsidP="006C5E00">
      <w:r>
        <w:lastRenderedPageBreak/>
        <w:t>Based on</w:t>
      </w:r>
      <w:r w:rsidRPr="008F4BDF">
        <w:t xml:space="preserve"> the </w:t>
      </w:r>
      <w:r>
        <w:t xml:space="preserve">scientific </w:t>
      </w:r>
      <w:r w:rsidRPr="008F4BDF">
        <w:t xml:space="preserve">data provided in the present Application, and other available information, food derived from </w:t>
      </w:r>
      <w:r>
        <w:t>MON87411</w:t>
      </w:r>
      <w:r w:rsidRPr="008F4BDF">
        <w:t xml:space="preserve"> is considered to be as safe for human consumption as food d</w:t>
      </w:r>
      <w:r>
        <w:t>erived from conventional corn</w:t>
      </w:r>
      <w:r w:rsidRPr="008F4BDF">
        <w:t xml:space="preserve"> cultivars.</w:t>
      </w:r>
      <w:bookmarkStart w:id="55" w:name="_Toc370223473"/>
      <w:bookmarkStart w:id="56" w:name="_Toc370225388"/>
      <w:bookmarkStart w:id="57" w:name="_Toc175381450"/>
      <w:bookmarkEnd w:id="53"/>
      <w:bookmarkEnd w:id="54"/>
    </w:p>
    <w:p w14:paraId="4D85874B" w14:textId="77777777" w:rsidR="002C1A3B" w:rsidRPr="00260397" w:rsidRDefault="002C1A3B" w:rsidP="002C1A3B">
      <w:pPr>
        <w:pStyle w:val="Heading2"/>
        <w:rPr>
          <w:szCs w:val="28"/>
        </w:rPr>
      </w:pPr>
      <w:bookmarkStart w:id="58" w:name="_Toc419907020"/>
      <w:r w:rsidRPr="00260397">
        <w:rPr>
          <w:szCs w:val="28"/>
        </w:rPr>
        <w:t>2.3</w:t>
      </w:r>
      <w:r w:rsidRPr="00260397">
        <w:rPr>
          <w:szCs w:val="28"/>
        </w:rPr>
        <w:tab/>
        <w:t>Risk management</w:t>
      </w:r>
      <w:bookmarkEnd w:id="55"/>
      <w:bookmarkEnd w:id="56"/>
      <w:bookmarkEnd w:id="58"/>
    </w:p>
    <w:p w14:paraId="4D85874C" w14:textId="77777777" w:rsidR="00EE4296" w:rsidRPr="00260397" w:rsidRDefault="00EE4296" w:rsidP="001F52D5">
      <w:pPr>
        <w:pStyle w:val="FSBullet"/>
        <w:spacing w:before="240" w:after="240"/>
        <w:ind w:left="851" w:hanging="851"/>
        <w:rPr>
          <w:b/>
        </w:rPr>
      </w:pPr>
      <w:r w:rsidRPr="00260397">
        <w:rPr>
          <w:b/>
        </w:rPr>
        <w:t>2.3.1</w:t>
      </w:r>
      <w:r w:rsidRPr="00260397">
        <w:rPr>
          <w:b/>
        </w:rPr>
        <w:tab/>
        <w:t>Labelling</w:t>
      </w:r>
    </w:p>
    <w:p w14:paraId="4D85874D" w14:textId="77777777" w:rsidR="00EE4296" w:rsidRPr="005C18EC" w:rsidRDefault="00EE4296" w:rsidP="00EE4296">
      <w:pPr>
        <w:pStyle w:val="FSBullet"/>
        <w:ind w:left="0" w:firstLine="0"/>
        <w:rPr>
          <w:color w:val="000000" w:themeColor="text1"/>
        </w:rPr>
      </w:pPr>
      <w:r w:rsidRPr="005C18EC">
        <w:rPr>
          <w:color w:val="000000" w:themeColor="text1"/>
        </w:rPr>
        <w:t>In accordance with Standard 1.5.2, food derived from</w:t>
      </w:r>
      <w:r>
        <w:rPr>
          <w:color w:val="000000" w:themeColor="text1"/>
        </w:rPr>
        <w:t xml:space="preserve"> MON87411</w:t>
      </w:r>
      <w:r w:rsidRPr="005C18EC">
        <w:rPr>
          <w:color w:val="000000" w:themeColor="text1"/>
        </w:rPr>
        <w:t xml:space="preserve"> would be required to be labelled as </w:t>
      </w:r>
      <w:r>
        <w:rPr>
          <w:color w:val="000000" w:themeColor="text1"/>
        </w:rPr>
        <w:t>‘</w:t>
      </w:r>
      <w:r w:rsidRPr="005C18EC">
        <w:rPr>
          <w:color w:val="000000" w:themeColor="text1"/>
        </w:rPr>
        <w:t>genetically modified</w:t>
      </w:r>
      <w:r>
        <w:rPr>
          <w:color w:val="000000" w:themeColor="text1"/>
        </w:rPr>
        <w:t>’</w:t>
      </w:r>
      <w:r w:rsidRPr="005C18EC">
        <w:rPr>
          <w:color w:val="000000" w:themeColor="text1"/>
        </w:rPr>
        <w:t xml:space="preserve"> if it contains novel DNA or novel protein</w:t>
      </w:r>
      <w:r>
        <w:rPr>
          <w:color w:val="000000" w:themeColor="text1"/>
        </w:rPr>
        <w:t>;</w:t>
      </w:r>
      <w:r w:rsidRPr="005C18EC">
        <w:rPr>
          <w:color w:val="000000" w:themeColor="text1"/>
        </w:rPr>
        <w:t xml:space="preserve"> or if it has altered characteristics</w:t>
      </w:r>
      <w:r>
        <w:rPr>
          <w:color w:val="000000" w:themeColor="text1"/>
        </w:rPr>
        <w:t>. Food from MON87411</w:t>
      </w:r>
      <w:r w:rsidRPr="005C18EC">
        <w:rPr>
          <w:color w:val="000000" w:themeColor="text1"/>
        </w:rPr>
        <w:t xml:space="preserve"> does not have altered characteristics. </w:t>
      </w:r>
    </w:p>
    <w:p w14:paraId="4D85874E" w14:textId="77777777" w:rsidR="00EE4296" w:rsidRPr="005C18EC" w:rsidRDefault="00EE4296" w:rsidP="00EE4296"/>
    <w:p w14:paraId="4D85874F" w14:textId="77777777" w:rsidR="00EE4296" w:rsidRPr="001B01A5" w:rsidRDefault="00EE4296" w:rsidP="00EE4296">
      <w:pPr>
        <w:pStyle w:val="BodyText"/>
        <w:spacing w:after="0"/>
        <w:rPr>
          <w:rFonts w:cs="Arial"/>
          <w:color w:val="000000" w:themeColor="text1"/>
        </w:rPr>
      </w:pPr>
      <w:r>
        <w:rPr>
          <w:rFonts w:cs="Arial"/>
          <w:color w:val="000000" w:themeColor="text1"/>
        </w:rPr>
        <w:t>MON87411</w:t>
      </w:r>
      <w:r w:rsidRPr="001B01A5">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w:t>
      </w:r>
      <w:r>
        <w:rPr>
          <w:rFonts w:cs="Arial"/>
          <w:color w:val="000000" w:themeColor="text1"/>
        </w:rPr>
        <w:t>are unlikely to contain</w:t>
      </w:r>
      <w:r w:rsidRPr="001B01A5">
        <w:rPr>
          <w:rFonts w:cs="Arial"/>
          <w:color w:val="000000" w:themeColor="text1"/>
        </w:rPr>
        <w:t xml:space="preserve"> any</w:t>
      </w:r>
      <w:r>
        <w:rPr>
          <w:rFonts w:cs="Arial"/>
          <w:color w:val="000000" w:themeColor="text1"/>
        </w:rPr>
        <w:t xml:space="preserve"> novel</w:t>
      </w:r>
      <w:r w:rsidRPr="001B01A5">
        <w:rPr>
          <w:rFonts w:cs="Arial"/>
          <w:color w:val="000000" w:themeColor="text1"/>
        </w:rPr>
        <w:t xml:space="preserve"> protein or </w:t>
      </w:r>
      <w:r>
        <w:rPr>
          <w:rFonts w:cs="Arial"/>
          <w:color w:val="000000" w:themeColor="text1"/>
        </w:rPr>
        <w:t xml:space="preserve">novel </w:t>
      </w:r>
      <w:r w:rsidRPr="001B01A5">
        <w:rPr>
          <w:rFonts w:cs="Arial"/>
          <w:color w:val="000000" w:themeColor="text1"/>
        </w:rPr>
        <w:t xml:space="preserve">DNA. Similarly, in the production process for refined corn oil, </w:t>
      </w:r>
      <w:r>
        <w:rPr>
          <w:rFonts w:cs="Arial"/>
          <w:color w:val="000000" w:themeColor="text1"/>
        </w:rPr>
        <w:t xml:space="preserve">novel </w:t>
      </w:r>
      <w:r w:rsidRPr="001B01A5">
        <w:rPr>
          <w:rFonts w:cs="Arial"/>
          <w:color w:val="000000" w:themeColor="text1"/>
        </w:rPr>
        <w:t xml:space="preserve">protein and </w:t>
      </w:r>
      <w:r>
        <w:rPr>
          <w:rFonts w:cs="Arial"/>
          <w:color w:val="000000" w:themeColor="text1"/>
        </w:rPr>
        <w:t xml:space="preserve">novel </w:t>
      </w:r>
      <w:r w:rsidRPr="001B01A5">
        <w:rPr>
          <w:rFonts w:cs="Arial"/>
          <w:color w:val="000000" w:themeColor="text1"/>
        </w:rPr>
        <w:t xml:space="preserve">DNA are </w:t>
      </w:r>
      <w:r>
        <w:rPr>
          <w:rFonts w:cs="Arial"/>
          <w:color w:val="000000" w:themeColor="text1"/>
        </w:rPr>
        <w:t xml:space="preserve">not </w:t>
      </w:r>
      <w:r w:rsidRPr="001B01A5">
        <w:rPr>
          <w:rFonts w:cs="Arial"/>
          <w:color w:val="000000" w:themeColor="text1"/>
        </w:rPr>
        <w:t xml:space="preserve">likely to be </w:t>
      </w:r>
      <w:r>
        <w:rPr>
          <w:rFonts w:cs="Arial"/>
          <w:color w:val="000000" w:themeColor="text1"/>
        </w:rPr>
        <w:t xml:space="preserve">present. </w:t>
      </w:r>
      <w:r w:rsidRPr="001B01A5">
        <w:rPr>
          <w:rFonts w:cs="Arial"/>
          <w:color w:val="000000" w:themeColor="text1"/>
        </w:rPr>
        <w:t>Therefore suc</w:t>
      </w:r>
      <w:r>
        <w:rPr>
          <w:rFonts w:cs="Arial"/>
          <w:color w:val="000000" w:themeColor="text1"/>
        </w:rPr>
        <w:t>h products derived from MON87411</w:t>
      </w:r>
      <w:r w:rsidRPr="001B01A5">
        <w:rPr>
          <w:rFonts w:cs="Arial"/>
          <w:color w:val="000000" w:themeColor="text1"/>
        </w:rPr>
        <w:t xml:space="preserve"> would be unlikely to require labelling.</w:t>
      </w:r>
    </w:p>
    <w:p w14:paraId="4D858750" w14:textId="77777777" w:rsidR="00EE4296" w:rsidRPr="001B01A5" w:rsidRDefault="00EE4296" w:rsidP="00EE4296">
      <w:pPr>
        <w:rPr>
          <w:rFonts w:cs="Arial"/>
          <w:color w:val="000000" w:themeColor="text1"/>
        </w:rPr>
      </w:pPr>
    </w:p>
    <w:p w14:paraId="4D858751" w14:textId="77777777" w:rsidR="00EE4296" w:rsidRDefault="00EE4296" w:rsidP="00EE4296">
      <w:pPr>
        <w:pStyle w:val="BodyText"/>
        <w:rPr>
          <w:color w:val="000000" w:themeColor="text1"/>
          <w:szCs w:val="22"/>
        </w:rPr>
      </w:pPr>
      <w:r>
        <w:rPr>
          <w:rFonts w:cs="Arial"/>
          <w:color w:val="000000" w:themeColor="text1"/>
        </w:rPr>
        <w:t>MON87411</w:t>
      </w:r>
      <w:r w:rsidRPr="001B01A5">
        <w:rPr>
          <w:rFonts w:cs="Arial"/>
          <w:color w:val="000000" w:themeColor="text1"/>
        </w:rPr>
        <w:t xml:space="preserve"> corn products such as meal (used in bread and polenta) and grits (used in cereals) would be likely to contain </w:t>
      </w:r>
      <w:r>
        <w:rPr>
          <w:rFonts w:cs="Arial"/>
          <w:color w:val="000000" w:themeColor="text1"/>
        </w:rPr>
        <w:t xml:space="preserve">novel </w:t>
      </w:r>
      <w:r w:rsidRPr="001B01A5">
        <w:rPr>
          <w:rFonts w:cs="Arial"/>
          <w:color w:val="000000" w:themeColor="text1"/>
        </w:rPr>
        <w:t>protein and</w:t>
      </w:r>
      <w:r>
        <w:rPr>
          <w:rFonts w:cs="Arial"/>
          <w:color w:val="000000" w:themeColor="text1"/>
        </w:rPr>
        <w:t xml:space="preserve"> novel </w:t>
      </w:r>
      <w:r w:rsidRPr="001B01A5">
        <w:rPr>
          <w:rFonts w:cs="Arial"/>
          <w:color w:val="000000" w:themeColor="text1"/>
        </w:rPr>
        <w:t xml:space="preserve">DNA, </w:t>
      </w:r>
      <w:r w:rsidRPr="001B01A5">
        <w:rPr>
          <w:color w:val="000000" w:themeColor="text1"/>
          <w:szCs w:val="22"/>
        </w:rPr>
        <w:t>and if so, would require labelling. Sweet corn</w:t>
      </w:r>
      <w:r>
        <w:rPr>
          <w:color w:val="000000" w:themeColor="text1"/>
          <w:szCs w:val="22"/>
        </w:rPr>
        <w:t xml:space="preserve"> kernels containing the MON87411</w:t>
      </w:r>
      <w:r w:rsidRPr="001B01A5">
        <w:rPr>
          <w:color w:val="000000" w:themeColor="text1"/>
          <w:szCs w:val="22"/>
        </w:rPr>
        <w:t xml:space="preserve"> event </w:t>
      </w:r>
      <w:r>
        <w:rPr>
          <w:color w:val="000000" w:themeColor="text1"/>
          <w:szCs w:val="22"/>
        </w:rPr>
        <w:t>are</w:t>
      </w:r>
      <w:r w:rsidRPr="001B01A5">
        <w:rPr>
          <w:color w:val="000000" w:themeColor="text1"/>
          <w:szCs w:val="22"/>
        </w:rPr>
        <w:t xml:space="preserve"> also likely to require labelling.</w:t>
      </w:r>
    </w:p>
    <w:p w14:paraId="4D858752" w14:textId="77777777" w:rsidR="00A448E0" w:rsidRPr="00260397" w:rsidRDefault="00A448E0" w:rsidP="00A448E0">
      <w:pPr>
        <w:pStyle w:val="Heading3"/>
        <w:rPr>
          <w:color w:val="000000" w:themeColor="text1"/>
        </w:rPr>
      </w:pPr>
      <w:bookmarkStart w:id="59" w:name="_Toc388276745"/>
      <w:bookmarkStart w:id="60" w:name="_Toc419907021"/>
      <w:r w:rsidRPr="00260397">
        <w:rPr>
          <w:color w:val="000000" w:themeColor="text1"/>
        </w:rPr>
        <w:t>2.3.2</w:t>
      </w:r>
      <w:r w:rsidRPr="00260397">
        <w:rPr>
          <w:color w:val="000000" w:themeColor="text1"/>
        </w:rPr>
        <w:tab/>
        <w:t>Detection methodology</w:t>
      </w:r>
      <w:bookmarkEnd w:id="59"/>
      <w:bookmarkEnd w:id="60"/>
    </w:p>
    <w:p w14:paraId="4D858753" w14:textId="77777777" w:rsidR="00A448E0" w:rsidRPr="00BD0B3A" w:rsidRDefault="00A448E0" w:rsidP="00A448E0">
      <w:pPr>
        <w:rPr>
          <w:color w:val="000000" w:themeColor="text1"/>
        </w:rPr>
      </w:pPr>
      <w:r w:rsidRPr="00BD0B3A">
        <w:rPr>
          <w:color w:val="000000" w:themeColor="text1"/>
        </w:rPr>
        <w:t>An Expert Advisory Group (EAG), involving laboratory personnel and representatives of the Australian and New Zealand jurisdictions was formed by the Food Regulation Standing Committee’s Implementation Sub-Committee</w:t>
      </w:r>
      <w:r w:rsidRPr="00BD0B3A">
        <w:rPr>
          <w:rStyle w:val="FootnoteReference"/>
          <w:color w:val="000000" w:themeColor="text1"/>
        </w:rPr>
        <w:footnoteReference w:id="7"/>
      </w:r>
      <w:r w:rsidRPr="00BD0B3A">
        <w:rPr>
          <w:color w:val="000000" w:themeColor="text1"/>
        </w:rPr>
        <w:t xml:space="preserve"> to identify and evaluate appropriate methods of analysis associated with all applications to FS</w:t>
      </w:r>
      <w:r w:rsidR="001F52D5">
        <w:rPr>
          <w:color w:val="000000" w:themeColor="text1"/>
        </w:rPr>
        <w:t>ANZ, including GM applications.</w:t>
      </w:r>
    </w:p>
    <w:p w14:paraId="4D858754" w14:textId="77777777" w:rsidR="00A448E0" w:rsidRPr="00BD0B3A" w:rsidRDefault="00A448E0" w:rsidP="00A448E0">
      <w:pPr>
        <w:rPr>
          <w:color w:val="000000" w:themeColor="text1"/>
        </w:rPr>
      </w:pPr>
    </w:p>
    <w:p w14:paraId="4D858755" w14:textId="77777777" w:rsidR="00A448E0" w:rsidRDefault="00A448E0" w:rsidP="00A448E0">
      <w:pPr>
        <w:rPr>
          <w:color w:val="000000" w:themeColor="text1"/>
        </w:rPr>
      </w:pPr>
      <w:r>
        <w:rPr>
          <w:color w:val="000000" w:themeColor="text1"/>
        </w:rPr>
        <w:t>The EAG</w:t>
      </w:r>
      <w:r w:rsidRPr="00BD0B3A">
        <w:rPr>
          <w:color w:val="000000" w:themeColor="text1"/>
        </w:rPr>
        <w:t xml:space="preserve"> indicated that for GM applications, the full DNA sequence of the insert and adjacent genomic DNA is sufficient data to be provided for analytical purposes. </w:t>
      </w:r>
    </w:p>
    <w:p w14:paraId="4D858756" w14:textId="77777777" w:rsidR="00A448E0" w:rsidRPr="00A448E0" w:rsidRDefault="00A448E0" w:rsidP="00A448E0">
      <w:pPr>
        <w:rPr>
          <w:color w:val="000000" w:themeColor="text1"/>
        </w:rPr>
      </w:pPr>
      <w:r w:rsidRPr="00BD0B3A">
        <w:rPr>
          <w:color w:val="000000" w:themeColor="text1"/>
        </w:rPr>
        <w:t xml:space="preserve">Using this information, any DNA analytical laboratory would have the capability to develop a </w:t>
      </w:r>
      <w:r>
        <w:rPr>
          <w:color w:val="000000" w:themeColor="text1"/>
        </w:rPr>
        <w:br/>
      </w:r>
      <w:r w:rsidRPr="00BD0B3A">
        <w:rPr>
          <w:color w:val="000000" w:themeColor="text1"/>
        </w:rPr>
        <w:t>PCR-based detection method. This sequence information was supplied b</w:t>
      </w:r>
      <w:r>
        <w:rPr>
          <w:color w:val="000000" w:themeColor="text1"/>
        </w:rPr>
        <w:t>y the Applicant for DAS-81910-7</w:t>
      </w:r>
      <w:r w:rsidRPr="00BD0B3A">
        <w:rPr>
          <w:color w:val="000000" w:themeColor="text1"/>
        </w:rPr>
        <w:t xml:space="preserve"> to satisfy the requirement for detection methodology in the FSANZ </w:t>
      </w:r>
      <w:r w:rsidRPr="00BD0B3A">
        <w:rPr>
          <w:i/>
          <w:color w:val="000000" w:themeColor="text1"/>
        </w:rPr>
        <w:t>Application Handbook</w:t>
      </w:r>
      <w:r w:rsidRPr="00BD0B3A">
        <w:rPr>
          <w:color w:val="000000" w:themeColor="text1"/>
        </w:rPr>
        <w:t xml:space="preserve"> </w:t>
      </w:r>
      <w:r w:rsidRPr="00BD0B3A">
        <w:rPr>
          <w:color w:val="000000" w:themeColor="text1"/>
        </w:rPr>
        <w:fldChar w:fldCharType="begin"/>
      </w:r>
      <w:r w:rsidR="004B76CD">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BD0B3A">
        <w:rPr>
          <w:color w:val="000000" w:themeColor="text1"/>
        </w:rPr>
        <w:fldChar w:fldCharType="separate"/>
      </w:r>
      <w:r w:rsidR="005A2DF3">
        <w:rPr>
          <w:noProof/>
          <w:color w:val="000000" w:themeColor="text1"/>
        </w:rPr>
        <w:t>(FSANZ 2011)</w:t>
      </w:r>
      <w:r w:rsidRPr="00BD0B3A">
        <w:rPr>
          <w:color w:val="000000" w:themeColor="text1"/>
        </w:rPr>
        <w:fldChar w:fldCharType="end"/>
      </w:r>
      <w:r w:rsidRPr="00BD0B3A">
        <w:rPr>
          <w:color w:val="000000" w:themeColor="text1"/>
        </w:rPr>
        <w:t>.</w:t>
      </w:r>
    </w:p>
    <w:p w14:paraId="4D858757" w14:textId="77777777" w:rsidR="002C1A3B" w:rsidRPr="00260397" w:rsidRDefault="002C1A3B" w:rsidP="002C1A3B">
      <w:pPr>
        <w:pStyle w:val="Heading2"/>
        <w:rPr>
          <w:szCs w:val="28"/>
        </w:rPr>
      </w:pPr>
      <w:bookmarkStart w:id="61" w:name="_Toc309291814"/>
      <w:bookmarkStart w:id="62" w:name="_Toc370225389"/>
      <w:bookmarkStart w:id="63" w:name="_Toc419907022"/>
      <w:bookmarkStart w:id="64" w:name="_Toc286391012"/>
      <w:bookmarkEnd w:id="57"/>
      <w:r w:rsidRPr="00260397">
        <w:rPr>
          <w:szCs w:val="28"/>
        </w:rPr>
        <w:t>2.4</w:t>
      </w:r>
      <w:r w:rsidRPr="00260397">
        <w:rPr>
          <w:szCs w:val="28"/>
        </w:rPr>
        <w:tab/>
        <w:t>Risk communication</w:t>
      </w:r>
      <w:bookmarkEnd w:id="61"/>
      <w:bookmarkEnd w:id="62"/>
      <w:bookmarkEnd w:id="63"/>
      <w:r w:rsidRPr="00260397">
        <w:rPr>
          <w:szCs w:val="28"/>
        </w:rPr>
        <w:t xml:space="preserve"> </w:t>
      </w:r>
    </w:p>
    <w:p w14:paraId="4D858758" w14:textId="77777777" w:rsidR="00A448E0" w:rsidRPr="00BD0B3A" w:rsidRDefault="00A448E0" w:rsidP="00A448E0">
      <w:pPr>
        <w:rPr>
          <w:color w:val="000000" w:themeColor="text1"/>
          <w:szCs w:val="22"/>
        </w:rPr>
      </w:pPr>
      <w:r w:rsidRPr="00BD0B3A">
        <w:rPr>
          <w:color w:val="000000" w:themeColor="text1"/>
          <w:szCs w:val="22"/>
        </w:rPr>
        <w:t>Consult</w:t>
      </w:r>
      <w:r>
        <w:rPr>
          <w:color w:val="000000" w:themeColor="text1"/>
          <w:szCs w:val="22"/>
        </w:rPr>
        <w:t xml:space="preserve">ation is a key part of FSANZ’s </w:t>
      </w:r>
      <w:r w:rsidR="00C27B8B">
        <w:rPr>
          <w:color w:val="000000" w:themeColor="text1"/>
          <w:szCs w:val="22"/>
        </w:rPr>
        <w:t>s</w:t>
      </w:r>
      <w:r w:rsidRPr="00BD0B3A">
        <w:rPr>
          <w:color w:val="000000" w:themeColor="text1"/>
          <w:szCs w:val="22"/>
        </w:rPr>
        <w:t xml:space="preserve">tandards development process. </w:t>
      </w:r>
    </w:p>
    <w:p w14:paraId="4D858759" w14:textId="77777777" w:rsidR="00A448E0" w:rsidRPr="00BD0B3A" w:rsidRDefault="00A448E0" w:rsidP="00A448E0">
      <w:pPr>
        <w:rPr>
          <w:color w:val="000000" w:themeColor="text1"/>
          <w:szCs w:val="22"/>
        </w:rPr>
      </w:pPr>
    </w:p>
    <w:p w14:paraId="4D85875A" w14:textId="77777777" w:rsidR="00A448E0" w:rsidRPr="00BD0B3A" w:rsidRDefault="00A448E0" w:rsidP="00A448E0">
      <w:pPr>
        <w:rPr>
          <w:color w:val="000000" w:themeColor="text1"/>
          <w:lang w:bidi="ar-SA"/>
        </w:rPr>
      </w:pPr>
      <w:r w:rsidRPr="00BD0B3A">
        <w:rPr>
          <w:color w:val="000000" w:themeColor="text1"/>
          <w:lang w:bidi="ar-SA"/>
        </w:rPr>
        <w:t xml:space="preserve">The process by which FSANZ </w:t>
      </w:r>
      <w:r>
        <w:rPr>
          <w:color w:val="000000" w:themeColor="text1"/>
          <w:lang w:bidi="ar-SA"/>
        </w:rPr>
        <w:t xml:space="preserve">considers </w:t>
      </w:r>
      <w:r w:rsidR="00C27B8B">
        <w:rPr>
          <w:color w:val="000000" w:themeColor="text1"/>
          <w:lang w:bidi="ar-SA"/>
        </w:rPr>
        <w:t>s</w:t>
      </w:r>
      <w:r w:rsidRPr="00BD0B3A">
        <w:rPr>
          <w:color w:val="000000" w:themeColor="text1"/>
          <w:lang w:bidi="ar-SA"/>
        </w:rPr>
        <w:t>tandard</w:t>
      </w:r>
      <w:r>
        <w:rPr>
          <w:color w:val="000000" w:themeColor="text1"/>
          <w:lang w:bidi="ar-SA"/>
        </w:rPr>
        <w:t>s</w:t>
      </w:r>
      <w:r w:rsidRPr="00BD0B3A">
        <w:rPr>
          <w:color w:val="000000" w:themeColor="text1"/>
          <w:lang w:bidi="ar-SA"/>
        </w:rPr>
        <w:t xml:space="preserve"> matters is open, accountable, consultative and transparent. Public submissions are called to obtain the views of interested parties on issues raised by the application and the impacts of regulatory options.</w:t>
      </w:r>
    </w:p>
    <w:p w14:paraId="4D85875B" w14:textId="77777777" w:rsidR="006C5E00" w:rsidRDefault="006C5E00">
      <w:pPr>
        <w:widowControl/>
        <w:rPr>
          <w:color w:val="000000" w:themeColor="text1"/>
          <w:szCs w:val="22"/>
        </w:rPr>
      </w:pPr>
    </w:p>
    <w:p w14:paraId="5C52D657" w14:textId="77777777" w:rsidR="00ED70BB" w:rsidRDefault="00A448E0" w:rsidP="009E7F4C">
      <w:pPr>
        <w:rPr>
          <w:color w:val="000000" w:themeColor="text1"/>
          <w:szCs w:val="22"/>
        </w:rPr>
      </w:pPr>
      <w:r w:rsidRPr="00BD0B3A">
        <w:rPr>
          <w:color w:val="000000" w:themeColor="text1"/>
          <w:szCs w:val="22"/>
        </w:rPr>
        <w:t xml:space="preserve">Public submissions were invited on a draft variation which was released for public comment between </w:t>
      </w:r>
      <w:r>
        <w:rPr>
          <w:color w:val="000000" w:themeColor="text1"/>
          <w:szCs w:val="22"/>
        </w:rPr>
        <w:t>1</w:t>
      </w:r>
      <w:r w:rsidR="00DE1CFC">
        <w:rPr>
          <w:color w:val="000000" w:themeColor="text1"/>
          <w:szCs w:val="22"/>
        </w:rPr>
        <w:t>6 D</w:t>
      </w:r>
      <w:r>
        <w:rPr>
          <w:color w:val="000000" w:themeColor="text1"/>
          <w:szCs w:val="22"/>
        </w:rPr>
        <w:t>ecember 2014 and 10 February 2015</w:t>
      </w:r>
      <w:r w:rsidRPr="00BD0B3A">
        <w:rPr>
          <w:color w:val="000000" w:themeColor="text1"/>
          <w:szCs w:val="22"/>
        </w:rPr>
        <w:t xml:space="preserve">. </w:t>
      </w:r>
    </w:p>
    <w:p w14:paraId="4D85875C" w14:textId="70F5B1DA" w:rsidR="009E7F4C" w:rsidRDefault="009E7F4C" w:rsidP="009E7F4C">
      <w:pPr>
        <w:rPr>
          <w:color w:val="000000" w:themeColor="text1"/>
          <w:szCs w:val="22"/>
        </w:rPr>
      </w:pPr>
      <w:r>
        <w:rPr>
          <w:color w:val="000000" w:themeColor="text1"/>
          <w:szCs w:val="22"/>
        </w:rPr>
        <w:br w:type="page"/>
      </w:r>
    </w:p>
    <w:p w14:paraId="4D85875D" w14:textId="77777777" w:rsidR="00A448E0" w:rsidRDefault="00A448E0" w:rsidP="00A448E0">
      <w:pPr>
        <w:rPr>
          <w:color w:val="000000" w:themeColor="text1"/>
          <w:lang w:bidi="ar-SA"/>
        </w:rPr>
      </w:pPr>
      <w:r w:rsidRPr="00BD0B3A">
        <w:rPr>
          <w:color w:val="000000" w:themeColor="text1"/>
          <w:lang w:bidi="ar-SA"/>
        </w:rPr>
        <w:lastRenderedPageBreak/>
        <w:t xml:space="preserve">The call for submissions was notified via the Notification Circular, media release and through FSANZ’s social media tools and the </w:t>
      </w:r>
      <w:r w:rsidRPr="007140EF">
        <w:rPr>
          <w:color w:val="000000" w:themeColor="text1"/>
          <w:lang w:bidi="ar-SA"/>
        </w:rPr>
        <w:t xml:space="preserve">publication, </w:t>
      </w:r>
      <w:r w:rsidRPr="00561158">
        <w:rPr>
          <w:color w:val="000000" w:themeColor="text1"/>
          <w:lang w:bidi="ar-SA"/>
        </w:rPr>
        <w:t>Food Standards News</w:t>
      </w:r>
      <w:r w:rsidRPr="001541D6">
        <w:rPr>
          <w:color w:val="000000" w:themeColor="text1"/>
          <w:lang w:bidi="ar-SA"/>
        </w:rPr>
        <w:t>.</w:t>
      </w:r>
      <w:r w:rsidRPr="007140EF">
        <w:rPr>
          <w:color w:val="000000" w:themeColor="text1"/>
          <w:lang w:bidi="ar-SA"/>
        </w:rPr>
        <w:t xml:space="preserve"> Subscribers and interested parties were also notified. </w:t>
      </w:r>
    </w:p>
    <w:p w14:paraId="4D85875E" w14:textId="77777777" w:rsidR="00A448E0" w:rsidRDefault="00A448E0" w:rsidP="00A448E0">
      <w:pPr>
        <w:rPr>
          <w:color w:val="000000" w:themeColor="text1"/>
          <w:lang w:bidi="ar-SA"/>
        </w:rPr>
      </w:pPr>
    </w:p>
    <w:p w14:paraId="4D85875F" w14:textId="77777777" w:rsidR="00A448E0" w:rsidRPr="00435A76" w:rsidRDefault="006B4BC4" w:rsidP="00A448E0">
      <w:pPr>
        <w:rPr>
          <w:color w:val="000000" w:themeColor="text1"/>
          <w:szCs w:val="22"/>
        </w:rPr>
      </w:pPr>
      <w:r w:rsidRPr="006B4BC4">
        <w:rPr>
          <w:color w:val="000000" w:themeColor="text1"/>
          <w:szCs w:val="22"/>
        </w:rPr>
        <w:t>A total of 23</w:t>
      </w:r>
      <w:r w:rsidR="00A448E0" w:rsidRPr="006B4BC4">
        <w:rPr>
          <w:color w:val="000000" w:themeColor="text1"/>
          <w:szCs w:val="22"/>
        </w:rPr>
        <w:t xml:space="preserve"> submissions </w:t>
      </w:r>
      <w:r w:rsidR="00A448E0" w:rsidRPr="007140EF">
        <w:rPr>
          <w:color w:val="000000" w:themeColor="text1"/>
          <w:szCs w:val="22"/>
        </w:rPr>
        <w:t xml:space="preserve">were </w:t>
      </w:r>
      <w:r w:rsidR="00A448E0" w:rsidRPr="00435A76">
        <w:rPr>
          <w:color w:val="000000" w:themeColor="text1"/>
          <w:szCs w:val="22"/>
        </w:rPr>
        <w:t xml:space="preserve">received, of </w:t>
      </w:r>
      <w:r w:rsidR="00A448E0" w:rsidRPr="006B4BC4">
        <w:rPr>
          <w:color w:val="000000" w:themeColor="text1"/>
          <w:szCs w:val="22"/>
        </w:rPr>
        <w:t xml:space="preserve">which </w:t>
      </w:r>
      <w:r w:rsidRPr="006B4BC4">
        <w:rPr>
          <w:color w:val="000000" w:themeColor="text1"/>
          <w:szCs w:val="22"/>
        </w:rPr>
        <w:t>20</w:t>
      </w:r>
      <w:r w:rsidR="00A448E0" w:rsidRPr="006B4BC4">
        <w:rPr>
          <w:color w:val="000000" w:themeColor="text1"/>
          <w:szCs w:val="22"/>
        </w:rPr>
        <w:t xml:space="preserve"> </w:t>
      </w:r>
      <w:r w:rsidR="00A448E0" w:rsidRPr="00435A76">
        <w:rPr>
          <w:color w:val="000000" w:themeColor="text1"/>
          <w:szCs w:val="22"/>
        </w:rPr>
        <w:t xml:space="preserve">objected to the proposed variation. </w:t>
      </w:r>
    </w:p>
    <w:p w14:paraId="4D858760" w14:textId="77777777" w:rsidR="00A448E0" w:rsidRPr="00BD0B3A" w:rsidRDefault="00A448E0" w:rsidP="00A448E0">
      <w:pPr>
        <w:rPr>
          <w:color w:val="000000" w:themeColor="text1"/>
          <w:szCs w:val="22"/>
        </w:rPr>
      </w:pPr>
      <w:r w:rsidRPr="007140EF">
        <w:rPr>
          <w:color w:val="000000" w:themeColor="text1"/>
          <w:szCs w:val="22"/>
        </w:rPr>
        <w:t xml:space="preserve">FSANZ acknowledges the time taken by individuals and organisations to make submissions on this </w:t>
      </w:r>
      <w:r w:rsidRPr="00BD0B3A">
        <w:rPr>
          <w:color w:val="000000" w:themeColor="text1"/>
          <w:szCs w:val="22"/>
        </w:rPr>
        <w:t>Application.</w:t>
      </w:r>
      <w:r>
        <w:rPr>
          <w:color w:val="000000" w:themeColor="text1"/>
          <w:szCs w:val="22"/>
        </w:rPr>
        <w:t xml:space="preserve"> All comments are valued and contribute to the rigour of the safety assessment. Every submission on this application was considered by the FSANZ Board. </w:t>
      </w:r>
    </w:p>
    <w:p w14:paraId="4D858761" w14:textId="77777777" w:rsidR="00A448E0" w:rsidRPr="00BD0B3A" w:rsidRDefault="00A448E0" w:rsidP="00A448E0">
      <w:pPr>
        <w:rPr>
          <w:color w:val="000000" w:themeColor="text1"/>
          <w:lang w:bidi="ar-SA"/>
        </w:rPr>
      </w:pPr>
    </w:p>
    <w:p w14:paraId="4D858762" w14:textId="77777777" w:rsidR="00A448E0" w:rsidRPr="00BD0B3A" w:rsidRDefault="00A448E0" w:rsidP="00A448E0">
      <w:pPr>
        <w:rPr>
          <w:color w:val="000000" w:themeColor="text1"/>
          <w:lang w:bidi="ar-SA"/>
        </w:rPr>
      </w:pPr>
      <w:r>
        <w:rPr>
          <w:color w:val="000000" w:themeColor="text1"/>
          <w:lang w:bidi="ar-SA"/>
        </w:rPr>
        <w:t xml:space="preserve">Documents relating to Application </w:t>
      </w:r>
      <w:r w:rsidR="00B430BE" w:rsidRPr="00BD0B3A">
        <w:rPr>
          <w:color w:val="000000" w:themeColor="text1"/>
          <w:lang w:bidi="ar-SA"/>
        </w:rPr>
        <w:t>A</w:t>
      </w:r>
      <w:r w:rsidR="00B430BE">
        <w:rPr>
          <w:color w:val="000000" w:themeColor="text1"/>
          <w:lang w:bidi="ar-SA"/>
        </w:rPr>
        <w:t>1097</w:t>
      </w:r>
      <w:r w:rsidRPr="00BD0B3A">
        <w:rPr>
          <w:color w:val="000000" w:themeColor="text1"/>
          <w:lang w:bidi="ar-SA"/>
        </w:rPr>
        <w:t xml:space="preserve">, including submissions received, </w:t>
      </w:r>
      <w:r>
        <w:rPr>
          <w:color w:val="000000" w:themeColor="text1"/>
          <w:lang w:bidi="ar-SA"/>
        </w:rPr>
        <w:t>are</w:t>
      </w:r>
      <w:r w:rsidRPr="00BD0B3A">
        <w:rPr>
          <w:color w:val="000000" w:themeColor="text1"/>
          <w:lang w:bidi="ar-SA"/>
        </w:rPr>
        <w:t xml:space="preserve"> available on the FSANZ website.</w:t>
      </w:r>
    </w:p>
    <w:p w14:paraId="4D858763" w14:textId="77777777" w:rsidR="002C1A3B" w:rsidRPr="00260397" w:rsidRDefault="002C1A3B" w:rsidP="002C1A3B">
      <w:pPr>
        <w:pStyle w:val="Heading2"/>
        <w:rPr>
          <w:szCs w:val="28"/>
        </w:rPr>
      </w:pPr>
      <w:bookmarkStart w:id="65" w:name="_Toc370223477"/>
      <w:bookmarkStart w:id="66" w:name="_Toc370225392"/>
      <w:bookmarkStart w:id="67" w:name="_Toc419907023"/>
      <w:bookmarkStart w:id="68" w:name="_Toc309291816"/>
      <w:bookmarkStart w:id="69" w:name="_Toc300933448"/>
      <w:bookmarkStart w:id="70" w:name="_Toc300933577"/>
      <w:bookmarkStart w:id="71" w:name="_Toc301535601"/>
      <w:bookmarkStart w:id="72" w:name="_Toc309385464"/>
      <w:bookmarkStart w:id="73" w:name="_Toc175381456"/>
      <w:bookmarkEnd w:id="34"/>
      <w:bookmarkEnd w:id="35"/>
      <w:bookmarkEnd w:id="36"/>
      <w:bookmarkEnd w:id="37"/>
      <w:bookmarkEnd w:id="38"/>
      <w:bookmarkEnd w:id="39"/>
      <w:bookmarkEnd w:id="64"/>
      <w:r w:rsidRPr="00260397">
        <w:rPr>
          <w:szCs w:val="28"/>
        </w:rPr>
        <w:t>2.5</w:t>
      </w:r>
      <w:r w:rsidRPr="00260397">
        <w:rPr>
          <w:szCs w:val="28"/>
        </w:rPr>
        <w:tab/>
        <w:t>FSANZ Act assessment requirements</w:t>
      </w:r>
      <w:bookmarkEnd w:id="65"/>
      <w:bookmarkEnd w:id="66"/>
      <w:bookmarkEnd w:id="67"/>
    </w:p>
    <w:p w14:paraId="4D858764" w14:textId="77777777" w:rsidR="002C1A3B" w:rsidRPr="00260397" w:rsidRDefault="002C1A3B" w:rsidP="002C1A3B">
      <w:pPr>
        <w:pStyle w:val="Heading3"/>
        <w:rPr>
          <w:color w:val="000000" w:themeColor="text1"/>
        </w:rPr>
      </w:pPr>
      <w:bookmarkStart w:id="74" w:name="_Toc370223478"/>
      <w:bookmarkStart w:id="75" w:name="_Toc370225393"/>
      <w:bookmarkStart w:id="76" w:name="_Toc419907024"/>
      <w:bookmarkEnd w:id="68"/>
      <w:bookmarkEnd w:id="69"/>
      <w:bookmarkEnd w:id="70"/>
      <w:bookmarkEnd w:id="71"/>
      <w:bookmarkEnd w:id="72"/>
      <w:r w:rsidRPr="00260397">
        <w:rPr>
          <w:color w:val="000000" w:themeColor="text1"/>
        </w:rPr>
        <w:t>2.5.1</w:t>
      </w:r>
      <w:r w:rsidRPr="00260397">
        <w:rPr>
          <w:color w:val="000000" w:themeColor="text1"/>
        </w:rPr>
        <w:tab/>
        <w:t>Section 29</w:t>
      </w:r>
      <w:bookmarkEnd w:id="74"/>
      <w:bookmarkEnd w:id="75"/>
      <w:bookmarkEnd w:id="76"/>
    </w:p>
    <w:p w14:paraId="4D858765" w14:textId="77777777" w:rsidR="002C1A3B" w:rsidRPr="00260397" w:rsidRDefault="002C1A3B" w:rsidP="002C1A3B">
      <w:pPr>
        <w:pStyle w:val="Heading4"/>
        <w:rPr>
          <w:color w:val="000000" w:themeColor="text1"/>
        </w:rPr>
      </w:pPr>
      <w:r w:rsidRPr="00260397">
        <w:rPr>
          <w:color w:val="000000" w:themeColor="text1"/>
        </w:rPr>
        <w:t>2.5.1.1</w:t>
      </w:r>
      <w:r w:rsidRPr="00260397">
        <w:rPr>
          <w:color w:val="000000" w:themeColor="text1"/>
        </w:rPr>
        <w:tab/>
        <w:t>Cost benefit analysis</w:t>
      </w:r>
    </w:p>
    <w:p w14:paraId="4D858766" w14:textId="77777777" w:rsidR="00A1176E" w:rsidRDefault="00A1176E" w:rsidP="00A1176E">
      <w:pPr>
        <w:rPr>
          <w:rFonts w:cs="Arial"/>
          <w:szCs w:val="22"/>
        </w:rPr>
      </w:pPr>
      <w:r>
        <w:rPr>
          <w:rFonts w:cs="Arial"/>
          <w:szCs w:val="22"/>
        </w:rPr>
        <w:t xml:space="preserve">The Office of Best Practice Regulation (OBPR), in a letter to FSANZ dated 24 November 2010, granted a standing exemption from the need of the OBPR to assess if a Regulatory Impact Statement is required for the approval of additional genetically modified foods (reference 12065). The exemption was provided as applications relating to genetically modified food are considered as minor, machinery and deregulatory in nature. </w:t>
      </w:r>
    </w:p>
    <w:p w14:paraId="4D858767" w14:textId="77777777" w:rsidR="00A1176E" w:rsidRDefault="00A1176E" w:rsidP="002C1A3B"/>
    <w:p w14:paraId="4D858768" w14:textId="77777777" w:rsidR="0099623A" w:rsidRDefault="00A1176E" w:rsidP="002C1A3B">
      <w:r>
        <w:rPr>
          <w:color w:val="000000" w:themeColor="text1"/>
        </w:rPr>
        <w:t xml:space="preserve">FSANZ undertook a cost benefit analysis (see below). The analysis concluded </w:t>
      </w:r>
      <w:r>
        <w:t>t</w:t>
      </w:r>
      <w:r w:rsidR="0099623A">
        <w:t xml:space="preserve">he direct and indirect benefits </w:t>
      </w:r>
      <w:r w:rsidR="0099623A" w:rsidRPr="00914030">
        <w:t>that would arise from a food regulatory measure</w:t>
      </w:r>
      <w:r w:rsidR="00C27B8B">
        <w:t>,</w:t>
      </w:r>
      <w:r w:rsidR="0099623A" w:rsidRPr="00914030">
        <w:t xml:space="preserve"> </w:t>
      </w:r>
      <w:r>
        <w:t>varied as a result of Application A1097</w:t>
      </w:r>
      <w:r w:rsidR="00C27B8B">
        <w:t>,</w:t>
      </w:r>
      <w:r>
        <w:t xml:space="preserve"> </w:t>
      </w:r>
      <w:r w:rsidR="0099623A" w:rsidRPr="00914030">
        <w:t xml:space="preserve">outweigh the </w:t>
      </w:r>
      <w:r w:rsidR="0099623A">
        <w:t>costs</w:t>
      </w:r>
      <w:r w:rsidR="0099623A" w:rsidRPr="00914030">
        <w:t xml:space="preserve"> to the community, Government or industry</w:t>
      </w:r>
      <w:r w:rsidR="002612A6">
        <w:t>.</w:t>
      </w:r>
      <w:r w:rsidR="0099623A" w:rsidRPr="00914030">
        <w:t xml:space="preserve"> </w:t>
      </w:r>
    </w:p>
    <w:p w14:paraId="4D858769" w14:textId="77777777" w:rsidR="002612A6" w:rsidRDefault="002612A6" w:rsidP="002C1A3B"/>
    <w:p w14:paraId="4D85876A" w14:textId="77777777" w:rsidR="002612A6" w:rsidRPr="00BD0B3A" w:rsidRDefault="002612A6" w:rsidP="002612A6">
      <w:pPr>
        <w:widowControl/>
        <w:rPr>
          <w:color w:val="000000" w:themeColor="text1"/>
        </w:rPr>
      </w:pPr>
      <w:r w:rsidRPr="00BD0B3A">
        <w:rPr>
          <w:color w:val="000000" w:themeColor="text1"/>
        </w:rPr>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4D85876B" w14:textId="77777777" w:rsidR="002612A6" w:rsidRPr="00BD0B3A" w:rsidRDefault="002612A6" w:rsidP="002612A6">
      <w:pPr>
        <w:rPr>
          <w:color w:val="000000" w:themeColor="text1"/>
        </w:rPr>
      </w:pPr>
    </w:p>
    <w:p w14:paraId="4D85876C" w14:textId="77777777" w:rsidR="002612A6" w:rsidRPr="008143ED" w:rsidRDefault="002612A6" w:rsidP="002612A6">
      <w:pPr>
        <w:rPr>
          <w:color w:val="000000" w:themeColor="text1"/>
        </w:rPr>
      </w:pPr>
      <w:r w:rsidRPr="00400169">
        <w:t xml:space="preserve">The points below list the effect that approving the draft would be expected to have on various </w:t>
      </w:r>
      <w:r w:rsidRPr="00F810AD">
        <w:rPr>
          <w:color w:val="000000" w:themeColor="text1"/>
        </w:rPr>
        <w:t>sectors. It is noted that the cost/ben</w:t>
      </w:r>
      <w:r>
        <w:rPr>
          <w:color w:val="000000" w:themeColor="text1"/>
        </w:rPr>
        <w:t>efit analysis</w:t>
      </w:r>
      <w:r w:rsidRPr="00F810AD">
        <w:rPr>
          <w:color w:val="000000" w:themeColor="text1"/>
        </w:rPr>
        <w:t xml:space="preserve"> is base</w:t>
      </w:r>
      <w:r>
        <w:rPr>
          <w:color w:val="000000" w:themeColor="text1"/>
        </w:rPr>
        <w:t>d on the assumption that MON87411</w:t>
      </w:r>
      <w:r w:rsidRPr="00F810AD">
        <w:rPr>
          <w:color w:val="000000" w:themeColor="text1"/>
        </w:rPr>
        <w:t xml:space="preserve"> </w:t>
      </w:r>
      <w:r w:rsidR="00F17C8A">
        <w:rPr>
          <w:color w:val="000000" w:themeColor="text1"/>
        </w:rPr>
        <w:t xml:space="preserve">(and any lines containing </w:t>
      </w:r>
      <w:r w:rsidR="00F17C8A" w:rsidRPr="008143ED">
        <w:rPr>
          <w:color w:val="000000" w:themeColor="text1"/>
        </w:rPr>
        <w:t xml:space="preserve">the MON87411 event) </w:t>
      </w:r>
      <w:r w:rsidRPr="008143ED">
        <w:rPr>
          <w:color w:val="000000" w:themeColor="text1"/>
        </w:rPr>
        <w:t>will be approved for growing in other countries (see section 2.5.1.4 below).</w:t>
      </w:r>
    </w:p>
    <w:p w14:paraId="4D85876D" w14:textId="77777777" w:rsidR="00AC5293" w:rsidRPr="008143ED" w:rsidRDefault="00AC5293" w:rsidP="002612A6">
      <w:pPr>
        <w:rPr>
          <w:color w:val="000000" w:themeColor="text1"/>
        </w:rPr>
      </w:pPr>
    </w:p>
    <w:p w14:paraId="4D85876E" w14:textId="77777777" w:rsidR="002612A6" w:rsidRDefault="002612A6" w:rsidP="002612A6">
      <w:pPr>
        <w:ind w:left="1418" w:hanging="1418"/>
      </w:pPr>
      <w:r w:rsidRPr="008143ED">
        <w:rPr>
          <w:i/>
          <w:color w:val="000000" w:themeColor="text1"/>
        </w:rPr>
        <w:t>Consumers:</w:t>
      </w:r>
      <w:r w:rsidRPr="008143ED">
        <w:rPr>
          <w:color w:val="000000" w:themeColor="text1"/>
        </w:rPr>
        <w:tab/>
        <w:t xml:space="preserve">Broader availability of imported corn products as, if MON87411 </w:t>
      </w:r>
      <w:r>
        <w:t>is approved for commercial growing,</w:t>
      </w:r>
      <w:r w:rsidRPr="00400169">
        <w:t xml:space="preserve"> there would be no restriction on imported foods con</w:t>
      </w:r>
      <w:r>
        <w:t>taining this line.</w:t>
      </w:r>
    </w:p>
    <w:p w14:paraId="4D85876F" w14:textId="77777777" w:rsidR="00357357" w:rsidRDefault="00357357">
      <w:pPr>
        <w:widowControl/>
      </w:pPr>
    </w:p>
    <w:p w14:paraId="4D858770" w14:textId="77777777" w:rsidR="002612A6" w:rsidRDefault="002612A6" w:rsidP="002612A6">
      <w:pPr>
        <w:ind w:left="1418"/>
      </w:pPr>
      <w:r>
        <w:t>For those MON87411</w:t>
      </w:r>
      <w:r w:rsidRPr="00A57AC9">
        <w:t xml:space="preserve"> products containing novel DNA or novel protein, appropriate labelling would allow</w:t>
      </w:r>
      <w:r>
        <w:t xml:space="preserve"> consumers wishing to avoid these products</w:t>
      </w:r>
      <w:r w:rsidRPr="00A57AC9">
        <w:t xml:space="preserve"> to do so.</w:t>
      </w:r>
    </w:p>
    <w:p w14:paraId="4D858771" w14:textId="77777777" w:rsidR="002612A6" w:rsidRPr="00F810AD" w:rsidRDefault="002612A6" w:rsidP="002612A6">
      <w:pPr>
        <w:ind w:left="1418"/>
        <w:rPr>
          <w:color w:val="000000" w:themeColor="text1"/>
        </w:rPr>
      </w:pPr>
    </w:p>
    <w:p w14:paraId="4D858772" w14:textId="77777777" w:rsidR="006B4BC4" w:rsidRDefault="002612A6" w:rsidP="002612A6">
      <w:pPr>
        <w:ind w:left="1418"/>
        <w:rPr>
          <w:color w:val="000000" w:themeColor="text1"/>
        </w:rPr>
      </w:pPr>
      <w:r>
        <w:rPr>
          <w:color w:val="000000" w:themeColor="text1"/>
        </w:rPr>
        <w:t>If MON87411</w:t>
      </w:r>
      <w:r w:rsidRPr="00F810AD">
        <w:rPr>
          <w:color w:val="000000" w:themeColor="text1"/>
        </w:rPr>
        <w:t xml:space="preserve"> is approved for commercial growing in overseas countries, it can be used in the manufacture of p</w:t>
      </w:r>
      <w:r>
        <w:rPr>
          <w:color w:val="000000" w:themeColor="text1"/>
        </w:rPr>
        <w:t>roducts using co-mingled corn</w:t>
      </w:r>
      <w:r w:rsidRPr="00F810AD">
        <w:rPr>
          <w:color w:val="000000" w:themeColor="text1"/>
        </w:rPr>
        <w:t xml:space="preserve">. </w:t>
      </w:r>
    </w:p>
    <w:p w14:paraId="4D858773" w14:textId="77777777" w:rsidR="006B4BC4" w:rsidRDefault="006B4BC4">
      <w:pPr>
        <w:widowControl/>
        <w:rPr>
          <w:color w:val="000000" w:themeColor="text1"/>
        </w:rPr>
      </w:pPr>
    </w:p>
    <w:p w14:paraId="4D858774" w14:textId="77777777" w:rsidR="002612A6" w:rsidRPr="002612A6" w:rsidRDefault="002612A6" w:rsidP="002612A6">
      <w:pPr>
        <w:ind w:left="1418"/>
        <w:rPr>
          <w:color w:val="000000" w:themeColor="text1"/>
        </w:rPr>
      </w:pPr>
      <w:r w:rsidRPr="00F810AD">
        <w:rPr>
          <w:color w:val="000000" w:themeColor="text1"/>
        </w:rPr>
        <w:t xml:space="preserve">This </w:t>
      </w:r>
      <w:r w:rsidRPr="00BD7235">
        <w:t>means that there would be no cost invol</w:t>
      </w:r>
      <w:r>
        <w:t>ved in having to exclude MON87411</w:t>
      </w:r>
      <w:r w:rsidRPr="00BD7235">
        <w:t xml:space="preserve"> from co-mingling and hence that there would be no consequential need to increase the prices of imported foods that are manufactured using </w:t>
      </w:r>
      <w:r>
        <w:t>comingled corn</w:t>
      </w:r>
      <w:r w:rsidRPr="00BD7235">
        <w:t xml:space="preserve"> products.</w:t>
      </w:r>
    </w:p>
    <w:p w14:paraId="4D858775" w14:textId="0EAAC0E9" w:rsidR="00ED70BB" w:rsidRDefault="00ED70BB" w:rsidP="002612A6">
      <w:pPr>
        <w:widowControl/>
        <w:rPr>
          <w:i/>
        </w:rPr>
      </w:pPr>
      <w:r>
        <w:rPr>
          <w:i/>
        </w:rPr>
        <w:br w:type="page"/>
      </w:r>
    </w:p>
    <w:p w14:paraId="4D858776" w14:textId="77777777" w:rsidR="002612A6" w:rsidRDefault="002612A6" w:rsidP="002612A6">
      <w:pPr>
        <w:ind w:left="1418" w:hanging="1418"/>
      </w:pPr>
      <w:r w:rsidRPr="00400169">
        <w:rPr>
          <w:i/>
        </w:rPr>
        <w:lastRenderedPageBreak/>
        <w:t>Government:</w:t>
      </w:r>
      <w:r w:rsidRPr="00400169">
        <w:tab/>
        <w:t>Benefit that i</w:t>
      </w:r>
      <w:r>
        <w:t>f MON87411 was detected in food</w:t>
      </w:r>
      <w:r w:rsidRPr="00400169">
        <w:t xml:space="preserve"> imports, approval would ensure compliance of those products with the Code. This would ensure no potential for trade </w:t>
      </w:r>
      <w:r w:rsidRPr="004A625B">
        <w:t>disruption</w:t>
      </w:r>
      <w:r w:rsidRPr="00400169">
        <w:t xml:space="preserve"> on regulatory grounds. </w:t>
      </w:r>
    </w:p>
    <w:p w14:paraId="4D858777" w14:textId="77777777" w:rsidR="002612A6" w:rsidRPr="00400169" w:rsidRDefault="002612A6" w:rsidP="002612A6"/>
    <w:p w14:paraId="4D858778" w14:textId="77777777" w:rsidR="002612A6" w:rsidRPr="00F810AD" w:rsidRDefault="002612A6" w:rsidP="002612A6">
      <w:pPr>
        <w:ind w:left="1418"/>
        <w:rPr>
          <w:color w:val="000000" w:themeColor="text1"/>
        </w:rPr>
      </w:pPr>
      <w:r w:rsidRPr="00F810AD">
        <w:rPr>
          <w:color w:val="000000" w:themeColor="text1"/>
        </w:rPr>
        <w:t>Appr</w:t>
      </w:r>
      <w:r>
        <w:rPr>
          <w:color w:val="000000" w:themeColor="text1"/>
        </w:rPr>
        <w:t>oval of MON87411</w:t>
      </w:r>
      <w:r w:rsidRPr="00F810AD">
        <w:rPr>
          <w:color w:val="000000" w:themeColor="text1"/>
        </w:rPr>
        <w:t xml:space="preserve"> would ensure no conflict with WTO responsibilities if the line is approved for commercial growing in overseas countries.</w:t>
      </w:r>
    </w:p>
    <w:p w14:paraId="4D858779" w14:textId="77777777" w:rsidR="008143ED" w:rsidRDefault="008143ED">
      <w:pPr>
        <w:widowControl/>
      </w:pPr>
    </w:p>
    <w:p w14:paraId="4D85877A" w14:textId="77777777" w:rsidR="002612A6" w:rsidRPr="00400169" w:rsidRDefault="002612A6" w:rsidP="002612A6">
      <w:pPr>
        <w:ind w:left="1418"/>
      </w:pPr>
      <w:r w:rsidRPr="00400169">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14:paraId="4D85877B" w14:textId="77777777" w:rsidR="002612A6" w:rsidRPr="00400169" w:rsidRDefault="002612A6" w:rsidP="002612A6"/>
    <w:p w14:paraId="4D85877C" w14:textId="77777777" w:rsidR="002612A6" w:rsidRPr="00400169" w:rsidRDefault="002612A6" w:rsidP="002612A6">
      <w:pPr>
        <w:ind w:left="1418" w:hanging="1418"/>
      </w:pPr>
      <w:r w:rsidRPr="00400169">
        <w:rPr>
          <w:i/>
        </w:rPr>
        <w:t>Industry:</w:t>
      </w:r>
      <w:r w:rsidRPr="00400169">
        <w:tab/>
        <w:t>Importers of pr</w:t>
      </w:r>
      <w:r>
        <w:t>ocessed foods containing corn</w:t>
      </w:r>
      <w:r w:rsidRPr="00400169">
        <w:t xml:space="preserve"> derivatives would benefit as foods </w:t>
      </w:r>
      <w:r>
        <w:t>derived from MON87411</w:t>
      </w:r>
      <w:r w:rsidRPr="00400169">
        <w:t xml:space="preserve"> would be compliant with the Code, allowing broader market access and increased choice in raw materials. </w:t>
      </w:r>
    </w:p>
    <w:p w14:paraId="4D85877D" w14:textId="77777777" w:rsidR="002612A6" w:rsidRPr="00400169" w:rsidRDefault="002612A6" w:rsidP="002612A6">
      <w:pPr>
        <w:ind w:left="1418"/>
      </w:pPr>
    </w:p>
    <w:p w14:paraId="4D85877E" w14:textId="77777777" w:rsidR="002612A6" w:rsidRDefault="002612A6" w:rsidP="002612A6">
      <w:pPr>
        <w:ind w:left="1418"/>
      </w:pPr>
      <w:r w:rsidRPr="00400169">
        <w:t xml:space="preserve">Retailers may be able to </w:t>
      </w:r>
      <w:r>
        <w:t>offer a broader range of corn</w:t>
      </w:r>
      <w:r w:rsidRPr="00400169">
        <w:t xml:space="preserve"> products or imported </w:t>
      </w:r>
      <w:r>
        <w:t>foods manufactured using corn</w:t>
      </w:r>
      <w:r w:rsidRPr="00400169">
        <w:t xml:space="preserve"> derivatives.</w:t>
      </w:r>
    </w:p>
    <w:p w14:paraId="4D85877F" w14:textId="77777777" w:rsidR="002612A6" w:rsidRPr="00400169" w:rsidRDefault="002612A6" w:rsidP="002612A6">
      <w:pPr>
        <w:ind w:left="1418"/>
      </w:pPr>
    </w:p>
    <w:p w14:paraId="4D858780" w14:textId="77777777" w:rsidR="002612A6" w:rsidRDefault="002612A6" w:rsidP="002612A6">
      <w:pPr>
        <w:ind w:left="1418"/>
      </w:pPr>
      <w:r w:rsidRPr="00400169">
        <w:t>Possib</w:t>
      </w:r>
      <w:r>
        <w:t>le cost to food industry as</w:t>
      </w:r>
      <w:r w:rsidRPr="00400169">
        <w:t xml:space="preserve"> food ingredients deriv</w:t>
      </w:r>
      <w:r>
        <w:t>ed from MON87411 would be required to be labelled if they contain novel DNA or novel protein.</w:t>
      </w:r>
    </w:p>
    <w:p w14:paraId="4D858781" w14:textId="77777777" w:rsidR="002612A6" w:rsidRDefault="002612A6" w:rsidP="002612A6">
      <w:pPr>
        <w:ind w:left="1418"/>
      </w:pPr>
    </w:p>
    <w:p w14:paraId="4D858782" w14:textId="77777777" w:rsidR="002612A6" w:rsidRPr="00272E09" w:rsidRDefault="002612A6" w:rsidP="002612A6">
      <w:pPr>
        <w:ind w:left="1418"/>
      </w:pPr>
      <w:r w:rsidRPr="00C75EF3">
        <w:t>The segregation of raw agricultural commodit</w:t>
      </w:r>
      <w:r>
        <w:t>ies of MON87411</w:t>
      </w:r>
      <w:r w:rsidRPr="00C75EF3">
        <w:t>, as for any GM crop, will be driven by industry, based on market preferences. Implicit in this will be a due regard to the costs of maintaining various levels of purity.</w:t>
      </w:r>
    </w:p>
    <w:p w14:paraId="4D858783" w14:textId="77777777" w:rsidR="002612A6" w:rsidRPr="00400169" w:rsidRDefault="002612A6" w:rsidP="002612A6">
      <w:pPr>
        <w:rPr>
          <w:szCs w:val="22"/>
        </w:rPr>
      </w:pPr>
    </w:p>
    <w:p w14:paraId="4D858784" w14:textId="77777777" w:rsidR="002612A6" w:rsidRPr="00400169" w:rsidRDefault="002612A6" w:rsidP="002612A6">
      <w:pPr>
        <w:rPr>
          <w:rFonts w:cs="Arial"/>
          <w:szCs w:val="22"/>
        </w:rPr>
      </w:pPr>
      <w:r w:rsidRPr="00400169">
        <w:rPr>
          <w:rFonts w:cs="Arial"/>
          <w:szCs w:val="22"/>
        </w:rPr>
        <w:t xml:space="preserve">As food from </w:t>
      </w:r>
      <w:r>
        <w:rPr>
          <w:szCs w:val="22"/>
        </w:rPr>
        <w:t xml:space="preserve">MON87411 </w:t>
      </w:r>
      <w:r w:rsidRPr="00400169">
        <w:rPr>
          <w:rFonts w:cs="Arial"/>
          <w:szCs w:val="22"/>
        </w:rPr>
        <w:t>has been found to be as safe as food from c</w:t>
      </w:r>
      <w:r>
        <w:rPr>
          <w:rFonts w:cs="Arial"/>
          <w:szCs w:val="22"/>
        </w:rPr>
        <w:t>onventional cultivars of corn</w:t>
      </w:r>
      <w:r w:rsidRPr="00400169">
        <w:rPr>
          <w:rFonts w:cs="Arial"/>
          <w:szCs w:val="22"/>
        </w:rPr>
        <w:t xml:space="preserve">, not preparing a draft variation would offer little benefit to consumers, as approval of </w:t>
      </w:r>
      <w:r>
        <w:rPr>
          <w:szCs w:val="22"/>
        </w:rPr>
        <w:t>MON87411</w:t>
      </w:r>
      <w:r w:rsidRPr="00400169">
        <w:rPr>
          <w:szCs w:val="22"/>
        </w:rPr>
        <w:t xml:space="preserve"> </w:t>
      </w:r>
      <w:r w:rsidRPr="00400169">
        <w:rPr>
          <w:rFonts w:cs="Arial"/>
          <w:szCs w:val="22"/>
        </w:rPr>
        <w:t xml:space="preserve">by other countries could limit the </w:t>
      </w:r>
      <w:r>
        <w:rPr>
          <w:rFonts w:cs="Arial"/>
          <w:szCs w:val="22"/>
        </w:rPr>
        <w:t>availability of imported corn</w:t>
      </w:r>
      <w:r w:rsidRPr="00400169">
        <w:rPr>
          <w:rFonts w:cs="Arial"/>
          <w:szCs w:val="22"/>
        </w:rPr>
        <w:t xml:space="preserve"> products in the Australian and New Zealand markets.</w:t>
      </w:r>
      <w:r>
        <w:rPr>
          <w:rFonts w:cs="Arial"/>
          <w:szCs w:val="22"/>
        </w:rPr>
        <w:t xml:space="preserve"> </w:t>
      </w:r>
      <w:r w:rsidRPr="00400169">
        <w:rPr>
          <w:rFonts w:cs="Arial"/>
          <w:szCs w:val="22"/>
        </w:rPr>
        <w:t xml:space="preserve">In addition, this option would result in the requirement for segregation of any products containing </w:t>
      </w:r>
      <w:r>
        <w:rPr>
          <w:szCs w:val="22"/>
        </w:rPr>
        <w:t>MON87411</w:t>
      </w:r>
      <w:r w:rsidRPr="00400169">
        <w:rPr>
          <w:szCs w:val="22"/>
        </w:rPr>
        <w:t xml:space="preserve"> </w:t>
      </w:r>
      <w:r w:rsidRPr="00400169">
        <w:rPr>
          <w:rFonts w:cs="Arial"/>
          <w:szCs w:val="22"/>
        </w:rPr>
        <w:t>from t</w:t>
      </w:r>
      <w:r>
        <w:rPr>
          <w:rFonts w:cs="Arial"/>
          <w:szCs w:val="22"/>
        </w:rPr>
        <w:t>hose containing approved corn</w:t>
      </w:r>
      <w:r w:rsidRPr="00400169">
        <w:rPr>
          <w:rFonts w:cs="Arial"/>
          <w:szCs w:val="22"/>
        </w:rPr>
        <w:t xml:space="preserve"> lines which would be likely to increa</w:t>
      </w:r>
      <w:r>
        <w:rPr>
          <w:rFonts w:cs="Arial"/>
          <w:szCs w:val="22"/>
        </w:rPr>
        <w:t>se the costs of imported corn</w:t>
      </w:r>
      <w:r w:rsidRPr="00400169">
        <w:rPr>
          <w:rFonts w:cs="Arial"/>
          <w:szCs w:val="22"/>
        </w:rPr>
        <w:t xml:space="preserve">-derived foods. </w:t>
      </w:r>
    </w:p>
    <w:p w14:paraId="4D858785" w14:textId="77777777" w:rsidR="002612A6" w:rsidRPr="00F810AD" w:rsidRDefault="002612A6" w:rsidP="002612A6">
      <w:pPr>
        <w:rPr>
          <w:rFonts w:cs="Arial"/>
          <w:color w:val="000000" w:themeColor="text1"/>
          <w:szCs w:val="22"/>
        </w:rPr>
      </w:pPr>
    </w:p>
    <w:p w14:paraId="4D858786" w14:textId="77777777" w:rsidR="002612A6" w:rsidRPr="002E6A94" w:rsidRDefault="002612A6" w:rsidP="002C1A3B">
      <w:pPr>
        <w:rPr>
          <w:b/>
          <w:bCs/>
          <w:i/>
          <w:color w:val="000000" w:themeColor="text1"/>
          <w:lang w:eastAsia="en-AU" w:bidi="ar-SA"/>
        </w:rPr>
      </w:pPr>
      <w:r w:rsidRPr="00400169">
        <w:rPr>
          <w:rFonts w:cs="Arial"/>
          <w:szCs w:val="22"/>
        </w:rPr>
        <w:t xml:space="preserve">Based on the conclusions of the safety assessments, the potential benefits of approving the </w:t>
      </w:r>
      <w:r w:rsidRPr="006F53A8">
        <w:rPr>
          <w:rFonts w:cs="Arial"/>
          <w:color w:val="000000" w:themeColor="text1"/>
          <w:szCs w:val="22"/>
        </w:rPr>
        <w:t>variation outweighed the potential costs.</w:t>
      </w:r>
    </w:p>
    <w:p w14:paraId="4D858787" w14:textId="77777777" w:rsidR="002C1A3B" w:rsidRPr="00260397" w:rsidRDefault="002C1A3B" w:rsidP="002E6A94">
      <w:pPr>
        <w:pStyle w:val="Heading4"/>
        <w:ind w:left="0" w:firstLine="0"/>
        <w:rPr>
          <w:color w:val="000000" w:themeColor="text1"/>
        </w:rPr>
      </w:pPr>
      <w:r w:rsidRPr="00260397">
        <w:rPr>
          <w:color w:val="000000" w:themeColor="text1"/>
        </w:rPr>
        <w:t>2.5.1.2</w:t>
      </w:r>
      <w:r w:rsidRPr="00260397">
        <w:rPr>
          <w:color w:val="000000" w:themeColor="text1"/>
        </w:rPr>
        <w:tab/>
        <w:t>Other measures</w:t>
      </w:r>
    </w:p>
    <w:p w14:paraId="4D858788" w14:textId="77777777" w:rsidR="002C1A3B" w:rsidRPr="002E6A94" w:rsidRDefault="002C1A3B" w:rsidP="002C1A3B">
      <w:pPr>
        <w:rPr>
          <w:color w:val="000000" w:themeColor="text1"/>
        </w:rPr>
      </w:pPr>
      <w:r w:rsidRPr="002E6A94">
        <w:rPr>
          <w:color w:val="000000" w:themeColor="text1"/>
        </w:rPr>
        <w:t>There are no other measures (whether available to FSANZ or not) that would be more cost-effective than a food</w:t>
      </w:r>
      <w:r w:rsidR="002E6A94" w:rsidRPr="002E6A94">
        <w:rPr>
          <w:color w:val="000000" w:themeColor="text1"/>
        </w:rPr>
        <w:t xml:space="preserve"> regulatory measure varied as a result of </w:t>
      </w:r>
      <w:r w:rsidRPr="002E6A94">
        <w:rPr>
          <w:color w:val="000000" w:themeColor="text1"/>
        </w:rPr>
        <w:t>Application</w:t>
      </w:r>
      <w:r w:rsidR="002E6A94" w:rsidRPr="002E6A94">
        <w:rPr>
          <w:color w:val="000000" w:themeColor="text1"/>
        </w:rPr>
        <w:t xml:space="preserve"> A1097.</w:t>
      </w:r>
    </w:p>
    <w:p w14:paraId="4D858789" w14:textId="77777777" w:rsidR="002C1A3B" w:rsidRPr="00260397" w:rsidRDefault="002C1A3B" w:rsidP="002C1A3B">
      <w:pPr>
        <w:pStyle w:val="Heading4"/>
        <w:rPr>
          <w:color w:val="000000" w:themeColor="text1"/>
        </w:rPr>
      </w:pPr>
      <w:r w:rsidRPr="00260397">
        <w:rPr>
          <w:color w:val="000000" w:themeColor="text1"/>
        </w:rPr>
        <w:t>2.5.1.3</w:t>
      </w:r>
      <w:r w:rsidRPr="00260397">
        <w:rPr>
          <w:color w:val="000000" w:themeColor="text1"/>
        </w:rPr>
        <w:tab/>
        <w:t>Any relevant New Zealand standards</w:t>
      </w:r>
    </w:p>
    <w:p w14:paraId="4D85878A" w14:textId="77777777" w:rsidR="002E6A94" w:rsidRPr="006F53A8" w:rsidRDefault="002E6A94" w:rsidP="002E6A94">
      <w:pPr>
        <w:rPr>
          <w:color w:val="000000" w:themeColor="text1"/>
        </w:rPr>
      </w:pPr>
      <w:r w:rsidRPr="006F53A8">
        <w:rPr>
          <w:color w:val="000000" w:themeColor="text1"/>
        </w:rPr>
        <w:t>Standard 1.5.2 applies in New Zealand.</w:t>
      </w:r>
    </w:p>
    <w:p w14:paraId="4D85878B" w14:textId="77777777" w:rsidR="002C1A3B" w:rsidRPr="00260397" w:rsidRDefault="002C1A3B" w:rsidP="002C1A3B">
      <w:pPr>
        <w:pStyle w:val="Heading4"/>
      </w:pPr>
      <w:r w:rsidRPr="00260397">
        <w:t>2.5.1.4</w:t>
      </w:r>
      <w:r w:rsidRPr="00260397">
        <w:tab/>
        <w:t>Any other relevant matters</w:t>
      </w:r>
    </w:p>
    <w:p w14:paraId="4D85878C" w14:textId="77777777" w:rsidR="002E6A94" w:rsidRDefault="002E6A94" w:rsidP="002E6A94">
      <w:pPr>
        <w:rPr>
          <w:color w:val="000000" w:themeColor="text1"/>
          <w:lang w:val="en-AU"/>
        </w:rPr>
      </w:pPr>
      <w:bookmarkStart w:id="77" w:name="_Toc370223479"/>
      <w:bookmarkStart w:id="78" w:name="_Toc370225394"/>
      <w:bookmarkStart w:id="79" w:name="_Toc300761897"/>
      <w:bookmarkStart w:id="80" w:name="_Toc300933440"/>
      <w:r w:rsidRPr="002D13C2">
        <w:rPr>
          <w:color w:val="000000" w:themeColor="text1"/>
          <w:lang w:val="en-AU"/>
        </w:rPr>
        <w:t>The Applicant has submitted applications for re</w:t>
      </w:r>
      <w:r>
        <w:rPr>
          <w:color w:val="000000" w:themeColor="text1"/>
          <w:lang w:val="en-AU"/>
        </w:rPr>
        <w:t>gulatory approval of MON87411</w:t>
      </w:r>
      <w:r w:rsidRPr="002D13C2">
        <w:rPr>
          <w:color w:val="000000" w:themeColor="text1"/>
          <w:lang w:val="en-AU"/>
        </w:rPr>
        <w:t xml:space="preserve"> to a number of other</w:t>
      </w:r>
      <w:r w:rsidR="001F52D5">
        <w:rPr>
          <w:color w:val="000000" w:themeColor="text1"/>
          <w:lang w:val="en-AU"/>
        </w:rPr>
        <w:t xml:space="preserve"> countries, as listed in Table 2</w:t>
      </w:r>
      <w:r w:rsidRPr="002D13C2">
        <w:rPr>
          <w:color w:val="000000" w:themeColor="text1"/>
          <w:lang w:val="en-AU"/>
        </w:rPr>
        <w:t xml:space="preserve">. </w:t>
      </w:r>
      <w:r>
        <w:rPr>
          <w:color w:val="000000" w:themeColor="text1"/>
          <w:lang w:val="en-AU"/>
        </w:rPr>
        <w:t xml:space="preserve">Of these, the application to the US Food &amp; Drug Administration was noted as a </w:t>
      </w:r>
      <w:r>
        <w:rPr>
          <w:szCs w:val="22"/>
          <w:lang w:val="en-AU"/>
        </w:rPr>
        <w:t>completed Biotechnology consultation as of 17 October 2014.</w:t>
      </w:r>
      <w:r w:rsidR="008333F4">
        <w:rPr>
          <w:szCs w:val="22"/>
          <w:lang w:val="en-AU"/>
        </w:rPr>
        <w:t xml:space="preserve"> No decision has yet been made on the other applications.</w:t>
      </w:r>
    </w:p>
    <w:p w14:paraId="4D85878D" w14:textId="77777777" w:rsidR="008143ED" w:rsidRDefault="008143ED">
      <w:pPr>
        <w:widowControl/>
        <w:rPr>
          <w:b/>
          <w:bCs/>
          <w:i/>
          <w:iCs/>
          <w:color w:val="000000" w:themeColor="text1"/>
          <w:lang w:val="en-AU"/>
        </w:rPr>
      </w:pPr>
    </w:p>
    <w:p w14:paraId="52701B42" w14:textId="77777777" w:rsidR="00ED70BB" w:rsidRDefault="00ED70BB" w:rsidP="00ED70BB">
      <w:pPr>
        <w:rPr>
          <w:b/>
          <w:bCs/>
          <w:iCs/>
          <w:color w:val="000000" w:themeColor="text1"/>
          <w:lang w:val="en-AU"/>
        </w:rPr>
      </w:pPr>
      <w:r>
        <w:rPr>
          <w:b/>
          <w:bCs/>
          <w:iCs/>
          <w:color w:val="000000" w:themeColor="text1"/>
          <w:lang w:val="en-AU"/>
        </w:rPr>
        <w:br w:type="page"/>
      </w:r>
    </w:p>
    <w:p w14:paraId="4D858790" w14:textId="17320B06" w:rsidR="002E6A94" w:rsidRDefault="001F52D5" w:rsidP="00ED70BB">
      <w:pPr>
        <w:rPr>
          <w:b/>
          <w:bCs/>
          <w:iCs/>
          <w:color w:val="000000" w:themeColor="text1"/>
          <w:lang w:val="en-AU"/>
        </w:rPr>
      </w:pPr>
      <w:r w:rsidRPr="00B03EC3">
        <w:rPr>
          <w:b/>
          <w:bCs/>
          <w:iCs/>
          <w:color w:val="000000" w:themeColor="text1"/>
          <w:lang w:val="en-AU"/>
        </w:rPr>
        <w:lastRenderedPageBreak/>
        <w:t>Table 2</w:t>
      </w:r>
      <w:r w:rsidR="002E6A94" w:rsidRPr="00B03EC3">
        <w:rPr>
          <w:b/>
          <w:bCs/>
          <w:iCs/>
          <w:color w:val="000000" w:themeColor="text1"/>
          <w:lang w:val="en-AU"/>
        </w:rPr>
        <w:t>: List of countries to whom applications for regulatory approval of MON87411 have been submitted</w:t>
      </w:r>
    </w:p>
    <w:p w14:paraId="7D7BF34F" w14:textId="77777777" w:rsidR="00ED70BB" w:rsidRPr="00B03EC3" w:rsidRDefault="00ED70BB" w:rsidP="00ED70BB">
      <w:pPr>
        <w:rPr>
          <w:b/>
          <w:bCs/>
          <w:iCs/>
          <w:color w:val="000000" w:themeColor="text1"/>
          <w:lang w:val="en-AU"/>
        </w:rPr>
      </w:pPr>
    </w:p>
    <w:tbl>
      <w:tblPr>
        <w:tblW w:w="915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7"/>
        <w:gridCol w:w="4111"/>
        <w:gridCol w:w="1843"/>
        <w:gridCol w:w="1943"/>
      </w:tblGrid>
      <w:tr w:rsidR="008F4DB1" w14:paraId="4D858795" w14:textId="77777777" w:rsidTr="008F4DB1">
        <w:trPr>
          <w:trHeight w:val="327"/>
          <w:tblHeader/>
        </w:trPr>
        <w:tc>
          <w:tcPr>
            <w:tcW w:w="1257" w:type="dxa"/>
            <w:shd w:val="clear" w:color="auto" w:fill="9BBB59" w:themeFill="accent3"/>
            <w:noWrap/>
            <w:tcMar>
              <w:top w:w="0" w:type="dxa"/>
              <w:left w:w="108" w:type="dxa"/>
              <w:bottom w:w="0" w:type="dxa"/>
              <w:right w:w="108" w:type="dxa"/>
            </w:tcMar>
            <w:hideMark/>
          </w:tcPr>
          <w:p w14:paraId="4D858791" w14:textId="77777777" w:rsidR="008F4DB1" w:rsidRPr="008F4DB1" w:rsidRDefault="008F4DB1" w:rsidP="008F4DB1">
            <w:pPr>
              <w:rPr>
                <w:b/>
                <w:bCs/>
                <w:color w:val="FFFFFF" w:themeColor="background1"/>
              </w:rPr>
            </w:pPr>
            <w:r w:rsidRPr="008F4DB1">
              <w:rPr>
                <w:b/>
                <w:bCs/>
                <w:color w:val="FFFFFF" w:themeColor="background1"/>
              </w:rPr>
              <w:t>Country</w:t>
            </w:r>
          </w:p>
        </w:tc>
        <w:tc>
          <w:tcPr>
            <w:tcW w:w="4111" w:type="dxa"/>
            <w:shd w:val="clear" w:color="auto" w:fill="9BBB59" w:themeFill="accent3"/>
            <w:noWrap/>
            <w:tcMar>
              <w:top w:w="0" w:type="dxa"/>
              <w:left w:w="108" w:type="dxa"/>
              <w:bottom w:w="0" w:type="dxa"/>
              <w:right w:w="108" w:type="dxa"/>
            </w:tcMar>
            <w:hideMark/>
          </w:tcPr>
          <w:p w14:paraId="4D858792" w14:textId="77777777" w:rsidR="008F4DB1" w:rsidRPr="008F4DB1" w:rsidRDefault="008F4DB1" w:rsidP="008F4DB1">
            <w:pPr>
              <w:rPr>
                <w:b/>
                <w:bCs/>
                <w:color w:val="FFFFFF" w:themeColor="background1"/>
              </w:rPr>
            </w:pPr>
            <w:r w:rsidRPr="008F4DB1">
              <w:rPr>
                <w:b/>
                <w:bCs/>
                <w:color w:val="FFFFFF" w:themeColor="background1"/>
              </w:rPr>
              <w:t>Agency</w:t>
            </w:r>
          </w:p>
        </w:tc>
        <w:tc>
          <w:tcPr>
            <w:tcW w:w="1843" w:type="dxa"/>
            <w:shd w:val="clear" w:color="auto" w:fill="9BBB59" w:themeFill="accent3"/>
            <w:hideMark/>
          </w:tcPr>
          <w:p w14:paraId="4D858793" w14:textId="77777777" w:rsidR="008F4DB1" w:rsidRPr="008F4DB1" w:rsidRDefault="008F4DB1" w:rsidP="008F4DB1">
            <w:pPr>
              <w:rPr>
                <w:b/>
                <w:bCs/>
                <w:color w:val="FFFFFF" w:themeColor="background1"/>
              </w:rPr>
            </w:pPr>
            <w:r w:rsidRPr="008F4DB1">
              <w:rPr>
                <w:b/>
                <w:bCs/>
                <w:color w:val="FFFFFF" w:themeColor="background1"/>
              </w:rPr>
              <w:t>Type of approval sought</w:t>
            </w:r>
          </w:p>
        </w:tc>
        <w:tc>
          <w:tcPr>
            <w:tcW w:w="1943" w:type="dxa"/>
            <w:shd w:val="clear" w:color="auto" w:fill="9BBB59" w:themeFill="accent3"/>
          </w:tcPr>
          <w:p w14:paraId="4D858794" w14:textId="77777777" w:rsidR="008F4DB1" w:rsidRPr="008F4DB1" w:rsidRDefault="008F4DB1" w:rsidP="008F4DB1">
            <w:pPr>
              <w:rPr>
                <w:b/>
                <w:bCs/>
                <w:color w:val="FFFFFF" w:themeColor="background1"/>
              </w:rPr>
            </w:pPr>
            <w:r>
              <w:rPr>
                <w:b/>
                <w:bCs/>
                <w:color w:val="FFFFFF" w:themeColor="background1"/>
              </w:rPr>
              <w:t>Status</w:t>
            </w:r>
          </w:p>
        </w:tc>
      </w:tr>
      <w:tr w:rsidR="008F4DB1" w:rsidRPr="000A1B12" w14:paraId="4D85879A" w14:textId="77777777" w:rsidTr="008F4DB1">
        <w:trPr>
          <w:trHeight w:val="327"/>
          <w:tblHeader/>
        </w:trPr>
        <w:tc>
          <w:tcPr>
            <w:tcW w:w="1257" w:type="dxa"/>
            <w:vMerge w:val="restart"/>
            <w:shd w:val="clear" w:color="auto" w:fill="D6E3BC" w:themeFill="accent3" w:themeFillTint="66"/>
            <w:noWrap/>
            <w:tcMar>
              <w:top w:w="0" w:type="dxa"/>
              <w:left w:w="108" w:type="dxa"/>
              <w:bottom w:w="0" w:type="dxa"/>
              <w:right w:w="108" w:type="dxa"/>
            </w:tcMar>
            <w:vAlign w:val="center"/>
            <w:hideMark/>
          </w:tcPr>
          <w:p w14:paraId="4D858796" w14:textId="77777777" w:rsidR="008F4DB1" w:rsidRPr="000A1B12" w:rsidRDefault="008F4DB1" w:rsidP="008F4DB1">
            <w:pPr>
              <w:jc w:val="center"/>
              <w:rPr>
                <w:rFonts w:cs="Arial"/>
                <w:bCs/>
                <w:color w:val="000000" w:themeColor="text1"/>
                <w:sz w:val="20"/>
                <w:szCs w:val="20"/>
              </w:rPr>
            </w:pPr>
            <w:r w:rsidRPr="000A1B12">
              <w:rPr>
                <w:rFonts w:cs="Arial"/>
                <w:bCs/>
                <w:color w:val="000000" w:themeColor="text1"/>
                <w:sz w:val="20"/>
                <w:szCs w:val="20"/>
              </w:rPr>
              <w:t>USA</w:t>
            </w:r>
          </w:p>
        </w:tc>
        <w:tc>
          <w:tcPr>
            <w:tcW w:w="4111" w:type="dxa"/>
            <w:shd w:val="clear" w:color="auto" w:fill="D6E3BC" w:themeFill="accent3" w:themeFillTint="66"/>
            <w:noWrap/>
            <w:tcMar>
              <w:top w:w="0" w:type="dxa"/>
              <w:left w:w="108" w:type="dxa"/>
              <w:bottom w:w="0" w:type="dxa"/>
              <w:right w:w="108" w:type="dxa"/>
            </w:tcMar>
            <w:vAlign w:val="center"/>
            <w:hideMark/>
          </w:tcPr>
          <w:p w14:paraId="4D858797" w14:textId="77777777" w:rsidR="008F4DB1" w:rsidRPr="000A1B12" w:rsidRDefault="008F4DB1" w:rsidP="008F4DB1">
            <w:pPr>
              <w:jc w:val="center"/>
              <w:rPr>
                <w:rFonts w:cs="Arial"/>
                <w:bCs/>
                <w:color w:val="000000" w:themeColor="text1"/>
                <w:sz w:val="20"/>
                <w:szCs w:val="20"/>
              </w:rPr>
            </w:pPr>
            <w:r w:rsidRPr="000A1B12">
              <w:rPr>
                <w:rFonts w:cs="Arial"/>
                <w:bCs/>
                <w:color w:val="000000" w:themeColor="text1"/>
                <w:sz w:val="20"/>
                <w:szCs w:val="20"/>
              </w:rPr>
              <w:t>Department of Agriculture (APHIS)</w:t>
            </w:r>
          </w:p>
        </w:tc>
        <w:tc>
          <w:tcPr>
            <w:tcW w:w="1843" w:type="dxa"/>
            <w:shd w:val="clear" w:color="auto" w:fill="D6E3BC" w:themeFill="accent3" w:themeFillTint="66"/>
            <w:vAlign w:val="center"/>
            <w:hideMark/>
          </w:tcPr>
          <w:p w14:paraId="4D858798" w14:textId="77777777" w:rsidR="008F4DB1" w:rsidRPr="000A1B12" w:rsidRDefault="008F4DB1" w:rsidP="008F4DB1">
            <w:pPr>
              <w:jc w:val="center"/>
              <w:rPr>
                <w:rFonts w:cs="Arial"/>
                <w:bCs/>
                <w:color w:val="000000" w:themeColor="text1"/>
                <w:sz w:val="20"/>
                <w:szCs w:val="20"/>
              </w:rPr>
            </w:pPr>
            <w:r w:rsidRPr="000A1B12">
              <w:rPr>
                <w:rFonts w:cs="Arial"/>
                <w:bCs/>
                <w:color w:val="000000" w:themeColor="text1"/>
                <w:sz w:val="20"/>
                <w:szCs w:val="20"/>
              </w:rPr>
              <w:t>environment</w:t>
            </w:r>
          </w:p>
        </w:tc>
        <w:tc>
          <w:tcPr>
            <w:tcW w:w="1943" w:type="dxa"/>
            <w:shd w:val="clear" w:color="auto" w:fill="D6E3BC" w:themeFill="accent3" w:themeFillTint="66"/>
            <w:vAlign w:val="center"/>
          </w:tcPr>
          <w:p w14:paraId="4D858799" w14:textId="77777777" w:rsidR="008F4DB1" w:rsidRPr="000A1B12" w:rsidRDefault="009B448F" w:rsidP="008F4DB1">
            <w:pPr>
              <w:jc w:val="center"/>
              <w:rPr>
                <w:rFonts w:cs="Arial"/>
                <w:bCs/>
                <w:color w:val="000000" w:themeColor="text1"/>
                <w:sz w:val="20"/>
                <w:szCs w:val="20"/>
              </w:rPr>
            </w:pPr>
            <w:r>
              <w:rPr>
                <w:rFonts w:cs="Arial"/>
                <w:bCs/>
                <w:color w:val="000000" w:themeColor="text1"/>
                <w:sz w:val="20"/>
                <w:szCs w:val="20"/>
              </w:rPr>
              <w:t>Being assessed</w:t>
            </w:r>
          </w:p>
        </w:tc>
      </w:tr>
      <w:tr w:rsidR="008F4DB1" w:rsidRPr="000A1B12" w14:paraId="4D85879F" w14:textId="77777777" w:rsidTr="008F4DB1">
        <w:trPr>
          <w:trHeight w:val="327"/>
          <w:tblHeader/>
        </w:trPr>
        <w:tc>
          <w:tcPr>
            <w:tcW w:w="1257" w:type="dxa"/>
            <w:vMerge/>
            <w:shd w:val="clear" w:color="auto" w:fill="D6E3BC" w:themeFill="accent3" w:themeFillTint="66"/>
            <w:noWrap/>
            <w:tcMar>
              <w:top w:w="0" w:type="dxa"/>
              <w:left w:w="108" w:type="dxa"/>
              <w:bottom w:w="0" w:type="dxa"/>
              <w:right w:w="108" w:type="dxa"/>
            </w:tcMar>
            <w:vAlign w:val="center"/>
            <w:hideMark/>
          </w:tcPr>
          <w:p w14:paraId="4D85879B" w14:textId="77777777" w:rsidR="008F4DB1" w:rsidRPr="000A1B12" w:rsidRDefault="008F4DB1" w:rsidP="008F4DB1">
            <w:pPr>
              <w:jc w:val="center"/>
              <w:rPr>
                <w:rFonts w:cs="Arial"/>
                <w:bCs/>
                <w:color w:val="000000" w:themeColor="text1"/>
                <w:sz w:val="20"/>
                <w:szCs w:val="20"/>
              </w:rPr>
            </w:pPr>
          </w:p>
        </w:tc>
        <w:tc>
          <w:tcPr>
            <w:tcW w:w="4111" w:type="dxa"/>
            <w:shd w:val="clear" w:color="auto" w:fill="D6E3BC" w:themeFill="accent3" w:themeFillTint="66"/>
            <w:noWrap/>
            <w:tcMar>
              <w:top w:w="0" w:type="dxa"/>
              <w:left w:w="108" w:type="dxa"/>
              <w:bottom w:w="0" w:type="dxa"/>
              <w:right w:w="108" w:type="dxa"/>
            </w:tcMar>
            <w:vAlign w:val="center"/>
            <w:hideMark/>
          </w:tcPr>
          <w:p w14:paraId="4D85879C" w14:textId="77777777" w:rsidR="008F4DB1" w:rsidRPr="000A1B12" w:rsidRDefault="008F4DB1" w:rsidP="008F4DB1">
            <w:pPr>
              <w:jc w:val="center"/>
              <w:rPr>
                <w:rFonts w:cs="Arial"/>
                <w:bCs/>
                <w:color w:val="000000" w:themeColor="text1"/>
                <w:sz w:val="20"/>
                <w:szCs w:val="20"/>
              </w:rPr>
            </w:pPr>
            <w:r w:rsidRPr="000A1B12">
              <w:rPr>
                <w:rFonts w:cs="Arial"/>
                <w:bCs/>
                <w:color w:val="000000" w:themeColor="text1"/>
                <w:sz w:val="20"/>
                <w:szCs w:val="20"/>
              </w:rPr>
              <w:t>Food &amp; Drug Administration</w:t>
            </w:r>
          </w:p>
        </w:tc>
        <w:tc>
          <w:tcPr>
            <w:tcW w:w="1843" w:type="dxa"/>
            <w:shd w:val="clear" w:color="auto" w:fill="D6E3BC" w:themeFill="accent3" w:themeFillTint="66"/>
            <w:vAlign w:val="center"/>
            <w:hideMark/>
          </w:tcPr>
          <w:p w14:paraId="4D85879D" w14:textId="77777777" w:rsidR="008F4DB1" w:rsidRPr="000A1B12" w:rsidRDefault="008F4DB1" w:rsidP="008F4DB1">
            <w:pPr>
              <w:jc w:val="center"/>
              <w:rPr>
                <w:rFonts w:cs="Arial"/>
                <w:bCs/>
                <w:color w:val="000000" w:themeColor="text1"/>
                <w:sz w:val="20"/>
                <w:szCs w:val="20"/>
              </w:rPr>
            </w:pPr>
            <w:r w:rsidRPr="000A1B12">
              <w:rPr>
                <w:rFonts w:cs="Arial"/>
                <w:bCs/>
                <w:color w:val="000000" w:themeColor="text1"/>
                <w:sz w:val="20"/>
                <w:szCs w:val="20"/>
              </w:rPr>
              <w:t>food/feed</w:t>
            </w:r>
          </w:p>
        </w:tc>
        <w:tc>
          <w:tcPr>
            <w:tcW w:w="1943" w:type="dxa"/>
            <w:shd w:val="clear" w:color="auto" w:fill="D6E3BC" w:themeFill="accent3" w:themeFillTint="66"/>
            <w:vAlign w:val="center"/>
          </w:tcPr>
          <w:p w14:paraId="4D85879E" w14:textId="77777777" w:rsidR="008F4DB1" w:rsidRPr="000A1B12" w:rsidRDefault="008F4DB1" w:rsidP="008F4DB1">
            <w:pPr>
              <w:jc w:val="center"/>
              <w:rPr>
                <w:rFonts w:cs="Arial"/>
                <w:bCs/>
                <w:color w:val="000000" w:themeColor="text1"/>
                <w:sz w:val="20"/>
                <w:szCs w:val="20"/>
              </w:rPr>
            </w:pPr>
            <w:r>
              <w:rPr>
                <w:rFonts w:cs="Arial"/>
                <w:bCs/>
                <w:color w:val="000000" w:themeColor="text1"/>
                <w:sz w:val="20"/>
                <w:szCs w:val="20"/>
              </w:rPr>
              <w:t>Finalised 17/10/2014</w:t>
            </w:r>
          </w:p>
        </w:tc>
      </w:tr>
      <w:tr w:rsidR="009B448F" w:rsidRPr="000A1B12" w14:paraId="4D8587A4" w14:textId="77777777" w:rsidTr="009B448F">
        <w:trPr>
          <w:trHeight w:val="327"/>
          <w:tblHeader/>
        </w:trPr>
        <w:tc>
          <w:tcPr>
            <w:tcW w:w="1257" w:type="dxa"/>
            <w:vMerge w:val="restart"/>
            <w:noWrap/>
            <w:tcMar>
              <w:top w:w="0" w:type="dxa"/>
              <w:left w:w="108" w:type="dxa"/>
              <w:bottom w:w="0" w:type="dxa"/>
              <w:right w:w="108" w:type="dxa"/>
            </w:tcMar>
            <w:vAlign w:val="center"/>
            <w:hideMark/>
          </w:tcPr>
          <w:p w14:paraId="4D8587A0"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Canada</w:t>
            </w:r>
          </w:p>
        </w:tc>
        <w:tc>
          <w:tcPr>
            <w:tcW w:w="4111" w:type="dxa"/>
            <w:noWrap/>
            <w:tcMar>
              <w:top w:w="0" w:type="dxa"/>
              <w:left w:w="108" w:type="dxa"/>
              <w:bottom w:w="0" w:type="dxa"/>
              <w:right w:w="108" w:type="dxa"/>
            </w:tcMar>
            <w:vAlign w:val="center"/>
            <w:hideMark/>
          </w:tcPr>
          <w:p w14:paraId="4D8587A1" w14:textId="77777777" w:rsidR="009B448F" w:rsidRPr="000A1B12" w:rsidRDefault="002E1B32" w:rsidP="008F4DB1">
            <w:pPr>
              <w:jc w:val="center"/>
              <w:rPr>
                <w:rFonts w:cs="Arial"/>
                <w:bCs/>
                <w:color w:val="000000" w:themeColor="text1"/>
                <w:sz w:val="20"/>
                <w:szCs w:val="20"/>
              </w:rPr>
            </w:pPr>
            <w:r>
              <w:rPr>
                <w:rFonts w:cs="Arial"/>
                <w:bCs/>
                <w:color w:val="000000" w:themeColor="text1"/>
                <w:sz w:val="20"/>
                <w:szCs w:val="20"/>
              </w:rPr>
              <w:t xml:space="preserve">Canadian </w:t>
            </w:r>
            <w:r w:rsidR="009B448F" w:rsidRPr="000A1B12">
              <w:rPr>
                <w:rFonts w:cs="Arial"/>
                <w:bCs/>
                <w:color w:val="000000" w:themeColor="text1"/>
                <w:sz w:val="20"/>
                <w:szCs w:val="20"/>
              </w:rPr>
              <w:t>Food Inspection Agency</w:t>
            </w:r>
          </w:p>
        </w:tc>
        <w:tc>
          <w:tcPr>
            <w:tcW w:w="1843" w:type="dxa"/>
            <w:vAlign w:val="center"/>
            <w:hideMark/>
          </w:tcPr>
          <w:p w14:paraId="4D8587A2"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feed</w:t>
            </w:r>
          </w:p>
        </w:tc>
        <w:tc>
          <w:tcPr>
            <w:tcW w:w="1943" w:type="dxa"/>
            <w:vAlign w:val="center"/>
          </w:tcPr>
          <w:p w14:paraId="4D8587A3"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A9" w14:textId="77777777" w:rsidTr="009B448F">
        <w:trPr>
          <w:trHeight w:val="327"/>
          <w:tblHeader/>
        </w:trPr>
        <w:tc>
          <w:tcPr>
            <w:tcW w:w="1257" w:type="dxa"/>
            <w:vMerge/>
            <w:noWrap/>
            <w:tcMar>
              <w:top w:w="0" w:type="dxa"/>
              <w:left w:w="108" w:type="dxa"/>
              <w:bottom w:w="0" w:type="dxa"/>
              <w:right w:w="108" w:type="dxa"/>
            </w:tcMar>
            <w:vAlign w:val="center"/>
            <w:hideMark/>
          </w:tcPr>
          <w:p w14:paraId="4D8587A5" w14:textId="77777777" w:rsidR="009B448F" w:rsidRPr="000A1B12" w:rsidRDefault="009B448F" w:rsidP="008F4DB1">
            <w:pPr>
              <w:jc w:val="center"/>
              <w:rPr>
                <w:rFonts w:cs="Arial"/>
                <w:bCs/>
                <w:color w:val="000000" w:themeColor="text1"/>
                <w:sz w:val="20"/>
                <w:szCs w:val="20"/>
              </w:rPr>
            </w:pPr>
          </w:p>
        </w:tc>
        <w:tc>
          <w:tcPr>
            <w:tcW w:w="4111" w:type="dxa"/>
            <w:noWrap/>
            <w:tcMar>
              <w:top w:w="0" w:type="dxa"/>
              <w:left w:w="108" w:type="dxa"/>
              <w:bottom w:w="0" w:type="dxa"/>
              <w:right w:w="108" w:type="dxa"/>
            </w:tcMar>
            <w:vAlign w:val="center"/>
            <w:hideMark/>
          </w:tcPr>
          <w:p w14:paraId="4D8587A6"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Health Canada</w:t>
            </w:r>
          </w:p>
        </w:tc>
        <w:tc>
          <w:tcPr>
            <w:tcW w:w="1843" w:type="dxa"/>
            <w:vAlign w:val="center"/>
            <w:hideMark/>
          </w:tcPr>
          <w:p w14:paraId="4D8587A7"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food</w:t>
            </w:r>
          </w:p>
        </w:tc>
        <w:tc>
          <w:tcPr>
            <w:tcW w:w="1943" w:type="dxa"/>
            <w:vAlign w:val="center"/>
          </w:tcPr>
          <w:p w14:paraId="4D8587A8"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AE" w14:textId="77777777" w:rsidTr="009B448F">
        <w:trPr>
          <w:trHeight w:val="327"/>
          <w:tblHeader/>
        </w:trPr>
        <w:tc>
          <w:tcPr>
            <w:tcW w:w="1257" w:type="dxa"/>
            <w:vMerge w:val="restart"/>
            <w:shd w:val="clear" w:color="auto" w:fill="D6E3BC" w:themeFill="accent3" w:themeFillTint="66"/>
            <w:noWrap/>
            <w:tcMar>
              <w:top w:w="0" w:type="dxa"/>
              <w:left w:w="108" w:type="dxa"/>
              <w:bottom w:w="0" w:type="dxa"/>
              <w:right w:w="108" w:type="dxa"/>
            </w:tcMar>
            <w:vAlign w:val="center"/>
            <w:hideMark/>
          </w:tcPr>
          <w:p w14:paraId="4D8587AA"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Japan</w:t>
            </w:r>
          </w:p>
        </w:tc>
        <w:tc>
          <w:tcPr>
            <w:tcW w:w="4111" w:type="dxa"/>
            <w:shd w:val="clear" w:color="auto" w:fill="D6E3BC" w:themeFill="accent3" w:themeFillTint="66"/>
            <w:noWrap/>
            <w:tcMar>
              <w:top w:w="0" w:type="dxa"/>
              <w:left w:w="108" w:type="dxa"/>
              <w:bottom w:w="0" w:type="dxa"/>
              <w:right w:w="108" w:type="dxa"/>
            </w:tcMar>
            <w:vAlign w:val="center"/>
            <w:hideMark/>
          </w:tcPr>
          <w:p w14:paraId="4D8587AB"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Ministry of Health, Labour and Welfare</w:t>
            </w:r>
          </w:p>
        </w:tc>
        <w:tc>
          <w:tcPr>
            <w:tcW w:w="1843" w:type="dxa"/>
            <w:shd w:val="clear" w:color="auto" w:fill="D6E3BC" w:themeFill="accent3" w:themeFillTint="66"/>
            <w:vAlign w:val="center"/>
            <w:hideMark/>
          </w:tcPr>
          <w:p w14:paraId="4D8587AC"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food</w:t>
            </w:r>
          </w:p>
        </w:tc>
        <w:tc>
          <w:tcPr>
            <w:tcW w:w="1943" w:type="dxa"/>
            <w:shd w:val="clear" w:color="auto" w:fill="D6E3BC" w:themeFill="accent3" w:themeFillTint="66"/>
            <w:vAlign w:val="center"/>
          </w:tcPr>
          <w:p w14:paraId="4D8587AD"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B3" w14:textId="77777777" w:rsidTr="009B448F">
        <w:trPr>
          <w:trHeight w:val="327"/>
          <w:tblHeader/>
        </w:trPr>
        <w:tc>
          <w:tcPr>
            <w:tcW w:w="1257" w:type="dxa"/>
            <w:vMerge/>
            <w:shd w:val="clear" w:color="auto" w:fill="D6E3BC" w:themeFill="accent3" w:themeFillTint="66"/>
            <w:noWrap/>
            <w:tcMar>
              <w:top w:w="0" w:type="dxa"/>
              <w:left w:w="108" w:type="dxa"/>
              <w:bottom w:w="0" w:type="dxa"/>
              <w:right w:w="108" w:type="dxa"/>
            </w:tcMar>
            <w:vAlign w:val="center"/>
            <w:hideMark/>
          </w:tcPr>
          <w:p w14:paraId="4D8587AF" w14:textId="77777777" w:rsidR="009B448F" w:rsidRPr="000A1B12" w:rsidRDefault="009B448F" w:rsidP="008F4DB1">
            <w:pPr>
              <w:jc w:val="center"/>
              <w:rPr>
                <w:rFonts w:cs="Arial"/>
                <w:bCs/>
                <w:color w:val="000000" w:themeColor="text1"/>
                <w:sz w:val="20"/>
                <w:szCs w:val="20"/>
              </w:rPr>
            </w:pPr>
          </w:p>
        </w:tc>
        <w:tc>
          <w:tcPr>
            <w:tcW w:w="4111" w:type="dxa"/>
            <w:shd w:val="clear" w:color="auto" w:fill="D6E3BC" w:themeFill="accent3" w:themeFillTint="66"/>
            <w:noWrap/>
            <w:tcMar>
              <w:top w:w="0" w:type="dxa"/>
              <w:left w:w="108" w:type="dxa"/>
              <w:bottom w:w="0" w:type="dxa"/>
              <w:right w:w="108" w:type="dxa"/>
            </w:tcMar>
            <w:vAlign w:val="center"/>
            <w:hideMark/>
          </w:tcPr>
          <w:p w14:paraId="4D8587B0"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MAFF</w:t>
            </w:r>
          </w:p>
        </w:tc>
        <w:tc>
          <w:tcPr>
            <w:tcW w:w="1843" w:type="dxa"/>
            <w:shd w:val="clear" w:color="auto" w:fill="D6E3BC" w:themeFill="accent3" w:themeFillTint="66"/>
            <w:vAlign w:val="center"/>
            <w:hideMark/>
          </w:tcPr>
          <w:p w14:paraId="4D8587B1"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feed</w:t>
            </w:r>
          </w:p>
        </w:tc>
        <w:tc>
          <w:tcPr>
            <w:tcW w:w="1943" w:type="dxa"/>
            <w:shd w:val="clear" w:color="auto" w:fill="D6E3BC" w:themeFill="accent3" w:themeFillTint="66"/>
            <w:vAlign w:val="center"/>
          </w:tcPr>
          <w:p w14:paraId="4D8587B2"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B8" w14:textId="77777777" w:rsidTr="009B448F">
        <w:trPr>
          <w:trHeight w:val="327"/>
          <w:tblHeader/>
        </w:trPr>
        <w:tc>
          <w:tcPr>
            <w:tcW w:w="1257" w:type="dxa"/>
            <w:vMerge/>
            <w:shd w:val="clear" w:color="auto" w:fill="D6E3BC" w:themeFill="accent3" w:themeFillTint="66"/>
            <w:noWrap/>
            <w:tcMar>
              <w:top w:w="0" w:type="dxa"/>
              <w:left w:w="108" w:type="dxa"/>
              <w:bottom w:w="0" w:type="dxa"/>
              <w:right w:w="108" w:type="dxa"/>
            </w:tcMar>
            <w:vAlign w:val="center"/>
            <w:hideMark/>
          </w:tcPr>
          <w:p w14:paraId="4D8587B4" w14:textId="77777777" w:rsidR="009B448F" w:rsidRPr="000A1B12" w:rsidRDefault="009B448F" w:rsidP="008F4DB1">
            <w:pPr>
              <w:jc w:val="center"/>
              <w:rPr>
                <w:rFonts w:cs="Arial"/>
                <w:bCs/>
                <w:color w:val="000000" w:themeColor="text1"/>
                <w:sz w:val="20"/>
                <w:szCs w:val="20"/>
              </w:rPr>
            </w:pPr>
          </w:p>
        </w:tc>
        <w:tc>
          <w:tcPr>
            <w:tcW w:w="4111" w:type="dxa"/>
            <w:shd w:val="clear" w:color="auto" w:fill="D6E3BC" w:themeFill="accent3" w:themeFillTint="66"/>
            <w:noWrap/>
            <w:tcMar>
              <w:top w:w="0" w:type="dxa"/>
              <w:left w:w="108" w:type="dxa"/>
              <w:bottom w:w="0" w:type="dxa"/>
              <w:right w:w="108" w:type="dxa"/>
            </w:tcMar>
            <w:vAlign w:val="center"/>
            <w:hideMark/>
          </w:tcPr>
          <w:p w14:paraId="4D8587B5"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MAFF/MOE</w:t>
            </w:r>
          </w:p>
        </w:tc>
        <w:tc>
          <w:tcPr>
            <w:tcW w:w="1843" w:type="dxa"/>
            <w:shd w:val="clear" w:color="auto" w:fill="D6E3BC" w:themeFill="accent3" w:themeFillTint="66"/>
            <w:vAlign w:val="center"/>
            <w:hideMark/>
          </w:tcPr>
          <w:p w14:paraId="4D8587B6"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environment</w:t>
            </w:r>
          </w:p>
        </w:tc>
        <w:tc>
          <w:tcPr>
            <w:tcW w:w="1943" w:type="dxa"/>
            <w:shd w:val="clear" w:color="auto" w:fill="D6E3BC" w:themeFill="accent3" w:themeFillTint="66"/>
            <w:vAlign w:val="center"/>
          </w:tcPr>
          <w:p w14:paraId="4D8587B7"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BD" w14:textId="77777777" w:rsidTr="009B448F">
        <w:trPr>
          <w:trHeight w:val="327"/>
          <w:tblHeader/>
        </w:trPr>
        <w:tc>
          <w:tcPr>
            <w:tcW w:w="1257" w:type="dxa"/>
            <w:vMerge w:val="restart"/>
            <w:noWrap/>
            <w:tcMar>
              <w:top w:w="0" w:type="dxa"/>
              <w:left w:w="108" w:type="dxa"/>
              <w:bottom w:w="0" w:type="dxa"/>
              <w:right w:w="108" w:type="dxa"/>
            </w:tcMar>
            <w:vAlign w:val="center"/>
            <w:hideMark/>
          </w:tcPr>
          <w:p w14:paraId="4D8587B9"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Korea</w:t>
            </w:r>
          </w:p>
        </w:tc>
        <w:tc>
          <w:tcPr>
            <w:tcW w:w="4111" w:type="dxa"/>
            <w:noWrap/>
            <w:tcMar>
              <w:top w:w="0" w:type="dxa"/>
              <w:left w:w="108" w:type="dxa"/>
              <w:bottom w:w="0" w:type="dxa"/>
              <w:right w:w="108" w:type="dxa"/>
            </w:tcMar>
            <w:vAlign w:val="center"/>
            <w:hideMark/>
          </w:tcPr>
          <w:p w14:paraId="4D8587BA"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Ministry of Food and Drug Safety</w:t>
            </w:r>
          </w:p>
        </w:tc>
        <w:tc>
          <w:tcPr>
            <w:tcW w:w="1843" w:type="dxa"/>
            <w:vAlign w:val="center"/>
            <w:hideMark/>
          </w:tcPr>
          <w:p w14:paraId="4D8587BB"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food</w:t>
            </w:r>
          </w:p>
        </w:tc>
        <w:tc>
          <w:tcPr>
            <w:tcW w:w="1943" w:type="dxa"/>
            <w:vAlign w:val="center"/>
          </w:tcPr>
          <w:p w14:paraId="4D8587BC"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C2" w14:textId="77777777" w:rsidTr="009B448F">
        <w:trPr>
          <w:trHeight w:val="327"/>
          <w:tblHeader/>
        </w:trPr>
        <w:tc>
          <w:tcPr>
            <w:tcW w:w="1257" w:type="dxa"/>
            <w:vMerge/>
            <w:noWrap/>
            <w:tcMar>
              <w:top w:w="0" w:type="dxa"/>
              <w:left w:w="108" w:type="dxa"/>
              <w:bottom w:w="0" w:type="dxa"/>
              <w:right w:w="108" w:type="dxa"/>
            </w:tcMar>
            <w:vAlign w:val="center"/>
            <w:hideMark/>
          </w:tcPr>
          <w:p w14:paraId="4D8587BE" w14:textId="77777777" w:rsidR="009B448F" w:rsidRPr="000A1B12" w:rsidRDefault="009B448F" w:rsidP="008F4DB1">
            <w:pPr>
              <w:jc w:val="center"/>
              <w:rPr>
                <w:rFonts w:cs="Arial"/>
                <w:bCs/>
                <w:color w:val="000000" w:themeColor="text1"/>
                <w:sz w:val="20"/>
                <w:szCs w:val="20"/>
              </w:rPr>
            </w:pPr>
          </w:p>
        </w:tc>
        <w:tc>
          <w:tcPr>
            <w:tcW w:w="4111" w:type="dxa"/>
            <w:noWrap/>
            <w:tcMar>
              <w:top w:w="0" w:type="dxa"/>
              <w:left w:w="108" w:type="dxa"/>
              <w:bottom w:w="0" w:type="dxa"/>
              <w:right w:w="108" w:type="dxa"/>
            </w:tcMar>
            <w:vAlign w:val="center"/>
            <w:hideMark/>
          </w:tcPr>
          <w:p w14:paraId="4D8587BF"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Rural Development Administration</w:t>
            </w:r>
          </w:p>
        </w:tc>
        <w:tc>
          <w:tcPr>
            <w:tcW w:w="1843" w:type="dxa"/>
            <w:vAlign w:val="center"/>
            <w:hideMark/>
          </w:tcPr>
          <w:p w14:paraId="4D8587C0"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feed</w:t>
            </w:r>
          </w:p>
        </w:tc>
        <w:tc>
          <w:tcPr>
            <w:tcW w:w="1943" w:type="dxa"/>
            <w:vAlign w:val="center"/>
          </w:tcPr>
          <w:p w14:paraId="4D8587C1"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C7" w14:textId="77777777" w:rsidTr="009B448F">
        <w:trPr>
          <w:trHeight w:val="327"/>
          <w:tblHeader/>
        </w:trPr>
        <w:tc>
          <w:tcPr>
            <w:tcW w:w="1257" w:type="dxa"/>
            <w:vMerge w:val="restart"/>
            <w:shd w:val="clear" w:color="auto" w:fill="D6E3BC" w:themeFill="accent3" w:themeFillTint="66"/>
            <w:noWrap/>
            <w:tcMar>
              <w:top w:w="0" w:type="dxa"/>
              <w:left w:w="108" w:type="dxa"/>
              <w:bottom w:w="0" w:type="dxa"/>
              <w:right w:w="108" w:type="dxa"/>
            </w:tcMar>
            <w:vAlign w:val="center"/>
            <w:hideMark/>
          </w:tcPr>
          <w:p w14:paraId="4D8587C3"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Argentina</w:t>
            </w:r>
          </w:p>
        </w:tc>
        <w:tc>
          <w:tcPr>
            <w:tcW w:w="4111" w:type="dxa"/>
            <w:shd w:val="clear" w:color="auto" w:fill="D6E3BC" w:themeFill="accent3" w:themeFillTint="66"/>
            <w:noWrap/>
            <w:tcMar>
              <w:top w:w="0" w:type="dxa"/>
              <w:left w:w="108" w:type="dxa"/>
              <w:bottom w:w="0" w:type="dxa"/>
              <w:right w:w="108" w:type="dxa"/>
            </w:tcMar>
            <w:vAlign w:val="center"/>
            <w:hideMark/>
          </w:tcPr>
          <w:p w14:paraId="4D8587C4"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CONABIA</w:t>
            </w:r>
          </w:p>
        </w:tc>
        <w:tc>
          <w:tcPr>
            <w:tcW w:w="1843" w:type="dxa"/>
            <w:shd w:val="clear" w:color="auto" w:fill="D6E3BC" w:themeFill="accent3" w:themeFillTint="66"/>
            <w:vAlign w:val="center"/>
            <w:hideMark/>
          </w:tcPr>
          <w:p w14:paraId="4D8587C5"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food</w:t>
            </w:r>
          </w:p>
        </w:tc>
        <w:tc>
          <w:tcPr>
            <w:tcW w:w="1943" w:type="dxa"/>
            <w:shd w:val="clear" w:color="auto" w:fill="D6E3BC" w:themeFill="accent3" w:themeFillTint="66"/>
            <w:vAlign w:val="center"/>
          </w:tcPr>
          <w:p w14:paraId="4D8587C6"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CC" w14:textId="77777777" w:rsidTr="009B448F">
        <w:trPr>
          <w:trHeight w:val="327"/>
          <w:tblHeader/>
        </w:trPr>
        <w:tc>
          <w:tcPr>
            <w:tcW w:w="1257" w:type="dxa"/>
            <w:vMerge/>
            <w:shd w:val="clear" w:color="auto" w:fill="D6E3BC" w:themeFill="accent3" w:themeFillTint="66"/>
            <w:noWrap/>
            <w:tcMar>
              <w:top w:w="0" w:type="dxa"/>
              <w:left w:w="108" w:type="dxa"/>
              <w:bottom w:w="0" w:type="dxa"/>
              <w:right w:w="108" w:type="dxa"/>
            </w:tcMar>
            <w:vAlign w:val="center"/>
            <w:hideMark/>
          </w:tcPr>
          <w:p w14:paraId="4D8587C8" w14:textId="77777777" w:rsidR="009B448F" w:rsidRPr="000A1B12" w:rsidRDefault="009B448F" w:rsidP="008F4DB1">
            <w:pPr>
              <w:jc w:val="center"/>
              <w:rPr>
                <w:rFonts w:cs="Arial"/>
                <w:bCs/>
                <w:color w:val="000000" w:themeColor="text1"/>
                <w:sz w:val="20"/>
                <w:szCs w:val="20"/>
              </w:rPr>
            </w:pPr>
          </w:p>
        </w:tc>
        <w:tc>
          <w:tcPr>
            <w:tcW w:w="4111" w:type="dxa"/>
            <w:shd w:val="clear" w:color="auto" w:fill="D6E3BC" w:themeFill="accent3" w:themeFillTint="66"/>
            <w:noWrap/>
            <w:tcMar>
              <w:top w:w="0" w:type="dxa"/>
              <w:left w:w="108" w:type="dxa"/>
              <w:bottom w:w="0" w:type="dxa"/>
              <w:right w:w="108" w:type="dxa"/>
            </w:tcMar>
            <w:vAlign w:val="center"/>
            <w:hideMark/>
          </w:tcPr>
          <w:p w14:paraId="4D8587C9"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SENASA</w:t>
            </w:r>
          </w:p>
        </w:tc>
        <w:tc>
          <w:tcPr>
            <w:tcW w:w="1843" w:type="dxa"/>
            <w:shd w:val="clear" w:color="auto" w:fill="D6E3BC" w:themeFill="accent3" w:themeFillTint="66"/>
            <w:vAlign w:val="center"/>
            <w:hideMark/>
          </w:tcPr>
          <w:p w14:paraId="4D8587CA"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feed</w:t>
            </w:r>
          </w:p>
        </w:tc>
        <w:tc>
          <w:tcPr>
            <w:tcW w:w="1943" w:type="dxa"/>
            <w:shd w:val="clear" w:color="auto" w:fill="D6E3BC" w:themeFill="accent3" w:themeFillTint="66"/>
            <w:vAlign w:val="center"/>
          </w:tcPr>
          <w:p w14:paraId="4D8587CB"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D1" w14:textId="77777777" w:rsidTr="009B448F">
        <w:trPr>
          <w:trHeight w:val="327"/>
          <w:tblHeader/>
        </w:trPr>
        <w:tc>
          <w:tcPr>
            <w:tcW w:w="1257" w:type="dxa"/>
            <w:noWrap/>
            <w:tcMar>
              <w:top w:w="0" w:type="dxa"/>
              <w:left w:w="108" w:type="dxa"/>
              <w:bottom w:w="0" w:type="dxa"/>
              <w:right w:w="108" w:type="dxa"/>
            </w:tcMar>
            <w:vAlign w:val="center"/>
            <w:hideMark/>
          </w:tcPr>
          <w:p w14:paraId="4D8587CD"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Taiwan</w:t>
            </w:r>
          </w:p>
        </w:tc>
        <w:tc>
          <w:tcPr>
            <w:tcW w:w="4111" w:type="dxa"/>
            <w:noWrap/>
            <w:tcMar>
              <w:top w:w="0" w:type="dxa"/>
              <w:left w:w="108" w:type="dxa"/>
              <w:bottom w:w="0" w:type="dxa"/>
              <w:right w:w="108" w:type="dxa"/>
            </w:tcMar>
            <w:vAlign w:val="center"/>
            <w:hideMark/>
          </w:tcPr>
          <w:p w14:paraId="4D8587CE"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Taiwan Food and Drug Administration</w:t>
            </w:r>
          </w:p>
        </w:tc>
        <w:tc>
          <w:tcPr>
            <w:tcW w:w="1843" w:type="dxa"/>
            <w:vAlign w:val="center"/>
            <w:hideMark/>
          </w:tcPr>
          <w:p w14:paraId="4D8587CF"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food</w:t>
            </w:r>
          </w:p>
        </w:tc>
        <w:tc>
          <w:tcPr>
            <w:tcW w:w="1943" w:type="dxa"/>
            <w:vAlign w:val="center"/>
          </w:tcPr>
          <w:p w14:paraId="4D8587D0" w14:textId="77777777" w:rsidR="009B448F" w:rsidRDefault="009B448F" w:rsidP="009B448F">
            <w:pPr>
              <w:jc w:val="center"/>
            </w:pPr>
            <w:r w:rsidRPr="00565671">
              <w:rPr>
                <w:rFonts w:cs="Arial"/>
                <w:bCs/>
                <w:color w:val="000000" w:themeColor="text1"/>
                <w:sz w:val="20"/>
                <w:szCs w:val="20"/>
              </w:rPr>
              <w:t>Being assessed</w:t>
            </w:r>
          </w:p>
        </w:tc>
      </w:tr>
      <w:tr w:rsidR="009B448F" w:rsidRPr="000A1B12" w14:paraId="4D8587D6" w14:textId="77777777" w:rsidTr="009B448F">
        <w:trPr>
          <w:trHeight w:val="327"/>
          <w:tblHeader/>
        </w:trPr>
        <w:tc>
          <w:tcPr>
            <w:tcW w:w="1257" w:type="dxa"/>
            <w:shd w:val="clear" w:color="auto" w:fill="D6E3BC" w:themeFill="accent3" w:themeFillTint="66"/>
            <w:noWrap/>
            <w:tcMar>
              <w:top w:w="0" w:type="dxa"/>
              <w:left w:w="108" w:type="dxa"/>
              <w:bottom w:w="0" w:type="dxa"/>
              <w:right w:w="108" w:type="dxa"/>
            </w:tcMar>
            <w:vAlign w:val="center"/>
            <w:hideMark/>
          </w:tcPr>
          <w:p w14:paraId="4D8587D2"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European Union</w:t>
            </w:r>
          </w:p>
        </w:tc>
        <w:tc>
          <w:tcPr>
            <w:tcW w:w="4111" w:type="dxa"/>
            <w:shd w:val="clear" w:color="auto" w:fill="D6E3BC" w:themeFill="accent3" w:themeFillTint="66"/>
            <w:noWrap/>
            <w:tcMar>
              <w:top w:w="0" w:type="dxa"/>
              <w:left w:w="108" w:type="dxa"/>
              <w:bottom w:w="0" w:type="dxa"/>
              <w:right w:w="108" w:type="dxa"/>
            </w:tcMar>
            <w:vAlign w:val="center"/>
            <w:hideMark/>
          </w:tcPr>
          <w:p w14:paraId="4D8587D3"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European Food Safety Authority</w:t>
            </w:r>
          </w:p>
        </w:tc>
        <w:tc>
          <w:tcPr>
            <w:tcW w:w="1843" w:type="dxa"/>
            <w:shd w:val="clear" w:color="auto" w:fill="D6E3BC" w:themeFill="accent3" w:themeFillTint="66"/>
            <w:vAlign w:val="center"/>
            <w:hideMark/>
          </w:tcPr>
          <w:p w14:paraId="4D8587D4" w14:textId="77777777" w:rsidR="009B448F" w:rsidRPr="000A1B12" w:rsidRDefault="009B448F" w:rsidP="008F4DB1">
            <w:pPr>
              <w:jc w:val="center"/>
              <w:rPr>
                <w:rFonts w:cs="Arial"/>
                <w:bCs/>
                <w:color w:val="000000" w:themeColor="text1"/>
                <w:sz w:val="20"/>
                <w:szCs w:val="20"/>
              </w:rPr>
            </w:pPr>
            <w:r w:rsidRPr="000A1B12">
              <w:rPr>
                <w:rFonts w:cs="Arial"/>
                <w:bCs/>
                <w:color w:val="000000" w:themeColor="text1"/>
                <w:sz w:val="20"/>
                <w:szCs w:val="20"/>
              </w:rPr>
              <w:t>food</w:t>
            </w:r>
          </w:p>
        </w:tc>
        <w:tc>
          <w:tcPr>
            <w:tcW w:w="1943" w:type="dxa"/>
            <w:shd w:val="clear" w:color="auto" w:fill="D6E3BC" w:themeFill="accent3" w:themeFillTint="66"/>
            <w:vAlign w:val="center"/>
          </w:tcPr>
          <w:p w14:paraId="4D8587D5" w14:textId="77777777" w:rsidR="009B448F" w:rsidRDefault="009B448F" w:rsidP="009B448F">
            <w:pPr>
              <w:jc w:val="center"/>
            </w:pPr>
            <w:r w:rsidRPr="00565671">
              <w:rPr>
                <w:rFonts w:cs="Arial"/>
                <w:bCs/>
                <w:color w:val="000000" w:themeColor="text1"/>
                <w:sz w:val="20"/>
                <w:szCs w:val="20"/>
              </w:rPr>
              <w:t>Being assessed</w:t>
            </w:r>
          </w:p>
        </w:tc>
      </w:tr>
    </w:tbl>
    <w:p w14:paraId="4D8587D7" w14:textId="77777777" w:rsidR="000A1B12" w:rsidRPr="000A1B12" w:rsidRDefault="000A1B12" w:rsidP="000A1B12">
      <w:pPr>
        <w:jc w:val="center"/>
        <w:rPr>
          <w:rFonts w:cs="Arial"/>
          <w:color w:val="000000" w:themeColor="text1"/>
          <w:sz w:val="20"/>
          <w:szCs w:val="20"/>
          <w:lang w:val="en-AU"/>
        </w:rPr>
      </w:pPr>
    </w:p>
    <w:p w14:paraId="4D8587D8" w14:textId="77777777" w:rsidR="002E6A94" w:rsidRPr="000B1B4C" w:rsidRDefault="002E6A94" w:rsidP="002E6A94">
      <w:pPr>
        <w:rPr>
          <w:color w:val="000000" w:themeColor="text1"/>
          <w:sz w:val="20"/>
          <w:szCs w:val="20"/>
          <w:lang w:val="en-AU"/>
        </w:rPr>
      </w:pPr>
      <w:r w:rsidRPr="000B1B4C">
        <w:rPr>
          <w:color w:val="000000" w:themeColor="text1"/>
          <w:lang w:val="en-AU"/>
        </w:rPr>
        <w:t xml:space="preserve">It is the Applicant’s intention to submit applications </w:t>
      </w:r>
      <w:r>
        <w:rPr>
          <w:color w:val="000000" w:themeColor="text1"/>
          <w:lang w:val="en-AU"/>
        </w:rPr>
        <w:t xml:space="preserve">for food/feed regulatory approvals </w:t>
      </w:r>
      <w:r w:rsidRPr="000B1B4C">
        <w:rPr>
          <w:color w:val="000000" w:themeColor="text1"/>
          <w:lang w:val="en-AU"/>
        </w:rPr>
        <w:t>t</w:t>
      </w:r>
      <w:r>
        <w:rPr>
          <w:color w:val="000000" w:themeColor="text1"/>
          <w:lang w:val="en-AU"/>
        </w:rPr>
        <w:t>o</w:t>
      </w:r>
      <w:r w:rsidRPr="000B1B4C">
        <w:rPr>
          <w:color w:val="000000" w:themeColor="text1"/>
          <w:lang w:val="en-AU"/>
        </w:rPr>
        <w:t xml:space="preserve"> other countr</w:t>
      </w:r>
      <w:r>
        <w:rPr>
          <w:color w:val="000000" w:themeColor="text1"/>
          <w:lang w:val="en-AU"/>
        </w:rPr>
        <w:t>ies such as China</w:t>
      </w:r>
      <w:r w:rsidRPr="000B1B4C">
        <w:rPr>
          <w:color w:val="000000" w:themeColor="text1"/>
          <w:lang w:val="en-AU"/>
        </w:rPr>
        <w:t xml:space="preserve"> </w:t>
      </w:r>
      <w:r>
        <w:rPr>
          <w:color w:val="000000" w:themeColor="text1"/>
          <w:lang w:val="en-AU"/>
        </w:rPr>
        <w:t xml:space="preserve">that may import corn food/feed products from countries where </w:t>
      </w:r>
      <w:r w:rsidR="00A21632">
        <w:rPr>
          <w:color w:val="000000" w:themeColor="text1"/>
          <w:lang w:val="en-AU"/>
        </w:rPr>
        <w:t xml:space="preserve">lines containing the </w:t>
      </w:r>
      <w:r>
        <w:rPr>
          <w:color w:val="000000" w:themeColor="text1"/>
          <w:lang w:val="en-AU"/>
        </w:rPr>
        <w:t>MON87411</w:t>
      </w:r>
      <w:r w:rsidR="00A21632">
        <w:rPr>
          <w:color w:val="000000" w:themeColor="text1"/>
          <w:lang w:val="en-AU"/>
        </w:rPr>
        <w:t xml:space="preserve"> event</w:t>
      </w:r>
      <w:r>
        <w:rPr>
          <w:color w:val="000000" w:themeColor="text1"/>
          <w:lang w:val="en-AU"/>
        </w:rPr>
        <w:t xml:space="preserve"> will be grown.</w:t>
      </w:r>
    </w:p>
    <w:p w14:paraId="4D8587D9" w14:textId="77777777" w:rsidR="002E6A94" w:rsidRPr="000B1B4C" w:rsidRDefault="002E6A94" w:rsidP="002E6A94">
      <w:pPr>
        <w:rPr>
          <w:rFonts w:eastAsia="Batang"/>
          <w:color w:val="000000" w:themeColor="text1"/>
        </w:rPr>
      </w:pPr>
    </w:p>
    <w:p w14:paraId="4D8587DA" w14:textId="77777777" w:rsidR="002E6A94" w:rsidRPr="002D13C2" w:rsidRDefault="002E6A94" w:rsidP="002E6A94">
      <w:pPr>
        <w:rPr>
          <w:rFonts w:eastAsia="Batang"/>
          <w:color w:val="000000" w:themeColor="text1"/>
        </w:rPr>
      </w:pPr>
      <w:r w:rsidRPr="000B1B4C">
        <w:rPr>
          <w:rFonts w:eastAsia="Batang"/>
          <w:color w:val="000000" w:themeColor="text1"/>
        </w:rPr>
        <w:t xml:space="preserve">It is the Applicant’s intention that </w:t>
      </w:r>
      <w:r w:rsidR="00A21632">
        <w:rPr>
          <w:rFonts w:eastAsia="Batang"/>
          <w:color w:val="000000" w:themeColor="text1"/>
        </w:rPr>
        <w:t>lines containing the MON87411 event</w:t>
      </w:r>
      <w:r w:rsidRPr="000B1B4C">
        <w:rPr>
          <w:rFonts w:eastAsia="Batang"/>
          <w:color w:val="000000" w:themeColor="text1"/>
        </w:rPr>
        <w:t xml:space="preserve"> be commercially cultivated</w:t>
      </w:r>
      <w:r>
        <w:rPr>
          <w:rFonts w:eastAsia="Batang"/>
          <w:color w:val="000000" w:themeColor="text1"/>
        </w:rPr>
        <w:t xml:space="preserve"> predominantly in North</w:t>
      </w:r>
      <w:r w:rsidRPr="002D13C2">
        <w:rPr>
          <w:rFonts w:eastAsia="Batang"/>
          <w:color w:val="000000" w:themeColor="text1"/>
        </w:rPr>
        <w:t xml:space="preserve"> America. There is currently no intention to apply</w:t>
      </w:r>
      <w:r w:rsidR="00E06826">
        <w:rPr>
          <w:rFonts w:eastAsia="Batang"/>
          <w:color w:val="000000" w:themeColor="text1"/>
        </w:rPr>
        <w:t xml:space="preserve"> for approval to cultivate </w:t>
      </w:r>
      <w:r w:rsidRPr="002D13C2">
        <w:rPr>
          <w:rFonts w:eastAsia="Batang"/>
          <w:color w:val="000000" w:themeColor="text1"/>
        </w:rPr>
        <w:t>line</w:t>
      </w:r>
      <w:r w:rsidR="00E06826">
        <w:rPr>
          <w:rFonts w:eastAsia="Batang"/>
          <w:color w:val="000000" w:themeColor="text1"/>
        </w:rPr>
        <w:t>s containing this event</w:t>
      </w:r>
      <w:r w:rsidRPr="002D13C2">
        <w:rPr>
          <w:rFonts w:eastAsia="Batang"/>
          <w:color w:val="000000" w:themeColor="text1"/>
        </w:rPr>
        <w:t xml:space="preserve"> in either Australia or New Zealand. </w:t>
      </w:r>
      <w:r>
        <w:rPr>
          <w:color w:val="000000" w:themeColor="text1"/>
        </w:rPr>
        <w:t>C</w:t>
      </w:r>
      <w:r w:rsidRPr="002D13C2">
        <w:rPr>
          <w:color w:val="000000" w:themeColor="text1"/>
        </w:rPr>
        <w:t xml:space="preserve">ultivation in Australia or New Zealand would </w:t>
      </w:r>
      <w:r>
        <w:rPr>
          <w:color w:val="000000" w:themeColor="text1"/>
        </w:rPr>
        <w:t xml:space="preserve">require </w:t>
      </w:r>
      <w:r w:rsidRPr="002D13C2">
        <w:rPr>
          <w:color w:val="000000" w:themeColor="text1"/>
        </w:rPr>
        <w:t>independent assess</w:t>
      </w:r>
      <w:r>
        <w:rPr>
          <w:color w:val="000000" w:themeColor="text1"/>
        </w:rPr>
        <w:t>ment and approval</w:t>
      </w:r>
      <w:r w:rsidRPr="002D13C2">
        <w:rPr>
          <w:color w:val="000000" w:themeColor="text1"/>
        </w:rPr>
        <w:t xml:space="preserve"> by the Office of the Gene Technology Regulator in Australia and </w:t>
      </w:r>
      <w:r>
        <w:rPr>
          <w:color w:val="000000" w:themeColor="text1"/>
        </w:rPr>
        <w:t xml:space="preserve">by </w:t>
      </w:r>
      <w:r w:rsidRPr="002D13C2">
        <w:rPr>
          <w:color w:val="000000" w:themeColor="text1"/>
        </w:rPr>
        <w:t>the Environm</w:t>
      </w:r>
      <w:r>
        <w:rPr>
          <w:color w:val="000000" w:themeColor="text1"/>
        </w:rPr>
        <w:t>ental Protection Authority</w:t>
      </w:r>
      <w:r w:rsidRPr="002D13C2">
        <w:rPr>
          <w:color w:val="000000" w:themeColor="text1"/>
        </w:rPr>
        <w:t xml:space="preserve"> in New Zealand. </w:t>
      </w:r>
    </w:p>
    <w:p w14:paraId="4D8587DB" w14:textId="77777777" w:rsidR="002C1A3B" w:rsidRPr="00260397" w:rsidRDefault="002C1A3B" w:rsidP="002C1A3B">
      <w:pPr>
        <w:pStyle w:val="Heading3"/>
      </w:pPr>
      <w:bookmarkStart w:id="81" w:name="_Toc419907025"/>
      <w:r w:rsidRPr="00260397">
        <w:t>2.5.2.</w:t>
      </w:r>
      <w:r w:rsidRPr="00260397">
        <w:tab/>
        <w:t>Subsection 18(1)</w:t>
      </w:r>
      <w:bookmarkEnd w:id="77"/>
      <w:bookmarkEnd w:id="78"/>
      <w:bookmarkEnd w:id="81"/>
      <w:r w:rsidRPr="00260397">
        <w:t xml:space="preserve"> </w:t>
      </w:r>
      <w:bookmarkEnd w:id="79"/>
      <w:bookmarkEnd w:id="80"/>
    </w:p>
    <w:p w14:paraId="4D8587DC"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4D8587DD" w14:textId="77777777" w:rsidR="002C1A3B" w:rsidRPr="00260397" w:rsidRDefault="002C1A3B" w:rsidP="002C1A3B">
      <w:pPr>
        <w:pStyle w:val="Heading4"/>
        <w:rPr>
          <w:lang w:eastAsia="en-AU"/>
        </w:rPr>
      </w:pPr>
      <w:bookmarkStart w:id="82" w:name="_Toc297029117"/>
      <w:bookmarkStart w:id="83" w:name="_Toc300761898"/>
      <w:bookmarkStart w:id="84" w:name="_Toc300933441"/>
      <w:r w:rsidRPr="00260397">
        <w:rPr>
          <w:lang w:eastAsia="en-AU"/>
        </w:rPr>
        <w:t>2.5.2.1</w:t>
      </w:r>
      <w:r w:rsidRPr="00260397">
        <w:rPr>
          <w:lang w:eastAsia="en-AU"/>
        </w:rPr>
        <w:tab/>
        <w:t>Protection of public health and safety</w:t>
      </w:r>
      <w:bookmarkEnd w:id="82"/>
      <w:bookmarkEnd w:id="83"/>
      <w:bookmarkEnd w:id="84"/>
    </w:p>
    <w:p w14:paraId="4D8587DE" w14:textId="77777777" w:rsidR="00563118" w:rsidRPr="005C18EC" w:rsidRDefault="00563118" w:rsidP="00563118">
      <w:bookmarkStart w:id="85" w:name="_Toc300761899"/>
      <w:bookmarkStart w:id="86" w:name="_Toc300933442"/>
      <w:r w:rsidRPr="005C18EC">
        <w:t>Food deriv</w:t>
      </w:r>
      <w:r>
        <w:t>ed from MON87411</w:t>
      </w:r>
      <w:r w:rsidRPr="005C18EC">
        <w:rPr>
          <w:rFonts w:cs="Arial"/>
        </w:rPr>
        <w:t xml:space="preserve"> </w:t>
      </w:r>
      <w:r w:rsidRPr="005C18EC">
        <w:t xml:space="preserve">has been assessed according to the safety assessment guidelines prepared by FSANZ </w:t>
      </w:r>
      <w:r>
        <w:fldChar w:fldCharType="begin"/>
      </w:r>
      <w:r w:rsidR="004B76CD">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fldChar w:fldCharType="separate"/>
      </w:r>
      <w:r>
        <w:rPr>
          <w:noProof/>
        </w:rPr>
        <w:t>(2007)</w:t>
      </w:r>
      <w:r>
        <w:fldChar w:fldCharType="end"/>
      </w:r>
      <w:r w:rsidRPr="005C18EC">
        <w:t>.</w:t>
      </w:r>
    </w:p>
    <w:p w14:paraId="4D8587DF" w14:textId="77777777" w:rsidR="00563118" w:rsidRPr="008F4BDF" w:rsidRDefault="00563118" w:rsidP="00563118"/>
    <w:p w14:paraId="4D8587E0" w14:textId="77777777" w:rsidR="00563118" w:rsidRPr="008F4BDF" w:rsidRDefault="00563118" w:rsidP="00563118">
      <w:r w:rsidRPr="008F4BDF">
        <w:t xml:space="preserve">No public health and safety concerns were identified in this assessment. Based on the available evidence, including detailed studies provided by the Applicant, food derived from </w:t>
      </w:r>
      <w:r>
        <w:t>MON87411</w:t>
      </w:r>
      <w:r w:rsidRPr="008F4BDF">
        <w:t xml:space="preserve"> is considered as safe and wholesome as food deriv</w:t>
      </w:r>
      <w:r>
        <w:t>ed from other commercial corn</w:t>
      </w:r>
      <w:r w:rsidRPr="008F4BDF">
        <w:t xml:space="preserve"> cultivars.</w:t>
      </w:r>
    </w:p>
    <w:p w14:paraId="64FFBFC9" w14:textId="77777777" w:rsidR="00ED70BB" w:rsidRDefault="00ED70BB" w:rsidP="002C1A3B">
      <w:pPr>
        <w:pStyle w:val="Heading4"/>
        <w:rPr>
          <w:lang w:eastAsia="en-AU"/>
        </w:rPr>
      </w:pPr>
      <w:r>
        <w:rPr>
          <w:lang w:eastAsia="en-AU"/>
        </w:rPr>
        <w:br w:type="page"/>
      </w:r>
    </w:p>
    <w:p w14:paraId="4D8587E1" w14:textId="60B042CE" w:rsidR="002C1A3B" w:rsidRPr="00260397" w:rsidRDefault="002C1A3B" w:rsidP="002C1A3B">
      <w:pPr>
        <w:pStyle w:val="Heading4"/>
        <w:rPr>
          <w:lang w:eastAsia="en-AU"/>
        </w:rPr>
      </w:pPr>
      <w:r w:rsidRPr="00260397">
        <w:rPr>
          <w:lang w:eastAsia="en-AU"/>
        </w:rPr>
        <w:lastRenderedPageBreak/>
        <w:t>2.5.2.2</w:t>
      </w:r>
      <w:r w:rsidRPr="00260397">
        <w:rPr>
          <w:lang w:eastAsia="en-AU"/>
        </w:rPr>
        <w:tab/>
        <w:t>The provision of adequate information relating to food to enable consumers to make informed choices</w:t>
      </w:r>
      <w:bookmarkEnd w:id="85"/>
      <w:bookmarkEnd w:id="86"/>
    </w:p>
    <w:p w14:paraId="4D8587E2" w14:textId="77777777" w:rsidR="00563118" w:rsidRPr="006F53A8" w:rsidRDefault="00563118" w:rsidP="00563118">
      <w:pPr>
        <w:rPr>
          <w:b/>
          <w:bCs/>
          <w:color w:val="000000" w:themeColor="text1"/>
        </w:rPr>
      </w:pPr>
      <w:bookmarkStart w:id="87" w:name="_Toc300761900"/>
      <w:bookmarkStart w:id="88" w:name="_Toc300933443"/>
      <w:r w:rsidRPr="006F53A8">
        <w:rPr>
          <w:color w:val="000000" w:themeColor="text1"/>
        </w:rPr>
        <w:t>In accordance with existing labelling provisions</w:t>
      </w:r>
      <w:r w:rsidR="00042DFF">
        <w:rPr>
          <w:color w:val="000000" w:themeColor="text1"/>
        </w:rPr>
        <w:t xml:space="preserve"> to enable informed consumer choice</w:t>
      </w:r>
      <w:r w:rsidRPr="006F53A8">
        <w:rPr>
          <w:color w:val="000000" w:themeColor="text1"/>
        </w:rPr>
        <w:t>, food</w:t>
      </w:r>
      <w:r>
        <w:rPr>
          <w:color w:val="000000" w:themeColor="text1"/>
        </w:rPr>
        <w:t xml:space="preserve"> derived from</w:t>
      </w:r>
      <w:r w:rsidRPr="008C42B5">
        <w:t xml:space="preserve"> </w:t>
      </w:r>
      <w:r>
        <w:rPr>
          <w:color w:val="000000" w:themeColor="text1"/>
        </w:rPr>
        <w:t>MON87411</w:t>
      </w:r>
      <w:r w:rsidRPr="006F53A8">
        <w:rPr>
          <w:color w:val="000000" w:themeColor="text1"/>
        </w:rPr>
        <w:t xml:space="preserve"> would have to be labelled as ‘genetically modified’ if it contains novel DNA o</w:t>
      </w:r>
      <w:r>
        <w:rPr>
          <w:color w:val="000000" w:themeColor="text1"/>
        </w:rPr>
        <w:t xml:space="preserve">r novel protein (see </w:t>
      </w:r>
      <w:r w:rsidR="008143ED">
        <w:rPr>
          <w:color w:val="000000" w:themeColor="text1"/>
        </w:rPr>
        <w:t xml:space="preserve">discussion in </w:t>
      </w:r>
      <w:r>
        <w:rPr>
          <w:color w:val="000000" w:themeColor="text1"/>
        </w:rPr>
        <w:t>Section 2.3</w:t>
      </w:r>
      <w:r w:rsidRPr="006F53A8">
        <w:rPr>
          <w:color w:val="000000" w:themeColor="text1"/>
        </w:rPr>
        <w:t>.1).</w:t>
      </w:r>
      <w:r>
        <w:rPr>
          <w:color w:val="000000" w:themeColor="text1"/>
        </w:rPr>
        <w:t xml:space="preserve"> </w:t>
      </w:r>
    </w:p>
    <w:p w14:paraId="4D8587E3" w14:textId="77777777" w:rsidR="002C1A3B" w:rsidRPr="00260397" w:rsidRDefault="002C1A3B" w:rsidP="002C1A3B">
      <w:pPr>
        <w:pStyle w:val="Heading4"/>
        <w:rPr>
          <w:lang w:eastAsia="en-AU"/>
        </w:rPr>
      </w:pPr>
      <w:r w:rsidRPr="00260397">
        <w:rPr>
          <w:lang w:eastAsia="en-AU"/>
        </w:rPr>
        <w:t>2.5.2.3</w:t>
      </w:r>
      <w:r w:rsidRPr="00260397">
        <w:rPr>
          <w:lang w:eastAsia="en-AU"/>
        </w:rPr>
        <w:tab/>
        <w:t>The prevention of misleading or deceptive conduct</w:t>
      </w:r>
      <w:bookmarkEnd w:id="87"/>
      <w:bookmarkEnd w:id="88"/>
    </w:p>
    <w:p w14:paraId="4D8587E4" w14:textId="77777777" w:rsidR="00563118" w:rsidRPr="006F53A8" w:rsidRDefault="00563118" w:rsidP="00563118">
      <w:pPr>
        <w:rPr>
          <w:color w:val="000000" w:themeColor="text1"/>
          <w:lang w:eastAsia="en-AU"/>
        </w:rPr>
      </w:pPr>
      <w:bookmarkStart w:id="89" w:name="_Toc300761901"/>
      <w:bookmarkStart w:id="90" w:name="_Toc300933444"/>
      <w:bookmarkStart w:id="91" w:name="_Toc370223480"/>
      <w:bookmarkStart w:id="92" w:name="_Toc370225395"/>
      <w:r w:rsidRPr="006F53A8">
        <w:rPr>
          <w:color w:val="000000" w:themeColor="text1"/>
          <w:lang w:eastAsia="en-AU"/>
        </w:rPr>
        <w:t>The requirement for detect</w:t>
      </w:r>
      <w:r>
        <w:rPr>
          <w:color w:val="000000" w:themeColor="text1"/>
          <w:lang w:eastAsia="en-AU"/>
        </w:rPr>
        <w:t>ion methodology (see Section 2.3</w:t>
      </w:r>
      <w:r w:rsidRPr="006F53A8">
        <w:rPr>
          <w:color w:val="000000" w:themeColor="text1"/>
          <w:lang w:eastAsia="en-AU"/>
        </w:rPr>
        <w:t>.2) is designed to address this objective.</w:t>
      </w:r>
    </w:p>
    <w:p w14:paraId="4D8587E5" w14:textId="77777777" w:rsidR="002C1A3B" w:rsidRPr="00260397" w:rsidRDefault="002C1A3B" w:rsidP="002C1A3B">
      <w:pPr>
        <w:keepNext/>
        <w:spacing w:before="240" w:after="240"/>
        <w:ind w:left="851" w:hanging="851"/>
        <w:outlineLvl w:val="2"/>
        <w:rPr>
          <w:b/>
          <w:bCs/>
          <w:lang w:eastAsia="en-AU" w:bidi="ar-SA"/>
        </w:rPr>
      </w:pPr>
      <w:r w:rsidRPr="00260397">
        <w:rPr>
          <w:b/>
          <w:bCs/>
          <w:lang w:eastAsia="en-AU" w:bidi="ar-SA"/>
        </w:rPr>
        <w:t>2.5.3</w:t>
      </w:r>
      <w:r w:rsidRPr="00260397">
        <w:rPr>
          <w:b/>
          <w:bCs/>
          <w:lang w:eastAsia="en-AU" w:bidi="ar-SA"/>
        </w:rPr>
        <w:tab/>
        <w:t xml:space="preserve">Subsection 18(2) </w:t>
      </w:r>
      <w:bookmarkEnd w:id="89"/>
      <w:bookmarkEnd w:id="90"/>
      <w:r w:rsidRPr="00260397">
        <w:rPr>
          <w:b/>
          <w:bCs/>
          <w:lang w:eastAsia="en-AU" w:bidi="ar-SA"/>
        </w:rPr>
        <w:t>considerations</w:t>
      </w:r>
      <w:bookmarkEnd w:id="91"/>
      <w:bookmarkEnd w:id="92"/>
    </w:p>
    <w:p w14:paraId="4D8587E6" w14:textId="77777777" w:rsidR="00563118" w:rsidRPr="008F4BDF" w:rsidRDefault="00563118" w:rsidP="00563118">
      <w:r>
        <w:t>FSANZ has also had regard to:</w:t>
      </w:r>
    </w:p>
    <w:p w14:paraId="4D8587E7" w14:textId="77777777" w:rsidR="00563118" w:rsidRDefault="00563118" w:rsidP="00563118">
      <w:pPr>
        <w:rPr>
          <w:rFonts w:cs="Arial"/>
          <w:b/>
          <w:color w:val="000000" w:themeColor="text1"/>
        </w:rPr>
      </w:pPr>
    </w:p>
    <w:p w14:paraId="4D8587E8" w14:textId="77777777" w:rsidR="00563118" w:rsidRDefault="00563118" w:rsidP="005A2DF3">
      <w:pPr>
        <w:pStyle w:val="FSBullet1"/>
        <w:numPr>
          <w:ilvl w:val="0"/>
          <w:numId w:val="13"/>
        </w:numPr>
        <w:ind w:hanging="720"/>
        <w:rPr>
          <w:b/>
          <w:color w:val="000000" w:themeColor="text1"/>
        </w:rPr>
      </w:pPr>
      <w:proofErr w:type="gramStart"/>
      <w:r>
        <w:rPr>
          <w:b/>
          <w:color w:val="000000" w:themeColor="text1"/>
        </w:rPr>
        <w:t>t</w:t>
      </w:r>
      <w:r w:rsidRPr="00C5239D">
        <w:rPr>
          <w:b/>
          <w:color w:val="000000" w:themeColor="text1"/>
        </w:rPr>
        <w:t>he</w:t>
      </w:r>
      <w:proofErr w:type="gramEnd"/>
      <w:r w:rsidRPr="00C5239D">
        <w:rPr>
          <w:b/>
          <w:color w:val="000000" w:themeColor="text1"/>
        </w:rPr>
        <w:t xml:space="preserve"> need for standards to be based on risk analysis using the best available scientific evidence. </w:t>
      </w:r>
    </w:p>
    <w:p w14:paraId="4D8587E9" w14:textId="77777777" w:rsidR="00563118" w:rsidRPr="00C73C05" w:rsidRDefault="00563118" w:rsidP="00563118"/>
    <w:p w14:paraId="4D8587EA" w14:textId="77777777" w:rsidR="00563118" w:rsidRPr="00AC503E" w:rsidRDefault="00563118" w:rsidP="00563118">
      <w:r w:rsidRPr="00AC503E">
        <w:t xml:space="preserve">FSANZ’s approach to the safety assessment of all GM foods applies concepts and principles outlined in the Codex General Principles for the Risk Analysis of Foods derived from Biotechnology </w:t>
      </w:r>
      <w:r>
        <w:fldChar w:fldCharType="begin"/>
      </w:r>
      <w:r w:rsidR="004B76CD">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fldChar w:fldCharType="separate"/>
      </w:r>
      <w:r w:rsidR="005A2DF3">
        <w:rPr>
          <w:noProof/>
        </w:rPr>
        <w:t>(Codex 2004)</w:t>
      </w:r>
      <w:r>
        <w:fldChar w:fldCharType="end"/>
      </w:r>
      <w:r w:rsidRPr="00AC503E">
        <w:t xml:space="preserve">. Based on these principles, the risk analysis undertaken for </w:t>
      </w:r>
      <w:r>
        <w:t>MON87411</w:t>
      </w:r>
      <w:r w:rsidRPr="00AC503E">
        <w:t xml:space="preserve"> used the best scientific evidence available. The Applicant submitted to FSANZ a comprehensive dossier of quality-assured raw experimental data. In addition to the information supplied by the Applicant</w:t>
      </w:r>
      <w:r>
        <w:t>s</w:t>
      </w:r>
      <w:r w:rsidRPr="00AC503E">
        <w:t>, other available resource material including published scientific literature and general technical information was used in the safety assessment.</w:t>
      </w:r>
    </w:p>
    <w:p w14:paraId="4D8587EB" w14:textId="77777777" w:rsidR="00563118" w:rsidRDefault="00563118" w:rsidP="00563118">
      <w:pPr>
        <w:rPr>
          <w:rFonts w:cs="Arial"/>
          <w:i/>
          <w:color w:val="000000" w:themeColor="text1"/>
        </w:rPr>
      </w:pPr>
    </w:p>
    <w:p w14:paraId="4D8587EC" w14:textId="77777777" w:rsidR="00563118" w:rsidRPr="00C5239D" w:rsidRDefault="00563118" w:rsidP="005A2DF3">
      <w:pPr>
        <w:pStyle w:val="FSBullet1"/>
        <w:numPr>
          <w:ilvl w:val="0"/>
          <w:numId w:val="12"/>
        </w:numPr>
        <w:ind w:hanging="720"/>
        <w:rPr>
          <w:b/>
          <w:color w:val="000000" w:themeColor="text1"/>
        </w:rPr>
      </w:pPr>
      <w:r>
        <w:rPr>
          <w:b/>
          <w:color w:val="000000" w:themeColor="text1"/>
        </w:rPr>
        <w:t>t</w:t>
      </w:r>
      <w:r w:rsidRPr="00C5239D">
        <w:rPr>
          <w:b/>
          <w:color w:val="000000" w:themeColor="text1"/>
        </w:rPr>
        <w:t>he promotion of consistency between domestic a</w:t>
      </w:r>
      <w:r>
        <w:rPr>
          <w:b/>
          <w:color w:val="000000" w:themeColor="text1"/>
        </w:rPr>
        <w:t>nd international food standards</w:t>
      </w:r>
    </w:p>
    <w:p w14:paraId="4D8587ED" w14:textId="77777777" w:rsidR="00563118" w:rsidRPr="00AC503E" w:rsidRDefault="00563118" w:rsidP="00563118">
      <w:pPr>
        <w:ind w:left="1134" w:hanging="567"/>
      </w:pPr>
    </w:p>
    <w:p w14:paraId="4D8587EE" w14:textId="77777777" w:rsidR="00563118" w:rsidRDefault="00563118" w:rsidP="00563118">
      <w:r w:rsidRPr="00AC503E">
        <w:t>This is not a consideration as there are no relevant international standards.</w:t>
      </w:r>
    </w:p>
    <w:p w14:paraId="4D8587EF" w14:textId="77777777" w:rsidR="00563118" w:rsidRPr="008F4BDF" w:rsidRDefault="00563118" w:rsidP="00563118">
      <w:pPr>
        <w:ind w:left="567" w:hanging="567"/>
      </w:pPr>
    </w:p>
    <w:p w14:paraId="4D8587F0" w14:textId="77777777" w:rsidR="00563118" w:rsidRPr="00C5239D" w:rsidRDefault="00563118" w:rsidP="005A2DF3">
      <w:pPr>
        <w:pStyle w:val="FSBullet1"/>
        <w:numPr>
          <w:ilvl w:val="0"/>
          <w:numId w:val="11"/>
        </w:numPr>
        <w:ind w:hanging="720"/>
        <w:rPr>
          <w:b/>
          <w:color w:val="000000" w:themeColor="text1"/>
        </w:rPr>
      </w:pPr>
      <w:r>
        <w:rPr>
          <w:b/>
          <w:color w:val="000000" w:themeColor="text1"/>
        </w:rPr>
        <w:t>t</w:t>
      </w:r>
      <w:r w:rsidRPr="00C5239D">
        <w:rPr>
          <w:b/>
          <w:color w:val="000000" w:themeColor="text1"/>
        </w:rPr>
        <w:t>he desirability of an efficient and internatio</w:t>
      </w:r>
      <w:r>
        <w:rPr>
          <w:b/>
          <w:color w:val="000000" w:themeColor="text1"/>
        </w:rPr>
        <w:t>nally competitive food industry</w:t>
      </w:r>
    </w:p>
    <w:p w14:paraId="4D8587F1" w14:textId="77777777" w:rsidR="00563118" w:rsidRPr="005C18EC" w:rsidRDefault="00563118" w:rsidP="00563118">
      <w:pPr>
        <w:ind w:left="1134" w:hanging="567"/>
      </w:pPr>
    </w:p>
    <w:p w14:paraId="4D8587F2" w14:textId="77777777" w:rsidR="00563118" w:rsidRPr="005C18EC" w:rsidRDefault="00563118" w:rsidP="00563118">
      <w:r w:rsidRPr="005C18EC">
        <w:t xml:space="preserve">The inclusion of </w:t>
      </w:r>
      <w:r>
        <w:t>GM</w:t>
      </w:r>
      <w:r w:rsidRPr="005C18EC">
        <w:t xml:space="preserve"> foods in the food supply, providing there are no safety concerns, allows for innovation by developers and a widening of the technological base for the production of foods. </w:t>
      </w:r>
      <w:r>
        <w:t>MON87411 is a new food crop designed to provide growers with an alternative pest management strategy.</w:t>
      </w:r>
    </w:p>
    <w:p w14:paraId="4D8587F3" w14:textId="77777777" w:rsidR="00563118" w:rsidRPr="005C18EC" w:rsidRDefault="00563118" w:rsidP="00563118">
      <w:pPr>
        <w:ind w:left="567" w:hanging="567"/>
      </w:pPr>
    </w:p>
    <w:p w14:paraId="4D8587F4" w14:textId="77777777" w:rsidR="00563118" w:rsidRPr="00C5239D" w:rsidRDefault="00563118" w:rsidP="005A2DF3">
      <w:pPr>
        <w:pStyle w:val="ListParagraph"/>
        <w:numPr>
          <w:ilvl w:val="0"/>
          <w:numId w:val="10"/>
        </w:numPr>
        <w:ind w:left="567" w:hanging="567"/>
        <w:rPr>
          <w:b/>
          <w:color w:val="000000" w:themeColor="text1"/>
        </w:rPr>
      </w:pPr>
      <w:r>
        <w:rPr>
          <w:b/>
          <w:color w:val="000000" w:themeColor="text1"/>
        </w:rPr>
        <w:t>t</w:t>
      </w:r>
      <w:r w:rsidRPr="00C5239D">
        <w:rPr>
          <w:b/>
          <w:color w:val="000000" w:themeColor="text1"/>
        </w:rPr>
        <w:t>he pr</w:t>
      </w:r>
      <w:r>
        <w:rPr>
          <w:b/>
          <w:color w:val="000000" w:themeColor="text1"/>
        </w:rPr>
        <w:t>omotion of fair trading in food</w:t>
      </w:r>
    </w:p>
    <w:p w14:paraId="4D8587F5" w14:textId="77777777" w:rsidR="00563118" w:rsidRPr="005C18EC" w:rsidRDefault="00563118" w:rsidP="00563118">
      <w:pPr>
        <w:ind w:left="567" w:hanging="567"/>
      </w:pPr>
    </w:p>
    <w:p w14:paraId="4D8587F6" w14:textId="77777777" w:rsidR="00563118" w:rsidRPr="005C18EC" w:rsidRDefault="00563118" w:rsidP="00563118">
      <w:r>
        <w:t>If MON87411 is approved for commercial growing in other countries</w:t>
      </w:r>
      <w:r w:rsidR="00E9495C">
        <w:t>,</w:t>
      </w:r>
      <w:r>
        <w:t xml:space="preserve"> it is appropriate that </w:t>
      </w:r>
      <w:r w:rsidRPr="009A0AED">
        <w:t xml:space="preserve">Australian and New Zealand </w:t>
      </w:r>
      <w:r>
        <w:t xml:space="preserve">importers have access to food products derived from the line. </w:t>
      </w:r>
    </w:p>
    <w:p w14:paraId="4D8587F7" w14:textId="77777777" w:rsidR="00563118" w:rsidRPr="005C18EC" w:rsidRDefault="00563118" w:rsidP="00563118">
      <w:pPr>
        <w:ind w:left="567" w:hanging="567"/>
      </w:pPr>
    </w:p>
    <w:p w14:paraId="4D8587F8" w14:textId="77777777" w:rsidR="00563118" w:rsidRPr="00C5239D" w:rsidRDefault="00563118" w:rsidP="005A2DF3">
      <w:pPr>
        <w:pStyle w:val="ListParagraph"/>
        <w:numPr>
          <w:ilvl w:val="0"/>
          <w:numId w:val="10"/>
        </w:numPr>
        <w:ind w:left="567" w:hanging="567"/>
        <w:rPr>
          <w:b/>
          <w:color w:val="000000" w:themeColor="text1"/>
        </w:rPr>
      </w:pPr>
      <w:r>
        <w:rPr>
          <w:b/>
          <w:color w:val="000000" w:themeColor="text1"/>
        </w:rPr>
        <w:t>a</w:t>
      </w:r>
      <w:r w:rsidRPr="00C5239D">
        <w:rPr>
          <w:b/>
          <w:color w:val="000000" w:themeColor="text1"/>
        </w:rPr>
        <w:t xml:space="preserve">ny written policy guidelines formulated by the Ministerial </w:t>
      </w:r>
      <w:r w:rsidRPr="00ED15F9">
        <w:rPr>
          <w:rFonts w:eastAsia="Times New Roman" w:cs="Times New Roman"/>
          <w:b/>
          <w:szCs w:val="24"/>
          <w:lang w:eastAsia="en-US" w:bidi="en-US"/>
        </w:rPr>
        <w:t>Council</w:t>
      </w:r>
      <w:r w:rsidRPr="00ED15F9">
        <w:rPr>
          <w:rFonts w:eastAsia="Times New Roman" w:cs="Times New Roman"/>
          <w:b/>
          <w:szCs w:val="24"/>
          <w:vertAlign w:val="superscript"/>
          <w:lang w:eastAsia="en-US" w:bidi="en-US"/>
        </w:rPr>
        <w:footnoteReference w:id="8"/>
      </w:r>
    </w:p>
    <w:p w14:paraId="4D8587F9" w14:textId="77777777" w:rsidR="00563118" w:rsidRPr="00563118" w:rsidRDefault="00563118" w:rsidP="00563118">
      <w:pPr>
        <w:ind w:left="567" w:hanging="567"/>
        <w:rPr>
          <w:color w:val="000000" w:themeColor="text1"/>
        </w:rPr>
      </w:pPr>
    </w:p>
    <w:p w14:paraId="4D8587FA" w14:textId="77777777" w:rsidR="002C1A3B" w:rsidRPr="00563118" w:rsidRDefault="00563118" w:rsidP="002C1A3B">
      <w:pPr>
        <w:rPr>
          <w:color w:val="000000" w:themeColor="text1"/>
        </w:rPr>
      </w:pPr>
      <w:r w:rsidRPr="00563118">
        <w:rPr>
          <w:color w:val="000000" w:themeColor="text1"/>
          <w:lang w:val="en-US"/>
        </w:rPr>
        <w:t>No specific policy guidelines have been developed since Standard 1.5.2 commenced</w:t>
      </w:r>
      <w:r w:rsidRPr="00563118">
        <w:rPr>
          <w:i/>
          <w:color w:val="000000" w:themeColor="text1"/>
        </w:rPr>
        <w:t>.</w:t>
      </w:r>
    </w:p>
    <w:p w14:paraId="4D8587FB" w14:textId="77777777" w:rsidR="00C92E07" w:rsidRPr="00260397" w:rsidRDefault="002C1A3B" w:rsidP="002C1A3B">
      <w:pPr>
        <w:pStyle w:val="Heading1"/>
        <w:rPr>
          <w:color w:val="000000" w:themeColor="text1"/>
          <w:szCs w:val="36"/>
        </w:rPr>
      </w:pPr>
      <w:bookmarkStart w:id="93" w:name="_Toc419907026"/>
      <w:r w:rsidRPr="00260397">
        <w:rPr>
          <w:color w:val="000000" w:themeColor="text1"/>
          <w:szCs w:val="36"/>
        </w:rPr>
        <w:lastRenderedPageBreak/>
        <w:t>3</w:t>
      </w:r>
      <w:r w:rsidR="00453646" w:rsidRPr="00260397">
        <w:rPr>
          <w:color w:val="000000" w:themeColor="text1"/>
          <w:szCs w:val="36"/>
        </w:rPr>
        <w:tab/>
      </w:r>
      <w:r w:rsidR="00C92E07" w:rsidRPr="00260397">
        <w:rPr>
          <w:color w:val="000000" w:themeColor="text1"/>
          <w:szCs w:val="36"/>
        </w:rPr>
        <w:t xml:space="preserve">Transitional </w:t>
      </w:r>
      <w:r w:rsidR="000B427A" w:rsidRPr="00260397">
        <w:rPr>
          <w:color w:val="000000" w:themeColor="text1"/>
          <w:szCs w:val="36"/>
        </w:rPr>
        <w:t>a</w:t>
      </w:r>
      <w:r w:rsidR="00C92E07" w:rsidRPr="00260397">
        <w:rPr>
          <w:color w:val="000000" w:themeColor="text1"/>
          <w:szCs w:val="36"/>
        </w:rPr>
        <w:t>rrangements</w:t>
      </w:r>
      <w:bookmarkEnd w:id="73"/>
      <w:bookmarkEnd w:id="93"/>
    </w:p>
    <w:p w14:paraId="4D8587FC" w14:textId="77777777" w:rsidR="006E10A1" w:rsidRPr="00260397" w:rsidRDefault="006E10A1" w:rsidP="00E6369A">
      <w:pPr>
        <w:pStyle w:val="Heading2"/>
        <w:rPr>
          <w:color w:val="000000" w:themeColor="text1"/>
          <w:szCs w:val="28"/>
        </w:rPr>
      </w:pPr>
      <w:bookmarkStart w:id="94" w:name="_Toc419907027"/>
      <w:r w:rsidRPr="00260397">
        <w:rPr>
          <w:color w:val="000000" w:themeColor="text1"/>
          <w:szCs w:val="28"/>
        </w:rPr>
        <w:t>3.1</w:t>
      </w:r>
      <w:r w:rsidRPr="00260397">
        <w:rPr>
          <w:color w:val="000000" w:themeColor="text1"/>
          <w:szCs w:val="28"/>
        </w:rPr>
        <w:tab/>
        <w:t>Transitional arrangements for Code Revision</w:t>
      </w:r>
      <w:bookmarkEnd w:id="94"/>
    </w:p>
    <w:p w14:paraId="4D8587FD" w14:textId="77777777" w:rsidR="008143ED" w:rsidRDefault="00260397" w:rsidP="008143ED">
      <w:bookmarkStart w:id="95" w:name="_Toc11735643"/>
      <w:bookmarkStart w:id="96" w:name="_Toc29883130"/>
      <w:bookmarkStart w:id="97" w:name="_Toc41906817"/>
      <w:bookmarkStart w:id="98" w:name="_Toc41907564"/>
      <w:bookmarkStart w:id="99" w:name="_Toc43112360"/>
      <w:r w:rsidRPr="00250197">
        <w:t>FSANZ has completed a review of the Code undertaken under Proposal P1025</w:t>
      </w:r>
      <w:r w:rsidRPr="00250197">
        <w:rPr>
          <w:vertAlign w:val="superscript"/>
        </w:rPr>
        <w:footnoteReference w:id="9"/>
      </w:r>
      <w:r w:rsidRPr="00250197">
        <w:t xml:space="preserve"> in order to improve its clarity and legal efficacy. Following approval of the revision and Ministerial consideration, the new Code will commence on 1 March 2016 (following gazettal and registration on </w:t>
      </w:r>
      <w:r>
        <w:t>the Federal Register of Legislative Instruments</w:t>
      </w:r>
      <w:r w:rsidRPr="00250197">
        <w:t xml:space="preserve">). The current Code will also be repealed on </w:t>
      </w:r>
      <w:r w:rsidR="00444CA9" w:rsidRPr="00250197">
        <w:t>th</w:t>
      </w:r>
      <w:r w:rsidR="00444CA9">
        <w:t>at</w:t>
      </w:r>
      <w:r w:rsidR="00444CA9" w:rsidRPr="00250197">
        <w:t xml:space="preserve"> </w:t>
      </w:r>
      <w:r w:rsidRPr="00250197">
        <w:t xml:space="preserve">date. </w:t>
      </w:r>
    </w:p>
    <w:p w14:paraId="6990BE58" w14:textId="77777777" w:rsidR="00ED70BB" w:rsidRDefault="00ED70BB" w:rsidP="008143ED"/>
    <w:p w14:paraId="4D8587FE" w14:textId="0B4ED010" w:rsidR="00260397" w:rsidRDefault="00260397" w:rsidP="00260397">
      <w:r w:rsidRPr="00250197">
        <w:t>The</w:t>
      </w:r>
      <w:r w:rsidR="003E3974">
        <w:t xml:space="preserve"> </w:t>
      </w:r>
      <w:r w:rsidR="000D5E4C">
        <w:t xml:space="preserve">approved </w:t>
      </w:r>
      <w:r w:rsidR="003E3974">
        <w:t xml:space="preserve">variation at Attachment </w:t>
      </w:r>
      <w:r w:rsidR="00ED70BB">
        <w:t>B</w:t>
      </w:r>
      <w:r w:rsidR="003E3974">
        <w:t xml:space="preserve"> </w:t>
      </w:r>
      <w:r w:rsidR="00444CA9">
        <w:t>varies</w:t>
      </w:r>
      <w:r w:rsidR="003E3974">
        <w:t xml:space="preserve"> the</w:t>
      </w:r>
      <w:r w:rsidRPr="00250197">
        <w:t xml:space="preserve"> </w:t>
      </w:r>
      <w:r w:rsidR="003E3974">
        <w:t>revised</w:t>
      </w:r>
      <w:r w:rsidR="003E3974" w:rsidRPr="00250197">
        <w:t xml:space="preserve"> </w:t>
      </w:r>
      <w:r w:rsidRPr="00250197">
        <w:t>Code</w:t>
      </w:r>
      <w:r w:rsidR="000D5E4C">
        <w:t xml:space="preserve">. It will amend the revised Code on commencement to ensure that </w:t>
      </w:r>
      <w:r w:rsidR="00444CA9">
        <w:t>the revised Code</w:t>
      </w:r>
      <w:r w:rsidR="000D5E4C">
        <w:t xml:space="preserve"> is consistent with the current Code as amended by the variation at Attachment A.</w:t>
      </w:r>
    </w:p>
    <w:p w14:paraId="4D8587FF" w14:textId="77777777" w:rsidR="00B03EC3" w:rsidRPr="00250197" w:rsidRDefault="00B03EC3" w:rsidP="00260397"/>
    <w:p w14:paraId="4D858800" w14:textId="77777777" w:rsidR="004B76CD" w:rsidRPr="006C5E00" w:rsidRDefault="00136451" w:rsidP="006C5E00">
      <w:pPr>
        <w:rPr>
          <w:rFonts w:cs="Arial"/>
          <w:noProof/>
          <w:color w:val="000000" w:themeColor="text1"/>
          <w:sz w:val="20"/>
          <w:szCs w:val="20"/>
        </w:rPr>
      </w:pPr>
      <w:r w:rsidRPr="00260397">
        <w:rPr>
          <w:b/>
          <w:color w:val="000000" w:themeColor="text1"/>
          <w:sz w:val="36"/>
          <w:szCs w:val="36"/>
        </w:rPr>
        <w:t>4</w:t>
      </w:r>
      <w:r w:rsidRPr="00260397">
        <w:rPr>
          <w:b/>
          <w:color w:val="000000" w:themeColor="text1"/>
          <w:sz w:val="36"/>
          <w:szCs w:val="36"/>
        </w:rPr>
        <w:tab/>
        <w:t>References</w:t>
      </w:r>
      <w:r w:rsidR="005A2DF3" w:rsidRPr="00F52ACC">
        <w:rPr>
          <w:color w:val="000000" w:themeColor="text1"/>
          <w:sz w:val="36"/>
          <w:szCs w:val="36"/>
        </w:rPr>
        <w:fldChar w:fldCharType="begin"/>
      </w:r>
      <w:r w:rsidR="005A2DF3" w:rsidRPr="00260397">
        <w:rPr>
          <w:color w:val="000000" w:themeColor="text1"/>
          <w:sz w:val="36"/>
          <w:szCs w:val="36"/>
        </w:rPr>
        <w:instrText xml:space="preserve"> ADDIN REFMGR.REFLIST </w:instrText>
      </w:r>
      <w:r w:rsidR="005A2DF3" w:rsidRPr="00F52ACC">
        <w:rPr>
          <w:color w:val="000000" w:themeColor="text1"/>
          <w:sz w:val="36"/>
          <w:szCs w:val="36"/>
        </w:rPr>
        <w:fldChar w:fldCharType="separate"/>
      </w:r>
    </w:p>
    <w:p w14:paraId="4D858801" w14:textId="77777777" w:rsidR="004B76CD" w:rsidRPr="006C5E00" w:rsidRDefault="004B76CD" w:rsidP="004B76CD">
      <w:pPr>
        <w:jc w:val="center"/>
        <w:rPr>
          <w:rFonts w:cs="Arial"/>
          <w:noProof/>
          <w:color w:val="000000" w:themeColor="text1"/>
          <w:sz w:val="20"/>
          <w:szCs w:val="20"/>
        </w:rPr>
      </w:pPr>
    </w:p>
    <w:p w14:paraId="4D858802"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4D858803"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Codex (2004) Principles for the risk analysis of foods derived from modern biotechnology. CAC/GL 44-2003. Codex Alimentarius Commission, Rome.</w:t>
      </w:r>
    </w:p>
    <w:p w14:paraId="4D858804" w14:textId="77777777" w:rsidR="004B76CD" w:rsidRPr="006C5E00" w:rsidRDefault="001776FB" w:rsidP="004B76CD">
      <w:pPr>
        <w:tabs>
          <w:tab w:val="left" w:pos="0"/>
        </w:tabs>
        <w:spacing w:after="240"/>
        <w:rPr>
          <w:rFonts w:cs="Arial"/>
          <w:noProof/>
          <w:color w:val="000000" w:themeColor="text1"/>
          <w:sz w:val="20"/>
          <w:szCs w:val="20"/>
          <w:u w:val="single"/>
        </w:rPr>
      </w:pPr>
      <w:hyperlink r:id="rId27" w:history="1">
        <w:r w:rsidR="004B76CD" w:rsidRPr="006C5E00">
          <w:rPr>
            <w:rStyle w:val="Hyperlink"/>
            <w:rFonts w:cs="Arial"/>
            <w:noProof/>
            <w:sz w:val="20"/>
            <w:szCs w:val="20"/>
          </w:rPr>
          <w:t>http://www.codexalimentarius.net/web/standard_list.do?lang=en</w:t>
        </w:r>
      </w:hyperlink>
    </w:p>
    <w:p w14:paraId="4D858805"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FAO (2005) Glyphosate. Pesticide residues in food., Food and Agriculture Organization of the United Nations, New York.</w:t>
      </w:r>
    </w:p>
    <w:p w14:paraId="4D858806" w14:textId="77777777" w:rsidR="004B76CD" w:rsidRPr="006C5E00" w:rsidRDefault="001776FB" w:rsidP="004B76CD">
      <w:pPr>
        <w:tabs>
          <w:tab w:val="left" w:pos="0"/>
        </w:tabs>
        <w:spacing w:after="240"/>
        <w:rPr>
          <w:rFonts w:cs="Arial"/>
          <w:noProof/>
          <w:color w:val="000000" w:themeColor="text1"/>
          <w:sz w:val="20"/>
          <w:szCs w:val="20"/>
          <w:u w:val="single"/>
        </w:rPr>
      </w:pPr>
      <w:hyperlink r:id="rId28" w:history="1">
        <w:r w:rsidR="004B76CD" w:rsidRPr="006C5E00">
          <w:rPr>
            <w:rStyle w:val="Hyperlink"/>
            <w:rFonts w:cs="Arial"/>
            <w:noProof/>
            <w:sz w:val="20"/>
            <w:szCs w:val="20"/>
          </w:rPr>
          <w:t>http://www.fao.org/docrep/009/a0209e/a0209e0d.htm</w:t>
        </w:r>
      </w:hyperlink>
    </w:p>
    <w:p w14:paraId="4D858807"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FIFRA SAP (2014) A set of scientific issues being considered by the Environmental Protection Agency regarding: RNAi technology: Program formulation for human health and ecological risk assessment. SAP Minutes No. 2014-02. Federal Insecticide, Fungicide &amp; Rodenticide Act Scientifc Advisory Panel meeting held at One Potomac Yard, Arlington, Virginia, 28 January 2014.</w:t>
      </w:r>
    </w:p>
    <w:p w14:paraId="4D858808" w14:textId="77777777" w:rsidR="004B76CD" w:rsidRPr="006C5E00" w:rsidRDefault="001776FB" w:rsidP="004B76CD">
      <w:pPr>
        <w:tabs>
          <w:tab w:val="left" w:pos="0"/>
        </w:tabs>
        <w:spacing w:after="240"/>
        <w:rPr>
          <w:rFonts w:cs="Arial"/>
          <w:noProof/>
          <w:color w:val="000000" w:themeColor="text1"/>
          <w:sz w:val="20"/>
          <w:szCs w:val="20"/>
          <w:u w:val="single"/>
        </w:rPr>
      </w:pPr>
      <w:hyperlink r:id="rId29" w:history="1">
        <w:r w:rsidR="004B76CD" w:rsidRPr="006C5E00">
          <w:rPr>
            <w:rStyle w:val="Hyperlink"/>
            <w:rFonts w:cs="Arial"/>
            <w:noProof/>
            <w:sz w:val="20"/>
            <w:szCs w:val="20"/>
          </w:rPr>
          <w:t>http://www.epa.gov/scipoly/sap/meetings/2014/january/012814minutes.pdf</w:t>
        </w:r>
      </w:hyperlink>
    </w:p>
    <w:p w14:paraId="4D858809"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FSANZ (2007) Safety assessment of genetically modified foods – Guidance document. Document prepared by Food Standards Australia New Zealand.</w:t>
      </w:r>
    </w:p>
    <w:p w14:paraId="4D85880A" w14:textId="77777777" w:rsidR="004B76CD" w:rsidRPr="006C5E00" w:rsidRDefault="001776FB" w:rsidP="004B76CD">
      <w:pPr>
        <w:tabs>
          <w:tab w:val="left" w:pos="0"/>
        </w:tabs>
        <w:spacing w:after="240"/>
        <w:rPr>
          <w:rFonts w:cs="Arial"/>
          <w:noProof/>
          <w:color w:val="000000" w:themeColor="text1"/>
          <w:sz w:val="20"/>
          <w:szCs w:val="20"/>
          <w:u w:val="single"/>
        </w:rPr>
      </w:pPr>
      <w:hyperlink r:id="rId30" w:history="1">
        <w:r w:rsidR="004B76CD" w:rsidRPr="006C5E00">
          <w:rPr>
            <w:rStyle w:val="Hyperlink"/>
            <w:rFonts w:cs="Arial"/>
            <w:noProof/>
            <w:sz w:val="20"/>
            <w:szCs w:val="20"/>
          </w:rPr>
          <w:t>http://www.foodstandards.gov.au/_srcfiles/GM%20FINAL%20Sept%2007L%20_2_.pdf</w:t>
        </w:r>
      </w:hyperlink>
    </w:p>
    <w:p w14:paraId="4D85880B"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FSANZ (2011) Application handbook. Prepared by Food Standards Australia New Zealand.</w:t>
      </w:r>
    </w:p>
    <w:p w14:paraId="4D85880C" w14:textId="77777777" w:rsidR="004B76CD" w:rsidRPr="006C5E00" w:rsidRDefault="001776FB" w:rsidP="004B76CD">
      <w:pPr>
        <w:tabs>
          <w:tab w:val="left" w:pos="0"/>
        </w:tabs>
        <w:spacing w:after="240"/>
        <w:rPr>
          <w:rFonts w:cs="Arial"/>
          <w:noProof/>
          <w:color w:val="000000" w:themeColor="text1"/>
          <w:sz w:val="20"/>
          <w:szCs w:val="20"/>
          <w:u w:val="single"/>
        </w:rPr>
      </w:pPr>
      <w:hyperlink r:id="rId31" w:history="1">
        <w:r w:rsidR="004B76CD" w:rsidRPr="006C5E00">
          <w:rPr>
            <w:rStyle w:val="Hyperlink"/>
            <w:rFonts w:cs="Arial"/>
            <w:noProof/>
            <w:sz w:val="20"/>
            <w:szCs w:val="20"/>
          </w:rPr>
          <w:t>http://www.foodstandards.gov.au/foodstandards/changingthecode/applicationshandbook.cfm</w:t>
        </w:r>
      </w:hyperlink>
    </w:p>
    <w:p w14:paraId="4D85880D"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FSANZ (2013a) Application handbook. Prepared by Food Standards Australia New Zealand.</w:t>
      </w:r>
    </w:p>
    <w:p w14:paraId="4D85880E" w14:textId="77777777" w:rsidR="004B76CD" w:rsidRPr="006C5E00" w:rsidRDefault="001776FB" w:rsidP="004B76CD">
      <w:pPr>
        <w:tabs>
          <w:tab w:val="left" w:pos="0"/>
        </w:tabs>
        <w:spacing w:after="240"/>
        <w:rPr>
          <w:rFonts w:cs="Arial"/>
          <w:noProof/>
          <w:color w:val="000000" w:themeColor="text1"/>
          <w:sz w:val="20"/>
          <w:szCs w:val="20"/>
          <w:u w:val="single"/>
        </w:rPr>
      </w:pPr>
      <w:hyperlink r:id="rId32" w:history="1">
        <w:r w:rsidR="004B76CD" w:rsidRPr="006C5E00">
          <w:rPr>
            <w:rStyle w:val="Hyperlink"/>
            <w:rFonts w:cs="Arial"/>
            <w:noProof/>
            <w:sz w:val="20"/>
            <w:szCs w:val="20"/>
          </w:rPr>
          <w:t>http://www.foodstandards.gov.au/foodstandards/changingthecode/applicationshandbook.cfm</w:t>
        </w:r>
      </w:hyperlink>
    </w:p>
    <w:p w14:paraId="4D85880F"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 xml:space="preserve">FSANZ (2013b) Response to Heinemann </w:t>
      </w:r>
      <w:r w:rsidRPr="006C5E00">
        <w:rPr>
          <w:rFonts w:cs="Arial"/>
          <w:i/>
          <w:noProof/>
          <w:color w:val="000000" w:themeColor="text1"/>
          <w:sz w:val="20"/>
          <w:szCs w:val="20"/>
        </w:rPr>
        <w:t>et al</w:t>
      </w:r>
      <w:r w:rsidRPr="006C5E00">
        <w:rPr>
          <w:rFonts w:cs="Arial"/>
          <w:noProof/>
          <w:color w:val="000000" w:themeColor="text1"/>
          <w:sz w:val="20"/>
          <w:szCs w:val="20"/>
        </w:rPr>
        <w:t xml:space="preserve"> on the regulation of GM crops and foods developed using gene silencing. Food Standards Australia New Zealand.</w:t>
      </w:r>
    </w:p>
    <w:p w14:paraId="4D858810" w14:textId="77777777" w:rsidR="004B76CD" w:rsidRPr="006C5E00" w:rsidRDefault="001776FB" w:rsidP="004B76CD">
      <w:pPr>
        <w:tabs>
          <w:tab w:val="left" w:pos="0"/>
        </w:tabs>
        <w:spacing w:after="240"/>
        <w:rPr>
          <w:rFonts w:cs="Arial"/>
          <w:noProof/>
          <w:color w:val="000000" w:themeColor="text1"/>
          <w:sz w:val="20"/>
          <w:szCs w:val="20"/>
          <w:u w:val="single"/>
        </w:rPr>
      </w:pPr>
      <w:hyperlink r:id="rId33" w:history="1">
        <w:r w:rsidR="004B76CD" w:rsidRPr="006C5E00">
          <w:rPr>
            <w:rStyle w:val="Hyperlink"/>
            <w:rFonts w:cs="Arial"/>
            <w:noProof/>
            <w:sz w:val="20"/>
            <w:szCs w:val="20"/>
          </w:rPr>
          <w:t>http://www.foodstandards.gov.au/consumer/gmfood/adverse/Pages/default.aspx</w:t>
        </w:r>
      </w:hyperlink>
    </w:p>
    <w:p w14:paraId="4D858811"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Fujita Y, Kuwano K, Ochiya T (2015) Development of small RNA delivery systems for lung cancer therapy. International Journal of Molecular Sciences 16:5254–5270</w:t>
      </w:r>
    </w:p>
    <w:p w14:paraId="4D858812"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Guyton KZ, Loomis D, Grosse Y, El Ghissassi F, Benbrahim-Tallaa L, Guha N, Scoccianti C, Mattock H, Straif K (2015) Carcinogenicity of tetrachlorvinphos, parathion, malathion, diazinon and glyphosate. The Lancet Oncology online pre-publication</w:t>
      </w:r>
    </w:p>
    <w:p w14:paraId="4D858813"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lastRenderedPageBreak/>
        <w:t xml:space="preserve">Hammond BG, Koch MS (2012) A review of the food safety of Bt crops. In: Sansinenea E (ed) </w:t>
      </w:r>
      <w:r w:rsidRPr="006C5E00">
        <w:rPr>
          <w:rFonts w:cs="Arial"/>
          <w:i/>
          <w:noProof/>
          <w:color w:val="000000" w:themeColor="text1"/>
          <w:sz w:val="20"/>
          <w:szCs w:val="20"/>
        </w:rPr>
        <w:t>Bacillus thuringiensis</w:t>
      </w:r>
      <w:r w:rsidRPr="006C5E00">
        <w:rPr>
          <w:rFonts w:cs="Arial"/>
          <w:noProof/>
          <w:color w:val="000000" w:themeColor="text1"/>
          <w:sz w:val="20"/>
          <w:szCs w:val="20"/>
        </w:rPr>
        <w:t xml:space="preserve"> biotechnology. Springer, New York, p. 305–325</w:t>
      </w:r>
    </w:p>
    <w:p w14:paraId="4D858814"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Henderson AM, Gervais JA, Luukinen B, Buhl K, Stone D (2010) Glyphosate technical fact sheet., National Pesticide Information Center, Oregon State University Extension Services.</w:t>
      </w:r>
    </w:p>
    <w:p w14:paraId="4D858815" w14:textId="77777777" w:rsidR="004B76CD" w:rsidRPr="006C5E00" w:rsidRDefault="001776FB" w:rsidP="004B76CD">
      <w:pPr>
        <w:tabs>
          <w:tab w:val="left" w:pos="0"/>
        </w:tabs>
        <w:spacing w:after="240"/>
        <w:rPr>
          <w:rFonts w:cs="Arial"/>
          <w:noProof/>
          <w:color w:val="000000" w:themeColor="text1"/>
          <w:sz w:val="20"/>
          <w:szCs w:val="20"/>
          <w:u w:val="single"/>
        </w:rPr>
      </w:pPr>
      <w:hyperlink r:id="rId34" w:history="1">
        <w:r w:rsidR="004B76CD" w:rsidRPr="006C5E00">
          <w:rPr>
            <w:rStyle w:val="Hyperlink"/>
            <w:rFonts w:cs="Arial"/>
            <w:noProof/>
            <w:sz w:val="20"/>
            <w:szCs w:val="20"/>
          </w:rPr>
          <w:t>http://npic.orst.edu/factsheets/glyphotech.html</w:t>
        </w:r>
      </w:hyperlink>
    </w:p>
    <w:p w14:paraId="4D858816"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Herman RA, Chassy BM, Parrott W (2009) Compositional assessment of transgenic crops: an idea whose time has passed. Trends in Biotechnology 27:555–557</w:t>
      </w:r>
    </w:p>
    <w:p w14:paraId="4D858817"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 xml:space="preserve">Mendelsohn M, Kough J, Vaituzis Z, Matthews K (2003) Are </w:t>
      </w:r>
      <w:r w:rsidRPr="006C5E00">
        <w:rPr>
          <w:rFonts w:cs="Arial"/>
          <w:i/>
          <w:noProof/>
          <w:color w:val="000000" w:themeColor="text1"/>
          <w:sz w:val="20"/>
          <w:szCs w:val="20"/>
        </w:rPr>
        <w:t>Bt</w:t>
      </w:r>
      <w:r w:rsidRPr="006C5E00">
        <w:rPr>
          <w:rFonts w:cs="Arial"/>
          <w:noProof/>
          <w:color w:val="000000" w:themeColor="text1"/>
          <w:sz w:val="20"/>
          <w:szCs w:val="20"/>
        </w:rPr>
        <w:t xml:space="preserve"> crops safe? Nature Biotechnology 21:1003–1009</w:t>
      </w:r>
    </w:p>
    <w:p w14:paraId="4D858818"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Moschos SA, Frick M, Taylor B, Turnpenny P, Graves H, Spink KG, et al. (2011) Uptake, efficacy, and systemic distribution of naked, inhaled short interfering RNA (siRNA) and locked nucleic acid (LNA) antisense. Molecular Therapy 19(12):2163–2168</w:t>
      </w:r>
    </w:p>
    <w:p w14:paraId="4D858819"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OECD (1993) Safety evaluation of foods derived by modern biotechnology: Concepts and principles. Organisation for Economic Co-operation and development, Paris</w:t>
      </w:r>
    </w:p>
    <w:p w14:paraId="4D85881A"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Rigaud N (2008) Biotechnology: ethical and social debates. OECD International Futures Project on "The Bioeconomy to 2030: Designing a Policy Agenda".</w:t>
      </w:r>
    </w:p>
    <w:p w14:paraId="4D85881B" w14:textId="77777777" w:rsidR="004B76CD" w:rsidRPr="006C5E00" w:rsidRDefault="001776FB" w:rsidP="004B76CD">
      <w:pPr>
        <w:tabs>
          <w:tab w:val="left" w:pos="0"/>
        </w:tabs>
        <w:spacing w:after="240"/>
        <w:rPr>
          <w:rFonts w:cs="Arial"/>
          <w:noProof/>
          <w:color w:val="000000" w:themeColor="text1"/>
          <w:sz w:val="20"/>
          <w:szCs w:val="20"/>
          <w:u w:val="single"/>
        </w:rPr>
      </w:pPr>
      <w:hyperlink r:id="rId35" w:history="1">
        <w:r w:rsidR="004B76CD" w:rsidRPr="006C5E00">
          <w:rPr>
            <w:rStyle w:val="Hyperlink"/>
            <w:rFonts w:cs="Arial"/>
            <w:noProof/>
            <w:sz w:val="20"/>
            <w:szCs w:val="20"/>
          </w:rPr>
          <w:t>http://www.oecd.org/futures/long-termtechnologicalsocietalchallenges/40926844.pdf</w:t>
        </w:r>
      </w:hyperlink>
    </w:p>
    <w:p w14:paraId="4D85881C"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US EPA (2013) White paper on RNAi technology as a pesticide: Problem formulation for human health and ecological risk assessment. US Environmental Protection Agency, Office of Chemical Safety &amp; Pollution Prevention; Office of Pesticide Programs; Biopesticides &amp; Pollution Prevention Division.</w:t>
      </w:r>
    </w:p>
    <w:p w14:paraId="4D85881D" w14:textId="77777777" w:rsidR="004B76CD" w:rsidRPr="006C5E00" w:rsidRDefault="001776FB" w:rsidP="004B76CD">
      <w:pPr>
        <w:tabs>
          <w:tab w:val="left" w:pos="0"/>
        </w:tabs>
        <w:spacing w:after="240"/>
        <w:rPr>
          <w:rFonts w:cs="Arial"/>
          <w:noProof/>
          <w:color w:val="000000" w:themeColor="text1"/>
          <w:sz w:val="20"/>
          <w:szCs w:val="20"/>
        </w:rPr>
      </w:pPr>
      <w:hyperlink r:id="rId36" w:anchor="%21documentDetail;D=EPA-HQ-OPP-2013-0485-0011" w:history="1">
        <w:r w:rsidR="004B76CD" w:rsidRPr="006C5E00">
          <w:rPr>
            <w:rStyle w:val="Hyperlink"/>
            <w:rFonts w:cs="Arial"/>
            <w:noProof/>
            <w:sz w:val="20"/>
            <w:szCs w:val="20"/>
          </w:rPr>
          <w:t>http://www.regulations.gov/#%21documentDetail;D=EPA-HQ-OPP-2013-0485-0011</w:t>
        </w:r>
      </w:hyperlink>
    </w:p>
    <w:p w14:paraId="4D85881E" w14:textId="77777777" w:rsidR="004B76CD" w:rsidRPr="006C5E00" w:rsidRDefault="004B76CD" w:rsidP="004B76CD">
      <w:pPr>
        <w:tabs>
          <w:tab w:val="left" w:pos="0"/>
        </w:tabs>
        <w:spacing w:after="240"/>
        <w:rPr>
          <w:rFonts w:cs="Arial"/>
          <w:noProof/>
          <w:color w:val="000000" w:themeColor="text1"/>
          <w:sz w:val="20"/>
          <w:szCs w:val="20"/>
        </w:rPr>
      </w:pPr>
      <w:r w:rsidRPr="006C5E00">
        <w:rPr>
          <w:rFonts w:cs="Arial"/>
          <w:noProof/>
          <w:color w:val="000000" w:themeColor="text1"/>
          <w:sz w:val="20"/>
          <w:szCs w:val="20"/>
        </w:rPr>
        <w:t xml:space="preserve">WHO. Microbial pest control agent </w:t>
      </w:r>
      <w:r w:rsidRPr="006C5E00">
        <w:rPr>
          <w:rFonts w:cs="Arial"/>
          <w:i/>
          <w:noProof/>
          <w:color w:val="000000" w:themeColor="text1"/>
          <w:sz w:val="20"/>
          <w:szCs w:val="20"/>
        </w:rPr>
        <w:t>Bacillus thuringiensis</w:t>
      </w:r>
      <w:r w:rsidRPr="006C5E00">
        <w:rPr>
          <w:rFonts w:cs="Arial"/>
          <w:noProof/>
          <w:color w:val="000000" w:themeColor="text1"/>
          <w:sz w:val="20"/>
          <w:szCs w:val="20"/>
        </w:rPr>
        <w:t xml:space="preserve">. (217). 1999. Geneva, World Health Organization. Environmental Health Criteria. </w:t>
      </w:r>
    </w:p>
    <w:p w14:paraId="4D85881F" w14:textId="77777777" w:rsidR="004B76CD" w:rsidRPr="006C5E00" w:rsidRDefault="004B76CD" w:rsidP="004B76CD">
      <w:pPr>
        <w:tabs>
          <w:tab w:val="left" w:pos="0"/>
        </w:tabs>
        <w:rPr>
          <w:rFonts w:cs="Arial"/>
          <w:noProof/>
          <w:color w:val="000000" w:themeColor="text1"/>
          <w:sz w:val="20"/>
          <w:szCs w:val="20"/>
        </w:rPr>
      </w:pPr>
      <w:r w:rsidRPr="006C5E00">
        <w:rPr>
          <w:rFonts w:cs="Arial"/>
          <w:noProof/>
          <w:color w:val="000000" w:themeColor="text1"/>
          <w:sz w:val="20"/>
          <w:szCs w:val="20"/>
        </w:rPr>
        <w:t>WHO (2000) Safety aspects of genetically modified foods of plant origin. Report of a Joint FAO/WHO Expert Consultation on foods derived frm biotechnology. World Health Organization, Geneva.</w:t>
      </w:r>
    </w:p>
    <w:p w14:paraId="4D858820" w14:textId="77777777" w:rsidR="004B76CD" w:rsidRPr="006C5E00" w:rsidRDefault="001776FB" w:rsidP="004B76CD">
      <w:pPr>
        <w:tabs>
          <w:tab w:val="left" w:pos="0"/>
        </w:tabs>
        <w:rPr>
          <w:rFonts w:cs="Arial"/>
          <w:noProof/>
          <w:color w:val="000000" w:themeColor="text1"/>
          <w:sz w:val="20"/>
          <w:szCs w:val="20"/>
          <w:u w:val="single"/>
        </w:rPr>
      </w:pPr>
      <w:hyperlink r:id="rId37" w:history="1">
        <w:r w:rsidR="004B76CD" w:rsidRPr="006C5E00">
          <w:rPr>
            <w:rStyle w:val="Hyperlink"/>
            <w:rFonts w:cs="Arial"/>
            <w:noProof/>
            <w:sz w:val="20"/>
            <w:szCs w:val="20"/>
          </w:rPr>
          <w:t>http://www.who.int/foodsafety/publications/biotech/en/ec_june2000_en.pdf</w:t>
        </w:r>
      </w:hyperlink>
    </w:p>
    <w:p w14:paraId="4D858822" w14:textId="77777777" w:rsidR="006C22A7" w:rsidRPr="00713284" w:rsidRDefault="005A2DF3" w:rsidP="00713284">
      <w:pPr>
        <w:spacing w:before="240" w:after="240"/>
        <w:rPr>
          <w:b/>
          <w:sz w:val="28"/>
          <w:szCs w:val="28"/>
        </w:rPr>
      </w:pPr>
      <w:r w:rsidRPr="00F52ACC">
        <w:rPr>
          <w:rFonts w:cs="Arial"/>
          <w:sz w:val="20"/>
          <w:szCs w:val="20"/>
          <w:lang w:val="en-AU" w:eastAsia="en-GB" w:bidi="ar-SA"/>
        </w:rPr>
        <w:fldChar w:fldCharType="end"/>
      </w:r>
      <w:r w:rsidR="00D15A08" w:rsidRPr="006C22A7">
        <w:rPr>
          <w:b/>
          <w:sz w:val="28"/>
          <w:szCs w:val="28"/>
        </w:rPr>
        <w:t>A</w:t>
      </w:r>
      <w:bookmarkEnd w:id="95"/>
      <w:bookmarkEnd w:id="96"/>
      <w:bookmarkEnd w:id="97"/>
      <w:bookmarkEnd w:id="98"/>
      <w:bookmarkEnd w:id="99"/>
      <w:r w:rsidR="00B21055">
        <w:rPr>
          <w:b/>
          <w:sz w:val="28"/>
          <w:szCs w:val="28"/>
        </w:rPr>
        <w:t>ttachments</w:t>
      </w:r>
    </w:p>
    <w:p w14:paraId="4D858824" w14:textId="694B3BEB" w:rsidR="00795D86" w:rsidRDefault="00755F02" w:rsidP="00ED70BB">
      <w:pPr>
        <w:ind w:left="567" w:hanging="567"/>
      </w:pPr>
      <w:r>
        <w:t>A.</w:t>
      </w:r>
      <w:r>
        <w:tab/>
      </w:r>
      <w:r w:rsidR="009A2699" w:rsidRPr="009A2699">
        <w:t xml:space="preserve">Approved </w:t>
      </w:r>
      <w:r w:rsidR="00E47D3B">
        <w:t xml:space="preserve">draft </w:t>
      </w:r>
      <w:r w:rsidR="000576EB">
        <w:t xml:space="preserve">variation 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r w:rsidR="00ED70BB">
        <w:t xml:space="preserve">and related </w:t>
      </w:r>
      <w:r w:rsidR="00795D86">
        <w:t>Explanatory Statement</w:t>
      </w:r>
    </w:p>
    <w:p w14:paraId="4D858826" w14:textId="587AEABC" w:rsidR="000D5E4C" w:rsidRDefault="00ED70BB" w:rsidP="00ED70BB">
      <w:pPr>
        <w:ind w:left="567" w:hanging="567"/>
      </w:pPr>
      <w:r>
        <w:t>B</w:t>
      </w:r>
      <w:r w:rsidR="008E3322">
        <w:t>.</w:t>
      </w:r>
      <w:r w:rsidR="008E3322">
        <w:tab/>
      </w:r>
      <w:r w:rsidR="00B430BE" w:rsidRPr="00394C73">
        <w:t>Approved d</w:t>
      </w:r>
      <w:r w:rsidR="008E3322" w:rsidRPr="00394C73">
        <w:t xml:space="preserve">raft variation to the </w:t>
      </w:r>
      <w:r w:rsidR="008E3322" w:rsidRPr="00394C73">
        <w:rPr>
          <w:i/>
        </w:rPr>
        <w:t>Australia New Zealand Food Standards Code</w:t>
      </w:r>
      <w:r w:rsidR="008E3322" w:rsidRPr="00394C73">
        <w:t xml:space="preserve"> in March </w:t>
      </w:r>
      <w:r w:rsidR="006157BE" w:rsidRPr="00394C73">
        <w:t>2016</w:t>
      </w:r>
      <w:r w:rsidR="00394C73" w:rsidRPr="00394C73">
        <w:t xml:space="preserve"> </w:t>
      </w:r>
      <w:r>
        <w:t xml:space="preserve">(commencing 1 March 2016) and related </w:t>
      </w:r>
      <w:r w:rsidR="000D5E4C" w:rsidRPr="00394C73">
        <w:tab/>
        <w:t>Explanatory Statement</w:t>
      </w:r>
    </w:p>
    <w:p w14:paraId="4D858827" w14:textId="77777777" w:rsidR="000D5E4C" w:rsidRDefault="000D5E4C" w:rsidP="00B03EC3">
      <w:pPr>
        <w:ind w:left="567" w:hanging="567"/>
      </w:pPr>
    </w:p>
    <w:p w14:paraId="4D858828" w14:textId="77777777" w:rsidR="0012388D" w:rsidRPr="00795D86" w:rsidRDefault="003C4969" w:rsidP="007D0189">
      <w:pPr>
        <w:pStyle w:val="Heading2"/>
        <w:ind w:left="0" w:firstLine="0"/>
      </w:pPr>
      <w:r w:rsidRPr="00932F14">
        <w:br w:type="page"/>
      </w:r>
      <w:bookmarkStart w:id="100" w:name="_Toc29883131"/>
      <w:bookmarkStart w:id="101" w:name="_Toc41906818"/>
      <w:bookmarkStart w:id="102" w:name="_Toc41907565"/>
      <w:bookmarkStart w:id="103" w:name="_Toc120358596"/>
      <w:bookmarkStart w:id="104" w:name="_Toc175381458"/>
      <w:bookmarkStart w:id="105" w:name="_Toc11735644"/>
      <w:bookmarkStart w:id="106" w:name="_Toc419907028"/>
      <w:r w:rsidRPr="00932F14">
        <w:lastRenderedPageBreak/>
        <w:t xml:space="preserve">Attachment </w:t>
      </w:r>
      <w:bookmarkEnd w:id="100"/>
      <w:bookmarkEnd w:id="101"/>
      <w:bookmarkEnd w:id="102"/>
      <w:bookmarkEnd w:id="103"/>
      <w:bookmarkEnd w:id="104"/>
      <w:r w:rsidR="00456B54">
        <w:t>A</w:t>
      </w:r>
      <w:bookmarkStart w:id="107" w:name="_Toc120358597"/>
      <w:bookmarkStart w:id="108" w:name="_Toc175381459"/>
      <w:bookmarkEnd w:id="105"/>
      <w:r w:rsidR="00755F02">
        <w:t xml:space="preserve"> – </w:t>
      </w:r>
      <w:r w:rsidR="009A2699">
        <w:t>Approved</w:t>
      </w:r>
      <w:r w:rsidRPr="00932F14">
        <w:t xml:space="preserve"> </w:t>
      </w:r>
      <w:r w:rsidR="00E47D3B">
        <w:t xml:space="preserve">draft </w:t>
      </w:r>
      <w:r w:rsidRPr="00932F14">
        <w:t>variation to the</w:t>
      </w:r>
      <w:r w:rsidRPr="00755F02">
        <w:t xml:space="preserve"> </w:t>
      </w:r>
      <w:r w:rsidR="00C21CF7">
        <w:t xml:space="preserve">current </w:t>
      </w:r>
      <w:r w:rsidR="00D15A08" w:rsidRPr="00795D86">
        <w:rPr>
          <w:i/>
        </w:rPr>
        <w:t>Australia New Zealand Food Standards Code</w:t>
      </w:r>
      <w:bookmarkEnd w:id="106"/>
      <w:bookmarkEnd w:id="107"/>
      <w:bookmarkEnd w:id="108"/>
    </w:p>
    <w:p w14:paraId="4D858829" w14:textId="77777777" w:rsidR="00306C16" w:rsidRPr="00C0014E" w:rsidRDefault="00306C16" w:rsidP="00306C16">
      <w:pPr>
        <w:rPr>
          <w:noProof/>
          <w:sz w:val="20"/>
          <w:lang w:val="en-AU" w:eastAsia="en-AU"/>
        </w:rPr>
      </w:pPr>
      <w:r w:rsidRPr="00C0014E">
        <w:rPr>
          <w:noProof/>
          <w:sz w:val="20"/>
          <w:lang w:eastAsia="en-GB" w:bidi="ar-SA"/>
        </w:rPr>
        <w:drawing>
          <wp:inline distT="0" distB="0" distL="0" distR="0" wp14:anchorId="4D8588B9" wp14:editId="4D8588B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D85882A" w14:textId="77777777" w:rsidR="00306C16" w:rsidRPr="006153A1" w:rsidRDefault="00306C16" w:rsidP="00306C16">
      <w:pPr>
        <w:pStyle w:val="Title"/>
        <w:pBdr>
          <w:bottom w:val="single" w:sz="4" w:space="1" w:color="auto"/>
        </w:pBdr>
        <w:rPr>
          <w:b w:val="0"/>
          <w:bCs w:val="0"/>
          <w:szCs w:val="20"/>
          <w:lang w:val="en-GB"/>
        </w:rPr>
      </w:pPr>
    </w:p>
    <w:p w14:paraId="4D85882B" w14:textId="77777777" w:rsidR="00306C16" w:rsidRDefault="00306C16" w:rsidP="00306C16">
      <w:pPr>
        <w:pBdr>
          <w:bottom w:val="single" w:sz="4" w:space="1" w:color="auto"/>
        </w:pBdr>
        <w:rPr>
          <w:b/>
          <w:sz w:val="20"/>
        </w:rPr>
      </w:pPr>
      <w:r w:rsidRPr="006153A1">
        <w:rPr>
          <w:b/>
          <w:sz w:val="20"/>
        </w:rPr>
        <w:t>Food Standards (</w:t>
      </w:r>
      <w:r w:rsidRPr="00F618DF">
        <w:rPr>
          <w:b/>
          <w:sz w:val="20"/>
        </w:rPr>
        <w:t>Application A</w:t>
      </w:r>
      <w:r>
        <w:rPr>
          <w:b/>
          <w:sz w:val="20"/>
        </w:rPr>
        <w:t xml:space="preserve">1097 </w:t>
      </w:r>
      <w:r w:rsidRPr="00A32232">
        <w:rPr>
          <w:b/>
          <w:sz w:val="20"/>
        </w:rPr>
        <w:t>–</w:t>
      </w:r>
      <w:r>
        <w:rPr>
          <w:b/>
          <w:sz w:val="20"/>
        </w:rPr>
        <w:t xml:space="preserve"> Food derived from Herbicide-tolerant and Insect-protected Corn Line MON87411)</w:t>
      </w:r>
      <w:r w:rsidRPr="00C0014E">
        <w:rPr>
          <w:b/>
          <w:sz w:val="20"/>
        </w:rPr>
        <w:t xml:space="preserve"> Variation</w:t>
      </w:r>
    </w:p>
    <w:p w14:paraId="4D85882C" w14:textId="77777777" w:rsidR="00306C16" w:rsidRPr="00C0014E" w:rsidRDefault="00306C16" w:rsidP="00306C16">
      <w:pPr>
        <w:pBdr>
          <w:bottom w:val="single" w:sz="4" w:space="1" w:color="auto"/>
        </w:pBdr>
        <w:rPr>
          <w:b/>
          <w:sz w:val="20"/>
        </w:rPr>
      </w:pPr>
    </w:p>
    <w:p w14:paraId="4D85882D" w14:textId="77777777" w:rsidR="00306C16" w:rsidRPr="008F2616" w:rsidRDefault="00306C16" w:rsidP="00306C16">
      <w:pPr>
        <w:rPr>
          <w:sz w:val="20"/>
        </w:rPr>
      </w:pPr>
    </w:p>
    <w:p w14:paraId="4D85882E" w14:textId="77777777" w:rsidR="00306C16" w:rsidRPr="008F2616" w:rsidRDefault="00306C16" w:rsidP="00306C16">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4D85882F" w14:textId="77777777" w:rsidR="00306C16" w:rsidRPr="008F2616" w:rsidRDefault="00306C16" w:rsidP="00306C16">
      <w:pPr>
        <w:rPr>
          <w:sz w:val="20"/>
        </w:rPr>
      </w:pPr>
    </w:p>
    <w:p w14:paraId="4D858830" w14:textId="77777777" w:rsidR="00306C16" w:rsidRPr="008F2616" w:rsidRDefault="00306C16" w:rsidP="00306C16">
      <w:pPr>
        <w:rPr>
          <w:sz w:val="20"/>
        </w:rPr>
      </w:pPr>
      <w:r w:rsidRPr="008F2616">
        <w:rPr>
          <w:sz w:val="20"/>
        </w:rPr>
        <w:t xml:space="preserve">Dated </w:t>
      </w:r>
      <w:r>
        <w:rPr>
          <w:sz w:val="20"/>
        </w:rPr>
        <w:t>[To be completed by Standards Management Officer]</w:t>
      </w:r>
    </w:p>
    <w:p w14:paraId="4D858831" w14:textId="77777777" w:rsidR="00306C16" w:rsidRPr="008F2616" w:rsidRDefault="00306C16" w:rsidP="00306C16">
      <w:pPr>
        <w:rPr>
          <w:sz w:val="20"/>
        </w:rPr>
      </w:pPr>
    </w:p>
    <w:p w14:paraId="4D858832" w14:textId="77777777" w:rsidR="00306C16" w:rsidRDefault="00306C16" w:rsidP="00306C16">
      <w:pPr>
        <w:rPr>
          <w:sz w:val="20"/>
        </w:rPr>
      </w:pPr>
    </w:p>
    <w:p w14:paraId="4D858833" w14:textId="77777777" w:rsidR="00306C16" w:rsidRDefault="00306C16" w:rsidP="00306C16">
      <w:pPr>
        <w:rPr>
          <w:sz w:val="20"/>
        </w:rPr>
      </w:pPr>
    </w:p>
    <w:p w14:paraId="4D858834" w14:textId="77777777" w:rsidR="00306C16" w:rsidRPr="008F2616" w:rsidRDefault="00306C16" w:rsidP="00306C16">
      <w:pPr>
        <w:rPr>
          <w:sz w:val="20"/>
        </w:rPr>
      </w:pPr>
    </w:p>
    <w:p w14:paraId="4D858835" w14:textId="77777777" w:rsidR="00306C16" w:rsidRPr="008F2616" w:rsidRDefault="00306C16" w:rsidP="00306C16">
      <w:pPr>
        <w:rPr>
          <w:sz w:val="20"/>
        </w:rPr>
      </w:pPr>
    </w:p>
    <w:p w14:paraId="4D858836" w14:textId="77777777" w:rsidR="00306C16" w:rsidRPr="008F2616" w:rsidRDefault="00306C16" w:rsidP="00306C16">
      <w:pPr>
        <w:rPr>
          <w:sz w:val="20"/>
        </w:rPr>
      </w:pPr>
      <w:r w:rsidRPr="008F2616">
        <w:rPr>
          <w:sz w:val="20"/>
        </w:rPr>
        <w:t>Standards Management Officer</w:t>
      </w:r>
    </w:p>
    <w:p w14:paraId="4D858837" w14:textId="77777777" w:rsidR="00306C16" w:rsidRPr="008F2616" w:rsidRDefault="00306C16" w:rsidP="00306C16">
      <w:pPr>
        <w:rPr>
          <w:sz w:val="20"/>
        </w:rPr>
      </w:pPr>
      <w:r w:rsidRPr="008F2616">
        <w:rPr>
          <w:sz w:val="20"/>
        </w:rPr>
        <w:t>Delegate of the Board of Food Standards Australia New Zealand</w:t>
      </w:r>
    </w:p>
    <w:p w14:paraId="4D858838" w14:textId="77777777" w:rsidR="00306C16" w:rsidRDefault="00306C16" w:rsidP="00306C16">
      <w:pPr>
        <w:rPr>
          <w:sz w:val="20"/>
        </w:rPr>
      </w:pPr>
    </w:p>
    <w:p w14:paraId="4D858839" w14:textId="77777777" w:rsidR="00306C16" w:rsidRDefault="00306C16" w:rsidP="00306C16">
      <w:pPr>
        <w:rPr>
          <w:sz w:val="20"/>
        </w:rPr>
      </w:pPr>
    </w:p>
    <w:p w14:paraId="4D85883A" w14:textId="77777777" w:rsidR="00306C16" w:rsidRDefault="00306C16" w:rsidP="00306C16">
      <w:pPr>
        <w:rPr>
          <w:sz w:val="20"/>
        </w:rPr>
      </w:pPr>
    </w:p>
    <w:p w14:paraId="4D85883B" w14:textId="77777777" w:rsidR="00306C16" w:rsidRDefault="00306C16" w:rsidP="00306C16">
      <w:pPr>
        <w:rPr>
          <w:sz w:val="20"/>
        </w:rPr>
      </w:pPr>
    </w:p>
    <w:p w14:paraId="4D85883C" w14:textId="77777777" w:rsidR="00306C16" w:rsidRDefault="00306C16" w:rsidP="00306C16">
      <w:pPr>
        <w:rPr>
          <w:sz w:val="20"/>
        </w:rPr>
      </w:pPr>
    </w:p>
    <w:p w14:paraId="4D85883D" w14:textId="77777777" w:rsidR="00306C16" w:rsidRPr="00574DE1" w:rsidRDefault="00306C16" w:rsidP="00306C16">
      <w:pPr>
        <w:pStyle w:val="EditorialNoteLine1"/>
        <w:rPr>
          <w:lang w:val="en-AU"/>
        </w:rPr>
      </w:pPr>
      <w:r w:rsidRPr="00574DE1">
        <w:rPr>
          <w:lang w:val="en-AU"/>
        </w:rPr>
        <w:t xml:space="preserve">Note:  </w:t>
      </w:r>
    </w:p>
    <w:p w14:paraId="4D85883E" w14:textId="77777777" w:rsidR="00306C16" w:rsidRPr="00574DE1" w:rsidRDefault="00306C16" w:rsidP="00306C16">
      <w:pPr>
        <w:pStyle w:val="EditorialNotetext"/>
        <w:rPr>
          <w:lang w:val="en-AU"/>
        </w:rPr>
      </w:pPr>
    </w:p>
    <w:p w14:paraId="4D85883F" w14:textId="77777777" w:rsidR="00306C16" w:rsidRDefault="00306C16" w:rsidP="00306C16">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14:paraId="4D858840" w14:textId="77777777" w:rsidR="00306C16" w:rsidRDefault="00306C16" w:rsidP="00306C16">
      <w:pPr>
        <w:rPr>
          <w:sz w:val="20"/>
        </w:rPr>
      </w:pPr>
    </w:p>
    <w:p w14:paraId="4D858841" w14:textId="77777777" w:rsidR="00795D86" w:rsidRDefault="00306C16" w:rsidP="00795D86">
      <w:pPr>
        <w:rPr>
          <w:sz w:val="20"/>
        </w:rPr>
      </w:pPr>
      <w:r>
        <w:rPr>
          <w:sz w:val="20"/>
        </w:rPr>
        <w:br w:type="page"/>
      </w:r>
    </w:p>
    <w:p w14:paraId="4D858842" w14:textId="77777777" w:rsidR="00306C16" w:rsidRDefault="00306C16" w:rsidP="00306C16">
      <w:pPr>
        <w:pStyle w:val="Clauseheading"/>
      </w:pPr>
      <w:r>
        <w:lastRenderedPageBreak/>
        <w:t>1</w:t>
      </w:r>
      <w:r>
        <w:tab/>
        <w:t>Name</w:t>
      </w:r>
    </w:p>
    <w:p w14:paraId="4D858843" w14:textId="77777777" w:rsidR="00306C16" w:rsidRDefault="00306C16" w:rsidP="00306C16">
      <w:pPr>
        <w:pStyle w:val="Clause"/>
      </w:pPr>
    </w:p>
    <w:p w14:paraId="4D858844" w14:textId="77777777" w:rsidR="00306C16" w:rsidRPr="00F618DF" w:rsidRDefault="00306C16" w:rsidP="00306C16">
      <w:pPr>
        <w:pStyle w:val="Clause"/>
      </w:pPr>
      <w:r w:rsidRPr="00DB170D">
        <w:t xml:space="preserve">This instrument is the </w:t>
      </w:r>
      <w:r>
        <w:rPr>
          <w:i/>
        </w:rPr>
        <w:t xml:space="preserve">Food Standards </w:t>
      </w:r>
      <w:r w:rsidRPr="00F634F1">
        <w:rPr>
          <w:i/>
        </w:rPr>
        <w:t>(Applicat</w:t>
      </w:r>
      <w:r>
        <w:rPr>
          <w:i/>
        </w:rPr>
        <w:t>ion A1097</w:t>
      </w:r>
      <w:r w:rsidRPr="00F634F1">
        <w:rPr>
          <w:i/>
        </w:rPr>
        <w:t xml:space="preserve"> – Food derived from Herbicide-tolerant </w:t>
      </w:r>
      <w:r>
        <w:rPr>
          <w:i/>
        </w:rPr>
        <w:t>and Insect-protected Cor</w:t>
      </w:r>
      <w:r w:rsidRPr="00F634F1">
        <w:rPr>
          <w:i/>
        </w:rPr>
        <w:t>n</w:t>
      </w:r>
      <w:r>
        <w:rPr>
          <w:i/>
        </w:rPr>
        <w:t xml:space="preserve"> Line MON87411) </w:t>
      </w:r>
      <w:r w:rsidRPr="00F618DF">
        <w:rPr>
          <w:i/>
        </w:rPr>
        <w:t>Variation</w:t>
      </w:r>
      <w:r w:rsidRPr="00F618DF">
        <w:t>.</w:t>
      </w:r>
    </w:p>
    <w:p w14:paraId="4D858845" w14:textId="77777777" w:rsidR="00306C16" w:rsidRDefault="00306C16" w:rsidP="00306C16">
      <w:pPr>
        <w:pStyle w:val="Clause"/>
      </w:pPr>
    </w:p>
    <w:p w14:paraId="4D858846" w14:textId="77777777" w:rsidR="00306C16" w:rsidRPr="0036244B" w:rsidRDefault="00306C16" w:rsidP="00306C16">
      <w:pPr>
        <w:pStyle w:val="Clauseheading"/>
        <w:tabs>
          <w:tab w:val="clear" w:pos="851"/>
        </w:tabs>
        <w:ind w:left="851" w:hanging="851"/>
      </w:pPr>
      <w:r w:rsidRPr="0036244B">
        <w:t>2</w:t>
      </w:r>
      <w:r w:rsidRPr="0036244B">
        <w:tab/>
      </w:r>
      <w:r>
        <w:t>V</w:t>
      </w:r>
      <w:r w:rsidRPr="0036244B">
        <w:t xml:space="preserve">ariation to </w:t>
      </w:r>
      <w:r>
        <w:t xml:space="preserve">a </w:t>
      </w:r>
      <w:r w:rsidRPr="0036244B">
        <w:t xml:space="preserve">Standard in the </w:t>
      </w:r>
      <w:r w:rsidRPr="0072638F">
        <w:rPr>
          <w:i/>
        </w:rPr>
        <w:t>Australia New Zealand Food Standards Code</w:t>
      </w:r>
    </w:p>
    <w:p w14:paraId="4D858847" w14:textId="77777777" w:rsidR="00306C16" w:rsidRDefault="00306C16" w:rsidP="00306C16">
      <w:pPr>
        <w:pStyle w:val="Clause"/>
      </w:pPr>
    </w:p>
    <w:p w14:paraId="4D858848" w14:textId="77777777" w:rsidR="00306C16" w:rsidRDefault="00306C16" w:rsidP="00306C16">
      <w:pPr>
        <w:pStyle w:val="Clause"/>
      </w:pPr>
      <w:r>
        <w:t xml:space="preserve">The Schedule varies a Standard in the </w:t>
      </w:r>
      <w:r w:rsidRPr="00FF1C11">
        <w:rPr>
          <w:i/>
        </w:rPr>
        <w:t>Australia New Zealand Food Standards Code</w:t>
      </w:r>
      <w:r>
        <w:t>.</w:t>
      </w:r>
    </w:p>
    <w:p w14:paraId="4D858849" w14:textId="77777777" w:rsidR="00306C16" w:rsidRDefault="00306C16" w:rsidP="00306C16">
      <w:pPr>
        <w:rPr>
          <w:sz w:val="20"/>
        </w:rPr>
      </w:pPr>
    </w:p>
    <w:p w14:paraId="4D85884A" w14:textId="77777777" w:rsidR="00306C16" w:rsidRDefault="00306C16" w:rsidP="00306C16">
      <w:pPr>
        <w:pStyle w:val="Clauseheading"/>
      </w:pPr>
      <w:r>
        <w:t>3</w:t>
      </w:r>
      <w:r>
        <w:tab/>
        <w:t>Commencement</w:t>
      </w:r>
    </w:p>
    <w:p w14:paraId="4D85884B" w14:textId="77777777" w:rsidR="00306C16" w:rsidRDefault="00306C16" w:rsidP="00306C16">
      <w:pPr>
        <w:pStyle w:val="Clause"/>
      </w:pPr>
    </w:p>
    <w:p w14:paraId="4D85884C" w14:textId="77777777" w:rsidR="00306C16" w:rsidRDefault="00306C16" w:rsidP="00306C16">
      <w:pPr>
        <w:pStyle w:val="Clause"/>
      </w:pPr>
      <w:r>
        <w:t>The variation commenc</w:t>
      </w:r>
      <w:r w:rsidRPr="000055C4">
        <w:t>e</w:t>
      </w:r>
      <w:r>
        <w:t>s</w:t>
      </w:r>
      <w:r w:rsidRPr="000055C4">
        <w:t xml:space="preserve"> on</w:t>
      </w:r>
      <w:r>
        <w:t xml:space="preserve"> the date of gazettal.</w:t>
      </w:r>
    </w:p>
    <w:p w14:paraId="4D85884D" w14:textId="77777777" w:rsidR="00306C16" w:rsidRDefault="00306C16" w:rsidP="00306C16">
      <w:pPr>
        <w:pStyle w:val="ScheduleHeading"/>
      </w:pPr>
    </w:p>
    <w:p w14:paraId="4D85884E" w14:textId="77777777" w:rsidR="00306C16" w:rsidRDefault="00306C16" w:rsidP="00306C16">
      <w:pPr>
        <w:pStyle w:val="ScheduleHeading"/>
      </w:pPr>
      <w:r>
        <w:t>SCHEDULE</w:t>
      </w:r>
    </w:p>
    <w:p w14:paraId="4D85884F" w14:textId="77777777" w:rsidR="00306C16" w:rsidRPr="0036244B" w:rsidRDefault="00306C16" w:rsidP="00306C16">
      <w:pPr>
        <w:rPr>
          <w:sz w:val="20"/>
        </w:rPr>
      </w:pPr>
    </w:p>
    <w:p w14:paraId="4D858850" w14:textId="77777777" w:rsidR="00306C16" w:rsidRPr="00CC2E5B" w:rsidRDefault="00306C16" w:rsidP="00306C16">
      <w:pPr>
        <w:rPr>
          <w:iCs/>
          <w:sz w:val="20"/>
        </w:rPr>
      </w:pPr>
      <w:r w:rsidRPr="00CC2E5B">
        <w:rPr>
          <w:b/>
          <w:bCs/>
          <w:sz w:val="20"/>
        </w:rPr>
        <w:t>[1]</w:t>
      </w:r>
      <w:r w:rsidRPr="00CC2E5B">
        <w:rPr>
          <w:sz w:val="20"/>
        </w:rPr>
        <w:tab/>
      </w:r>
      <w:r w:rsidRPr="00CC2E5B">
        <w:rPr>
          <w:b/>
          <w:bCs/>
          <w:iCs/>
          <w:sz w:val="20"/>
        </w:rPr>
        <w:t>Standard 1.5.2</w:t>
      </w:r>
      <w:r w:rsidRPr="00CC2E5B">
        <w:rPr>
          <w:iCs/>
          <w:sz w:val="20"/>
        </w:rPr>
        <w:t xml:space="preserve"> is varied by </w:t>
      </w:r>
      <w:r w:rsidRPr="00CC2E5B">
        <w:rPr>
          <w:sz w:val="20"/>
        </w:rPr>
        <w:t xml:space="preserve">inserting in </w:t>
      </w:r>
      <w:r>
        <w:rPr>
          <w:sz w:val="20"/>
        </w:rPr>
        <w:t xml:space="preserve">Item </w:t>
      </w:r>
      <w:r w:rsidRPr="00CC2E5B">
        <w:rPr>
          <w:sz w:val="20"/>
        </w:rPr>
        <w:t xml:space="preserve">numerical order in the Schedule </w:t>
      </w:r>
    </w:p>
    <w:p w14:paraId="4D858851" w14:textId="77777777" w:rsidR="00306C16" w:rsidRPr="00CC2E5B" w:rsidRDefault="00306C16" w:rsidP="00306C16">
      <w:pPr>
        <w:rPr>
          <w:sz w:val="20"/>
        </w:rPr>
      </w:pPr>
    </w:p>
    <w:p w14:paraId="4D858852" w14:textId="77777777" w:rsidR="00306C16" w:rsidRPr="00CC2E5B" w:rsidRDefault="00306C16" w:rsidP="00306C16">
      <w:pPr>
        <w:rPr>
          <w:sz w:val="20"/>
        </w:rPr>
      </w:pPr>
      <w:r w:rsidRPr="00CC2E5B">
        <w:rPr>
          <w:sz w:val="20"/>
        </w:rP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306C16" w:rsidRPr="00CB44BD" w14:paraId="4D858857" w14:textId="77777777" w:rsidTr="00070153">
        <w:trPr>
          <w:cantSplit/>
          <w:trHeight w:val="465"/>
        </w:trPr>
        <w:tc>
          <w:tcPr>
            <w:tcW w:w="1364" w:type="dxa"/>
          </w:tcPr>
          <w:p w14:paraId="4D858853" w14:textId="77777777" w:rsidR="00306C16" w:rsidRPr="00CB44BD" w:rsidRDefault="00306C16" w:rsidP="00070153">
            <w:pPr>
              <w:pStyle w:val="Table2"/>
              <w:rPr>
                <w:color w:val="000000" w:themeColor="text1"/>
              </w:rPr>
            </w:pPr>
          </w:p>
        </w:tc>
        <w:tc>
          <w:tcPr>
            <w:tcW w:w="1443" w:type="dxa"/>
          </w:tcPr>
          <w:p w14:paraId="4D858854" w14:textId="77777777" w:rsidR="00306C16" w:rsidRPr="00CB44BD" w:rsidRDefault="00306C16" w:rsidP="00070153">
            <w:pPr>
              <w:pStyle w:val="Table2"/>
              <w:rPr>
                <w:color w:val="000000" w:themeColor="text1"/>
              </w:rPr>
            </w:pPr>
            <w:r>
              <w:rPr>
                <w:color w:val="000000" w:themeColor="text1"/>
              </w:rPr>
              <w:t>2.22</w:t>
            </w:r>
          </w:p>
        </w:tc>
        <w:tc>
          <w:tcPr>
            <w:tcW w:w="3516" w:type="dxa"/>
          </w:tcPr>
          <w:p w14:paraId="4D858855" w14:textId="77777777" w:rsidR="00306C16" w:rsidRPr="00CB44BD" w:rsidRDefault="00306C16" w:rsidP="00070153">
            <w:pPr>
              <w:pStyle w:val="Table2"/>
              <w:rPr>
                <w:color w:val="000000" w:themeColor="text1"/>
              </w:rPr>
            </w:pPr>
            <w:r w:rsidRPr="00CB44BD">
              <w:rPr>
                <w:color w:val="000000" w:themeColor="text1"/>
              </w:rPr>
              <w:t xml:space="preserve">Food derived from herbicide-tolerant </w:t>
            </w:r>
            <w:r>
              <w:rPr>
                <w:color w:val="000000" w:themeColor="text1"/>
              </w:rPr>
              <w:t>and insect-protected corn line MON87411</w:t>
            </w:r>
          </w:p>
        </w:tc>
        <w:tc>
          <w:tcPr>
            <w:tcW w:w="2466" w:type="dxa"/>
          </w:tcPr>
          <w:p w14:paraId="4D858856" w14:textId="77777777" w:rsidR="00306C16" w:rsidRPr="00CB44BD" w:rsidRDefault="00306C16" w:rsidP="00070153">
            <w:pPr>
              <w:pStyle w:val="Table2"/>
              <w:rPr>
                <w:color w:val="000000" w:themeColor="text1"/>
              </w:rPr>
            </w:pPr>
          </w:p>
        </w:tc>
      </w:tr>
    </w:tbl>
    <w:p w14:paraId="4D858858" w14:textId="77777777" w:rsidR="00306C16" w:rsidRPr="00CB44BD" w:rsidRDefault="00306C16" w:rsidP="00306C16">
      <w:pPr>
        <w:jc w:val="right"/>
        <w:rPr>
          <w:color w:val="000000" w:themeColor="text1"/>
          <w:sz w:val="20"/>
        </w:rPr>
      </w:pPr>
      <w:r w:rsidRPr="00CB44BD">
        <w:rPr>
          <w:color w:val="000000" w:themeColor="text1"/>
          <w:sz w:val="20"/>
        </w:rPr>
        <w:t>”</w:t>
      </w:r>
    </w:p>
    <w:p w14:paraId="4D858859" w14:textId="77777777" w:rsidR="00306C16" w:rsidRPr="0036244B" w:rsidRDefault="00306C16" w:rsidP="00306C16">
      <w:pPr>
        <w:rPr>
          <w:sz w:val="20"/>
        </w:rPr>
      </w:pPr>
    </w:p>
    <w:p w14:paraId="4D85885A" w14:textId="77777777" w:rsidR="00306C16" w:rsidRDefault="00306C16" w:rsidP="00306C16">
      <w:pPr>
        <w:rPr>
          <w:sz w:val="20"/>
        </w:rPr>
      </w:pPr>
      <w:r>
        <w:rPr>
          <w:sz w:val="20"/>
        </w:rPr>
        <w:br w:type="page"/>
      </w:r>
    </w:p>
    <w:p w14:paraId="4D85885B" w14:textId="7E8C043C" w:rsidR="007D0189" w:rsidRDefault="007D0189" w:rsidP="007D0189">
      <w:pPr>
        <w:pStyle w:val="Heading2"/>
        <w:ind w:left="0" w:firstLine="0"/>
      </w:pPr>
      <w:bookmarkStart w:id="109" w:name="_Toc419907029"/>
      <w:bookmarkStart w:id="110" w:name="_Toc120358598"/>
      <w:bookmarkStart w:id="111" w:name="_Toc175381460"/>
      <w:r>
        <w:lastRenderedPageBreak/>
        <w:t>Explanatory Statement</w:t>
      </w:r>
      <w:bookmarkEnd w:id="109"/>
    </w:p>
    <w:p w14:paraId="4D85885C" w14:textId="77777777" w:rsidR="007D0189" w:rsidRPr="00306C16" w:rsidRDefault="000576EB" w:rsidP="000576EB">
      <w:pPr>
        <w:rPr>
          <w:b/>
          <w:color w:val="000000" w:themeColor="text1"/>
          <w:lang w:val="en-AU" w:eastAsia="en-GB" w:bidi="ar-SA"/>
        </w:rPr>
      </w:pPr>
      <w:r w:rsidRPr="00306C16">
        <w:rPr>
          <w:b/>
          <w:color w:val="000000" w:themeColor="text1"/>
          <w:lang w:val="en-AU" w:eastAsia="en-GB" w:bidi="ar-SA"/>
        </w:rPr>
        <w:t>1.</w:t>
      </w:r>
      <w:r w:rsidRPr="00306C16">
        <w:rPr>
          <w:b/>
          <w:color w:val="000000" w:themeColor="text1"/>
          <w:lang w:val="en-AU" w:eastAsia="en-GB" w:bidi="ar-SA"/>
        </w:rPr>
        <w:tab/>
        <w:t>Authority</w:t>
      </w:r>
    </w:p>
    <w:p w14:paraId="4D85885D" w14:textId="77777777" w:rsidR="000576EB" w:rsidRPr="00306C16" w:rsidRDefault="000576EB" w:rsidP="000576EB">
      <w:pPr>
        <w:rPr>
          <w:color w:val="000000" w:themeColor="text1"/>
          <w:lang w:val="en-AU" w:eastAsia="en-GB" w:bidi="ar-SA"/>
        </w:rPr>
      </w:pPr>
    </w:p>
    <w:p w14:paraId="4D85885E" w14:textId="77777777" w:rsidR="000576EB" w:rsidRPr="00306C16" w:rsidRDefault="000576EB" w:rsidP="000576EB">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Section 13 of the </w:t>
      </w:r>
      <w:r w:rsidRPr="00306C16">
        <w:rPr>
          <w:rFonts w:eastAsia="Calibri" w:cs="Arial"/>
          <w:bCs/>
          <w:i/>
          <w:color w:val="000000" w:themeColor="text1"/>
          <w:szCs w:val="22"/>
          <w:lang w:val="en-AU" w:bidi="ar-SA"/>
        </w:rPr>
        <w:t>Food Standards Australia New Zealand Act 1991</w:t>
      </w:r>
      <w:r w:rsidRPr="00306C16">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306C16">
        <w:rPr>
          <w:rFonts w:eastAsia="Calibri" w:cs="Arial"/>
          <w:bCs/>
          <w:i/>
          <w:color w:val="000000" w:themeColor="text1"/>
          <w:szCs w:val="22"/>
          <w:lang w:val="en-AU" w:bidi="ar-SA"/>
        </w:rPr>
        <w:t>Australia New Zealand Food Standards Code</w:t>
      </w:r>
      <w:r w:rsidRPr="00306C16">
        <w:rPr>
          <w:rFonts w:eastAsia="Calibri" w:cs="Arial"/>
          <w:bCs/>
          <w:color w:val="000000" w:themeColor="text1"/>
          <w:szCs w:val="22"/>
          <w:lang w:val="en-AU" w:bidi="ar-SA"/>
        </w:rPr>
        <w:t xml:space="preserve"> (the Code).</w:t>
      </w:r>
    </w:p>
    <w:p w14:paraId="4D85885F" w14:textId="77777777" w:rsidR="000576EB" w:rsidRPr="00306C16" w:rsidRDefault="000576EB" w:rsidP="000576EB">
      <w:pPr>
        <w:widowControl/>
        <w:autoSpaceDE w:val="0"/>
        <w:autoSpaceDN w:val="0"/>
        <w:adjustRightInd w:val="0"/>
        <w:rPr>
          <w:rFonts w:eastAsia="Calibri" w:cs="Arial"/>
          <w:bCs/>
          <w:color w:val="000000" w:themeColor="text1"/>
          <w:szCs w:val="22"/>
          <w:lang w:val="en-AU" w:bidi="ar-SA"/>
        </w:rPr>
      </w:pPr>
    </w:p>
    <w:p w14:paraId="4D858860" w14:textId="77777777" w:rsidR="00DE5528" w:rsidRPr="00306C16" w:rsidRDefault="00DE5528" w:rsidP="00DE5528">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Division 1 of Part 3 of the FSANZ Act specifies that the Authority </w:t>
      </w:r>
      <w:r w:rsidR="00076D3B" w:rsidRPr="00306C16">
        <w:rPr>
          <w:rFonts w:eastAsia="Calibri" w:cs="Arial"/>
          <w:bCs/>
          <w:color w:val="000000" w:themeColor="text1"/>
          <w:szCs w:val="22"/>
          <w:lang w:val="en-AU" w:bidi="ar-SA"/>
        </w:rPr>
        <w:t>may accept applications</w:t>
      </w:r>
      <w:r w:rsidRPr="00306C16">
        <w:rPr>
          <w:rFonts w:eastAsia="Calibri" w:cs="Arial"/>
          <w:bCs/>
          <w:color w:val="000000" w:themeColor="text1"/>
          <w:szCs w:val="22"/>
          <w:lang w:val="en-AU" w:bidi="ar-SA"/>
        </w:rPr>
        <w:t xml:space="preserve"> for the development or variation of food regulatory measures, including standards. This Division also stipulates the procedure for considering a</w:t>
      </w:r>
      <w:r w:rsidR="00076D3B" w:rsidRPr="00306C16">
        <w:rPr>
          <w:rFonts w:eastAsia="Calibri" w:cs="Arial"/>
          <w:bCs/>
          <w:color w:val="000000" w:themeColor="text1"/>
          <w:szCs w:val="22"/>
          <w:lang w:val="en-AU" w:bidi="ar-SA"/>
        </w:rPr>
        <w:t>n application</w:t>
      </w:r>
      <w:r w:rsidRPr="00306C16">
        <w:rPr>
          <w:rFonts w:eastAsia="Calibri" w:cs="Arial"/>
          <w:bCs/>
          <w:color w:val="000000" w:themeColor="text1"/>
          <w:szCs w:val="22"/>
          <w:lang w:val="en-AU" w:bidi="ar-SA"/>
        </w:rPr>
        <w:t xml:space="preserve"> for the development or variation of food regulatory measures</w:t>
      </w:r>
      <w:r w:rsidR="00EC66BB" w:rsidRPr="00306C16">
        <w:rPr>
          <w:rFonts w:eastAsia="Calibri" w:cs="Arial"/>
          <w:bCs/>
          <w:color w:val="000000" w:themeColor="text1"/>
          <w:szCs w:val="22"/>
          <w:lang w:val="en-AU" w:bidi="ar-SA"/>
        </w:rPr>
        <w:t xml:space="preserve">. </w:t>
      </w:r>
    </w:p>
    <w:p w14:paraId="4D858861" w14:textId="77777777" w:rsidR="00DE5528" w:rsidRPr="00306C16" w:rsidRDefault="00DE5528" w:rsidP="00DE5528">
      <w:pPr>
        <w:widowControl/>
        <w:autoSpaceDE w:val="0"/>
        <w:autoSpaceDN w:val="0"/>
        <w:adjustRightInd w:val="0"/>
        <w:rPr>
          <w:rFonts w:eastAsia="Calibri" w:cs="Arial"/>
          <w:bCs/>
          <w:color w:val="000000" w:themeColor="text1"/>
          <w:szCs w:val="22"/>
          <w:lang w:val="en-AU" w:bidi="ar-SA"/>
        </w:rPr>
      </w:pPr>
    </w:p>
    <w:p w14:paraId="4D858862" w14:textId="77777777" w:rsidR="00306C16" w:rsidRPr="00306C16" w:rsidRDefault="00306C16" w:rsidP="00306C16">
      <w:pPr>
        <w:autoSpaceDE w:val="0"/>
        <w:autoSpaceDN w:val="0"/>
        <w:adjustRightInd w:val="0"/>
        <w:rPr>
          <w:rFonts w:eastAsia="Calibri" w:cs="Arial"/>
          <w:bCs/>
          <w:color w:val="000000" w:themeColor="text1"/>
          <w:lang w:val="en-AU"/>
        </w:rPr>
      </w:pPr>
      <w:r w:rsidRPr="00306C16">
        <w:rPr>
          <w:rFonts w:eastAsia="Calibri" w:cs="Arial"/>
          <w:bCs/>
          <w:color w:val="000000" w:themeColor="text1"/>
          <w:lang w:val="en-AU"/>
        </w:rPr>
        <w:t xml:space="preserve">FSANZ accepted Application A1097 which seeks </w:t>
      </w:r>
      <w:r w:rsidRPr="00306C16">
        <w:rPr>
          <w:color w:val="000000" w:themeColor="text1"/>
        </w:rPr>
        <w:t>permission for the sale and use of food derived from herbicide-tolerant and insect-protected corn line</w:t>
      </w:r>
      <w:r w:rsidRPr="00306C16">
        <w:rPr>
          <w:rFonts w:eastAsia="Calibri" w:cs="Arial"/>
          <w:bCs/>
          <w:color w:val="000000" w:themeColor="text1"/>
          <w:lang w:val="en-AU"/>
        </w:rPr>
        <w:t xml:space="preserve"> MON87411</w:t>
      </w:r>
      <w:r w:rsidRPr="00306C16">
        <w:rPr>
          <w:color w:val="000000" w:themeColor="text1"/>
        </w:rPr>
        <w:t xml:space="preserve"> (MON87411)</w:t>
      </w:r>
      <w:r w:rsidRPr="00306C16">
        <w:rPr>
          <w:rFonts w:eastAsia="Calibri" w:cs="Arial"/>
          <w:bCs/>
          <w:color w:val="000000" w:themeColor="text1"/>
          <w:lang w:val="en-AU"/>
        </w:rPr>
        <w:t xml:space="preserve">. The Authority considered the Application in accordance with Division 1 of Part 3 and has approved a draft Standard. </w:t>
      </w:r>
    </w:p>
    <w:p w14:paraId="4D858863" w14:textId="77777777" w:rsidR="000576EB" w:rsidRPr="00D13E34" w:rsidRDefault="000576EB" w:rsidP="000576EB">
      <w:pPr>
        <w:widowControl/>
        <w:autoSpaceDE w:val="0"/>
        <w:autoSpaceDN w:val="0"/>
        <w:adjustRightInd w:val="0"/>
        <w:rPr>
          <w:rFonts w:eastAsia="Calibri" w:cs="Arial"/>
          <w:bCs/>
          <w:szCs w:val="22"/>
          <w:lang w:val="en-AU" w:bidi="ar-SA"/>
        </w:rPr>
      </w:pPr>
    </w:p>
    <w:p w14:paraId="4D858864" w14:textId="77777777"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10"/>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D858865" w14:textId="77777777" w:rsidR="000576EB" w:rsidRPr="00D13E34" w:rsidRDefault="000576EB" w:rsidP="000576EB">
      <w:pPr>
        <w:widowControl/>
        <w:autoSpaceDE w:val="0"/>
        <w:autoSpaceDN w:val="0"/>
        <w:adjustRightInd w:val="0"/>
        <w:rPr>
          <w:rFonts w:eastAsia="Calibri" w:cs="Arial"/>
          <w:bCs/>
          <w:szCs w:val="22"/>
          <w:lang w:val="en-AU" w:bidi="ar-SA"/>
        </w:rPr>
      </w:pPr>
    </w:p>
    <w:p w14:paraId="4D858866" w14:textId="77777777"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14:paraId="4D858867" w14:textId="77777777" w:rsidR="000576EB" w:rsidRDefault="000576EB" w:rsidP="000576EB">
      <w:pPr>
        <w:rPr>
          <w:lang w:val="en-AU" w:eastAsia="en-GB" w:bidi="ar-SA"/>
        </w:rPr>
      </w:pPr>
    </w:p>
    <w:p w14:paraId="4D858868" w14:textId="77777777" w:rsidR="00683071" w:rsidRDefault="00683071" w:rsidP="00683071">
      <w:pPr>
        <w:rPr>
          <w:b/>
          <w:lang w:val="en-AU" w:eastAsia="en-GB" w:bidi="ar-SA"/>
        </w:rPr>
      </w:pPr>
      <w:r>
        <w:rPr>
          <w:b/>
          <w:lang w:val="en-AU" w:eastAsia="en-GB" w:bidi="ar-SA"/>
        </w:rPr>
        <w:t>2.</w:t>
      </w:r>
      <w:r>
        <w:rPr>
          <w:b/>
          <w:lang w:val="en-AU" w:eastAsia="en-GB" w:bidi="ar-SA"/>
        </w:rPr>
        <w:tab/>
        <w:t xml:space="preserve">Purpose </w:t>
      </w:r>
    </w:p>
    <w:p w14:paraId="4D858869" w14:textId="77777777" w:rsidR="00683071" w:rsidRDefault="00683071" w:rsidP="00683071">
      <w:pPr>
        <w:rPr>
          <w:lang w:val="en-AU" w:eastAsia="en-GB" w:bidi="ar-SA"/>
        </w:rPr>
      </w:pPr>
    </w:p>
    <w:p w14:paraId="4D85886A" w14:textId="77777777" w:rsidR="00E73424" w:rsidRPr="00272E09" w:rsidRDefault="00E73424" w:rsidP="00E73424">
      <w:pPr>
        <w:rPr>
          <w:lang w:eastAsia="en-GB" w:bidi="ar-SA"/>
        </w:rPr>
      </w:pPr>
      <w:r>
        <w:rPr>
          <w:lang w:eastAsia="en-GB" w:bidi="ar-SA"/>
        </w:rPr>
        <w:t xml:space="preserve">The variation inserts a reference to </w:t>
      </w:r>
      <w:r>
        <w:t xml:space="preserve">herbicide-tolerant and insect-protected corn line MON87411 </w:t>
      </w:r>
      <w:r>
        <w:rPr>
          <w:lang w:eastAsia="en-GB" w:bidi="ar-SA"/>
        </w:rPr>
        <w:t xml:space="preserve">into </w:t>
      </w:r>
      <w:r w:rsidRPr="00272E09">
        <w:rPr>
          <w:lang w:eastAsia="en-GB" w:bidi="ar-SA"/>
        </w:rPr>
        <w:t>the Schedule to Standard 1.5.2</w:t>
      </w:r>
      <w:r>
        <w:rPr>
          <w:lang w:eastAsia="en-GB" w:bidi="ar-SA"/>
        </w:rPr>
        <w:t xml:space="preserve"> in order to permit the </w:t>
      </w:r>
      <w:r w:rsidRPr="00272E09">
        <w:rPr>
          <w:lang w:eastAsia="en-GB" w:bidi="ar-SA"/>
        </w:rPr>
        <w:t xml:space="preserve">sale, or use in food, of food derived from </w:t>
      </w:r>
      <w:r>
        <w:rPr>
          <w:lang w:eastAsia="en-GB" w:bidi="ar-SA"/>
        </w:rPr>
        <w:t>that corn line</w:t>
      </w:r>
      <w:r w:rsidRPr="00272E09">
        <w:rPr>
          <w:lang w:eastAsia="en-GB" w:bidi="ar-SA"/>
        </w:rPr>
        <w:t>.</w:t>
      </w:r>
    </w:p>
    <w:p w14:paraId="4D85886B" w14:textId="77777777" w:rsidR="000576EB" w:rsidRPr="005A2DF3" w:rsidRDefault="000576EB" w:rsidP="000576EB">
      <w:pPr>
        <w:rPr>
          <w:color w:val="000000" w:themeColor="text1"/>
          <w:lang w:val="en-AU" w:eastAsia="en-GB" w:bidi="ar-SA"/>
        </w:rPr>
      </w:pPr>
    </w:p>
    <w:p w14:paraId="4D85886C" w14:textId="77777777" w:rsidR="000576EB" w:rsidRPr="005A2DF3" w:rsidRDefault="000576EB" w:rsidP="000576EB">
      <w:pPr>
        <w:rPr>
          <w:b/>
          <w:color w:val="000000" w:themeColor="text1"/>
          <w:lang w:val="en-AU" w:eastAsia="en-GB" w:bidi="ar-SA"/>
        </w:rPr>
      </w:pPr>
      <w:r w:rsidRPr="005A2DF3">
        <w:rPr>
          <w:b/>
          <w:color w:val="000000" w:themeColor="text1"/>
          <w:lang w:val="en-AU" w:eastAsia="en-GB" w:bidi="ar-SA"/>
        </w:rPr>
        <w:t>3.</w:t>
      </w:r>
      <w:r w:rsidRPr="005A2DF3">
        <w:rPr>
          <w:b/>
          <w:color w:val="000000" w:themeColor="text1"/>
          <w:lang w:val="en-AU" w:eastAsia="en-GB" w:bidi="ar-SA"/>
        </w:rPr>
        <w:tab/>
        <w:t xml:space="preserve">Documents </w:t>
      </w:r>
      <w:r w:rsidR="006138D7" w:rsidRPr="005A2DF3">
        <w:rPr>
          <w:b/>
          <w:color w:val="000000" w:themeColor="text1"/>
          <w:lang w:val="en-AU" w:eastAsia="en-GB" w:bidi="ar-SA"/>
        </w:rPr>
        <w:t>incorporated</w:t>
      </w:r>
      <w:r w:rsidRPr="005A2DF3">
        <w:rPr>
          <w:b/>
          <w:color w:val="000000" w:themeColor="text1"/>
          <w:lang w:val="en-AU" w:eastAsia="en-GB" w:bidi="ar-SA"/>
        </w:rPr>
        <w:t xml:space="preserve"> by reference</w:t>
      </w:r>
    </w:p>
    <w:p w14:paraId="4D85886D" w14:textId="77777777" w:rsidR="000576EB" w:rsidRPr="005A2DF3" w:rsidRDefault="000576EB" w:rsidP="000576EB">
      <w:pPr>
        <w:rPr>
          <w:color w:val="000000" w:themeColor="text1"/>
          <w:lang w:val="en-AU" w:eastAsia="en-GB" w:bidi="ar-SA"/>
        </w:rPr>
      </w:pPr>
    </w:p>
    <w:p w14:paraId="4D85886E" w14:textId="77777777" w:rsidR="000576EB" w:rsidRPr="005A2DF3" w:rsidRDefault="000576EB" w:rsidP="000576EB">
      <w:pPr>
        <w:widowControl/>
        <w:autoSpaceDE w:val="0"/>
        <w:autoSpaceDN w:val="0"/>
        <w:adjustRightInd w:val="0"/>
        <w:rPr>
          <w:rFonts w:eastAsia="Calibri" w:cs="Arial"/>
          <w:bCs/>
          <w:color w:val="000000" w:themeColor="text1"/>
          <w:szCs w:val="22"/>
          <w:lang w:val="en-AU" w:bidi="ar-SA"/>
        </w:rPr>
      </w:pPr>
      <w:r w:rsidRPr="005A2DF3">
        <w:rPr>
          <w:rFonts w:eastAsia="Calibri" w:cs="Arial"/>
          <w:bCs/>
          <w:color w:val="000000" w:themeColor="text1"/>
          <w:szCs w:val="22"/>
          <w:lang w:val="en-AU" w:bidi="ar-SA"/>
        </w:rPr>
        <w:t>The variations to food regulatory measures do not incorporate any documents by reference.</w:t>
      </w:r>
    </w:p>
    <w:p w14:paraId="4D85886F" w14:textId="77777777" w:rsidR="000576EB" w:rsidRPr="005A2DF3" w:rsidRDefault="000576EB" w:rsidP="000576EB">
      <w:pPr>
        <w:rPr>
          <w:color w:val="000000" w:themeColor="text1"/>
          <w:lang w:val="en-AU" w:eastAsia="en-GB" w:bidi="ar-SA"/>
        </w:rPr>
      </w:pPr>
    </w:p>
    <w:p w14:paraId="4D858870" w14:textId="77777777" w:rsidR="000576EB" w:rsidRPr="005A2DF3" w:rsidRDefault="000576EB" w:rsidP="000576EB">
      <w:pPr>
        <w:rPr>
          <w:b/>
          <w:color w:val="000000" w:themeColor="text1"/>
          <w:lang w:val="en-AU" w:eastAsia="en-GB" w:bidi="ar-SA"/>
        </w:rPr>
      </w:pPr>
      <w:r w:rsidRPr="005A2DF3">
        <w:rPr>
          <w:b/>
          <w:color w:val="000000" w:themeColor="text1"/>
          <w:lang w:val="en-AU" w:eastAsia="en-GB" w:bidi="ar-SA"/>
        </w:rPr>
        <w:t>4.</w:t>
      </w:r>
      <w:r w:rsidRPr="005A2DF3">
        <w:rPr>
          <w:b/>
          <w:color w:val="000000" w:themeColor="text1"/>
          <w:lang w:val="en-AU" w:eastAsia="en-GB" w:bidi="ar-SA"/>
        </w:rPr>
        <w:tab/>
        <w:t>Consultation</w:t>
      </w:r>
    </w:p>
    <w:p w14:paraId="4D858871" w14:textId="77777777" w:rsidR="000576EB" w:rsidRPr="005A2DF3" w:rsidRDefault="000576EB" w:rsidP="000576EB">
      <w:pPr>
        <w:rPr>
          <w:color w:val="000000" w:themeColor="text1"/>
          <w:lang w:val="en-AU" w:eastAsia="en-GB" w:bidi="ar-SA"/>
        </w:rPr>
      </w:pPr>
    </w:p>
    <w:p w14:paraId="4D858872" w14:textId="77777777" w:rsidR="00D06616" w:rsidRPr="005A2DF3" w:rsidRDefault="00D06616" w:rsidP="00D06616">
      <w:pPr>
        <w:rPr>
          <w:color w:val="000000" w:themeColor="text1"/>
          <w:lang w:val="en-AU"/>
        </w:rPr>
      </w:pPr>
      <w:r w:rsidRPr="005A2DF3">
        <w:rPr>
          <w:color w:val="000000" w:themeColor="text1"/>
          <w:szCs w:val="22"/>
        </w:rPr>
        <w:t xml:space="preserve">In accordance </w:t>
      </w:r>
      <w:r w:rsidR="00F634A1" w:rsidRPr="005A2DF3">
        <w:rPr>
          <w:color w:val="000000" w:themeColor="text1"/>
          <w:szCs w:val="22"/>
        </w:rPr>
        <w:t xml:space="preserve">with the procedure in Division </w:t>
      </w:r>
      <w:r w:rsidR="00306C16" w:rsidRPr="005A2DF3">
        <w:rPr>
          <w:color w:val="000000" w:themeColor="text1"/>
          <w:szCs w:val="22"/>
        </w:rPr>
        <w:t>1</w:t>
      </w:r>
      <w:r w:rsidR="00F634A1" w:rsidRPr="005A2DF3">
        <w:rPr>
          <w:color w:val="000000" w:themeColor="text1"/>
          <w:szCs w:val="22"/>
        </w:rPr>
        <w:t xml:space="preserve"> of Part </w:t>
      </w:r>
      <w:r w:rsidR="00306C16" w:rsidRPr="005A2DF3">
        <w:rPr>
          <w:color w:val="000000" w:themeColor="text1"/>
          <w:szCs w:val="22"/>
        </w:rPr>
        <w:t>3</w:t>
      </w:r>
      <w:r w:rsidRPr="005A2DF3">
        <w:rPr>
          <w:color w:val="000000" w:themeColor="text1"/>
          <w:szCs w:val="22"/>
        </w:rPr>
        <w:t xml:space="preserve"> of the FSANZ Act, </w:t>
      </w:r>
      <w:r w:rsidRPr="005A2DF3">
        <w:rPr>
          <w:rFonts w:eastAsia="Calibri" w:cs="Arial"/>
          <w:bCs/>
          <w:color w:val="000000" w:themeColor="text1"/>
          <w:szCs w:val="22"/>
          <w:lang w:val="en-AU" w:bidi="ar-SA"/>
        </w:rPr>
        <w:t>the Authority</w:t>
      </w:r>
      <w:r w:rsidRPr="005A2DF3">
        <w:rPr>
          <w:color w:val="000000" w:themeColor="text1"/>
          <w:szCs w:val="22"/>
        </w:rPr>
        <w:t xml:space="preserve">’s consideration of </w:t>
      </w:r>
      <w:r w:rsidR="00306C16" w:rsidRPr="005A2DF3">
        <w:rPr>
          <w:color w:val="000000" w:themeColor="text1"/>
          <w:szCs w:val="22"/>
        </w:rPr>
        <w:t>Application A1097</w:t>
      </w:r>
      <w:r w:rsidRPr="005A2DF3">
        <w:rPr>
          <w:color w:val="000000" w:themeColor="text1"/>
          <w:szCs w:val="22"/>
        </w:rPr>
        <w:t xml:space="preserve"> included one round of public consultation</w:t>
      </w:r>
      <w:r w:rsidR="00F634A1" w:rsidRPr="005A2DF3">
        <w:rPr>
          <w:color w:val="000000" w:themeColor="text1"/>
          <w:szCs w:val="22"/>
        </w:rPr>
        <w:t xml:space="preserve"> following an assessment and the preparation of a draft </w:t>
      </w:r>
      <w:r w:rsidR="00306C16" w:rsidRPr="005A2DF3">
        <w:rPr>
          <w:color w:val="000000" w:themeColor="text1"/>
          <w:szCs w:val="22"/>
        </w:rPr>
        <w:t>variation</w:t>
      </w:r>
      <w:r w:rsidR="00077AEA" w:rsidRPr="005A2DF3">
        <w:rPr>
          <w:color w:val="000000" w:themeColor="text1"/>
          <w:szCs w:val="22"/>
        </w:rPr>
        <w:t xml:space="preserve"> and associated report</w:t>
      </w:r>
      <w:r w:rsidR="00306C16" w:rsidRPr="005A2DF3">
        <w:rPr>
          <w:color w:val="000000" w:themeColor="text1"/>
          <w:szCs w:val="22"/>
        </w:rPr>
        <w:t xml:space="preserve">. </w:t>
      </w:r>
      <w:r w:rsidR="00077AEA" w:rsidRPr="005A2DF3">
        <w:rPr>
          <w:color w:val="000000" w:themeColor="text1"/>
          <w:szCs w:val="22"/>
        </w:rPr>
        <w:t xml:space="preserve">Submissions were called for on </w:t>
      </w:r>
      <w:r w:rsidR="00306C16" w:rsidRPr="005A2DF3">
        <w:rPr>
          <w:color w:val="000000" w:themeColor="text1"/>
          <w:szCs w:val="22"/>
        </w:rPr>
        <w:t>16 December 2014</w:t>
      </w:r>
      <w:r w:rsidRPr="005A2DF3">
        <w:rPr>
          <w:color w:val="000000" w:themeColor="text1"/>
          <w:szCs w:val="22"/>
        </w:rPr>
        <w:t xml:space="preserve"> for a</w:t>
      </w:r>
      <w:r w:rsidR="00306C16" w:rsidRPr="005A2DF3">
        <w:rPr>
          <w:color w:val="000000" w:themeColor="text1"/>
          <w:szCs w:val="22"/>
        </w:rPr>
        <w:t>n eight</w:t>
      </w:r>
      <w:r w:rsidRPr="005A2DF3">
        <w:rPr>
          <w:color w:val="000000" w:themeColor="text1"/>
          <w:szCs w:val="22"/>
        </w:rPr>
        <w:t xml:space="preserve">-week consultation period. </w:t>
      </w:r>
    </w:p>
    <w:p w14:paraId="4D858873" w14:textId="77777777" w:rsidR="00D06616" w:rsidRPr="005A2DF3" w:rsidRDefault="00D06616" w:rsidP="00D06616">
      <w:pPr>
        <w:rPr>
          <w:rFonts w:eastAsia="Calibri"/>
          <w:color w:val="000000" w:themeColor="text1"/>
          <w:szCs w:val="22"/>
          <w:lang w:val="en-AU" w:bidi="ar-SA"/>
        </w:rPr>
      </w:pPr>
    </w:p>
    <w:p w14:paraId="4D858874" w14:textId="77777777" w:rsidR="00306C16" w:rsidRPr="005A2DF3" w:rsidRDefault="00306C16" w:rsidP="00306C16">
      <w:pPr>
        <w:autoSpaceDE w:val="0"/>
        <w:autoSpaceDN w:val="0"/>
        <w:rPr>
          <w:color w:val="000000" w:themeColor="text1"/>
        </w:rPr>
      </w:pPr>
      <w:r w:rsidRPr="005A2DF3">
        <w:rPr>
          <w:color w:val="000000" w:themeColor="text1"/>
        </w:rPr>
        <w:t xml:space="preserve">A Regulation Impact Statement was not required because the </w:t>
      </w:r>
      <w:r w:rsidR="00E73424">
        <w:rPr>
          <w:color w:val="000000" w:themeColor="text1"/>
        </w:rPr>
        <w:t>Application is</w:t>
      </w:r>
      <w:r w:rsidRPr="005A2DF3">
        <w:rPr>
          <w:color w:val="000000" w:themeColor="text1"/>
        </w:rPr>
        <w:t xml:space="preserve"> likely to have a minor impact on business and individuals</w:t>
      </w:r>
      <w:r w:rsidR="00E73424">
        <w:rPr>
          <w:rFonts w:cs="Arial"/>
          <w:szCs w:val="22"/>
        </w:rPr>
        <w:t>.</w:t>
      </w:r>
    </w:p>
    <w:p w14:paraId="4D858875" w14:textId="77777777" w:rsidR="005A2DF3" w:rsidRDefault="005A2DF3" w:rsidP="000576EB">
      <w:pPr>
        <w:rPr>
          <w:color w:val="000000" w:themeColor="text1"/>
          <w:lang w:val="en-AU" w:eastAsia="en-GB" w:bidi="ar-SA"/>
        </w:rPr>
      </w:pPr>
    </w:p>
    <w:p w14:paraId="4D858876" w14:textId="77777777" w:rsidR="00AA41BA" w:rsidRPr="005A2DF3" w:rsidRDefault="00AA41BA" w:rsidP="00AA41BA">
      <w:pPr>
        <w:widowControl/>
        <w:rPr>
          <w:rFonts w:eastAsiaTheme="minorHAnsi" w:cs="Arial"/>
          <w:b/>
          <w:bCs/>
          <w:color w:val="000000" w:themeColor="text1"/>
          <w:szCs w:val="22"/>
          <w:lang w:val="en-AU" w:bidi="ar-SA"/>
        </w:rPr>
      </w:pPr>
      <w:r w:rsidRPr="005A2DF3">
        <w:rPr>
          <w:rFonts w:eastAsiaTheme="minorHAnsi" w:cs="Arial"/>
          <w:b/>
          <w:bCs/>
          <w:color w:val="000000" w:themeColor="text1"/>
          <w:szCs w:val="22"/>
          <w:lang w:val="en-AU" w:bidi="ar-SA"/>
        </w:rPr>
        <w:t>5.</w:t>
      </w:r>
      <w:r w:rsidRPr="005A2DF3">
        <w:rPr>
          <w:rFonts w:eastAsiaTheme="minorHAnsi" w:cs="Arial"/>
          <w:b/>
          <w:bCs/>
          <w:color w:val="000000" w:themeColor="text1"/>
          <w:szCs w:val="22"/>
          <w:lang w:val="en-AU" w:bidi="ar-SA"/>
        </w:rPr>
        <w:tab/>
        <w:t>Statement of compatibility with human rights</w:t>
      </w:r>
    </w:p>
    <w:p w14:paraId="4D858877" w14:textId="77777777" w:rsidR="00AA41BA" w:rsidRDefault="00AA41BA" w:rsidP="00AA41BA">
      <w:pPr>
        <w:rPr>
          <w:rFonts w:eastAsiaTheme="minorHAnsi"/>
          <w:lang w:val="en-AU" w:bidi="ar-SA"/>
        </w:rPr>
      </w:pPr>
    </w:p>
    <w:p w14:paraId="4D858878" w14:textId="4D214915" w:rsidR="00ED70BB"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r w:rsidR="00ED70BB">
        <w:rPr>
          <w:rFonts w:eastAsiaTheme="minorHAnsi"/>
          <w:lang w:val="en-AU" w:bidi="ar-SA"/>
        </w:rPr>
        <w:br w:type="page"/>
      </w:r>
    </w:p>
    <w:p w14:paraId="4D85887A" w14:textId="77777777" w:rsidR="00432A42" w:rsidRPr="00432A42" w:rsidRDefault="00432A42" w:rsidP="00432A42">
      <w:pPr>
        <w:rPr>
          <w:b/>
          <w:lang w:val="en-AU" w:eastAsia="en-GB" w:bidi="ar-SA"/>
        </w:rPr>
      </w:pPr>
      <w:r w:rsidRPr="00432A42">
        <w:rPr>
          <w:b/>
        </w:rPr>
        <w:lastRenderedPageBreak/>
        <w:t>6.</w:t>
      </w:r>
      <w:r w:rsidRPr="00432A42">
        <w:rPr>
          <w:b/>
        </w:rPr>
        <w:tab/>
      </w:r>
      <w:r w:rsidR="006A5D40">
        <w:rPr>
          <w:b/>
          <w:lang w:val="en-AU" w:eastAsia="en-GB" w:bidi="ar-SA"/>
        </w:rPr>
        <w:t>Variation</w:t>
      </w:r>
    </w:p>
    <w:p w14:paraId="4D85887B" w14:textId="77777777" w:rsidR="00432A42" w:rsidRDefault="00432A42" w:rsidP="00432A42">
      <w:pPr>
        <w:rPr>
          <w:b/>
        </w:rPr>
      </w:pPr>
    </w:p>
    <w:p w14:paraId="4D85887C" w14:textId="77777777" w:rsidR="00306C16" w:rsidRDefault="00306C16" w:rsidP="00306C16">
      <w:pPr>
        <w:rPr>
          <w:lang w:val="en-AU"/>
        </w:rPr>
      </w:pPr>
      <w:r>
        <w:t>I</w:t>
      </w:r>
      <w:r w:rsidRPr="008F4BDF">
        <w:t xml:space="preserve">tem </w:t>
      </w:r>
      <w:r>
        <w:t>[1]</w:t>
      </w:r>
      <w:r w:rsidR="00C21CF7">
        <w:t xml:space="preserve"> of the Variation</w:t>
      </w:r>
      <w:r>
        <w:t xml:space="preserve"> insert</w:t>
      </w:r>
      <w:r w:rsidRPr="008F4BDF">
        <w:t>s</w:t>
      </w:r>
      <w:r>
        <w:t xml:space="preserve"> Item </w:t>
      </w:r>
      <w:r w:rsidR="00E73424">
        <w:t>2.22</w:t>
      </w:r>
      <w:r w:rsidRPr="008F4BDF">
        <w:t xml:space="preserve"> </w:t>
      </w:r>
      <w:r>
        <w:t>in</w:t>
      </w:r>
      <w:r w:rsidR="00E73424">
        <w:t>to</w:t>
      </w:r>
      <w:r>
        <w:t xml:space="preserve"> </w:t>
      </w:r>
      <w:r w:rsidRPr="008F4BDF">
        <w:t>the Schedule to Standard 1.5.</w:t>
      </w:r>
      <w:r>
        <w:t>2</w:t>
      </w:r>
      <w:r w:rsidR="00E73424">
        <w:t>. Item 2.22 refers to</w:t>
      </w:r>
      <w:r>
        <w:t xml:space="preserve"> </w:t>
      </w:r>
      <w:r w:rsidR="00E73424">
        <w:t>f</w:t>
      </w:r>
      <w:r w:rsidRPr="008F4BDF">
        <w:t>ood deriv</w:t>
      </w:r>
      <w:r>
        <w:t>ed from herbicide-tolerant and insect-protected corn line MON87411.</w:t>
      </w:r>
      <w:r>
        <w:rPr>
          <w:lang w:val="en-AU"/>
        </w:rPr>
        <w:t xml:space="preserve"> </w:t>
      </w:r>
    </w:p>
    <w:p w14:paraId="4D85887D" w14:textId="77777777" w:rsidR="00E73424" w:rsidRDefault="00E73424" w:rsidP="00306C16">
      <w:pPr>
        <w:rPr>
          <w:lang w:val="en-AU"/>
        </w:rPr>
      </w:pPr>
    </w:p>
    <w:bookmarkEnd w:id="110"/>
    <w:bookmarkEnd w:id="111"/>
    <w:p w14:paraId="4D85887E" w14:textId="77777777" w:rsidR="008143ED" w:rsidRDefault="008143ED">
      <w:pPr>
        <w:widowControl/>
        <w:rPr>
          <w:lang w:val="en-AU" w:eastAsia="en-GB" w:bidi="ar-SA"/>
        </w:rPr>
      </w:pPr>
      <w:r>
        <w:rPr>
          <w:lang w:val="en-AU" w:eastAsia="en-GB" w:bidi="ar-SA"/>
        </w:rPr>
        <w:br w:type="page"/>
      </w:r>
    </w:p>
    <w:p w14:paraId="4D85887F" w14:textId="45B9E9A8" w:rsidR="008143ED" w:rsidRDefault="008143ED" w:rsidP="008143ED">
      <w:pPr>
        <w:pStyle w:val="Heading2"/>
        <w:ind w:left="0" w:firstLine="0"/>
      </w:pPr>
      <w:bookmarkStart w:id="112" w:name="_Toc419907030"/>
      <w:r w:rsidRPr="00932F14">
        <w:lastRenderedPageBreak/>
        <w:t xml:space="preserve">Attachment </w:t>
      </w:r>
      <w:r w:rsidR="00ED70BB">
        <w:t>B</w:t>
      </w:r>
      <w:r>
        <w:t xml:space="preserve"> –</w:t>
      </w:r>
      <w:r w:rsidR="00A44B33">
        <w:t xml:space="preserve"> </w:t>
      </w:r>
      <w:r w:rsidR="00C21CF7">
        <w:t>Approved</w:t>
      </w:r>
      <w:r w:rsidR="00C21CF7" w:rsidRPr="00932F14">
        <w:t xml:space="preserve"> </w:t>
      </w:r>
      <w:r w:rsidR="00C21CF7">
        <w:t xml:space="preserve">draft </w:t>
      </w:r>
      <w:r w:rsidR="00C21CF7" w:rsidRPr="00932F14">
        <w:t>variation to the</w:t>
      </w:r>
      <w:r w:rsidR="00C21CF7" w:rsidRPr="00755F02">
        <w:t xml:space="preserve"> </w:t>
      </w:r>
      <w:r w:rsidR="00C21CF7">
        <w:t xml:space="preserve">revised </w:t>
      </w:r>
      <w:r w:rsidR="00C21CF7" w:rsidRPr="00795D86">
        <w:rPr>
          <w:i/>
        </w:rPr>
        <w:t>Australia New Zealand Food Standards Code</w:t>
      </w:r>
      <w:r w:rsidR="00A44B33">
        <w:rPr>
          <w:i/>
        </w:rPr>
        <w:t xml:space="preserve"> </w:t>
      </w:r>
      <w:r w:rsidR="00A44B33" w:rsidRPr="00ED70BB">
        <w:t>(commencing 1 March 2016)</w:t>
      </w:r>
      <w:bookmarkEnd w:id="112"/>
    </w:p>
    <w:p w14:paraId="056F0172" w14:textId="77777777" w:rsidR="00ED70BB" w:rsidRPr="00C0014E" w:rsidRDefault="00ED70BB" w:rsidP="00ED70BB">
      <w:pPr>
        <w:rPr>
          <w:noProof/>
          <w:sz w:val="20"/>
          <w:lang w:val="en-AU" w:eastAsia="en-AU"/>
        </w:rPr>
      </w:pPr>
      <w:r w:rsidRPr="00C0014E">
        <w:rPr>
          <w:noProof/>
          <w:sz w:val="20"/>
          <w:lang w:eastAsia="en-GB" w:bidi="ar-SA"/>
        </w:rPr>
        <w:drawing>
          <wp:inline distT="0" distB="0" distL="0" distR="0" wp14:anchorId="3D66A9D5" wp14:editId="268E2E3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E97357A" w14:textId="77777777" w:rsidR="00ED70BB" w:rsidRPr="006153A1" w:rsidRDefault="00ED70BB" w:rsidP="00ED70BB">
      <w:pPr>
        <w:pStyle w:val="Title"/>
        <w:pBdr>
          <w:bottom w:val="single" w:sz="4" w:space="1" w:color="auto"/>
        </w:pBdr>
        <w:rPr>
          <w:b w:val="0"/>
          <w:bCs w:val="0"/>
          <w:szCs w:val="20"/>
          <w:lang w:val="en-GB"/>
        </w:rPr>
      </w:pPr>
    </w:p>
    <w:p w14:paraId="59EB5299" w14:textId="0BFF0635" w:rsidR="00ED70BB" w:rsidRPr="00ED70BB" w:rsidRDefault="00ED70BB" w:rsidP="00ED70BB">
      <w:pPr>
        <w:pBdr>
          <w:bottom w:val="single" w:sz="4" w:space="1" w:color="auto"/>
        </w:pBdr>
        <w:rPr>
          <w:b/>
          <w:sz w:val="18"/>
        </w:rPr>
      </w:pPr>
      <w:r w:rsidRPr="00ED70BB">
        <w:rPr>
          <w:rFonts w:cs="Arial"/>
          <w:b/>
          <w:i/>
          <w:sz w:val="20"/>
          <w:szCs w:val="22"/>
        </w:rPr>
        <w:t xml:space="preserve">Food Standards Australia New Zealand Code </w:t>
      </w:r>
      <w:r>
        <w:rPr>
          <w:rFonts w:cs="Arial"/>
          <w:b/>
          <w:color w:val="000000"/>
          <w:sz w:val="20"/>
          <w:szCs w:val="22"/>
        </w:rPr>
        <w:t>–</w:t>
      </w:r>
      <w:r w:rsidRPr="00ED70BB">
        <w:rPr>
          <w:rFonts w:cs="Arial"/>
          <w:b/>
          <w:color w:val="000000"/>
          <w:sz w:val="20"/>
          <w:szCs w:val="22"/>
        </w:rPr>
        <w:t xml:space="preserve"> Transitional Variation</w:t>
      </w:r>
      <w:r w:rsidRPr="00ED70BB">
        <w:rPr>
          <w:rFonts w:cs="Arial"/>
          <w:b/>
          <w:sz w:val="20"/>
          <w:szCs w:val="22"/>
        </w:rPr>
        <w:t xml:space="preserve"> 2015 (Application A1097 – Food derived from Herbicide-tolerant and Insect-protected Corn Line MON87411)</w:t>
      </w:r>
    </w:p>
    <w:p w14:paraId="33CCAA26" w14:textId="77777777" w:rsidR="00ED70BB" w:rsidRPr="00C0014E" w:rsidRDefault="00ED70BB" w:rsidP="00ED70BB">
      <w:pPr>
        <w:pBdr>
          <w:bottom w:val="single" w:sz="4" w:space="1" w:color="auto"/>
        </w:pBdr>
        <w:rPr>
          <w:b/>
          <w:sz w:val="20"/>
        </w:rPr>
      </w:pPr>
    </w:p>
    <w:p w14:paraId="4DA8433A" w14:textId="77777777" w:rsidR="00ED70BB" w:rsidRPr="008F2616" w:rsidRDefault="00ED70BB" w:rsidP="00ED70BB">
      <w:pPr>
        <w:rPr>
          <w:sz w:val="20"/>
        </w:rPr>
      </w:pPr>
    </w:p>
    <w:p w14:paraId="4B27F697" w14:textId="77777777" w:rsidR="00ED70BB" w:rsidRPr="008F2616" w:rsidRDefault="00ED70BB" w:rsidP="00ED70BB">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572BD59F" w14:textId="77777777" w:rsidR="00ED70BB" w:rsidRPr="008F2616" w:rsidRDefault="00ED70BB" w:rsidP="00ED70BB">
      <w:pPr>
        <w:rPr>
          <w:sz w:val="20"/>
        </w:rPr>
      </w:pPr>
    </w:p>
    <w:p w14:paraId="47AF1BA3" w14:textId="77777777" w:rsidR="00ED70BB" w:rsidRPr="008F2616" w:rsidRDefault="00ED70BB" w:rsidP="00ED70BB">
      <w:pPr>
        <w:rPr>
          <w:sz w:val="20"/>
        </w:rPr>
      </w:pPr>
      <w:r w:rsidRPr="008F2616">
        <w:rPr>
          <w:sz w:val="20"/>
        </w:rPr>
        <w:t xml:space="preserve">Dated </w:t>
      </w:r>
      <w:r>
        <w:rPr>
          <w:sz w:val="20"/>
        </w:rPr>
        <w:t>[To be completed by Standards Management Officer]</w:t>
      </w:r>
    </w:p>
    <w:p w14:paraId="23C4251E" w14:textId="77777777" w:rsidR="00ED70BB" w:rsidRPr="008F2616" w:rsidRDefault="00ED70BB" w:rsidP="00ED70BB">
      <w:pPr>
        <w:rPr>
          <w:sz w:val="20"/>
        </w:rPr>
      </w:pPr>
    </w:p>
    <w:p w14:paraId="36D0AEC4" w14:textId="77777777" w:rsidR="00ED70BB" w:rsidRDefault="00ED70BB" w:rsidP="00ED70BB">
      <w:pPr>
        <w:rPr>
          <w:sz w:val="20"/>
        </w:rPr>
      </w:pPr>
    </w:p>
    <w:p w14:paraId="7ECD57E3" w14:textId="77777777" w:rsidR="00ED70BB" w:rsidRDefault="00ED70BB" w:rsidP="00ED70BB">
      <w:pPr>
        <w:rPr>
          <w:sz w:val="20"/>
        </w:rPr>
      </w:pPr>
    </w:p>
    <w:p w14:paraId="26B192A2" w14:textId="77777777" w:rsidR="00ED70BB" w:rsidRPr="008F2616" w:rsidRDefault="00ED70BB" w:rsidP="00ED70BB">
      <w:pPr>
        <w:rPr>
          <w:sz w:val="20"/>
        </w:rPr>
      </w:pPr>
    </w:p>
    <w:p w14:paraId="05530B60" w14:textId="77777777" w:rsidR="00ED70BB" w:rsidRPr="008F2616" w:rsidRDefault="00ED70BB" w:rsidP="00ED70BB">
      <w:pPr>
        <w:rPr>
          <w:sz w:val="20"/>
        </w:rPr>
      </w:pPr>
    </w:p>
    <w:p w14:paraId="5DE81008" w14:textId="77777777" w:rsidR="00ED70BB" w:rsidRPr="008F2616" w:rsidRDefault="00ED70BB" w:rsidP="00ED70BB">
      <w:pPr>
        <w:rPr>
          <w:sz w:val="20"/>
        </w:rPr>
      </w:pPr>
      <w:r w:rsidRPr="008F2616">
        <w:rPr>
          <w:sz w:val="20"/>
        </w:rPr>
        <w:t>Standards Management Officer</w:t>
      </w:r>
    </w:p>
    <w:p w14:paraId="2ABBD88D" w14:textId="77777777" w:rsidR="00ED70BB" w:rsidRPr="008F2616" w:rsidRDefault="00ED70BB" w:rsidP="00ED70BB">
      <w:pPr>
        <w:rPr>
          <w:sz w:val="20"/>
        </w:rPr>
      </w:pPr>
      <w:r w:rsidRPr="008F2616">
        <w:rPr>
          <w:sz w:val="20"/>
        </w:rPr>
        <w:t>Delegate of the Board of Food Standards Australia New Zealand</w:t>
      </w:r>
    </w:p>
    <w:p w14:paraId="036F644E" w14:textId="77777777" w:rsidR="00ED70BB" w:rsidRDefault="00ED70BB" w:rsidP="00ED70BB">
      <w:pPr>
        <w:rPr>
          <w:sz w:val="20"/>
        </w:rPr>
      </w:pPr>
    </w:p>
    <w:p w14:paraId="6367B7F6" w14:textId="77777777" w:rsidR="00ED70BB" w:rsidRDefault="00ED70BB" w:rsidP="00ED70BB">
      <w:pPr>
        <w:rPr>
          <w:sz w:val="20"/>
        </w:rPr>
      </w:pPr>
    </w:p>
    <w:p w14:paraId="1D0937FA" w14:textId="77777777" w:rsidR="00ED70BB" w:rsidRDefault="00ED70BB" w:rsidP="00ED70BB">
      <w:pPr>
        <w:rPr>
          <w:sz w:val="20"/>
        </w:rPr>
      </w:pPr>
    </w:p>
    <w:p w14:paraId="05B542F9" w14:textId="77777777" w:rsidR="00ED70BB" w:rsidRDefault="00ED70BB" w:rsidP="00ED70BB">
      <w:pPr>
        <w:rPr>
          <w:sz w:val="20"/>
        </w:rPr>
      </w:pPr>
    </w:p>
    <w:p w14:paraId="15D6F312" w14:textId="77777777" w:rsidR="00ED70BB" w:rsidRDefault="00ED70BB" w:rsidP="00ED70BB">
      <w:pPr>
        <w:rPr>
          <w:sz w:val="20"/>
        </w:rPr>
      </w:pPr>
    </w:p>
    <w:p w14:paraId="7237BE3F" w14:textId="77777777" w:rsidR="00ED70BB" w:rsidRPr="00574DE1" w:rsidRDefault="00ED70BB" w:rsidP="00ED70BB">
      <w:pPr>
        <w:pStyle w:val="EditorialNoteLine1"/>
        <w:rPr>
          <w:lang w:val="en-AU"/>
        </w:rPr>
      </w:pPr>
      <w:r w:rsidRPr="00574DE1">
        <w:rPr>
          <w:lang w:val="en-AU"/>
        </w:rPr>
        <w:t xml:space="preserve">Note:  </w:t>
      </w:r>
    </w:p>
    <w:p w14:paraId="5F8A6661" w14:textId="77777777" w:rsidR="00ED70BB" w:rsidRPr="00574DE1" w:rsidRDefault="00ED70BB" w:rsidP="00ED70BB">
      <w:pPr>
        <w:pStyle w:val="EditorialNotetext"/>
        <w:rPr>
          <w:lang w:val="en-AU"/>
        </w:rPr>
      </w:pPr>
    </w:p>
    <w:p w14:paraId="5B867BDE" w14:textId="77777777" w:rsidR="00ED70BB" w:rsidRDefault="00ED70BB" w:rsidP="00ED70BB">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14:paraId="514ACB50" w14:textId="77777777" w:rsidR="00ED70BB" w:rsidRDefault="00ED70BB" w:rsidP="00ED70BB">
      <w:pPr>
        <w:rPr>
          <w:sz w:val="20"/>
        </w:rPr>
      </w:pPr>
    </w:p>
    <w:p w14:paraId="6097D4AB" w14:textId="77777777" w:rsidR="00ED70BB" w:rsidRDefault="00ED70BB" w:rsidP="00C21CF7">
      <w:pPr>
        <w:pStyle w:val="HR"/>
        <w:rPr>
          <w:rFonts w:cs="Arial"/>
          <w:sz w:val="22"/>
          <w:szCs w:val="22"/>
        </w:rPr>
      </w:pPr>
      <w:r>
        <w:rPr>
          <w:rFonts w:cs="Arial"/>
          <w:sz w:val="22"/>
          <w:szCs w:val="22"/>
        </w:rPr>
        <w:br w:type="page"/>
      </w:r>
    </w:p>
    <w:p w14:paraId="4D858883" w14:textId="21AFE84A" w:rsidR="00C21CF7" w:rsidRDefault="00C21CF7" w:rsidP="00ED70BB">
      <w:pPr>
        <w:pStyle w:val="HR"/>
        <w:spacing w:before="0"/>
        <w:ind w:left="0" w:firstLine="0"/>
        <w:rPr>
          <w:rFonts w:cs="Arial"/>
          <w:sz w:val="20"/>
          <w:szCs w:val="20"/>
        </w:rPr>
      </w:pPr>
      <w:r w:rsidRPr="00ED70BB">
        <w:rPr>
          <w:rFonts w:cs="Arial"/>
          <w:sz w:val="20"/>
          <w:szCs w:val="20"/>
        </w:rPr>
        <w:lastRenderedPageBreak/>
        <w:t>1</w:t>
      </w:r>
      <w:r w:rsidRPr="00ED70BB">
        <w:rPr>
          <w:rFonts w:cs="Arial"/>
          <w:sz w:val="20"/>
          <w:szCs w:val="20"/>
        </w:rPr>
        <w:tab/>
        <w:t>Name of instrument</w:t>
      </w:r>
    </w:p>
    <w:p w14:paraId="3F906643" w14:textId="77777777" w:rsidR="00ED70BB" w:rsidRPr="00ED70BB" w:rsidRDefault="00ED70BB" w:rsidP="00ED70BB">
      <w:pPr>
        <w:pStyle w:val="R1"/>
      </w:pPr>
    </w:p>
    <w:p w14:paraId="4D858884" w14:textId="30A6EAB3" w:rsidR="00C21CF7" w:rsidRDefault="00C21CF7" w:rsidP="00ED70BB">
      <w:pPr>
        <w:pStyle w:val="R1"/>
        <w:spacing w:before="0"/>
        <w:ind w:left="0" w:firstLine="0"/>
        <w:jc w:val="left"/>
        <w:rPr>
          <w:i/>
          <w:sz w:val="20"/>
          <w:szCs w:val="20"/>
        </w:rPr>
      </w:pPr>
      <w:r w:rsidRPr="00ED70BB">
        <w:rPr>
          <w:rFonts w:ascii="Arial" w:hAnsi="Arial" w:cs="Arial"/>
          <w:sz w:val="20"/>
          <w:szCs w:val="20"/>
        </w:rPr>
        <w:tab/>
        <w:t xml:space="preserve">This instrument is the </w:t>
      </w:r>
      <w:r w:rsidRPr="00ED70BB">
        <w:rPr>
          <w:rFonts w:ascii="Arial" w:hAnsi="Arial" w:cs="Arial"/>
          <w:i/>
          <w:sz w:val="20"/>
          <w:szCs w:val="20"/>
        </w:rPr>
        <w:t xml:space="preserve">Food Standards Australia New Zealand Code </w:t>
      </w:r>
      <w:r w:rsidR="00ED70BB">
        <w:rPr>
          <w:rFonts w:ascii="Arial" w:hAnsi="Arial" w:cs="Arial"/>
          <w:i/>
          <w:color w:val="000000"/>
          <w:sz w:val="20"/>
          <w:szCs w:val="20"/>
        </w:rPr>
        <w:t>–</w:t>
      </w:r>
      <w:r w:rsidR="00A44B33" w:rsidRPr="00ED70BB">
        <w:rPr>
          <w:rFonts w:ascii="Arial" w:hAnsi="Arial" w:cs="Arial"/>
          <w:i/>
          <w:color w:val="000000"/>
          <w:sz w:val="20"/>
          <w:szCs w:val="20"/>
        </w:rPr>
        <w:t xml:space="preserve"> </w:t>
      </w:r>
      <w:r w:rsidRPr="00ED70BB">
        <w:rPr>
          <w:rFonts w:ascii="Arial" w:hAnsi="Arial" w:cs="Arial"/>
          <w:i/>
          <w:color w:val="000000"/>
          <w:sz w:val="20"/>
          <w:szCs w:val="20"/>
          <w:lang w:val="en-GB"/>
        </w:rPr>
        <w:t>Transitional Variation</w:t>
      </w:r>
      <w:r w:rsidRPr="00ED70BB">
        <w:rPr>
          <w:rFonts w:ascii="Arial" w:hAnsi="Arial" w:cs="Arial"/>
          <w:i/>
          <w:sz w:val="20"/>
          <w:szCs w:val="20"/>
        </w:rPr>
        <w:t xml:space="preserve"> 2015 (Application A1097 – Food derived from Herbicide-tolerant and Insect-protected Corn Line MON87411)</w:t>
      </w:r>
      <w:r w:rsidRPr="00ED70BB">
        <w:rPr>
          <w:i/>
          <w:sz w:val="20"/>
          <w:szCs w:val="20"/>
        </w:rPr>
        <w:t xml:space="preserve"> </w:t>
      </w:r>
    </w:p>
    <w:p w14:paraId="71464A8D" w14:textId="77777777" w:rsidR="00ED70BB" w:rsidRPr="00ED70BB" w:rsidRDefault="00ED70BB" w:rsidP="00ED70BB">
      <w:pPr>
        <w:rPr>
          <w:lang w:val="en-AU" w:eastAsia="en-AU" w:bidi="ar-SA"/>
        </w:rPr>
      </w:pPr>
    </w:p>
    <w:p w14:paraId="4D858885" w14:textId="77777777" w:rsidR="00C21CF7" w:rsidRDefault="00C21CF7" w:rsidP="00ED70BB">
      <w:pPr>
        <w:pStyle w:val="HR"/>
        <w:spacing w:before="0"/>
        <w:ind w:left="0" w:firstLine="0"/>
        <w:rPr>
          <w:rFonts w:cs="Arial"/>
          <w:sz w:val="20"/>
          <w:szCs w:val="20"/>
        </w:rPr>
      </w:pPr>
      <w:r w:rsidRPr="00ED70BB">
        <w:rPr>
          <w:rFonts w:cs="Arial"/>
          <w:sz w:val="20"/>
          <w:szCs w:val="20"/>
        </w:rPr>
        <w:t>2</w:t>
      </w:r>
      <w:r w:rsidRPr="00ED70BB">
        <w:rPr>
          <w:rFonts w:cs="Arial"/>
          <w:sz w:val="20"/>
          <w:szCs w:val="20"/>
        </w:rPr>
        <w:tab/>
        <w:t>Commencement</w:t>
      </w:r>
    </w:p>
    <w:p w14:paraId="0E86A906" w14:textId="77777777" w:rsidR="00ED70BB" w:rsidRPr="00ED70BB" w:rsidRDefault="00ED70BB" w:rsidP="00ED70BB">
      <w:pPr>
        <w:pStyle w:val="R1"/>
      </w:pPr>
    </w:p>
    <w:p w14:paraId="4D858886" w14:textId="68C739FD" w:rsidR="00C21CF7" w:rsidRDefault="00C21CF7" w:rsidP="00ED70BB">
      <w:pPr>
        <w:pStyle w:val="R1"/>
        <w:spacing w:before="0"/>
        <w:ind w:left="0" w:firstLine="0"/>
        <w:jc w:val="left"/>
        <w:rPr>
          <w:rFonts w:ascii="Arial" w:hAnsi="Arial" w:cs="Arial"/>
          <w:sz w:val="20"/>
          <w:szCs w:val="20"/>
        </w:rPr>
      </w:pPr>
      <w:r w:rsidRPr="00ED70BB">
        <w:rPr>
          <w:rFonts w:ascii="Arial" w:hAnsi="Arial" w:cs="Arial"/>
          <w:sz w:val="20"/>
          <w:szCs w:val="20"/>
        </w:rPr>
        <w:tab/>
      </w:r>
      <w:r w:rsidR="006157BE" w:rsidRPr="00ED70BB">
        <w:rPr>
          <w:rFonts w:ascii="Arial" w:hAnsi="Arial" w:cs="Arial"/>
          <w:sz w:val="20"/>
          <w:szCs w:val="20"/>
        </w:rPr>
        <w:t>This instrument commences on 1 March 2016 immediately after the commencement of Standard 5.1.1 – Revocation and transitional provisions — 2014 Revision</w:t>
      </w:r>
      <w:r w:rsidRPr="00ED70BB">
        <w:rPr>
          <w:rFonts w:ascii="Arial" w:hAnsi="Arial" w:cs="Arial"/>
          <w:sz w:val="20"/>
          <w:szCs w:val="20"/>
        </w:rPr>
        <w:t>.</w:t>
      </w:r>
    </w:p>
    <w:p w14:paraId="752A09CF" w14:textId="77777777" w:rsidR="00ED70BB" w:rsidRPr="00ED70BB" w:rsidRDefault="00ED70BB" w:rsidP="00ED70BB">
      <w:pPr>
        <w:rPr>
          <w:lang w:val="en-AU" w:eastAsia="en-AU" w:bidi="ar-SA"/>
        </w:rPr>
      </w:pPr>
    </w:p>
    <w:p w14:paraId="4D858887" w14:textId="77777777" w:rsidR="00C21CF7" w:rsidRDefault="00C21CF7" w:rsidP="00ED70BB">
      <w:pPr>
        <w:pStyle w:val="HR"/>
        <w:spacing w:before="0"/>
        <w:ind w:left="0" w:firstLine="0"/>
        <w:rPr>
          <w:rFonts w:cs="Arial"/>
          <w:sz w:val="20"/>
          <w:szCs w:val="20"/>
        </w:rPr>
      </w:pPr>
      <w:r w:rsidRPr="00ED70BB">
        <w:rPr>
          <w:rFonts w:cs="Arial"/>
          <w:sz w:val="20"/>
          <w:szCs w:val="20"/>
        </w:rPr>
        <w:t>3</w:t>
      </w:r>
      <w:r w:rsidRPr="00ED70BB">
        <w:rPr>
          <w:rFonts w:cs="Arial"/>
          <w:sz w:val="20"/>
          <w:szCs w:val="20"/>
        </w:rPr>
        <w:tab/>
        <w:t>Variation of Schedule 26</w:t>
      </w:r>
    </w:p>
    <w:p w14:paraId="3E089F6A" w14:textId="77777777" w:rsidR="00ED70BB" w:rsidRPr="00ED70BB" w:rsidRDefault="00ED70BB" w:rsidP="00ED70BB">
      <w:pPr>
        <w:pStyle w:val="R1"/>
      </w:pPr>
    </w:p>
    <w:p w14:paraId="4D858888" w14:textId="00C12C55" w:rsidR="00C21CF7" w:rsidRDefault="00C21CF7" w:rsidP="00ED70BB">
      <w:pPr>
        <w:pStyle w:val="R1"/>
        <w:spacing w:before="0"/>
        <w:ind w:left="0" w:firstLine="0"/>
        <w:jc w:val="left"/>
        <w:rPr>
          <w:rFonts w:ascii="Arial" w:hAnsi="Arial" w:cs="Arial"/>
          <w:sz w:val="20"/>
          <w:szCs w:val="20"/>
        </w:rPr>
      </w:pPr>
      <w:r w:rsidRPr="00ED70BB">
        <w:rPr>
          <w:rFonts w:ascii="Arial" w:hAnsi="Arial" w:cs="Arial"/>
          <w:sz w:val="20"/>
          <w:szCs w:val="20"/>
        </w:rPr>
        <w:tab/>
        <w:t xml:space="preserve">Schedule 1 varies Schedule 26 of the </w:t>
      </w:r>
      <w:r w:rsidRPr="00ED70BB">
        <w:rPr>
          <w:rFonts w:ascii="Arial" w:hAnsi="Arial" w:cs="Arial"/>
          <w:i/>
          <w:sz w:val="20"/>
          <w:szCs w:val="20"/>
        </w:rPr>
        <w:t>Australia New Zealand Food Standards Code</w:t>
      </w:r>
      <w:r w:rsidRPr="00ED70BB">
        <w:rPr>
          <w:rFonts w:ascii="Arial" w:hAnsi="Arial" w:cs="Arial"/>
          <w:sz w:val="20"/>
          <w:szCs w:val="20"/>
        </w:rPr>
        <w:t xml:space="preserve"> – Food produced using gene technology.</w:t>
      </w:r>
    </w:p>
    <w:p w14:paraId="3918A00F" w14:textId="77777777" w:rsidR="00ED70BB" w:rsidRPr="00ED70BB" w:rsidRDefault="00ED70BB" w:rsidP="00ED70BB">
      <w:pPr>
        <w:rPr>
          <w:lang w:val="en-AU" w:eastAsia="en-AU" w:bidi="ar-SA"/>
        </w:rPr>
      </w:pPr>
    </w:p>
    <w:p w14:paraId="4D85888A" w14:textId="77777777" w:rsidR="00C21CF7" w:rsidRPr="00ED70BB" w:rsidRDefault="00C21CF7" w:rsidP="00ED70BB">
      <w:pPr>
        <w:pStyle w:val="Scheduletitle"/>
        <w:spacing w:before="0"/>
        <w:rPr>
          <w:rFonts w:cs="Arial"/>
          <w:color w:val="000000" w:themeColor="text1"/>
          <w:sz w:val="20"/>
          <w:szCs w:val="20"/>
        </w:rPr>
      </w:pPr>
      <w:r w:rsidRPr="00ED70BB">
        <w:rPr>
          <w:rFonts w:cs="Arial"/>
          <w:color w:val="000000" w:themeColor="text1"/>
          <w:sz w:val="20"/>
          <w:szCs w:val="20"/>
        </w:rPr>
        <w:t>Schedule 1</w:t>
      </w:r>
      <w:r w:rsidRPr="00ED70BB">
        <w:rPr>
          <w:rFonts w:cs="Arial"/>
          <w:color w:val="000000" w:themeColor="text1"/>
          <w:sz w:val="20"/>
          <w:szCs w:val="20"/>
        </w:rPr>
        <w:tab/>
        <w:t>Variation of Schedule 26</w:t>
      </w:r>
    </w:p>
    <w:p w14:paraId="4D85888B" w14:textId="77777777" w:rsidR="00C21CF7" w:rsidRPr="008E52EA" w:rsidRDefault="00C21CF7" w:rsidP="00ED70BB">
      <w:pPr>
        <w:pStyle w:val="nDrafterComment"/>
        <w:spacing w:before="0"/>
        <w:rPr>
          <w:rFonts w:cs="Arial"/>
          <w:bCs/>
          <w:color w:val="000000" w:themeColor="text1"/>
          <w:szCs w:val="22"/>
        </w:rPr>
      </w:pPr>
    </w:p>
    <w:p w14:paraId="4D85888C" w14:textId="6345FA55" w:rsidR="00C21CF7" w:rsidRPr="00ED70BB" w:rsidRDefault="00C21CF7" w:rsidP="00ED70BB">
      <w:pPr>
        <w:rPr>
          <w:sz w:val="20"/>
        </w:rPr>
      </w:pPr>
      <w:r w:rsidRPr="00ED70BB">
        <w:rPr>
          <w:b/>
          <w:bCs/>
          <w:sz w:val="20"/>
        </w:rPr>
        <w:t>[1]</w:t>
      </w:r>
      <w:r w:rsidR="00ED70BB" w:rsidRPr="00ED70BB">
        <w:rPr>
          <w:bCs/>
          <w:sz w:val="20"/>
        </w:rPr>
        <w:tab/>
      </w:r>
      <w:r w:rsidR="00A44B33" w:rsidRPr="00ED70BB">
        <w:rPr>
          <w:sz w:val="20"/>
        </w:rPr>
        <w:t>Table to section S26</w:t>
      </w:r>
      <w:r w:rsidR="00A44B33" w:rsidRPr="00ED70BB">
        <w:rPr>
          <w:i/>
          <w:color w:val="000000"/>
          <w:sz w:val="20"/>
        </w:rPr>
        <w:t>—</w:t>
      </w:r>
      <w:r w:rsidR="00507C3A" w:rsidRPr="00ED70BB">
        <w:rPr>
          <w:sz w:val="20"/>
        </w:rPr>
        <w:t>3</w:t>
      </w:r>
    </w:p>
    <w:p w14:paraId="4D85888E" w14:textId="77777777" w:rsidR="00C21CF7" w:rsidRDefault="00507C3A" w:rsidP="00C21CF7">
      <w:pPr>
        <w:pStyle w:val="t1Main"/>
        <w:rPr>
          <w:rFonts w:ascii="Arial" w:hAnsi="Arial" w:cs="Arial"/>
          <w:color w:val="000000" w:themeColor="text1"/>
          <w:sz w:val="20"/>
          <w:szCs w:val="20"/>
        </w:rPr>
      </w:pPr>
      <w:r w:rsidRPr="00ED70BB">
        <w:rPr>
          <w:rFonts w:ascii="Arial" w:hAnsi="Arial" w:cs="Arial"/>
          <w:color w:val="000000" w:themeColor="text1"/>
          <w:sz w:val="20"/>
          <w:szCs w:val="20"/>
        </w:rPr>
        <w:t xml:space="preserve">Under the entry for </w:t>
      </w:r>
      <w:r w:rsidR="00207B78" w:rsidRPr="00ED70BB">
        <w:rPr>
          <w:rFonts w:ascii="Arial" w:hAnsi="Arial" w:cs="Arial"/>
          <w:color w:val="000000" w:themeColor="text1"/>
          <w:sz w:val="20"/>
          <w:szCs w:val="20"/>
        </w:rPr>
        <w:t>“</w:t>
      </w:r>
      <w:r w:rsidRPr="00ED70BB">
        <w:rPr>
          <w:rFonts w:ascii="Arial" w:hAnsi="Arial" w:cs="Arial"/>
          <w:color w:val="000000" w:themeColor="text1"/>
          <w:sz w:val="20"/>
          <w:szCs w:val="20"/>
        </w:rPr>
        <w:t>Corn</w:t>
      </w:r>
      <w:r w:rsidR="00207B78" w:rsidRPr="00ED70BB">
        <w:rPr>
          <w:rFonts w:ascii="Arial" w:hAnsi="Arial" w:cs="Arial"/>
          <w:color w:val="000000" w:themeColor="text1"/>
          <w:sz w:val="20"/>
          <w:szCs w:val="20"/>
        </w:rPr>
        <w:t>”</w:t>
      </w:r>
      <w:r w:rsidRPr="00ED70BB">
        <w:rPr>
          <w:rFonts w:ascii="Arial" w:hAnsi="Arial" w:cs="Arial"/>
          <w:color w:val="000000" w:themeColor="text1"/>
          <w:sz w:val="20"/>
          <w:szCs w:val="20"/>
        </w:rPr>
        <w:t>, i</w:t>
      </w:r>
      <w:r w:rsidR="00C21CF7" w:rsidRPr="00ED70BB">
        <w:rPr>
          <w:rFonts w:ascii="Arial" w:hAnsi="Arial" w:cs="Arial"/>
          <w:color w:val="000000" w:themeColor="text1"/>
          <w:sz w:val="20"/>
          <w:szCs w:val="20"/>
        </w:rPr>
        <w:t xml:space="preserve">nsert after </w:t>
      </w:r>
      <w:r w:rsidRPr="00ED70BB">
        <w:rPr>
          <w:rFonts w:ascii="Arial" w:hAnsi="Arial" w:cs="Arial"/>
          <w:color w:val="000000" w:themeColor="text1"/>
          <w:sz w:val="20"/>
          <w:szCs w:val="20"/>
        </w:rPr>
        <w:t>i</w:t>
      </w:r>
      <w:r w:rsidR="00C21CF7" w:rsidRPr="00ED70BB">
        <w:rPr>
          <w:rFonts w:ascii="Arial" w:hAnsi="Arial" w:cs="Arial"/>
          <w:color w:val="000000" w:themeColor="text1"/>
          <w:sz w:val="20"/>
          <w:szCs w:val="20"/>
        </w:rPr>
        <w:t xml:space="preserve">tem (u) </w:t>
      </w:r>
    </w:p>
    <w:p w14:paraId="12D98EBA" w14:textId="18462BDA" w:rsidR="00ED70BB" w:rsidRDefault="00ED70BB" w:rsidP="00ED70BB">
      <w:pPr>
        <w:pStyle w:val="t1Main"/>
        <w:spacing w:before="0" w:after="0" w:line="240" w:lineRule="auto"/>
        <w:rPr>
          <w:rFonts w:ascii="Arial" w:hAnsi="Arial" w:cs="Arial"/>
          <w:color w:val="000000" w:themeColor="text1"/>
          <w:sz w:val="20"/>
          <w:szCs w:val="20"/>
        </w:rPr>
      </w:pPr>
      <w:r>
        <w:rPr>
          <w:rFonts w:ascii="Arial" w:hAnsi="Arial" w:cs="Arial"/>
          <w:color w:val="000000" w:themeColor="text1"/>
          <w:sz w:val="20"/>
          <w:szCs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ED70BB" w:rsidRPr="00D71F3E" w14:paraId="355D6395" w14:textId="77777777" w:rsidTr="00ED70BB">
        <w:trPr>
          <w:cantSplit/>
        </w:trPr>
        <w:tc>
          <w:tcPr>
            <w:tcW w:w="903" w:type="dxa"/>
          </w:tcPr>
          <w:p w14:paraId="22D644D3" w14:textId="295DE9A8" w:rsidR="00ED70BB" w:rsidRPr="005D0A86" w:rsidRDefault="00ED70BB" w:rsidP="00ED70BB">
            <w:pPr>
              <w:pStyle w:val="FSCtblAMain"/>
              <w:rPr>
                <w:b/>
              </w:rPr>
            </w:pPr>
          </w:p>
        </w:tc>
        <w:tc>
          <w:tcPr>
            <w:tcW w:w="1190" w:type="dxa"/>
          </w:tcPr>
          <w:p w14:paraId="111B230E" w14:textId="77777777" w:rsidR="00ED70BB" w:rsidRPr="005D0A86" w:rsidRDefault="00ED70BB" w:rsidP="00ED70BB">
            <w:pPr>
              <w:pStyle w:val="FSCtblAMain"/>
              <w:rPr>
                <w:b/>
              </w:rPr>
            </w:pPr>
          </w:p>
        </w:tc>
        <w:tc>
          <w:tcPr>
            <w:tcW w:w="6979" w:type="dxa"/>
          </w:tcPr>
          <w:p w14:paraId="591C7FBD" w14:textId="620D0AA3" w:rsidR="00ED70BB" w:rsidRPr="00D71F3E" w:rsidRDefault="00ED70BB" w:rsidP="00ED70BB">
            <w:pPr>
              <w:pStyle w:val="FSCtblAPara"/>
            </w:pPr>
            <w:r w:rsidRPr="00D71F3E">
              <w:t>(</w:t>
            </w:r>
            <w:r>
              <w:t>v</w:t>
            </w:r>
            <w:r w:rsidRPr="00D71F3E">
              <w:t>)</w:t>
            </w:r>
            <w:r>
              <w:t xml:space="preserve"> </w:t>
            </w:r>
            <w:r w:rsidRPr="001D1563">
              <w:rPr>
                <w:lang w:val="en-GB"/>
              </w:rPr>
              <w:tab/>
            </w:r>
            <w:r w:rsidRPr="00ED70BB">
              <w:rPr>
                <w:sz w:val="20"/>
                <w:szCs w:val="20"/>
              </w:rPr>
              <w:t>herbicide-tolerant and insect-protected corn line MON87411</w:t>
            </w:r>
            <w:r>
              <w:rPr>
                <w:sz w:val="20"/>
                <w:szCs w:val="20"/>
              </w:rPr>
              <w:t>”</w:t>
            </w:r>
          </w:p>
        </w:tc>
      </w:tr>
    </w:tbl>
    <w:p w14:paraId="4D858890" w14:textId="4FC13BF6" w:rsidR="00C21CF7" w:rsidRPr="00ED70BB" w:rsidRDefault="00ED70BB" w:rsidP="00ED70BB">
      <w:pPr>
        <w:pStyle w:val="TablePlainParagraph"/>
        <w:tabs>
          <w:tab w:val="left" w:pos="360"/>
          <w:tab w:val="left" w:pos="1980"/>
          <w:tab w:val="left" w:pos="2520"/>
        </w:tabs>
        <w:spacing w:before="0" w:after="0" w:line="240" w:lineRule="auto"/>
        <w:jc w:val="right"/>
        <w:rPr>
          <w:color w:val="000000"/>
          <w:szCs w:val="20"/>
        </w:rPr>
      </w:pPr>
      <w:r>
        <w:rPr>
          <w:color w:val="000000" w:themeColor="text1"/>
          <w:szCs w:val="20"/>
        </w:rPr>
        <w:t>”</w:t>
      </w:r>
    </w:p>
    <w:p w14:paraId="4D858891" w14:textId="77777777" w:rsidR="00C21CF7" w:rsidRPr="00ED70BB" w:rsidRDefault="00C21CF7" w:rsidP="000576EB">
      <w:pPr>
        <w:rPr>
          <w:rFonts w:cs="Arial"/>
          <w:b/>
          <w:bCs/>
          <w:sz w:val="20"/>
          <w:szCs w:val="20"/>
          <w:lang w:bidi="ar-SA"/>
        </w:rPr>
      </w:pPr>
    </w:p>
    <w:p w14:paraId="4D858892" w14:textId="77777777" w:rsidR="00C21CF7" w:rsidRDefault="00C21CF7">
      <w:pPr>
        <w:widowControl/>
        <w:rPr>
          <w:rFonts w:cs="Arial"/>
          <w:b/>
          <w:bCs/>
          <w:sz w:val="28"/>
          <w:szCs w:val="22"/>
          <w:lang w:bidi="ar-SA"/>
        </w:rPr>
      </w:pPr>
      <w:r>
        <w:rPr>
          <w:rFonts w:cs="Arial"/>
          <w:b/>
          <w:bCs/>
          <w:sz w:val="28"/>
          <w:szCs w:val="22"/>
          <w:lang w:bidi="ar-SA"/>
        </w:rPr>
        <w:br w:type="page"/>
      </w:r>
    </w:p>
    <w:p w14:paraId="4D858893" w14:textId="4CE9F537" w:rsidR="00C21CF7" w:rsidRDefault="00C21CF7" w:rsidP="00C21CF7">
      <w:pPr>
        <w:pStyle w:val="Heading2"/>
        <w:ind w:left="0" w:firstLine="0"/>
      </w:pPr>
      <w:bookmarkStart w:id="113" w:name="_Toc419907031"/>
      <w:r>
        <w:lastRenderedPageBreak/>
        <w:t>Explanatory Statement</w:t>
      </w:r>
      <w:bookmarkEnd w:id="113"/>
    </w:p>
    <w:p w14:paraId="4D858894" w14:textId="77777777" w:rsidR="00C21CF7" w:rsidRPr="00306C16" w:rsidRDefault="00C21CF7" w:rsidP="00C21CF7">
      <w:pPr>
        <w:rPr>
          <w:b/>
          <w:color w:val="000000" w:themeColor="text1"/>
          <w:lang w:val="en-AU" w:eastAsia="en-GB" w:bidi="ar-SA"/>
        </w:rPr>
      </w:pPr>
      <w:r w:rsidRPr="00306C16">
        <w:rPr>
          <w:b/>
          <w:color w:val="000000" w:themeColor="text1"/>
          <w:lang w:val="en-AU" w:eastAsia="en-GB" w:bidi="ar-SA"/>
        </w:rPr>
        <w:t>1.</w:t>
      </w:r>
      <w:r w:rsidRPr="00306C16">
        <w:rPr>
          <w:b/>
          <w:color w:val="000000" w:themeColor="text1"/>
          <w:lang w:val="en-AU" w:eastAsia="en-GB" w:bidi="ar-SA"/>
        </w:rPr>
        <w:tab/>
        <w:t>Authority</w:t>
      </w:r>
    </w:p>
    <w:p w14:paraId="4D858895" w14:textId="77777777" w:rsidR="00C21CF7" w:rsidRPr="00306C16" w:rsidRDefault="00C21CF7" w:rsidP="00C21CF7">
      <w:pPr>
        <w:rPr>
          <w:color w:val="000000" w:themeColor="text1"/>
          <w:lang w:val="en-AU" w:eastAsia="en-GB" w:bidi="ar-SA"/>
        </w:rPr>
      </w:pPr>
    </w:p>
    <w:p w14:paraId="4D858896" w14:textId="77777777" w:rsidR="00C21CF7" w:rsidRPr="00306C16" w:rsidRDefault="00C21CF7" w:rsidP="00C21CF7">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Section 13 of the </w:t>
      </w:r>
      <w:r w:rsidRPr="00306C16">
        <w:rPr>
          <w:rFonts w:eastAsia="Calibri" w:cs="Arial"/>
          <w:bCs/>
          <w:i/>
          <w:color w:val="000000" w:themeColor="text1"/>
          <w:szCs w:val="22"/>
          <w:lang w:val="en-AU" w:bidi="ar-SA"/>
        </w:rPr>
        <w:t>Food Standards Australia New Zealand Act 1991</w:t>
      </w:r>
      <w:r w:rsidRPr="00306C16">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306C16">
        <w:rPr>
          <w:rFonts w:eastAsia="Calibri" w:cs="Arial"/>
          <w:bCs/>
          <w:i/>
          <w:color w:val="000000" w:themeColor="text1"/>
          <w:szCs w:val="22"/>
          <w:lang w:val="en-AU" w:bidi="ar-SA"/>
        </w:rPr>
        <w:t>Australia New Zealand Food Standards Code</w:t>
      </w:r>
      <w:r w:rsidRPr="00306C16">
        <w:rPr>
          <w:rFonts w:eastAsia="Calibri" w:cs="Arial"/>
          <w:bCs/>
          <w:color w:val="000000" w:themeColor="text1"/>
          <w:szCs w:val="22"/>
          <w:lang w:val="en-AU" w:bidi="ar-SA"/>
        </w:rPr>
        <w:t xml:space="preserve"> (the Code).</w:t>
      </w:r>
    </w:p>
    <w:p w14:paraId="4D858897" w14:textId="77777777" w:rsidR="00C21CF7" w:rsidRPr="00306C16" w:rsidRDefault="00C21CF7" w:rsidP="00C21CF7">
      <w:pPr>
        <w:widowControl/>
        <w:autoSpaceDE w:val="0"/>
        <w:autoSpaceDN w:val="0"/>
        <w:adjustRightInd w:val="0"/>
        <w:rPr>
          <w:rFonts w:eastAsia="Calibri" w:cs="Arial"/>
          <w:bCs/>
          <w:color w:val="000000" w:themeColor="text1"/>
          <w:szCs w:val="22"/>
          <w:lang w:val="en-AU" w:bidi="ar-SA"/>
        </w:rPr>
      </w:pPr>
    </w:p>
    <w:p w14:paraId="4D858898" w14:textId="77777777" w:rsidR="00C21CF7" w:rsidRPr="00306C16" w:rsidRDefault="00C21CF7" w:rsidP="00C21CF7">
      <w:pPr>
        <w:widowControl/>
        <w:autoSpaceDE w:val="0"/>
        <w:autoSpaceDN w:val="0"/>
        <w:adjustRightInd w:val="0"/>
        <w:rPr>
          <w:rFonts w:eastAsia="Calibri" w:cs="Arial"/>
          <w:bCs/>
          <w:color w:val="000000" w:themeColor="text1"/>
          <w:szCs w:val="22"/>
          <w:lang w:val="en-AU" w:bidi="ar-SA"/>
        </w:rPr>
      </w:pPr>
      <w:r w:rsidRPr="00306C16">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D858899" w14:textId="77777777" w:rsidR="00C21CF7" w:rsidRPr="00306C16" w:rsidRDefault="00C21CF7" w:rsidP="00C21CF7">
      <w:pPr>
        <w:widowControl/>
        <w:autoSpaceDE w:val="0"/>
        <w:autoSpaceDN w:val="0"/>
        <w:adjustRightInd w:val="0"/>
        <w:rPr>
          <w:rFonts w:eastAsia="Calibri" w:cs="Arial"/>
          <w:bCs/>
          <w:color w:val="000000" w:themeColor="text1"/>
          <w:szCs w:val="22"/>
          <w:lang w:val="en-AU" w:bidi="ar-SA"/>
        </w:rPr>
      </w:pPr>
    </w:p>
    <w:p w14:paraId="4D85889A" w14:textId="77777777" w:rsidR="00C21CF7" w:rsidRPr="00306C16" w:rsidRDefault="00C21CF7" w:rsidP="00C21CF7">
      <w:pPr>
        <w:autoSpaceDE w:val="0"/>
        <w:autoSpaceDN w:val="0"/>
        <w:adjustRightInd w:val="0"/>
        <w:rPr>
          <w:rFonts w:eastAsia="Calibri" w:cs="Arial"/>
          <w:bCs/>
          <w:color w:val="000000" w:themeColor="text1"/>
          <w:lang w:val="en-AU"/>
        </w:rPr>
      </w:pPr>
      <w:r w:rsidRPr="00306C16">
        <w:rPr>
          <w:rFonts w:eastAsia="Calibri" w:cs="Arial"/>
          <w:bCs/>
          <w:color w:val="000000" w:themeColor="text1"/>
          <w:lang w:val="en-AU"/>
        </w:rPr>
        <w:t xml:space="preserve">FSANZ accepted Application A1097 which seeks </w:t>
      </w:r>
      <w:r w:rsidRPr="00306C16">
        <w:rPr>
          <w:color w:val="000000" w:themeColor="text1"/>
        </w:rPr>
        <w:t>permission for the sale and use of food derived from herbicide-tolerant and insect-protected corn line</w:t>
      </w:r>
      <w:r w:rsidRPr="00306C16">
        <w:rPr>
          <w:rFonts w:eastAsia="Calibri" w:cs="Arial"/>
          <w:bCs/>
          <w:color w:val="000000" w:themeColor="text1"/>
          <w:lang w:val="en-AU"/>
        </w:rPr>
        <w:t xml:space="preserve"> MON87411</w:t>
      </w:r>
      <w:r w:rsidRPr="00306C16">
        <w:rPr>
          <w:color w:val="000000" w:themeColor="text1"/>
        </w:rPr>
        <w:t xml:space="preserve"> (MON87411)</w:t>
      </w:r>
      <w:r w:rsidRPr="00306C16">
        <w:rPr>
          <w:rFonts w:eastAsia="Calibri" w:cs="Arial"/>
          <w:bCs/>
          <w:color w:val="000000" w:themeColor="text1"/>
          <w:lang w:val="en-AU"/>
        </w:rPr>
        <w:t xml:space="preserve">. The Authority considered the Application in accordance with Division 1 of Part 3 and has approved a draft Standard. </w:t>
      </w:r>
    </w:p>
    <w:p w14:paraId="4D85889B" w14:textId="77777777" w:rsidR="00C21CF7" w:rsidRPr="00D13E34" w:rsidRDefault="00C21CF7" w:rsidP="00C21CF7">
      <w:pPr>
        <w:widowControl/>
        <w:autoSpaceDE w:val="0"/>
        <w:autoSpaceDN w:val="0"/>
        <w:adjustRightInd w:val="0"/>
        <w:rPr>
          <w:rFonts w:eastAsia="Calibri" w:cs="Arial"/>
          <w:bCs/>
          <w:szCs w:val="22"/>
          <w:lang w:val="en-AU" w:bidi="ar-SA"/>
        </w:rPr>
      </w:pPr>
    </w:p>
    <w:p w14:paraId="4D85889C" w14:textId="77777777" w:rsidR="00C21CF7" w:rsidRPr="00D13E34" w:rsidRDefault="00C21CF7" w:rsidP="00C21CF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11"/>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4D85889D" w14:textId="77777777" w:rsidR="00C21CF7" w:rsidRPr="00D13E34" w:rsidRDefault="00C21CF7" w:rsidP="00C21CF7">
      <w:pPr>
        <w:widowControl/>
        <w:autoSpaceDE w:val="0"/>
        <w:autoSpaceDN w:val="0"/>
        <w:adjustRightInd w:val="0"/>
        <w:rPr>
          <w:rFonts w:eastAsia="Calibri" w:cs="Arial"/>
          <w:bCs/>
          <w:szCs w:val="22"/>
          <w:lang w:val="en-AU" w:bidi="ar-SA"/>
        </w:rPr>
      </w:pPr>
    </w:p>
    <w:p w14:paraId="4D85889E" w14:textId="77777777" w:rsidR="00C21CF7" w:rsidRPr="00D13E34" w:rsidRDefault="00C21CF7" w:rsidP="00C21CF7">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4D85889F" w14:textId="77777777" w:rsidR="00C21CF7" w:rsidRDefault="00C21CF7" w:rsidP="00C21CF7">
      <w:pPr>
        <w:rPr>
          <w:lang w:val="en-AU" w:eastAsia="en-GB" w:bidi="ar-SA"/>
        </w:rPr>
      </w:pPr>
    </w:p>
    <w:p w14:paraId="4D8588A0" w14:textId="77777777" w:rsidR="00C21CF7" w:rsidRDefault="00C21CF7" w:rsidP="00C21CF7">
      <w:pPr>
        <w:rPr>
          <w:b/>
          <w:lang w:val="en-AU" w:eastAsia="en-GB" w:bidi="ar-SA"/>
        </w:rPr>
      </w:pPr>
      <w:r>
        <w:rPr>
          <w:b/>
          <w:lang w:val="en-AU" w:eastAsia="en-GB" w:bidi="ar-SA"/>
        </w:rPr>
        <w:t>2.</w:t>
      </w:r>
      <w:r>
        <w:rPr>
          <w:b/>
          <w:lang w:val="en-AU" w:eastAsia="en-GB" w:bidi="ar-SA"/>
        </w:rPr>
        <w:tab/>
        <w:t xml:space="preserve">Purpose </w:t>
      </w:r>
    </w:p>
    <w:p w14:paraId="4D8588A1" w14:textId="77777777" w:rsidR="00C21CF7" w:rsidRDefault="00C21CF7" w:rsidP="00C21CF7">
      <w:pPr>
        <w:rPr>
          <w:lang w:val="en-AU" w:eastAsia="en-GB" w:bidi="ar-SA"/>
        </w:rPr>
      </w:pPr>
    </w:p>
    <w:p w14:paraId="4D8588A2" w14:textId="77777777" w:rsidR="00C21CF7" w:rsidRPr="00272E09" w:rsidRDefault="00C21CF7" w:rsidP="00C21CF7">
      <w:pPr>
        <w:rPr>
          <w:lang w:eastAsia="en-GB" w:bidi="ar-SA"/>
        </w:rPr>
      </w:pPr>
      <w:r>
        <w:rPr>
          <w:lang w:eastAsia="en-GB" w:bidi="ar-SA"/>
        </w:rPr>
        <w:t xml:space="preserve">The variation inserts a reference to </w:t>
      </w:r>
      <w:r>
        <w:t xml:space="preserve">herbicide-tolerant and insect-protected corn line MON87411 </w:t>
      </w:r>
      <w:r>
        <w:rPr>
          <w:lang w:eastAsia="en-GB" w:bidi="ar-SA"/>
        </w:rPr>
        <w:t xml:space="preserve">into </w:t>
      </w:r>
      <w:r w:rsidRPr="00272E09">
        <w:rPr>
          <w:lang w:eastAsia="en-GB" w:bidi="ar-SA"/>
        </w:rPr>
        <w:t xml:space="preserve">the Schedule </w:t>
      </w:r>
      <w:r>
        <w:rPr>
          <w:lang w:eastAsia="en-GB" w:bidi="ar-SA"/>
        </w:rPr>
        <w:t xml:space="preserve">26 of the Code in order to permit the </w:t>
      </w:r>
      <w:r w:rsidRPr="00272E09">
        <w:rPr>
          <w:lang w:eastAsia="en-GB" w:bidi="ar-SA"/>
        </w:rPr>
        <w:t xml:space="preserve">sale, or use in food, of food derived from </w:t>
      </w:r>
      <w:r>
        <w:rPr>
          <w:lang w:eastAsia="en-GB" w:bidi="ar-SA"/>
        </w:rPr>
        <w:t>that corn line</w:t>
      </w:r>
      <w:r w:rsidRPr="00272E09">
        <w:rPr>
          <w:lang w:eastAsia="en-GB" w:bidi="ar-SA"/>
        </w:rPr>
        <w:t>.</w:t>
      </w:r>
    </w:p>
    <w:p w14:paraId="4D8588A3" w14:textId="77777777" w:rsidR="00C21CF7" w:rsidRPr="005A2DF3" w:rsidRDefault="00C21CF7" w:rsidP="00C21CF7">
      <w:pPr>
        <w:rPr>
          <w:color w:val="000000" w:themeColor="text1"/>
          <w:lang w:val="en-AU" w:eastAsia="en-GB" w:bidi="ar-SA"/>
        </w:rPr>
      </w:pPr>
    </w:p>
    <w:p w14:paraId="4D8588A4" w14:textId="77777777" w:rsidR="00C21CF7" w:rsidRPr="005A2DF3" w:rsidRDefault="00C21CF7" w:rsidP="00C21CF7">
      <w:pPr>
        <w:rPr>
          <w:b/>
          <w:color w:val="000000" w:themeColor="text1"/>
          <w:lang w:val="en-AU" w:eastAsia="en-GB" w:bidi="ar-SA"/>
        </w:rPr>
      </w:pPr>
      <w:r w:rsidRPr="005A2DF3">
        <w:rPr>
          <w:b/>
          <w:color w:val="000000" w:themeColor="text1"/>
          <w:lang w:val="en-AU" w:eastAsia="en-GB" w:bidi="ar-SA"/>
        </w:rPr>
        <w:t>3.</w:t>
      </w:r>
      <w:r w:rsidRPr="005A2DF3">
        <w:rPr>
          <w:b/>
          <w:color w:val="000000" w:themeColor="text1"/>
          <w:lang w:val="en-AU" w:eastAsia="en-GB" w:bidi="ar-SA"/>
        </w:rPr>
        <w:tab/>
        <w:t>Documents incorporated by reference</w:t>
      </w:r>
    </w:p>
    <w:p w14:paraId="4D8588A5" w14:textId="77777777" w:rsidR="00C21CF7" w:rsidRPr="005A2DF3" w:rsidRDefault="00C21CF7" w:rsidP="00C21CF7">
      <w:pPr>
        <w:rPr>
          <w:color w:val="000000" w:themeColor="text1"/>
          <w:lang w:val="en-AU" w:eastAsia="en-GB" w:bidi="ar-SA"/>
        </w:rPr>
      </w:pPr>
    </w:p>
    <w:p w14:paraId="4D8588A6" w14:textId="77777777" w:rsidR="00C21CF7" w:rsidRPr="005A2DF3" w:rsidRDefault="00C21CF7" w:rsidP="00C21CF7">
      <w:pPr>
        <w:widowControl/>
        <w:autoSpaceDE w:val="0"/>
        <w:autoSpaceDN w:val="0"/>
        <w:adjustRightInd w:val="0"/>
        <w:rPr>
          <w:rFonts w:eastAsia="Calibri" w:cs="Arial"/>
          <w:bCs/>
          <w:color w:val="000000" w:themeColor="text1"/>
          <w:szCs w:val="22"/>
          <w:lang w:val="en-AU" w:bidi="ar-SA"/>
        </w:rPr>
      </w:pPr>
      <w:r w:rsidRPr="005A2DF3">
        <w:rPr>
          <w:rFonts w:eastAsia="Calibri" w:cs="Arial"/>
          <w:bCs/>
          <w:color w:val="000000" w:themeColor="text1"/>
          <w:szCs w:val="22"/>
          <w:lang w:val="en-AU" w:bidi="ar-SA"/>
        </w:rPr>
        <w:t>The</w:t>
      </w:r>
      <w:r>
        <w:rPr>
          <w:rFonts w:eastAsia="Calibri" w:cs="Arial"/>
          <w:bCs/>
          <w:color w:val="000000" w:themeColor="text1"/>
          <w:szCs w:val="22"/>
          <w:lang w:val="en-AU" w:bidi="ar-SA"/>
        </w:rPr>
        <w:t xml:space="preserve"> variations</w:t>
      </w:r>
      <w:r w:rsidRPr="005A2DF3">
        <w:rPr>
          <w:rFonts w:eastAsia="Calibri" w:cs="Arial"/>
          <w:bCs/>
          <w:color w:val="000000" w:themeColor="text1"/>
          <w:szCs w:val="22"/>
          <w:lang w:val="en-AU" w:bidi="ar-SA"/>
        </w:rPr>
        <w:t xml:space="preserve"> to food regulatory measures do not incorporate any documents by reference.</w:t>
      </w:r>
    </w:p>
    <w:p w14:paraId="4D8588A7" w14:textId="77777777" w:rsidR="00C21CF7" w:rsidRPr="005A2DF3" w:rsidRDefault="00C21CF7" w:rsidP="00C21CF7">
      <w:pPr>
        <w:rPr>
          <w:color w:val="000000" w:themeColor="text1"/>
          <w:lang w:val="en-AU" w:eastAsia="en-GB" w:bidi="ar-SA"/>
        </w:rPr>
      </w:pPr>
    </w:p>
    <w:p w14:paraId="4D8588A8" w14:textId="77777777" w:rsidR="00C21CF7" w:rsidRPr="005A2DF3" w:rsidRDefault="00C21CF7" w:rsidP="00C21CF7">
      <w:pPr>
        <w:rPr>
          <w:b/>
          <w:color w:val="000000" w:themeColor="text1"/>
          <w:lang w:val="en-AU" w:eastAsia="en-GB" w:bidi="ar-SA"/>
        </w:rPr>
      </w:pPr>
      <w:r w:rsidRPr="005A2DF3">
        <w:rPr>
          <w:b/>
          <w:color w:val="000000" w:themeColor="text1"/>
          <w:lang w:val="en-AU" w:eastAsia="en-GB" w:bidi="ar-SA"/>
        </w:rPr>
        <w:t>4.</w:t>
      </w:r>
      <w:r w:rsidRPr="005A2DF3">
        <w:rPr>
          <w:b/>
          <w:color w:val="000000" w:themeColor="text1"/>
          <w:lang w:val="en-AU" w:eastAsia="en-GB" w:bidi="ar-SA"/>
        </w:rPr>
        <w:tab/>
        <w:t>Consultation</w:t>
      </w:r>
    </w:p>
    <w:p w14:paraId="4D8588A9" w14:textId="77777777" w:rsidR="00C21CF7" w:rsidRPr="005A2DF3" w:rsidRDefault="00C21CF7" w:rsidP="00C21CF7">
      <w:pPr>
        <w:rPr>
          <w:color w:val="000000" w:themeColor="text1"/>
          <w:lang w:val="en-AU" w:eastAsia="en-GB" w:bidi="ar-SA"/>
        </w:rPr>
      </w:pPr>
    </w:p>
    <w:p w14:paraId="4D8588AA" w14:textId="77777777" w:rsidR="00C21CF7" w:rsidRPr="005A2DF3" w:rsidRDefault="00C21CF7" w:rsidP="00C21CF7">
      <w:pPr>
        <w:rPr>
          <w:color w:val="000000" w:themeColor="text1"/>
          <w:lang w:val="en-AU"/>
        </w:rPr>
      </w:pPr>
      <w:r w:rsidRPr="005A2DF3">
        <w:rPr>
          <w:color w:val="000000" w:themeColor="text1"/>
          <w:szCs w:val="22"/>
        </w:rPr>
        <w:t xml:space="preserve">In accordance with the procedure in Division 1 of Part 3 of the FSANZ Act, </w:t>
      </w:r>
      <w:r w:rsidRPr="005A2DF3">
        <w:rPr>
          <w:rFonts w:eastAsia="Calibri" w:cs="Arial"/>
          <w:bCs/>
          <w:color w:val="000000" w:themeColor="text1"/>
          <w:szCs w:val="22"/>
          <w:lang w:val="en-AU" w:bidi="ar-SA"/>
        </w:rPr>
        <w:t>the Authority</w:t>
      </w:r>
      <w:r w:rsidRPr="005A2DF3">
        <w:rPr>
          <w:color w:val="000000" w:themeColor="text1"/>
          <w:szCs w:val="22"/>
        </w:rPr>
        <w:t xml:space="preserve">’s consideration of Application A1097 included one round of public consultation following an assessment and the preparation of a draft variation and associated report. Submissions were called for on 16 December 2014 for an eight-week consultation period. </w:t>
      </w:r>
    </w:p>
    <w:p w14:paraId="4D8588AB" w14:textId="77777777" w:rsidR="00C21CF7" w:rsidRPr="005A2DF3" w:rsidRDefault="00C21CF7" w:rsidP="00C21CF7">
      <w:pPr>
        <w:rPr>
          <w:rFonts w:eastAsia="Calibri"/>
          <w:color w:val="000000" w:themeColor="text1"/>
          <w:szCs w:val="22"/>
          <w:lang w:val="en-AU" w:bidi="ar-SA"/>
        </w:rPr>
      </w:pPr>
    </w:p>
    <w:p w14:paraId="4D8588AC" w14:textId="77777777" w:rsidR="00C21CF7" w:rsidRPr="005A2DF3" w:rsidRDefault="00C21CF7" w:rsidP="00C21CF7">
      <w:pPr>
        <w:autoSpaceDE w:val="0"/>
        <w:autoSpaceDN w:val="0"/>
        <w:rPr>
          <w:color w:val="000000" w:themeColor="text1"/>
        </w:rPr>
      </w:pPr>
      <w:r w:rsidRPr="005A2DF3">
        <w:rPr>
          <w:color w:val="000000" w:themeColor="text1"/>
        </w:rPr>
        <w:t xml:space="preserve">A Regulation Impact Statement was not required because the </w:t>
      </w:r>
      <w:r>
        <w:rPr>
          <w:color w:val="000000" w:themeColor="text1"/>
        </w:rPr>
        <w:t>Application is</w:t>
      </w:r>
      <w:r w:rsidRPr="005A2DF3">
        <w:rPr>
          <w:color w:val="000000" w:themeColor="text1"/>
        </w:rPr>
        <w:t xml:space="preserve"> likely to have a minor impact on business and individuals</w:t>
      </w:r>
      <w:r>
        <w:rPr>
          <w:rFonts w:cs="Arial"/>
          <w:szCs w:val="22"/>
        </w:rPr>
        <w:t>.</w:t>
      </w:r>
    </w:p>
    <w:p w14:paraId="4D8588AD" w14:textId="77777777" w:rsidR="00C21CF7" w:rsidRDefault="00C21CF7" w:rsidP="00C21CF7">
      <w:pPr>
        <w:rPr>
          <w:color w:val="000000" w:themeColor="text1"/>
          <w:lang w:val="en-AU" w:eastAsia="en-GB" w:bidi="ar-SA"/>
        </w:rPr>
      </w:pPr>
    </w:p>
    <w:p w14:paraId="4D8588AE" w14:textId="77777777" w:rsidR="00C21CF7" w:rsidRPr="005A2DF3" w:rsidRDefault="00C21CF7" w:rsidP="00C21CF7">
      <w:pPr>
        <w:widowControl/>
        <w:rPr>
          <w:rFonts w:eastAsiaTheme="minorHAnsi" w:cs="Arial"/>
          <w:b/>
          <w:bCs/>
          <w:color w:val="000000" w:themeColor="text1"/>
          <w:szCs w:val="22"/>
          <w:lang w:val="en-AU" w:bidi="ar-SA"/>
        </w:rPr>
      </w:pPr>
      <w:r w:rsidRPr="005A2DF3">
        <w:rPr>
          <w:rFonts w:eastAsiaTheme="minorHAnsi" w:cs="Arial"/>
          <w:b/>
          <w:bCs/>
          <w:color w:val="000000" w:themeColor="text1"/>
          <w:szCs w:val="22"/>
          <w:lang w:val="en-AU" w:bidi="ar-SA"/>
        </w:rPr>
        <w:t>5.</w:t>
      </w:r>
      <w:r w:rsidRPr="005A2DF3">
        <w:rPr>
          <w:rFonts w:eastAsiaTheme="minorHAnsi" w:cs="Arial"/>
          <w:b/>
          <w:bCs/>
          <w:color w:val="000000" w:themeColor="text1"/>
          <w:szCs w:val="22"/>
          <w:lang w:val="en-AU" w:bidi="ar-SA"/>
        </w:rPr>
        <w:tab/>
        <w:t>Statement of compatibility with human rights</w:t>
      </w:r>
    </w:p>
    <w:p w14:paraId="4D8588AF" w14:textId="77777777" w:rsidR="00C21CF7" w:rsidRDefault="00C21CF7" w:rsidP="00C21CF7">
      <w:pPr>
        <w:rPr>
          <w:rFonts w:eastAsiaTheme="minorHAnsi"/>
          <w:lang w:val="en-AU" w:bidi="ar-SA"/>
        </w:rPr>
      </w:pPr>
    </w:p>
    <w:p w14:paraId="4D8588B0" w14:textId="3C440907" w:rsidR="009E6DD4" w:rsidRDefault="00C21CF7" w:rsidP="00C21CF7">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r w:rsidR="009E6DD4">
        <w:rPr>
          <w:rFonts w:eastAsiaTheme="minorHAnsi"/>
          <w:lang w:val="en-AU" w:bidi="ar-SA"/>
        </w:rPr>
        <w:br w:type="page"/>
      </w:r>
    </w:p>
    <w:p w14:paraId="4D8588B2" w14:textId="77777777" w:rsidR="00C21CF7" w:rsidRPr="00432A42" w:rsidRDefault="00C21CF7" w:rsidP="00C21CF7">
      <w:pPr>
        <w:rPr>
          <w:b/>
          <w:lang w:val="en-AU" w:eastAsia="en-GB" w:bidi="ar-SA"/>
        </w:rPr>
      </w:pPr>
      <w:r w:rsidRPr="00432A42">
        <w:rPr>
          <w:b/>
        </w:rPr>
        <w:lastRenderedPageBreak/>
        <w:t>6.</w:t>
      </w:r>
      <w:r w:rsidRPr="00432A42">
        <w:rPr>
          <w:b/>
        </w:rPr>
        <w:tab/>
      </w:r>
      <w:r>
        <w:rPr>
          <w:b/>
          <w:lang w:val="en-AU" w:eastAsia="en-GB" w:bidi="ar-SA"/>
        </w:rPr>
        <w:t>Variation</w:t>
      </w:r>
    </w:p>
    <w:p w14:paraId="4D8588B3" w14:textId="77777777" w:rsidR="00C21CF7" w:rsidRDefault="00C21CF7" w:rsidP="00C21CF7">
      <w:pPr>
        <w:rPr>
          <w:b/>
        </w:rPr>
      </w:pPr>
    </w:p>
    <w:p w14:paraId="4D8588B4" w14:textId="77777777" w:rsidR="00C21CF7" w:rsidRPr="008143ED" w:rsidRDefault="00C21CF7" w:rsidP="00C21CF7">
      <w:pPr>
        <w:rPr>
          <w:rFonts w:cs="Arial"/>
          <w:b/>
          <w:bCs/>
          <w:sz w:val="28"/>
          <w:szCs w:val="22"/>
          <w:lang w:bidi="ar-SA"/>
        </w:rPr>
      </w:pPr>
      <w:r>
        <w:t>I</w:t>
      </w:r>
      <w:r w:rsidRPr="008F4BDF">
        <w:t xml:space="preserve">tem </w:t>
      </w:r>
      <w:r>
        <w:t>[1] of the Variation insert</w:t>
      </w:r>
      <w:r w:rsidRPr="008F4BDF">
        <w:t>s</w:t>
      </w:r>
      <w:r>
        <w:t xml:space="preserve"> Item </w:t>
      </w:r>
      <w:r w:rsidR="00A44B33">
        <w:t>2</w:t>
      </w:r>
      <w:r>
        <w:t>(v)</w:t>
      </w:r>
      <w:r w:rsidRPr="008F4BDF">
        <w:t xml:space="preserve"> </w:t>
      </w:r>
      <w:r>
        <w:t xml:space="preserve">into </w:t>
      </w:r>
      <w:r w:rsidRPr="008F4BDF">
        <w:t xml:space="preserve">the Schedule </w:t>
      </w:r>
      <w:r>
        <w:t xml:space="preserve">26 of the Code. Item </w:t>
      </w:r>
      <w:r w:rsidR="00A44B33">
        <w:t>2</w:t>
      </w:r>
      <w:r>
        <w:t>(v) refers to f</w:t>
      </w:r>
      <w:r w:rsidRPr="008F4BDF">
        <w:t>ood deriv</w:t>
      </w:r>
      <w:r>
        <w:t>ed from herbicide-tolerant and insect-protected corn line MON87411</w:t>
      </w:r>
      <w:r w:rsidR="00DC53ED">
        <w:t>.</w:t>
      </w:r>
    </w:p>
    <w:sectPr w:rsidR="00C21CF7" w:rsidRPr="008143ED" w:rsidSect="005A572E">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CF18" w14:textId="77777777" w:rsidR="001776FB" w:rsidRDefault="001776FB">
      <w:r>
        <w:separator/>
      </w:r>
    </w:p>
  </w:endnote>
  <w:endnote w:type="continuationSeparator" w:id="0">
    <w:p w14:paraId="40DCC0A8" w14:textId="77777777" w:rsidR="001776FB" w:rsidRDefault="0017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88C0" w14:textId="77777777" w:rsidR="00ED70BB" w:rsidRDefault="00ED70B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8588C1" w14:textId="77777777" w:rsidR="00ED70BB" w:rsidRDefault="00ED7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4D8588C2" w14:textId="77777777" w:rsidR="00ED70BB" w:rsidRDefault="00ED70BB" w:rsidP="00A671E6">
        <w:pPr>
          <w:pStyle w:val="Footer"/>
          <w:jc w:val="center"/>
        </w:pPr>
        <w:r>
          <w:fldChar w:fldCharType="begin"/>
        </w:r>
        <w:r>
          <w:instrText xml:space="preserve"> PAGE   \* MERGEFORMAT </w:instrText>
        </w:r>
        <w:r>
          <w:fldChar w:fldCharType="separate"/>
        </w:r>
        <w:r w:rsidR="00FD609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EB011" w14:textId="77777777" w:rsidR="00360F74" w:rsidRDefault="00360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66D81" w14:textId="77777777" w:rsidR="001776FB" w:rsidRDefault="001776FB">
      <w:r>
        <w:separator/>
      </w:r>
    </w:p>
  </w:footnote>
  <w:footnote w:type="continuationSeparator" w:id="0">
    <w:p w14:paraId="11390DCA" w14:textId="77777777" w:rsidR="001776FB" w:rsidRDefault="001776FB">
      <w:r>
        <w:continuationSeparator/>
      </w:r>
    </w:p>
  </w:footnote>
  <w:footnote w:id="1">
    <w:p w14:paraId="4D8588C4" w14:textId="77777777" w:rsidR="00ED70BB" w:rsidRPr="0010778D" w:rsidRDefault="00ED70B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14:paraId="4D8588C5" w14:textId="77777777" w:rsidR="00ED70BB" w:rsidRPr="006F09DB" w:rsidRDefault="00ED70BB">
      <w:pPr>
        <w:pStyle w:val="FootnoteText"/>
        <w:rPr>
          <w:lang w:val="en-AU"/>
        </w:rPr>
      </w:pPr>
      <w:r w:rsidRPr="003D5B92">
        <w:rPr>
          <w:rStyle w:val="FootnoteReference"/>
          <w:sz w:val="18"/>
        </w:rPr>
        <w:footnoteRef/>
      </w:r>
      <w:r w:rsidRPr="003D5B92">
        <w:rPr>
          <w:sz w:val="18"/>
        </w:rPr>
        <w:t xml:space="preserve"> </w:t>
      </w:r>
      <w:r w:rsidRPr="003D5B92">
        <w:rPr>
          <w:rFonts w:cs="Arial"/>
          <w:noProof/>
          <w:sz w:val="18"/>
          <w:lang w:val="en-AU" w:eastAsia="en-GB"/>
        </w:rPr>
        <w:t>Heinemann JA, Agapito-Tengfen SZ, Carman J (2013) A comparative evaluation of the regulation of GM crops or products containing dsRNA and suggested improvements to risk assessments. Environment International 55:43–55</w:t>
      </w:r>
    </w:p>
  </w:footnote>
  <w:footnote w:id="3">
    <w:p w14:paraId="4D8588C6" w14:textId="77777777" w:rsidR="00ED70BB" w:rsidRPr="00B03EC3" w:rsidRDefault="00ED70BB" w:rsidP="00B430BE">
      <w:pPr>
        <w:pStyle w:val="FootnoteText"/>
        <w:rPr>
          <w:sz w:val="18"/>
          <w:szCs w:val="18"/>
          <w:lang w:val="en-AU"/>
        </w:rPr>
      </w:pPr>
      <w:r w:rsidRPr="00B03EC3">
        <w:rPr>
          <w:rStyle w:val="FootnoteReference"/>
          <w:sz w:val="18"/>
          <w:szCs w:val="18"/>
        </w:rPr>
        <w:footnoteRef/>
      </w:r>
      <w:r w:rsidRPr="00B03EC3">
        <w:rPr>
          <w:sz w:val="18"/>
          <w:szCs w:val="18"/>
        </w:rPr>
        <w:t xml:space="preserve"> </w:t>
      </w:r>
      <w:hyperlink r:id="rId1" w:history="1">
        <w:r w:rsidRPr="00B03EC3">
          <w:rPr>
            <w:rStyle w:val="Hyperlink"/>
            <w:sz w:val="18"/>
            <w:szCs w:val="18"/>
          </w:rPr>
          <w:t>http://www.fda.gov/Food/FoodScienceResearch/Biotechnology/Submissions/UCM427607</w:t>
        </w:r>
      </w:hyperlink>
      <w:r>
        <w:rPr>
          <w:sz w:val="18"/>
          <w:szCs w:val="18"/>
        </w:rPr>
        <w:t xml:space="preserve"> </w:t>
      </w:r>
    </w:p>
  </w:footnote>
  <w:footnote w:id="4">
    <w:p w14:paraId="4D8588C7" w14:textId="77777777" w:rsidR="00ED70BB" w:rsidRPr="00B03EC3" w:rsidRDefault="00ED70BB" w:rsidP="00B430BE">
      <w:pPr>
        <w:rPr>
          <w:rFonts w:cs="Arial"/>
          <w:noProof/>
          <w:color w:val="000000" w:themeColor="text1"/>
          <w:sz w:val="18"/>
          <w:szCs w:val="18"/>
        </w:rPr>
      </w:pPr>
      <w:r w:rsidRPr="00B03EC3">
        <w:rPr>
          <w:rStyle w:val="FootnoteReference"/>
          <w:sz w:val="18"/>
          <w:szCs w:val="18"/>
        </w:rPr>
        <w:footnoteRef/>
      </w:r>
      <w:r w:rsidRPr="00B03EC3">
        <w:rPr>
          <w:sz w:val="18"/>
          <w:szCs w:val="18"/>
        </w:rPr>
        <w:t xml:space="preserve"> </w:t>
      </w:r>
      <w:r w:rsidRPr="00B03EC3">
        <w:rPr>
          <w:rFonts w:cs="Arial"/>
          <w:noProof/>
          <w:color w:val="000000" w:themeColor="text1"/>
          <w:sz w:val="18"/>
          <w:szCs w:val="18"/>
        </w:rPr>
        <w:t>Baier SR, Nguyen C, Xie F, Wood JR, Zempleni J (2014) MicroRNAs are absorbed in biologically meaningful amounts from nutritionally relevant doses of cow milk and affect gene expression in peripheral blood mononuclear cells, HEK-293 kidney cell cultures, and mouse livers. The Journal of Nutrition 144:1495–1500</w:t>
      </w:r>
    </w:p>
  </w:footnote>
  <w:footnote w:id="5">
    <w:p w14:paraId="4D8588C8" w14:textId="77777777" w:rsidR="00ED70BB" w:rsidRPr="00B03EC3" w:rsidRDefault="00ED70BB" w:rsidP="00B430BE">
      <w:pPr>
        <w:rPr>
          <w:rFonts w:cs="Arial"/>
          <w:noProof/>
          <w:sz w:val="18"/>
          <w:szCs w:val="18"/>
          <w:lang w:val="en-AU" w:eastAsia="en-GB"/>
        </w:rPr>
      </w:pPr>
      <w:r w:rsidRPr="00B03EC3">
        <w:rPr>
          <w:rStyle w:val="FootnoteReference"/>
          <w:sz w:val="18"/>
          <w:szCs w:val="18"/>
        </w:rPr>
        <w:footnoteRef/>
      </w:r>
      <w:r w:rsidRPr="00B03EC3">
        <w:rPr>
          <w:sz w:val="18"/>
          <w:szCs w:val="18"/>
        </w:rPr>
        <w:t xml:space="preserve"> </w:t>
      </w:r>
      <w:r w:rsidRPr="00B03EC3">
        <w:rPr>
          <w:rFonts w:cs="Arial"/>
          <w:noProof/>
          <w:sz w:val="18"/>
          <w:szCs w:val="18"/>
          <w:lang w:val="en-AU" w:eastAsia="en-GB"/>
        </w:rPr>
        <w:t xml:space="preserve">Lukasik A, Zielenkiewicz P (2014) </w:t>
      </w:r>
      <w:r w:rsidRPr="00B03EC3">
        <w:rPr>
          <w:rFonts w:cs="Arial"/>
          <w:i/>
          <w:noProof/>
          <w:sz w:val="18"/>
          <w:szCs w:val="18"/>
          <w:lang w:val="en-AU" w:eastAsia="en-GB"/>
        </w:rPr>
        <w:t>In silico</w:t>
      </w:r>
      <w:r w:rsidRPr="00B03EC3">
        <w:rPr>
          <w:rFonts w:cs="Arial"/>
          <w:noProof/>
          <w:sz w:val="18"/>
          <w:szCs w:val="18"/>
          <w:lang w:val="en-AU" w:eastAsia="en-GB"/>
        </w:rPr>
        <w:t xml:space="preserve"> identification of plant miRNAs in mammalian breast milk exosomes - a small step forward? PLoS ONE (open access) 9(6):e99963.</w:t>
      </w:r>
    </w:p>
  </w:footnote>
  <w:footnote w:id="6">
    <w:p w14:paraId="4D8588C9" w14:textId="77777777" w:rsidR="00ED70BB" w:rsidRPr="00B859B0" w:rsidRDefault="00ED70BB" w:rsidP="00B03EC3">
      <w:pPr>
        <w:tabs>
          <w:tab w:val="left" w:pos="0"/>
        </w:tabs>
        <w:rPr>
          <w:lang w:val="en-AU"/>
        </w:rPr>
      </w:pPr>
      <w:r w:rsidRPr="00B03EC3">
        <w:rPr>
          <w:rStyle w:val="FootnoteReference"/>
          <w:sz w:val="18"/>
          <w:szCs w:val="18"/>
        </w:rPr>
        <w:footnoteRef/>
      </w:r>
      <w:r w:rsidRPr="00B03EC3">
        <w:rPr>
          <w:sz w:val="18"/>
          <w:szCs w:val="18"/>
        </w:rPr>
        <w:t xml:space="preserve"> </w:t>
      </w:r>
      <w:r w:rsidRPr="00B03EC3">
        <w:rPr>
          <w:rFonts w:cs="Arial"/>
          <w:noProof/>
          <w:sz w:val="18"/>
          <w:szCs w:val="18"/>
          <w:lang w:val="en-AU" w:eastAsia="en-GB"/>
        </w:rPr>
        <w:t>Petrick JS, Moore WM, Heydens WF, Koch MS, Sherman JH, Lemke SL (2015) A 28-day oral toxicity evaluation of small interfering RNAs and a long double-stranded RNA targeting vacuolar ATPase in mice. Regulatory Toxicology and Pharmacology 71:8–23</w:t>
      </w:r>
    </w:p>
  </w:footnote>
  <w:footnote w:id="7">
    <w:p w14:paraId="4D8588CA" w14:textId="77777777" w:rsidR="00ED70BB" w:rsidRPr="009549B7" w:rsidRDefault="00ED70BB" w:rsidP="00A448E0">
      <w:pPr>
        <w:pStyle w:val="FootnoteText"/>
        <w:rPr>
          <w:sz w:val="18"/>
          <w:szCs w:val="18"/>
          <w:lang w:val="en-AU"/>
        </w:rPr>
      </w:pPr>
      <w:r w:rsidRPr="009549B7">
        <w:rPr>
          <w:rStyle w:val="FootnoteReference"/>
          <w:sz w:val="18"/>
        </w:rPr>
        <w:footnoteRef/>
      </w:r>
      <w:r w:rsidRPr="009549B7">
        <w:rPr>
          <w:sz w:val="18"/>
        </w:rPr>
        <w:t xml:space="preserve"> </w:t>
      </w:r>
      <w:r w:rsidRPr="009549B7">
        <w:rPr>
          <w:sz w:val="18"/>
          <w:szCs w:val="18"/>
          <w:lang w:val="en-AU"/>
        </w:rPr>
        <w:t>Now known as th</w:t>
      </w:r>
      <w:r>
        <w:rPr>
          <w:sz w:val="18"/>
          <w:szCs w:val="18"/>
          <w:lang w:val="en-AU"/>
        </w:rPr>
        <w:t>e Implementation Subcommittee for</w:t>
      </w:r>
      <w:r w:rsidRPr="009549B7">
        <w:rPr>
          <w:sz w:val="18"/>
          <w:szCs w:val="18"/>
          <w:lang w:val="en-AU"/>
        </w:rPr>
        <w:t xml:space="preserve"> Food Regulation</w:t>
      </w:r>
    </w:p>
  </w:footnote>
  <w:footnote w:id="8">
    <w:p w14:paraId="4D8588CB" w14:textId="77777777" w:rsidR="00ED70BB" w:rsidRPr="008828D9" w:rsidRDefault="00ED70BB" w:rsidP="00563118">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9">
    <w:p w14:paraId="4D8588CC" w14:textId="77777777" w:rsidR="00ED70BB" w:rsidRPr="00ED70BB" w:rsidRDefault="00ED70BB" w:rsidP="00260397">
      <w:pPr>
        <w:pStyle w:val="FootnoteText"/>
        <w:rPr>
          <w:sz w:val="18"/>
          <w:lang w:val="en-AU"/>
        </w:rPr>
      </w:pPr>
      <w:r w:rsidRPr="00ED70BB">
        <w:rPr>
          <w:rStyle w:val="FootnoteReference"/>
          <w:sz w:val="18"/>
        </w:rPr>
        <w:footnoteRef/>
      </w:r>
      <w:r w:rsidRPr="00ED70BB">
        <w:rPr>
          <w:sz w:val="18"/>
        </w:rPr>
        <w:t xml:space="preserve"> </w:t>
      </w:r>
      <w:hyperlink r:id="rId2" w:history="1">
        <w:r w:rsidRPr="00ED70BB">
          <w:rPr>
            <w:rStyle w:val="Hyperlink"/>
            <w:sz w:val="18"/>
          </w:rPr>
          <w:t>http://www.foodstandards.gov.au/code/proposals/Pages/proposalp1025coderev5755.aspx</w:t>
        </w:r>
      </w:hyperlink>
      <w:r w:rsidRPr="00ED70BB">
        <w:rPr>
          <w:sz w:val="18"/>
        </w:rPr>
        <w:t xml:space="preserve"> </w:t>
      </w:r>
    </w:p>
  </w:footnote>
  <w:footnote w:id="10">
    <w:p w14:paraId="4D8588CD" w14:textId="77777777" w:rsidR="00ED70BB" w:rsidRPr="0010778D" w:rsidRDefault="00ED70BB"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11">
    <w:p w14:paraId="4D8588CE" w14:textId="77777777" w:rsidR="00ED70BB" w:rsidRPr="0010778D" w:rsidRDefault="00ED70BB" w:rsidP="00C21CF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6BD1" w14:textId="77777777" w:rsidR="00360F74" w:rsidRDefault="00360F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E562" w14:textId="77777777" w:rsidR="00360F74" w:rsidRDefault="00360F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88C3" w14:textId="77777777" w:rsidR="00ED70BB" w:rsidRDefault="00ED70BB">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7BC"/>
    <w:multiLevelType w:val="hybridMultilevel"/>
    <w:tmpl w:val="60704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816C3"/>
    <w:multiLevelType w:val="hybridMultilevel"/>
    <w:tmpl w:val="E4368BBA"/>
    <w:lvl w:ilvl="0" w:tplc="6B5AB52C">
      <w:start w:val="1"/>
      <w:numFmt w:val="bullet"/>
      <w:lvlText w:val=""/>
      <w:lvlJc w:val="left"/>
      <w:pPr>
        <w:ind w:left="720" w:hanging="360"/>
      </w:pPr>
      <w:rPr>
        <w:rFonts w:ascii="Symbol" w:hAnsi="Symbol" w:hint="default"/>
        <w:sz w:val="22"/>
      </w:rPr>
    </w:lvl>
    <w:lvl w:ilvl="1" w:tplc="757A50B4">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145F16"/>
    <w:multiLevelType w:val="hybridMultilevel"/>
    <w:tmpl w:val="2E98E3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09318F2"/>
    <w:multiLevelType w:val="hybridMultilevel"/>
    <w:tmpl w:val="5794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FD33E8"/>
    <w:multiLevelType w:val="hybridMultilevel"/>
    <w:tmpl w:val="D16CB6CA"/>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BD4D08"/>
    <w:multiLevelType w:val="hybridMultilevel"/>
    <w:tmpl w:val="F4723D40"/>
    <w:lvl w:ilvl="0" w:tplc="08090001">
      <w:start w:val="1"/>
      <w:numFmt w:val="bullet"/>
      <w:lvlText w:val=""/>
      <w:lvlJc w:val="left"/>
      <w:pPr>
        <w:ind w:left="928" w:hanging="360"/>
      </w:pPr>
      <w:rPr>
        <w:rFonts w:ascii="Symbol" w:hAnsi="Symbol" w:hint="default"/>
        <w:color w:val="auto"/>
        <w:sz w:val="24"/>
      </w:rPr>
    </w:lvl>
    <w:lvl w:ilvl="1" w:tplc="42E4712C">
      <w:start w:val="1"/>
      <w:numFmt w:val="bullet"/>
      <w:lvlText w:val=""/>
      <w:lvlJc w:val="left"/>
      <w:pPr>
        <w:tabs>
          <w:tab w:val="num" w:pos="2215"/>
        </w:tabs>
        <w:ind w:left="2215" w:hanging="567"/>
      </w:pPr>
      <w:rPr>
        <w:rFonts w:ascii="Symbol" w:hAnsi="Symbol" w:hint="default"/>
        <w:sz w:val="18"/>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2">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C265D3"/>
    <w:multiLevelType w:val="hybridMultilevel"/>
    <w:tmpl w:val="BBA66364"/>
    <w:lvl w:ilvl="0" w:tplc="8DFA394A">
      <w:start w:val="1"/>
      <w:numFmt w:val="bullet"/>
      <w:pStyle w:val="Bullet"/>
      <w:lvlText w:val=""/>
      <w:lvlJc w:val="left"/>
      <w:pPr>
        <w:tabs>
          <w:tab w:val="num" w:pos="927"/>
        </w:tabs>
        <w:ind w:left="927" w:hanging="567"/>
      </w:pPr>
      <w:rPr>
        <w:rFonts w:ascii="Symbol" w:hAnsi="Symbol" w:hint="default"/>
      </w:rPr>
    </w:lvl>
    <w:lvl w:ilvl="1" w:tplc="D708FB38">
      <w:start w:val="1"/>
      <w:numFmt w:val="bullet"/>
      <w:lvlText w:val=""/>
      <w:lvlJc w:val="left"/>
      <w:pPr>
        <w:tabs>
          <w:tab w:val="num" w:pos="1800"/>
        </w:tabs>
        <w:ind w:left="180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4">
    <w:nsid w:val="379D42CE"/>
    <w:multiLevelType w:val="hybridMultilevel"/>
    <w:tmpl w:val="BEA68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9A0875"/>
    <w:multiLevelType w:val="hybridMultilevel"/>
    <w:tmpl w:val="B17A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C202623"/>
    <w:multiLevelType w:val="hybridMultilevel"/>
    <w:tmpl w:val="5C28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62C19"/>
    <w:multiLevelType w:val="hybridMultilevel"/>
    <w:tmpl w:val="E7E619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D9205E"/>
    <w:multiLevelType w:val="hybridMultilevel"/>
    <w:tmpl w:val="C510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1966A7"/>
    <w:multiLevelType w:val="hybridMultilevel"/>
    <w:tmpl w:val="AF1AFFE6"/>
    <w:lvl w:ilvl="0" w:tplc="0C09000F">
      <w:start w:val="1"/>
      <w:numFmt w:val="decimal"/>
      <w:lvlText w:val="%1."/>
      <w:lvlJc w:val="left"/>
      <w:pPr>
        <w:ind w:left="-414" w:hanging="360"/>
      </w:pPr>
      <w:rPr>
        <w:rFonts w:hint="default"/>
      </w:r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23">
    <w:nsid w:val="65F23B5D"/>
    <w:multiLevelType w:val="hybridMultilevel"/>
    <w:tmpl w:val="2778A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95E0A7E"/>
    <w:multiLevelType w:val="hybridMultilevel"/>
    <w:tmpl w:val="6136BD9E"/>
    <w:lvl w:ilvl="0" w:tplc="55B8F1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C56C38"/>
    <w:multiLevelType w:val="hybridMultilevel"/>
    <w:tmpl w:val="2B98EC06"/>
    <w:lvl w:ilvl="0" w:tplc="8DFA394A">
      <w:start w:val="1"/>
      <w:numFmt w:val="bullet"/>
      <w:lvlText w:val=""/>
      <w:lvlJc w:val="left"/>
      <w:pPr>
        <w:tabs>
          <w:tab w:val="num" w:pos="567"/>
        </w:tabs>
        <w:ind w:left="567" w:hanging="567"/>
      </w:pPr>
      <w:rPr>
        <w:rFonts w:ascii="Symbol" w:hAnsi="Symbol" w:hint="default"/>
      </w:rPr>
    </w:lvl>
    <w:lvl w:ilvl="1" w:tplc="BA8049A8">
      <w:start w:val="1"/>
      <w:numFmt w:val="bullet"/>
      <w:lvlText w:val=""/>
      <w:lvlJc w:val="left"/>
      <w:pPr>
        <w:tabs>
          <w:tab w:val="num" w:pos="1134"/>
        </w:tabs>
        <w:ind w:left="1134" w:hanging="567"/>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nsid w:val="77C17759"/>
    <w:multiLevelType w:val="hybridMultilevel"/>
    <w:tmpl w:val="C3C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0"/>
  </w:num>
  <w:num w:numId="5">
    <w:abstractNumId w:val="19"/>
  </w:num>
  <w:num w:numId="6">
    <w:abstractNumId w:val="12"/>
  </w:num>
  <w:num w:numId="7">
    <w:abstractNumId w:val="24"/>
  </w:num>
  <w:num w:numId="8">
    <w:abstractNumId w:val="3"/>
  </w:num>
  <w:num w:numId="9">
    <w:abstractNumId w:val="25"/>
  </w:num>
  <w:num w:numId="10">
    <w:abstractNumId w:val="17"/>
  </w:num>
  <w:num w:numId="11">
    <w:abstractNumId w:val="16"/>
  </w:num>
  <w:num w:numId="12">
    <w:abstractNumId w:val="8"/>
  </w:num>
  <w:num w:numId="13">
    <w:abstractNumId w:val="6"/>
  </w:num>
  <w:num w:numId="14">
    <w:abstractNumId w:val="22"/>
  </w:num>
  <w:num w:numId="15">
    <w:abstractNumId w:val="15"/>
  </w:num>
  <w:num w:numId="16">
    <w:abstractNumId w:val="0"/>
  </w:num>
  <w:num w:numId="17">
    <w:abstractNumId w:val="18"/>
  </w:num>
  <w:num w:numId="18">
    <w:abstractNumId w:val="26"/>
  </w:num>
  <w:num w:numId="19">
    <w:abstractNumId w:val="20"/>
  </w:num>
  <w:num w:numId="20">
    <w:abstractNumId w:val="1"/>
  </w:num>
  <w:num w:numId="21">
    <w:abstractNumId w:val="5"/>
  </w:num>
  <w:num w:numId="22">
    <w:abstractNumId w:val="21"/>
  </w:num>
  <w:num w:numId="23">
    <w:abstractNumId w:val="13"/>
  </w:num>
  <w:num w:numId="24">
    <w:abstractNumId w:val="27"/>
  </w:num>
  <w:num w:numId="25">
    <w:abstractNumId w:val="23"/>
  </w:num>
  <w:num w:numId="26">
    <w:abstractNumId w:val="28"/>
  </w:num>
  <w:num w:numId="27">
    <w:abstractNumId w:val="2"/>
  </w:num>
  <w:num w:numId="28">
    <w:abstractNumId w:val="14"/>
  </w:num>
  <w:num w:numId="2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247B"/>
    <w:rsid w:val="0000469B"/>
    <w:rsid w:val="00010E79"/>
    <w:rsid w:val="00011187"/>
    <w:rsid w:val="00014E34"/>
    <w:rsid w:val="000254BC"/>
    <w:rsid w:val="000332AE"/>
    <w:rsid w:val="00035FF3"/>
    <w:rsid w:val="000418F0"/>
    <w:rsid w:val="00042DFF"/>
    <w:rsid w:val="00051021"/>
    <w:rsid w:val="000524F0"/>
    <w:rsid w:val="00052D54"/>
    <w:rsid w:val="00054EF5"/>
    <w:rsid w:val="00055A50"/>
    <w:rsid w:val="000576EB"/>
    <w:rsid w:val="00064B2D"/>
    <w:rsid w:val="00065F1F"/>
    <w:rsid w:val="00070153"/>
    <w:rsid w:val="00076B22"/>
    <w:rsid w:val="00076D33"/>
    <w:rsid w:val="00076D3B"/>
    <w:rsid w:val="00077859"/>
    <w:rsid w:val="00077AEA"/>
    <w:rsid w:val="00081B0A"/>
    <w:rsid w:val="00082CB5"/>
    <w:rsid w:val="000875F3"/>
    <w:rsid w:val="00090647"/>
    <w:rsid w:val="000930CD"/>
    <w:rsid w:val="000A0E8D"/>
    <w:rsid w:val="000A1B12"/>
    <w:rsid w:val="000A2565"/>
    <w:rsid w:val="000A3D8B"/>
    <w:rsid w:val="000B427A"/>
    <w:rsid w:val="000B6AF2"/>
    <w:rsid w:val="000D1A8E"/>
    <w:rsid w:val="000D4BF1"/>
    <w:rsid w:val="000D5E4C"/>
    <w:rsid w:val="000D6FD4"/>
    <w:rsid w:val="000D7B1C"/>
    <w:rsid w:val="000E07D2"/>
    <w:rsid w:val="000E0AE4"/>
    <w:rsid w:val="000E1EA4"/>
    <w:rsid w:val="000E1EFC"/>
    <w:rsid w:val="000E3DBC"/>
    <w:rsid w:val="000E662F"/>
    <w:rsid w:val="000F30C9"/>
    <w:rsid w:val="000F3CFE"/>
    <w:rsid w:val="000F6568"/>
    <w:rsid w:val="000F7024"/>
    <w:rsid w:val="00102819"/>
    <w:rsid w:val="001035D7"/>
    <w:rsid w:val="00104544"/>
    <w:rsid w:val="0010778D"/>
    <w:rsid w:val="001122B2"/>
    <w:rsid w:val="001122EC"/>
    <w:rsid w:val="001126E7"/>
    <w:rsid w:val="00113922"/>
    <w:rsid w:val="00120450"/>
    <w:rsid w:val="0012388D"/>
    <w:rsid w:val="0013358B"/>
    <w:rsid w:val="00133608"/>
    <w:rsid w:val="00136451"/>
    <w:rsid w:val="00136B57"/>
    <w:rsid w:val="00143FC1"/>
    <w:rsid w:val="00145DCC"/>
    <w:rsid w:val="00150531"/>
    <w:rsid w:val="00150B54"/>
    <w:rsid w:val="0015187A"/>
    <w:rsid w:val="00151C77"/>
    <w:rsid w:val="00153B0B"/>
    <w:rsid w:val="001541A7"/>
    <w:rsid w:val="0016553C"/>
    <w:rsid w:val="00166426"/>
    <w:rsid w:val="0016675A"/>
    <w:rsid w:val="00167267"/>
    <w:rsid w:val="001760AB"/>
    <w:rsid w:val="00176251"/>
    <w:rsid w:val="001776FB"/>
    <w:rsid w:val="00181DCE"/>
    <w:rsid w:val="00182C4C"/>
    <w:rsid w:val="00185B51"/>
    <w:rsid w:val="001878C5"/>
    <w:rsid w:val="00190528"/>
    <w:rsid w:val="0019399D"/>
    <w:rsid w:val="00197526"/>
    <w:rsid w:val="00197D8D"/>
    <w:rsid w:val="001A1440"/>
    <w:rsid w:val="001A1A75"/>
    <w:rsid w:val="001A4812"/>
    <w:rsid w:val="001A70E5"/>
    <w:rsid w:val="001A7E9A"/>
    <w:rsid w:val="001C27A3"/>
    <w:rsid w:val="001C700A"/>
    <w:rsid w:val="001D43F6"/>
    <w:rsid w:val="001D7F2F"/>
    <w:rsid w:val="001E09FA"/>
    <w:rsid w:val="001E464D"/>
    <w:rsid w:val="001F273F"/>
    <w:rsid w:val="001F52D5"/>
    <w:rsid w:val="001F730F"/>
    <w:rsid w:val="00202A6F"/>
    <w:rsid w:val="0020728C"/>
    <w:rsid w:val="00207B78"/>
    <w:rsid w:val="0021065C"/>
    <w:rsid w:val="0022197C"/>
    <w:rsid w:val="00221D07"/>
    <w:rsid w:val="002223F0"/>
    <w:rsid w:val="00222947"/>
    <w:rsid w:val="00224E3B"/>
    <w:rsid w:val="00227E4A"/>
    <w:rsid w:val="00235787"/>
    <w:rsid w:val="00235C93"/>
    <w:rsid w:val="002421C1"/>
    <w:rsid w:val="00254E17"/>
    <w:rsid w:val="00260397"/>
    <w:rsid w:val="002612A6"/>
    <w:rsid w:val="00270443"/>
    <w:rsid w:val="00270D5F"/>
    <w:rsid w:val="002758A0"/>
    <w:rsid w:val="00281545"/>
    <w:rsid w:val="00287C92"/>
    <w:rsid w:val="00291218"/>
    <w:rsid w:val="0029204E"/>
    <w:rsid w:val="002978EB"/>
    <w:rsid w:val="002A0194"/>
    <w:rsid w:val="002A5F8B"/>
    <w:rsid w:val="002A781D"/>
    <w:rsid w:val="002A7F6C"/>
    <w:rsid w:val="002B095F"/>
    <w:rsid w:val="002C1A3B"/>
    <w:rsid w:val="002C4F25"/>
    <w:rsid w:val="002C568D"/>
    <w:rsid w:val="002E16D5"/>
    <w:rsid w:val="002E1820"/>
    <w:rsid w:val="002E1B32"/>
    <w:rsid w:val="002E2439"/>
    <w:rsid w:val="002E6A94"/>
    <w:rsid w:val="002F0153"/>
    <w:rsid w:val="002F35EA"/>
    <w:rsid w:val="002F6488"/>
    <w:rsid w:val="00305629"/>
    <w:rsid w:val="00305C54"/>
    <w:rsid w:val="00306C16"/>
    <w:rsid w:val="00306D44"/>
    <w:rsid w:val="0031016C"/>
    <w:rsid w:val="00310A7D"/>
    <w:rsid w:val="0031125A"/>
    <w:rsid w:val="0031306C"/>
    <w:rsid w:val="0031426B"/>
    <w:rsid w:val="003213F9"/>
    <w:rsid w:val="00323AB6"/>
    <w:rsid w:val="00323DBF"/>
    <w:rsid w:val="00327867"/>
    <w:rsid w:val="00327D8D"/>
    <w:rsid w:val="00332B12"/>
    <w:rsid w:val="00337CBC"/>
    <w:rsid w:val="003428FC"/>
    <w:rsid w:val="003507DB"/>
    <w:rsid w:val="00351B07"/>
    <w:rsid w:val="003559F5"/>
    <w:rsid w:val="0035649E"/>
    <w:rsid w:val="00357357"/>
    <w:rsid w:val="00360F74"/>
    <w:rsid w:val="00362837"/>
    <w:rsid w:val="003634D3"/>
    <w:rsid w:val="0036533D"/>
    <w:rsid w:val="0036749A"/>
    <w:rsid w:val="00371B29"/>
    <w:rsid w:val="00374C76"/>
    <w:rsid w:val="003766F8"/>
    <w:rsid w:val="00376F16"/>
    <w:rsid w:val="00380106"/>
    <w:rsid w:val="0038123D"/>
    <w:rsid w:val="003814F0"/>
    <w:rsid w:val="00381E07"/>
    <w:rsid w:val="00384A05"/>
    <w:rsid w:val="00385788"/>
    <w:rsid w:val="00387786"/>
    <w:rsid w:val="00391769"/>
    <w:rsid w:val="0039477A"/>
    <w:rsid w:val="00394C73"/>
    <w:rsid w:val="003953E1"/>
    <w:rsid w:val="003956B3"/>
    <w:rsid w:val="003A0A4D"/>
    <w:rsid w:val="003A3D30"/>
    <w:rsid w:val="003A42B6"/>
    <w:rsid w:val="003A68BE"/>
    <w:rsid w:val="003A69F7"/>
    <w:rsid w:val="003A7B84"/>
    <w:rsid w:val="003C4969"/>
    <w:rsid w:val="003D14A9"/>
    <w:rsid w:val="003D2CDC"/>
    <w:rsid w:val="003D4173"/>
    <w:rsid w:val="003D5B92"/>
    <w:rsid w:val="003E3974"/>
    <w:rsid w:val="003E41D5"/>
    <w:rsid w:val="003E46BA"/>
    <w:rsid w:val="003F74C1"/>
    <w:rsid w:val="00404D8A"/>
    <w:rsid w:val="00405B1A"/>
    <w:rsid w:val="00410868"/>
    <w:rsid w:val="00410C76"/>
    <w:rsid w:val="00411907"/>
    <w:rsid w:val="00415ECF"/>
    <w:rsid w:val="00416FEE"/>
    <w:rsid w:val="00417EE3"/>
    <w:rsid w:val="004207EB"/>
    <w:rsid w:val="00421730"/>
    <w:rsid w:val="00422EC9"/>
    <w:rsid w:val="00423AC7"/>
    <w:rsid w:val="00424BE2"/>
    <w:rsid w:val="00426D0F"/>
    <w:rsid w:val="0043045B"/>
    <w:rsid w:val="00432A42"/>
    <w:rsid w:val="0043511F"/>
    <w:rsid w:val="00436C47"/>
    <w:rsid w:val="00437276"/>
    <w:rsid w:val="00444CA9"/>
    <w:rsid w:val="00446C1B"/>
    <w:rsid w:val="0045252B"/>
    <w:rsid w:val="00452F36"/>
    <w:rsid w:val="00453646"/>
    <w:rsid w:val="0045588A"/>
    <w:rsid w:val="00456B54"/>
    <w:rsid w:val="004600B6"/>
    <w:rsid w:val="00463383"/>
    <w:rsid w:val="00464643"/>
    <w:rsid w:val="00465864"/>
    <w:rsid w:val="00466DE9"/>
    <w:rsid w:val="00486793"/>
    <w:rsid w:val="00486C66"/>
    <w:rsid w:val="00494A3F"/>
    <w:rsid w:val="00494D1F"/>
    <w:rsid w:val="004A2037"/>
    <w:rsid w:val="004A793C"/>
    <w:rsid w:val="004B047B"/>
    <w:rsid w:val="004B33EF"/>
    <w:rsid w:val="004B4CDC"/>
    <w:rsid w:val="004B76CD"/>
    <w:rsid w:val="004C2C7A"/>
    <w:rsid w:val="004D121E"/>
    <w:rsid w:val="004D1B1C"/>
    <w:rsid w:val="004D7E89"/>
    <w:rsid w:val="004E4BFE"/>
    <w:rsid w:val="004E6882"/>
    <w:rsid w:val="004F1F81"/>
    <w:rsid w:val="004F37A4"/>
    <w:rsid w:val="004F4E38"/>
    <w:rsid w:val="004F4F98"/>
    <w:rsid w:val="004F59A3"/>
    <w:rsid w:val="004F69F6"/>
    <w:rsid w:val="004F79AC"/>
    <w:rsid w:val="004F7D3A"/>
    <w:rsid w:val="00504E09"/>
    <w:rsid w:val="00506E9B"/>
    <w:rsid w:val="00507C3A"/>
    <w:rsid w:val="00514C3F"/>
    <w:rsid w:val="005207D8"/>
    <w:rsid w:val="00523930"/>
    <w:rsid w:val="005244F1"/>
    <w:rsid w:val="00526552"/>
    <w:rsid w:val="005339EA"/>
    <w:rsid w:val="00535EC3"/>
    <w:rsid w:val="00537CDC"/>
    <w:rsid w:val="00551530"/>
    <w:rsid w:val="0055223D"/>
    <w:rsid w:val="00556810"/>
    <w:rsid w:val="00560185"/>
    <w:rsid w:val="00562917"/>
    <w:rsid w:val="00563118"/>
    <w:rsid w:val="0057013D"/>
    <w:rsid w:val="00571B8C"/>
    <w:rsid w:val="005764AA"/>
    <w:rsid w:val="005811B7"/>
    <w:rsid w:val="00586228"/>
    <w:rsid w:val="005946D3"/>
    <w:rsid w:val="005A09D1"/>
    <w:rsid w:val="005A2DF3"/>
    <w:rsid w:val="005A4391"/>
    <w:rsid w:val="005A572E"/>
    <w:rsid w:val="005A7667"/>
    <w:rsid w:val="005B251A"/>
    <w:rsid w:val="005B46A2"/>
    <w:rsid w:val="005B48D5"/>
    <w:rsid w:val="005B4EC7"/>
    <w:rsid w:val="005B6AF4"/>
    <w:rsid w:val="005B79D0"/>
    <w:rsid w:val="005C04CB"/>
    <w:rsid w:val="005C0763"/>
    <w:rsid w:val="005C10B4"/>
    <w:rsid w:val="005C20DC"/>
    <w:rsid w:val="005C6E37"/>
    <w:rsid w:val="005D16AD"/>
    <w:rsid w:val="005D2016"/>
    <w:rsid w:val="005D4110"/>
    <w:rsid w:val="005D7179"/>
    <w:rsid w:val="005D72E1"/>
    <w:rsid w:val="005E58D3"/>
    <w:rsid w:val="005E6682"/>
    <w:rsid w:val="005E6E16"/>
    <w:rsid w:val="005F30F9"/>
    <w:rsid w:val="005F400E"/>
    <w:rsid w:val="005F7342"/>
    <w:rsid w:val="00610172"/>
    <w:rsid w:val="00610A3C"/>
    <w:rsid w:val="006138D7"/>
    <w:rsid w:val="006157BE"/>
    <w:rsid w:val="00615E83"/>
    <w:rsid w:val="00616017"/>
    <w:rsid w:val="006167A4"/>
    <w:rsid w:val="006179C0"/>
    <w:rsid w:val="00625008"/>
    <w:rsid w:val="00627F48"/>
    <w:rsid w:val="00630BE9"/>
    <w:rsid w:val="00630CCC"/>
    <w:rsid w:val="0063158B"/>
    <w:rsid w:val="006323C3"/>
    <w:rsid w:val="0063455F"/>
    <w:rsid w:val="00635814"/>
    <w:rsid w:val="006551C5"/>
    <w:rsid w:val="00662452"/>
    <w:rsid w:val="00663FCF"/>
    <w:rsid w:val="006652A2"/>
    <w:rsid w:val="00683071"/>
    <w:rsid w:val="006871A8"/>
    <w:rsid w:val="00687DEB"/>
    <w:rsid w:val="00692490"/>
    <w:rsid w:val="00693E5F"/>
    <w:rsid w:val="006969CC"/>
    <w:rsid w:val="00696A15"/>
    <w:rsid w:val="00697481"/>
    <w:rsid w:val="006A1A27"/>
    <w:rsid w:val="006A48A7"/>
    <w:rsid w:val="006A5D40"/>
    <w:rsid w:val="006B1CCB"/>
    <w:rsid w:val="006B4BC4"/>
    <w:rsid w:val="006C0A8D"/>
    <w:rsid w:val="006C1AF3"/>
    <w:rsid w:val="006C22A7"/>
    <w:rsid w:val="006C5CF5"/>
    <w:rsid w:val="006C5E00"/>
    <w:rsid w:val="006D1440"/>
    <w:rsid w:val="006D2F26"/>
    <w:rsid w:val="006D33FF"/>
    <w:rsid w:val="006D5EE8"/>
    <w:rsid w:val="006E10A1"/>
    <w:rsid w:val="006E71C9"/>
    <w:rsid w:val="006F09DB"/>
    <w:rsid w:val="006F4A82"/>
    <w:rsid w:val="006F5A8F"/>
    <w:rsid w:val="0070000D"/>
    <w:rsid w:val="00710C37"/>
    <w:rsid w:val="00713284"/>
    <w:rsid w:val="00716E5F"/>
    <w:rsid w:val="007203CD"/>
    <w:rsid w:val="007246A7"/>
    <w:rsid w:val="00724FA4"/>
    <w:rsid w:val="0072643E"/>
    <w:rsid w:val="00730800"/>
    <w:rsid w:val="00733F57"/>
    <w:rsid w:val="00735645"/>
    <w:rsid w:val="00736EEE"/>
    <w:rsid w:val="00742AE9"/>
    <w:rsid w:val="00755F02"/>
    <w:rsid w:val="007602AA"/>
    <w:rsid w:val="007652EF"/>
    <w:rsid w:val="00765DE1"/>
    <w:rsid w:val="0076647C"/>
    <w:rsid w:val="00766BE4"/>
    <w:rsid w:val="00772BDC"/>
    <w:rsid w:val="0077388E"/>
    <w:rsid w:val="00774AA2"/>
    <w:rsid w:val="00777437"/>
    <w:rsid w:val="00780792"/>
    <w:rsid w:val="0078309E"/>
    <w:rsid w:val="00795D86"/>
    <w:rsid w:val="007A44B4"/>
    <w:rsid w:val="007A53BF"/>
    <w:rsid w:val="007A7D3D"/>
    <w:rsid w:val="007B0E55"/>
    <w:rsid w:val="007B225D"/>
    <w:rsid w:val="007B37B3"/>
    <w:rsid w:val="007B3827"/>
    <w:rsid w:val="007B562A"/>
    <w:rsid w:val="007C1578"/>
    <w:rsid w:val="007C1C64"/>
    <w:rsid w:val="007C22CB"/>
    <w:rsid w:val="007C4753"/>
    <w:rsid w:val="007D0189"/>
    <w:rsid w:val="007D4B20"/>
    <w:rsid w:val="007E12EB"/>
    <w:rsid w:val="007E48BC"/>
    <w:rsid w:val="007E79F7"/>
    <w:rsid w:val="007F10B6"/>
    <w:rsid w:val="007F3630"/>
    <w:rsid w:val="007F7BF7"/>
    <w:rsid w:val="00807559"/>
    <w:rsid w:val="00810C31"/>
    <w:rsid w:val="00813464"/>
    <w:rsid w:val="00813640"/>
    <w:rsid w:val="008143ED"/>
    <w:rsid w:val="0081606B"/>
    <w:rsid w:val="00820CBB"/>
    <w:rsid w:val="00831154"/>
    <w:rsid w:val="008333F4"/>
    <w:rsid w:val="0083551D"/>
    <w:rsid w:val="008414E9"/>
    <w:rsid w:val="008430D5"/>
    <w:rsid w:val="00843572"/>
    <w:rsid w:val="008450BC"/>
    <w:rsid w:val="00847066"/>
    <w:rsid w:val="00850B09"/>
    <w:rsid w:val="0085334B"/>
    <w:rsid w:val="008537BA"/>
    <w:rsid w:val="00860808"/>
    <w:rsid w:val="00861C13"/>
    <w:rsid w:val="00862349"/>
    <w:rsid w:val="00862454"/>
    <w:rsid w:val="0086571E"/>
    <w:rsid w:val="00870214"/>
    <w:rsid w:val="00871116"/>
    <w:rsid w:val="00880BFE"/>
    <w:rsid w:val="00885C51"/>
    <w:rsid w:val="008913EE"/>
    <w:rsid w:val="00896B85"/>
    <w:rsid w:val="008A243D"/>
    <w:rsid w:val="008A3659"/>
    <w:rsid w:val="008B12C9"/>
    <w:rsid w:val="008B4158"/>
    <w:rsid w:val="008B46E3"/>
    <w:rsid w:val="008C661E"/>
    <w:rsid w:val="008D06C6"/>
    <w:rsid w:val="008D5995"/>
    <w:rsid w:val="008D5E9D"/>
    <w:rsid w:val="008E31F0"/>
    <w:rsid w:val="008E3322"/>
    <w:rsid w:val="008E6250"/>
    <w:rsid w:val="008F4DB1"/>
    <w:rsid w:val="009110DD"/>
    <w:rsid w:val="009131F3"/>
    <w:rsid w:val="00920249"/>
    <w:rsid w:val="00923AAD"/>
    <w:rsid w:val="0092415A"/>
    <w:rsid w:val="00924237"/>
    <w:rsid w:val="00932F14"/>
    <w:rsid w:val="00935DDE"/>
    <w:rsid w:val="00937A79"/>
    <w:rsid w:val="0094247F"/>
    <w:rsid w:val="00942D60"/>
    <w:rsid w:val="0094382A"/>
    <w:rsid w:val="009441A0"/>
    <w:rsid w:val="009460FA"/>
    <w:rsid w:val="00947534"/>
    <w:rsid w:val="009478A1"/>
    <w:rsid w:val="00950495"/>
    <w:rsid w:val="00950A0F"/>
    <w:rsid w:val="00955271"/>
    <w:rsid w:val="00956C12"/>
    <w:rsid w:val="00961E7D"/>
    <w:rsid w:val="0096523B"/>
    <w:rsid w:val="00972D06"/>
    <w:rsid w:val="009765F1"/>
    <w:rsid w:val="009800BE"/>
    <w:rsid w:val="00980679"/>
    <w:rsid w:val="00991F28"/>
    <w:rsid w:val="0099323D"/>
    <w:rsid w:val="0099623A"/>
    <w:rsid w:val="009A2699"/>
    <w:rsid w:val="009A391C"/>
    <w:rsid w:val="009B448F"/>
    <w:rsid w:val="009B4818"/>
    <w:rsid w:val="009B5720"/>
    <w:rsid w:val="009C1974"/>
    <w:rsid w:val="009D01E3"/>
    <w:rsid w:val="009D2D29"/>
    <w:rsid w:val="009E0A61"/>
    <w:rsid w:val="009E3010"/>
    <w:rsid w:val="009E46F5"/>
    <w:rsid w:val="009E6DD4"/>
    <w:rsid w:val="009E7F4C"/>
    <w:rsid w:val="009F4F09"/>
    <w:rsid w:val="009F7065"/>
    <w:rsid w:val="00A04423"/>
    <w:rsid w:val="00A072D1"/>
    <w:rsid w:val="00A11508"/>
    <w:rsid w:val="00A1155E"/>
    <w:rsid w:val="00A1176E"/>
    <w:rsid w:val="00A12647"/>
    <w:rsid w:val="00A1539B"/>
    <w:rsid w:val="00A21632"/>
    <w:rsid w:val="00A22BF1"/>
    <w:rsid w:val="00A2449C"/>
    <w:rsid w:val="00A26B57"/>
    <w:rsid w:val="00A318EB"/>
    <w:rsid w:val="00A3264F"/>
    <w:rsid w:val="00A3640C"/>
    <w:rsid w:val="00A448E0"/>
    <w:rsid w:val="00A44B33"/>
    <w:rsid w:val="00A52076"/>
    <w:rsid w:val="00A53642"/>
    <w:rsid w:val="00A54F3C"/>
    <w:rsid w:val="00A551B9"/>
    <w:rsid w:val="00A56DC7"/>
    <w:rsid w:val="00A57BC3"/>
    <w:rsid w:val="00A66FDD"/>
    <w:rsid w:val="00A671E6"/>
    <w:rsid w:val="00A70634"/>
    <w:rsid w:val="00A709E5"/>
    <w:rsid w:val="00A718D3"/>
    <w:rsid w:val="00A71C12"/>
    <w:rsid w:val="00A74FD1"/>
    <w:rsid w:val="00A761AD"/>
    <w:rsid w:val="00A812D1"/>
    <w:rsid w:val="00A84A58"/>
    <w:rsid w:val="00A929A9"/>
    <w:rsid w:val="00A96594"/>
    <w:rsid w:val="00AA1C8F"/>
    <w:rsid w:val="00AA41BA"/>
    <w:rsid w:val="00AA6D0D"/>
    <w:rsid w:val="00AA6FA3"/>
    <w:rsid w:val="00AB7F7E"/>
    <w:rsid w:val="00AC428E"/>
    <w:rsid w:val="00AC5293"/>
    <w:rsid w:val="00AC6427"/>
    <w:rsid w:val="00AD161F"/>
    <w:rsid w:val="00AD344F"/>
    <w:rsid w:val="00AD34A9"/>
    <w:rsid w:val="00AD7E42"/>
    <w:rsid w:val="00AE4FFD"/>
    <w:rsid w:val="00AF0F51"/>
    <w:rsid w:val="00AF24FA"/>
    <w:rsid w:val="00AF387F"/>
    <w:rsid w:val="00AF397D"/>
    <w:rsid w:val="00AF5607"/>
    <w:rsid w:val="00AF7F8E"/>
    <w:rsid w:val="00B00E7F"/>
    <w:rsid w:val="00B03EC3"/>
    <w:rsid w:val="00B044A7"/>
    <w:rsid w:val="00B10D29"/>
    <w:rsid w:val="00B17112"/>
    <w:rsid w:val="00B21055"/>
    <w:rsid w:val="00B21DCC"/>
    <w:rsid w:val="00B25F37"/>
    <w:rsid w:val="00B27A14"/>
    <w:rsid w:val="00B33324"/>
    <w:rsid w:val="00B366AC"/>
    <w:rsid w:val="00B37158"/>
    <w:rsid w:val="00B379CA"/>
    <w:rsid w:val="00B41636"/>
    <w:rsid w:val="00B425AA"/>
    <w:rsid w:val="00B430BE"/>
    <w:rsid w:val="00B44422"/>
    <w:rsid w:val="00B46EA0"/>
    <w:rsid w:val="00B47757"/>
    <w:rsid w:val="00B53CCF"/>
    <w:rsid w:val="00B543F2"/>
    <w:rsid w:val="00B55654"/>
    <w:rsid w:val="00B55714"/>
    <w:rsid w:val="00B65081"/>
    <w:rsid w:val="00B66D5B"/>
    <w:rsid w:val="00B731D3"/>
    <w:rsid w:val="00B75B57"/>
    <w:rsid w:val="00B811B3"/>
    <w:rsid w:val="00B839A3"/>
    <w:rsid w:val="00B859B0"/>
    <w:rsid w:val="00B902BD"/>
    <w:rsid w:val="00B94887"/>
    <w:rsid w:val="00B960E5"/>
    <w:rsid w:val="00B96FD4"/>
    <w:rsid w:val="00BA1009"/>
    <w:rsid w:val="00BB0EC9"/>
    <w:rsid w:val="00BC367C"/>
    <w:rsid w:val="00BC424F"/>
    <w:rsid w:val="00BC56E0"/>
    <w:rsid w:val="00BC7F4D"/>
    <w:rsid w:val="00BD0624"/>
    <w:rsid w:val="00BD2A39"/>
    <w:rsid w:val="00BD2E80"/>
    <w:rsid w:val="00BD3C64"/>
    <w:rsid w:val="00BD49FF"/>
    <w:rsid w:val="00BD4B64"/>
    <w:rsid w:val="00BD77E1"/>
    <w:rsid w:val="00BE0060"/>
    <w:rsid w:val="00BE11B8"/>
    <w:rsid w:val="00BE3066"/>
    <w:rsid w:val="00BE39DF"/>
    <w:rsid w:val="00BF0E84"/>
    <w:rsid w:val="00BF4974"/>
    <w:rsid w:val="00BF5C74"/>
    <w:rsid w:val="00BF7FF0"/>
    <w:rsid w:val="00C11AEA"/>
    <w:rsid w:val="00C12502"/>
    <w:rsid w:val="00C129EB"/>
    <w:rsid w:val="00C14CDD"/>
    <w:rsid w:val="00C16E49"/>
    <w:rsid w:val="00C21CF7"/>
    <w:rsid w:val="00C2689C"/>
    <w:rsid w:val="00C26B3B"/>
    <w:rsid w:val="00C27B8B"/>
    <w:rsid w:val="00C40AA5"/>
    <w:rsid w:val="00C46F70"/>
    <w:rsid w:val="00C476D0"/>
    <w:rsid w:val="00C527AC"/>
    <w:rsid w:val="00C6434A"/>
    <w:rsid w:val="00C67980"/>
    <w:rsid w:val="00C74398"/>
    <w:rsid w:val="00C804C5"/>
    <w:rsid w:val="00C81EAD"/>
    <w:rsid w:val="00C82E92"/>
    <w:rsid w:val="00C830B9"/>
    <w:rsid w:val="00C836E3"/>
    <w:rsid w:val="00C836FF"/>
    <w:rsid w:val="00C846CF"/>
    <w:rsid w:val="00C854DC"/>
    <w:rsid w:val="00C86577"/>
    <w:rsid w:val="00C90422"/>
    <w:rsid w:val="00C91C02"/>
    <w:rsid w:val="00C92E07"/>
    <w:rsid w:val="00C96641"/>
    <w:rsid w:val="00C96868"/>
    <w:rsid w:val="00CA0416"/>
    <w:rsid w:val="00CA5734"/>
    <w:rsid w:val="00CA7DE9"/>
    <w:rsid w:val="00CB01B2"/>
    <w:rsid w:val="00CB1099"/>
    <w:rsid w:val="00CB115C"/>
    <w:rsid w:val="00CB220F"/>
    <w:rsid w:val="00CB2E47"/>
    <w:rsid w:val="00CB4811"/>
    <w:rsid w:val="00CC1300"/>
    <w:rsid w:val="00CC1A8C"/>
    <w:rsid w:val="00CC2DB2"/>
    <w:rsid w:val="00CC3764"/>
    <w:rsid w:val="00CC3A35"/>
    <w:rsid w:val="00CC5468"/>
    <w:rsid w:val="00CC54F1"/>
    <w:rsid w:val="00CC560B"/>
    <w:rsid w:val="00CC75E2"/>
    <w:rsid w:val="00CD31D8"/>
    <w:rsid w:val="00CD46EB"/>
    <w:rsid w:val="00CD7EBF"/>
    <w:rsid w:val="00CE4A4F"/>
    <w:rsid w:val="00CE59AA"/>
    <w:rsid w:val="00CE71FD"/>
    <w:rsid w:val="00CF27BD"/>
    <w:rsid w:val="00CF5C2B"/>
    <w:rsid w:val="00D00DFA"/>
    <w:rsid w:val="00D056F1"/>
    <w:rsid w:val="00D064EB"/>
    <w:rsid w:val="00D06616"/>
    <w:rsid w:val="00D10771"/>
    <w:rsid w:val="00D10E21"/>
    <w:rsid w:val="00D144D7"/>
    <w:rsid w:val="00D15A08"/>
    <w:rsid w:val="00D23DB6"/>
    <w:rsid w:val="00D325E7"/>
    <w:rsid w:val="00D349D5"/>
    <w:rsid w:val="00D51A95"/>
    <w:rsid w:val="00D5587A"/>
    <w:rsid w:val="00D60568"/>
    <w:rsid w:val="00D66A7D"/>
    <w:rsid w:val="00D705BE"/>
    <w:rsid w:val="00D70C7A"/>
    <w:rsid w:val="00D72A29"/>
    <w:rsid w:val="00D75A31"/>
    <w:rsid w:val="00D8258D"/>
    <w:rsid w:val="00D834E5"/>
    <w:rsid w:val="00D83510"/>
    <w:rsid w:val="00D84396"/>
    <w:rsid w:val="00D87CCF"/>
    <w:rsid w:val="00D94905"/>
    <w:rsid w:val="00D96C9C"/>
    <w:rsid w:val="00D9796A"/>
    <w:rsid w:val="00DA10A8"/>
    <w:rsid w:val="00DB123A"/>
    <w:rsid w:val="00DB1E08"/>
    <w:rsid w:val="00DB2973"/>
    <w:rsid w:val="00DB3650"/>
    <w:rsid w:val="00DC0FBA"/>
    <w:rsid w:val="00DC1A56"/>
    <w:rsid w:val="00DC1B56"/>
    <w:rsid w:val="00DC209A"/>
    <w:rsid w:val="00DC20CC"/>
    <w:rsid w:val="00DC2129"/>
    <w:rsid w:val="00DC53ED"/>
    <w:rsid w:val="00DC5EE4"/>
    <w:rsid w:val="00DC6570"/>
    <w:rsid w:val="00DD265C"/>
    <w:rsid w:val="00DD3303"/>
    <w:rsid w:val="00DD3703"/>
    <w:rsid w:val="00DD5527"/>
    <w:rsid w:val="00DE1CFC"/>
    <w:rsid w:val="00DE5528"/>
    <w:rsid w:val="00DE796E"/>
    <w:rsid w:val="00DF0EF4"/>
    <w:rsid w:val="00DF25C3"/>
    <w:rsid w:val="00DF3C77"/>
    <w:rsid w:val="00DF4478"/>
    <w:rsid w:val="00DF6240"/>
    <w:rsid w:val="00DF70E4"/>
    <w:rsid w:val="00DF70F4"/>
    <w:rsid w:val="00DF72BB"/>
    <w:rsid w:val="00E02960"/>
    <w:rsid w:val="00E02D25"/>
    <w:rsid w:val="00E04062"/>
    <w:rsid w:val="00E063C6"/>
    <w:rsid w:val="00E06826"/>
    <w:rsid w:val="00E137CC"/>
    <w:rsid w:val="00E13BEF"/>
    <w:rsid w:val="00E2003B"/>
    <w:rsid w:val="00E2633C"/>
    <w:rsid w:val="00E26887"/>
    <w:rsid w:val="00E279D8"/>
    <w:rsid w:val="00E27DF3"/>
    <w:rsid w:val="00E30092"/>
    <w:rsid w:val="00E319B1"/>
    <w:rsid w:val="00E327A6"/>
    <w:rsid w:val="00E340FC"/>
    <w:rsid w:val="00E3684F"/>
    <w:rsid w:val="00E3779D"/>
    <w:rsid w:val="00E47D3B"/>
    <w:rsid w:val="00E508A8"/>
    <w:rsid w:val="00E5492F"/>
    <w:rsid w:val="00E572B1"/>
    <w:rsid w:val="00E6369A"/>
    <w:rsid w:val="00E66442"/>
    <w:rsid w:val="00E70A86"/>
    <w:rsid w:val="00E71C21"/>
    <w:rsid w:val="00E73424"/>
    <w:rsid w:val="00E73E50"/>
    <w:rsid w:val="00E76A28"/>
    <w:rsid w:val="00E76D54"/>
    <w:rsid w:val="00E777EC"/>
    <w:rsid w:val="00E77F98"/>
    <w:rsid w:val="00E80FCD"/>
    <w:rsid w:val="00E93809"/>
    <w:rsid w:val="00E9495C"/>
    <w:rsid w:val="00E972D3"/>
    <w:rsid w:val="00EA004F"/>
    <w:rsid w:val="00EA5095"/>
    <w:rsid w:val="00EA7F03"/>
    <w:rsid w:val="00EA7F2F"/>
    <w:rsid w:val="00EB426C"/>
    <w:rsid w:val="00EB6590"/>
    <w:rsid w:val="00EB6FF5"/>
    <w:rsid w:val="00EC00DE"/>
    <w:rsid w:val="00EC21DF"/>
    <w:rsid w:val="00EC28AA"/>
    <w:rsid w:val="00EC30E1"/>
    <w:rsid w:val="00EC3436"/>
    <w:rsid w:val="00EC60B2"/>
    <w:rsid w:val="00EC66BB"/>
    <w:rsid w:val="00ED0567"/>
    <w:rsid w:val="00ED172A"/>
    <w:rsid w:val="00ED1D5A"/>
    <w:rsid w:val="00ED70BB"/>
    <w:rsid w:val="00EE01DC"/>
    <w:rsid w:val="00EE4296"/>
    <w:rsid w:val="00EE74BE"/>
    <w:rsid w:val="00EF0F52"/>
    <w:rsid w:val="00F025AD"/>
    <w:rsid w:val="00F13285"/>
    <w:rsid w:val="00F14AB3"/>
    <w:rsid w:val="00F14BEC"/>
    <w:rsid w:val="00F17C8A"/>
    <w:rsid w:val="00F2048E"/>
    <w:rsid w:val="00F224B7"/>
    <w:rsid w:val="00F225C5"/>
    <w:rsid w:val="00F25636"/>
    <w:rsid w:val="00F2587A"/>
    <w:rsid w:val="00F317B3"/>
    <w:rsid w:val="00F33470"/>
    <w:rsid w:val="00F34E02"/>
    <w:rsid w:val="00F357BE"/>
    <w:rsid w:val="00F3715D"/>
    <w:rsid w:val="00F37A10"/>
    <w:rsid w:val="00F420C8"/>
    <w:rsid w:val="00F42A4C"/>
    <w:rsid w:val="00F526BD"/>
    <w:rsid w:val="00F52ACC"/>
    <w:rsid w:val="00F62197"/>
    <w:rsid w:val="00F634A1"/>
    <w:rsid w:val="00F73505"/>
    <w:rsid w:val="00F760A5"/>
    <w:rsid w:val="00F81984"/>
    <w:rsid w:val="00F82599"/>
    <w:rsid w:val="00F90C1C"/>
    <w:rsid w:val="00F977BC"/>
    <w:rsid w:val="00FA13E5"/>
    <w:rsid w:val="00FA22D8"/>
    <w:rsid w:val="00FB244C"/>
    <w:rsid w:val="00FB7512"/>
    <w:rsid w:val="00FD6095"/>
    <w:rsid w:val="00FD7547"/>
    <w:rsid w:val="00FE287B"/>
    <w:rsid w:val="00FE3AD6"/>
    <w:rsid w:val="00FE6B50"/>
    <w:rsid w:val="00FF002B"/>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5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uiPriority w:val="14"/>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uiPriority w:val="16"/>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uiPriority w:val="18"/>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D70BB"/>
    <w:pPr>
      <w:widowControl/>
      <w:numPr>
        <w:numId w:val="2"/>
      </w:numPr>
      <w:ind w:left="567" w:hanging="567"/>
    </w:pPr>
    <w:rPr>
      <w:rFonts w:cs="Arial"/>
      <w:lang w:bidi="ar-SA"/>
    </w:rPr>
  </w:style>
  <w:style w:type="character" w:customStyle="1" w:styleId="FSBullet1Char">
    <w:name w:val="FSBullet 1 Char"/>
    <w:link w:val="FSBullet1"/>
    <w:rsid w:val="00ED70BB"/>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rsid w:val="006E10A1"/>
    <w:rPr>
      <w:rFonts w:ascii="Arial" w:hAnsi="Arial"/>
      <w:lang w:eastAsia="en-US" w:bidi="en-US"/>
    </w:rPr>
  </w:style>
  <w:style w:type="character" w:customStyle="1" w:styleId="normalchar">
    <w:name w:val="normal_char"/>
    <w:rsid w:val="00305629"/>
    <w:rPr>
      <w:color w:val="auto"/>
    </w:rPr>
  </w:style>
  <w:style w:type="paragraph" w:styleId="BodyText">
    <w:name w:val="Body Text"/>
    <w:basedOn w:val="Normal"/>
    <w:link w:val="BodyTextChar"/>
    <w:rsid w:val="00EE4296"/>
    <w:pPr>
      <w:spacing w:after="120"/>
    </w:pPr>
  </w:style>
  <w:style w:type="character" w:customStyle="1" w:styleId="BodyTextChar">
    <w:name w:val="Body Text Char"/>
    <w:basedOn w:val="DefaultParagraphFont"/>
    <w:link w:val="BodyText"/>
    <w:rsid w:val="00EE4296"/>
    <w:rPr>
      <w:rFonts w:ascii="Arial" w:hAnsi="Arial"/>
      <w:sz w:val="22"/>
      <w:szCs w:val="24"/>
      <w:lang w:eastAsia="en-US" w:bidi="en-US"/>
    </w:rPr>
  </w:style>
  <w:style w:type="paragraph" w:styleId="ListParagraph">
    <w:name w:val="List Paragraph"/>
    <w:basedOn w:val="Normal"/>
    <w:uiPriority w:val="34"/>
    <w:qFormat/>
    <w:rsid w:val="00563118"/>
    <w:pPr>
      <w:widowControl/>
      <w:ind w:left="720"/>
      <w:contextualSpacing/>
    </w:pPr>
    <w:rPr>
      <w:rFonts w:eastAsiaTheme="minorHAnsi" w:cstheme="minorBidi"/>
      <w:szCs w:val="22"/>
      <w:lang w:eastAsia="en-GB" w:bidi="ar-SA"/>
    </w:rPr>
  </w:style>
  <w:style w:type="paragraph" w:styleId="Title">
    <w:name w:val="Title"/>
    <w:basedOn w:val="Normal"/>
    <w:link w:val="TitleChar"/>
    <w:uiPriority w:val="10"/>
    <w:qFormat/>
    <w:rsid w:val="00306C16"/>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306C16"/>
    <w:rPr>
      <w:rFonts w:ascii="Arial" w:eastAsiaTheme="minorHAnsi" w:hAnsi="Arial" w:cstheme="minorBidi"/>
      <w:b/>
      <w:bCs/>
      <w:szCs w:val="22"/>
      <w:lang w:val="en-AU"/>
    </w:rPr>
  </w:style>
  <w:style w:type="character" w:customStyle="1" w:styleId="ClauseChar">
    <w:name w:val="Clause Char"/>
    <w:basedOn w:val="DefaultParagraphFont"/>
    <w:link w:val="Clause"/>
    <w:uiPriority w:val="10"/>
    <w:rsid w:val="00306C16"/>
    <w:rPr>
      <w:rFonts w:ascii="Arial" w:hAnsi="Arial"/>
      <w:lang w:eastAsia="en-US" w:bidi="en-US"/>
    </w:rPr>
  </w:style>
  <w:style w:type="character" w:customStyle="1" w:styleId="mb">
    <w:name w:val="mb"/>
    <w:basedOn w:val="DefaultParagraphFont"/>
    <w:rsid w:val="006871A8"/>
    <w:rPr>
      <w:rFonts w:ascii="Arial Unicode MS" w:eastAsia="Arial Unicode MS" w:hAnsi="Arial Unicode MS" w:cs="Arial Unicode MS" w:hint="eastAsia"/>
      <w:vanish w:val="0"/>
      <w:webHidden w:val="0"/>
      <w:shd w:val="clear" w:color="auto" w:fill="auto"/>
      <w:specVanish w:val="0"/>
    </w:rPr>
  </w:style>
  <w:style w:type="paragraph" w:customStyle="1" w:styleId="Bullet">
    <w:name w:val="Bullet"/>
    <w:basedOn w:val="Normal"/>
    <w:uiPriority w:val="99"/>
    <w:rsid w:val="00C67980"/>
    <w:pPr>
      <w:widowControl/>
      <w:numPr>
        <w:numId w:val="23"/>
      </w:numPr>
    </w:pPr>
    <w:rPr>
      <w:rFonts w:eastAsiaTheme="minorHAnsi" w:cs="Arial"/>
      <w:szCs w:val="22"/>
      <w:lang w:bidi="ar-SA"/>
    </w:rPr>
  </w:style>
  <w:style w:type="paragraph" w:styleId="NormalWeb">
    <w:name w:val="Normal (Web)"/>
    <w:basedOn w:val="Normal"/>
    <w:uiPriority w:val="99"/>
    <w:unhideWhenUsed/>
    <w:rsid w:val="00DF70E4"/>
    <w:pPr>
      <w:widowControl/>
      <w:spacing w:before="100" w:beforeAutospacing="1" w:after="100" w:afterAutospacing="1"/>
    </w:pPr>
    <w:rPr>
      <w:rFonts w:ascii="Times New Roman" w:hAnsi="Times New Roman"/>
      <w:sz w:val="24"/>
      <w:lang w:eastAsia="en-GB" w:bidi="ar-SA"/>
    </w:rPr>
  </w:style>
  <w:style w:type="paragraph" w:customStyle="1" w:styleId="t1Main">
    <w:name w:val="t1_Main"/>
    <w:rsid w:val="00C21CF7"/>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C21CF7"/>
    <w:pPr>
      <w:widowControl/>
      <w:spacing w:before="80" w:after="80"/>
    </w:pPr>
    <w:rPr>
      <w:color w:val="7030A0"/>
      <w:lang w:val="en-AU" w:eastAsia="en-AU" w:bidi="ar-SA"/>
    </w:rPr>
  </w:style>
  <w:style w:type="paragraph" w:customStyle="1" w:styleId="ttAuthorisingAct">
    <w:name w:val="tt_Authorising_Act"/>
    <w:basedOn w:val="Normal"/>
    <w:rsid w:val="00C21CF7"/>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C21CF7"/>
    <w:pPr>
      <w:widowControl/>
      <w:spacing w:before="200" w:after="80"/>
    </w:pPr>
    <w:rPr>
      <w:b/>
      <w:sz w:val="32"/>
      <w:lang w:val="en-AU" w:eastAsia="en-AU" w:bidi="ar-SA"/>
    </w:rPr>
  </w:style>
  <w:style w:type="paragraph" w:customStyle="1" w:styleId="TablePlainParagraph">
    <w:name w:val="Table: Plain Paragraph"/>
    <w:aliases w:val="Table PP"/>
    <w:basedOn w:val="Normal"/>
    <w:link w:val="TablePlainParagraphChar"/>
    <w:uiPriority w:val="11"/>
    <w:qFormat/>
    <w:rsid w:val="00C21CF7"/>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C21CF7"/>
    <w:rPr>
      <w:rFonts w:ascii="Arial" w:hAnsi="Arial" w:cs="Arial"/>
      <w:szCs w:val="22"/>
      <w:lang w:val="en-AU" w:eastAsia="en-AU"/>
    </w:rPr>
  </w:style>
  <w:style w:type="paragraph" w:customStyle="1" w:styleId="HR">
    <w:name w:val="HR"/>
    <w:aliases w:val="Regulation Heading"/>
    <w:basedOn w:val="Normal"/>
    <w:next w:val="R1"/>
    <w:rsid w:val="00C21CF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C21CF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C21CF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C21CF7"/>
    <w:pPr>
      <w:keepNext/>
      <w:keepLines/>
      <w:widowControl/>
      <w:spacing w:before="480"/>
      <w:ind w:left="2410" w:hanging="2410"/>
    </w:pPr>
    <w:rPr>
      <w:b/>
      <w:sz w:val="32"/>
      <w:lang w:val="en-AU" w:eastAsia="en-AU" w:bidi="ar-SA"/>
    </w:rPr>
  </w:style>
  <w:style w:type="paragraph" w:customStyle="1" w:styleId="FSCtblAMain">
    <w:name w:val="FSC_tbl_A_Main"/>
    <w:aliases w:val="tbA_t1_Item"/>
    <w:basedOn w:val="Normal"/>
    <w:qFormat/>
    <w:rsid w:val="00ED70BB"/>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ED70BB"/>
    <w:pPr>
      <w:ind w:left="397"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uiPriority w:val="14"/>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uiPriority w:val="16"/>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uiPriority w:val="18"/>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D70BB"/>
    <w:pPr>
      <w:widowControl/>
      <w:numPr>
        <w:numId w:val="2"/>
      </w:numPr>
      <w:ind w:left="567" w:hanging="567"/>
    </w:pPr>
    <w:rPr>
      <w:rFonts w:cs="Arial"/>
      <w:lang w:bidi="ar-SA"/>
    </w:rPr>
  </w:style>
  <w:style w:type="character" w:customStyle="1" w:styleId="FSBullet1Char">
    <w:name w:val="FSBullet 1 Char"/>
    <w:link w:val="FSBullet1"/>
    <w:rsid w:val="00ED70BB"/>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
    <w:basedOn w:val="DefaultParagraphFont"/>
    <w:link w:val="FootnoteText"/>
    <w:rsid w:val="006E10A1"/>
    <w:rPr>
      <w:rFonts w:ascii="Arial" w:hAnsi="Arial"/>
      <w:lang w:eastAsia="en-US" w:bidi="en-US"/>
    </w:rPr>
  </w:style>
  <w:style w:type="character" w:customStyle="1" w:styleId="normalchar">
    <w:name w:val="normal_char"/>
    <w:rsid w:val="00305629"/>
    <w:rPr>
      <w:color w:val="auto"/>
    </w:rPr>
  </w:style>
  <w:style w:type="paragraph" w:styleId="BodyText">
    <w:name w:val="Body Text"/>
    <w:basedOn w:val="Normal"/>
    <w:link w:val="BodyTextChar"/>
    <w:rsid w:val="00EE4296"/>
    <w:pPr>
      <w:spacing w:after="120"/>
    </w:pPr>
  </w:style>
  <w:style w:type="character" w:customStyle="1" w:styleId="BodyTextChar">
    <w:name w:val="Body Text Char"/>
    <w:basedOn w:val="DefaultParagraphFont"/>
    <w:link w:val="BodyText"/>
    <w:rsid w:val="00EE4296"/>
    <w:rPr>
      <w:rFonts w:ascii="Arial" w:hAnsi="Arial"/>
      <w:sz w:val="22"/>
      <w:szCs w:val="24"/>
      <w:lang w:eastAsia="en-US" w:bidi="en-US"/>
    </w:rPr>
  </w:style>
  <w:style w:type="paragraph" w:styleId="ListParagraph">
    <w:name w:val="List Paragraph"/>
    <w:basedOn w:val="Normal"/>
    <w:uiPriority w:val="34"/>
    <w:qFormat/>
    <w:rsid w:val="00563118"/>
    <w:pPr>
      <w:widowControl/>
      <w:ind w:left="720"/>
      <w:contextualSpacing/>
    </w:pPr>
    <w:rPr>
      <w:rFonts w:eastAsiaTheme="minorHAnsi" w:cstheme="minorBidi"/>
      <w:szCs w:val="22"/>
      <w:lang w:eastAsia="en-GB" w:bidi="ar-SA"/>
    </w:rPr>
  </w:style>
  <w:style w:type="paragraph" w:styleId="Title">
    <w:name w:val="Title"/>
    <w:basedOn w:val="Normal"/>
    <w:link w:val="TitleChar"/>
    <w:uiPriority w:val="10"/>
    <w:qFormat/>
    <w:rsid w:val="00306C16"/>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306C16"/>
    <w:rPr>
      <w:rFonts w:ascii="Arial" w:eastAsiaTheme="minorHAnsi" w:hAnsi="Arial" w:cstheme="minorBidi"/>
      <w:b/>
      <w:bCs/>
      <w:szCs w:val="22"/>
      <w:lang w:val="en-AU"/>
    </w:rPr>
  </w:style>
  <w:style w:type="character" w:customStyle="1" w:styleId="ClauseChar">
    <w:name w:val="Clause Char"/>
    <w:basedOn w:val="DefaultParagraphFont"/>
    <w:link w:val="Clause"/>
    <w:uiPriority w:val="10"/>
    <w:rsid w:val="00306C16"/>
    <w:rPr>
      <w:rFonts w:ascii="Arial" w:hAnsi="Arial"/>
      <w:lang w:eastAsia="en-US" w:bidi="en-US"/>
    </w:rPr>
  </w:style>
  <w:style w:type="character" w:customStyle="1" w:styleId="mb">
    <w:name w:val="mb"/>
    <w:basedOn w:val="DefaultParagraphFont"/>
    <w:rsid w:val="006871A8"/>
    <w:rPr>
      <w:rFonts w:ascii="Arial Unicode MS" w:eastAsia="Arial Unicode MS" w:hAnsi="Arial Unicode MS" w:cs="Arial Unicode MS" w:hint="eastAsia"/>
      <w:vanish w:val="0"/>
      <w:webHidden w:val="0"/>
      <w:shd w:val="clear" w:color="auto" w:fill="auto"/>
      <w:specVanish w:val="0"/>
    </w:rPr>
  </w:style>
  <w:style w:type="paragraph" w:customStyle="1" w:styleId="Bullet">
    <w:name w:val="Bullet"/>
    <w:basedOn w:val="Normal"/>
    <w:uiPriority w:val="99"/>
    <w:rsid w:val="00C67980"/>
    <w:pPr>
      <w:widowControl/>
      <w:numPr>
        <w:numId w:val="23"/>
      </w:numPr>
    </w:pPr>
    <w:rPr>
      <w:rFonts w:eastAsiaTheme="minorHAnsi" w:cs="Arial"/>
      <w:szCs w:val="22"/>
      <w:lang w:bidi="ar-SA"/>
    </w:rPr>
  </w:style>
  <w:style w:type="paragraph" w:styleId="NormalWeb">
    <w:name w:val="Normal (Web)"/>
    <w:basedOn w:val="Normal"/>
    <w:uiPriority w:val="99"/>
    <w:unhideWhenUsed/>
    <w:rsid w:val="00DF70E4"/>
    <w:pPr>
      <w:widowControl/>
      <w:spacing w:before="100" w:beforeAutospacing="1" w:after="100" w:afterAutospacing="1"/>
    </w:pPr>
    <w:rPr>
      <w:rFonts w:ascii="Times New Roman" w:hAnsi="Times New Roman"/>
      <w:sz w:val="24"/>
      <w:lang w:eastAsia="en-GB" w:bidi="ar-SA"/>
    </w:rPr>
  </w:style>
  <w:style w:type="paragraph" w:customStyle="1" w:styleId="t1Main">
    <w:name w:val="t1_Main"/>
    <w:rsid w:val="00C21CF7"/>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C21CF7"/>
    <w:pPr>
      <w:widowControl/>
      <w:spacing w:before="80" w:after="80"/>
    </w:pPr>
    <w:rPr>
      <w:color w:val="7030A0"/>
      <w:lang w:val="en-AU" w:eastAsia="en-AU" w:bidi="ar-SA"/>
    </w:rPr>
  </w:style>
  <w:style w:type="paragraph" w:customStyle="1" w:styleId="ttAuthorisingAct">
    <w:name w:val="tt_Authorising_Act"/>
    <w:basedOn w:val="Normal"/>
    <w:rsid w:val="00C21CF7"/>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C21CF7"/>
    <w:pPr>
      <w:widowControl/>
      <w:spacing w:before="200" w:after="80"/>
    </w:pPr>
    <w:rPr>
      <w:b/>
      <w:sz w:val="32"/>
      <w:lang w:val="en-AU" w:eastAsia="en-AU" w:bidi="ar-SA"/>
    </w:rPr>
  </w:style>
  <w:style w:type="paragraph" w:customStyle="1" w:styleId="TablePlainParagraph">
    <w:name w:val="Table: Plain Paragraph"/>
    <w:aliases w:val="Table PP"/>
    <w:basedOn w:val="Normal"/>
    <w:link w:val="TablePlainParagraphChar"/>
    <w:uiPriority w:val="11"/>
    <w:qFormat/>
    <w:rsid w:val="00C21CF7"/>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C21CF7"/>
    <w:rPr>
      <w:rFonts w:ascii="Arial" w:hAnsi="Arial" w:cs="Arial"/>
      <w:szCs w:val="22"/>
      <w:lang w:val="en-AU" w:eastAsia="en-AU"/>
    </w:rPr>
  </w:style>
  <w:style w:type="paragraph" w:customStyle="1" w:styleId="HR">
    <w:name w:val="HR"/>
    <w:aliases w:val="Regulation Heading"/>
    <w:basedOn w:val="Normal"/>
    <w:next w:val="R1"/>
    <w:rsid w:val="00C21CF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C21CF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C21CF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C21CF7"/>
    <w:pPr>
      <w:keepNext/>
      <w:keepLines/>
      <w:widowControl/>
      <w:spacing w:before="480"/>
      <w:ind w:left="2410" w:hanging="2410"/>
    </w:pPr>
    <w:rPr>
      <w:b/>
      <w:sz w:val="32"/>
      <w:lang w:val="en-AU" w:eastAsia="en-AU" w:bidi="ar-SA"/>
    </w:rPr>
  </w:style>
  <w:style w:type="paragraph" w:customStyle="1" w:styleId="FSCtblAMain">
    <w:name w:val="FSC_tbl_A_Main"/>
    <w:aliases w:val="tbA_t1_Item"/>
    <w:basedOn w:val="Normal"/>
    <w:qFormat/>
    <w:rsid w:val="00ED70BB"/>
    <w:pPr>
      <w:keepLines/>
      <w:widowControl/>
      <w:spacing w:before="60" w:after="60"/>
    </w:pPr>
    <w:rPr>
      <w:rFonts w:cs="Arial"/>
      <w:sz w:val="18"/>
      <w:szCs w:val="22"/>
      <w:lang w:val="en-AU" w:eastAsia="en-AU" w:bidi="ar-SA"/>
    </w:rPr>
  </w:style>
  <w:style w:type="paragraph" w:customStyle="1" w:styleId="FSCtblAPara">
    <w:name w:val="FSC_tbl_A_Para"/>
    <w:aliases w:val="tbA_t2_Para"/>
    <w:basedOn w:val="FSCtblAMain"/>
    <w:rsid w:val="00ED70BB"/>
    <w:p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328903903">
      <w:bodyDiv w:val="1"/>
      <w:marLeft w:val="0"/>
      <w:marRight w:val="0"/>
      <w:marTop w:val="0"/>
      <w:marBottom w:val="0"/>
      <w:divBdr>
        <w:top w:val="none" w:sz="0" w:space="0" w:color="auto"/>
        <w:left w:val="none" w:sz="0" w:space="0" w:color="auto"/>
        <w:bottom w:val="none" w:sz="0" w:space="0" w:color="auto"/>
        <w:right w:val="none" w:sz="0" w:space="0" w:color="auto"/>
      </w:divBdr>
    </w:div>
    <w:div w:id="1514954392">
      <w:bodyDiv w:val="1"/>
      <w:marLeft w:val="0"/>
      <w:marRight w:val="0"/>
      <w:marTop w:val="0"/>
      <w:marBottom w:val="0"/>
      <w:divBdr>
        <w:top w:val="none" w:sz="0" w:space="0" w:color="auto"/>
        <w:left w:val="none" w:sz="0" w:space="0" w:color="auto"/>
        <w:bottom w:val="none" w:sz="0" w:space="0" w:color="auto"/>
        <w:right w:val="none" w:sz="0" w:space="0" w:color="auto"/>
      </w:divBdr>
    </w:div>
    <w:div w:id="1572427751">
      <w:bodyDiv w:val="1"/>
      <w:marLeft w:val="0"/>
      <w:marRight w:val="0"/>
      <w:marTop w:val="0"/>
      <w:marBottom w:val="0"/>
      <w:divBdr>
        <w:top w:val="none" w:sz="0" w:space="0" w:color="auto"/>
        <w:left w:val="none" w:sz="0" w:space="0" w:color="auto"/>
        <w:bottom w:val="none" w:sz="0" w:space="0" w:color="auto"/>
        <w:right w:val="none" w:sz="0" w:space="0" w:color="auto"/>
      </w:divBdr>
    </w:div>
    <w:div w:id="1584728181">
      <w:bodyDiv w:val="1"/>
      <w:marLeft w:val="0"/>
      <w:marRight w:val="0"/>
      <w:marTop w:val="0"/>
      <w:marBottom w:val="0"/>
      <w:divBdr>
        <w:top w:val="none" w:sz="0" w:space="0" w:color="auto"/>
        <w:left w:val="none" w:sz="0" w:space="0" w:color="auto"/>
        <w:bottom w:val="none" w:sz="0" w:space="0" w:color="auto"/>
        <w:right w:val="none" w:sz="0" w:space="0" w:color="auto"/>
      </w:divBdr>
      <w:divsChild>
        <w:div w:id="546375883">
          <w:marLeft w:val="0"/>
          <w:marRight w:val="0"/>
          <w:marTop w:val="0"/>
          <w:marBottom w:val="0"/>
          <w:divBdr>
            <w:top w:val="none" w:sz="0" w:space="0" w:color="auto"/>
            <w:left w:val="none" w:sz="0" w:space="0" w:color="auto"/>
            <w:bottom w:val="none" w:sz="0" w:space="0" w:color="auto"/>
            <w:right w:val="none" w:sz="0" w:space="0" w:color="auto"/>
          </w:divBdr>
          <w:divsChild>
            <w:div w:id="646473926">
              <w:marLeft w:val="0"/>
              <w:marRight w:val="0"/>
              <w:marTop w:val="0"/>
              <w:marBottom w:val="0"/>
              <w:divBdr>
                <w:top w:val="none" w:sz="0" w:space="0" w:color="auto"/>
                <w:left w:val="none" w:sz="0" w:space="0" w:color="auto"/>
                <w:bottom w:val="none" w:sz="0" w:space="0" w:color="auto"/>
                <w:right w:val="none" w:sz="0" w:space="0" w:color="auto"/>
              </w:divBdr>
              <w:divsChild>
                <w:div w:id="32192597">
                  <w:marLeft w:val="0"/>
                  <w:marRight w:val="0"/>
                  <w:marTop w:val="0"/>
                  <w:marBottom w:val="0"/>
                  <w:divBdr>
                    <w:top w:val="none" w:sz="0" w:space="0" w:color="auto"/>
                    <w:left w:val="none" w:sz="0" w:space="0" w:color="auto"/>
                    <w:bottom w:val="none" w:sz="0" w:space="0" w:color="auto"/>
                    <w:right w:val="none" w:sz="0" w:space="0" w:color="auto"/>
                  </w:divBdr>
                  <w:divsChild>
                    <w:div w:id="785974979">
                      <w:marLeft w:val="0"/>
                      <w:marRight w:val="0"/>
                      <w:marTop w:val="0"/>
                      <w:marBottom w:val="0"/>
                      <w:divBdr>
                        <w:top w:val="none" w:sz="0" w:space="0" w:color="auto"/>
                        <w:left w:val="none" w:sz="0" w:space="0" w:color="auto"/>
                        <w:bottom w:val="none" w:sz="0" w:space="0" w:color="auto"/>
                        <w:right w:val="none" w:sz="0" w:space="0" w:color="auto"/>
                      </w:divBdr>
                      <w:divsChild>
                        <w:div w:id="746807157">
                          <w:marLeft w:val="0"/>
                          <w:marRight w:val="0"/>
                          <w:marTop w:val="0"/>
                          <w:marBottom w:val="0"/>
                          <w:divBdr>
                            <w:top w:val="none" w:sz="0" w:space="0" w:color="auto"/>
                            <w:left w:val="none" w:sz="0" w:space="0" w:color="auto"/>
                            <w:bottom w:val="none" w:sz="0" w:space="0" w:color="auto"/>
                            <w:right w:val="none" w:sz="0" w:space="0" w:color="auto"/>
                          </w:divBdr>
                          <w:divsChild>
                            <w:div w:id="2027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20305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adverse/Pages/default.aspx" TargetMode="External"/><Relationship Id="rId26" Type="http://schemas.openxmlformats.org/officeDocument/2006/relationships/hyperlink" Target="http://www.foodstandards.gov.au/consumer/gmfood/recombinantdna/Pages/default.aspx" TargetMode="External"/><Relationship Id="rId39" Type="http://schemas.openxmlformats.org/officeDocument/2006/relationships/fontTable" Target="fontTable.xml"/><Relationship Id="rId21" Type="http://schemas.openxmlformats.org/officeDocument/2006/relationships/hyperlink" Target="http://www.comlaw.gov.au/Details/F2014C01358/Html/Volume_2" TargetMode="External"/><Relationship Id="rId34" Type="http://schemas.openxmlformats.org/officeDocument/2006/relationships/hyperlink" Target="http://npic.orst.edu/factsheets/glyphotech.html" TargetMode="External"/><Relationship Id="rId42"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oodstandards.gov.au/code/applications/Pages/A1097GMCornLineMON87411.aspx" TargetMode="External"/><Relationship Id="rId20" Type="http://schemas.openxmlformats.org/officeDocument/2006/relationships/hyperlink" Target="http://www.foodstandards.gov.au/scienceandeducation/factsheets/factsheets/chemicalsinfoodmaxim5429.cfm" TargetMode="External"/><Relationship Id="rId29" Type="http://schemas.openxmlformats.org/officeDocument/2006/relationships/hyperlink" Target="http://www.epa.gov/scipoly/sap/meetings/2014/january/012814minutes.pdf"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mlaw.gov.au/Details/F2013C00638" TargetMode="External"/><Relationship Id="rId32" Type="http://schemas.openxmlformats.org/officeDocument/2006/relationships/hyperlink" Target="http://www.foodstandards.gov.au/foodstandards/changingthecode/applicationshandbook.cfm" TargetMode="External"/><Relationship Id="rId37" Type="http://schemas.openxmlformats.org/officeDocument/2006/relationships/hyperlink" Target="http://www.who.int/foodsafety/publications/biotech/en/ec_june2000_en.pd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afety.govt.nz/elibrary/industry/nz-mrl-agricultural-compounds-food-standards-07-2014.pdf" TargetMode="External"/><Relationship Id="rId28" Type="http://schemas.openxmlformats.org/officeDocument/2006/relationships/hyperlink" Target="http://www.fao.org/docrep/009/a0209e/a0209e0d.htm" TargetMode="External"/><Relationship Id="rId36" Type="http://schemas.openxmlformats.org/officeDocument/2006/relationships/hyperlink" Target="http://www.regulations.gov/" TargetMode="External"/><Relationship Id="rId10" Type="http://schemas.openxmlformats.org/officeDocument/2006/relationships/header" Target="header1.xml"/><Relationship Id="rId19" Type="http://schemas.openxmlformats.org/officeDocument/2006/relationships/hyperlink" Target="http://www.foodstandards.gov.au/consumer/gmfood/Pages/roleofanimalfeedings3717.aspx" TargetMode="External"/><Relationship Id="rId31" Type="http://schemas.openxmlformats.org/officeDocument/2006/relationships/hyperlink" Target="http://www.foodstandards.gov.au/foodstandards/changingthecode/applicationshandbook.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odexalimentarius.net/mrls/pestdes/jsp/pest_q-e.jsp" TargetMode="External"/><Relationship Id="rId27" Type="http://schemas.openxmlformats.org/officeDocument/2006/relationships/hyperlink" Target="http://www.codexalimentarius.net/web/standard_list.do?lang=en" TargetMode="External"/><Relationship Id="rId30" Type="http://schemas.openxmlformats.org/officeDocument/2006/relationships/hyperlink" Target="http://www.foodstandards.gov.au/_srcfiles/GM%20FINAL%20Sept%2007L%20_2_.pdf" TargetMode="External"/><Relationship Id="rId35" Type="http://schemas.openxmlformats.org/officeDocument/2006/relationships/hyperlink" Target="http://www.oecd.org/futures/long-termtechnologicalsocietalchallenges/40926844.pdf" TargetMode="External"/><Relationship Id="rId43"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foodstandards.gov.au/consumer/gmfood/pages/reviewofgeneticallym4394.aspx" TargetMode="External"/><Relationship Id="rId25" Type="http://schemas.openxmlformats.org/officeDocument/2006/relationships/hyperlink" Target="http://www.foodlabellingreview.gov.au/internet/foodlabelling/publishing.nsf/content/labelling-logic" TargetMode="External"/><Relationship Id="rId33" Type="http://schemas.openxmlformats.org/officeDocument/2006/relationships/hyperlink" Target="http://www.foodstandards.gov.au/consumer/gmfood/adverse/Pages/default.aspx" TargetMode="External"/><Relationship Id="rId38"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da.gov/Food/FoodScienceResearch/Biotechnology/Submissions/UCM427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DDA23-636F-4A5C-948F-921BE78353F9}"/>
</file>

<file path=customXml/itemProps2.xml><?xml version="1.0" encoding="utf-8"?>
<ds:datastoreItem xmlns:ds="http://schemas.openxmlformats.org/officeDocument/2006/customXml" ds:itemID="{9DD613BD-799E-4447-9C32-2DE82887EE60}"/>
</file>

<file path=customXml/itemProps3.xml><?xml version="1.0" encoding="utf-8"?>
<ds:datastoreItem xmlns:ds="http://schemas.openxmlformats.org/officeDocument/2006/customXml" ds:itemID="{AB018D48-90AB-4F9B-8412-5F94D5AEF03F}"/>
</file>

<file path=customXml/itemProps4.xml><?xml version="1.0" encoding="utf-8"?>
<ds:datastoreItem xmlns:ds="http://schemas.openxmlformats.org/officeDocument/2006/customXml" ds:itemID="{389D43D7-848E-4388-915A-C486C9D398AF}"/>
</file>

<file path=docProps/app.xml><?xml version="1.0" encoding="utf-8"?>
<Properties xmlns="http://schemas.openxmlformats.org/officeDocument/2006/extended-properties" xmlns:vt="http://schemas.openxmlformats.org/officeDocument/2006/docPropsVTypes">
  <Template>Normal</Template>
  <TotalTime>0</TotalTime>
  <Pages>1</Pages>
  <Words>12967</Words>
  <Characters>73914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A1097-AppR</dc:title>
  <dc:creator/>
  <cp:lastModifiedBy/>
  <cp:revision>1</cp:revision>
  <dcterms:created xsi:type="dcterms:W3CDTF">2015-05-27T01:09:00Z</dcterms:created>
  <dcterms:modified xsi:type="dcterms:W3CDTF">2015-05-27T01:10:00Z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