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0B00E" w14:textId="6D30578E" w:rsidR="00E203C2" w:rsidRDefault="00E203C2" w:rsidP="00E203C2">
      <w:r>
        <w:rPr>
          <w:noProof/>
          <w:lang w:eastAsia="en-GB" w:bidi="ar-SA"/>
        </w:rPr>
        <w:drawing>
          <wp:inline distT="0" distB="0" distL="0" distR="0" wp14:anchorId="14198AEE" wp14:editId="729BE363">
            <wp:extent cx="3488400" cy="612000"/>
            <wp:effectExtent l="0" t="0" r="0" b="0"/>
            <wp:docPr id="3" name="Picture 3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2ED1FF" w14:textId="77777777" w:rsidR="00E203C2" w:rsidRDefault="00E203C2" w:rsidP="00E203C2"/>
    <w:p w14:paraId="4C3ACCFF" w14:textId="30D38229" w:rsidR="00092CDA" w:rsidRPr="005B7A73" w:rsidRDefault="00092CDA" w:rsidP="00690206">
      <w:pPr>
        <w:pStyle w:val="FSTitle"/>
        <w:rPr>
          <w:b/>
        </w:rPr>
      </w:pPr>
      <w:r w:rsidRPr="005B7A73">
        <w:rPr>
          <w:b/>
        </w:rPr>
        <w:t>S</w:t>
      </w:r>
      <w:r w:rsidR="00B12F1E" w:rsidRPr="005B7A73">
        <w:rPr>
          <w:b/>
        </w:rPr>
        <w:t>upporting document</w:t>
      </w:r>
      <w:r w:rsidRPr="005B7A73">
        <w:rPr>
          <w:b/>
        </w:rPr>
        <w:t xml:space="preserve"> </w:t>
      </w:r>
      <w:r w:rsidR="00DC449F">
        <w:rPr>
          <w:b/>
        </w:rPr>
        <w:t>1</w:t>
      </w:r>
    </w:p>
    <w:p w14:paraId="06D736AB" w14:textId="77777777" w:rsidR="00BA24E2" w:rsidRDefault="00BA24E2" w:rsidP="00E203C2"/>
    <w:p w14:paraId="017F8172" w14:textId="51D45CB0" w:rsidR="00DC449F" w:rsidRDefault="00DC449F" w:rsidP="00690206">
      <w:pPr>
        <w:pStyle w:val="FSTitle"/>
      </w:pPr>
      <w:r>
        <w:t>Risk and technical assessment report – Application A11</w:t>
      </w:r>
      <w:r w:rsidR="001A584F">
        <w:t>20</w:t>
      </w:r>
    </w:p>
    <w:p w14:paraId="09A0DC90" w14:textId="77777777" w:rsidR="00DC449F" w:rsidRDefault="00DC449F" w:rsidP="00690206">
      <w:pPr>
        <w:pStyle w:val="FSTitle"/>
      </w:pPr>
    </w:p>
    <w:p w14:paraId="3439058F" w14:textId="4D641344" w:rsidR="00D056F1" w:rsidRPr="00482766" w:rsidRDefault="001A584F" w:rsidP="00690206">
      <w:pPr>
        <w:pStyle w:val="FSTitle"/>
      </w:pPr>
      <w:r>
        <w:t xml:space="preserve">Agarose Ion Exchange Resin as a </w:t>
      </w:r>
      <w:r w:rsidRPr="00F9520E">
        <w:t>Processing Aid</w:t>
      </w:r>
      <w:r>
        <w:t xml:space="preserve"> for </w:t>
      </w:r>
      <w:proofErr w:type="spellStart"/>
      <w:r>
        <w:t>Lactoferrin</w:t>
      </w:r>
      <w:proofErr w:type="spellEnd"/>
      <w:r>
        <w:t xml:space="preserve"> Production</w:t>
      </w:r>
    </w:p>
    <w:p w14:paraId="0A971E7D" w14:textId="77777777" w:rsidR="00E203C2" w:rsidRPr="00B37BF0" w:rsidRDefault="00E203C2" w:rsidP="00E203C2">
      <w:pPr>
        <w:pBdr>
          <w:bottom w:val="single" w:sz="12" w:space="1" w:color="auto"/>
        </w:pBdr>
        <w:spacing w:line="280" w:lineRule="exact"/>
        <w:rPr>
          <w:rFonts w:cs="Arial"/>
          <w:bCs/>
        </w:rPr>
      </w:pPr>
    </w:p>
    <w:p w14:paraId="62794539" w14:textId="77777777" w:rsidR="00E203C2" w:rsidRPr="00B37BF0" w:rsidRDefault="00E203C2" w:rsidP="00E203C2"/>
    <w:p w14:paraId="6161952A" w14:textId="77777777" w:rsidR="00092CDA" w:rsidRPr="00092CDA" w:rsidRDefault="00092CDA" w:rsidP="00352CF2">
      <w:pPr>
        <w:pStyle w:val="Heading1"/>
        <w:spacing w:before="0"/>
      </w:pPr>
      <w:bookmarkStart w:id="1" w:name="_Toc286391001"/>
      <w:bookmarkStart w:id="2" w:name="_Toc300933414"/>
      <w:bookmarkStart w:id="3" w:name="_Toc442966851"/>
      <w:bookmarkStart w:id="4" w:name="_Toc442967381"/>
      <w:r w:rsidRPr="00092CDA">
        <w:t xml:space="preserve">Executive </w:t>
      </w:r>
      <w:r w:rsidR="00B12F1E">
        <w:t>s</w:t>
      </w:r>
      <w:r w:rsidRPr="00092CDA">
        <w:t>ummary</w:t>
      </w:r>
      <w:bookmarkEnd w:id="1"/>
      <w:bookmarkEnd w:id="2"/>
      <w:bookmarkEnd w:id="3"/>
      <w:bookmarkEnd w:id="4"/>
    </w:p>
    <w:p w14:paraId="42084574" w14:textId="4253395E" w:rsidR="004D7143" w:rsidRDefault="00DC449F" w:rsidP="00DC449F">
      <w:r>
        <w:t>Application A11</w:t>
      </w:r>
      <w:r w:rsidR="001A584F">
        <w:t>20</w:t>
      </w:r>
      <w:r>
        <w:t xml:space="preserve"> seeks approval </w:t>
      </w:r>
      <w:r w:rsidR="00D7156A">
        <w:t>to</w:t>
      </w:r>
      <w:r>
        <w:t xml:space="preserve"> use </w:t>
      </w:r>
      <w:r w:rsidR="001A584F">
        <w:t xml:space="preserve">an agarose ion exchange resin as a processing aid. The stated purpose of </w:t>
      </w:r>
      <w:r w:rsidR="00753DEB">
        <w:t>the resin</w:t>
      </w:r>
      <w:r w:rsidR="003E5464">
        <w:t xml:space="preserve">, namely </w:t>
      </w:r>
      <w:r w:rsidR="001A584F">
        <w:t xml:space="preserve">the production of high purity </w:t>
      </w:r>
      <w:proofErr w:type="spellStart"/>
      <w:r w:rsidR="001A584F">
        <w:t>lactoferrin</w:t>
      </w:r>
      <w:proofErr w:type="spellEnd"/>
      <w:r w:rsidR="001A584F">
        <w:t xml:space="preserve"> from bovine </w:t>
      </w:r>
      <w:r w:rsidR="00E060BC">
        <w:t xml:space="preserve">milk and </w:t>
      </w:r>
      <w:r w:rsidR="008B2297">
        <w:t>milk-related products</w:t>
      </w:r>
      <w:r w:rsidR="003E5464">
        <w:t xml:space="preserve">, </w:t>
      </w:r>
      <w:r>
        <w:t xml:space="preserve">is clearly </w:t>
      </w:r>
      <w:r w:rsidR="003D0215">
        <w:t>described</w:t>
      </w:r>
      <w:r>
        <w:t xml:space="preserve"> in the Application. </w:t>
      </w:r>
    </w:p>
    <w:p w14:paraId="4ACBA82D" w14:textId="77777777" w:rsidR="004D7143" w:rsidRDefault="004D7143" w:rsidP="00DC449F"/>
    <w:p w14:paraId="7E58E459" w14:textId="433C1C22" w:rsidR="004D7143" w:rsidRDefault="004D7143" w:rsidP="004D7143">
      <w:r>
        <w:t>The resin has been approved by the U</w:t>
      </w:r>
      <w:r w:rsidR="002448A8">
        <w:t xml:space="preserve">nited </w:t>
      </w:r>
      <w:r>
        <w:t>S</w:t>
      </w:r>
      <w:r w:rsidR="002448A8">
        <w:t>tates</w:t>
      </w:r>
      <w:r>
        <w:t xml:space="preserve"> Food and Drug Administration (</w:t>
      </w:r>
      <w:r w:rsidR="002448A8">
        <w:t>USFDA</w:t>
      </w:r>
      <w:r>
        <w:t>)</w:t>
      </w:r>
      <w:r w:rsidR="002F2102">
        <w:t xml:space="preserve"> </w:t>
      </w:r>
      <w:r w:rsidR="002F2102" w:rsidRPr="002F2102">
        <w:t>for use in the processing of milk and milk products, fruit and fruit juices, fruit drinks, beer and wine</w:t>
      </w:r>
      <w:r>
        <w:t>.</w:t>
      </w:r>
      <w:r w:rsidRPr="004D7143">
        <w:t xml:space="preserve"> </w:t>
      </w:r>
      <w:r>
        <w:t xml:space="preserve">A similar agarose ion exchange resin is already permitted in the Code as a processing aid for the removal of specific proteins and polyphenols </w:t>
      </w:r>
      <w:r w:rsidR="008B2297">
        <w:t xml:space="preserve">from </w:t>
      </w:r>
      <w:r>
        <w:t>beer.</w:t>
      </w:r>
    </w:p>
    <w:p w14:paraId="402B9E23" w14:textId="77777777" w:rsidR="004D7143" w:rsidRDefault="004D7143" w:rsidP="00DC449F"/>
    <w:p w14:paraId="30C321A0" w14:textId="13214FA8" w:rsidR="00A87AF1" w:rsidRPr="00A87AF1" w:rsidRDefault="00A87AF1" w:rsidP="00A87AF1">
      <w:proofErr w:type="spellStart"/>
      <w:r w:rsidRPr="00A87AF1">
        <w:t>Lacto</w:t>
      </w:r>
      <w:r w:rsidR="00A75B2A">
        <w:t>ferrin</w:t>
      </w:r>
      <w:proofErr w:type="spellEnd"/>
      <w:r w:rsidR="00A75B2A">
        <w:t xml:space="preserve">, present in milk at </w:t>
      </w:r>
      <w:r w:rsidRPr="00A87AF1">
        <w:t xml:space="preserve">low levels, has a range of physiological functions and the Application indicated that there is increasing interest in its use as a nutraceutical. </w:t>
      </w:r>
    </w:p>
    <w:p w14:paraId="64A888C0" w14:textId="77777777" w:rsidR="00A87AF1" w:rsidRDefault="00A87AF1" w:rsidP="00DC449F"/>
    <w:p w14:paraId="3DBB2350" w14:textId="55630715" w:rsidR="00703D72" w:rsidRDefault="00703D72" w:rsidP="00DC449F">
      <w:r w:rsidRPr="00703D72">
        <w:t xml:space="preserve">The </w:t>
      </w:r>
      <w:r w:rsidR="003D0215">
        <w:t>information provided</w:t>
      </w:r>
      <w:r w:rsidRPr="00703D72">
        <w:t xml:space="preserve"> </w:t>
      </w:r>
      <w:r w:rsidR="003D0215">
        <w:t xml:space="preserve">in the Application </w:t>
      </w:r>
      <w:r w:rsidRPr="00703D72">
        <w:t xml:space="preserve">provides adequate assurance that </w:t>
      </w:r>
      <w:r w:rsidR="003D0215">
        <w:t xml:space="preserve">use of </w:t>
      </w:r>
      <w:r w:rsidRPr="00703D72">
        <w:t>the resin is technologically justified and</w:t>
      </w:r>
      <w:r w:rsidR="003D0215">
        <w:t xml:space="preserve"> is </w:t>
      </w:r>
      <w:r w:rsidRPr="00703D72">
        <w:t>effective in achieving its stated purpose.</w:t>
      </w:r>
    </w:p>
    <w:p w14:paraId="40EDAD51" w14:textId="77777777" w:rsidR="004D7143" w:rsidRDefault="004D7143" w:rsidP="00DC449F"/>
    <w:p w14:paraId="25B38006" w14:textId="1522B6ED" w:rsidR="00342445" w:rsidRDefault="00A72E1F" w:rsidP="00342445">
      <w:r>
        <w:t xml:space="preserve">For each </w:t>
      </w:r>
      <w:proofErr w:type="spellStart"/>
      <w:r w:rsidR="00AD6E89">
        <w:t>lactoferrin</w:t>
      </w:r>
      <w:proofErr w:type="spellEnd"/>
      <w:r w:rsidR="00AD6E89">
        <w:t xml:space="preserve"> isolation </w:t>
      </w:r>
      <w:r w:rsidR="00616AE5">
        <w:t xml:space="preserve">cycle, </w:t>
      </w:r>
      <w:r w:rsidR="00254511">
        <w:t xml:space="preserve">the resin is subjected to </w:t>
      </w:r>
      <w:r w:rsidR="00616AE5">
        <w:t xml:space="preserve">cleaning/rinsing procedures </w:t>
      </w:r>
      <w:r w:rsidR="00254511">
        <w:t xml:space="preserve">that </w:t>
      </w:r>
      <w:r w:rsidR="00616AE5">
        <w:t>result in negligible impurity levels in the resin</w:t>
      </w:r>
      <w:r w:rsidR="007F2428">
        <w:t>. This</w:t>
      </w:r>
      <w:r w:rsidR="00616AE5">
        <w:t xml:space="preserve"> minimis</w:t>
      </w:r>
      <w:r w:rsidR="007F2428">
        <w:t>es</w:t>
      </w:r>
      <w:r w:rsidR="00616AE5">
        <w:t xml:space="preserve"> the potential for </w:t>
      </w:r>
      <w:r w:rsidR="00342445">
        <w:t xml:space="preserve">resin impurities </w:t>
      </w:r>
      <w:r w:rsidR="00616AE5">
        <w:t xml:space="preserve">to be present in the </w:t>
      </w:r>
      <w:r w:rsidR="00AD6E89">
        <w:t xml:space="preserve">isolated </w:t>
      </w:r>
      <w:proofErr w:type="spellStart"/>
      <w:r w:rsidR="00616AE5">
        <w:t>lactoferrin</w:t>
      </w:r>
      <w:proofErr w:type="spellEnd"/>
      <w:r w:rsidR="00616AE5">
        <w:t xml:space="preserve"> and in the flow-through </w:t>
      </w:r>
      <w:r w:rsidR="001C6B52">
        <w:t xml:space="preserve">milk/whey </w:t>
      </w:r>
      <w:r w:rsidR="00AD6E89">
        <w:t>stream</w:t>
      </w:r>
      <w:r w:rsidR="00616AE5">
        <w:t>.</w:t>
      </w:r>
      <w:r w:rsidR="00342445" w:rsidRPr="00342445">
        <w:t xml:space="preserve"> Theoretical estimates of dietary exposure to resin impurities, calculated using conservative assumptions</w:t>
      </w:r>
      <w:r w:rsidR="00342445">
        <w:t xml:space="preserve">, provide confirmation that </w:t>
      </w:r>
      <w:r w:rsidR="00804858">
        <w:t xml:space="preserve">potential impurity levels </w:t>
      </w:r>
      <w:r w:rsidR="00342445">
        <w:t xml:space="preserve">are of no toxicological concern. </w:t>
      </w:r>
    </w:p>
    <w:p w14:paraId="5CA0DD62" w14:textId="30CFBC54" w:rsidR="00C701D0" w:rsidRDefault="00616AE5" w:rsidP="00804858">
      <w:r w:rsidDel="00616AE5">
        <w:t xml:space="preserve"> </w:t>
      </w:r>
    </w:p>
    <w:p w14:paraId="431A1CFA" w14:textId="3C9E6EDA" w:rsidR="00092CDA" w:rsidRDefault="00972D39" w:rsidP="00972D39">
      <w:r w:rsidRPr="00972D39">
        <w:t xml:space="preserve">It is concluded that the </w:t>
      </w:r>
      <w:r w:rsidR="00703D72">
        <w:t xml:space="preserve">proposed </w:t>
      </w:r>
      <w:r w:rsidRPr="00972D39">
        <w:t xml:space="preserve">use of </w:t>
      </w:r>
      <w:r w:rsidR="00703D72">
        <w:t xml:space="preserve">the agarose ion exchange resin as a processing aid for </w:t>
      </w:r>
      <w:proofErr w:type="spellStart"/>
      <w:r w:rsidR="00703D72">
        <w:t>lactoferrin</w:t>
      </w:r>
      <w:proofErr w:type="spellEnd"/>
      <w:r w:rsidR="00703D72">
        <w:t xml:space="preserve"> production </w:t>
      </w:r>
      <w:r w:rsidRPr="00972D39">
        <w:t>is technologically justified and presents no identifiable public health and safety</w:t>
      </w:r>
      <w:r w:rsidR="00703D72">
        <w:t xml:space="preserve"> concerns.</w:t>
      </w:r>
    </w:p>
    <w:p w14:paraId="4708CE47" w14:textId="59FB3858" w:rsidR="0007665C" w:rsidRDefault="0007665C" w:rsidP="00972D39"/>
    <w:p w14:paraId="5CC3AE1B" w14:textId="3F1A1FC9" w:rsidR="0007665C" w:rsidRDefault="0007665C" w:rsidP="00972D39">
      <w:pPr>
        <w:sectPr w:rsidR="0007665C" w:rsidSect="0048276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418" w:bottom="1418" w:left="1418" w:header="709" w:footer="709" w:gutter="0"/>
          <w:pgNumType w:fmt="lowerRoman" w:start="1"/>
          <w:cols w:space="708"/>
          <w:docGrid w:linePitch="360"/>
        </w:sectPr>
      </w:pPr>
    </w:p>
    <w:p w14:paraId="5BD67FA8" w14:textId="77777777" w:rsidR="00562917" w:rsidRPr="00352CF2" w:rsidRDefault="00562917" w:rsidP="00690206">
      <w:pPr>
        <w:jc w:val="center"/>
        <w:rPr>
          <w:b/>
          <w:sz w:val="28"/>
          <w:szCs w:val="28"/>
        </w:rPr>
      </w:pPr>
      <w:r w:rsidRPr="00352CF2">
        <w:rPr>
          <w:b/>
          <w:sz w:val="28"/>
          <w:szCs w:val="28"/>
        </w:rPr>
        <w:lastRenderedPageBreak/>
        <w:t xml:space="preserve">Table of </w:t>
      </w:r>
      <w:r w:rsidR="00A77BFA">
        <w:rPr>
          <w:b/>
          <w:sz w:val="28"/>
          <w:szCs w:val="28"/>
        </w:rPr>
        <w:t>c</w:t>
      </w:r>
      <w:r w:rsidRPr="00352CF2">
        <w:rPr>
          <w:b/>
          <w:sz w:val="28"/>
          <w:szCs w:val="28"/>
        </w:rPr>
        <w:t>ontents</w:t>
      </w:r>
    </w:p>
    <w:p w14:paraId="561EBD3E" w14:textId="0F9560D3" w:rsidR="00983D80" w:rsidRDefault="00983D80"/>
    <w:p w14:paraId="64B86178" w14:textId="77777777" w:rsidR="00482766" w:rsidRPr="00482766" w:rsidRDefault="00482766">
      <w:pPr>
        <w:pStyle w:val="TOC1"/>
        <w:tabs>
          <w:tab w:val="right" w:leader="dot" w:pos="901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 w:bidi="ar-SA"/>
        </w:rPr>
      </w:pPr>
      <w:r w:rsidRPr="00482766">
        <w:rPr>
          <w:rFonts w:ascii="Arial" w:hAnsi="Arial" w:cs="Arial"/>
        </w:rPr>
        <w:fldChar w:fldCharType="begin"/>
      </w:r>
      <w:r w:rsidRPr="00482766">
        <w:rPr>
          <w:rFonts w:ascii="Arial" w:hAnsi="Arial" w:cs="Arial"/>
        </w:rPr>
        <w:instrText xml:space="preserve"> TOC \o "1-3" \h \z \u </w:instrText>
      </w:r>
      <w:r w:rsidRPr="00482766">
        <w:rPr>
          <w:rFonts w:ascii="Arial" w:hAnsi="Arial" w:cs="Arial"/>
        </w:rPr>
        <w:fldChar w:fldCharType="separate"/>
      </w:r>
      <w:hyperlink w:anchor="_Toc442967381" w:history="1">
        <w:r w:rsidRPr="00482766">
          <w:rPr>
            <w:rStyle w:val="Hyperlink"/>
            <w:rFonts w:cs="Arial"/>
            <w:noProof/>
          </w:rPr>
          <w:t>Executive summary</w:t>
        </w:r>
        <w:r w:rsidRPr="00482766">
          <w:rPr>
            <w:rFonts w:ascii="Arial" w:hAnsi="Arial" w:cs="Arial"/>
            <w:noProof/>
            <w:webHidden/>
          </w:rPr>
          <w:tab/>
        </w:r>
        <w:r w:rsidRPr="00482766">
          <w:rPr>
            <w:rFonts w:ascii="Arial" w:hAnsi="Arial" w:cs="Arial"/>
            <w:noProof/>
            <w:webHidden/>
          </w:rPr>
          <w:fldChar w:fldCharType="begin"/>
        </w:r>
        <w:r w:rsidRPr="00482766">
          <w:rPr>
            <w:rFonts w:ascii="Arial" w:hAnsi="Arial" w:cs="Arial"/>
            <w:noProof/>
            <w:webHidden/>
          </w:rPr>
          <w:instrText xml:space="preserve"> PAGEREF _Toc442967381 \h </w:instrText>
        </w:r>
        <w:r w:rsidRPr="00482766">
          <w:rPr>
            <w:rFonts w:ascii="Arial" w:hAnsi="Arial" w:cs="Arial"/>
            <w:noProof/>
            <w:webHidden/>
          </w:rPr>
        </w:r>
        <w:r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i</w:t>
        </w:r>
        <w:r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10801F8C" w14:textId="77777777" w:rsidR="00482766" w:rsidRPr="00482766" w:rsidRDefault="009B234D">
      <w:pPr>
        <w:pStyle w:val="TOC1"/>
        <w:tabs>
          <w:tab w:val="left" w:pos="440"/>
          <w:tab w:val="right" w:leader="dot" w:pos="901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 w:bidi="ar-SA"/>
        </w:rPr>
      </w:pPr>
      <w:hyperlink w:anchor="_Toc442967382" w:history="1">
        <w:r w:rsidR="00482766" w:rsidRPr="00482766">
          <w:rPr>
            <w:rStyle w:val="Hyperlink"/>
            <w:rFonts w:cs="Arial"/>
            <w:noProof/>
          </w:rPr>
          <w:t>1</w:t>
        </w:r>
        <w:r w:rsidR="00482766" w:rsidRPr="00482766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Introduction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_Toc442967382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2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1E47075E" w14:textId="77777777" w:rsidR="00482766" w:rsidRPr="00482766" w:rsidRDefault="009B234D">
      <w:pPr>
        <w:pStyle w:val="TOC2"/>
        <w:tabs>
          <w:tab w:val="left" w:pos="880"/>
          <w:tab w:val="right" w:leader="dot" w:pos="9016"/>
        </w:tabs>
        <w:rPr>
          <w:rFonts w:ascii="Arial" w:eastAsiaTheme="minorEastAsia" w:hAnsi="Arial" w:cs="Arial"/>
          <w:smallCaps w:val="0"/>
          <w:noProof/>
          <w:sz w:val="22"/>
          <w:szCs w:val="22"/>
          <w:lang w:eastAsia="en-GB" w:bidi="ar-SA"/>
        </w:rPr>
      </w:pPr>
      <w:hyperlink w:anchor="_Toc442967383" w:history="1">
        <w:r w:rsidR="00482766" w:rsidRPr="00482766">
          <w:rPr>
            <w:rStyle w:val="Hyperlink"/>
            <w:rFonts w:cs="Arial"/>
            <w:noProof/>
          </w:rPr>
          <w:t>1.1</w:t>
        </w:r>
        <w:r w:rsidR="00482766" w:rsidRPr="00482766">
          <w:rPr>
            <w:rFonts w:ascii="Arial" w:eastAsiaTheme="minorEastAsia" w:hAnsi="Arial" w:cs="Arial"/>
            <w:small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Objectives of the Assessment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_Toc442967383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2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25F25BE5" w14:textId="77777777" w:rsidR="00482766" w:rsidRPr="00482766" w:rsidRDefault="009B234D">
      <w:pPr>
        <w:pStyle w:val="TOC1"/>
        <w:tabs>
          <w:tab w:val="left" w:pos="440"/>
          <w:tab w:val="right" w:leader="dot" w:pos="901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 w:bidi="ar-SA"/>
        </w:rPr>
      </w:pPr>
      <w:hyperlink w:anchor="_Toc442967384" w:history="1">
        <w:r w:rsidR="00482766" w:rsidRPr="00482766">
          <w:rPr>
            <w:rStyle w:val="Hyperlink"/>
            <w:rFonts w:cs="Arial"/>
            <w:noProof/>
          </w:rPr>
          <w:t>2</w:t>
        </w:r>
        <w:r w:rsidR="00482766" w:rsidRPr="00482766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Food Technology Assessment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_Toc442967384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2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5DBC2340" w14:textId="77777777" w:rsidR="00482766" w:rsidRPr="00482766" w:rsidRDefault="009B234D">
      <w:pPr>
        <w:pStyle w:val="TOC2"/>
        <w:tabs>
          <w:tab w:val="left" w:pos="880"/>
          <w:tab w:val="right" w:leader="dot" w:pos="9016"/>
        </w:tabs>
        <w:rPr>
          <w:rFonts w:ascii="Arial" w:eastAsiaTheme="minorEastAsia" w:hAnsi="Arial" w:cs="Arial"/>
          <w:smallCaps w:val="0"/>
          <w:noProof/>
          <w:sz w:val="22"/>
          <w:szCs w:val="22"/>
          <w:lang w:eastAsia="en-GB" w:bidi="ar-SA"/>
        </w:rPr>
      </w:pPr>
      <w:hyperlink w:anchor="_Toc442967385" w:history="1">
        <w:r w:rsidR="00482766" w:rsidRPr="00482766">
          <w:rPr>
            <w:rStyle w:val="Hyperlink"/>
            <w:rFonts w:cs="Arial"/>
            <w:noProof/>
          </w:rPr>
          <w:t>2.1</w:t>
        </w:r>
        <w:r w:rsidR="00482766" w:rsidRPr="00482766">
          <w:rPr>
            <w:rFonts w:ascii="Arial" w:eastAsiaTheme="minorEastAsia" w:hAnsi="Arial" w:cs="Arial"/>
            <w:small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Characterisation of the agarose ion exchange resin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_Toc442967385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2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15A13DE5" w14:textId="77777777" w:rsidR="00482766" w:rsidRPr="00482766" w:rsidRDefault="009B234D">
      <w:pPr>
        <w:pStyle w:val="TOC3"/>
        <w:tabs>
          <w:tab w:val="left" w:pos="1100"/>
          <w:tab w:val="right" w:leader="dot" w:pos="9016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en-GB" w:bidi="ar-SA"/>
        </w:rPr>
      </w:pPr>
      <w:hyperlink w:anchor="_Toc442967386" w:history="1">
        <w:r w:rsidR="00482766" w:rsidRPr="00482766">
          <w:rPr>
            <w:rStyle w:val="Hyperlink"/>
            <w:rFonts w:cs="Arial"/>
            <w:noProof/>
          </w:rPr>
          <w:t>2.1.1</w:t>
        </w:r>
        <w:r w:rsidR="00482766" w:rsidRPr="00482766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Identity of the agarose ion exchange resin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_Toc442967386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2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65D04664" w14:textId="77777777" w:rsidR="00482766" w:rsidRPr="00482766" w:rsidRDefault="009B234D">
      <w:pPr>
        <w:pStyle w:val="TOC3"/>
        <w:tabs>
          <w:tab w:val="left" w:pos="1100"/>
          <w:tab w:val="right" w:leader="dot" w:pos="9016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en-GB" w:bidi="ar-SA"/>
        </w:rPr>
      </w:pPr>
      <w:hyperlink w:anchor="_Toc442967387" w:history="1">
        <w:r w:rsidR="00482766" w:rsidRPr="00482766">
          <w:rPr>
            <w:rStyle w:val="Hyperlink"/>
            <w:rFonts w:cs="Arial"/>
            <w:noProof/>
          </w:rPr>
          <w:t>2.1.2</w:t>
        </w:r>
        <w:r w:rsidR="00482766" w:rsidRPr="00482766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Physical and chemical properties of the agarose ion exchange resin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_Toc442967387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3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0229601F" w14:textId="77777777" w:rsidR="00482766" w:rsidRPr="00482766" w:rsidRDefault="009B234D">
      <w:pPr>
        <w:pStyle w:val="TOC2"/>
        <w:tabs>
          <w:tab w:val="left" w:pos="880"/>
          <w:tab w:val="right" w:leader="dot" w:pos="9016"/>
        </w:tabs>
        <w:rPr>
          <w:rFonts w:ascii="Arial" w:eastAsiaTheme="minorEastAsia" w:hAnsi="Arial" w:cs="Arial"/>
          <w:smallCaps w:val="0"/>
          <w:noProof/>
          <w:sz w:val="22"/>
          <w:szCs w:val="22"/>
          <w:lang w:eastAsia="en-GB" w:bidi="ar-SA"/>
        </w:rPr>
      </w:pPr>
      <w:hyperlink w:anchor="_Toc442967388" w:history="1">
        <w:r w:rsidR="00482766" w:rsidRPr="00482766">
          <w:rPr>
            <w:rStyle w:val="Hyperlink"/>
            <w:rFonts w:cs="Arial"/>
            <w:noProof/>
          </w:rPr>
          <w:t>2.2</w:t>
        </w:r>
        <w:r w:rsidR="00482766" w:rsidRPr="00482766">
          <w:rPr>
            <w:rFonts w:ascii="Arial" w:eastAsiaTheme="minorEastAsia" w:hAnsi="Arial" w:cs="Arial"/>
            <w:small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Production of the agarose ion exchange resin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_Toc442967388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4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0859270F" w14:textId="77777777" w:rsidR="00482766" w:rsidRPr="00482766" w:rsidRDefault="009B234D">
      <w:pPr>
        <w:pStyle w:val="TOC2"/>
        <w:tabs>
          <w:tab w:val="left" w:pos="880"/>
          <w:tab w:val="right" w:leader="dot" w:pos="9016"/>
        </w:tabs>
        <w:rPr>
          <w:rFonts w:ascii="Arial" w:eastAsiaTheme="minorEastAsia" w:hAnsi="Arial" w:cs="Arial"/>
          <w:smallCaps w:val="0"/>
          <w:noProof/>
          <w:sz w:val="22"/>
          <w:szCs w:val="22"/>
          <w:lang w:eastAsia="en-GB" w:bidi="ar-SA"/>
        </w:rPr>
      </w:pPr>
      <w:hyperlink w:anchor="_Toc442967389" w:history="1">
        <w:r w:rsidR="00482766" w:rsidRPr="00482766">
          <w:rPr>
            <w:rStyle w:val="Hyperlink"/>
            <w:rFonts w:cs="Arial"/>
            <w:noProof/>
          </w:rPr>
          <w:t>2.3</w:t>
        </w:r>
        <w:r w:rsidR="00482766" w:rsidRPr="00482766">
          <w:rPr>
            <w:rFonts w:ascii="Arial" w:eastAsiaTheme="minorEastAsia" w:hAnsi="Arial" w:cs="Arial"/>
            <w:small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Specifications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_Toc442967389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4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5F3C1ADB" w14:textId="77777777" w:rsidR="00482766" w:rsidRPr="00482766" w:rsidRDefault="009B234D">
      <w:pPr>
        <w:pStyle w:val="TOC2"/>
        <w:tabs>
          <w:tab w:val="left" w:pos="880"/>
          <w:tab w:val="right" w:leader="dot" w:pos="9016"/>
        </w:tabs>
        <w:rPr>
          <w:rFonts w:ascii="Arial" w:eastAsiaTheme="minorEastAsia" w:hAnsi="Arial" w:cs="Arial"/>
          <w:smallCaps w:val="0"/>
          <w:noProof/>
          <w:sz w:val="22"/>
          <w:szCs w:val="22"/>
          <w:lang w:eastAsia="en-GB" w:bidi="ar-SA"/>
        </w:rPr>
      </w:pPr>
      <w:hyperlink w:anchor="_Toc442967390" w:history="1">
        <w:r w:rsidR="00482766" w:rsidRPr="00482766">
          <w:rPr>
            <w:rStyle w:val="Hyperlink"/>
            <w:rFonts w:cs="Arial"/>
            <w:noProof/>
          </w:rPr>
          <w:t>2.4</w:t>
        </w:r>
        <w:r w:rsidR="00482766" w:rsidRPr="00482766">
          <w:rPr>
            <w:rFonts w:ascii="Arial" w:eastAsiaTheme="minorEastAsia" w:hAnsi="Arial" w:cs="Arial"/>
            <w:small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Technological function of the agarose ion exchange resin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_Toc442967390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4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1FDF1B11" w14:textId="77777777" w:rsidR="00482766" w:rsidRPr="00482766" w:rsidRDefault="009B234D">
      <w:pPr>
        <w:pStyle w:val="TOC2"/>
        <w:tabs>
          <w:tab w:val="left" w:pos="880"/>
          <w:tab w:val="right" w:leader="dot" w:pos="9016"/>
        </w:tabs>
        <w:rPr>
          <w:rFonts w:ascii="Arial" w:eastAsiaTheme="minorEastAsia" w:hAnsi="Arial" w:cs="Arial"/>
          <w:smallCaps w:val="0"/>
          <w:noProof/>
          <w:sz w:val="22"/>
          <w:szCs w:val="22"/>
          <w:lang w:eastAsia="en-GB" w:bidi="ar-SA"/>
        </w:rPr>
      </w:pPr>
      <w:hyperlink w:anchor="_Toc442967391" w:history="1">
        <w:r w:rsidR="00482766" w:rsidRPr="00482766">
          <w:rPr>
            <w:rStyle w:val="Hyperlink"/>
            <w:rFonts w:cs="Arial"/>
            <w:noProof/>
          </w:rPr>
          <w:t>2.5</w:t>
        </w:r>
        <w:r w:rsidR="00482766" w:rsidRPr="00482766">
          <w:rPr>
            <w:rFonts w:ascii="Arial" w:eastAsiaTheme="minorEastAsia" w:hAnsi="Arial" w:cs="Arial"/>
            <w:small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Food technology conclusion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_Toc442967391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5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4D1E2BB9" w14:textId="77777777" w:rsidR="00482766" w:rsidRPr="00482766" w:rsidRDefault="009B234D">
      <w:pPr>
        <w:pStyle w:val="TOC1"/>
        <w:tabs>
          <w:tab w:val="left" w:pos="440"/>
          <w:tab w:val="right" w:leader="dot" w:pos="901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 w:bidi="ar-SA"/>
        </w:rPr>
      </w:pPr>
      <w:hyperlink w:anchor="_Toc442967392" w:history="1">
        <w:r w:rsidR="00482766" w:rsidRPr="00482766">
          <w:rPr>
            <w:rStyle w:val="Hyperlink"/>
            <w:rFonts w:cs="Arial"/>
            <w:noProof/>
          </w:rPr>
          <w:t>3</w:t>
        </w:r>
        <w:r w:rsidR="00482766" w:rsidRPr="00482766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Hazard assessment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_Toc442967392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5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19803C2A" w14:textId="77777777" w:rsidR="00482766" w:rsidRPr="00482766" w:rsidRDefault="009B234D">
      <w:pPr>
        <w:pStyle w:val="TOC2"/>
        <w:tabs>
          <w:tab w:val="left" w:pos="880"/>
          <w:tab w:val="right" w:leader="dot" w:pos="9016"/>
        </w:tabs>
        <w:rPr>
          <w:rFonts w:ascii="Arial" w:eastAsiaTheme="minorEastAsia" w:hAnsi="Arial" w:cs="Arial"/>
          <w:smallCaps w:val="0"/>
          <w:noProof/>
          <w:sz w:val="22"/>
          <w:szCs w:val="22"/>
          <w:lang w:eastAsia="en-GB" w:bidi="ar-SA"/>
        </w:rPr>
      </w:pPr>
      <w:hyperlink w:anchor="_Toc442967393" w:history="1">
        <w:r w:rsidR="00482766" w:rsidRPr="00482766">
          <w:rPr>
            <w:rStyle w:val="Hyperlink"/>
            <w:rFonts w:cs="Arial"/>
            <w:noProof/>
          </w:rPr>
          <w:t>3.1</w:t>
        </w:r>
        <w:r w:rsidR="00482766" w:rsidRPr="00482766">
          <w:rPr>
            <w:rFonts w:ascii="Arial" w:eastAsiaTheme="minorEastAsia" w:hAnsi="Arial" w:cs="Arial"/>
            <w:small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Background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_Toc442967393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5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6790D692" w14:textId="77777777" w:rsidR="00482766" w:rsidRPr="00482766" w:rsidRDefault="009B234D">
      <w:pPr>
        <w:pStyle w:val="TOC2"/>
        <w:tabs>
          <w:tab w:val="left" w:pos="880"/>
          <w:tab w:val="right" w:leader="dot" w:pos="9016"/>
        </w:tabs>
        <w:rPr>
          <w:rFonts w:ascii="Arial" w:eastAsiaTheme="minorEastAsia" w:hAnsi="Arial" w:cs="Arial"/>
          <w:smallCaps w:val="0"/>
          <w:noProof/>
          <w:sz w:val="22"/>
          <w:szCs w:val="22"/>
          <w:lang w:eastAsia="en-GB" w:bidi="ar-SA"/>
        </w:rPr>
      </w:pPr>
      <w:hyperlink w:anchor="_Toc442967394" w:history="1">
        <w:r w:rsidR="00482766" w:rsidRPr="00482766">
          <w:rPr>
            <w:rStyle w:val="Hyperlink"/>
            <w:rFonts w:cs="Arial"/>
            <w:noProof/>
          </w:rPr>
          <w:t>3.2</w:t>
        </w:r>
        <w:r w:rsidR="00482766" w:rsidRPr="00482766">
          <w:rPr>
            <w:rFonts w:ascii="Arial" w:eastAsiaTheme="minorEastAsia" w:hAnsi="Arial" w:cs="Arial"/>
            <w:small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Substances assessed by JECFA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_Toc442967394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6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3A848B89" w14:textId="77777777" w:rsidR="00482766" w:rsidRPr="00482766" w:rsidRDefault="009B234D">
      <w:pPr>
        <w:pStyle w:val="TOC3"/>
        <w:tabs>
          <w:tab w:val="left" w:pos="1100"/>
          <w:tab w:val="right" w:leader="dot" w:pos="9016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en-GB" w:bidi="ar-SA"/>
        </w:rPr>
      </w:pPr>
      <w:hyperlink w:anchor="_Toc442967395" w:history="1">
        <w:r w:rsidR="00482766" w:rsidRPr="00482766">
          <w:rPr>
            <w:rStyle w:val="Hyperlink"/>
            <w:rFonts w:cs="Arial"/>
            <w:noProof/>
          </w:rPr>
          <w:t>3.2.1</w:t>
        </w:r>
        <w:r w:rsidR="00482766" w:rsidRPr="00482766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Food additives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_Toc442967395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6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09E9E136" w14:textId="77777777" w:rsidR="00482766" w:rsidRPr="00482766" w:rsidRDefault="009B234D">
      <w:pPr>
        <w:pStyle w:val="TOC3"/>
        <w:tabs>
          <w:tab w:val="left" w:pos="1100"/>
          <w:tab w:val="right" w:leader="dot" w:pos="9016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en-GB" w:bidi="ar-SA"/>
        </w:rPr>
      </w:pPr>
      <w:hyperlink w:anchor="_Toc442967396" w:history="1">
        <w:r w:rsidR="00482766" w:rsidRPr="00482766">
          <w:rPr>
            <w:rStyle w:val="Hyperlink"/>
            <w:rFonts w:cs="Arial"/>
            <w:noProof/>
          </w:rPr>
          <w:t>3.2.2</w:t>
        </w:r>
        <w:r w:rsidR="00482766" w:rsidRPr="00482766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Contaminants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_Toc442967396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7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6C71914F" w14:textId="77777777" w:rsidR="00482766" w:rsidRPr="00482766" w:rsidRDefault="009B234D">
      <w:pPr>
        <w:pStyle w:val="TOC3"/>
        <w:tabs>
          <w:tab w:val="left" w:pos="1100"/>
          <w:tab w:val="right" w:leader="dot" w:pos="9016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en-GB" w:bidi="ar-SA"/>
        </w:rPr>
      </w:pPr>
      <w:hyperlink w:anchor="_Toc442967397" w:history="1">
        <w:r w:rsidR="00482766" w:rsidRPr="00482766">
          <w:rPr>
            <w:rStyle w:val="Hyperlink"/>
            <w:rFonts w:cs="Arial"/>
            <w:noProof/>
          </w:rPr>
          <w:t>3.2.3</w:t>
        </w:r>
        <w:r w:rsidR="00482766" w:rsidRPr="00482766">
          <w:rPr>
            <w:rFonts w:ascii="Arial" w:eastAsiaTheme="minorEastAsia" w:hAnsi="Arial" w:cs="Arial"/>
            <w:i w:val="0"/>
            <w:iC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Extraction solvents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_Toc442967397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7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5BE0627B" w14:textId="77777777" w:rsidR="00482766" w:rsidRPr="00482766" w:rsidRDefault="009B234D">
      <w:pPr>
        <w:pStyle w:val="TOC2"/>
        <w:tabs>
          <w:tab w:val="left" w:pos="880"/>
          <w:tab w:val="right" w:leader="dot" w:pos="9016"/>
        </w:tabs>
        <w:rPr>
          <w:rFonts w:ascii="Arial" w:eastAsiaTheme="minorEastAsia" w:hAnsi="Arial" w:cs="Arial"/>
          <w:smallCaps w:val="0"/>
          <w:noProof/>
          <w:sz w:val="22"/>
          <w:szCs w:val="22"/>
          <w:lang w:eastAsia="en-GB" w:bidi="ar-SA"/>
        </w:rPr>
      </w:pPr>
      <w:hyperlink w:anchor="_Toc442967398" w:history="1">
        <w:r w:rsidR="00482766" w:rsidRPr="00482766">
          <w:rPr>
            <w:rStyle w:val="Hyperlink"/>
            <w:rFonts w:cs="Arial"/>
            <w:noProof/>
          </w:rPr>
          <w:t>3.3</w:t>
        </w:r>
        <w:r w:rsidR="00482766" w:rsidRPr="00482766">
          <w:rPr>
            <w:rFonts w:ascii="Arial" w:eastAsiaTheme="minorEastAsia" w:hAnsi="Arial" w:cs="Arial"/>
            <w:small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Other resin impurities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_Toc442967398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7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4A2F0058" w14:textId="77777777" w:rsidR="00482766" w:rsidRPr="00482766" w:rsidRDefault="009B234D">
      <w:pPr>
        <w:pStyle w:val="TOC3"/>
        <w:tabs>
          <w:tab w:val="right" w:leader="dot" w:pos="9016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en-GB" w:bidi="ar-SA"/>
        </w:rPr>
      </w:pPr>
      <w:hyperlink w:anchor="_Toc442967399" w:history="1">
        <w:r w:rsidR="00482766" w:rsidRPr="00482766">
          <w:rPr>
            <w:rStyle w:val="Hyperlink"/>
            <w:rFonts w:cs="Arial"/>
            <w:noProof/>
          </w:rPr>
          <w:t>Polyoxyethylene nonylphenyl phosphate ester, sodium salt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_Toc442967399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7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082D0CE2" w14:textId="77777777" w:rsidR="00482766" w:rsidRPr="00482766" w:rsidRDefault="009B234D">
      <w:pPr>
        <w:pStyle w:val="TOC3"/>
        <w:tabs>
          <w:tab w:val="right" w:leader="dot" w:pos="9016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en-GB" w:bidi="ar-SA"/>
        </w:rPr>
      </w:pPr>
      <w:hyperlink w:anchor="_Toc442967400" w:history="1">
        <w:r w:rsidR="00482766" w:rsidRPr="00482766">
          <w:rPr>
            <w:rStyle w:val="Hyperlink"/>
            <w:rFonts w:cs="Arial"/>
            <w:noProof/>
          </w:rPr>
          <w:t>Sodium borate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_Toc442967400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7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4353F692" w14:textId="77777777" w:rsidR="00482766" w:rsidRPr="00482766" w:rsidRDefault="009B234D">
      <w:pPr>
        <w:pStyle w:val="TOC3"/>
        <w:tabs>
          <w:tab w:val="right" w:leader="dot" w:pos="9016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en-GB" w:bidi="ar-SA"/>
        </w:rPr>
      </w:pPr>
      <w:hyperlink w:anchor="_Toc442967401" w:history="1">
        <w:r w:rsidR="00482766" w:rsidRPr="00482766">
          <w:rPr>
            <w:rStyle w:val="Hyperlink"/>
            <w:rFonts w:cs="Arial"/>
            <w:noProof/>
            <w:lang w:val="en"/>
          </w:rPr>
          <w:t>Glyceryl allyl ether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_Toc442967401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7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072708EC" w14:textId="77777777" w:rsidR="00482766" w:rsidRPr="00482766" w:rsidRDefault="009B234D">
      <w:pPr>
        <w:pStyle w:val="TOC3"/>
        <w:tabs>
          <w:tab w:val="right" w:leader="dot" w:pos="9016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en-GB" w:bidi="ar-SA"/>
        </w:rPr>
      </w:pPr>
      <w:hyperlink w:anchor="_Toc442967402" w:history="1">
        <w:r w:rsidR="00482766" w:rsidRPr="00482766">
          <w:rPr>
            <w:rStyle w:val="Hyperlink"/>
            <w:rFonts w:cs="Arial"/>
            <w:noProof/>
          </w:rPr>
          <w:t>Allyl glycidyl ether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_Toc442967402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8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7F8DFCF4" w14:textId="77777777" w:rsidR="00482766" w:rsidRPr="00482766" w:rsidRDefault="009B234D">
      <w:pPr>
        <w:pStyle w:val="TOC3"/>
        <w:tabs>
          <w:tab w:val="right" w:leader="dot" w:pos="9016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en-GB" w:bidi="ar-SA"/>
        </w:rPr>
      </w:pPr>
      <w:hyperlink w:anchor="_Toc442967403" w:history="1">
        <w:r w:rsidR="00482766" w:rsidRPr="00482766">
          <w:rPr>
            <w:rStyle w:val="Hyperlink"/>
            <w:rFonts w:cs="Arial"/>
            <w:noProof/>
          </w:rPr>
          <w:t>Glycidol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_Toc442967403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8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052E17D4" w14:textId="77777777" w:rsidR="00482766" w:rsidRPr="00482766" w:rsidRDefault="009B234D">
      <w:pPr>
        <w:pStyle w:val="TOC3"/>
        <w:tabs>
          <w:tab w:val="right" w:leader="dot" w:pos="9016"/>
        </w:tabs>
        <w:rPr>
          <w:rFonts w:ascii="Arial" w:eastAsiaTheme="minorEastAsia" w:hAnsi="Arial" w:cs="Arial"/>
          <w:i w:val="0"/>
          <w:iCs w:val="0"/>
          <w:noProof/>
          <w:sz w:val="22"/>
          <w:szCs w:val="22"/>
          <w:lang w:eastAsia="en-GB" w:bidi="ar-SA"/>
        </w:rPr>
      </w:pPr>
      <w:hyperlink w:anchor="_Toc442967404" w:history="1">
        <w:r w:rsidR="00482766" w:rsidRPr="00482766">
          <w:rPr>
            <w:rStyle w:val="Hyperlink"/>
            <w:rFonts w:cs="Arial"/>
            <w:noProof/>
          </w:rPr>
          <w:t>Epichlorohydrin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_Toc442967404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8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5454C4CE" w14:textId="77777777" w:rsidR="00482766" w:rsidRPr="00482766" w:rsidRDefault="009B234D">
      <w:pPr>
        <w:pStyle w:val="TOC2"/>
        <w:tabs>
          <w:tab w:val="left" w:pos="880"/>
          <w:tab w:val="right" w:leader="dot" w:pos="9016"/>
        </w:tabs>
        <w:rPr>
          <w:rFonts w:ascii="Arial" w:eastAsiaTheme="minorEastAsia" w:hAnsi="Arial" w:cs="Arial"/>
          <w:smallCaps w:val="0"/>
          <w:noProof/>
          <w:sz w:val="22"/>
          <w:szCs w:val="22"/>
          <w:lang w:eastAsia="en-GB" w:bidi="ar-SA"/>
        </w:rPr>
      </w:pPr>
      <w:hyperlink w:anchor="_Toc442967405" w:history="1">
        <w:r w:rsidR="00482766" w:rsidRPr="00482766">
          <w:rPr>
            <w:rStyle w:val="Hyperlink"/>
            <w:rFonts w:cs="Arial"/>
            <w:noProof/>
          </w:rPr>
          <w:t>3.4</w:t>
        </w:r>
        <w:r w:rsidR="00482766" w:rsidRPr="00482766">
          <w:rPr>
            <w:rFonts w:ascii="Arial" w:eastAsiaTheme="minorEastAsia" w:hAnsi="Arial" w:cs="Arial"/>
            <w:small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Hazard assessment conclusion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_Toc442967405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8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530EF3CB" w14:textId="77777777" w:rsidR="00482766" w:rsidRPr="00482766" w:rsidRDefault="009B234D">
      <w:pPr>
        <w:pStyle w:val="TOC1"/>
        <w:tabs>
          <w:tab w:val="left" w:pos="440"/>
          <w:tab w:val="right" w:leader="dot" w:pos="901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 w:bidi="ar-SA"/>
        </w:rPr>
      </w:pPr>
      <w:hyperlink w:anchor="_Toc442967406" w:history="1">
        <w:r w:rsidR="00482766" w:rsidRPr="00482766">
          <w:rPr>
            <w:rStyle w:val="Hyperlink"/>
            <w:rFonts w:cs="Arial"/>
            <w:noProof/>
          </w:rPr>
          <w:t>4</w:t>
        </w:r>
        <w:r w:rsidR="00482766" w:rsidRPr="00482766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Dietary exposure assessment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_Toc442967406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8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7FAB8E3B" w14:textId="77777777" w:rsidR="00482766" w:rsidRPr="00482766" w:rsidRDefault="009B234D">
      <w:pPr>
        <w:pStyle w:val="TOC2"/>
        <w:tabs>
          <w:tab w:val="left" w:pos="880"/>
          <w:tab w:val="right" w:leader="dot" w:pos="9016"/>
        </w:tabs>
        <w:rPr>
          <w:rFonts w:ascii="Arial" w:eastAsiaTheme="minorEastAsia" w:hAnsi="Arial" w:cs="Arial"/>
          <w:smallCaps w:val="0"/>
          <w:noProof/>
          <w:sz w:val="22"/>
          <w:szCs w:val="22"/>
          <w:lang w:eastAsia="en-GB" w:bidi="ar-SA"/>
        </w:rPr>
      </w:pPr>
      <w:hyperlink w:anchor="_Toc442967407" w:history="1">
        <w:r w:rsidR="00482766" w:rsidRPr="00482766">
          <w:rPr>
            <w:rStyle w:val="Hyperlink"/>
            <w:rFonts w:cs="Arial"/>
            <w:noProof/>
          </w:rPr>
          <w:t>4.1</w:t>
        </w:r>
        <w:r w:rsidR="00482766" w:rsidRPr="00482766">
          <w:rPr>
            <w:rFonts w:ascii="Arial" w:eastAsiaTheme="minorEastAsia" w:hAnsi="Arial" w:cs="Arial"/>
            <w:small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Estimated dietary exposure to resin impurities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_Toc442967407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8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737C6551" w14:textId="77777777" w:rsidR="00482766" w:rsidRPr="00482766" w:rsidRDefault="009B234D">
      <w:pPr>
        <w:pStyle w:val="TOC1"/>
        <w:tabs>
          <w:tab w:val="left" w:pos="440"/>
          <w:tab w:val="right" w:leader="dot" w:pos="901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 w:bidi="ar-SA"/>
        </w:rPr>
      </w:pPr>
      <w:hyperlink w:anchor="_Toc442967408" w:history="1">
        <w:r w:rsidR="00482766" w:rsidRPr="00482766">
          <w:rPr>
            <w:rStyle w:val="Hyperlink"/>
            <w:rFonts w:cs="Arial"/>
            <w:noProof/>
          </w:rPr>
          <w:t>5</w:t>
        </w:r>
        <w:r w:rsidR="00482766" w:rsidRPr="00482766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Risk characterisation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_Toc442967408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9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0647C63F" w14:textId="77777777" w:rsidR="00482766" w:rsidRPr="00482766" w:rsidRDefault="009B234D">
      <w:pPr>
        <w:pStyle w:val="TOC1"/>
        <w:tabs>
          <w:tab w:val="left" w:pos="440"/>
          <w:tab w:val="right" w:leader="dot" w:pos="9016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eastAsia="en-GB" w:bidi="ar-SA"/>
        </w:rPr>
      </w:pPr>
      <w:hyperlink w:anchor="_Toc442967409" w:history="1">
        <w:r w:rsidR="00482766" w:rsidRPr="00482766">
          <w:rPr>
            <w:rStyle w:val="Hyperlink"/>
            <w:rFonts w:cs="Arial"/>
            <w:noProof/>
          </w:rPr>
          <w:t>6</w:t>
        </w:r>
        <w:r w:rsidR="00482766" w:rsidRPr="00482766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eastAsia="en-GB" w:bidi="ar-SA"/>
          </w:rPr>
          <w:tab/>
        </w:r>
        <w:r w:rsidR="00482766" w:rsidRPr="00482766">
          <w:rPr>
            <w:rStyle w:val="Hyperlink"/>
            <w:rFonts w:cs="Arial"/>
            <w:noProof/>
          </w:rPr>
          <w:t>References</w:t>
        </w:r>
        <w:r w:rsidR="00482766" w:rsidRPr="00482766">
          <w:rPr>
            <w:rFonts w:ascii="Arial" w:hAnsi="Arial" w:cs="Arial"/>
            <w:noProof/>
            <w:webHidden/>
          </w:rPr>
          <w:tab/>
        </w:r>
        <w:r w:rsidR="00482766" w:rsidRPr="00482766">
          <w:rPr>
            <w:rFonts w:ascii="Arial" w:hAnsi="Arial" w:cs="Arial"/>
            <w:noProof/>
            <w:webHidden/>
          </w:rPr>
          <w:fldChar w:fldCharType="begin"/>
        </w:r>
        <w:r w:rsidR="00482766" w:rsidRPr="00482766">
          <w:rPr>
            <w:rFonts w:ascii="Arial" w:hAnsi="Arial" w:cs="Arial"/>
            <w:noProof/>
            <w:webHidden/>
          </w:rPr>
          <w:instrText xml:space="preserve"> PAGEREF _Toc442967409 \h </w:instrText>
        </w:r>
        <w:r w:rsidR="00482766" w:rsidRPr="00482766">
          <w:rPr>
            <w:rFonts w:ascii="Arial" w:hAnsi="Arial" w:cs="Arial"/>
            <w:noProof/>
            <w:webHidden/>
          </w:rPr>
        </w:r>
        <w:r w:rsidR="00482766" w:rsidRPr="00482766">
          <w:rPr>
            <w:rFonts w:ascii="Arial" w:hAnsi="Arial" w:cs="Arial"/>
            <w:noProof/>
            <w:webHidden/>
          </w:rPr>
          <w:fldChar w:fldCharType="separate"/>
        </w:r>
        <w:r w:rsidR="00142C15">
          <w:rPr>
            <w:rFonts w:ascii="Arial" w:hAnsi="Arial" w:cs="Arial"/>
            <w:noProof/>
            <w:webHidden/>
          </w:rPr>
          <w:t>10</w:t>
        </w:r>
        <w:r w:rsidR="00482766" w:rsidRPr="00482766">
          <w:rPr>
            <w:rFonts w:ascii="Arial" w:hAnsi="Arial" w:cs="Arial"/>
            <w:noProof/>
            <w:webHidden/>
          </w:rPr>
          <w:fldChar w:fldCharType="end"/>
        </w:r>
      </w:hyperlink>
    </w:p>
    <w:p w14:paraId="555CBE31" w14:textId="77777777" w:rsidR="00E066BA" w:rsidRDefault="00482766" w:rsidP="00051ED9">
      <w:r w:rsidRPr="00482766">
        <w:rPr>
          <w:rFonts w:cs="Arial"/>
        </w:rPr>
        <w:fldChar w:fldCharType="end"/>
      </w:r>
    </w:p>
    <w:p w14:paraId="61F93B03" w14:textId="77777777" w:rsidR="00051ED9" w:rsidRDefault="00562917" w:rsidP="00772BDC">
      <w:r w:rsidRPr="00E203C2">
        <w:br w:type="page"/>
      </w:r>
    </w:p>
    <w:p w14:paraId="07368B44" w14:textId="77777777" w:rsidR="00983D80" w:rsidRDefault="00983D80" w:rsidP="00983D80">
      <w:pPr>
        <w:pStyle w:val="Heading1"/>
      </w:pPr>
      <w:bookmarkStart w:id="5" w:name="_Toc408468953"/>
      <w:bookmarkStart w:id="6" w:name="_Toc442966852"/>
      <w:bookmarkStart w:id="7" w:name="_Toc442967382"/>
      <w:r>
        <w:lastRenderedPageBreak/>
        <w:t>1</w:t>
      </w:r>
      <w:r>
        <w:tab/>
        <w:t>Introduction</w:t>
      </w:r>
      <w:bookmarkEnd w:id="5"/>
      <w:bookmarkEnd w:id="6"/>
      <w:bookmarkEnd w:id="7"/>
    </w:p>
    <w:p w14:paraId="24C6F0EA" w14:textId="7F7DDFAC" w:rsidR="00D453B4" w:rsidRPr="00D453B4" w:rsidRDefault="007A4C75" w:rsidP="00D453B4">
      <w:r>
        <w:t>FSANZ received an A</w:t>
      </w:r>
      <w:r w:rsidR="00983D80">
        <w:t xml:space="preserve">pplication from </w:t>
      </w:r>
      <w:r w:rsidR="00D453B4" w:rsidRPr="00D453B4">
        <w:t>Fonterra Co-operati</w:t>
      </w:r>
      <w:r w:rsidR="005C1F21">
        <w:t>ve Group Limited</w:t>
      </w:r>
      <w:r w:rsidR="00D453B4">
        <w:t xml:space="preserve"> </w:t>
      </w:r>
      <w:r w:rsidR="00983D80">
        <w:t xml:space="preserve">seeking approval </w:t>
      </w:r>
      <w:r w:rsidR="00D453B4">
        <w:t>to use an agarose ion exchange resin as a processing aid.</w:t>
      </w:r>
      <w:r w:rsidR="005C1F21">
        <w:t xml:space="preserve"> The Application</w:t>
      </w:r>
      <w:r w:rsidR="00C13A9B">
        <w:t xml:space="preserve"> states that this </w:t>
      </w:r>
      <w:r w:rsidR="00D453B4">
        <w:t xml:space="preserve">resin will be used for the production of high purity </w:t>
      </w:r>
      <w:proofErr w:type="spellStart"/>
      <w:r w:rsidR="00D453B4">
        <w:t>lactoferrin</w:t>
      </w:r>
      <w:proofErr w:type="spellEnd"/>
      <w:r w:rsidR="00D453B4">
        <w:t xml:space="preserve"> from bovine milk and milk-related products. </w:t>
      </w:r>
      <w:r w:rsidR="00D453B4" w:rsidRPr="00D453B4">
        <w:t xml:space="preserve">The resin achieves this by binding and extracting </w:t>
      </w:r>
      <w:proofErr w:type="spellStart"/>
      <w:r w:rsidR="00D453B4" w:rsidRPr="00D453B4">
        <w:t>lactoferrin</w:t>
      </w:r>
      <w:proofErr w:type="spellEnd"/>
      <w:r w:rsidR="00D453B4" w:rsidRPr="00D453B4">
        <w:t xml:space="preserve"> from dairy streams such as skim milk and whey.</w:t>
      </w:r>
    </w:p>
    <w:p w14:paraId="4992347D" w14:textId="77777777" w:rsidR="00D453B4" w:rsidRDefault="00D453B4" w:rsidP="00983D80"/>
    <w:p w14:paraId="74F6811F" w14:textId="133216AB" w:rsidR="00D1332B" w:rsidRDefault="00D1332B" w:rsidP="00983D80">
      <w:proofErr w:type="spellStart"/>
      <w:r w:rsidRPr="00D1332B">
        <w:t>Lactoferrin</w:t>
      </w:r>
      <w:proofErr w:type="spellEnd"/>
      <w:r w:rsidRPr="00D1332B">
        <w:t xml:space="preserve">, present in milk at low levels, </w:t>
      </w:r>
      <w:r w:rsidR="00317882">
        <w:t xml:space="preserve">has a range of </w:t>
      </w:r>
      <w:r w:rsidRPr="00D1332B">
        <w:t xml:space="preserve">physiological </w:t>
      </w:r>
      <w:r w:rsidR="00317882">
        <w:t>functions</w:t>
      </w:r>
      <w:r w:rsidRPr="00D1332B">
        <w:t xml:space="preserve"> and</w:t>
      </w:r>
      <w:r w:rsidR="00317882">
        <w:t xml:space="preserve"> </w:t>
      </w:r>
      <w:r w:rsidR="005C1F21">
        <w:t>the Applica</w:t>
      </w:r>
      <w:r w:rsidRPr="00D1332B">
        <w:t>t</w:t>
      </w:r>
      <w:r w:rsidR="005C1F21">
        <w:t>ion</w:t>
      </w:r>
      <w:r w:rsidRPr="00D1332B">
        <w:t xml:space="preserve"> </w:t>
      </w:r>
      <w:r w:rsidR="005C1F21">
        <w:t xml:space="preserve">indicated </w:t>
      </w:r>
      <w:r w:rsidRPr="00D1332B">
        <w:t xml:space="preserve">that there is increasing interest in its use as a nutraceutical and </w:t>
      </w:r>
      <w:r>
        <w:t xml:space="preserve">as a potential pharmaceutical. </w:t>
      </w:r>
    </w:p>
    <w:p w14:paraId="541A80EF" w14:textId="77777777" w:rsidR="00D1332B" w:rsidRDefault="00D1332B" w:rsidP="00983D80"/>
    <w:p w14:paraId="72F3F023" w14:textId="018814CA" w:rsidR="0012564B" w:rsidRDefault="00D453B4" w:rsidP="0012564B">
      <w:r>
        <w:t xml:space="preserve">The agarose ion exchange resin is in the form </w:t>
      </w:r>
      <w:r w:rsidRPr="00D453B4">
        <w:t>of porous, spherical beads with a diameter of between 100</w:t>
      </w:r>
      <w:r w:rsidR="002448A8">
        <w:sym w:font="Symbol" w:char="F02D"/>
      </w:r>
      <w:r w:rsidRPr="00D453B4">
        <w:t xml:space="preserve">300 µm. It comprises an agarose backbone cross-linked with </w:t>
      </w:r>
      <w:proofErr w:type="spellStart"/>
      <w:r w:rsidRPr="00D453B4">
        <w:t>epichlorohydrin</w:t>
      </w:r>
      <w:proofErr w:type="spellEnd"/>
      <w:r w:rsidR="00C33892">
        <w:t xml:space="preserve"> and reacted with allyl </w:t>
      </w:r>
      <w:proofErr w:type="spellStart"/>
      <w:r w:rsidR="00C33892">
        <w:t>glycidyl</w:t>
      </w:r>
      <w:proofErr w:type="spellEnd"/>
      <w:r w:rsidR="00C33892">
        <w:t xml:space="preserve"> ether</w:t>
      </w:r>
      <w:r w:rsidR="00CC2319">
        <w:t xml:space="preserve"> (or propylene oxide)</w:t>
      </w:r>
      <w:r w:rsidR="00C33892">
        <w:t xml:space="preserve">, and </w:t>
      </w:r>
      <w:r w:rsidRPr="00D453B4">
        <w:t xml:space="preserve">then </w:t>
      </w:r>
      <w:proofErr w:type="spellStart"/>
      <w:r w:rsidRPr="00D453B4">
        <w:t>derivatised</w:t>
      </w:r>
      <w:proofErr w:type="spellEnd"/>
      <w:r w:rsidRPr="00D453B4">
        <w:t xml:space="preserve"> with </w:t>
      </w:r>
      <w:proofErr w:type="spellStart"/>
      <w:r w:rsidRPr="00D453B4">
        <w:t>sul</w:t>
      </w:r>
      <w:r w:rsidR="00CF4188">
        <w:t>ph</w:t>
      </w:r>
      <w:r w:rsidRPr="00D453B4">
        <w:t>onate</w:t>
      </w:r>
      <w:proofErr w:type="spellEnd"/>
      <w:r w:rsidRPr="00D453B4">
        <w:t xml:space="preserve"> groups, to provide cation exchange functionality</w:t>
      </w:r>
      <w:r w:rsidR="00D1332B">
        <w:t>,</w:t>
      </w:r>
      <w:r>
        <w:t xml:space="preserve"> which </w:t>
      </w:r>
      <w:r w:rsidR="007A4C75">
        <w:t>allows</w:t>
      </w:r>
      <w:r w:rsidR="00D1332B">
        <w:t xml:space="preserve"> for effective </w:t>
      </w:r>
      <w:r>
        <w:t xml:space="preserve">binding and extraction of </w:t>
      </w:r>
      <w:proofErr w:type="spellStart"/>
      <w:r>
        <w:t>lactoferrin</w:t>
      </w:r>
      <w:proofErr w:type="spellEnd"/>
      <w:r w:rsidRPr="00D453B4">
        <w:t xml:space="preserve">. </w:t>
      </w:r>
      <w:r w:rsidR="00655668">
        <w:t>Between 60</w:t>
      </w:r>
      <w:r w:rsidR="002448A8">
        <w:sym w:font="Symbol" w:char="F02D"/>
      </w:r>
      <w:r w:rsidR="00655668">
        <w:t xml:space="preserve">100% of the </w:t>
      </w:r>
      <w:proofErr w:type="spellStart"/>
      <w:r w:rsidR="00655668">
        <w:t>lactoferrin</w:t>
      </w:r>
      <w:proofErr w:type="spellEnd"/>
      <w:r w:rsidR="00655668">
        <w:t xml:space="preserve"> in the dairy stream passed through the resin is adsorbed.</w:t>
      </w:r>
    </w:p>
    <w:p w14:paraId="0D3DDBD5" w14:textId="77777777" w:rsidR="0012564B" w:rsidRDefault="0012564B" w:rsidP="0012564B"/>
    <w:p w14:paraId="4123F23D" w14:textId="6F993E2A" w:rsidR="0012564B" w:rsidRDefault="0012564B" w:rsidP="00983D80">
      <w:r>
        <w:rPr>
          <w:rFonts w:cs="Arial"/>
          <w:szCs w:val="20"/>
        </w:rPr>
        <w:t xml:space="preserve">Although other techniques for </w:t>
      </w:r>
      <w:proofErr w:type="spellStart"/>
      <w:r>
        <w:rPr>
          <w:rFonts w:cs="Arial"/>
          <w:szCs w:val="20"/>
        </w:rPr>
        <w:t>lactoferrin</w:t>
      </w:r>
      <w:proofErr w:type="spellEnd"/>
      <w:r>
        <w:rPr>
          <w:rFonts w:cs="Arial"/>
          <w:szCs w:val="20"/>
        </w:rPr>
        <w:t xml:space="preserve"> separation have been studied, the </w:t>
      </w:r>
      <w:r w:rsidR="005C1F21">
        <w:rPr>
          <w:rFonts w:cs="Arial"/>
          <w:szCs w:val="20"/>
        </w:rPr>
        <w:t>Application</w:t>
      </w:r>
      <w:r w:rsidR="00214275">
        <w:rPr>
          <w:rFonts w:cs="Arial"/>
          <w:szCs w:val="20"/>
        </w:rPr>
        <w:t xml:space="preserve"> states that the </w:t>
      </w:r>
      <w:r>
        <w:rPr>
          <w:rFonts w:cs="Arial"/>
          <w:szCs w:val="20"/>
        </w:rPr>
        <w:t xml:space="preserve">agarose ion exchange resin is the only viable commercial method currently available for </w:t>
      </w:r>
      <w:proofErr w:type="spellStart"/>
      <w:r>
        <w:rPr>
          <w:rFonts w:cs="Arial"/>
          <w:szCs w:val="20"/>
        </w:rPr>
        <w:t>lactoferrin</w:t>
      </w:r>
      <w:proofErr w:type="spellEnd"/>
      <w:r>
        <w:rPr>
          <w:rFonts w:cs="Arial"/>
          <w:szCs w:val="20"/>
        </w:rPr>
        <w:t xml:space="preserve"> production.</w:t>
      </w:r>
    </w:p>
    <w:p w14:paraId="4034ABD5" w14:textId="77777777" w:rsidR="00983D80" w:rsidRDefault="00983D80" w:rsidP="00A62BE1">
      <w:pPr>
        <w:pStyle w:val="Heading2"/>
      </w:pPr>
      <w:bookmarkStart w:id="8" w:name="_Toc408468954"/>
      <w:bookmarkStart w:id="9" w:name="_Toc442966853"/>
      <w:bookmarkStart w:id="10" w:name="_Toc442967383"/>
      <w:r>
        <w:t>1.1</w:t>
      </w:r>
      <w:r>
        <w:tab/>
        <w:t>Objectives of the Assessment</w:t>
      </w:r>
      <w:bookmarkEnd w:id="8"/>
      <w:bookmarkEnd w:id="9"/>
      <w:bookmarkEnd w:id="10"/>
    </w:p>
    <w:p w14:paraId="3FB0E305" w14:textId="6B2EDC88" w:rsidR="00983D80" w:rsidRDefault="00983D80" w:rsidP="00983D80">
      <w:r>
        <w:t>As t</w:t>
      </w:r>
      <w:r w:rsidR="00655668">
        <w:t>here are no permissions for the use of this particular agarose ion exchange resin</w:t>
      </w:r>
      <w:r w:rsidR="00BB557A">
        <w:t xml:space="preserve"> </w:t>
      </w:r>
      <w:r w:rsidR="00655668">
        <w:t xml:space="preserve">in the production of </w:t>
      </w:r>
      <w:proofErr w:type="spellStart"/>
      <w:r w:rsidR="00655668">
        <w:t>lactoferrin</w:t>
      </w:r>
      <w:proofErr w:type="spellEnd"/>
      <w:r w:rsidR="00655668">
        <w:t xml:space="preserve"> </w:t>
      </w:r>
      <w:r>
        <w:t xml:space="preserve">currently in the </w:t>
      </w:r>
      <w:r>
        <w:rPr>
          <w:i/>
        </w:rPr>
        <w:t xml:space="preserve">Australia New Zealand Food Standards </w:t>
      </w:r>
      <w:r w:rsidRPr="00732E63">
        <w:rPr>
          <w:i/>
        </w:rPr>
        <w:t>Code</w:t>
      </w:r>
      <w:r>
        <w:t xml:space="preserve"> (the Code), any application to amend the Code to permit the use of this </w:t>
      </w:r>
      <w:r w:rsidR="00655668">
        <w:t>resin</w:t>
      </w:r>
      <w:r>
        <w:t xml:space="preserve"> as a food processing aid requires a pre-market assessment. </w:t>
      </w:r>
    </w:p>
    <w:p w14:paraId="00020C17" w14:textId="77777777" w:rsidR="00983D80" w:rsidRDefault="00983D80" w:rsidP="00983D80"/>
    <w:p w14:paraId="69967697" w14:textId="77777777" w:rsidR="00983D80" w:rsidRDefault="00983D80" w:rsidP="00983D80">
      <w:r>
        <w:t>The objectives of this risk assessment are to:</w:t>
      </w:r>
    </w:p>
    <w:p w14:paraId="4C506D73" w14:textId="77777777" w:rsidR="00983D80" w:rsidRDefault="00983D80" w:rsidP="00983D80"/>
    <w:p w14:paraId="4483C060" w14:textId="469E8702" w:rsidR="00983D80" w:rsidRDefault="00983D80" w:rsidP="00983D80">
      <w:pPr>
        <w:pStyle w:val="FSBullet1"/>
      </w:pPr>
      <w:r>
        <w:t xml:space="preserve">determine whether the proposed purpose is clearly stated and that the </w:t>
      </w:r>
      <w:r w:rsidR="00655668">
        <w:t xml:space="preserve">agarose ion exchange resin </w:t>
      </w:r>
      <w:r>
        <w:t>achieves its technological function in the form proposed to be used as a food processing aid</w:t>
      </w:r>
    </w:p>
    <w:p w14:paraId="0D77F66C" w14:textId="77777777" w:rsidR="00983D80" w:rsidRPr="00A301D3" w:rsidRDefault="00983D80" w:rsidP="00983D80">
      <w:pPr>
        <w:rPr>
          <w:lang w:bidi="ar-SA"/>
        </w:rPr>
      </w:pPr>
    </w:p>
    <w:p w14:paraId="4E355504" w14:textId="483F189D" w:rsidR="00983D80" w:rsidRDefault="00983D80" w:rsidP="00983D80">
      <w:pPr>
        <w:pStyle w:val="FSBullet1"/>
      </w:pPr>
      <w:proofErr w:type="gramStart"/>
      <w:r>
        <w:t>evaluate</w:t>
      </w:r>
      <w:proofErr w:type="gramEnd"/>
      <w:r>
        <w:t xml:space="preserve"> any potential public health and safety concerns that may arise from the use of </w:t>
      </w:r>
      <w:r w:rsidR="00DD62F8">
        <w:t>the</w:t>
      </w:r>
      <w:r w:rsidR="00655668">
        <w:t xml:space="preserve"> agarose ion exchange resin</w:t>
      </w:r>
      <w:r>
        <w:t xml:space="preserve"> as a processing aid.</w:t>
      </w:r>
    </w:p>
    <w:p w14:paraId="6F0B54BD" w14:textId="77777777" w:rsidR="00983D80" w:rsidRDefault="00983D80" w:rsidP="00983D80">
      <w:pPr>
        <w:pStyle w:val="Heading1"/>
      </w:pPr>
      <w:bookmarkStart w:id="11" w:name="_Toc408468955"/>
      <w:bookmarkStart w:id="12" w:name="_Toc442966854"/>
      <w:bookmarkStart w:id="13" w:name="_Toc442967384"/>
      <w:r>
        <w:t>2</w:t>
      </w:r>
      <w:r>
        <w:tab/>
        <w:t>Food Technology Assessment</w:t>
      </w:r>
      <w:bookmarkEnd w:id="11"/>
      <w:bookmarkEnd w:id="12"/>
      <w:bookmarkEnd w:id="13"/>
    </w:p>
    <w:p w14:paraId="20BED225" w14:textId="133F919A" w:rsidR="00983D80" w:rsidRDefault="00983D80" w:rsidP="00A62BE1">
      <w:pPr>
        <w:pStyle w:val="Heading2"/>
      </w:pPr>
      <w:bookmarkStart w:id="14" w:name="_Toc408468956"/>
      <w:bookmarkStart w:id="15" w:name="_Toc442966855"/>
      <w:bookmarkStart w:id="16" w:name="_Toc442967385"/>
      <w:r>
        <w:t>2.1</w:t>
      </w:r>
      <w:r>
        <w:tab/>
        <w:t>Characterisation of</w:t>
      </w:r>
      <w:bookmarkEnd w:id="14"/>
      <w:r w:rsidR="00C10757">
        <w:t xml:space="preserve"> </w:t>
      </w:r>
      <w:r w:rsidR="00F72C2E">
        <w:t>the agarose ion exchange resin</w:t>
      </w:r>
      <w:bookmarkEnd w:id="15"/>
      <w:bookmarkEnd w:id="16"/>
    </w:p>
    <w:p w14:paraId="5390961B" w14:textId="74577109" w:rsidR="00983D80" w:rsidRDefault="00983D80" w:rsidP="00DA25FA">
      <w:pPr>
        <w:pStyle w:val="Heading3"/>
      </w:pPr>
      <w:bookmarkStart w:id="17" w:name="_Toc408468957"/>
      <w:bookmarkStart w:id="18" w:name="_Toc442966856"/>
      <w:bookmarkStart w:id="19" w:name="_Toc442967386"/>
      <w:r>
        <w:t>2.1.1</w:t>
      </w:r>
      <w:r>
        <w:tab/>
        <w:t xml:space="preserve">Identity of the </w:t>
      </w:r>
      <w:bookmarkEnd w:id="17"/>
      <w:r w:rsidR="00313D77">
        <w:t>agarose ion exchange resin</w:t>
      </w:r>
      <w:bookmarkEnd w:id="18"/>
      <w:bookmarkEnd w:id="19"/>
    </w:p>
    <w:p w14:paraId="7F670182" w14:textId="42EE99F5" w:rsidR="00C10757" w:rsidRDefault="00C10757" w:rsidP="00C10757">
      <w:r>
        <w:t xml:space="preserve">Information regarding the identity of the </w:t>
      </w:r>
      <w:r w:rsidR="00313D77">
        <w:t>agarose ion exchange resin</w:t>
      </w:r>
      <w:r>
        <w:t xml:space="preserve"> that was taken from the Application has been verified </w:t>
      </w:r>
      <w:r w:rsidR="00983D72">
        <w:t>using</w:t>
      </w:r>
      <w:r w:rsidR="00D832E3">
        <w:t xml:space="preserve"> the </w:t>
      </w:r>
      <w:r w:rsidR="002448A8">
        <w:t>USFDA</w:t>
      </w:r>
      <w:r>
        <w:t xml:space="preserve"> </w:t>
      </w:r>
      <w:r w:rsidR="00313D77" w:rsidRPr="00313D77">
        <w:t>Inventory of Effective Food Contact Substance (FCS) Notifications</w:t>
      </w:r>
      <w:r w:rsidR="00313D77">
        <w:t xml:space="preserve"> </w:t>
      </w:r>
      <w:r w:rsidR="00983D72">
        <w:t>as a reference</w:t>
      </w:r>
      <w:r w:rsidR="006C76E5">
        <w:t xml:space="preserve"> (</w:t>
      </w:r>
      <w:r w:rsidR="002448A8">
        <w:t>USFDA</w:t>
      </w:r>
      <w:r w:rsidR="006C76E5" w:rsidRPr="00214275">
        <w:t xml:space="preserve"> 2004</w:t>
      </w:r>
      <w:r w:rsidR="006C76E5">
        <w:t>)</w:t>
      </w:r>
      <w:r>
        <w:t xml:space="preserve">. </w:t>
      </w:r>
    </w:p>
    <w:p w14:paraId="2DB1C8EC" w14:textId="77777777" w:rsidR="00C10757" w:rsidRDefault="00C10757" w:rsidP="00C10757"/>
    <w:p w14:paraId="5D97EB7D" w14:textId="77777777" w:rsidR="006C76E5" w:rsidRDefault="006C76E5">
      <w:pPr>
        <w:widowControl/>
      </w:pPr>
      <w:r>
        <w:br w:type="page"/>
      </w:r>
    </w:p>
    <w:p w14:paraId="1875C068" w14:textId="71AEE519" w:rsidR="00C10757" w:rsidRDefault="00C10757" w:rsidP="00C10757">
      <w:r>
        <w:lastRenderedPageBreak/>
        <w:t>Generic common name:</w:t>
      </w:r>
      <w:r>
        <w:tab/>
      </w:r>
      <w:r>
        <w:tab/>
      </w:r>
      <w:r w:rsidR="001F07B9">
        <w:t>Agarose ion exchange resin</w:t>
      </w:r>
    </w:p>
    <w:p w14:paraId="5C1083F6" w14:textId="77777777" w:rsidR="00C10757" w:rsidRDefault="00C10757" w:rsidP="00C10757"/>
    <w:p w14:paraId="20B0D1B7" w14:textId="796C521E" w:rsidR="00C10757" w:rsidRDefault="002958DD" w:rsidP="00983D72">
      <w:pPr>
        <w:ind w:left="3405" w:hanging="3405"/>
      </w:pPr>
      <w:r>
        <w:t xml:space="preserve">Chemical </w:t>
      </w:r>
      <w:r w:rsidR="00983D72">
        <w:t xml:space="preserve">name: </w:t>
      </w:r>
      <w:r w:rsidR="00983D72">
        <w:tab/>
        <w:t>Agarose, polymer with (</w:t>
      </w:r>
      <w:proofErr w:type="spellStart"/>
      <w:r w:rsidR="00983D72">
        <w:t>chloromethyl</w:t>
      </w:r>
      <w:proofErr w:type="spellEnd"/>
      <w:proofErr w:type="gramStart"/>
      <w:r w:rsidR="00983D72">
        <w:t>)</w:t>
      </w:r>
      <w:proofErr w:type="spellStart"/>
      <w:r w:rsidR="00983D72">
        <w:t>oxirane</w:t>
      </w:r>
      <w:proofErr w:type="spellEnd"/>
      <w:proofErr w:type="gramEnd"/>
      <w:r w:rsidR="00983D72">
        <w:t>, 2-hydroxy-3</w:t>
      </w:r>
      <w:r w:rsidR="00FF0C66">
        <w:t>-</w:t>
      </w:r>
      <w:r w:rsidR="00983D72">
        <w:t>(3-sul</w:t>
      </w:r>
      <w:r w:rsidR="00CF4188">
        <w:t>ph</w:t>
      </w:r>
      <w:r w:rsidR="00983D72">
        <w:t>opropoxy)propyl ethers, sodium salts</w:t>
      </w:r>
    </w:p>
    <w:p w14:paraId="0D89379F" w14:textId="77777777" w:rsidR="00983D72" w:rsidRDefault="00983D72" w:rsidP="00C10757"/>
    <w:p w14:paraId="21F05D8D" w14:textId="5D8ADDA1" w:rsidR="00C10757" w:rsidRDefault="00F32E4B" w:rsidP="00C10757">
      <w:r>
        <w:t>CAS</w:t>
      </w:r>
      <w:r w:rsidR="00C10757">
        <w:t xml:space="preserve"> number:</w:t>
      </w:r>
      <w:r w:rsidR="00C10757">
        <w:tab/>
      </w:r>
      <w:r w:rsidR="00C10757">
        <w:tab/>
      </w:r>
      <w:r w:rsidR="00C10757">
        <w:tab/>
      </w:r>
      <w:r w:rsidR="00C10757">
        <w:tab/>
      </w:r>
      <w:r w:rsidR="002958DD">
        <w:t>676618-71-6</w:t>
      </w:r>
    </w:p>
    <w:p w14:paraId="56E541D6" w14:textId="77777777" w:rsidR="00C10757" w:rsidRDefault="00C10757" w:rsidP="00C10757"/>
    <w:p w14:paraId="14756DBF" w14:textId="09A380BE" w:rsidR="00C10757" w:rsidRDefault="00C10757" w:rsidP="00C10757">
      <w:r>
        <w:t>Commercial name:</w:t>
      </w:r>
      <w:r>
        <w:tab/>
      </w:r>
      <w:r>
        <w:tab/>
      </w:r>
      <w:r>
        <w:tab/>
      </w:r>
      <w:r w:rsidR="00983D72" w:rsidRPr="00983D72">
        <w:t xml:space="preserve">SP </w:t>
      </w:r>
      <w:proofErr w:type="spellStart"/>
      <w:r w:rsidR="00983D72" w:rsidRPr="00983D72">
        <w:t>Sepharose</w:t>
      </w:r>
      <w:proofErr w:type="spellEnd"/>
      <w:r w:rsidR="00983D72">
        <w:rPr>
          <w:rFonts w:cs="Arial"/>
        </w:rPr>
        <w:t>™</w:t>
      </w:r>
      <w:r w:rsidR="00983D72">
        <w:t xml:space="preserve"> </w:t>
      </w:r>
      <w:r w:rsidR="00983D72" w:rsidRPr="00983D72">
        <w:t>Big Beads Food Grade</w:t>
      </w:r>
    </w:p>
    <w:p w14:paraId="3159BA6E" w14:textId="232444F0" w:rsidR="00D60568" w:rsidRDefault="00C10757" w:rsidP="00DA25FA">
      <w:pPr>
        <w:pStyle w:val="Heading3"/>
      </w:pPr>
      <w:bookmarkStart w:id="20" w:name="_Toc442966857"/>
      <w:bookmarkStart w:id="21" w:name="_Toc442967387"/>
      <w:r>
        <w:t>2.1.2</w:t>
      </w:r>
      <w:r>
        <w:tab/>
      </w:r>
      <w:r w:rsidR="00983D72">
        <w:t>Physical and chemical</w:t>
      </w:r>
      <w:r>
        <w:t xml:space="preserve"> properties</w:t>
      </w:r>
      <w:r w:rsidR="000A0D3A">
        <w:t xml:space="preserve"> of the agarose ion exchange resin</w:t>
      </w:r>
      <w:bookmarkEnd w:id="20"/>
      <w:bookmarkEnd w:id="21"/>
    </w:p>
    <w:p w14:paraId="37F74C2A" w14:textId="11FE0EBD" w:rsidR="00302164" w:rsidRDefault="00F82FCE" w:rsidP="00C10757">
      <w:r>
        <w:rPr>
          <w:color w:val="000000" w:themeColor="text1"/>
          <w:szCs w:val="22"/>
        </w:rPr>
        <w:t xml:space="preserve">The agarose ion exchange resin </w:t>
      </w:r>
      <w:r w:rsidRPr="00F82FCE">
        <w:rPr>
          <w:color w:val="000000" w:themeColor="text1"/>
          <w:szCs w:val="22"/>
        </w:rPr>
        <w:t xml:space="preserve">is </w:t>
      </w:r>
      <w:r w:rsidR="00CB0CAD">
        <w:rPr>
          <w:color w:val="000000" w:themeColor="text1"/>
          <w:szCs w:val="22"/>
        </w:rPr>
        <w:t xml:space="preserve">a </w:t>
      </w:r>
      <w:proofErr w:type="spellStart"/>
      <w:r w:rsidR="00CB0CAD">
        <w:t>macroporous</w:t>
      </w:r>
      <w:proofErr w:type="spellEnd"/>
      <w:r w:rsidR="00CB0CAD">
        <w:t>, strong cation exchanger, in the form of s</w:t>
      </w:r>
      <w:r w:rsidRPr="00F82FCE">
        <w:rPr>
          <w:color w:val="000000" w:themeColor="text1"/>
          <w:szCs w:val="22"/>
        </w:rPr>
        <w:t>pherical beads with a diameter of between 100-300 µm</w:t>
      </w:r>
      <w:r>
        <w:rPr>
          <w:color w:val="000000" w:themeColor="text1"/>
          <w:szCs w:val="22"/>
        </w:rPr>
        <w:t>.</w:t>
      </w:r>
      <w:r w:rsidR="00CB0CAD">
        <w:rPr>
          <w:color w:val="000000" w:themeColor="text1"/>
          <w:szCs w:val="22"/>
        </w:rPr>
        <w:t xml:space="preserve"> The resin comprises </w:t>
      </w:r>
      <w:r w:rsidR="00894F1A">
        <w:t xml:space="preserve">an </w:t>
      </w:r>
      <w:r w:rsidR="000A0D3A">
        <w:t xml:space="preserve">agarose </w:t>
      </w:r>
      <w:r w:rsidR="00131215">
        <w:t>backbone</w:t>
      </w:r>
      <w:r w:rsidR="000A0D3A">
        <w:t xml:space="preserve"> highly cross-linked </w:t>
      </w:r>
      <w:r w:rsidR="008F1A99">
        <w:t xml:space="preserve">(6%) </w:t>
      </w:r>
      <w:r w:rsidR="002461EA">
        <w:t xml:space="preserve">using </w:t>
      </w:r>
      <w:proofErr w:type="spellStart"/>
      <w:r w:rsidR="000A0D3A">
        <w:t>epichlorohydrin</w:t>
      </w:r>
      <w:proofErr w:type="spellEnd"/>
      <w:r w:rsidR="00884579">
        <w:t xml:space="preserve"> and then reacted with allyl </w:t>
      </w:r>
      <w:proofErr w:type="spellStart"/>
      <w:r w:rsidR="00884579">
        <w:t>glycidyl</w:t>
      </w:r>
      <w:proofErr w:type="spellEnd"/>
      <w:r w:rsidR="00884579">
        <w:t xml:space="preserve"> ether</w:t>
      </w:r>
      <w:r w:rsidR="00CC2319">
        <w:t xml:space="preserve"> (or propylene oxide)</w:t>
      </w:r>
      <w:r w:rsidR="002461EA">
        <w:t>.</w:t>
      </w:r>
      <w:r w:rsidR="000A0D3A">
        <w:t xml:space="preserve"> </w:t>
      </w:r>
      <w:proofErr w:type="spellStart"/>
      <w:r w:rsidR="002461EA">
        <w:t>S</w:t>
      </w:r>
      <w:r w:rsidR="000A0D3A">
        <w:t>ul</w:t>
      </w:r>
      <w:r w:rsidR="00CF4188">
        <w:t>ph</w:t>
      </w:r>
      <w:r w:rsidR="000A0D3A">
        <w:t>onate</w:t>
      </w:r>
      <w:proofErr w:type="spellEnd"/>
      <w:r w:rsidR="000A0D3A">
        <w:t xml:space="preserve"> </w:t>
      </w:r>
      <w:r w:rsidR="00894F1A">
        <w:t xml:space="preserve">ion exchange </w:t>
      </w:r>
      <w:r w:rsidR="000A0D3A">
        <w:t>groups</w:t>
      </w:r>
      <w:r w:rsidR="00894F1A">
        <w:t xml:space="preserve"> </w:t>
      </w:r>
      <w:r w:rsidR="002461EA">
        <w:t xml:space="preserve">are </w:t>
      </w:r>
      <w:r w:rsidR="00894F1A">
        <w:t xml:space="preserve">coupled through chemically stable ether bonds to the </w:t>
      </w:r>
      <w:r w:rsidR="002461EA">
        <w:t>cross</w:t>
      </w:r>
      <w:r w:rsidR="00345A26">
        <w:t>-</w:t>
      </w:r>
      <w:r w:rsidR="002461EA">
        <w:t xml:space="preserve">linked agarose </w:t>
      </w:r>
      <w:r w:rsidR="00894F1A">
        <w:t>backbone</w:t>
      </w:r>
      <w:r w:rsidR="00D430FD">
        <w:t xml:space="preserve">. </w:t>
      </w:r>
      <w:r w:rsidR="0084083A">
        <w:t xml:space="preserve">The Application indicated that </w:t>
      </w:r>
      <w:r w:rsidR="00302164">
        <w:t>the particle size and stability of th</w:t>
      </w:r>
      <w:r w:rsidR="002461EA">
        <w:t>e</w:t>
      </w:r>
      <w:r w:rsidR="00302164">
        <w:t xml:space="preserve"> </w:t>
      </w:r>
      <w:r w:rsidR="00EE0190">
        <w:t>cross</w:t>
      </w:r>
      <w:r w:rsidR="001C6B52">
        <w:t>-</w:t>
      </w:r>
      <w:r w:rsidR="00EE0190">
        <w:t xml:space="preserve">linked agarose </w:t>
      </w:r>
      <w:r w:rsidR="00302164">
        <w:t>matrix</w:t>
      </w:r>
      <w:r w:rsidR="00B84475">
        <w:t xml:space="preserve"> </w:t>
      </w:r>
      <w:r w:rsidR="0084083A">
        <w:t>are important factors</w:t>
      </w:r>
      <w:r w:rsidR="00B84475">
        <w:t xml:space="preserve"> </w:t>
      </w:r>
      <w:r w:rsidR="0084083A">
        <w:t>for</w:t>
      </w:r>
      <w:r w:rsidR="001C6B52">
        <w:t xml:space="preserve"> the efficient isolation</w:t>
      </w:r>
      <w:r w:rsidR="0084083A">
        <w:t xml:space="preserve"> </w:t>
      </w:r>
      <w:r w:rsidR="001C6B52">
        <w:t xml:space="preserve">of </w:t>
      </w:r>
      <w:proofErr w:type="spellStart"/>
      <w:r w:rsidR="00302164">
        <w:t>lactoferrin</w:t>
      </w:r>
      <w:proofErr w:type="spellEnd"/>
      <w:r w:rsidR="001C6B52">
        <w:t xml:space="preserve"> from skim milk/whey</w:t>
      </w:r>
      <w:r w:rsidR="00302164">
        <w:t>.</w:t>
      </w:r>
    </w:p>
    <w:p w14:paraId="7F2320C3" w14:textId="77777777" w:rsidR="00302164" w:rsidRDefault="00302164" w:rsidP="00C10757"/>
    <w:p w14:paraId="51176BF6" w14:textId="630C7E52" w:rsidR="00894F1A" w:rsidRDefault="00894F1A" w:rsidP="00C10757">
      <w:r>
        <w:t xml:space="preserve">The medium is supplied in a </w:t>
      </w:r>
      <w:r w:rsidR="0012564B">
        <w:t xml:space="preserve">liquid and gel </w:t>
      </w:r>
      <w:r>
        <w:t>suspension of 0.2</w:t>
      </w:r>
      <w:r w:rsidR="00D430FD">
        <w:t xml:space="preserve"> </w:t>
      </w:r>
      <w:r>
        <w:t>M sodium acetate in 20%</w:t>
      </w:r>
      <w:r w:rsidR="00FC6264">
        <w:t xml:space="preserve"> v/v</w:t>
      </w:r>
      <w:r>
        <w:t xml:space="preserve"> ethanol. The solution is colourless; the gel suspension is white to yellowish.</w:t>
      </w:r>
    </w:p>
    <w:p w14:paraId="0A95A5A5" w14:textId="77777777" w:rsidR="00894F1A" w:rsidRDefault="00894F1A" w:rsidP="00C10757"/>
    <w:p w14:paraId="594B6DCF" w14:textId="2D141824" w:rsidR="0012564B" w:rsidRDefault="0012564B" w:rsidP="00C10757">
      <w:r w:rsidRPr="0012564B">
        <w:t xml:space="preserve">Schedule 18 </w:t>
      </w:r>
      <w:r w:rsidR="008A7000">
        <w:t xml:space="preserve">of the Code </w:t>
      </w:r>
      <w:r w:rsidRPr="0012564B">
        <w:t>permits the use of a</w:t>
      </w:r>
      <w:r w:rsidR="008A7000">
        <w:t xml:space="preserve"> comparable</w:t>
      </w:r>
      <w:r w:rsidRPr="0012564B">
        <w:t xml:space="preserve"> agarose ion exchange resin for the removal of specific proteins and polyphenols from beer (</w:t>
      </w:r>
      <w:r w:rsidR="00BE6B88">
        <w:t>sub</w:t>
      </w:r>
      <w:r w:rsidRPr="0012564B">
        <w:t>section S18</w:t>
      </w:r>
      <w:r w:rsidR="000E52A2" w:rsidRPr="00B84475">
        <w:t>—</w:t>
      </w:r>
      <w:r w:rsidRPr="0012564B">
        <w:t xml:space="preserve">9). The </w:t>
      </w:r>
      <w:r w:rsidR="007A7DEE">
        <w:t xml:space="preserve">resin </w:t>
      </w:r>
      <w:r w:rsidRPr="0012564B">
        <w:t xml:space="preserve">which is the subject of </w:t>
      </w:r>
      <w:r w:rsidR="007A7DEE">
        <w:t xml:space="preserve">this Application </w:t>
      </w:r>
      <w:r w:rsidRPr="0012564B">
        <w:t xml:space="preserve">is similar with respect to the </w:t>
      </w:r>
      <w:r w:rsidR="00884579">
        <w:t xml:space="preserve">agarose backbone, which is cross-linked using </w:t>
      </w:r>
      <w:proofErr w:type="spellStart"/>
      <w:r w:rsidR="00884579">
        <w:t>epichlorohydrin</w:t>
      </w:r>
      <w:proofErr w:type="spellEnd"/>
      <w:r w:rsidRPr="0012564B">
        <w:t>. However</w:t>
      </w:r>
      <w:r w:rsidR="006A74F6">
        <w:t>,</w:t>
      </w:r>
      <w:r w:rsidRPr="0012564B">
        <w:t xml:space="preserve"> the </w:t>
      </w:r>
      <w:r w:rsidR="006A74F6">
        <w:t xml:space="preserve">currently </w:t>
      </w:r>
      <w:r w:rsidRPr="0012564B">
        <w:t>permitted resin is</w:t>
      </w:r>
      <w:r w:rsidR="00D816EF">
        <w:t xml:space="preserve"> </w:t>
      </w:r>
      <w:proofErr w:type="spellStart"/>
      <w:r w:rsidRPr="0012564B">
        <w:t>derivati</w:t>
      </w:r>
      <w:r w:rsidR="006A74F6">
        <w:t>sed</w:t>
      </w:r>
      <w:proofErr w:type="spellEnd"/>
      <w:r w:rsidR="006A74F6">
        <w:t xml:space="preserve"> with tertiary amine groups to provide </w:t>
      </w:r>
      <w:r w:rsidRPr="0012564B">
        <w:t>anion exchange functionality</w:t>
      </w:r>
      <w:r w:rsidR="008A7000">
        <w:t xml:space="preserve">, rather than </w:t>
      </w:r>
      <w:proofErr w:type="spellStart"/>
      <w:r w:rsidR="008A7000">
        <w:t>deriv</w:t>
      </w:r>
      <w:r w:rsidR="00D430FD">
        <w:t>a</w:t>
      </w:r>
      <w:r w:rsidR="008A7000">
        <w:t>tised</w:t>
      </w:r>
      <w:proofErr w:type="spellEnd"/>
      <w:r w:rsidR="008A7000">
        <w:t xml:space="preserve"> with </w:t>
      </w:r>
      <w:proofErr w:type="spellStart"/>
      <w:r w:rsidR="008A7000">
        <w:t>sulphonate</w:t>
      </w:r>
      <w:proofErr w:type="spellEnd"/>
      <w:r w:rsidR="008A7000">
        <w:t xml:space="preserve"> groups</w:t>
      </w:r>
      <w:r w:rsidR="00884579">
        <w:t>,</w:t>
      </w:r>
      <w:r w:rsidR="006A74F6">
        <w:t xml:space="preserve"> which provides</w:t>
      </w:r>
      <w:r w:rsidR="008A7000">
        <w:t xml:space="preserve"> cation exchange functionality</w:t>
      </w:r>
      <w:r w:rsidR="001C6B52">
        <w:t xml:space="preserve"> (FSANZ</w:t>
      </w:r>
      <w:r w:rsidR="00BE6B88">
        <w:t xml:space="preserve"> 2007)</w:t>
      </w:r>
      <w:r w:rsidRPr="0012564B">
        <w:t>.</w:t>
      </w:r>
      <w:r>
        <w:t xml:space="preserve"> </w:t>
      </w:r>
    </w:p>
    <w:p w14:paraId="3DC096E9" w14:textId="77777777" w:rsidR="0012564B" w:rsidRDefault="0012564B" w:rsidP="00C10757"/>
    <w:p w14:paraId="77141CF4" w14:textId="7CDBAC7E" w:rsidR="00C10757" w:rsidRDefault="000A0D3A" w:rsidP="00C10757">
      <w:pPr>
        <w:rPr>
          <w:color w:val="000000" w:themeColor="text1"/>
          <w:szCs w:val="22"/>
        </w:rPr>
      </w:pPr>
      <w:r w:rsidRPr="000A0D3A">
        <w:rPr>
          <w:color w:val="000000" w:themeColor="text1"/>
          <w:szCs w:val="22"/>
        </w:rPr>
        <w:t>F</w:t>
      </w:r>
      <w:r>
        <w:rPr>
          <w:color w:val="000000" w:themeColor="text1"/>
          <w:szCs w:val="22"/>
        </w:rPr>
        <w:t xml:space="preserve">igure 1 gives a structural representation of </w:t>
      </w:r>
      <w:r w:rsidR="00F82FCE">
        <w:rPr>
          <w:color w:val="000000" w:themeColor="text1"/>
          <w:szCs w:val="22"/>
        </w:rPr>
        <w:t xml:space="preserve">a fragment of </w:t>
      </w:r>
      <w:r>
        <w:rPr>
          <w:color w:val="000000" w:themeColor="text1"/>
          <w:szCs w:val="22"/>
        </w:rPr>
        <w:t>the agarose ion exchange resin</w:t>
      </w:r>
      <w:r w:rsidR="00F82FCE">
        <w:rPr>
          <w:color w:val="000000" w:themeColor="text1"/>
          <w:szCs w:val="22"/>
        </w:rPr>
        <w:t xml:space="preserve"> </w:t>
      </w:r>
      <w:r w:rsidR="007A7DEE" w:rsidRPr="00983D72">
        <w:t xml:space="preserve">SP </w:t>
      </w:r>
      <w:proofErr w:type="spellStart"/>
      <w:r w:rsidR="007A7DEE" w:rsidRPr="00983D72">
        <w:t>Sepharose</w:t>
      </w:r>
      <w:proofErr w:type="spellEnd"/>
      <w:r w:rsidR="007A7DEE">
        <w:rPr>
          <w:rFonts w:cs="Arial"/>
        </w:rPr>
        <w:t>™</w:t>
      </w:r>
      <w:r w:rsidR="007A7DEE">
        <w:t xml:space="preserve"> </w:t>
      </w:r>
      <w:r w:rsidR="007A7DEE" w:rsidRPr="00983D72">
        <w:t>Big Beads</w:t>
      </w:r>
      <w:r>
        <w:rPr>
          <w:color w:val="000000" w:themeColor="text1"/>
          <w:szCs w:val="22"/>
        </w:rPr>
        <w:t xml:space="preserve">. </w:t>
      </w:r>
      <w:r w:rsidR="00F82FCE">
        <w:rPr>
          <w:color w:val="000000" w:themeColor="text1"/>
          <w:szCs w:val="22"/>
        </w:rPr>
        <w:t xml:space="preserve">The representation of complex gel structures using a chemical formula is not possible because the </w:t>
      </w:r>
      <w:r w:rsidR="007A7DEE">
        <w:rPr>
          <w:color w:val="000000" w:themeColor="text1"/>
          <w:szCs w:val="22"/>
        </w:rPr>
        <w:t>detailed structure has not been elucidated. In addition, substitution can take place at many different hydroxyl groups.</w:t>
      </w:r>
    </w:p>
    <w:p w14:paraId="0AC684A7" w14:textId="77777777" w:rsidR="00302164" w:rsidRPr="00C10757" w:rsidRDefault="00302164" w:rsidP="00C10757">
      <w:pPr>
        <w:rPr>
          <w:rFonts w:cs="Arial"/>
          <w:highlight w:val="yellow"/>
        </w:rPr>
      </w:pPr>
    </w:p>
    <w:p w14:paraId="527DFBDB" w14:textId="77777777" w:rsidR="00482766" w:rsidRDefault="00F82FCE" w:rsidP="00482766">
      <w:pPr>
        <w:keepNext/>
        <w:widowControl/>
        <w:autoSpaceDE w:val="0"/>
        <w:autoSpaceDN w:val="0"/>
        <w:adjustRightInd w:val="0"/>
        <w:jc w:val="center"/>
      </w:pPr>
      <w:r>
        <w:rPr>
          <w:rFonts w:cs="Arial"/>
          <w:noProof/>
          <w:szCs w:val="22"/>
          <w:lang w:eastAsia="en-GB" w:bidi="ar-SA"/>
        </w:rPr>
        <w:drawing>
          <wp:inline distT="0" distB="0" distL="0" distR="0" wp14:anchorId="5A6AB622" wp14:editId="62731198">
            <wp:extent cx="4930723" cy="299085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682" cy="300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867C" w14:textId="4633D680" w:rsidR="00BB557A" w:rsidRPr="00482766" w:rsidRDefault="00BB557A" w:rsidP="00482766">
      <w:pPr>
        <w:widowControl/>
        <w:autoSpaceDE w:val="0"/>
        <w:autoSpaceDN w:val="0"/>
        <w:adjustRightInd w:val="0"/>
        <w:jc w:val="center"/>
        <w:rPr>
          <w:i/>
          <w:lang w:eastAsia="en-GB" w:bidi="ar-SA"/>
        </w:rPr>
      </w:pPr>
      <w:r w:rsidRPr="00482766">
        <w:rPr>
          <w:i/>
        </w:rPr>
        <w:t xml:space="preserve">Figure </w:t>
      </w:r>
      <w:r w:rsidR="00482766" w:rsidRPr="00482766">
        <w:rPr>
          <w:i/>
        </w:rPr>
        <w:fldChar w:fldCharType="begin"/>
      </w:r>
      <w:r w:rsidR="00482766" w:rsidRPr="00482766">
        <w:rPr>
          <w:i/>
        </w:rPr>
        <w:instrText xml:space="preserve"> SEQ Figure \* ARABIC </w:instrText>
      </w:r>
      <w:r w:rsidR="00482766" w:rsidRPr="00482766">
        <w:rPr>
          <w:i/>
        </w:rPr>
        <w:fldChar w:fldCharType="separate"/>
      </w:r>
      <w:r w:rsidR="00142C15">
        <w:rPr>
          <w:i/>
          <w:noProof/>
        </w:rPr>
        <w:t>1</w:t>
      </w:r>
      <w:r w:rsidR="00482766" w:rsidRPr="00482766">
        <w:rPr>
          <w:i/>
          <w:noProof/>
        </w:rPr>
        <w:fldChar w:fldCharType="end"/>
      </w:r>
      <w:r w:rsidRPr="00482766">
        <w:rPr>
          <w:i/>
        </w:rPr>
        <w:t xml:space="preserve">: </w:t>
      </w:r>
      <w:r w:rsidR="007A7DEE" w:rsidRPr="00482766">
        <w:rPr>
          <w:i/>
        </w:rPr>
        <w:t xml:space="preserve">Structural representation of a fragment of the agarose ion exchange resin SP </w:t>
      </w:r>
      <w:proofErr w:type="spellStart"/>
      <w:r w:rsidR="007A7DEE" w:rsidRPr="00482766">
        <w:rPr>
          <w:i/>
        </w:rPr>
        <w:t>Sepharose</w:t>
      </w:r>
      <w:proofErr w:type="spellEnd"/>
      <w:r w:rsidR="007A7DEE" w:rsidRPr="00482766">
        <w:rPr>
          <w:i/>
        </w:rPr>
        <w:t>™ Big Beads</w:t>
      </w:r>
      <w:r w:rsidRPr="00482766">
        <w:rPr>
          <w:i/>
        </w:rPr>
        <w:t xml:space="preserve"> (Source: Application)</w:t>
      </w:r>
    </w:p>
    <w:p w14:paraId="42091139" w14:textId="7C4CC513" w:rsidR="00C10757" w:rsidRPr="007A7DEE" w:rsidRDefault="00C10757" w:rsidP="00A62BE1">
      <w:pPr>
        <w:pStyle w:val="Heading2"/>
      </w:pPr>
      <w:bookmarkStart w:id="22" w:name="_Toc404691609"/>
      <w:bookmarkStart w:id="23" w:name="_Toc404691610"/>
      <w:bookmarkStart w:id="24" w:name="_Toc442966858"/>
      <w:bookmarkStart w:id="25" w:name="_Toc442967388"/>
      <w:bookmarkEnd w:id="22"/>
      <w:r w:rsidRPr="007A7DEE">
        <w:lastRenderedPageBreak/>
        <w:t>2.2</w:t>
      </w:r>
      <w:r w:rsidRPr="007A7DEE">
        <w:tab/>
        <w:t xml:space="preserve">Production of the </w:t>
      </w:r>
      <w:bookmarkEnd w:id="23"/>
      <w:r w:rsidR="007A7DEE" w:rsidRPr="007A7DEE">
        <w:t>agarose ion exchange resin</w:t>
      </w:r>
      <w:bookmarkEnd w:id="24"/>
      <w:bookmarkEnd w:id="25"/>
    </w:p>
    <w:p w14:paraId="3181A8C7" w14:textId="10AC4C29" w:rsidR="00302164" w:rsidRPr="009C3AC0" w:rsidRDefault="00302164" w:rsidP="00BB557A">
      <w:pPr>
        <w:rPr>
          <w:rFonts w:cs="Arial"/>
        </w:rPr>
      </w:pPr>
      <w:r w:rsidRPr="009C3AC0">
        <w:rPr>
          <w:rFonts w:cs="Arial"/>
        </w:rPr>
        <w:t>T</w:t>
      </w:r>
      <w:r w:rsidR="00BB557A" w:rsidRPr="009C3AC0">
        <w:rPr>
          <w:rFonts w:cs="Arial"/>
        </w:rPr>
        <w:t xml:space="preserve">he </w:t>
      </w:r>
      <w:r w:rsidR="005C1F21">
        <w:rPr>
          <w:rFonts w:cs="Arial"/>
        </w:rPr>
        <w:t>Applica</w:t>
      </w:r>
      <w:r w:rsidR="009C3AC0" w:rsidRPr="009C3AC0">
        <w:rPr>
          <w:rFonts w:cs="Arial"/>
        </w:rPr>
        <w:t>t</w:t>
      </w:r>
      <w:r w:rsidR="005C1F21">
        <w:rPr>
          <w:rFonts w:cs="Arial"/>
        </w:rPr>
        <w:t>ion</w:t>
      </w:r>
      <w:r w:rsidR="009C3AC0" w:rsidRPr="009C3AC0">
        <w:rPr>
          <w:rFonts w:cs="Arial"/>
        </w:rPr>
        <w:t xml:space="preserve"> states that the </w:t>
      </w:r>
      <w:r w:rsidRPr="009C3AC0">
        <w:rPr>
          <w:rFonts w:cs="Arial"/>
        </w:rPr>
        <w:t xml:space="preserve">manufacturing process to produce the agarose ion exchange resin </w:t>
      </w:r>
      <w:r w:rsidR="009C3AC0" w:rsidRPr="009C3AC0">
        <w:rPr>
          <w:rFonts w:cs="Arial"/>
        </w:rPr>
        <w:t>is proprietary information</w:t>
      </w:r>
      <w:r w:rsidR="00DA25FA">
        <w:rPr>
          <w:rFonts w:cs="Arial"/>
        </w:rPr>
        <w:t>. A</w:t>
      </w:r>
      <w:r w:rsidR="009C3AC0">
        <w:rPr>
          <w:rFonts w:cs="Arial"/>
        </w:rPr>
        <w:t xml:space="preserve">s such, </w:t>
      </w:r>
      <w:r w:rsidR="00DA25FA">
        <w:rPr>
          <w:rFonts w:cs="Arial"/>
        </w:rPr>
        <w:t xml:space="preserve">no </w:t>
      </w:r>
      <w:r w:rsidR="009C3AC0" w:rsidRPr="009C3AC0">
        <w:rPr>
          <w:rFonts w:cs="Arial"/>
        </w:rPr>
        <w:t xml:space="preserve">detailed information </w:t>
      </w:r>
      <w:r w:rsidR="00DA25FA">
        <w:rPr>
          <w:rFonts w:cs="Arial"/>
        </w:rPr>
        <w:t xml:space="preserve">regarding the manufacturing process </w:t>
      </w:r>
      <w:r w:rsidR="009C3AC0" w:rsidRPr="009C3AC0">
        <w:rPr>
          <w:rFonts w:cs="Arial"/>
        </w:rPr>
        <w:t>has been provided.</w:t>
      </w:r>
      <w:r w:rsidRPr="009C3AC0">
        <w:rPr>
          <w:rFonts w:cs="Arial"/>
        </w:rPr>
        <w:t xml:space="preserve"> </w:t>
      </w:r>
      <w:r w:rsidR="009C3AC0">
        <w:rPr>
          <w:rFonts w:cs="Arial"/>
        </w:rPr>
        <w:t xml:space="preserve">However, the Application includes </w:t>
      </w:r>
      <w:r w:rsidR="009C3AC0" w:rsidRPr="009C3AC0">
        <w:rPr>
          <w:rFonts w:cs="Arial"/>
        </w:rPr>
        <w:t xml:space="preserve">a schematic </w:t>
      </w:r>
      <w:r w:rsidR="00DA25FA">
        <w:rPr>
          <w:rFonts w:cs="Arial"/>
        </w:rPr>
        <w:t>overview of the production process</w:t>
      </w:r>
      <w:r w:rsidR="003B072F">
        <w:rPr>
          <w:rFonts w:cs="Arial"/>
        </w:rPr>
        <w:t xml:space="preserve">, which is similar to </w:t>
      </w:r>
      <w:r w:rsidR="00F16B7B">
        <w:rPr>
          <w:rFonts w:cs="Arial"/>
        </w:rPr>
        <w:t xml:space="preserve">that for </w:t>
      </w:r>
      <w:r w:rsidR="003B072F">
        <w:rPr>
          <w:rFonts w:cs="Arial"/>
        </w:rPr>
        <w:t>the permitted resin used to treat beer</w:t>
      </w:r>
      <w:r w:rsidR="00DA25FA">
        <w:rPr>
          <w:rFonts w:cs="Arial"/>
        </w:rPr>
        <w:t>.</w:t>
      </w:r>
    </w:p>
    <w:p w14:paraId="3B1DF9FF" w14:textId="77777777" w:rsidR="00302164" w:rsidRDefault="00302164" w:rsidP="00BB557A">
      <w:pPr>
        <w:rPr>
          <w:rFonts w:cs="Arial"/>
          <w:highlight w:val="yellow"/>
        </w:rPr>
      </w:pPr>
    </w:p>
    <w:p w14:paraId="25B7781A" w14:textId="005036E7" w:rsidR="009C3AC0" w:rsidRDefault="00BB557A" w:rsidP="009C3AC0">
      <w:r w:rsidRPr="009C3AC0">
        <w:rPr>
          <w:rFonts w:cs="Arial"/>
        </w:rPr>
        <w:t xml:space="preserve">The production steps can be summarised as </w:t>
      </w:r>
      <w:r w:rsidR="009C3AC0" w:rsidRPr="009C3AC0">
        <w:rPr>
          <w:rFonts w:cs="Arial"/>
        </w:rPr>
        <w:t>follows</w:t>
      </w:r>
      <w:r w:rsidR="00DA25FA">
        <w:rPr>
          <w:rFonts w:cs="Arial"/>
        </w:rPr>
        <w:t>. A</w:t>
      </w:r>
      <w:r w:rsidR="009C3AC0" w:rsidRPr="009C3AC0">
        <w:rPr>
          <w:rFonts w:cs="Arial"/>
        </w:rPr>
        <w:t>n aqueous solution of agarose is dispersed in toluene to fo</w:t>
      </w:r>
      <w:r w:rsidR="00DA25FA">
        <w:rPr>
          <w:rFonts w:cs="Arial"/>
        </w:rPr>
        <w:t>r</w:t>
      </w:r>
      <w:r w:rsidR="009C3AC0" w:rsidRPr="009C3AC0">
        <w:rPr>
          <w:rFonts w:cs="Arial"/>
        </w:rPr>
        <w:t xml:space="preserve">m droplets </w:t>
      </w:r>
      <w:r w:rsidR="00DA25FA">
        <w:rPr>
          <w:rFonts w:cs="Arial"/>
        </w:rPr>
        <w:t xml:space="preserve">of </w:t>
      </w:r>
      <w:r w:rsidR="009C3AC0" w:rsidRPr="009C3AC0">
        <w:rPr>
          <w:rFonts w:cs="Arial"/>
        </w:rPr>
        <w:t xml:space="preserve">between </w:t>
      </w:r>
      <w:r w:rsidR="009C3AC0" w:rsidRPr="009C3AC0">
        <w:t>100-300 µm in diameter.</w:t>
      </w:r>
      <w:r w:rsidR="009C3AC0">
        <w:t xml:space="preserve"> The gel is cross-linked with </w:t>
      </w:r>
      <w:proofErr w:type="spellStart"/>
      <w:r w:rsidR="009C3AC0">
        <w:t>epichlorohydrin</w:t>
      </w:r>
      <w:proofErr w:type="spellEnd"/>
      <w:r w:rsidR="009C3AC0">
        <w:t xml:space="preserve">. The product is then wet-sieved </w:t>
      </w:r>
      <w:r w:rsidR="00DA25FA">
        <w:t>and</w:t>
      </w:r>
      <w:r w:rsidR="009C3AC0">
        <w:t xml:space="preserve"> reacted with allyl </w:t>
      </w:r>
      <w:proofErr w:type="spellStart"/>
      <w:r w:rsidR="009C3AC0">
        <w:t>glycidyl</w:t>
      </w:r>
      <w:proofErr w:type="spellEnd"/>
      <w:r w:rsidR="009C3AC0">
        <w:t xml:space="preserve"> ether </w:t>
      </w:r>
      <w:r w:rsidR="00CC2319">
        <w:t xml:space="preserve">(or propylene oxide) </w:t>
      </w:r>
      <w:r w:rsidR="009C3AC0">
        <w:t>to form the intermediate, allyl</w:t>
      </w:r>
      <w:r w:rsidR="00DA25FA">
        <w:t xml:space="preserve"> </w:t>
      </w:r>
      <w:proofErr w:type="spellStart"/>
      <w:r w:rsidR="009C3AC0">
        <w:t>sepharose</w:t>
      </w:r>
      <w:proofErr w:type="spellEnd"/>
      <w:r w:rsidR="00DA25FA">
        <w:t xml:space="preserve">. </w:t>
      </w:r>
      <w:r w:rsidR="009C3AC0">
        <w:t xml:space="preserve">The </w:t>
      </w:r>
      <w:r w:rsidR="00DA25FA">
        <w:t xml:space="preserve">final </w:t>
      </w:r>
      <w:r w:rsidR="009C3AC0">
        <w:t>step involves reacting ally</w:t>
      </w:r>
      <w:r w:rsidR="00DA25FA">
        <w:t>l</w:t>
      </w:r>
      <w:r w:rsidR="009C3AC0">
        <w:t xml:space="preserve"> </w:t>
      </w:r>
      <w:proofErr w:type="spellStart"/>
      <w:r w:rsidR="009C3AC0">
        <w:t>seph</w:t>
      </w:r>
      <w:r w:rsidR="00DA25FA">
        <w:t>arose</w:t>
      </w:r>
      <w:proofErr w:type="spellEnd"/>
      <w:r w:rsidR="00DA25FA">
        <w:t xml:space="preserve"> with sodium </w:t>
      </w:r>
      <w:proofErr w:type="spellStart"/>
      <w:r w:rsidR="00DA25FA">
        <w:t>d</w:t>
      </w:r>
      <w:r w:rsidR="009C3AC0">
        <w:t>isulphite</w:t>
      </w:r>
      <w:proofErr w:type="spellEnd"/>
      <w:r w:rsidR="009C3AC0">
        <w:t>. After each manufacturing step, the product is</w:t>
      </w:r>
      <w:r w:rsidR="00DA25FA">
        <w:t xml:space="preserve"> </w:t>
      </w:r>
      <w:r w:rsidR="009C3AC0">
        <w:t>washed repeatedly with an appropriate solution</w:t>
      </w:r>
      <w:r w:rsidR="00DA25FA">
        <w:t>.</w:t>
      </w:r>
    </w:p>
    <w:p w14:paraId="113030B9" w14:textId="77777777" w:rsidR="00561780" w:rsidRPr="00B84475" w:rsidRDefault="00561780" w:rsidP="00A62BE1">
      <w:pPr>
        <w:pStyle w:val="Heading2"/>
      </w:pPr>
      <w:bookmarkStart w:id="26" w:name="_Toc404691611"/>
      <w:bookmarkStart w:id="27" w:name="_Toc442966859"/>
      <w:bookmarkStart w:id="28" w:name="_Toc442967389"/>
      <w:r w:rsidRPr="00B84475">
        <w:t>2.3</w:t>
      </w:r>
      <w:r w:rsidRPr="00B84475">
        <w:tab/>
        <w:t>Specifications</w:t>
      </w:r>
      <w:bookmarkEnd w:id="26"/>
      <w:bookmarkEnd w:id="27"/>
      <w:bookmarkEnd w:id="28"/>
    </w:p>
    <w:p w14:paraId="0B4BEB28" w14:textId="2CA94168" w:rsidR="004C7172" w:rsidRDefault="004F01A9" w:rsidP="00B84475">
      <w:r>
        <w:t>There are no relevant specifications for agarose ion exchange resin referenced in the primary and secondary sou</w:t>
      </w:r>
      <w:r w:rsidR="00044069">
        <w:t>rces in Schedule 3. T</w:t>
      </w:r>
      <w:r w:rsidR="00B84475">
        <w:t xml:space="preserve">he comparable </w:t>
      </w:r>
      <w:r w:rsidR="00B84475" w:rsidRPr="0012564B">
        <w:t>resin</w:t>
      </w:r>
      <w:r w:rsidR="00884579">
        <w:t>,</w:t>
      </w:r>
      <w:r w:rsidR="00B84475" w:rsidRPr="0012564B">
        <w:t xml:space="preserve"> </w:t>
      </w:r>
      <w:r w:rsidR="00B84475">
        <w:t xml:space="preserve">which is permitted </w:t>
      </w:r>
      <w:r w:rsidR="00B84475" w:rsidRPr="0012564B">
        <w:t>for the removal of specific proteins and polyphenols from beer (</w:t>
      </w:r>
      <w:r w:rsidR="00BE6B88">
        <w:t>sub</w:t>
      </w:r>
      <w:r w:rsidR="00B84475" w:rsidRPr="0012564B">
        <w:t>section S18</w:t>
      </w:r>
      <w:r w:rsidR="000E52A2" w:rsidRPr="00B84475">
        <w:t>—</w:t>
      </w:r>
      <w:r w:rsidR="00B84475" w:rsidRPr="0012564B">
        <w:t>9)</w:t>
      </w:r>
      <w:r w:rsidR="000E52A2">
        <w:t xml:space="preserve"> has an individual specification referenced in Schedule 3 (</w:t>
      </w:r>
      <w:r w:rsidR="002B0B78">
        <w:t>sub</w:t>
      </w:r>
      <w:r w:rsidR="000E52A2">
        <w:t xml:space="preserve">section </w:t>
      </w:r>
      <w:r w:rsidR="000E52A2" w:rsidRPr="0012564B">
        <w:t>S</w:t>
      </w:r>
      <w:r w:rsidR="000E52A2">
        <w:t>3</w:t>
      </w:r>
      <w:r w:rsidR="000E52A2" w:rsidRPr="00B84475">
        <w:t>—</w:t>
      </w:r>
      <w:r w:rsidR="000E52A2">
        <w:t>6)</w:t>
      </w:r>
      <w:r w:rsidR="00D430FD">
        <w:t xml:space="preserve">. </w:t>
      </w:r>
      <w:r>
        <w:t>An</w:t>
      </w:r>
      <w:r w:rsidR="00884579">
        <w:t>other</w:t>
      </w:r>
      <w:r>
        <w:t xml:space="preserve"> individual specification will need to be written into Schedule 3 for the resin for the production of </w:t>
      </w:r>
      <w:proofErr w:type="spellStart"/>
      <w:r>
        <w:t>lactoferrin</w:t>
      </w:r>
      <w:proofErr w:type="spellEnd"/>
      <w:r>
        <w:t xml:space="preserve">. </w:t>
      </w:r>
    </w:p>
    <w:p w14:paraId="752AE4BE" w14:textId="77777777" w:rsidR="004C7172" w:rsidRDefault="004C7172" w:rsidP="00B84475"/>
    <w:p w14:paraId="3A0FF383" w14:textId="478AFBDE" w:rsidR="004F01A9" w:rsidRDefault="004C7172" w:rsidP="00B84475">
      <w:r>
        <w:t xml:space="preserve">To </w:t>
      </w:r>
      <w:r w:rsidR="002B0B78">
        <w:t>clearly differentiate between the two</w:t>
      </w:r>
      <w:r>
        <w:t xml:space="preserve"> resins,</w:t>
      </w:r>
      <w:r w:rsidR="002B0B78">
        <w:t xml:space="preserve"> </w:t>
      </w:r>
      <w:r w:rsidR="002B0B78" w:rsidRPr="002B0B78">
        <w:t>the</w:t>
      </w:r>
      <w:r>
        <w:t>y will be listed according to their composition. That is, the</w:t>
      </w:r>
      <w:r w:rsidR="002B0B78" w:rsidRPr="002B0B78">
        <w:t xml:space="preserve"> </w:t>
      </w:r>
      <w:r w:rsidR="00044069">
        <w:t>currently</w:t>
      </w:r>
      <w:r w:rsidR="002B0B78" w:rsidRPr="002B0B78">
        <w:t xml:space="preserve"> permitted resin will be re-named as an </w:t>
      </w:r>
      <w:r w:rsidR="002B0B78" w:rsidRPr="002B0B78">
        <w:rPr>
          <w:i/>
        </w:rPr>
        <w:t>amine</w:t>
      </w:r>
      <w:r w:rsidR="002B0B78" w:rsidRPr="002B0B78">
        <w:t xml:space="preserve"> agarose ion exchange resin</w:t>
      </w:r>
      <w:r>
        <w:t xml:space="preserve">, and the </w:t>
      </w:r>
      <w:r w:rsidRPr="002B0B78">
        <w:t xml:space="preserve">new resin will be listed as a </w:t>
      </w:r>
      <w:proofErr w:type="spellStart"/>
      <w:r w:rsidRPr="004C7172">
        <w:rPr>
          <w:i/>
        </w:rPr>
        <w:t>sul</w:t>
      </w:r>
      <w:r w:rsidR="00A43C51">
        <w:rPr>
          <w:i/>
        </w:rPr>
        <w:t>ph</w:t>
      </w:r>
      <w:r w:rsidRPr="004C7172">
        <w:rPr>
          <w:i/>
        </w:rPr>
        <w:t>onate</w:t>
      </w:r>
      <w:proofErr w:type="spellEnd"/>
      <w:r w:rsidRPr="002B0B78">
        <w:t xml:space="preserve"> agarose ion exchange resin. </w:t>
      </w:r>
    </w:p>
    <w:p w14:paraId="7288E296" w14:textId="77777777" w:rsidR="004F01A9" w:rsidRDefault="004F01A9" w:rsidP="00B84475"/>
    <w:p w14:paraId="7C19B84D" w14:textId="5652B1F4" w:rsidR="00E14E16" w:rsidRDefault="005C1F21" w:rsidP="00B84475">
      <w:r>
        <w:t>The Applica</w:t>
      </w:r>
      <w:r w:rsidR="000E52A2" w:rsidRPr="000E52A2">
        <w:t>t</w:t>
      </w:r>
      <w:r>
        <w:t>ion</w:t>
      </w:r>
      <w:r w:rsidR="00720EBF">
        <w:t xml:space="preserve"> </w:t>
      </w:r>
      <w:r w:rsidR="000E52A2" w:rsidRPr="000E52A2">
        <w:t>propo</w:t>
      </w:r>
      <w:r w:rsidR="004F01A9">
        <w:t xml:space="preserve">sed </w:t>
      </w:r>
      <w:r w:rsidR="004C7172">
        <w:t xml:space="preserve">a </w:t>
      </w:r>
      <w:r w:rsidR="00884579">
        <w:t xml:space="preserve">draft </w:t>
      </w:r>
      <w:r w:rsidR="004F01A9">
        <w:t>specification</w:t>
      </w:r>
      <w:r w:rsidR="00884579">
        <w:t>, and this</w:t>
      </w:r>
      <w:r w:rsidR="004C7172">
        <w:t xml:space="preserve"> </w:t>
      </w:r>
      <w:r w:rsidR="00F95EB4">
        <w:t>was</w:t>
      </w:r>
      <w:r w:rsidR="004C7172">
        <w:t xml:space="preserve"> used </w:t>
      </w:r>
      <w:r w:rsidR="004F01A9">
        <w:t xml:space="preserve">as the basis </w:t>
      </w:r>
      <w:r w:rsidR="002139C0">
        <w:t>f</w:t>
      </w:r>
      <w:r w:rsidR="004F01A9">
        <w:t xml:space="preserve">or </w:t>
      </w:r>
      <w:r w:rsidR="002139C0">
        <w:t xml:space="preserve">the </w:t>
      </w:r>
      <w:r w:rsidR="004C7172">
        <w:t xml:space="preserve">following </w:t>
      </w:r>
      <w:r w:rsidR="00720EBF">
        <w:t xml:space="preserve">specification to </w:t>
      </w:r>
      <w:r w:rsidR="000E52A2" w:rsidRPr="000E52A2">
        <w:t xml:space="preserve">be </w:t>
      </w:r>
      <w:r w:rsidR="002448A8">
        <w:t>included in</w:t>
      </w:r>
      <w:r w:rsidR="000E52A2" w:rsidRPr="000E52A2">
        <w:t xml:space="preserve"> </w:t>
      </w:r>
      <w:r w:rsidR="000A47DD">
        <w:t>Schedule</w:t>
      </w:r>
      <w:r w:rsidR="000E52A2" w:rsidRPr="000E52A2">
        <w:t xml:space="preserve"> </w:t>
      </w:r>
      <w:r w:rsidR="00E14E16">
        <w:t>3:</w:t>
      </w:r>
    </w:p>
    <w:p w14:paraId="718C1D4E" w14:textId="77777777" w:rsidR="00E14E16" w:rsidRDefault="00E14E16" w:rsidP="00B84475"/>
    <w:p w14:paraId="7EC7F7EF" w14:textId="6E469914" w:rsidR="00E14E16" w:rsidRDefault="00E14E16" w:rsidP="00A144D1">
      <w:pPr>
        <w:ind w:left="567" w:hanging="567"/>
      </w:pPr>
      <w:r>
        <w:t>(a)</w:t>
      </w:r>
      <w:r>
        <w:tab/>
        <w:t xml:space="preserve">This specification relates to agarose, cross-linked with </w:t>
      </w:r>
      <w:proofErr w:type="spellStart"/>
      <w:r>
        <w:t>epichlorohydrin</w:t>
      </w:r>
      <w:proofErr w:type="spellEnd"/>
      <w:r>
        <w:t xml:space="preserve"> and</w:t>
      </w:r>
      <w:r w:rsidR="00884579">
        <w:t xml:space="preserve"> reacted with allyl </w:t>
      </w:r>
      <w:proofErr w:type="spellStart"/>
      <w:r w:rsidR="00884579">
        <w:t>glycidyl</w:t>
      </w:r>
      <w:proofErr w:type="spellEnd"/>
      <w:r w:rsidR="00884579">
        <w:t xml:space="preserve"> ether</w:t>
      </w:r>
      <w:r w:rsidR="00F95EB4">
        <w:t xml:space="preserve"> or propylene oxide</w:t>
      </w:r>
      <w:r>
        <w:t xml:space="preserve">, then </w:t>
      </w:r>
      <w:proofErr w:type="spellStart"/>
      <w:r>
        <w:t>derivatised</w:t>
      </w:r>
      <w:proofErr w:type="spellEnd"/>
      <w:r>
        <w:t xml:space="preserve"> with </w:t>
      </w:r>
      <w:proofErr w:type="spellStart"/>
      <w:r>
        <w:t>sul</w:t>
      </w:r>
      <w:r w:rsidR="00CF4188">
        <w:t>ph</w:t>
      </w:r>
      <w:r>
        <w:t>onate</w:t>
      </w:r>
      <w:proofErr w:type="spellEnd"/>
      <w:r>
        <w:t xml:space="preserve"> groups, whereby the amount of </w:t>
      </w:r>
      <w:proofErr w:type="spellStart"/>
      <w:r>
        <w:t>epichlorohydrin</w:t>
      </w:r>
      <w:proofErr w:type="spellEnd"/>
      <w:r>
        <w:t xml:space="preserve"> plus </w:t>
      </w:r>
      <w:r w:rsidR="00884579">
        <w:t xml:space="preserve">allyl </w:t>
      </w:r>
      <w:proofErr w:type="spellStart"/>
      <w:r w:rsidR="00884579">
        <w:t>glycidyl</w:t>
      </w:r>
      <w:proofErr w:type="spellEnd"/>
      <w:r w:rsidR="00884579">
        <w:t xml:space="preserve"> ether </w:t>
      </w:r>
      <w:r w:rsidR="00F95EB4">
        <w:t xml:space="preserve">or </w:t>
      </w:r>
      <w:r w:rsidRPr="00884579">
        <w:t xml:space="preserve">propylene oxide </w:t>
      </w:r>
      <w:r>
        <w:t>does not exceed 250% by weight of the starting quantity of agarose</w:t>
      </w:r>
      <w:r w:rsidR="002634C2">
        <w:t>.</w:t>
      </w:r>
      <w:r>
        <w:t xml:space="preserve"> </w:t>
      </w:r>
    </w:p>
    <w:p w14:paraId="587F94A4" w14:textId="77777777" w:rsidR="00E14E16" w:rsidRDefault="00E14E16" w:rsidP="00A144D1">
      <w:pPr>
        <w:ind w:left="567" w:hanging="567"/>
      </w:pPr>
    </w:p>
    <w:p w14:paraId="586D30D9" w14:textId="459D76A3" w:rsidR="00E14E16" w:rsidRDefault="00E14E16" w:rsidP="00A144D1">
      <w:pPr>
        <w:ind w:left="567" w:hanging="567"/>
      </w:pPr>
      <w:r>
        <w:t>(</w:t>
      </w:r>
      <w:r w:rsidR="00D73778">
        <w:t>b</w:t>
      </w:r>
      <w:r>
        <w:t>)</w:t>
      </w:r>
      <w:r>
        <w:tab/>
        <w:t xml:space="preserve">When subjected to the extraction regime listed in the </w:t>
      </w:r>
      <w:r w:rsidR="00A144D1">
        <w:t>21 CFR § 173.25(c)(4), but using dilute hydrochloric acid at pH 2 in place of 5% acetic acid, the ion exchange resin</w:t>
      </w:r>
      <w:r w:rsidR="00631F61">
        <w:t>s</w:t>
      </w:r>
      <w:r w:rsidR="00A144D1">
        <w:t xml:space="preserve"> shall result in no more than 25 ppm of organic extractives.</w:t>
      </w:r>
    </w:p>
    <w:p w14:paraId="2A4D07A1" w14:textId="7A78F426" w:rsidR="00561780" w:rsidRPr="00720EBF" w:rsidRDefault="00561780" w:rsidP="00A62BE1">
      <w:pPr>
        <w:pStyle w:val="Heading2"/>
      </w:pPr>
      <w:bookmarkStart w:id="29" w:name="_Toc404691612"/>
      <w:bookmarkStart w:id="30" w:name="_Toc442966860"/>
      <w:bookmarkStart w:id="31" w:name="_Toc442967390"/>
      <w:r w:rsidRPr="00720EBF">
        <w:t>2.4</w:t>
      </w:r>
      <w:r w:rsidRPr="00720EBF">
        <w:tab/>
        <w:t xml:space="preserve">Technological function of the </w:t>
      </w:r>
      <w:bookmarkEnd w:id="29"/>
      <w:r w:rsidR="00720EBF" w:rsidRPr="00720EBF">
        <w:t>agarose ion exchange resin</w:t>
      </w:r>
      <w:bookmarkEnd w:id="30"/>
      <w:bookmarkEnd w:id="31"/>
    </w:p>
    <w:p w14:paraId="3EF237FE" w14:textId="3DDC70DF" w:rsidR="006C6436" w:rsidRDefault="00B04FA9" w:rsidP="008D6281">
      <w:r w:rsidRPr="00B04FA9">
        <w:t>The</w:t>
      </w:r>
      <w:r w:rsidR="008D6281" w:rsidRPr="008D6281">
        <w:t xml:space="preserve"> </w:t>
      </w:r>
      <w:r w:rsidR="008D6281">
        <w:t xml:space="preserve">agarose ion exchange resin </w:t>
      </w:r>
      <w:r w:rsidRPr="00B04FA9">
        <w:t xml:space="preserve">is </w:t>
      </w:r>
      <w:r w:rsidR="006C6436">
        <w:t xml:space="preserve">a </w:t>
      </w:r>
      <w:proofErr w:type="spellStart"/>
      <w:r w:rsidR="006C6436">
        <w:t>macroporous</w:t>
      </w:r>
      <w:proofErr w:type="spellEnd"/>
      <w:r w:rsidR="006C6436">
        <w:t>, strong cation exchanger with specific characteristics that enable it to fulfil its technological function</w:t>
      </w:r>
      <w:r w:rsidR="008D6281">
        <w:t>. These characteristics are</w:t>
      </w:r>
      <w:r w:rsidR="006C6436">
        <w:t>:</w:t>
      </w:r>
    </w:p>
    <w:p w14:paraId="799E3D36" w14:textId="77777777" w:rsidR="004C7172" w:rsidRDefault="004C7172" w:rsidP="008D6281"/>
    <w:p w14:paraId="2334151C" w14:textId="2E32B6FD" w:rsidR="006C6436" w:rsidRDefault="008D6281" w:rsidP="00332366">
      <w:pPr>
        <w:pStyle w:val="FSBullet1"/>
      </w:pPr>
      <w:r>
        <w:t xml:space="preserve">strong </w:t>
      </w:r>
      <w:r w:rsidR="006C6436">
        <w:t>cation exchange functionality</w:t>
      </w:r>
      <w:r w:rsidR="004B189E">
        <w:t xml:space="preserve"> (i.e. the resin retains its function over a wide pH range)</w:t>
      </w:r>
    </w:p>
    <w:p w14:paraId="71773231" w14:textId="77777777" w:rsidR="001F543C" w:rsidRPr="001F543C" w:rsidRDefault="001F543C" w:rsidP="001F543C"/>
    <w:p w14:paraId="2CEC6751" w14:textId="21A2487D" w:rsidR="006C6436" w:rsidRDefault="006C6436" w:rsidP="00332366">
      <w:pPr>
        <w:pStyle w:val="FSBullet1"/>
      </w:pPr>
      <w:r>
        <w:t xml:space="preserve">large pore size to bind </w:t>
      </w:r>
      <w:proofErr w:type="spellStart"/>
      <w:r>
        <w:t>lactoferrin</w:t>
      </w:r>
      <w:proofErr w:type="spellEnd"/>
      <w:r>
        <w:t>, which has a high molecular mass</w:t>
      </w:r>
    </w:p>
    <w:p w14:paraId="04CD72CC" w14:textId="77777777" w:rsidR="001F543C" w:rsidRPr="001F543C" w:rsidRDefault="001F543C" w:rsidP="001F543C"/>
    <w:p w14:paraId="698EAD7B" w14:textId="5CEF0771" w:rsidR="006C6436" w:rsidRDefault="006C6436" w:rsidP="00332366">
      <w:pPr>
        <w:pStyle w:val="FSBullet1"/>
      </w:pPr>
      <w:r>
        <w:t xml:space="preserve">large bead size to bind </w:t>
      </w:r>
      <w:proofErr w:type="spellStart"/>
      <w:r>
        <w:t>lactoferrin</w:t>
      </w:r>
      <w:proofErr w:type="spellEnd"/>
      <w:r>
        <w:t xml:space="preserve"> (which is present at low concentrations only) at extremely fast </w:t>
      </w:r>
      <w:r w:rsidR="000F429E">
        <w:t>f</w:t>
      </w:r>
      <w:r>
        <w:t>low rates</w:t>
      </w:r>
    </w:p>
    <w:p w14:paraId="58B9AC49" w14:textId="77777777" w:rsidR="001F543C" w:rsidRPr="001F543C" w:rsidRDefault="001F543C" w:rsidP="001F543C"/>
    <w:p w14:paraId="69C3A01A" w14:textId="631E5831" w:rsidR="006C6436" w:rsidRDefault="006C6436" w:rsidP="00332366">
      <w:pPr>
        <w:pStyle w:val="FSBullet1"/>
      </w:pPr>
      <w:r>
        <w:t>capacity to process dairy streams such as whey and skim milk without blockages</w:t>
      </w:r>
    </w:p>
    <w:p w14:paraId="661364DA" w14:textId="3180E1DA" w:rsidR="00482766" w:rsidRDefault="00482766" w:rsidP="001F543C">
      <w:r>
        <w:br w:type="page"/>
      </w:r>
    </w:p>
    <w:p w14:paraId="0E300437" w14:textId="6BB149C7" w:rsidR="006C6436" w:rsidRDefault="006C6436" w:rsidP="00332366">
      <w:pPr>
        <w:pStyle w:val="FSBullet1"/>
      </w:pPr>
      <w:proofErr w:type="gramStart"/>
      <w:r>
        <w:lastRenderedPageBreak/>
        <w:t>sufficient</w:t>
      </w:r>
      <w:proofErr w:type="gramEnd"/>
      <w:r>
        <w:t xml:space="preserve"> mechanical strength to allow loading at high flow rates.</w:t>
      </w:r>
    </w:p>
    <w:p w14:paraId="4E6DB46A" w14:textId="7903468D" w:rsidR="006B0D31" w:rsidRDefault="006B0D31" w:rsidP="006B0D31"/>
    <w:p w14:paraId="48442319" w14:textId="54C0CBBA" w:rsidR="006B0D31" w:rsidRPr="006B0D31" w:rsidRDefault="006B0D31" w:rsidP="006B0D31">
      <w:r>
        <w:t xml:space="preserve">No other ion exchange resins in Schedule 18 of the revised Code have all of the above characteristics that ensure the efficient production of </w:t>
      </w:r>
      <w:proofErr w:type="spellStart"/>
      <w:r>
        <w:t>lactoferrin</w:t>
      </w:r>
      <w:proofErr w:type="spellEnd"/>
      <w:r>
        <w:t xml:space="preserve">. </w:t>
      </w:r>
    </w:p>
    <w:p w14:paraId="22387A1C" w14:textId="77777777" w:rsidR="006C6436" w:rsidRDefault="006C6436" w:rsidP="006C6436"/>
    <w:p w14:paraId="3833FCD6" w14:textId="2B54DB84" w:rsidR="006C6436" w:rsidRDefault="001F543C" w:rsidP="008D6281">
      <w:r>
        <w:t xml:space="preserve">As the separation process can be run on </w:t>
      </w:r>
      <w:r w:rsidR="005D1AF6">
        <w:t>small or larger scales</w:t>
      </w:r>
      <w:r>
        <w:t xml:space="preserve">, the sizes of the </w:t>
      </w:r>
      <w:r w:rsidR="005D1AF6">
        <w:t>columns and the amount of resin required may vary widely. However, t</w:t>
      </w:r>
      <w:r w:rsidR="006C6436">
        <w:t xml:space="preserve">he </w:t>
      </w:r>
      <w:r w:rsidR="008D6281">
        <w:t xml:space="preserve">main steps </w:t>
      </w:r>
      <w:r w:rsidR="005D1AF6">
        <w:t>typically include</w:t>
      </w:r>
      <w:r w:rsidR="008D6281">
        <w:t>:</w:t>
      </w:r>
      <w:r w:rsidR="006C6436">
        <w:t xml:space="preserve"> </w:t>
      </w:r>
    </w:p>
    <w:p w14:paraId="647CDF92" w14:textId="77777777" w:rsidR="00BF4747" w:rsidRDefault="00BF4747" w:rsidP="00BF4747">
      <w:pPr>
        <w:pStyle w:val="ListParagraph"/>
        <w:ind w:left="567"/>
      </w:pPr>
    </w:p>
    <w:p w14:paraId="7FDEF34F" w14:textId="0C800AA2" w:rsidR="008D6281" w:rsidRDefault="00306EF9" w:rsidP="00CB70DD">
      <w:pPr>
        <w:pStyle w:val="ListParagraph"/>
        <w:numPr>
          <w:ilvl w:val="0"/>
          <w:numId w:val="5"/>
        </w:numPr>
        <w:ind w:left="567" w:hanging="567"/>
      </w:pPr>
      <w:r>
        <w:t xml:space="preserve">Column preparation – The resin is packed into </w:t>
      </w:r>
      <w:r w:rsidR="005D1AF6">
        <w:t>a fixed-bed ion exchange</w:t>
      </w:r>
      <w:r>
        <w:t xml:space="preserve"> column, washed</w:t>
      </w:r>
      <w:r w:rsidR="001F543C">
        <w:t>,</w:t>
      </w:r>
      <w:r>
        <w:t xml:space="preserve"> rinsed and equilibrated to a suitable pH (the agarose beads are sold, stored and transported in 20% ethanol).</w:t>
      </w:r>
    </w:p>
    <w:p w14:paraId="2599DC27" w14:textId="77777777" w:rsidR="00BF4747" w:rsidRDefault="00BF4747" w:rsidP="00BF4747">
      <w:pPr>
        <w:pStyle w:val="ListParagraph"/>
        <w:ind w:left="567"/>
      </w:pPr>
    </w:p>
    <w:p w14:paraId="7B64C8EB" w14:textId="77777777" w:rsidR="00BF4747" w:rsidRDefault="00BF4747" w:rsidP="00CB70DD">
      <w:pPr>
        <w:pStyle w:val="ListParagraph"/>
        <w:numPr>
          <w:ilvl w:val="0"/>
          <w:numId w:val="5"/>
        </w:numPr>
        <w:ind w:left="567" w:hanging="567"/>
      </w:pPr>
      <w:r>
        <w:t>Pre-treatment – The dairy stream (whey or skim milk) is pre-treated by filtration or centrifugation to remove suspended solids.</w:t>
      </w:r>
    </w:p>
    <w:p w14:paraId="41A1A657" w14:textId="77777777" w:rsidR="001F543C" w:rsidRDefault="001F543C" w:rsidP="001F543C">
      <w:pPr>
        <w:pStyle w:val="ListParagraph"/>
        <w:ind w:left="567"/>
      </w:pPr>
    </w:p>
    <w:p w14:paraId="117A1D9B" w14:textId="27249091" w:rsidR="00B04FA9" w:rsidRDefault="00306EF9" w:rsidP="00CB70DD">
      <w:pPr>
        <w:pStyle w:val="ListParagraph"/>
        <w:numPr>
          <w:ilvl w:val="0"/>
          <w:numId w:val="5"/>
        </w:numPr>
        <w:ind w:left="567" w:hanging="567"/>
      </w:pPr>
      <w:r>
        <w:t xml:space="preserve">Adsorption – The </w:t>
      </w:r>
      <w:r w:rsidR="005D1AF6">
        <w:t xml:space="preserve">pre-treated </w:t>
      </w:r>
      <w:r>
        <w:t xml:space="preserve">dairy stream (pH adjusted) is passed through the column. The target substance, </w:t>
      </w:r>
      <w:proofErr w:type="spellStart"/>
      <w:r>
        <w:t>lactoferrin</w:t>
      </w:r>
      <w:proofErr w:type="spellEnd"/>
      <w:r>
        <w:t xml:space="preserve">, is adsorbed </w:t>
      </w:r>
      <w:r w:rsidR="005D1AF6">
        <w:t xml:space="preserve">(bound) </w:t>
      </w:r>
      <w:r>
        <w:t xml:space="preserve">to the charged functional groups of the resin. </w:t>
      </w:r>
      <w:r w:rsidR="00B04FA9" w:rsidRPr="00306EF9">
        <w:t xml:space="preserve">Between 60-100% of the </w:t>
      </w:r>
      <w:proofErr w:type="spellStart"/>
      <w:r w:rsidR="00B04FA9" w:rsidRPr="00306EF9">
        <w:t>lactoferrin</w:t>
      </w:r>
      <w:proofErr w:type="spellEnd"/>
      <w:r w:rsidR="00B04FA9" w:rsidRPr="00306EF9">
        <w:t xml:space="preserve"> is adsorbed.</w:t>
      </w:r>
    </w:p>
    <w:p w14:paraId="527F109B" w14:textId="77777777" w:rsidR="001F543C" w:rsidRDefault="001F543C" w:rsidP="001F543C">
      <w:pPr>
        <w:pStyle w:val="ListParagraph"/>
      </w:pPr>
    </w:p>
    <w:p w14:paraId="57CDD96F" w14:textId="3120599C" w:rsidR="00306EF9" w:rsidRDefault="00306EF9" w:rsidP="00CB70DD">
      <w:pPr>
        <w:pStyle w:val="ListParagraph"/>
        <w:numPr>
          <w:ilvl w:val="0"/>
          <w:numId w:val="5"/>
        </w:numPr>
        <w:ind w:left="567" w:hanging="567"/>
      </w:pPr>
      <w:r>
        <w:t>Rinsing –</w:t>
      </w:r>
      <w:r w:rsidR="005D1AF6">
        <w:t xml:space="preserve"> </w:t>
      </w:r>
      <w:r>
        <w:t xml:space="preserve">The resin is rinsed using buffer </w:t>
      </w:r>
      <w:r w:rsidR="005D1AF6">
        <w:t xml:space="preserve">(weak brine solution) </w:t>
      </w:r>
      <w:r>
        <w:t xml:space="preserve">to remove </w:t>
      </w:r>
      <w:r w:rsidR="005D1AF6">
        <w:t>other minor milk proteins that have also bound to the resin.</w:t>
      </w:r>
      <w:r>
        <w:t xml:space="preserve"> Typical rinsing volumes are </w:t>
      </w:r>
      <w:r w:rsidR="001F543C">
        <w:t>5-10 column volumes.</w:t>
      </w:r>
    </w:p>
    <w:p w14:paraId="40B46517" w14:textId="77777777" w:rsidR="001F543C" w:rsidRDefault="001F543C" w:rsidP="001F543C">
      <w:pPr>
        <w:pStyle w:val="ListParagraph"/>
      </w:pPr>
    </w:p>
    <w:p w14:paraId="26E26BA7" w14:textId="7E50C274" w:rsidR="00BF4747" w:rsidRDefault="00306EF9" w:rsidP="00CB70DD">
      <w:pPr>
        <w:pStyle w:val="ListParagraph"/>
        <w:numPr>
          <w:ilvl w:val="0"/>
          <w:numId w:val="5"/>
        </w:numPr>
        <w:ind w:left="567" w:hanging="567"/>
      </w:pPr>
      <w:r>
        <w:t xml:space="preserve">Desorption (elution) – </w:t>
      </w:r>
      <w:proofErr w:type="spellStart"/>
      <w:r>
        <w:t>Lactoferrin</w:t>
      </w:r>
      <w:proofErr w:type="spellEnd"/>
      <w:r>
        <w:t xml:space="preserve"> is desorbed from the </w:t>
      </w:r>
      <w:r w:rsidR="001F543C">
        <w:t>resin with buffer</w:t>
      </w:r>
      <w:r w:rsidR="005D1AF6">
        <w:t xml:space="preserve"> (concentrated brine solution)</w:t>
      </w:r>
      <w:r w:rsidR="001F543C">
        <w:t xml:space="preserve">, typically 1-5 column volumes. </w:t>
      </w:r>
    </w:p>
    <w:p w14:paraId="1B8EBF6C" w14:textId="77777777" w:rsidR="00BF4747" w:rsidRDefault="00BF4747" w:rsidP="00BF4747">
      <w:pPr>
        <w:pStyle w:val="ListParagraph"/>
      </w:pPr>
    </w:p>
    <w:p w14:paraId="37F02B25" w14:textId="77777777" w:rsidR="00BF4747" w:rsidRDefault="00BF4747" w:rsidP="00CB70DD">
      <w:pPr>
        <w:pStyle w:val="ListParagraph"/>
        <w:numPr>
          <w:ilvl w:val="0"/>
          <w:numId w:val="5"/>
        </w:numPr>
        <w:ind w:left="567" w:hanging="567"/>
      </w:pPr>
      <w:r>
        <w:t>Ultrafiltration – U</w:t>
      </w:r>
      <w:r w:rsidR="001F543C">
        <w:t>ltrafiltration</w:t>
      </w:r>
      <w:r>
        <w:t xml:space="preserve"> is used to concentrate and de-salt the </w:t>
      </w:r>
      <w:proofErr w:type="spellStart"/>
      <w:r>
        <w:t>lactoferrin</w:t>
      </w:r>
      <w:proofErr w:type="spellEnd"/>
      <w:r>
        <w:t xml:space="preserve">. Filtration or heat treatment is then applied to reduce microbial count. </w:t>
      </w:r>
    </w:p>
    <w:p w14:paraId="798E4CEC" w14:textId="77777777" w:rsidR="00BF4747" w:rsidRDefault="00BF4747" w:rsidP="00BF4747">
      <w:pPr>
        <w:pStyle w:val="ListParagraph"/>
      </w:pPr>
    </w:p>
    <w:p w14:paraId="36CCDB3F" w14:textId="37BB3630" w:rsidR="00306EF9" w:rsidRDefault="00BF4747" w:rsidP="00CB70DD">
      <w:pPr>
        <w:pStyle w:val="ListParagraph"/>
        <w:numPr>
          <w:ilvl w:val="0"/>
          <w:numId w:val="5"/>
        </w:numPr>
        <w:ind w:left="567" w:hanging="567"/>
      </w:pPr>
      <w:r>
        <w:t xml:space="preserve">Drying – </w:t>
      </w:r>
      <w:r w:rsidR="005B53BA">
        <w:t>T</w:t>
      </w:r>
      <w:r>
        <w:t xml:space="preserve">he </w:t>
      </w:r>
      <w:proofErr w:type="spellStart"/>
      <w:r>
        <w:t>lactoferrin</w:t>
      </w:r>
      <w:proofErr w:type="spellEnd"/>
      <w:r>
        <w:t xml:space="preserve"> is freeze dried or spray dried to produce the finished product powder.</w:t>
      </w:r>
    </w:p>
    <w:p w14:paraId="51C27FBD" w14:textId="77777777" w:rsidR="00BF4747" w:rsidRDefault="00BF4747" w:rsidP="00BF4747">
      <w:pPr>
        <w:pStyle w:val="ListParagraph"/>
        <w:ind w:left="567"/>
      </w:pPr>
    </w:p>
    <w:p w14:paraId="14CE804E" w14:textId="2B8DE970" w:rsidR="00B04FA9" w:rsidRPr="00B04FA9" w:rsidRDefault="00BF4747" w:rsidP="00BF4747">
      <w:r>
        <w:t xml:space="preserve">After each cycle, the resin is rinsed and equilibrated. </w:t>
      </w:r>
      <w:r w:rsidR="001F543C">
        <w:t xml:space="preserve">Every five cycles, the column and resin are cleaned using alkali. </w:t>
      </w:r>
      <w:r w:rsidR="005C1F21">
        <w:t>The Applica</w:t>
      </w:r>
      <w:r>
        <w:t>t</w:t>
      </w:r>
      <w:r w:rsidR="005C1F21">
        <w:t>ion</w:t>
      </w:r>
      <w:r>
        <w:t xml:space="preserve"> states that the resin may be used for a thousand cycles or more before it is discarded.</w:t>
      </w:r>
    </w:p>
    <w:p w14:paraId="0E2E3A16" w14:textId="77777777" w:rsidR="00561780" w:rsidRPr="00BF4747" w:rsidRDefault="00561780" w:rsidP="00A62BE1">
      <w:pPr>
        <w:pStyle w:val="Heading2"/>
      </w:pPr>
      <w:bookmarkStart w:id="32" w:name="_Toc404691613"/>
      <w:bookmarkStart w:id="33" w:name="_Toc442966861"/>
      <w:bookmarkStart w:id="34" w:name="_Toc442967391"/>
      <w:r w:rsidRPr="00BF4747">
        <w:t>2.5</w:t>
      </w:r>
      <w:r w:rsidRPr="00BF4747">
        <w:tab/>
        <w:t>Food technology conclusion</w:t>
      </w:r>
      <w:bookmarkEnd w:id="32"/>
      <w:bookmarkEnd w:id="33"/>
      <w:bookmarkEnd w:id="34"/>
    </w:p>
    <w:p w14:paraId="57FFCBCF" w14:textId="71C6168D" w:rsidR="00CB70DD" w:rsidRDefault="00CB70DD" w:rsidP="00B04FA9">
      <w:r>
        <w:t xml:space="preserve">The stated purpose of this agarose ion exchange resin as a processing aid, namely for use in the production of high purity </w:t>
      </w:r>
      <w:proofErr w:type="spellStart"/>
      <w:r>
        <w:t>lactoferrin</w:t>
      </w:r>
      <w:proofErr w:type="spellEnd"/>
      <w:r>
        <w:t xml:space="preserve"> from bovine milk and milk-related products, is clearly articulated in the Application. </w:t>
      </w:r>
      <w:r w:rsidRPr="00CB70DD">
        <w:t>The evidence presen</w:t>
      </w:r>
      <w:r>
        <w:t>ted to support the proposed use</w:t>
      </w:r>
      <w:r w:rsidRPr="00CB70DD">
        <w:t xml:space="preserve"> provides</w:t>
      </w:r>
      <w:r>
        <w:t xml:space="preserve"> adequate assurance that the resin is t</w:t>
      </w:r>
      <w:r w:rsidRPr="00CB70DD">
        <w:t>echnologically justified and has been demonstrated to be effective in achieving its stated purpose.</w:t>
      </w:r>
      <w:r w:rsidR="000F429E">
        <w:t xml:space="preserve"> </w:t>
      </w:r>
      <w:r w:rsidR="00301336">
        <w:t xml:space="preserve">If this Application is approved </w:t>
      </w:r>
      <w:r w:rsidR="00E26204">
        <w:t xml:space="preserve">Schedule 18 will need to be varied to include this new resin, and </w:t>
      </w:r>
      <w:r w:rsidR="00301336">
        <w:t xml:space="preserve">a </w:t>
      </w:r>
      <w:r w:rsidR="000F429E">
        <w:t xml:space="preserve">specification for </w:t>
      </w:r>
      <w:r w:rsidR="00301336">
        <w:t xml:space="preserve">the </w:t>
      </w:r>
      <w:r w:rsidR="000F429E">
        <w:t>resin will need to be written into Schedule 3.</w:t>
      </w:r>
    </w:p>
    <w:p w14:paraId="6A7559EA" w14:textId="77777777" w:rsidR="00830279" w:rsidRDefault="00830279" w:rsidP="00830279">
      <w:pPr>
        <w:pStyle w:val="Heading1"/>
      </w:pPr>
      <w:bookmarkStart w:id="35" w:name="_Toc426529242"/>
      <w:bookmarkStart w:id="36" w:name="_Toc436304363"/>
      <w:bookmarkStart w:id="37" w:name="_Toc442966862"/>
      <w:bookmarkStart w:id="38" w:name="_Toc442967392"/>
      <w:r>
        <w:t>3</w:t>
      </w:r>
      <w:bookmarkEnd w:id="35"/>
      <w:r>
        <w:tab/>
      </w:r>
      <w:bookmarkStart w:id="39" w:name="_Ref421269523"/>
      <w:bookmarkStart w:id="40" w:name="_Ref421269531"/>
      <w:r w:rsidRPr="00346D6F">
        <w:t>Hazard</w:t>
      </w:r>
      <w:r>
        <w:t xml:space="preserve"> assessment</w:t>
      </w:r>
      <w:bookmarkEnd w:id="36"/>
      <w:bookmarkEnd w:id="37"/>
      <w:bookmarkEnd w:id="38"/>
      <w:bookmarkEnd w:id="39"/>
      <w:bookmarkEnd w:id="40"/>
    </w:p>
    <w:p w14:paraId="33075294" w14:textId="77777777" w:rsidR="00830279" w:rsidRDefault="00830279" w:rsidP="00A62BE1">
      <w:pPr>
        <w:pStyle w:val="Heading2"/>
      </w:pPr>
      <w:bookmarkStart w:id="41" w:name="_Toc436304364"/>
      <w:bookmarkStart w:id="42" w:name="_Toc442966863"/>
      <w:bookmarkStart w:id="43" w:name="_Toc442967393"/>
      <w:r>
        <w:t>3.1</w:t>
      </w:r>
      <w:r>
        <w:tab/>
      </w:r>
      <w:r w:rsidRPr="00346D6F">
        <w:t>Background</w:t>
      </w:r>
      <w:bookmarkEnd w:id="41"/>
      <w:bookmarkEnd w:id="42"/>
      <w:bookmarkEnd w:id="43"/>
    </w:p>
    <w:p w14:paraId="4F806D4B" w14:textId="77777777" w:rsidR="00482766" w:rsidRDefault="00830279" w:rsidP="00830279">
      <w:bookmarkStart w:id="44" w:name="_Toc426468468"/>
      <w:bookmarkStart w:id="45" w:name="_Toc426475568"/>
      <w:bookmarkStart w:id="46" w:name="_Toc426468469"/>
      <w:bookmarkStart w:id="47" w:name="_Toc426475569"/>
      <w:bookmarkStart w:id="48" w:name="_Toc436304365"/>
      <w:bookmarkEnd w:id="44"/>
      <w:bookmarkEnd w:id="45"/>
      <w:bookmarkEnd w:id="46"/>
      <w:bookmarkEnd w:id="47"/>
      <w:r>
        <w:t xml:space="preserve">The Application </w:t>
      </w:r>
      <w:r w:rsidR="00060C82">
        <w:t>indicated that</w:t>
      </w:r>
      <w:r w:rsidR="00180BAF">
        <w:t xml:space="preserve"> 16</w:t>
      </w:r>
      <w:r>
        <w:t xml:space="preserve"> </w:t>
      </w:r>
      <w:r w:rsidR="004521E9">
        <w:t xml:space="preserve">impurities in the </w:t>
      </w:r>
      <w:r w:rsidR="00180BAF">
        <w:t>resin</w:t>
      </w:r>
      <w:r w:rsidR="004521E9">
        <w:t xml:space="preserve"> </w:t>
      </w:r>
      <w:r>
        <w:t xml:space="preserve">may be present </w:t>
      </w:r>
      <w:r w:rsidR="007B11FF">
        <w:t xml:space="preserve">at trace levels </w:t>
      </w:r>
      <w:r>
        <w:t xml:space="preserve">in </w:t>
      </w:r>
      <w:proofErr w:type="spellStart"/>
      <w:r w:rsidR="004521E9">
        <w:t>lactoferrin</w:t>
      </w:r>
      <w:proofErr w:type="spellEnd"/>
      <w:r w:rsidR="004521E9">
        <w:t xml:space="preserve"> and in the flow-through dairy stream </w:t>
      </w:r>
      <w:r>
        <w:t xml:space="preserve">due to processing with the </w:t>
      </w:r>
      <w:r w:rsidR="00F229E1">
        <w:t xml:space="preserve">ion exchange </w:t>
      </w:r>
      <w:r>
        <w:t>resin</w:t>
      </w:r>
      <w:r w:rsidR="0029122E">
        <w:t xml:space="preserve"> (Table 1)</w:t>
      </w:r>
      <w:r>
        <w:t xml:space="preserve">. </w:t>
      </w:r>
      <w:r w:rsidR="00A65A58">
        <w:t>Ten</w:t>
      </w:r>
      <w:r w:rsidR="00CB1D1D">
        <w:t xml:space="preserve"> of the</w:t>
      </w:r>
      <w:r w:rsidR="00A358A8">
        <w:t>se</w:t>
      </w:r>
      <w:r w:rsidR="00CB1D1D">
        <w:t xml:space="preserve"> </w:t>
      </w:r>
      <w:r w:rsidR="00AF2FF6">
        <w:t>substances</w:t>
      </w:r>
      <w:r w:rsidR="008C2422">
        <w:t xml:space="preserve"> </w:t>
      </w:r>
      <w:r w:rsidR="00AF2FF6">
        <w:t xml:space="preserve">have been assessed by the </w:t>
      </w:r>
      <w:r w:rsidR="00AF2FF6" w:rsidRPr="00AF2FF6">
        <w:t>Joint FAO/WHO Expert Committee on Food Additives (JECFA)</w:t>
      </w:r>
      <w:r w:rsidR="00590EC8">
        <w:t xml:space="preserve">. </w:t>
      </w:r>
      <w:r w:rsidR="00482766">
        <w:br w:type="page"/>
      </w:r>
    </w:p>
    <w:p w14:paraId="4FF90060" w14:textId="2C22D635" w:rsidR="007B11FF" w:rsidRDefault="00A358A8" w:rsidP="00830279">
      <w:r>
        <w:lastRenderedPageBreak/>
        <w:t>C</w:t>
      </w:r>
      <w:r w:rsidR="00590EC8">
        <w:t>onclusions from the JECFA assessmen</w:t>
      </w:r>
      <w:r w:rsidR="0022104E">
        <w:t>ts are provided in Section 3.2</w:t>
      </w:r>
      <w:r w:rsidR="00590EC8">
        <w:t xml:space="preserve">. For the remaining </w:t>
      </w:r>
      <w:r>
        <w:t>six</w:t>
      </w:r>
      <w:r w:rsidR="00590EC8">
        <w:t xml:space="preserve"> </w:t>
      </w:r>
      <w:r w:rsidR="008C2422">
        <w:t>resin</w:t>
      </w:r>
      <w:r w:rsidR="00BD0B50">
        <w:t xml:space="preserve"> impurities</w:t>
      </w:r>
      <w:r w:rsidR="00060C82">
        <w:t>,</w:t>
      </w:r>
      <w:r w:rsidR="00590EC8">
        <w:t xml:space="preserve"> hazard information </w:t>
      </w:r>
      <w:r w:rsidR="0022104E">
        <w:t>is provided in Section 3.3</w:t>
      </w:r>
      <w:r w:rsidR="00590EC8">
        <w:t>.</w:t>
      </w:r>
    </w:p>
    <w:p w14:paraId="7B833854" w14:textId="01CAF528" w:rsidR="00830279" w:rsidRDefault="00830279" w:rsidP="00A62BE1">
      <w:pPr>
        <w:pStyle w:val="Heading2"/>
      </w:pPr>
      <w:bookmarkStart w:id="49" w:name="_Toc436304366"/>
      <w:bookmarkStart w:id="50" w:name="_Toc442966864"/>
      <w:bookmarkStart w:id="51" w:name="_Toc442967394"/>
      <w:bookmarkEnd w:id="48"/>
      <w:r w:rsidRPr="00A62BE1">
        <w:t>3</w:t>
      </w:r>
      <w:r>
        <w:t>.2</w:t>
      </w:r>
      <w:bookmarkEnd w:id="49"/>
      <w:r w:rsidR="00A62BE1">
        <w:tab/>
      </w:r>
      <w:r w:rsidR="0022104E" w:rsidRPr="0022104E">
        <w:t>Substances assessed by JECFA</w:t>
      </w:r>
      <w:bookmarkEnd w:id="50"/>
      <w:bookmarkEnd w:id="51"/>
    </w:p>
    <w:p w14:paraId="08324CB2" w14:textId="42035F74" w:rsidR="00794698" w:rsidRDefault="00A62BE1" w:rsidP="00A62BE1">
      <w:pPr>
        <w:pStyle w:val="Heading3"/>
      </w:pPr>
      <w:bookmarkStart w:id="52" w:name="_Toc442966865"/>
      <w:bookmarkStart w:id="53" w:name="_Toc442967395"/>
      <w:r>
        <w:t>3.2.1</w:t>
      </w:r>
      <w:r>
        <w:tab/>
        <w:t>Food additives</w:t>
      </w:r>
      <w:bookmarkEnd w:id="52"/>
      <w:bookmarkEnd w:id="53"/>
    </w:p>
    <w:p w14:paraId="57ED4D1F" w14:textId="3469FC8F" w:rsidR="003219F4" w:rsidRDefault="0022104E" w:rsidP="003219F4">
      <w:r>
        <w:t>As sum</w:t>
      </w:r>
      <w:r w:rsidR="00060C82">
        <w:t>marised in Table 1</w:t>
      </w:r>
      <w:r w:rsidR="00BD0B50">
        <w:t>, six of the resin impurities</w:t>
      </w:r>
      <w:r w:rsidRPr="00AF2FF6">
        <w:t xml:space="preserve"> </w:t>
      </w:r>
      <w:r>
        <w:t>are also used as food additives and</w:t>
      </w:r>
      <w:r w:rsidRPr="00AF2FF6">
        <w:t xml:space="preserve"> have been assessed by </w:t>
      </w:r>
      <w:r w:rsidR="006B7151">
        <w:t>JECFA</w:t>
      </w:r>
      <w:r w:rsidRPr="00AF2FF6">
        <w:t>.</w:t>
      </w:r>
      <w:r w:rsidR="00A62BE1">
        <w:t xml:space="preserve"> </w:t>
      </w:r>
      <w:r w:rsidR="003219F4">
        <w:t>Summary information on these substances, including links to JECFA reports and monographs, is available from the online JECFA database.</w:t>
      </w:r>
      <w:r w:rsidR="003219F4">
        <w:rPr>
          <w:rStyle w:val="FootnoteReference"/>
        </w:rPr>
        <w:footnoteReference w:id="2"/>
      </w:r>
    </w:p>
    <w:p w14:paraId="4D87C4F4" w14:textId="77777777" w:rsidR="003219F4" w:rsidRDefault="003219F4" w:rsidP="0022104E"/>
    <w:p w14:paraId="5235121A" w14:textId="229BD06D" w:rsidR="00FB35BF" w:rsidRDefault="001530FB" w:rsidP="0022104E">
      <w:r>
        <w:t xml:space="preserve">Four </w:t>
      </w:r>
      <w:r w:rsidR="002C05B2">
        <w:t>substances</w:t>
      </w:r>
      <w:r>
        <w:t xml:space="preserve"> (</w:t>
      </w:r>
      <w:proofErr w:type="spellStart"/>
      <w:r>
        <w:t>ethylcellulose</w:t>
      </w:r>
      <w:proofErr w:type="spellEnd"/>
      <w:r>
        <w:t>, g</w:t>
      </w:r>
      <w:r w:rsidRPr="001530FB">
        <w:t>lycerol</w:t>
      </w:r>
      <w:r>
        <w:t xml:space="preserve">, </w:t>
      </w:r>
      <w:r w:rsidR="003D1348">
        <w:t xml:space="preserve"> </w:t>
      </w:r>
      <w:r>
        <w:t>s</w:t>
      </w:r>
      <w:r w:rsidRPr="001530FB">
        <w:t xml:space="preserve">odium acetate </w:t>
      </w:r>
      <w:r>
        <w:t>and s</w:t>
      </w:r>
      <w:r w:rsidRPr="001530FB">
        <w:t>odium sulphate</w:t>
      </w:r>
      <w:r>
        <w:t>)</w:t>
      </w:r>
      <w:r w:rsidRPr="001530FB">
        <w:t xml:space="preserve"> </w:t>
      </w:r>
      <w:r w:rsidR="003D1348">
        <w:t>were assigned a</w:t>
      </w:r>
      <w:r w:rsidR="00FB35BF" w:rsidRPr="00FB35BF">
        <w:t>n Acceptable Daily Intake (ADI) of “not specified</w:t>
      </w:r>
      <w:r w:rsidR="003D1348">
        <w:t xml:space="preserve">” or “not limited”, which indicates that </w:t>
      </w:r>
      <w:r>
        <w:t>dietary exposure to</w:t>
      </w:r>
      <w:r w:rsidR="003D1348" w:rsidRPr="003D1348">
        <w:t xml:space="preserve"> the substance arising from its use at levels necessary to achieve the desired effect, and from acceptable background levels in food, does not represent a health</w:t>
      </w:r>
      <w:r w:rsidR="006D148A">
        <w:t xml:space="preserve"> risk</w:t>
      </w:r>
      <w:r w:rsidR="003D1348" w:rsidRPr="003D1348">
        <w:t>.</w:t>
      </w:r>
      <w:r w:rsidR="003D1348">
        <w:t xml:space="preserve"> </w:t>
      </w:r>
      <w:r w:rsidR="003D1348" w:rsidRPr="003D1348">
        <w:t>The establishme</w:t>
      </w:r>
      <w:r w:rsidR="003D1348">
        <w:t>nt of an ADI in numerical form wa</w:t>
      </w:r>
      <w:r w:rsidR="003D1348" w:rsidRPr="003D1348">
        <w:t>s therefore not deemed necessary</w:t>
      </w:r>
      <w:r w:rsidR="003D1348">
        <w:t xml:space="preserve"> by JECFA.</w:t>
      </w:r>
    </w:p>
    <w:p w14:paraId="03ABEFDF" w14:textId="77777777" w:rsidR="005C56F7" w:rsidRDefault="005C56F7" w:rsidP="0022104E"/>
    <w:p w14:paraId="1A256D9A" w14:textId="41B27575" w:rsidR="0022104E" w:rsidRDefault="003D1348" w:rsidP="0022104E">
      <w:r>
        <w:t>For t</w:t>
      </w:r>
      <w:r w:rsidR="00E060BC">
        <w:t xml:space="preserve">wo of the substances, </w:t>
      </w:r>
      <w:r w:rsidR="008C2422">
        <w:t>s</w:t>
      </w:r>
      <w:r w:rsidR="008C2422" w:rsidRPr="008C2422">
        <w:t xml:space="preserve">odium </w:t>
      </w:r>
      <w:proofErr w:type="spellStart"/>
      <w:r w:rsidR="008C2422" w:rsidRPr="008C2422">
        <w:t>metabisulphite</w:t>
      </w:r>
      <w:proofErr w:type="spellEnd"/>
      <w:r w:rsidR="008C2422" w:rsidRPr="008C2422">
        <w:t xml:space="preserve"> </w:t>
      </w:r>
      <w:r w:rsidR="008C2422">
        <w:t>and</w:t>
      </w:r>
      <w:r w:rsidR="008C2422" w:rsidRPr="008C2422">
        <w:t xml:space="preserve"> sodium hydrogen sulphite</w:t>
      </w:r>
      <w:r w:rsidR="004B189E">
        <w:t>,</w:t>
      </w:r>
      <w:r w:rsidR="006B7151">
        <w:t xml:space="preserve"> the</w:t>
      </w:r>
      <w:r w:rsidR="004B189E">
        <w:t xml:space="preserve"> group ADI of 0–0.7 mg/kg </w:t>
      </w:r>
      <w:proofErr w:type="spellStart"/>
      <w:proofErr w:type="gramStart"/>
      <w:r w:rsidR="004B189E">
        <w:t>bw</w:t>
      </w:r>
      <w:proofErr w:type="spellEnd"/>
      <w:proofErr w:type="gramEnd"/>
      <w:r w:rsidR="006B7151">
        <w:t xml:space="preserve"> for sulphur dioxide </w:t>
      </w:r>
      <w:r w:rsidR="005C56F7">
        <w:t>and</w:t>
      </w:r>
      <w:r w:rsidR="006B7151">
        <w:t xml:space="preserve"> sulphite compounds </w:t>
      </w:r>
      <w:r w:rsidR="006F77BB">
        <w:t xml:space="preserve">established by JECFA </w:t>
      </w:r>
      <w:r w:rsidR="006B7151">
        <w:t>is applicable</w:t>
      </w:r>
      <w:r w:rsidR="004B189E">
        <w:t xml:space="preserve">. </w:t>
      </w:r>
    </w:p>
    <w:p w14:paraId="65A0BCAB" w14:textId="77777777" w:rsidR="0022104E" w:rsidRDefault="0022104E" w:rsidP="0022104E"/>
    <w:p w14:paraId="2B6A94D5" w14:textId="2ECEF5D2" w:rsidR="0022104E" w:rsidRDefault="00060C82" w:rsidP="00FC2AA8">
      <w:pPr>
        <w:keepNext/>
        <w:rPr>
          <w:b/>
          <w:lang w:bidi="ar-SA"/>
        </w:rPr>
      </w:pPr>
      <w:r>
        <w:rPr>
          <w:b/>
          <w:lang w:bidi="ar-SA"/>
        </w:rPr>
        <w:t>Table 1</w:t>
      </w:r>
      <w:r w:rsidR="0022104E" w:rsidRPr="0022104E">
        <w:rPr>
          <w:b/>
          <w:lang w:bidi="ar-SA"/>
        </w:rPr>
        <w:t>: Resin</w:t>
      </w:r>
      <w:r w:rsidR="00AC655D">
        <w:rPr>
          <w:b/>
          <w:lang w:bidi="ar-SA"/>
        </w:rPr>
        <w:t xml:space="preserve"> impurities</w:t>
      </w:r>
      <w:r w:rsidR="0022104E" w:rsidRPr="0022104E">
        <w:rPr>
          <w:b/>
          <w:lang w:bidi="ar-SA"/>
        </w:rPr>
        <w:t xml:space="preserve"> that have been assessed as food additives by JECFA</w:t>
      </w:r>
    </w:p>
    <w:p w14:paraId="2F2A82E3" w14:textId="031959CD" w:rsidR="0022104E" w:rsidRPr="00FB35BF" w:rsidRDefault="0022104E">
      <w:pPr>
        <w:keepNext/>
        <w:rPr>
          <w:lang w:bidi="ar-SA"/>
        </w:rPr>
      </w:pPr>
    </w:p>
    <w:tbl>
      <w:tblPr>
        <w:tblStyle w:val="TableGrid"/>
        <w:tblW w:w="9181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134"/>
        <w:gridCol w:w="3119"/>
      </w:tblGrid>
      <w:tr w:rsidR="0022104E" w:rsidRPr="004F48B1" w14:paraId="32FB81DA" w14:textId="77777777" w:rsidTr="006F77BB">
        <w:tc>
          <w:tcPr>
            <w:tcW w:w="3510" w:type="dxa"/>
          </w:tcPr>
          <w:p w14:paraId="7E717849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b/>
                <w:sz w:val="20"/>
                <w:szCs w:val="22"/>
              </w:rPr>
            </w:pPr>
            <w:r w:rsidRPr="00332366">
              <w:rPr>
                <w:rFonts w:cs="Arial"/>
                <w:b/>
                <w:sz w:val="20"/>
                <w:szCs w:val="22"/>
              </w:rPr>
              <w:t>Chemical name</w:t>
            </w:r>
          </w:p>
        </w:tc>
        <w:tc>
          <w:tcPr>
            <w:tcW w:w="1418" w:type="dxa"/>
          </w:tcPr>
          <w:p w14:paraId="622089B2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b/>
                <w:sz w:val="20"/>
                <w:szCs w:val="22"/>
              </w:rPr>
            </w:pPr>
            <w:r w:rsidRPr="00332366">
              <w:rPr>
                <w:rFonts w:cs="Arial"/>
                <w:b/>
                <w:sz w:val="20"/>
                <w:szCs w:val="22"/>
              </w:rPr>
              <w:t>CAS no.</w:t>
            </w:r>
          </w:p>
        </w:tc>
        <w:tc>
          <w:tcPr>
            <w:tcW w:w="1134" w:type="dxa"/>
          </w:tcPr>
          <w:p w14:paraId="154F5133" w14:textId="3B63242F" w:rsidR="0022104E" w:rsidRPr="00332366" w:rsidRDefault="0022104E" w:rsidP="00FC2AA8">
            <w:pPr>
              <w:keepNext/>
              <w:spacing w:before="40" w:after="40"/>
              <w:rPr>
                <w:rFonts w:cs="Arial"/>
                <w:b/>
                <w:sz w:val="20"/>
                <w:szCs w:val="22"/>
              </w:rPr>
            </w:pPr>
            <w:r w:rsidRPr="00332366">
              <w:rPr>
                <w:rFonts w:cs="Arial"/>
                <w:b/>
                <w:sz w:val="20"/>
                <w:szCs w:val="22"/>
              </w:rPr>
              <w:t xml:space="preserve">INS </w:t>
            </w:r>
            <w:proofErr w:type="spellStart"/>
            <w:r w:rsidRPr="00332366">
              <w:rPr>
                <w:rFonts w:cs="Arial"/>
                <w:b/>
                <w:sz w:val="20"/>
                <w:szCs w:val="22"/>
              </w:rPr>
              <w:t>No.</w:t>
            </w:r>
            <w:r w:rsidR="007A492C" w:rsidRPr="00332366">
              <w:rPr>
                <w:rFonts w:cs="Arial"/>
                <w:b/>
                <w:sz w:val="20"/>
                <w:szCs w:val="22"/>
                <w:vertAlign w:val="superscript"/>
              </w:rPr>
              <w:t>a</w:t>
            </w:r>
            <w:proofErr w:type="spellEnd"/>
          </w:p>
        </w:tc>
        <w:tc>
          <w:tcPr>
            <w:tcW w:w="3119" w:type="dxa"/>
          </w:tcPr>
          <w:p w14:paraId="1EEADBB5" w14:textId="734A8893" w:rsidR="0022104E" w:rsidRPr="00332366" w:rsidRDefault="0022104E" w:rsidP="00FC2AA8">
            <w:pPr>
              <w:keepNext/>
              <w:spacing w:before="40" w:after="40"/>
              <w:rPr>
                <w:rFonts w:cs="Arial"/>
                <w:b/>
                <w:sz w:val="20"/>
                <w:szCs w:val="22"/>
              </w:rPr>
            </w:pPr>
            <w:r w:rsidRPr="00332366">
              <w:rPr>
                <w:rFonts w:cs="Arial"/>
                <w:b/>
                <w:sz w:val="20"/>
                <w:szCs w:val="22"/>
              </w:rPr>
              <w:t>JECFA ADI</w:t>
            </w:r>
          </w:p>
        </w:tc>
      </w:tr>
      <w:tr w:rsidR="0022104E" w:rsidRPr="004F48B1" w14:paraId="4DB8FB8D" w14:textId="77777777" w:rsidTr="006F77BB">
        <w:tc>
          <w:tcPr>
            <w:tcW w:w="3510" w:type="dxa"/>
          </w:tcPr>
          <w:p w14:paraId="5A57A164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proofErr w:type="spellStart"/>
            <w:r w:rsidRPr="00332366">
              <w:rPr>
                <w:rFonts w:cs="Arial"/>
                <w:sz w:val="20"/>
                <w:szCs w:val="22"/>
              </w:rPr>
              <w:t>Ethylcellulose</w:t>
            </w:r>
            <w:proofErr w:type="spellEnd"/>
          </w:p>
        </w:tc>
        <w:tc>
          <w:tcPr>
            <w:tcW w:w="1418" w:type="dxa"/>
          </w:tcPr>
          <w:p w14:paraId="6ED75629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9004-57-3</w:t>
            </w:r>
          </w:p>
        </w:tc>
        <w:tc>
          <w:tcPr>
            <w:tcW w:w="1134" w:type="dxa"/>
          </w:tcPr>
          <w:p w14:paraId="5611651E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462</w:t>
            </w:r>
          </w:p>
        </w:tc>
        <w:tc>
          <w:tcPr>
            <w:tcW w:w="3119" w:type="dxa"/>
          </w:tcPr>
          <w:p w14:paraId="74612442" w14:textId="4082E068" w:rsidR="0022104E" w:rsidRPr="00332366" w:rsidRDefault="00A62BE1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 xml:space="preserve">Not </w:t>
            </w:r>
            <w:r w:rsidR="007A492C" w:rsidRPr="00332366">
              <w:rPr>
                <w:rFonts w:cs="Arial"/>
                <w:sz w:val="20"/>
                <w:szCs w:val="22"/>
              </w:rPr>
              <w:t>s</w:t>
            </w:r>
            <w:r w:rsidR="0022104E" w:rsidRPr="00332366">
              <w:rPr>
                <w:rFonts w:cs="Arial"/>
                <w:sz w:val="20"/>
                <w:szCs w:val="22"/>
              </w:rPr>
              <w:t>pecified</w:t>
            </w:r>
            <w:r w:rsidR="00B5073C" w:rsidRPr="00332366">
              <w:rPr>
                <w:rFonts w:cs="Arial"/>
                <w:sz w:val="20"/>
                <w:szCs w:val="22"/>
              </w:rPr>
              <w:t xml:space="preserve"> </w:t>
            </w:r>
            <w:r w:rsidR="007A492C" w:rsidRPr="00332366">
              <w:rPr>
                <w:rFonts w:cs="Arial"/>
                <w:sz w:val="20"/>
                <w:szCs w:val="22"/>
                <w:vertAlign w:val="superscript"/>
              </w:rPr>
              <w:t>b</w:t>
            </w:r>
          </w:p>
        </w:tc>
      </w:tr>
      <w:tr w:rsidR="0022104E" w:rsidRPr="004F48B1" w14:paraId="726B64FB" w14:textId="77777777" w:rsidTr="006F77BB">
        <w:tc>
          <w:tcPr>
            <w:tcW w:w="3510" w:type="dxa"/>
          </w:tcPr>
          <w:p w14:paraId="47146BB0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Glycerol</w:t>
            </w:r>
          </w:p>
        </w:tc>
        <w:tc>
          <w:tcPr>
            <w:tcW w:w="1418" w:type="dxa"/>
          </w:tcPr>
          <w:p w14:paraId="757420B7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56-81-5</w:t>
            </w:r>
          </w:p>
        </w:tc>
        <w:tc>
          <w:tcPr>
            <w:tcW w:w="1134" w:type="dxa"/>
          </w:tcPr>
          <w:p w14:paraId="03180E43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422</w:t>
            </w:r>
          </w:p>
        </w:tc>
        <w:tc>
          <w:tcPr>
            <w:tcW w:w="3119" w:type="dxa"/>
          </w:tcPr>
          <w:p w14:paraId="4CE7C488" w14:textId="0BDB3E29" w:rsidR="0022104E" w:rsidRPr="00332366" w:rsidRDefault="00C93DB1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Not specified</w:t>
            </w:r>
            <w:r w:rsidR="00B5073C" w:rsidRPr="00332366">
              <w:rPr>
                <w:rFonts w:cs="Arial"/>
                <w:sz w:val="20"/>
                <w:szCs w:val="22"/>
              </w:rPr>
              <w:t xml:space="preserve"> </w:t>
            </w:r>
            <w:r w:rsidRPr="00332366">
              <w:rPr>
                <w:rFonts w:cs="Arial"/>
                <w:sz w:val="20"/>
                <w:szCs w:val="22"/>
                <w:vertAlign w:val="superscript"/>
              </w:rPr>
              <w:t>b</w:t>
            </w:r>
            <w:r w:rsidRPr="00332366" w:rsidDel="007A492C">
              <w:rPr>
                <w:rFonts w:cs="Arial"/>
                <w:sz w:val="20"/>
                <w:szCs w:val="22"/>
                <w:vertAlign w:val="superscript"/>
              </w:rPr>
              <w:t xml:space="preserve"> </w:t>
            </w:r>
          </w:p>
        </w:tc>
      </w:tr>
      <w:tr w:rsidR="0022104E" w:rsidRPr="004F48B1" w14:paraId="007EAE6F" w14:textId="77777777" w:rsidTr="006F77BB">
        <w:tc>
          <w:tcPr>
            <w:tcW w:w="3510" w:type="dxa"/>
          </w:tcPr>
          <w:p w14:paraId="1D0DDE48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Sodium acetate</w:t>
            </w:r>
          </w:p>
        </w:tc>
        <w:tc>
          <w:tcPr>
            <w:tcW w:w="1418" w:type="dxa"/>
          </w:tcPr>
          <w:p w14:paraId="3815359E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127-09-3</w:t>
            </w:r>
          </w:p>
        </w:tc>
        <w:tc>
          <w:tcPr>
            <w:tcW w:w="1134" w:type="dxa"/>
          </w:tcPr>
          <w:p w14:paraId="20B6B07D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262(</w:t>
            </w:r>
            <w:proofErr w:type="spellStart"/>
            <w:r w:rsidRPr="00332366">
              <w:rPr>
                <w:rFonts w:cs="Arial"/>
                <w:sz w:val="20"/>
                <w:szCs w:val="22"/>
              </w:rPr>
              <w:t>i</w:t>
            </w:r>
            <w:proofErr w:type="spellEnd"/>
            <w:r w:rsidRPr="00332366">
              <w:rPr>
                <w:rFonts w:cs="Arial"/>
                <w:sz w:val="20"/>
                <w:szCs w:val="22"/>
              </w:rPr>
              <w:t>)</w:t>
            </w:r>
          </w:p>
        </w:tc>
        <w:tc>
          <w:tcPr>
            <w:tcW w:w="3119" w:type="dxa"/>
          </w:tcPr>
          <w:p w14:paraId="1B9D66D5" w14:textId="2A0A57AE" w:rsidR="0022104E" w:rsidRPr="00332366" w:rsidRDefault="00A62BE1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 xml:space="preserve">Not </w:t>
            </w:r>
            <w:r w:rsidR="007A492C" w:rsidRPr="00332366">
              <w:rPr>
                <w:rFonts w:cs="Arial"/>
                <w:sz w:val="20"/>
                <w:szCs w:val="22"/>
              </w:rPr>
              <w:t>l</w:t>
            </w:r>
            <w:r w:rsidR="0022104E" w:rsidRPr="00332366">
              <w:rPr>
                <w:rFonts w:cs="Arial"/>
                <w:sz w:val="20"/>
                <w:szCs w:val="22"/>
              </w:rPr>
              <w:t>imited</w:t>
            </w:r>
            <w:r w:rsidR="00B5073C" w:rsidRPr="00332366">
              <w:rPr>
                <w:rFonts w:cs="Arial"/>
                <w:sz w:val="20"/>
                <w:szCs w:val="22"/>
              </w:rPr>
              <w:t xml:space="preserve"> </w:t>
            </w:r>
            <w:r w:rsidR="007A492C" w:rsidRPr="00332366">
              <w:rPr>
                <w:rFonts w:cs="Arial"/>
                <w:sz w:val="20"/>
                <w:szCs w:val="22"/>
                <w:vertAlign w:val="superscript"/>
              </w:rPr>
              <w:t>b</w:t>
            </w:r>
          </w:p>
        </w:tc>
      </w:tr>
      <w:tr w:rsidR="0022104E" w:rsidRPr="004F48B1" w14:paraId="0108CB0B" w14:textId="77777777" w:rsidTr="006F77BB">
        <w:tc>
          <w:tcPr>
            <w:tcW w:w="3510" w:type="dxa"/>
          </w:tcPr>
          <w:p w14:paraId="16F67C84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Sodium sulphate</w:t>
            </w:r>
          </w:p>
        </w:tc>
        <w:tc>
          <w:tcPr>
            <w:tcW w:w="1418" w:type="dxa"/>
          </w:tcPr>
          <w:p w14:paraId="0913A388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7757-82-6</w:t>
            </w:r>
          </w:p>
        </w:tc>
        <w:tc>
          <w:tcPr>
            <w:tcW w:w="1134" w:type="dxa"/>
          </w:tcPr>
          <w:p w14:paraId="517553A3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514(</w:t>
            </w:r>
            <w:proofErr w:type="spellStart"/>
            <w:r w:rsidRPr="00332366">
              <w:rPr>
                <w:rFonts w:cs="Arial"/>
                <w:sz w:val="20"/>
                <w:szCs w:val="22"/>
              </w:rPr>
              <w:t>i</w:t>
            </w:r>
            <w:proofErr w:type="spellEnd"/>
            <w:r w:rsidRPr="00332366">
              <w:rPr>
                <w:rFonts w:cs="Arial"/>
                <w:sz w:val="20"/>
                <w:szCs w:val="22"/>
              </w:rPr>
              <w:t>)</w:t>
            </w:r>
          </w:p>
        </w:tc>
        <w:tc>
          <w:tcPr>
            <w:tcW w:w="3119" w:type="dxa"/>
          </w:tcPr>
          <w:p w14:paraId="1D167164" w14:textId="2D951E8E" w:rsidR="0022104E" w:rsidRPr="00332366" w:rsidRDefault="00A62BE1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 xml:space="preserve">Not </w:t>
            </w:r>
            <w:r w:rsidR="007A492C" w:rsidRPr="00332366">
              <w:rPr>
                <w:rFonts w:cs="Arial"/>
                <w:sz w:val="20"/>
                <w:szCs w:val="22"/>
              </w:rPr>
              <w:t>s</w:t>
            </w:r>
            <w:r w:rsidR="0022104E" w:rsidRPr="00332366">
              <w:rPr>
                <w:rFonts w:cs="Arial"/>
                <w:sz w:val="20"/>
                <w:szCs w:val="22"/>
              </w:rPr>
              <w:t>pecified</w:t>
            </w:r>
            <w:r w:rsidR="00B5073C" w:rsidRPr="00332366">
              <w:rPr>
                <w:rFonts w:cs="Arial"/>
                <w:sz w:val="20"/>
                <w:szCs w:val="22"/>
              </w:rPr>
              <w:t xml:space="preserve"> </w:t>
            </w:r>
            <w:r w:rsidR="007A492C" w:rsidRPr="00332366">
              <w:rPr>
                <w:rFonts w:cs="Arial"/>
                <w:sz w:val="20"/>
                <w:szCs w:val="22"/>
                <w:vertAlign w:val="superscript"/>
              </w:rPr>
              <w:t>b</w:t>
            </w:r>
          </w:p>
        </w:tc>
      </w:tr>
      <w:tr w:rsidR="0022104E" w:rsidRPr="004F48B1" w14:paraId="0318F937" w14:textId="77777777" w:rsidTr="006F77BB">
        <w:tc>
          <w:tcPr>
            <w:tcW w:w="3510" w:type="dxa"/>
          </w:tcPr>
          <w:p w14:paraId="496223F0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 xml:space="preserve">Sodium </w:t>
            </w:r>
            <w:proofErr w:type="spellStart"/>
            <w:r w:rsidRPr="00332366">
              <w:rPr>
                <w:rFonts w:cs="Arial"/>
                <w:sz w:val="20"/>
                <w:szCs w:val="22"/>
              </w:rPr>
              <w:t>metabisulphite</w:t>
            </w:r>
            <w:proofErr w:type="spellEnd"/>
          </w:p>
        </w:tc>
        <w:tc>
          <w:tcPr>
            <w:tcW w:w="1418" w:type="dxa"/>
          </w:tcPr>
          <w:p w14:paraId="550977D8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7681-57-4</w:t>
            </w:r>
          </w:p>
        </w:tc>
        <w:tc>
          <w:tcPr>
            <w:tcW w:w="1134" w:type="dxa"/>
          </w:tcPr>
          <w:p w14:paraId="67476D9C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223</w:t>
            </w:r>
          </w:p>
        </w:tc>
        <w:tc>
          <w:tcPr>
            <w:tcW w:w="3119" w:type="dxa"/>
          </w:tcPr>
          <w:p w14:paraId="3A44F933" w14:textId="385FD5D4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 xml:space="preserve">0–0.7 mg/kg </w:t>
            </w:r>
            <w:proofErr w:type="spellStart"/>
            <w:r w:rsidRPr="00332366">
              <w:rPr>
                <w:rFonts w:cs="Arial"/>
                <w:sz w:val="20"/>
                <w:szCs w:val="22"/>
              </w:rPr>
              <w:t>bw</w:t>
            </w:r>
            <w:proofErr w:type="spellEnd"/>
            <w:r w:rsidR="00B5073C" w:rsidRPr="00332366">
              <w:rPr>
                <w:rFonts w:cs="Arial"/>
                <w:sz w:val="20"/>
                <w:szCs w:val="22"/>
              </w:rPr>
              <w:t xml:space="preserve"> </w:t>
            </w:r>
            <w:r w:rsidR="007A492C" w:rsidRPr="00332366">
              <w:rPr>
                <w:rFonts w:cs="Arial"/>
                <w:sz w:val="20"/>
                <w:szCs w:val="22"/>
                <w:vertAlign w:val="superscript"/>
              </w:rPr>
              <w:t>c</w:t>
            </w:r>
          </w:p>
        </w:tc>
      </w:tr>
      <w:tr w:rsidR="0022104E" w:rsidRPr="004F48B1" w14:paraId="23ABAA2B" w14:textId="77777777" w:rsidTr="006F77BB">
        <w:tc>
          <w:tcPr>
            <w:tcW w:w="3510" w:type="dxa"/>
          </w:tcPr>
          <w:p w14:paraId="701D64BB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Sodium bisulphite (sodium hydrogen sulphite)</w:t>
            </w:r>
          </w:p>
        </w:tc>
        <w:tc>
          <w:tcPr>
            <w:tcW w:w="1418" w:type="dxa"/>
          </w:tcPr>
          <w:p w14:paraId="32AE4B27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7631-90-5</w:t>
            </w:r>
          </w:p>
        </w:tc>
        <w:tc>
          <w:tcPr>
            <w:tcW w:w="1134" w:type="dxa"/>
          </w:tcPr>
          <w:p w14:paraId="6385F341" w14:textId="77777777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222</w:t>
            </w:r>
          </w:p>
        </w:tc>
        <w:tc>
          <w:tcPr>
            <w:tcW w:w="3119" w:type="dxa"/>
          </w:tcPr>
          <w:p w14:paraId="24D1E785" w14:textId="39FBB2A5" w:rsidR="0022104E" w:rsidRPr="00332366" w:rsidRDefault="0022104E" w:rsidP="00FC2AA8">
            <w:pPr>
              <w:keepNext/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 xml:space="preserve">0–0.7 mg/kg </w:t>
            </w:r>
            <w:proofErr w:type="spellStart"/>
            <w:r w:rsidRPr="00332366">
              <w:rPr>
                <w:rFonts w:cs="Arial"/>
                <w:sz w:val="20"/>
                <w:szCs w:val="22"/>
              </w:rPr>
              <w:t>bw</w:t>
            </w:r>
            <w:proofErr w:type="spellEnd"/>
            <w:r w:rsidR="00B5073C" w:rsidRPr="00332366">
              <w:rPr>
                <w:rFonts w:cs="Arial"/>
                <w:sz w:val="20"/>
                <w:szCs w:val="22"/>
              </w:rPr>
              <w:t xml:space="preserve"> </w:t>
            </w:r>
            <w:r w:rsidR="007A492C" w:rsidRPr="00332366">
              <w:rPr>
                <w:rFonts w:cs="Arial"/>
                <w:sz w:val="20"/>
                <w:szCs w:val="22"/>
                <w:vertAlign w:val="superscript"/>
              </w:rPr>
              <w:t>c</w:t>
            </w:r>
          </w:p>
        </w:tc>
      </w:tr>
    </w:tbl>
    <w:p w14:paraId="7B0AE7B2" w14:textId="5EE8E318" w:rsidR="0022104E" w:rsidRPr="00F50992" w:rsidRDefault="007A492C" w:rsidP="00FC2AA8">
      <w:pPr>
        <w:keepNext/>
        <w:spacing w:before="80" w:after="80"/>
        <w:rPr>
          <w:sz w:val="20"/>
          <w:szCs w:val="20"/>
          <w:lang w:eastAsia="en-AU" w:bidi="ar-SA"/>
        </w:rPr>
      </w:pPr>
      <w:proofErr w:type="spellStart"/>
      <w:proofErr w:type="gramStart"/>
      <w:r>
        <w:rPr>
          <w:sz w:val="20"/>
          <w:szCs w:val="20"/>
          <w:vertAlign w:val="superscript"/>
          <w:lang w:eastAsia="en-AU" w:bidi="ar-SA"/>
        </w:rPr>
        <w:t>a</w:t>
      </w:r>
      <w:proofErr w:type="spellEnd"/>
      <w:proofErr w:type="gramEnd"/>
      <w:r w:rsidR="0022104E" w:rsidRPr="00F50992">
        <w:rPr>
          <w:sz w:val="20"/>
          <w:szCs w:val="20"/>
          <w:lang w:eastAsia="en-AU" w:bidi="ar-SA"/>
        </w:rPr>
        <w:t xml:space="preserve"> International Numbering System for food additives.</w:t>
      </w:r>
    </w:p>
    <w:p w14:paraId="6C67A234" w14:textId="3B53203E" w:rsidR="0022104E" w:rsidRPr="00E15048" w:rsidRDefault="007A492C" w:rsidP="00FC2AA8">
      <w:pPr>
        <w:keepNext/>
        <w:spacing w:before="80" w:after="80"/>
        <w:rPr>
          <w:sz w:val="20"/>
          <w:szCs w:val="20"/>
          <w:lang w:eastAsia="en-AU" w:bidi="ar-SA"/>
        </w:rPr>
      </w:pPr>
      <w:r>
        <w:rPr>
          <w:sz w:val="20"/>
          <w:szCs w:val="20"/>
          <w:vertAlign w:val="superscript"/>
          <w:lang w:eastAsia="en-AU" w:bidi="ar-SA"/>
        </w:rPr>
        <w:t>b</w:t>
      </w:r>
      <w:r w:rsidR="0022104E" w:rsidRPr="00F50992">
        <w:rPr>
          <w:sz w:val="20"/>
          <w:szCs w:val="20"/>
          <w:lang w:eastAsia="en-AU" w:bidi="ar-SA"/>
        </w:rPr>
        <w:t xml:space="preserve"> </w:t>
      </w:r>
      <w:r w:rsidR="0022104E">
        <w:rPr>
          <w:sz w:val="20"/>
          <w:szCs w:val="20"/>
          <w:lang w:eastAsia="en-AU" w:bidi="ar-SA"/>
        </w:rPr>
        <w:t xml:space="preserve">JECFA currently uses the term “ADI </w:t>
      </w:r>
      <w:r w:rsidR="00CB1D1D">
        <w:rPr>
          <w:sz w:val="20"/>
          <w:szCs w:val="20"/>
          <w:lang w:eastAsia="en-AU" w:bidi="ar-SA"/>
        </w:rPr>
        <w:t>n</w:t>
      </w:r>
      <w:r w:rsidR="0022104E">
        <w:rPr>
          <w:sz w:val="20"/>
          <w:szCs w:val="20"/>
          <w:lang w:eastAsia="en-AU" w:bidi="ar-SA"/>
        </w:rPr>
        <w:t xml:space="preserve">ot </w:t>
      </w:r>
      <w:r w:rsidR="00CB1D1D">
        <w:rPr>
          <w:sz w:val="20"/>
          <w:szCs w:val="20"/>
          <w:lang w:eastAsia="en-AU" w:bidi="ar-SA"/>
        </w:rPr>
        <w:t>s</w:t>
      </w:r>
      <w:r w:rsidR="0022104E">
        <w:rPr>
          <w:sz w:val="20"/>
          <w:szCs w:val="20"/>
          <w:lang w:eastAsia="en-AU" w:bidi="ar-SA"/>
        </w:rPr>
        <w:t>pecified” if t</w:t>
      </w:r>
      <w:r w:rsidR="0022104E" w:rsidRPr="002D5AD8">
        <w:rPr>
          <w:sz w:val="20"/>
          <w:szCs w:val="20"/>
          <w:lang w:eastAsia="en-AU" w:bidi="ar-SA"/>
        </w:rPr>
        <w:t>he total daily</w:t>
      </w:r>
      <w:r w:rsidR="0022104E">
        <w:rPr>
          <w:sz w:val="20"/>
          <w:szCs w:val="20"/>
          <w:lang w:eastAsia="en-AU" w:bidi="ar-SA"/>
        </w:rPr>
        <w:t xml:space="preserve"> </w:t>
      </w:r>
      <w:r w:rsidR="0022104E" w:rsidRPr="002D5AD8">
        <w:rPr>
          <w:sz w:val="20"/>
          <w:szCs w:val="20"/>
          <w:lang w:eastAsia="en-AU" w:bidi="ar-SA"/>
        </w:rPr>
        <w:t>intake of the substance arising from its use at levels necessary to</w:t>
      </w:r>
      <w:r w:rsidR="0022104E">
        <w:rPr>
          <w:sz w:val="20"/>
          <w:szCs w:val="20"/>
          <w:lang w:eastAsia="en-AU" w:bidi="ar-SA"/>
        </w:rPr>
        <w:t xml:space="preserve"> </w:t>
      </w:r>
      <w:r w:rsidR="0022104E" w:rsidRPr="002D5AD8">
        <w:rPr>
          <w:sz w:val="20"/>
          <w:szCs w:val="20"/>
          <w:lang w:eastAsia="en-AU" w:bidi="ar-SA"/>
        </w:rPr>
        <w:t xml:space="preserve">achieve </w:t>
      </w:r>
      <w:r w:rsidR="0022104E">
        <w:rPr>
          <w:sz w:val="20"/>
          <w:szCs w:val="20"/>
          <w:lang w:eastAsia="en-AU" w:bidi="ar-SA"/>
        </w:rPr>
        <w:t xml:space="preserve">the desired effect, and from </w:t>
      </w:r>
      <w:r w:rsidR="0022104E" w:rsidRPr="002D5AD8">
        <w:rPr>
          <w:sz w:val="20"/>
          <w:szCs w:val="20"/>
          <w:lang w:eastAsia="en-AU" w:bidi="ar-SA"/>
        </w:rPr>
        <w:t xml:space="preserve">acceptable background </w:t>
      </w:r>
      <w:r w:rsidR="0022104E">
        <w:rPr>
          <w:sz w:val="20"/>
          <w:szCs w:val="20"/>
          <w:lang w:eastAsia="en-AU" w:bidi="ar-SA"/>
        </w:rPr>
        <w:t xml:space="preserve">levels </w:t>
      </w:r>
      <w:r w:rsidR="0022104E" w:rsidRPr="002D5AD8">
        <w:rPr>
          <w:sz w:val="20"/>
          <w:szCs w:val="20"/>
          <w:lang w:eastAsia="en-AU" w:bidi="ar-SA"/>
        </w:rPr>
        <w:t>in food</w:t>
      </w:r>
      <w:r w:rsidR="0022104E">
        <w:rPr>
          <w:sz w:val="20"/>
          <w:szCs w:val="20"/>
          <w:lang w:eastAsia="en-AU" w:bidi="ar-SA"/>
        </w:rPr>
        <w:t xml:space="preserve">, </w:t>
      </w:r>
      <w:r w:rsidR="0022104E" w:rsidRPr="002D5AD8">
        <w:rPr>
          <w:sz w:val="20"/>
          <w:szCs w:val="20"/>
          <w:lang w:eastAsia="en-AU" w:bidi="ar-SA"/>
        </w:rPr>
        <w:t>does not represent a hazard to health.</w:t>
      </w:r>
      <w:r w:rsidR="0022104E">
        <w:rPr>
          <w:sz w:val="20"/>
          <w:szCs w:val="20"/>
          <w:lang w:eastAsia="en-AU" w:bidi="ar-SA"/>
        </w:rPr>
        <w:t xml:space="preserve"> T</w:t>
      </w:r>
      <w:r w:rsidR="0022104E" w:rsidRPr="002D5AD8">
        <w:rPr>
          <w:sz w:val="20"/>
          <w:szCs w:val="20"/>
          <w:lang w:eastAsia="en-AU" w:bidi="ar-SA"/>
        </w:rPr>
        <w:t xml:space="preserve">he establishment of an ADI in numerical form </w:t>
      </w:r>
      <w:r w:rsidR="0022104E" w:rsidRPr="00E15048">
        <w:rPr>
          <w:sz w:val="20"/>
          <w:szCs w:val="20"/>
          <w:lang w:eastAsia="en-AU" w:bidi="ar-SA"/>
        </w:rPr>
        <w:t>is therefore not deemed necessary (FAO/WHO 2011). The equivalent term “</w:t>
      </w:r>
      <w:r w:rsidR="00CB1D1D">
        <w:rPr>
          <w:sz w:val="20"/>
          <w:szCs w:val="20"/>
          <w:lang w:eastAsia="en-AU" w:bidi="ar-SA"/>
        </w:rPr>
        <w:t>ADI not l</w:t>
      </w:r>
      <w:r w:rsidR="0022104E" w:rsidRPr="00E15048">
        <w:rPr>
          <w:sz w:val="20"/>
          <w:szCs w:val="20"/>
          <w:lang w:eastAsia="en-AU" w:bidi="ar-SA"/>
        </w:rPr>
        <w:t>imited” was previously used by JECFA.</w:t>
      </w:r>
    </w:p>
    <w:p w14:paraId="5EC69F8C" w14:textId="6A754FDC" w:rsidR="0022104E" w:rsidRPr="00E15048" w:rsidRDefault="007A492C" w:rsidP="00FC2AA8">
      <w:pPr>
        <w:keepNext/>
        <w:spacing w:before="80" w:after="80"/>
        <w:rPr>
          <w:sz w:val="20"/>
          <w:szCs w:val="20"/>
          <w:lang w:eastAsia="en-AU" w:bidi="ar-SA"/>
        </w:rPr>
      </w:pPr>
      <w:proofErr w:type="gramStart"/>
      <w:r>
        <w:rPr>
          <w:sz w:val="20"/>
          <w:szCs w:val="20"/>
          <w:vertAlign w:val="superscript"/>
          <w:lang w:eastAsia="en-AU" w:bidi="ar-SA"/>
        </w:rPr>
        <w:t>c</w:t>
      </w:r>
      <w:proofErr w:type="gramEnd"/>
      <w:r w:rsidR="0022104E" w:rsidRPr="00E15048">
        <w:rPr>
          <w:sz w:val="20"/>
          <w:szCs w:val="20"/>
          <w:lang w:eastAsia="en-AU" w:bidi="ar-SA"/>
        </w:rPr>
        <w:t xml:space="preserve"> </w:t>
      </w:r>
      <w:r w:rsidR="0022104E">
        <w:rPr>
          <w:sz w:val="20"/>
          <w:szCs w:val="20"/>
          <w:lang w:eastAsia="en-AU" w:bidi="ar-SA"/>
        </w:rPr>
        <w:t>Group ADI, expressed as sulph</w:t>
      </w:r>
      <w:r w:rsidR="0022104E" w:rsidRPr="00E15048">
        <w:rPr>
          <w:sz w:val="20"/>
          <w:szCs w:val="20"/>
          <w:lang w:eastAsia="en-AU" w:bidi="ar-SA"/>
        </w:rPr>
        <w:t>ur di</w:t>
      </w:r>
      <w:r w:rsidR="0022104E">
        <w:rPr>
          <w:sz w:val="20"/>
          <w:szCs w:val="20"/>
          <w:lang w:eastAsia="en-AU" w:bidi="ar-SA"/>
        </w:rPr>
        <w:t xml:space="preserve">oxide, for calcium hydrogen sulphite, calcium </w:t>
      </w:r>
      <w:proofErr w:type="spellStart"/>
      <w:r w:rsidR="0022104E">
        <w:rPr>
          <w:sz w:val="20"/>
          <w:szCs w:val="20"/>
          <w:lang w:eastAsia="en-AU" w:bidi="ar-SA"/>
        </w:rPr>
        <w:t>metabisulphite</w:t>
      </w:r>
      <w:proofErr w:type="spellEnd"/>
      <w:r w:rsidR="0022104E">
        <w:rPr>
          <w:sz w:val="20"/>
          <w:szCs w:val="20"/>
          <w:lang w:eastAsia="en-AU" w:bidi="ar-SA"/>
        </w:rPr>
        <w:t xml:space="preserve">, calcium sulphite, potassium hydrogen sulphite, potassium </w:t>
      </w:r>
      <w:proofErr w:type="spellStart"/>
      <w:r w:rsidR="0022104E">
        <w:rPr>
          <w:sz w:val="20"/>
          <w:szCs w:val="20"/>
          <w:lang w:eastAsia="en-AU" w:bidi="ar-SA"/>
        </w:rPr>
        <w:t>metabisulphite</w:t>
      </w:r>
      <w:proofErr w:type="spellEnd"/>
      <w:r w:rsidR="0022104E">
        <w:rPr>
          <w:sz w:val="20"/>
          <w:szCs w:val="20"/>
          <w:lang w:eastAsia="en-AU" w:bidi="ar-SA"/>
        </w:rPr>
        <w:t xml:space="preserve">, potassium sulphite, sodium hydrogen sulphite, sodium </w:t>
      </w:r>
      <w:proofErr w:type="spellStart"/>
      <w:r w:rsidR="0022104E">
        <w:rPr>
          <w:sz w:val="20"/>
          <w:szCs w:val="20"/>
          <w:lang w:eastAsia="en-AU" w:bidi="ar-SA"/>
        </w:rPr>
        <w:t>metabisulphite</w:t>
      </w:r>
      <w:proofErr w:type="spellEnd"/>
      <w:r w:rsidR="0022104E">
        <w:rPr>
          <w:sz w:val="20"/>
          <w:szCs w:val="20"/>
          <w:lang w:eastAsia="en-AU" w:bidi="ar-SA"/>
        </w:rPr>
        <w:t>, sodium sulph</w:t>
      </w:r>
      <w:r w:rsidR="0022104E" w:rsidRPr="00E15048">
        <w:rPr>
          <w:sz w:val="20"/>
          <w:szCs w:val="20"/>
          <w:lang w:eastAsia="en-AU" w:bidi="ar-SA"/>
        </w:rPr>
        <w:t>ite, sodium</w:t>
      </w:r>
      <w:r w:rsidR="0022104E">
        <w:rPr>
          <w:sz w:val="20"/>
          <w:szCs w:val="20"/>
          <w:lang w:eastAsia="en-AU" w:bidi="ar-SA"/>
        </w:rPr>
        <w:t xml:space="preserve"> </w:t>
      </w:r>
      <w:proofErr w:type="spellStart"/>
      <w:r w:rsidR="0022104E">
        <w:rPr>
          <w:sz w:val="20"/>
          <w:szCs w:val="20"/>
          <w:lang w:eastAsia="en-AU" w:bidi="ar-SA"/>
        </w:rPr>
        <w:t>thiosulphate</w:t>
      </w:r>
      <w:proofErr w:type="spellEnd"/>
      <w:r w:rsidR="0022104E">
        <w:rPr>
          <w:sz w:val="20"/>
          <w:szCs w:val="20"/>
          <w:lang w:eastAsia="en-AU" w:bidi="ar-SA"/>
        </w:rPr>
        <w:t>, and sulph</w:t>
      </w:r>
      <w:r w:rsidR="0022104E" w:rsidRPr="00E15048">
        <w:rPr>
          <w:sz w:val="20"/>
          <w:szCs w:val="20"/>
          <w:lang w:eastAsia="en-AU" w:bidi="ar-SA"/>
        </w:rPr>
        <w:t>ur dioxide</w:t>
      </w:r>
      <w:r w:rsidR="0022104E">
        <w:rPr>
          <w:sz w:val="20"/>
          <w:szCs w:val="20"/>
          <w:lang w:eastAsia="en-AU" w:bidi="ar-SA"/>
        </w:rPr>
        <w:t>.</w:t>
      </w:r>
    </w:p>
    <w:p w14:paraId="6F10274A" w14:textId="77777777" w:rsidR="0022104E" w:rsidRDefault="0022104E" w:rsidP="0022104E">
      <w:pPr>
        <w:spacing w:before="80" w:after="80"/>
        <w:rPr>
          <w:sz w:val="20"/>
          <w:szCs w:val="20"/>
          <w:vertAlign w:val="superscript"/>
          <w:lang w:eastAsia="en-AU" w:bidi="ar-SA"/>
        </w:rPr>
      </w:pPr>
    </w:p>
    <w:p w14:paraId="63446C24" w14:textId="32233DA1" w:rsidR="005936CE" w:rsidRPr="005936CE" w:rsidRDefault="005936CE" w:rsidP="005936CE">
      <w:pPr>
        <w:spacing w:before="80" w:after="80"/>
        <w:rPr>
          <w:bCs/>
        </w:rPr>
      </w:pPr>
      <w:r w:rsidRPr="005936CE">
        <w:rPr>
          <w:bCs/>
        </w:rPr>
        <w:t xml:space="preserve">The Application also indicated that trace amounts of soluble agarose fragments </w:t>
      </w:r>
      <w:r>
        <w:rPr>
          <w:bCs/>
        </w:rPr>
        <w:t xml:space="preserve">could be present in food processed </w:t>
      </w:r>
      <w:r w:rsidR="00A7655F">
        <w:rPr>
          <w:bCs/>
        </w:rPr>
        <w:t>using</w:t>
      </w:r>
      <w:r>
        <w:rPr>
          <w:bCs/>
        </w:rPr>
        <w:t xml:space="preserve"> the ion</w:t>
      </w:r>
      <w:r w:rsidR="00AE78EB">
        <w:rPr>
          <w:bCs/>
        </w:rPr>
        <w:t xml:space="preserve"> </w:t>
      </w:r>
      <w:r>
        <w:rPr>
          <w:bCs/>
        </w:rPr>
        <w:t>exchange resin.</w:t>
      </w:r>
      <w:r w:rsidR="00A7655F">
        <w:rPr>
          <w:bCs/>
        </w:rPr>
        <w:t xml:space="preserve"> JECFA has assigned an ADI </w:t>
      </w:r>
      <w:r w:rsidR="00A74D30">
        <w:rPr>
          <w:bCs/>
        </w:rPr>
        <w:t>“</w:t>
      </w:r>
      <w:r w:rsidR="00A7655F">
        <w:rPr>
          <w:bCs/>
        </w:rPr>
        <w:t>not limited</w:t>
      </w:r>
      <w:r w:rsidR="00A74D30">
        <w:rPr>
          <w:bCs/>
        </w:rPr>
        <w:t>”</w:t>
      </w:r>
      <w:r w:rsidR="00A7655F">
        <w:rPr>
          <w:bCs/>
        </w:rPr>
        <w:t xml:space="preserve"> for agar (INS no. 406), of which agarose is </w:t>
      </w:r>
      <w:r w:rsidR="00A358A8">
        <w:rPr>
          <w:bCs/>
        </w:rPr>
        <w:t xml:space="preserve">a major </w:t>
      </w:r>
      <w:r w:rsidR="00A7655F">
        <w:rPr>
          <w:bCs/>
        </w:rPr>
        <w:t>component.</w:t>
      </w:r>
    </w:p>
    <w:p w14:paraId="362589EF" w14:textId="77777777" w:rsidR="00482766" w:rsidRDefault="00482766" w:rsidP="00CB1D1D">
      <w:pPr>
        <w:pStyle w:val="Heading3"/>
      </w:pPr>
      <w:bookmarkStart w:id="54" w:name="_Toc442966866"/>
      <w:bookmarkStart w:id="55" w:name="_Toc442967396"/>
      <w:r>
        <w:br w:type="page"/>
      </w:r>
    </w:p>
    <w:p w14:paraId="59C03D4A" w14:textId="1354C566" w:rsidR="0022104E" w:rsidRPr="00CB1D1D" w:rsidRDefault="00764ACA" w:rsidP="00CB1D1D">
      <w:pPr>
        <w:pStyle w:val="Heading3"/>
        <w:rPr>
          <w:szCs w:val="22"/>
        </w:rPr>
      </w:pPr>
      <w:r>
        <w:lastRenderedPageBreak/>
        <w:t>3.</w:t>
      </w:r>
      <w:r w:rsidR="004C30C8">
        <w:rPr>
          <w:szCs w:val="22"/>
        </w:rPr>
        <w:t>2.2</w:t>
      </w:r>
      <w:r w:rsidR="004C30C8">
        <w:rPr>
          <w:szCs w:val="22"/>
        </w:rPr>
        <w:tab/>
      </w:r>
      <w:r w:rsidRPr="00CB1D1D">
        <w:rPr>
          <w:szCs w:val="22"/>
        </w:rPr>
        <w:t>Contaminants</w:t>
      </w:r>
      <w:bookmarkEnd w:id="54"/>
      <w:bookmarkEnd w:id="55"/>
    </w:p>
    <w:p w14:paraId="52676906" w14:textId="1BF55AC6" w:rsidR="006F77BB" w:rsidRPr="00CB1D1D" w:rsidRDefault="00CB1D1D" w:rsidP="006F77BB">
      <w:pPr>
        <w:spacing w:before="80" w:after="80"/>
        <w:rPr>
          <w:szCs w:val="22"/>
          <w:vertAlign w:val="superscript"/>
          <w:lang w:eastAsia="en-AU" w:bidi="ar-SA"/>
        </w:rPr>
      </w:pPr>
      <w:r w:rsidRPr="00CB1D1D">
        <w:rPr>
          <w:szCs w:val="22"/>
          <w:lang w:eastAsia="en-AU" w:bidi="ar-SA"/>
        </w:rPr>
        <w:t>3-Chloro-1</w:t>
      </w:r>
      <w:proofErr w:type="gramStart"/>
      <w:r w:rsidRPr="00CB1D1D">
        <w:rPr>
          <w:szCs w:val="22"/>
          <w:lang w:eastAsia="en-AU" w:bidi="ar-SA"/>
        </w:rPr>
        <w:t>,2</w:t>
      </w:r>
      <w:proofErr w:type="gramEnd"/>
      <w:r w:rsidRPr="00CB1D1D">
        <w:rPr>
          <w:szCs w:val="22"/>
          <w:lang w:eastAsia="en-AU" w:bidi="ar-SA"/>
        </w:rPr>
        <w:t>-propane</w:t>
      </w:r>
      <w:r w:rsidR="006F77BB">
        <w:rPr>
          <w:szCs w:val="22"/>
          <w:lang w:eastAsia="en-AU" w:bidi="ar-SA"/>
        </w:rPr>
        <w:t xml:space="preserve">diol (CAS no. </w:t>
      </w:r>
      <w:r w:rsidR="001C5760">
        <w:rPr>
          <w:szCs w:val="22"/>
          <w:lang w:eastAsia="en-AU" w:bidi="ar-SA"/>
        </w:rPr>
        <w:t>96-24-2</w:t>
      </w:r>
      <w:r w:rsidR="006F77BB">
        <w:rPr>
          <w:szCs w:val="22"/>
          <w:lang w:eastAsia="en-AU" w:bidi="ar-SA"/>
        </w:rPr>
        <w:t>) is a resin</w:t>
      </w:r>
      <w:r w:rsidR="00BD0B50">
        <w:rPr>
          <w:szCs w:val="22"/>
          <w:lang w:eastAsia="en-AU" w:bidi="ar-SA"/>
        </w:rPr>
        <w:t xml:space="preserve"> impurity</w:t>
      </w:r>
      <w:r w:rsidR="006F77BB">
        <w:rPr>
          <w:szCs w:val="22"/>
          <w:lang w:eastAsia="en-AU" w:bidi="ar-SA"/>
        </w:rPr>
        <w:t xml:space="preserve"> that has been assessed as a food contaminant by JECFA. JECFA established</w:t>
      </w:r>
      <w:r w:rsidR="00BD0B50">
        <w:rPr>
          <w:szCs w:val="22"/>
          <w:lang w:eastAsia="en-AU" w:bidi="ar-SA"/>
        </w:rPr>
        <w:t xml:space="preserve"> </w:t>
      </w:r>
      <w:r w:rsidR="006F77BB">
        <w:rPr>
          <w:szCs w:val="22"/>
          <w:lang w:eastAsia="en-AU" w:bidi="ar-SA"/>
        </w:rPr>
        <w:t xml:space="preserve">a </w:t>
      </w:r>
      <w:r w:rsidR="006F77BB" w:rsidRPr="00CB1D1D">
        <w:rPr>
          <w:szCs w:val="22"/>
          <w:lang w:eastAsia="en-AU" w:bidi="ar-SA"/>
        </w:rPr>
        <w:t>Provisional Maximum Tolerable Daily Intake (PMTDI)</w:t>
      </w:r>
      <w:r w:rsidR="006F77BB">
        <w:rPr>
          <w:szCs w:val="22"/>
          <w:lang w:eastAsia="en-AU" w:bidi="ar-SA"/>
        </w:rPr>
        <w:t xml:space="preserve"> for 3-c</w:t>
      </w:r>
      <w:r w:rsidR="006F77BB" w:rsidRPr="006F77BB">
        <w:rPr>
          <w:szCs w:val="22"/>
          <w:lang w:eastAsia="en-AU" w:bidi="ar-SA"/>
        </w:rPr>
        <w:t>hloro-1</w:t>
      </w:r>
      <w:proofErr w:type="gramStart"/>
      <w:r w:rsidR="006F77BB" w:rsidRPr="006F77BB">
        <w:rPr>
          <w:szCs w:val="22"/>
          <w:lang w:eastAsia="en-AU" w:bidi="ar-SA"/>
        </w:rPr>
        <w:t>,2</w:t>
      </w:r>
      <w:proofErr w:type="gramEnd"/>
      <w:r w:rsidR="006F77BB" w:rsidRPr="006F77BB">
        <w:rPr>
          <w:szCs w:val="22"/>
          <w:lang w:eastAsia="en-AU" w:bidi="ar-SA"/>
        </w:rPr>
        <w:t>-propanediol</w:t>
      </w:r>
      <w:r w:rsidR="006F77BB">
        <w:rPr>
          <w:szCs w:val="22"/>
          <w:lang w:eastAsia="en-AU" w:bidi="ar-SA"/>
        </w:rPr>
        <w:t xml:space="preserve"> of 2 µg/kg </w:t>
      </w:r>
      <w:proofErr w:type="spellStart"/>
      <w:r w:rsidR="006F77BB">
        <w:rPr>
          <w:szCs w:val="22"/>
          <w:lang w:eastAsia="en-AU" w:bidi="ar-SA"/>
        </w:rPr>
        <w:t>bw</w:t>
      </w:r>
      <w:proofErr w:type="spellEnd"/>
      <w:r w:rsidR="006F77BB">
        <w:rPr>
          <w:szCs w:val="22"/>
          <w:lang w:eastAsia="en-AU" w:bidi="ar-SA"/>
        </w:rPr>
        <w:t>.</w:t>
      </w:r>
      <w:r w:rsidR="006F77BB" w:rsidRPr="006F77BB">
        <w:t xml:space="preserve"> </w:t>
      </w:r>
      <w:r w:rsidR="006F77BB">
        <w:rPr>
          <w:szCs w:val="22"/>
          <w:lang w:eastAsia="en-AU" w:bidi="ar-SA"/>
        </w:rPr>
        <w:t>The</w:t>
      </w:r>
      <w:r w:rsidR="006F77BB" w:rsidRPr="006F77BB">
        <w:rPr>
          <w:szCs w:val="22"/>
          <w:lang w:eastAsia="en-AU" w:bidi="ar-SA"/>
        </w:rPr>
        <w:t xml:space="preserve"> PMTDI was established based on a </w:t>
      </w:r>
      <w:r w:rsidR="006F77BB">
        <w:rPr>
          <w:szCs w:val="22"/>
          <w:lang w:eastAsia="en-AU" w:bidi="ar-SA"/>
        </w:rPr>
        <w:t>lowest observed effect level (</w:t>
      </w:r>
      <w:r w:rsidR="006F77BB" w:rsidRPr="006F77BB">
        <w:rPr>
          <w:szCs w:val="22"/>
          <w:lang w:eastAsia="en-AU" w:bidi="ar-SA"/>
        </w:rPr>
        <w:t>LOEL</w:t>
      </w:r>
      <w:r w:rsidR="006F77BB">
        <w:rPr>
          <w:szCs w:val="22"/>
          <w:lang w:eastAsia="en-AU" w:bidi="ar-SA"/>
        </w:rPr>
        <w:t>)</w:t>
      </w:r>
      <w:r w:rsidR="006F77BB" w:rsidRPr="006F77BB">
        <w:rPr>
          <w:szCs w:val="22"/>
          <w:lang w:eastAsia="en-AU" w:bidi="ar-SA"/>
        </w:rPr>
        <w:t xml:space="preserve"> of 1.1 mg/kg </w:t>
      </w:r>
      <w:proofErr w:type="spellStart"/>
      <w:r w:rsidR="006F77BB" w:rsidRPr="006F77BB">
        <w:rPr>
          <w:szCs w:val="22"/>
          <w:lang w:eastAsia="en-AU" w:bidi="ar-SA"/>
        </w:rPr>
        <w:t>bw</w:t>
      </w:r>
      <w:proofErr w:type="spellEnd"/>
      <w:r w:rsidR="006F77BB" w:rsidRPr="006F77BB">
        <w:rPr>
          <w:szCs w:val="22"/>
          <w:lang w:eastAsia="en-AU" w:bidi="ar-SA"/>
        </w:rPr>
        <w:t>/d</w:t>
      </w:r>
      <w:r w:rsidR="00B86A26">
        <w:rPr>
          <w:szCs w:val="22"/>
          <w:lang w:eastAsia="en-AU" w:bidi="ar-SA"/>
        </w:rPr>
        <w:t>ay</w:t>
      </w:r>
      <w:r w:rsidR="006F77BB" w:rsidRPr="006F77BB">
        <w:rPr>
          <w:szCs w:val="22"/>
          <w:lang w:eastAsia="en-AU" w:bidi="ar-SA"/>
        </w:rPr>
        <w:t xml:space="preserve"> from a carci</w:t>
      </w:r>
      <w:r w:rsidR="006F77BB">
        <w:rPr>
          <w:szCs w:val="22"/>
          <w:lang w:eastAsia="en-AU" w:bidi="ar-SA"/>
        </w:rPr>
        <w:t xml:space="preserve">nogenicity study in </w:t>
      </w:r>
      <w:r w:rsidR="006F77BB" w:rsidRPr="006F77BB">
        <w:rPr>
          <w:szCs w:val="22"/>
          <w:lang w:eastAsia="en-AU" w:bidi="ar-SA"/>
        </w:rPr>
        <w:t xml:space="preserve">rats and </w:t>
      </w:r>
      <w:r w:rsidR="00B86A26">
        <w:rPr>
          <w:szCs w:val="22"/>
          <w:lang w:eastAsia="en-AU" w:bidi="ar-SA"/>
        </w:rPr>
        <w:t>application of a safety factor of 500 (WHO 2007).</w:t>
      </w:r>
    </w:p>
    <w:p w14:paraId="7414E81F" w14:textId="74362D85" w:rsidR="00830279" w:rsidRDefault="00764ACA" w:rsidP="00830279">
      <w:pPr>
        <w:pStyle w:val="Heading3"/>
      </w:pPr>
      <w:bookmarkStart w:id="56" w:name="_Toc442966867"/>
      <w:bookmarkStart w:id="57" w:name="_Toc442967397"/>
      <w:r>
        <w:t>3.2.3</w:t>
      </w:r>
      <w:r>
        <w:tab/>
        <w:t>Extraction solvents</w:t>
      </w:r>
      <w:bookmarkEnd w:id="56"/>
      <w:bookmarkEnd w:id="57"/>
    </w:p>
    <w:p w14:paraId="30E0CD16" w14:textId="4F7F3856" w:rsidR="00CB1D1D" w:rsidRDefault="00CB1D1D" w:rsidP="00CB1D1D">
      <w:pPr>
        <w:rPr>
          <w:szCs w:val="22"/>
        </w:rPr>
      </w:pPr>
      <w:r>
        <w:rPr>
          <w:szCs w:val="22"/>
        </w:rPr>
        <w:t>T</w:t>
      </w:r>
      <w:r w:rsidRPr="00764ACA">
        <w:rPr>
          <w:szCs w:val="22"/>
        </w:rPr>
        <w:t xml:space="preserve">wo </w:t>
      </w:r>
      <w:r>
        <w:rPr>
          <w:szCs w:val="22"/>
        </w:rPr>
        <w:t>resin</w:t>
      </w:r>
      <w:r w:rsidR="00BD0B50">
        <w:rPr>
          <w:szCs w:val="22"/>
        </w:rPr>
        <w:t xml:space="preserve"> impurities</w:t>
      </w:r>
      <w:r w:rsidR="00EB626B">
        <w:rPr>
          <w:szCs w:val="22"/>
        </w:rPr>
        <w:t>, ethanol and toluen</w:t>
      </w:r>
      <w:r w:rsidR="00092AD4">
        <w:rPr>
          <w:szCs w:val="22"/>
        </w:rPr>
        <w:t>e,</w:t>
      </w:r>
      <w:r w:rsidRPr="00764ACA">
        <w:rPr>
          <w:szCs w:val="22"/>
        </w:rPr>
        <w:t xml:space="preserve"> have been assessed</w:t>
      </w:r>
      <w:r w:rsidR="00EB626B">
        <w:rPr>
          <w:szCs w:val="22"/>
        </w:rPr>
        <w:t xml:space="preserve"> by JECFA for use as </w:t>
      </w:r>
      <w:r w:rsidRPr="00764ACA">
        <w:rPr>
          <w:szCs w:val="22"/>
        </w:rPr>
        <w:t>solvents</w:t>
      </w:r>
      <w:r w:rsidR="00EB626B">
        <w:rPr>
          <w:szCs w:val="22"/>
        </w:rPr>
        <w:t xml:space="preserve"> in food processing applications</w:t>
      </w:r>
      <w:r w:rsidRPr="00764ACA">
        <w:rPr>
          <w:szCs w:val="22"/>
        </w:rPr>
        <w:t>.</w:t>
      </w:r>
      <w:r>
        <w:rPr>
          <w:szCs w:val="22"/>
        </w:rPr>
        <w:t xml:space="preserve"> </w:t>
      </w:r>
      <w:r w:rsidRPr="00CB1D1D">
        <w:rPr>
          <w:szCs w:val="22"/>
        </w:rPr>
        <w:t xml:space="preserve">JECFA concluded that residues of toluene </w:t>
      </w:r>
      <w:r w:rsidR="00092AD4">
        <w:rPr>
          <w:szCs w:val="22"/>
        </w:rPr>
        <w:t>and ethanol occurring in food when these</w:t>
      </w:r>
      <w:r w:rsidRPr="00CB1D1D">
        <w:rPr>
          <w:szCs w:val="22"/>
        </w:rPr>
        <w:t xml:space="preserve"> solvent</w:t>
      </w:r>
      <w:r w:rsidR="00092AD4">
        <w:rPr>
          <w:szCs w:val="22"/>
        </w:rPr>
        <w:t>s are</w:t>
      </w:r>
      <w:r w:rsidRPr="00CB1D1D">
        <w:rPr>
          <w:szCs w:val="22"/>
        </w:rPr>
        <w:t xml:space="preserve"> used in accordance with good manufacturing practice </w:t>
      </w:r>
      <w:r w:rsidR="00092AD4">
        <w:rPr>
          <w:szCs w:val="22"/>
        </w:rPr>
        <w:t xml:space="preserve">(GMP) </w:t>
      </w:r>
      <w:r w:rsidRPr="00CB1D1D">
        <w:rPr>
          <w:szCs w:val="22"/>
        </w:rPr>
        <w:t xml:space="preserve">would not pose any </w:t>
      </w:r>
      <w:r w:rsidR="00092AD4">
        <w:rPr>
          <w:szCs w:val="22"/>
        </w:rPr>
        <w:t>safety</w:t>
      </w:r>
      <w:r w:rsidRPr="00CB1D1D">
        <w:rPr>
          <w:szCs w:val="22"/>
        </w:rPr>
        <w:t xml:space="preserve"> concerns</w:t>
      </w:r>
      <w:r w:rsidR="00EB626B">
        <w:rPr>
          <w:szCs w:val="22"/>
        </w:rPr>
        <w:t xml:space="preserve"> (WHO 1971; WHO </w:t>
      </w:r>
      <w:r w:rsidR="00E67CD1">
        <w:rPr>
          <w:szCs w:val="22"/>
        </w:rPr>
        <w:t>1981).</w:t>
      </w:r>
    </w:p>
    <w:p w14:paraId="6829F744" w14:textId="7082B831" w:rsidR="00830279" w:rsidRDefault="00830279" w:rsidP="00A62BE1">
      <w:pPr>
        <w:pStyle w:val="Heading2"/>
      </w:pPr>
      <w:bookmarkStart w:id="58" w:name="_Toc436304367"/>
      <w:bookmarkStart w:id="59" w:name="_Toc442966868"/>
      <w:bookmarkStart w:id="60" w:name="_Toc442967398"/>
      <w:r>
        <w:t>3.3</w:t>
      </w:r>
      <w:r>
        <w:tab/>
      </w:r>
      <w:r w:rsidR="008C2422">
        <w:t>Other resin</w:t>
      </w:r>
      <w:bookmarkEnd w:id="58"/>
      <w:r w:rsidR="00AC655D">
        <w:t xml:space="preserve"> impurities</w:t>
      </w:r>
      <w:bookmarkEnd w:id="59"/>
      <w:bookmarkEnd w:id="60"/>
    </w:p>
    <w:p w14:paraId="2C1DA784" w14:textId="7347AFDA" w:rsidR="00060C82" w:rsidRDefault="00592FAE" w:rsidP="008C2422">
      <w:r>
        <w:t xml:space="preserve">The Application provided </w:t>
      </w:r>
      <w:r w:rsidR="00FB1157">
        <w:t xml:space="preserve">hazard </w:t>
      </w:r>
      <w:r w:rsidR="00EB396A">
        <w:t>information</w:t>
      </w:r>
      <w:r>
        <w:t xml:space="preserve"> on </w:t>
      </w:r>
      <w:r w:rsidR="00AE78EB">
        <w:t xml:space="preserve">six </w:t>
      </w:r>
      <w:r>
        <w:t>add</w:t>
      </w:r>
      <w:r w:rsidR="00BD0B50">
        <w:t>itional resin impurities</w:t>
      </w:r>
      <w:r>
        <w:t xml:space="preserve"> that may be present in food processed using the ion</w:t>
      </w:r>
      <w:r w:rsidR="00AE78EB">
        <w:t xml:space="preserve"> </w:t>
      </w:r>
      <w:r>
        <w:t>exchange resin (Table 2).</w:t>
      </w:r>
    </w:p>
    <w:p w14:paraId="6A4048DB" w14:textId="77777777" w:rsidR="00592FAE" w:rsidRDefault="00592FAE" w:rsidP="008C2422"/>
    <w:p w14:paraId="66892091" w14:textId="3F0EE1A1" w:rsidR="00592FAE" w:rsidRDefault="00592FAE" w:rsidP="00FC2AA8">
      <w:pPr>
        <w:keepNext/>
        <w:rPr>
          <w:b/>
          <w:lang w:bidi="ar-SA"/>
        </w:rPr>
      </w:pPr>
      <w:r>
        <w:rPr>
          <w:b/>
          <w:lang w:bidi="ar-SA"/>
        </w:rPr>
        <w:t>Table 2</w:t>
      </w:r>
      <w:r w:rsidR="00AC655D">
        <w:rPr>
          <w:b/>
          <w:lang w:bidi="ar-SA"/>
        </w:rPr>
        <w:t>: Resin impurities</w:t>
      </w:r>
      <w:r w:rsidRPr="0022104E">
        <w:rPr>
          <w:b/>
          <w:lang w:bidi="ar-SA"/>
        </w:rPr>
        <w:t xml:space="preserve"> that have </w:t>
      </w:r>
      <w:r>
        <w:rPr>
          <w:b/>
          <w:lang w:bidi="ar-SA"/>
        </w:rPr>
        <w:t>not been</w:t>
      </w:r>
      <w:r w:rsidRPr="0022104E">
        <w:rPr>
          <w:b/>
          <w:lang w:bidi="ar-SA"/>
        </w:rPr>
        <w:t xml:space="preserve"> assessed by JECFA</w:t>
      </w:r>
    </w:p>
    <w:p w14:paraId="465BAF17" w14:textId="77777777" w:rsidR="000165F5" w:rsidRPr="00FC2AA8" w:rsidRDefault="000165F5" w:rsidP="0048276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2268"/>
      </w:tblGrid>
      <w:tr w:rsidR="00592FAE" w:rsidRPr="004F48B1" w14:paraId="0D17B6F6" w14:textId="77777777" w:rsidTr="00592FAE">
        <w:tc>
          <w:tcPr>
            <w:tcW w:w="4361" w:type="dxa"/>
          </w:tcPr>
          <w:p w14:paraId="63E35D58" w14:textId="77777777" w:rsidR="00592FAE" w:rsidRPr="00332366" w:rsidRDefault="00592FAE" w:rsidP="00482766">
            <w:pPr>
              <w:spacing w:before="40" w:after="40"/>
              <w:rPr>
                <w:rFonts w:cs="Arial"/>
                <w:b/>
                <w:sz w:val="20"/>
                <w:szCs w:val="22"/>
              </w:rPr>
            </w:pPr>
            <w:r w:rsidRPr="00332366">
              <w:rPr>
                <w:rFonts w:cs="Arial"/>
                <w:b/>
                <w:sz w:val="20"/>
                <w:szCs w:val="22"/>
              </w:rPr>
              <w:t>Chemical name</w:t>
            </w:r>
          </w:p>
        </w:tc>
        <w:tc>
          <w:tcPr>
            <w:tcW w:w="2268" w:type="dxa"/>
          </w:tcPr>
          <w:p w14:paraId="2480E59E" w14:textId="77777777" w:rsidR="00592FAE" w:rsidRPr="00332366" w:rsidRDefault="00592FAE" w:rsidP="00482766">
            <w:pPr>
              <w:spacing w:before="40" w:after="40"/>
              <w:rPr>
                <w:rFonts w:cs="Arial"/>
                <w:b/>
                <w:sz w:val="20"/>
                <w:szCs w:val="22"/>
              </w:rPr>
            </w:pPr>
            <w:r w:rsidRPr="00332366">
              <w:rPr>
                <w:rFonts w:cs="Arial"/>
                <w:b/>
                <w:sz w:val="20"/>
                <w:szCs w:val="22"/>
              </w:rPr>
              <w:t>CAS no.</w:t>
            </w:r>
          </w:p>
        </w:tc>
      </w:tr>
      <w:tr w:rsidR="00592FAE" w:rsidRPr="004F48B1" w14:paraId="6A9AFAAE" w14:textId="77777777" w:rsidTr="00592FAE">
        <w:tc>
          <w:tcPr>
            <w:tcW w:w="4361" w:type="dxa"/>
          </w:tcPr>
          <w:p w14:paraId="2C2375E3" w14:textId="77777777" w:rsidR="00592FAE" w:rsidRPr="00332366" w:rsidRDefault="00592FAE" w:rsidP="00482766">
            <w:pPr>
              <w:widowControl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2"/>
              </w:rPr>
            </w:pPr>
            <w:proofErr w:type="spellStart"/>
            <w:r w:rsidRPr="00332366">
              <w:rPr>
                <w:rFonts w:eastAsiaTheme="minorEastAsia" w:cs="Arial"/>
                <w:sz w:val="20"/>
                <w:szCs w:val="22"/>
                <w:lang w:bidi="ar-SA"/>
              </w:rPr>
              <w:t>Polyoxyethylene</w:t>
            </w:r>
            <w:proofErr w:type="spellEnd"/>
            <w:r w:rsidRPr="00332366">
              <w:rPr>
                <w:rFonts w:eastAsiaTheme="minorEastAsia" w:cs="Arial"/>
                <w:sz w:val="20"/>
                <w:szCs w:val="22"/>
                <w:lang w:bidi="ar-SA"/>
              </w:rPr>
              <w:t xml:space="preserve"> </w:t>
            </w:r>
            <w:proofErr w:type="spellStart"/>
            <w:r w:rsidRPr="00332366">
              <w:rPr>
                <w:rFonts w:eastAsiaTheme="minorEastAsia" w:cs="Arial"/>
                <w:sz w:val="20"/>
                <w:szCs w:val="22"/>
                <w:lang w:bidi="ar-SA"/>
              </w:rPr>
              <w:t>nonylphenyl</w:t>
            </w:r>
            <w:proofErr w:type="spellEnd"/>
            <w:r w:rsidRPr="00332366">
              <w:rPr>
                <w:rFonts w:eastAsiaTheme="minorEastAsia" w:cs="Arial"/>
                <w:sz w:val="20"/>
                <w:szCs w:val="22"/>
                <w:lang w:bidi="ar-SA"/>
              </w:rPr>
              <w:t xml:space="preserve"> phosphate ester, sodium salt</w:t>
            </w:r>
          </w:p>
        </w:tc>
        <w:tc>
          <w:tcPr>
            <w:tcW w:w="2268" w:type="dxa"/>
          </w:tcPr>
          <w:p w14:paraId="676E484C" w14:textId="77777777" w:rsidR="00592FAE" w:rsidRPr="00332366" w:rsidRDefault="00592FAE" w:rsidP="00482766">
            <w:pPr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68954-84-7</w:t>
            </w:r>
          </w:p>
        </w:tc>
      </w:tr>
      <w:tr w:rsidR="00592FAE" w:rsidRPr="004F48B1" w14:paraId="6B36D5B4" w14:textId="77777777" w:rsidTr="00592FAE">
        <w:tc>
          <w:tcPr>
            <w:tcW w:w="4361" w:type="dxa"/>
          </w:tcPr>
          <w:p w14:paraId="71DE779C" w14:textId="77777777" w:rsidR="00592FAE" w:rsidRPr="00332366" w:rsidRDefault="00592FAE" w:rsidP="00482766">
            <w:pPr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Sodium borate</w:t>
            </w:r>
          </w:p>
        </w:tc>
        <w:tc>
          <w:tcPr>
            <w:tcW w:w="2268" w:type="dxa"/>
          </w:tcPr>
          <w:p w14:paraId="7E9F88C4" w14:textId="77777777" w:rsidR="00592FAE" w:rsidRPr="00332366" w:rsidRDefault="00592FAE" w:rsidP="00482766">
            <w:pPr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1303-96-4</w:t>
            </w:r>
          </w:p>
        </w:tc>
      </w:tr>
      <w:tr w:rsidR="00592FAE" w:rsidRPr="004F48B1" w14:paraId="2064B11B" w14:textId="77777777" w:rsidTr="00592FAE">
        <w:tc>
          <w:tcPr>
            <w:tcW w:w="4361" w:type="dxa"/>
          </w:tcPr>
          <w:p w14:paraId="31B14324" w14:textId="46755E61" w:rsidR="00592FAE" w:rsidRPr="00332366" w:rsidRDefault="002A0B48" w:rsidP="00482766">
            <w:pPr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  <w:lang w:val="en"/>
              </w:rPr>
              <w:t>Glyceryl allyl ether</w:t>
            </w:r>
          </w:p>
        </w:tc>
        <w:tc>
          <w:tcPr>
            <w:tcW w:w="2268" w:type="dxa"/>
          </w:tcPr>
          <w:p w14:paraId="7869935E" w14:textId="77777777" w:rsidR="00592FAE" w:rsidRPr="00332366" w:rsidRDefault="00592FAE" w:rsidP="00482766">
            <w:pPr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123-34-2</w:t>
            </w:r>
          </w:p>
        </w:tc>
      </w:tr>
      <w:tr w:rsidR="009625FA" w:rsidRPr="004F48B1" w14:paraId="1D1A7BD3" w14:textId="77777777" w:rsidTr="00592FAE">
        <w:tc>
          <w:tcPr>
            <w:tcW w:w="4361" w:type="dxa"/>
          </w:tcPr>
          <w:p w14:paraId="6D76DE6C" w14:textId="76C28116" w:rsidR="009625FA" w:rsidRPr="00332366" w:rsidRDefault="009625FA" w:rsidP="00482766">
            <w:pPr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 xml:space="preserve">Allyl </w:t>
            </w:r>
            <w:proofErr w:type="spellStart"/>
            <w:r w:rsidRPr="00332366">
              <w:rPr>
                <w:rFonts w:cs="Arial"/>
                <w:sz w:val="20"/>
                <w:szCs w:val="22"/>
              </w:rPr>
              <w:t>glycidyl</w:t>
            </w:r>
            <w:proofErr w:type="spellEnd"/>
            <w:r w:rsidRPr="00332366">
              <w:rPr>
                <w:rFonts w:cs="Arial"/>
                <w:sz w:val="20"/>
                <w:szCs w:val="22"/>
              </w:rPr>
              <w:t xml:space="preserve"> ether</w:t>
            </w:r>
          </w:p>
        </w:tc>
        <w:tc>
          <w:tcPr>
            <w:tcW w:w="2268" w:type="dxa"/>
          </w:tcPr>
          <w:p w14:paraId="043FC2A2" w14:textId="71C6E816" w:rsidR="009625FA" w:rsidRPr="00332366" w:rsidRDefault="009625FA" w:rsidP="00482766">
            <w:pPr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106-92-3</w:t>
            </w:r>
          </w:p>
        </w:tc>
      </w:tr>
      <w:tr w:rsidR="009625FA" w:rsidRPr="004F48B1" w14:paraId="064716F2" w14:textId="77777777" w:rsidTr="00592FAE">
        <w:tc>
          <w:tcPr>
            <w:tcW w:w="4361" w:type="dxa"/>
          </w:tcPr>
          <w:p w14:paraId="51EB1A4C" w14:textId="77777777" w:rsidR="009625FA" w:rsidRPr="00332366" w:rsidRDefault="009625FA" w:rsidP="00482766">
            <w:pPr>
              <w:spacing w:before="40" w:after="40"/>
              <w:rPr>
                <w:rFonts w:cs="Arial"/>
                <w:sz w:val="20"/>
                <w:szCs w:val="22"/>
              </w:rPr>
            </w:pPr>
            <w:proofErr w:type="spellStart"/>
            <w:r w:rsidRPr="00332366">
              <w:rPr>
                <w:rFonts w:cs="Arial"/>
                <w:sz w:val="20"/>
                <w:szCs w:val="22"/>
              </w:rPr>
              <w:t>Glycidol</w:t>
            </w:r>
            <w:proofErr w:type="spellEnd"/>
          </w:p>
        </w:tc>
        <w:tc>
          <w:tcPr>
            <w:tcW w:w="2268" w:type="dxa"/>
          </w:tcPr>
          <w:p w14:paraId="435CA602" w14:textId="77777777" w:rsidR="009625FA" w:rsidRPr="00332366" w:rsidRDefault="009625FA" w:rsidP="00482766">
            <w:pPr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556-52-5</w:t>
            </w:r>
          </w:p>
        </w:tc>
      </w:tr>
      <w:tr w:rsidR="009625FA" w:rsidRPr="004F48B1" w14:paraId="5699DE36" w14:textId="77777777" w:rsidTr="00592FAE">
        <w:tc>
          <w:tcPr>
            <w:tcW w:w="4361" w:type="dxa"/>
          </w:tcPr>
          <w:p w14:paraId="1BBE5C6C" w14:textId="77777777" w:rsidR="009625FA" w:rsidRPr="00332366" w:rsidRDefault="009625FA" w:rsidP="00482766">
            <w:pPr>
              <w:spacing w:before="40" w:after="40"/>
              <w:rPr>
                <w:rFonts w:cs="Arial"/>
                <w:sz w:val="20"/>
                <w:szCs w:val="22"/>
              </w:rPr>
            </w:pPr>
            <w:proofErr w:type="spellStart"/>
            <w:r w:rsidRPr="00332366">
              <w:rPr>
                <w:rFonts w:cs="Arial"/>
                <w:sz w:val="20"/>
                <w:szCs w:val="22"/>
              </w:rPr>
              <w:t>Epichlorohydrin</w:t>
            </w:r>
            <w:proofErr w:type="spellEnd"/>
          </w:p>
        </w:tc>
        <w:tc>
          <w:tcPr>
            <w:tcW w:w="2268" w:type="dxa"/>
          </w:tcPr>
          <w:p w14:paraId="70EC596C" w14:textId="77777777" w:rsidR="009625FA" w:rsidRPr="00332366" w:rsidRDefault="009625FA" w:rsidP="00482766">
            <w:pPr>
              <w:spacing w:before="40" w:after="40"/>
              <w:rPr>
                <w:rFonts w:cs="Arial"/>
                <w:sz w:val="20"/>
                <w:szCs w:val="22"/>
              </w:rPr>
            </w:pPr>
            <w:r w:rsidRPr="00332366">
              <w:rPr>
                <w:rFonts w:cs="Arial"/>
                <w:sz w:val="20"/>
                <w:szCs w:val="22"/>
              </w:rPr>
              <w:t>106-89-8</w:t>
            </w:r>
          </w:p>
        </w:tc>
      </w:tr>
    </w:tbl>
    <w:p w14:paraId="44278A57" w14:textId="1EA4A015" w:rsidR="00FE6050" w:rsidRPr="00CA4BAB" w:rsidRDefault="00FB1157" w:rsidP="00332366">
      <w:pPr>
        <w:pStyle w:val="Heading3"/>
      </w:pPr>
      <w:bookmarkStart w:id="61" w:name="_Toc442966869"/>
      <w:bookmarkStart w:id="62" w:name="_Toc442967399"/>
      <w:proofErr w:type="spellStart"/>
      <w:r w:rsidRPr="00CA4BAB">
        <w:t>Polyoxyethylene</w:t>
      </w:r>
      <w:proofErr w:type="spellEnd"/>
      <w:r w:rsidRPr="00CA4BAB">
        <w:t xml:space="preserve"> </w:t>
      </w:r>
      <w:proofErr w:type="spellStart"/>
      <w:r w:rsidRPr="00CA4BAB">
        <w:t>nonylphenyl</w:t>
      </w:r>
      <w:proofErr w:type="spellEnd"/>
      <w:r w:rsidRPr="00CA4BAB">
        <w:t xml:space="preserve"> phosphate ester, sodium salt</w:t>
      </w:r>
      <w:bookmarkEnd w:id="61"/>
      <w:bookmarkEnd w:id="62"/>
    </w:p>
    <w:p w14:paraId="64195D37" w14:textId="74D171BE" w:rsidR="00FE6050" w:rsidRDefault="00492ACD" w:rsidP="00482766">
      <w:r>
        <w:t xml:space="preserve">No </w:t>
      </w:r>
      <w:r w:rsidR="00983980">
        <w:t>hazard information</w:t>
      </w:r>
      <w:r w:rsidR="002A5880">
        <w:t xml:space="preserve"> on this substance </w:t>
      </w:r>
      <w:r w:rsidR="00BA02E4">
        <w:t>was</w:t>
      </w:r>
      <w:r w:rsidR="00983980">
        <w:t xml:space="preserve"> located, however being a polymeric substance it would be expected to be poorly absorbed by the oral route and therefore of low toxicity.</w:t>
      </w:r>
      <w:r w:rsidR="001E46AD" w:rsidRPr="001E46AD">
        <w:t xml:space="preserve"> </w:t>
      </w:r>
      <w:r w:rsidR="001E46AD">
        <w:t xml:space="preserve">The substance is approved by the US </w:t>
      </w:r>
      <w:r w:rsidR="000B5E44">
        <w:t>Environmental Protection Agency (US</w:t>
      </w:r>
      <w:r w:rsidR="001E46AD">
        <w:t>EPA</w:t>
      </w:r>
      <w:r w:rsidR="000B5E44">
        <w:t>)</w:t>
      </w:r>
      <w:r w:rsidR="001E46AD">
        <w:t xml:space="preserve"> as an inert ingredient in pesticide formulations</w:t>
      </w:r>
      <w:r w:rsidR="001E46AD" w:rsidRPr="001E46AD">
        <w:t>.</w:t>
      </w:r>
      <w:r w:rsidR="001E46AD">
        <w:rPr>
          <w:rStyle w:val="FootnoteReference"/>
        </w:rPr>
        <w:footnoteReference w:id="3"/>
      </w:r>
    </w:p>
    <w:p w14:paraId="573C65CA" w14:textId="6D428FD8" w:rsidR="00FB1157" w:rsidRPr="00CA4BAB" w:rsidRDefault="00FB1157" w:rsidP="00482766">
      <w:pPr>
        <w:pStyle w:val="Heading3"/>
        <w:keepNext w:val="0"/>
        <w:ind w:left="0" w:firstLine="0"/>
      </w:pPr>
      <w:bookmarkStart w:id="63" w:name="_Toc442966870"/>
      <w:bookmarkStart w:id="64" w:name="_Toc442967400"/>
      <w:r w:rsidRPr="00CA4BAB">
        <w:t>Sodium borate</w:t>
      </w:r>
      <w:bookmarkEnd w:id="63"/>
      <w:bookmarkEnd w:id="64"/>
    </w:p>
    <w:p w14:paraId="4E9D3809" w14:textId="1BEC3D9F" w:rsidR="009625FA" w:rsidRDefault="00FB1157" w:rsidP="00482766">
      <w:r>
        <w:t xml:space="preserve">Extensive toxicity data on sodium borate/boric acid were cited in the Application and the lowest no observed effect level (NOEL) in </w:t>
      </w:r>
      <w:r w:rsidR="004419B5">
        <w:t xml:space="preserve">laboratory </w:t>
      </w:r>
      <w:r>
        <w:t xml:space="preserve">animal studies </w:t>
      </w:r>
      <w:r w:rsidR="004419B5">
        <w:t xml:space="preserve">of up to 2 years duration was reported </w:t>
      </w:r>
      <w:r w:rsidR="00D338FF">
        <w:t>to be</w:t>
      </w:r>
      <w:r>
        <w:t xml:space="preserve"> 20 mg/kg </w:t>
      </w:r>
      <w:proofErr w:type="spellStart"/>
      <w:r>
        <w:t>bw</w:t>
      </w:r>
      <w:proofErr w:type="spellEnd"/>
      <w:r>
        <w:t>/day (Weir and Fisher 1972). Sodium borate/boric acid showed no potential for genotoxicity or carcinogenicity (</w:t>
      </w:r>
      <w:r w:rsidR="009C1005" w:rsidRPr="009C1005">
        <w:t>Weir and Fisher 1972</w:t>
      </w:r>
      <w:r w:rsidR="009C1005">
        <w:t>; NTP 1987</w:t>
      </w:r>
      <w:r>
        <w:t xml:space="preserve">). </w:t>
      </w:r>
    </w:p>
    <w:p w14:paraId="66404E0B" w14:textId="1703D8AA" w:rsidR="002A0B48" w:rsidRDefault="002A0B48" w:rsidP="00482766">
      <w:pPr>
        <w:pStyle w:val="Heading3"/>
        <w:keepNext w:val="0"/>
        <w:ind w:left="0" w:firstLine="0"/>
      </w:pPr>
      <w:bookmarkStart w:id="65" w:name="_Toc442966871"/>
      <w:bookmarkStart w:id="66" w:name="_Toc442967401"/>
      <w:r w:rsidRPr="00CA4BAB">
        <w:rPr>
          <w:lang w:val="en"/>
        </w:rPr>
        <w:t>Glyceryl allyl ether</w:t>
      </w:r>
      <w:bookmarkEnd w:id="65"/>
      <w:bookmarkEnd w:id="66"/>
    </w:p>
    <w:p w14:paraId="341ED943" w14:textId="77777777" w:rsidR="00482766" w:rsidRDefault="00542AA1" w:rsidP="00482766">
      <w:r>
        <w:t>There is v</w:t>
      </w:r>
      <w:r w:rsidR="00D430CD">
        <w:t xml:space="preserve">ery limited </w:t>
      </w:r>
      <w:r>
        <w:t xml:space="preserve">toxicity information </w:t>
      </w:r>
      <w:r w:rsidR="00D430CD">
        <w:t xml:space="preserve">available </w:t>
      </w:r>
      <w:r>
        <w:t xml:space="preserve">for </w:t>
      </w:r>
      <w:r w:rsidR="002A0B48">
        <w:t>g</w:t>
      </w:r>
      <w:r w:rsidR="002A0B48" w:rsidRPr="002A0B48">
        <w:t>lyceryl allyl ether</w:t>
      </w:r>
      <w:r w:rsidR="002A0B48">
        <w:t>.</w:t>
      </w:r>
      <w:r w:rsidR="00D430CD">
        <w:t xml:space="preserve"> </w:t>
      </w:r>
      <w:r w:rsidR="002A0B48">
        <w:t>An acute oral toxicity study in mice resulted in an LD</w:t>
      </w:r>
      <w:r w:rsidR="002A0B48" w:rsidRPr="00CA4BAB">
        <w:rPr>
          <w:vertAlign w:val="subscript"/>
        </w:rPr>
        <w:t>50</w:t>
      </w:r>
      <w:r w:rsidR="002A0B48">
        <w:t xml:space="preserve"> of 4200 mg/kg </w:t>
      </w:r>
      <w:proofErr w:type="spellStart"/>
      <w:proofErr w:type="gramStart"/>
      <w:r w:rsidR="002A0B48">
        <w:t>bw</w:t>
      </w:r>
      <w:proofErr w:type="spellEnd"/>
      <w:proofErr w:type="gramEnd"/>
      <w:r w:rsidR="004419B5">
        <w:t xml:space="preserve"> indicating low acute </w:t>
      </w:r>
      <w:r w:rsidR="00D338FF">
        <w:t xml:space="preserve">oral </w:t>
      </w:r>
      <w:r w:rsidR="004419B5">
        <w:t>toxicity.</w:t>
      </w:r>
      <w:r w:rsidR="002A0B48">
        <w:rPr>
          <w:rStyle w:val="FootnoteReference"/>
        </w:rPr>
        <w:footnoteReference w:id="4"/>
      </w:r>
      <w:r w:rsidR="00D430CD">
        <w:t xml:space="preserve"> </w:t>
      </w:r>
      <w:r w:rsidR="00482766">
        <w:br w:type="page"/>
      </w:r>
    </w:p>
    <w:p w14:paraId="6354EAD6" w14:textId="45F070A9" w:rsidR="009625FA" w:rsidRDefault="00542AA1" w:rsidP="00482766">
      <w:r>
        <w:lastRenderedPageBreak/>
        <w:t>Allyl glycerol ether was tested for its ability to cause gene mutations in bacteria, gene conversion in yeast and chromosomal aberrations in rat liver cells</w:t>
      </w:r>
      <w:r w:rsidR="00614262">
        <w:t xml:space="preserve"> </w:t>
      </w:r>
      <w:r w:rsidR="00614262" w:rsidRPr="00CA4BAB">
        <w:rPr>
          <w:i/>
        </w:rPr>
        <w:t>in vitro</w:t>
      </w:r>
      <w:r>
        <w:t xml:space="preserve">. </w:t>
      </w:r>
      <w:r w:rsidR="00614262" w:rsidRPr="00614262">
        <w:t xml:space="preserve">No evidence </w:t>
      </w:r>
      <w:r w:rsidR="00614262">
        <w:t xml:space="preserve">of </w:t>
      </w:r>
      <w:r w:rsidR="00614262" w:rsidRPr="00614262">
        <w:t>genotoxic</w:t>
      </w:r>
      <w:r w:rsidR="00614262">
        <w:t>ity</w:t>
      </w:r>
      <w:r w:rsidR="00614262" w:rsidRPr="00614262">
        <w:t xml:space="preserve"> </w:t>
      </w:r>
      <w:r w:rsidR="00614262">
        <w:t xml:space="preserve">was observed </w:t>
      </w:r>
      <w:r w:rsidR="0014496C">
        <w:t xml:space="preserve">(Dean et al 1985). </w:t>
      </w:r>
      <w:r w:rsidR="00D430CD">
        <w:t>No other toxicity data have been identified.</w:t>
      </w:r>
    </w:p>
    <w:p w14:paraId="43A4031D" w14:textId="745679FC" w:rsidR="009625FA" w:rsidRPr="00CA4BAB" w:rsidRDefault="009625FA" w:rsidP="00332366">
      <w:pPr>
        <w:pStyle w:val="Heading3"/>
      </w:pPr>
      <w:bookmarkStart w:id="67" w:name="_Toc442966872"/>
      <w:bookmarkStart w:id="68" w:name="_Toc442967402"/>
      <w:r w:rsidRPr="00CA4BAB">
        <w:t xml:space="preserve">Allyl </w:t>
      </w:r>
      <w:proofErr w:type="spellStart"/>
      <w:r w:rsidRPr="00CA4BAB">
        <w:t>glycidyl</w:t>
      </w:r>
      <w:proofErr w:type="spellEnd"/>
      <w:r w:rsidRPr="00CA4BAB">
        <w:t xml:space="preserve"> ether</w:t>
      </w:r>
      <w:bookmarkEnd w:id="67"/>
      <w:bookmarkEnd w:id="68"/>
    </w:p>
    <w:p w14:paraId="32C1FE46" w14:textId="06338941" w:rsidR="00691F37" w:rsidRDefault="00F25C26" w:rsidP="00FC2AA8">
      <w:pPr>
        <w:keepNext/>
      </w:pPr>
      <w:r>
        <w:t>O</w:t>
      </w:r>
      <w:r w:rsidR="00444005" w:rsidRPr="00444005">
        <w:t>ral LD</w:t>
      </w:r>
      <w:r w:rsidR="00444005" w:rsidRPr="00CA4BAB">
        <w:rPr>
          <w:vertAlign w:val="subscript"/>
        </w:rPr>
        <w:t>50</w:t>
      </w:r>
      <w:r w:rsidR="00444005" w:rsidRPr="00444005">
        <w:t xml:space="preserve"> </w:t>
      </w:r>
      <w:r>
        <w:t xml:space="preserve">values have been reported as </w:t>
      </w:r>
      <w:r w:rsidR="00444005" w:rsidRPr="00CA4BAB">
        <w:rPr>
          <w:bCs/>
        </w:rPr>
        <w:t>39</w:t>
      </w:r>
      <w:r w:rsidR="00444005">
        <w:rPr>
          <w:bCs/>
        </w:rPr>
        <w:t>0 m</w:t>
      </w:r>
      <w:r w:rsidR="00444005" w:rsidRPr="00444005">
        <w:t>g/kg</w:t>
      </w:r>
      <w:r w:rsidR="00444005">
        <w:t xml:space="preserve"> </w:t>
      </w:r>
      <w:proofErr w:type="spellStart"/>
      <w:proofErr w:type="gramStart"/>
      <w:r w:rsidR="00444005">
        <w:t>bw</w:t>
      </w:r>
      <w:proofErr w:type="spellEnd"/>
      <w:proofErr w:type="gramEnd"/>
      <w:r w:rsidR="00444005" w:rsidRPr="00444005">
        <w:t xml:space="preserve"> </w:t>
      </w:r>
      <w:r>
        <w:t xml:space="preserve">in mice </w:t>
      </w:r>
      <w:r w:rsidR="00444005" w:rsidRPr="00444005">
        <w:t xml:space="preserve">and </w:t>
      </w:r>
      <w:r w:rsidR="00444005">
        <w:rPr>
          <w:bCs/>
        </w:rPr>
        <w:t>1</w:t>
      </w:r>
      <w:r w:rsidR="00444005" w:rsidRPr="00CA4BAB">
        <w:rPr>
          <w:bCs/>
        </w:rPr>
        <w:t>6</w:t>
      </w:r>
      <w:r w:rsidR="00444005">
        <w:rPr>
          <w:bCs/>
        </w:rPr>
        <w:t>00 m</w:t>
      </w:r>
      <w:r w:rsidR="00444005" w:rsidRPr="00444005">
        <w:t>g/kg</w:t>
      </w:r>
      <w:r w:rsidR="00444005">
        <w:t xml:space="preserve"> </w:t>
      </w:r>
      <w:proofErr w:type="spellStart"/>
      <w:r w:rsidR="00444005">
        <w:t>bw</w:t>
      </w:r>
      <w:proofErr w:type="spellEnd"/>
      <w:r w:rsidR="00444005">
        <w:t xml:space="preserve"> </w:t>
      </w:r>
      <w:r>
        <w:t xml:space="preserve">in rats </w:t>
      </w:r>
      <w:r w:rsidR="00444005">
        <w:t>(Hine et al</w:t>
      </w:r>
      <w:r w:rsidR="00444005" w:rsidRPr="00444005">
        <w:t xml:space="preserve"> </w:t>
      </w:r>
      <w:r w:rsidR="00444005" w:rsidRPr="00CA4BAB">
        <w:rPr>
          <w:bCs/>
        </w:rPr>
        <w:t>1956).</w:t>
      </w:r>
      <w:r w:rsidR="0065444E" w:rsidRPr="0065444E">
        <w:t xml:space="preserve"> </w:t>
      </w:r>
      <w:r w:rsidR="0065444E" w:rsidRPr="00C45844">
        <w:t xml:space="preserve">Allyl </w:t>
      </w:r>
      <w:proofErr w:type="spellStart"/>
      <w:r w:rsidR="0065444E" w:rsidRPr="00C45844">
        <w:t>glycidyl</w:t>
      </w:r>
      <w:proofErr w:type="spellEnd"/>
      <w:r w:rsidR="0065444E" w:rsidRPr="00C45844">
        <w:t xml:space="preserve"> ether is genotoxic in </w:t>
      </w:r>
      <w:r w:rsidR="0065444E" w:rsidRPr="00CA4BAB">
        <w:rPr>
          <w:i/>
        </w:rPr>
        <w:t>in vitro</w:t>
      </w:r>
      <w:r w:rsidR="0065444E" w:rsidRPr="00C45844">
        <w:t xml:space="preserve"> tests, where it has ind</w:t>
      </w:r>
      <w:r w:rsidR="0065444E">
        <w:t>uced gene mutations in bacteria</w:t>
      </w:r>
      <w:r w:rsidR="0065444E" w:rsidRPr="00C45844">
        <w:t xml:space="preserve"> and chromosomal aberrations in Chinese hamster ovary cells</w:t>
      </w:r>
      <w:r w:rsidR="0065444E">
        <w:t>.</w:t>
      </w:r>
      <w:r w:rsidR="0065444E" w:rsidRPr="00C45844">
        <w:t xml:space="preserve"> Because it contains an epoxide group, allyl </w:t>
      </w:r>
      <w:proofErr w:type="spellStart"/>
      <w:r w:rsidR="0065444E" w:rsidRPr="00C45844">
        <w:t>glycidyl</w:t>
      </w:r>
      <w:proofErr w:type="spellEnd"/>
      <w:r w:rsidR="0065444E" w:rsidRPr="00C45844">
        <w:t xml:space="preserve"> ether may also be </w:t>
      </w:r>
      <w:proofErr w:type="spellStart"/>
      <w:r w:rsidR="0065444E" w:rsidRPr="00C45844">
        <w:t>clastogenic</w:t>
      </w:r>
      <w:proofErr w:type="spellEnd"/>
      <w:r w:rsidR="0065444E" w:rsidRPr="00C45844">
        <w:t xml:space="preserve"> </w:t>
      </w:r>
      <w:r w:rsidR="0065444E" w:rsidRPr="0065444E">
        <w:rPr>
          <w:i/>
        </w:rPr>
        <w:t>in vivo</w:t>
      </w:r>
      <w:r w:rsidR="0065444E" w:rsidRPr="00C45844">
        <w:t>, but the limite</w:t>
      </w:r>
      <w:r w:rsidR="0065444E">
        <w:t>d data available are not sufficient to determine this (NTP 1990</w:t>
      </w:r>
      <w:r w:rsidR="00A80E2C">
        <w:t>a</w:t>
      </w:r>
      <w:r w:rsidR="0065444E">
        <w:t xml:space="preserve">). </w:t>
      </w:r>
      <w:r w:rsidR="00D338FF">
        <w:t>Ally</w:t>
      </w:r>
      <w:r w:rsidR="00073C82">
        <w:t>l</w:t>
      </w:r>
      <w:r w:rsidR="00D338FF">
        <w:t xml:space="preserve"> </w:t>
      </w:r>
      <w:proofErr w:type="spellStart"/>
      <w:r w:rsidR="00D338FF" w:rsidRPr="00D338FF">
        <w:t>glycidyl</w:t>
      </w:r>
      <w:proofErr w:type="spellEnd"/>
      <w:r w:rsidR="00D338FF" w:rsidRPr="00D338FF">
        <w:t xml:space="preserve"> ether </w:t>
      </w:r>
      <w:r>
        <w:t xml:space="preserve">is a volatile liquid and </w:t>
      </w:r>
      <w:r w:rsidR="00D338FF" w:rsidRPr="00D338FF">
        <w:t xml:space="preserve">has </w:t>
      </w:r>
      <w:r w:rsidR="007D32D5">
        <w:t xml:space="preserve">shown </w:t>
      </w:r>
      <w:r w:rsidR="00D338FF" w:rsidRPr="00D338FF">
        <w:t>carcinogenic activity in 2-year inhalation studies in mice</w:t>
      </w:r>
      <w:r w:rsidR="00D338FF">
        <w:t xml:space="preserve"> </w:t>
      </w:r>
      <w:r w:rsidR="00D338FF" w:rsidRPr="00D338FF">
        <w:t xml:space="preserve">and rats </w:t>
      </w:r>
      <w:r w:rsidR="00B2130D">
        <w:t xml:space="preserve">(NTP </w:t>
      </w:r>
      <w:r w:rsidR="0065444E">
        <w:t>1990</w:t>
      </w:r>
      <w:r w:rsidR="00A80E2C">
        <w:t>a</w:t>
      </w:r>
      <w:r w:rsidR="0065444E">
        <w:t>)</w:t>
      </w:r>
      <w:r w:rsidR="00691F37">
        <w:t xml:space="preserve">. </w:t>
      </w:r>
      <w:r>
        <w:t>I</w:t>
      </w:r>
      <w:r w:rsidR="007D32D5">
        <w:t>ts potential for carcinogenicity via the oral route has not been investigated.</w:t>
      </w:r>
      <w:r w:rsidR="00D338FF" w:rsidRPr="00D338FF">
        <w:t xml:space="preserve"> </w:t>
      </w:r>
    </w:p>
    <w:p w14:paraId="08B7BED0" w14:textId="37C2D22B" w:rsidR="000036D5" w:rsidRPr="00CA4BAB" w:rsidRDefault="009625FA" w:rsidP="00332366">
      <w:pPr>
        <w:pStyle w:val="Heading3"/>
      </w:pPr>
      <w:bookmarkStart w:id="69" w:name="_Toc442966873"/>
      <w:bookmarkStart w:id="70" w:name="_Toc442967403"/>
      <w:proofErr w:type="spellStart"/>
      <w:r w:rsidRPr="00CA4BAB">
        <w:t>Glycidol</w:t>
      </w:r>
      <w:bookmarkEnd w:id="69"/>
      <w:bookmarkEnd w:id="70"/>
      <w:proofErr w:type="spellEnd"/>
    </w:p>
    <w:p w14:paraId="5CEDF0C8" w14:textId="7CA71D8D" w:rsidR="006D148A" w:rsidRDefault="009059BF" w:rsidP="00332366">
      <w:pPr>
        <w:keepNext/>
      </w:pPr>
      <w:r>
        <w:t xml:space="preserve">The toxicity of </w:t>
      </w:r>
      <w:proofErr w:type="spellStart"/>
      <w:r>
        <w:t>glycidol</w:t>
      </w:r>
      <w:proofErr w:type="spellEnd"/>
      <w:r>
        <w:t xml:space="preserve"> is well characterised. It </w:t>
      </w:r>
      <w:r w:rsidRPr="009059BF">
        <w:t>is genotoxic</w:t>
      </w:r>
      <w:r>
        <w:t xml:space="preserve"> in a range of</w:t>
      </w:r>
      <w:r w:rsidRPr="009059BF">
        <w:t xml:space="preserve"> </w:t>
      </w:r>
      <w:r w:rsidRPr="009059BF">
        <w:rPr>
          <w:i/>
        </w:rPr>
        <w:t>in vitro</w:t>
      </w:r>
      <w:r>
        <w:t xml:space="preserve"> and </w:t>
      </w:r>
      <w:r w:rsidRPr="009059BF">
        <w:rPr>
          <w:i/>
        </w:rPr>
        <w:t>in vivo</w:t>
      </w:r>
      <w:r>
        <w:t xml:space="preserve"> assays and</w:t>
      </w:r>
      <w:r w:rsidRPr="009059BF">
        <w:t xml:space="preserve"> has</w:t>
      </w:r>
      <w:r>
        <w:t xml:space="preserve"> </w:t>
      </w:r>
      <w:r w:rsidRPr="009059BF">
        <w:t xml:space="preserve">shown </w:t>
      </w:r>
      <w:r>
        <w:t>carcinogenic activity</w:t>
      </w:r>
      <w:r w:rsidRPr="009059BF">
        <w:t xml:space="preserve"> in </w:t>
      </w:r>
      <w:r w:rsidR="00A80E2C">
        <w:t xml:space="preserve">oral </w:t>
      </w:r>
      <w:r>
        <w:t xml:space="preserve">studies in mice and rats (NTP </w:t>
      </w:r>
      <w:r w:rsidR="00A80E2C">
        <w:t>1990b).</w:t>
      </w:r>
      <w:r w:rsidR="00F81FE0">
        <w:t xml:space="preserve"> The International Agency for Research on Cancer (IARC) concluded that </w:t>
      </w:r>
      <w:proofErr w:type="spellStart"/>
      <w:r w:rsidR="00F81FE0">
        <w:t>glycidol</w:t>
      </w:r>
      <w:proofErr w:type="spellEnd"/>
      <w:r w:rsidR="00F81FE0">
        <w:t xml:space="preserve"> is probably carcinogenic to humans (IARC 2000).</w:t>
      </w:r>
    </w:p>
    <w:p w14:paraId="2F3B0100" w14:textId="77ED6AFE" w:rsidR="006D148A" w:rsidRPr="00CA4BAB" w:rsidRDefault="009625FA" w:rsidP="00332366">
      <w:pPr>
        <w:pStyle w:val="Heading3"/>
      </w:pPr>
      <w:bookmarkStart w:id="71" w:name="_Toc442966874"/>
      <w:bookmarkStart w:id="72" w:name="_Toc442967404"/>
      <w:proofErr w:type="spellStart"/>
      <w:r w:rsidRPr="00CA4BAB">
        <w:t>Epichlorohydrin</w:t>
      </w:r>
      <w:bookmarkEnd w:id="71"/>
      <w:bookmarkEnd w:id="72"/>
      <w:proofErr w:type="spellEnd"/>
    </w:p>
    <w:p w14:paraId="63DFEA2F" w14:textId="2DBDD7A2" w:rsidR="00634275" w:rsidRDefault="00855EC8" w:rsidP="00FC2AA8">
      <w:pPr>
        <w:keepNext/>
      </w:pPr>
      <w:proofErr w:type="spellStart"/>
      <w:r>
        <w:t>Epichlorohydrin</w:t>
      </w:r>
      <w:proofErr w:type="spellEnd"/>
      <w:r>
        <w:t xml:space="preserve"> </w:t>
      </w:r>
      <w:r w:rsidRPr="00855EC8">
        <w:t xml:space="preserve">is genotoxic in a range of </w:t>
      </w:r>
      <w:r w:rsidRPr="00855EC8">
        <w:rPr>
          <w:i/>
        </w:rPr>
        <w:t>in vitro</w:t>
      </w:r>
      <w:r w:rsidRPr="00855EC8">
        <w:t xml:space="preserve"> and </w:t>
      </w:r>
      <w:r w:rsidRPr="00855EC8">
        <w:rPr>
          <w:i/>
        </w:rPr>
        <w:t>in vivo</w:t>
      </w:r>
      <w:r w:rsidRPr="00855EC8">
        <w:t xml:space="preserve"> assays and has shown carcinogenic activ</w:t>
      </w:r>
      <w:r>
        <w:t xml:space="preserve">ity in oral studies in </w:t>
      </w:r>
      <w:r w:rsidRPr="00855EC8">
        <w:t xml:space="preserve">rats </w:t>
      </w:r>
      <w:r w:rsidR="008D5E5F">
        <w:t>(</w:t>
      </w:r>
      <w:r w:rsidR="00CA26DC">
        <w:t xml:space="preserve">WHO 1984; </w:t>
      </w:r>
      <w:r w:rsidR="009E1ADD">
        <w:t>NTP 2004)</w:t>
      </w:r>
      <w:r w:rsidR="008D5E5F">
        <w:t>.</w:t>
      </w:r>
      <w:r w:rsidR="0032184D" w:rsidRPr="0032184D">
        <w:t xml:space="preserve"> </w:t>
      </w:r>
      <w:r w:rsidR="00482766">
        <w:t xml:space="preserve">The </w:t>
      </w:r>
      <w:r w:rsidR="0032184D">
        <w:t>IARC</w:t>
      </w:r>
      <w:r w:rsidR="0032184D" w:rsidRPr="0032184D">
        <w:t xml:space="preserve"> concluded that </w:t>
      </w:r>
      <w:proofErr w:type="spellStart"/>
      <w:r w:rsidR="00E3575F">
        <w:t>e</w:t>
      </w:r>
      <w:r w:rsidR="00E3575F" w:rsidRPr="00E3575F">
        <w:t>pichlorohydrin</w:t>
      </w:r>
      <w:proofErr w:type="spellEnd"/>
      <w:r w:rsidR="00E3575F" w:rsidRPr="00E3575F">
        <w:t xml:space="preserve"> </w:t>
      </w:r>
      <w:r w:rsidR="0032184D" w:rsidRPr="0032184D">
        <w:t>is probably carcinogenic to humans</w:t>
      </w:r>
      <w:r w:rsidR="0032184D">
        <w:t xml:space="preserve"> (IARC </w:t>
      </w:r>
      <w:r w:rsidR="00634275">
        <w:t>1999).</w:t>
      </w:r>
    </w:p>
    <w:p w14:paraId="6D74FE35" w14:textId="77777777" w:rsidR="00830279" w:rsidRDefault="00830279" w:rsidP="00A62BE1">
      <w:pPr>
        <w:pStyle w:val="Heading2"/>
      </w:pPr>
      <w:bookmarkStart w:id="73" w:name="_Toc436304368"/>
      <w:bookmarkStart w:id="74" w:name="_Toc442966875"/>
      <w:bookmarkStart w:id="75" w:name="_Toc442967405"/>
      <w:r>
        <w:t>3.4</w:t>
      </w:r>
      <w:r>
        <w:tab/>
      </w:r>
      <w:r w:rsidRPr="0001179E">
        <w:t>Hazard assessment conclusion</w:t>
      </w:r>
      <w:bookmarkEnd w:id="73"/>
      <w:bookmarkEnd w:id="74"/>
      <w:bookmarkEnd w:id="75"/>
    </w:p>
    <w:p w14:paraId="5B9A2673" w14:textId="5C30C2D2" w:rsidR="00830279" w:rsidRPr="003A0832" w:rsidRDefault="00535167" w:rsidP="00830279">
      <w:pPr>
        <w:rPr>
          <w:lang w:bidi="ar-SA"/>
        </w:rPr>
      </w:pPr>
      <w:r>
        <w:rPr>
          <w:lang w:bidi="ar-SA"/>
        </w:rPr>
        <w:t xml:space="preserve">The Application </w:t>
      </w:r>
      <w:r w:rsidR="00365C52">
        <w:rPr>
          <w:lang w:bidi="ar-SA"/>
        </w:rPr>
        <w:t>cites</w:t>
      </w:r>
      <w:r>
        <w:rPr>
          <w:lang w:bidi="ar-SA"/>
        </w:rPr>
        <w:t xml:space="preserve"> </w:t>
      </w:r>
      <w:r w:rsidR="00CE6D1C">
        <w:rPr>
          <w:lang w:bidi="ar-SA"/>
        </w:rPr>
        <w:t>16</w:t>
      </w:r>
      <w:r w:rsidR="009E199F">
        <w:rPr>
          <w:lang w:bidi="ar-SA"/>
        </w:rPr>
        <w:t xml:space="preserve"> resin impurities</w:t>
      </w:r>
      <w:r w:rsidR="009E1ADD">
        <w:rPr>
          <w:lang w:bidi="ar-SA"/>
        </w:rPr>
        <w:t xml:space="preserve"> </w:t>
      </w:r>
      <w:r w:rsidR="006D3A45">
        <w:rPr>
          <w:lang w:bidi="ar-SA"/>
        </w:rPr>
        <w:t xml:space="preserve">that </w:t>
      </w:r>
      <w:r w:rsidR="009E1ADD" w:rsidRPr="009E1ADD">
        <w:rPr>
          <w:lang w:bidi="ar-SA"/>
        </w:rPr>
        <w:t xml:space="preserve">may be present at trace levels in </w:t>
      </w:r>
      <w:r w:rsidR="00E060BC">
        <w:rPr>
          <w:lang w:bidi="ar-SA"/>
        </w:rPr>
        <w:t xml:space="preserve">extracted </w:t>
      </w:r>
      <w:proofErr w:type="spellStart"/>
      <w:r w:rsidR="00E060BC">
        <w:rPr>
          <w:lang w:bidi="ar-SA"/>
        </w:rPr>
        <w:t>lactoferrin</w:t>
      </w:r>
      <w:proofErr w:type="spellEnd"/>
      <w:r w:rsidR="00E060BC">
        <w:rPr>
          <w:lang w:bidi="ar-SA"/>
        </w:rPr>
        <w:t xml:space="preserve"> and in the flow-through </w:t>
      </w:r>
      <w:r w:rsidR="00334E78">
        <w:rPr>
          <w:lang w:bidi="ar-SA"/>
        </w:rPr>
        <w:t>dairy stream</w:t>
      </w:r>
      <w:r w:rsidR="009E199F">
        <w:rPr>
          <w:lang w:bidi="ar-SA"/>
        </w:rPr>
        <w:t xml:space="preserve"> following </w:t>
      </w:r>
      <w:r w:rsidR="00AB5303">
        <w:rPr>
          <w:lang w:bidi="ar-SA"/>
        </w:rPr>
        <w:t>processing</w:t>
      </w:r>
      <w:r w:rsidR="009E199F">
        <w:rPr>
          <w:lang w:bidi="ar-SA"/>
        </w:rPr>
        <w:t xml:space="preserve"> with the ion</w:t>
      </w:r>
      <w:r w:rsidR="00AE78EB">
        <w:rPr>
          <w:lang w:bidi="ar-SA"/>
        </w:rPr>
        <w:t xml:space="preserve"> </w:t>
      </w:r>
      <w:r w:rsidR="009E199F">
        <w:rPr>
          <w:lang w:bidi="ar-SA"/>
        </w:rPr>
        <w:t>exchange resin</w:t>
      </w:r>
      <w:r>
        <w:rPr>
          <w:lang w:bidi="ar-SA"/>
        </w:rPr>
        <w:t xml:space="preserve">. </w:t>
      </w:r>
      <w:r w:rsidR="00E3575F">
        <w:rPr>
          <w:lang w:bidi="ar-SA"/>
        </w:rPr>
        <w:t xml:space="preserve">The hazard profiles of these substances range from those of low toxicity (e.g. </w:t>
      </w:r>
      <w:proofErr w:type="spellStart"/>
      <w:r w:rsidR="00E3575F">
        <w:rPr>
          <w:lang w:bidi="ar-SA"/>
        </w:rPr>
        <w:t>ethylcellulose</w:t>
      </w:r>
      <w:proofErr w:type="spellEnd"/>
      <w:r w:rsidR="00E3575F">
        <w:rPr>
          <w:lang w:bidi="ar-SA"/>
        </w:rPr>
        <w:t xml:space="preserve">, glycerol, sodium acetate and sodium sulphate) to those that are genotoxic and potentially carcinogenic (e.g. </w:t>
      </w:r>
      <w:proofErr w:type="spellStart"/>
      <w:r w:rsidR="00E3575F" w:rsidRPr="00E3575F">
        <w:rPr>
          <w:lang w:bidi="ar-SA"/>
        </w:rPr>
        <w:t>glycidol</w:t>
      </w:r>
      <w:proofErr w:type="spellEnd"/>
      <w:r w:rsidR="00E3575F" w:rsidRPr="00E3575F">
        <w:rPr>
          <w:lang w:bidi="ar-SA"/>
        </w:rPr>
        <w:t xml:space="preserve"> </w:t>
      </w:r>
      <w:r w:rsidR="00E3575F">
        <w:rPr>
          <w:lang w:bidi="ar-SA"/>
        </w:rPr>
        <w:t xml:space="preserve">and </w:t>
      </w:r>
      <w:proofErr w:type="spellStart"/>
      <w:r w:rsidR="00E3575F" w:rsidRPr="00E3575F">
        <w:rPr>
          <w:lang w:bidi="ar-SA"/>
        </w:rPr>
        <w:t>epichlorohydrin</w:t>
      </w:r>
      <w:proofErr w:type="spellEnd"/>
      <w:r w:rsidR="00E3575F">
        <w:rPr>
          <w:lang w:bidi="ar-SA"/>
        </w:rPr>
        <w:t>)</w:t>
      </w:r>
      <w:r>
        <w:rPr>
          <w:lang w:bidi="ar-SA"/>
        </w:rPr>
        <w:t>.</w:t>
      </w:r>
    </w:p>
    <w:p w14:paraId="43C1E065" w14:textId="77777777" w:rsidR="00830279" w:rsidRPr="00486D31" w:rsidRDefault="00830279" w:rsidP="00830279">
      <w:pPr>
        <w:pStyle w:val="Heading1"/>
      </w:pPr>
      <w:bookmarkStart w:id="76" w:name="_Toc436304369"/>
      <w:bookmarkStart w:id="77" w:name="_Toc442966876"/>
      <w:bookmarkStart w:id="78" w:name="_Toc442967406"/>
      <w:r>
        <w:t>4</w:t>
      </w:r>
      <w:r>
        <w:tab/>
      </w:r>
      <w:r w:rsidRPr="00482FD5">
        <w:t>Dietary</w:t>
      </w:r>
      <w:r w:rsidRPr="00486D31">
        <w:t xml:space="preserve"> exposure assessment</w:t>
      </w:r>
      <w:bookmarkEnd w:id="76"/>
      <w:bookmarkEnd w:id="77"/>
      <w:bookmarkEnd w:id="78"/>
    </w:p>
    <w:p w14:paraId="7FCA5BA1" w14:textId="77039BD9" w:rsidR="00830279" w:rsidRPr="00FE5121" w:rsidRDefault="00830279" w:rsidP="00A62BE1">
      <w:pPr>
        <w:pStyle w:val="Heading2"/>
      </w:pPr>
      <w:bookmarkStart w:id="79" w:name="_Toc436304370"/>
      <w:bookmarkStart w:id="80" w:name="_Toc442966877"/>
      <w:bookmarkStart w:id="81" w:name="_Toc442967407"/>
      <w:bookmarkStart w:id="82" w:name="_Toc247509482"/>
      <w:bookmarkStart w:id="83" w:name="_Toc256582703"/>
      <w:bookmarkStart w:id="84" w:name="_Toc269201838"/>
      <w:bookmarkStart w:id="85" w:name="_Toc360028614"/>
      <w:bookmarkStart w:id="86" w:name="_Toc244577300"/>
      <w:bookmarkStart w:id="87" w:name="_Toc246221071"/>
      <w:bookmarkStart w:id="88" w:name="_Toc246407790"/>
      <w:r>
        <w:t>4.1</w:t>
      </w:r>
      <w:r>
        <w:tab/>
      </w:r>
      <w:r w:rsidR="00AC0D60">
        <w:t>E</w:t>
      </w:r>
      <w:r>
        <w:t>stimat</w:t>
      </w:r>
      <w:r w:rsidR="00AC0D60">
        <w:t>ed</w:t>
      </w:r>
      <w:r w:rsidRPr="00FE5121">
        <w:t xml:space="preserve"> dietary exposure</w:t>
      </w:r>
      <w:bookmarkEnd w:id="79"/>
      <w:r w:rsidR="00AC0D60">
        <w:t xml:space="preserve"> to resin</w:t>
      </w:r>
      <w:r w:rsidR="001E46AD">
        <w:t xml:space="preserve"> impurities</w:t>
      </w:r>
      <w:bookmarkEnd w:id="80"/>
      <w:bookmarkEnd w:id="81"/>
      <w:r w:rsidRPr="00FE5121">
        <w:t xml:space="preserve"> </w:t>
      </w:r>
      <w:bookmarkEnd w:id="82"/>
      <w:bookmarkEnd w:id="83"/>
      <w:bookmarkEnd w:id="84"/>
      <w:bookmarkEnd w:id="85"/>
    </w:p>
    <w:p w14:paraId="112A20A2" w14:textId="4D9A773F" w:rsidR="00830279" w:rsidRDefault="00830279" w:rsidP="00830279">
      <w:r>
        <w:t xml:space="preserve">The Application provided information on </w:t>
      </w:r>
      <w:r w:rsidR="001E46AD">
        <w:t xml:space="preserve">estimated </w:t>
      </w:r>
      <w:r>
        <w:t xml:space="preserve">dietary exposure to </w:t>
      </w:r>
      <w:r w:rsidR="001E46AD">
        <w:t xml:space="preserve">resin impurities </w:t>
      </w:r>
      <w:r>
        <w:t xml:space="preserve">that could be present in food processed using the resin. This information was originally submitted by the Applicant to the </w:t>
      </w:r>
      <w:r w:rsidR="002448A8">
        <w:t>USFDA</w:t>
      </w:r>
      <w:r>
        <w:t xml:space="preserve"> as part of a food contact notification (FCN) for use of the resin in the processing of milk and milk products, </w:t>
      </w:r>
      <w:r w:rsidRPr="003E2876">
        <w:t xml:space="preserve">fruit and fruit </w:t>
      </w:r>
      <w:r>
        <w:t>juices, f</w:t>
      </w:r>
      <w:r w:rsidRPr="003E2876">
        <w:t>ruit drinks</w:t>
      </w:r>
      <w:r>
        <w:t>,</w:t>
      </w:r>
      <w:r w:rsidRPr="003E2876">
        <w:t xml:space="preserve"> beer and wine</w:t>
      </w:r>
      <w:r>
        <w:t xml:space="preserve"> (</w:t>
      </w:r>
      <w:r w:rsidR="002448A8">
        <w:t>USFDA</w:t>
      </w:r>
      <w:r>
        <w:t xml:space="preserve"> 2004).</w:t>
      </w:r>
    </w:p>
    <w:p w14:paraId="1832A4F8" w14:textId="77777777" w:rsidR="00830279" w:rsidRDefault="00830279" w:rsidP="00830279"/>
    <w:p w14:paraId="4AECE6F4" w14:textId="4CBF6BD1" w:rsidR="00457353" w:rsidRDefault="00457353" w:rsidP="00830279">
      <w:r>
        <w:t xml:space="preserve">In order to obtain </w:t>
      </w:r>
      <w:r w:rsidR="00CE6D1C">
        <w:t>upper estimate</w:t>
      </w:r>
      <w:r>
        <w:t>s of</w:t>
      </w:r>
      <w:r w:rsidR="00CE6D1C">
        <w:t xml:space="preserve"> dietary exposure to resin impurities, </w:t>
      </w:r>
      <w:r w:rsidR="002E29EB">
        <w:t xml:space="preserve">the Applicant made </w:t>
      </w:r>
      <w:r w:rsidR="00CE6D1C">
        <w:t>a</w:t>
      </w:r>
      <w:r w:rsidR="00830279">
        <w:t xml:space="preserve"> conservative assumption that all consumed milk and milk products, fruit and fruit juices, fruit drinks, beer and wine </w:t>
      </w:r>
      <w:r w:rsidR="00370D7C">
        <w:t xml:space="preserve">are </w:t>
      </w:r>
      <w:r w:rsidR="00830279">
        <w:t>treated</w:t>
      </w:r>
      <w:r w:rsidR="0051399C">
        <w:t xml:space="preserve"> with the resin. F</w:t>
      </w:r>
      <w:r w:rsidR="00830279">
        <w:t xml:space="preserve">ood consumption </w:t>
      </w:r>
      <w:r w:rsidR="00830279" w:rsidRPr="003E2876">
        <w:t xml:space="preserve">information </w:t>
      </w:r>
      <w:r w:rsidR="00830279">
        <w:t xml:space="preserve">was </w:t>
      </w:r>
      <w:r w:rsidR="00F31B51">
        <w:t>taken from</w:t>
      </w:r>
      <w:r w:rsidR="00830279" w:rsidRPr="003E2876">
        <w:t xml:space="preserve"> US</w:t>
      </w:r>
      <w:r w:rsidR="00830279">
        <w:t xml:space="preserve"> </w:t>
      </w:r>
      <w:r w:rsidR="00830279" w:rsidRPr="003E2876">
        <w:t>D</w:t>
      </w:r>
      <w:r w:rsidR="00830279">
        <w:t xml:space="preserve">epartment of </w:t>
      </w:r>
      <w:r w:rsidR="00830279" w:rsidRPr="003E2876">
        <w:t>A</w:t>
      </w:r>
      <w:r w:rsidR="00830279">
        <w:t>griculture</w:t>
      </w:r>
      <w:r w:rsidR="00830279" w:rsidRPr="003E2876">
        <w:t xml:space="preserve"> </w:t>
      </w:r>
      <w:r w:rsidR="00830279">
        <w:t xml:space="preserve">(USDA) </w:t>
      </w:r>
      <w:r w:rsidR="00F31B51">
        <w:t xml:space="preserve">food intake </w:t>
      </w:r>
      <w:r w:rsidR="00FC2AA8">
        <w:t xml:space="preserve">survey </w:t>
      </w:r>
      <w:r w:rsidR="00F31B51">
        <w:t>data</w:t>
      </w:r>
      <w:r w:rsidR="00B823C4">
        <w:t xml:space="preserve"> collected in 1994-96</w:t>
      </w:r>
      <w:r w:rsidR="00830279" w:rsidRPr="003E2876">
        <w:t>.</w:t>
      </w:r>
      <w:r w:rsidR="00FC2AA8">
        <w:t xml:space="preserve"> </w:t>
      </w:r>
    </w:p>
    <w:p w14:paraId="6956CF58" w14:textId="77777777" w:rsidR="00336129" w:rsidRDefault="00336129" w:rsidP="00830279"/>
    <w:p w14:paraId="6605DB74" w14:textId="77777777" w:rsidR="00482766" w:rsidRDefault="00482766" w:rsidP="00830279">
      <w:r>
        <w:br w:type="page"/>
      </w:r>
    </w:p>
    <w:p w14:paraId="7334A885" w14:textId="1EBD7A34" w:rsidR="00F31B51" w:rsidRDefault="008F6024" w:rsidP="00830279">
      <w:r>
        <w:lastRenderedPageBreak/>
        <w:t>R</w:t>
      </w:r>
      <w:r w:rsidR="00F31B51">
        <w:t xml:space="preserve">esin impurity concentrations </w:t>
      </w:r>
      <w:r w:rsidR="00FC2AA8">
        <w:t>in foods were</w:t>
      </w:r>
      <w:r w:rsidR="00F31B51">
        <w:t xml:space="preserve"> </w:t>
      </w:r>
      <w:r w:rsidR="00BF7B66">
        <w:t>estimated</w:t>
      </w:r>
      <w:r w:rsidR="00F31B51">
        <w:t xml:space="preserve"> using conservative assumptions</w:t>
      </w:r>
      <w:r w:rsidR="00BF7B66">
        <w:t xml:space="preserve"> </w:t>
      </w:r>
      <w:r w:rsidR="00CE6D1C">
        <w:t xml:space="preserve">to calculate </w:t>
      </w:r>
      <w:r w:rsidR="00F9309F">
        <w:t xml:space="preserve">theoretical </w:t>
      </w:r>
      <w:r w:rsidR="00CE6D1C">
        <w:t xml:space="preserve">migration </w:t>
      </w:r>
      <w:r w:rsidR="00F9309F">
        <w:t xml:space="preserve">levels </w:t>
      </w:r>
      <w:r w:rsidR="00CE6D1C">
        <w:t>of substances from the resin into foods</w:t>
      </w:r>
      <w:r w:rsidR="00F31B51">
        <w:t xml:space="preserve">. </w:t>
      </w:r>
      <w:r w:rsidR="00FC2AA8">
        <w:t>The r</w:t>
      </w:r>
      <w:r w:rsidR="00F31B51">
        <w:t>esulting estimated dietary exposure</w:t>
      </w:r>
      <w:r w:rsidR="00FC2AA8">
        <w:t>s</w:t>
      </w:r>
      <w:r w:rsidR="00F31B51">
        <w:t xml:space="preserve"> to resin impurities </w:t>
      </w:r>
      <w:r w:rsidR="00FC2AA8">
        <w:t>are extremely low</w:t>
      </w:r>
      <w:r w:rsidR="00CE6D1C">
        <w:t>. The highest estimated dietary exposure was for soluble agarose fragments</w:t>
      </w:r>
      <w:r w:rsidR="00FC2AA8">
        <w:t xml:space="preserve"> </w:t>
      </w:r>
      <w:r w:rsidR="00CE6D1C">
        <w:t xml:space="preserve">(3.3 </w:t>
      </w:r>
      <w:r w:rsidR="00CE6D1C" w:rsidRPr="00CE6D1C">
        <w:t xml:space="preserve">µg/kg </w:t>
      </w:r>
      <w:proofErr w:type="spellStart"/>
      <w:r w:rsidR="00CE6D1C" w:rsidRPr="00CE6D1C">
        <w:t>bw</w:t>
      </w:r>
      <w:proofErr w:type="spellEnd"/>
      <w:r w:rsidR="00CE6D1C" w:rsidRPr="00CE6D1C">
        <w:t>/day</w:t>
      </w:r>
      <w:r w:rsidR="00CE6D1C">
        <w:t>)</w:t>
      </w:r>
      <w:r>
        <w:t>,</w:t>
      </w:r>
      <w:r w:rsidR="00CE6D1C">
        <w:t xml:space="preserve"> while estimated dietary exposure to the remaining individual resi</w:t>
      </w:r>
      <w:r w:rsidR="00457353">
        <w:t xml:space="preserve">n impurities does not exceed </w:t>
      </w:r>
      <w:proofErr w:type="gramStart"/>
      <w:r w:rsidR="00457353">
        <w:t>10 </w:t>
      </w:r>
      <w:proofErr w:type="spellStart"/>
      <w:r w:rsidR="00CE6D1C">
        <w:t>nanograms</w:t>
      </w:r>
      <w:proofErr w:type="spellEnd"/>
      <w:r w:rsidR="00CE6D1C">
        <w:t xml:space="preserve">/kg </w:t>
      </w:r>
      <w:proofErr w:type="spellStart"/>
      <w:r w:rsidR="00CE6D1C">
        <w:t>bw</w:t>
      </w:r>
      <w:proofErr w:type="spellEnd"/>
      <w:r w:rsidR="00CE6D1C">
        <w:t>/day</w:t>
      </w:r>
      <w:proofErr w:type="gramEnd"/>
      <w:r w:rsidR="00CE6D1C">
        <w:t>.</w:t>
      </w:r>
      <w:r w:rsidR="00CE6D1C" w:rsidRPr="00CE6D1C">
        <w:t xml:space="preserve"> </w:t>
      </w:r>
      <w:r w:rsidR="00CE6D1C">
        <w:t xml:space="preserve">Estimated dietary exposure to genotoxic and potentially carcinogenic substances </w:t>
      </w:r>
      <w:r w:rsidR="00B729C8">
        <w:t>ranged from 0.01 to</w:t>
      </w:r>
      <w:r w:rsidR="00582485">
        <w:t xml:space="preserve"> 0.05 </w:t>
      </w:r>
      <w:proofErr w:type="spellStart"/>
      <w:r w:rsidR="00CE6D1C">
        <w:t>nanograms</w:t>
      </w:r>
      <w:proofErr w:type="spellEnd"/>
      <w:r w:rsidR="00CE6D1C">
        <w:t xml:space="preserve">/kg </w:t>
      </w:r>
      <w:proofErr w:type="spellStart"/>
      <w:r w:rsidR="00CE6D1C">
        <w:t>bw</w:t>
      </w:r>
      <w:proofErr w:type="spellEnd"/>
      <w:r w:rsidR="00CE6D1C">
        <w:t>/day</w:t>
      </w:r>
      <w:r w:rsidR="00F31B51">
        <w:t xml:space="preserve"> </w:t>
      </w:r>
      <w:r w:rsidR="00581450">
        <w:t>(</w:t>
      </w:r>
      <w:r w:rsidR="00F31B51">
        <w:t>Table 3</w:t>
      </w:r>
      <w:r w:rsidR="00581450">
        <w:t>)</w:t>
      </w:r>
      <w:r w:rsidR="00F31B51">
        <w:t>.</w:t>
      </w:r>
    </w:p>
    <w:p w14:paraId="4F4C5C08" w14:textId="77777777" w:rsidR="00830279" w:rsidRDefault="00830279" w:rsidP="00830279"/>
    <w:p w14:paraId="3F738FAC" w14:textId="2C88B828" w:rsidR="00830279" w:rsidRPr="006870DC" w:rsidRDefault="001E46AD" w:rsidP="00FC2AA8">
      <w:pPr>
        <w:keepNext/>
        <w:rPr>
          <w:b/>
        </w:rPr>
      </w:pPr>
      <w:r>
        <w:rPr>
          <w:b/>
        </w:rPr>
        <w:t>Table 3</w:t>
      </w:r>
      <w:r w:rsidR="00482766">
        <w:rPr>
          <w:b/>
        </w:rPr>
        <w:t>:</w:t>
      </w:r>
      <w:r w:rsidR="00830279" w:rsidRPr="006870DC">
        <w:rPr>
          <w:b/>
        </w:rPr>
        <w:t xml:space="preserve"> Estimated dietary exposure to </w:t>
      </w:r>
      <w:r w:rsidR="00F31B51">
        <w:rPr>
          <w:b/>
        </w:rPr>
        <w:t>resin impurities</w:t>
      </w:r>
    </w:p>
    <w:p w14:paraId="4F5BA17C" w14:textId="77777777" w:rsidR="00830279" w:rsidRPr="00AC0D60" w:rsidRDefault="00830279">
      <w:pPr>
        <w:keepNext/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697"/>
        <w:gridCol w:w="1792"/>
        <w:gridCol w:w="3583"/>
      </w:tblGrid>
      <w:tr w:rsidR="00830279" w:rsidRPr="004F48B1" w14:paraId="02FCFB34" w14:textId="77777777" w:rsidTr="00482766">
        <w:trPr>
          <w:tblHeader/>
        </w:trPr>
        <w:tc>
          <w:tcPr>
            <w:tcW w:w="3510" w:type="dxa"/>
          </w:tcPr>
          <w:p w14:paraId="094EF063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332366">
              <w:rPr>
                <w:rFonts w:cs="Arial"/>
                <w:b/>
                <w:sz w:val="20"/>
                <w:szCs w:val="20"/>
              </w:rPr>
              <w:t>Chemical name</w:t>
            </w:r>
          </w:p>
        </w:tc>
        <w:tc>
          <w:tcPr>
            <w:tcW w:w="1701" w:type="dxa"/>
          </w:tcPr>
          <w:p w14:paraId="3468AD61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332366">
              <w:rPr>
                <w:rFonts w:cs="Arial"/>
                <w:b/>
                <w:sz w:val="20"/>
                <w:szCs w:val="20"/>
              </w:rPr>
              <w:t>CAS no.</w:t>
            </w:r>
          </w:p>
        </w:tc>
        <w:tc>
          <w:tcPr>
            <w:tcW w:w="3402" w:type="dxa"/>
          </w:tcPr>
          <w:p w14:paraId="2ED02A8C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332366">
              <w:rPr>
                <w:rFonts w:cs="Arial"/>
                <w:b/>
                <w:sz w:val="20"/>
                <w:szCs w:val="20"/>
              </w:rPr>
              <w:t>Estimated dietary exposure (µg/kg </w:t>
            </w:r>
            <w:proofErr w:type="spellStart"/>
            <w:r w:rsidRPr="00332366">
              <w:rPr>
                <w:rFonts w:cs="Arial"/>
                <w:b/>
                <w:sz w:val="20"/>
                <w:szCs w:val="20"/>
              </w:rPr>
              <w:t>bw</w:t>
            </w:r>
            <w:proofErr w:type="spellEnd"/>
            <w:r w:rsidRPr="00332366">
              <w:rPr>
                <w:rFonts w:cs="Arial"/>
                <w:b/>
                <w:sz w:val="20"/>
                <w:szCs w:val="20"/>
              </w:rPr>
              <w:t>/day)</w:t>
            </w:r>
          </w:p>
        </w:tc>
      </w:tr>
      <w:tr w:rsidR="00830279" w:rsidRPr="004F48B1" w14:paraId="5FD393B5" w14:textId="77777777" w:rsidTr="00482766">
        <w:tc>
          <w:tcPr>
            <w:tcW w:w="3510" w:type="dxa"/>
          </w:tcPr>
          <w:p w14:paraId="3E3DB22A" w14:textId="77777777" w:rsidR="00830279" w:rsidRPr="00332366" w:rsidRDefault="00830279" w:rsidP="00FC2AA8">
            <w:pPr>
              <w:keepNext/>
              <w:widowControl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eastAsiaTheme="minorEastAsia" w:cs="Arial"/>
                <w:sz w:val="20"/>
                <w:szCs w:val="20"/>
                <w:lang w:bidi="ar-SA"/>
              </w:rPr>
              <w:t>Soluble agarose fragments</w:t>
            </w:r>
          </w:p>
        </w:tc>
        <w:tc>
          <w:tcPr>
            <w:tcW w:w="1701" w:type="dxa"/>
          </w:tcPr>
          <w:p w14:paraId="5FE8B88B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9012-36-6</w:t>
            </w:r>
          </w:p>
        </w:tc>
        <w:tc>
          <w:tcPr>
            <w:tcW w:w="3402" w:type="dxa"/>
          </w:tcPr>
          <w:p w14:paraId="7DFCA1AE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3.3</w:t>
            </w:r>
          </w:p>
        </w:tc>
      </w:tr>
      <w:tr w:rsidR="00830279" w:rsidRPr="004F48B1" w14:paraId="54592FAD" w14:textId="77777777" w:rsidTr="00482766">
        <w:tc>
          <w:tcPr>
            <w:tcW w:w="3510" w:type="dxa"/>
          </w:tcPr>
          <w:p w14:paraId="52D67E90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proofErr w:type="spellStart"/>
            <w:r w:rsidRPr="00332366">
              <w:rPr>
                <w:rFonts w:cs="Arial"/>
                <w:sz w:val="20"/>
                <w:szCs w:val="20"/>
              </w:rPr>
              <w:t>Ethylcellulose</w:t>
            </w:r>
            <w:proofErr w:type="spellEnd"/>
          </w:p>
        </w:tc>
        <w:tc>
          <w:tcPr>
            <w:tcW w:w="1701" w:type="dxa"/>
          </w:tcPr>
          <w:p w14:paraId="09C2452A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9004-57-3</w:t>
            </w:r>
          </w:p>
        </w:tc>
        <w:tc>
          <w:tcPr>
            <w:tcW w:w="3402" w:type="dxa"/>
          </w:tcPr>
          <w:p w14:paraId="7CE4107B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0.01</w:t>
            </w:r>
          </w:p>
        </w:tc>
      </w:tr>
      <w:tr w:rsidR="00830279" w:rsidRPr="004F48B1" w14:paraId="39D3331E" w14:textId="77777777" w:rsidTr="00482766">
        <w:tc>
          <w:tcPr>
            <w:tcW w:w="3510" w:type="dxa"/>
          </w:tcPr>
          <w:p w14:paraId="7C86D663" w14:textId="77777777" w:rsidR="00830279" w:rsidRPr="00332366" w:rsidRDefault="00830279" w:rsidP="00FC2AA8">
            <w:pPr>
              <w:keepNext/>
              <w:widowControl/>
              <w:autoSpaceDE w:val="0"/>
              <w:autoSpaceDN w:val="0"/>
              <w:adjustRightInd w:val="0"/>
              <w:spacing w:before="40" w:after="40"/>
              <w:rPr>
                <w:rFonts w:cs="Arial"/>
                <w:sz w:val="20"/>
                <w:szCs w:val="20"/>
              </w:rPr>
            </w:pPr>
            <w:proofErr w:type="spellStart"/>
            <w:r w:rsidRPr="00332366">
              <w:rPr>
                <w:rFonts w:eastAsiaTheme="minorEastAsia" w:cs="Arial"/>
                <w:sz w:val="20"/>
                <w:szCs w:val="20"/>
                <w:lang w:bidi="ar-SA"/>
              </w:rPr>
              <w:t>Polyoxyethylene</w:t>
            </w:r>
            <w:proofErr w:type="spellEnd"/>
            <w:r w:rsidRPr="00332366">
              <w:rPr>
                <w:rFonts w:eastAsiaTheme="minorEastAsia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332366">
              <w:rPr>
                <w:rFonts w:eastAsiaTheme="minorEastAsia" w:cs="Arial"/>
                <w:sz w:val="20"/>
                <w:szCs w:val="20"/>
                <w:lang w:bidi="ar-SA"/>
              </w:rPr>
              <w:t>nonylphenyl</w:t>
            </w:r>
            <w:proofErr w:type="spellEnd"/>
            <w:r w:rsidRPr="00332366">
              <w:rPr>
                <w:rFonts w:eastAsiaTheme="minorEastAsia" w:cs="Arial"/>
                <w:sz w:val="20"/>
                <w:szCs w:val="20"/>
                <w:lang w:bidi="ar-SA"/>
              </w:rPr>
              <w:t xml:space="preserve"> phosphate ester, sodium salt</w:t>
            </w:r>
          </w:p>
        </w:tc>
        <w:tc>
          <w:tcPr>
            <w:tcW w:w="1701" w:type="dxa"/>
          </w:tcPr>
          <w:p w14:paraId="5BDB8C4C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68954-84-7</w:t>
            </w:r>
          </w:p>
        </w:tc>
        <w:tc>
          <w:tcPr>
            <w:tcW w:w="3402" w:type="dxa"/>
          </w:tcPr>
          <w:p w14:paraId="10A234E0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0.002</w:t>
            </w:r>
          </w:p>
        </w:tc>
      </w:tr>
      <w:tr w:rsidR="00830279" w:rsidRPr="004F48B1" w14:paraId="4F7BA03A" w14:textId="77777777" w:rsidTr="00482766">
        <w:tc>
          <w:tcPr>
            <w:tcW w:w="3510" w:type="dxa"/>
          </w:tcPr>
          <w:p w14:paraId="765CD326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Glycerol</w:t>
            </w:r>
          </w:p>
        </w:tc>
        <w:tc>
          <w:tcPr>
            <w:tcW w:w="1701" w:type="dxa"/>
          </w:tcPr>
          <w:p w14:paraId="621D3D0F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56-81-5</w:t>
            </w:r>
          </w:p>
        </w:tc>
        <w:tc>
          <w:tcPr>
            <w:tcW w:w="3402" w:type="dxa"/>
          </w:tcPr>
          <w:p w14:paraId="16BC43A4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0.01</w:t>
            </w:r>
          </w:p>
        </w:tc>
      </w:tr>
      <w:tr w:rsidR="00830279" w:rsidRPr="004F48B1" w14:paraId="19D05FD5" w14:textId="77777777" w:rsidTr="00482766">
        <w:tc>
          <w:tcPr>
            <w:tcW w:w="3510" w:type="dxa"/>
          </w:tcPr>
          <w:p w14:paraId="54BEAD02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Sodium acetate</w:t>
            </w:r>
          </w:p>
        </w:tc>
        <w:tc>
          <w:tcPr>
            <w:tcW w:w="1701" w:type="dxa"/>
          </w:tcPr>
          <w:p w14:paraId="31FFFAB2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127-09-3</w:t>
            </w:r>
          </w:p>
        </w:tc>
        <w:tc>
          <w:tcPr>
            <w:tcW w:w="3402" w:type="dxa"/>
          </w:tcPr>
          <w:p w14:paraId="444157C1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0.02</w:t>
            </w:r>
          </w:p>
        </w:tc>
      </w:tr>
      <w:tr w:rsidR="00830279" w:rsidRPr="004F48B1" w14:paraId="1F89035E" w14:textId="77777777" w:rsidTr="00482766">
        <w:tc>
          <w:tcPr>
            <w:tcW w:w="3510" w:type="dxa"/>
          </w:tcPr>
          <w:p w14:paraId="69F92440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Sodium sulphate</w:t>
            </w:r>
          </w:p>
        </w:tc>
        <w:tc>
          <w:tcPr>
            <w:tcW w:w="1701" w:type="dxa"/>
          </w:tcPr>
          <w:p w14:paraId="15F09C18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7757-82-6</w:t>
            </w:r>
          </w:p>
        </w:tc>
        <w:tc>
          <w:tcPr>
            <w:tcW w:w="3402" w:type="dxa"/>
          </w:tcPr>
          <w:p w14:paraId="4AA10D53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0.01</w:t>
            </w:r>
          </w:p>
        </w:tc>
      </w:tr>
      <w:tr w:rsidR="00830279" w:rsidRPr="004F48B1" w14:paraId="4F4826E9" w14:textId="77777777" w:rsidTr="00482766">
        <w:trPr>
          <w:cantSplit/>
        </w:trPr>
        <w:tc>
          <w:tcPr>
            <w:tcW w:w="3510" w:type="dxa"/>
          </w:tcPr>
          <w:p w14:paraId="6652FB4C" w14:textId="77777777" w:rsidR="00830279" w:rsidRPr="00332366" w:rsidRDefault="00830279" w:rsidP="00332366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 xml:space="preserve">Sodium </w:t>
            </w:r>
            <w:proofErr w:type="spellStart"/>
            <w:r w:rsidRPr="00332366">
              <w:rPr>
                <w:rFonts w:cs="Arial"/>
                <w:sz w:val="20"/>
                <w:szCs w:val="20"/>
              </w:rPr>
              <w:t>metabisulphite</w:t>
            </w:r>
            <w:proofErr w:type="spellEnd"/>
          </w:p>
        </w:tc>
        <w:tc>
          <w:tcPr>
            <w:tcW w:w="1701" w:type="dxa"/>
          </w:tcPr>
          <w:p w14:paraId="187F7DC2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7681-57-4</w:t>
            </w:r>
          </w:p>
        </w:tc>
        <w:tc>
          <w:tcPr>
            <w:tcW w:w="3402" w:type="dxa"/>
          </w:tcPr>
          <w:p w14:paraId="6E084B93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0.007</w:t>
            </w:r>
          </w:p>
        </w:tc>
      </w:tr>
      <w:tr w:rsidR="00830279" w:rsidRPr="004F48B1" w14:paraId="23DA733C" w14:textId="77777777" w:rsidTr="00482766">
        <w:trPr>
          <w:cantSplit/>
        </w:trPr>
        <w:tc>
          <w:tcPr>
            <w:tcW w:w="3510" w:type="dxa"/>
          </w:tcPr>
          <w:p w14:paraId="1E0990B0" w14:textId="77777777" w:rsidR="00830279" w:rsidRPr="00332366" w:rsidRDefault="00830279" w:rsidP="00332366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Sodium bisulphite</w:t>
            </w:r>
          </w:p>
        </w:tc>
        <w:tc>
          <w:tcPr>
            <w:tcW w:w="1701" w:type="dxa"/>
          </w:tcPr>
          <w:p w14:paraId="700073D2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7631-90-5</w:t>
            </w:r>
          </w:p>
        </w:tc>
        <w:tc>
          <w:tcPr>
            <w:tcW w:w="3402" w:type="dxa"/>
          </w:tcPr>
          <w:p w14:paraId="5C682EDB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0.008</w:t>
            </w:r>
          </w:p>
        </w:tc>
      </w:tr>
      <w:tr w:rsidR="00830279" w:rsidRPr="004F48B1" w14:paraId="5C1616CA" w14:textId="77777777" w:rsidTr="00482766">
        <w:trPr>
          <w:cantSplit/>
        </w:trPr>
        <w:tc>
          <w:tcPr>
            <w:tcW w:w="3510" w:type="dxa"/>
          </w:tcPr>
          <w:p w14:paraId="0E8378F3" w14:textId="77777777" w:rsidR="00830279" w:rsidRPr="00332366" w:rsidRDefault="00830279" w:rsidP="00332366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Ethanol</w:t>
            </w:r>
          </w:p>
        </w:tc>
        <w:tc>
          <w:tcPr>
            <w:tcW w:w="1701" w:type="dxa"/>
          </w:tcPr>
          <w:p w14:paraId="64C3C5F0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64-17-5</w:t>
            </w:r>
          </w:p>
        </w:tc>
        <w:tc>
          <w:tcPr>
            <w:tcW w:w="3402" w:type="dxa"/>
          </w:tcPr>
          <w:p w14:paraId="458D62DA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0.01</w:t>
            </w:r>
          </w:p>
        </w:tc>
      </w:tr>
      <w:tr w:rsidR="00830279" w:rsidRPr="004F48B1" w14:paraId="1963B975" w14:textId="77777777" w:rsidTr="00482766">
        <w:trPr>
          <w:cantSplit/>
        </w:trPr>
        <w:tc>
          <w:tcPr>
            <w:tcW w:w="3510" w:type="dxa"/>
          </w:tcPr>
          <w:p w14:paraId="56753C2B" w14:textId="77777777" w:rsidR="00830279" w:rsidRPr="00332366" w:rsidRDefault="00830279" w:rsidP="00332366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Toluene</w:t>
            </w:r>
          </w:p>
        </w:tc>
        <w:tc>
          <w:tcPr>
            <w:tcW w:w="1701" w:type="dxa"/>
          </w:tcPr>
          <w:p w14:paraId="6A920FF7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108-88-3</w:t>
            </w:r>
          </w:p>
        </w:tc>
        <w:tc>
          <w:tcPr>
            <w:tcW w:w="3402" w:type="dxa"/>
          </w:tcPr>
          <w:p w14:paraId="007B687A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0.006</w:t>
            </w:r>
          </w:p>
        </w:tc>
      </w:tr>
      <w:tr w:rsidR="00830279" w:rsidRPr="004F48B1" w14:paraId="0A92A18B" w14:textId="77777777" w:rsidTr="00482766">
        <w:trPr>
          <w:cantSplit/>
        </w:trPr>
        <w:tc>
          <w:tcPr>
            <w:tcW w:w="3510" w:type="dxa"/>
          </w:tcPr>
          <w:p w14:paraId="21CE8CA2" w14:textId="77777777" w:rsidR="00830279" w:rsidRPr="00332366" w:rsidRDefault="00830279" w:rsidP="00332366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Sodium borate</w:t>
            </w:r>
          </w:p>
        </w:tc>
        <w:tc>
          <w:tcPr>
            <w:tcW w:w="1701" w:type="dxa"/>
          </w:tcPr>
          <w:p w14:paraId="0BF5DAA4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1303-96-4</w:t>
            </w:r>
          </w:p>
        </w:tc>
        <w:tc>
          <w:tcPr>
            <w:tcW w:w="3402" w:type="dxa"/>
          </w:tcPr>
          <w:p w14:paraId="71D16EC0" w14:textId="77777777" w:rsidR="00830279" w:rsidRPr="00332366" w:rsidRDefault="00830279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0.004</w:t>
            </w:r>
          </w:p>
        </w:tc>
      </w:tr>
      <w:tr w:rsidR="000036D5" w:rsidRPr="004F48B1" w14:paraId="241C7A52" w14:textId="77777777" w:rsidTr="00482766">
        <w:trPr>
          <w:cantSplit/>
        </w:trPr>
        <w:tc>
          <w:tcPr>
            <w:tcW w:w="3510" w:type="dxa"/>
          </w:tcPr>
          <w:p w14:paraId="457E05D1" w14:textId="044DFD0F" w:rsidR="000036D5" w:rsidRPr="00332366" w:rsidRDefault="000036D5" w:rsidP="00332366">
            <w:pPr>
              <w:spacing w:before="40" w:after="40"/>
              <w:rPr>
                <w:rFonts w:cs="Arial"/>
                <w:sz w:val="20"/>
                <w:szCs w:val="20"/>
              </w:rPr>
            </w:pPr>
            <w:proofErr w:type="spellStart"/>
            <w:r w:rsidRPr="00332366">
              <w:rPr>
                <w:rFonts w:cs="Arial"/>
                <w:sz w:val="20"/>
                <w:szCs w:val="20"/>
              </w:rPr>
              <w:t>Glycidol</w:t>
            </w:r>
            <w:proofErr w:type="spellEnd"/>
          </w:p>
        </w:tc>
        <w:tc>
          <w:tcPr>
            <w:tcW w:w="1701" w:type="dxa"/>
          </w:tcPr>
          <w:p w14:paraId="0EB1E9E3" w14:textId="5BBAEF40" w:rsidR="000036D5" w:rsidRPr="00332366" w:rsidRDefault="000036D5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556-52-5</w:t>
            </w:r>
          </w:p>
        </w:tc>
        <w:tc>
          <w:tcPr>
            <w:tcW w:w="3402" w:type="dxa"/>
          </w:tcPr>
          <w:p w14:paraId="5A665D77" w14:textId="2DE6A4D3" w:rsidR="000036D5" w:rsidRPr="00332366" w:rsidRDefault="000036D5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0.0001</w:t>
            </w:r>
          </w:p>
        </w:tc>
      </w:tr>
      <w:tr w:rsidR="000036D5" w:rsidRPr="004F48B1" w14:paraId="4220373B" w14:textId="77777777" w:rsidTr="00482766">
        <w:trPr>
          <w:cantSplit/>
        </w:trPr>
        <w:tc>
          <w:tcPr>
            <w:tcW w:w="3510" w:type="dxa"/>
          </w:tcPr>
          <w:p w14:paraId="364C0EDD" w14:textId="5754EBBC" w:rsidR="000036D5" w:rsidRPr="00332366" w:rsidRDefault="002A0B48" w:rsidP="00332366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Glyceryl allyl ether</w:t>
            </w:r>
          </w:p>
        </w:tc>
        <w:tc>
          <w:tcPr>
            <w:tcW w:w="1701" w:type="dxa"/>
          </w:tcPr>
          <w:p w14:paraId="1EE3050F" w14:textId="77777777" w:rsidR="000036D5" w:rsidRPr="00332366" w:rsidRDefault="000036D5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123-34-2</w:t>
            </w:r>
          </w:p>
        </w:tc>
        <w:tc>
          <w:tcPr>
            <w:tcW w:w="3402" w:type="dxa"/>
          </w:tcPr>
          <w:p w14:paraId="0645E2F3" w14:textId="77777777" w:rsidR="000036D5" w:rsidRPr="00332366" w:rsidRDefault="000036D5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0.00005</w:t>
            </w:r>
          </w:p>
        </w:tc>
      </w:tr>
      <w:tr w:rsidR="000036D5" w:rsidRPr="004F48B1" w14:paraId="49E76438" w14:textId="77777777" w:rsidTr="00482766">
        <w:trPr>
          <w:cantSplit/>
        </w:trPr>
        <w:tc>
          <w:tcPr>
            <w:tcW w:w="3510" w:type="dxa"/>
          </w:tcPr>
          <w:p w14:paraId="29837A56" w14:textId="77777777" w:rsidR="000036D5" w:rsidRPr="00332366" w:rsidRDefault="000036D5" w:rsidP="00332366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 xml:space="preserve">Allyl </w:t>
            </w:r>
            <w:proofErr w:type="spellStart"/>
            <w:r w:rsidRPr="00332366">
              <w:rPr>
                <w:rFonts w:cs="Arial"/>
                <w:sz w:val="20"/>
                <w:szCs w:val="20"/>
              </w:rPr>
              <w:t>glycidyl</w:t>
            </w:r>
            <w:proofErr w:type="spellEnd"/>
            <w:r w:rsidRPr="00332366">
              <w:rPr>
                <w:rFonts w:cs="Arial"/>
                <w:sz w:val="20"/>
                <w:szCs w:val="20"/>
              </w:rPr>
              <w:t xml:space="preserve"> ether</w:t>
            </w:r>
          </w:p>
        </w:tc>
        <w:tc>
          <w:tcPr>
            <w:tcW w:w="1701" w:type="dxa"/>
          </w:tcPr>
          <w:p w14:paraId="33F90903" w14:textId="77777777" w:rsidR="000036D5" w:rsidRPr="00332366" w:rsidRDefault="000036D5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106-92-3</w:t>
            </w:r>
          </w:p>
        </w:tc>
        <w:tc>
          <w:tcPr>
            <w:tcW w:w="3402" w:type="dxa"/>
          </w:tcPr>
          <w:p w14:paraId="73DB94C6" w14:textId="77777777" w:rsidR="000036D5" w:rsidRPr="00332366" w:rsidRDefault="000036D5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0.00001</w:t>
            </w:r>
          </w:p>
        </w:tc>
      </w:tr>
      <w:tr w:rsidR="000036D5" w:rsidRPr="004F48B1" w14:paraId="788DB86C" w14:textId="77777777" w:rsidTr="00482766">
        <w:trPr>
          <w:cantSplit/>
        </w:trPr>
        <w:tc>
          <w:tcPr>
            <w:tcW w:w="3510" w:type="dxa"/>
          </w:tcPr>
          <w:p w14:paraId="309C9BAD" w14:textId="6F21C650" w:rsidR="000036D5" w:rsidRPr="00332366" w:rsidRDefault="000036D5" w:rsidP="00332366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3-Chloropropane-1,2-diol</w:t>
            </w:r>
          </w:p>
        </w:tc>
        <w:tc>
          <w:tcPr>
            <w:tcW w:w="1701" w:type="dxa"/>
          </w:tcPr>
          <w:p w14:paraId="030D16D1" w14:textId="7B718F56" w:rsidR="000036D5" w:rsidRPr="00332366" w:rsidRDefault="000036D5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96-24-2</w:t>
            </w:r>
          </w:p>
        </w:tc>
        <w:tc>
          <w:tcPr>
            <w:tcW w:w="3402" w:type="dxa"/>
          </w:tcPr>
          <w:p w14:paraId="2830F0AC" w14:textId="2757D20B" w:rsidR="000036D5" w:rsidRPr="00332366" w:rsidRDefault="000036D5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0.00005</w:t>
            </w:r>
          </w:p>
        </w:tc>
      </w:tr>
      <w:tr w:rsidR="000036D5" w:rsidRPr="004F48B1" w14:paraId="3BBEC4C9" w14:textId="77777777" w:rsidTr="00482766">
        <w:trPr>
          <w:cantSplit/>
        </w:trPr>
        <w:tc>
          <w:tcPr>
            <w:tcW w:w="3510" w:type="dxa"/>
          </w:tcPr>
          <w:p w14:paraId="4CFC8E96" w14:textId="77777777" w:rsidR="000036D5" w:rsidRPr="00332366" w:rsidRDefault="000036D5" w:rsidP="00332366">
            <w:pPr>
              <w:spacing w:before="40" w:after="40"/>
              <w:rPr>
                <w:rFonts w:cs="Arial"/>
                <w:sz w:val="20"/>
                <w:szCs w:val="20"/>
              </w:rPr>
            </w:pPr>
            <w:proofErr w:type="spellStart"/>
            <w:r w:rsidRPr="00332366">
              <w:rPr>
                <w:rFonts w:cs="Arial"/>
                <w:sz w:val="20"/>
                <w:szCs w:val="20"/>
              </w:rPr>
              <w:t>Epichlorohydrin</w:t>
            </w:r>
            <w:proofErr w:type="spellEnd"/>
          </w:p>
        </w:tc>
        <w:tc>
          <w:tcPr>
            <w:tcW w:w="1701" w:type="dxa"/>
          </w:tcPr>
          <w:p w14:paraId="0FF6ECF5" w14:textId="77777777" w:rsidR="000036D5" w:rsidRPr="00332366" w:rsidRDefault="000036D5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106-89-8</w:t>
            </w:r>
          </w:p>
        </w:tc>
        <w:tc>
          <w:tcPr>
            <w:tcW w:w="3402" w:type="dxa"/>
          </w:tcPr>
          <w:p w14:paraId="0EED2C07" w14:textId="77777777" w:rsidR="000036D5" w:rsidRPr="00332366" w:rsidRDefault="000036D5" w:rsidP="00FC2AA8">
            <w:pPr>
              <w:keepNext/>
              <w:spacing w:before="40" w:after="40"/>
              <w:rPr>
                <w:rFonts w:cs="Arial"/>
                <w:sz w:val="20"/>
                <w:szCs w:val="20"/>
              </w:rPr>
            </w:pPr>
            <w:r w:rsidRPr="00332366">
              <w:rPr>
                <w:rFonts w:cs="Arial"/>
                <w:sz w:val="20"/>
                <w:szCs w:val="20"/>
              </w:rPr>
              <w:t>0.00001</w:t>
            </w:r>
          </w:p>
        </w:tc>
      </w:tr>
    </w:tbl>
    <w:p w14:paraId="06FE6497" w14:textId="03ECB066" w:rsidR="009B63E0" w:rsidRDefault="009B63E0" w:rsidP="008E3CB0">
      <w:bookmarkStart w:id="89" w:name="_Toc436304372"/>
      <w:bookmarkEnd w:id="86"/>
      <w:bookmarkEnd w:id="87"/>
      <w:bookmarkEnd w:id="88"/>
    </w:p>
    <w:p w14:paraId="4786C5B3" w14:textId="5CE9F04D" w:rsidR="00716CA8" w:rsidRDefault="00F25779" w:rsidP="006A7278">
      <w:r>
        <w:t>Any d</w:t>
      </w:r>
      <w:r w:rsidR="006A7278" w:rsidRPr="006A7278">
        <w:t>ifferences between US and Australia/New Zealand consum</w:t>
      </w:r>
      <w:r w:rsidR="006A7278">
        <w:t>ption of</w:t>
      </w:r>
      <w:r w:rsidR="006A7278" w:rsidRPr="006A7278">
        <w:t xml:space="preserve"> foods </w:t>
      </w:r>
      <w:r w:rsidR="006A7278">
        <w:t xml:space="preserve">included in the submitted dietary exposure estimates (namely </w:t>
      </w:r>
      <w:r w:rsidR="006A7278" w:rsidRPr="006A7278">
        <w:t>milk and milk products, fruit and fruit juices, fruit drinks, beer and wine</w:t>
      </w:r>
      <w:r w:rsidR="006A7278">
        <w:t>)</w:t>
      </w:r>
      <w:r w:rsidR="006A7278" w:rsidRPr="006A7278">
        <w:t xml:space="preserve"> would be expected to have a relatively small impact on the outcome of the dietary exposure </w:t>
      </w:r>
      <w:r>
        <w:t>assessment</w:t>
      </w:r>
      <w:r w:rsidR="002E29EB">
        <w:t xml:space="preserve"> which indicated that</w:t>
      </w:r>
      <w:r>
        <w:t xml:space="preserve"> estimated dietary exposure to all of the impurities is </w:t>
      </w:r>
      <w:r w:rsidRPr="00F25779">
        <w:t>exceedingly low</w:t>
      </w:r>
      <w:r>
        <w:t xml:space="preserve">. Therefore, </w:t>
      </w:r>
      <w:r w:rsidRPr="009B63E0">
        <w:t xml:space="preserve">FSANZ did not </w:t>
      </w:r>
      <w:r>
        <w:t xml:space="preserve">consider it necessary to </w:t>
      </w:r>
      <w:r w:rsidRPr="009B63E0">
        <w:t xml:space="preserve">conduct </w:t>
      </w:r>
      <w:r w:rsidR="002E29EB">
        <w:t xml:space="preserve">its own </w:t>
      </w:r>
      <w:r>
        <w:t>dietary exposure a</w:t>
      </w:r>
      <w:r w:rsidRPr="009B63E0">
        <w:t>ssessment.</w:t>
      </w:r>
    </w:p>
    <w:p w14:paraId="4BB8B7E5" w14:textId="2E8CBFE6" w:rsidR="00830279" w:rsidRPr="00730981" w:rsidRDefault="00830279" w:rsidP="00716CA8">
      <w:pPr>
        <w:pStyle w:val="Heading1"/>
        <w:ind w:left="0" w:firstLine="0"/>
        <w:rPr>
          <w:rFonts w:cs="Arial"/>
        </w:rPr>
      </w:pPr>
      <w:bookmarkStart w:id="90" w:name="_Toc442966878"/>
      <w:bookmarkStart w:id="91" w:name="_Toc442967408"/>
      <w:r>
        <w:t>5</w:t>
      </w:r>
      <w:r>
        <w:tab/>
      </w:r>
      <w:r w:rsidRPr="00E2707C">
        <w:t>Risk characterisation</w:t>
      </w:r>
      <w:bookmarkEnd w:id="89"/>
      <w:bookmarkEnd w:id="90"/>
      <w:bookmarkEnd w:id="91"/>
    </w:p>
    <w:p w14:paraId="6A80EE63" w14:textId="7EE0687E" w:rsidR="00A87AF1" w:rsidRPr="00A87AF1" w:rsidRDefault="00457353" w:rsidP="00A87AF1">
      <w:pPr>
        <w:rPr>
          <w:rFonts w:cs="Arial"/>
        </w:rPr>
      </w:pPr>
      <w:r>
        <w:rPr>
          <w:rFonts w:cs="Arial"/>
        </w:rPr>
        <w:t>Theoretical estimates of</w:t>
      </w:r>
      <w:r w:rsidR="008F6024">
        <w:rPr>
          <w:rFonts w:cs="Arial"/>
        </w:rPr>
        <w:t xml:space="preserve"> dietary exposure to resin impurities, calculated using conservative assumptions,</w:t>
      </w:r>
      <w:r w:rsidR="00D242A6">
        <w:rPr>
          <w:rFonts w:cs="Arial"/>
        </w:rPr>
        <w:t xml:space="preserve"> </w:t>
      </w:r>
      <w:r w:rsidR="0081593D">
        <w:rPr>
          <w:rFonts w:cs="Arial"/>
        </w:rPr>
        <w:t>are</w:t>
      </w:r>
      <w:r w:rsidR="00D242A6">
        <w:rPr>
          <w:rFonts w:cs="Arial"/>
        </w:rPr>
        <w:t xml:space="preserve"> exceedingly low</w:t>
      </w:r>
      <w:r w:rsidR="00A7664B">
        <w:rPr>
          <w:rFonts w:cs="Arial"/>
        </w:rPr>
        <w:t xml:space="preserve">. </w:t>
      </w:r>
      <w:r w:rsidR="0081593D">
        <w:rPr>
          <w:rFonts w:cs="Arial"/>
        </w:rPr>
        <w:t>For example, estimated dietary exposure to 3-chloro-1</w:t>
      </w:r>
      <w:proofErr w:type="gramStart"/>
      <w:r w:rsidR="0081593D">
        <w:rPr>
          <w:rFonts w:cs="Arial"/>
        </w:rPr>
        <w:t>,2</w:t>
      </w:r>
      <w:proofErr w:type="gramEnd"/>
      <w:r w:rsidR="0081593D">
        <w:rPr>
          <w:rFonts w:cs="Arial"/>
        </w:rPr>
        <w:t>-propanediol is only</w:t>
      </w:r>
      <w:r w:rsidR="0081593D" w:rsidRPr="0081593D">
        <w:rPr>
          <w:rFonts w:cs="Arial"/>
        </w:rPr>
        <w:t xml:space="preserve"> </w:t>
      </w:r>
      <w:r w:rsidR="0081593D">
        <w:rPr>
          <w:rFonts w:cs="Arial"/>
        </w:rPr>
        <w:t xml:space="preserve">0.0025% of the JECFA PMTDI of </w:t>
      </w:r>
      <w:r w:rsidR="0081593D" w:rsidRPr="0081593D">
        <w:rPr>
          <w:rFonts w:cs="Arial"/>
        </w:rPr>
        <w:t xml:space="preserve">2 µg/kg </w:t>
      </w:r>
      <w:proofErr w:type="spellStart"/>
      <w:r w:rsidR="0081593D" w:rsidRPr="0081593D">
        <w:rPr>
          <w:rFonts w:cs="Arial"/>
        </w:rPr>
        <w:t>bw</w:t>
      </w:r>
      <w:proofErr w:type="spellEnd"/>
      <w:r w:rsidR="0081593D">
        <w:rPr>
          <w:rFonts w:cs="Arial"/>
        </w:rPr>
        <w:t>.</w:t>
      </w:r>
      <w:r w:rsidR="00A7664B">
        <w:rPr>
          <w:rFonts w:cs="Arial"/>
        </w:rPr>
        <w:t xml:space="preserve"> </w:t>
      </w:r>
      <w:r w:rsidR="00A133E4" w:rsidRPr="00A133E4">
        <w:rPr>
          <w:rFonts w:cs="Arial"/>
        </w:rPr>
        <w:t xml:space="preserve">Estimated dietary exposure to genotoxic and potentially carcinogenic substances </w:t>
      </w:r>
      <w:r w:rsidR="00E63F17">
        <w:rPr>
          <w:rFonts w:cs="Arial"/>
        </w:rPr>
        <w:t>was calculated to range</w:t>
      </w:r>
      <w:r w:rsidR="00A133E4" w:rsidRPr="00A133E4">
        <w:rPr>
          <w:rFonts w:cs="Arial"/>
        </w:rPr>
        <w:t xml:space="preserve"> from 0.01 to 0.05 </w:t>
      </w:r>
      <w:proofErr w:type="spellStart"/>
      <w:r w:rsidR="00A133E4" w:rsidRPr="00A133E4">
        <w:rPr>
          <w:rFonts w:cs="Arial"/>
        </w:rPr>
        <w:t>nanograms</w:t>
      </w:r>
      <w:proofErr w:type="spellEnd"/>
      <w:r w:rsidR="00A133E4" w:rsidRPr="00A133E4">
        <w:rPr>
          <w:rFonts w:cs="Arial"/>
        </w:rPr>
        <w:t xml:space="preserve">/kg </w:t>
      </w:r>
      <w:proofErr w:type="spellStart"/>
      <w:r w:rsidR="00A133E4" w:rsidRPr="00A133E4">
        <w:rPr>
          <w:rFonts w:cs="Arial"/>
        </w:rPr>
        <w:t>bw</w:t>
      </w:r>
      <w:proofErr w:type="spellEnd"/>
      <w:r w:rsidR="00A133E4" w:rsidRPr="00A133E4">
        <w:rPr>
          <w:rFonts w:cs="Arial"/>
        </w:rPr>
        <w:t>/day</w:t>
      </w:r>
      <w:r w:rsidR="00A133E4">
        <w:rPr>
          <w:rFonts w:cs="Arial"/>
        </w:rPr>
        <w:t>.</w:t>
      </w:r>
      <w:r>
        <w:rPr>
          <w:rFonts w:cs="Arial"/>
        </w:rPr>
        <w:t xml:space="preserve"> </w:t>
      </w:r>
      <w:r w:rsidR="00D76AB4">
        <w:rPr>
          <w:rFonts w:cs="Arial"/>
        </w:rPr>
        <w:t>These dietar</w:t>
      </w:r>
      <w:r w:rsidR="00032CB5">
        <w:rPr>
          <w:rFonts w:cs="Arial"/>
        </w:rPr>
        <w:t>y exposure values are 50 to 250–</w:t>
      </w:r>
      <w:r w:rsidR="00D76AB4">
        <w:rPr>
          <w:rFonts w:cs="Arial"/>
        </w:rPr>
        <w:t>times lower than the threshold of toxicological</w:t>
      </w:r>
      <w:r w:rsidR="00C777E6">
        <w:rPr>
          <w:rFonts w:cs="Arial"/>
        </w:rPr>
        <w:t xml:space="preserve"> concern derived from </w:t>
      </w:r>
      <w:r w:rsidR="00E63F17">
        <w:rPr>
          <w:rFonts w:cs="Arial"/>
        </w:rPr>
        <w:t xml:space="preserve">toxicity </w:t>
      </w:r>
      <w:r w:rsidR="00C777E6">
        <w:rPr>
          <w:rFonts w:cs="Arial"/>
        </w:rPr>
        <w:t>data on</w:t>
      </w:r>
      <w:r w:rsidR="00D76AB4">
        <w:rPr>
          <w:rFonts w:cs="Arial"/>
        </w:rPr>
        <w:t xml:space="preserve"> known carcinogenic </w:t>
      </w:r>
      <w:r w:rsidR="00A7664B">
        <w:rPr>
          <w:rFonts w:cs="Arial"/>
        </w:rPr>
        <w:t>substances</w:t>
      </w:r>
      <w:r w:rsidR="00D76AB4">
        <w:rPr>
          <w:rFonts w:cs="Arial"/>
        </w:rPr>
        <w:t xml:space="preserve"> (0.00</w:t>
      </w:r>
      <w:r w:rsidR="00C777E6">
        <w:rPr>
          <w:rFonts w:cs="Arial"/>
        </w:rPr>
        <w:t>25 </w:t>
      </w:r>
      <w:r w:rsidR="00D76AB4">
        <w:rPr>
          <w:rFonts w:cs="Arial"/>
        </w:rPr>
        <w:t>µ</w:t>
      </w:r>
      <w:r w:rsidR="00C777E6">
        <w:rPr>
          <w:rFonts w:cs="Arial"/>
        </w:rPr>
        <w:t>g/kg </w:t>
      </w:r>
      <w:proofErr w:type="spellStart"/>
      <w:r w:rsidR="00D76AB4">
        <w:rPr>
          <w:rFonts w:cs="Arial"/>
        </w:rPr>
        <w:t>bw</w:t>
      </w:r>
      <w:proofErr w:type="spellEnd"/>
      <w:r w:rsidR="00D76AB4">
        <w:rPr>
          <w:rFonts w:cs="Arial"/>
        </w:rPr>
        <w:t>/day = 2.5 </w:t>
      </w:r>
      <w:proofErr w:type="spellStart"/>
      <w:r w:rsidR="00D76AB4">
        <w:rPr>
          <w:rFonts w:cs="Arial"/>
        </w:rPr>
        <w:t>nanograms</w:t>
      </w:r>
      <w:proofErr w:type="spellEnd"/>
      <w:r w:rsidR="00D76AB4">
        <w:rPr>
          <w:rFonts w:cs="Arial"/>
        </w:rPr>
        <w:t>/kg </w:t>
      </w:r>
      <w:proofErr w:type="spellStart"/>
      <w:r w:rsidR="00D76AB4">
        <w:rPr>
          <w:rFonts w:cs="Arial"/>
        </w:rPr>
        <w:t>bw</w:t>
      </w:r>
      <w:proofErr w:type="spellEnd"/>
      <w:r w:rsidR="00D76AB4">
        <w:rPr>
          <w:rFonts w:cs="Arial"/>
        </w:rPr>
        <w:t>/day;</w:t>
      </w:r>
      <w:r w:rsidR="00D76AB4" w:rsidRPr="00D76AB4">
        <w:rPr>
          <w:rFonts w:cs="Arial"/>
        </w:rPr>
        <w:t xml:space="preserve"> </w:t>
      </w:r>
      <w:proofErr w:type="spellStart"/>
      <w:r w:rsidR="00D76AB4">
        <w:rPr>
          <w:rFonts w:cs="Arial"/>
        </w:rPr>
        <w:t>Kroes</w:t>
      </w:r>
      <w:proofErr w:type="spellEnd"/>
      <w:r w:rsidR="00D76AB4">
        <w:rPr>
          <w:rFonts w:cs="Arial"/>
        </w:rPr>
        <w:t xml:space="preserve"> et al 2004). </w:t>
      </w:r>
      <w:r w:rsidR="00402A3C">
        <w:rPr>
          <w:rFonts w:cs="Arial"/>
        </w:rPr>
        <w:t xml:space="preserve">It is concluded that </w:t>
      </w:r>
      <w:r w:rsidR="00E72D4B">
        <w:rPr>
          <w:rFonts w:cs="Arial"/>
        </w:rPr>
        <w:t xml:space="preserve">theoretical </w:t>
      </w:r>
      <w:r w:rsidR="00D108F3">
        <w:rPr>
          <w:rFonts w:cs="Arial"/>
        </w:rPr>
        <w:t>estimates of</w:t>
      </w:r>
      <w:r w:rsidR="00402A3C">
        <w:rPr>
          <w:rFonts w:cs="Arial"/>
        </w:rPr>
        <w:t xml:space="preserve"> </w:t>
      </w:r>
      <w:r w:rsidR="00A87AF1" w:rsidRPr="00A87AF1">
        <w:rPr>
          <w:rFonts w:cs="Arial"/>
        </w:rPr>
        <w:t>dietary exposure to resin impurities, calculated using conservative assumptions, provide confirmation that potential impurity levels are of no toxicological concern.</w:t>
      </w:r>
    </w:p>
    <w:p w14:paraId="3A030974" w14:textId="53D233D3" w:rsidR="00482766" w:rsidRDefault="00482766" w:rsidP="00830279">
      <w:pPr>
        <w:rPr>
          <w:rFonts w:cs="Arial"/>
        </w:rPr>
      </w:pPr>
      <w:r>
        <w:rPr>
          <w:rFonts w:cs="Arial"/>
        </w:rPr>
        <w:br w:type="page"/>
      </w:r>
    </w:p>
    <w:p w14:paraId="1C249791" w14:textId="26323E96" w:rsidR="0007665C" w:rsidRPr="0007665C" w:rsidRDefault="007A4C75" w:rsidP="0007665C">
      <w:pPr>
        <w:widowControl/>
        <w:rPr>
          <w:rFonts w:cs="Arial"/>
          <w:b/>
          <w:bCs/>
          <w:kern w:val="36"/>
          <w:sz w:val="36"/>
          <w:szCs w:val="36"/>
          <w:u w:val="single"/>
          <w:lang w:val="en-AU" w:eastAsia="en-AU"/>
        </w:rPr>
      </w:pPr>
      <w:r>
        <w:rPr>
          <w:rFonts w:cs="Arial"/>
        </w:rPr>
        <w:lastRenderedPageBreak/>
        <w:t>T</w:t>
      </w:r>
      <w:r w:rsidR="00830279">
        <w:rPr>
          <w:rFonts w:cs="Arial"/>
        </w:rPr>
        <w:t xml:space="preserve">here are no </w:t>
      </w:r>
      <w:r w:rsidR="0007665C">
        <w:rPr>
          <w:rFonts w:cs="Arial"/>
        </w:rPr>
        <w:t xml:space="preserve">identifiable </w:t>
      </w:r>
      <w:r w:rsidR="00830279">
        <w:rPr>
          <w:rFonts w:cs="Arial"/>
        </w:rPr>
        <w:t>public health and safety concerns with the proposed</w:t>
      </w:r>
      <w:r w:rsidR="008F6024">
        <w:rPr>
          <w:rFonts w:cs="Arial"/>
        </w:rPr>
        <w:t xml:space="preserve"> use of the ion</w:t>
      </w:r>
      <w:r w:rsidR="00AE78EB">
        <w:rPr>
          <w:rFonts w:cs="Arial"/>
        </w:rPr>
        <w:t xml:space="preserve"> </w:t>
      </w:r>
      <w:r w:rsidR="008F6024">
        <w:rPr>
          <w:rFonts w:cs="Arial"/>
        </w:rPr>
        <w:t xml:space="preserve">exchange resin as a processing aid for the isolation of </w:t>
      </w:r>
      <w:proofErr w:type="spellStart"/>
      <w:r w:rsidR="008F6024">
        <w:rPr>
          <w:rFonts w:cs="Arial"/>
        </w:rPr>
        <w:t>lactoferrin</w:t>
      </w:r>
      <w:proofErr w:type="spellEnd"/>
      <w:r w:rsidR="008F6024">
        <w:rPr>
          <w:rFonts w:cs="Arial"/>
        </w:rPr>
        <w:t xml:space="preserve"> from bovine milk/whey.</w:t>
      </w:r>
    </w:p>
    <w:p w14:paraId="57116DB2" w14:textId="118DE812" w:rsidR="00830279" w:rsidRPr="00AE75B4" w:rsidRDefault="007A4C75" w:rsidP="00830279">
      <w:pPr>
        <w:pStyle w:val="Heading1"/>
      </w:pPr>
      <w:bookmarkStart w:id="92" w:name="_Toc436304373"/>
      <w:bookmarkStart w:id="93" w:name="_Toc442966879"/>
      <w:bookmarkStart w:id="94" w:name="_Toc442967409"/>
      <w:r>
        <w:t>6</w:t>
      </w:r>
      <w:r w:rsidR="00830279" w:rsidRPr="00AE75B4">
        <w:tab/>
      </w:r>
      <w:r w:rsidR="00830279" w:rsidRPr="00BE6B88">
        <w:t>References</w:t>
      </w:r>
      <w:bookmarkEnd w:id="92"/>
      <w:bookmarkEnd w:id="93"/>
      <w:bookmarkEnd w:id="94"/>
    </w:p>
    <w:p w14:paraId="2DFD88CC" w14:textId="15667431" w:rsidR="00D430CD" w:rsidRPr="00D430CD" w:rsidRDefault="00D430CD" w:rsidP="00D430CD">
      <w:pPr>
        <w:rPr>
          <w:sz w:val="20"/>
        </w:rPr>
      </w:pPr>
      <w:r>
        <w:rPr>
          <w:sz w:val="20"/>
        </w:rPr>
        <w:t>Dean B</w:t>
      </w:r>
      <w:r w:rsidR="00542AA1">
        <w:rPr>
          <w:sz w:val="20"/>
        </w:rPr>
        <w:t>J,</w:t>
      </w:r>
      <w:r w:rsidRPr="00D430CD">
        <w:rPr>
          <w:sz w:val="20"/>
        </w:rPr>
        <w:t xml:space="preserve"> Brooks TM</w:t>
      </w:r>
      <w:r>
        <w:rPr>
          <w:sz w:val="20"/>
        </w:rPr>
        <w:t xml:space="preserve">, </w:t>
      </w:r>
      <w:proofErr w:type="spellStart"/>
      <w:r>
        <w:rPr>
          <w:sz w:val="20"/>
        </w:rPr>
        <w:t>Hodson</w:t>
      </w:r>
      <w:proofErr w:type="spellEnd"/>
      <w:r>
        <w:rPr>
          <w:sz w:val="20"/>
        </w:rPr>
        <w:t>-Walker G and Hutson DH</w:t>
      </w:r>
      <w:r w:rsidRPr="00D430CD">
        <w:rPr>
          <w:sz w:val="20"/>
        </w:rPr>
        <w:t xml:space="preserve"> (1985) Genetic toxicology testing of 41</w:t>
      </w:r>
    </w:p>
    <w:p w14:paraId="0ADB7391" w14:textId="28D66725" w:rsidR="00D430CD" w:rsidRDefault="00D430CD" w:rsidP="00D430CD">
      <w:pPr>
        <w:rPr>
          <w:sz w:val="20"/>
        </w:rPr>
      </w:pPr>
      <w:proofErr w:type="gramStart"/>
      <w:r w:rsidRPr="00D430CD">
        <w:rPr>
          <w:sz w:val="20"/>
        </w:rPr>
        <w:t>industrial</w:t>
      </w:r>
      <w:proofErr w:type="gramEnd"/>
      <w:r w:rsidRPr="00D430CD">
        <w:rPr>
          <w:sz w:val="20"/>
        </w:rPr>
        <w:t xml:space="preserve"> c</w:t>
      </w:r>
      <w:r>
        <w:rPr>
          <w:sz w:val="20"/>
        </w:rPr>
        <w:t>hemicals. Mutation Research 153:</w:t>
      </w:r>
      <w:r w:rsidRPr="00D430CD">
        <w:rPr>
          <w:sz w:val="20"/>
        </w:rPr>
        <w:t>57-77.</w:t>
      </w:r>
    </w:p>
    <w:p w14:paraId="4266FE1F" w14:textId="77777777" w:rsidR="00D430CD" w:rsidRDefault="00D430CD" w:rsidP="002D5AD8">
      <w:pPr>
        <w:rPr>
          <w:sz w:val="20"/>
        </w:rPr>
      </w:pPr>
    </w:p>
    <w:p w14:paraId="08BBBD75" w14:textId="77777777" w:rsidR="002D5AD8" w:rsidRPr="002D5AD8" w:rsidRDefault="002D5AD8" w:rsidP="002D5AD8">
      <w:pPr>
        <w:rPr>
          <w:sz w:val="20"/>
        </w:rPr>
      </w:pPr>
      <w:proofErr w:type="gramStart"/>
      <w:r>
        <w:rPr>
          <w:sz w:val="20"/>
        </w:rPr>
        <w:t xml:space="preserve">FAO/WHO (2011) </w:t>
      </w:r>
      <w:r w:rsidRPr="002D5AD8">
        <w:rPr>
          <w:sz w:val="20"/>
        </w:rPr>
        <w:t>Environmental Health Criteria 240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 w:rsidRPr="002D5AD8">
        <w:rPr>
          <w:sz w:val="20"/>
        </w:rPr>
        <w:t>Principles and methods for the risk assessment of chemicals in food</w:t>
      </w:r>
      <w:r>
        <w:rPr>
          <w:sz w:val="20"/>
        </w:rPr>
        <w:t>.</w:t>
      </w:r>
      <w:proofErr w:type="gramEnd"/>
      <w:r w:rsidRPr="002D5AD8">
        <w:rPr>
          <w:sz w:val="20"/>
        </w:rPr>
        <w:t xml:space="preserve"> </w:t>
      </w:r>
      <w:proofErr w:type="gramStart"/>
      <w:r>
        <w:rPr>
          <w:sz w:val="20"/>
        </w:rPr>
        <w:t>International Programme o</w:t>
      </w:r>
      <w:r w:rsidRPr="002D5AD8">
        <w:rPr>
          <w:sz w:val="20"/>
        </w:rPr>
        <w:t>n Chemical Safety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r w:rsidRPr="002D5AD8">
        <w:rPr>
          <w:sz w:val="20"/>
        </w:rPr>
        <w:t>Food and Agriculture</w:t>
      </w:r>
    </w:p>
    <w:p w14:paraId="3A83D24A" w14:textId="3ED7F7EB" w:rsidR="002D5AD8" w:rsidRPr="002D5AD8" w:rsidRDefault="002D5AD8" w:rsidP="002D5AD8">
      <w:pPr>
        <w:rPr>
          <w:sz w:val="20"/>
        </w:rPr>
      </w:pPr>
      <w:proofErr w:type="gramStart"/>
      <w:r w:rsidRPr="002D5AD8">
        <w:rPr>
          <w:sz w:val="20"/>
        </w:rPr>
        <w:t>Organization of the</w:t>
      </w:r>
      <w:r>
        <w:rPr>
          <w:sz w:val="20"/>
        </w:rPr>
        <w:t xml:space="preserve"> </w:t>
      </w:r>
      <w:r w:rsidRPr="002D5AD8">
        <w:rPr>
          <w:sz w:val="20"/>
        </w:rPr>
        <w:t>United Nations</w:t>
      </w:r>
      <w:r>
        <w:rPr>
          <w:sz w:val="20"/>
        </w:rPr>
        <w:t>, and World Health Organization.</w:t>
      </w:r>
      <w:proofErr w:type="gramEnd"/>
    </w:p>
    <w:p w14:paraId="6E272F2E" w14:textId="77777777" w:rsidR="002D5AD8" w:rsidRPr="002D5AD8" w:rsidRDefault="002D5AD8" w:rsidP="002D5AD8">
      <w:pPr>
        <w:rPr>
          <w:sz w:val="20"/>
        </w:rPr>
      </w:pPr>
    </w:p>
    <w:p w14:paraId="3F0A6CEA" w14:textId="139BBD3A" w:rsidR="00EC5370" w:rsidRPr="00EC5370" w:rsidRDefault="00EC5370" w:rsidP="00EC5370">
      <w:pPr>
        <w:rPr>
          <w:sz w:val="20"/>
        </w:rPr>
      </w:pPr>
      <w:proofErr w:type="gramStart"/>
      <w:r>
        <w:rPr>
          <w:sz w:val="20"/>
        </w:rPr>
        <w:t xml:space="preserve">FSANZ (2007) </w:t>
      </w:r>
      <w:r w:rsidRPr="00EC5370">
        <w:rPr>
          <w:sz w:val="20"/>
        </w:rPr>
        <w:t>Final Assessment Report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r w:rsidRPr="00EC5370">
        <w:rPr>
          <w:sz w:val="20"/>
        </w:rPr>
        <w:t>Application A600</w:t>
      </w:r>
      <w:r>
        <w:rPr>
          <w:sz w:val="20"/>
        </w:rPr>
        <w:t xml:space="preserve"> – Agarose </w:t>
      </w:r>
      <w:r w:rsidR="006A6A91">
        <w:rPr>
          <w:sz w:val="20"/>
        </w:rPr>
        <w:t>i</w:t>
      </w:r>
      <w:r>
        <w:rPr>
          <w:sz w:val="20"/>
        </w:rPr>
        <w:t xml:space="preserve">on </w:t>
      </w:r>
      <w:r w:rsidR="006A6A91">
        <w:rPr>
          <w:sz w:val="20"/>
        </w:rPr>
        <w:t>e</w:t>
      </w:r>
      <w:r>
        <w:rPr>
          <w:sz w:val="20"/>
        </w:rPr>
        <w:t xml:space="preserve">xchange </w:t>
      </w:r>
      <w:r w:rsidR="006A6A91">
        <w:rPr>
          <w:sz w:val="20"/>
        </w:rPr>
        <w:t>r</w:t>
      </w:r>
      <w:r>
        <w:rPr>
          <w:sz w:val="20"/>
        </w:rPr>
        <w:t>esin as a</w:t>
      </w:r>
    </w:p>
    <w:p w14:paraId="156E6F2D" w14:textId="2B2A3D93" w:rsidR="002D5AD8" w:rsidRDefault="006A6A91" w:rsidP="00EC5370">
      <w:pPr>
        <w:rPr>
          <w:sz w:val="20"/>
        </w:rPr>
      </w:pPr>
      <w:proofErr w:type="gramStart"/>
      <w:r>
        <w:rPr>
          <w:sz w:val="20"/>
        </w:rPr>
        <w:t>p</w:t>
      </w:r>
      <w:r w:rsidR="00EC5370">
        <w:rPr>
          <w:sz w:val="20"/>
        </w:rPr>
        <w:t>rocessing</w:t>
      </w:r>
      <w:proofErr w:type="gramEnd"/>
      <w:r w:rsidR="00EC5370">
        <w:rPr>
          <w:sz w:val="20"/>
        </w:rPr>
        <w:t xml:space="preserve"> </w:t>
      </w:r>
      <w:r>
        <w:rPr>
          <w:sz w:val="20"/>
        </w:rPr>
        <w:t>a</w:t>
      </w:r>
      <w:r w:rsidR="00EC5370">
        <w:rPr>
          <w:sz w:val="20"/>
        </w:rPr>
        <w:t>id f</w:t>
      </w:r>
      <w:r w:rsidR="00EC5370" w:rsidRPr="00EC5370">
        <w:rPr>
          <w:sz w:val="20"/>
        </w:rPr>
        <w:t xml:space="preserve">or </w:t>
      </w:r>
      <w:r>
        <w:rPr>
          <w:sz w:val="20"/>
        </w:rPr>
        <w:t>b</w:t>
      </w:r>
      <w:r w:rsidR="00EC5370" w:rsidRPr="00EC5370">
        <w:rPr>
          <w:sz w:val="20"/>
        </w:rPr>
        <w:t>eer</w:t>
      </w:r>
      <w:r w:rsidR="00EC5370">
        <w:rPr>
          <w:sz w:val="20"/>
        </w:rPr>
        <w:t>.</w:t>
      </w:r>
    </w:p>
    <w:p w14:paraId="001D782B" w14:textId="77777777" w:rsidR="00830279" w:rsidRDefault="00830279" w:rsidP="00830279">
      <w:pPr>
        <w:rPr>
          <w:sz w:val="20"/>
        </w:rPr>
      </w:pPr>
    </w:p>
    <w:p w14:paraId="0DE2B263" w14:textId="5C7FCC96" w:rsidR="00444005" w:rsidRPr="00444005" w:rsidRDefault="00444005" w:rsidP="00444005">
      <w:pPr>
        <w:rPr>
          <w:sz w:val="20"/>
        </w:rPr>
      </w:pPr>
      <w:r>
        <w:rPr>
          <w:sz w:val="20"/>
        </w:rPr>
        <w:t>Hine CH, Kodama JK, Wellington JS,</w:t>
      </w:r>
      <w:r w:rsidRPr="00444005">
        <w:rPr>
          <w:sz w:val="20"/>
        </w:rPr>
        <w:t xml:space="preserve"> Dunl</w:t>
      </w:r>
      <w:r>
        <w:rPr>
          <w:sz w:val="20"/>
        </w:rPr>
        <w:t>ap MK,</w:t>
      </w:r>
      <w:r w:rsidRPr="00444005">
        <w:rPr>
          <w:sz w:val="20"/>
        </w:rPr>
        <w:t xml:space="preserve"> </w:t>
      </w:r>
      <w:r>
        <w:rPr>
          <w:sz w:val="20"/>
        </w:rPr>
        <w:t xml:space="preserve">Anderson, HH (1956) </w:t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toxi</w:t>
      </w:r>
      <w:r w:rsidRPr="00444005">
        <w:rPr>
          <w:sz w:val="20"/>
        </w:rPr>
        <w:t xml:space="preserve">cology of </w:t>
      </w:r>
      <w:proofErr w:type="spellStart"/>
      <w:r w:rsidRPr="00444005">
        <w:rPr>
          <w:sz w:val="20"/>
        </w:rPr>
        <w:t>glycidol</w:t>
      </w:r>
      <w:proofErr w:type="spellEnd"/>
      <w:r w:rsidRPr="00444005">
        <w:rPr>
          <w:sz w:val="20"/>
        </w:rPr>
        <w:t xml:space="preserve"> and some </w:t>
      </w:r>
      <w:proofErr w:type="spellStart"/>
      <w:r w:rsidRPr="00444005">
        <w:rPr>
          <w:sz w:val="20"/>
        </w:rPr>
        <w:t>glycidyl</w:t>
      </w:r>
      <w:proofErr w:type="spellEnd"/>
      <w:r w:rsidRPr="00444005">
        <w:rPr>
          <w:sz w:val="20"/>
        </w:rPr>
        <w:t xml:space="preserve"> ethers. Arch. Ind. Health 14:250-264. </w:t>
      </w:r>
    </w:p>
    <w:p w14:paraId="75BF98DB" w14:textId="77777777" w:rsidR="00444005" w:rsidRDefault="00444005" w:rsidP="009C1005">
      <w:pPr>
        <w:rPr>
          <w:sz w:val="20"/>
        </w:rPr>
      </w:pPr>
    </w:p>
    <w:p w14:paraId="37B2711F" w14:textId="0FDC69D7" w:rsidR="00634275" w:rsidRDefault="00634275" w:rsidP="009C1005">
      <w:pPr>
        <w:rPr>
          <w:sz w:val="20"/>
        </w:rPr>
      </w:pPr>
      <w:proofErr w:type="gramStart"/>
      <w:r>
        <w:rPr>
          <w:sz w:val="20"/>
        </w:rPr>
        <w:t>IARC (1999)</w:t>
      </w:r>
      <w:r w:rsidRPr="00634275">
        <w:rPr>
          <w:sz w:val="20"/>
        </w:rPr>
        <w:t xml:space="preserve"> </w:t>
      </w:r>
      <w:proofErr w:type="spellStart"/>
      <w:r w:rsidRPr="00634275">
        <w:rPr>
          <w:sz w:val="20"/>
        </w:rPr>
        <w:t>Epichlorohydrin</w:t>
      </w:r>
      <w:proofErr w:type="spellEnd"/>
      <w:r w:rsidRPr="00634275">
        <w:rPr>
          <w:sz w:val="20"/>
        </w:rPr>
        <w:t>.</w:t>
      </w:r>
      <w:proofErr w:type="gramEnd"/>
      <w:r w:rsidRPr="00634275">
        <w:rPr>
          <w:sz w:val="20"/>
        </w:rPr>
        <w:t xml:space="preserve"> </w:t>
      </w:r>
      <w:proofErr w:type="gramStart"/>
      <w:r w:rsidRPr="00634275">
        <w:rPr>
          <w:sz w:val="20"/>
        </w:rPr>
        <w:t xml:space="preserve">In </w:t>
      </w:r>
      <w:r w:rsidRPr="00634275">
        <w:rPr>
          <w:i/>
          <w:iCs/>
          <w:sz w:val="20"/>
        </w:rPr>
        <w:t>Re-evaluation of Some Organic Chemicals, Hydrazine, and Hydrogen Peroxide.</w:t>
      </w:r>
      <w:proofErr w:type="gramEnd"/>
      <w:r w:rsidRPr="00634275">
        <w:rPr>
          <w:i/>
          <w:iCs/>
          <w:sz w:val="20"/>
        </w:rPr>
        <w:t xml:space="preserve"> </w:t>
      </w:r>
      <w:r w:rsidRPr="00634275">
        <w:rPr>
          <w:sz w:val="20"/>
        </w:rPr>
        <w:t>IARC Monographs on the Evaluation of Carcinogenic Risk of Chemicals to Humans,</w:t>
      </w:r>
      <w:r>
        <w:rPr>
          <w:sz w:val="20"/>
        </w:rPr>
        <w:t xml:space="preserve"> vol. 71,</w:t>
      </w:r>
      <w:r w:rsidRPr="00634275">
        <w:rPr>
          <w:sz w:val="20"/>
        </w:rPr>
        <w:t xml:space="preserve"> pp. 603-628.</w:t>
      </w:r>
      <w:r>
        <w:rPr>
          <w:sz w:val="20"/>
        </w:rPr>
        <w:t xml:space="preserve"> </w:t>
      </w:r>
      <w:proofErr w:type="gramStart"/>
      <w:r w:rsidRPr="00634275">
        <w:rPr>
          <w:sz w:val="20"/>
        </w:rPr>
        <w:t>International Agency for R</w:t>
      </w:r>
      <w:r w:rsidR="00BC1AEF">
        <w:rPr>
          <w:sz w:val="20"/>
        </w:rPr>
        <w:t>esearch on Cancer.</w:t>
      </w:r>
      <w:proofErr w:type="gramEnd"/>
      <w:r w:rsidR="00BC1AEF">
        <w:rPr>
          <w:sz w:val="20"/>
        </w:rPr>
        <w:t xml:space="preserve"> Lyon, France.</w:t>
      </w:r>
      <w:r w:rsidRPr="00634275">
        <w:rPr>
          <w:sz w:val="20"/>
        </w:rPr>
        <w:t xml:space="preserve"> </w:t>
      </w:r>
    </w:p>
    <w:p w14:paraId="2340CCF0" w14:textId="77777777" w:rsidR="00634275" w:rsidRDefault="00634275" w:rsidP="009C1005">
      <w:pPr>
        <w:rPr>
          <w:sz w:val="20"/>
        </w:rPr>
      </w:pPr>
    </w:p>
    <w:p w14:paraId="479D4CA9" w14:textId="0958917E" w:rsidR="00F81FE0" w:rsidRDefault="00F81FE0" w:rsidP="009C1005">
      <w:pPr>
        <w:rPr>
          <w:sz w:val="20"/>
        </w:rPr>
      </w:pPr>
      <w:proofErr w:type="gramStart"/>
      <w:r>
        <w:rPr>
          <w:sz w:val="20"/>
        </w:rPr>
        <w:t>IARC (2000)</w:t>
      </w:r>
      <w:r w:rsidRPr="00F81FE0">
        <w:rPr>
          <w:sz w:val="20"/>
        </w:rPr>
        <w:t xml:space="preserve"> </w:t>
      </w:r>
      <w:proofErr w:type="spellStart"/>
      <w:r w:rsidRPr="00F81FE0">
        <w:rPr>
          <w:sz w:val="20"/>
        </w:rPr>
        <w:t>Glycidol</w:t>
      </w:r>
      <w:proofErr w:type="spellEnd"/>
      <w:r w:rsidRPr="00F81FE0">
        <w:rPr>
          <w:sz w:val="20"/>
        </w:rPr>
        <w:t>.</w:t>
      </w:r>
      <w:proofErr w:type="gramEnd"/>
      <w:r w:rsidRPr="00F81FE0">
        <w:rPr>
          <w:sz w:val="20"/>
        </w:rPr>
        <w:t xml:space="preserve"> </w:t>
      </w:r>
      <w:proofErr w:type="gramStart"/>
      <w:r w:rsidRPr="00F81FE0">
        <w:rPr>
          <w:sz w:val="20"/>
        </w:rPr>
        <w:t xml:space="preserve">In </w:t>
      </w:r>
      <w:r w:rsidRPr="00F81FE0">
        <w:rPr>
          <w:i/>
          <w:iCs/>
          <w:sz w:val="20"/>
        </w:rPr>
        <w:t>Some Industrial Chemicals.</w:t>
      </w:r>
      <w:proofErr w:type="gramEnd"/>
      <w:r w:rsidRPr="00F81FE0">
        <w:rPr>
          <w:i/>
          <w:iCs/>
          <w:sz w:val="20"/>
        </w:rPr>
        <w:t xml:space="preserve"> </w:t>
      </w:r>
      <w:proofErr w:type="gramStart"/>
      <w:r w:rsidRPr="00F81FE0">
        <w:rPr>
          <w:sz w:val="20"/>
        </w:rPr>
        <w:t>IARC Monographs on the Evaluation of Carcinogenic Risk of Chemicals to Humans, vol. 77.</w:t>
      </w:r>
      <w:proofErr w:type="gramEnd"/>
      <w:r w:rsidRPr="00F81FE0">
        <w:rPr>
          <w:sz w:val="20"/>
        </w:rPr>
        <w:t xml:space="preserve"> pp. 469-486. </w:t>
      </w:r>
      <w:proofErr w:type="gramStart"/>
      <w:r w:rsidRPr="00F81FE0">
        <w:rPr>
          <w:sz w:val="20"/>
        </w:rPr>
        <w:t>International Agency for Research on Cancer.</w:t>
      </w:r>
      <w:proofErr w:type="gramEnd"/>
      <w:r w:rsidRPr="00F81FE0">
        <w:rPr>
          <w:sz w:val="20"/>
        </w:rPr>
        <w:t xml:space="preserve"> Lyon, France</w:t>
      </w:r>
      <w:r>
        <w:rPr>
          <w:sz w:val="20"/>
        </w:rPr>
        <w:t>.</w:t>
      </w:r>
    </w:p>
    <w:p w14:paraId="0BA2C82F" w14:textId="77777777" w:rsidR="00F81FE0" w:rsidRDefault="00F81FE0" w:rsidP="009C1005">
      <w:pPr>
        <w:rPr>
          <w:sz w:val="20"/>
        </w:rPr>
      </w:pPr>
    </w:p>
    <w:p w14:paraId="48C835F0" w14:textId="54956BA3" w:rsidR="00C074D8" w:rsidRDefault="00C074D8" w:rsidP="00C074D8">
      <w:pPr>
        <w:rPr>
          <w:sz w:val="20"/>
        </w:rPr>
      </w:pPr>
      <w:proofErr w:type="spellStart"/>
      <w:r w:rsidRPr="00C074D8">
        <w:rPr>
          <w:sz w:val="20"/>
        </w:rPr>
        <w:t>Kroes</w:t>
      </w:r>
      <w:proofErr w:type="spellEnd"/>
      <w:r w:rsidRPr="00C074D8">
        <w:rPr>
          <w:sz w:val="20"/>
        </w:rPr>
        <w:t xml:space="preserve"> R, Renwick AG, Cheeseman M, </w:t>
      </w:r>
      <w:proofErr w:type="spellStart"/>
      <w:r w:rsidRPr="00C074D8">
        <w:rPr>
          <w:sz w:val="20"/>
        </w:rPr>
        <w:t>Kleiner</w:t>
      </w:r>
      <w:proofErr w:type="spellEnd"/>
      <w:r w:rsidRPr="00C074D8">
        <w:rPr>
          <w:sz w:val="20"/>
        </w:rPr>
        <w:t xml:space="preserve"> J, </w:t>
      </w:r>
      <w:proofErr w:type="spellStart"/>
      <w:r w:rsidRPr="00C074D8">
        <w:rPr>
          <w:sz w:val="20"/>
        </w:rPr>
        <w:t>Mangelsdorf</w:t>
      </w:r>
      <w:proofErr w:type="spellEnd"/>
      <w:r w:rsidRPr="00C074D8">
        <w:rPr>
          <w:sz w:val="20"/>
        </w:rPr>
        <w:t xml:space="preserve"> I, </w:t>
      </w:r>
      <w:proofErr w:type="spellStart"/>
      <w:r w:rsidRPr="00C074D8">
        <w:rPr>
          <w:sz w:val="20"/>
        </w:rPr>
        <w:t>Piersma</w:t>
      </w:r>
      <w:proofErr w:type="spellEnd"/>
      <w:r w:rsidRPr="00C074D8">
        <w:rPr>
          <w:sz w:val="20"/>
        </w:rPr>
        <w:t xml:space="preserve"> A, </w:t>
      </w:r>
      <w:proofErr w:type="spellStart"/>
      <w:r w:rsidRPr="00C074D8">
        <w:rPr>
          <w:sz w:val="20"/>
        </w:rPr>
        <w:t>Schilter</w:t>
      </w:r>
      <w:proofErr w:type="spellEnd"/>
      <w:r w:rsidRPr="00C074D8">
        <w:rPr>
          <w:sz w:val="20"/>
        </w:rPr>
        <w:t xml:space="preserve"> B, </w:t>
      </w:r>
      <w:proofErr w:type="spellStart"/>
      <w:r w:rsidRPr="00C074D8">
        <w:rPr>
          <w:sz w:val="20"/>
        </w:rPr>
        <w:t>Schlatter</w:t>
      </w:r>
      <w:proofErr w:type="spellEnd"/>
      <w:r w:rsidRPr="00C074D8">
        <w:rPr>
          <w:sz w:val="20"/>
        </w:rPr>
        <w:t xml:space="preserve"> J, van </w:t>
      </w:r>
      <w:proofErr w:type="spellStart"/>
      <w:r w:rsidRPr="00C074D8">
        <w:rPr>
          <w:sz w:val="20"/>
        </w:rPr>
        <w:t>Schothorst</w:t>
      </w:r>
      <w:proofErr w:type="spellEnd"/>
      <w:r w:rsidRPr="00C074D8">
        <w:rPr>
          <w:sz w:val="20"/>
        </w:rPr>
        <w:t xml:space="preserve"> F, </w:t>
      </w:r>
      <w:proofErr w:type="spellStart"/>
      <w:r w:rsidRPr="00C074D8">
        <w:rPr>
          <w:sz w:val="20"/>
        </w:rPr>
        <w:t>Vos</w:t>
      </w:r>
      <w:proofErr w:type="spellEnd"/>
      <w:r w:rsidRPr="00C074D8">
        <w:rPr>
          <w:sz w:val="20"/>
        </w:rPr>
        <w:t xml:space="preserve"> JG, </w:t>
      </w:r>
      <w:proofErr w:type="spellStart"/>
      <w:r w:rsidRPr="00C074D8">
        <w:rPr>
          <w:sz w:val="20"/>
        </w:rPr>
        <w:t>Würtzen</w:t>
      </w:r>
      <w:proofErr w:type="spellEnd"/>
      <w:r w:rsidRPr="00C074D8">
        <w:rPr>
          <w:sz w:val="20"/>
        </w:rPr>
        <w:t xml:space="preserve"> G </w:t>
      </w:r>
      <w:r>
        <w:rPr>
          <w:sz w:val="20"/>
        </w:rPr>
        <w:t xml:space="preserve">(2004) </w:t>
      </w:r>
      <w:r w:rsidRPr="00C074D8">
        <w:rPr>
          <w:sz w:val="20"/>
        </w:rPr>
        <w:t>Structure-based thresholds of toxicological concern (TTC): guidance for application to substances present at low levels in the diet.</w:t>
      </w:r>
      <w:r>
        <w:rPr>
          <w:sz w:val="20"/>
        </w:rPr>
        <w:t xml:space="preserve"> </w:t>
      </w:r>
      <w:proofErr w:type="gramStart"/>
      <w:r w:rsidRPr="00C074D8">
        <w:rPr>
          <w:sz w:val="20"/>
        </w:rPr>
        <w:t xml:space="preserve">Food </w:t>
      </w:r>
      <w:proofErr w:type="spellStart"/>
      <w:r w:rsidRPr="00C074D8">
        <w:rPr>
          <w:sz w:val="20"/>
        </w:rPr>
        <w:t>Chem</w:t>
      </w:r>
      <w:proofErr w:type="spellEnd"/>
      <w:r w:rsidRPr="00C074D8">
        <w:rPr>
          <w:sz w:val="20"/>
        </w:rPr>
        <w:t xml:space="preserve"> </w:t>
      </w:r>
      <w:proofErr w:type="spellStart"/>
      <w:r w:rsidRPr="00C074D8">
        <w:rPr>
          <w:sz w:val="20"/>
        </w:rPr>
        <w:t>Toxicol</w:t>
      </w:r>
      <w:proofErr w:type="spellEnd"/>
      <w:r w:rsidRPr="00C074D8">
        <w:rPr>
          <w:sz w:val="20"/>
        </w:rPr>
        <w:t>.</w:t>
      </w:r>
      <w:proofErr w:type="gramEnd"/>
      <w:r w:rsidRPr="00C074D8">
        <w:rPr>
          <w:sz w:val="20"/>
        </w:rPr>
        <w:t xml:space="preserve"> </w:t>
      </w:r>
      <w:r>
        <w:rPr>
          <w:sz w:val="20"/>
        </w:rPr>
        <w:t>42(1):65-83.</w:t>
      </w:r>
    </w:p>
    <w:p w14:paraId="7E2CB7C7" w14:textId="77777777" w:rsidR="00C074D8" w:rsidRDefault="00C074D8" w:rsidP="009C1005">
      <w:pPr>
        <w:rPr>
          <w:sz w:val="20"/>
        </w:rPr>
      </w:pPr>
    </w:p>
    <w:p w14:paraId="7C60F3BF" w14:textId="36ECA573" w:rsidR="009C1005" w:rsidRDefault="009C1005" w:rsidP="009C1005">
      <w:pPr>
        <w:rPr>
          <w:sz w:val="20"/>
        </w:rPr>
      </w:pPr>
      <w:proofErr w:type="gramStart"/>
      <w:r>
        <w:rPr>
          <w:sz w:val="20"/>
        </w:rPr>
        <w:t>NTP (1987)</w:t>
      </w:r>
      <w:r w:rsidRPr="00A51B42">
        <w:rPr>
          <w:sz w:val="20"/>
        </w:rPr>
        <w:t>.</w:t>
      </w:r>
      <w:proofErr w:type="gramEnd"/>
      <w:r w:rsidRPr="00A51B42">
        <w:rPr>
          <w:sz w:val="20"/>
        </w:rPr>
        <w:t xml:space="preserve"> </w:t>
      </w:r>
      <w:proofErr w:type="gramStart"/>
      <w:r w:rsidRPr="00A51B42">
        <w:rPr>
          <w:sz w:val="20"/>
        </w:rPr>
        <w:t>Toxicology and</w:t>
      </w:r>
      <w:r w:rsidR="006A6A91">
        <w:rPr>
          <w:sz w:val="20"/>
        </w:rPr>
        <w:t xml:space="preserve"> carcinogenesis studies of b</w:t>
      </w:r>
      <w:r w:rsidRPr="00A51B42">
        <w:rPr>
          <w:sz w:val="20"/>
        </w:rPr>
        <w:t>oric Acid (CAS No. 10043-35-3) in B6C3F</w:t>
      </w:r>
      <w:r w:rsidRPr="00B23B1E">
        <w:rPr>
          <w:sz w:val="20"/>
          <w:vertAlign w:val="subscript"/>
        </w:rPr>
        <w:t>1</w:t>
      </w:r>
      <w:r w:rsidR="006A6A91">
        <w:rPr>
          <w:sz w:val="20"/>
        </w:rPr>
        <w:t xml:space="preserve"> m</w:t>
      </w:r>
      <w:r w:rsidRPr="00A51B42">
        <w:rPr>
          <w:sz w:val="20"/>
        </w:rPr>
        <w:t>ice.</w:t>
      </w:r>
      <w:proofErr w:type="gramEnd"/>
      <w:r w:rsidRPr="00A51B42">
        <w:rPr>
          <w:sz w:val="20"/>
        </w:rPr>
        <w:t xml:space="preserve"> </w:t>
      </w:r>
      <w:proofErr w:type="gramStart"/>
      <w:r w:rsidR="00B2130D" w:rsidRPr="00A51B42">
        <w:rPr>
          <w:sz w:val="20"/>
        </w:rPr>
        <w:t>National Toxicology Prog</w:t>
      </w:r>
      <w:r w:rsidR="00B2130D">
        <w:rPr>
          <w:sz w:val="20"/>
        </w:rPr>
        <w:t>ram</w:t>
      </w:r>
      <w:r w:rsidR="00FD6767">
        <w:rPr>
          <w:sz w:val="20"/>
        </w:rPr>
        <w:t>,</w:t>
      </w:r>
      <w:r w:rsidR="00B2130D">
        <w:rPr>
          <w:sz w:val="20"/>
        </w:rPr>
        <w:t xml:space="preserve"> Technical Report</w:t>
      </w:r>
      <w:r w:rsidR="006A6A91">
        <w:rPr>
          <w:sz w:val="20"/>
        </w:rPr>
        <w:t xml:space="preserve"> Series</w:t>
      </w:r>
      <w:r w:rsidR="00B2130D">
        <w:rPr>
          <w:sz w:val="20"/>
        </w:rPr>
        <w:t xml:space="preserve"> </w:t>
      </w:r>
      <w:r w:rsidR="006A6A91">
        <w:rPr>
          <w:sz w:val="20"/>
        </w:rPr>
        <w:t xml:space="preserve">No. </w:t>
      </w:r>
      <w:r w:rsidR="00B2130D" w:rsidRPr="00A51B42">
        <w:rPr>
          <w:sz w:val="20"/>
        </w:rPr>
        <w:t>324</w:t>
      </w:r>
      <w:r w:rsidR="00B2130D">
        <w:rPr>
          <w:sz w:val="20"/>
        </w:rPr>
        <w:t>.</w:t>
      </w:r>
      <w:proofErr w:type="gramEnd"/>
      <w:r w:rsidR="00B2130D">
        <w:rPr>
          <w:sz w:val="20"/>
        </w:rPr>
        <w:t xml:space="preserve"> </w:t>
      </w:r>
      <w:proofErr w:type="gramStart"/>
      <w:r w:rsidRPr="00A51B42">
        <w:rPr>
          <w:sz w:val="20"/>
        </w:rPr>
        <w:t>U.S. Department</w:t>
      </w:r>
      <w:r w:rsidR="00B2130D">
        <w:rPr>
          <w:sz w:val="20"/>
        </w:rPr>
        <w:t xml:space="preserve"> </w:t>
      </w:r>
      <w:r w:rsidRPr="00A51B42">
        <w:rPr>
          <w:sz w:val="20"/>
        </w:rPr>
        <w:t xml:space="preserve">of Health </w:t>
      </w:r>
      <w:r>
        <w:rPr>
          <w:sz w:val="20"/>
        </w:rPr>
        <w:t>and Human Serv</w:t>
      </w:r>
      <w:r w:rsidRPr="00A51B42">
        <w:rPr>
          <w:sz w:val="20"/>
        </w:rPr>
        <w:t>ic</w:t>
      </w:r>
      <w:r>
        <w:rPr>
          <w:sz w:val="20"/>
        </w:rPr>
        <w:t>es,</w:t>
      </w:r>
      <w:r w:rsidRPr="00A51B42">
        <w:rPr>
          <w:sz w:val="20"/>
        </w:rPr>
        <w:t xml:space="preserve"> </w:t>
      </w:r>
      <w:r>
        <w:rPr>
          <w:sz w:val="20"/>
        </w:rPr>
        <w:t xml:space="preserve">Public Health Service, </w:t>
      </w:r>
      <w:r w:rsidRPr="00A51B42">
        <w:rPr>
          <w:sz w:val="20"/>
        </w:rPr>
        <w:t>National Institute</w:t>
      </w:r>
      <w:r>
        <w:rPr>
          <w:sz w:val="20"/>
        </w:rPr>
        <w:t>s</w:t>
      </w:r>
      <w:r w:rsidRPr="00A51B42">
        <w:rPr>
          <w:sz w:val="20"/>
        </w:rPr>
        <w:t xml:space="preserve"> of Health.</w:t>
      </w:r>
      <w:proofErr w:type="gramEnd"/>
    </w:p>
    <w:p w14:paraId="74114DE5" w14:textId="77777777" w:rsidR="00B2130D" w:rsidRDefault="00B2130D" w:rsidP="009E1ADD">
      <w:pPr>
        <w:rPr>
          <w:sz w:val="20"/>
        </w:rPr>
      </w:pPr>
    </w:p>
    <w:p w14:paraId="14329515" w14:textId="210EE1D1" w:rsidR="00B2130D" w:rsidRDefault="00B2130D" w:rsidP="00B2130D">
      <w:pPr>
        <w:rPr>
          <w:sz w:val="20"/>
        </w:rPr>
      </w:pPr>
      <w:proofErr w:type="gramStart"/>
      <w:r w:rsidRPr="00B2130D">
        <w:rPr>
          <w:sz w:val="20"/>
        </w:rPr>
        <w:t>NTP (1990</w:t>
      </w:r>
      <w:r w:rsidR="00A80E2C">
        <w:rPr>
          <w:sz w:val="20"/>
        </w:rPr>
        <w:t>a</w:t>
      </w:r>
      <w:r w:rsidRPr="00B2130D">
        <w:rPr>
          <w:sz w:val="20"/>
        </w:rPr>
        <w:t xml:space="preserve">) </w:t>
      </w:r>
      <w:r w:rsidR="006A6A91">
        <w:rPr>
          <w:sz w:val="20"/>
        </w:rPr>
        <w:t>Toxicology and c</w:t>
      </w:r>
      <w:r w:rsidR="006A6A91" w:rsidRPr="00B2130D">
        <w:rPr>
          <w:sz w:val="20"/>
        </w:rPr>
        <w:t>arcinogenesis</w:t>
      </w:r>
      <w:r w:rsidR="006A6A91">
        <w:rPr>
          <w:sz w:val="20"/>
        </w:rPr>
        <w:t xml:space="preserve"> studies o</w:t>
      </w:r>
      <w:r w:rsidR="006A6A91" w:rsidRPr="00B2130D">
        <w:rPr>
          <w:sz w:val="20"/>
        </w:rPr>
        <w:t>f</w:t>
      </w:r>
      <w:r w:rsidR="006A6A91">
        <w:rPr>
          <w:sz w:val="20"/>
        </w:rPr>
        <w:t xml:space="preserve"> allyl </w:t>
      </w:r>
      <w:proofErr w:type="spellStart"/>
      <w:r w:rsidR="006A6A91">
        <w:rPr>
          <w:sz w:val="20"/>
        </w:rPr>
        <w:t>glycidyl</w:t>
      </w:r>
      <w:proofErr w:type="spellEnd"/>
      <w:r w:rsidR="006A6A91">
        <w:rPr>
          <w:sz w:val="20"/>
        </w:rPr>
        <w:t xml:space="preserve"> e</w:t>
      </w:r>
      <w:r w:rsidR="006A6A91" w:rsidRPr="00B2130D">
        <w:rPr>
          <w:sz w:val="20"/>
        </w:rPr>
        <w:t>ther</w:t>
      </w:r>
      <w:r w:rsidR="006A6A91">
        <w:rPr>
          <w:sz w:val="20"/>
        </w:rPr>
        <w:t xml:space="preserve"> (CAS</w:t>
      </w:r>
      <w:r w:rsidR="006A6A91" w:rsidRPr="00B2130D">
        <w:rPr>
          <w:sz w:val="20"/>
        </w:rPr>
        <w:t xml:space="preserve"> </w:t>
      </w:r>
      <w:r w:rsidR="00A80E2C">
        <w:rPr>
          <w:bCs/>
          <w:sz w:val="20"/>
        </w:rPr>
        <w:t>n</w:t>
      </w:r>
      <w:r w:rsidR="006A6A91" w:rsidRPr="00B2130D">
        <w:rPr>
          <w:bCs/>
          <w:sz w:val="20"/>
        </w:rPr>
        <w:t>o. 106-92-3)</w:t>
      </w:r>
      <w:r w:rsidR="006A6A91">
        <w:rPr>
          <w:bCs/>
          <w:sz w:val="20"/>
        </w:rPr>
        <w:t xml:space="preserve"> </w:t>
      </w:r>
      <w:r w:rsidR="006A6A91">
        <w:rPr>
          <w:sz w:val="20"/>
        </w:rPr>
        <w:t>in Osborne-Mendel r</w:t>
      </w:r>
      <w:r w:rsidR="006A6A91" w:rsidRPr="00B2130D">
        <w:rPr>
          <w:sz w:val="20"/>
        </w:rPr>
        <w:t>ats</w:t>
      </w:r>
      <w:r w:rsidR="006A6A91">
        <w:rPr>
          <w:sz w:val="20"/>
        </w:rPr>
        <w:t xml:space="preserve"> and B6C3F</w:t>
      </w:r>
      <w:r w:rsidR="006A6A91" w:rsidRPr="00B2130D">
        <w:rPr>
          <w:sz w:val="20"/>
          <w:vertAlign w:val="subscript"/>
        </w:rPr>
        <w:t>1</w:t>
      </w:r>
      <w:r w:rsidR="004D14F3">
        <w:rPr>
          <w:sz w:val="20"/>
        </w:rPr>
        <w:t xml:space="preserve"> m</w:t>
      </w:r>
      <w:r w:rsidR="006A6A91" w:rsidRPr="00B2130D">
        <w:rPr>
          <w:sz w:val="20"/>
        </w:rPr>
        <w:t>ice</w:t>
      </w:r>
      <w:r w:rsidR="006A6A91">
        <w:rPr>
          <w:sz w:val="20"/>
        </w:rPr>
        <w:t xml:space="preserve"> </w:t>
      </w:r>
      <w:r w:rsidR="004D14F3">
        <w:rPr>
          <w:sz w:val="20"/>
        </w:rPr>
        <w:t>(inhalation s</w:t>
      </w:r>
      <w:r w:rsidR="006A6A91" w:rsidRPr="00B2130D">
        <w:rPr>
          <w:sz w:val="20"/>
        </w:rPr>
        <w:t>tudies).</w:t>
      </w:r>
      <w:proofErr w:type="gramEnd"/>
      <w:r w:rsidR="006A6A91" w:rsidRPr="00B2130D">
        <w:rPr>
          <w:sz w:val="20"/>
        </w:rPr>
        <w:t xml:space="preserve"> </w:t>
      </w:r>
      <w:proofErr w:type="gramStart"/>
      <w:r w:rsidR="006A6A91" w:rsidRPr="00B2130D">
        <w:rPr>
          <w:sz w:val="20"/>
        </w:rPr>
        <w:t>National Toxicology Program</w:t>
      </w:r>
      <w:r w:rsidR="00FD6767">
        <w:rPr>
          <w:sz w:val="20"/>
        </w:rPr>
        <w:t>,</w:t>
      </w:r>
      <w:r w:rsidR="006A6A91" w:rsidRPr="00B2130D">
        <w:rPr>
          <w:sz w:val="20"/>
        </w:rPr>
        <w:t xml:space="preserve"> </w:t>
      </w:r>
      <w:r w:rsidRPr="00B2130D">
        <w:rPr>
          <w:sz w:val="20"/>
        </w:rPr>
        <w:t>Technical Report Series No. 376</w:t>
      </w:r>
      <w:r w:rsidR="006A6A91">
        <w:rPr>
          <w:sz w:val="20"/>
        </w:rPr>
        <w:t>.</w:t>
      </w:r>
      <w:proofErr w:type="gramEnd"/>
      <w:r w:rsidR="00444005" w:rsidRPr="00444005">
        <w:t xml:space="preserve"> </w:t>
      </w:r>
      <w:proofErr w:type="gramStart"/>
      <w:r w:rsidR="00444005" w:rsidRPr="00444005">
        <w:rPr>
          <w:sz w:val="20"/>
        </w:rPr>
        <w:t>U.S. Department of Health and Human Services, Public Health Service, National Institutes of Health.</w:t>
      </w:r>
      <w:proofErr w:type="gramEnd"/>
    </w:p>
    <w:p w14:paraId="78C6EA94" w14:textId="5810A39B" w:rsidR="00A80E2C" w:rsidRDefault="00A80E2C" w:rsidP="00B2130D">
      <w:pPr>
        <w:rPr>
          <w:sz w:val="20"/>
        </w:rPr>
      </w:pPr>
    </w:p>
    <w:p w14:paraId="7F7F774C" w14:textId="4E2A2119" w:rsidR="00A80E2C" w:rsidRPr="00B2130D" w:rsidRDefault="00A80E2C" w:rsidP="00B2130D">
      <w:pPr>
        <w:rPr>
          <w:sz w:val="20"/>
        </w:rPr>
      </w:pPr>
      <w:proofErr w:type="gramStart"/>
      <w:r>
        <w:rPr>
          <w:sz w:val="20"/>
        </w:rPr>
        <w:t>NTP (1990b) T</w:t>
      </w:r>
      <w:r w:rsidRPr="00A80E2C">
        <w:rPr>
          <w:sz w:val="20"/>
        </w:rPr>
        <w:t>oxicology and carcinogenesis</w:t>
      </w:r>
      <w:r>
        <w:rPr>
          <w:sz w:val="20"/>
        </w:rPr>
        <w:t xml:space="preserve"> </w:t>
      </w:r>
      <w:r w:rsidRPr="00A80E2C">
        <w:rPr>
          <w:sz w:val="20"/>
        </w:rPr>
        <w:t>studies of</w:t>
      </w:r>
      <w:r>
        <w:rPr>
          <w:sz w:val="20"/>
        </w:rPr>
        <w:t xml:space="preserve"> </w:t>
      </w:r>
      <w:proofErr w:type="spellStart"/>
      <w:r w:rsidRPr="00A80E2C">
        <w:rPr>
          <w:sz w:val="20"/>
        </w:rPr>
        <w:t>glycidol</w:t>
      </w:r>
      <w:proofErr w:type="spellEnd"/>
      <w:r>
        <w:rPr>
          <w:sz w:val="20"/>
        </w:rPr>
        <w:t xml:space="preserve"> (CAS</w:t>
      </w:r>
      <w:r w:rsidRPr="00A80E2C">
        <w:rPr>
          <w:sz w:val="20"/>
        </w:rPr>
        <w:t xml:space="preserve"> no. 556-52-5)</w:t>
      </w:r>
      <w:r>
        <w:rPr>
          <w:sz w:val="20"/>
        </w:rPr>
        <w:t xml:space="preserve"> in F344/N </w:t>
      </w:r>
      <w:proofErr w:type="spellStart"/>
      <w:r>
        <w:rPr>
          <w:sz w:val="20"/>
        </w:rPr>
        <w:t>rats</w:t>
      </w:r>
      <w:proofErr w:type="spellEnd"/>
      <w:r>
        <w:rPr>
          <w:sz w:val="20"/>
        </w:rPr>
        <w:t xml:space="preserve"> and B6C3F</w:t>
      </w:r>
      <w:r w:rsidRPr="00A80E2C">
        <w:rPr>
          <w:sz w:val="20"/>
          <w:vertAlign w:val="subscript"/>
        </w:rPr>
        <w:t>1</w:t>
      </w:r>
      <w:r w:rsidRPr="00A80E2C">
        <w:rPr>
          <w:sz w:val="20"/>
        </w:rPr>
        <w:t xml:space="preserve"> mice</w:t>
      </w:r>
      <w:r>
        <w:rPr>
          <w:sz w:val="20"/>
        </w:rPr>
        <w:t xml:space="preserve"> </w:t>
      </w:r>
      <w:r w:rsidRPr="00A80E2C">
        <w:rPr>
          <w:sz w:val="20"/>
        </w:rPr>
        <w:t>(gavage studies)</w:t>
      </w:r>
      <w:r>
        <w:rPr>
          <w:sz w:val="20"/>
        </w:rPr>
        <w:t>.</w:t>
      </w:r>
      <w:proofErr w:type="gramEnd"/>
      <w:r w:rsidR="00FD6767" w:rsidRPr="00FD6767">
        <w:t xml:space="preserve"> </w:t>
      </w:r>
      <w:proofErr w:type="gramStart"/>
      <w:r w:rsidR="00857795" w:rsidRPr="00FD6767">
        <w:rPr>
          <w:sz w:val="20"/>
        </w:rPr>
        <w:t>National Toxicology Program</w:t>
      </w:r>
      <w:r w:rsidR="00857795">
        <w:rPr>
          <w:sz w:val="20"/>
        </w:rPr>
        <w:t>, Technical Report S</w:t>
      </w:r>
      <w:r w:rsidR="00857795" w:rsidRPr="00FD6767">
        <w:rPr>
          <w:sz w:val="20"/>
        </w:rPr>
        <w:t>eries</w:t>
      </w:r>
      <w:r w:rsidR="00857795">
        <w:rPr>
          <w:sz w:val="20"/>
        </w:rPr>
        <w:t xml:space="preserve"> </w:t>
      </w:r>
      <w:r w:rsidR="00857795" w:rsidRPr="00FD6767">
        <w:rPr>
          <w:sz w:val="20"/>
        </w:rPr>
        <w:t>No. 374</w:t>
      </w:r>
      <w:r w:rsidR="00857795">
        <w:rPr>
          <w:sz w:val="20"/>
        </w:rPr>
        <w:t>.</w:t>
      </w:r>
      <w:proofErr w:type="gramEnd"/>
      <w:r w:rsidR="00857795">
        <w:rPr>
          <w:sz w:val="20"/>
        </w:rPr>
        <w:t xml:space="preserve"> </w:t>
      </w:r>
      <w:proofErr w:type="gramStart"/>
      <w:r w:rsidR="00857795">
        <w:rPr>
          <w:sz w:val="20"/>
        </w:rPr>
        <w:t>U.S. Department of Health a</w:t>
      </w:r>
      <w:r w:rsidR="00857795" w:rsidRPr="00FD6767">
        <w:rPr>
          <w:sz w:val="20"/>
        </w:rPr>
        <w:t>nd Human Services, Public Healt</w:t>
      </w:r>
      <w:r w:rsidR="00857795">
        <w:rPr>
          <w:sz w:val="20"/>
        </w:rPr>
        <w:t>h Service, National Institutes o</w:t>
      </w:r>
      <w:r w:rsidR="00857795" w:rsidRPr="00FD6767">
        <w:rPr>
          <w:sz w:val="20"/>
        </w:rPr>
        <w:t>f Health.</w:t>
      </w:r>
      <w:proofErr w:type="gramEnd"/>
    </w:p>
    <w:p w14:paraId="2907568D" w14:textId="77777777" w:rsidR="00B2130D" w:rsidRPr="00B2130D" w:rsidRDefault="00B2130D" w:rsidP="009E1ADD">
      <w:pPr>
        <w:rPr>
          <w:sz w:val="20"/>
        </w:rPr>
      </w:pPr>
    </w:p>
    <w:p w14:paraId="0CDA1384" w14:textId="50F16FB7" w:rsidR="009E1ADD" w:rsidRPr="009E1ADD" w:rsidRDefault="009E1ADD" w:rsidP="009E1ADD">
      <w:pPr>
        <w:rPr>
          <w:sz w:val="20"/>
        </w:rPr>
      </w:pPr>
      <w:proofErr w:type="gramStart"/>
      <w:r>
        <w:rPr>
          <w:sz w:val="20"/>
        </w:rPr>
        <w:t xml:space="preserve">NTP (2004) </w:t>
      </w:r>
      <w:proofErr w:type="spellStart"/>
      <w:r w:rsidRPr="009E1ADD">
        <w:rPr>
          <w:sz w:val="20"/>
        </w:rPr>
        <w:t>Epichlorohydrin</w:t>
      </w:r>
      <w:proofErr w:type="spellEnd"/>
      <w:r w:rsidRPr="009E1ADD">
        <w:rPr>
          <w:sz w:val="20"/>
        </w:rPr>
        <w:t>.</w:t>
      </w:r>
      <w:proofErr w:type="gramEnd"/>
      <w:r w:rsidRPr="009E1ADD">
        <w:rPr>
          <w:sz w:val="20"/>
        </w:rPr>
        <w:t xml:space="preserve"> Rep</w:t>
      </w:r>
      <w:r w:rsidR="00C267FF">
        <w:rPr>
          <w:sz w:val="20"/>
        </w:rPr>
        <w:t>ort on</w:t>
      </w:r>
      <w:r w:rsidRPr="009E1ADD">
        <w:rPr>
          <w:sz w:val="20"/>
        </w:rPr>
        <w:t xml:space="preserve"> Carcinog</w:t>
      </w:r>
      <w:r w:rsidR="00C267FF">
        <w:rPr>
          <w:sz w:val="20"/>
        </w:rPr>
        <w:t>ens,</w:t>
      </w:r>
      <w:r w:rsidRPr="009E1ADD">
        <w:rPr>
          <w:sz w:val="20"/>
        </w:rPr>
        <w:t xml:space="preserve"> </w:t>
      </w:r>
      <w:r>
        <w:rPr>
          <w:sz w:val="20"/>
        </w:rPr>
        <w:t>11:</w:t>
      </w:r>
      <w:r w:rsidRPr="009E1ADD">
        <w:rPr>
          <w:sz w:val="20"/>
        </w:rPr>
        <w:t>113-4.</w:t>
      </w:r>
    </w:p>
    <w:p w14:paraId="1D1EB567" w14:textId="77777777" w:rsidR="009E1ADD" w:rsidRDefault="009E1ADD" w:rsidP="00830279">
      <w:pPr>
        <w:rPr>
          <w:sz w:val="20"/>
        </w:rPr>
      </w:pPr>
    </w:p>
    <w:p w14:paraId="0597BB14" w14:textId="17DD7F78" w:rsidR="00830279" w:rsidRDefault="002448A8" w:rsidP="00830279">
      <w:pPr>
        <w:rPr>
          <w:sz w:val="20"/>
        </w:rPr>
      </w:pPr>
      <w:proofErr w:type="gramStart"/>
      <w:r>
        <w:rPr>
          <w:sz w:val="20"/>
        </w:rPr>
        <w:t>USFDA</w:t>
      </w:r>
      <w:r w:rsidR="00830279">
        <w:rPr>
          <w:sz w:val="20"/>
        </w:rPr>
        <w:t xml:space="preserve"> (2004)</w:t>
      </w:r>
      <w:r w:rsidR="00830279" w:rsidRPr="00E50CE7">
        <w:t xml:space="preserve"> </w:t>
      </w:r>
      <w:r w:rsidR="00830279" w:rsidRPr="00E50CE7">
        <w:rPr>
          <w:sz w:val="20"/>
        </w:rPr>
        <w:t>Inventory of Effective Food Contact Substance (FCS) Notifications</w:t>
      </w:r>
      <w:r w:rsidR="00D430FD">
        <w:rPr>
          <w:sz w:val="20"/>
        </w:rPr>
        <w:t>.</w:t>
      </w:r>
      <w:proofErr w:type="gramEnd"/>
      <w:r w:rsidR="00D430FD">
        <w:rPr>
          <w:sz w:val="20"/>
        </w:rPr>
        <w:t xml:space="preserve"> </w:t>
      </w:r>
      <w:proofErr w:type="gramStart"/>
      <w:r w:rsidR="00830279" w:rsidRPr="00E50CE7">
        <w:rPr>
          <w:sz w:val="20"/>
        </w:rPr>
        <w:t>F</w:t>
      </w:r>
      <w:r w:rsidR="00830279">
        <w:rPr>
          <w:sz w:val="20"/>
        </w:rPr>
        <w:t xml:space="preserve">ood </w:t>
      </w:r>
      <w:r w:rsidR="00830279" w:rsidRPr="00E50CE7">
        <w:rPr>
          <w:sz w:val="20"/>
        </w:rPr>
        <w:t>C</w:t>
      </w:r>
      <w:r w:rsidR="00830279">
        <w:rPr>
          <w:sz w:val="20"/>
        </w:rPr>
        <w:t xml:space="preserve">ontact </w:t>
      </w:r>
      <w:r w:rsidR="00830279" w:rsidRPr="00E50CE7">
        <w:rPr>
          <w:sz w:val="20"/>
        </w:rPr>
        <w:t>N</w:t>
      </w:r>
      <w:r w:rsidR="00830279">
        <w:rPr>
          <w:sz w:val="20"/>
        </w:rPr>
        <w:t>otification</w:t>
      </w:r>
      <w:r w:rsidR="00830279" w:rsidRPr="00E50CE7">
        <w:rPr>
          <w:sz w:val="20"/>
        </w:rPr>
        <w:t xml:space="preserve"> No. 443</w:t>
      </w:r>
      <w:r w:rsidR="00830279">
        <w:rPr>
          <w:sz w:val="20"/>
        </w:rPr>
        <w:t>.</w:t>
      </w:r>
      <w:proofErr w:type="gramEnd"/>
      <w:r w:rsidR="00830279">
        <w:rPr>
          <w:sz w:val="20"/>
        </w:rPr>
        <w:t xml:space="preserve"> </w:t>
      </w:r>
      <w:proofErr w:type="gramStart"/>
      <w:r w:rsidR="00830279" w:rsidRPr="00E50CE7">
        <w:rPr>
          <w:sz w:val="20"/>
        </w:rPr>
        <w:t>Amersham Biosciences</w:t>
      </w:r>
      <w:r w:rsidR="00830279">
        <w:rPr>
          <w:sz w:val="20"/>
        </w:rPr>
        <w:t>.</w:t>
      </w:r>
      <w:proofErr w:type="gramEnd"/>
      <w:r w:rsidR="00830279">
        <w:rPr>
          <w:sz w:val="20"/>
        </w:rPr>
        <w:t xml:space="preserve"> </w:t>
      </w:r>
      <w:r w:rsidR="00830279" w:rsidRPr="00E50CE7">
        <w:rPr>
          <w:sz w:val="20"/>
        </w:rPr>
        <w:t>Food Contact Substance: Agarose, polymer with (</w:t>
      </w:r>
      <w:proofErr w:type="spellStart"/>
      <w:r w:rsidR="00830279" w:rsidRPr="00E50CE7">
        <w:rPr>
          <w:sz w:val="20"/>
        </w:rPr>
        <w:t>chloromethyl</w:t>
      </w:r>
      <w:proofErr w:type="spellEnd"/>
      <w:proofErr w:type="gramStart"/>
      <w:r w:rsidR="00830279" w:rsidRPr="00E50CE7">
        <w:rPr>
          <w:sz w:val="20"/>
        </w:rPr>
        <w:t>)</w:t>
      </w:r>
      <w:proofErr w:type="spellStart"/>
      <w:r w:rsidR="00830279" w:rsidRPr="00E50CE7">
        <w:rPr>
          <w:sz w:val="20"/>
        </w:rPr>
        <w:t>oxirane</w:t>
      </w:r>
      <w:proofErr w:type="spellEnd"/>
      <w:proofErr w:type="gramEnd"/>
      <w:r w:rsidR="00830279" w:rsidRPr="00E50CE7">
        <w:rPr>
          <w:sz w:val="20"/>
        </w:rPr>
        <w:t>, 2-hydroxy-3(3-sulfopropoxy)propyl ethers, sodium salts (CAS Reg. No. 676618-71-6)</w:t>
      </w:r>
      <w:r w:rsidR="00D430FD">
        <w:rPr>
          <w:sz w:val="20"/>
        </w:rPr>
        <w:t xml:space="preserve">. </w:t>
      </w:r>
    </w:p>
    <w:p w14:paraId="3428C7FC" w14:textId="65D5D229" w:rsidR="00EB626B" w:rsidRDefault="00EB626B" w:rsidP="00830279">
      <w:pPr>
        <w:rPr>
          <w:sz w:val="20"/>
        </w:rPr>
      </w:pPr>
    </w:p>
    <w:p w14:paraId="3E55A428" w14:textId="3D8E2FBF" w:rsidR="00AE73EC" w:rsidRDefault="00AE73EC" w:rsidP="00AE73EC">
      <w:pPr>
        <w:rPr>
          <w:sz w:val="20"/>
        </w:rPr>
      </w:pPr>
      <w:proofErr w:type="gramStart"/>
      <w:r>
        <w:rPr>
          <w:sz w:val="20"/>
        </w:rPr>
        <w:t>Weir RJ, Fisher RS</w:t>
      </w:r>
      <w:r w:rsidRPr="00AE73EC">
        <w:rPr>
          <w:sz w:val="20"/>
        </w:rPr>
        <w:t xml:space="preserve"> (1972) </w:t>
      </w:r>
      <w:proofErr w:type="spellStart"/>
      <w:r w:rsidRPr="00AE73EC">
        <w:rPr>
          <w:sz w:val="20"/>
        </w:rPr>
        <w:t>Toxicologic</w:t>
      </w:r>
      <w:proofErr w:type="spellEnd"/>
      <w:r w:rsidRPr="00AE73EC">
        <w:rPr>
          <w:sz w:val="20"/>
        </w:rPr>
        <w:t xml:space="preserve"> studies on borax and boric acid.</w:t>
      </w:r>
      <w:proofErr w:type="gramEnd"/>
      <w:r w:rsidRPr="00AE73EC">
        <w:rPr>
          <w:sz w:val="20"/>
        </w:rPr>
        <w:t xml:space="preserve"> </w:t>
      </w:r>
      <w:proofErr w:type="spellStart"/>
      <w:r w:rsidRPr="00AE73EC">
        <w:rPr>
          <w:sz w:val="20"/>
        </w:rPr>
        <w:t>Toxicol</w:t>
      </w:r>
      <w:proofErr w:type="spellEnd"/>
      <w:r w:rsidRPr="00AE73EC">
        <w:rPr>
          <w:sz w:val="20"/>
        </w:rPr>
        <w:t xml:space="preserve"> </w:t>
      </w:r>
      <w:proofErr w:type="spellStart"/>
      <w:r w:rsidRPr="00AE73EC">
        <w:rPr>
          <w:sz w:val="20"/>
        </w:rPr>
        <w:t>Appl</w:t>
      </w:r>
      <w:proofErr w:type="spellEnd"/>
      <w:r>
        <w:rPr>
          <w:sz w:val="20"/>
        </w:rPr>
        <w:t xml:space="preserve"> </w:t>
      </w:r>
      <w:proofErr w:type="spellStart"/>
      <w:r w:rsidRPr="00AE73EC">
        <w:rPr>
          <w:sz w:val="20"/>
        </w:rPr>
        <w:t>Pharmacol</w:t>
      </w:r>
      <w:proofErr w:type="spellEnd"/>
      <w:r w:rsidRPr="00AE73EC">
        <w:rPr>
          <w:sz w:val="20"/>
        </w:rPr>
        <w:t xml:space="preserve"> 23:351-364</w:t>
      </w:r>
      <w:r>
        <w:rPr>
          <w:sz w:val="20"/>
        </w:rPr>
        <w:t>.</w:t>
      </w:r>
    </w:p>
    <w:p w14:paraId="1543FF96" w14:textId="77777777" w:rsidR="00AE73EC" w:rsidRDefault="00AE73EC" w:rsidP="00EB626B">
      <w:pPr>
        <w:rPr>
          <w:sz w:val="20"/>
        </w:rPr>
      </w:pPr>
    </w:p>
    <w:p w14:paraId="28C3425E" w14:textId="41835783" w:rsidR="00EB626B" w:rsidRDefault="00EB626B" w:rsidP="00E72D4B">
      <w:pPr>
        <w:keepLines/>
        <w:rPr>
          <w:sz w:val="20"/>
        </w:rPr>
      </w:pPr>
      <w:proofErr w:type="gramStart"/>
      <w:r>
        <w:rPr>
          <w:sz w:val="20"/>
        </w:rPr>
        <w:t>WHO</w:t>
      </w:r>
      <w:proofErr w:type="gramEnd"/>
      <w:r>
        <w:rPr>
          <w:sz w:val="20"/>
        </w:rPr>
        <w:t xml:space="preserve"> (1971) </w:t>
      </w:r>
      <w:r w:rsidRPr="00EB626B">
        <w:rPr>
          <w:sz w:val="20"/>
        </w:rPr>
        <w:t>Evaluation of Food Additives</w:t>
      </w:r>
      <w:r>
        <w:rPr>
          <w:sz w:val="20"/>
        </w:rPr>
        <w:t xml:space="preserve">. </w:t>
      </w:r>
      <w:proofErr w:type="gramStart"/>
      <w:r>
        <w:rPr>
          <w:sz w:val="20"/>
        </w:rPr>
        <w:t xml:space="preserve">Fourteenth </w:t>
      </w:r>
      <w:r w:rsidRPr="00EB626B">
        <w:rPr>
          <w:sz w:val="20"/>
        </w:rPr>
        <w:t>report of the</w:t>
      </w:r>
      <w:r>
        <w:rPr>
          <w:sz w:val="20"/>
        </w:rPr>
        <w:t xml:space="preserve"> </w:t>
      </w:r>
      <w:r w:rsidRPr="00EB626B">
        <w:rPr>
          <w:sz w:val="20"/>
        </w:rPr>
        <w:t>Joint FAO/WHO Expert Committee on Food Additives.</w:t>
      </w:r>
      <w:proofErr w:type="gramEnd"/>
      <w:r w:rsidRPr="00EB626B">
        <w:rPr>
          <w:sz w:val="20"/>
        </w:rPr>
        <w:t xml:space="preserve"> WHO Technical Report Series</w:t>
      </w:r>
      <w:r>
        <w:rPr>
          <w:sz w:val="20"/>
        </w:rPr>
        <w:t xml:space="preserve"> 462.</w:t>
      </w:r>
      <w:r w:rsidR="009845B3">
        <w:rPr>
          <w:sz w:val="20"/>
        </w:rPr>
        <w:t xml:space="preserve"> </w:t>
      </w:r>
      <w:proofErr w:type="gramStart"/>
      <w:r w:rsidR="009845B3">
        <w:rPr>
          <w:sz w:val="20"/>
        </w:rPr>
        <w:t>Wo</w:t>
      </w:r>
      <w:r w:rsidR="00F81FE0">
        <w:rPr>
          <w:sz w:val="20"/>
        </w:rPr>
        <w:t>rld Health Organization, Geneva, Switzerland.</w:t>
      </w:r>
      <w:proofErr w:type="gramEnd"/>
    </w:p>
    <w:p w14:paraId="28E4065C" w14:textId="4F672362" w:rsidR="00E67CD1" w:rsidRDefault="00E67CD1" w:rsidP="00EB626B">
      <w:pPr>
        <w:rPr>
          <w:sz w:val="20"/>
        </w:rPr>
      </w:pPr>
    </w:p>
    <w:p w14:paraId="7125BA40" w14:textId="2654040F" w:rsidR="00E67CD1" w:rsidRDefault="00E67CD1" w:rsidP="00E72D4B">
      <w:pPr>
        <w:keepLines/>
        <w:rPr>
          <w:sz w:val="20"/>
        </w:rPr>
      </w:pPr>
      <w:proofErr w:type="gramStart"/>
      <w:r>
        <w:rPr>
          <w:sz w:val="20"/>
        </w:rPr>
        <w:lastRenderedPageBreak/>
        <w:t>WHO</w:t>
      </w:r>
      <w:proofErr w:type="gramEnd"/>
      <w:r>
        <w:rPr>
          <w:sz w:val="20"/>
        </w:rPr>
        <w:t xml:space="preserve"> (1981) </w:t>
      </w:r>
      <w:r w:rsidRPr="00E67CD1">
        <w:rPr>
          <w:sz w:val="20"/>
        </w:rPr>
        <w:t>Evaluation of Certain Food Additives</w:t>
      </w:r>
      <w:r>
        <w:rPr>
          <w:sz w:val="20"/>
        </w:rPr>
        <w:t>. Twenty-fifth</w:t>
      </w:r>
      <w:r w:rsidRPr="00E67CD1">
        <w:rPr>
          <w:sz w:val="20"/>
        </w:rPr>
        <w:t xml:space="preserve"> report of the</w:t>
      </w:r>
      <w:r>
        <w:rPr>
          <w:sz w:val="20"/>
        </w:rPr>
        <w:t xml:space="preserve"> </w:t>
      </w:r>
      <w:r w:rsidRPr="00E67CD1">
        <w:rPr>
          <w:sz w:val="20"/>
        </w:rPr>
        <w:t>Joint FAO/WHO Expert Committee on Food Additives.</w:t>
      </w:r>
      <w:r>
        <w:rPr>
          <w:sz w:val="20"/>
        </w:rPr>
        <w:t xml:space="preserve"> WHO Technical Report Series 669</w:t>
      </w:r>
      <w:r w:rsidRPr="00E67CD1">
        <w:rPr>
          <w:sz w:val="20"/>
        </w:rPr>
        <w:t>.</w:t>
      </w:r>
      <w:r w:rsidR="009845B3" w:rsidRPr="009845B3">
        <w:t xml:space="preserve"> </w:t>
      </w:r>
      <w:proofErr w:type="gramStart"/>
      <w:r w:rsidR="009845B3" w:rsidRPr="009845B3">
        <w:rPr>
          <w:sz w:val="20"/>
        </w:rPr>
        <w:t>World Health Organization, Geneva</w:t>
      </w:r>
      <w:r w:rsidR="00F81FE0">
        <w:rPr>
          <w:sz w:val="20"/>
        </w:rPr>
        <w:t>,</w:t>
      </w:r>
      <w:r w:rsidR="00F81FE0" w:rsidRPr="00F81FE0">
        <w:t xml:space="preserve"> </w:t>
      </w:r>
      <w:r w:rsidR="00F81FE0" w:rsidRPr="00F81FE0">
        <w:rPr>
          <w:sz w:val="20"/>
        </w:rPr>
        <w:t>Switzerland.</w:t>
      </w:r>
      <w:proofErr w:type="gramEnd"/>
    </w:p>
    <w:p w14:paraId="24CCB0C4" w14:textId="77777777" w:rsidR="00F81FE0" w:rsidRDefault="00F81FE0" w:rsidP="00E67CD1">
      <w:pPr>
        <w:rPr>
          <w:sz w:val="20"/>
        </w:rPr>
      </w:pPr>
    </w:p>
    <w:p w14:paraId="4758DBDA" w14:textId="2231D7EA" w:rsidR="00B86A26" w:rsidRDefault="003D2761" w:rsidP="00830279">
      <w:pPr>
        <w:rPr>
          <w:sz w:val="20"/>
        </w:rPr>
      </w:pPr>
      <w:proofErr w:type="gramStart"/>
      <w:r>
        <w:rPr>
          <w:sz w:val="20"/>
        </w:rPr>
        <w:t>WHO</w:t>
      </w:r>
      <w:proofErr w:type="gramEnd"/>
      <w:r>
        <w:rPr>
          <w:sz w:val="20"/>
        </w:rPr>
        <w:t xml:space="preserve"> (1984)</w:t>
      </w:r>
      <w:r w:rsidRPr="003D2761">
        <w:rPr>
          <w:sz w:val="20"/>
        </w:rPr>
        <w:t xml:space="preserve"> Environmental Health Criteria No. 33. </w:t>
      </w:r>
      <w:proofErr w:type="spellStart"/>
      <w:proofErr w:type="gramStart"/>
      <w:r w:rsidRPr="003D2761">
        <w:rPr>
          <w:sz w:val="20"/>
        </w:rPr>
        <w:t>Epichlorohydrin</w:t>
      </w:r>
      <w:proofErr w:type="spellEnd"/>
      <w:r w:rsidRPr="003D2761">
        <w:rPr>
          <w:sz w:val="20"/>
        </w:rPr>
        <w:t>.</w:t>
      </w:r>
      <w:proofErr w:type="gramEnd"/>
      <w:r w:rsidRPr="003D2761">
        <w:rPr>
          <w:sz w:val="20"/>
        </w:rPr>
        <w:t xml:space="preserve"> </w:t>
      </w:r>
      <w:proofErr w:type="gramStart"/>
      <w:r w:rsidRPr="003D2761">
        <w:rPr>
          <w:sz w:val="20"/>
        </w:rPr>
        <w:t>International Programme on Chemical Safety.</w:t>
      </w:r>
      <w:proofErr w:type="gramEnd"/>
      <w:r>
        <w:rPr>
          <w:sz w:val="20"/>
        </w:rPr>
        <w:t xml:space="preserve"> </w:t>
      </w:r>
      <w:proofErr w:type="gramStart"/>
      <w:r w:rsidRPr="003D2761">
        <w:rPr>
          <w:sz w:val="20"/>
        </w:rPr>
        <w:t>World Health Organization, Geneva</w:t>
      </w:r>
      <w:r w:rsidR="00F81FE0">
        <w:rPr>
          <w:sz w:val="20"/>
        </w:rPr>
        <w:t>,</w:t>
      </w:r>
      <w:r w:rsidR="00F81FE0" w:rsidRPr="00F81FE0">
        <w:t xml:space="preserve"> </w:t>
      </w:r>
      <w:r w:rsidR="00F81FE0" w:rsidRPr="00F81FE0">
        <w:rPr>
          <w:sz w:val="20"/>
        </w:rPr>
        <w:t>Switzerland.</w:t>
      </w:r>
      <w:proofErr w:type="gramEnd"/>
    </w:p>
    <w:p w14:paraId="7BF749D4" w14:textId="77777777" w:rsidR="003D2761" w:rsidRDefault="003D2761" w:rsidP="00B86A26">
      <w:pPr>
        <w:rPr>
          <w:sz w:val="20"/>
        </w:rPr>
      </w:pPr>
    </w:p>
    <w:p w14:paraId="036BB0C0" w14:textId="2FABE8BC" w:rsidR="00B86A26" w:rsidRPr="00B86A26" w:rsidRDefault="00B86A26" w:rsidP="00B86A26">
      <w:pPr>
        <w:rPr>
          <w:sz w:val="20"/>
        </w:rPr>
      </w:pPr>
      <w:proofErr w:type="gramStart"/>
      <w:r>
        <w:rPr>
          <w:sz w:val="20"/>
        </w:rPr>
        <w:t>WHO</w:t>
      </w:r>
      <w:proofErr w:type="gramEnd"/>
      <w:r>
        <w:rPr>
          <w:sz w:val="20"/>
        </w:rPr>
        <w:t xml:space="preserve"> (2007) Evaluation o</w:t>
      </w:r>
      <w:r w:rsidRPr="00B86A26">
        <w:rPr>
          <w:sz w:val="20"/>
        </w:rPr>
        <w:t>f Certain</w:t>
      </w:r>
      <w:r>
        <w:rPr>
          <w:sz w:val="20"/>
        </w:rPr>
        <w:t xml:space="preserve"> Food Additives a</w:t>
      </w:r>
      <w:r w:rsidRPr="00B86A26">
        <w:rPr>
          <w:sz w:val="20"/>
        </w:rPr>
        <w:t>nd</w:t>
      </w:r>
      <w:r>
        <w:rPr>
          <w:sz w:val="20"/>
        </w:rPr>
        <w:t xml:space="preserve"> </w:t>
      </w:r>
      <w:r w:rsidRPr="00B86A26">
        <w:rPr>
          <w:sz w:val="20"/>
        </w:rPr>
        <w:t>Contaminants</w:t>
      </w:r>
      <w:r>
        <w:rPr>
          <w:sz w:val="20"/>
        </w:rPr>
        <w:t xml:space="preserve">. </w:t>
      </w:r>
      <w:r w:rsidRPr="00B86A26">
        <w:rPr>
          <w:sz w:val="20"/>
        </w:rPr>
        <w:t>Sixty-seventh report of the</w:t>
      </w:r>
    </w:p>
    <w:p w14:paraId="3C2457F3" w14:textId="69622900" w:rsidR="00B86A26" w:rsidRDefault="00B86A26" w:rsidP="00B86A26">
      <w:pPr>
        <w:rPr>
          <w:sz w:val="20"/>
        </w:rPr>
      </w:pPr>
      <w:proofErr w:type="gramStart"/>
      <w:r w:rsidRPr="00B86A26">
        <w:rPr>
          <w:sz w:val="20"/>
        </w:rPr>
        <w:t>Joint FAO/WHO Expert Committee on</w:t>
      </w:r>
      <w:r>
        <w:rPr>
          <w:sz w:val="20"/>
        </w:rPr>
        <w:t xml:space="preserve"> </w:t>
      </w:r>
      <w:r w:rsidRPr="00B86A26">
        <w:rPr>
          <w:sz w:val="20"/>
        </w:rPr>
        <w:t>Food Additives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r w:rsidRPr="00B86A26">
        <w:rPr>
          <w:sz w:val="20"/>
        </w:rPr>
        <w:t>WHO Technical Report Series</w:t>
      </w:r>
      <w:r>
        <w:rPr>
          <w:sz w:val="20"/>
        </w:rPr>
        <w:t xml:space="preserve"> </w:t>
      </w:r>
      <w:r w:rsidRPr="00B86A26">
        <w:rPr>
          <w:sz w:val="20"/>
        </w:rPr>
        <w:t>940</w:t>
      </w:r>
      <w:r>
        <w:rPr>
          <w:sz w:val="20"/>
        </w:rPr>
        <w:t>.</w:t>
      </w:r>
      <w:r w:rsidR="009845B3" w:rsidRPr="009845B3">
        <w:t xml:space="preserve"> </w:t>
      </w:r>
      <w:proofErr w:type="gramStart"/>
      <w:r w:rsidR="009845B3" w:rsidRPr="009845B3">
        <w:rPr>
          <w:sz w:val="20"/>
        </w:rPr>
        <w:t>World Health Organization, Geneva</w:t>
      </w:r>
      <w:r w:rsidR="00F81FE0">
        <w:rPr>
          <w:sz w:val="20"/>
        </w:rPr>
        <w:t>,</w:t>
      </w:r>
      <w:r w:rsidR="00F81FE0" w:rsidRPr="00F81FE0">
        <w:t xml:space="preserve"> </w:t>
      </w:r>
      <w:r w:rsidR="00F81FE0" w:rsidRPr="00F81FE0">
        <w:rPr>
          <w:sz w:val="20"/>
        </w:rPr>
        <w:t>Switzerland.</w:t>
      </w:r>
      <w:proofErr w:type="gramEnd"/>
    </w:p>
    <w:p w14:paraId="28F09D40" w14:textId="77777777" w:rsidR="00830279" w:rsidRDefault="00830279" w:rsidP="00830279">
      <w:pPr>
        <w:rPr>
          <w:sz w:val="20"/>
        </w:rPr>
      </w:pPr>
    </w:p>
    <w:sectPr w:rsidR="00830279" w:rsidSect="00482766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83D79" w14:textId="77777777" w:rsidR="009B234D" w:rsidRDefault="009B234D">
      <w:r>
        <w:separator/>
      </w:r>
    </w:p>
  </w:endnote>
  <w:endnote w:type="continuationSeparator" w:id="0">
    <w:p w14:paraId="519ECFE4" w14:textId="77777777" w:rsidR="009B234D" w:rsidRDefault="009B234D">
      <w:r>
        <w:continuationSeparator/>
      </w:r>
    </w:p>
  </w:endnote>
  <w:endnote w:type="continuationNotice" w:id="1">
    <w:p w14:paraId="3DD76FF4" w14:textId="77777777" w:rsidR="009B234D" w:rsidRDefault="009B23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9B614" w14:textId="77777777" w:rsidR="00D816EF" w:rsidRDefault="00D816EF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5B0B69" w14:textId="77777777" w:rsidR="00D816EF" w:rsidRDefault="00D816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E9872" w14:textId="77777777" w:rsidR="00D816EF" w:rsidRDefault="00D816EF" w:rsidP="001C27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C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190B0E14" w14:textId="77777777" w:rsidR="00D816EF" w:rsidRDefault="00D816EF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CEA7E" w14:textId="77777777" w:rsidR="00962C86" w:rsidRDefault="00962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12A6C" w14:textId="77777777" w:rsidR="009B234D" w:rsidRDefault="009B234D">
      <w:r>
        <w:separator/>
      </w:r>
    </w:p>
  </w:footnote>
  <w:footnote w:type="continuationSeparator" w:id="0">
    <w:p w14:paraId="4F8BF1E8" w14:textId="77777777" w:rsidR="009B234D" w:rsidRDefault="009B234D">
      <w:r>
        <w:continuationSeparator/>
      </w:r>
    </w:p>
  </w:footnote>
  <w:footnote w:type="continuationNotice" w:id="1">
    <w:p w14:paraId="2384E014" w14:textId="77777777" w:rsidR="009B234D" w:rsidRDefault="009B234D"/>
  </w:footnote>
  <w:footnote w:id="2">
    <w:p w14:paraId="3767AF82" w14:textId="1AECC175" w:rsidR="00D816EF" w:rsidRPr="001C4A61" w:rsidRDefault="00D816EF" w:rsidP="003219F4">
      <w:pPr>
        <w:pStyle w:val="FootnoteText"/>
        <w:rPr>
          <w:lang w:val="en-AU"/>
        </w:rPr>
      </w:pPr>
      <w:r w:rsidRPr="00332366">
        <w:rPr>
          <w:rStyle w:val="FootnoteReference"/>
          <w:sz w:val="18"/>
        </w:rPr>
        <w:footnoteRef/>
      </w:r>
      <w:r w:rsidRPr="00332366">
        <w:rPr>
          <w:sz w:val="18"/>
        </w:rPr>
        <w:t xml:space="preserve"> JECFA database of food additives and contaminants: </w:t>
      </w:r>
      <w:hyperlink r:id="rId1" w:history="1">
        <w:r w:rsidRPr="00332366">
          <w:rPr>
            <w:rStyle w:val="Hyperlink"/>
            <w:sz w:val="18"/>
          </w:rPr>
          <w:t>http://apps.who.int/food-additives-contaminants-jecfa-database/search.aspx</w:t>
        </w:r>
      </w:hyperlink>
    </w:p>
  </w:footnote>
  <w:footnote w:id="3">
    <w:p w14:paraId="79176195" w14:textId="1BFB68BF" w:rsidR="00D816EF" w:rsidRPr="00332366" w:rsidRDefault="00D816EF">
      <w:pPr>
        <w:pStyle w:val="FootnoteText"/>
        <w:rPr>
          <w:sz w:val="18"/>
        </w:rPr>
      </w:pPr>
      <w:r w:rsidRPr="00332366">
        <w:rPr>
          <w:rStyle w:val="FootnoteReference"/>
          <w:sz w:val="18"/>
        </w:rPr>
        <w:footnoteRef/>
      </w:r>
      <w:r w:rsidRPr="00332366">
        <w:rPr>
          <w:sz w:val="18"/>
        </w:rPr>
        <w:t xml:space="preserve"> </w:t>
      </w:r>
      <w:hyperlink r:id="rId2" w:history="1">
        <w:r w:rsidRPr="00332366">
          <w:rPr>
            <w:rStyle w:val="Hyperlink"/>
            <w:sz w:val="18"/>
          </w:rPr>
          <w:t>http://actor.epa.gov/actor/GenericChemical?casrn=68954-84-7</w:t>
        </w:r>
      </w:hyperlink>
    </w:p>
    <w:p w14:paraId="1531D13D" w14:textId="77777777" w:rsidR="00D816EF" w:rsidRPr="00332366" w:rsidRDefault="00D816EF">
      <w:pPr>
        <w:pStyle w:val="FootnoteText"/>
        <w:rPr>
          <w:sz w:val="2"/>
          <w:szCs w:val="4"/>
          <w:lang w:val="en-AU"/>
        </w:rPr>
      </w:pPr>
    </w:p>
  </w:footnote>
  <w:footnote w:id="4">
    <w:p w14:paraId="6E8AE9E6" w14:textId="0A17B0AD" w:rsidR="00D816EF" w:rsidRPr="00CA4BAB" w:rsidRDefault="00D816EF">
      <w:pPr>
        <w:pStyle w:val="FootnoteText"/>
        <w:rPr>
          <w:lang w:val="en-AU"/>
        </w:rPr>
      </w:pPr>
      <w:r w:rsidRPr="00332366">
        <w:rPr>
          <w:rStyle w:val="FootnoteReference"/>
          <w:sz w:val="18"/>
        </w:rPr>
        <w:footnoteRef/>
      </w:r>
      <w:r w:rsidRPr="00332366">
        <w:rPr>
          <w:sz w:val="18"/>
        </w:rPr>
        <w:t xml:space="preserve"> Information from the TOXNET database: </w:t>
      </w:r>
      <w:hyperlink r:id="rId3" w:history="1">
        <w:r w:rsidRPr="00332366">
          <w:rPr>
            <w:rStyle w:val="Hyperlink"/>
            <w:sz w:val="18"/>
          </w:rPr>
          <w:t>http://chem.sis.nlm.nih.gov/chemidplus/rn/123-34-2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28875" w14:textId="77777777" w:rsidR="00962C86" w:rsidRDefault="00962C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5924F" w14:textId="77777777" w:rsidR="00962C86" w:rsidRDefault="00962C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560A6" w14:textId="77777777" w:rsidR="00D816EF" w:rsidRDefault="00D816EF">
    <w:pPr>
      <w:pStyle w:val="Header"/>
      <w:jc w:val="center"/>
      <w:rPr>
        <w:b/>
        <w:bCs/>
      </w:rPr>
    </w:pPr>
    <w:r>
      <w:rPr>
        <w:b/>
        <w:bCs/>
      </w:rPr>
      <w:t>BOARD-IN-CONFIDENCE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C3"/>
    <w:multiLevelType w:val="hybridMultilevel"/>
    <w:tmpl w:val="DA40736C"/>
    <w:lvl w:ilvl="0" w:tplc="6B5AB52C">
      <w:start w:val="1"/>
      <w:numFmt w:val="bullet"/>
      <w:pStyle w:val="FS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63D77"/>
    <w:multiLevelType w:val="hybridMultilevel"/>
    <w:tmpl w:val="7632DC76"/>
    <w:lvl w:ilvl="0" w:tplc="AB405820">
      <w:start w:val="1"/>
      <w:numFmt w:val="bullet"/>
      <w:pStyle w:val="FS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027A87"/>
    <w:multiLevelType w:val="multilevel"/>
    <w:tmpl w:val="DC6A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54271"/>
    <w:multiLevelType w:val="hybridMultilevel"/>
    <w:tmpl w:val="7AC0B316"/>
    <w:lvl w:ilvl="0" w:tplc="FDFEA674">
      <w:start w:val="1"/>
      <w:numFmt w:val="bullet"/>
      <w:pStyle w:val="FS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0BC4"/>
    <w:multiLevelType w:val="hybridMultilevel"/>
    <w:tmpl w:val="43B864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376FB"/>
    <w:multiLevelType w:val="multilevel"/>
    <w:tmpl w:val="BCFA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23B5C"/>
    <w:multiLevelType w:val="hybridMultilevel"/>
    <w:tmpl w:val="15E2C8B4"/>
    <w:lvl w:ilvl="0" w:tplc="B234E9C4">
      <w:start w:val="1"/>
      <w:numFmt w:val="bullet"/>
      <w:pStyle w:val="FSBulle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42"/>
    <w:rsid w:val="00001CF2"/>
    <w:rsid w:val="0000247B"/>
    <w:rsid w:val="000036D5"/>
    <w:rsid w:val="0000469B"/>
    <w:rsid w:val="00006FEC"/>
    <w:rsid w:val="000165F5"/>
    <w:rsid w:val="00016E11"/>
    <w:rsid w:val="00026EC5"/>
    <w:rsid w:val="00032CB5"/>
    <w:rsid w:val="00035FF3"/>
    <w:rsid w:val="00037323"/>
    <w:rsid w:val="00044069"/>
    <w:rsid w:val="00051021"/>
    <w:rsid w:val="00051ED9"/>
    <w:rsid w:val="000520F0"/>
    <w:rsid w:val="00057181"/>
    <w:rsid w:val="000579F2"/>
    <w:rsid w:val="000605CB"/>
    <w:rsid w:val="00060C82"/>
    <w:rsid w:val="0006473A"/>
    <w:rsid w:val="00064B2D"/>
    <w:rsid w:val="00065F1F"/>
    <w:rsid w:val="00073C82"/>
    <w:rsid w:val="000750AB"/>
    <w:rsid w:val="0007665C"/>
    <w:rsid w:val="00076D33"/>
    <w:rsid w:val="0008400A"/>
    <w:rsid w:val="000866DA"/>
    <w:rsid w:val="000904FF"/>
    <w:rsid w:val="00092AD4"/>
    <w:rsid w:val="00092CDA"/>
    <w:rsid w:val="00095D18"/>
    <w:rsid w:val="000A0D3A"/>
    <w:rsid w:val="000A27E9"/>
    <w:rsid w:val="000A3D8B"/>
    <w:rsid w:val="000A47DD"/>
    <w:rsid w:val="000A5DF8"/>
    <w:rsid w:val="000B5E44"/>
    <w:rsid w:val="000B6AF2"/>
    <w:rsid w:val="000B7B15"/>
    <w:rsid w:val="000D6FD4"/>
    <w:rsid w:val="000E0AE4"/>
    <w:rsid w:val="000E3DBC"/>
    <w:rsid w:val="000E52A2"/>
    <w:rsid w:val="000F429E"/>
    <w:rsid w:val="00113CE3"/>
    <w:rsid w:val="00117522"/>
    <w:rsid w:val="0012564B"/>
    <w:rsid w:val="0012759E"/>
    <w:rsid w:val="00131215"/>
    <w:rsid w:val="00142C15"/>
    <w:rsid w:val="001440AB"/>
    <w:rsid w:val="0014496C"/>
    <w:rsid w:val="001530FB"/>
    <w:rsid w:val="001542D8"/>
    <w:rsid w:val="00180BAF"/>
    <w:rsid w:val="00180C41"/>
    <w:rsid w:val="00182C4C"/>
    <w:rsid w:val="00197D8D"/>
    <w:rsid w:val="001A1A75"/>
    <w:rsid w:val="001A2CE4"/>
    <w:rsid w:val="001A584F"/>
    <w:rsid w:val="001A7E9A"/>
    <w:rsid w:val="001B0214"/>
    <w:rsid w:val="001C27A3"/>
    <w:rsid w:val="001C4A61"/>
    <w:rsid w:val="001C5295"/>
    <w:rsid w:val="001C5760"/>
    <w:rsid w:val="001C6B52"/>
    <w:rsid w:val="001D1809"/>
    <w:rsid w:val="001D51ED"/>
    <w:rsid w:val="001D7048"/>
    <w:rsid w:val="001E09FA"/>
    <w:rsid w:val="001E46AD"/>
    <w:rsid w:val="001F07B9"/>
    <w:rsid w:val="001F21B0"/>
    <w:rsid w:val="001F543C"/>
    <w:rsid w:val="00203540"/>
    <w:rsid w:val="002139C0"/>
    <w:rsid w:val="00214275"/>
    <w:rsid w:val="0021612B"/>
    <w:rsid w:val="0022083A"/>
    <w:rsid w:val="0022104E"/>
    <w:rsid w:val="00221D07"/>
    <w:rsid w:val="00227E4A"/>
    <w:rsid w:val="002448A8"/>
    <w:rsid w:val="0024582E"/>
    <w:rsid w:val="00245C56"/>
    <w:rsid w:val="002461EA"/>
    <w:rsid w:val="00254511"/>
    <w:rsid w:val="002547EF"/>
    <w:rsid w:val="00256D65"/>
    <w:rsid w:val="002634C2"/>
    <w:rsid w:val="0027118C"/>
    <w:rsid w:val="00271F00"/>
    <w:rsid w:val="00273A80"/>
    <w:rsid w:val="00287A13"/>
    <w:rsid w:val="0029122E"/>
    <w:rsid w:val="0029204E"/>
    <w:rsid w:val="002958DD"/>
    <w:rsid w:val="0029631C"/>
    <w:rsid w:val="002A0194"/>
    <w:rsid w:val="002A0B48"/>
    <w:rsid w:val="002A2394"/>
    <w:rsid w:val="002A5880"/>
    <w:rsid w:val="002A5F8B"/>
    <w:rsid w:val="002A7F6C"/>
    <w:rsid w:val="002B0B78"/>
    <w:rsid w:val="002C05B2"/>
    <w:rsid w:val="002D2705"/>
    <w:rsid w:val="002D5AD8"/>
    <w:rsid w:val="002D6809"/>
    <w:rsid w:val="002E29EB"/>
    <w:rsid w:val="002E7FAA"/>
    <w:rsid w:val="002F2102"/>
    <w:rsid w:val="002F6488"/>
    <w:rsid w:val="002F6CAC"/>
    <w:rsid w:val="00301336"/>
    <w:rsid w:val="00302164"/>
    <w:rsid w:val="00306585"/>
    <w:rsid w:val="00306EF9"/>
    <w:rsid w:val="00313D77"/>
    <w:rsid w:val="00317882"/>
    <w:rsid w:val="00320035"/>
    <w:rsid w:val="00320308"/>
    <w:rsid w:val="00320839"/>
    <w:rsid w:val="003213F9"/>
    <w:rsid w:val="0032184D"/>
    <w:rsid w:val="003219F4"/>
    <w:rsid w:val="00323DBF"/>
    <w:rsid w:val="00325A9B"/>
    <w:rsid w:val="003309A8"/>
    <w:rsid w:val="00332366"/>
    <w:rsid w:val="00332B12"/>
    <w:rsid w:val="003344FB"/>
    <w:rsid w:val="00334E78"/>
    <w:rsid w:val="00336129"/>
    <w:rsid w:val="00342445"/>
    <w:rsid w:val="00345A26"/>
    <w:rsid w:val="00351B07"/>
    <w:rsid w:val="00352CF2"/>
    <w:rsid w:val="00364841"/>
    <w:rsid w:val="00365C52"/>
    <w:rsid w:val="00370D7C"/>
    <w:rsid w:val="00371B29"/>
    <w:rsid w:val="0037656B"/>
    <w:rsid w:val="00391769"/>
    <w:rsid w:val="003953E1"/>
    <w:rsid w:val="003956B3"/>
    <w:rsid w:val="003A68BE"/>
    <w:rsid w:val="003B072F"/>
    <w:rsid w:val="003B1805"/>
    <w:rsid w:val="003B3C9D"/>
    <w:rsid w:val="003B78E0"/>
    <w:rsid w:val="003C4969"/>
    <w:rsid w:val="003D0215"/>
    <w:rsid w:val="003D1348"/>
    <w:rsid w:val="003D2761"/>
    <w:rsid w:val="003E41D5"/>
    <w:rsid w:val="003E46B3"/>
    <w:rsid w:val="003E46BA"/>
    <w:rsid w:val="003E5464"/>
    <w:rsid w:val="003E7D22"/>
    <w:rsid w:val="003F26C1"/>
    <w:rsid w:val="003F74C1"/>
    <w:rsid w:val="00402A3C"/>
    <w:rsid w:val="00405B1A"/>
    <w:rsid w:val="00410C76"/>
    <w:rsid w:val="0041119B"/>
    <w:rsid w:val="00411907"/>
    <w:rsid w:val="0041192E"/>
    <w:rsid w:val="00413CA8"/>
    <w:rsid w:val="00417EE3"/>
    <w:rsid w:val="004207EB"/>
    <w:rsid w:val="00427A78"/>
    <w:rsid w:val="00437276"/>
    <w:rsid w:val="004419B5"/>
    <w:rsid w:val="00444005"/>
    <w:rsid w:val="004521E9"/>
    <w:rsid w:val="00456B54"/>
    <w:rsid w:val="00457353"/>
    <w:rsid w:val="00464643"/>
    <w:rsid w:val="004764B1"/>
    <w:rsid w:val="00476544"/>
    <w:rsid w:val="00482766"/>
    <w:rsid w:val="00486793"/>
    <w:rsid w:val="00492ACD"/>
    <w:rsid w:val="00496306"/>
    <w:rsid w:val="004A036C"/>
    <w:rsid w:val="004A2037"/>
    <w:rsid w:val="004B189E"/>
    <w:rsid w:val="004B1A79"/>
    <w:rsid w:val="004C2CE7"/>
    <w:rsid w:val="004C30C8"/>
    <w:rsid w:val="004C5005"/>
    <w:rsid w:val="004C7172"/>
    <w:rsid w:val="004D14F3"/>
    <w:rsid w:val="004D534A"/>
    <w:rsid w:val="004D7143"/>
    <w:rsid w:val="004E4610"/>
    <w:rsid w:val="004E5A31"/>
    <w:rsid w:val="004F01A9"/>
    <w:rsid w:val="004F4F98"/>
    <w:rsid w:val="004F69F6"/>
    <w:rsid w:val="004F79AC"/>
    <w:rsid w:val="005017CF"/>
    <w:rsid w:val="0050473D"/>
    <w:rsid w:val="00511E28"/>
    <w:rsid w:val="0051399C"/>
    <w:rsid w:val="005207D8"/>
    <w:rsid w:val="00527B92"/>
    <w:rsid w:val="00530FFF"/>
    <w:rsid w:val="0053464E"/>
    <w:rsid w:val="00535167"/>
    <w:rsid w:val="00542AA1"/>
    <w:rsid w:val="00550AAD"/>
    <w:rsid w:val="00561780"/>
    <w:rsid w:val="00562917"/>
    <w:rsid w:val="00570E41"/>
    <w:rsid w:val="005755DC"/>
    <w:rsid w:val="00581450"/>
    <w:rsid w:val="00582485"/>
    <w:rsid w:val="00583AA7"/>
    <w:rsid w:val="00583F01"/>
    <w:rsid w:val="00586228"/>
    <w:rsid w:val="00590EC8"/>
    <w:rsid w:val="00592FAE"/>
    <w:rsid w:val="005936CE"/>
    <w:rsid w:val="005A1D97"/>
    <w:rsid w:val="005B483B"/>
    <w:rsid w:val="005B53BA"/>
    <w:rsid w:val="005B6AF4"/>
    <w:rsid w:val="005B7A73"/>
    <w:rsid w:val="005C04CB"/>
    <w:rsid w:val="005C1F21"/>
    <w:rsid w:val="005C56F7"/>
    <w:rsid w:val="005D16AD"/>
    <w:rsid w:val="005D1AF6"/>
    <w:rsid w:val="005D72E1"/>
    <w:rsid w:val="005E26D3"/>
    <w:rsid w:val="005E6A9C"/>
    <w:rsid w:val="005E6E16"/>
    <w:rsid w:val="005F400E"/>
    <w:rsid w:val="005F7342"/>
    <w:rsid w:val="00603A08"/>
    <w:rsid w:val="006066D1"/>
    <w:rsid w:val="00610A3C"/>
    <w:rsid w:val="00614262"/>
    <w:rsid w:val="00616594"/>
    <w:rsid w:val="00616AE5"/>
    <w:rsid w:val="00627F48"/>
    <w:rsid w:val="00630C23"/>
    <w:rsid w:val="00631F61"/>
    <w:rsid w:val="00634275"/>
    <w:rsid w:val="006458BC"/>
    <w:rsid w:val="006460AB"/>
    <w:rsid w:val="0065444E"/>
    <w:rsid w:val="00655668"/>
    <w:rsid w:val="00663FCF"/>
    <w:rsid w:val="006652A2"/>
    <w:rsid w:val="00677C31"/>
    <w:rsid w:val="00690206"/>
    <w:rsid w:val="00691F37"/>
    <w:rsid w:val="006926A5"/>
    <w:rsid w:val="006937FF"/>
    <w:rsid w:val="006A1A78"/>
    <w:rsid w:val="006A21B9"/>
    <w:rsid w:val="006A48A7"/>
    <w:rsid w:val="006A6A91"/>
    <w:rsid w:val="006A7278"/>
    <w:rsid w:val="006A74F6"/>
    <w:rsid w:val="006B0D31"/>
    <w:rsid w:val="006B13A7"/>
    <w:rsid w:val="006B4BA1"/>
    <w:rsid w:val="006B5EBE"/>
    <w:rsid w:val="006B7151"/>
    <w:rsid w:val="006C5CF5"/>
    <w:rsid w:val="006C6436"/>
    <w:rsid w:val="006C76E5"/>
    <w:rsid w:val="006D148A"/>
    <w:rsid w:val="006D2523"/>
    <w:rsid w:val="006D3A45"/>
    <w:rsid w:val="006E76C4"/>
    <w:rsid w:val="006F4A82"/>
    <w:rsid w:val="006F62FC"/>
    <w:rsid w:val="006F77BB"/>
    <w:rsid w:val="0070373B"/>
    <w:rsid w:val="00703D72"/>
    <w:rsid w:val="00703DEE"/>
    <w:rsid w:val="00716CA8"/>
    <w:rsid w:val="00720EBF"/>
    <w:rsid w:val="00723CED"/>
    <w:rsid w:val="00724FA4"/>
    <w:rsid w:val="00730800"/>
    <w:rsid w:val="00753DEB"/>
    <w:rsid w:val="007602AA"/>
    <w:rsid w:val="00764ACA"/>
    <w:rsid w:val="007652EF"/>
    <w:rsid w:val="00772BDC"/>
    <w:rsid w:val="00780792"/>
    <w:rsid w:val="007876C1"/>
    <w:rsid w:val="00794698"/>
    <w:rsid w:val="007A44B4"/>
    <w:rsid w:val="007A492C"/>
    <w:rsid w:val="007A4C75"/>
    <w:rsid w:val="007A7D3D"/>
    <w:rsid w:val="007A7DEE"/>
    <w:rsid w:val="007B11FF"/>
    <w:rsid w:val="007B225D"/>
    <w:rsid w:val="007B46D6"/>
    <w:rsid w:val="007C174F"/>
    <w:rsid w:val="007C1C64"/>
    <w:rsid w:val="007C60F4"/>
    <w:rsid w:val="007D03EA"/>
    <w:rsid w:val="007D32D5"/>
    <w:rsid w:val="007E4543"/>
    <w:rsid w:val="007E48BC"/>
    <w:rsid w:val="007E79F7"/>
    <w:rsid w:val="007F2428"/>
    <w:rsid w:val="007F3630"/>
    <w:rsid w:val="007F5789"/>
    <w:rsid w:val="00804858"/>
    <w:rsid w:val="00807559"/>
    <w:rsid w:val="0081022C"/>
    <w:rsid w:val="0081593D"/>
    <w:rsid w:val="00830279"/>
    <w:rsid w:val="0084083A"/>
    <w:rsid w:val="008450BC"/>
    <w:rsid w:val="00845B3B"/>
    <w:rsid w:val="0085003C"/>
    <w:rsid w:val="0085334B"/>
    <w:rsid w:val="00855EC8"/>
    <w:rsid w:val="00857795"/>
    <w:rsid w:val="00870214"/>
    <w:rsid w:val="008832FF"/>
    <w:rsid w:val="00884579"/>
    <w:rsid w:val="00885AB8"/>
    <w:rsid w:val="00885C51"/>
    <w:rsid w:val="00885EB0"/>
    <w:rsid w:val="00891F4B"/>
    <w:rsid w:val="0089264A"/>
    <w:rsid w:val="00894F1A"/>
    <w:rsid w:val="00896B85"/>
    <w:rsid w:val="008A22BE"/>
    <w:rsid w:val="008A4049"/>
    <w:rsid w:val="008A7000"/>
    <w:rsid w:val="008B0751"/>
    <w:rsid w:val="008B2297"/>
    <w:rsid w:val="008B5FD7"/>
    <w:rsid w:val="008B7EAD"/>
    <w:rsid w:val="008C0AF6"/>
    <w:rsid w:val="008C1B36"/>
    <w:rsid w:val="008C2422"/>
    <w:rsid w:val="008C4524"/>
    <w:rsid w:val="008C5D3B"/>
    <w:rsid w:val="008D06C6"/>
    <w:rsid w:val="008D5E5F"/>
    <w:rsid w:val="008D6281"/>
    <w:rsid w:val="008D6334"/>
    <w:rsid w:val="008E3CB0"/>
    <w:rsid w:val="008E6250"/>
    <w:rsid w:val="008F1A99"/>
    <w:rsid w:val="008F6024"/>
    <w:rsid w:val="00902AF6"/>
    <w:rsid w:val="009059BF"/>
    <w:rsid w:val="00905CF4"/>
    <w:rsid w:val="00920249"/>
    <w:rsid w:val="0092407F"/>
    <w:rsid w:val="00924C80"/>
    <w:rsid w:val="00924CED"/>
    <w:rsid w:val="00925376"/>
    <w:rsid w:val="00932F14"/>
    <w:rsid w:val="0094247F"/>
    <w:rsid w:val="00942D60"/>
    <w:rsid w:val="009625FA"/>
    <w:rsid w:val="00962C86"/>
    <w:rsid w:val="0096523B"/>
    <w:rsid w:val="00966EE3"/>
    <w:rsid w:val="00972D06"/>
    <w:rsid w:val="00972D39"/>
    <w:rsid w:val="00976EA8"/>
    <w:rsid w:val="00977545"/>
    <w:rsid w:val="00983980"/>
    <w:rsid w:val="00983D72"/>
    <w:rsid w:val="00983D80"/>
    <w:rsid w:val="009845B3"/>
    <w:rsid w:val="00987076"/>
    <w:rsid w:val="0099268E"/>
    <w:rsid w:val="00996891"/>
    <w:rsid w:val="00996D82"/>
    <w:rsid w:val="009A391C"/>
    <w:rsid w:val="009A50F2"/>
    <w:rsid w:val="009B13A1"/>
    <w:rsid w:val="009B234D"/>
    <w:rsid w:val="009B63E0"/>
    <w:rsid w:val="009B7A84"/>
    <w:rsid w:val="009C1005"/>
    <w:rsid w:val="009C1A71"/>
    <w:rsid w:val="009C3AC0"/>
    <w:rsid w:val="009E0A61"/>
    <w:rsid w:val="009E199F"/>
    <w:rsid w:val="009E1ADD"/>
    <w:rsid w:val="009E3010"/>
    <w:rsid w:val="009F007E"/>
    <w:rsid w:val="009F7065"/>
    <w:rsid w:val="00A048A4"/>
    <w:rsid w:val="00A133E4"/>
    <w:rsid w:val="00A13EF3"/>
    <w:rsid w:val="00A144D1"/>
    <w:rsid w:val="00A14ECB"/>
    <w:rsid w:val="00A358A8"/>
    <w:rsid w:val="00A4175D"/>
    <w:rsid w:val="00A43C51"/>
    <w:rsid w:val="00A50B55"/>
    <w:rsid w:val="00A51B42"/>
    <w:rsid w:val="00A56DC7"/>
    <w:rsid w:val="00A57EB5"/>
    <w:rsid w:val="00A62BE1"/>
    <w:rsid w:val="00A65A58"/>
    <w:rsid w:val="00A72E1F"/>
    <w:rsid w:val="00A74D30"/>
    <w:rsid w:val="00A74FD1"/>
    <w:rsid w:val="00A75B2A"/>
    <w:rsid w:val="00A763BA"/>
    <w:rsid w:val="00A7655F"/>
    <w:rsid w:val="00A7664B"/>
    <w:rsid w:val="00A77BFA"/>
    <w:rsid w:val="00A80E2C"/>
    <w:rsid w:val="00A84A58"/>
    <w:rsid w:val="00A87AF1"/>
    <w:rsid w:val="00A917D6"/>
    <w:rsid w:val="00A92B44"/>
    <w:rsid w:val="00A943AF"/>
    <w:rsid w:val="00A95378"/>
    <w:rsid w:val="00A96186"/>
    <w:rsid w:val="00AA3930"/>
    <w:rsid w:val="00AB5303"/>
    <w:rsid w:val="00AC0D60"/>
    <w:rsid w:val="00AC655D"/>
    <w:rsid w:val="00AD6E89"/>
    <w:rsid w:val="00AE73EC"/>
    <w:rsid w:val="00AE78EB"/>
    <w:rsid w:val="00AF06FC"/>
    <w:rsid w:val="00AF2FF6"/>
    <w:rsid w:val="00AF3391"/>
    <w:rsid w:val="00AF387F"/>
    <w:rsid w:val="00B00E7F"/>
    <w:rsid w:val="00B01FA3"/>
    <w:rsid w:val="00B03A33"/>
    <w:rsid w:val="00B04FA9"/>
    <w:rsid w:val="00B120AE"/>
    <w:rsid w:val="00B12F1E"/>
    <w:rsid w:val="00B160DA"/>
    <w:rsid w:val="00B173DA"/>
    <w:rsid w:val="00B2130D"/>
    <w:rsid w:val="00B21DCC"/>
    <w:rsid w:val="00B25F37"/>
    <w:rsid w:val="00B37BF0"/>
    <w:rsid w:val="00B44422"/>
    <w:rsid w:val="00B44B3A"/>
    <w:rsid w:val="00B46EA0"/>
    <w:rsid w:val="00B5073C"/>
    <w:rsid w:val="00B53948"/>
    <w:rsid w:val="00B60C08"/>
    <w:rsid w:val="00B64C91"/>
    <w:rsid w:val="00B729C8"/>
    <w:rsid w:val="00B731D3"/>
    <w:rsid w:val="00B77002"/>
    <w:rsid w:val="00B823C4"/>
    <w:rsid w:val="00B839A3"/>
    <w:rsid w:val="00B84475"/>
    <w:rsid w:val="00B86A26"/>
    <w:rsid w:val="00B902BD"/>
    <w:rsid w:val="00BA02E4"/>
    <w:rsid w:val="00BA24E2"/>
    <w:rsid w:val="00BB03D2"/>
    <w:rsid w:val="00BB557A"/>
    <w:rsid w:val="00BC1AEF"/>
    <w:rsid w:val="00BD0B50"/>
    <w:rsid w:val="00BD2A39"/>
    <w:rsid w:val="00BD2E80"/>
    <w:rsid w:val="00BD542A"/>
    <w:rsid w:val="00BD6697"/>
    <w:rsid w:val="00BE11B8"/>
    <w:rsid w:val="00BE1272"/>
    <w:rsid w:val="00BE1279"/>
    <w:rsid w:val="00BE2D55"/>
    <w:rsid w:val="00BE6B88"/>
    <w:rsid w:val="00BF4747"/>
    <w:rsid w:val="00BF4A60"/>
    <w:rsid w:val="00BF7B66"/>
    <w:rsid w:val="00BF7FF0"/>
    <w:rsid w:val="00C03764"/>
    <w:rsid w:val="00C057F4"/>
    <w:rsid w:val="00C074D8"/>
    <w:rsid w:val="00C10757"/>
    <w:rsid w:val="00C12502"/>
    <w:rsid w:val="00C13A9B"/>
    <w:rsid w:val="00C267FF"/>
    <w:rsid w:val="00C274AF"/>
    <w:rsid w:val="00C33892"/>
    <w:rsid w:val="00C36578"/>
    <w:rsid w:val="00C40AA5"/>
    <w:rsid w:val="00C43CC3"/>
    <w:rsid w:val="00C45844"/>
    <w:rsid w:val="00C46F70"/>
    <w:rsid w:val="00C476D0"/>
    <w:rsid w:val="00C57395"/>
    <w:rsid w:val="00C61AC1"/>
    <w:rsid w:val="00C701D0"/>
    <w:rsid w:val="00C777E6"/>
    <w:rsid w:val="00C822B8"/>
    <w:rsid w:val="00C836E3"/>
    <w:rsid w:val="00C86577"/>
    <w:rsid w:val="00C92E07"/>
    <w:rsid w:val="00C93DB1"/>
    <w:rsid w:val="00C96868"/>
    <w:rsid w:val="00CA0416"/>
    <w:rsid w:val="00CA1BA2"/>
    <w:rsid w:val="00CA26DC"/>
    <w:rsid w:val="00CA4BAB"/>
    <w:rsid w:val="00CB0CAD"/>
    <w:rsid w:val="00CB1D1D"/>
    <w:rsid w:val="00CB5AA9"/>
    <w:rsid w:val="00CB70DD"/>
    <w:rsid w:val="00CC2319"/>
    <w:rsid w:val="00CC560B"/>
    <w:rsid w:val="00CC75E2"/>
    <w:rsid w:val="00CD46EB"/>
    <w:rsid w:val="00CD7EBF"/>
    <w:rsid w:val="00CE6D1C"/>
    <w:rsid w:val="00CF4188"/>
    <w:rsid w:val="00CF484C"/>
    <w:rsid w:val="00CF4897"/>
    <w:rsid w:val="00D056F1"/>
    <w:rsid w:val="00D108F3"/>
    <w:rsid w:val="00D11171"/>
    <w:rsid w:val="00D12922"/>
    <w:rsid w:val="00D1332B"/>
    <w:rsid w:val="00D22F3C"/>
    <w:rsid w:val="00D23DB6"/>
    <w:rsid w:val="00D242A6"/>
    <w:rsid w:val="00D338FF"/>
    <w:rsid w:val="00D40ACB"/>
    <w:rsid w:val="00D430CD"/>
    <w:rsid w:val="00D430FD"/>
    <w:rsid w:val="00D43FE6"/>
    <w:rsid w:val="00D453B4"/>
    <w:rsid w:val="00D51A95"/>
    <w:rsid w:val="00D60568"/>
    <w:rsid w:val="00D70C7A"/>
    <w:rsid w:val="00D7156A"/>
    <w:rsid w:val="00D73778"/>
    <w:rsid w:val="00D7480D"/>
    <w:rsid w:val="00D76AB4"/>
    <w:rsid w:val="00D80E67"/>
    <w:rsid w:val="00D816EF"/>
    <w:rsid w:val="00D81D38"/>
    <w:rsid w:val="00D832E3"/>
    <w:rsid w:val="00DA10A8"/>
    <w:rsid w:val="00DA25FA"/>
    <w:rsid w:val="00DB1E08"/>
    <w:rsid w:val="00DB2973"/>
    <w:rsid w:val="00DB3C7F"/>
    <w:rsid w:val="00DB63CA"/>
    <w:rsid w:val="00DC1B56"/>
    <w:rsid w:val="00DC2129"/>
    <w:rsid w:val="00DC3F39"/>
    <w:rsid w:val="00DC449F"/>
    <w:rsid w:val="00DC6570"/>
    <w:rsid w:val="00DD3C5E"/>
    <w:rsid w:val="00DD4B29"/>
    <w:rsid w:val="00DD62F8"/>
    <w:rsid w:val="00DF25C3"/>
    <w:rsid w:val="00E04062"/>
    <w:rsid w:val="00E060BC"/>
    <w:rsid w:val="00E063C6"/>
    <w:rsid w:val="00E066BA"/>
    <w:rsid w:val="00E14E16"/>
    <w:rsid w:val="00E15048"/>
    <w:rsid w:val="00E2003B"/>
    <w:rsid w:val="00E203C2"/>
    <w:rsid w:val="00E26204"/>
    <w:rsid w:val="00E26D47"/>
    <w:rsid w:val="00E279D8"/>
    <w:rsid w:val="00E319B1"/>
    <w:rsid w:val="00E3575F"/>
    <w:rsid w:val="00E44E0D"/>
    <w:rsid w:val="00E51BFF"/>
    <w:rsid w:val="00E5492F"/>
    <w:rsid w:val="00E62DEF"/>
    <w:rsid w:val="00E63F17"/>
    <w:rsid w:val="00E67CD1"/>
    <w:rsid w:val="00E70A86"/>
    <w:rsid w:val="00E72D4B"/>
    <w:rsid w:val="00E761F7"/>
    <w:rsid w:val="00E777EC"/>
    <w:rsid w:val="00E80E63"/>
    <w:rsid w:val="00E80FCD"/>
    <w:rsid w:val="00EA7F2F"/>
    <w:rsid w:val="00EB16A3"/>
    <w:rsid w:val="00EB396A"/>
    <w:rsid w:val="00EB626B"/>
    <w:rsid w:val="00EC00DE"/>
    <w:rsid w:val="00EC297C"/>
    <w:rsid w:val="00EC30E1"/>
    <w:rsid w:val="00EC5370"/>
    <w:rsid w:val="00ED172A"/>
    <w:rsid w:val="00EE0190"/>
    <w:rsid w:val="00EE6655"/>
    <w:rsid w:val="00EF7FA0"/>
    <w:rsid w:val="00F011B4"/>
    <w:rsid w:val="00F11F6C"/>
    <w:rsid w:val="00F14BEC"/>
    <w:rsid w:val="00F16B7B"/>
    <w:rsid w:val="00F225C5"/>
    <w:rsid w:val="00F229E1"/>
    <w:rsid w:val="00F25779"/>
    <w:rsid w:val="00F2587A"/>
    <w:rsid w:val="00F25C26"/>
    <w:rsid w:val="00F31B51"/>
    <w:rsid w:val="00F3253C"/>
    <w:rsid w:val="00F32E4B"/>
    <w:rsid w:val="00F3715D"/>
    <w:rsid w:val="00F4171D"/>
    <w:rsid w:val="00F420C8"/>
    <w:rsid w:val="00F42A4C"/>
    <w:rsid w:val="00F50992"/>
    <w:rsid w:val="00F5588B"/>
    <w:rsid w:val="00F604DE"/>
    <w:rsid w:val="00F71DBB"/>
    <w:rsid w:val="00F72C2E"/>
    <w:rsid w:val="00F776A1"/>
    <w:rsid w:val="00F81FE0"/>
    <w:rsid w:val="00F82FCE"/>
    <w:rsid w:val="00F9309F"/>
    <w:rsid w:val="00F95EB4"/>
    <w:rsid w:val="00FA35FC"/>
    <w:rsid w:val="00FA4613"/>
    <w:rsid w:val="00FB1157"/>
    <w:rsid w:val="00FB35BF"/>
    <w:rsid w:val="00FB7512"/>
    <w:rsid w:val="00FC2AA8"/>
    <w:rsid w:val="00FC4810"/>
    <w:rsid w:val="00FC6264"/>
    <w:rsid w:val="00FD1949"/>
    <w:rsid w:val="00FD6767"/>
    <w:rsid w:val="00FD7547"/>
    <w:rsid w:val="00FE6050"/>
    <w:rsid w:val="00FF0C66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08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Default Paragraph Font" w:uiPriority="1"/>
    <w:lsdException w:name="Subtitle" w:uiPriority="11"/>
    <w:lsdException w:name="Hyperlink" w:uiPriority="99"/>
    <w:lsdException w:name="Strong" w:uiPriority="22"/>
    <w:lsdException w:name="Emphasis" w:uiPriority="20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A62BE1"/>
    <w:pPr>
      <w:keepNext/>
      <w:spacing w:before="240" w:after="240"/>
      <w:ind w:left="851" w:hanging="851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DA25FA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A62BE1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DA25FA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rsid w:val="00E2003B"/>
    <w:pPr>
      <w:numPr>
        <w:numId w:val="1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uiPriority w:val="59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2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3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7D03EA"/>
    <w:rPr>
      <w:rFonts w:ascii="Arial" w:hAnsi="Arial"/>
      <w:sz w:val="22"/>
      <w:szCs w:val="24"/>
      <w:lang w:eastAsia="en-US" w:bidi="en-US"/>
    </w:rPr>
  </w:style>
  <w:style w:type="table" w:styleId="TableClassic4">
    <w:name w:val="Table Classic 4"/>
    <w:basedOn w:val="TableNormal"/>
    <w:rsid w:val="00561780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rsid w:val="006C6436"/>
    <w:pPr>
      <w:ind w:left="720"/>
      <w:contextualSpacing/>
    </w:pPr>
  </w:style>
  <w:style w:type="paragraph" w:styleId="Revision">
    <w:name w:val="Revision"/>
    <w:hidden/>
    <w:uiPriority w:val="99"/>
    <w:semiHidden/>
    <w:rsid w:val="00F16B7B"/>
    <w:rPr>
      <w:rFonts w:ascii="Arial" w:hAnsi="Arial"/>
      <w:sz w:val="22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caption" w:semiHidden="1" w:unhideWhenUsed="1"/>
    <w:lsdException w:name="Title" w:uiPriority="10"/>
    <w:lsdException w:name="Default Paragraph Font" w:uiPriority="1"/>
    <w:lsdException w:name="Subtitle" w:uiPriority="11"/>
    <w:lsdException w:name="Hyperlink" w:uiPriority="99"/>
    <w:lsdException w:name="Strong" w:uiPriority="22"/>
    <w:lsdException w:name="Emphasis" w:uiPriority="20"/>
    <w:lsdException w:name="No Lis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06"/>
    <w:pPr>
      <w:widowControl w:val="0"/>
    </w:pPr>
    <w:rPr>
      <w:rFonts w:ascii="Arial" w:hAnsi="Arial"/>
      <w:sz w:val="22"/>
      <w:szCs w:val="24"/>
      <w:lang w:eastAsia="en-US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9"/>
    <w:qFormat/>
    <w:rsid w:val="00180C41"/>
    <w:pPr>
      <w:keepNext/>
      <w:spacing w:before="240" w:after="240"/>
      <w:ind w:left="851" w:hanging="851"/>
      <w:outlineLvl w:val="0"/>
    </w:pPr>
    <w:rPr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9"/>
    <w:unhideWhenUsed/>
    <w:qFormat/>
    <w:rsid w:val="00A62BE1"/>
    <w:pPr>
      <w:keepNext/>
      <w:spacing w:before="240" w:after="240"/>
      <w:ind w:left="851" w:hanging="851"/>
      <w:outlineLvl w:val="1"/>
    </w:pPr>
    <w:rPr>
      <w:rFonts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9"/>
    <w:unhideWhenUsed/>
    <w:qFormat/>
    <w:rsid w:val="00DA25FA"/>
    <w:pPr>
      <w:keepNext/>
      <w:spacing w:before="240" w:after="240"/>
      <w:ind w:left="851" w:hanging="851"/>
      <w:outlineLvl w:val="2"/>
    </w:pPr>
    <w:rPr>
      <w:b/>
      <w:bCs/>
      <w:color w:val="000000" w:themeColor="text1"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9"/>
    <w:unhideWhenUsed/>
    <w:qFormat/>
    <w:rsid w:val="007C174F"/>
    <w:pPr>
      <w:keepNext/>
      <w:spacing w:before="240" w:after="240"/>
      <w:ind w:left="851" w:hanging="851"/>
      <w:outlineLvl w:val="3"/>
    </w:pPr>
    <w:rPr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9"/>
    <w:unhideWhenUsed/>
    <w:qFormat/>
    <w:rsid w:val="007C174F"/>
    <w:pPr>
      <w:keepNext/>
      <w:spacing w:before="240" w:after="240"/>
      <w:ind w:left="851" w:hanging="851"/>
      <w:outlineLvl w:val="4"/>
    </w:pPr>
    <w:rPr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731D3"/>
    <w:pPr>
      <w:spacing w:before="240" w:after="60"/>
      <w:outlineLvl w:val="5"/>
    </w:pPr>
    <w:rPr>
      <w:rFonts w:cs="Arial Unicode MS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31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rsid w:val="00B731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31D3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link w:val="Heading1"/>
    <w:uiPriority w:val="9"/>
    <w:rsid w:val="00180C41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aliases w:val="FSHeading 2 Char,Section heading Char"/>
    <w:link w:val="Heading2"/>
    <w:uiPriority w:val="9"/>
    <w:rsid w:val="00A62BE1"/>
    <w:rPr>
      <w:rFonts w:ascii="Arial" w:hAnsi="Arial" w:cs="Arial"/>
      <w:b/>
      <w:bCs/>
      <w:sz w:val="28"/>
      <w:szCs w:val="22"/>
      <w:lang w:eastAsia="en-US"/>
    </w:rPr>
  </w:style>
  <w:style w:type="character" w:customStyle="1" w:styleId="Heading3Char">
    <w:name w:val="Heading 3 Char"/>
    <w:aliases w:val="FSHeading 3 Char,Subheading 1 Char"/>
    <w:link w:val="Heading3"/>
    <w:uiPriority w:val="9"/>
    <w:rsid w:val="00DA25FA"/>
    <w:rPr>
      <w:rFonts w:ascii="Arial" w:hAnsi="Arial"/>
      <w:b/>
      <w:bCs/>
      <w:color w:val="000000" w:themeColor="text1"/>
      <w:sz w:val="22"/>
      <w:szCs w:val="24"/>
      <w:lang w:eastAsia="en-AU"/>
    </w:rPr>
  </w:style>
  <w:style w:type="character" w:customStyle="1" w:styleId="Heading4Char">
    <w:name w:val="Heading 4 Char"/>
    <w:aliases w:val="FSHeading 4 Char,Subheading 2 Char"/>
    <w:link w:val="Heading4"/>
    <w:uiPriority w:val="9"/>
    <w:rsid w:val="007C174F"/>
    <w:rPr>
      <w:rFonts w:ascii="Arial" w:hAnsi="Arial"/>
      <w:b/>
      <w:bCs/>
      <w:i/>
      <w:iCs/>
      <w:sz w:val="22"/>
      <w:szCs w:val="22"/>
      <w:lang w:eastAsia="en-US"/>
    </w:rPr>
  </w:style>
  <w:style w:type="character" w:customStyle="1" w:styleId="Heading5Char">
    <w:name w:val="Heading 5 Char"/>
    <w:aliases w:val="FSHeading 5 Char,Subheading 3 Char"/>
    <w:link w:val="Heading5"/>
    <w:uiPriority w:val="9"/>
    <w:rsid w:val="007C174F"/>
    <w:rPr>
      <w:rFonts w:ascii="Arial" w:hAnsi="Arial"/>
      <w:i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B731D3"/>
    <w:rPr>
      <w:rFonts w:cs="Arial Unicode MS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B731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731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B731D3"/>
    <w:rPr>
      <w:rFonts w:ascii="Cambria" w:eastAsia="Times New Roman" w:hAnsi="Cambria"/>
    </w:rPr>
  </w:style>
  <w:style w:type="character" w:styleId="Hyperlink">
    <w:name w:val="Hyperlink"/>
    <w:basedOn w:val="DefaultParagraphFont"/>
    <w:uiPriority w:val="99"/>
    <w:rsid w:val="000A27E9"/>
    <w:rPr>
      <w:rFonts w:ascii="Arial" w:hAnsi="Arial"/>
      <w:color w:val="3333FF"/>
      <w:u w:val="single"/>
    </w:rPr>
  </w:style>
  <w:style w:type="paragraph" w:styleId="Header">
    <w:name w:val="header"/>
    <w:basedOn w:val="Normal"/>
    <w:link w:val="HeaderChar"/>
    <w:rsid w:val="00E777EC"/>
  </w:style>
  <w:style w:type="paragraph" w:customStyle="1" w:styleId="FSTitle">
    <w:name w:val="FS Title"/>
    <w:basedOn w:val="Normal"/>
    <w:qFormat/>
    <w:rsid w:val="00690206"/>
    <w:rPr>
      <w:rFonts w:cs="Tahoma"/>
      <w:bCs/>
      <w:sz w:val="32"/>
    </w:rPr>
  </w:style>
  <w:style w:type="paragraph" w:customStyle="1" w:styleId="FSDash">
    <w:name w:val="FS Dash"/>
    <w:basedOn w:val="Normal"/>
    <w:rsid w:val="007602AA"/>
    <w:pPr>
      <w:ind w:left="1134" w:hanging="567"/>
    </w:pPr>
  </w:style>
  <w:style w:type="paragraph" w:styleId="TOC1">
    <w:name w:val="toc 1"/>
    <w:basedOn w:val="Normal"/>
    <w:next w:val="Normal"/>
    <w:autoRedefine/>
    <w:uiPriority w:val="39"/>
    <w:rsid w:val="00B25F37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035FF3"/>
    <w:pPr>
      <w:ind w:left="220"/>
    </w:pPr>
    <w:rPr>
      <w:rFonts w:asciiTheme="minorHAnsi" w:hAnsiTheme="minorHAnsi"/>
      <w:smallCaps/>
      <w:sz w:val="20"/>
      <w:szCs w:val="20"/>
    </w:rPr>
  </w:style>
  <w:style w:type="paragraph" w:styleId="Footer">
    <w:name w:val="footer"/>
    <w:basedOn w:val="Normal"/>
    <w:rsid w:val="00690206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6A48A7"/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Theme="minorHAnsi" w:hAnsiTheme="minorHAnsi"/>
      <w:sz w:val="18"/>
      <w:szCs w:val="18"/>
    </w:rPr>
  </w:style>
  <w:style w:type="character" w:styleId="FollowedHyperlink">
    <w:name w:val="FollowedHyperlink"/>
    <w:basedOn w:val="DefaultParagraphFont"/>
    <w:rsid w:val="00203540"/>
    <w:rPr>
      <w:rFonts w:ascii="Arial" w:hAnsi="Arial"/>
      <w:color w:val="3333FF"/>
      <w:sz w:val="22"/>
      <w:u w:val="single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Theme="minorHAnsi" w:hAnsiTheme="minorHAnsi"/>
      <w:sz w:val="18"/>
      <w:szCs w:val="18"/>
    </w:rPr>
  </w:style>
  <w:style w:type="paragraph" w:customStyle="1" w:styleId="142Tableheading2">
    <w:name w:val="1.4.2 Table heading2"/>
    <w:basedOn w:val="Normal"/>
    <w:pPr>
      <w:keepNext/>
      <w:jc w:val="center"/>
    </w:pPr>
    <w:rPr>
      <w:iCs/>
      <w:smallCaps/>
      <w:sz w:val="20"/>
      <w:szCs w:val="20"/>
    </w:rPr>
  </w:style>
  <w:style w:type="paragraph" w:customStyle="1" w:styleId="Box1">
    <w:name w:val="Box 1"/>
    <w:basedOn w:val="Normal"/>
    <w:pPr>
      <w:tabs>
        <w:tab w:val="num" w:pos="120"/>
      </w:tabs>
      <w:ind w:left="113" w:hanging="113"/>
    </w:pPr>
    <w:rPr>
      <w:sz w:val="16"/>
    </w:rPr>
  </w:style>
  <w:style w:type="paragraph" w:customStyle="1" w:styleId="Box2">
    <w:name w:val="Box 2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Box3">
    <w:name w:val="Box 3"/>
    <w:basedOn w:val="Normal"/>
    <w:pPr>
      <w:tabs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</w:rPr>
  </w:style>
  <w:style w:type="paragraph" w:customStyle="1" w:styleId="142tableheading1">
    <w:name w:val="1.4.2 table heading1"/>
    <w:basedOn w:val="142Tableheading2"/>
    <w:rPr>
      <w:b/>
      <w:bCs/>
      <w:iCs w:val="0"/>
    </w:rPr>
  </w:style>
  <w:style w:type="paragraph" w:customStyle="1" w:styleId="142tabletext1">
    <w:name w:val="1.4.2 table text1"/>
    <w:basedOn w:val="Normal"/>
    <w:pPr>
      <w:ind w:left="142" w:hanging="142"/>
    </w:pPr>
    <w:rPr>
      <w:smallCaps/>
      <w:sz w:val="20"/>
      <w:szCs w:val="20"/>
    </w:rPr>
  </w:style>
  <w:style w:type="paragraph" w:customStyle="1" w:styleId="142tabletext2">
    <w:name w:val="1.4.2 table text2"/>
    <w:basedOn w:val="142tabletext1"/>
    <w:pPr>
      <w:jc w:val="right"/>
    </w:pPr>
  </w:style>
  <w:style w:type="paragraph" w:customStyle="1" w:styleId="Clause">
    <w:name w:val="Clause"/>
    <w:basedOn w:val="Normal"/>
    <w:next w:val="Normal"/>
    <w:pPr>
      <w:tabs>
        <w:tab w:val="left" w:pos="851"/>
      </w:tabs>
    </w:pPr>
    <w:rPr>
      <w:szCs w:val="20"/>
    </w:rPr>
  </w:style>
  <w:style w:type="paragraph" w:customStyle="1" w:styleId="Clauseheading">
    <w:name w:val="Clause heading"/>
    <w:basedOn w:val="Normal"/>
    <w:next w:val="Normal"/>
    <w:pPr>
      <w:tabs>
        <w:tab w:val="left" w:pos="851"/>
      </w:tabs>
    </w:pPr>
    <w:rPr>
      <w:b/>
      <w:szCs w:val="20"/>
    </w:rPr>
  </w:style>
  <w:style w:type="paragraph" w:customStyle="1" w:styleId="ClauseList">
    <w:name w:val="Clause List"/>
    <w:basedOn w:val="Clause"/>
    <w:next w:val="Normal"/>
  </w:style>
  <w:style w:type="paragraph" w:customStyle="1" w:styleId="Definition">
    <w:name w:val="Definition"/>
    <w:basedOn w:val="Normal"/>
    <w:next w:val="Normal"/>
    <w:pPr>
      <w:ind w:left="1701" w:hanging="851"/>
    </w:pPr>
    <w:rPr>
      <w:szCs w:val="20"/>
    </w:rPr>
  </w:style>
  <w:style w:type="paragraph" w:customStyle="1" w:styleId="DivisionHeading">
    <w:name w:val="Division Heading"/>
    <w:basedOn w:val="Normal"/>
    <w:next w:val="Normal"/>
    <w:pPr>
      <w:tabs>
        <w:tab w:val="left" w:pos="851"/>
      </w:tabs>
      <w:jc w:val="center"/>
    </w:pPr>
    <w:rPr>
      <w:b/>
      <w:sz w:val="28"/>
      <w:szCs w:val="20"/>
    </w:rPr>
  </w:style>
  <w:style w:type="paragraph" w:customStyle="1" w:styleId="EditorialNoteLine1">
    <w:name w:val="Editorial Note Line 1"/>
    <w:basedOn w:val="Normal"/>
    <w:next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Footnote">
    <w:name w:val="Footnote"/>
    <w:basedOn w:val="Normal"/>
    <w:pPr>
      <w:tabs>
        <w:tab w:val="left" w:pos="851"/>
      </w:tabs>
    </w:pPr>
    <w:rPr>
      <w:sz w:val="20"/>
      <w:szCs w:val="20"/>
    </w:rPr>
  </w:style>
  <w:style w:type="paragraph" w:customStyle="1" w:styleId="MiscellaneousHeading">
    <w:name w:val="Miscellaneous Heading"/>
    <w:basedOn w:val="Normal"/>
    <w:next w:val="Normal"/>
    <w:rPr>
      <w:b/>
      <w:szCs w:val="20"/>
    </w:r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pPr>
      <w:tabs>
        <w:tab w:val="left" w:pos="851"/>
      </w:tabs>
      <w:jc w:val="center"/>
    </w:pPr>
    <w:rPr>
      <w:b/>
      <w:caps/>
      <w:szCs w:val="20"/>
    </w:rPr>
  </w:style>
  <w:style w:type="paragraph" w:customStyle="1" w:styleId="Standardtitle">
    <w:name w:val="Standard title"/>
    <w:basedOn w:val="Normal"/>
    <w:pPr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pPr>
      <w:ind w:hanging="11"/>
    </w:pPr>
  </w:style>
  <w:style w:type="paragraph" w:customStyle="1" w:styleId="Subparagraph">
    <w:name w:val="Subparagraph"/>
    <w:basedOn w:val="Paragraph"/>
    <w:next w:val="Normal"/>
    <w:pPr>
      <w:ind w:left="2553"/>
    </w:pPr>
  </w:style>
  <w:style w:type="paragraph" w:customStyle="1" w:styleId="Table1">
    <w:name w:val="Table 1"/>
    <w:basedOn w:val="Normal"/>
    <w:pPr>
      <w:spacing w:after="120"/>
      <w:jc w:val="center"/>
    </w:pPr>
    <w:rPr>
      <w:b/>
      <w:bCs/>
      <w:sz w:val="20"/>
      <w:szCs w:val="20"/>
    </w:rPr>
  </w:style>
  <w:style w:type="paragraph" w:customStyle="1" w:styleId="Table2">
    <w:name w:val="Table 2"/>
    <w:basedOn w:val="Normal"/>
    <w:pPr>
      <w:ind w:left="142" w:hanging="142"/>
    </w:pPr>
    <w:rPr>
      <w:bCs/>
      <w:sz w:val="20"/>
      <w:szCs w:val="20"/>
    </w:rPr>
  </w:style>
  <w:style w:type="paragraph" w:customStyle="1" w:styleId="TableHeading">
    <w:name w:val="Table Heading"/>
    <w:basedOn w:val="Normal"/>
    <w:next w:val="Normal"/>
    <w:pPr>
      <w:tabs>
        <w:tab w:val="left" w:pos="851"/>
      </w:tabs>
      <w:jc w:val="center"/>
    </w:pPr>
    <w:rPr>
      <w:b/>
      <w:szCs w:val="20"/>
    </w:rPr>
  </w:style>
  <w:style w:type="paragraph" w:customStyle="1" w:styleId="TitleBorder">
    <w:name w:val="TitleBorder"/>
    <w:basedOn w:val="Normal"/>
    <w:pPr>
      <w:pBdr>
        <w:bottom w:val="double" w:sz="6" w:space="0" w:color="auto"/>
      </w:pBdr>
      <w:tabs>
        <w:tab w:val="left" w:pos="851"/>
      </w:tabs>
    </w:pPr>
    <w:rPr>
      <w:b/>
      <w:szCs w:val="20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Theme="minorHAnsi" w:hAnsiTheme="minorHAnsi"/>
      <w:sz w:val="18"/>
      <w:szCs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FSDecisionHeading">
    <w:name w:val="FS Decision Heading"/>
    <w:basedOn w:val="Normal"/>
    <w:next w:val="FSDecisiontext"/>
    <w:qFormat/>
    <w:rsid w:val="003213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Bold" w:hAnsi="Arial Bold"/>
      <w:b/>
      <w:bCs/>
    </w:rPr>
  </w:style>
  <w:style w:type="paragraph" w:customStyle="1" w:styleId="FSDecisiontext">
    <w:name w:val="FS Decision text"/>
    <w:basedOn w:val="Normal"/>
    <w:qFormat/>
    <w:rsid w:val="009F00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BalloonText">
    <w:name w:val="Balloon Text"/>
    <w:basedOn w:val="Normal"/>
    <w:semiHidden/>
    <w:rsid w:val="00BD2A39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731D3"/>
    <w:pPr>
      <w:outlineLvl w:val="9"/>
    </w:pPr>
  </w:style>
  <w:style w:type="paragraph" w:customStyle="1" w:styleId="FSBullet">
    <w:name w:val="FS Bullet"/>
    <w:basedOn w:val="Normal"/>
    <w:next w:val="Normal"/>
    <w:link w:val="FSBulletChar"/>
    <w:rsid w:val="00E2003B"/>
    <w:pPr>
      <w:numPr>
        <w:numId w:val="1"/>
      </w:numPr>
      <w:ind w:left="567" w:hanging="567"/>
    </w:pPr>
    <w:rPr>
      <w:rFonts w:cs="Arial"/>
    </w:rPr>
  </w:style>
  <w:style w:type="character" w:customStyle="1" w:styleId="FSBulletChar">
    <w:name w:val="FS Bullet Char"/>
    <w:basedOn w:val="DefaultParagraphFont"/>
    <w:link w:val="FSBullet"/>
    <w:rsid w:val="00E2003B"/>
    <w:rPr>
      <w:rFonts w:ascii="Arial" w:hAnsi="Arial" w:cs="Arial"/>
      <w:sz w:val="22"/>
      <w:szCs w:val="24"/>
      <w:lang w:eastAsia="en-US" w:bidi="en-US"/>
    </w:rPr>
  </w:style>
  <w:style w:type="table" w:styleId="TableGrid">
    <w:name w:val="Table Grid"/>
    <w:basedOn w:val="TableNormal"/>
    <w:uiPriority w:val="59"/>
    <w:rsid w:val="00E777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Title">
    <w:name w:val="FS Table Title"/>
    <w:basedOn w:val="Normal"/>
    <w:next w:val="Normal"/>
    <w:qFormat/>
    <w:rsid w:val="005B6AF4"/>
    <w:rPr>
      <w:rFonts w:cs="Arial"/>
      <w:b/>
    </w:rPr>
  </w:style>
  <w:style w:type="paragraph" w:customStyle="1" w:styleId="FSTableHeading">
    <w:name w:val="FS Table Heading"/>
    <w:basedOn w:val="Normal"/>
    <w:qFormat/>
    <w:rsid w:val="005B6AF4"/>
    <w:pPr>
      <w:jc w:val="center"/>
    </w:pPr>
    <w:rPr>
      <w:rFonts w:ascii="Arial Bold" w:hAnsi="Arial Bold" w:cs="Arial"/>
      <w:b/>
      <w:sz w:val="20"/>
      <w:szCs w:val="20"/>
    </w:rPr>
  </w:style>
  <w:style w:type="paragraph" w:customStyle="1" w:styleId="FSTableText">
    <w:name w:val="FS Table Text"/>
    <w:basedOn w:val="Normal"/>
    <w:qFormat/>
    <w:rsid w:val="005B6AF4"/>
    <w:rPr>
      <w:rFonts w:cs="Arial"/>
      <w:sz w:val="20"/>
      <w:szCs w:val="20"/>
    </w:rPr>
  </w:style>
  <w:style w:type="paragraph" w:customStyle="1" w:styleId="FSFigureTitle">
    <w:name w:val="FS Figure Title"/>
    <w:basedOn w:val="Normal"/>
    <w:next w:val="Normal"/>
    <w:qFormat/>
    <w:rsid w:val="005B6AF4"/>
    <w:rPr>
      <w:rFonts w:cs="Arial"/>
      <w:i/>
    </w:rPr>
  </w:style>
  <w:style w:type="character" w:styleId="CommentReference">
    <w:name w:val="annotation reference"/>
    <w:basedOn w:val="DefaultParagraphFont"/>
    <w:rsid w:val="00AF38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3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F387F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rsid w:val="00AF3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387F"/>
    <w:rPr>
      <w:rFonts w:ascii="Arial" w:hAnsi="Arial"/>
      <w:b/>
      <w:bCs/>
      <w:lang w:eastAsia="en-US" w:bidi="en-US"/>
    </w:rPr>
  </w:style>
  <w:style w:type="paragraph" w:styleId="DocumentMap">
    <w:name w:val="Document Map"/>
    <w:basedOn w:val="Normal"/>
    <w:link w:val="DocumentMapChar"/>
    <w:rsid w:val="00D22F3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22F3C"/>
    <w:rPr>
      <w:rFonts w:ascii="Tahoma" w:hAnsi="Tahoma" w:cs="Tahoma"/>
      <w:sz w:val="16"/>
      <w:szCs w:val="16"/>
      <w:lang w:eastAsia="en-US"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29631C"/>
    <w:pPr>
      <w:widowControl/>
      <w:numPr>
        <w:numId w:val="2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link w:val="FSBullet1"/>
    <w:rsid w:val="0029631C"/>
    <w:rPr>
      <w:rFonts w:ascii="Arial" w:hAnsi="Arial" w:cs="Arial"/>
      <w:sz w:val="22"/>
      <w:szCs w:val="24"/>
      <w:lang w:eastAsia="en-US"/>
    </w:rPr>
  </w:style>
  <w:style w:type="paragraph" w:customStyle="1" w:styleId="FSBullet2">
    <w:name w:val="FSBullet 2"/>
    <w:basedOn w:val="Normal"/>
    <w:qFormat/>
    <w:rsid w:val="0029631C"/>
    <w:pPr>
      <w:widowControl/>
      <w:numPr>
        <w:numId w:val="3"/>
      </w:numPr>
      <w:ind w:left="1134" w:hanging="567"/>
    </w:pPr>
    <w:rPr>
      <w:rFonts w:eastAsia="Calibri"/>
      <w:szCs w:val="22"/>
      <w:lang w:bidi="ar-SA"/>
    </w:rPr>
  </w:style>
  <w:style w:type="paragraph" w:customStyle="1" w:styleId="FSBullet3">
    <w:name w:val="FSBullet 3"/>
    <w:basedOn w:val="Normal"/>
    <w:qFormat/>
    <w:rsid w:val="0029631C"/>
    <w:pPr>
      <w:keepNext/>
      <w:widowControl/>
      <w:numPr>
        <w:numId w:val="4"/>
      </w:numPr>
      <w:ind w:left="1701" w:hanging="567"/>
    </w:pPr>
    <w:rPr>
      <w:rFonts w:eastAsia="Calibri"/>
      <w:b/>
      <w:szCs w:val="22"/>
      <w:lang w:bidi="ar-SA"/>
    </w:rPr>
  </w:style>
  <w:style w:type="table" w:styleId="MediumShading1-Accent3">
    <w:name w:val="Medium Shading 1 Accent 3"/>
    <w:basedOn w:val="TableNormal"/>
    <w:uiPriority w:val="63"/>
    <w:rsid w:val="00001CF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rsid w:val="007D03EA"/>
    <w:rPr>
      <w:rFonts w:ascii="Arial" w:hAnsi="Arial"/>
      <w:sz w:val="22"/>
      <w:szCs w:val="24"/>
      <w:lang w:eastAsia="en-US" w:bidi="en-US"/>
    </w:rPr>
  </w:style>
  <w:style w:type="table" w:styleId="TableClassic4">
    <w:name w:val="Table Classic 4"/>
    <w:basedOn w:val="TableNormal"/>
    <w:rsid w:val="00561780"/>
    <w:pPr>
      <w:widowControl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rsid w:val="006C6436"/>
    <w:pPr>
      <w:ind w:left="720"/>
      <w:contextualSpacing/>
    </w:pPr>
  </w:style>
  <w:style w:type="paragraph" w:styleId="Revision">
    <w:name w:val="Revision"/>
    <w:hidden/>
    <w:uiPriority w:val="99"/>
    <w:semiHidden/>
    <w:rsid w:val="00F16B7B"/>
    <w:rPr>
      <w:rFonts w:ascii="Arial" w:hAnsi="Arial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chem.sis.nlm.nih.gov/chemidplus/rn/123-34-2" TargetMode="External"/><Relationship Id="rId2" Type="http://schemas.openxmlformats.org/officeDocument/2006/relationships/hyperlink" Target="http://actor.epa.gov/actor/GenericChemical?casrn=68954-84-7" TargetMode="External"/><Relationship Id="rId1" Type="http://schemas.openxmlformats.org/officeDocument/2006/relationships/hyperlink" Target="http://apps.who.int/food-additives-contaminants-jecfa-database/search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10F038-AC8E-4444-9640-AB0DD727C825}"/>
</file>

<file path=customXml/itemProps2.xml><?xml version="1.0" encoding="utf-8"?>
<ds:datastoreItem xmlns:ds="http://schemas.openxmlformats.org/officeDocument/2006/customXml" ds:itemID="{25E381C7-72C6-44AB-AA59-1A47E719DC5E}"/>
</file>

<file path=customXml/itemProps3.xml><?xml version="1.0" encoding="utf-8"?>
<ds:datastoreItem xmlns:ds="http://schemas.openxmlformats.org/officeDocument/2006/customXml" ds:itemID="{59709F2F-2372-40BC-A734-0082025C3CC6}"/>
</file>

<file path=customXml/itemProps4.xml><?xml version="1.0" encoding="utf-8"?>
<ds:datastoreItem xmlns:ds="http://schemas.openxmlformats.org/officeDocument/2006/customXml" ds:itemID="{68C4C010-A6CF-4C94-9928-ADC182E41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4322</Words>
  <Characters>24637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28902</CharactersWithSpaces>
  <SharedDoc>false</SharedDoc>
  <HLinks>
    <vt:vector size="186" baseType="variant">
      <vt:variant>
        <vt:i4>4456534</vt:i4>
      </vt:variant>
      <vt:variant>
        <vt:i4>171</vt:i4>
      </vt:variant>
      <vt:variant>
        <vt:i4>0</vt:i4>
      </vt:variant>
      <vt:variant>
        <vt:i4>5</vt:i4>
      </vt:variant>
      <vt:variant>
        <vt:lpwstr>../Standards Management/WTO/WTO Procedures for staff/WTO Procedures for staff.doc</vt:lpwstr>
      </vt:variant>
      <vt:variant>
        <vt:lpwstr/>
      </vt:variant>
      <vt:variant>
        <vt:i4>3932161</vt:i4>
      </vt:variant>
      <vt:variant>
        <vt:i4>168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165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_Toc286391026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_Toc286391025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_Toc286391024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_Toc286391023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_Toc286391022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_Toc286391021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_Toc286391020</vt:lpwstr>
      </vt:variant>
      <vt:variant>
        <vt:i4>1835069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_Toc286391019</vt:lpwstr>
      </vt:variant>
      <vt:variant>
        <vt:i4>1835069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_Toc286391018</vt:lpwstr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_Toc286391017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_Toc286391016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_Toc286391015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_Toc286391014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_Toc286391013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_Toc286391012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_Toc286391011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_Toc286391010</vt:lpwstr>
      </vt:variant>
      <vt:variant>
        <vt:i4>1900605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_Toc286391009</vt:lpwstr>
      </vt:variant>
      <vt:variant>
        <vt:i4>1900605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_Toc286391008</vt:lpwstr>
      </vt:variant>
      <vt:variant>
        <vt:i4>1900605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_Toc286391007</vt:lpwstr>
      </vt:variant>
      <vt:variant>
        <vt:i4>1900605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_Toc286391006</vt:lpwstr>
      </vt:variant>
      <vt:variant>
        <vt:i4>1900605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_Toc286391005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_Toc286391004</vt:lpwstr>
      </vt:variant>
      <vt:variant>
        <vt:i4>1900605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_Toc286391003</vt:lpwstr>
      </vt:variant>
      <vt:variant>
        <vt:i4>1900605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_Toc286391002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_Toc286391001</vt:lpwstr>
      </vt:variant>
      <vt:variant>
        <vt:i4>3932161</vt:i4>
      </vt:variant>
      <vt:variant>
        <vt:i4>3</vt:i4>
      </vt:variant>
      <vt:variant>
        <vt:i4>0</vt:i4>
      </vt:variant>
      <vt:variant>
        <vt:i4>5</vt:i4>
      </vt:variant>
      <vt:variant>
        <vt:lpwstr>mailto:standards.management@foodstandards.gov.au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mailto:submissions@foodstandards.gov.au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A1120-Agarose-CFS-SD1</dc:title>
  <dc:creator/>
  <cp:lastModifiedBy/>
  <cp:revision>1</cp:revision>
  <dcterms:created xsi:type="dcterms:W3CDTF">2016-02-12T00:08:00Z</dcterms:created>
  <dcterms:modified xsi:type="dcterms:W3CDTF">2016-02-12T00:09:00Z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