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1D007" w14:textId="43AAEBE5" w:rsidR="00E203C2" w:rsidRDefault="00E203C2" w:rsidP="00E203C2">
      <w:bookmarkStart w:id="0" w:name="_GoBack"/>
      <w:bookmarkEnd w:id="0"/>
      <w:r>
        <w:rPr>
          <w:noProof/>
          <w:lang w:eastAsia="en-GB" w:bidi="ar-SA"/>
        </w:rPr>
        <w:drawing>
          <wp:inline distT="0" distB="0" distL="0" distR="0" wp14:anchorId="516BCD2E" wp14:editId="0F289C1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9A669CC" w14:textId="77777777" w:rsidR="00E203C2" w:rsidRDefault="00E203C2" w:rsidP="00E203C2"/>
    <w:p w14:paraId="50357500" w14:textId="1B7F58D4" w:rsidR="00CA641D" w:rsidRPr="00153BA2" w:rsidRDefault="00153BA2" w:rsidP="00CA641D">
      <w:pPr>
        <w:rPr>
          <w:b/>
          <w:sz w:val="28"/>
          <w:szCs w:val="28"/>
        </w:rPr>
      </w:pPr>
      <w:r w:rsidRPr="00153BA2">
        <w:rPr>
          <w:b/>
          <w:sz w:val="28"/>
          <w:szCs w:val="28"/>
        </w:rPr>
        <w:t>16 March</w:t>
      </w:r>
      <w:r w:rsidR="00CA641D" w:rsidRPr="00153BA2">
        <w:rPr>
          <w:b/>
          <w:sz w:val="28"/>
          <w:szCs w:val="28"/>
        </w:rPr>
        <w:t xml:space="preserve"> 20</w:t>
      </w:r>
      <w:r w:rsidR="00D94FF3" w:rsidRPr="00153BA2">
        <w:rPr>
          <w:b/>
          <w:sz w:val="28"/>
          <w:szCs w:val="28"/>
        </w:rPr>
        <w:t>22</w:t>
      </w:r>
    </w:p>
    <w:p w14:paraId="2DD65C30" w14:textId="12C8280A" w:rsidR="00CA641D" w:rsidRPr="00153BA2" w:rsidRDefault="00153BA2" w:rsidP="00CA641D">
      <w:pPr>
        <w:rPr>
          <w:b/>
          <w:sz w:val="28"/>
          <w:szCs w:val="28"/>
        </w:rPr>
      </w:pPr>
      <w:r w:rsidRPr="00153BA2">
        <w:rPr>
          <w:b/>
          <w:sz w:val="28"/>
          <w:szCs w:val="28"/>
        </w:rPr>
        <w:t>193-22</w:t>
      </w:r>
    </w:p>
    <w:p w14:paraId="139B7974" w14:textId="77777777" w:rsidR="0057615C" w:rsidRPr="0057615C" w:rsidRDefault="0057615C" w:rsidP="00690206">
      <w:pPr>
        <w:pStyle w:val="FSTitle"/>
        <w:rPr>
          <w:b/>
          <w:sz w:val="22"/>
        </w:rPr>
      </w:pPr>
    </w:p>
    <w:p w14:paraId="4E8F0CB7" w14:textId="47447D1D"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FA2800" w:rsidRPr="00FA2800">
        <w:rPr>
          <w:b/>
        </w:rPr>
        <w:t>1</w:t>
      </w:r>
    </w:p>
    <w:p w14:paraId="60E79D73" w14:textId="77777777" w:rsidR="00BA24E2" w:rsidRDefault="00BA24E2" w:rsidP="00E203C2"/>
    <w:p w14:paraId="30901DDE" w14:textId="7789A425" w:rsidR="00D056F1" w:rsidRPr="005F7323" w:rsidRDefault="00BD675F" w:rsidP="00690206">
      <w:pPr>
        <w:pStyle w:val="FSTitle"/>
      </w:pPr>
      <w:r>
        <w:t xml:space="preserve">Risk </w:t>
      </w:r>
      <w:r w:rsidR="00954842">
        <w:t xml:space="preserve">and Technical </w:t>
      </w:r>
      <w:r>
        <w:t>Assessment</w:t>
      </w:r>
      <w:r w:rsidR="002F4E37">
        <w:t xml:space="preserve"> </w:t>
      </w:r>
      <w:r w:rsidR="00454620">
        <w:t xml:space="preserve">Report </w:t>
      </w:r>
      <w:r w:rsidR="006B5EBE" w:rsidRPr="005F7323">
        <w:t xml:space="preserve">– </w:t>
      </w:r>
      <w:r w:rsidR="00D056F1" w:rsidRPr="005F7323">
        <w:t>A</w:t>
      </w:r>
      <w:r w:rsidR="00B12F1E" w:rsidRPr="005F7323">
        <w:t>pplication</w:t>
      </w:r>
      <w:r w:rsidR="005F7323" w:rsidRPr="005F7323">
        <w:t xml:space="preserve"> </w:t>
      </w:r>
      <w:r w:rsidR="00D056F1" w:rsidRPr="005F7323">
        <w:t>A</w:t>
      </w:r>
      <w:r w:rsidR="005F7323" w:rsidRPr="005F7323">
        <w:t>1215</w:t>
      </w:r>
    </w:p>
    <w:p w14:paraId="23D6A65E" w14:textId="77777777" w:rsidR="00E203C2" w:rsidRPr="005F7323" w:rsidRDefault="00E203C2" w:rsidP="00690206"/>
    <w:p w14:paraId="7CB91A05" w14:textId="7C65DEE9" w:rsidR="00D056F1" w:rsidRPr="005F7323" w:rsidRDefault="005F7323" w:rsidP="00690206">
      <w:pPr>
        <w:pStyle w:val="FSTitle"/>
      </w:pPr>
      <w:r w:rsidRPr="005F7323">
        <w:t>Cetylpyridinium chloride (CPC) as a processing aid</w:t>
      </w:r>
    </w:p>
    <w:p w14:paraId="642822A8" w14:textId="77777777" w:rsidR="00E203C2" w:rsidRPr="00B37BF0" w:rsidRDefault="00E203C2" w:rsidP="00E203C2">
      <w:pPr>
        <w:pBdr>
          <w:bottom w:val="single" w:sz="12" w:space="1" w:color="auto"/>
        </w:pBdr>
        <w:spacing w:line="280" w:lineRule="exact"/>
        <w:rPr>
          <w:rFonts w:cs="Arial"/>
          <w:bCs/>
        </w:rPr>
      </w:pPr>
    </w:p>
    <w:p w14:paraId="72C67626" w14:textId="77777777" w:rsidR="00E203C2" w:rsidRPr="00B37BF0" w:rsidRDefault="00E203C2" w:rsidP="00E203C2"/>
    <w:p w14:paraId="42AF77F5" w14:textId="77777777" w:rsidR="00092CDA" w:rsidRPr="00092CDA" w:rsidRDefault="00092CDA" w:rsidP="00352CF2">
      <w:pPr>
        <w:pStyle w:val="Heading1"/>
        <w:spacing w:before="0"/>
      </w:pPr>
      <w:bookmarkStart w:id="1" w:name="_Toc286391001"/>
      <w:bookmarkStart w:id="2" w:name="_Toc300933414"/>
      <w:bookmarkStart w:id="3" w:name="_Toc62657915"/>
      <w:bookmarkStart w:id="4" w:name="_Toc62738965"/>
      <w:bookmarkStart w:id="5" w:name="_Toc62743551"/>
      <w:bookmarkStart w:id="6" w:name="_Toc63330856"/>
      <w:bookmarkStart w:id="7" w:name="_Toc92722910"/>
      <w:bookmarkStart w:id="8" w:name="_Toc93592297"/>
      <w:bookmarkStart w:id="9" w:name="_Toc93585308"/>
      <w:bookmarkStart w:id="10" w:name="_Toc97041603"/>
      <w:r w:rsidRPr="00092CDA">
        <w:t xml:space="preserve">Executive </w:t>
      </w:r>
      <w:r w:rsidR="00B12F1E">
        <w:t>s</w:t>
      </w:r>
      <w:r w:rsidRPr="00092CDA">
        <w:t>ummary</w:t>
      </w:r>
      <w:bookmarkEnd w:id="1"/>
      <w:bookmarkEnd w:id="2"/>
      <w:bookmarkEnd w:id="3"/>
      <w:bookmarkEnd w:id="4"/>
      <w:bookmarkEnd w:id="5"/>
      <w:bookmarkEnd w:id="6"/>
      <w:bookmarkEnd w:id="7"/>
      <w:bookmarkEnd w:id="8"/>
      <w:bookmarkEnd w:id="9"/>
      <w:bookmarkEnd w:id="10"/>
    </w:p>
    <w:p w14:paraId="58A406DD" w14:textId="582A07BC" w:rsidR="009B2E62" w:rsidRDefault="00B21B2C" w:rsidP="00690206">
      <w:r>
        <w:t xml:space="preserve">FSANZ </w:t>
      </w:r>
      <w:r w:rsidR="0034186B">
        <w:t>has assessed an application fr</w:t>
      </w:r>
      <w:r w:rsidR="009503B3">
        <w:t>om Safe Foods Corporation</w:t>
      </w:r>
      <w:r w:rsidR="0034186B">
        <w:t xml:space="preserve"> to amend the Australia New Zealand Food Standards Code (the Code) to permit the use of cetylpyridinium chlo</w:t>
      </w:r>
      <w:r w:rsidR="00BD728E">
        <w:t>ride (CPC) as a processing aid.</w:t>
      </w:r>
    </w:p>
    <w:p w14:paraId="5F13000F" w14:textId="77777777" w:rsidR="009C0F6F" w:rsidRDefault="009C0F6F" w:rsidP="0034186B">
      <w:pPr>
        <w:rPr>
          <w:lang w:bidi="ar-SA"/>
        </w:rPr>
      </w:pPr>
    </w:p>
    <w:p w14:paraId="43728217" w14:textId="5FBA66E1" w:rsidR="009503B3" w:rsidRDefault="009503B3" w:rsidP="009503B3">
      <w:r>
        <w:rPr>
          <w:lang w:bidi="ar-SA"/>
        </w:rPr>
        <w:t>Safe Foods Corporation</w:t>
      </w:r>
      <w:r w:rsidRPr="009503B3">
        <w:rPr>
          <w:lang w:bidi="ar-SA"/>
        </w:rPr>
        <w:t xml:space="preserve"> </w:t>
      </w:r>
      <w:r w:rsidR="00F53A3B">
        <w:rPr>
          <w:lang w:bidi="ar-SA"/>
        </w:rPr>
        <w:t>markets</w:t>
      </w:r>
      <w:r w:rsidR="00F53A3B" w:rsidRPr="009503B3">
        <w:rPr>
          <w:lang w:bidi="ar-SA"/>
        </w:rPr>
        <w:t xml:space="preserve"> </w:t>
      </w:r>
      <w:r w:rsidRPr="009503B3">
        <w:rPr>
          <w:lang w:bidi="ar-SA"/>
        </w:rPr>
        <w:t xml:space="preserve">an aqueous solution containing CPC (as the active </w:t>
      </w:r>
      <w:r w:rsidR="00CE32F2">
        <w:rPr>
          <w:lang w:bidi="ar-SA"/>
        </w:rPr>
        <w:t>constituent</w:t>
      </w:r>
      <w:r w:rsidRPr="009503B3">
        <w:rPr>
          <w:lang w:bidi="ar-SA"/>
        </w:rPr>
        <w:t xml:space="preserve">) and propylene glycol under the proprietary name Cecure (referred to hereafter as the CPC preparation). The CPC preparation </w:t>
      </w:r>
      <w:r w:rsidR="00F53A3B">
        <w:rPr>
          <w:lang w:bidi="ar-SA"/>
        </w:rPr>
        <w:t>is</w:t>
      </w:r>
      <w:r w:rsidRPr="009503B3">
        <w:rPr>
          <w:lang w:bidi="ar-SA"/>
        </w:rPr>
        <w:t xml:space="preserve"> diluted with water</w:t>
      </w:r>
      <w:r w:rsidR="00647115">
        <w:rPr>
          <w:lang w:bidi="ar-SA"/>
        </w:rPr>
        <w:t xml:space="preserve"> t</w:t>
      </w:r>
      <w:r w:rsidR="00647115" w:rsidRPr="00647115">
        <w:rPr>
          <w:lang w:bidi="ar-SA"/>
        </w:rPr>
        <w:t xml:space="preserve">o achieve a wash solution with a concentration of up to 1% </w:t>
      </w:r>
      <w:r w:rsidR="0057037B">
        <w:rPr>
          <w:lang w:bidi="ar-SA"/>
        </w:rPr>
        <w:t>(w/v</w:t>
      </w:r>
      <w:r w:rsidR="009827E2">
        <w:rPr>
          <w:rStyle w:val="FootnoteReference"/>
          <w:lang w:bidi="ar-SA"/>
        </w:rPr>
        <w:footnoteReference w:id="2"/>
      </w:r>
      <w:r w:rsidR="0057037B">
        <w:rPr>
          <w:lang w:bidi="ar-SA"/>
        </w:rPr>
        <w:t xml:space="preserve">) </w:t>
      </w:r>
      <w:r w:rsidR="00647115" w:rsidRPr="00647115">
        <w:rPr>
          <w:lang w:bidi="ar-SA"/>
        </w:rPr>
        <w:t>CPC</w:t>
      </w:r>
      <w:r w:rsidRPr="009503B3">
        <w:rPr>
          <w:lang w:bidi="ar-SA"/>
        </w:rPr>
        <w:t xml:space="preserve"> for use as an antimicrobial </w:t>
      </w:r>
      <w:r w:rsidR="009E391F">
        <w:rPr>
          <w:lang w:bidi="ar-SA"/>
        </w:rPr>
        <w:t xml:space="preserve">agent </w:t>
      </w:r>
      <w:r w:rsidR="009E391F" w:rsidRPr="009E391F">
        <w:rPr>
          <w:lang w:bidi="ar-SA"/>
        </w:rPr>
        <w:t xml:space="preserve">to treat the inner </w:t>
      </w:r>
      <w:r w:rsidR="00D159F5">
        <w:rPr>
          <w:lang w:bidi="ar-SA"/>
        </w:rPr>
        <w:t xml:space="preserve">(cavity) </w:t>
      </w:r>
      <w:r w:rsidR="009E391F" w:rsidRPr="009E391F">
        <w:rPr>
          <w:lang w:bidi="ar-SA"/>
        </w:rPr>
        <w:t>and outer surfaces of raw poultry carcasses</w:t>
      </w:r>
      <w:r w:rsidR="00FE783A">
        <w:rPr>
          <w:lang w:bidi="ar-SA"/>
        </w:rPr>
        <w:t xml:space="preserve"> and pieces</w:t>
      </w:r>
      <w:r w:rsidR="00A50B76">
        <w:rPr>
          <w:lang w:bidi="ar-SA"/>
        </w:rPr>
        <w:t>.</w:t>
      </w:r>
    </w:p>
    <w:p w14:paraId="480AA7AA" w14:textId="48A22996" w:rsidR="009503B3" w:rsidRDefault="009503B3" w:rsidP="009503B3"/>
    <w:p w14:paraId="4B8454A0" w14:textId="117FE9E8" w:rsidR="00C90E31" w:rsidRDefault="009503B3" w:rsidP="009503B3">
      <w:pPr>
        <w:rPr>
          <w:lang w:bidi="ar-SA"/>
        </w:rPr>
      </w:pPr>
      <w:r>
        <w:t>FSANZ has undertaken an assessment to determine whether CPC achieves the technological purpose, as a processing aid, of an antimicrobial treatment for raw poultry and to identify any potential public health and safety concerns ass</w:t>
      </w:r>
      <w:r w:rsidR="00153DF8">
        <w:t xml:space="preserve">ociated with </w:t>
      </w:r>
      <w:r w:rsidR="00FE783A">
        <w:t>its</w:t>
      </w:r>
      <w:r w:rsidR="00153DF8">
        <w:t xml:space="preserve"> use</w:t>
      </w:r>
      <w:r w:rsidR="00C90E31">
        <w:t>.</w:t>
      </w:r>
    </w:p>
    <w:p w14:paraId="0AFB8077" w14:textId="77777777" w:rsidR="00C90E31" w:rsidRDefault="00C90E31" w:rsidP="009503B3">
      <w:pPr>
        <w:rPr>
          <w:lang w:bidi="ar-SA"/>
        </w:rPr>
      </w:pPr>
    </w:p>
    <w:p w14:paraId="10224147" w14:textId="4554836F" w:rsidR="009503B3" w:rsidRDefault="00C90E31" w:rsidP="009503B3">
      <w:r>
        <w:rPr>
          <w:lang w:bidi="ar-SA"/>
        </w:rPr>
        <w:t xml:space="preserve">As an </w:t>
      </w:r>
      <w:r w:rsidR="00FE783A" w:rsidRPr="00FE783A">
        <w:rPr>
          <w:lang w:bidi="ar-SA"/>
        </w:rPr>
        <w:t>acceptable daily intake (ADI) for propylene glycol has been established by the Joint FAO/WHO Expert Committee on Food Additives (JECFA)</w:t>
      </w:r>
      <w:r>
        <w:rPr>
          <w:lang w:bidi="ar-SA"/>
        </w:rPr>
        <w:t>, an assessment</w:t>
      </w:r>
      <w:r w:rsidR="00705746">
        <w:t xml:space="preserve"> </w:t>
      </w:r>
      <w:r w:rsidR="00705746">
        <w:rPr>
          <w:lang w:bidi="ar-SA"/>
        </w:rPr>
        <w:t xml:space="preserve">of </w:t>
      </w:r>
      <w:r>
        <w:rPr>
          <w:lang w:bidi="ar-SA"/>
        </w:rPr>
        <w:t>potential public</w:t>
      </w:r>
      <w:r w:rsidR="00705746">
        <w:rPr>
          <w:lang w:bidi="ar-SA"/>
        </w:rPr>
        <w:t xml:space="preserve"> and </w:t>
      </w:r>
      <w:r>
        <w:rPr>
          <w:lang w:bidi="ar-SA"/>
        </w:rPr>
        <w:t>safety concerns in relation to</w:t>
      </w:r>
      <w:r w:rsidR="00705746">
        <w:rPr>
          <w:lang w:bidi="ar-SA"/>
        </w:rPr>
        <w:t xml:space="preserve"> propylene glycol from the use of the applicant’s CPC preparation</w:t>
      </w:r>
      <w:r>
        <w:rPr>
          <w:lang w:bidi="ar-SA"/>
        </w:rPr>
        <w:t xml:space="preserve"> was also undertaken</w:t>
      </w:r>
      <w:r w:rsidR="00153DF8">
        <w:t>.</w:t>
      </w:r>
    </w:p>
    <w:p w14:paraId="52AD18E1" w14:textId="77777777" w:rsidR="00C90E31" w:rsidRDefault="00C90E31" w:rsidP="009503B3">
      <w:pPr>
        <w:rPr>
          <w:lang w:eastAsia="en-AU" w:bidi="ar-SA"/>
        </w:rPr>
      </w:pPr>
    </w:p>
    <w:p w14:paraId="02ED679C" w14:textId="342A1AC9" w:rsidR="009503B3" w:rsidRDefault="00293F93" w:rsidP="009503B3">
      <w:pPr>
        <w:rPr>
          <w:lang w:eastAsia="en-AU" w:bidi="ar-SA"/>
        </w:rPr>
      </w:pPr>
      <w:r w:rsidRPr="00C37810">
        <w:rPr>
          <w:lang w:eastAsia="en-AU" w:bidi="ar-SA"/>
        </w:rPr>
        <w:t xml:space="preserve">Raw poultry </w:t>
      </w:r>
      <w:r w:rsidR="00C90E31">
        <w:rPr>
          <w:lang w:eastAsia="en-AU" w:bidi="ar-SA"/>
        </w:rPr>
        <w:t xml:space="preserve">inherently </w:t>
      </w:r>
      <w:r w:rsidRPr="00C37810">
        <w:rPr>
          <w:lang w:eastAsia="en-AU" w:bidi="ar-SA"/>
        </w:rPr>
        <w:t>carr</w:t>
      </w:r>
      <w:r w:rsidR="00C90E31">
        <w:rPr>
          <w:lang w:eastAsia="en-AU" w:bidi="ar-SA"/>
        </w:rPr>
        <w:t>ies</w:t>
      </w:r>
      <w:r w:rsidRPr="00C37810">
        <w:rPr>
          <w:lang w:eastAsia="en-AU" w:bidi="ar-SA"/>
        </w:rPr>
        <w:t xml:space="preserve"> a wide range of microorganisms, some of which are potential human pathogens.</w:t>
      </w:r>
      <w:r w:rsidR="009503B3" w:rsidDel="00261162">
        <w:rPr>
          <w:lang w:eastAsia="en-AU" w:bidi="ar-SA"/>
        </w:rPr>
        <w:t xml:space="preserve"> </w:t>
      </w:r>
      <w:r w:rsidR="00261162">
        <w:rPr>
          <w:lang w:eastAsia="en-AU" w:bidi="ar-SA"/>
        </w:rPr>
        <w:t xml:space="preserve">The </w:t>
      </w:r>
      <w:r w:rsidR="009503B3">
        <w:rPr>
          <w:lang w:eastAsia="en-AU" w:bidi="ar-SA"/>
        </w:rPr>
        <w:t xml:space="preserve">application of CPC </w:t>
      </w:r>
      <w:r w:rsidR="00C01596">
        <w:rPr>
          <w:lang w:eastAsia="en-AU" w:bidi="ar-SA"/>
        </w:rPr>
        <w:t>to the surface of skin-on raw poultry carcasses and pieces</w:t>
      </w:r>
      <w:r w:rsidR="00696213">
        <w:rPr>
          <w:lang w:eastAsia="en-AU" w:bidi="ar-SA"/>
        </w:rPr>
        <w:t>,</w:t>
      </w:r>
      <w:r w:rsidR="00C01596" w:rsidDel="00696213">
        <w:rPr>
          <w:lang w:eastAsia="en-AU" w:bidi="ar-SA"/>
        </w:rPr>
        <w:t xml:space="preserve"> </w:t>
      </w:r>
      <w:r w:rsidR="009503B3" w:rsidDel="00C90E31">
        <w:rPr>
          <w:lang w:eastAsia="en-AU" w:bidi="ar-SA"/>
        </w:rPr>
        <w:t>at</w:t>
      </w:r>
      <w:r w:rsidR="00705746" w:rsidDel="00C90E31">
        <w:rPr>
          <w:lang w:eastAsia="en-AU" w:bidi="ar-SA"/>
        </w:rPr>
        <w:t xml:space="preserve"> </w:t>
      </w:r>
      <w:r w:rsidR="00C01596">
        <w:rPr>
          <w:lang w:eastAsia="en-AU" w:bidi="ar-SA"/>
        </w:rPr>
        <w:t xml:space="preserve">levels </w:t>
      </w:r>
      <w:r w:rsidR="009503B3" w:rsidRPr="005F597D">
        <w:rPr>
          <w:lang w:eastAsia="en-AU" w:bidi="ar-SA"/>
        </w:rPr>
        <w:t xml:space="preserve">ranging from 0.1 to </w:t>
      </w:r>
      <w:r w:rsidR="009827E2">
        <w:rPr>
          <w:lang w:eastAsia="en-AU" w:bidi="ar-SA"/>
        </w:rPr>
        <w:t>1% (w/v)</w:t>
      </w:r>
      <w:r w:rsidR="00E22655">
        <w:rPr>
          <w:lang w:eastAsia="en-AU" w:bidi="ar-SA"/>
        </w:rPr>
        <w:t xml:space="preserve"> concentration in the wash solution</w:t>
      </w:r>
      <w:r w:rsidR="00705746">
        <w:rPr>
          <w:lang w:eastAsia="en-AU" w:bidi="ar-SA"/>
        </w:rPr>
        <w:t>,</w:t>
      </w:r>
      <w:r w:rsidR="009503B3">
        <w:rPr>
          <w:lang w:eastAsia="en-AU" w:bidi="ar-SA"/>
        </w:rPr>
        <w:t xml:space="preserve"> </w:t>
      </w:r>
      <w:r w:rsidR="00261162">
        <w:rPr>
          <w:lang w:eastAsia="en-AU" w:bidi="ar-SA"/>
        </w:rPr>
        <w:t>was demonstrated to</w:t>
      </w:r>
      <w:r w:rsidR="00261162" w:rsidRPr="00561C62">
        <w:rPr>
          <w:lang w:eastAsia="en-AU" w:bidi="ar-SA"/>
        </w:rPr>
        <w:t xml:space="preserve"> </w:t>
      </w:r>
      <w:r w:rsidR="00561C62" w:rsidRPr="00561C62">
        <w:rPr>
          <w:lang w:eastAsia="en-AU" w:bidi="ar-SA"/>
        </w:rPr>
        <w:t>effectively reduce the prevalence and levels of microorganisms, including relevant pathogens</w:t>
      </w:r>
      <w:r w:rsidR="009503B3">
        <w:rPr>
          <w:lang w:eastAsia="en-AU" w:bidi="ar-SA"/>
        </w:rPr>
        <w:t>.</w:t>
      </w:r>
      <w:r w:rsidR="009503B3" w:rsidRPr="00C37810">
        <w:rPr>
          <w:lang w:eastAsia="en-AU" w:bidi="ar-SA"/>
        </w:rPr>
        <w:t xml:space="preserve"> </w:t>
      </w:r>
      <w:r w:rsidR="009503B3">
        <w:rPr>
          <w:lang w:eastAsia="en-AU" w:bidi="ar-SA"/>
        </w:rPr>
        <w:t>FSANZ therefore concludes that the proposed use of CPC as an antimicrobial agent for raw poultry is technologically justified.</w:t>
      </w:r>
    </w:p>
    <w:p w14:paraId="1F6A5916" w14:textId="77777777" w:rsidR="009503B3" w:rsidRDefault="009503B3" w:rsidP="009503B3">
      <w:pPr>
        <w:rPr>
          <w:lang w:eastAsia="en-AU" w:bidi="ar-SA"/>
        </w:rPr>
      </w:pPr>
    </w:p>
    <w:p w14:paraId="6BD2F5A5" w14:textId="365F0179" w:rsidR="009503B3" w:rsidRDefault="009503B3" w:rsidP="009503B3">
      <w:pPr>
        <w:rPr>
          <w:lang w:eastAsia="en-AU" w:bidi="ar-SA"/>
        </w:rPr>
      </w:pPr>
      <w:r w:rsidRPr="00795D70">
        <w:rPr>
          <w:lang w:eastAsia="en-AU" w:bidi="ar-SA"/>
        </w:rPr>
        <w:t xml:space="preserve">As CPC performs </w:t>
      </w:r>
      <w:r>
        <w:rPr>
          <w:lang w:eastAsia="en-AU" w:bidi="ar-SA"/>
        </w:rPr>
        <w:t xml:space="preserve">the antimicrobial </w:t>
      </w:r>
      <w:r w:rsidRPr="00795D70">
        <w:rPr>
          <w:lang w:eastAsia="en-AU" w:bidi="ar-SA"/>
        </w:rPr>
        <w:t xml:space="preserve">function </w:t>
      </w:r>
      <w:r>
        <w:rPr>
          <w:lang w:eastAsia="en-AU" w:bidi="ar-SA"/>
        </w:rPr>
        <w:t>at the time of treatment</w:t>
      </w:r>
      <w:r w:rsidR="004C55E7">
        <w:rPr>
          <w:lang w:eastAsia="en-AU" w:bidi="ar-SA"/>
        </w:rPr>
        <w:t xml:space="preserve"> (</w:t>
      </w:r>
      <w:r>
        <w:rPr>
          <w:lang w:eastAsia="en-AU" w:bidi="ar-SA"/>
        </w:rPr>
        <w:t>during</w:t>
      </w:r>
      <w:r w:rsidRPr="00795D70">
        <w:rPr>
          <w:lang w:eastAsia="en-AU" w:bidi="ar-SA"/>
        </w:rPr>
        <w:t xml:space="preserve"> the processing of poultry</w:t>
      </w:r>
      <w:r w:rsidR="004C55E7">
        <w:rPr>
          <w:lang w:eastAsia="en-AU" w:bidi="ar-SA"/>
        </w:rPr>
        <w:t>)</w:t>
      </w:r>
      <w:r w:rsidRPr="00795D70">
        <w:rPr>
          <w:lang w:eastAsia="en-AU" w:bidi="ar-SA"/>
        </w:rPr>
        <w:t xml:space="preserve"> and does not perform a technological </w:t>
      </w:r>
      <w:r w:rsidRPr="00C37810">
        <w:rPr>
          <w:lang w:eastAsia="en-AU" w:bidi="ar-SA"/>
        </w:rPr>
        <w:t>purpose in the food for sale, it</w:t>
      </w:r>
      <w:r w:rsidRPr="00795D70">
        <w:rPr>
          <w:lang w:eastAsia="en-AU" w:bidi="ar-SA"/>
        </w:rPr>
        <w:t xml:space="preserve"> functions as a processing aid as defined in the </w:t>
      </w:r>
      <w:r w:rsidR="00D005B3">
        <w:rPr>
          <w:lang w:eastAsia="en-AU" w:bidi="ar-SA"/>
        </w:rPr>
        <w:t>Code</w:t>
      </w:r>
      <w:r w:rsidRPr="00795D70">
        <w:rPr>
          <w:lang w:eastAsia="en-AU" w:bidi="ar-SA"/>
        </w:rPr>
        <w:t>.</w:t>
      </w:r>
    </w:p>
    <w:p w14:paraId="17269C47" w14:textId="77777777" w:rsidR="009503B3" w:rsidRDefault="009503B3" w:rsidP="009503B3">
      <w:pPr>
        <w:rPr>
          <w:lang w:eastAsia="en-AU" w:bidi="ar-SA"/>
        </w:rPr>
      </w:pPr>
    </w:p>
    <w:p w14:paraId="3F460179" w14:textId="1DA6EFB7" w:rsidR="009503B3" w:rsidRDefault="009503B3" w:rsidP="009503B3">
      <w:pPr>
        <w:rPr>
          <w:lang w:bidi="ar-SA"/>
        </w:rPr>
      </w:pPr>
      <w:r>
        <w:rPr>
          <w:lang w:bidi="ar-SA"/>
        </w:rPr>
        <w:t>There is a relevant specification for CPC in the Food Chemicals Codex (</w:t>
      </w:r>
      <w:r w:rsidR="00710616" w:rsidRPr="00710616">
        <w:rPr>
          <w:lang w:bidi="ar-SA"/>
        </w:rPr>
        <w:t>United States Pharmacopeial Convention</w:t>
      </w:r>
      <w:r>
        <w:rPr>
          <w:lang w:bidi="ar-SA"/>
        </w:rPr>
        <w:t xml:space="preserve"> 20</w:t>
      </w:r>
      <w:r w:rsidR="00710616">
        <w:rPr>
          <w:lang w:bidi="ar-SA"/>
        </w:rPr>
        <w:t>20</w:t>
      </w:r>
      <w:r>
        <w:rPr>
          <w:lang w:bidi="ar-SA"/>
        </w:rPr>
        <w:t>), a primary source of specifications listed in Schedule 3 of the Code.</w:t>
      </w:r>
    </w:p>
    <w:p w14:paraId="796B73CD" w14:textId="41D84548" w:rsidR="00E55870" w:rsidRDefault="00E55870" w:rsidP="009503B3">
      <w:pPr>
        <w:rPr>
          <w:lang w:bidi="ar-SA"/>
        </w:rPr>
      </w:pPr>
    </w:p>
    <w:p w14:paraId="1ECD3A5A" w14:textId="77777777" w:rsidR="00710616" w:rsidRDefault="00710616" w:rsidP="00710616">
      <w:pPr>
        <w:rPr>
          <w:lang w:bidi="ar-SA"/>
        </w:rPr>
      </w:pPr>
      <w:r w:rsidRPr="001B1130">
        <w:rPr>
          <w:lang w:bidi="ar-SA"/>
        </w:rPr>
        <w:t xml:space="preserve">Propylene glycol is </w:t>
      </w:r>
      <w:r>
        <w:rPr>
          <w:lang w:bidi="ar-SA"/>
        </w:rPr>
        <w:t>added to</w:t>
      </w:r>
      <w:r w:rsidRPr="001B1130">
        <w:rPr>
          <w:lang w:bidi="ar-SA"/>
        </w:rPr>
        <w:t xml:space="preserve"> Safe Foods</w:t>
      </w:r>
      <w:r>
        <w:rPr>
          <w:lang w:bidi="ar-SA"/>
        </w:rPr>
        <w:t>’</w:t>
      </w:r>
      <w:r w:rsidRPr="001B1130">
        <w:rPr>
          <w:lang w:bidi="ar-SA"/>
        </w:rPr>
        <w:t xml:space="preserve"> CPC preparation </w:t>
      </w:r>
      <w:r>
        <w:t xml:space="preserve">to act as a </w:t>
      </w:r>
      <w:r w:rsidRPr="00D80D71">
        <w:t>wetting agent or humectant</w:t>
      </w:r>
      <w:r>
        <w:t xml:space="preserve"> in the processing of the CPC preparation</w:t>
      </w:r>
      <w:r w:rsidRPr="00D80D71">
        <w:t xml:space="preserve"> and to maintain solubility and stability</w:t>
      </w:r>
      <w:r>
        <w:t xml:space="preserve"> in the preparation after processing</w:t>
      </w:r>
      <w:r w:rsidRPr="001B1130">
        <w:rPr>
          <w:lang w:bidi="ar-SA"/>
        </w:rPr>
        <w:t xml:space="preserve">. </w:t>
      </w:r>
      <w:r w:rsidRPr="000B29DA">
        <w:rPr>
          <w:lang w:bidi="ar-SA"/>
        </w:rPr>
        <w:t>Propylene glycol is currently permitted for use both as a food additive permitted at GMP and as a processing aid</w:t>
      </w:r>
      <w:r>
        <w:rPr>
          <w:lang w:bidi="ar-SA"/>
        </w:rPr>
        <w:t>,</w:t>
      </w:r>
      <w:r w:rsidRPr="000B29DA">
        <w:rPr>
          <w:lang w:bidi="ar-SA"/>
        </w:rPr>
        <w:t xml:space="preserve"> in</w:t>
      </w:r>
      <w:r>
        <w:rPr>
          <w:lang w:bidi="ar-SA"/>
        </w:rPr>
        <w:t xml:space="preserve"> accordance with</w:t>
      </w:r>
      <w:r w:rsidRPr="000B29DA">
        <w:rPr>
          <w:lang w:bidi="ar-SA"/>
        </w:rPr>
        <w:t xml:space="preserve"> the Code.</w:t>
      </w:r>
    </w:p>
    <w:p w14:paraId="3591E7F0" w14:textId="5E19B244" w:rsidR="004C55E7" w:rsidRDefault="00710616" w:rsidP="00985B8C">
      <w:r w:rsidDel="00710616">
        <w:rPr>
          <w:lang w:bidi="ar-SA"/>
        </w:rPr>
        <w:t xml:space="preserve"> </w:t>
      </w:r>
    </w:p>
    <w:p w14:paraId="0E814E4E" w14:textId="425FE325" w:rsidR="00985B8C" w:rsidRDefault="00985B8C" w:rsidP="00985B8C">
      <w:pPr>
        <w:rPr>
          <w:lang w:bidi="ar-SA"/>
        </w:rPr>
      </w:pPr>
      <w:r>
        <w:rPr>
          <w:lang w:bidi="ar-SA"/>
        </w:rPr>
        <w:t xml:space="preserve">In short-term dietary toxicity studies </w:t>
      </w:r>
      <w:r w:rsidR="000745C8">
        <w:rPr>
          <w:lang w:bidi="ar-SA"/>
        </w:rPr>
        <w:t xml:space="preserve">of CPC </w:t>
      </w:r>
      <w:r>
        <w:rPr>
          <w:lang w:bidi="ar-SA"/>
        </w:rPr>
        <w:t>in rats and dogs, reduced food consumption and decreased body weight and body weight gain were observed at higher</w:t>
      </w:r>
      <w:r w:rsidR="000745C8">
        <w:rPr>
          <w:lang w:bidi="ar-SA"/>
        </w:rPr>
        <w:t xml:space="preserve"> concentrations</w:t>
      </w:r>
      <w:r>
        <w:rPr>
          <w:lang w:bidi="ar-SA"/>
        </w:rPr>
        <w:t>. These effects may possibly be due to issues with</w:t>
      </w:r>
      <w:r w:rsidR="00BD728E">
        <w:rPr>
          <w:lang w:bidi="ar-SA"/>
        </w:rPr>
        <w:t xml:space="preserve"> palatability of the test item.</w:t>
      </w:r>
      <w:r w:rsidR="00152059">
        <w:rPr>
          <w:lang w:bidi="ar-SA"/>
        </w:rPr>
        <w:t xml:space="preserve"> </w:t>
      </w:r>
      <w:r w:rsidR="00A8774E">
        <w:rPr>
          <w:lang w:bidi="ar-SA"/>
        </w:rPr>
        <w:t xml:space="preserve"> </w:t>
      </w:r>
      <w:r w:rsidR="00A8774E" w:rsidRPr="001511FC">
        <w:rPr>
          <w:lang w:bidi="ar-SA"/>
        </w:rPr>
        <w:t>I</w:t>
      </w:r>
      <w:r w:rsidR="00152059" w:rsidRPr="001511FC">
        <w:rPr>
          <w:lang w:bidi="ar-SA"/>
        </w:rPr>
        <w:t>ncreased caecum weights</w:t>
      </w:r>
      <w:r w:rsidR="00A8774E" w:rsidRPr="001511FC">
        <w:rPr>
          <w:lang w:bidi="ar-SA"/>
        </w:rPr>
        <w:t xml:space="preserve"> were observed</w:t>
      </w:r>
      <w:r w:rsidR="00152059" w:rsidRPr="001511FC">
        <w:rPr>
          <w:lang w:bidi="ar-SA"/>
        </w:rPr>
        <w:t xml:space="preserve"> in rats</w:t>
      </w:r>
      <w:r w:rsidR="00284B04" w:rsidRPr="001511FC">
        <w:rPr>
          <w:lang w:bidi="ar-SA"/>
        </w:rPr>
        <w:t>. The cause of this finding was unclear but it was not possible to definitively conclude that these changes were not treatment-related or adverse. In addition, haematological</w:t>
      </w:r>
      <w:r w:rsidR="00152059" w:rsidRPr="001511FC">
        <w:rPr>
          <w:lang w:bidi="ar-SA"/>
        </w:rPr>
        <w:t xml:space="preserve"> changes </w:t>
      </w:r>
      <w:r w:rsidR="00284B04" w:rsidRPr="001511FC">
        <w:rPr>
          <w:lang w:bidi="ar-SA"/>
        </w:rPr>
        <w:t xml:space="preserve">were observed </w:t>
      </w:r>
      <w:r w:rsidR="00152059" w:rsidRPr="001511FC">
        <w:rPr>
          <w:lang w:bidi="ar-SA"/>
        </w:rPr>
        <w:t xml:space="preserve">in </w:t>
      </w:r>
      <w:r w:rsidR="00A8774E" w:rsidRPr="001511FC">
        <w:rPr>
          <w:lang w:bidi="ar-SA"/>
        </w:rPr>
        <w:t>dogs</w:t>
      </w:r>
      <w:r w:rsidR="00152059" w:rsidRPr="001511FC">
        <w:rPr>
          <w:lang w:bidi="ar-SA"/>
        </w:rPr>
        <w:t xml:space="preserve">. </w:t>
      </w:r>
      <w:r w:rsidR="00284B04" w:rsidRPr="001511FC">
        <w:rPr>
          <w:lang w:bidi="ar-SA"/>
        </w:rPr>
        <w:t xml:space="preserve">The no observed adverse effect level (NOAEL) in </w:t>
      </w:r>
      <w:r w:rsidR="00A8774E" w:rsidRPr="001511FC">
        <w:rPr>
          <w:lang w:bidi="ar-SA"/>
        </w:rPr>
        <w:t>a 90-day dietary toxicity in dogs</w:t>
      </w:r>
      <w:r w:rsidR="00284B04" w:rsidRPr="001511FC">
        <w:rPr>
          <w:lang w:bidi="ar-SA"/>
        </w:rPr>
        <w:t xml:space="preserve"> was 8 mg/kg bw/day</w:t>
      </w:r>
      <w:r w:rsidR="00A8774E" w:rsidRPr="001511FC">
        <w:rPr>
          <w:lang w:bidi="ar-SA"/>
        </w:rPr>
        <w:t>.</w:t>
      </w:r>
    </w:p>
    <w:p w14:paraId="5B9A2A80" w14:textId="77777777" w:rsidR="00985B8C" w:rsidRDefault="00985B8C" w:rsidP="00985B8C">
      <w:pPr>
        <w:rPr>
          <w:lang w:bidi="ar-SA"/>
        </w:rPr>
      </w:pPr>
    </w:p>
    <w:p w14:paraId="445D44F2" w14:textId="50F7FDE5" w:rsidR="00985B8C" w:rsidRDefault="000745C8" w:rsidP="00985B8C">
      <w:pPr>
        <w:rPr>
          <w:lang w:bidi="ar-SA"/>
        </w:rPr>
      </w:pPr>
      <w:r w:rsidRPr="000745C8">
        <w:rPr>
          <w:i/>
          <w:lang w:bidi="ar-SA"/>
        </w:rPr>
        <w:t>I</w:t>
      </w:r>
      <w:r w:rsidR="00985B8C" w:rsidRPr="005E7923">
        <w:rPr>
          <w:i/>
          <w:lang w:bidi="ar-SA"/>
        </w:rPr>
        <w:t>n vitro</w:t>
      </w:r>
      <w:r w:rsidR="00985B8C">
        <w:rPr>
          <w:lang w:bidi="ar-SA"/>
        </w:rPr>
        <w:t xml:space="preserve"> genotoxicity studies of </w:t>
      </w:r>
      <w:r w:rsidR="00985B8C" w:rsidDel="000538EA">
        <w:rPr>
          <w:lang w:bidi="ar-SA"/>
        </w:rPr>
        <w:t xml:space="preserve">the final CPC preparation </w:t>
      </w:r>
      <w:r w:rsidR="00985B8C">
        <w:rPr>
          <w:lang w:bidi="ar-SA"/>
        </w:rPr>
        <w:t xml:space="preserve">found no evidence of mutagenicity or clastogenicity. Proprietary </w:t>
      </w:r>
      <w:r w:rsidR="00985B8C" w:rsidRPr="00227665">
        <w:rPr>
          <w:i/>
          <w:lang w:bidi="ar-SA"/>
        </w:rPr>
        <w:t>in vitro</w:t>
      </w:r>
      <w:r w:rsidR="00985B8C">
        <w:rPr>
          <w:lang w:bidi="ar-SA"/>
        </w:rPr>
        <w:t xml:space="preserve"> and </w:t>
      </w:r>
      <w:r w:rsidR="00985B8C" w:rsidRPr="00227665">
        <w:rPr>
          <w:i/>
          <w:lang w:bidi="ar-SA"/>
        </w:rPr>
        <w:t>in vivo</w:t>
      </w:r>
      <w:r w:rsidR="00985B8C">
        <w:rPr>
          <w:lang w:bidi="ar-SA"/>
        </w:rPr>
        <w:t xml:space="preserve"> genotoxicity studies of CPC unavailable to FSANZ were reviewed by the EU Scientific Committee on Consumer Safety (SCCS), and considered to demonstrate that CPC does not have genotoxic potential. </w:t>
      </w:r>
      <w:r>
        <w:rPr>
          <w:lang w:bidi="ar-SA"/>
        </w:rPr>
        <w:t>No long-term studies of toxicity or carcinogenicity are available for review, but n</w:t>
      </w:r>
      <w:r w:rsidR="00985B8C">
        <w:rPr>
          <w:lang w:bidi="ar-SA"/>
        </w:rPr>
        <w:t xml:space="preserve">o histopathological changes indicative of </w:t>
      </w:r>
      <w:r w:rsidR="00985B8C">
        <w:t>lesions that could lead to neoplasia were identified in the short-term dietary toxicity studies reviewed b</w:t>
      </w:r>
      <w:r w:rsidR="00BD728E">
        <w:t>y FSANZ.</w:t>
      </w:r>
    </w:p>
    <w:p w14:paraId="492AC697" w14:textId="77777777" w:rsidR="00985B8C" w:rsidRDefault="00985B8C" w:rsidP="00985B8C">
      <w:pPr>
        <w:rPr>
          <w:lang w:bidi="ar-SA"/>
        </w:rPr>
      </w:pPr>
    </w:p>
    <w:p w14:paraId="09115E0F" w14:textId="62300E81" w:rsidR="00985B8C" w:rsidRDefault="00985B8C" w:rsidP="00985B8C">
      <w:pPr>
        <w:rPr>
          <w:lang w:bidi="ar-SA"/>
        </w:rPr>
      </w:pPr>
      <w:r>
        <w:rPr>
          <w:lang w:bidi="ar-SA"/>
        </w:rPr>
        <w:t>Limited details summarising developmental toxicity studies</w:t>
      </w:r>
      <w:r w:rsidR="00B27F45">
        <w:rPr>
          <w:lang w:bidi="ar-SA"/>
        </w:rPr>
        <w:t xml:space="preserve"> of CPC</w:t>
      </w:r>
      <w:r>
        <w:rPr>
          <w:lang w:bidi="ar-SA"/>
        </w:rPr>
        <w:t xml:space="preserve"> in rats and rabbits were submitted to FSANZ. In addition, the EU SCCS review of CPC considered results of a proprietary developmental toxicity study in rats. These summaries state that no developmental toxicity was observed, but the full study reports were not available to FSANZ for evaluation. A summary of a combined developmental and reproductive toxicity study of a vinyl copolymer containing CPC in rats, conducted over three generations, states that no effects on fertility or developmental toxicity were observed. No histopathological changes in reproductive tissues were reported in the short-term dietary toxi</w:t>
      </w:r>
      <w:r w:rsidR="00BD728E">
        <w:rPr>
          <w:lang w:bidi="ar-SA"/>
        </w:rPr>
        <w:t>city studies reviewed by FSANZ.</w:t>
      </w:r>
    </w:p>
    <w:p w14:paraId="7A5218B2" w14:textId="77777777" w:rsidR="00985B8C" w:rsidRDefault="00985B8C" w:rsidP="00985B8C">
      <w:pPr>
        <w:rPr>
          <w:lang w:bidi="ar-SA"/>
        </w:rPr>
      </w:pPr>
    </w:p>
    <w:p w14:paraId="3A8A6E28" w14:textId="0E3EB139" w:rsidR="00985B8C" w:rsidRDefault="00985B8C" w:rsidP="00985B8C">
      <w:pPr>
        <w:rPr>
          <w:lang w:bidi="ar-SA"/>
        </w:rPr>
      </w:pPr>
      <w:r>
        <w:rPr>
          <w:lang w:bidi="ar-SA"/>
        </w:rPr>
        <w:t>Given the limited data on long-term toxicity, carcinogenicity and developmental and reproductive toxicity</w:t>
      </w:r>
      <w:r w:rsidR="00077471">
        <w:rPr>
          <w:lang w:bidi="ar-SA"/>
        </w:rPr>
        <w:t xml:space="preserve"> available to FSANZ</w:t>
      </w:r>
      <w:r>
        <w:rPr>
          <w:lang w:bidi="ar-SA"/>
        </w:rPr>
        <w:t xml:space="preserve">, it is not appropriate to establish a health-based guidance value (HBGV) for CPC. However, the NOAEL of 8 mg/kg bw/day identified in the 90-day dietary toxicity study in dogs is considered </w:t>
      </w:r>
      <w:r w:rsidR="00855B28">
        <w:rPr>
          <w:lang w:bidi="ar-SA"/>
        </w:rPr>
        <w:t>a suitable</w:t>
      </w:r>
      <w:r>
        <w:rPr>
          <w:lang w:bidi="ar-SA"/>
        </w:rPr>
        <w:t xml:space="preserve"> point of departure for use in a margin of exposure (MOE) assessment. </w:t>
      </w:r>
      <w:r w:rsidRPr="001511FC">
        <w:rPr>
          <w:lang w:bidi="ar-SA"/>
        </w:rPr>
        <w:t xml:space="preserve">This NOAEL is also protective of the changes </w:t>
      </w:r>
      <w:r w:rsidR="00BD728E" w:rsidRPr="001511FC">
        <w:rPr>
          <w:lang w:bidi="ar-SA"/>
        </w:rPr>
        <w:t>observed in the rat studies.</w:t>
      </w:r>
    </w:p>
    <w:p w14:paraId="2BE5E71F" w14:textId="59178D2D" w:rsidR="00985B8C" w:rsidRDefault="00985B8C" w:rsidP="00985B8C">
      <w:pPr>
        <w:rPr>
          <w:lang w:bidi="ar-SA"/>
        </w:rPr>
      </w:pPr>
    </w:p>
    <w:p w14:paraId="769C3E52" w14:textId="350C97A0" w:rsidR="00CA56FB" w:rsidRDefault="00985B8C" w:rsidP="00690206">
      <w:pPr>
        <w:rPr>
          <w:lang w:bidi="ar-SA"/>
        </w:rPr>
      </w:pPr>
      <w:r>
        <w:rPr>
          <w:lang w:bidi="ar-SA"/>
        </w:rPr>
        <w:t xml:space="preserve">For propylene glycol, an </w:t>
      </w:r>
      <w:r w:rsidR="00CA56FB">
        <w:rPr>
          <w:lang w:bidi="ar-SA"/>
        </w:rPr>
        <w:t>acceptable daily intake (</w:t>
      </w:r>
      <w:r>
        <w:rPr>
          <w:lang w:bidi="ar-SA"/>
        </w:rPr>
        <w:t>ADI</w:t>
      </w:r>
      <w:r w:rsidR="00CA56FB">
        <w:rPr>
          <w:lang w:bidi="ar-SA"/>
        </w:rPr>
        <w:t>)</w:t>
      </w:r>
      <w:r>
        <w:rPr>
          <w:lang w:bidi="ar-SA"/>
        </w:rPr>
        <w:t xml:space="preserve"> of 0 – 25 mg/kg bw has been established by JECFA.</w:t>
      </w:r>
    </w:p>
    <w:p w14:paraId="67113E2B" w14:textId="77777777" w:rsidR="00CA56FB" w:rsidRDefault="00CA56FB" w:rsidP="00690206"/>
    <w:p w14:paraId="1E4A297B" w14:textId="411A4E6C" w:rsidR="00CA56FB" w:rsidRDefault="00762650" w:rsidP="00690206">
      <w:r w:rsidRPr="00762650">
        <w:t>A dietary exposure assessment was undertaken for both CPC and propylene glycol</w:t>
      </w:r>
      <w:r>
        <w:t xml:space="preserve"> based on residue levels in poultry from use of the </w:t>
      </w:r>
      <w:r w:rsidR="000B3115">
        <w:t>applicant’s CPC preparation</w:t>
      </w:r>
      <w:r w:rsidRPr="00762650">
        <w:t>.</w:t>
      </w:r>
      <w:r>
        <w:t xml:space="preserve"> </w:t>
      </w:r>
      <w:r w:rsidR="005335BF">
        <w:t xml:space="preserve">The assessment for propylene glycol also included dietary exposure from existing food additive uses. For CPC, estimated dietary exposures ranged between </w:t>
      </w:r>
      <w:r w:rsidR="005E56BC">
        <w:t>0.0025</w:t>
      </w:r>
      <w:r w:rsidR="00394A53">
        <w:t xml:space="preserve"> and </w:t>
      </w:r>
      <w:r w:rsidR="005E56BC">
        <w:t>0.014 mg/kg bw</w:t>
      </w:r>
      <w:r w:rsidR="00394A53">
        <w:t>/</w:t>
      </w:r>
      <w:r w:rsidR="005E56BC">
        <w:t>day across mean and high (90</w:t>
      </w:r>
      <w:r w:rsidR="005E56BC" w:rsidRPr="00AF4982">
        <w:rPr>
          <w:vertAlign w:val="superscript"/>
        </w:rPr>
        <w:t>th</w:t>
      </w:r>
      <w:r w:rsidR="005E56BC">
        <w:t xml:space="preserve"> percentile) exposures for all scenarios and </w:t>
      </w:r>
      <w:r w:rsidR="00394A53">
        <w:t xml:space="preserve">Australian and New Zealand </w:t>
      </w:r>
      <w:r w:rsidR="005E56BC">
        <w:t xml:space="preserve">population groups assessed. When compared with the NOAEL, these dietary exposures equate to MOEs between 600 and 3200. </w:t>
      </w:r>
      <w:r w:rsidR="00F06F46">
        <w:rPr>
          <w:lang w:bidi="ar-SA"/>
        </w:rPr>
        <w:t>The MOEs are sufficiently large to account for the uncertainties in the database for CPC, and indicate that there are no safety concerns from the proposed use of CPC as a poultry treatment.</w:t>
      </w:r>
      <w:r w:rsidR="005E56BC">
        <w:t xml:space="preserve"> For propylene glycol, estimated dietary exposures from </w:t>
      </w:r>
      <w:r w:rsidR="00C735F0">
        <w:t>the applicant’s CPC preparation</w:t>
      </w:r>
      <w:r w:rsidR="005E56BC">
        <w:t xml:space="preserve"> and additive sources combined </w:t>
      </w:r>
      <w:r w:rsidR="00394A53">
        <w:t>ranged between &lt;1 and 27 mg/kg bw/day</w:t>
      </w:r>
      <w:r w:rsidR="005E56BC">
        <w:t xml:space="preserve"> for mean and high exposures across all scenarios and population groups assessed</w:t>
      </w:r>
      <w:r w:rsidR="007212F2">
        <w:t xml:space="preserve">. This equates to </w:t>
      </w:r>
      <w:r w:rsidR="00394A53">
        <w:t>between 1 and 110</w:t>
      </w:r>
      <w:r w:rsidR="007212F2">
        <w:t xml:space="preserve">% of the ADI. </w:t>
      </w:r>
      <w:r w:rsidR="00394A53">
        <w:t>The upper end of this range is based on a very conservative estimate</w:t>
      </w:r>
      <w:r w:rsidR="007F57A7">
        <w:t>,</w:t>
      </w:r>
      <w:r w:rsidR="007F57A7" w:rsidRPr="007F57A7">
        <w:t xml:space="preserve"> primarily as that estimate is </w:t>
      </w:r>
      <w:r w:rsidR="007F57A7" w:rsidRPr="007F57A7">
        <w:lastRenderedPageBreak/>
        <w:t>based on maximum industry use levels in 100% of food products in each food class, a single day of food consumption data, and a restricted age group</w:t>
      </w:r>
      <w:r w:rsidR="00394A53">
        <w:t xml:space="preserve">. </w:t>
      </w:r>
      <w:r w:rsidR="007212F2">
        <w:t xml:space="preserve">The contribution from the </w:t>
      </w:r>
      <w:r w:rsidR="00C735F0">
        <w:t>applicant’s CPC preparation</w:t>
      </w:r>
      <w:r w:rsidR="00BD728E">
        <w:t xml:space="preserve"> was &lt;1% of the ADI.</w:t>
      </w:r>
    </w:p>
    <w:p w14:paraId="3F87E586" w14:textId="77777777" w:rsidR="00BD728E" w:rsidRDefault="00BD728E" w:rsidP="00690206"/>
    <w:p w14:paraId="35F2EB73" w14:textId="77777777" w:rsidR="00BD728E" w:rsidRDefault="00BD728E" w:rsidP="00BD728E">
      <w:r>
        <w:t xml:space="preserve">Studies on the potential for the proposed use of CPC to engender resistance to the compound or cross resistance to antimicrobial compounds of importance to human health demonstrate that </w:t>
      </w:r>
      <w:r w:rsidRPr="009B2E62">
        <w:t>the proposed use of CPC does not introduce an unacceptable risk of the development of antimicrobial resistance</w:t>
      </w:r>
      <w:r>
        <w:t xml:space="preserve"> in the six pathogens tested: </w:t>
      </w:r>
      <w:r w:rsidRPr="009B2E62">
        <w:rPr>
          <w:i/>
        </w:rPr>
        <w:t>Salmonella</w:t>
      </w:r>
      <w:r>
        <w:t xml:space="preserve"> Typhimurium, </w:t>
      </w:r>
      <w:r w:rsidRPr="009B2E62">
        <w:rPr>
          <w:i/>
        </w:rPr>
        <w:t>Staphylococcus aureus</w:t>
      </w:r>
      <w:r>
        <w:t xml:space="preserve">, </w:t>
      </w:r>
      <w:r w:rsidRPr="009B2E62">
        <w:rPr>
          <w:i/>
        </w:rPr>
        <w:t>Escherichia coli</w:t>
      </w:r>
      <w:r>
        <w:t xml:space="preserve">, </w:t>
      </w:r>
      <w:r w:rsidRPr="009B2E62">
        <w:rPr>
          <w:i/>
        </w:rPr>
        <w:t>Pseudomonas aeruginosa</w:t>
      </w:r>
      <w:r>
        <w:t xml:space="preserve">, </w:t>
      </w:r>
      <w:r w:rsidRPr="009B2E62">
        <w:rPr>
          <w:i/>
        </w:rPr>
        <w:t>Listeria monocytogenes</w:t>
      </w:r>
      <w:r>
        <w:t xml:space="preserve"> and </w:t>
      </w:r>
      <w:r w:rsidRPr="009B2E62">
        <w:rPr>
          <w:i/>
        </w:rPr>
        <w:t>Campylobacter jejuni</w:t>
      </w:r>
      <w:r>
        <w:t>.</w:t>
      </w:r>
    </w:p>
    <w:p w14:paraId="31B2386C" w14:textId="77777777" w:rsidR="00CA56FB" w:rsidRDefault="00CA56FB" w:rsidP="00690206"/>
    <w:p w14:paraId="5B495BE9" w14:textId="6ADFE70F" w:rsidR="006E57A9" w:rsidRDefault="007212F2" w:rsidP="00690206">
      <w:r>
        <w:t>In conclusion, t</w:t>
      </w:r>
      <w:r>
        <w:rPr>
          <w:lang w:eastAsia="en-AU" w:bidi="ar-SA"/>
        </w:rPr>
        <w:t>here were no public health and safety concerns identified from the estimated dietary exposure to either CPC or the propylene glycol in the</w:t>
      </w:r>
      <w:r w:rsidR="000B3115">
        <w:rPr>
          <w:lang w:eastAsia="en-AU" w:bidi="ar-SA"/>
        </w:rPr>
        <w:t xml:space="preserve"> applicant</w:t>
      </w:r>
      <w:r w:rsidR="00C735F0">
        <w:rPr>
          <w:lang w:eastAsia="en-AU" w:bidi="ar-SA"/>
        </w:rPr>
        <w:t>’</w:t>
      </w:r>
      <w:r w:rsidR="000B3115">
        <w:rPr>
          <w:lang w:eastAsia="en-AU" w:bidi="ar-SA"/>
        </w:rPr>
        <w:t>s</w:t>
      </w:r>
      <w:r>
        <w:rPr>
          <w:lang w:eastAsia="en-AU" w:bidi="ar-SA"/>
        </w:rPr>
        <w:t xml:space="preserve"> </w:t>
      </w:r>
      <w:r w:rsidR="00C735F0">
        <w:rPr>
          <w:lang w:eastAsia="en-AU" w:bidi="ar-SA"/>
        </w:rPr>
        <w:t>CPC</w:t>
      </w:r>
      <w:r w:rsidR="000B3115">
        <w:rPr>
          <w:lang w:eastAsia="en-AU" w:bidi="ar-SA"/>
        </w:rPr>
        <w:t xml:space="preserve"> preparation</w:t>
      </w:r>
      <w:r w:rsidR="00AF4982">
        <w:rPr>
          <w:lang w:eastAsia="en-AU" w:bidi="ar-SA"/>
        </w:rPr>
        <w:t xml:space="preserve"> at the proposed use levels</w:t>
      </w:r>
      <w:r w:rsidR="00394A53">
        <w:rPr>
          <w:lang w:eastAsia="en-AU" w:bidi="ar-SA"/>
        </w:rPr>
        <w:t>.</w:t>
      </w:r>
    </w:p>
    <w:p w14:paraId="64AB7B43" w14:textId="77777777" w:rsidR="006E57A9" w:rsidRDefault="006E57A9" w:rsidP="006E57A9"/>
    <w:p w14:paraId="5D1D1283" w14:textId="77777777" w:rsidR="00C52984" w:rsidRDefault="00C52984" w:rsidP="006E57A9"/>
    <w:p w14:paraId="4C47FA3F"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1CC4414B"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5FC2E4DF" w14:textId="78F67FCF" w:rsidR="000E4E06" w:rsidRDefault="00326D85">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97041603" w:history="1">
        <w:r w:rsidR="000E4E06" w:rsidRPr="002240D8">
          <w:rPr>
            <w:rStyle w:val="Hyperlink"/>
            <w:noProof/>
          </w:rPr>
          <w:t>Executive summary</w:t>
        </w:r>
        <w:r w:rsidR="000E4E06">
          <w:rPr>
            <w:noProof/>
            <w:webHidden/>
          </w:rPr>
          <w:tab/>
        </w:r>
        <w:r w:rsidR="000E4E06">
          <w:rPr>
            <w:noProof/>
            <w:webHidden/>
          </w:rPr>
          <w:fldChar w:fldCharType="begin"/>
        </w:r>
        <w:r w:rsidR="000E4E06">
          <w:rPr>
            <w:noProof/>
            <w:webHidden/>
          </w:rPr>
          <w:instrText xml:space="preserve"> PAGEREF _Toc97041603 \h </w:instrText>
        </w:r>
        <w:r w:rsidR="000E4E06">
          <w:rPr>
            <w:noProof/>
            <w:webHidden/>
          </w:rPr>
        </w:r>
        <w:r w:rsidR="000E4E06">
          <w:rPr>
            <w:noProof/>
            <w:webHidden/>
          </w:rPr>
          <w:fldChar w:fldCharType="separate"/>
        </w:r>
        <w:r w:rsidR="00A23C5C">
          <w:rPr>
            <w:noProof/>
            <w:webHidden/>
          </w:rPr>
          <w:t>i</w:t>
        </w:r>
        <w:r w:rsidR="000E4E06">
          <w:rPr>
            <w:noProof/>
            <w:webHidden/>
          </w:rPr>
          <w:fldChar w:fldCharType="end"/>
        </w:r>
      </w:hyperlink>
    </w:p>
    <w:p w14:paraId="52D32C68" w14:textId="7A6AE7B9" w:rsidR="000E4E06" w:rsidRDefault="00A80D2A">
      <w:pPr>
        <w:pStyle w:val="TOC1"/>
        <w:rPr>
          <w:rFonts w:eastAsiaTheme="minorEastAsia" w:cstheme="minorBidi"/>
          <w:b w:val="0"/>
          <w:bCs w:val="0"/>
          <w:caps w:val="0"/>
          <w:noProof/>
          <w:sz w:val="22"/>
          <w:szCs w:val="22"/>
          <w:lang w:eastAsia="en-GB" w:bidi="ar-SA"/>
        </w:rPr>
      </w:pPr>
      <w:hyperlink w:anchor="_Toc97041604" w:history="1">
        <w:r w:rsidR="000E4E06" w:rsidRPr="002240D8">
          <w:rPr>
            <w:rStyle w:val="Hyperlink"/>
            <w:noProof/>
          </w:rPr>
          <w:t>1</w:t>
        </w:r>
        <w:r w:rsidR="000E4E06">
          <w:rPr>
            <w:rFonts w:eastAsiaTheme="minorEastAsia" w:cstheme="minorBidi"/>
            <w:b w:val="0"/>
            <w:bCs w:val="0"/>
            <w:caps w:val="0"/>
            <w:noProof/>
            <w:sz w:val="22"/>
            <w:szCs w:val="22"/>
            <w:lang w:eastAsia="en-GB" w:bidi="ar-SA"/>
          </w:rPr>
          <w:tab/>
        </w:r>
        <w:r w:rsidR="000E4E06" w:rsidRPr="002240D8">
          <w:rPr>
            <w:rStyle w:val="Hyperlink"/>
            <w:noProof/>
          </w:rPr>
          <w:t>Introduction</w:t>
        </w:r>
        <w:r w:rsidR="000E4E06">
          <w:rPr>
            <w:noProof/>
            <w:webHidden/>
          </w:rPr>
          <w:tab/>
        </w:r>
        <w:r w:rsidR="000E4E06">
          <w:rPr>
            <w:noProof/>
            <w:webHidden/>
          </w:rPr>
          <w:fldChar w:fldCharType="begin"/>
        </w:r>
        <w:r w:rsidR="000E4E06">
          <w:rPr>
            <w:noProof/>
            <w:webHidden/>
          </w:rPr>
          <w:instrText xml:space="preserve"> PAGEREF _Toc97041604 \h </w:instrText>
        </w:r>
        <w:r w:rsidR="000E4E06">
          <w:rPr>
            <w:noProof/>
            <w:webHidden/>
          </w:rPr>
        </w:r>
        <w:r w:rsidR="000E4E06">
          <w:rPr>
            <w:noProof/>
            <w:webHidden/>
          </w:rPr>
          <w:fldChar w:fldCharType="separate"/>
        </w:r>
        <w:r w:rsidR="00A23C5C">
          <w:rPr>
            <w:noProof/>
            <w:webHidden/>
          </w:rPr>
          <w:t>3</w:t>
        </w:r>
        <w:r w:rsidR="000E4E06">
          <w:rPr>
            <w:noProof/>
            <w:webHidden/>
          </w:rPr>
          <w:fldChar w:fldCharType="end"/>
        </w:r>
      </w:hyperlink>
    </w:p>
    <w:p w14:paraId="0A5B731E" w14:textId="798AD769" w:rsidR="000E4E06" w:rsidRDefault="00A80D2A">
      <w:pPr>
        <w:pStyle w:val="TOC1"/>
        <w:rPr>
          <w:rFonts w:eastAsiaTheme="minorEastAsia" w:cstheme="minorBidi"/>
          <w:b w:val="0"/>
          <w:bCs w:val="0"/>
          <w:caps w:val="0"/>
          <w:noProof/>
          <w:sz w:val="22"/>
          <w:szCs w:val="22"/>
          <w:lang w:eastAsia="en-GB" w:bidi="ar-SA"/>
        </w:rPr>
      </w:pPr>
      <w:hyperlink w:anchor="_Toc97041605" w:history="1">
        <w:r w:rsidR="000E4E06" w:rsidRPr="002240D8">
          <w:rPr>
            <w:rStyle w:val="Hyperlink"/>
            <w:noProof/>
          </w:rPr>
          <w:t>2</w:t>
        </w:r>
        <w:r w:rsidR="000E4E06">
          <w:rPr>
            <w:rFonts w:eastAsiaTheme="minorEastAsia" w:cstheme="minorBidi"/>
            <w:b w:val="0"/>
            <w:bCs w:val="0"/>
            <w:caps w:val="0"/>
            <w:noProof/>
            <w:sz w:val="22"/>
            <w:szCs w:val="22"/>
            <w:lang w:eastAsia="en-GB" w:bidi="ar-SA"/>
          </w:rPr>
          <w:tab/>
        </w:r>
        <w:r w:rsidR="000E4E06" w:rsidRPr="002240D8">
          <w:rPr>
            <w:rStyle w:val="Hyperlink"/>
            <w:noProof/>
          </w:rPr>
          <w:t>Food technology assessment</w:t>
        </w:r>
        <w:r w:rsidR="000E4E06">
          <w:rPr>
            <w:noProof/>
            <w:webHidden/>
          </w:rPr>
          <w:tab/>
        </w:r>
        <w:r w:rsidR="000E4E06">
          <w:rPr>
            <w:noProof/>
            <w:webHidden/>
          </w:rPr>
          <w:fldChar w:fldCharType="begin"/>
        </w:r>
        <w:r w:rsidR="000E4E06">
          <w:rPr>
            <w:noProof/>
            <w:webHidden/>
          </w:rPr>
          <w:instrText xml:space="preserve"> PAGEREF _Toc97041605 \h </w:instrText>
        </w:r>
        <w:r w:rsidR="000E4E06">
          <w:rPr>
            <w:noProof/>
            <w:webHidden/>
          </w:rPr>
        </w:r>
        <w:r w:rsidR="000E4E06">
          <w:rPr>
            <w:noProof/>
            <w:webHidden/>
          </w:rPr>
          <w:fldChar w:fldCharType="separate"/>
        </w:r>
        <w:r w:rsidR="00A23C5C">
          <w:rPr>
            <w:noProof/>
            <w:webHidden/>
          </w:rPr>
          <w:t>3</w:t>
        </w:r>
        <w:r w:rsidR="000E4E06">
          <w:rPr>
            <w:noProof/>
            <w:webHidden/>
          </w:rPr>
          <w:fldChar w:fldCharType="end"/>
        </w:r>
      </w:hyperlink>
    </w:p>
    <w:p w14:paraId="715BF780" w14:textId="1CE5C554" w:rsidR="000E4E06" w:rsidRDefault="00A80D2A">
      <w:pPr>
        <w:pStyle w:val="TOC2"/>
        <w:rPr>
          <w:rFonts w:eastAsiaTheme="minorEastAsia" w:cstheme="minorBidi"/>
          <w:smallCaps w:val="0"/>
          <w:noProof/>
          <w:sz w:val="22"/>
          <w:szCs w:val="22"/>
          <w:lang w:eastAsia="en-GB" w:bidi="ar-SA"/>
        </w:rPr>
      </w:pPr>
      <w:hyperlink w:anchor="_Toc97041606" w:history="1">
        <w:r w:rsidR="000E4E06" w:rsidRPr="002240D8">
          <w:rPr>
            <w:rStyle w:val="Hyperlink"/>
            <w:noProof/>
          </w:rPr>
          <w:t>2.1</w:t>
        </w:r>
        <w:r w:rsidR="000E4E06">
          <w:rPr>
            <w:rFonts w:eastAsiaTheme="minorEastAsia" w:cstheme="minorBidi"/>
            <w:smallCaps w:val="0"/>
            <w:noProof/>
            <w:sz w:val="22"/>
            <w:szCs w:val="22"/>
            <w:lang w:eastAsia="en-GB" w:bidi="ar-SA"/>
          </w:rPr>
          <w:tab/>
        </w:r>
        <w:r w:rsidR="000E4E06" w:rsidRPr="002240D8">
          <w:rPr>
            <w:rStyle w:val="Hyperlink"/>
            <w:noProof/>
          </w:rPr>
          <w:t>Identity</w:t>
        </w:r>
        <w:r w:rsidR="000E4E06">
          <w:rPr>
            <w:noProof/>
            <w:webHidden/>
          </w:rPr>
          <w:tab/>
        </w:r>
        <w:r w:rsidR="000E4E06">
          <w:rPr>
            <w:noProof/>
            <w:webHidden/>
          </w:rPr>
          <w:fldChar w:fldCharType="begin"/>
        </w:r>
        <w:r w:rsidR="000E4E06">
          <w:rPr>
            <w:noProof/>
            <w:webHidden/>
          </w:rPr>
          <w:instrText xml:space="preserve"> PAGEREF _Toc97041606 \h </w:instrText>
        </w:r>
        <w:r w:rsidR="000E4E06">
          <w:rPr>
            <w:noProof/>
            <w:webHidden/>
          </w:rPr>
        </w:r>
        <w:r w:rsidR="000E4E06">
          <w:rPr>
            <w:noProof/>
            <w:webHidden/>
          </w:rPr>
          <w:fldChar w:fldCharType="separate"/>
        </w:r>
        <w:r w:rsidR="00A23C5C">
          <w:rPr>
            <w:noProof/>
            <w:webHidden/>
          </w:rPr>
          <w:t>3</w:t>
        </w:r>
        <w:r w:rsidR="000E4E06">
          <w:rPr>
            <w:noProof/>
            <w:webHidden/>
          </w:rPr>
          <w:fldChar w:fldCharType="end"/>
        </w:r>
      </w:hyperlink>
    </w:p>
    <w:p w14:paraId="7032CCC7" w14:textId="0914A02A" w:rsidR="000E4E06" w:rsidRDefault="00A80D2A">
      <w:pPr>
        <w:pStyle w:val="TOC2"/>
        <w:rPr>
          <w:rFonts w:eastAsiaTheme="minorEastAsia" w:cstheme="minorBidi"/>
          <w:smallCaps w:val="0"/>
          <w:noProof/>
          <w:sz w:val="22"/>
          <w:szCs w:val="22"/>
          <w:lang w:eastAsia="en-GB" w:bidi="ar-SA"/>
        </w:rPr>
      </w:pPr>
      <w:hyperlink w:anchor="_Toc97041607" w:history="1">
        <w:r w:rsidR="000E4E06" w:rsidRPr="002240D8">
          <w:rPr>
            <w:rStyle w:val="Hyperlink"/>
            <w:noProof/>
          </w:rPr>
          <w:t>2.2</w:t>
        </w:r>
        <w:r w:rsidR="000E4E06">
          <w:rPr>
            <w:rFonts w:eastAsiaTheme="minorEastAsia" w:cstheme="minorBidi"/>
            <w:smallCaps w:val="0"/>
            <w:noProof/>
            <w:sz w:val="22"/>
            <w:szCs w:val="22"/>
            <w:lang w:eastAsia="en-GB" w:bidi="ar-SA"/>
          </w:rPr>
          <w:tab/>
        </w:r>
        <w:r w:rsidR="000E4E06" w:rsidRPr="002240D8">
          <w:rPr>
            <w:rStyle w:val="Hyperlink"/>
            <w:noProof/>
          </w:rPr>
          <w:t>Production of CPC and the CPC preparation</w:t>
        </w:r>
        <w:r w:rsidR="000E4E06">
          <w:rPr>
            <w:noProof/>
            <w:webHidden/>
          </w:rPr>
          <w:tab/>
        </w:r>
        <w:r w:rsidR="000E4E06">
          <w:rPr>
            <w:noProof/>
            <w:webHidden/>
          </w:rPr>
          <w:fldChar w:fldCharType="begin"/>
        </w:r>
        <w:r w:rsidR="000E4E06">
          <w:rPr>
            <w:noProof/>
            <w:webHidden/>
          </w:rPr>
          <w:instrText xml:space="preserve"> PAGEREF _Toc97041607 \h </w:instrText>
        </w:r>
        <w:r w:rsidR="000E4E06">
          <w:rPr>
            <w:noProof/>
            <w:webHidden/>
          </w:rPr>
        </w:r>
        <w:r w:rsidR="000E4E06">
          <w:rPr>
            <w:noProof/>
            <w:webHidden/>
          </w:rPr>
          <w:fldChar w:fldCharType="separate"/>
        </w:r>
        <w:r w:rsidR="00A23C5C">
          <w:rPr>
            <w:noProof/>
            <w:webHidden/>
          </w:rPr>
          <w:t>4</w:t>
        </w:r>
        <w:r w:rsidR="000E4E06">
          <w:rPr>
            <w:noProof/>
            <w:webHidden/>
          </w:rPr>
          <w:fldChar w:fldCharType="end"/>
        </w:r>
      </w:hyperlink>
    </w:p>
    <w:p w14:paraId="67E6E20E" w14:textId="4FB110B9" w:rsidR="000E4E06" w:rsidRDefault="00A80D2A">
      <w:pPr>
        <w:pStyle w:val="TOC2"/>
        <w:rPr>
          <w:rFonts w:eastAsiaTheme="minorEastAsia" w:cstheme="minorBidi"/>
          <w:smallCaps w:val="0"/>
          <w:noProof/>
          <w:sz w:val="22"/>
          <w:szCs w:val="22"/>
          <w:lang w:eastAsia="en-GB" w:bidi="ar-SA"/>
        </w:rPr>
      </w:pPr>
      <w:hyperlink w:anchor="_Toc97041608" w:history="1">
        <w:r w:rsidR="000E4E06" w:rsidRPr="002240D8">
          <w:rPr>
            <w:rStyle w:val="Hyperlink"/>
            <w:noProof/>
          </w:rPr>
          <w:t>2.3</w:t>
        </w:r>
        <w:r w:rsidR="000E4E06">
          <w:rPr>
            <w:rFonts w:eastAsiaTheme="minorEastAsia" w:cstheme="minorBidi"/>
            <w:smallCaps w:val="0"/>
            <w:noProof/>
            <w:sz w:val="22"/>
            <w:szCs w:val="22"/>
            <w:lang w:eastAsia="en-GB" w:bidi="ar-SA"/>
          </w:rPr>
          <w:tab/>
        </w:r>
        <w:r w:rsidR="000E4E06" w:rsidRPr="002240D8">
          <w:rPr>
            <w:rStyle w:val="Hyperlink"/>
            <w:noProof/>
          </w:rPr>
          <w:t>Product specification</w:t>
        </w:r>
        <w:r w:rsidR="000E4E06">
          <w:rPr>
            <w:noProof/>
            <w:webHidden/>
          </w:rPr>
          <w:tab/>
        </w:r>
        <w:r w:rsidR="000E4E06">
          <w:rPr>
            <w:noProof/>
            <w:webHidden/>
          </w:rPr>
          <w:fldChar w:fldCharType="begin"/>
        </w:r>
        <w:r w:rsidR="000E4E06">
          <w:rPr>
            <w:noProof/>
            <w:webHidden/>
          </w:rPr>
          <w:instrText xml:space="preserve"> PAGEREF _Toc97041608 \h </w:instrText>
        </w:r>
        <w:r w:rsidR="000E4E06">
          <w:rPr>
            <w:noProof/>
            <w:webHidden/>
          </w:rPr>
        </w:r>
        <w:r w:rsidR="000E4E06">
          <w:rPr>
            <w:noProof/>
            <w:webHidden/>
          </w:rPr>
          <w:fldChar w:fldCharType="separate"/>
        </w:r>
        <w:r w:rsidR="00A23C5C">
          <w:rPr>
            <w:noProof/>
            <w:webHidden/>
          </w:rPr>
          <w:t>4</w:t>
        </w:r>
        <w:r w:rsidR="000E4E06">
          <w:rPr>
            <w:noProof/>
            <w:webHidden/>
          </w:rPr>
          <w:fldChar w:fldCharType="end"/>
        </w:r>
      </w:hyperlink>
    </w:p>
    <w:p w14:paraId="1F7B255B" w14:textId="771A70D2" w:rsidR="000E4E06" w:rsidRDefault="00A80D2A">
      <w:pPr>
        <w:pStyle w:val="TOC2"/>
        <w:rPr>
          <w:rFonts w:eastAsiaTheme="minorEastAsia" w:cstheme="minorBidi"/>
          <w:smallCaps w:val="0"/>
          <w:noProof/>
          <w:sz w:val="22"/>
          <w:szCs w:val="22"/>
          <w:lang w:eastAsia="en-GB" w:bidi="ar-SA"/>
        </w:rPr>
      </w:pPr>
      <w:hyperlink w:anchor="_Toc97041609" w:history="1">
        <w:r w:rsidR="000E4E06" w:rsidRPr="002240D8">
          <w:rPr>
            <w:rStyle w:val="Hyperlink"/>
            <w:noProof/>
          </w:rPr>
          <w:t>2.4</w:t>
        </w:r>
        <w:r w:rsidR="000E4E06">
          <w:rPr>
            <w:rFonts w:eastAsiaTheme="minorEastAsia" w:cstheme="minorBidi"/>
            <w:smallCaps w:val="0"/>
            <w:noProof/>
            <w:sz w:val="22"/>
            <w:szCs w:val="22"/>
            <w:lang w:eastAsia="en-GB" w:bidi="ar-SA"/>
          </w:rPr>
          <w:tab/>
        </w:r>
        <w:r w:rsidR="000E4E06" w:rsidRPr="002240D8">
          <w:rPr>
            <w:rStyle w:val="Hyperlink"/>
            <w:noProof/>
          </w:rPr>
          <w:t>Technological purpose and justification</w:t>
        </w:r>
        <w:r w:rsidR="000E4E06">
          <w:rPr>
            <w:noProof/>
            <w:webHidden/>
          </w:rPr>
          <w:tab/>
        </w:r>
        <w:r w:rsidR="000E4E06">
          <w:rPr>
            <w:noProof/>
            <w:webHidden/>
          </w:rPr>
          <w:fldChar w:fldCharType="begin"/>
        </w:r>
        <w:r w:rsidR="000E4E06">
          <w:rPr>
            <w:noProof/>
            <w:webHidden/>
          </w:rPr>
          <w:instrText xml:space="preserve"> PAGEREF _Toc97041609 \h </w:instrText>
        </w:r>
        <w:r w:rsidR="000E4E06">
          <w:rPr>
            <w:noProof/>
            <w:webHidden/>
          </w:rPr>
        </w:r>
        <w:r w:rsidR="000E4E06">
          <w:rPr>
            <w:noProof/>
            <w:webHidden/>
          </w:rPr>
          <w:fldChar w:fldCharType="separate"/>
        </w:r>
        <w:r w:rsidR="00A23C5C">
          <w:rPr>
            <w:noProof/>
            <w:webHidden/>
          </w:rPr>
          <w:t>4</w:t>
        </w:r>
        <w:r w:rsidR="000E4E06">
          <w:rPr>
            <w:noProof/>
            <w:webHidden/>
          </w:rPr>
          <w:fldChar w:fldCharType="end"/>
        </w:r>
      </w:hyperlink>
    </w:p>
    <w:p w14:paraId="5254C79C" w14:textId="18A81A25"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10" w:history="1">
        <w:r w:rsidR="000E4E06" w:rsidRPr="002240D8">
          <w:rPr>
            <w:rStyle w:val="Hyperlink"/>
            <w:noProof/>
          </w:rPr>
          <w:t>2.4.1</w:t>
        </w:r>
        <w:r w:rsidR="000E4E06">
          <w:rPr>
            <w:rFonts w:eastAsiaTheme="minorEastAsia" w:cstheme="minorBidi"/>
            <w:i w:val="0"/>
            <w:iCs w:val="0"/>
            <w:noProof/>
            <w:sz w:val="22"/>
            <w:szCs w:val="22"/>
            <w:lang w:eastAsia="en-GB" w:bidi="ar-SA"/>
          </w:rPr>
          <w:tab/>
        </w:r>
        <w:r w:rsidR="000E4E06" w:rsidRPr="002240D8">
          <w:rPr>
            <w:rStyle w:val="Hyperlink"/>
            <w:noProof/>
          </w:rPr>
          <w:t>Biocidal efficacy</w:t>
        </w:r>
        <w:r w:rsidR="000E4E06">
          <w:rPr>
            <w:noProof/>
            <w:webHidden/>
          </w:rPr>
          <w:tab/>
        </w:r>
        <w:r w:rsidR="000E4E06">
          <w:rPr>
            <w:noProof/>
            <w:webHidden/>
          </w:rPr>
          <w:fldChar w:fldCharType="begin"/>
        </w:r>
        <w:r w:rsidR="000E4E06">
          <w:rPr>
            <w:noProof/>
            <w:webHidden/>
          </w:rPr>
          <w:instrText xml:space="preserve"> PAGEREF _Toc97041610 \h </w:instrText>
        </w:r>
        <w:r w:rsidR="000E4E06">
          <w:rPr>
            <w:noProof/>
            <w:webHidden/>
          </w:rPr>
        </w:r>
        <w:r w:rsidR="000E4E06">
          <w:rPr>
            <w:noProof/>
            <w:webHidden/>
          </w:rPr>
          <w:fldChar w:fldCharType="separate"/>
        </w:r>
        <w:r w:rsidR="00A23C5C">
          <w:rPr>
            <w:noProof/>
            <w:webHidden/>
          </w:rPr>
          <w:t>5</w:t>
        </w:r>
        <w:r w:rsidR="000E4E06">
          <w:rPr>
            <w:noProof/>
            <w:webHidden/>
          </w:rPr>
          <w:fldChar w:fldCharType="end"/>
        </w:r>
      </w:hyperlink>
    </w:p>
    <w:p w14:paraId="197A8451" w14:textId="167C666C"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11" w:history="1">
        <w:r w:rsidR="000E4E06" w:rsidRPr="002240D8">
          <w:rPr>
            <w:rStyle w:val="Hyperlink"/>
            <w:noProof/>
          </w:rPr>
          <w:t>2.4.2</w:t>
        </w:r>
        <w:r w:rsidR="000E4E06">
          <w:rPr>
            <w:rFonts w:eastAsiaTheme="minorEastAsia" w:cstheme="minorBidi"/>
            <w:i w:val="0"/>
            <w:iCs w:val="0"/>
            <w:noProof/>
            <w:sz w:val="22"/>
            <w:szCs w:val="22"/>
            <w:lang w:eastAsia="en-GB" w:bidi="ar-SA"/>
          </w:rPr>
          <w:tab/>
        </w:r>
        <w:r w:rsidR="000E4E06" w:rsidRPr="002240D8">
          <w:rPr>
            <w:rStyle w:val="Hyperlink"/>
            <w:noProof/>
          </w:rPr>
          <w:t>Potential for ongoing antimicrobial function</w:t>
        </w:r>
        <w:r w:rsidR="000E4E06">
          <w:rPr>
            <w:noProof/>
            <w:webHidden/>
          </w:rPr>
          <w:tab/>
        </w:r>
        <w:r w:rsidR="000E4E06">
          <w:rPr>
            <w:noProof/>
            <w:webHidden/>
          </w:rPr>
          <w:fldChar w:fldCharType="begin"/>
        </w:r>
        <w:r w:rsidR="000E4E06">
          <w:rPr>
            <w:noProof/>
            <w:webHidden/>
          </w:rPr>
          <w:instrText xml:space="preserve"> PAGEREF _Toc97041611 \h </w:instrText>
        </w:r>
        <w:r w:rsidR="000E4E06">
          <w:rPr>
            <w:noProof/>
            <w:webHidden/>
          </w:rPr>
        </w:r>
        <w:r w:rsidR="000E4E06">
          <w:rPr>
            <w:noProof/>
            <w:webHidden/>
          </w:rPr>
          <w:fldChar w:fldCharType="separate"/>
        </w:r>
        <w:r w:rsidR="00A23C5C">
          <w:rPr>
            <w:noProof/>
            <w:webHidden/>
          </w:rPr>
          <w:t>6</w:t>
        </w:r>
        <w:r w:rsidR="000E4E06">
          <w:rPr>
            <w:noProof/>
            <w:webHidden/>
          </w:rPr>
          <w:fldChar w:fldCharType="end"/>
        </w:r>
      </w:hyperlink>
    </w:p>
    <w:p w14:paraId="0C32C656" w14:textId="58EA06E1" w:rsidR="000E4E06" w:rsidRDefault="00A80D2A">
      <w:pPr>
        <w:pStyle w:val="TOC2"/>
        <w:rPr>
          <w:rFonts w:eastAsiaTheme="minorEastAsia" w:cstheme="minorBidi"/>
          <w:smallCaps w:val="0"/>
          <w:noProof/>
          <w:sz w:val="22"/>
          <w:szCs w:val="22"/>
          <w:lang w:eastAsia="en-GB" w:bidi="ar-SA"/>
        </w:rPr>
      </w:pPr>
      <w:hyperlink w:anchor="_Toc97041612" w:history="1">
        <w:r w:rsidR="000E4E06" w:rsidRPr="002240D8">
          <w:rPr>
            <w:rStyle w:val="Hyperlink"/>
            <w:noProof/>
          </w:rPr>
          <w:t>2.5</w:t>
        </w:r>
        <w:r w:rsidR="000E4E06">
          <w:rPr>
            <w:rFonts w:eastAsiaTheme="minorEastAsia" w:cstheme="minorBidi"/>
            <w:smallCaps w:val="0"/>
            <w:noProof/>
            <w:sz w:val="22"/>
            <w:szCs w:val="22"/>
            <w:lang w:eastAsia="en-GB" w:bidi="ar-SA"/>
          </w:rPr>
          <w:tab/>
        </w:r>
        <w:r w:rsidR="000E4E06" w:rsidRPr="002240D8">
          <w:rPr>
            <w:rStyle w:val="Hyperlink"/>
            <w:noProof/>
          </w:rPr>
          <w:t>Analytical methods for detection</w:t>
        </w:r>
        <w:r w:rsidR="000E4E06">
          <w:rPr>
            <w:noProof/>
            <w:webHidden/>
          </w:rPr>
          <w:tab/>
        </w:r>
        <w:r w:rsidR="000E4E06">
          <w:rPr>
            <w:noProof/>
            <w:webHidden/>
          </w:rPr>
          <w:fldChar w:fldCharType="begin"/>
        </w:r>
        <w:r w:rsidR="000E4E06">
          <w:rPr>
            <w:noProof/>
            <w:webHidden/>
          </w:rPr>
          <w:instrText xml:space="preserve"> PAGEREF _Toc97041612 \h </w:instrText>
        </w:r>
        <w:r w:rsidR="000E4E06">
          <w:rPr>
            <w:noProof/>
            <w:webHidden/>
          </w:rPr>
        </w:r>
        <w:r w:rsidR="000E4E06">
          <w:rPr>
            <w:noProof/>
            <w:webHidden/>
          </w:rPr>
          <w:fldChar w:fldCharType="separate"/>
        </w:r>
        <w:r w:rsidR="00A23C5C">
          <w:rPr>
            <w:noProof/>
            <w:webHidden/>
          </w:rPr>
          <w:t>8</w:t>
        </w:r>
        <w:r w:rsidR="000E4E06">
          <w:rPr>
            <w:noProof/>
            <w:webHidden/>
          </w:rPr>
          <w:fldChar w:fldCharType="end"/>
        </w:r>
      </w:hyperlink>
    </w:p>
    <w:p w14:paraId="12EF797B" w14:textId="5C5A7894" w:rsidR="000E4E06" w:rsidRDefault="00A80D2A">
      <w:pPr>
        <w:pStyle w:val="TOC2"/>
        <w:rPr>
          <w:rFonts w:eastAsiaTheme="minorEastAsia" w:cstheme="minorBidi"/>
          <w:smallCaps w:val="0"/>
          <w:noProof/>
          <w:sz w:val="22"/>
          <w:szCs w:val="22"/>
          <w:lang w:eastAsia="en-GB" w:bidi="ar-SA"/>
        </w:rPr>
      </w:pPr>
      <w:hyperlink w:anchor="_Toc97041613" w:history="1">
        <w:r w:rsidR="000E4E06" w:rsidRPr="002240D8">
          <w:rPr>
            <w:rStyle w:val="Hyperlink"/>
            <w:noProof/>
          </w:rPr>
          <w:t>2.6</w:t>
        </w:r>
        <w:r w:rsidR="000E4E06">
          <w:rPr>
            <w:rFonts w:eastAsiaTheme="minorEastAsia" w:cstheme="minorBidi"/>
            <w:smallCaps w:val="0"/>
            <w:noProof/>
            <w:sz w:val="22"/>
            <w:szCs w:val="22"/>
            <w:lang w:eastAsia="en-GB" w:bidi="ar-SA"/>
          </w:rPr>
          <w:tab/>
        </w:r>
        <w:r w:rsidR="000E4E06" w:rsidRPr="002240D8">
          <w:rPr>
            <w:rStyle w:val="Hyperlink"/>
            <w:noProof/>
          </w:rPr>
          <w:t>Food technology conclusion</w:t>
        </w:r>
        <w:r w:rsidR="000E4E06">
          <w:rPr>
            <w:noProof/>
            <w:webHidden/>
          </w:rPr>
          <w:tab/>
        </w:r>
        <w:r w:rsidR="000E4E06">
          <w:rPr>
            <w:noProof/>
            <w:webHidden/>
          </w:rPr>
          <w:fldChar w:fldCharType="begin"/>
        </w:r>
        <w:r w:rsidR="000E4E06">
          <w:rPr>
            <w:noProof/>
            <w:webHidden/>
          </w:rPr>
          <w:instrText xml:space="preserve"> PAGEREF _Toc97041613 \h </w:instrText>
        </w:r>
        <w:r w:rsidR="000E4E06">
          <w:rPr>
            <w:noProof/>
            <w:webHidden/>
          </w:rPr>
        </w:r>
        <w:r w:rsidR="000E4E06">
          <w:rPr>
            <w:noProof/>
            <w:webHidden/>
          </w:rPr>
          <w:fldChar w:fldCharType="separate"/>
        </w:r>
        <w:r w:rsidR="00A23C5C">
          <w:rPr>
            <w:noProof/>
            <w:webHidden/>
          </w:rPr>
          <w:t>8</w:t>
        </w:r>
        <w:r w:rsidR="000E4E06">
          <w:rPr>
            <w:noProof/>
            <w:webHidden/>
          </w:rPr>
          <w:fldChar w:fldCharType="end"/>
        </w:r>
      </w:hyperlink>
    </w:p>
    <w:p w14:paraId="08142BEB" w14:textId="2DC2C7EB" w:rsidR="000E4E06" w:rsidRDefault="00A80D2A">
      <w:pPr>
        <w:pStyle w:val="TOC1"/>
        <w:rPr>
          <w:rFonts w:eastAsiaTheme="minorEastAsia" w:cstheme="minorBidi"/>
          <w:b w:val="0"/>
          <w:bCs w:val="0"/>
          <w:caps w:val="0"/>
          <w:noProof/>
          <w:sz w:val="22"/>
          <w:szCs w:val="22"/>
          <w:lang w:eastAsia="en-GB" w:bidi="ar-SA"/>
        </w:rPr>
      </w:pPr>
      <w:hyperlink w:anchor="_Toc97041614" w:history="1">
        <w:r w:rsidR="000E4E06" w:rsidRPr="002240D8">
          <w:rPr>
            <w:rStyle w:val="Hyperlink"/>
            <w:noProof/>
          </w:rPr>
          <w:t>3</w:t>
        </w:r>
        <w:r w:rsidR="000E4E06">
          <w:rPr>
            <w:rFonts w:eastAsiaTheme="minorEastAsia" w:cstheme="minorBidi"/>
            <w:b w:val="0"/>
            <w:bCs w:val="0"/>
            <w:caps w:val="0"/>
            <w:noProof/>
            <w:sz w:val="22"/>
            <w:szCs w:val="22"/>
            <w:lang w:eastAsia="en-GB" w:bidi="ar-SA"/>
          </w:rPr>
          <w:tab/>
        </w:r>
        <w:r w:rsidR="000E4E06" w:rsidRPr="002240D8">
          <w:rPr>
            <w:rStyle w:val="Hyperlink"/>
            <w:noProof/>
          </w:rPr>
          <w:t>Hazard assessment</w:t>
        </w:r>
        <w:r w:rsidR="000E4E06">
          <w:rPr>
            <w:noProof/>
            <w:webHidden/>
          </w:rPr>
          <w:tab/>
        </w:r>
        <w:r w:rsidR="000E4E06">
          <w:rPr>
            <w:noProof/>
            <w:webHidden/>
          </w:rPr>
          <w:fldChar w:fldCharType="begin"/>
        </w:r>
        <w:r w:rsidR="000E4E06">
          <w:rPr>
            <w:noProof/>
            <w:webHidden/>
          </w:rPr>
          <w:instrText xml:space="preserve"> PAGEREF _Toc97041614 \h </w:instrText>
        </w:r>
        <w:r w:rsidR="000E4E06">
          <w:rPr>
            <w:noProof/>
            <w:webHidden/>
          </w:rPr>
        </w:r>
        <w:r w:rsidR="000E4E06">
          <w:rPr>
            <w:noProof/>
            <w:webHidden/>
          </w:rPr>
          <w:fldChar w:fldCharType="separate"/>
        </w:r>
        <w:r w:rsidR="00A23C5C">
          <w:rPr>
            <w:noProof/>
            <w:webHidden/>
          </w:rPr>
          <w:t>8</w:t>
        </w:r>
        <w:r w:rsidR="000E4E06">
          <w:rPr>
            <w:noProof/>
            <w:webHidden/>
          </w:rPr>
          <w:fldChar w:fldCharType="end"/>
        </w:r>
      </w:hyperlink>
    </w:p>
    <w:p w14:paraId="08E58DBF" w14:textId="3BBB86D5" w:rsidR="000E4E06" w:rsidRDefault="00A80D2A">
      <w:pPr>
        <w:pStyle w:val="TOC2"/>
        <w:rPr>
          <w:rFonts w:eastAsiaTheme="minorEastAsia" w:cstheme="minorBidi"/>
          <w:smallCaps w:val="0"/>
          <w:noProof/>
          <w:sz w:val="22"/>
          <w:szCs w:val="22"/>
          <w:lang w:eastAsia="en-GB" w:bidi="ar-SA"/>
        </w:rPr>
      </w:pPr>
      <w:hyperlink w:anchor="_Toc97041615" w:history="1">
        <w:r w:rsidR="000E4E06" w:rsidRPr="002240D8">
          <w:rPr>
            <w:rStyle w:val="Hyperlink"/>
            <w:noProof/>
          </w:rPr>
          <w:t>3.1</w:t>
        </w:r>
        <w:r w:rsidR="000E4E06">
          <w:rPr>
            <w:rFonts w:eastAsiaTheme="minorEastAsia" w:cstheme="minorBidi"/>
            <w:smallCaps w:val="0"/>
            <w:noProof/>
            <w:sz w:val="22"/>
            <w:szCs w:val="22"/>
            <w:lang w:eastAsia="en-GB" w:bidi="ar-SA"/>
          </w:rPr>
          <w:tab/>
        </w:r>
        <w:r w:rsidR="000E4E06" w:rsidRPr="002240D8">
          <w:rPr>
            <w:rStyle w:val="Hyperlink"/>
            <w:noProof/>
          </w:rPr>
          <w:t>Industrial use of the chemical</w:t>
        </w:r>
        <w:r w:rsidR="000E4E06">
          <w:rPr>
            <w:noProof/>
            <w:webHidden/>
          </w:rPr>
          <w:tab/>
        </w:r>
        <w:r w:rsidR="000E4E06">
          <w:rPr>
            <w:noProof/>
            <w:webHidden/>
          </w:rPr>
          <w:fldChar w:fldCharType="begin"/>
        </w:r>
        <w:r w:rsidR="000E4E06">
          <w:rPr>
            <w:noProof/>
            <w:webHidden/>
          </w:rPr>
          <w:instrText xml:space="preserve"> PAGEREF _Toc97041615 \h </w:instrText>
        </w:r>
        <w:r w:rsidR="000E4E06">
          <w:rPr>
            <w:noProof/>
            <w:webHidden/>
          </w:rPr>
        </w:r>
        <w:r w:rsidR="000E4E06">
          <w:rPr>
            <w:noProof/>
            <w:webHidden/>
          </w:rPr>
          <w:fldChar w:fldCharType="separate"/>
        </w:r>
        <w:r w:rsidR="00A23C5C">
          <w:rPr>
            <w:noProof/>
            <w:webHidden/>
          </w:rPr>
          <w:t>9</w:t>
        </w:r>
        <w:r w:rsidR="000E4E06">
          <w:rPr>
            <w:noProof/>
            <w:webHidden/>
          </w:rPr>
          <w:fldChar w:fldCharType="end"/>
        </w:r>
      </w:hyperlink>
    </w:p>
    <w:p w14:paraId="697B94C7" w14:textId="49609299" w:rsidR="000E4E06" w:rsidRDefault="00A80D2A">
      <w:pPr>
        <w:pStyle w:val="TOC2"/>
        <w:rPr>
          <w:rFonts w:eastAsiaTheme="minorEastAsia" w:cstheme="minorBidi"/>
          <w:smallCaps w:val="0"/>
          <w:noProof/>
          <w:sz w:val="22"/>
          <w:szCs w:val="22"/>
          <w:lang w:eastAsia="en-GB" w:bidi="ar-SA"/>
        </w:rPr>
      </w:pPr>
      <w:hyperlink w:anchor="_Toc97041616" w:history="1">
        <w:r w:rsidR="000E4E06" w:rsidRPr="002240D8">
          <w:rPr>
            <w:rStyle w:val="Hyperlink"/>
            <w:noProof/>
          </w:rPr>
          <w:t>3.2</w:t>
        </w:r>
        <w:r w:rsidR="000E4E06">
          <w:rPr>
            <w:rFonts w:eastAsiaTheme="minorEastAsia" w:cstheme="minorBidi"/>
            <w:smallCaps w:val="0"/>
            <w:noProof/>
            <w:sz w:val="22"/>
            <w:szCs w:val="22"/>
            <w:lang w:eastAsia="en-GB" w:bidi="ar-SA"/>
          </w:rPr>
          <w:tab/>
        </w:r>
        <w:r w:rsidR="000E4E06" w:rsidRPr="002240D8">
          <w:rPr>
            <w:rStyle w:val="Hyperlink"/>
            <w:noProof/>
          </w:rPr>
          <w:t>Use of the chemical as a food processing aid in other countries</w:t>
        </w:r>
        <w:r w:rsidR="000E4E06">
          <w:rPr>
            <w:noProof/>
            <w:webHidden/>
          </w:rPr>
          <w:tab/>
        </w:r>
        <w:r w:rsidR="000E4E06">
          <w:rPr>
            <w:noProof/>
            <w:webHidden/>
          </w:rPr>
          <w:fldChar w:fldCharType="begin"/>
        </w:r>
        <w:r w:rsidR="000E4E06">
          <w:rPr>
            <w:noProof/>
            <w:webHidden/>
          </w:rPr>
          <w:instrText xml:space="preserve"> PAGEREF _Toc97041616 \h </w:instrText>
        </w:r>
        <w:r w:rsidR="000E4E06">
          <w:rPr>
            <w:noProof/>
            <w:webHidden/>
          </w:rPr>
        </w:r>
        <w:r w:rsidR="000E4E06">
          <w:rPr>
            <w:noProof/>
            <w:webHidden/>
          </w:rPr>
          <w:fldChar w:fldCharType="separate"/>
        </w:r>
        <w:r w:rsidR="00A23C5C">
          <w:rPr>
            <w:noProof/>
            <w:webHidden/>
          </w:rPr>
          <w:t>9</w:t>
        </w:r>
        <w:r w:rsidR="000E4E06">
          <w:rPr>
            <w:noProof/>
            <w:webHidden/>
          </w:rPr>
          <w:fldChar w:fldCharType="end"/>
        </w:r>
      </w:hyperlink>
    </w:p>
    <w:p w14:paraId="45077F91" w14:textId="7661D73C" w:rsidR="000E4E06" w:rsidRDefault="00A80D2A">
      <w:pPr>
        <w:pStyle w:val="TOC2"/>
        <w:rPr>
          <w:rFonts w:eastAsiaTheme="minorEastAsia" w:cstheme="minorBidi"/>
          <w:smallCaps w:val="0"/>
          <w:noProof/>
          <w:sz w:val="22"/>
          <w:szCs w:val="22"/>
          <w:lang w:eastAsia="en-GB" w:bidi="ar-SA"/>
        </w:rPr>
      </w:pPr>
      <w:hyperlink w:anchor="_Toc97041617" w:history="1">
        <w:r w:rsidR="000E4E06" w:rsidRPr="002240D8">
          <w:rPr>
            <w:rStyle w:val="Hyperlink"/>
            <w:noProof/>
          </w:rPr>
          <w:t>3.3</w:t>
        </w:r>
        <w:r w:rsidR="000E4E06">
          <w:rPr>
            <w:rFonts w:eastAsiaTheme="minorEastAsia" w:cstheme="minorBidi"/>
            <w:smallCaps w:val="0"/>
            <w:noProof/>
            <w:sz w:val="22"/>
            <w:szCs w:val="22"/>
            <w:lang w:eastAsia="en-GB" w:bidi="ar-SA"/>
          </w:rPr>
          <w:tab/>
        </w:r>
        <w:r w:rsidR="000E4E06" w:rsidRPr="002240D8">
          <w:rPr>
            <w:rStyle w:val="Hyperlink"/>
            <w:noProof/>
          </w:rPr>
          <w:t>Toxicokinetics and metabolism</w:t>
        </w:r>
        <w:r w:rsidR="000E4E06">
          <w:rPr>
            <w:noProof/>
            <w:webHidden/>
          </w:rPr>
          <w:tab/>
        </w:r>
        <w:r w:rsidR="000E4E06">
          <w:rPr>
            <w:noProof/>
            <w:webHidden/>
          </w:rPr>
          <w:fldChar w:fldCharType="begin"/>
        </w:r>
        <w:r w:rsidR="000E4E06">
          <w:rPr>
            <w:noProof/>
            <w:webHidden/>
          </w:rPr>
          <w:instrText xml:space="preserve"> PAGEREF _Toc97041617 \h </w:instrText>
        </w:r>
        <w:r w:rsidR="000E4E06">
          <w:rPr>
            <w:noProof/>
            <w:webHidden/>
          </w:rPr>
        </w:r>
        <w:r w:rsidR="000E4E06">
          <w:rPr>
            <w:noProof/>
            <w:webHidden/>
          </w:rPr>
          <w:fldChar w:fldCharType="separate"/>
        </w:r>
        <w:r w:rsidR="00A23C5C">
          <w:rPr>
            <w:noProof/>
            <w:webHidden/>
          </w:rPr>
          <w:t>9</w:t>
        </w:r>
        <w:r w:rsidR="000E4E06">
          <w:rPr>
            <w:noProof/>
            <w:webHidden/>
          </w:rPr>
          <w:fldChar w:fldCharType="end"/>
        </w:r>
      </w:hyperlink>
    </w:p>
    <w:p w14:paraId="4BB5BF62" w14:textId="718EEBA0" w:rsidR="000E4E06" w:rsidRDefault="00A80D2A">
      <w:pPr>
        <w:pStyle w:val="TOC2"/>
        <w:rPr>
          <w:rFonts w:eastAsiaTheme="minorEastAsia" w:cstheme="minorBidi"/>
          <w:smallCaps w:val="0"/>
          <w:noProof/>
          <w:sz w:val="22"/>
          <w:szCs w:val="22"/>
          <w:lang w:eastAsia="en-GB" w:bidi="ar-SA"/>
        </w:rPr>
      </w:pPr>
      <w:hyperlink w:anchor="_Toc97041618" w:history="1">
        <w:r w:rsidR="000E4E06" w:rsidRPr="002240D8">
          <w:rPr>
            <w:rStyle w:val="Hyperlink"/>
            <w:noProof/>
          </w:rPr>
          <w:t>3.4</w:t>
        </w:r>
        <w:r w:rsidR="000E4E06">
          <w:rPr>
            <w:rFonts w:eastAsiaTheme="minorEastAsia" w:cstheme="minorBidi"/>
            <w:smallCaps w:val="0"/>
            <w:noProof/>
            <w:sz w:val="22"/>
            <w:szCs w:val="22"/>
            <w:lang w:eastAsia="en-GB" w:bidi="ar-SA"/>
          </w:rPr>
          <w:tab/>
        </w:r>
        <w:r w:rsidR="000E4E06" w:rsidRPr="002240D8">
          <w:rPr>
            <w:rStyle w:val="Hyperlink"/>
            <w:noProof/>
          </w:rPr>
          <w:t>Toxicity studies</w:t>
        </w:r>
        <w:r w:rsidR="000E4E06">
          <w:rPr>
            <w:noProof/>
            <w:webHidden/>
          </w:rPr>
          <w:tab/>
        </w:r>
        <w:r w:rsidR="000E4E06">
          <w:rPr>
            <w:noProof/>
            <w:webHidden/>
          </w:rPr>
          <w:fldChar w:fldCharType="begin"/>
        </w:r>
        <w:r w:rsidR="000E4E06">
          <w:rPr>
            <w:noProof/>
            <w:webHidden/>
          </w:rPr>
          <w:instrText xml:space="preserve"> PAGEREF _Toc97041618 \h </w:instrText>
        </w:r>
        <w:r w:rsidR="000E4E06">
          <w:rPr>
            <w:noProof/>
            <w:webHidden/>
          </w:rPr>
        </w:r>
        <w:r w:rsidR="000E4E06">
          <w:rPr>
            <w:noProof/>
            <w:webHidden/>
          </w:rPr>
          <w:fldChar w:fldCharType="separate"/>
        </w:r>
        <w:r w:rsidR="00A23C5C">
          <w:rPr>
            <w:noProof/>
            <w:webHidden/>
          </w:rPr>
          <w:t>10</w:t>
        </w:r>
        <w:r w:rsidR="000E4E06">
          <w:rPr>
            <w:noProof/>
            <w:webHidden/>
          </w:rPr>
          <w:fldChar w:fldCharType="end"/>
        </w:r>
      </w:hyperlink>
    </w:p>
    <w:p w14:paraId="167BE70C" w14:textId="01E18379"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19" w:history="1">
        <w:r w:rsidR="000E4E06" w:rsidRPr="002240D8">
          <w:rPr>
            <w:rStyle w:val="Hyperlink"/>
            <w:noProof/>
          </w:rPr>
          <w:t>3.4.1</w:t>
        </w:r>
        <w:r w:rsidR="000E4E06">
          <w:rPr>
            <w:rFonts w:eastAsiaTheme="minorEastAsia" w:cstheme="minorBidi"/>
            <w:i w:val="0"/>
            <w:iCs w:val="0"/>
            <w:noProof/>
            <w:sz w:val="22"/>
            <w:szCs w:val="22"/>
            <w:lang w:eastAsia="en-GB" w:bidi="ar-SA"/>
          </w:rPr>
          <w:tab/>
        </w:r>
        <w:r w:rsidR="000E4E06" w:rsidRPr="002240D8">
          <w:rPr>
            <w:rStyle w:val="Hyperlink"/>
            <w:noProof/>
          </w:rPr>
          <w:t>Acute toxicity studies</w:t>
        </w:r>
        <w:r w:rsidR="000E4E06">
          <w:rPr>
            <w:noProof/>
            <w:webHidden/>
          </w:rPr>
          <w:tab/>
        </w:r>
        <w:r w:rsidR="000E4E06">
          <w:rPr>
            <w:noProof/>
            <w:webHidden/>
          </w:rPr>
          <w:fldChar w:fldCharType="begin"/>
        </w:r>
        <w:r w:rsidR="000E4E06">
          <w:rPr>
            <w:noProof/>
            <w:webHidden/>
          </w:rPr>
          <w:instrText xml:space="preserve"> PAGEREF _Toc97041619 \h </w:instrText>
        </w:r>
        <w:r w:rsidR="000E4E06">
          <w:rPr>
            <w:noProof/>
            <w:webHidden/>
          </w:rPr>
        </w:r>
        <w:r w:rsidR="000E4E06">
          <w:rPr>
            <w:noProof/>
            <w:webHidden/>
          </w:rPr>
          <w:fldChar w:fldCharType="separate"/>
        </w:r>
        <w:r w:rsidR="00A23C5C">
          <w:rPr>
            <w:noProof/>
            <w:webHidden/>
          </w:rPr>
          <w:t>10</w:t>
        </w:r>
        <w:r w:rsidR="000E4E06">
          <w:rPr>
            <w:noProof/>
            <w:webHidden/>
          </w:rPr>
          <w:fldChar w:fldCharType="end"/>
        </w:r>
      </w:hyperlink>
    </w:p>
    <w:p w14:paraId="2A5B8609" w14:textId="1D94E3E9"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20" w:history="1">
        <w:r w:rsidR="000E4E06" w:rsidRPr="002240D8">
          <w:rPr>
            <w:rStyle w:val="Hyperlink"/>
            <w:noProof/>
          </w:rPr>
          <w:t>3.4.2</w:t>
        </w:r>
        <w:r w:rsidR="000E4E06">
          <w:rPr>
            <w:rFonts w:eastAsiaTheme="minorEastAsia" w:cstheme="minorBidi"/>
            <w:i w:val="0"/>
            <w:iCs w:val="0"/>
            <w:noProof/>
            <w:sz w:val="22"/>
            <w:szCs w:val="22"/>
            <w:lang w:eastAsia="en-GB" w:bidi="ar-SA"/>
          </w:rPr>
          <w:tab/>
        </w:r>
        <w:r w:rsidR="000E4E06" w:rsidRPr="002240D8">
          <w:rPr>
            <w:rStyle w:val="Hyperlink"/>
            <w:noProof/>
          </w:rPr>
          <w:t>Short-term studies of toxicity</w:t>
        </w:r>
        <w:r w:rsidR="000E4E06">
          <w:rPr>
            <w:noProof/>
            <w:webHidden/>
          </w:rPr>
          <w:tab/>
        </w:r>
        <w:r w:rsidR="000E4E06">
          <w:rPr>
            <w:noProof/>
            <w:webHidden/>
          </w:rPr>
          <w:fldChar w:fldCharType="begin"/>
        </w:r>
        <w:r w:rsidR="000E4E06">
          <w:rPr>
            <w:noProof/>
            <w:webHidden/>
          </w:rPr>
          <w:instrText xml:space="preserve"> PAGEREF _Toc97041620 \h </w:instrText>
        </w:r>
        <w:r w:rsidR="000E4E06">
          <w:rPr>
            <w:noProof/>
            <w:webHidden/>
          </w:rPr>
        </w:r>
        <w:r w:rsidR="000E4E06">
          <w:rPr>
            <w:noProof/>
            <w:webHidden/>
          </w:rPr>
          <w:fldChar w:fldCharType="separate"/>
        </w:r>
        <w:r w:rsidR="00A23C5C">
          <w:rPr>
            <w:noProof/>
            <w:webHidden/>
          </w:rPr>
          <w:t>10</w:t>
        </w:r>
        <w:r w:rsidR="000E4E06">
          <w:rPr>
            <w:noProof/>
            <w:webHidden/>
          </w:rPr>
          <w:fldChar w:fldCharType="end"/>
        </w:r>
      </w:hyperlink>
    </w:p>
    <w:p w14:paraId="1431D679" w14:textId="216FACEE"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21" w:history="1">
        <w:r w:rsidR="000E4E06" w:rsidRPr="002240D8">
          <w:rPr>
            <w:rStyle w:val="Hyperlink"/>
            <w:noProof/>
          </w:rPr>
          <w:t>3.4.3</w:t>
        </w:r>
        <w:r w:rsidR="000E4E06">
          <w:rPr>
            <w:rFonts w:eastAsiaTheme="minorEastAsia" w:cstheme="minorBidi"/>
            <w:i w:val="0"/>
            <w:iCs w:val="0"/>
            <w:noProof/>
            <w:sz w:val="22"/>
            <w:szCs w:val="22"/>
            <w:lang w:eastAsia="en-GB" w:bidi="ar-SA"/>
          </w:rPr>
          <w:tab/>
        </w:r>
        <w:r w:rsidR="000E4E06" w:rsidRPr="002240D8">
          <w:rPr>
            <w:rStyle w:val="Hyperlink"/>
            <w:noProof/>
          </w:rPr>
          <w:t>Long-term studies of toxicity and carcinogenicity</w:t>
        </w:r>
        <w:r w:rsidR="000E4E06">
          <w:rPr>
            <w:noProof/>
            <w:webHidden/>
          </w:rPr>
          <w:tab/>
        </w:r>
        <w:r w:rsidR="000E4E06">
          <w:rPr>
            <w:noProof/>
            <w:webHidden/>
          </w:rPr>
          <w:fldChar w:fldCharType="begin"/>
        </w:r>
        <w:r w:rsidR="000E4E06">
          <w:rPr>
            <w:noProof/>
            <w:webHidden/>
          </w:rPr>
          <w:instrText xml:space="preserve"> PAGEREF _Toc97041621 \h </w:instrText>
        </w:r>
        <w:r w:rsidR="000E4E06">
          <w:rPr>
            <w:noProof/>
            <w:webHidden/>
          </w:rPr>
        </w:r>
        <w:r w:rsidR="000E4E06">
          <w:rPr>
            <w:noProof/>
            <w:webHidden/>
          </w:rPr>
          <w:fldChar w:fldCharType="separate"/>
        </w:r>
        <w:r w:rsidR="00A23C5C">
          <w:rPr>
            <w:noProof/>
            <w:webHidden/>
          </w:rPr>
          <w:t>15</w:t>
        </w:r>
        <w:r w:rsidR="000E4E06">
          <w:rPr>
            <w:noProof/>
            <w:webHidden/>
          </w:rPr>
          <w:fldChar w:fldCharType="end"/>
        </w:r>
      </w:hyperlink>
    </w:p>
    <w:p w14:paraId="56FD9335" w14:textId="4BCDF2BC"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22" w:history="1">
        <w:r w:rsidR="000E4E06" w:rsidRPr="002240D8">
          <w:rPr>
            <w:rStyle w:val="Hyperlink"/>
            <w:noProof/>
          </w:rPr>
          <w:t>3.4.4</w:t>
        </w:r>
        <w:r w:rsidR="000E4E06">
          <w:rPr>
            <w:rFonts w:eastAsiaTheme="minorEastAsia" w:cstheme="minorBidi"/>
            <w:i w:val="0"/>
            <w:iCs w:val="0"/>
            <w:noProof/>
            <w:sz w:val="22"/>
            <w:szCs w:val="22"/>
            <w:lang w:eastAsia="en-GB" w:bidi="ar-SA"/>
          </w:rPr>
          <w:tab/>
        </w:r>
        <w:r w:rsidR="000E4E06" w:rsidRPr="002240D8">
          <w:rPr>
            <w:rStyle w:val="Hyperlink"/>
            <w:noProof/>
          </w:rPr>
          <w:t>Developmental and reproductive studies in animals</w:t>
        </w:r>
        <w:r w:rsidR="000E4E06">
          <w:rPr>
            <w:noProof/>
            <w:webHidden/>
          </w:rPr>
          <w:tab/>
        </w:r>
        <w:r w:rsidR="000E4E06">
          <w:rPr>
            <w:noProof/>
            <w:webHidden/>
          </w:rPr>
          <w:fldChar w:fldCharType="begin"/>
        </w:r>
        <w:r w:rsidR="000E4E06">
          <w:rPr>
            <w:noProof/>
            <w:webHidden/>
          </w:rPr>
          <w:instrText xml:space="preserve"> PAGEREF _Toc97041622 \h </w:instrText>
        </w:r>
        <w:r w:rsidR="000E4E06">
          <w:rPr>
            <w:noProof/>
            <w:webHidden/>
          </w:rPr>
        </w:r>
        <w:r w:rsidR="000E4E06">
          <w:rPr>
            <w:noProof/>
            <w:webHidden/>
          </w:rPr>
          <w:fldChar w:fldCharType="separate"/>
        </w:r>
        <w:r w:rsidR="00A23C5C">
          <w:rPr>
            <w:noProof/>
            <w:webHidden/>
          </w:rPr>
          <w:t>16</w:t>
        </w:r>
        <w:r w:rsidR="000E4E06">
          <w:rPr>
            <w:noProof/>
            <w:webHidden/>
          </w:rPr>
          <w:fldChar w:fldCharType="end"/>
        </w:r>
      </w:hyperlink>
    </w:p>
    <w:p w14:paraId="59053B62" w14:textId="1F464C6C"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23" w:history="1">
        <w:r w:rsidR="000E4E06" w:rsidRPr="002240D8">
          <w:rPr>
            <w:rStyle w:val="Hyperlink"/>
            <w:noProof/>
          </w:rPr>
          <w:t>3.4.5</w:t>
        </w:r>
        <w:r w:rsidR="000E4E06">
          <w:rPr>
            <w:rFonts w:eastAsiaTheme="minorEastAsia" w:cstheme="minorBidi"/>
            <w:i w:val="0"/>
            <w:iCs w:val="0"/>
            <w:noProof/>
            <w:sz w:val="22"/>
            <w:szCs w:val="22"/>
            <w:lang w:eastAsia="en-GB" w:bidi="ar-SA"/>
          </w:rPr>
          <w:tab/>
        </w:r>
        <w:r w:rsidR="000E4E06" w:rsidRPr="002240D8">
          <w:rPr>
            <w:rStyle w:val="Hyperlink"/>
            <w:noProof/>
          </w:rPr>
          <w:t>Genotoxicity</w:t>
        </w:r>
        <w:r w:rsidR="000E4E06">
          <w:rPr>
            <w:noProof/>
            <w:webHidden/>
          </w:rPr>
          <w:tab/>
        </w:r>
        <w:r w:rsidR="000E4E06">
          <w:rPr>
            <w:noProof/>
            <w:webHidden/>
          </w:rPr>
          <w:fldChar w:fldCharType="begin"/>
        </w:r>
        <w:r w:rsidR="000E4E06">
          <w:rPr>
            <w:noProof/>
            <w:webHidden/>
          </w:rPr>
          <w:instrText xml:space="preserve"> PAGEREF _Toc97041623 \h </w:instrText>
        </w:r>
        <w:r w:rsidR="000E4E06">
          <w:rPr>
            <w:noProof/>
            <w:webHidden/>
          </w:rPr>
        </w:r>
        <w:r w:rsidR="000E4E06">
          <w:rPr>
            <w:noProof/>
            <w:webHidden/>
          </w:rPr>
          <w:fldChar w:fldCharType="separate"/>
        </w:r>
        <w:r w:rsidR="00A23C5C">
          <w:rPr>
            <w:noProof/>
            <w:webHidden/>
          </w:rPr>
          <w:t>17</w:t>
        </w:r>
        <w:r w:rsidR="000E4E06">
          <w:rPr>
            <w:noProof/>
            <w:webHidden/>
          </w:rPr>
          <w:fldChar w:fldCharType="end"/>
        </w:r>
      </w:hyperlink>
    </w:p>
    <w:p w14:paraId="38C4045B" w14:textId="6F511C0C" w:rsidR="000E4E06" w:rsidRDefault="00A80D2A">
      <w:pPr>
        <w:pStyle w:val="TOC2"/>
        <w:rPr>
          <w:rFonts w:eastAsiaTheme="minorEastAsia" w:cstheme="minorBidi"/>
          <w:smallCaps w:val="0"/>
          <w:noProof/>
          <w:sz w:val="22"/>
          <w:szCs w:val="22"/>
          <w:lang w:eastAsia="en-GB" w:bidi="ar-SA"/>
        </w:rPr>
      </w:pPr>
      <w:hyperlink w:anchor="_Toc97041624" w:history="1">
        <w:r w:rsidR="000E4E06" w:rsidRPr="002240D8">
          <w:rPr>
            <w:rStyle w:val="Hyperlink"/>
            <w:noProof/>
          </w:rPr>
          <w:t>3.5</w:t>
        </w:r>
        <w:r w:rsidR="000E4E06">
          <w:rPr>
            <w:rFonts w:eastAsiaTheme="minorEastAsia" w:cstheme="minorBidi"/>
            <w:smallCaps w:val="0"/>
            <w:noProof/>
            <w:sz w:val="22"/>
            <w:szCs w:val="22"/>
            <w:lang w:eastAsia="en-GB" w:bidi="ar-SA"/>
          </w:rPr>
          <w:tab/>
        </w:r>
        <w:r w:rsidR="000E4E06" w:rsidRPr="002240D8">
          <w:rPr>
            <w:rStyle w:val="Hyperlink"/>
            <w:noProof/>
          </w:rPr>
          <w:t>Potential for allergenicity</w:t>
        </w:r>
        <w:r w:rsidR="000E4E06">
          <w:rPr>
            <w:noProof/>
            <w:webHidden/>
          </w:rPr>
          <w:tab/>
        </w:r>
        <w:r w:rsidR="000E4E06">
          <w:rPr>
            <w:noProof/>
            <w:webHidden/>
          </w:rPr>
          <w:fldChar w:fldCharType="begin"/>
        </w:r>
        <w:r w:rsidR="000E4E06">
          <w:rPr>
            <w:noProof/>
            <w:webHidden/>
          </w:rPr>
          <w:instrText xml:space="preserve"> PAGEREF _Toc97041624 \h </w:instrText>
        </w:r>
        <w:r w:rsidR="000E4E06">
          <w:rPr>
            <w:noProof/>
            <w:webHidden/>
          </w:rPr>
        </w:r>
        <w:r w:rsidR="000E4E06">
          <w:rPr>
            <w:noProof/>
            <w:webHidden/>
          </w:rPr>
          <w:fldChar w:fldCharType="separate"/>
        </w:r>
        <w:r w:rsidR="00A23C5C">
          <w:rPr>
            <w:noProof/>
            <w:webHidden/>
          </w:rPr>
          <w:t>19</w:t>
        </w:r>
        <w:r w:rsidR="000E4E06">
          <w:rPr>
            <w:noProof/>
            <w:webHidden/>
          </w:rPr>
          <w:fldChar w:fldCharType="end"/>
        </w:r>
      </w:hyperlink>
    </w:p>
    <w:p w14:paraId="52E7E429" w14:textId="34BBF617" w:rsidR="000E4E06" w:rsidRDefault="00A80D2A">
      <w:pPr>
        <w:pStyle w:val="TOC2"/>
        <w:rPr>
          <w:rFonts w:eastAsiaTheme="minorEastAsia" w:cstheme="minorBidi"/>
          <w:smallCaps w:val="0"/>
          <w:noProof/>
          <w:sz w:val="22"/>
          <w:szCs w:val="22"/>
          <w:lang w:eastAsia="en-GB" w:bidi="ar-SA"/>
        </w:rPr>
      </w:pPr>
      <w:hyperlink w:anchor="_Toc97041625" w:history="1">
        <w:r w:rsidR="000E4E06" w:rsidRPr="002240D8">
          <w:rPr>
            <w:rStyle w:val="Hyperlink"/>
            <w:noProof/>
          </w:rPr>
          <w:t>3.6</w:t>
        </w:r>
        <w:r w:rsidR="000E4E06">
          <w:rPr>
            <w:rFonts w:eastAsiaTheme="minorEastAsia" w:cstheme="minorBidi"/>
            <w:smallCaps w:val="0"/>
            <w:noProof/>
            <w:sz w:val="22"/>
            <w:szCs w:val="22"/>
            <w:lang w:eastAsia="en-GB" w:bidi="ar-SA"/>
          </w:rPr>
          <w:tab/>
        </w:r>
        <w:r w:rsidR="000E4E06" w:rsidRPr="002240D8">
          <w:rPr>
            <w:rStyle w:val="Hyperlink"/>
            <w:noProof/>
          </w:rPr>
          <w:t>Safety assessments by international agencies or other national government agencies</w:t>
        </w:r>
        <w:r w:rsidR="000E4E06">
          <w:rPr>
            <w:noProof/>
            <w:webHidden/>
          </w:rPr>
          <w:tab/>
        </w:r>
        <w:r w:rsidR="000E4E06">
          <w:rPr>
            <w:noProof/>
            <w:webHidden/>
          </w:rPr>
          <w:fldChar w:fldCharType="begin"/>
        </w:r>
        <w:r w:rsidR="000E4E06">
          <w:rPr>
            <w:noProof/>
            <w:webHidden/>
          </w:rPr>
          <w:instrText xml:space="preserve"> PAGEREF _Toc97041625 \h </w:instrText>
        </w:r>
        <w:r w:rsidR="000E4E06">
          <w:rPr>
            <w:noProof/>
            <w:webHidden/>
          </w:rPr>
        </w:r>
        <w:r w:rsidR="000E4E06">
          <w:rPr>
            <w:noProof/>
            <w:webHidden/>
          </w:rPr>
          <w:fldChar w:fldCharType="separate"/>
        </w:r>
        <w:r w:rsidR="00A23C5C">
          <w:rPr>
            <w:noProof/>
            <w:webHidden/>
          </w:rPr>
          <w:t>19</w:t>
        </w:r>
        <w:r w:rsidR="000E4E06">
          <w:rPr>
            <w:noProof/>
            <w:webHidden/>
          </w:rPr>
          <w:fldChar w:fldCharType="end"/>
        </w:r>
      </w:hyperlink>
    </w:p>
    <w:p w14:paraId="2528CF37" w14:textId="580A8C81" w:rsidR="000E4E06" w:rsidRDefault="00A80D2A">
      <w:pPr>
        <w:pStyle w:val="TOC2"/>
        <w:rPr>
          <w:rFonts w:eastAsiaTheme="minorEastAsia" w:cstheme="minorBidi"/>
          <w:smallCaps w:val="0"/>
          <w:noProof/>
          <w:sz w:val="22"/>
          <w:szCs w:val="22"/>
          <w:lang w:eastAsia="en-GB" w:bidi="ar-SA"/>
        </w:rPr>
      </w:pPr>
      <w:hyperlink w:anchor="_Toc97041626" w:history="1">
        <w:r w:rsidR="000E4E06" w:rsidRPr="002240D8">
          <w:rPr>
            <w:rStyle w:val="Hyperlink"/>
            <w:noProof/>
          </w:rPr>
          <w:t>3.7</w:t>
        </w:r>
        <w:r w:rsidR="000E4E06">
          <w:rPr>
            <w:rFonts w:eastAsiaTheme="minorEastAsia" w:cstheme="minorBidi"/>
            <w:smallCaps w:val="0"/>
            <w:noProof/>
            <w:sz w:val="22"/>
            <w:szCs w:val="22"/>
            <w:lang w:eastAsia="en-GB" w:bidi="ar-SA"/>
          </w:rPr>
          <w:tab/>
        </w:r>
        <w:r w:rsidR="000E4E06" w:rsidRPr="002240D8">
          <w:rPr>
            <w:rStyle w:val="Hyperlink"/>
            <w:noProof/>
          </w:rPr>
          <w:t>Potential for development of antimicrobial resistance</w:t>
        </w:r>
        <w:r w:rsidR="000E4E06">
          <w:rPr>
            <w:noProof/>
            <w:webHidden/>
          </w:rPr>
          <w:tab/>
        </w:r>
        <w:r w:rsidR="000E4E06">
          <w:rPr>
            <w:noProof/>
            <w:webHidden/>
          </w:rPr>
          <w:fldChar w:fldCharType="begin"/>
        </w:r>
        <w:r w:rsidR="000E4E06">
          <w:rPr>
            <w:noProof/>
            <w:webHidden/>
          </w:rPr>
          <w:instrText xml:space="preserve"> PAGEREF _Toc97041626 \h </w:instrText>
        </w:r>
        <w:r w:rsidR="000E4E06">
          <w:rPr>
            <w:noProof/>
            <w:webHidden/>
          </w:rPr>
        </w:r>
        <w:r w:rsidR="000E4E06">
          <w:rPr>
            <w:noProof/>
            <w:webHidden/>
          </w:rPr>
          <w:fldChar w:fldCharType="separate"/>
        </w:r>
        <w:r w:rsidR="00A23C5C">
          <w:rPr>
            <w:noProof/>
            <w:webHidden/>
          </w:rPr>
          <w:t>21</w:t>
        </w:r>
        <w:r w:rsidR="000E4E06">
          <w:rPr>
            <w:noProof/>
            <w:webHidden/>
          </w:rPr>
          <w:fldChar w:fldCharType="end"/>
        </w:r>
      </w:hyperlink>
    </w:p>
    <w:p w14:paraId="29A22E0C" w14:textId="3BA3C909" w:rsidR="000E4E06" w:rsidRDefault="00A80D2A">
      <w:pPr>
        <w:pStyle w:val="TOC2"/>
        <w:rPr>
          <w:rFonts w:eastAsiaTheme="minorEastAsia" w:cstheme="minorBidi"/>
          <w:smallCaps w:val="0"/>
          <w:noProof/>
          <w:sz w:val="22"/>
          <w:szCs w:val="22"/>
          <w:lang w:eastAsia="en-GB" w:bidi="ar-SA"/>
        </w:rPr>
      </w:pPr>
      <w:hyperlink w:anchor="_Toc97041627" w:history="1">
        <w:r w:rsidR="000E4E06" w:rsidRPr="002240D8">
          <w:rPr>
            <w:rStyle w:val="Hyperlink"/>
            <w:noProof/>
          </w:rPr>
          <w:t>3.8</w:t>
        </w:r>
        <w:r w:rsidR="000E4E06">
          <w:rPr>
            <w:rFonts w:eastAsiaTheme="minorEastAsia" w:cstheme="minorBidi"/>
            <w:smallCaps w:val="0"/>
            <w:noProof/>
            <w:sz w:val="22"/>
            <w:szCs w:val="22"/>
            <w:lang w:eastAsia="en-GB" w:bidi="ar-SA"/>
          </w:rPr>
          <w:tab/>
        </w:r>
        <w:r w:rsidR="000E4E06" w:rsidRPr="002240D8">
          <w:rPr>
            <w:rStyle w:val="Hyperlink"/>
            <w:noProof/>
          </w:rPr>
          <w:t>Discussion and conclusion</w:t>
        </w:r>
        <w:r w:rsidR="000E4E06">
          <w:rPr>
            <w:noProof/>
            <w:webHidden/>
          </w:rPr>
          <w:tab/>
        </w:r>
        <w:r w:rsidR="000E4E06">
          <w:rPr>
            <w:noProof/>
            <w:webHidden/>
          </w:rPr>
          <w:fldChar w:fldCharType="begin"/>
        </w:r>
        <w:r w:rsidR="000E4E06">
          <w:rPr>
            <w:noProof/>
            <w:webHidden/>
          </w:rPr>
          <w:instrText xml:space="preserve"> PAGEREF _Toc97041627 \h </w:instrText>
        </w:r>
        <w:r w:rsidR="000E4E06">
          <w:rPr>
            <w:noProof/>
            <w:webHidden/>
          </w:rPr>
        </w:r>
        <w:r w:rsidR="000E4E06">
          <w:rPr>
            <w:noProof/>
            <w:webHidden/>
          </w:rPr>
          <w:fldChar w:fldCharType="separate"/>
        </w:r>
        <w:r w:rsidR="00A23C5C">
          <w:rPr>
            <w:noProof/>
            <w:webHidden/>
          </w:rPr>
          <w:t>22</w:t>
        </w:r>
        <w:r w:rsidR="000E4E06">
          <w:rPr>
            <w:noProof/>
            <w:webHidden/>
          </w:rPr>
          <w:fldChar w:fldCharType="end"/>
        </w:r>
      </w:hyperlink>
    </w:p>
    <w:p w14:paraId="4DCD5D9F" w14:textId="5C4A15F4" w:rsidR="000E4E06" w:rsidRDefault="00A80D2A">
      <w:pPr>
        <w:pStyle w:val="TOC1"/>
        <w:rPr>
          <w:rFonts w:eastAsiaTheme="minorEastAsia" w:cstheme="minorBidi"/>
          <w:b w:val="0"/>
          <w:bCs w:val="0"/>
          <w:caps w:val="0"/>
          <w:noProof/>
          <w:sz w:val="22"/>
          <w:szCs w:val="22"/>
          <w:lang w:eastAsia="en-GB" w:bidi="ar-SA"/>
        </w:rPr>
      </w:pPr>
      <w:hyperlink w:anchor="_Toc97041628" w:history="1">
        <w:r w:rsidR="000E4E06" w:rsidRPr="002240D8">
          <w:rPr>
            <w:rStyle w:val="Hyperlink"/>
            <w:noProof/>
          </w:rPr>
          <w:t>4</w:t>
        </w:r>
        <w:r w:rsidR="000E4E06">
          <w:rPr>
            <w:rFonts w:eastAsiaTheme="minorEastAsia" w:cstheme="minorBidi"/>
            <w:b w:val="0"/>
            <w:bCs w:val="0"/>
            <w:caps w:val="0"/>
            <w:noProof/>
            <w:sz w:val="22"/>
            <w:szCs w:val="22"/>
            <w:lang w:eastAsia="en-GB" w:bidi="ar-SA"/>
          </w:rPr>
          <w:tab/>
        </w:r>
        <w:r w:rsidR="000E4E06" w:rsidRPr="002240D8">
          <w:rPr>
            <w:rStyle w:val="Hyperlink"/>
            <w:noProof/>
          </w:rPr>
          <w:t>Dietary exposure assessment</w:t>
        </w:r>
        <w:r w:rsidR="000E4E06">
          <w:rPr>
            <w:noProof/>
            <w:webHidden/>
          </w:rPr>
          <w:tab/>
        </w:r>
        <w:r w:rsidR="000E4E06">
          <w:rPr>
            <w:noProof/>
            <w:webHidden/>
          </w:rPr>
          <w:fldChar w:fldCharType="begin"/>
        </w:r>
        <w:r w:rsidR="000E4E06">
          <w:rPr>
            <w:noProof/>
            <w:webHidden/>
          </w:rPr>
          <w:instrText xml:space="preserve"> PAGEREF _Toc97041628 \h </w:instrText>
        </w:r>
        <w:r w:rsidR="000E4E06">
          <w:rPr>
            <w:noProof/>
            <w:webHidden/>
          </w:rPr>
        </w:r>
        <w:r w:rsidR="000E4E06">
          <w:rPr>
            <w:noProof/>
            <w:webHidden/>
          </w:rPr>
          <w:fldChar w:fldCharType="separate"/>
        </w:r>
        <w:r w:rsidR="00A23C5C">
          <w:rPr>
            <w:noProof/>
            <w:webHidden/>
          </w:rPr>
          <w:t>23</w:t>
        </w:r>
        <w:r w:rsidR="000E4E06">
          <w:rPr>
            <w:noProof/>
            <w:webHidden/>
          </w:rPr>
          <w:fldChar w:fldCharType="end"/>
        </w:r>
      </w:hyperlink>
    </w:p>
    <w:p w14:paraId="5A8D7FBE" w14:textId="62834DE2" w:rsidR="000E4E06" w:rsidRDefault="00A80D2A">
      <w:pPr>
        <w:pStyle w:val="TOC2"/>
        <w:rPr>
          <w:rFonts w:eastAsiaTheme="minorEastAsia" w:cstheme="minorBidi"/>
          <w:smallCaps w:val="0"/>
          <w:noProof/>
          <w:sz w:val="22"/>
          <w:szCs w:val="22"/>
          <w:lang w:eastAsia="en-GB" w:bidi="ar-SA"/>
        </w:rPr>
      </w:pPr>
      <w:hyperlink w:anchor="_Toc97041629" w:history="1">
        <w:r w:rsidR="000E4E06" w:rsidRPr="002240D8">
          <w:rPr>
            <w:rStyle w:val="Hyperlink"/>
            <w:noProof/>
          </w:rPr>
          <w:t>4.1</w:t>
        </w:r>
        <w:r w:rsidR="000E4E06">
          <w:rPr>
            <w:rFonts w:eastAsiaTheme="minorEastAsia" w:cstheme="minorBidi"/>
            <w:smallCaps w:val="0"/>
            <w:noProof/>
            <w:sz w:val="22"/>
            <w:szCs w:val="22"/>
            <w:lang w:eastAsia="en-GB" w:bidi="ar-SA"/>
          </w:rPr>
          <w:tab/>
        </w:r>
        <w:r w:rsidR="000E4E06" w:rsidRPr="002240D8">
          <w:rPr>
            <w:rStyle w:val="Hyperlink"/>
            <w:noProof/>
          </w:rPr>
          <w:t>Approach to estimating dietary exposure</w:t>
        </w:r>
        <w:r w:rsidR="000E4E06">
          <w:rPr>
            <w:noProof/>
            <w:webHidden/>
          </w:rPr>
          <w:tab/>
        </w:r>
        <w:r w:rsidR="000E4E06">
          <w:rPr>
            <w:noProof/>
            <w:webHidden/>
          </w:rPr>
          <w:fldChar w:fldCharType="begin"/>
        </w:r>
        <w:r w:rsidR="000E4E06">
          <w:rPr>
            <w:noProof/>
            <w:webHidden/>
          </w:rPr>
          <w:instrText xml:space="preserve"> PAGEREF _Toc97041629 \h </w:instrText>
        </w:r>
        <w:r w:rsidR="000E4E06">
          <w:rPr>
            <w:noProof/>
            <w:webHidden/>
          </w:rPr>
        </w:r>
        <w:r w:rsidR="000E4E06">
          <w:rPr>
            <w:noProof/>
            <w:webHidden/>
          </w:rPr>
          <w:fldChar w:fldCharType="separate"/>
        </w:r>
        <w:r w:rsidR="00A23C5C">
          <w:rPr>
            <w:noProof/>
            <w:webHidden/>
          </w:rPr>
          <w:t>23</w:t>
        </w:r>
        <w:r w:rsidR="000E4E06">
          <w:rPr>
            <w:noProof/>
            <w:webHidden/>
          </w:rPr>
          <w:fldChar w:fldCharType="end"/>
        </w:r>
      </w:hyperlink>
    </w:p>
    <w:p w14:paraId="016A73D8" w14:textId="11F79A2E"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30" w:history="1">
        <w:r w:rsidR="000E4E06" w:rsidRPr="002240D8">
          <w:rPr>
            <w:rStyle w:val="Hyperlink"/>
            <w:noProof/>
          </w:rPr>
          <w:t>4.1.1</w:t>
        </w:r>
        <w:r w:rsidR="000E4E06">
          <w:rPr>
            <w:rFonts w:eastAsiaTheme="minorEastAsia" w:cstheme="minorBidi"/>
            <w:i w:val="0"/>
            <w:iCs w:val="0"/>
            <w:noProof/>
            <w:sz w:val="22"/>
            <w:szCs w:val="22"/>
            <w:lang w:eastAsia="en-GB" w:bidi="ar-SA"/>
          </w:rPr>
          <w:tab/>
        </w:r>
        <w:r w:rsidR="000E4E06" w:rsidRPr="002240D8">
          <w:rPr>
            <w:rStyle w:val="Hyperlink"/>
            <w:noProof/>
          </w:rPr>
          <w:t>Concentration data used</w:t>
        </w:r>
        <w:r w:rsidR="000E4E06">
          <w:rPr>
            <w:noProof/>
            <w:webHidden/>
          </w:rPr>
          <w:tab/>
        </w:r>
        <w:r w:rsidR="000E4E06">
          <w:rPr>
            <w:noProof/>
            <w:webHidden/>
          </w:rPr>
          <w:fldChar w:fldCharType="begin"/>
        </w:r>
        <w:r w:rsidR="000E4E06">
          <w:rPr>
            <w:noProof/>
            <w:webHidden/>
          </w:rPr>
          <w:instrText xml:space="preserve"> PAGEREF _Toc97041630 \h </w:instrText>
        </w:r>
        <w:r w:rsidR="000E4E06">
          <w:rPr>
            <w:noProof/>
            <w:webHidden/>
          </w:rPr>
        </w:r>
        <w:r w:rsidR="000E4E06">
          <w:rPr>
            <w:noProof/>
            <w:webHidden/>
          </w:rPr>
          <w:fldChar w:fldCharType="separate"/>
        </w:r>
        <w:r w:rsidR="00A23C5C">
          <w:rPr>
            <w:noProof/>
            <w:webHidden/>
          </w:rPr>
          <w:t>24</w:t>
        </w:r>
        <w:r w:rsidR="000E4E06">
          <w:rPr>
            <w:noProof/>
            <w:webHidden/>
          </w:rPr>
          <w:fldChar w:fldCharType="end"/>
        </w:r>
      </w:hyperlink>
    </w:p>
    <w:p w14:paraId="6BEAD472" w14:textId="3D383ED6"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31" w:history="1">
        <w:r w:rsidR="000E4E06" w:rsidRPr="002240D8">
          <w:rPr>
            <w:rStyle w:val="Hyperlink"/>
            <w:noProof/>
          </w:rPr>
          <w:t>4.1.2</w:t>
        </w:r>
        <w:r w:rsidR="000E4E06">
          <w:rPr>
            <w:rFonts w:eastAsiaTheme="minorEastAsia" w:cstheme="minorBidi"/>
            <w:i w:val="0"/>
            <w:iCs w:val="0"/>
            <w:noProof/>
            <w:sz w:val="22"/>
            <w:szCs w:val="22"/>
            <w:lang w:eastAsia="en-GB" w:bidi="ar-SA"/>
          </w:rPr>
          <w:tab/>
        </w:r>
        <w:r w:rsidR="000E4E06" w:rsidRPr="002240D8">
          <w:rPr>
            <w:rStyle w:val="Hyperlink"/>
            <w:noProof/>
          </w:rPr>
          <w:t>Food consumption data used and population groups assessed</w:t>
        </w:r>
        <w:r w:rsidR="000E4E06">
          <w:rPr>
            <w:noProof/>
            <w:webHidden/>
          </w:rPr>
          <w:tab/>
        </w:r>
        <w:r w:rsidR="000E4E06">
          <w:rPr>
            <w:noProof/>
            <w:webHidden/>
          </w:rPr>
          <w:fldChar w:fldCharType="begin"/>
        </w:r>
        <w:r w:rsidR="000E4E06">
          <w:rPr>
            <w:noProof/>
            <w:webHidden/>
          </w:rPr>
          <w:instrText xml:space="preserve"> PAGEREF _Toc97041631 \h </w:instrText>
        </w:r>
        <w:r w:rsidR="000E4E06">
          <w:rPr>
            <w:noProof/>
            <w:webHidden/>
          </w:rPr>
        </w:r>
        <w:r w:rsidR="000E4E06">
          <w:rPr>
            <w:noProof/>
            <w:webHidden/>
          </w:rPr>
          <w:fldChar w:fldCharType="separate"/>
        </w:r>
        <w:r w:rsidR="00A23C5C">
          <w:rPr>
            <w:noProof/>
            <w:webHidden/>
          </w:rPr>
          <w:t>26</w:t>
        </w:r>
        <w:r w:rsidR="000E4E06">
          <w:rPr>
            <w:noProof/>
            <w:webHidden/>
          </w:rPr>
          <w:fldChar w:fldCharType="end"/>
        </w:r>
      </w:hyperlink>
    </w:p>
    <w:p w14:paraId="2AE51559" w14:textId="41DFDA24"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32" w:history="1">
        <w:r w:rsidR="000E4E06" w:rsidRPr="002240D8">
          <w:rPr>
            <w:rStyle w:val="Hyperlink"/>
            <w:noProof/>
          </w:rPr>
          <w:t>4.1.3</w:t>
        </w:r>
        <w:r w:rsidR="000E4E06">
          <w:rPr>
            <w:rFonts w:eastAsiaTheme="minorEastAsia" w:cstheme="minorBidi"/>
            <w:i w:val="0"/>
            <w:iCs w:val="0"/>
            <w:noProof/>
            <w:sz w:val="22"/>
            <w:szCs w:val="22"/>
            <w:lang w:eastAsia="en-GB" w:bidi="ar-SA"/>
          </w:rPr>
          <w:tab/>
        </w:r>
        <w:r w:rsidR="000E4E06" w:rsidRPr="002240D8">
          <w:rPr>
            <w:rStyle w:val="Hyperlink"/>
            <w:noProof/>
          </w:rPr>
          <w:t>Assumptions and limitations of the dietary exposure assessment</w:t>
        </w:r>
        <w:r w:rsidR="000E4E06">
          <w:rPr>
            <w:noProof/>
            <w:webHidden/>
          </w:rPr>
          <w:tab/>
        </w:r>
        <w:r w:rsidR="000E4E06">
          <w:rPr>
            <w:noProof/>
            <w:webHidden/>
          </w:rPr>
          <w:fldChar w:fldCharType="begin"/>
        </w:r>
        <w:r w:rsidR="000E4E06">
          <w:rPr>
            <w:noProof/>
            <w:webHidden/>
          </w:rPr>
          <w:instrText xml:space="preserve"> PAGEREF _Toc97041632 \h </w:instrText>
        </w:r>
        <w:r w:rsidR="000E4E06">
          <w:rPr>
            <w:noProof/>
            <w:webHidden/>
          </w:rPr>
        </w:r>
        <w:r w:rsidR="000E4E06">
          <w:rPr>
            <w:noProof/>
            <w:webHidden/>
          </w:rPr>
          <w:fldChar w:fldCharType="separate"/>
        </w:r>
        <w:r w:rsidR="00A23C5C">
          <w:rPr>
            <w:noProof/>
            <w:webHidden/>
          </w:rPr>
          <w:t>27</w:t>
        </w:r>
        <w:r w:rsidR="000E4E06">
          <w:rPr>
            <w:noProof/>
            <w:webHidden/>
          </w:rPr>
          <w:fldChar w:fldCharType="end"/>
        </w:r>
      </w:hyperlink>
    </w:p>
    <w:p w14:paraId="3170C6FB" w14:textId="32D160A2" w:rsidR="000E4E06" w:rsidRDefault="00A80D2A">
      <w:pPr>
        <w:pStyle w:val="TOC2"/>
        <w:rPr>
          <w:rFonts w:eastAsiaTheme="minorEastAsia" w:cstheme="minorBidi"/>
          <w:smallCaps w:val="0"/>
          <w:noProof/>
          <w:sz w:val="22"/>
          <w:szCs w:val="22"/>
          <w:lang w:eastAsia="en-GB" w:bidi="ar-SA"/>
        </w:rPr>
      </w:pPr>
      <w:hyperlink w:anchor="_Toc97041633" w:history="1">
        <w:r w:rsidR="000E4E06" w:rsidRPr="002240D8">
          <w:rPr>
            <w:rStyle w:val="Hyperlink"/>
            <w:noProof/>
          </w:rPr>
          <w:t>4.2</w:t>
        </w:r>
        <w:r w:rsidR="000E4E06">
          <w:rPr>
            <w:rFonts w:eastAsiaTheme="minorEastAsia" w:cstheme="minorBidi"/>
            <w:smallCaps w:val="0"/>
            <w:noProof/>
            <w:sz w:val="22"/>
            <w:szCs w:val="22"/>
            <w:lang w:eastAsia="en-GB" w:bidi="ar-SA"/>
          </w:rPr>
          <w:tab/>
        </w:r>
        <w:r w:rsidR="000E4E06" w:rsidRPr="002240D8">
          <w:rPr>
            <w:rStyle w:val="Hyperlink"/>
            <w:noProof/>
          </w:rPr>
          <w:t>Dietary exposure assessment results</w:t>
        </w:r>
        <w:r w:rsidR="000E4E06">
          <w:rPr>
            <w:noProof/>
            <w:webHidden/>
          </w:rPr>
          <w:tab/>
        </w:r>
        <w:r w:rsidR="000E4E06">
          <w:rPr>
            <w:noProof/>
            <w:webHidden/>
          </w:rPr>
          <w:fldChar w:fldCharType="begin"/>
        </w:r>
        <w:r w:rsidR="000E4E06">
          <w:rPr>
            <w:noProof/>
            <w:webHidden/>
          </w:rPr>
          <w:instrText xml:space="preserve"> PAGEREF _Toc97041633 \h </w:instrText>
        </w:r>
        <w:r w:rsidR="000E4E06">
          <w:rPr>
            <w:noProof/>
            <w:webHidden/>
          </w:rPr>
        </w:r>
        <w:r w:rsidR="000E4E06">
          <w:rPr>
            <w:noProof/>
            <w:webHidden/>
          </w:rPr>
          <w:fldChar w:fldCharType="separate"/>
        </w:r>
        <w:r w:rsidR="00A23C5C">
          <w:rPr>
            <w:noProof/>
            <w:webHidden/>
          </w:rPr>
          <w:t>28</w:t>
        </w:r>
        <w:r w:rsidR="000E4E06">
          <w:rPr>
            <w:noProof/>
            <w:webHidden/>
          </w:rPr>
          <w:fldChar w:fldCharType="end"/>
        </w:r>
      </w:hyperlink>
    </w:p>
    <w:p w14:paraId="4E8E683E" w14:textId="276DCD0B"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34" w:history="1">
        <w:r w:rsidR="000E4E06" w:rsidRPr="002240D8">
          <w:rPr>
            <w:rStyle w:val="Hyperlink"/>
            <w:noProof/>
          </w:rPr>
          <w:t>4.2.1</w:t>
        </w:r>
        <w:r w:rsidR="000E4E06">
          <w:rPr>
            <w:rFonts w:eastAsiaTheme="minorEastAsia" w:cstheme="minorBidi"/>
            <w:i w:val="0"/>
            <w:iCs w:val="0"/>
            <w:noProof/>
            <w:sz w:val="22"/>
            <w:szCs w:val="22"/>
            <w:lang w:eastAsia="en-GB" w:bidi="ar-SA"/>
          </w:rPr>
          <w:tab/>
        </w:r>
        <w:r w:rsidR="000E4E06" w:rsidRPr="002240D8">
          <w:rPr>
            <w:rStyle w:val="Hyperlink"/>
            <w:noProof/>
          </w:rPr>
          <w:t>CPC</w:t>
        </w:r>
        <w:r w:rsidR="000E4E06">
          <w:rPr>
            <w:noProof/>
            <w:webHidden/>
          </w:rPr>
          <w:tab/>
        </w:r>
        <w:r w:rsidR="000E4E06">
          <w:rPr>
            <w:noProof/>
            <w:webHidden/>
          </w:rPr>
          <w:fldChar w:fldCharType="begin"/>
        </w:r>
        <w:r w:rsidR="000E4E06">
          <w:rPr>
            <w:noProof/>
            <w:webHidden/>
          </w:rPr>
          <w:instrText xml:space="preserve"> PAGEREF _Toc97041634 \h </w:instrText>
        </w:r>
        <w:r w:rsidR="000E4E06">
          <w:rPr>
            <w:noProof/>
            <w:webHidden/>
          </w:rPr>
        </w:r>
        <w:r w:rsidR="000E4E06">
          <w:rPr>
            <w:noProof/>
            <w:webHidden/>
          </w:rPr>
          <w:fldChar w:fldCharType="separate"/>
        </w:r>
        <w:r w:rsidR="00A23C5C">
          <w:rPr>
            <w:noProof/>
            <w:webHidden/>
          </w:rPr>
          <w:t>28</w:t>
        </w:r>
        <w:r w:rsidR="000E4E06">
          <w:rPr>
            <w:noProof/>
            <w:webHidden/>
          </w:rPr>
          <w:fldChar w:fldCharType="end"/>
        </w:r>
      </w:hyperlink>
    </w:p>
    <w:p w14:paraId="4842034A" w14:textId="776686DB"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35" w:history="1">
        <w:r w:rsidR="000E4E06" w:rsidRPr="002240D8">
          <w:rPr>
            <w:rStyle w:val="Hyperlink"/>
            <w:noProof/>
          </w:rPr>
          <w:t>4.2.2</w:t>
        </w:r>
        <w:r w:rsidR="000E4E06">
          <w:rPr>
            <w:rFonts w:eastAsiaTheme="minorEastAsia" w:cstheme="minorBidi"/>
            <w:i w:val="0"/>
            <w:iCs w:val="0"/>
            <w:noProof/>
            <w:sz w:val="22"/>
            <w:szCs w:val="22"/>
            <w:lang w:eastAsia="en-GB" w:bidi="ar-SA"/>
          </w:rPr>
          <w:tab/>
        </w:r>
        <w:r w:rsidR="000E4E06" w:rsidRPr="002240D8">
          <w:rPr>
            <w:rStyle w:val="Hyperlink"/>
            <w:noProof/>
          </w:rPr>
          <w:t>Propylene Glycol</w:t>
        </w:r>
        <w:r w:rsidR="000E4E06">
          <w:rPr>
            <w:noProof/>
            <w:webHidden/>
          </w:rPr>
          <w:tab/>
        </w:r>
        <w:r w:rsidR="000E4E06">
          <w:rPr>
            <w:noProof/>
            <w:webHidden/>
          </w:rPr>
          <w:fldChar w:fldCharType="begin"/>
        </w:r>
        <w:r w:rsidR="000E4E06">
          <w:rPr>
            <w:noProof/>
            <w:webHidden/>
          </w:rPr>
          <w:instrText xml:space="preserve"> PAGEREF _Toc97041635 \h </w:instrText>
        </w:r>
        <w:r w:rsidR="000E4E06">
          <w:rPr>
            <w:noProof/>
            <w:webHidden/>
          </w:rPr>
        </w:r>
        <w:r w:rsidR="000E4E06">
          <w:rPr>
            <w:noProof/>
            <w:webHidden/>
          </w:rPr>
          <w:fldChar w:fldCharType="separate"/>
        </w:r>
        <w:r w:rsidR="00A23C5C">
          <w:rPr>
            <w:noProof/>
            <w:webHidden/>
          </w:rPr>
          <w:t>29</w:t>
        </w:r>
        <w:r w:rsidR="000E4E06">
          <w:rPr>
            <w:noProof/>
            <w:webHidden/>
          </w:rPr>
          <w:fldChar w:fldCharType="end"/>
        </w:r>
      </w:hyperlink>
    </w:p>
    <w:p w14:paraId="278515E3" w14:textId="101A1287" w:rsidR="000E4E06" w:rsidRDefault="00A80D2A">
      <w:pPr>
        <w:pStyle w:val="TOC1"/>
        <w:rPr>
          <w:rFonts w:eastAsiaTheme="minorEastAsia" w:cstheme="minorBidi"/>
          <w:b w:val="0"/>
          <w:bCs w:val="0"/>
          <w:caps w:val="0"/>
          <w:noProof/>
          <w:sz w:val="22"/>
          <w:szCs w:val="22"/>
          <w:lang w:eastAsia="en-GB" w:bidi="ar-SA"/>
        </w:rPr>
      </w:pPr>
      <w:hyperlink w:anchor="_Toc97041636" w:history="1">
        <w:r w:rsidR="000E4E06" w:rsidRPr="002240D8">
          <w:rPr>
            <w:rStyle w:val="Hyperlink"/>
            <w:noProof/>
          </w:rPr>
          <w:t xml:space="preserve">5 </w:t>
        </w:r>
        <w:r w:rsidR="000E4E06">
          <w:rPr>
            <w:rFonts w:eastAsiaTheme="minorEastAsia" w:cstheme="minorBidi"/>
            <w:b w:val="0"/>
            <w:bCs w:val="0"/>
            <w:caps w:val="0"/>
            <w:noProof/>
            <w:sz w:val="22"/>
            <w:szCs w:val="22"/>
            <w:lang w:eastAsia="en-GB" w:bidi="ar-SA"/>
          </w:rPr>
          <w:tab/>
        </w:r>
        <w:r w:rsidR="000E4E06" w:rsidRPr="002240D8">
          <w:rPr>
            <w:rStyle w:val="Hyperlink"/>
            <w:noProof/>
          </w:rPr>
          <w:t>Risk characterisation</w:t>
        </w:r>
        <w:r w:rsidR="000E4E06">
          <w:rPr>
            <w:noProof/>
            <w:webHidden/>
          </w:rPr>
          <w:tab/>
        </w:r>
        <w:r w:rsidR="000E4E06">
          <w:rPr>
            <w:noProof/>
            <w:webHidden/>
          </w:rPr>
          <w:fldChar w:fldCharType="begin"/>
        </w:r>
        <w:r w:rsidR="000E4E06">
          <w:rPr>
            <w:noProof/>
            <w:webHidden/>
          </w:rPr>
          <w:instrText xml:space="preserve"> PAGEREF _Toc97041636 \h </w:instrText>
        </w:r>
        <w:r w:rsidR="000E4E06">
          <w:rPr>
            <w:noProof/>
            <w:webHidden/>
          </w:rPr>
        </w:r>
        <w:r w:rsidR="000E4E06">
          <w:rPr>
            <w:noProof/>
            <w:webHidden/>
          </w:rPr>
          <w:fldChar w:fldCharType="separate"/>
        </w:r>
        <w:r w:rsidR="00A23C5C">
          <w:rPr>
            <w:noProof/>
            <w:webHidden/>
          </w:rPr>
          <w:t>30</w:t>
        </w:r>
        <w:r w:rsidR="000E4E06">
          <w:rPr>
            <w:noProof/>
            <w:webHidden/>
          </w:rPr>
          <w:fldChar w:fldCharType="end"/>
        </w:r>
      </w:hyperlink>
    </w:p>
    <w:p w14:paraId="37A55D70" w14:textId="33077344" w:rsidR="000E4E06" w:rsidRDefault="00A80D2A">
      <w:pPr>
        <w:pStyle w:val="TOC2"/>
        <w:rPr>
          <w:rFonts w:eastAsiaTheme="minorEastAsia" w:cstheme="minorBidi"/>
          <w:smallCaps w:val="0"/>
          <w:noProof/>
          <w:sz w:val="22"/>
          <w:szCs w:val="22"/>
          <w:lang w:eastAsia="en-GB" w:bidi="ar-SA"/>
        </w:rPr>
      </w:pPr>
      <w:hyperlink w:anchor="_Toc97041637" w:history="1">
        <w:r w:rsidR="000E4E06" w:rsidRPr="002240D8">
          <w:rPr>
            <w:rStyle w:val="Hyperlink"/>
            <w:noProof/>
          </w:rPr>
          <w:t>5.1</w:t>
        </w:r>
        <w:r w:rsidR="000E4E06">
          <w:rPr>
            <w:rFonts w:eastAsiaTheme="minorEastAsia" w:cstheme="minorBidi"/>
            <w:smallCaps w:val="0"/>
            <w:noProof/>
            <w:sz w:val="22"/>
            <w:szCs w:val="22"/>
            <w:lang w:eastAsia="en-GB" w:bidi="ar-SA"/>
          </w:rPr>
          <w:tab/>
        </w:r>
        <w:r w:rsidR="000E4E06" w:rsidRPr="002240D8">
          <w:rPr>
            <w:rStyle w:val="Hyperlink"/>
            <w:noProof/>
          </w:rPr>
          <w:t>CPC</w:t>
        </w:r>
        <w:r w:rsidR="000E4E06">
          <w:rPr>
            <w:noProof/>
            <w:webHidden/>
          </w:rPr>
          <w:tab/>
        </w:r>
        <w:r w:rsidR="000E4E06">
          <w:rPr>
            <w:noProof/>
            <w:webHidden/>
          </w:rPr>
          <w:fldChar w:fldCharType="begin"/>
        </w:r>
        <w:r w:rsidR="000E4E06">
          <w:rPr>
            <w:noProof/>
            <w:webHidden/>
          </w:rPr>
          <w:instrText xml:space="preserve"> PAGEREF _Toc97041637 \h </w:instrText>
        </w:r>
        <w:r w:rsidR="000E4E06">
          <w:rPr>
            <w:noProof/>
            <w:webHidden/>
          </w:rPr>
        </w:r>
        <w:r w:rsidR="000E4E06">
          <w:rPr>
            <w:noProof/>
            <w:webHidden/>
          </w:rPr>
          <w:fldChar w:fldCharType="separate"/>
        </w:r>
        <w:r w:rsidR="00A23C5C">
          <w:rPr>
            <w:noProof/>
            <w:webHidden/>
          </w:rPr>
          <w:t>30</w:t>
        </w:r>
        <w:r w:rsidR="000E4E06">
          <w:rPr>
            <w:noProof/>
            <w:webHidden/>
          </w:rPr>
          <w:fldChar w:fldCharType="end"/>
        </w:r>
      </w:hyperlink>
    </w:p>
    <w:p w14:paraId="5DFE5F76" w14:textId="77D2C5CD" w:rsidR="000E4E06" w:rsidRDefault="00A80D2A">
      <w:pPr>
        <w:pStyle w:val="TOC2"/>
        <w:rPr>
          <w:rFonts w:eastAsiaTheme="minorEastAsia" w:cstheme="minorBidi"/>
          <w:smallCaps w:val="0"/>
          <w:noProof/>
          <w:sz w:val="22"/>
          <w:szCs w:val="22"/>
          <w:lang w:eastAsia="en-GB" w:bidi="ar-SA"/>
        </w:rPr>
      </w:pPr>
      <w:hyperlink w:anchor="_Toc97041638" w:history="1">
        <w:r w:rsidR="000E4E06" w:rsidRPr="002240D8">
          <w:rPr>
            <w:rStyle w:val="Hyperlink"/>
            <w:noProof/>
          </w:rPr>
          <w:t>5.2</w:t>
        </w:r>
        <w:r w:rsidR="000E4E06">
          <w:rPr>
            <w:rFonts w:eastAsiaTheme="minorEastAsia" w:cstheme="minorBidi"/>
            <w:smallCaps w:val="0"/>
            <w:noProof/>
            <w:sz w:val="22"/>
            <w:szCs w:val="22"/>
            <w:lang w:eastAsia="en-GB" w:bidi="ar-SA"/>
          </w:rPr>
          <w:tab/>
        </w:r>
        <w:r w:rsidR="000E4E06" w:rsidRPr="002240D8">
          <w:rPr>
            <w:rStyle w:val="Hyperlink"/>
            <w:noProof/>
          </w:rPr>
          <w:t>Propylene glycol</w:t>
        </w:r>
        <w:r w:rsidR="000E4E06">
          <w:rPr>
            <w:noProof/>
            <w:webHidden/>
          </w:rPr>
          <w:tab/>
        </w:r>
        <w:r w:rsidR="000E4E06">
          <w:rPr>
            <w:noProof/>
            <w:webHidden/>
          </w:rPr>
          <w:fldChar w:fldCharType="begin"/>
        </w:r>
        <w:r w:rsidR="000E4E06">
          <w:rPr>
            <w:noProof/>
            <w:webHidden/>
          </w:rPr>
          <w:instrText xml:space="preserve"> PAGEREF _Toc97041638 \h </w:instrText>
        </w:r>
        <w:r w:rsidR="000E4E06">
          <w:rPr>
            <w:noProof/>
            <w:webHidden/>
          </w:rPr>
        </w:r>
        <w:r w:rsidR="000E4E06">
          <w:rPr>
            <w:noProof/>
            <w:webHidden/>
          </w:rPr>
          <w:fldChar w:fldCharType="separate"/>
        </w:r>
        <w:r w:rsidR="00A23C5C">
          <w:rPr>
            <w:noProof/>
            <w:webHidden/>
          </w:rPr>
          <w:t>31</w:t>
        </w:r>
        <w:r w:rsidR="000E4E06">
          <w:rPr>
            <w:noProof/>
            <w:webHidden/>
          </w:rPr>
          <w:fldChar w:fldCharType="end"/>
        </w:r>
      </w:hyperlink>
    </w:p>
    <w:p w14:paraId="02A1208A" w14:textId="1DEA0C98" w:rsidR="000E4E06" w:rsidRDefault="00A80D2A">
      <w:pPr>
        <w:pStyle w:val="TOC2"/>
        <w:rPr>
          <w:rFonts w:eastAsiaTheme="minorEastAsia" w:cstheme="minorBidi"/>
          <w:smallCaps w:val="0"/>
          <w:noProof/>
          <w:sz w:val="22"/>
          <w:szCs w:val="22"/>
          <w:lang w:eastAsia="en-GB" w:bidi="ar-SA"/>
        </w:rPr>
      </w:pPr>
      <w:hyperlink w:anchor="_Toc97041639" w:history="1">
        <w:r w:rsidR="000E4E06" w:rsidRPr="002240D8">
          <w:rPr>
            <w:rStyle w:val="Hyperlink"/>
            <w:noProof/>
          </w:rPr>
          <w:t>5.3</w:t>
        </w:r>
        <w:r w:rsidR="000E4E06">
          <w:rPr>
            <w:rFonts w:eastAsiaTheme="minorEastAsia" w:cstheme="minorBidi"/>
            <w:smallCaps w:val="0"/>
            <w:noProof/>
            <w:sz w:val="22"/>
            <w:szCs w:val="22"/>
            <w:lang w:eastAsia="en-GB" w:bidi="ar-SA"/>
          </w:rPr>
          <w:tab/>
        </w:r>
        <w:r w:rsidR="000E4E06" w:rsidRPr="002240D8">
          <w:rPr>
            <w:rStyle w:val="Hyperlink"/>
            <w:noProof/>
          </w:rPr>
          <w:t>Conclusions from the risk characterisation</w:t>
        </w:r>
        <w:r w:rsidR="000E4E06">
          <w:rPr>
            <w:noProof/>
            <w:webHidden/>
          </w:rPr>
          <w:tab/>
        </w:r>
        <w:r w:rsidR="000E4E06">
          <w:rPr>
            <w:noProof/>
            <w:webHidden/>
          </w:rPr>
          <w:fldChar w:fldCharType="begin"/>
        </w:r>
        <w:r w:rsidR="000E4E06">
          <w:rPr>
            <w:noProof/>
            <w:webHidden/>
          </w:rPr>
          <w:instrText xml:space="preserve"> PAGEREF _Toc97041639 \h </w:instrText>
        </w:r>
        <w:r w:rsidR="000E4E06">
          <w:rPr>
            <w:noProof/>
            <w:webHidden/>
          </w:rPr>
        </w:r>
        <w:r w:rsidR="000E4E06">
          <w:rPr>
            <w:noProof/>
            <w:webHidden/>
          </w:rPr>
          <w:fldChar w:fldCharType="separate"/>
        </w:r>
        <w:r w:rsidR="00A23C5C">
          <w:rPr>
            <w:noProof/>
            <w:webHidden/>
          </w:rPr>
          <w:t>33</w:t>
        </w:r>
        <w:r w:rsidR="000E4E06">
          <w:rPr>
            <w:noProof/>
            <w:webHidden/>
          </w:rPr>
          <w:fldChar w:fldCharType="end"/>
        </w:r>
      </w:hyperlink>
    </w:p>
    <w:p w14:paraId="7A6A0C78" w14:textId="6E5D6920"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40" w:history="1">
        <w:r w:rsidR="000E4E06" w:rsidRPr="002240D8">
          <w:rPr>
            <w:rStyle w:val="Hyperlink"/>
            <w:noProof/>
          </w:rPr>
          <w:t>5.3.1</w:t>
        </w:r>
        <w:r w:rsidR="000E4E06">
          <w:rPr>
            <w:rFonts w:eastAsiaTheme="minorEastAsia" w:cstheme="minorBidi"/>
            <w:i w:val="0"/>
            <w:iCs w:val="0"/>
            <w:noProof/>
            <w:sz w:val="22"/>
            <w:szCs w:val="22"/>
            <w:lang w:eastAsia="en-GB" w:bidi="ar-SA"/>
          </w:rPr>
          <w:tab/>
        </w:r>
        <w:r w:rsidR="000E4E06" w:rsidRPr="002240D8">
          <w:rPr>
            <w:rStyle w:val="Hyperlink"/>
            <w:noProof/>
          </w:rPr>
          <w:t>CPC</w:t>
        </w:r>
        <w:r w:rsidR="000E4E06">
          <w:rPr>
            <w:noProof/>
            <w:webHidden/>
          </w:rPr>
          <w:tab/>
        </w:r>
        <w:r w:rsidR="000E4E06">
          <w:rPr>
            <w:noProof/>
            <w:webHidden/>
          </w:rPr>
          <w:fldChar w:fldCharType="begin"/>
        </w:r>
        <w:r w:rsidR="000E4E06">
          <w:rPr>
            <w:noProof/>
            <w:webHidden/>
          </w:rPr>
          <w:instrText xml:space="preserve"> PAGEREF _Toc97041640 \h </w:instrText>
        </w:r>
        <w:r w:rsidR="000E4E06">
          <w:rPr>
            <w:noProof/>
            <w:webHidden/>
          </w:rPr>
        </w:r>
        <w:r w:rsidR="000E4E06">
          <w:rPr>
            <w:noProof/>
            <w:webHidden/>
          </w:rPr>
          <w:fldChar w:fldCharType="separate"/>
        </w:r>
        <w:r w:rsidR="00A23C5C">
          <w:rPr>
            <w:noProof/>
            <w:webHidden/>
          </w:rPr>
          <w:t>33</w:t>
        </w:r>
        <w:r w:rsidR="000E4E06">
          <w:rPr>
            <w:noProof/>
            <w:webHidden/>
          </w:rPr>
          <w:fldChar w:fldCharType="end"/>
        </w:r>
      </w:hyperlink>
    </w:p>
    <w:p w14:paraId="516D5C98" w14:textId="74ECF492" w:rsidR="000E4E06" w:rsidRDefault="00A80D2A">
      <w:pPr>
        <w:pStyle w:val="TOC3"/>
        <w:tabs>
          <w:tab w:val="left" w:pos="1100"/>
          <w:tab w:val="right" w:leader="dot" w:pos="9060"/>
        </w:tabs>
        <w:rPr>
          <w:rFonts w:eastAsiaTheme="minorEastAsia" w:cstheme="minorBidi"/>
          <w:i w:val="0"/>
          <w:iCs w:val="0"/>
          <w:noProof/>
          <w:sz w:val="22"/>
          <w:szCs w:val="22"/>
          <w:lang w:eastAsia="en-GB" w:bidi="ar-SA"/>
        </w:rPr>
      </w:pPr>
      <w:hyperlink w:anchor="_Toc97041641" w:history="1">
        <w:r w:rsidR="000E4E06" w:rsidRPr="002240D8">
          <w:rPr>
            <w:rStyle w:val="Hyperlink"/>
            <w:noProof/>
          </w:rPr>
          <w:t>5.3.2</w:t>
        </w:r>
        <w:r w:rsidR="000E4E06">
          <w:rPr>
            <w:rFonts w:eastAsiaTheme="minorEastAsia" w:cstheme="minorBidi"/>
            <w:i w:val="0"/>
            <w:iCs w:val="0"/>
            <w:noProof/>
            <w:sz w:val="22"/>
            <w:szCs w:val="22"/>
            <w:lang w:eastAsia="en-GB" w:bidi="ar-SA"/>
          </w:rPr>
          <w:tab/>
        </w:r>
        <w:r w:rsidR="000E4E06" w:rsidRPr="002240D8">
          <w:rPr>
            <w:rStyle w:val="Hyperlink"/>
            <w:noProof/>
          </w:rPr>
          <w:t>Propylene glycol</w:t>
        </w:r>
        <w:r w:rsidR="000E4E06">
          <w:rPr>
            <w:noProof/>
            <w:webHidden/>
          </w:rPr>
          <w:tab/>
        </w:r>
        <w:r w:rsidR="000E4E06">
          <w:rPr>
            <w:noProof/>
            <w:webHidden/>
          </w:rPr>
          <w:fldChar w:fldCharType="begin"/>
        </w:r>
        <w:r w:rsidR="000E4E06">
          <w:rPr>
            <w:noProof/>
            <w:webHidden/>
          </w:rPr>
          <w:instrText xml:space="preserve"> PAGEREF _Toc97041641 \h </w:instrText>
        </w:r>
        <w:r w:rsidR="000E4E06">
          <w:rPr>
            <w:noProof/>
            <w:webHidden/>
          </w:rPr>
        </w:r>
        <w:r w:rsidR="000E4E06">
          <w:rPr>
            <w:noProof/>
            <w:webHidden/>
          </w:rPr>
          <w:fldChar w:fldCharType="separate"/>
        </w:r>
        <w:r w:rsidR="00A23C5C">
          <w:rPr>
            <w:noProof/>
            <w:webHidden/>
          </w:rPr>
          <w:t>33</w:t>
        </w:r>
        <w:r w:rsidR="000E4E06">
          <w:rPr>
            <w:noProof/>
            <w:webHidden/>
          </w:rPr>
          <w:fldChar w:fldCharType="end"/>
        </w:r>
      </w:hyperlink>
    </w:p>
    <w:p w14:paraId="6B860D81" w14:textId="66469643" w:rsidR="000E4E06" w:rsidRDefault="00A80D2A">
      <w:pPr>
        <w:pStyle w:val="TOC1"/>
        <w:rPr>
          <w:rFonts w:eastAsiaTheme="minorEastAsia" w:cstheme="minorBidi"/>
          <w:b w:val="0"/>
          <w:bCs w:val="0"/>
          <w:caps w:val="0"/>
          <w:noProof/>
          <w:sz w:val="22"/>
          <w:szCs w:val="22"/>
          <w:lang w:eastAsia="en-GB" w:bidi="ar-SA"/>
        </w:rPr>
      </w:pPr>
      <w:hyperlink w:anchor="_Toc97041642" w:history="1">
        <w:r w:rsidR="000E4E06" w:rsidRPr="002240D8">
          <w:rPr>
            <w:rStyle w:val="Hyperlink"/>
            <w:noProof/>
          </w:rPr>
          <w:t xml:space="preserve">6 </w:t>
        </w:r>
        <w:r w:rsidR="000E4E06">
          <w:rPr>
            <w:rFonts w:eastAsiaTheme="minorEastAsia" w:cstheme="minorBidi"/>
            <w:b w:val="0"/>
            <w:bCs w:val="0"/>
            <w:caps w:val="0"/>
            <w:noProof/>
            <w:sz w:val="22"/>
            <w:szCs w:val="22"/>
            <w:lang w:eastAsia="en-GB" w:bidi="ar-SA"/>
          </w:rPr>
          <w:tab/>
        </w:r>
        <w:r w:rsidR="000E4E06" w:rsidRPr="002240D8">
          <w:rPr>
            <w:rStyle w:val="Hyperlink"/>
            <w:noProof/>
          </w:rPr>
          <w:t>Conclusions from the risk and technical assessment</w:t>
        </w:r>
        <w:r w:rsidR="000E4E06">
          <w:rPr>
            <w:noProof/>
            <w:webHidden/>
          </w:rPr>
          <w:tab/>
        </w:r>
        <w:r w:rsidR="000E4E06">
          <w:rPr>
            <w:noProof/>
            <w:webHidden/>
          </w:rPr>
          <w:fldChar w:fldCharType="begin"/>
        </w:r>
        <w:r w:rsidR="000E4E06">
          <w:rPr>
            <w:noProof/>
            <w:webHidden/>
          </w:rPr>
          <w:instrText xml:space="preserve"> PAGEREF _Toc97041642 \h </w:instrText>
        </w:r>
        <w:r w:rsidR="000E4E06">
          <w:rPr>
            <w:noProof/>
            <w:webHidden/>
          </w:rPr>
        </w:r>
        <w:r w:rsidR="000E4E06">
          <w:rPr>
            <w:noProof/>
            <w:webHidden/>
          </w:rPr>
          <w:fldChar w:fldCharType="separate"/>
        </w:r>
        <w:r w:rsidR="00A23C5C">
          <w:rPr>
            <w:noProof/>
            <w:webHidden/>
          </w:rPr>
          <w:t>33</w:t>
        </w:r>
        <w:r w:rsidR="000E4E06">
          <w:rPr>
            <w:noProof/>
            <w:webHidden/>
          </w:rPr>
          <w:fldChar w:fldCharType="end"/>
        </w:r>
      </w:hyperlink>
    </w:p>
    <w:p w14:paraId="10C10959" w14:textId="38452931" w:rsidR="000E4E06" w:rsidRDefault="00A80D2A">
      <w:pPr>
        <w:pStyle w:val="TOC1"/>
        <w:rPr>
          <w:rFonts w:eastAsiaTheme="minorEastAsia" w:cstheme="minorBidi"/>
          <w:b w:val="0"/>
          <w:bCs w:val="0"/>
          <w:caps w:val="0"/>
          <w:noProof/>
          <w:sz w:val="22"/>
          <w:szCs w:val="22"/>
          <w:lang w:eastAsia="en-GB" w:bidi="ar-SA"/>
        </w:rPr>
      </w:pPr>
      <w:hyperlink w:anchor="_Toc97041643" w:history="1">
        <w:r w:rsidR="000E4E06" w:rsidRPr="002240D8">
          <w:rPr>
            <w:rStyle w:val="Hyperlink"/>
            <w:noProof/>
          </w:rPr>
          <w:t xml:space="preserve">7 </w:t>
        </w:r>
        <w:r w:rsidR="000E4E06">
          <w:rPr>
            <w:rFonts w:eastAsiaTheme="minorEastAsia" w:cstheme="minorBidi"/>
            <w:b w:val="0"/>
            <w:bCs w:val="0"/>
            <w:caps w:val="0"/>
            <w:noProof/>
            <w:sz w:val="22"/>
            <w:szCs w:val="22"/>
            <w:lang w:eastAsia="en-GB" w:bidi="ar-SA"/>
          </w:rPr>
          <w:tab/>
        </w:r>
        <w:r w:rsidR="000E4E06" w:rsidRPr="002240D8">
          <w:rPr>
            <w:rStyle w:val="Hyperlink"/>
            <w:noProof/>
          </w:rPr>
          <w:t>References</w:t>
        </w:r>
        <w:r w:rsidR="000E4E06">
          <w:rPr>
            <w:noProof/>
            <w:webHidden/>
          </w:rPr>
          <w:tab/>
        </w:r>
        <w:r w:rsidR="000E4E06">
          <w:rPr>
            <w:noProof/>
            <w:webHidden/>
          </w:rPr>
          <w:fldChar w:fldCharType="begin"/>
        </w:r>
        <w:r w:rsidR="000E4E06">
          <w:rPr>
            <w:noProof/>
            <w:webHidden/>
          </w:rPr>
          <w:instrText xml:space="preserve"> PAGEREF _Toc97041643 \h </w:instrText>
        </w:r>
        <w:r w:rsidR="000E4E06">
          <w:rPr>
            <w:noProof/>
            <w:webHidden/>
          </w:rPr>
        </w:r>
        <w:r w:rsidR="000E4E06">
          <w:rPr>
            <w:noProof/>
            <w:webHidden/>
          </w:rPr>
          <w:fldChar w:fldCharType="separate"/>
        </w:r>
        <w:r w:rsidR="00A23C5C">
          <w:rPr>
            <w:noProof/>
            <w:webHidden/>
          </w:rPr>
          <w:t>33</w:t>
        </w:r>
        <w:r w:rsidR="000E4E06">
          <w:rPr>
            <w:noProof/>
            <w:webHidden/>
          </w:rPr>
          <w:fldChar w:fldCharType="end"/>
        </w:r>
      </w:hyperlink>
    </w:p>
    <w:p w14:paraId="58905BFE" w14:textId="3C8EC389" w:rsidR="000E4E06" w:rsidRDefault="00A80D2A">
      <w:pPr>
        <w:pStyle w:val="TOC1"/>
        <w:rPr>
          <w:rFonts w:eastAsiaTheme="minorEastAsia" w:cstheme="minorBidi"/>
          <w:b w:val="0"/>
          <w:bCs w:val="0"/>
          <w:caps w:val="0"/>
          <w:noProof/>
          <w:sz w:val="22"/>
          <w:szCs w:val="22"/>
          <w:lang w:eastAsia="en-GB" w:bidi="ar-SA"/>
        </w:rPr>
      </w:pPr>
      <w:hyperlink w:anchor="_Toc97041644" w:history="1">
        <w:r w:rsidR="000E4E06" w:rsidRPr="002240D8">
          <w:rPr>
            <w:rStyle w:val="Hyperlink"/>
            <w:noProof/>
          </w:rPr>
          <w:t>Appendix 1: Dietary Exposure Assessments at FSANZ</w:t>
        </w:r>
        <w:r w:rsidR="000E4E06">
          <w:rPr>
            <w:noProof/>
            <w:webHidden/>
          </w:rPr>
          <w:tab/>
        </w:r>
        <w:r w:rsidR="000E4E06">
          <w:rPr>
            <w:noProof/>
            <w:webHidden/>
          </w:rPr>
          <w:fldChar w:fldCharType="begin"/>
        </w:r>
        <w:r w:rsidR="000E4E06">
          <w:rPr>
            <w:noProof/>
            <w:webHidden/>
          </w:rPr>
          <w:instrText xml:space="preserve"> PAGEREF _Toc97041644 \h </w:instrText>
        </w:r>
        <w:r w:rsidR="000E4E06">
          <w:rPr>
            <w:noProof/>
            <w:webHidden/>
          </w:rPr>
        </w:r>
        <w:r w:rsidR="000E4E06">
          <w:rPr>
            <w:noProof/>
            <w:webHidden/>
          </w:rPr>
          <w:fldChar w:fldCharType="separate"/>
        </w:r>
        <w:r w:rsidR="00A23C5C">
          <w:rPr>
            <w:noProof/>
            <w:webHidden/>
          </w:rPr>
          <w:t>39</w:t>
        </w:r>
        <w:r w:rsidR="000E4E06">
          <w:rPr>
            <w:noProof/>
            <w:webHidden/>
          </w:rPr>
          <w:fldChar w:fldCharType="end"/>
        </w:r>
      </w:hyperlink>
    </w:p>
    <w:p w14:paraId="3526161C" w14:textId="1D9311C4" w:rsidR="000E4E06" w:rsidRDefault="00A80D2A">
      <w:pPr>
        <w:pStyle w:val="TOC2"/>
        <w:rPr>
          <w:rFonts w:eastAsiaTheme="minorEastAsia" w:cstheme="minorBidi"/>
          <w:smallCaps w:val="0"/>
          <w:noProof/>
          <w:sz w:val="22"/>
          <w:szCs w:val="22"/>
          <w:lang w:eastAsia="en-GB" w:bidi="ar-SA"/>
        </w:rPr>
      </w:pPr>
      <w:hyperlink w:anchor="_Toc97041645" w:history="1">
        <w:r w:rsidR="000E4E06" w:rsidRPr="002240D8">
          <w:rPr>
            <w:rStyle w:val="Hyperlink"/>
            <w:noProof/>
          </w:rPr>
          <w:t>A1.1</w:t>
        </w:r>
        <w:r w:rsidR="000E4E06">
          <w:rPr>
            <w:rFonts w:eastAsiaTheme="minorEastAsia" w:cstheme="minorBidi"/>
            <w:smallCaps w:val="0"/>
            <w:noProof/>
            <w:sz w:val="22"/>
            <w:szCs w:val="22"/>
            <w:lang w:eastAsia="en-GB" w:bidi="ar-SA"/>
          </w:rPr>
          <w:tab/>
        </w:r>
        <w:r w:rsidR="000E4E06" w:rsidRPr="002240D8">
          <w:rPr>
            <w:rStyle w:val="Hyperlink"/>
            <w:noProof/>
          </w:rPr>
          <w:t>Food consumption data used</w:t>
        </w:r>
        <w:r w:rsidR="000E4E06">
          <w:rPr>
            <w:noProof/>
            <w:webHidden/>
          </w:rPr>
          <w:tab/>
        </w:r>
        <w:r w:rsidR="000E4E06">
          <w:rPr>
            <w:noProof/>
            <w:webHidden/>
          </w:rPr>
          <w:fldChar w:fldCharType="begin"/>
        </w:r>
        <w:r w:rsidR="000E4E06">
          <w:rPr>
            <w:noProof/>
            <w:webHidden/>
          </w:rPr>
          <w:instrText xml:space="preserve"> PAGEREF _Toc97041645 \h </w:instrText>
        </w:r>
        <w:r w:rsidR="000E4E06">
          <w:rPr>
            <w:noProof/>
            <w:webHidden/>
          </w:rPr>
        </w:r>
        <w:r w:rsidR="000E4E06">
          <w:rPr>
            <w:noProof/>
            <w:webHidden/>
          </w:rPr>
          <w:fldChar w:fldCharType="separate"/>
        </w:r>
        <w:r w:rsidR="00A23C5C">
          <w:rPr>
            <w:noProof/>
            <w:webHidden/>
          </w:rPr>
          <w:t>39</w:t>
        </w:r>
        <w:r w:rsidR="000E4E06">
          <w:rPr>
            <w:noProof/>
            <w:webHidden/>
          </w:rPr>
          <w:fldChar w:fldCharType="end"/>
        </w:r>
      </w:hyperlink>
    </w:p>
    <w:p w14:paraId="112B0D29" w14:textId="71912D7B" w:rsidR="000E4E06" w:rsidRDefault="00A80D2A">
      <w:pPr>
        <w:pStyle w:val="TOC3"/>
        <w:tabs>
          <w:tab w:val="left" w:pos="1320"/>
          <w:tab w:val="right" w:leader="dot" w:pos="9060"/>
        </w:tabs>
        <w:rPr>
          <w:rFonts w:eastAsiaTheme="minorEastAsia" w:cstheme="minorBidi"/>
          <w:i w:val="0"/>
          <w:iCs w:val="0"/>
          <w:noProof/>
          <w:sz w:val="22"/>
          <w:szCs w:val="22"/>
          <w:lang w:eastAsia="en-GB" w:bidi="ar-SA"/>
        </w:rPr>
      </w:pPr>
      <w:hyperlink w:anchor="_Toc97041646" w:history="1">
        <w:r w:rsidR="000E4E06" w:rsidRPr="002240D8">
          <w:rPr>
            <w:rStyle w:val="Hyperlink"/>
            <w:noProof/>
          </w:rPr>
          <w:t>A1.1.1</w:t>
        </w:r>
        <w:r w:rsidR="000E4E06">
          <w:rPr>
            <w:rFonts w:eastAsiaTheme="minorEastAsia" w:cstheme="minorBidi"/>
            <w:i w:val="0"/>
            <w:iCs w:val="0"/>
            <w:noProof/>
            <w:sz w:val="22"/>
            <w:szCs w:val="22"/>
            <w:lang w:eastAsia="en-GB" w:bidi="ar-SA"/>
          </w:rPr>
          <w:tab/>
        </w:r>
        <w:r w:rsidR="000E4E06" w:rsidRPr="002240D8">
          <w:rPr>
            <w:rStyle w:val="Hyperlink"/>
            <w:noProof/>
          </w:rPr>
          <w:t>2011–12 Australian National Nutrition and Physical Activity Survey (2011-12 NNPAS)</w:t>
        </w:r>
        <w:r w:rsidR="000E4E06">
          <w:rPr>
            <w:noProof/>
            <w:webHidden/>
          </w:rPr>
          <w:tab/>
        </w:r>
        <w:r w:rsidR="000E4E06">
          <w:rPr>
            <w:noProof/>
            <w:webHidden/>
          </w:rPr>
          <w:fldChar w:fldCharType="begin"/>
        </w:r>
        <w:r w:rsidR="000E4E06">
          <w:rPr>
            <w:noProof/>
            <w:webHidden/>
          </w:rPr>
          <w:instrText xml:space="preserve"> PAGEREF _Toc97041646 \h </w:instrText>
        </w:r>
        <w:r w:rsidR="000E4E06">
          <w:rPr>
            <w:noProof/>
            <w:webHidden/>
          </w:rPr>
        </w:r>
        <w:r w:rsidR="000E4E06">
          <w:rPr>
            <w:noProof/>
            <w:webHidden/>
          </w:rPr>
          <w:fldChar w:fldCharType="separate"/>
        </w:r>
        <w:r w:rsidR="00A23C5C">
          <w:rPr>
            <w:noProof/>
            <w:webHidden/>
          </w:rPr>
          <w:t>40</w:t>
        </w:r>
        <w:r w:rsidR="000E4E06">
          <w:rPr>
            <w:noProof/>
            <w:webHidden/>
          </w:rPr>
          <w:fldChar w:fldCharType="end"/>
        </w:r>
      </w:hyperlink>
    </w:p>
    <w:p w14:paraId="3BA4A155" w14:textId="5A251EDA" w:rsidR="000E4E06" w:rsidRDefault="00A80D2A">
      <w:pPr>
        <w:pStyle w:val="TOC3"/>
        <w:tabs>
          <w:tab w:val="left" w:pos="1320"/>
          <w:tab w:val="right" w:leader="dot" w:pos="9060"/>
        </w:tabs>
        <w:rPr>
          <w:rFonts w:eastAsiaTheme="minorEastAsia" w:cstheme="minorBidi"/>
          <w:i w:val="0"/>
          <w:iCs w:val="0"/>
          <w:noProof/>
          <w:sz w:val="22"/>
          <w:szCs w:val="22"/>
          <w:lang w:eastAsia="en-GB" w:bidi="ar-SA"/>
        </w:rPr>
      </w:pPr>
      <w:hyperlink w:anchor="_Toc97041647" w:history="1">
        <w:r w:rsidR="000E4E06" w:rsidRPr="002240D8">
          <w:rPr>
            <w:rStyle w:val="Hyperlink"/>
            <w:noProof/>
          </w:rPr>
          <w:t>A1.1.2</w:t>
        </w:r>
        <w:r w:rsidR="000E4E06">
          <w:rPr>
            <w:rFonts w:eastAsiaTheme="minorEastAsia" w:cstheme="minorBidi"/>
            <w:i w:val="0"/>
            <w:iCs w:val="0"/>
            <w:noProof/>
            <w:sz w:val="22"/>
            <w:szCs w:val="22"/>
            <w:lang w:eastAsia="en-GB" w:bidi="ar-SA"/>
          </w:rPr>
          <w:tab/>
        </w:r>
        <w:r w:rsidR="000E4E06" w:rsidRPr="002240D8">
          <w:rPr>
            <w:rStyle w:val="Hyperlink"/>
            <w:noProof/>
          </w:rPr>
          <w:t>2002 New Zealand National Children’s Nutrition Survey (2002 NZ CNS)</w:t>
        </w:r>
        <w:r w:rsidR="000E4E06">
          <w:rPr>
            <w:noProof/>
            <w:webHidden/>
          </w:rPr>
          <w:tab/>
        </w:r>
        <w:r w:rsidR="000E4E06">
          <w:rPr>
            <w:noProof/>
            <w:webHidden/>
          </w:rPr>
          <w:fldChar w:fldCharType="begin"/>
        </w:r>
        <w:r w:rsidR="000E4E06">
          <w:rPr>
            <w:noProof/>
            <w:webHidden/>
          </w:rPr>
          <w:instrText xml:space="preserve"> PAGEREF _Toc97041647 \h </w:instrText>
        </w:r>
        <w:r w:rsidR="000E4E06">
          <w:rPr>
            <w:noProof/>
            <w:webHidden/>
          </w:rPr>
        </w:r>
        <w:r w:rsidR="000E4E06">
          <w:rPr>
            <w:noProof/>
            <w:webHidden/>
          </w:rPr>
          <w:fldChar w:fldCharType="separate"/>
        </w:r>
        <w:r w:rsidR="00A23C5C">
          <w:rPr>
            <w:noProof/>
            <w:webHidden/>
          </w:rPr>
          <w:t>40</w:t>
        </w:r>
        <w:r w:rsidR="000E4E06">
          <w:rPr>
            <w:noProof/>
            <w:webHidden/>
          </w:rPr>
          <w:fldChar w:fldCharType="end"/>
        </w:r>
      </w:hyperlink>
    </w:p>
    <w:p w14:paraId="35CDFFA3" w14:textId="59EB3049" w:rsidR="000E4E06" w:rsidRDefault="00A80D2A">
      <w:pPr>
        <w:pStyle w:val="TOC3"/>
        <w:tabs>
          <w:tab w:val="left" w:pos="1320"/>
          <w:tab w:val="right" w:leader="dot" w:pos="9060"/>
        </w:tabs>
        <w:rPr>
          <w:rFonts w:eastAsiaTheme="minorEastAsia" w:cstheme="minorBidi"/>
          <w:i w:val="0"/>
          <w:iCs w:val="0"/>
          <w:noProof/>
          <w:sz w:val="22"/>
          <w:szCs w:val="22"/>
          <w:lang w:eastAsia="en-GB" w:bidi="ar-SA"/>
        </w:rPr>
      </w:pPr>
      <w:hyperlink w:anchor="_Toc97041648" w:history="1">
        <w:r w:rsidR="000E4E06" w:rsidRPr="002240D8">
          <w:rPr>
            <w:rStyle w:val="Hyperlink"/>
            <w:rFonts w:eastAsia="Calibri"/>
            <w:noProof/>
          </w:rPr>
          <w:t>A1.1.3</w:t>
        </w:r>
        <w:r w:rsidR="000E4E06">
          <w:rPr>
            <w:rFonts w:eastAsiaTheme="minorEastAsia" w:cstheme="minorBidi"/>
            <w:i w:val="0"/>
            <w:iCs w:val="0"/>
            <w:noProof/>
            <w:sz w:val="22"/>
            <w:szCs w:val="22"/>
            <w:lang w:eastAsia="en-GB" w:bidi="ar-SA"/>
          </w:rPr>
          <w:tab/>
        </w:r>
        <w:r w:rsidR="000E4E06" w:rsidRPr="002240D8">
          <w:rPr>
            <w:rStyle w:val="Hyperlink"/>
            <w:rFonts w:eastAsia="Calibri"/>
            <w:noProof/>
          </w:rPr>
          <w:t>2008-09 New Zealand Adult Nutrition Survey (2008 NZ ANS)</w:t>
        </w:r>
        <w:r w:rsidR="000E4E06">
          <w:rPr>
            <w:noProof/>
            <w:webHidden/>
          </w:rPr>
          <w:tab/>
        </w:r>
        <w:r w:rsidR="000E4E06">
          <w:rPr>
            <w:noProof/>
            <w:webHidden/>
          </w:rPr>
          <w:fldChar w:fldCharType="begin"/>
        </w:r>
        <w:r w:rsidR="000E4E06">
          <w:rPr>
            <w:noProof/>
            <w:webHidden/>
          </w:rPr>
          <w:instrText xml:space="preserve"> PAGEREF _Toc97041648 \h </w:instrText>
        </w:r>
        <w:r w:rsidR="000E4E06">
          <w:rPr>
            <w:noProof/>
            <w:webHidden/>
          </w:rPr>
        </w:r>
        <w:r w:rsidR="000E4E06">
          <w:rPr>
            <w:noProof/>
            <w:webHidden/>
          </w:rPr>
          <w:fldChar w:fldCharType="separate"/>
        </w:r>
        <w:r w:rsidR="00A23C5C">
          <w:rPr>
            <w:noProof/>
            <w:webHidden/>
          </w:rPr>
          <w:t>40</w:t>
        </w:r>
        <w:r w:rsidR="000E4E06">
          <w:rPr>
            <w:noProof/>
            <w:webHidden/>
          </w:rPr>
          <w:fldChar w:fldCharType="end"/>
        </w:r>
      </w:hyperlink>
    </w:p>
    <w:p w14:paraId="3AD4EE2D" w14:textId="0146F3CB" w:rsidR="000E4E06" w:rsidRDefault="00A80D2A">
      <w:pPr>
        <w:pStyle w:val="TOC2"/>
        <w:rPr>
          <w:rFonts w:eastAsiaTheme="minorEastAsia" w:cstheme="minorBidi"/>
          <w:smallCaps w:val="0"/>
          <w:noProof/>
          <w:sz w:val="22"/>
          <w:szCs w:val="22"/>
          <w:lang w:eastAsia="en-GB" w:bidi="ar-SA"/>
        </w:rPr>
      </w:pPr>
      <w:hyperlink w:anchor="_Toc97041649" w:history="1">
        <w:r w:rsidR="000E4E06" w:rsidRPr="002240D8">
          <w:rPr>
            <w:rStyle w:val="Hyperlink"/>
            <w:noProof/>
          </w:rPr>
          <w:t>A1.2</w:t>
        </w:r>
        <w:r w:rsidR="000E4E06">
          <w:rPr>
            <w:rFonts w:eastAsiaTheme="minorEastAsia" w:cstheme="minorBidi"/>
            <w:smallCaps w:val="0"/>
            <w:noProof/>
            <w:sz w:val="22"/>
            <w:szCs w:val="22"/>
            <w:lang w:eastAsia="en-GB" w:bidi="ar-SA"/>
          </w:rPr>
          <w:tab/>
        </w:r>
        <w:r w:rsidR="000E4E06" w:rsidRPr="002240D8">
          <w:rPr>
            <w:rStyle w:val="Hyperlink"/>
            <w:noProof/>
          </w:rPr>
          <w:t>Poultry consumption data</w:t>
        </w:r>
        <w:r w:rsidR="000E4E06">
          <w:rPr>
            <w:noProof/>
            <w:webHidden/>
          </w:rPr>
          <w:tab/>
        </w:r>
        <w:r w:rsidR="000E4E06">
          <w:rPr>
            <w:noProof/>
            <w:webHidden/>
          </w:rPr>
          <w:fldChar w:fldCharType="begin"/>
        </w:r>
        <w:r w:rsidR="000E4E06">
          <w:rPr>
            <w:noProof/>
            <w:webHidden/>
          </w:rPr>
          <w:instrText xml:space="preserve"> PAGEREF _Toc97041649 \h </w:instrText>
        </w:r>
        <w:r w:rsidR="000E4E06">
          <w:rPr>
            <w:noProof/>
            <w:webHidden/>
          </w:rPr>
        </w:r>
        <w:r w:rsidR="000E4E06">
          <w:rPr>
            <w:noProof/>
            <w:webHidden/>
          </w:rPr>
          <w:fldChar w:fldCharType="separate"/>
        </w:r>
        <w:r w:rsidR="00A23C5C">
          <w:rPr>
            <w:noProof/>
            <w:webHidden/>
          </w:rPr>
          <w:t>40</w:t>
        </w:r>
        <w:r w:rsidR="000E4E06">
          <w:rPr>
            <w:noProof/>
            <w:webHidden/>
          </w:rPr>
          <w:fldChar w:fldCharType="end"/>
        </w:r>
      </w:hyperlink>
    </w:p>
    <w:p w14:paraId="15C205A6" w14:textId="46628E6F" w:rsidR="000E4E06" w:rsidRDefault="00A80D2A">
      <w:pPr>
        <w:pStyle w:val="TOC2"/>
        <w:rPr>
          <w:rFonts w:eastAsiaTheme="minorEastAsia" w:cstheme="minorBidi"/>
          <w:smallCaps w:val="0"/>
          <w:noProof/>
          <w:sz w:val="22"/>
          <w:szCs w:val="22"/>
          <w:lang w:eastAsia="en-GB" w:bidi="ar-SA"/>
        </w:rPr>
      </w:pPr>
      <w:hyperlink w:anchor="_Toc97041650" w:history="1">
        <w:r w:rsidR="000E4E06" w:rsidRPr="002240D8">
          <w:rPr>
            <w:rStyle w:val="Hyperlink"/>
            <w:noProof/>
          </w:rPr>
          <w:t>A1.3</w:t>
        </w:r>
        <w:r w:rsidR="000E4E06">
          <w:rPr>
            <w:rFonts w:eastAsiaTheme="minorEastAsia" w:cstheme="minorBidi"/>
            <w:smallCaps w:val="0"/>
            <w:noProof/>
            <w:sz w:val="22"/>
            <w:szCs w:val="22"/>
            <w:lang w:eastAsia="en-GB" w:bidi="ar-SA"/>
          </w:rPr>
          <w:tab/>
        </w:r>
        <w:r w:rsidR="000E4E06" w:rsidRPr="002240D8">
          <w:rPr>
            <w:rStyle w:val="Hyperlink"/>
            <w:noProof/>
          </w:rPr>
          <w:t>Food classes and uses of propylene glycol included in the dietary exposure assessment</w:t>
        </w:r>
        <w:r w:rsidR="000E4E06">
          <w:rPr>
            <w:noProof/>
            <w:webHidden/>
          </w:rPr>
          <w:tab/>
        </w:r>
        <w:r w:rsidR="000E4E06">
          <w:rPr>
            <w:noProof/>
            <w:webHidden/>
          </w:rPr>
          <w:fldChar w:fldCharType="begin"/>
        </w:r>
        <w:r w:rsidR="000E4E06">
          <w:rPr>
            <w:noProof/>
            <w:webHidden/>
          </w:rPr>
          <w:instrText xml:space="preserve"> PAGEREF _Toc97041650 \h </w:instrText>
        </w:r>
        <w:r w:rsidR="000E4E06">
          <w:rPr>
            <w:noProof/>
            <w:webHidden/>
          </w:rPr>
        </w:r>
        <w:r w:rsidR="000E4E06">
          <w:rPr>
            <w:noProof/>
            <w:webHidden/>
          </w:rPr>
          <w:fldChar w:fldCharType="separate"/>
        </w:r>
        <w:r w:rsidR="00A23C5C">
          <w:rPr>
            <w:noProof/>
            <w:webHidden/>
          </w:rPr>
          <w:t>41</w:t>
        </w:r>
        <w:r w:rsidR="000E4E06">
          <w:rPr>
            <w:noProof/>
            <w:webHidden/>
          </w:rPr>
          <w:fldChar w:fldCharType="end"/>
        </w:r>
      </w:hyperlink>
    </w:p>
    <w:p w14:paraId="4F5F67DA" w14:textId="6E14CA0C" w:rsidR="000E4E06" w:rsidRDefault="00A80D2A">
      <w:pPr>
        <w:pStyle w:val="TOC2"/>
        <w:rPr>
          <w:rFonts w:eastAsiaTheme="minorEastAsia" w:cstheme="minorBidi"/>
          <w:smallCaps w:val="0"/>
          <w:noProof/>
          <w:sz w:val="22"/>
          <w:szCs w:val="22"/>
          <w:lang w:eastAsia="en-GB" w:bidi="ar-SA"/>
        </w:rPr>
      </w:pPr>
      <w:hyperlink w:anchor="_Toc97041651" w:history="1">
        <w:r w:rsidR="000E4E06" w:rsidRPr="002240D8">
          <w:rPr>
            <w:rStyle w:val="Hyperlink"/>
            <w:noProof/>
          </w:rPr>
          <w:t>A1.4</w:t>
        </w:r>
        <w:r w:rsidR="000E4E06">
          <w:rPr>
            <w:rFonts w:eastAsiaTheme="minorEastAsia" w:cstheme="minorBidi"/>
            <w:smallCaps w:val="0"/>
            <w:noProof/>
            <w:sz w:val="22"/>
            <w:szCs w:val="22"/>
            <w:lang w:eastAsia="en-GB" w:bidi="ar-SA"/>
          </w:rPr>
          <w:tab/>
        </w:r>
        <w:r w:rsidR="000E4E06" w:rsidRPr="002240D8">
          <w:rPr>
            <w:rStyle w:val="Hyperlink"/>
            <w:noProof/>
          </w:rPr>
          <w:t>Limitations of dietary exposure assessments</w:t>
        </w:r>
        <w:r w:rsidR="000E4E06">
          <w:rPr>
            <w:noProof/>
            <w:webHidden/>
          </w:rPr>
          <w:tab/>
        </w:r>
        <w:r w:rsidR="000E4E06">
          <w:rPr>
            <w:noProof/>
            <w:webHidden/>
          </w:rPr>
          <w:fldChar w:fldCharType="begin"/>
        </w:r>
        <w:r w:rsidR="000E4E06">
          <w:rPr>
            <w:noProof/>
            <w:webHidden/>
          </w:rPr>
          <w:instrText xml:space="preserve"> PAGEREF _Toc97041651 \h </w:instrText>
        </w:r>
        <w:r w:rsidR="000E4E06">
          <w:rPr>
            <w:noProof/>
            <w:webHidden/>
          </w:rPr>
        </w:r>
        <w:r w:rsidR="000E4E06">
          <w:rPr>
            <w:noProof/>
            <w:webHidden/>
          </w:rPr>
          <w:fldChar w:fldCharType="separate"/>
        </w:r>
        <w:r w:rsidR="00A23C5C">
          <w:rPr>
            <w:noProof/>
            <w:webHidden/>
          </w:rPr>
          <w:t>43</w:t>
        </w:r>
        <w:r w:rsidR="000E4E06">
          <w:rPr>
            <w:noProof/>
            <w:webHidden/>
          </w:rPr>
          <w:fldChar w:fldCharType="end"/>
        </w:r>
      </w:hyperlink>
    </w:p>
    <w:p w14:paraId="584B3A80" w14:textId="0664B00F" w:rsidR="00051ED9" w:rsidRDefault="00326D85" w:rsidP="00772BDC">
      <w:r>
        <w:fldChar w:fldCharType="end"/>
      </w:r>
      <w:r w:rsidR="00562917" w:rsidRPr="00E203C2">
        <w:br w:type="page"/>
      </w:r>
    </w:p>
    <w:p w14:paraId="59101C83" w14:textId="6416439C" w:rsidR="00D60568" w:rsidRPr="00EF5DE3" w:rsidRDefault="005F7323" w:rsidP="00C71929">
      <w:pPr>
        <w:pStyle w:val="Heading1"/>
        <w:ind w:left="709" w:hanging="709"/>
      </w:pPr>
      <w:bookmarkStart w:id="11" w:name="_Toc62657916"/>
      <w:bookmarkStart w:id="12" w:name="_Toc62738966"/>
      <w:bookmarkStart w:id="13" w:name="_Toc62743552"/>
      <w:bookmarkStart w:id="14" w:name="_Toc63330857"/>
      <w:bookmarkStart w:id="15" w:name="_Toc92722911"/>
      <w:bookmarkStart w:id="16" w:name="_Toc93592298"/>
      <w:bookmarkStart w:id="17" w:name="_Toc93585309"/>
      <w:bookmarkStart w:id="18" w:name="_Toc97041604"/>
      <w:r w:rsidRPr="00EF5DE3">
        <w:lastRenderedPageBreak/>
        <w:t>1</w:t>
      </w:r>
      <w:r w:rsidRPr="00EF5DE3">
        <w:tab/>
        <w:t>Introduction</w:t>
      </w:r>
      <w:bookmarkEnd w:id="11"/>
      <w:bookmarkEnd w:id="12"/>
      <w:bookmarkEnd w:id="13"/>
      <w:bookmarkEnd w:id="14"/>
      <w:bookmarkEnd w:id="15"/>
      <w:bookmarkEnd w:id="16"/>
      <w:bookmarkEnd w:id="17"/>
      <w:bookmarkEnd w:id="18"/>
    </w:p>
    <w:p w14:paraId="0EF68926" w14:textId="7E84179C" w:rsidR="009C7DAC" w:rsidRDefault="009C7DAC" w:rsidP="005F7323">
      <w:r>
        <w:rPr>
          <w:lang w:bidi="ar-SA"/>
        </w:rPr>
        <w:t xml:space="preserve">FSANZ received an application from Safe Foods Corporation </w:t>
      </w:r>
      <w:r w:rsidR="00F668A1">
        <w:rPr>
          <w:lang w:bidi="ar-SA"/>
        </w:rPr>
        <w:t xml:space="preserve">(Safe Foods) </w:t>
      </w:r>
      <w:r>
        <w:rPr>
          <w:lang w:bidi="ar-SA"/>
        </w:rPr>
        <w:t>to amend the Australia New Zealand Food Standards Code</w:t>
      </w:r>
      <w:r w:rsidR="006E7625">
        <w:rPr>
          <w:lang w:bidi="ar-SA"/>
        </w:rPr>
        <w:t xml:space="preserve"> </w:t>
      </w:r>
      <w:r>
        <w:rPr>
          <w:lang w:bidi="ar-SA"/>
        </w:rPr>
        <w:t xml:space="preserve">(the Code) to permit the use of </w:t>
      </w:r>
      <w:r w:rsidR="00BD675F">
        <w:t>c</w:t>
      </w:r>
      <w:r w:rsidRPr="005F7323">
        <w:t>etylpyridinium chloride</w:t>
      </w:r>
      <w:r>
        <w:t xml:space="preserve"> (CPC) as </w:t>
      </w:r>
      <w:r w:rsidR="00162264">
        <w:t>a processing aid</w:t>
      </w:r>
      <w:r w:rsidR="005F00DD">
        <w:t>. The applicant states that CPC would be used</w:t>
      </w:r>
      <w:r w:rsidR="00162264">
        <w:t xml:space="preserve"> as </w:t>
      </w:r>
      <w:r>
        <w:t xml:space="preserve">an antimicrobial </w:t>
      </w:r>
      <w:r w:rsidR="00C12545">
        <w:t xml:space="preserve">surface </w:t>
      </w:r>
      <w:r w:rsidR="001C2119">
        <w:t>(including the abdominal cavity)</w:t>
      </w:r>
      <w:r w:rsidR="00C12545">
        <w:t xml:space="preserve"> </w:t>
      </w:r>
      <w:r w:rsidR="0081797C">
        <w:t>treatment for raw poultry.</w:t>
      </w:r>
    </w:p>
    <w:p w14:paraId="0671D60C" w14:textId="2329D875" w:rsidR="009C7DAC" w:rsidRDefault="009C7DAC" w:rsidP="005F7323"/>
    <w:p w14:paraId="1761B7F4" w14:textId="79AD3BDF" w:rsidR="00BD675F" w:rsidRDefault="00F668A1" w:rsidP="005F7323">
      <w:r>
        <w:t>Safe Foods</w:t>
      </w:r>
      <w:r w:rsidR="00796ADD" w:rsidDel="00BF7286">
        <w:t xml:space="preserve"> </w:t>
      </w:r>
      <w:r w:rsidR="00BF7286">
        <w:t xml:space="preserve">markets </w:t>
      </w:r>
      <w:r w:rsidR="00BD675F" w:rsidRPr="00BD675F">
        <w:t xml:space="preserve">an aqueous solution containing CPC </w:t>
      </w:r>
      <w:r w:rsidR="00796ADD">
        <w:t>(</w:t>
      </w:r>
      <w:r w:rsidR="00BD675F" w:rsidRPr="00BD675F">
        <w:t xml:space="preserve">as the active </w:t>
      </w:r>
      <w:r w:rsidR="00CE32F2">
        <w:t>constituent</w:t>
      </w:r>
      <w:r w:rsidR="00796ADD">
        <w:t xml:space="preserve">) under the proprietary name Cecure (referred to hereafter as the CPC preparation). </w:t>
      </w:r>
      <w:r w:rsidR="000D2B47">
        <w:t>The</w:t>
      </w:r>
      <w:r w:rsidR="000D2B47" w:rsidRPr="000D2B47">
        <w:t xml:space="preserve"> CPC preparation is a colourless to light yellow liquid. </w:t>
      </w:r>
      <w:r w:rsidR="00796ADD">
        <w:t xml:space="preserve">The CPC preparation </w:t>
      </w:r>
      <w:r w:rsidR="00BD675F" w:rsidRPr="00BD675F">
        <w:t xml:space="preserve">would be diluted </w:t>
      </w:r>
      <w:r w:rsidR="00154461">
        <w:t>with</w:t>
      </w:r>
      <w:r w:rsidR="00BD675F" w:rsidRPr="00BD675F">
        <w:t xml:space="preserve"> water </w:t>
      </w:r>
      <w:r w:rsidR="00647115" w:rsidRPr="00647115">
        <w:t xml:space="preserve">to achieve a wash solution with a concentration of up to </w:t>
      </w:r>
      <w:r w:rsidR="0057037B">
        <w:t>1% (w/v</w:t>
      </w:r>
      <w:r w:rsidR="009827E2">
        <w:rPr>
          <w:rStyle w:val="FootnoteReference"/>
        </w:rPr>
        <w:footnoteReference w:id="3"/>
      </w:r>
      <w:r w:rsidR="0057037B">
        <w:t>)</w:t>
      </w:r>
      <w:r w:rsidR="00647115" w:rsidRPr="00647115">
        <w:t xml:space="preserve"> CPC</w:t>
      </w:r>
      <w:r w:rsidR="00647115" w:rsidRPr="00BD675F">
        <w:t xml:space="preserve"> </w:t>
      </w:r>
      <w:r w:rsidR="00BD675F" w:rsidRPr="00BD675F">
        <w:t xml:space="preserve">for use as an antimicrobial </w:t>
      </w:r>
      <w:r w:rsidR="00D159F5">
        <w:t>agent to treat</w:t>
      </w:r>
      <w:r w:rsidR="00BD675F" w:rsidRPr="00BD675F">
        <w:t xml:space="preserve"> raw poultry carcasses and </w:t>
      </w:r>
      <w:r>
        <w:t>pieces</w:t>
      </w:r>
      <w:r w:rsidR="00BD675F" w:rsidRPr="00BD675F">
        <w:t>.</w:t>
      </w:r>
    </w:p>
    <w:p w14:paraId="72E97FF5" w14:textId="50D4690C" w:rsidR="005273A0" w:rsidRDefault="005273A0" w:rsidP="005F7323"/>
    <w:p w14:paraId="7FCEC4E7" w14:textId="30D72729" w:rsidR="005273A0" w:rsidRDefault="00C068FC" w:rsidP="005F7323">
      <w:r>
        <w:t>The CPC preparation also contains p</w:t>
      </w:r>
      <w:r w:rsidR="005273A0">
        <w:t>ropylene glycol</w:t>
      </w:r>
      <w:r>
        <w:t>,</w:t>
      </w:r>
      <w:r w:rsidR="005273A0">
        <w:t xml:space="preserve"> a food additive</w:t>
      </w:r>
      <w:r w:rsidR="006C6FDD">
        <w:t xml:space="preserve"> and processing aid</w:t>
      </w:r>
      <w:r w:rsidR="005273A0">
        <w:t xml:space="preserve"> permitted for use in a range of food categories in the Code</w:t>
      </w:r>
      <w:r>
        <w:t>. A</w:t>
      </w:r>
      <w:r w:rsidR="005273A0">
        <w:t xml:space="preserve">n acceptable daily intake (ADI) </w:t>
      </w:r>
      <w:r>
        <w:t xml:space="preserve">for propylene glycol </w:t>
      </w:r>
      <w:r w:rsidR="005273A0">
        <w:t xml:space="preserve">has been established by the Joint FAO/WHO Expert Committee on Food Additives (JECFA). </w:t>
      </w:r>
      <w:r>
        <w:t>Propylene glycol was therefore included in t</w:t>
      </w:r>
      <w:r w:rsidR="0081797C">
        <w:t>he scope of FSANZ’s assessment.</w:t>
      </w:r>
    </w:p>
    <w:p w14:paraId="7F75EB2E" w14:textId="77777777" w:rsidR="00BD675F" w:rsidRDefault="00BD675F" w:rsidP="007F4A34">
      <w:pPr>
        <w:rPr>
          <w:lang w:eastAsia="en-AU" w:bidi="ar-SA"/>
        </w:rPr>
      </w:pPr>
    </w:p>
    <w:p w14:paraId="1409FB57" w14:textId="6A8B1103" w:rsidR="00F152BA" w:rsidRDefault="007F4A34" w:rsidP="007F4A34">
      <w:pPr>
        <w:rPr>
          <w:lang w:eastAsia="en-AU" w:bidi="ar-SA"/>
        </w:rPr>
      </w:pPr>
      <w:r>
        <w:rPr>
          <w:lang w:eastAsia="en-AU" w:bidi="ar-SA"/>
        </w:rPr>
        <w:t xml:space="preserve">The </w:t>
      </w:r>
      <w:r w:rsidR="00671F6A">
        <w:rPr>
          <w:lang w:eastAsia="en-AU" w:bidi="ar-SA"/>
        </w:rPr>
        <w:t>objectives</w:t>
      </w:r>
      <w:r>
        <w:rPr>
          <w:lang w:eastAsia="en-AU" w:bidi="ar-SA"/>
        </w:rPr>
        <w:t xml:space="preserve"> of </w:t>
      </w:r>
      <w:r w:rsidR="009B4DFB">
        <w:rPr>
          <w:lang w:eastAsia="en-AU" w:bidi="ar-SA"/>
        </w:rPr>
        <w:t>th</w:t>
      </w:r>
      <w:r w:rsidR="00796ADD">
        <w:rPr>
          <w:lang w:eastAsia="en-AU" w:bidi="ar-SA"/>
        </w:rPr>
        <w:t xml:space="preserve">is food technology and risk </w:t>
      </w:r>
      <w:r>
        <w:rPr>
          <w:lang w:eastAsia="en-AU" w:bidi="ar-SA"/>
        </w:rPr>
        <w:t>assessment</w:t>
      </w:r>
      <w:r w:rsidR="00671F6A">
        <w:rPr>
          <w:lang w:eastAsia="en-AU" w:bidi="ar-SA"/>
        </w:rPr>
        <w:t xml:space="preserve"> </w:t>
      </w:r>
      <w:r w:rsidR="005F00DD">
        <w:rPr>
          <w:lang w:eastAsia="en-AU" w:bidi="ar-SA"/>
        </w:rPr>
        <w:t xml:space="preserve">were </w:t>
      </w:r>
      <w:r>
        <w:rPr>
          <w:lang w:eastAsia="en-AU" w:bidi="ar-SA"/>
        </w:rPr>
        <w:t>to</w:t>
      </w:r>
      <w:r w:rsidR="009B4DFB">
        <w:rPr>
          <w:lang w:eastAsia="en-AU" w:bidi="ar-SA"/>
        </w:rPr>
        <w:t>:</w:t>
      </w:r>
    </w:p>
    <w:p w14:paraId="3EBF545E" w14:textId="79BAA2E5" w:rsidR="00BD675F" w:rsidRDefault="00BD675F" w:rsidP="007F4A34">
      <w:pPr>
        <w:rPr>
          <w:lang w:eastAsia="en-AU" w:bidi="ar-SA"/>
        </w:rPr>
      </w:pPr>
    </w:p>
    <w:p w14:paraId="2DE73FC6" w14:textId="21AB2E62" w:rsidR="00BD675F" w:rsidRPr="003E1538" w:rsidRDefault="00BD675F" w:rsidP="003E1538">
      <w:pPr>
        <w:pStyle w:val="FSBullet1"/>
        <w:numPr>
          <w:ilvl w:val="0"/>
          <w:numId w:val="20"/>
        </w:numPr>
        <w:ind w:left="567" w:hanging="567"/>
      </w:pPr>
      <w:r>
        <w:rPr>
          <w:lang w:eastAsia="en-AU"/>
        </w:rPr>
        <w:t xml:space="preserve">determine </w:t>
      </w:r>
      <w:r w:rsidRPr="003E1538">
        <w:t>whether CPC achieves the technological purpose, as a processing aid, of an antimicrobial treatment for raw poultry</w:t>
      </w:r>
    </w:p>
    <w:p w14:paraId="0559D439" w14:textId="1DE0B259" w:rsidR="005F7323" w:rsidRDefault="009B4DFB" w:rsidP="003E1538">
      <w:pPr>
        <w:pStyle w:val="FSBullet1"/>
        <w:numPr>
          <w:ilvl w:val="0"/>
          <w:numId w:val="20"/>
        </w:numPr>
        <w:ind w:left="567" w:hanging="567"/>
        <w:rPr>
          <w:lang w:eastAsia="en-AU"/>
        </w:rPr>
      </w:pPr>
      <w:r w:rsidRPr="003E1538">
        <w:t>identify</w:t>
      </w:r>
      <w:r w:rsidR="00671F6A" w:rsidRPr="003E1538">
        <w:t xml:space="preserve"> any</w:t>
      </w:r>
      <w:r w:rsidR="00671F6A">
        <w:rPr>
          <w:lang w:eastAsia="en-AU"/>
        </w:rPr>
        <w:t xml:space="preserve"> potential public hea</w:t>
      </w:r>
      <w:r w:rsidR="007F4A34">
        <w:rPr>
          <w:lang w:eastAsia="en-AU"/>
        </w:rPr>
        <w:t>lth and safety concerns</w:t>
      </w:r>
      <w:r w:rsidR="005F00DD">
        <w:rPr>
          <w:lang w:eastAsia="en-AU"/>
        </w:rPr>
        <w:t xml:space="preserve"> associated with the proposed use of </w:t>
      </w:r>
      <w:r w:rsidR="005F1475">
        <w:rPr>
          <w:lang w:eastAsia="en-AU"/>
        </w:rPr>
        <w:t xml:space="preserve">CPC and with propylene glycol from </w:t>
      </w:r>
      <w:r w:rsidR="00290BBF">
        <w:rPr>
          <w:lang w:eastAsia="en-AU"/>
        </w:rPr>
        <w:t xml:space="preserve">the </w:t>
      </w:r>
      <w:r w:rsidR="00845AD2">
        <w:rPr>
          <w:lang w:eastAsia="en-AU"/>
        </w:rPr>
        <w:t>applicant’s</w:t>
      </w:r>
      <w:r w:rsidR="00290BBF">
        <w:rPr>
          <w:lang w:eastAsia="en-AU"/>
        </w:rPr>
        <w:t xml:space="preserve"> CPC preparation</w:t>
      </w:r>
      <w:r w:rsidR="00BD675F">
        <w:rPr>
          <w:lang w:eastAsia="en-AU"/>
        </w:rPr>
        <w:t xml:space="preserve">. </w:t>
      </w:r>
    </w:p>
    <w:p w14:paraId="2CF3B58F" w14:textId="1A8CBE5E" w:rsidR="005F7323" w:rsidRDefault="005F7323" w:rsidP="00D6481F">
      <w:pPr>
        <w:pStyle w:val="Heading1"/>
        <w:ind w:left="567" w:hanging="567"/>
      </w:pPr>
      <w:bookmarkStart w:id="19" w:name="_Toc62657918"/>
      <w:bookmarkStart w:id="20" w:name="_Toc62738967"/>
      <w:bookmarkStart w:id="21" w:name="_Toc62743553"/>
      <w:bookmarkStart w:id="22" w:name="_Toc63330859"/>
      <w:bookmarkStart w:id="23" w:name="_Toc92722912"/>
      <w:bookmarkStart w:id="24" w:name="_Toc93592299"/>
      <w:bookmarkStart w:id="25" w:name="_Toc93585310"/>
      <w:bookmarkStart w:id="26" w:name="_Toc97041605"/>
      <w:r>
        <w:t>2</w:t>
      </w:r>
      <w:r>
        <w:tab/>
        <w:t>Food technology assessment</w:t>
      </w:r>
      <w:bookmarkEnd w:id="19"/>
      <w:bookmarkEnd w:id="20"/>
      <w:bookmarkEnd w:id="21"/>
      <w:bookmarkEnd w:id="22"/>
      <w:bookmarkEnd w:id="23"/>
      <w:bookmarkEnd w:id="24"/>
      <w:bookmarkEnd w:id="25"/>
      <w:bookmarkEnd w:id="26"/>
    </w:p>
    <w:p w14:paraId="31689FA0" w14:textId="70BA1B78" w:rsidR="0075297A" w:rsidRDefault="00671F6A" w:rsidP="00D15757">
      <w:pPr>
        <w:pStyle w:val="Heading2"/>
      </w:pPr>
      <w:bookmarkStart w:id="27" w:name="_Toc62738969"/>
      <w:bookmarkStart w:id="28" w:name="_Toc62743555"/>
      <w:bookmarkStart w:id="29" w:name="_Toc63330860"/>
      <w:bookmarkStart w:id="30" w:name="_Toc92722913"/>
      <w:bookmarkStart w:id="31" w:name="_Toc93592300"/>
      <w:bookmarkStart w:id="32" w:name="_Toc93585311"/>
      <w:bookmarkStart w:id="33" w:name="_Toc97041606"/>
      <w:r>
        <w:t>2.1</w:t>
      </w:r>
      <w:r w:rsidR="00D6481F">
        <w:tab/>
      </w:r>
      <w:r w:rsidR="0075297A">
        <w:t>Identity</w:t>
      </w:r>
      <w:bookmarkEnd w:id="27"/>
      <w:bookmarkEnd w:id="28"/>
      <w:bookmarkEnd w:id="29"/>
      <w:bookmarkEnd w:id="30"/>
      <w:bookmarkEnd w:id="31"/>
      <w:bookmarkEnd w:id="32"/>
      <w:bookmarkEnd w:id="33"/>
    </w:p>
    <w:p w14:paraId="692EC940" w14:textId="5AF008C1" w:rsidR="001537C5" w:rsidRDefault="009E102F" w:rsidP="008903B7">
      <w:pPr>
        <w:rPr>
          <w:lang w:bidi="ar-SA"/>
        </w:rPr>
      </w:pPr>
      <w:r>
        <w:rPr>
          <w:lang w:bidi="ar-SA"/>
        </w:rPr>
        <w:t>CPC</w:t>
      </w:r>
      <w:r w:rsidR="001537C5">
        <w:rPr>
          <w:lang w:bidi="ar-SA"/>
        </w:rPr>
        <w:t xml:space="preserve"> is the chloride salt form of </w:t>
      </w:r>
      <w:r w:rsidR="00BF4629" w:rsidRPr="00DD0D44">
        <w:t>cetylpyridinium</w:t>
      </w:r>
      <w:r w:rsidR="001537C5" w:rsidRPr="001537C5">
        <w:rPr>
          <w:lang w:bidi="ar-SA"/>
        </w:rPr>
        <w:t xml:space="preserve">, a quaternary ammonium </w:t>
      </w:r>
      <w:r w:rsidR="00285B8E">
        <w:rPr>
          <w:lang w:bidi="ar-SA"/>
        </w:rPr>
        <w:t xml:space="preserve">compound </w:t>
      </w:r>
      <w:r w:rsidR="001537C5" w:rsidRPr="001537C5">
        <w:rPr>
          <w:lang w:bidi="ar-SA"/>
        </w:rPr>
        <w:t xml:space="preserve">with broad-spectrum antimicrobial activity </w:t>
      </w:r>
      <w:r>
        <w:rPr>
          <w:lang w:bidi="ar-SA"/>
        </w:rPr>
        <w:t>(</w:t>
      </w:r>
      <w:r w:rsidR="007B632C">
        <w:rPr>
          <w:lang w:bidi="ar-SA"/>
        </w:rPr>
        <w:t>PubChem 2004</w:t>
      </w:r>
      <w:r>
        <w:rPr>
          <w:lang w:bidi="ar-SA"/>
        </w:rPr>
        <w:t>)</w:t>
      </w:r>
      <w:r w:rsidR="00AD749B">
        <w:rPr>
          <w:lang w:bidi="ar-SA"/>
        </w:rPr>
        <w:t xml:space="preserve">. </w:t>
      </w:r>
      <w:r w:rsidR="00727903">
        <w:rPr>
          <w:lang w:bidi="ar-SA"/>
        </w:rPr>
        <w:t>The identity of CPC is outlined further in</w:t>
      </w:r>
      <w:r w:rsidR="00855B28">
        <w:rPr>
          <w:lang w:bidi="ar-SA"/>
        </w:rPr>
        <w:t xml:space="preserve"> </w:t>
      </w:r>
      <w:r w:rsidR="00855B28">
        <w:rPr>
          <w:lang w:bidi="ar-SA"/>
        </w:rPr>
        <w:fldChar w:fldCharType="begin"/>
      </w:r>
      <w:r w:rsidR="00855B28">
        <w:rPr>
          <w:lang w:bidi="ar-SA"/>
        </w:rPr>
        <w:instrText xml:space="preserve"> REF _Ref92708943 \h </w:instrText>
      </w:r>
      <w:r w:rsidR="00855B28">
        <w:rPr>
          <w:lang w:bidi="ar-SA"/>
        </w:rPr>
      </w:r>
      <w:r w:rsidR="00855B28">
        <w:rPr>
          <w:lang w:bidi="ar-SA"/>
        </w:rPr>
        <w:fldChar w:fldCharType="separate"/>
      </w:r>
      <w:r w:rsidR="00A65698">
        <w:t xml:space="preserve">Table </w:t>
      </w:r>
      <w:r w:rsidR="00A65698">
        <w:rPr>
          <w:noProof/>
        </w:rPr>
        <w:t>1</w:t>
      </w:r>
      <w:r w:rsidR="00855B28">
        <w:rPr>
          <w:lang w:bidi="ar-SA"/>
        </w:rPr>
        <w:fldChar w:fldCharType="end"/>
      </w:r>
      <w:r w:rsidR="00727903">
        <w:rPr>
          <w:lang w:bidi="ar-SA"/>
        </w:rPr>
        <w:t>.</w:t>
      </w:r>
      <w:r w:rsidR="001537C5" w:rsidRPr="001537C5">
        <w:rPr>
          <w:lang w:bidi="ar-SA"/>
        </w:rPr>
        <w:t xml:space="preserve"> </w:t>
      </w:r>
    </w:p>
    <w:p w14:paraId="32FDA57A" w14:textId="77777777" w:rsidR="001537C5" w:rsidRDefault="001537C5" w:rsidP="008903B7">
      <w:pPr>
        <w:rPr>
          <w:lang w:bidi="ar-SA"/>
        </w:rPr>
      </w:pPr>
    </w:p>
    <w:p w14:paraId="67A0C7E2" w14:textId="28D677F3" w:rsidR="00855B28" w:rsidRDefault="00855B28" w:rsidP="00855B28">
      <w:pPr>
        <w:pStyle w:val="FSTableTitle"/>
      </w:pPr>
      <w:bookmarkStart w:id="34" w:name="_Ref92708943"/>
      <w:r>
        <w:t xml:space="preserve">Table </w:t>
      </w:r>
      <w:fldSimple w:instr=" SEQ Table \* ARABIC ">
        <w:r w:rsidR="00A65698">
          <w:rPr>
            <w:noProof/>
          </w:rPr>
          <w:t>1</w:t>
        </w:r>
      </w:fldSimple>
      <w:bookmarkEnd w:id="34"/>
      <w:r>
        <w:t xml:space="preserve"> </w:t>
      </w:r>
      <w:r w:rsidRPr="009932F9">
        <w:t>Identity of Cetylpyridinium chloride</w:t>
      </w:r>
    </w:p>
    <w:tbl>
      <w:tblPr>
        <w:tblStyle w:val="TableGrid"/>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Identity of Cetylpyridinium chloride"/>
        <w:tblDescription w:val="The identity of CPC including its IUPAC name, molecular formula, molecular weight, CAS number and EC number."/>
      </w:tblPr>
      <w:tblGrid>
        <w:gridCol w:w="3539"/>
        <w:gridCol w:w="5954"/>
      </w:tblGrid>
      <w:tr w:rsidR="00E40736" w:rsidRPr="00157D1E" w14:paraId="362A7904" w14:textId="77777777" w:rsidTr="00673149">
        <w:trPr>
          <w:trHeight w:val="488"/>
        </w:trPr>
        <w:tc>
          <w:tcPr>
            <w:tcW w:w="3539" w:type="dxa"/>
            <w:vAlign w:val="center"/>
          </w:tcPr>
          <w:p w14:paraId="374AA29C" w14:textId="084F273F" w:rsidR="00E40736" w:rsidRPr="00157D1E" w:rsidRDefault="00E40736" w:rsidP="00924847">
            <w:pPr>
              <w:pStyle w:val="FSTableHeading"/>
              <w:rPr>
                <w:b w:val="0"/>
              </w:rPr>
            </w:pPr>
            <w:bookmarkStart w:id="35" w:name="_Toc62738970"/>
            <w:bookmarkStart w:id="36" w:name="_Toc62743556"/>
            <w:bookmarkStart w:id="37" w:name="_Toc63330861"/>
            <w:r w:rsidRPr="00157D1E">
              <w:t>IUPAC</w:t>
            </w:r>
            <w:r w:rsidR="003F34E6" w:rsidRPr="00157D1E">
              <w:rPr>
                <w:rStyle w:val="FootnoteReference"/>
                <w:b w:val="0"/>
              </w:rPr>
              <w:footnoteReference w:id="4"/>
            </w:r>
            <w:r w:rsidRPr="00157D1E">
              <w:rPr>
                <w:b w:val="0"/>
              </w:rPr>
              <w:t xml:space="preserve"> name</w:t>
            </w:r>
          </w:p>
        </w:tc>
        <w:tc>
          <w:tcPr>
            <w:tcW w:w="5954" w:type="dxa"/>
            <w:vAlign w:val="center"/>
          </w:tcPr>
          <w:p w14:paraId="68EF76E2" w14:textId="2C965ADD" w:rsidR="006D1668" w:rsidRDefault="006D1668" w:rsidP="00924847">
            <w:pPr>
              <w:pStyle w:val="FSTableText"/>
            </w:pPr>
            <w:r>
              <w:t>Cetylpyridinium chloride</w:t>
            </w:r>
          </w:p>
          <w:p w14:paraId="454D00F4" w14:textId="65A43E1B" w:rsidR="00E40736" w:rsidRPr="00157D1E" w:rsidRDefault="00FC402E" w:rsidP="00924847">
            <w:pPr>
              <w:pStyle w:val="FSTableText"/>
              <w:rPr>
                <w:b/>
              </w:rPr>
            </w:pPr>
            <w:r w:rsidRPr="00157D1E">
              <w:t>1-hexadecylpyridin-1-ium;chloride</w:t>
            </w:r>
          </w:p>
        </w:tc>
      </w:tr>
      <w:tr w:rsidR="00E40736" w:rsidRPr="00157D1E" w14:paraId="0F672F58" w14:textId="77777777" w:rsidTr="00673149">
        <w:trPr>
          <w:trHeight w:val="731"/>
        </w:trPr>
        <w:tc>
          <w:tcPr>
            <w:tcW w:w="3539" w:type="dxa"/>
            <w:vAlign w:val="center"/>
          </w:tcPr>
          <w:p w14:paraId="16716945" w14:textId="3EA92569" w:rsidR="00E40736" w:rsidRPr="00157D1E" w:rsidRDefault="00FC402E" w:rsidP="00924847">
            <w:pPr>
              <w:pStyle w:val="FSTableHeading"/>
              <w:rPr>
                <w:b w:val="0"/>
              </w:rPr>
            </w:pPr>
            <w:r w:rsidRPr="00157D1E">
              <w:t xml:space="preserve">Synonyms </w:t>
            </w:r>
          </w:p>
        </w:tc>
        <w:tc>
          <w:tcPr>
            <w:tcW w:w="5954" w:type="dxa"/>
            <w:vAlign w:val="center"/>
          </w:tcPr>
          <w:p w14:paraId="17E0353D" w14:textId="52F2E29A" w:rsidR="00E40736" w:rsidRPr="00157D1E" w:rsidRDefault="00157D1E" w:rsidP="00924847">
            <w:pPr>
              <w:pStyle w:val="FSTableText"/>
              <w:rPr>
                <w:b/>
              </w:rPr>
            </w:pPr>
            <w:r w:rsidRPr="00157D1E">
              <w:t xml:space="preserve">1 – palmitylpyridinium chloride, Acetoquat CPC, Ammonyx CPC, </w:t>
            </w:r>
            <w:r w:rsidR="00E40736" w:rsidRPr="00157D1E">
              <w:t>Cee</w:t>
            </w:r>
            <w:r w:rsidRPr="00157D1E">
              <w:t>pryn chloride,</w:t>
            </w:r>
            <w:r w:rsidR="00E40736" w:rsidRPr="00157D1E">
              <w:t xml:space="preserve"> Ce</w:t>
            </w:r>
            <w:r w:rsidRPr="00157D1E">
              <w:t>tamium, Dobendan, Pristacin, Pyrispet</w:t>
            </w:r>
          </w:p>
        </w:tc>
      </w:tr>
      <w:tr w:rsidR="00E40736" w:rsidRPr="00157D1E" w14:paraId="798BB145" w14:textId="77777777" w:rsidTr="00673149">
        <w:trPr>
          <w:trHeight w:val="588"/>
        </w:trPr>
        <w:tc>
          <w:tcPr>
            <w:tcW w:w="3539" w:type="dxa"/>
            <w:vAlign w:val="center"/>
          </w:tcPr>
          <w:p w14:paraId="15DD778E" w14:textId="6F076F41" w:rsidR="00E40736" w:rsidRPr="00157D1E" w:rsidRDefault="00E40736" w:rsidP="00924847">
            <w:pPr>
              <w:pStyle w:val="FSTableHeading"/>
              <w:rPr>
                <w:b w:val="0"/>
              </w:rPr>
            </w:pPr>
            <w:r w:rsidRPr="00157D1E">
              <w:t>Molecular formula</w:t>
            </w:r>
          </w:p>
        </w:tc>
        <w:tc>
          <w:tcPr>
            <w:tcW w:w="5954" w:type="dxa"/>
            <w:vAlign w:val="center"/>
          </w:tcPr>
          <w:p w14:paraId="6C404B0A" w14:textId="748E5376" w:rsidR="00E40736" w:rsidRPr="00157D1E" w:rsidRDefault="00E40736" w:rsidP="00924847">
            <w:pPr>
              <w:pStyle w:val="FSTableText"/>
              <w:rPr>
                <w:b/>
              </w:rPr>
            </w:pPr>
            <w:r w:rsidRPr="00157D1E">
              <w:t>C</w:t>
            </w:r>
            <w:r w:rsidRPr="00157D1E">
              <w:rPr>
                <w:vertAlign w:val="subscript"/>
              </w:rPr>
              <w:t>21</w:t>
            </w:r>
            <w:r w:rsidRPr="00157D1E">
              <w:t>H</w:t>
            </w:r>
            <w:r w:rsidRPr="00157D1E">
              <w:rPr>
                <w:vertAlign w:val="subscript"/>
              </w:rPr>
              <w:t>38</w:t>
            </w:r>
            <w:r w:rsidRPr="00157D1E">
              <w:t>NCl</w:t>
            </w:r>
          </w:p>
        </w:tc>
      </w:tr>
      <w:tr w:rsidR="00E40736" w:rsidRPr="00157D1E" w14:paraId="3CFC24CE" w14:textId="77777777" w:rsidTr="00673149">
        <w:trPr>
          <w:trHeight w:val="417"/>
        </w:trPr>
        <w:tc>
          <w:tcPr>
            <w:tcW w:w="3539" w:type="dxa"/>
            <w:vAlign w:val="center"/>
          </w:tcPr>
          <w:p w14:paraId="7F1CA0F8" w14:textId="660314FC" w:rsidR="00E40736" w:rsidRPr="00157D1E" w:rsidRDefault="00E40736" w:rsidP="00924847">
            <w:pPr>
              <w:pStyle w:val="FSTableHeading"/>
              <w:rPr>
                <w:b w:val="0"/>
              </w:rPr>
            </w:pPr>
            <w:r w:rsidRPr="00157D1E">
              <w:t>Molecular weight</w:t>
            </w:r>
          </w:p>
        </w:tc>
        <w:tc>
          <w:tcPr>
            <w:tcW w:w="5954" w:type="dxa"/>
            <w:vAlign w:val="center"/>
          </w:tcPr>
          <w:p w14:paraId="08584282" w14:textId="5E690D7A" w:rsidR="00E40736" w:rsidRPr="00157D1E" w:rsidRDefault="00E40736" w:rsidP="00924847">
            <w:pPr>
              <w:pStyle w:val="FSTableText"/>
              <w:rPr>
                <w:b/>
              </w:rPr>
            </w:pPr>
            <w:r w:rsidRPr="00157D1E">
              <w:t>340 g/mol</w:t>
            </w:r>
          </w:p>
        </w:tc>
      </w:tr>
      <w:tr w:rsidR="00E40736" w:rsidRPr="00157D1E" w14:paraId="1DA9A4A0" w14:textId="77777777" w:rsidTr="00673149">
        <w:trPr>
          <w:trHeight w:val="433"/>
        </w:trPr>
        <w:tc>
          <w:tcPr>
            <w:tcW w:w="3539" w:type="dxa"/>
            <w:vAlign w:val="center"/>
          </w:tcPr>
          <w:p w14:paraId="459D5BF7" w14:textId="46D45130" w:rsidR="00E40736" w:rsidRPr="00157D1E" w:rsidRDefault="00E40736" w:rsidP="00924847">
            <w:pPr>
              <w:pStyle w:val="FSTableHeading"/>
              <w:rPr>
                <w:b w:val="0"/>
              </w:rPr>
            </w:pPr>
            <w:r w:rsidRPr="00157D1E">
              <w:t>CAS</w:t>
            </w:r>
            <w:r w:rsidR="003F34E6" w:rsidRPr="00157D1E">
              <w:rPr>
                <w:rStyle w:val="FootnoteReference"/>
                <w:b w:val="0"/>
              </w:rPr>
              <w:footnoteReference w:id="5"/>
            </w:r>
            <w:r w:rsidRPr="00157D1E">
              <w:rPr>
                <w:b w:val="0"/>
              </w:rPr>
              <w:t xml:space="preserve"> number</w:t>
            </w:r>
          </w:p>
        </w:tc>
        <w:tc>
          <w:tcPr>
            <w:tcW w:w="5954" w:type="dxa"/>
            <w:vAlign w:val="center"/>
          </w:tcPr>
          <w:p w14:paraId="40DDF26A" w14:textId="0BE62A2E" w:rsidR="00E40736" w:rsidRPr="00157D1E" w:rsidRDefault="00E40736" w:rsidP="00924847">
            <w:pPr>
              <w:pStyle w:val="FSTableText"/>
              <w:rPr>
                <w:b/>
              </w:rPr>
            </w:pPr>
            <w:r w:rsidRPr="00157D1E">
              <w:t>123-03-5</w:t>
            </w:r>
          </w:p>
        </w:tc>
      </w:tr>
      <w:tr w:rsidR="00E40736" w:rsidRPr="00157D1E" w14:paraId="6FF2CEAC" w14:textId="77777777" w:rsidTr="00673149">
        <w:trPr>
          <w:trHeight w:val="401"/>
        </w:trPr>
        <w:tc>
          <w:tcPr>
            <w:tcW w:w="3539" w:type="dxa"/>
            <w:vAlign w:val="center"/>
          </w:tcPr>
          <w:p w14:paraId="101D58FB" w14:textId="5CA8916F" w:rsidR="00E40736" w:rsidRPr="00157D1E" w:rsidRDefault="00E40736" w:rsidP="00924847">
            <w:pPr>
              <w:pStyle w:val="FSTableHeading"/>
              <w:rPr>
                <w:b w:val="0"/>
              </w:rPr>
            </w:pPr>
            <w:r w:rsidRPr="00157D1E">
              <w:t>EC number</w:t>
            </w:r>
            <w:r w:rsidR="003E1538" w:rsidRPr="00157D1E">
              <w:rPr>
                <w:rStyle w:val="FootnoteReference"/>
                <w:b w:val="0"/>
              </w:rPr>
              <w:footnoteReference w:id="6"/>
            </w:r>
            <w:r w:rsidRPr="00157D1E">
              <w:rPr>
                <w:b w:val="0"/>
              </w:rPr>
              <w:tab/>
            </w:r>
          </w:p>
        </w:tc>
        <w:tc>
          <w:tcPr>
            <w:tcW w:w="5954" w:type="dxa"/>
            <w:vAlign w:val="center"/>
          </w:tcPr>
          <w:p w14:paraId="50EB5A44" w14:textId="75EC4AE5" w:rsidR="00E40736" w:rsidRPr="00157D1E" w:rsidRDefault="00E40736" w:rsidP="00924847">
            <w:pPr>
              <w:pStyle w:val="FSTableText"/>
              <w:rPr>
                <w:b/>
              </w:rPr>
            </w:pPr>
            <w:r w:rsidRPr="00157D1E">
              <w:t>204-593-9</w:t>
            </w:r>
          </w:p>
        </w:tc>
      </w:tr>
    </w:tbl>
    <w:p w14:paraId="2BC6BDA1" w14:textId="1E810492" w:rsidR="002F4E37" w:rsidRDefault="00675D90" w:rsidP="00D15757">
      <w:pPr>
        <w:pStyle w:val="Heading2"/>
      </w:pPr>
      <w:bookmarkStart w:id="38" w:name="_Toc92722914"/>
      <w:bookmarkStart w:id="39" w:name="_Toc93592301"/>
      <w:bookmarkStart w:id="40" w:name="_Toc93585312"/>
      <w:bookmarkStart w:id="41" w:name="_Toc97041607"/>
      <w:bookmarkEnd w:id="35"/>
      <w:bookmarkEnd w:id="36"/>
      <w:bookmarkEnd w:id="37"/>
      <w:r w:rsidDel="002F4E37">
        <w:lastRenderedPageBreak/>
        <w:t>2.2</w:t>
      </w:r>
      <w:r w:rsidR="00D6481F">
        <w:tab/>
      </w:r>
      <w:bookmarkStart w:id="42" w:name="_Toc62738976"/>
      <w:bookmarkStart w:id="43" w:name="_Toc62743562"/>
      <w:bookmarkStart w:id="44" w:name="_Toc63330867"/>
      <w:r w:rsidR="002F4E37">
        <w:t xml:space="preserve">Production of </w:t>
      </w:r>
      <w:bookmarkEnd w:id="42"/>
      <w:bookmarkEnd w:id="43"/>
      <w:bookmarkEnd w:id="44"/>
      <w:r w:rsidR="00A061EA">
        <w:t>CPC</w:t>
      </w:r>
      <w:r w:rsidR="00600630">
        <w:t xml:space="preserve"> and </w:t>
      </w:r>
      <w:r w:rsidR="00197D82">
        <w:t xml:space="preserve">the </w:t>
      </w:r>
      <w:r w:rsidR="00600630">
        <w:t>C</w:t>
      </w:r>
      <w:r w:rsidR="00E00872">
        <w:t>PC preparation</w:t>
      </w:r>
      <w:bookmarkEnd w:id="38"/>
      <w:bookmarkEnd w:id="39"/>
      <w:bookmarkEnd w:id="40"/>
      <w:bookmarkEnd w:id="41"/>
      <w:r w:rsidR="00E00872">
        <w:t xml:space="preserve"> </w:t>
      </w:r>
    </w:p>
    <w:p w14:paraId="4EAF7EB4" w14:textId="2BBC7DAB" w:rsidR="002F4E37" w:rsidRDefault="00F668A1" w:rsidP="002F4E37">
      <w:r>
        <w:t>Safe Foods</w:t>
      </w:r>
      <w:r w:rsidR="00E9207E">
        <w:t xml:space="preserve"> provided the manufacturing process for CPC in section A.4 of the application. </w:t>
      </w:r>
      <w:r w:rsidR="00687798">
        <w:t>CPC</w:t>
      </w:r>
      <w:r w:rsidR="00F4158B" w:rsidRPr="00F4158B">
        <w:t xml:space="preserve"> </w:t>
      </w:r>
      <w:r w:rsidR="00687798">
        <w:t xml:space="preserve">is commercially available from a number of chemical suppliers. </w:t>
      </w:r>
    </w:p>
    <w:p w14:paraId="2774F8F2" w14:textId="168B6BCD" w:rsidR="008D3444" w:rsidRDefault="008D3444" w:rsidP="00CC64F4">
      <w:pPr>
        <w:rPr>
          <w:lang w:bidi="ar-SA"/>
        </w:rPr>
      </w:pPr>
    </w:p>
    <w:p w14:paraId="4E7B5B28" w14:textId="3AA2132E" w:rsidR="00710616" w:rsidRDefault="008D3444" w:rsidP="00710616">
      <w:pPr>
        <w:rPr>
          <w:lang w:bidi="ar-SA"/>
        </w:rPr>
      </w:pPr>
      <w:r>
        <w:rPr>
          <w:lang w:bidi="ar-SA"/>
        </w:rPr>
        <w:t xml:space="preserve">FSANZ understands </w:t>
      </w:r>
      <w:r w:rsidR="00600630">
        <w:rPr>
          <w:lang w:bidi="ar-SA"/>
        </w:rPr>
        <w:t>that in order to prepare the</w:t>
      </w:r>
      <w:r w:rsidR="000D2B47">
        <w:rPr>
          <w:lang w:bidi="ar-SA"/>
        </w:rPr>
        <w:t xml:space="preserve"> applicant’s CPC</w:t>
      </w:r>
      <w:r w:rsidR="00600630">
        <w:rPr>
          <w:lang w:bidi="ar-SA"/>
        </w:rPr>
        <w:t xml:space="preserve"> </w:t>
      </w:r>
      <w:r w:rsidR="00197D82">
        <w:rPr>
          <w:lang w:bidi="ar-SA"/>
        </w:rPr>
        <w:t>preparation</w:t>
      </w:r>
      <w:r w:rsidR="00600630">
        <w:rPr>
          <w:lang w:bidi="ar-SA"/>
        </w:rPr>
        <w:t xml:space="preserve">, </w:t>
      </w:r>
      <w:r w:rsidR="00154461">
        <w:rPr>
          <w:lang w:bidi="ar-SA"/>
        </w:rPr>
        <w:t xml:space="preserve">propylene glycol </w:t>
      </w:r>
      <w:r>
        <w:rPr>
          <w:lang w:bidi="ar-SA"/>
        </w:rPr>
        <w:t xml:space="preserve">is added to the CPC monohydrate as a solvent to </w:t>
      </w:r>
      <w:r w:rsidR="007B632C">
        <w:rPr>
          <w:lang w:bidi="ar-SA"/>
        </w:rPr>
        <w:t>dissolve</w:t>
      </w:r>
      <w:r>
        <w:rPr>
          <w:lang w:bidi="ar-SA"/>
        </w:rPr>
        <w:t xml:space="preserve"> the crystallised form</w:t>
      </w:r>
      <w:r w:rsidR="007B632C">
        <w:rPr>
          <w:lang w:bidi="ar-SA"/>
        </w:rPr>
        <w:t xml:space="preserve"> and produce an aqueous solution</w:t>
      </w:r>
      <w:r w:rsidR="00154461">
        <w:rPr>
          <w:lang w:bidi="ar-SA"/>
        </w:rPr>
        <w:t xml:space="preserve">. </w:t>
      </w:r>
      <w:r w:rsidR="000D2B47" w:rsidDel="000E22D0">
        <w:rPr>
          <w:lang w:bidi="ar-SA"/>
        </w:rPr>
        <w:t>Propylene glycol</w:t>
      </w:r>
      <w:r w:rsidR="008E46C3" w:rsidDel="000E22D0">
        <w:rPr>
          <w:lang w:bidi="ar-SA"/>
        </w:rPr>
        <w:t xml:space="preserve"> is therefore used as a processing aid in the processing of the CPC preparation. </w:t>
      </w:r>
      <w:r w:rsidR="00F668A1">
        <w:rPr>
          <w:lang w:bidi="ar-SA"/>
        </w:rPr>
        <w:t>Safe Foods</w:t>
      </w:r>
      <w:r w:rsidR="00154461">
        <w:rPr>
          <w:lang w:bidi="ar-SA"/>
        </w:rPr>
        <w:t xml:space="preserve"> states that propylene glycol </w:t>
      </w:r>
      <w:r w:rsidRPr="00EA1258" w:rsidDel="000E22D0">
        <w:rPr>
          <w:lang w:bidi="ar-SA"/>
        </w:rPr>
        <w:t xml:space="preserve">also </w:t>
      </w:r>
      <w:r w:rsidRPr="00EA1258">
        <w:rPr>
          <w:lang w:bidi="ar-SA"/>
        </w:rPr>
        <w:t>function</w:t>
      </w:r>
      <w:r w:rsidRPr="00EA1258" w:rsidDel="000E22D0">
        <w:rPr>
          <w:lang w:bidi="ar-SA"/>
        </w:rPr>
        <w:t>s</w:t>
      </w:r>
      <w:r w:rsidRPr="00EA1258">
        <w:rPr>
          <w:lang w:bidi="ar-SA"/>
        </w:rPr>
        <w:t xml:space="preserve"> in the </w:t>
      </w:r>
      <w:r w:rsidR="00E00872">
        <w:rPr>
          <w:lang w:bidi="ar-SA"/>
        </w:rPr>
        <w:t>CPC preparation</w:t>
      </w:r>
      <w:r w:rsidRPr="00EA1258">
        <w:rPr>
          <w:lang w:bidi="ar-SA"/>
        </w:rPr>
        <w:t xml:space="preserve"> to maintain the solubility and stabilit</w:t>
      </w:r>
      <w:r>
        <w:rPr>
          <w:lang w:bidi="ar-SA"/>
        </w:rPr>
        <w:t xml:space="preserve">y. </w:t>
      </w:r>
    </w:p>
    <w:p w14:paraId="12BFD097" w14:textId="77777777" w:rsidR="00710616" w:rsidRDefault="00710616" w:rsidP="00710616">
      <w:pPr>
        <w:rPr>
          <w:lang w:bidi="ar-SA"/>
        </w:rPr>
      </w:pPr>
    </w:p>
    <w:p w14:paraId="581A4A4F" w14:textId="4F13F578" w:rsidR="00710616" w:rsidRDefault="00710616" w:rsidP="002F4E37">
      <w:pPr>
        <w:rPr>
          <w:lang w:bidi="ar-SA"/>
        </w:rPr>
      </w:pPr>
      <w:r>
        <w:rPr>
          <w:lang w:bidi="ar-SA"/>
        </w:rPr>
        <w:t xml:space="preserve">Propylene glycol is listed as an ‘additive permitted at GMP’ in section S16—2. This means that it can be used as a food additive in the CPC preparation subject to the requirement that that use be consistent with GMP. As it is an additive permitted at GMP, section 1.3.3—4 of the Code permits the use of propylene glycol as a processing aid in any food (including the CPC preparation) provided that the propylene glycol is used only at a level necessary to achieve the relevant technological purpose in the processing of that food. </w:t>
      </w:r>
    </w:p>
    <w:p w14:paraId="2253E60D" w14:textId="02543DA9" w:rsidR="00A061EA" w:rsidRDefault="00A061EA" w:rsidP="00D15757">
      <w:pPr>
        <w:pStyle w:val="Heading2"/>
      </w:pPr>
      <w:bookmarkStart w:id="45" w:name="_Toc92722915"/>
      <w:bookmarkStart w:id="46" w:name="_Toc93592302"/>
      <w:bookmarkStart w:id="47" w:name="_Toc93585313"/>
      <w:bookmarkStart w:id="48" w:name="_Toc97041608"/>
      <w:r>
        <w:t>2.3</w:t>
      </w:r>
      <w:r w:rsidR="00D6481F">
        <w:tab/>
      </w:r>
      <w:r>
        <w:t>Product specification</w:t>
      </w:r>
      <w:bookmarkEnd w:id="45"/>
      <w:bookmarkEnd w:id="46"/>
      <w:bookmarkEnd w:id="47"/>
      <w:bookmarkEnd w:id="48"/>
    </w:p>
    <w:p w14:paraId="07AD5565" w14:textId="43887D1D" w:rsidR="00A061EA" w:rsidRDefault="00033E15" w:rsidP="00A061EA">
      <w:pPr>
        <w:rPr>
          <w:lang w:bidi="ar-SA"/>
        </w:rPr>
      </w:pPr>
      <w:r>
        <w:rPr>
          <w:lang w:bidi="ar-SA"/>
        </w:rPr>
        <w:t xml:space="preserve">Processing aids must meet relevant specifications in Schedule 3. </w:t>
      </w:r>
      <w:r w:rsidR="00A061EA">
        <w:rPr>
          <w:lang w:bidi="ar-SA"/>
        </w:rPr>
        <w:t>There is a specification for CPC in the Food Chemicals Codex (</w:t>
      </w:r>
      <w:r w:rsidR="00710616" w:rsidRPr="00710616">
        <w:rPr>
          <w:lang w:bidi="ar-SA"/>
        </w:rPr>
        <w:t>United States Pharmacopeial Convention</w:t>
      </w:r>
      <w:r w:rsidR="00153DF8">
        <w:rPr>
          <w:lang w:bidi="ar-SA"/>
        </w:rPr>
        <w:t xml:space="preserve"> 20</w:t>
      </w:r>
      <w:r w:rsidR="00710616">
        <w:rPr>
          <w:lang w:bidi="ar-SA"/>
        </w:rPr>
        <w:t>20</w:t>
      </w:r>
      <w:r w:rsidR="00153DF8">
        <w:rPr>
          <w:lang w:bidi="ar-SA"/>
        </w:rPr>
        <w:t xml:space="preserve">). </w:t>
      </w:r>
      <w:r w:rsidR="00A061EA">
        <w:rPr>
          <w:lang w:bidi="ar-SA"/>
        </w:rPr>
        <w:t>Th</w:t>
      </w:r>
      <w:r>
        <w:rPr>
          <w:lang w:bidi="ar-SA"/>
        </w:rPr>
        <w:t>e</w:t>
      </w:r>
      <w:r w:rsidR="00A061EA">
        <w:rPr>
          <w:lang w:bidi="ar-SA"/>
        </w:rPr>
        <w:t xml:space="preserve"> </w:t>
      </w:r>
      <w:r>
        <w:rPr>
          <w:lang w:bidi="ar-SA"/>
        </w:rPr>
        <w:t>Food Chemicals Codex</w:t>
      </w:r>
      <w:r w:rsidR="00A061EA">
        <w:rPr>
          <w:lang w:bidi="ar-SA"/>
        </w:rPr>
        <w:t xml:space="preserve"> is a primary source </w:t>
      </w:r>
      <w:r>
        <w:rPr>
          <w:lang w:bidi="ar-SA"/>
        </w:rPr>
        <w:t>of specifications</w:t>
      </w:r>
      <w:r w:rsidR="00A061EA">
        <w:rPr>
          <w:lang w:bidi="ar-SA"/>
        </w:rPr>
        <w:t xml:space="preserve"> listed in Schedule </w:t>
      </w:r>
      <w:r w:rsidR="003572FC">
        <w:rPr>
          <w:lang w:bidi="ar-SA"/>
        </w:rPr>
        <w:t>3</w:t>
      </w:r>
      <w:r w:rsidR="00A061EA">
        <w:rPr>
          <w:lang w:bidi="ar-SA"/>
        </w:rPr>
        <w:t xml:space="preserve"> of the Code. </w:t>
      </w:r>
    </w:p>
    <w:p w14:paraId="1FB1C0E9" w14:textId="77777777" w:rsidR="00A061EA" w:rsidRDefault="00A061EA" w:rsidP="00A061EA">
      <w:pPr>
        <w:rPr>
          <w:lang w:bidi="ar-SA"/>
        </w:rPr>
      </w:pPr>
    </w:p>
    <w:p w14:paraId="01426D7C" w14:textId="07C6FDD9" w:rsidR="00A061EA" w:rsidRDefault="00A061EA" w:rsidP="00A061EA">
      <w:pPr>
        <w:rPr>
          <w:lang w:bidi="ar-SA"/>
        </w:rPr>
      </w:pPr>
      <w:r>
        <w:rPr>
          <w:lang w:bidi="ar-SA"/>
        </w:rPr>
        <w:t xml:space="preserve">The application includes </w:t>
      </w:r>
      <w:r w:rsidR="00E9207E">
        <w:rPr>
          <w:lang w:bidi="ar-SA"/>
        </w:rPr>
        <w:t xml:space="preserve">the specification and </w:t>
      </w:r>
      <w:r>
        <w:rPr>
          <w:lang w:bidi="ar-SA"/>
        </w:rPr>
        <w:t>certificate</w:t>
      </w:r>
      <w:r w:rsidR="00033E15">
        <w:rPr>
          <w:lang w:bidi="ar-SA"/>
        </w:rPr>
        <w:t>s</w:t>
      </w:r>
      <w:r>
        <w:rPr>
          <w:lang w:bidi="ar-SA"/>
        </w:rPr>
        <w:t xml:space="preserve"> of analysis from two suppliers </w:t>
      </w:r>
      <w:r w:rsidR="00E9207E">
        <w:rPr>
          <w:lang w:bidi="ar-SA"/>
        </w:rPr>
        <w:t>indicating</w:t>
      </w:r>
      <w:r w:rsidR="00CE3556">
        <w:rPr>
          <w:lang w:bidi="ar-SA"/>
        </w:rPr>
        <w:t xml:space="preserve"> </w:t>
      </w:r>
      <w:r w:rsidR="00545D92">
        <w:rPr>
          <w:lang w:bidi="ar-SA"/>
        </w:rPr>
        <w:t>the</w:t>
      </w:r>
      <w:r w:rsidR="00CE3556">
        <w:rPr>
          <w:lang w:bidi="ar-SA"/>
        </w:rPr>
        <w:t xml:space="preserve"> </w:t>
      </w:r>
      <w:r>
        <w:rPr>
          <w:lang w:bidi="ar-SA"/>
        </w:rPr>
        <w:t xml:space="preserve">CPC </w:t>
      </w:r>
      <w:r w:rsidR="00F668A1">
        <w:rPr>
          <w:lang w:bidi="ar-SA"/>
        </w:rPr>
        <w:t>used by Safe Foods</w:t>
      </w:r>
      <w:r>
        <w:rPr>
          <w:lang w:bidi="ar-SA"/>
        </w:rPr>
        <w:t xml:space="preserve"> meets the </w:t>
      </w:r>
      <w:r w:rsidR="00CE3556">
        <w:rPr>
          <w:lang w:bidi="ar-SA"/>
        </w:rPr>
        <w:t>Food Chemical</w:t>
      </w:r>
      <w:r w:rsidR="00403FF1">
        <w:rPr>
          <w:lang w:bidi="ar-SA"/>
        </w:rPr>
        <w:t>s</w:t>
      </w:r>
      <w:r w:rsidR="00CE3556">
        <w:rPr>
          <w:lang w:bidi="ar-SA"/>
        </w:rPr>
        <w:t xml:space="preserve"> Codex </w:t>
      </w:r>
      <w:r>
        <w:rPr>
          <w:lang w:bidi="ar-SA"/>
        </w:rPr>
        <w:t>specification</w:t>
      </w:r>
      <w:r w:rsidR="00403FF1">
        <w:rPr>
          <w:lang w:bidi="ar-SA"/>
        </w:rPr>
        <w:t xml:space="preserve">. </w:t>
      </w:r>
      <w:r w:rsidR="00CE3556">
        <w:rPr>
          <w:lang w:bidi="ar-SA"/>
        </w:rPr>
        <w:t xml:space="preserve"> </w:t>
      </w:r>
    </w:p>
    <w:p w14:paraId="3EDB73FA" w14:textId="53486738" w:rsidR="0075297A" w:rsidRDefault="0075297A" w:rsidP="00D15757">
      <w:pPr>
        <w:pStyle w:val="Heading2"/>
      </w:pPr>
      <w:bookmarkStart w:id="49" w:name="_Toc62738973"/>
      <w:bookmarkStart w:id="50" w:name="_Toc62743559"/>
      <w:bookmarkStart w:id="51" w:name="_Toc63330864"/>
      <w:bookmarkStart w:id="52" w:name="_Toc92722916"/>
      <w:bookmarkStart w:id="53" w:name="_Toc93592303"/>
      <w:bookmarkStart w:id="54" w:name="_Toc93585314"/>
      <w:bookmarkStart w:id="55" w:name="_Toc97041609"/>
      <w:r>
        <w:t>2.4</w:t>
      </w:r>
      <w:r w:rsidR="00D6481F">
        <w:tab/>
      </w:r>
      <w:r>
        <w:t>Technological purpose</w:t>
      </w:r>
      <w:bookmarkEnd w:id="49"/>
      <w:bookmarkEnd w:id="50"/>
      <w:bookmarkEnd w:id="51"/>
      <w:r w:rsidR="00904862">
        <w:t xml:space="preserve"> and justification</w:t>
      </w:r>
      <w:bookmarkEnd w:id="52"/>
      <w:bookmarkEnd w:id="53"/>
      <w:bookmarkEnd w:id="54"/>
      <w:bookmarkEnd w:id="55"/>
    </w:p>
    <w:p w14:paraId="382969AA" w14:textId="0B77956C" w:rsidR="00197D82" w:rsidRDefault="00A2191D" w:rsidP="00B029A4">
      <w:pPr>
        <w:rPr>
          <w:lang w:bidi="ar-SA"/>
        </w:rPr>
      </w:pPr>
      <w:r>
        <w:rPr>
          <w:lang w:bidi="ar-SA"/>
        </w:rPr>
        <w:t xml:space="preserve">The </w:t>
      </w:r>
      <w:r w:rsidR="0075280C">
        <w:rPr>
          <w:lang w:bidi="ar-SA"/>
        </w:rPr>
        <w:t xml:space="preserve">requested </w:t>
      </w:r>
      <w:r>
        <w:rPr>
          <w:lang w:bidi="ar-SA"/>
        </w:rPr>
        <w:t xml:space="preserve">technological purpose </w:t>
      </w:r>
      <w:r w:rsidDel="00A061EA">
        <w:rPr>
          <w:lang w:bidi="ar-SA"/>
        </w:rPr>
        <w:t xml:space="preserve">for </w:t>
      </w:r>
      <w:r w:rsidR="00881CC6">
        <w:rPr>
          <w:lang w:bidi="ar-SA"/>
        </w:rPr>
        <w:t>the</w:t>
      </w:r>
      <w:r>
        <w:rPr>
          <w:lang w:bidi="ar-SA"/>
        </w:rPr>
        <w:t xml:space="preserve"> </w:t>
      </w:r>
      <w:r w:rsidR="00600630">
        <w:rPr>
          <w:lang w:bidi="ar-SA"/>
        </w:rPr>
        <w:t>use of</w:t>
      </w:r>
      <w:r w:rsidR="00881CC6" w:rsidRPr="00881CC6">
        <w:rPr>
          <w:lang w:bidi="ar-SA"/>
        </w:rPr>
        <w:t xml:space="preserve"> CPC </w:t>
      </w:r>
      <w:r w:rsidR="009E391F">
        <w:rPr>
          <w:lang w:bidi="ar-SA"/>
        </w:rPr>
        <w:t xml:space="preserve">is that of </w:t>
      </w:r>
      <w:r>
        <w:rPr>
          <w:lang w:bidi="ar-SA"/>
        </w:rPr>
        <w:t>an antimicro</w:t>
      </w:r>
      <w:r w:rsidR="00EB01DD">
        <w:rPr>
          <w:lang w:bidi="ar-SA"/>
        </w:rPr>
        <w:t xml:space="preserve">bial </w:t>
      </w:r>
      <w:r w:rsidR="009E391F">
        <w:rPr>
          <w:lang w:bidi="ar-SA"/>
        </w:rPr>
        <w:t>agent</w:t>
      </w:r>
      <w:r w:rsidR="009E391F" w:rsidRPr="009E391F">
        <w:rPr>
          <w:lang w:bidi="ar-SA"/>
        </w:rPr>
        <w:t xml:space="preserve"> to treat the inner and outer surfaces of raw poultry</w:t>
      </w:r>
      <w:r w:rsidR="00600630">
        <w:rPr>
          <w:lang w:bidi="ar-SA"/>
        </w:rPr>
        <w:t xml:space="preserve">. </w:t>
      </w:r>
      <w:r w:rsidR="00512F40">
        <w:rPr>
          <w:lang w:bidi="ar-SA"/>
        </w:rPr>
        <w:t xml:space="preserve">Raw </w:t>
      </w:r>
      <w:r w:rsidR="00512F40" w:rsidRPr="00C51C7B">
        <w:rPr>
          <w:lang w:bidi="ar-SA"/>
        </w:rPr>
        <w:t xml:space="preserve">poultry </w:t>
      </w:r>
      <w:r w:rsidR="009E391F">
        <w:rPr>
          <w:lang w:bidi="ar-SA"/>
        </w:rPr>
        <w:t>inherently</w:t>
      </w:r>
      <w:r w:rsidR="009E391F" w:rsidRPr="00C51C7B">
        <w:rPr>
          <w:lang w:bidi="ar-SA"/>
        </w:rPr>
        <w:t xml:space="preserve"> </w:t>
      </w:r>
      <w:r w:rsidR="00197D82" w:rsidRPr="00C51C7B">
        <w:rPr>
          <w:lang w:bidi="ar-SA"/>
        </w:rPr>
        <w:t>carr</w:t>
      </w:r>
      <w:r w:rsidR="00C90E31">
        <w:rPr>
          <w:lang w:bidi="ar-SA"/>
        </w:rPr>
        <w:t>ies</w:t>
      </w:r>
      <w:r w:rsidR="00197D82" w:rsidRPr="00C51C7B">
        <w:rPr>
          <w:lang w:bidi="ar-SA"/>
        </w:rPr>
        <w:t xml:space="preserve"> a wide range of microorganisms, some of which are potential human pathogens</w:t>
      </w:r>
      <w:r w:rsidR="00512F40" w:rsidRPr="00C51C7B">
        <w:rPr>
          <w:lang w:bidi="ar-SA"/>
        </w:rPr>
        <w:t xml:space="preserve">. Pathogens of particular concern in poultry </w:t>
      </w:r>
      <w:r w:rsidR="00197D82" w:rsidRPr="00C51C7B">
        <w:rPr>
          <w:lang w:bidi="ar-SA"/>
        </w:rPr>
        <w:t xml:space="preserve">include </w:t>
      </w:r>
      <w:r w:rsidR="00197D82" w:rsidRPr="00C12545">
        <w:rPr>
          <w:i/>
          <w:lang w:bidi="ar-SA"/>
        </w:rPr>
        <w:t>Salmonella</w:t>
      </w:r>
      <w:r w:rsidR="00197D82" w:rsidRPr="00C51C7B">
        <w:rPr>
          <w:lang w:bidi="ar-SA"/>
        </w:rPr>
        <w:t xml:space="preserve"> sp</w:t>
      </w:r>
      <w:r w:rsidR="000875CB">
        <w:rPr>
          <w:lang w:bidi="ar-SA"/>
        </w:rPr>
        <w:t>ecies</w:t>
      </w:r>
      <w:r w:rsidR="00197D82" w:rsidRPr="00C51C7B">
        <w:rPr>
          <w:lang w:bidi="ar-SA"/>
        </w:rPr>
        <w:t xml:space="preserve"> and </w:t>
      </w:r>
      <w:r w:rsidR="00197D82" w:rsidRPr="00C12545">
        <w:rPr>
          <w:i/>
          <w:lang w:bidi="ar-SA"/>
        </w:rPr>
        <w:t>Campylobacter</w:t>
      </w:r>
      <w:r w:rsidR="00197D82" w:rsidRPr="00C51C7B">
        <w:rPr>
          <w:lang w:bidi="ar-SA"/>
        </w:rPr>
        <w:t xml:space="preserve"> sp</w:t>
      </w:r>
      <w:r w:rsidR="000875CB">
        <w:rPr>
          <w:lang w:bidi="ar-SA"/>
        </w:rPr>
        <w:t>ecies</w:t>
      </w:r>
      <w:r w:rsidR="00197D82" w:rsidRPr="00C51C7B">
        <w:rPr>
          <w:lang w:bidi="ar-SA"/>
        </w:rPr>
        <w:t xml:space="preserve">. These two organisms are the leading cause of zoonotic intestinal infections in developed countries, including Australia, and have frequently been isolated from raw </w:t>
      </w:r>
      <w:r w:rsidR="00B847A9">
        <w:rPr>
          <w:lang w:bidi="ar-SA"/>
        </w:rPr>
        <w:t xml:space="preserve">and undercooked </w:t>
      </w:r>
      <w:r w:rsidR="00197D82" w:rsidRPr="00C51C7B">
        <w:rPr>
          <w:lang w:bidi="ar-SA"/>
        </w:rPr>
        <w:t xml:space="preserve">poultry meat and </w:t>
      </w:r>
      <w:r w:rsidR="00197D82" w:rsidRPr="00B847A9">
        <w:rPr>
          <w:lang w:bidi="ar-SA"/>
        </w:rPr>
        <w:t>implicated in fo</w:t>
      </w:r>
      <w:r w:rsidR="00153DF8" w:rsidRPr="00B847A9">
        <w:rPr>
          <w:lang w:bidi="ar-SA"/>
        </w:rPr>
        <w:t>odborne illness</w:t>
      </w:r>
      <w:r w:rsidR="00B847A9">
        <w:rPr>
          <w:lang w:bidi="ar-SA"/>
        </w:rPr>
        <w:t xml:space="preserve"> (Bell et al 2021; Lee and Yoon 2021)</w:t>
      </w:r>
      <w:r w:rsidR="00153DF8">
        <w:rPr>
          <w:lang w:bidi="ar-SA"/>
        </w:rPr>
        <w:t>.</w:t>
      </w:r>
      <w:r w:rsidR="00322913">
        <w:rPr>
          <w:lang w:bidi="ar-SA"/>
        </w:rPr>
        <w:t xml:space="preserve"> Efforts to reduce foodborne illness due to </w:t>
      </w:r>
      <w:r w:rsidR="00322913" w:rsidRPr="00322913">
        <w:rPr>
          <w:i/>
          <w:lang w:bidi="ar-SA"/>
        </w:rPr>
        <w:t>Salmonella</w:t>
      </w:r>
      <w:r w:rsidR="00322913" w:rsidRPr="00322913">
        <w:rPr>
          <w:lang w:bidi="ar-SA"/>
        </w:rPr>
        <w:t xml:space="preserve"> and </w:t>
      </w:r>
      <w:r w:rsidR="00322913" w:rsidRPr="00322913">
        <w:rPr>
          <w:i/>
          <w:lang w:bidi="ar-SA"/>
        </w:rPr>
        <w:t>Campylobacter</w:t>
      </w:r>
      <w:r w:rsidR="00322913">
        <w:rPr>
          <w:lang w:bidi="ar-SA"/>
        </w:rPr>
        <w:t xml:space="preserve"> ha</w:t>
      </w:r>
      <w:r w:rsidR="00A97161">
        <w:rPr>
          <w:lang w:bidi="ar-SA"/>
        </w:rPr>
        <w:t>ve</w:t>
      </w:r>
      <w:r w:rsidR="00322913">
        <w:rPr>
          <w:lang w:bidi="ar-SA"/>
        </w:rPr>
        <w:t xml:space="preserve"> been recognised as a high priority in Australia, given effect through </w:t>
      </w:r>
      <w:r w:rsidR="00322913" w:rsidRPr="00322913">
        <w:rPr>
          <w:i/>
          <w:lang w:bidi="ar-SA"/>
        </w:rPr>
        <w:t>Australia’s Foodborne Illness Reduction Strategy 2018‒2021+</w:t>
      </w:r>
      <w:r w:rsidR="00322913">
        <w:rPr>
          <w:lang w:bidi="ar-SA"/>
        </w:rPr>
        <w:t>.</w:t>
      </w:r>
      <w:r w:rsidR="00322913">
        <w:rPr>
          <w:rStyle w:val="FootnoteReference"/>
          <w:lang w:bidi="ar-SA"/>
        </w:rPr>
        <w:footnoteReference w:id="7"/>
      </w:r>
    </w:p>
    <w:p w14:paraId="7259C518" w14:textId="77777777" w:rsidR="00AE0EE4" w:rsidRDefault="00AE0EE4" w:rsidP="00B029A4">
      <w:pPr>
        <w:rPr>
          <w:lang w:bidi="ar-SA"/>
        </w:rPr>
      </w:pPr>
    </w:p>
    <w:p w14:paraId="0AA7A5D8" w14:textId="7466371B" w:rsidR="00F770CE" w:rsidRDefault="00AE0EE4" w:rsidP="00472E72">
      <w:pPr>
        <w:rPr>
          <w:lang w:bidi="ar-SA"/>
        </w:rPr>
      </w:pPr>
      <w:r>
        <w:rPr>
          <w:lang w:bidi="ar-SA"/>
        </w:rPr>
        <w:t>The major steps in the processing of poultry</w:t>
      </w:r>
      <w:r w:rsidR="00625ABD">
        <w:rPr>
          <w:lang w:bidi="ar-SA"/>
        </w:rPr>
        <w:t xml:space="preserve"> following de</w:t>
      </w:r>
      <w:r w:rsidR="00F770CE">
        <w:rPr>
          <w:lang w:bidi="ar-SA"/>
        </w:rPr>
        <w:t>-</w:t>
      </w:r>
      <w:r w:rsidR="00625ABD">
        <w:rPr>
          <w:lang w:bidi="ar-SA"/>
        </w:rPr>
        <w:t xml:space="preserve">feathering are evisceration (removal of internal organs), chilling, portioning (if not selling as a whole carcass), storage and distribution (FSANZ 2005). </w:t>
      </w:r>
      <w:r w:rsidR="00F770CE">
        <w:rPr>
          <w:lang w:bidi="ar-SA"/>
        </w:rPr>
        <w:t xml:space="preserve">The CPC preparation </w:t>
      </w:r>
      <w:r w:rsidR="004162B6">
        <w:rPr>
          <w:lang w:bidi="ar-SA"/>
        </w:rPr>
        <w:t>is</w:t>
      </w:r>
      <w:r w:rsidR="00F770CE">
        <w:rPr>
          <w:lang w:bidi="ar-SA"/>
        </w:rPr>
        <w:t xml:space="preserve"> diluted with potable water and that solution </w:t>
      </w:r>
      <w:r w:rsidR="00A85E99">
        <w:rPr>
          <w:lang w:bidi="ar-SA"/>
        </w:rPr>
        <w:t xml:space="preserve">is </w:t>
      </w:r>
      <w:r w:rsidR="00F770CE">
        <w:rPr>
          <w:lang w:bidi="ar-SA"/>
        </w:rPr>
        <w:t xml:space="preserve">used to treat raw poultry carcasses and poultry </w:t>
      </w:r>
      <w:r w:rsidR="00F668A1">
        <w:rPr>
          <w:lang w:bidi="ar-SA"/>
        </w:rPr>
        <w:t>pieces</w:t>
      </w:r>
      <w:r w:rsidR="00F770CE">
        <w:rPr>
          <w:lang w:bidi="ar-SA"/>
        </w:rPr>
        <w:t xml:space="preserve">. </w:t>
      </w:r>
      <w:r w:rsidR="00FA5623">
        <w:rPr>
          <w:lang w:bidi="ar-SA"/>
        </w:rPr>
        <w:t>Safe Foods</w:t>
      </w:r>
      <w:r w:rsidR="00625ABD">
        <w:rPr>
          <w:lang w:bidi="ar-SA"/>
        </w:rPr>
        <w:t xml:space="preserve"> stated that the </w:t>
      </w:r>
      <w:r w:rsidR="00F770CE">
        <w:rPr>
          <w:lang w:bidi="ar-SA"/>
        </w:rPr>
        <w:t xml:space="preserve">diluted </w:t>
      </w:r>
      <w:r w:rsidR="00625ABD">
        <w:rPr>
          <w:lang w:bidi="ar-SA"/>
        </w:rPr>
        <w:t>CPC preparation</w:t>
      </w:r>
      <w:r w:rsidR="00F770CE">
        <w:rPr>
          <w:lang w:bidi="ar-SA"/>
        </w:rPr>
        <w:t xml:space="preserve"> </w:t>
      </w:r>
      <w:r w:rsidR="00625ABD">
        <w:rPr>
          <w:lang w:bidi="ar-SA"/>
        </w:rPr>
        <w:t>would be applied</w:t>
      </w:r>
      <w:r w:rsidR="00F770CE" w:rsidRPr="00F770CE">
        <w:rPr>
          <w:lang w:bidi="ar-SA"/>
        </w:rPr>
        <w:t xml:space="preserve"> </w:t>
      </w:r>
      <w:r w:rsidR="00F770CE">
        <w:rPr>
          <w:lang w:bidi="ar-SA"/>
        </w:rPr>
        <w:t>at the poultry processing premises either by:</w:t>
      </w:r>
    </w:p>
    <w:p w14:paraId="48B0786F" w14:textId="77777777" w:rsidR="00F668A1" w:rsidRDefault="00F668A1" w:rsidP="00472E72">
      <w:pPr>
        <w:rPr>
          <w:lang w:bidi="ar-SA"/>
        </w:rPr>
      </w:pPr>
    </w:p>
    <w:p w14:paraId="576276A3" w14:textId="13F8FF26" w:rsidR="00F770CE" w:rsidRPr="00F770CE" w:rsidRDefault="00F770CE" w:rsidP="00F770CE">
      <w:pPr>
        <w:pStyle w:val="ListParagraph"/>
        <w:numPr>
          <w:ilvl w:val="0"/>
          <w:numId w:val="21"/>
        </w:numPr>
        <w:ind w:left="567" w:hanging="567"/>
        <w:rPr>
          <w:rFonts w:cs="Arial"/>
          <w:lang w:bidi="ar-SA"/>
        </w:rPr>
      </w:pPr>
      <w:r>
        <w:rPr>
          <w:lang w:bidi="ar-SA"/>
        </w:rPr>
        <w:t xml:space="preserve">spraying </w:t>
      </w:r>
      <w:r w:rsidR="00F92B7C">
        <w:rPr>
          <w:lang w:bidi="ar-SA"/>
        </w:rPr>
        <w:t xml:space="preserve">the solution </w:t>
      </w:r>
      <w:r>
        <w:rPr>
          <w:lang w:bidi="ar-SA"/>
        </w:rPr>
        <w:t>onto</w:t>
      </w:r>
      <w:r w:rsidR="00625ABD">
        <w:rPr>
          <w:lang w:bidi="ar-SA"/>
        </w:rPr>
        <w:t xml:space="preserve"> whole carcasses following evisceration</w:t>
      </w:r>
      <w:r w:rsidR="00FA5623">
        <w:rPr>
          <w:lang w:bidi="ar-SA"/>
        </w:rPr>
        <w:t xml:space="preserve">, </w:t>
      </w:r>
      <w:r w:rsidR="00F668A1">
        <w:rPr>
          <w:lang w:bidi="ar-SA"/>
        </w:rPr>
        <w:t>either</w:t>
      </w:r>
      <w:r w:rsidR="00625ABD">
        <w:rPr>
          <w:lang w:bidi="ar-SA"/>
        </w:rPr>
        <w:t xml:space="preserve"> prior to entry to the chiller</w:t>
      </w:r>
      <w:r w:rsidR="00F668A1">
        <w:rPr>
          <w:lang w:bidi="ar-SA"/>
        </w:rPr>
        <w:t xml:space="preserve"> or post chilling</w:t>
      </w:r>
    </w:p>
    <w:p w14:paraId="579F756E" w14:textId="18241CB7" w:rsidR="00C51C7B" w:rsidRPr="00F770CE" w:rsidRDefault="00F770CE" w:rsidP="00F770CE">
      <w:pPr>
        <w:pStyle w:val="ListParagraph"/>
        <w:numPr>
          <w:ilvl w:val="0"/>
          <w:numId w:val="21"/>
        </w:numPr>
        <w:ind w:left="567" w:hanging="567"/>
        <w:rPr>
          <w:rFonts w:cs="Arial"/>
          <w:lang w:bidi="ar-SA"/>
        </w:rPr>
      </w:pPr>
      <w:r>
        <w:rPr>
          <w:lang w:bidi="ar-SA"/>
        </w:rPr>
        <w:t xml:space="preserve">dipping of poultry pieces </w:t>
      </w:r>
      <w:r w:rsidR="00F92B7C">
        <w:rPr>
          <w:lang w:bidi="ar-SA"/>
        </w:rPr>
        <w:t xml:space="preserve">into the solution </w:t>
      </w:r>
      <w:r>
        <w:rPr>
          <w:lang w:bidi="ar-SA"/>
        </w:rPr>
        <w:t>following evisceration and chilling</w:t>
      </w:r>
      <w:r w:rsidR="00153DF8">
        <w:rPr>
          <w:lang w:bidi="ar-SA"/>
        </w:rPr>
        <w:t xml:space="preserve"> of whole carcasses.</w:t>
      </w:r>
    </w:p>
    <w:p w14:paraId="4BF90DD8" w14:textId="5FFD9FBC" w:rsidR="00625ABD" w:rsidRDefault="00625ABD" w:rsidP="00472E72">
      <w:pPr>
        <w:rPr>
          <w:rFonts w:cs="Arial"/>
          <w:lang w:bidi="ar-SA"/>
        </w:rPr>
      </w:pPr>
    </w:p>
    <w:p w14:paraId="1FE5D919" w14:textId="0FB59462" w:rsidR="00FB5592" w:rsidRDefault="00A85E99" w:rsidP="00472E72">
      <w:pPr>
        <w:rPr>
          <w:rFonts w:cs="Arial"/>
          <w:lang w:bidi="ar-SA"/>
        </w:rPr>
      </w:pPr>
      <w:r>
        <w:rPr>
          <w:rFonts w:cs="Arial"/>
          <w:lang w:bidi="ar-SA"/>
        </w:rPr>
        <w:lastRenderedPageBreak/>
        <w:t>T</w:t>
      </w:r>
      <w:r w:rsidR="00DB1CC1">
        <w:rPr>
          <w:rFonts w:cs="Arial"/>
          <w:lang w:bidi="ar-SA"/>
        </w:rPr>
        <w:t>he poultry carcass</w:t>
      </w:r>
      <w:r w:rsidR="00D005B3">
        <w:rPr>
          <w:rFonts w:cs="Arial"/>
          <w:lang w:bidi="ar-SA"/>
        </w:rPr>
        <w:t>es</w:t>
      </w:r>
      <w:r w:rsidR="00DB1CC1">
        <w:rPr>
          <w:rFonts w:cs="Arial"/>
          <w:lang w:bidi="ar-SA"/>
        </w:rPr>
        <w:t xml:space="preserve"> or </w:t>
      </w:r>
      <w:r w:rsidR="00F668A1">
        <w:rPr>
          <w:rFonts w:cs="Arial"/>
          <w:lang w:bidi="ar-SA"/>
        </w:rPr>
        <w:t>pieces</w:t>
      </w:r>
      <w:r w:rsidR="00DB1CC1">
        <w:rPr>
          <w:rFonts w:cs="Arial"/>
          <w:lang w:bidi="ar-SA"/>
        </w:rPr>
        <w:t xml:space="preserve"> </w:t>
      </w:r>
      <w:r>
        <w:rPr>
          <w:rFonts w:cs="Arial"/>
          <w:lang w:bidi="ar-SA"/>
        </w:rPr>
        <w:t xml:space="preserve">are </w:t>
      </w:r>
      <w:r w:rsidR="00FA5623">
        <w:rPr>
          <w:rFonts w:cs="Arial"/>
          <w:lang w:bidi="ar-SA"/>
        </w:rPr>
        <w:t xml:space="preserve">then </w:t>
      </w:r>
      <w:r>
        <w:rPr>
          <w:rFonts w:cs="Arial"/>
          <w:lang w:bidi="ar-SA"/>
        </w:rPr>
        <w:t xml:space="preserve">rinsed </w:t>
      </w:r>
      <w:r w:rsidR="00DB1CC1">
        <w:rPr>
          <w:rFonts w:cs="Arial"/>
          <w:lang w:bidi="ar-SA"/>
        </w:rPr>
        <w:t xml:space="preserve">in potable water following the treatment outlined above. </w:t>
      </w:r>
    </w:p>
    <w:p w14:paraId="091136D4" w14:textId="77777777" w:rsidR="00FB5592" w:rsidDel="00295983" w:rsidRDefault="00FB5592" w:rsidP="00472E72">
      <w:pPr>
        <w:rPr>
          <w:rFonts w:cs="Arial"/>
          <w:lang w:bidi="ar-SA"/>
        </w:rPr>
      </w:pPr>
    </w:p>
    <w:p w14:paraId="3A6288EF" w14:textId="284DE5E2" w:rsidR="00F770CE" w:rsidRDefault="00FA5623" w:rsidP="00472E72">
      <w:pPr>
        <w:rPr>
          <w:rFonts w:cs="Arial"/>
          <w:lang w:bidi="ar-SA"/>
        </w:rPr>
      </w:pPr>
      <w:r w:rsidRPr="00FA5623">
        <w:rPr>
          <w:rFonts w:cs="Arial"/>
          <w:lang w:bidi="ar-SA"/>
        </w:rPr>
        <w:t xml:space="preserve">The CPC preparation </w:t>
      </w:r>
      <w:r>
        <w:rPr>
          <w:rFonts w:cs="Arial"/>
          <w:lang w:bidi="ar-SA"/>
        </w:rPr>
        <w:t>is</w:t>
      </w:r>
      <w:r w:rsidRPr="00FA5623">
        <w:rPr>
          <w:rFonts w:cs="Arial"/>
          <w:lang w:bidi="ar-SA"/>
        </w:rPr>
        <w:t xml:space="preserve"> diluted with </w:t>
      </w:r>
      <w:r w:rsidR="00D005B3">
        <w:rPr>
          <w:rFonts w:cs="Arial"/>
          <w:lang w:bidi="ar-SA"/>
        </w:rPr>
        <w:t>potable</w:t>
      </w:r>
      <w:r w:rsidRPr="00FA5623">
        <w:rPr>
          <w:rFonts w:cs="Arial"/>
          <w:lang w:bidi="ar-SA"/>
        </w:rPr>
        <w:t xml:space="preserve"> water to achieve a wash solution with a</w:t>
      </w:r>
      <w:r w:rsidR="00662F80">
        <w:rPr>
          <w:rFonts w:cs="Arial"/>
          <w:lang w:bidi="ar-SA"/>
        </w:rPr>
        <w:t>n appropriate</w:t>
      </w:r>
      <w:r w:rsidRPr="00FA5623">
        <w:rPr>
          <w:rFonts w:cs="Arial"/>
          <w:lang w:bidi="ar-SA"/>
        </w:rPr>
        <w:t xml:space="preserve"> concentration of</w:t>
      </w:r>
      <w:r w:rsidR="00662F80">
        <w:rPr>
          <w:rFonts w:cs="Arial"/>
          <w:lang w:bidi="ar-SA"/>
        </w:rPr>
        <w:t xml:space="preserve"> C</w:t>
      </w:r>
      <w:r w:rsidRPr="00FA5623">
        <w:rPr>
          <w:rFonts w:cs="Arial"/>
          <w:lang w:bidi="ar-SA"/>
        </w:rPr>
        <w:t>PC</w:t>
      </w:r>
      <w:r w:rsidR="00662F80">
        <w:rPr>
          <w:rFonts w:cs="Arial"/>
          <w:lang w:bidi="ar-SA"/>
        </w:rPr>
        <w:t xml:space="preserve">. </w:t>
      </w:r>
      <w:r w:rsidR="00F770CE" w:rsidRPr="00F770CE">
        <w:rPr>
          <w:rFonts w:cs="Arial"/>
          <w:lang w:bidi="ar-SA"/>
        </w:rPr>
        <w:t xml:space="preserve">The technical data sheet for the CPC preparation </w:t>
      </w:r>
      <w:r w:rsidR="00570794">
        <w:rPr>
          <w:rFonts w:cs="Arial"/>
          <w:lang w:bidi="ar-SA"/>
        </w:rPr>
        <w:t>states</w:t>
      </w:r>
      <w:r w:rsidR="00F770CE" w:rsidRPr="00F770CE">
        <w:rPr>
          <w:rFonts w:cs="Arial"/>
          <w:lang w:bidi="ar-SA"/>
        </w:rPr>
        <w:t xml:space="preserve"> that the concentration of CPC in the wash solution applied to the poultry may range from less than 0.05% up to approximately 1.0%. It recommends a concentration range of 0.2-0.5% CPC for application as a standard poultry carcass rinse. The volume of the final solution typically sprayed onto a carcass is estimated by the </w:t>
      </w:r>
      <w:r>
        <w:rPr>
          <w:rFonts w:cs="Arial"/>
          <w:lang w:bidi="ar-SA"/>
        </w:rPr>
        <w:t>Safe Foods</w:t>
      </w:r>
      <w:r w:rsidR="00F770CE" w:rsidRPr="00F770CE">
        <w:rPr>
          <w:rFonts w:cs="Arial"/>
          <w:lang w:bidi="ar-SA"/>
        </w:rPr>
        <w:t xml:space="preserve"> to be 946 ml, at an average concentration of 0.5% CPC.</w:t>
      </w:r>
    </w:p>
    <w:p w14:paraId="2BEA8D8E" w14:textId="77777777" w:rsidR="00F770CE" w:rsidRDefault="00F770CE" w:rsidP="00472E72">
      <w:pPr>
        <w:rPr>
          <w:rFonts w:cs="Arial"/>
          <w:lang w:bidi="ar-SA"/>
        </w:rPr>
      </w:pPr>
    </w:p>
    <w:p w14:paraId="64F9196A" w14:textId="40436C57" w:rsidR="00625ABD" w:rsidRDefault="00625ABD" w:rsidP="00472E72">
      <w:pPr>
        <w:rPr>
          <w:rFonts w:cs="Arial"/>
          <w:lang w:bidi="ar-SA"/>
        </w:rPr>
      </w:pPr>
      <w:r>
        <w:rPr>
          <w:rFonts w:cs="Arial"/>
          <w:lang w:bidi="ar-SA"/>
        </w:rPr>
        <w:t xml:space="preserve">As indicated above and stated in the </w:t>
      </w:r>
      <w:r w:rsidRPr="00625ABD">
        <w:rPr>
          <w:rFonts w:cs="Arial"/>
          <w:lang w:bidi="ar-SA"/>
        </w:rPr>
        <w:t>applica</w:t>
      </w:r>
      <w:r>
        <w:rPr>
          <w:rFonts w:cs="Arial"/>
          <w:lang w:bidi="ar-SA"/>
        </w:rPr>
        <w:t>t</w:t>
      </w:r>
      <w:r w:rsidRPr="00625ABD">
        <w:rPr>
          <w:rFonts w:cs="Arial"/>
          <w:lang w:bidi="ar-SA"/>
        </w:rPr>
        <w:t>i</w:t>
      </w:r>
      <w:r>
        <w:rPr>
          <w:rFonts w:cs="Arial"/>
          <w:lang w:bidi="ar-SA"/>
        </w:rPr>
        <w:t xml:space="preserve">on, </w:t>
      </w:r>
      <w:r w:rsidRPr="00625ABD">
        <w:rPr>
          <w:rFonts w:cs="Arial"/>
          <w:lang w:bidi="ar-SA"/>
        </w:rPr>
        <w:t xml:space="preserve">edible offal has been removed from the bird when the CPC solution is typically applied. FSANZ therefore assessed the use of CPC on poultry carcasses and </w:t>
      </w:r>
      <w:r w:rsidR="00F668A1">
        <w:rPr>
          <w:rFonts w:cs="Arial"/>
          <w:lang w:bidi="ar-SA"/>
        </w:rPr>
        <w:t>pieces</w:t>
      </w:r>
      <w:r w:rsidR="00A85E99">
        <w:rPr>
          <w:rFonts w:cs="Arial"/>
          <w:lang w:bidi="ar-SA"/>
        </w:rPr>
        <w:t>,</w:t>
      </w:r>
      <w:r w:rsidRPr="00625ABD">
        <w:rPr>
          <w:rFonts w:cs="Arial"/>
          <w:lang w:bidi="ar-SA"/>
        </w:rPr>
        <w:t xml:space="preserve"> but not offal.</w:t>
      </w:r>
    </w:p>
    <w:p w14:paraId="4E893F01" w14:textId="77777777" w:rsidR="00625ABD" w:rsidRDefault="00625ABD" w:rsidP="00472E72">
      <w:pPr>
        <w:rPr>
          <w:rFonts w:cs="Arial"/>
          <w:lang w:bidi="ar-SA"/>
        </w:rPr>
      </w:pPr>
    </w:p>
    <w:p w14:paraId="01F0F776" w14:textId="4F3F09A2" w:rsidR="00625ABD" w:rsidRDefault="00625ABD" w:rsidP="00625ABD">
      <w:pPr>
        <w:rPr>
          <w:lang w:bidi="ar-SA"/>
        </w:rPr>
      </w:pPr>
      <w:r w:rsidRPr="009B78BA">
        <w:rPr>
          <w:lang w:bidi="ar-SA"/>
        </w:rPr>
        <w:t xml:space="preserve">Upon topical administration, </w:t>
      </w:r>
      <w:r w:rsidR="009B78BA">
        <w:rPr>
          <w:lang w:bidi="ar-SA"/>
        </w:rPr>
        <w:t xml:space="preserve">the </w:t>
      </w:r>
      <w:r w:rsidR="009B78BA" w:rsidRPr="009B78BA">
        <w:rPr>
          <w:lang w:bidi="ar-SA"/>
        </w:rPr>
        <w:t xml:space="preserve">positively charged </w:t>
      </w:r>
      <w:r w:rsidRPr="009B78BA">
        <w:rPr>
          <w:lang w:bidi="ar-SA"/>
        </w:rPr>
        <w:t xml:space="preserve">CPC </w:t>
      </w:r>
      <w:r w:rsidR="009B78BA">
        <w:rPr>
          <w:lang w:bidi="ar-SA"/>
        </w:rPr>
        <w:t>ion is posited to interact</w:t>
      </w:r>
      <w:r w:rsidRPr="009B78BA">
        <w:rPr>
          <w:lang w:bidi="ar-SA"/>
        </w:rPr>
        <w:t xml:space="preserve"> with negatively charged microbial cell surface</w:t>
      </w:r>
      <w:r w:rsidR="009B78BA">
        <w:rPr>
          <w:lang w:bidi="ar-SA"/>
        </w:rPr>
        <w:t xml:space="preserve"> compounds such as </w:t>
      </w:r>
      <w:r w:rsidR="009B78BA" w:rsidRPr="009B78BA">
        <w:rPr>
          <w:lang w:bidi="ar-SA"/>
        </w:rPr>
        <w:t>lipoteichoic acid (</w:t>
      </w:r>
      <w:r w:rsidR="009B78BA">
        <w:rPr>
          <w:lang w:bidi="ar-SA"/>
        </w:rPr>
        <w:t>in</w:t>
      </w:r>
      <w:r w:rsidR="009B78BA" w:rsidRPr="009B78BA">
        <w:rPr>
          <w:lang w:bidi="ar-SA"/>
        </w:rPr>
        <w:t xml:space="preserve"> Gram-positive</w:t>
      </w:r>
      <w:r w:rsidR="009B78BA">
        <w:rPr>
          <w:lang w:bidi="ar-SA"/>
        </w:rPr>
        <w:t xml:space="preserve"> bacteria), lipopolysaccharides (in</w:t>
      </w:r>
      <w:r w:rsidR="009B78BA" w:rsidRPr="009B78BA">
        <w:rPr>
          <w:lang w:bidi="ar-SA"/>
        </w:rPr>
        <w:t xml:space="preserve"> Gram-negative</w:t>
      </w:r>
      <w:r w:rsidR="009B78BA">
        <w:rPr>
          <w:lang w:bidi="ar-SA"/>
        </w:rPr>
        <w:t xml:space="preserve"> bacteria) </w:t>
      </w:r>
      <w:r w:rsidR="009B78BA" w:rsidRPr="009B78BA">
        <w:rPr>
          <w:lang w:bidi="ar-SA"/>
        </w:rPr>
        <w:t xml:space="preserve">and the phospholipids of the </w:t>
      </w:r>
      <w:r w:rsidR="009B78BA">
        <w:rPr>
          <w:lang w:bidi="ar-SA"/>
        </w:rPr>
        <w:t>cell</w:t>
      </w:r>
      <w:r w:rsidR="009B78BA" w:rsidRPr="009B78BA">
        <w:rPr>
          <w:lang w:bidi="ar-SA"/>
        </w:rPr>
        <w:t xml:space="preserve"> membrane</w:t>
      </w:r>
      <w:r w:rsidRPr="009B78BA">
        <w:rPr>
          <w:lang w:bidi="ar-SA"/>
        </w:rPr>
        <w:t xml:space="preserve">, </w:t>
      </w:r>
      <w:r w:rsidR="007351D7">
        <w:rPr>
          <w:lang w:bidi="ar-SA"/>
        </w:rPr>
        <w:t xml:space="preserve">disrupting its integrity and </w:t>
      </w:r>
      <w:r w:rsidRPr="009B78BA">
        <w:rPr>
          <w:lang w:bidi="ar-SA"/>
        </w:rPr>
        <w:t>leading to cell death</w:t>
      </w:r>
      <w:r w:rsidR="0041735C" w:rsidRPr="0041735C">
        <w:rPr>
          <w:lang w:bidi="ar-SA"/>
        </w:rPr>
        <w:t xml:space="preserve"> </w:t>
      </w:r>
      <w:r w:rsidR="0041735C">
        <w:rPr>
          <w:lang w:bidi="ar-SA"/>
        </w:rPr>
        <w:t>(Yegin et al 2019)</w:t>
      </w:r>
      <w:r w:rsidRPr="009B78BA">
        <w:rPr>
          <w:lang w:bidi="ar-SA"/>
        </w:rPr>
        <w:t>.</w:t>
      </w:r>
      <w:r w:rsidR="007351D7">
        <w:rPr>
          <w:lang w:bidi="ar-SA"/>
        </w:rPr>
        <w:t xml:space="preserve"> Direct inhibitory effects on glucose and lactose metabolic pathways</w:t>
      </w:r>
      <w:r w:rsidR="00B20C98">
        <w:rPr>
          <w:lang w:bidi="ar-SA"/>
        </w:rPr>
        <w:t>, and against bacterial biofilms,</w:t>
      </w:r>
      <w:r w:rsidR="007351D7">
        <w:rPr>
          <w:lang w:bidi="ar-SA"/>
        </w:rPr>
        <w:t xml:space="preserve"> have also been observed (Pitten and Kramer 2001</w:t>
      </w:r>
      <w:r w:rsidR="0041735C">
        <w:rPr>
          <w:lang w:bidi="ar-SA"/>
        </w:rPr>
        <w:t>).</w:t>
      </w:r>
    </w:p>
    <w:p w14:paraId="2925F052" w14:textId="01E95DE9" w:rsidR="00D57B67" w:rsidRDefault="00C32178" w:rsidP="00C32178">
      <w:pPr>
        <w:pStyle w:val="Heading3"/>
      </w:pPr>
      <w:bookmarkStart w:id="56" w:name="_Toc93592304"/>
      <w:bookmarkStart w:id="57" w:name="_Toc93585315"/>
      <w:bookmarkStart w:id="58" w:name="_Toc97041610"/>
      <w:r>
        <w:t>2.4.1</w:t>
      </w:r>
      <w:r>
        <w:tab/>
      </w:r>
      <w:r w:rsidR="00D57B67">
        <w:t>Biocidal efficacy</w:t>
      </w:r>
      <w:bookmarkEnd w:id="56"/>
      <w:bookmarkEnd w:id="57"/>
      <w:bookmarkEnd w:id="58"/>
    </w:p>
    <w:p w14:paraId="29FF9487" w14:textId="22213C06" w:rsidR="00D57B67" w:rsidRDefault="00D57B67" w:rsidP="00D57B67">
      <w:pPr>
        <w:rPr>
          <w:lang w:eastAsia="en-AU" w:bidi="ar-SA"/>
        </w:rPr>
      </w:pPr>
      <w:r>
        <w:rPr>
          <w:lang w:eastAsia="en-AU" w:bidi="ar-SA"/>
        </w:rPr>
        <w:t>The efficacy of CPC has previously been assessed by the</w:t>
      </w:r>
      <w:r w:rsidR="002F267E">
        <w:rPr>
          <w:lang w:eastAsia="en-AU" w:bidi="ar-SA"/>
        </w:rPr>
        <w:t xml:space="preserve"> European Food Safety Authority </w:t>
      </w:r>
      <w:r>
        <w:rPr>
          <w:lang w:eastAsia="en-AU" w:bidi="ar-SA"/>
        </w:rPr>
        <w:t xml:space="preserve"> </w:t>
      </w:r>
      <w:r w:rsidR="002F267E">
        <w:rPr>
          <w:lang w:eastAsia="en-AU" w:bidi="ar-SA"/>
        </w:rPr>
        <w:t>(</w:t>
      </w:r>
      <w:r>
        <w:rPr>
          <w:lang w:eastAsia="en-AU" w:bidi="ar-SA"/>
        </w:rPr>
        <w:t>EFSA</w:t>
      </w:r>
      <w:r w:rsidR="002F267E">
        <w:rPr>
          <w:lang w:eastAsia="en-AU" w:bidi="ar-SA"/>
        </w:rPr>
        <w:t>)</w:t>
      </w:r>
      <w:r>
        <w:rPr>
          <w:lang w:eastAsia="en-AU" w:bidi="ar-SA"/>
        </w:rPr>
        <w:t xml:space="preserve"> expert panels on biological h</w:t>
      </w:r>
      <w:r w:rsidRPr="00A22F9B">
        <w:rPr>
          <w:lang w:eastAsia="en-AU" w:bidi="ar-SA"/>
        </w:rPr>
        <w:t xml:space="preserve">azards (BIOHAZ) and </w:t>
      </w:r>
      <w:r>
        <w:rPr>
          <w:lang w:eastAsia="en-AU" w:bidi="ar-SA"/>
        </w:rPr>
        <w:t>food contact materials, enzymes, f</w:t>
      </w:r>
      <w:r w:rsidRPr="00A22F9B">
        <w:rPr>
          <w:lang w:eastAsia="en-AU" w:bidi="ar-SA"/>
        </w:rPr>
        <w:t>lavou</w:t>
      </w:r>
      <w:r>
        <w:rPr>
          <w:lang w:eastAsia="en-AU" w:bidi="ar-SA"/>
        </w:rPr>
        <w:t xml:space="preserve">rings and processing aids (CEF) (EFSA, 2012). In its assessment, EFSA deemed efficacy to be demonstrated where the biocide achieved </w:t>
      </w:r>
      <w:r w:rsidRPr="00300617">
        <w:rPr>
          <w:lang w:eastAsia="en-AU" w:bidi="ar-SA"/>
        </w:rPr>
        <w:t xml:space="preserve">a statistically significant reduction </w:t>
      </w:r>
      <w:r>
        <w:rPr>
          <w:lang w:eastAsia="en-AU" w:bidi="ar-SA"/>
        </w:rPr>
        <w:t>in</w:t>
      </w:r>
      <w:r w:rsidRPr="00300617">
        <w:rPr>
          <w:lang w:eastAsia="en-AU" w:bidi="ar-SA"/>
        </w:rPr>
        <w:t xml:space="preserve"> the prevalence and/or numbers of pathogenic target microorganisms compared to the control (e.g. water)</w:t>
      </w:r>
      <w:r>
        <w:rPr>
          <w:lang w:eastAsia="en-AU" w:bidi="ar-SA"/>
        </w:rPr>
        <w:t>,</w:t>
      </w:r>
      <w:r w:rsidRPr="00300617">
        <w:rPr>
          <w:lang w:eastAsia="en-AU" w:bidi="ar-SA"/>
        </w:rPr>
        <w:t xml:space="preserve"> </w:t>
      </w:r>
      <w:r w:rsidR="00157D31">
        <w:rPr>
          <w:lang w:eastAsia="en-AU" w:bidi="ar-SA"/>
        </w:rPr>
        <w:t>and where th</w:t>
      </w:r>
      <w:r w:rsidR="008E6291">
        <w:rPr>
          <w:lang w:eastAsia="en-AU" w:bidi="ar-SA"/>
        </w:rPr>
        <w:t>e</w:t>
      </w:r>
      <w:r>
        <w:rPr>
          <w:lang w:eastAsia="en-AU" w:bidi="ar-SA"/>
        </w:rPr>
        <w:t xml:space="preserve"> </w:t>
      </w:r>
      <w:r w:rsidRPr="00300617">
        <w:rPr>
          <w:lang w:eastAsia="en-AU" w:bidi="ar-SA"/>
        </w:rPr>
        <w:t xml:space="preserve">reduction </w:t>
      </w:r>
      <w:r>
        <w:rPr>
          <w:lang w:eastAsia="en-AU" w:bidi="ar-SA"/>
        </w:rPr>
        <w:t>had</w:t>
      </w:r>
      <w:r w:rsidRPr="00300617">
        <w:rPr>
          <w:lang w:eastAsia="en-AU" w:bidi="ar-SA"/>
        </w:rPr>
        <w:t xml:space="preserve"> a positive impact on cases of human illness (EFSA, 2010).</w:t>
      </w:r>
      <w:r>
        <w:rPr>
          <w:lang w:eastAsia="en-AU" w:bidi="ar-SA"/>
        </w:rPr>
        <w:t xml:space="preserve"> Since direct evidence for a reduction in illness was not available, EFSA relied on results of previous microbiological risk assessments which showed that reducing</w:t>
      </w:r>
      <w:r w:rsidRPr="008672A2">
        <w:rPr>
          <w:lang w:eastAsia="en-AU" w:bidi="ar-SA"/>
        </w:rPr>
        <w:t xml:space="preserve"> microbial </w:t>
      </w:r>
      <w:r>
        <w:rPr>
          <w:lang w:eastAsia="en-AU" w:bidi="ar-SA"/>
        </w:rPr>
        <w:t>contamination</w:t>
      </w:r>
      <w:r w:rsidRPr="008672A2">
        <w:rPr>
          <w:lang w:eastAsia="en-AU" w:bidi="ar-SA"/>
        </w:rPr>
        <w:t xml:space="preserve"> by </w:t>
      </w:r>
      <w:r>
        <w:rPr>
          <w:lang w:eastAsia="en-AU" w:bidi="ar-SA"/>
        </w:rPr>
        <w:t>as little as</w:t>
      </w:r>
      <w:r w:rsidRPr="008672A2">
        <w:rPr>
          <w:lang w:eastAsia="en-AU" w:bidi="ar-SA"/>
        </w:rPr>
        <w:t xml:space="preserve"> 0.5 log</w:t>
      </w:r>
      <w:r w:rsidRPr="00CE2D2C">
        <w:rPr>
          <w:vertAlign w:val="subscript"/>
          <w:lang w:eastAsia="en-AU" w:bidi="ar-SA"/>
        </w:rPr>
        <w:t>10</w:t>
      </w:r>
      <w:r w:rsidRPr="008672A2">
        <w:rPr>
          <w:lang w:eastAsia="en-AU" w:bidi="ar-SA"/>
        </w:rPr>
        <w:t xml:space="preserve"> </w:t>
      </w:r>
      <w:r>
        <w:rPr>
          <w:lang w:eastAsia="en-AU" w:bidi="ar-SA"/>
        </w:rPr>
        <w:t>could</w:t>
      </w:r>
      <w:r w:rsidRPr="008672A2">
        <w:rPr>
          <w:lang w:eastAsia="en-AU" w:bidi="ar-SA"/>
        </w:rPr>
        <w:t xml:space="preserve"> reduce consumer</w:t>
      </w:r>
      <w:r>
        <w:rPr>
          <w:lang w:eastAsia="en-AU" w:bidi="ar-SA"/>
        </w:rPr>
        <w:t xml:space="preserve"> risk of illness to a significant extent. In this assessment, FSANZ has adopted the approach developed by EFSA.</w:t>
      </w:r>
    </w:p>
    <w:p w14:paraId="4CF1DA15" w14:textId="77777777" w:rsidR="00D57B67" w:rsidRDefault="00D57B67" w:rsidP="00D57B67">
      <w:pPr>
        <w:rPr>
          <w:lang w:eastAsia="en-AU" w:bidi="ar-SA"/>
        </w:rPr>
      </w:pPr>
    </w:p>
    <w:p w14:paraId="754825B4" w14:textId="74EFA39E" w:rsidR="00D57B67" w:rsidRDefault="00D57B67" w:rsidP="00D57B67">
      <w:pPr>
        <w:rPr>
          <w:lang w:eastAsia="en-AU" w:bidi="ar-SA"/>
        </w:rPr>
      </w:pPr>
      <w:r>
        <w:rPr>
          <w:lang w:eastAsia="en-AU" w:bidi="ar-SA"/>
        </w:rPr>
        <w:t xml:space="preserve">The applicant provided results of published and in-house </w:t>
      </w:r>
      <w:r w:rsidRPr="00F83233">
        <w:rPr>
          <w:lang w:eastAsia="en-AU" w:bidi="ar-SA"/>
        </w:rPr>
        <w:t xml:space="preserve">scientific </w:t>
      </w:r>
      <w:r>
        <w:rPr>
          <w:lang w:eastAsia="en-AU" w:bidi="ar-SA"/>
        </w:rPr>
        <w:t>studies</w:t>
      </w:r>
      <w:r w:rsidRPr="00F83233">
        <w:rPr>
          <w:lang w:eastAsia="en-AU" w:bidi="ar-SA"/>
        </w:rPr>
        <w:t xml:space="preserve"> on the efficacy of CPC for treating raw poultry</w:t>
      </w:r>
      <w:r>
        <w:rPr>
          <w:lang w:eastAsia="en-AU" w:bidi="ar-SA"/>
        </w:rPr>
        <w:t>. In line with the EFSA analysis (EFSA, 2012), appropriately controlled studies on the application of CPC to</w:t>
      </w:r>
      <w:r w:rsidRPr="005369A0">
        <w:rPr>
          <w:lang w:eastAsia="en-AU" w:bidi="ar-SA"/>
        </w:rPr>
        <w:t xml:space="preserve"> broiler carcasses, chicken skin, or skin-on chicken </w:t>
      </w:r>
      <w:r w:rsidR="00F668A1">
        <w:rPr>
          <w:lang w:eastAsia="en-AU" w:bidi="ar-SA"/>
        </w:rPr>
        <w:t>pieces</w:t>
      </w:r>
      <w:r>
        <w:rPr>
          <w:lang w:eastAsia="en-AU" w:bidi="ar-SA"/>
        </w:rPr>
        <w:t xml:space="preserve"> were assessed and are summarised below</w:t>
      </w:r>
      <w:r w:rsidR="002B4DD3">
        <w:rPr>
          <w:lang w:eastAsia="en-AU" w:bidi="ar-SA"/>
        </w:rPr>
        <w:t xml:space="preserve"> and</w:t>
      </w:r>
      <w:r>
        <w:rPr>
          <w:lang w:eastAsia="en-AU" w:bidi="ar-SA"/>
        </w:rPr>
        <w:t xml:space="preserve"> in </w:t>
      </w:r>
      <w:r>
        <w:rPr>
          <w:lang w:eastAsia="en-AU" w:bidi="ar-SA"/>
        </w:rPr>
        <w:fldChar w:fldCharType="begin"/>
      </w:r>
      <w:r>
        <w:rPr>
          <w:lang w:eastAsia="en-AU" w:bidi="ar-SA"/>
        </w:rPr>
        <w:instrText xml:space="preserve"> REF _Ref92716064 \h </w:instrText>
      </w:r>
      <w:r>
        <w:rPr>
          <w:lang w:eastAsia="en-AU" w:bidi="ar-SA"/>
        </w:rPr>
      </w:r>
      <w:r>
        <w:rPr>
          <w:lang w:eastAsia="en-AU" w:bidi="ar-SA"/>
        </w:rPr>
        <w:fldChar w:fldCharType="separate"/>
      </w:r>
      <w:r>
        <w:t xml:space="preserve">Table </w:t>
      </w:r>
      <w:r>
        <w:rPr>
          <w:noProof/>
        </w:rPr>
        <w:t>2</w:t>
      </w:r>
      <w:r>
        <w:rPr>
          <w:lang w:eastAsia="en-AU" w:bidi="ar-SA"/>
        </w:rPr>
        <w:fldChar w:fldCharType="end"/>
      </w:r>
      <w:r>
        <w:rPr>
          <w:lang w:eastAsia="en-AU" w:bidi="ar-SA"/>
        </w:rPr>
        <w:t>.</w:t>
      </w:r>
    </w:p>
    <w:p w14:paraId="38D3FBDA" w14:textId="2EC30EAA" w:rsidR="00805C52" w:rsidRDefault="00805C52" w:rsidP="00D57B67">
      <w:pPr>
        <w:rPr>
          <w:lang w:eastAsia="en-AU" w:bidi="ar-SA"/>
        </w:rPr>
      </w:pPr>
    </w:p>
    <w:p w14:paraId="5F17B574" w14:textId="5C20F141" w:rsidR="00805C52" w:rsidRDefault="006B0007" w:rsidP="00D57B67">
      <w:pPr>
        <w:rPr>
          <w:lang w:eastAsia="en-AU" w:bidi="ar-SA"/>
        </w:rPr>
      </w:pPr>
      <w:r>
        <w:rPr>
          <w:lang w:eastAsia="en-AU" w:bidi="ar-SA"/>
        </w:rPr>
        <w:t xml:space="preserve">In initial laboratory scale experiments, CPC </w:t>
      </w:r>
      <w:r w:rsidR="00F71DCE">
        <w:rPr>
          <w:lang w:eastAsia="en-AU" w:bidi="ar-SA"/>
        </w:rPr>
        <w:t xml:space="preserve">was shown to achieve reductions in levels of bacteria between 0.59 and 4.9 log units when applied </w:t>
      </w:r>
      <w:r>
        <w:rPr>
          <w:lang w:eastAsia="en-AU" w:bidi="ar-SA"/>
        </w:rPr>
        <w:t xml:space="preserve">at concentrations </w:t>
      </w:r>
      <w:r w:rsidR="00F71DCE">
        <w:rPr>
          <w:lang w:eastAsia="en-AU" w:bidi="ar-SA"/>
        </w:rPr>
        <w:t>in the range 0.1</w:t>
      </w:r>
      <w:r w:rsidR="00F71DCE">
        <w:rPr>
          <w:lang w:eastAsia="en-AU" w:bidi="ar-SA"/>
        </w:rPr>
        <w:noBreakHyphen/>
      </w:r>
      <w:r>
        <w:rPr>
          <w:lang w:eastAsia="en-AU" w:bidi="ar-SA"/>
        </w:rPr>
        <w:t>0.8%</w:t>
      </w:r>
      <w:r w:rsidR="00F71DCE">
        <w:rPr>
          <w:lang w:eastAsia="en-AU" w:bidi="ar-SA"/>
        </w:rPr>
        <w:t xml:space="preserve"> </w:t>
      </w:r>
      <w:r>
        <w:rPr>
          <w:lang w:eastAsia="en-AU" w:bidi="ar-SA"/>
        </w:rPr>
        <w:t>by spray or immersion</w:t>
      </w:r>
      <w:r w:rsidR="00F71DCE">
        <w:rPr>
          <w:lang w:eastAsia="en-AU" w:bidi="ar-SA"/>
        </w:rPr>
        <w:t xml:space="preserve"> for periods of time between 3 seconds and 10 minutes</w:t>
      </w:r>
      <w:r>
        <w:rPr>
          <w:lang w:eastAsia="en-AU" w:bidi="ar-SA"/>
        </w:rPr>
        <w:t xml:space="preserve"> to </w:t>
      </w:r>
      <w:r w:rsidR="00406581">
        <w:rPr>
          <w:lang w:eastAsia="en-AU" w:bidi="ar-SA"/>
        </w:rPr>
        <w:t xml:space="preserve">chicken </w:t>
      </w:r>
      <w:r>
        <w:rPr>
          <w:lang w:eastAsia="en-AU" w:bidi="ar-SA"/>
        </w:rPr>
        <w:t>pieces inoculated with 10</w:t>
      </w:r>
      <w:r w:rsidRPr="006B0007">
        <w:rPr>
          <w:vertAlign w:val="superscript"/>
          <w:lang w:eastAsia="en-AU" w:bidi="ar-SA"/>
        </w:rPr>
        <w:t>6</w:t>
      </w:r>
      <w:r>
        <w:rPr>
          <w:lang w:eastAsia="en-AU" w:bidi="ar-SA"/>
        </w:rPr>
        <w:t>–10</w:t>
      </w:r>
      <w:r w:rsidRPr="006B0007">
        <w:rPr>
          <w:vertAlign w:val="superscript"/>
          <w:lang w:eastAsia="en-AU" w:bidi="ar-SA"/>
        </w:rPr>
        <w:t>7</w:t>
      </w:r>
      <w:r>
        <w:rPr>
          <w:lang w:eastAsia="en-AU" w:bidi="ar-SA"/>
        </w:rPr>
        <w:t xml:space="preserve"> CFU </w:t>
      </w:r>
      <w:r w:rsidRPr="00B02C65">
        <w:rPr>
          <w:i/>
          <w:lang w:eastAsia="en-AU" w:bidi="ar-SA"/>
        </w:rPr>
        <w:t>Salmonella</w:t>
      </w:r>
      <w:r>
        <w:rPr>
          <w:lang w:eastAsia="en-AU" w:bidi="ar-SA"/>
        </w:rPr>
        <w:t xml:space="preserve"> or </w:t>
      </w:r>
      <w:r w:rsidRPr="00B02C65">
        <w:rPr>
          <w:i/>
          <w:lang w:eastAsia="en-AU" w:bidi="ar-SA"/>
        </w:rPr>
        <w:t>Campylobacter</w:t>
      </w:r>
      <w:r>
        <w:rPr>
          <w:lang w:eastAsia="en-AU" w:bidi="ar-SA"/>
        </w:rPr>
        <w:t xml:space="preserve"> </w:t>
      </w:r>
      <w:r w:rsidR="00F71DCE">
        <w:rPr>
          <w:lang w:eastAsia="en-AU" w:bidi="ar-SA"/>
        </w:rPr>
        <w:t>(Arritt et al 2002; Breen et al 1997; Li et al 1997).</w:t>
      </w:r>
    </w:p>
    <w:p w14:paraId="3291D1B6" w14:textId="0F177F94" w:rsidR="00F71DCE" w:rsidRDefault="00F71DCE" w:rsidP="00D57B67">
      <w:pPr>
        <w:rPr>
          <w:lang w:eastAsia="en-AU" w:bidi="ar-SA"/>
        </w:rPr>
      </w:pPr>
    </w:p>
    <w:p w14:paraId="4F2C72BD" w14:textId="086EDF63" w:rsidR="00265E6C" w:rsidRDefault="00F71DCE" w:rsidP="00D57B67">
      <w:pPr>
        <w:rPr>
          <w:lang w:eastAsia="en-AU" w:bidi="ar-SA"/>
        </w:rPr>
      </w:pPr>
      <w:r>
        <w:rPr>
          <w:lang w:eastAsia="en-AU" w:bidi="ar-SA"/>
        </w:rPr>
        <w:t xml:space="preserve">Subsequent trials confirmed that the laboratory-scale results </w:t>
      </w:r>
      <w:r w:rsidR="002B4DD3">
        <w:rPr>
          <w:lang w:eastAsia="en-AU" w:bidi="ar-SA"/>
        </w:rPr>
        <w:t>could be translated</w:t>
      </w:r>
      <w:r>
        <w:rPr>
          <w:lang w:eastAsia="en-AU" w:bidi="ar-SA"/>
        </w:rPr>
        <w:t xml:space="preserve"> to pilot</w:t>
      </w:r>
      <w:r w:rsidR="002B4DD3">
        <w:rPr>
          <w:lang w:eastAsia="en-AU" w:bidi="ar-SA"/>
        </w:rPr>
        <w:noBreakHyphen/>
        <w:t>scale</w:t>
      </w:r>
      <w:r>
        <w:rPr>
          <w:lang w:eastAsia="en-AU" w:bidi="ar-SA"/>
        </w:rPr>
        <w:t xml:space="preserve"> and commercial poultry processing plant</w:t>
      </w:r>
      <w:r w:rsidR="002B4DD3">
        <w:rPr>
          <w:lang w:eastAsia="en-AU" w:bidi="ar-SA"/>
        </w:rPr>
        <w:t xml:space="preserve">s (Beers et al </w:t>
      </w:r>
      <w:r w:rsidR="002B4DD3" w:rsidRPr="002B4DD3">
        <w:rPr>
          <w:lang w:eastAsia="en-AU" w:bidi="ar-SA"/>
        </w:rPr>
        <w:t>2006</w:t>
      </w:r>
      <w:r w:rsidR="002B4DD3">
        <w:rPr>
          <w:lang w:eastAsia="en-AU" w:bidi="ar-SA"/>
        </w:rPr>
        <w:t>; and the applicant’s in-house studies as provided to FSANZ and separately reported in EFSA 2012</w:t>
      </w:r>
      <w:r w:rsidR="002B4DD3" w:rsidRPr="002B4DD3">
        <w:rPr>
          <w:lang w:eastAsia="en-AU" w:bidi="ar-SA"/>
        </w:rPr>
        <w:t>)</w:t>
      </w:r>
      <w:r w:rsidR="002B4DD3">
        <w:rPr>
          <w:lang w:eastAsia="en-AU" w:bidi="ar-SA"/>
        </w:rPr>
        <w:t>.</w:t>
      </w:r>
    </w:p>
    <w:p w14:paraId="66D3A59D" w14:textId="77777777" w:rsidR="00265E6C" w:rsidRDefault="00265E6C" w:rsidP="00D57B67">
      <w:pPr>
        <w:rPr>
          <w:lang w:eastAsia="en-AU" w:bidi="ar-SA"/>
        </w:rPr>
      </w:pPr>
    </w:p>
    <w:p w14:paraId="43E5A9A3" w14:textId="1E6594F9" w:rsidR="002B4DD3" w:rsidRDefault="002B4DD3" w:rsidP="002B4DD3">
      <w:pPr>
        <w:rPr>
          <w:lang w:eastAsia="en-AU" w:bidi="ar-SA"/>
        </w:rPr>
      </w:pPr>
      <w:r>
        <w:rPr>
          <w:lang w:eastAsia="en-AU" w:bidi="ar-SA"/>
        </w:rPr>
        <w:t xml:space="preserve">Beers and co-workers </w:t>
      </w:r>
      <w:r w:rsidR="00265E6C">
        <w:rPr>
          <w:lang w:eastAsia="en-AU" w:bidi="ar-SA"/>
        </w:rPr>
        <w:t>evaluated the effect of spray treatment with 0.5–0.7% CPC on levels of bacteria on</w:t>
      </w:r>
      <w:r>
        <w:rPr>
          <w:lang w:eastAsia="en-AU" w:bidi="ar-SA"/>
        </w:rPr>
        <w:t xml:space="preserve"> </w:t>
      </w:r>
      <w:r w:rsidR="00265E6C">
        <w:rPr>
          <w:lang w:eastAsia="en-AU" w:bidi="ar-SA"/>
        </w:rPr>
        <w:t>visibly-</w:t>
      </w:r>
      <w:r>
        <w:rPr>
          <w:lang w:eastAsia="en-AU" w:bidi="ar-SA"/>
        </w:rPr>
        <w:t>contaminated broiler carcases</w:t>
      </w:r>
      <w:r w:rsidR="00265E6C">
        <w:rPr>
          <w:lang w:eastAsia="en-AU" w:bidi="ar-SA"/>
        </w:rPr>
        <w:t xml:space="preserve"> in three commercial poultry plants. Initial contamination levels of around 2–3 log CFU </w:t>
      </w:r>
      <w:r w:rsidR="00265E6C" w:rsidRPr="00265E6C">
        <w:rPr>
          <w:i/>
          <w:lang w:eastAsia="en-AU" w:bidi="ar-SA"/>
        </w:rPr>
        <w:t>E. coli</w:t>
      </w:r>
      <w:r w:rsidR="00265E6C">
        <w:rPr>
          <w:lang w:eastAsia="en-AU" w:bidi="ar-SA"/>
        </w:rPr>
        <w:t xml:space="preserve"> and </w:t>
      </w:r>
      <w:r w:rsidR="00265E6C" w:rsidRPr="00265E6C">
        <w:rPr>
          <w:i/>
          <w:lang w:eastAsia="en-AU" w:bidi="ar-SA"/>
        </w:rPr>
        <w:t>Campylobacter</w:t>
      </w:r>
      <w:r w:rsidR="00265E6C">
        <w:rPr>
          <w:lang w:eastAsia="en-AU" w:bidi="ar-SA"/>
        </w:rPr>
        <w:t xml:space="preserve"> were reduced by 1.2–2.9 log for </w:t>
      </w:r>
      <w:r w:rsidR="00265E6C" w:rsidRPr="00265E6C">
        <w:rPr>
          <w:i/>
          <w:lang w:eastAsia="en-AU" w:bidi="ar-SA"/>
        </w:rPr>
        <w:t>E.coli</w:t>
      </w:r>
      <w:r w:rsidR="00265E6C">
        <w:rPr>
          <w:lang w:eastAsia="en-AU" w:bidi="ar-SA"/>
        </w:rPr>
        <w:t xml:space="preserve"> and </w:t>
      </w:r>
      <w:r>
        <w:rPr>
          <w:lang w:eastAsia="en-AU" w:bidi="ar-SA"/>
        </w:rPr>
        <w:t xml:space="preserve">0.5–2.1 log for </w:t>
      </w:r>
      <w:r w:rsidRPr="00265E6C">
        <w:rPr>
          <w:i/>
          <w:lang w:eastAsia="en-AU" w:bidi="ar-SA"/>
        </w:rPr>
        <w:t>Campylobacter</w:t>
      </w:r>
      <w:r w:rsidR="000F3C35">
        <w:rPr>
          <w:lang w:eastAsia="en-AU" w:bidi="ar-SA"/>
        </w:rPr>
        <w:t xml:space="preserve"> w</w:t>
      </w:r>
      <w:r w:rsidR="00265E6C">
        <w:rPr>
          <w:lang w:eastAsia="en-AU" w:bidi="ar-SA"/>
        </w:rPr>
        <w:t xml:space="preserve">hen CPC was applied at </w:t>
      </w:r>
      <w:r w:rsidR="000F3C35">
        <w:rPr>
          <w:lang w:eastAsia="en-AU" w:bidi="ar-SA"/>
        </w:rPr>
        <w:lastRenderedPageBreak/>
        <w:t>130</w:t>
      </w:r>
      <w:r w:rsidR="000F3C35">
        <w:rPr>
          <w:lang w:eastAsia="en-AU" w:bidi="ar-SA"/>
        </w:rPr>
        <w:noBreakHyphen/>
        <w:t>220 ml per kilogram of carcass</w:t>
      </w:r>
      <w:r w:rsidR="000D75DE">
        <w:rPr>
          <w:lang w:eastAsia="en-AU" w:bidi="ar-SA"/>
        </w:rPr>
        <w:t xml:space="preserve">. The incidence of carcass contamination with </w:t>
      </w:r>
      <w:r w:rsidR="000D75DE" w:rsidRPr="000D75DE">
        <w:rPr>
          <w:i/>
          <w:lang w:eastAsia="en-AU" w:bidi="ar-SA"/>
        </w:rPr>
        <w:t>Campylobacter</w:t>
      </w:r>
      <w:r w:rsidR="000D75DE">
        <w:rPr>
          <w:lang w:eastAsia="en-AU" w:bidi="ar-SA"/>
        </w:rPr>
        <w:t xml:space="preserve"> </w:t>
      </w:r>
      <w:r w:rsidR="008E6291">
        <w:rPr>
          <w:lang w:eastAsia="en-AU" w:bidi="ar-SA"/>
        </w:rPr>
        <w:t xml:space="preserve">was </w:t>
      </w:r>
      <w:r w:rsidR="000D75DE">
        <w:rPr>
          <w:lang w:eastAsia="en-AU" w:bidi="ar-SA"/>
        </w:rPr>
        <w:t xml:space="preserve">reduced from &gt;83% to &lt;10%, while </w:t>
      </w:r>
      <w:r w:rsidR="000D75DE" w:rsidRPr="000D75DE">
        <w:rPr>
          <w:i/>
          <w:lang w:eastAsia="en-AU" w:bidi="ar-SA"/>
        </w:rPr>
        <w:t>Salmonella</w:t>
      </w:r>
      <w:r w:rsidR="000D75DE">
        <w:rPr>
          <w:lang w:eastAsia="en-AU" w:bidi="ar-SA"/>
        </w:rPr>
        <w:t xml:space="preserve"> incidence </w:t>
      </w:r>
      <w:r w:rsidR="008E6291">
        <w:rPr>
          <w:lang w:eastAsia="en-AU" w:bidi="ar-SA"/>
        </w:rPr>
        <w:t xml:space="preserve">was </w:t>
      </w:r>
      <w:r w:rsidR="000D75DE">
        <w:rPr>
          <w:lang w:eastAsia="en-AU" w:bidi="ar-SA"/>
        </w:rPr>
        <w:t>reduced from 5</w:t>
      </w:r>
      <w:r w:rsidR="000D75DE">
        <w:rPr>
          <w:lang w:eastAsia="en-AU" w:bidi="ar-SA"/>
        </w:rPr>
        <w:noBreakHyphen/>
        <w:t>33% to 1–10% after CPC treatment.</w:t>
      </w:r>
    </w:p>
    <w:p w14:paraId="11547B7E" w14:textId="348843FF" w:rsidR="002B4DD3" w:rsidRDefault="002B4DD3" w:rsidP="002B4DD3">
      <w:pPr>
        <w:rPr>
          <w:lang w:eastAsia="en-AU" w:bidi="ar-SA"/>
        </w:rPr>
      </w:pPr>
    </w:p>
    <w:p w14:paraId="773A518E" w14:textId="6C26BEB8" w:rsidR="002B4DD3" w:rsidRDefault="000D75DE" w:rsidP="00D57B67">
      <w:pPr>
        <w:rPr>
          <w:lang w:eastAsia="en-AU" w:bidi="ar-SA"/>
        </w:rPr>
      </w:pPr>
      <w:r>
        <w:rPr>
          <w:lang w:eastAsia="en-AU" w:bidi="ar-SA"/>
        </w:rPr>
        <w:t xml:space="preserve">In a series of </w:t>
      </w:r>
      <w:r w:rsidR="00A22207">
        <w:rPr>
          <w:lang w:eastAsia="en-AU" w:bidi="ar-SA"/>
        </w:rPr>
        <w:t xml:space="preserve">in-plant trials, the applicant further assessed the efficacy of CPC in drench application to </w:t>
      </w:r>
      <w:r w:rsidR="00BA38D0">
        <w:rPr>
          <w:lang w:eastAsia="en-AU" w:bidi="ar-SA"/>
        </w:rPr>
        <w:t xml:space="preserve">artificially-inoculated </w:t>
      </w:r>
      <w:r w:rsidR="00A22207">
        <w:rPr>
          <w:lang w:eastAsia="en-AU" w:bidi="ar-SA"/>
        </w:rPr>
        <w:t xml:space="preserve">poultry carcases at a range of </w:t>
      </w:r>
      <w:r w:rsidR="00BA38D0">
        <w:rPr>
          <w:lang w:eastAsia="en-AU" w:bidi="ar-SA"/>
        </w:rPr>
        <w:t xml:space="preserve">concentrations and </w:t>
      </w:r>
      <w:r w:rsidR="00A22207">
        <w:rPr>
          <w:lang w:eastAsia="en-AU" w:bidi="ar-SA"/>
        </w:rPr>
        <w:t xml:space="preserve">volumes and for a range of times (Table 2, and EFSA 2012). Reductions in levels and incidence of </w:t>
      </w:r>
      <w:r w:rsidR="00A22207" w:rsidRPr="00A22207">
        <w:rPr>
          <w:i/>
          <w:lang w:eastAsia="en-AU" w:bidi="ar-SA"/>
        </w:rPr>
        <w:t>E. coli</w:t>
      </w:r>
      <w:r w:rsidR="00A22207">
        <w:rPr>
          <w:lang w:eastAsia="en-AU" w:bidi="ar-SA"/>
        </w:rPr>
        <w:t xml:space="preserve">, </w:t>
      </w:r>
      <w:r w:rsidR="00A22207" w:rsidRPr="00A22207">
        <w:rPr>
          <w:i/>
          <w:lang w:eastAsia="en-AU" w:bidi="ar-SA"/>
        </w:rPr>
        <w:t>Salmonella</w:t>
      </w:r>
      <w:r w:rsidR="00A22207">
        <w:rPr>
          <w:lang w:eastAsia="en-AU" w:bidi="ar-SA"/>
        </w:rPr>
        <w:t xml:space="preserve"> and </w:t>
      </w:r>
      <w:r w:rsidR="00A22207" w:rsidRPr="00A22207">
        <w:rPr>
          <w:i/>
          <w:lang w:eastAsia="en-AU" w:bidi="ar-SA"/>
        </w:rPr>
        <w:t>Campylobacter</w:t>
      </w:r>
      <w:r w:rsidR="00A22207">
        <w:rPr>
          <w:lang w:eastAsia="en-AU" w:bidi="ar-SA"/>
        </w:rPr>
        <w:t xml:space="preserve"> support the findings of the earlier studies</w:t>
      </w:r>
      <w:r w:rsidR="00BA38D0">
        <w:rPr>
          <w:lang w:eastAsia="en-AU" w:bidi="ar-SA"/>
        </w:rPr>
        <w:t xml:space="preserve"> that demonstrate the efficacy of CPC when applied at concentrations in the range 0.1–1.0%.</w:t>
      </w:r>
    </w:p>
    <w:p w14:paraId="1544DF30" w14:textId="77777777" w:rsidR="002B4DD3" w:rsidRDefault="002B4DD3" w:rsidP="00D57B67">
      <w:pPr>
        <w:rPr>
          <w:lang w:eastAsia="en-AU" w:bidi="ar-SA"/>
        </w:rPr>
      </w:pPr>
    </w:p>
    <w:p w14:paraId="57620B55" w14:textId="736366A1" w:rsidR="00D57B67" w:rsidRDefault="00A22207" w:rsidP="00D57B67">
      <w:pPr>
        <w:rPr>
          <w:lang w:eastAsia="en-AU" w:bidi="ar-SA"/>
        </w:rPr>
      </w:pPr>
      <w:r>
        <w:rPr>
          <w:lang w:eastAsia="en-AU" w:bidi="ar-SA"/>
        </w:rPr>
        <w:t>In summary</w:t>
      </w:r>
      <w:r w:rsidR="00D57B67">
        <w:rPr>
          <w:lang w:eastAsia="en-AU" w:bidi="ar-SA"/>
        </w:rPr>
        <w:t xml:space="preserve">, </w:t>
      </w:r>
      <w:r>
        <w:rPr>
          <w:lang w:eastAsia="en-AU" w:bidi="ar-SA"/>
        </w:rPr>
        <w:t xml:space="preserve">the </w:t>
      </w:r>
      <w:r w:rsidR="00D57B67">
        <w:rPr>
          <w:lang w:eastAsia="en-AU" w:bidi="ar-SA"/>
        </w:rPr>
        <w:t xml:space="preserve">efficacy of pathogen reduction by CPC was found to be dependent on the volume and concentration of the active </w:t>
      </w:r>
      <w:r w:rsidR="00285B8E">
        <w:rPr>
          <w:lang w:eastAsia="en-AU" w:bidi="ar-SA"/>
        </w:rPr>
        <w:t>constituent</w:t>
      </w:r>
      <w:r w:rsidR="00D57B67">
        <w:rPr>
          <w:lang w:eastAsia="en-AU" w:bidi="ar-SA"/>
        </w:rPr>
        <w:t xml:space="preserve">, the exposure time, and the pressure of the spray treatment (where applicable). Significant reductions of up to 5 log units in levels of </w:t>
      </w:r>
      <w:r w:rsidR="00D57B67" w:rsidRPr="00B02C65">
        <w:rPr>
          <w:i/>
          <w:lang w:eastAsia="en-AU" w:bidi="ar-SA"/>
        </w:rPr>
        <w:t>E. coli</w:t>
      </w:r>
      <w:r w:rsidR="00D57B67">
        <w:rPr>
          <w:lang w:eastAsia="en-AU" w:bidi="ar-SA"/>
        </w:rPr>
        <w:t xml:space="preserve">, </w:t>
      </w:r>
      <w:r w:rsidR="00D57B67" w:rsidRPr="00B02C65">
        <w:rPr>
          <w:i/>
          <w:lang w:eastAsia="en-AU" w:bidi="ar-SA"/>
        </w:rPr>
        <w:t>Salmonella</w:t>
      </w:r>
      <w:r w:rsidR="00D57B67">
        <w:rPr>
          <w:lang w:eastAsia="en-AU" w:bidi="ar-SA"/>
        </w:rPr>
        <w:t xml:space="preserve"> and </w:t>
      </w:r>
      <w:r w:rsidR="00D57B67" w:rsidRPr="00B02C65">
        <w:rPr>
          <w:i/>
          <w:lang w:eastAsia="en-AU" w:bidi="ar-SA"/>
        </w:rPr>
        <w:t>Campylobacter</w:t>
      </w:r>
      <w:r w:rsidR="00D57B67">
        <w:rPr>
          <w:lang w:eastAsia="en-AU" w:bidi="ar-SA"/>
        </w:rPr>
        <w:t xml:space="preserve"> were reported when CPC was applied at levels in the range 0.1–1.0%</w:t>
      </w:r>
      <w:r w:rsidR="00F25995">
        <w:rPr>
          <w:lang w:eastAsia="en-AU" w:bidi="ar-SA"/>
        </w:rPr>
        <w:t xml:space="preserve"> </w:t>
      </w:r>
      <w:r w:rsidR="00D57B67">
        <w:rPr>
          <w:lang w:eastAsia="en-AU" w:bidi="ar-SA"/>
        </w:rPr>
        <w:t xml:space="preserve">(w/v). The applicant’s in-plant trials for the purpose of US and EU regulatory approvals are </w:t>
      </w:r>
      <w:r w:rsidR="00D57B67" w:rsidRPr="00BA38D0">
        <w:rPr>
          <w:lang w:eastAsia="en-AU" w:bidi="ar-SA"/>
        </w:rPr>
        <w:t>consistent with the results of earlier published laboratory and pilot plant scale studies.</w:t>
      </w:r>
    </w:p>
    <w:p w14:paraId="6759A30E" w14:textId="77777777" w:rsidR="00D57B67" w:rsidRDefault="00D57B67" w:rsidP="00D57B67">
      <w:pPr>
        <w:rPr>
          <w:lang w:eastAsia="en-AU" w:bidi="ar-SA"/>
        </w:rPr>
      </w:pPr>
    </w:p>
    <w:p w14:paraId="43984B55" w14:textId="3AE709F6" w:rsidR="00194A66" w:rsidRDefault="00D57B67" w:rsidP="00D0092F">
      <w:pPr>
        <w:rPr>
          <w:lang w:eastAsia="en-AU" w:bidi="ar-SA"/>
        </w:rPr>
      </w:pPr>
      <w:r>
        <w:rPr>
          <w:lang w:eastAsia="en-AU" w:bidi="ar-SA"/>
        </w:rPr>
        <w:t xml:space="preserve">It is concluded that the proposed use of CPC </w:t>
      </w:r>
      <w:r w:rsidR="00BA38D0">
        <w:rPr>
          <w:lang w:eastAsia="en-AU" w:bidi="ar-SA"/>
        </w:rPr>
        <w:t>during processing</w:t>
      </w:r>
      <w:r w:rsidR="00BA38D0" w:rsidRPr="0090137A">
        <w:rPr>
          <w:lang w:eastAsia="en-AU" w:bidi="ar-SA"/>
        </w:rPr>
        <w:t xml:space="preserve"> </w:t>
      </w:r>
      <w:r w:rsidRPr="0090137A">
        <w:rPr>
          <w:lang w:eastAsia="en-AU" w:bidi="ar-SA"/>
        </w:rPr>
        <w:t xml:space="preserve">can effectively reduce </w:t>
      </w:r>
      <w:r>
        <w:rPr>
          <w:lang w:eastAsia="en-AU" w:bidi="ar-SA"/>
        </w:rPr>
        <w:t xml:space="preserve">pathogen contamination </w:t>
      </w:r>
      <w:r w:rsidRPr="0090137A">
        <w:rPr>
          <w:lang w:eastAsia="en-AU" w:bidi="ar-SA"/>
        </w:rPr>
        <w:t xml:space="preserve">on a variety of poultry </w:t>
      </w:r>
      <w:r>
        <w:rPr>
          <w:lang w:eastAsia="en-AU" w:bidi="ar-SA"/>
        </w:rPr>
        <w:t>products</w:t>
      </w:r>
      <w:r w:rsidR="00BA38D0">
        <w:rPr>
          <w:lang w:eastAsia="en-AU" w:bidi="ar-SA"/>
        </w:rPr>
        <w:t xml:space="preserve"> and can</w:t>
      </w:r>
      <w:r>
        <w:rPr>
          <w:lang w:eastAsia="en-AU" w:bidi="ar-SA"/>
        </w:rPr>
        <w:t xml:space="preserve"> </w:t>
      </w:r>
      <w:r w:rsidR="00BA38D0">
        <w:rPr>
          <w:lang w:eastAsia="en-AU" w:bidi="ar-SA"/>
        </w:rPr>
        <w:t>contribute, as part of a multi-hurdle approach,</w:t>
      </w:r>
      <w:r w:rsidRPr="0090137A">
        <w:rPr>
          <w:lang w:eastAsia="en-AU" w:bidi="ar-SA"/>
        </w:rPr>
        <w:t xml:space="preserve"> to the safety of </w:t>
      </w:r>
      <w:r w:rsidR="00BA38D0">
        <w:rPr>
          <w:lang w:eastAsia="en-AU" w:bidi="ar-SA"/>
        </w:rPr>
        <w:t>poultry</w:t>
      </w:r>
      <w:r w:rsidRPr="0090137A">
        <w:rPr>
          <w:lang w:eastAsia="en-AU" w:bidi="ar-SA"/>
        </w:rPr>
        <w:t xml:space="preserve"> product</w:t>
      </w:r>
      <w:r>
        <w:rPr>
          <w:lang w:eastAsia="en-AU" w:bidi="ar-SA"/>
        </w:rPr>
        <w:t>s</w:t>
      </w:r>
      <w:r w:rsidRPr="0090137A">
        <w:rPr>
          <w:lang w:eastAsia="en-AU" w:bidi="ar-SA"/>
        </w:rPr>
        <w:t xml:space="preserve"> for consumers</w:t>
      </w:r>
      <w:r>
        <w:rPr>
          <w:lang w:eastAsia="en-AU" w:bidi="ar-SA"/>
        </w:rPr>
        <w:t>.</w:t>
      </w:r>
    </w:p>
    <w:p w14:paraId="2C7CADAD" w14:textId="2923909E" w:rsidR="00194A66" w:rsidRDefault="00C32178" w:rsidP="00194A66">
      <w:pPr>
        <w:pStyle w:val="Heading3"/>
      </w:pPr>
      <w:bookmarkStart w:id="59" w:name="_Toc93592305"/>
      <w:bookmarkStart w:id="60" w:name="_Toc93585316"/>
      <w:bookmarkStart w:id="61" w:name="_Toc97041611"/>
      <w:r>
        <w:t>2.4.2</w:t>
      </w:r>
      <w:r>
        <w:tab/>
      </w:r>
      <w:r w:rsidR="00194A66">
        <w:t>Potential for ongoing antimicrobial function</w:t>
      </w:r>
      <w:bookmarkEnd w:id="59"/>
      <w:bookmarkEnd w:id="60"/>
      <w:bookmarkEnd w:id="61"/>
    </w:p>
    <w:p w14:paraId="771B52AD" w14:textId="6CCCBCF8" w:rsidR="00194A66" w:rsidRDefault="00194A66" w:rsidP="00D0092F">
      <w:pPr>
        <w:rPr>
          <w:lang w:eastAsia="en-AU" w:bidi="ar-SA"/>
        </w:rPr>
      </w:pPr>
      <w:r>
        <w:rPr>
          <w:lang w:eastAsia="en-AU" w:bidi="ar-SA"/>
        </w:rPr>
        <w:t>Several studies—in both laboratory and commercial poultry processing settings—indicate that CPC does not perform an ongoing technological purpose as an antimicrobial in poultry products after the initial treatment. Using aerobic plate count (APC) as a measure of total bacterial load, CPC was shown to extend the shelf life of products by reducing the initial bacterial load on boneless, skinless thigh meat (Bai et al., 2007), skin-on carcass pieces (Baker et al., 2010) and whole broiler carcasses (Baker et al., 2007; Gilbert et al., 2015). In each of these studies, CPC treatment did not affect the rate of growth of the residual bacterial population during refrigerated storage, after the initial treatment,</w:t>
      </w:r>
      <w:r w:rsidRPr="0060478F">
        <w:rPr>
          <w:lang w:eastAsia="en-AU" w:bidi="ar-SA"/>
        </w:rPr>
        <w:t xml:space="preserve"> indicating that any residual CPC did not function as an antimicrobial.</w:t>
      </w:r>
      <w:r>
        <w:rPr>
          <w:lang w:eastAsia="en-AU" w:bidi="ar-SA"/>
        </w:rPr>
        <w:t xml:space="preserve"> As CPC performs the antimicrobial function in the processing (washing) of poultry and does not perform a technological purpose after the initial treatment, it functions as a processing aid as defined in the Code.</w:t>
      </w:r>
    </w:p>
    <w:p w14:paraId="642A296C" w14:textId="77777777" w:rsidR="00194A66" w:rsidRDefault="00194A66" w:rsidP="00D0092F">
      <w:pPr>
        <w:rPr>
          <w:lang w:eastAsia="en-AU" w:bidi="ar-SA"/>
        </w:rPr>
      </w:pPr>
    </w:p>
    <w:p w14:paraId="4F2FDFBF" w14:textId="77777777" w:rsidR="00D0092F" w:rsidRDefault="00D0092F" w:rsidP="00D0092F">
      <w:pPr>
        <w:rPr>
          <w:lang w:eastAsia="en-AU" w:bidi="ar-SA"/>
        </w:rPr>
      </w:pPr>
    </w:p>
    <w:p w14:paraId="7AA78224" w14:textId="77777777" w:rsidR="00D0092F" w:rsidRDefault="00D0092F" w:rsidP="00D0092F">
      <w:pPr>
        <w:rPr>
          <w:lang w:eastAsia="en-AU" w:bidi="ar-SA"/>
        </w:rPr>
        <w:sectPr w:rsidR="00D0092F" w:rsidSect="0054272D">
          <w:pgSz w:w="11906" w:h="16838"/>
          <w:pgMar w:top="1418" w:right="1418" w:bottom="1418" w:left="1418" w:header="709" w:footer="709" w:gutter="0"/>
          <w:pgNumType w:start="1"/>
          <w:cols w:space="708"/>
          <w:docGrid w:linePitch="360"/>
        </w:sectPr>
      </w:pPr>
    </w:p>
    <w:p w14:paraId="0738A487" w14:textId="7B70A2E7" w:rsidR="00D0092F" w:rsidRDefault="00D0092F" w:rsidP="00D0092F">
      <w:pPr>
        <w:pStyle w:val="FSTableTitle"/>
      </w:pPr>
      <w:r>
        <w:lastRenderedPageBreak/>
        <w:t xml:space="preserve">Table </w:t>
      </w:r>
      <w:fldSimple w:instr=" SEQ Table \* ARABIC ">
        <w:r w:rsidR="00A65698">
          <w:rPr>
            <w:noProof/>
          </w:rPr>
          <w:t>2</w:t>
        </w:r>
      </w:fldSimple>
      <w:r>
        <w:t xml:space="preserve"> Summary of CPC/CPC preparation efficacy studies</w:t>
      </w:r>
    </w:p>
    <w:tbl>
      <w:tblPr>
        <w:tblStyle w:val="TableGrid"/>
        <w:tblW w:w="0" w:type="auto"/>
        <w:tblLook w:val="04A0" w:firstRow="1" w:lastRow="0" w:firstColumn="1" w:lastColumn="0" w:noHBand="0" w:noVBand="1"/>
        <w:tblCaption w:val="Table 2 Summary of CPC/CPC preparation efficacy studies"/>
        <w:tblDescription w:val="Summary of studies assessing the efficacy of pathogen reduction by CPC using a range of pathogens and application methods."/>
      </w:tblPr>
      <w:tblGrid>
        <w:gridCol w:w="2689"/>
        <w:gridCol w:w="2268"/>
        <w:gridCol w:w="3543"/>
        <w:gridCol w:w="5398"/>
      </w:tblGrid>
      <w:tr w:rsidR="00D0092F" w:rsidRPr="008672A2" w14:paraId="723FE411" w14:textId="77777777" w:rsidTr="00D0092F">
        <w:tc>
          <w:tcPr>
            <w:tcW w:w="2689" w:type="dxa"/>
          </w:tcPr>
          <w:p w14:paraId="230C95DA" w14:textId="77777777" w:rsidR="00D0092F" w:rsidRPr="000B43B7" w:rsidRDefault="00D0092F" w:rsidP="00D0092F">
            <w:pPr>
              <w:pStyle w:val="FSTableTitle"/>
            </w:pPr>
            <w:r w:rsidRPr="000B43B7">
              <w:t>Product treated</w:t>
            </w:r>
          </w:p>
        </w:tc>
        <w:tc>
          <w:tcPr>
            <w:tcW w:w="2268" w:type="dxa"/>
          </w:tcPr>
          <w:p w14:paraId="34DD98A0" w14:textId="77777777" w:rsidR="00D0092F" w:rsidRPr="00796E92" w:rsidRDefault="00D0092F" w:rsidP="00D0092F">
            <w:pPr>
              <w:pStyle w:val="FSTableTitle"/>
            </w:pPr>
            <w:r>
              <w:t>Reference</w:t>
            </w:r>
          </w:p>
          <w:p w14:paraId="3434F017" w14:textId="77777777" w:rsidR="00D0092F" w:rsidRPr="000B43B7" w:rsidRDefault="00D0092F" w:rsidP="00D0092F">
            <w:r w:rsidRPr="00796E92">
              <w:rPr>
                <w:b/>
              </w:rPr>
              <w:t>(study design)</w:t>
            </w:r>
          </w:p>
        </w:tc>
        <w:tc>
          <w:tcPr>
            <w:tcW w:w="3543" w:type="dxa"/>
          </w:tcPr>
          <w:p w14:paraId="6DEB8482" w14:textId="77777777" w:rsidR="00D0092F" w:rsidRPr="000B43B7" w:rsidRDefault="00D0092F" w:rsidP="00D0092F">
            <w:pPr>
              <w:pStyle w:val="FSTableTitle"/>
            </w:pPr>
            <w:r w:rsidRPr="000B43B7">
              <w:t>Process controls</w:t>
            </w:r>
          </w:p>
        </w:tc>
        <w:tc>
          <w:tcPr>
            <w:tcW w:w="5398" w:type="dxa"/>
          </w:tcPr>
          <w:p w14:paraId="7F476D7A" w14:textId="77777777" w:rsidR="00D0092F" w:rsidRPr="000B43B7" w:rsidRDefault="00D0092F" w:rsidP="00D0092F">
            <w:pPr>
              <w:pStyle w:val="FSTableTitle"/>
            </w:pPr>
            <w:r>
              <w:t>Effectiveness</w:t>
            </w:r>
            <w:r>
              <w:br/>
            </w:r>
            <w:r w:rsidRPr="000B43B7">
              <w:t>(log reduction</w:t>
            </w:r>
            <w:r>
              <w:t xml:space="preserve"> or incidence</w:t>
            </w:r>
            <w:r w:rsidRPr="000B43B7">
              <w:t>)</w:t>
            </w:r>
          </w:p>
        </w:tc>
      </w:tr>
      <w:tr w:rsidR="00D0092F" w:rsidRPr="008672A2" w14:paraId="02B43075" w14:textId="77777777" w:rsidTr="00D0092F">
        <w:tc>
          <w:tcPr>
            <w:tcW w:w="2689" w:type="dxa"/>
            <w:shd w:val="clear" w:color="auto" w:fill="auto"/>
          </w:tcPr>
          <w:p w14:paraId="181D5F08" w14:textId="77777777" w:rsidR="00D0092F" w:rsidRPr="003C0B3A" w:rsidRDefault="00D0092F" w:rsidP="00D0092F">
            <w:pPr>
              <w:pStyle w:val="FSTableText"/>
            </w:pPr>
            <w:r w:rsidRPr="003C0B3A">
              <w:t xml:space="preserve">Poultry skin inoculated with </w:t>
            </w:r>
            <w:r w:rsidRPr="003C0B3A">
              <w:rPr>
                <w:i/>
              </w:rPr>
              <w:t>Campylobacter jejuni</w:t>
            </w:r>
          </w:p>
        </w:tc>
        <w:tc>
          <w:tcPr>
            <w:tcW w:w="2268" w:type="dxa"/>
            <w:shd w:val="clear" w:color="auto" w:fill="auto"/>
          </w:tcPr>
          <w:p w14:paraId="39D37D50" w14:textId="77777777" w:rsidR="00D0092F" w:rsidRPr="003C0B3A" w:rsidRDefault="00D0092F" w:rsidP="00D0092F">
            <w:pPr>
              <w:pStyle w:val="FSTableText"/>
            </w:pPr>
            <w:r w:rsidRPr="003C0B3A">
              <w:t>Arritt et al (2002)</w:t>
            </w:r>
            <w:r w:rsidRPr="003C0B3A">
              <w:br/>
              <w:t>(laboratory-scale)</w:t>
            </w:r>
          </w:p>
        </w:tc>
        <w:tc>
          <w:tcPr>
            <w:tcW w:w="3543" w:type="dxa"/>
            <w:shd w:val="clear" w:color="auto" w:fill="auto"/>
          </w:tcPr>
          <w:p w14:paraId="017B43E0" w14:textId="11DD7889" w:rsidR="00D0092F" w:rsidRPr="003C0B3A" w:rsidRDefault="00D0092F" w:rsidP="00D0092F">
            <w:pPr>
              <w:pStyle w:val="FSTableText"/>
            </w:pPr>
            <w:r w:rsidRPr="003C0B3A">
              <w:t xml:space="preserve">Sprayed with 0.1% and 0.5% </w:t>
            </w:r>
            <w:r w:rsidR="00872A01">
              <w:t xml:space="preserve">(w/v) </w:t>
            </w:r>
            <w:r w:rsidRPr="003C0B3A">
              <w:t>CPC at ~8psi pressure</w:t>
            </w:r>
            <w:r>
              <w:t xml:space="preserve"> </w:t>
            </w:r>
            <w:r w:rsidRPr="003C0B3A">
              <w:t>for 3 seconds</w:t>
            </w:r>
          </w:p>
        </w:tc>
        <w:tc>
          <w:tcPr>
            <w:tcW w:w="5398" w:type="dxa"/>
            <w:shd w:val="clear" w:color="auto" w:fill="auto"/>
          </w:tcPr>
          <w:p w14:paraId="70E7ABBC" w14:textId="77777777" w:rsidR="00D0092F" w:rsidRPr="003C0B3A" w:rsidRDefault="00D0092F" w:rsidP="00D0092F">
            <w:pPr>
              <w:pStyle w:val="FSTableText"/>
            </w:pPr>
            <w:r w:rsidRPr="003C0B3A">
              <w:t>1.4 and 2.7 log reduction, resp., compared to water control</w:t>
            </w:r>
          </w:p>
        </w:tc>
      </w:tr>
      <w:tr w:rsidR="00D0092F" w:rsidRPr="008672A2" w14:paraId="180BDDD5" w14:textId="77777777" w:rsidTr="00D0092F">
        <w:tc>
          <w:tcPr>
            <w:tcW w:w="2689" w:type="dxa"/>
            <w:shd w:val="clear" w:color="auto" w:fill="auto"/>
          </w:tcPr>
          <w:p w14:paraId="55B39965" w14:textId="77777777" w:rsidR="00D0092F" w:rsidRPr="003C0B3A" w:rsidRDefault="00D0092F" w:rsidP="00D0092F">
            <w:pPr>
              <w:pStyle w:val="FSTableText"/>
            </w:pPr>
            <w:r w:rsidRPr="003C0B3A">
              <w:t>Pre-chill (immersion) broilers contaminated with ingesta</w:t>
            </w:r>
          </w:p>
        </w:tc>
        <w:tc>
          <w:tcPr>
            <w:tcW w:w="2268" w:type="dxa"/>
            <w:shd w:val="clear" w:color="auto" w:fill="auto"/>
          </w:tcPr>
          <w:p w14:paraId="6610ADEE" w14:textId="77777777" w:rsidR="00D0092F" w:rsidRPr="003C0B3A" w:rsidRDefault="00D0092F" w:rsidP="00D0092F">
            <w:pPr>
              <w:pStyle w:val="FSTableText"/>
            </w:pPr>
            <w:r w:rsidRPr="003C0B3A">
              <w:t>Beers et al (2006)</w:t>
            </w:r>
            <w:r>
              <w:br/>
            </w:r>
            <w:r w:rsidRPr="003C0B3A">
              <w:t>(in-plant trial)</w:t>
            </w:r>
          </w:p>
        </w:tc>
        <w:tc>
          <w:tcPr>
            <w:tcW w:w="3543" w:type="dxa"/>
            <w:shd w:val="clear" w:color="auto" w:fill="auto"/>
          </w:tcPr>
          <w:p w14:paraId="28ED6611" w14:textId="6F9A6F2A" w:rsidR="00D0092F" w:rsidRPr="003C0B3A" w:rsidRDefault="00D0092F" w:rsidP="00D0092F">
            <w:pPr>
              <w:pStyle w:val="FSTableText"/>
            </w:pPr>
            <w:r w:rsidRPr="003C0B3A">
              <w:t>Sprayed with 0.5–0.7</w:t>
            </w:r>
            <w:r>
              <w:t xml:space="preserve">% </w:t>
            </w:r>
            <w:r w:rsidR="00872A01">
              <w:t xml:space="preserve">(w/v) </w:t>
            </w:r>
            <w:r>
              <w:t>CPC</w:t>
            </w:r>
          </w:p>
        </w:tc>
        <w:tc>
          <w:tcPr>
            <w:tcW w:w="5398" w:type="dxa"/>
            <w:shd w:val="clear" w:color="auto" w:fill="auto"/>
          </w:tcPr>
          <w:p w14:paraId="36717584" w14:textId="77777777" w:rsidR="00D0092F" w:rsidRDefault="00D0092F" w:rsidP="00D0092F">
            <w:pPr>
              <w:pStyle w:val="FSTableText"/>
            </w:pPr>
            <w:r w:rsidRPr="003C0B3A">
              <w:t xml:space="preserve">1.2–2.9 log for </w:t>
            </w:r>
            <w:r w:rsidRPr="003C0B3A">
              <w:rPr>
                <w:i/>
              </w:rPr>
              <w:t>E.coli</w:t>
            </w:r>
            <w:r>
              <w:rPr>
                <w:i/>
              </w:rPr>
              <w:t xml:space="preserve">; </w:t>
            </w:r>
            <w:r w:rsidRPr="003C0B3A">
              <w:t xml:space="preserve">0.5–2.1 log for </w:t>
            </w:r>
            <w:r w:rsidRPr="003C0B3A">
              <w:rPr>
                <w:i/>
              </w:rPr>
              <w:t>Cam</w:t>
            </w:r>
            <w:r>
              <w:rPr>
                <w:i/>
              </w:rPr>
              <w:t>p</w:t>
            </w:r>
            <w:r w:rsidRPr="003C0B3A">
              <w:rPr>
                <w:i/>
              </w:rPr>
              <w:t>ylobacter</w:t>
            </w:r>
            <w:r>
              <w:rPr>
                <w:i/>
              </w:rPr>
              <w:t>.</w:t>
            </w:r>
            <w:r w:rsidRPr="003C0B3A">
              <w:rPr>
                <w:i/>
              </w:rPr>
              <w:br/>
              <w:t>Salmonella</w:t>
            </w:r>
            <w:r>
              <w:rPr>
                <w:i/>
              </w:rPr>
              <w:t>:</w:t>
            </w:r>
            <w:r w:rsidRPr="003C0B3A">
              <w:t xml:space="preserve"> incidence reduced from 5–33%</w:t>
            </w:r>
            <w:r>
              <w:t xml:space="preserve"> </w:t>
            </w:r>
            <w:r w:rsidRPr="003C0B3A">
              <w:t>to 1–10%</w:t>
            </w:r>
            <w:r>
              <w:t>.</w:t>
            </w:r>
          </w:p>
          <w:p w14:paraId="39B60C8A" w14:textId="77777777" w:rsidR="00D0092F" w:rsidRPr="003C0B3A" w:rsidRDefault="00D0092F" w:rsidP="00D0092F">
            <w:pPr>
              <w:pStyle w:val="FSTableText"/>
            </w:pPr>
            <w:r w:rsidRPr="003C0B3A">
              <w:rPr>
                <w:i/>
              </w:rPr>
              <w:t>Cam</w:t>
            </w:r>
            <w:r>
              <w:rPr>
                <w:i/>
              </w:rPr>
              <w:t>p</w:t>
            </w:r>
            <w:r w:rsidRPr="003C0B3A">
              <w:rPr>
                <w:i/>
              </w:rPr>
              <w:t>ylobacter</w:t>
            </w:r>
            <w:r>
              <w:rPr>
                <w:i/>
              </w:rPr>
              <w:t>:</w:t>
            </w:r>
            <w:r w:rsidRPr="003C0B3A">
              <w:rPr>
                <w:i/>
              </w:rPr>
              <w:t xml:space="preserve"> </w:t>
            </w:r>
            <w:r w:rsidRPr="003C0B3A">
              <w:t>incidence reduced from &gt;83% to &lt;10%</w:t>
            </w:r>
            <w:r>
              <w:t>.</w:t>
            </w:r>
          </w:p>
        </w:tc>
      </w:tr>
      <w:tr w:rsidR="00D0092F" w:rsidRPr="008672A2" w14:paraId="1DEE0EE6" w14:textId="77777777" w:rsidTr="00D0092F">
        <w:tc>
          <w:tcPr>
            <w:tcW w:w="2689" w:type="dxa"/>
            <w:shd w:val="clear" w:color="auto" w:fill="auto"/>
          </w:tcPr>
          <w:p w14:paraId="1A49E3BC" w14:textId="77777777" w:rsidR="00D0092F" w:rsidRPr="003C0B3A" w:rsidRDefault="00D0092F" w:rsidP="00D0092F">
            <w:pPr>
              <w:pStyle w:val="FSTableText"/>
            </w:pPr>
            <w:r w:rsidRPr="003C0B3A">
              <w:t xml:space="preserve">Poultry skin inoculated with </w:t>
            </w:r>
            <w:r w:rsidRPr="003C0B3A">
              <w:rPr>
                <w:i/>
              </w:rPr>
              <w:t>Salmonella</w:t>
            </w:r>
            <w:r w:rsidRPr="003C0B3A">
              <w:t xml:space="preserve"> </w:t>
            </w:r>
            <w:r w:rsidRPr="00A25BB7">
              <w:t>Typhimurium</w:t>
            </w:r>
          </w:p>
        </w:tc>
        <w:tc>
          <w:tcPr>
            <w:tcW w:w="2268" w:type="dxa"/>
            <w:shd w:val="clear" w:color="auto" w:fill="auto"/>
          </w:tcPr>
          <w:p w14:paraId="1FB27558" w14:textId="77777777" w:rsidR="00D0092F" w:rsidRPr="003C0B3A" w:rsidRDefault="00D0092F" w:rsidP="00D0092F">
            <w:pPr>
              <w:pStyle w:val="FSTableText"/>
            </w:pPr>
            <w:r w:rsidRPr="003C0B3A">
              <w:t>Breen et al (1997)</w:t>
            </w:r>
            <w:r w:rsidRPr="003C0B3A">
              <w:br/>
              <w:t>(laboratory-scale)</w:t>
            </w:r>
          </w:p>
        </w:tc>
        <w:tc>
          <w:tcPr>
            <w:tcW w:w="3543" w:type="dxa"/>
            <w:shd w:val="clear" w:color="auto" w:fill="auto"/>
          </w:tcPr>
          <w:p w14:paraId="1C4C86D7" w14:textId="5E83A43D" w:rsidR="00D0092F" w:rsidRPr="003C0B3A" w:rsidRDefault="00D0092F" w:rsidP="00D0092F">
            <w:pPr>
              <w:pStyle w:val="FSTableText"/>
            </w:pPr>
            <w:r>
              <w:t>S</w:t>
            </w:r>
            <w:r w:rsidRPr="003C0B3A">
              <w:t>kin (2.5x2.5 cm) immersed in</w:t>
            </w:r>
            <w:r w:rsidR="00872A01">
              <w:t xml:space="preserve"> </w:t>
            </w:r>
            <w:r w:rsidRPr="003C0B3A">
              <w:t xml:space="preserve">0.1–0.8% </w:t>
            </w:r>
            <w:r w:rsidR="00872A01">
              <w:t xml:space="preserve">(w/v) </w:t>
            </w:r>
            <w:r w:rsidRPr="003C0B3A">
              <w:t>CPC</w:t>
            </w:r>
            <w:r>
              <w:t xml:space="preserve"> </w:t>
            </w:r>
            <w:r w:rsidRPr="003C0B3A">
              <w:t>for 1, 3 or 10 min</w:t>
            </w:r>
          </w:p>
        </w:tc>
        <w:tc>
          <w:tcPr>
            <w:tcW w:w="5398" w:type="dxa"/>
            <w:shd w:val="clear" w:color="auto" w:fill="auto"/>
          </w:tcPr>
          <w:p w14:paraId="3EDD9FBA" w14:textId="77777777" w:rsidR="00D0092F" w:rsidRPr="003C0B3A" w:rsidRDefault="00D0092F" w:rsidP="00D0092F">
            <w:pPr>
              <w:pStyle w:val="FSTableText"/>
            </w:pPr>
            <w:r w:rsidRPr="003C0B3A">
              <w:t>Reduction dependent on time and CPC concentration.</w:t>
            </w:r>
          </w:p>
          <w:p w14:paraId="57457032" w14:textId="6E2CDFEF" w:rsidR="00D0092F" w:rsidRPr="003C0B3A" w:rsidRDefault="00D0092F" w:rsidP="00D0092F">
            <w:pPr>
              <w:pStyle w:val="FSTableText"/>
            </w:pPr>
            <w:r w:rsidRPr="003C0B3A">
              <w:t>From 0.59 log (</w:t>
            </w:r>
            <w:r>
              <w:t>0.1%, 1 min)</w:t>
            </w:r>
            <w:r>
              <w:br/>
            </w:r>
            <w:r w:rsidRPr="003C0B3A">
              <w:t>to 4.6-4.9 log (0.4%</w:t>
            </w:r>
            <w:r w:rsidR="00872A01">
              <w:t xml:space="preserve"> (w/v)</w:t>
            </w:r>
            <w:r w:rsidRPr="003C0B3A">
              <w:t>, 3 min; 0.2%</w:t>
            </w:r>
            <w:r w:rsidR="00872A01">
              <w:t xml:space="preserve"> (w/v)</w:t>
            </w:r>
            <w:r w:rsidRPr="003C0B3A">
              <w:t>, 10 min)</w:t>
            </w:r>
          </w:p>
        </w:tc>
      </w:tr>
      <w:tr w:rsidR="00D0092F" w:rsidRPr="008672A2" w14:paraId="2E8CAE8E" w14:textId="77777777" w:rsidTr="00D0092F">
        <w:tc>
          <w:tcPr>
            <w:tcW w:w="2689" w:type="dxa"/>
            <w:shd w:val="clear" w:color="auto" w:fill="auto"/>
          </w:tcPr>
          <w:p w14:paraId="50BE5423" w14:textId="77777777" w:rsidR="00D0092F" w:rsidRPr="003C0B3A" w:rsidRDefault="00D0092F" w:rsidP="00D0092F">
            <w:pPr>
              <w:pStyle w:val="FSTableText"/>
            </w:pPr>
            <w:r w:rsidRPr="003C0B3A">
              <w:t>Pre-chill broilers</w:t>
            </w:r>
          </w:p>
          <w:p w14:paraId="30AEA09A" w14:textId="77777777" w:rsidR="00D0092F" w:rsidRPr="003C0B3A" w:rsidRDefault="00D0092F" w:rsidP="00D0092F">
            <w:pPr>
              <w:pStyle w:val="FSTableText"/>
            </w:pPr>
            <w:r w:rsidRPr="003C0B3A">
              <w:t xml:space="preserve">inoculated with </w:t>
            </w:r>
            <w:r w:rsidRPr="003C0B3A">
              <w:rPr>
                <w:i/>
              </w:rPr>
              <w:t xml:space="preserve">Salmonella </w:t>
            </w:r>
            <w:r w:rsidRPr="00A25BB7">
              <w:t>Typhimurium</w:t>
            </w:r>
          </w:p>
        </w:tc>
        <w:tc>
          <w:tcPr>
            <w:tcW w:w="2268" w:type="dxa"/>
            <w:shd w:val="clear" w:color="auto" w:fill="auto"/>
          </w:tcPr>
          <w:p w14:paraId="3653FE46" w14:textId="77777777" w:rsidR="00D0092F" w:rsidRPr="003C0B3A" w:rsidRDefault="00D0092F" w:rsidP="00D0092F">
            <w:pPr>
              <w:pStyle w:val="FSTableText"/>
            </w:pPr>
            <w:r w:rsidRPr="003C0B3A">
              <w:t>Li et al (1997)</w:t>
            </w:r>
            <w:r>
              <w:br/>
            </w:r>
            <w:r w:rsidRPr="003C0B3A">
              <w:t>(laboratory-scale)</w:t>
            </w:r>
          </w:p>
        </w:tc>
        <w:tc>
          <w:tcPr>
            <w:tcW w:w="3543" w:type="dxa"/>
            <w:shd w:val="clear" w:color="auto" w:fill="auto"/>
          </w:tcPr>
          <w:p w14:paraId="4F4EA476" w14:textId="15A9BAB2" w:rsidR="00D0092F" w:rsidRPr="003C0B3A" w:rsidRDefault="00D0092F" w:rsidP="00D0092F">
            <w:pPr>
              <w:pStyle w:val="FSTableText"/>
            </w:pPr>
            <w:r>
              <w:t xml:space="preserve">Sprayed with 0.1% </w:t>
            </w:r>
            <w:r w:rsidR="00872A01">
              <w:t xml:space="preserve">(w/v) </w:t>
            </w:r>
            <w:r>
              <w:t>CPC</w:t>
            </w:r>
            <w:r>
              <w:br/>
            </w:r>
            <w:r w:rsidRPr="003C0B3A">
              <w:t>at 207, 34</w:t>
            </w:r>
            <w:r>
              <w:t>5 or 827 kPa pressure</w:t>
            </w:r>
            <w:r>
              <w:br/>
            </w:r>
            <w:r w:rsidRPr="003C0B3A">
              <w:t>for 30 or 90 seconds.</w:t>
            </w:r>
          </w:p>
        </w:tc>
        <w:tc>
          <w:tcPr>
            <w:tcW w:w="5398" w:type="dxa"/>
            <w:shd w:val="clear" w:color="auto" w:fill="auto"/>
          </w:tcPr>
          <w:p w14:paraId="17082553" w14:textId="6D6F205B" w:rsidR="00D0092F" w:rsidRPr="003C0B3A" w:rsidRDefault="00D0092F" w:rsidP="00D0092F">
            <w:pPr>
              <w:pStyle w:val="FSTableText"/>
            </w:pPr>
            <w:r w:rsidRPr="003C0B3A">
              <w:t>Between 0.59 log CFU/bird</w:t>
            </w:r>
            <w:r>
              <w:t xml:space="preserve"> </w:t>
            </w:r>
            <w:r w:rsidRPr="003C0B3A">
              <w:t xml:space="preserve">(0.1% </w:t>
            </w:r>
            <w:r w:rsidR="00872A01">
              <w:t>(w/v)</w:t>
            </w:r>
            <w:r w:rsidRPr="003C0B3A">
              <w:t xml:space="preserve"> CPC, 30 sec, 207kpa)</w:t>
            </w:r>
            <w:r w:rsidR="00872A01">
              <w:t xml:space="preserve"> </w:t>
            </w:r>
            <w:r w:rsidRPr="003C0B3A">
              <w:t>and 1.6 log CFU/bird</w:t>
            </w:r>
            <w:r>
              <w:t xml:space="preserve"> </w:t>
            </w:r>
            <w:r w:rsidRPr="003C0B3A">
              <w:t xml:space="preserve">(0.1% </w:t>
            </w:r>
            <w:r w:rsidR="00872A01">
              <w:t>(w/v)</w:t>
            </w:r>
            <w:r w:rsidRPr="003C0B3A">
              <w:t xml:space="preserve"> CPC, 90 sec, 827kpa)</w:t>
            </w:r>
            <w:r w:rsidR="00872A01">
              <w:t xml:space="preserve"> </w:t>
            </w:r>
            <w:r w:rsidRPr="003C0B3A">
              <w:t>compared to water control</w:t>
            </w:r>
          </w:p>
        </w:tc>
      </w:tr>
      <w:tr w:rsidR="00D0092F" w:rsidRPr="008672A2" w14:paraId="734C37AE" w14:textId="77777777" w:rsidTr="00D0092F">
        <w:tc>
          <w:tcPr>
            <w:tcW w:w="2689" w:type="dxa"/>
            <w:shd w:val="clear" w:color="auto" w:fill="auto"/>
          </w:tcPr>
          <w:p w14:paraId="66114969" w14:textId="77777777" w:rsidR="00D0092F" w:rsidRPr="003C0B3A" w:rsidRDefault="00D0092F" w:rsidP="00D0092F">
            <w:pPr>
              <w:pStyle w:val="FSTableText"/>
            </w:pPr>
            <w:r w:rsidRPr="009E3649">
              <w:t>Pre-</w:t>
            </w:r>
            <w:r>
              <w:t xml:space="preserve"> and post-chill carcasses</w:t>
            </w:r>
          </w:p>
        </w:tc>
        <w:tc>
          <w:tcPr>
            <w:tcW w:w="2268" w:type="dxa"/>
            <w:shd w:val="clear" w:color="auto" w:fill="auto"/>
          </w:tcPr>
          <w:p w14:paraId="403A3A74" w14:textId="77777777" w:rsidR="00D0092F" w:rsidRPr="003C0B3A" w:rsidRDefault="00D0092F" w:rsidP="00D0092F">
            <w:pPr>
              <w:pStyle w:val="FSTableText"/>
            </w:pPr>
            <w:r>
              <w:t>Safe Foods #60302</w:t>
            </w:r>
            <w:r>
              <w:br/>
            </w:r>
            <w:r w:rsidRPr="003C0B3A">
              <w:t>(in-plant trial)</w:t>
            </w:r>
            <w:r>
              <w:br/>
              <w:t>(see EFSA 2012</w:t>
            </w:r>
            <w:r w:rsidRPr="003C0B3A">
              <w:t>)</w:t>
            </w:r>
          </w:p>
        </w:tc>
        <w:tc>
          <w:tcPr>
            <w:tcW w:w="3543" w:type="dxa"/>
            <w:shd w:val="clear" w:color="auto" w:fill="auto"/>
          </w:tcPr>
          <w:p w14:paraId="14E150E8" w14:textId="677430F1" w:rsidR="00D0092F" w:rsidRPr="003C0B3A" w:rsidRDefault="00D0092F" w:rsidP="00D0092F">
            <w:pPr>
              <w:pStyle w:val="FSTableText"/>
            </w:pPr>
            <w:r>
              <w:t>Drench</w:t>
            </w:r>
            <w:r w:rsidRPr="009E3649">
              <w:t xml:space="preserve"> application</w:t>
            </w:r>
            <w:r>
              <w:t xml:space="preserve">: 0.9L of 0.1% </w:t>
            </w:r>
            <w:r w:rsidR="00872A01">
              <w:t xml:space="preserve">(w/v) </w:t>
            </w:r>
            <w:r>
              <w:t xml:space="preserve">or 3.8L of 0.6% </w:t>
            </w:r>
            <w:r w:rsidR="00872A01">
              <w:t>(w/v)</w:t>
            </w:r>
            <w:r>
              <w:t xml:space="preserve"> CPC for 5 or 60 sec</w:t>
            </w:r>
          </w:p>
        </w:tc>
        <w:tc>
          <w:tcPr>
            <w:tcW w:w="5398" w:type="dxa"/>
            <w:shd w:val="clear" w:color="auto" w:fill="auto"/>
          </w:tcPr>
          <w:p w14:paraId="22E982D0" w14:textId="5765CEB1" w:rsidR="00D0092F" w:rsidRPr="003C0B3A" w:rsidRDefault="00872A01" w:rsidP="00D0092F">
            <w:pPr>
              <w:pStyle w:val="FSTableText"/>
            </w:pPr>
            <w:r>
              <w:t>Volume</w:t>
            </w:r>
            <w:r w:rsidR="00D0092F">
              <w:t xml:space="preserve"> and</w:t>
            </w:r>
            <w:r w:rsidR="00D0092F" w:rsidRPr="003C0B3A">
              <w:t xml:space="preserve"> concentration</w:t>
            </w:r>
            <w:r w:rsidRPr="003C0B3A">
              <w:t xml:space="preserve"> dependent </w:t>
            </w:r>
            <w:r>
              <w:t>r</w:t>
            </w:r>
            <w:r w:rsidR="00D0092F" w:rsidRPr="003C0B3A">
              <w:t>eduction</w:t>
            </w:r>
            <w:r>
              <w:t xml:space="preserve"> of</w:t>
            </w:r>
            <w:r w:rsidR="00D0092F">
              <w:t xml:space="preserve"> </w:t>
            </w:r>
            <w:r w:rsidR="00D0092F" w:rsidRPr="009E3649">
              <w:rPr>
                <w:i/>
              </w:rPr>
              <w:t>E. coli</w:t>
            </w:r>
            <w:r w:rsidR="00D0092F" w:rsidRPr="003C0B3A">
              <w:t>.</w:t>
            </w:r>
            <w:r w:rsidR="00D0092F">
              <w:t xml:space="preserve"> Between 0.37</w:t>
            </w:r>
            <w:r w:rsidR="00D0092F" w:rsidRPr="003C0B3A">
              <w:t xml:space="preserve"> log (</w:t>
            </w:r>
            <w:r w:rsidR="00D0092F">
              <w:t>0.1%</w:t>
            </w:r>
            <w:r>
              <w:t xml:space="preserve"> (w/v)</w:t>
            </w:r>
            <w:r w:rsidR="00D0092F">
              <w:t>, 0.9L, post-chill carcass) and</w:t>
            </w:r>
            <w:r w:rsidR="00D0092F" w:rsidRPr="003C0B3A">
              <w:t xml:space="preserve"> </w:t>
            </w:r>
            <w:r w:rsidR="00D0092F">
              <w:t>2.0 log (0.6</w:t>
            </w:r>
            <w:r w:rsidR="00D0092F" w:rsidRPr="003C0B3A">
              <w:t>%</w:t>
            </w:r>
            <w:r>
              <w:t xml:space="preserve"> (w/v)</w:t>
            </w:r>
            <w:r w:rsidR="00D0092F" w:rsidRPr="003C0B3A">
              <w:t xml:space="preserve">, </w:t>
            </w:r>
            <w:r w:rsidR="00D0092F">
              <w:t>0.9L, pre-chill carcass</w:t>
            </w:r>
            <w:r w:rsidR="00D0092F" w:rsidRPr="003C0B3A">
              <w:t>)</w:t>
            </w:r>
          </w:p>
        </w:tc>
      </w:tr>
      <w:tr w:rsidR="00D0092F" w:rsidRPr="003C0B3A" w14:paraId="679370C3" w14:textId="77777777" w:rsidTr="00D0092F">
        <w:tc>
          <w:tcPr>
            <w:tcW w:w="2689" w:type="dxa"/>
          </w:tcPr>
          <w:p w14:paraId="4E011169" w14:textId="77777777" w:rsidR="00D0092F" w:rsidRPr="003C0B3A" w:rsidRDefault="00D0092F" w:rsidP="00D0092F">
            <w:pPr>
              <w:pStyle w:val="FSTableText"/>
            </w:pPr>
            <w:r w:rsidRPr="009E3649">
              <w:t>Pre-</w:t>
            </w:r>
            <w:r>
              <w:t xml:space="preserve"> and post-chill carcasses</w:t>
            </w:r>
          </w:p>
        </w:tc>
        <w:tc>
          <w:tcPr>
            <w:tcW w:w="2268" w:type="dxa"/>
          </w:tcPr>
          <w:p w14:paraId="1A05C516" w14:textId="77777777" w:rsidR="00D0092F" w:rsidRPr="003C0B3A" w:rsidRDefault="00D0092F" w:rsidP="00D0092F">
            <w:pPr>
              <w:pStyle w:val="FSTableText"/>
            </w:pPr>
            <w:r>
              <w:t>Safe Foods #60401</w:t>
            </w:r>
            <w:r>
              <w:br/>
            </w:r>
            <w:r w:rsidRPr="003C0B3A">
              <w:t>(in-plant trial)</w:t>
            </w:r>
            <w:r>
              <w:br/>
              <w:t>(see EFSA 2012)</w:t>
            </w:r>
          </w:p>
        </w:tc>
        <w:tc>
          <w:tcPr>
            <w:tcW w:w="3543" w:type="dxa"/>
          </w:tcPr>
          <w:p w14:paraId="7B0645AB" w14:textId="1FA3D051" w:rsidR="00D0092F" w:rsidRPr="003C0B3A" w:rsidRDefault="00D0092F" w:rsidP="00D0092F">
            <w:pPr>
              <w:pStyle w:val="FSTableText"/>
            </w:pPr>
            <w:r>
              <w:t>Drench</w:t>
            </w:r>
            <w:r w:rsidRPr="009E3649">
              <w:t xml:space="preserve"> application</w:t>
            </w:r>
            <w:r>
              <w:t>:</w:t>
            </w:r>
            <w:r w:rsidR="00872A01">
              <w:t xml:space="preserve"> </w:t>
            </w:r>
            <w:r>
              <w:t xml:space="preserve">4.3L of 0.05% </w:t>
            </w:r>
            <w:r w:rsidR="00872A01">
              <w:t xml:space="preserve">(w/v) </w:t>
            </w:r>
            <w:r>
              <w:t>CPC / bird for 60</w:t>
            </w:r>
            <w:r w:rsidR="00872A01">
              <w:t> </w:t>
            </w:r>
            <w:r>
              <w:t>sec</w:t>
            </w:r>
            <w:r w:rsidR="00872A01">
              <w:t xml:space="preserve"> </w:t>
            </w:r>
            <w:r>
              <w:t xml:space="preserve">or 2.2L of 0.6% </w:t>
            </w:r>
            <w:r w:rsidR="00872A01">
              <w:t xml:space="preserve">(w/v) </w:t>
            </w:r>
            <w:r>
              <w:t>CPC / bird for 60 sec</w:t>
            </w:r>
          </w:p>
        </w:tc>
        <w:tc>
          <w:tcPr>
            <w:tcW w:w="5398" w:type="dxa"/>
          </w:tcPr>
          <w:p w14:paraId="3AABB033" w14:textId="73314F55" w:rsidR="00D0092F" w:rsidRPr="003C0B3A" w:rsidRDefault="00D0092F" w:rsidP="00D0092F">
            <w:pPr>
              <w:pStyle w:val="FSTableText"/>
            </w:pPr>
            <w:r w:rsidRPr="003C0B3A">
              <w:t xml:space="preserve">Reduction </w:t>
            </w:r>
            <w:r>
              <w:t xml:space="preserve">of </w:t>
            </w:r>
            <w:r w:rsidRPr="009E3649">
              <w:rPr>
                <w:i/>
              </w:rPr>
              <w:t>E. coli</w:t>
            </w:r>
            <w:r>
              <w:t xml:space="preserve"> </w:t>
            </w:r>
            <w:r w:rsidRPr="003C0B3A">
              <w:t>dependent on CPC</w:t>
            </w:r>
            <w:r>
              <w:t xml:space="preserve"> volume and</w:t>
            </w:r>
            <w:r w:rsidRPr="003C0B3A">
              <w:t xml:space="preserve"> concentration.</w:t>
            </w:r>
            <w:r>
              <w:t xml:space="preserve"> Up </w:t>
            </w:r>
            <w:r w:rsidRPr="003C0B3A">
              <w:t xml:space="preserve">to </w:t>
            </w:r>
            <w:r>
              <w:t xml:space="preserve">2.6 log—no remaining </w:t>
            </w:r>
            <w:r w:rsidRPr="00C85A7B">
              <w:rPr>
                <w:i/>
              </w:rPr>
              <w:t>E. coli</w:t>
            </w:r>
            <w:r>
              <w:t xml:space="preserve"> (0.6</w:t>
            </w:r>
            <w:r w:rsidRPr="003C0B3A">
              <w:t>%</w:t>
            </w:r>
            <w:r w:rsidR="00872A01">
              <w:t xml:space="preserve"> (w/v)</w:t>
            </w:r>
            <w:r w:rsidRPr="003C0B3A">
              <w:t xml:space="preserve">, </w:t>
            </w:r>
            <w:r>
              <w:t>2.2L, pre-chill carcass</w:t>
            </w:r>
            <w:r w:rsidRPr="003C0B3A">
              <w:t>)</w:t>
            </w:r>
          </w:p>
        </w:tc>
      </w:tr>
      <w:tr w:rsidR="00D0092F" w:rsidRPr="003C0B3A" w14:paraId="74928708" w14:textId="77777777" w:rsidTr="00D0092F">
        <w:tc>
          <w:tcPr>
            <w:tcW w:w="2689" w:type="dxa"/>
          </w:tcPr>
          <w:p w14:paraId="1E59D9AF" w14:textId="77777777" w:rsidR="00D0092F" w:rsidRPr="009E3649" w:rsidRDefault="00D0092F" w:rsidP="00D0092F">
            <w:pPr>
              <w:pStyle w:val="FSTableText"/>
            </w:pPr>
            <w:r w:rsidRPr="009E3649">
              <w:t>Pre-</w:t>
            </w:r>
            <w:r>
              <w:t xml:space="preserve"> and post-chill carcasses</w:t>
            </w:r>
          </w:p>
        </w:tc>
        <w:tc>
          <w:tcPr>
            <w:tcW w:w="2268" w:type="dxa"/>
          </w:tcPr>
          <w:p w14:paraId="7800D72D" w14:textId="77777777" w:rsidR="00D0092F" w:rsidRDefault="00D0092F" w:rsidP="00D0092F">
            <w:pPr>
              <w:pStyle w:val="FSTableText"/>
            </w:pPr>
            <w:r>
              <w:t>Safe Foods #60407</w:t>
            </w:r>
            <w:r>
              <w:br/>
            </w:r>
            <w:r w:rsidRPr="003C0B3A">
              <w:t>(in-plant trial)</w:t>
            </w:r>
            <w:r>
              <w:br/>
              <w:t>(see EFSA 2012</w:t>
            </w:r>
            <w:r w:rsidRPr="003C0B3A">
              <w:t>)</w:t>
            </w:r>
          </w:p>
        </w:tc>
        <w:tc>
          <w:tcPr>
            <w:tcW w:w="3543" w:type="dxa"/>
          </w:tcPr>
          <w:p w14:paraId="534BD9EC" w14:textId="6054D1DA" w:rsidR="00D0092F" w:rsidRDefault="00D0092F" w:rsidP="00D0092F">
            <w:pPr>
              <w:pStyle w:val="FSTableText"/>
            </w:pPr>
            <w:r>
              <w:t>Drench</w:t>
            </w:r>
            <w:r w:rsidRPr="009E3649">
              <w:t xml:space="preserve"> application</w:t>
            </w:r>
            <w:r>
              <w:t xml:space="preserve">: 0.4% </w:t>
            </w:r>
            <w:r w:rsidR="00872A01">
              <w:t xml:space="preserve">(w/v) </w:t>
            </w:r>
            <w:r>
              <w:t>CPC;</w:t>
            </w:r>
            <w:r>
              <w:br/>
              <w:t>2.2–5.7L/bird, 60 sec.</w:t>
            </w:r>
          </w:p>
        </w:tc>
        <w:tc>
          <w:tcPr>
            <w:tcW w:w="5398" w:type="dxa"/>
          </w:tcPr>
          <w:p w14:paraId="1FF42740" w14:textId="51B5668A" w:rsidR="00D0092F" w:rsidRDefault="00D0092F" w:rsidP="00D0092F">
            <w:pPr>
              <w:pStyle w:val="FSTableText"/>
            </w:pPr>
            <w:r w:rsidRPr="003C0B3A">
              <w:t xml:space="preserve">Reduction </w:t>
            </w:r>
            <w:r>
              <w:t xml:space="preserve">of </w:t>
            </w:r>
            <w:r w:rsidRPr="009E3649">
              <w:rPr>
                <w:i/>
              </w:rPr>
              <w:t>E. coli</w:t>
            </w:r>
            <w:r>
              <w:t xml:space="preserve"> </w:t>
            </w:r>
            <w:r w:rsidRPr="003C0B3A">
              <w:t>dependent on CPC</w:t>
            </w:r>
            <w:r>
              <w:t xml:space="preserve"> volume and</w:t>
            </w:r>
            <w:r w:rsidRPr="003C0B3A">
              <w:t xml:space="preserve"> concentration.</w:t>
            </w:r>
            <w:r>
              <w:t xml:space="preserve"> Up to 2.0 log—no remaining </w:t>
            </w:r>
            <w:r w:rsidRPr="00C85A7B">
              <w:rPr>
                <w:i/>
              </w:rPr>
              <w:t>E. coli</w:t>
            </w:r>
            <w:r>
              <w:t xml:space="preserve"> (0.4%</w:t>
            </w:r>
            <w:r w:rsidR="00872A01">
              <w:t xml:space="preserve"> (w/v)</w:t>
            </w:r>
            <w:r>
              <w:t>, 4.9</w:t>
            </w:r>
            <w:r w:rsidRPr="00392C1E">
              <w:t>L, pre-chill carcass)</w:t>
            </w:r>
          </w:p>
        </w:tc>
      </w:tr>
      <w:tr w:rsidR="00D0092F" w:rsidRPr="003C0B3A" w14:paraId="6D6639CA" w14:textId="77777777" w:rsidTr="00D0092F">
        <w:tc>
          <w:tcPr>
            <w:tcW w:w="2689" w:type="dxa"/>
          </w:tcPr>
          <w:p w14:paraId="3453345E" w14:textId="77777777" w:rsidR="00D0092F" w:rsidRPr="006274AC" w:rsidRDefault="00D0092F" w:rsidP="00D0092F">
            <w:pPr>
              <w:pStyle w:val="FSTableText"/>
            </w:pPr>
            <w:r w:rsidRPr="006274AC">
              <w:t>Post-chill carcasses</w:t>
            </w:r>
            <w:r w:rsidRPr="006274AC">
              <w:br/>
            </w:r>
            <w:r w:rsidRPr="006274AC">
              <w:rPr>
                <w:lang w:eastAsia="en-GB" w:bidi="ar-SA"/>
              </w:rPr>
              <w:t>artificially inoculated</w:t>
            </w:r>
          </w:p>
        </w:tc>
        <w:tc>
          <w:tcPr>
            <w:tcW w:w="2268" w:type="dxa"/>
          </w:tcPr>
          <w:p w14:paraId="770CDABA" w14:textId="77777777" w:rsidR="00D0092F" w:rsidRDefault="00D0092F" w:rsidP="00D0092F">
            <w:pPr>
              <w:pStyle w:val="FSTableText"/>
            </w:pPr>
            <w:r>
              <w:t>Safe Foods #60607</w:t>
            </w:r>
            <w:r>
              <w:br/>
            </w:r>
            <w:r w:rsidRPr="003C0B3A">
              <w:t>(in-plant trial)</w:t>
            </w:r>
            <w:r>
              <w:br/>
              <w:t>(see EFSA 2012</w:t>
            </w:r>
            <w:r w:rsidRPr="003C0B3A">
              <w:t>)</w:t>
            </w:r>
          </w:p>
        </w:tc>
        <w:tc>
          <w:tcPr>
            <w:tcW w:w="3543" w:type="dxa"/>
          </w:tcPr>
          <w:p w14:paraId="433016F1" w14:textId="1712AABE" w:rsidR="00D0092F" w:rsidRDefault="00D0092F" w:rsidP="00D0092F">
            <w:pPr>
              <w:pStyle w:val="FSTableText"/>
            </w:pPr>
            <w:r>
              <w:t>Drench</w:t>
            </w:r>
            <w:r w:rsidRPr="009E3649">
              <w:t xml:space="preserve"> application</w:t>
            </w:r>
            <w:r>
              <w:t>:</w:t>
            </w:r>
            <w:r w:rsidR="00872A01">
              <w:t xml:space="preserve"> </w:t>
            </w:r>
            <w:r>
              <w:t>0.95L of</w:t>
            </w:r>
            <w:r w:rsidR="00872A01">
              <w:br/>
            </w:r>
            <w:r>
              <w:t xml:space="preserve">0.2–1.0% </w:t>
            </w:r>
            <w:r w:rsidR="00872A01">
              <w:t xml:space="preserve">(w/v) </w:t>
            </w:r>
            <w:r>
              <w:t>CPC for 60 sec</w:t>
            </w:r>
          </w:p>
        </w:tc>
        <w:tc>
          <w:tcPr>
            <w:tcW w:w="5398" w:type="dxa"/>
          </w:tcPr>
          <w:p w14:paraId="26ED01AE" w14:textId="11AABD9C" w:rsidR="00D0092F" w:rsidRDefault="00D0092F" w:rsidP="00D0092F">
            <w:pPr>
              <w:pStyle w:val="FSTableText"/>
            </w:pPr>
            <w:r w:rsidRPr="003C0B3A">
              <w:t xml:space="preserve">Reduction </w:t>
            </w:r>
            <w:r>
              <w:t xml:space="preserve">of </w:t>
            </w:r>
            <w:r w:rsidRPr="009E3649">
              <w:rPr>
                <w:i/>
              </w:rPr>
              <w:t>E. coli</w:t>
            </w:r>
            <w:r>
              <w:t xml:space="preserve"> </w:t>
            </w:r>
            <w:r w:rsidRPr="003C0B3A">
              <w:t>dependent on CPC</w:t>
            </w:r>
            <w:r>
              <w:t xml:space="preserve"> </w:t>
            </w:r>
            <w:r w:rsidRPr="003C0B3A">
              <w:t>concentration.</w:t>
            </w:r>
            <w:r>
              <w:br/>
            </w:r>
            <w:r w:rsidRPr="003C0B3A">
              <w:t xml:space="preserve">From </w:t>
            </w:r>
            <w:r>
              <w:t>0.48</w:t>
            </w:r>
            <w:r w:rsidRPr="003C0B3A">
              <w:t xml:space="preserve"> log (</w:t>
            </w:r>
            <w:r>
              <w:t>0.2%</w:t>
            </w:r>
            <w:r w:rsidR="00872A01">
              <w:t xml:space="preserve"> w/v</w:t>
            </w:r>
            <w:r>
              <w:t xml:space="preserve">) </w:t>
            </w:r>
            <w:r w:rsidRPr="003C0B3A">
              <w:t xml:space="preserve">to </w:t>
            </w:r>
            <w:r>
              <w:t xml:space="preserve">3.7 log—no remaining </w:t>
            </w:r>
            <w:r w:rsidRPr="00C85A7B">
              <w:rPr>
                <w:i/>
              </w:rPr>
              <w:t>E. coli</w:t>
            </w:r>
            <w:r>
              <w:t xml:space="preserve"> (1.0</w:t>
            </w:r>
            <w:r w:rsidRPr="003C0B3A">
              <w:t>%</w:t>
            </w:r>
            <w:r w:rsidR="00872A01">
              <w:t xml:space="preserve"> w/v</w:t>
            </w:r>
            <w:r>
              <w:t>)</w:t>
            </w:r>
          </w:p>
        </w:tc>
      </w:tr>
      <w:tr w:rsidR="00D0092F" w:rsidRPr="003C0B3A" w14:paraId="7DC5C95D" w14:textId="77777777" w:rsidTr="00D0092F">
        <w:tc>
          <w:tcPr>
            <w:tcW w:w="2689" w:type="dxa"/>
          </w:tcPr>
          <w:p w14:paraId="05C3E276" w14:textId="77777777" w:rsidR="00D0092F" w:rsidRDefault="00D0092F" w:rsidP="00D0092F">
            <w:pPr>
              <w:pStyle w:val="FSTableText"/>
            </w:pPr>
            <w:r>
              <w:t>Pre-chill carcasses</w:t>
            </w:r>
            <w:r>
              <w:br/>
              <w:t xml:space="preserve">inoculated with E. coli &amp; </w:t>
            </w:r>
            <w:r w:rsidRPr="006274AC">
              <w:rPr>
                <w:i/>
              </w:rPr>
              <w:t>Salmonella</w:t>
            </w:r>
            <w:r>
              <w:t xml:space="preserve"> </w:t>
            </w:r>
            <w:r w:rsidRPr="00A25BB7">
              <w:t>Typhimurium</w:t>
            </w:r>
          </w:p>
        </w:tc>
        <w:tc>
          <w:tcPr>
            <w:tcW w:w="2268" w:type="dxa"/>
          </w:tcPr>
          <w:p w14:paraId="46D387E2" w14:textId="77777777" w:rsidR="00D0092F" w:rsidRDefault="00D0092F" w:rsidP="00D0092F">
            <w:pPr>
              <w:pStyle w:val="FSTableText"/>
            </w:pPr>
            <w:r>
              <w:t>Safe Foods #60613</w:t>
            </w:r>
            <w:r>
              <w:br/>
            </w:r>
            <w:r w:rsidRPr="003C0B3A">
              <w:t>(in-plant trial)</w:t>
            </w:r>
            <w:r>
              <w:br/>
              <w:t>(see EFSA 2012</w:t>
            </w:r>
            <w:r w:rsidRPr="003C0B3A">
              <w:t>)</w:t>
            </w:r>
          </w:p>
        </w:tc>
        <w:tc>
          <w:tcPr>
            <w:tcW w:w="3543" w:type="dxa"/>
          </w:tcPr>
          <w:p w14:paraId="3C10B9BA" w14:textId="3C1B5D77" w:rsidR="00D0092F" w:rsidRDefault="00D0092F" w:rsidP="00D0092F">
            <w:pPr>
              <w:pStyle w:val="FSTableText"/>
            </w:pPr>
            <w:r>
              <w:t>Drench</w:t>
            </w:r>
            <w:r w:rsidRPr="009E3649">
              <w:t xml:space="preserve"> application</w:t>
            </w:r>
            <w:r>
              <w:t>: 0.95–1.9L</w:t>
            </w:r>
            <w:r>
              <w:br/>
              <w:t xml:space="preserve">of 0.2–1.0% </w:t>
            </w:r>
            <w:r w:rsidR="00872A01">
              <w:t xml:space="preserve">(w/v) </w:t>
            </w:r>
            <w:r>
              <w:t>CPC for 60 sec</w:t>
            </w:r>
          </w:p>
        </w:tc>
        <w:tc>
          <w:tcPr>
            <w:tcW w:w="5398" w:type="dxa"/>
          </w:tcPr>
          <w:p w14:paraId="68B1D921" w14:textId="6257A3C7" w:rsidR="00D0092F" w:rsidRDefault="00D0092F" w:rsidP="00D0092F">
            <w:pPr>
              <w:pStyle w:val="FSTableText"/>
            </w:pPr>
            <w:r w:rsidRPr="003C0B3A">
              <w:t>Reduction dependent on CPC</w:t>
            </w:r>
            <w:r>
              <w:t xml:space="preserve"> volume and </w:t>
            </w:r>
            <w:r w:rsidRPr="003C0B3A">
              <w:t>concentration.</w:t>
            </w:r>
            <w:r>
              <w:br/>
            </w:r>
            <w:r w:rsidRPr="00651C11">
              <w:rPr>
                <w:i/>
              </w:rPr>
              <w:t>E. coli</w:t>
            </w:r>
            <w:r>
              <w:t xml:space="preserve"> from 2.2 log</w:t>
            </w:r>
            <w:r w:rsidRPr="003C0B3A">
              <w:t xml:space="preserve"> (</w:t>
            </w:r>
            <w:r>
              <w:t>0.95 L of 0.2%</w:t>
            </w:r>
            <w:r w:rsidR="00872A01">
              <w:t xml:space="preserve"> w/v</w:t>
            </w:r>
            <w:r>
              <w:t xml:space="preserve">) </w:t>
            </w:r>
            <w:r w:rsidRPr="003C0B3A">
              <w:t xml:space="preserve">to </w:t>
            </w:r>
            <w:r>
              <w:t xml:space="preserve">4.8 log—no remaining </w:t>
            </w:r>
            <w:r w:rsidRPr="00C85A7B">
              <w:rPr>
                <w:i/>
              </w:rPr>
              <w:t>E. coli</w:t>
            </w:r>
            <w:r>
              <w:t xml:space="preserve"> (0.95L or 1.9L of 0.6–1.0</w:t>
            </w:r>
            <w:r w:rsidRPr="003C0B3A">
              <w:t>%</w:t>
            </w:r>
            <w:r w:rsidR="00872A01">
              <w:t xml:space="preserve"> w/v</w:t>
            </w:r>
            <w:r>
              <w:t>).</w:t>
            </w:r>
          </w:p>
          <w:p w14:paraId="09E3A88C" w14:textId="2035E7B3" w:rsidR="00D0092F" w:rsidRDefault="00D0092F" w:rsidP="00D0092F">
            <w:pPr>
              <w:pStyle w:val="FSTableText"/>
            </w:pPr>
            <w:r w:rsidRPr="00651C11">
              <w:rPr>
                <w:i/>
              </w:rPr>
              <w:t>Salmonella</w:t>
            </w:r>
            <w:r>
              <w:t xml:space="preserve"> from 2.8 log</w:t>
            </w:r>
            <w:r w:rsidRPr="003C0B3A">
              <w:t xml:space="preserve"> (</w:t>
            </w:r>
            <w:r>
              <w:t>0.95 L of 0.2%</w:t>
            </w:r>
            <w:r w:rsidR="00872A01">
              <w:t xml:space="preserve"> w/v</w:t>
            </w:r>
            <w:r>
              <w:t xml:space="preserve">) </w:t>
            </w:r>
            <w:r w:rsidRPr="003C0B3A">
              <w:t xml:space="preserve">to </w:t>
            </w:r>
            <w:r>
              <w:t xml:space="preserve">5.0 log—no remaining </w:t>
            </w:r>
            <w:r w:rsidRPr="00651C11">
              <w:rPr>
                <w:i/>
              </w:rPr>
              <w:t>Salmonella</w:t>
            </w:r>
            <w:r>
              <w:t xml:space="preserve"> (0.95L or 1.9L of 0.6–1.0</w:t>
            </w:r>
            <w:r w:rsidRPr="003C0B3A">
              <w:t>%</w:t>
            </w:r>
            <w:r w:rsidR="00872A01">
              <w:t xml:space="preserve"> w/v</w:t>
            </w:r>
            <w:r>
              <w:t>).</w:t>
            </w:r>
          </w:p>
        </w:tc>
      </w:tr>
      <w:tr w:rsidR="00D0092F" w:rsidRPr="003C0B3A" w14:paraId="19374CDC" w14:textId="77777777" w:rsidTr="00D0092F">
        <w:tc>
          <w:tcPr>
            <w:tcW w:w="2689" w:type="dxa"/>
          </w:tcPr>
          <w:p w14:paraId="27CAF211" w14:textId="77777777" w:rsidR="00D0092F" w:rsidRDefault="00D0092F" w:rsidP="00D0092F">
            <w:pPr>
              <w:pStyle w:val="FSTableText"/>
            </w:pPr>
            <w:r>
              <w:t>Pre-chill carcasses</w:t>
            </w:r>
          </w:p>
        </w:tc>
        <w:tc>
          <w:tcPr>
            <w:tcW w:w="2268" w:type="dxa"/>
          </w:tcPr>
          <w:p w14:paraId="2FB544A1" w14:textId="77777777" w:rsidR="00D0092F" w:rsidRDefault="00D0092F" w:rsidP="00D0092F">
            <w:pPr>
              <w:pStyle w:val="FSTableText"/>
            </w:pPr>
            <w:r>
              <w:t>Safe Foods #61010</w:t>
            </w:r>
            <w:r>
              <w:br/>
            </w:r>
            <w:r w:rsidRPr="003C0B3A">
              <w:t>(in-plant trial)</w:t>
            </w:r>
            <w:r>
              <w:br/>
              <w:t>(see EFSA 2012</w:t>
            </w:r>
            <w:r w:rsidRPr="003C0B3A">
              <w:t>)</w:t>
            </w:r>
          </w:p>
        </w:tc>
        <w:tc>
          <w:tcPr>
            <w:tcW w:w="3543" w:type="dxa"/>
          </w:tcPr>
          <w:p w14:paraId="58168EC8" w14:textId="673ED43A" w:rsidR="00D0092F" w:rsidRDefault="00D0092F" w:rsidP="00D0092F">
            <w:pPr>
              <w:pStyle w:val="FSTableText"/>
            </w:pPr>
            <w:r>
              <w:t>Drench</w:t>
            </w:r>
            <w:r w:rsidRPr="009E3649">
              <w:t xml:space="preserve"> application</w:t>
            </w:r>
            <w:r>
              <w:t>: 3.8L</w:t>
            </w:r>
            <w:r>
              <w:br/>
              <w:t xml:space="preserve">of 0.2% or 1.0% </w:t>
            </w:r>
            <w:r w:rsidR="00872A01">
              <w:t xml:space="preserve">(w/v) </w:t>
            </w:r>
            <w:r>
              <w:t>CPC for 60 sec</w:t>
            </w:r>
          </w:p>
        </w:tc>
        <w:tc>
          <w:tcPr>
            <w:tcW w:w="5398" w:type="dxa"/>
          </w:tcPr>
          <w:p w14:paraId="747074A1" w14:textId="3E9DBAEF" w:rsidR="00D0092F" w:rsidRDefault="00D0092F" w:rsidP="00D0092F">
            <w:pPr>
              <w:pStyle w:val="FSTableText"/>
            </w:pPr>
            <w:r w:rsidRPr="00651C11">
              <w:rPr>
                <w:i/>
              </w:rPr>
              <w:t>E. coli</w:t>
            </w:r>
            <w:r>
              <w:t>: 1.5 log</w:t>
            </w:r>
            <w:r w:rsidRPr="003C0B3A">
              <w:t xml:space="preserve"> (</w:t>
            </w:r>
            <w:r>
              <w:t>0.2%</w:t>
            </w:r>
            <w:r w:rsidR="00872A01">
              <w:t xml:space="preserve"> w/v</w:t>
            </w:r>
            <w:r>
              <w:t xml:space="preserve">) </w:t>
            </w:r>
            <w:r w:rsidRPr="003C0B3A">
              <w:t xml:space="preserve">to </w:t>
            </w:r>
            <w:r>
              <w:t>1.6 log</w:t>
            </w:r>
            <w:r w:rsidRPr="00D34603">
              <w:t xml:space="preserve">—no remaining </w:t>
            </w:r>
            <w:r w:rsidRPr="00D34603">
              <w:rPr>
                <w:i/>
              </w:rPr>
              <w:t>E. coli</w:t>
            </w:r>
            <w:r w:rsidRPr="00D34603">
              <w:t xml:space="preserve"> </w:t>
            </w:r>
            <w:r>
              <w:t>(1.0</w:t>
            </w:r>
            <w:r w:rsidRPr="003C0B3A">
              <w:t>%</w:t>
            </w:r>
            <w:r w:rsidR="00872A01">
              <w:t xml:space="preserve"> w/v</w:t>
            </w:r>
            <w:r>
              <w:t xml:space="preserve">). </w:t>
            </w:r>
            <w:r>
              <w:rPr>
                <w:i/>
              </w:rPr>
              <w:t>Campylobacter</w:t>
            </w:r>
            <w:r w:rsidRPr="00D34603">
              <w:t xml:space="preserve">: 0.72 </w:t>
            </w:r>
            <w:r>
              <w:t>log</w:t>
            </w:r>
            <w:r w:rsidRPr="00D34603">
              <w:t xml:space="preserve">—no remaining </w:t>
            </w:r>
            <w:r w:rsidRPr="00D34603">
              <w:rPr>
                <w:i/>
              </w:rPr>
              <w:t>Campylobacter</w:t>
            </w:r>
            <w:r w:rsidRPr="003C0B3A">
              <w:t xml:space="preserve"> (</w:t>
            </w:r>
            <w:r>
              <w:t xml:space="preserve">0.2% and 1.0% </w:t>
            </w:r>
            <w:r w:rsidR="00872A01">
              <w:t xml:space="preserve">w/v </w:t>
            </w:r>
            <w:r>
              <w:t>CPC).</w:t>
            </w:r>
          </w:p>
        </w:tc>
      </w:tr>
      <w:tr w:rsidR="00D0092F" w:rsidRPr="003C0B3A" w14:paraId="1D5DD974" w14:textId="77777777" w:rsidTr="00D0092F">
        <w:tc>
          <w:tcPr>
            <w:tcW w:w="2689" w:type="dxa"/>
          </w:tcPr>
          <w:p w14:paraId="798C5DDF" w14:textId="77777777" w:rsidR="00D0092F" w:rsidRDefault="00D0092F" w:rsidP="00D0092F">
            <w:pPr>
              <w:pStyle w:val="FSTableText"/>
            </w:pPr>
            <w:r>
              <w:t>Pre-chill carcasses</w:t>
            </w:r>
          </w:p>
        </w:tc>
        <w:tc>
          <w:tcPr>
            <w:tcW w:w="2268" w:type="dxa"/>
          </w:tcPr>
          <w:p w14:paraId="18FA3EEE" w14:textId="77777777" w:rsidR="00D0092F" w:rsidRDefault="00D0092F" w:rsidP="00D0092F">
            <w:pPr>
              <w:pStyle w:val="FSTableText"/>
            </w:pPr>
            <w:r>
              <w:t>Safe Foods #70414</w:t>
            </w:r>
            <w:r>
              <w:br/>
            </w:r>
            <w:r w:rsidRPr="003C0B3A">
              <w:t>(in-plant trial)</w:t>
            </w:r>
            <w:r>
              <w:br/>
              <w:t>(see EFSA 2012</w:t>
            </w:r>
            <w:r w:rsidRPr="003C0B3A">
              <w:t>)</w:t>
            </w:r>
          </w:p>
        </w:tc>
        <w:tc>
          <w:tcPr>
            <w:tcW w:w="3543" w:type="dxa"/>
          </w:tcPr>
          <w:p w14:paraId="534D014F" w14:textId="0CFFFA00" w:rsidR="00D0092F" w:rsidRDefault="00D0092F" w:rsidP="00D0092F">
            <w:pPr>
              <w:pStyle w:val="FSTableText"/>
            </w:pPr>
            <w:r>
              <w:t>Drench</w:t>
            </w:r>
            <w:r w:rsidRPr="009E3649">
              <w:t xml:space="preserve"> application</w:t>
            </w:r>
            <w:r>
              <w:t xml:space="preserve">: of 0.6% </w:t>
            </w:r>
            <w:r w:rsidR="00872A01">
              <w:t>(w/v)</w:t>
            </w:r>
            <w:r>
              <w:t xml:space="preserve"> CPC</w:t>
            </w:r>
          </w:p>
        </w:tc>
        <w:tc>
          <w:tcPr>
            <w:tcW w:w="5398" w:type="dxa"/>
          </w:tcPr>
          <w:p w14:paraId="4C380D2A" w14:textId="77777777" w:rsidR="00D0092F" w:rsidRDefault="00D0092F" w:rsidP="00D0092F">
            <w:pPr>
              <w:pStyle w:val="FSTableText"/>
            </w:pPr>
            <w:r w:rsidRPr="00651C11">
              <w:rPr>
                <w:i/>
              </w:rPr>
              <w:t>E. coli</w:t>
            </w:r>
            <w:r>
              <w:t>: 1.0 log reduction</w:t>
            </w:r>
            <w:r w:rsidRPr="00D34603">
              <w:t xml:space="preserve">—no remaining </w:t>
            </w:r>
            <w:r w:rsidRPr="00D34603">
              <w:rPr>
                <w:i/>
              </w:rPr>
              <w:t>E. coli</w:t>
            </w:r>
            <w:r>
              <w:rPr>
                <w:i/>
              </w:rPr>
              <w:t>.</w:t>
            </w:r>
          </w:p>
        </w:tc>
      </w:tr>
    </w:tbl>
    <w:p w14:paraId="346BFEC6" w14:textId="77777777" w:rsidR="00D0092F" w:rsidRDefault="00D0092F" w:rsidP="00D0092F">
      <w:pPr>
        <w:rPr>
          <w:lang w:eastAsia="en-AU" w:bidi="ar-SA"/>
        </w:rPr>
        <w:sectPr w:rsidR="00D0092F" w:rsidSect="003C0B3A">
          <w:pgSz w:w="16838" w:h="11906" w:orient="landscape"/>
          <w:pgMar w:top="1418" w:right="1418" w:bottom="1418" w:left="1418" w:header="709" w:footer="709" w:gutter="0"/>
          <w:cols w:space="708"/>
          <w:docGrid w:linePitch="360"/>
        </w:sectPr>
      </w:pPr>
    </w:p>
    <w:p w14:paraId="2E0C8A58" w14:textId="2EC6F6CB" w:rsidR="005F00DD" w:rsidRDefault="00904862" w:rsidP="00D15757">
      <w:pPr>
        <w:pStyle w:val="Heading2"/>
      </w:pPr>
      <w:bookmarkStart w:id="62" w:name="_Toc92722917"/>
      <w:bookmarkStart w:id="63" w:name="_Toc93592306"/>
      <w:bookmarkStart w:id="64" w:name="_Toc93585317"/>
      <w:bookmarkStart w:id="65" w:name="_Toc97041612"/>
      <w:r>
        <w:lastRenderedPageBreak/>
        <w:t>2.5</w:t>
      </w:r>
      <w:r>
        <w:tab/>
        <w:t>Analytical methods for detection</w:t>
      </w:r>
      <w:bookmarkEnd w:id="62"/>
      <w:bookmarkEnd w:id="63"/>
      <w:bookmarkEnd w:id="64"/>
      <w:bookmarkEnd w:id="65"/>
    </w:p>
    <w:p w14:paraId="5C3FEDED" w14:textId="372AA1E1" w:rsidR="00904862" w:rsidRDefault="00726173">
      <w:pPr>
        <w:rPr>
          <w:lang w:bidi="ar-SA"/>
        </w:rPr>
      </w:pPr>
      <w:r>
        <w:rPr>
          <w:lang w:bidi="ar-SA"/>
        </w:rPr>
        <w:t xml:space="preserve">Analytical methods for detection of CPC </w:t>
      </w:r>
      <w:r w:rsidR="00307B18">
        <w:rPr>
          <w:lang w:bidi="ar-SA"/>
        </w:rPr>
        <w:t xml:space="preserve">in poultry carcasses following treatment with the CPC preparation, </w:t>
      </w:r>
      <w:r>
        <w:rPr>
          <w:lang w:bidi="ar-SA"/>
        </w:rPr>
        <w:t>developed by the applicant</w:t>
      </w:r>
      <w:r w:rsidR="00307B18">
        <w:rPr>
          <w:lang w:bidi="ar-SA"/>
        </w:rPr>
        <w:t>,</w:t>
      </w:r>
      <w:r>
        <w:rPr>
          <w:lang w:bidi="ar-SA"/>
        </w:rPr>
        <w:t xml:space="preserve"> were submitted to FSANZ as </w:t>
      </w:r>
      <w:r w:rsidR="008734C2">
        <w:rPr>
          <w:lang w:bidi="ar-SA"/>
        </w:rPr>
        <w:t>confidential commercial information (</w:t>
      </w:r>
      <w:r>
        <w:rPr>
          <w:lang w:bidi="ar-SA"/>
        </w:rPr>
        <w:t>CCI</w:t>
      </w:r>
      <w:r w:rsidR="008734C2">
        <w:rPr>
          <w:lang w:bidi="ar-SA"/>
        </w:rPr>
        <w:t>)</w:t>
      </w:r>
      <w:r>
        <w:rPr>
          <w:lang w:bidi="ar-SA"/>
        </w:rPr>
        <w:t xml:space="preserve">. </w:t>
      </w:r>
      <w:r w:rsidR="00904862">
        <w:rPr>
          <w:lang w:bidi="ar-SA"/>
        </w:rPr>
        <w:t xml:space="preserve">The applicant provided a summary of the analytical </w:t>
      </w:r>
      <w:r w:rsidR="00904862" w:rsidRPr="00904862">
        <w:rPr>
          <w:lang w:bidi="ar-SA"/>
        </w:rPr>
        <w:t>method</w:t>
      </w:r>
      <w:r w:rsidR="004035C4">
        <w:rPr>
          <w:lang w:bidi="ar-SA"/>
        </w:rPr>
        <w:t xml:space="preserve">, whereby for </w:t>
      </w:r>
      <w:r w:rsidR="00904862">
        <w:rPr>
          <w:lang w:bidi="ar-SA"/>
        </w:rPr>
        <w:t xml:space="preserve">whole carcasses, the skin is removed and heated, the CPC extracted with ethanol and the resulting solution centrifuged to remove solids. The solids-free solution is analysed by HPLC to determine residual CPC. </w:t>
      </w:r>
      <w:r w:rsidR="00904862" w:rsidRPr="00BB18FA">
        <w:rPr>
          <w:lang w:bidi="ar-SA"/>
        </w:rPr>
        <w:t>A similar method is used for poultry pieces.</w:t>
      </w:r>
      <w:r w:rsidR="00904862">
        <w:rPr>
          <w:lang w:bidi="ar-SA"/>
        </w:rPr>
        <w:t xml:space="preserve"> </w:t>
      </w:r>
    </w:p>
    <w:p w14:paraId="07870F18" w14:textId="21F86352" w:rsidR="005F7323" w:rsidRDefault="005D7196" w:rsidP="00D15757">
      <w:pPr>
        <w:pStyle w:val="Heading2"/>
      </w:pPr>
      <w:bookmarkStart w:id="66" w:name="_Toc62738977"/>
      <w:bookmarkStart w:id="67" w:name="_Toc62743563"/>
      <w:bookmarkStart w:id="68" w:name="_Toc63330868"/>
      <w:bookmarkStart w:id="69" w:name="_Toc92722918"/>
      <w:bookmarkStart w:id="70" w:name="_Toc93592307"/>
      <w:bookmarkStart w:id="71" w:name="_Toc93585318"/>
      <w:bookmarkStart w:id="72" w:name="_Toc97041613"/>
      <w:r>
        <w:t>2.</w:t>
      </w:r>
      <w:r w:rsidR="00613020">
        <w:t>6</w:t>
      </w:r>
      <w:r w:rsidR="00D6481F">
        <w:tab/>
      </w:r>
      <w:r>
        <w:t>Food technology conclusion</w:t>
      </w:r>
      <w:bookmarkEnd w:id="66"/>
      <w:bookmarkEnd w:id="67"/>
      <w:bookmarkEnd w:id="68"/>
      <w:bookmarkEnd w:id="69"/>
      <w:bookmarkEnd w:id="70"/>
      <w:bookmarkEnd w:id="71"/>
      <w:bookmarkEnd w:id="72"/>
    </w:p>
    <w:p w14:paraId="5652835A" w14:textId="1F61F5BE" w:rsidR="004C55E7" w:rsidRDefault="00293F93" w:rsidP="005F7323">
      <w:pPr>
        <w:rPr>
          <w:lang w:eastAsia="en-AU" w:bidi="ar-SA"/>
        </w:rPr>
      </w:pPr>
      <w:r w:rsidRPr="00C37810">
        <w:rPr>
          <w:lang w:eastAsia="en-AU" w:bidi="ar-SA"/>
        </w:rPr>
        <w:t xml:space="preserve">Raw poultry </w:t>
      </w:r>
      <w:r w:rsidR="00FA5623">
        <w:rPr>
          <w:lang w:eastAsia="en-AU" w:bidi="ar-SA"/>
        </w:rPr>
        <w:t>inherently</w:t>
      </w:r>
      <w:r w:rsidRPr="00C37810">
        <w:rPr>
          <w:lang w:eastAsia="en-AU" w:bidi="ar-SA"/>
        </w:rPr>
        <w:t xml:space="preserve"> carr</w:t>
      </w:r>
      <w:r w:rsidR="00FA5623">
        <w:rPr>
          <w:lang w:eastAsia="en-AU" w:bidi="ar-SA"/>
        </w:rPr>
        <w:t>ies</w:t>
      </w:r>
      <w:r w:rsidRPr="00C37810">
        <w:rPr>
          <w:lang w:eastAsia="en-AU" w:bidi="ar-SA"/>
        </w:rPr>
        <w:t xml:space="preserve"> a wide range of microorganisms, some of which are potential human pathogens</w:t>
      </w:r>
      <w:r w:rsidR="00FA5623">
        <w:rPr>
          <w:lang w:eastAsia="en-AU" w:bidi="ar-SA"/>
        </w:rPr>
        <w:t>.</w:t>
      </w:r>
      <w:r w:rsidRPr="00C37810">
        <w:rPr>
          <w:lang w:eastAsia="en-AU" w:bidi="ar-SA"/>
        </w:rPr>
        <w:t xml:space="preserve"> </w:t>
      </w:r>
      <w:r w:rsidR="005F597D">
        <w:rPr>
          <w:lang w:eastAsia="en-AU" w:bidi="ar-SA"/>
        </w:rPr>
        <w:t xml:space="preserve">Analysis of the evidence provides adequate assurance </w:t>
      </w:r>
      <w:r w:rsidR="00C87F72">
        <w:rPr>
          <w:lang w:eastAsia="en-AU" w:bidi="ar-SA"/>
        </w:rPr>
        <w:t xml:space="preserve">that </w:t>
      </w:r>
      <w:r w:rsidR="005F597D">
        <w:rPr>
          <w:lang w:eastAsia="en-AU" w:bidi="ar-SA"/>
        </w:rPr>
        <w:t xml:space="preserve">the application of </w:t>
      </w:r>
      <w:r w:rsidR="00692D55">
        <w:rPr>
          <w:lang w:eastAsia="en-AU" w:bidi="ar-SA"/>
        </w:rPr>
        <w:t>C</w:t>
      </w:r>
      <w:r w:rsidR="008A5864">
        <w:rPr>
          <w:lang w:eastAsia="en-AU" w:bidi="ar-SA"/>
        </w:rPr>
        <w:t>P</w:t>
      </w:r>
      <w:r w:rsidR="00692D55">
        <w:rPr>
          <w:lang w:eastAsia="en-AU" w:bidi="ar-SA"/>
        </w:rPr>
        <w:t>C</w:t>
      </w:r>
      <w:r w:rsidR="00AF5B9A">
        <w:rPr>
          <w:lang w:eastAsia="en-AU" w:bidi="ar-SA"/>
        </w:rPr>
        <w:t xml:space="preserve"> </w:t>
      </w:r>
      <w:r w:rsidR="005F597D">
        <w:rPr>
          <w:lang w:eastAsia="en-AU" w:bidi="ar-SA"/>
        </w:rPr>
        <w:t xml:space="preserve">to </w:t>
      </w:r>
      <w:r w:rsidR="00C37810">
        <w:rPr>
          <w:lang w:eastAsia="en-AU" w:bidi="ar-SA"/>
        </w:rPr>
        <w:t xml:space="preserve">the surface of </w:t>
      </w:r>
      <w:r w:rsidR="000E2669">
        <w:rPr>
          <w:lang w:eastAsia="en-AU" w:bidi="ar-SA"/>
        </w:rPr>
        <w:t xml:space="preserve">skin-on </w:t>
      </w:r>
      <w:r w:rsidR="008A5864">
        <w:rPr>
          <w:lang w:eastAsia="en-AU" w:bidi="ar-SA"/>
        </w:rPr>
        <w:t xml:space="preserve">raw </w:t>
      </w:r>
      <w:r w:rsidR="00692D55">
        <w:rPr>
          <w:lang w:eastAsia="en-AU" w:bidi="ar-SA"/>
        </w:rPr>
        <w:t xml:space="preserve">poultry </w:t>
      </w:r>
      <w:r w:rsidR="00C87F72">
        <w:rPr>
          <w:lang w:eastAsia="en-AU" w:bidi="ar-SA"/>
        </w:rPr>
        <w:t xml:space="preserve">carcasses and </w:t>
      </w:r>
      <w:r w:rsidR="00F668A1">
        <w:rPr>
          <w:lang w:eastAsia="en-AU" w:bidi="ar-SA"/>
        </w:rPr>
        <w:t>pieces</w:t>
      </w:r>
      <w:r w:rsidR="00D87DC0">
        <w:rPr>
          <w:lang w:eastAsia="en-AU" w:bidi="ar-SA"/>
        </w:rPr>
        <w:t xml:space="preserve"> </w:t>
      </w:r>
      <w:r w:rsidR="00951055">
        <w:rPr>
          <w:lang w:eastAsia="en-AU" w:bidi="ar-SA"/>
        </w:rPr>
        <w:t>at</w:t>
      </w:r>
      <w:r w:rsidR="00951055" w:rsidRPr="005F597D">
        <w:t xml:space="preserve"> </w:t>
      </w:r>
      <w:r w:rsidR="00951055" w:rsidRPr="005F597D">
        <w:rPr>
          <w:lang w:eastAsia="en-AU" w:bidi="ar-SA"/>
        </w:rPr>
        <w:t>levels ranging from 0.1 to 1%</w:t>
      </w:r>
      <w:r w:rsidR="00951055">
        <w:rPr>
          <w:lang w:eastAsia="en-AU" w:bidi="ar-SA"/>
        </w:rPr>
        <w:t xml:space="preserve"> in the wash solution </w:t>
      </w:r>
      <w:r w:rsidR="00561C62" w:rsidRPr="00561C62">
        <w:rPr>
          <w:lang w:eastAsia="en-AU" w:bidi="ar-SA"/>
        </w:rPr>
        <w:t>can effectively reduce the prevalence and levels of microorganisms, including relevant pathogens</w:t>
      </w:r>
      <w:r w:rsidR="00C37810">
        <w:rPr>
          <w:lang w:eastAsia="en-AU" w:bidi="ar-SA"/>
        </w:rPr>
        <w:t xml:space="preserve">. </w:t>
      </w:r>
      <w:r w:rsidR="005F597D">
        <w:rPr>
          <w:lang w:eastAsia="en-AU" w:bidi="ar-SA"/>
        </w:rPr>
        <w:t xml:space="preserve">FSANZ therefore concludes that the proposed use of CPC as an antimicrobial agent for </w:t>
      </w:r>
      <w:r w:rsidR="000E2669">
        <w:rPr>
          <w:lang w:eastAsia="en-AU" w:bidi="ar-SA"/>
        </w:rPr>
        <w:t xml:space="preserve">skin-on </w:t>
      </w:r>
      <w:r w:rsidR="005F597D">
        <w:rPr>
          <w:lang w:eastAsia="en-AU" w:bidi="ar-SA"/>
        </w:rPr>
        <w:t xml:space="preserve">raw poultry is technologically justified. </w:t>
      </w:r>
    </w:p>
    <w:p w14:paraId="3C4E8ED7" w14:textId="77777777" w:rsidR="004C55E7" w:rsidRDefault="004C55E7" w:rsidP="005F7323">
      <w:pPr>
        <w:rPr>
          <w:lang w:eastAsia="en-AU" w:bidi="ar-SA"/>
        </w:rPr>
      </w:pPr>
    </w:p>
    <w:p w14:paraId="58CC21E7" w14:textId="720615A2" w:rsidR="005F7323" w:rsidRDefault="00795D70" w:rsidP="005F7323">
      <w:pPr>
        <w:rPr>
          <w:lang w:eastAsia="en-AU" w:bidi="ar-SA"/>
        </w:rPr>
      </w:pPr>
      <w:r w:rsidRPr="00795D70">
        <w:rPr>
          <w:lang w:eastAsia="en-AU" w:bidi="ar-SA"/>
        </w:rPr>
        <w:t xml:space="preserve">As CPC performs </w:t>
      </w:r>
      <w:r w:rsidR="00C37810">
        <w:rPr>
          <w:lang w:eastAsia="en-AU" w:bidi="ar-SA"/>
        </w:rPr>
        <w:t>the anti</w:t>
      </w:r>
      <w:r w:rsidR="001D23B6">
        <w:rPr>
          <w:lang w:eastAsia="en-AU" w:bidi="ar-SA"/>
        </w:rPr>
        <w:t>-</w:t>
      </w:r>
      <w:r w:rsidR="00C37810">
        <w:rPr>
          <w:lang w:eastAsia="en-AU" w:bidi="ar-SA"/>
        </w:rPr>
        <w:t>microbial</w:t>
      </w:r>
      <w:r w:rsidR="004035C4">
        <w:rPr>
          <w:lang w:eastAsia="en-AU" w:bidi="ar-SA"/>
        </w:rPr>
        <w:t xml:space="preserve"> </w:t>
      </w:r>
      <w:r w:rsidRPr="00795D70">
        <w:rPr>
          <w:lang w:eastAsia="en-AU" w:bidi="ar-SA"/>
        </w:rPr>
        <w:t xml:space="preserve">function </w:t>
      </w:r>
      <w:r w:rsidR="00C37810">
        <w:rPr>
          <w:lang w:eastAsia="en-AU" w:bidi="ar-SA"/>
        </w:rPr>
        <w:t>at the time of treatment</w:t>
      </w:r>
      <w:r w:rsidR="004C55E7">
        <w:rPr>
          <w:lang w:eastAsia="en-AU" w:bidi="ar-SA"/>
        </w:rPr>
        <w:t xml:space="preserve"> (</w:t>
      </w:r>
      <w:r w:rsidR="00C37810">
        <w:rPr>
          <w:lang w:eastAsia="en-AU" w:bidi="ar-SA"/>
        </w:rPr>
        <w:t>during</w:t>
      </w:r>
      <w:r w:rsidRPr="00795D70">
        <w:rPr>
          <w:lang w:eastAsia="en-AU" w:bidi="ar-SA"/>
        </w:rPr>
        <w:t xml:space="preserve"> the processing of poultry</w:t>
      </w:r>
      <w:r w:rsidR="004C55E7">
        <w:rPr>
          <w:lang w:eastAsia="en-AU" w:bidi="ar-SA"/>
        </w:rPr>
        <w:t>)</w:t>
      </w:r>
      <w:r w:rsidRPr="00795D70">
        <w:rPr>
          <w:lang w:eastAsia="en-AU" w:bidi="ar-SA"/>
        </w:rPr>
        <w:t xml:space="preserve"> and does not perform a technological </w:t>
      </w:r>
      <w:r w:rsidRPr="00C37810">
        <w:rPr>
          <w:lang w:eastAsia="en-AU" w:bidi="ar-SA"/>
        </w:rPr>
        <w:t>purpose in the food for sale, it</w:t>
      </w:r>
      <w:r w:rsidRPr="00795D70">
        <w:rPr>
          <w:lang w:eastAsia="en-AU" w:bidi="ar-SA"/>
        </w:rPr>
        <w:t xml:space="preserve"> functions as a processing aid as defined in the Code.</w:t>
      </w:r>
    </w:p>
    <w:p w14:paraId="3374F02B" w14:textId="420EEE85" w:rsidR="005F597D" w:rsidRDefault="005F597D" w:rsidP="005F7323">
      <w:pPr>
        <w:rPr>
          <w:lang w:eastAsia="en-AU" w:bidi="ar-SA"/>
        </w:rPr>
      </w:pPr>
    </w:p>
    <w:p w14:paraId="15C43A75" w14:textId="35C1A9B2" w:rsidR="009852F9" w:rsidRDefault="005F597D" w:rsidP="005F7323">
      <w:pPr>
        <w:rPr>
          <w:lang w:bidi="ar-SA"/>
        </w:rPr>
      </w:pPr>
      <w:r>
        <w:rPr>
          <w:lang w:bidi="ar-SA"/>
        </w:rPr>
        <w:t>There is a relevant specification for CPC in the Food Chemicals Codex (</w:t>
      </w:r>
      <w:r w:rsidR="00710616" w:rsidRPr="00710616">
        <w:rPr>
          <w:lang w:bidi="ar-SA"/>
        </w:rPr>
        <w:t xml:space="preserve">United States Pharmacopeial Convention </w:t>
      </w:r>
      <w:r>
        <w:rPr>
          <w:lang w:bidi="ar-SA"/>
        </w:rPr>
        <w:t>20</w:t>
      </w:r>
      <w:r w:rsidR="00710616">
        <w:rPr>
          <w:lang w:bidi="ar-SA"/>
        </w:rPr>
        <w:t>20</w:t>
      </w:r>
      <w:r>
        <w:rPr>
          <w:lang w:bidi="ar-SA"/>
        </w:rPr>
        <w:t>), a primary source of specifications listed in Schedule 3 of the Code.</w:t>
      </w:r>
    </w:p>
    <w:p w14:paraId="53FB053C" w14:textId="0F5B35E6" w:rsidR="001D23B6" w:rsidRDefault="001D23B6" w:rsidP="005F7323">
      <w:pPr>
        <w:rPr>
          <w:lang w:bidi="ar-SA"/>
        </w:rPr>
      </w:pPr>
    </w:p>
    <w:p w14:paraId="086F0B0C" w14:textId="11FBAD47" w:rsidR="00D159F5" w:rsidRDefault="00710616" w:rsidP="00D159F5">
      <w:r w:rsidRPr="00D159F5">
        <w:t>Propylene glycol is added to Safe Foods’ CPC preparation to act as a wetting agent or humectant in the processing of the CPC preparation and to ma</w:t>
      </w:r>
      <w:r w:rsidR="004A6C76">
        <w:t>intain solubility and stability</w:t>
      </w:r>
      <w:r w:rsidRPr="00D159F5">
        <w:t xml:space="preserve"> in the preparation after processing. Propylene glycol is currently permitted for use both as a food additive permitted at GMP and as a processing aid, in accordance with the Code.</w:t>
      </w:r>
      <w:r w:rsidRPr="00710616" w:rsidDel="00710616">
        <w:t xml:space="preserve"> </w:t>
      </w:r>
      <w:bookmarkStart w:id="73" w:name="_Toc505255637"/>
      <w:bookmarkStart w:id="74" w:name="_Toc536543995"/>
      <w:bookmarkStart w:id="75" w:name="_Toc536607130"/>
      <w:bookmarkStart w:id="76" w:name="_Toc41314172"/>
      <w:bookmarkStart w:id="77" w:name="_Toc62657928"/>
      <w:bookmarkStart w:id="78" w:name="_Toc62738978"/>
      <w:bookmarkStart w:id="79" w:name="_Toc62743564"/>
      <w:bookmarkStart w:id="80" w:name="_Toc63330869"/>
      <w:bookmarkStart w:id="81" w:name="_Toc92722919"/>
      <w:bookmarkStart w:id="82" w:name="_Toc93592308"/>
      <w:bookmarkStart w:id="83" w:name="_Toc93585319"/>
    </w:p>
    <w:p w14:paraId="1D300DC2" w14:textId="69A20A39" w:rsidR="005F7323" w:rsidRDefault="0081797C" w:rsidP="00C71929">
      <w:pPr>
        <w:pStyle w:val="Heading1"/>
        <w:ind w:left="567" w:hanging="567"/>
      </w:pPr>
      <w:bookmarkStart w:id="84" w:name="_Toc97041614"/>
      <w:r>
        <w:t>3</w:t>
      </w:r>
      <w:r w:rsidR="00652F32">
        <w:tab/>
      </w:r>
      <w:r w:rsidR="009C450F">
        <w:t>Hazard</w:t>
      </w:r>
      <w:r w:rsidR="005F7323" w:rsidRPr="001E6A7B">
        <w:t xml:space="preserve"> assessment</w:t>
      </w:r>
      <w:bookmarkStart w:id="85" w:name="_Toc471740081"/>
      <w:bookmarkStart w:id="86" w:name="_Toc499282437"/>
      <w:bookmarkEnd w:id="73"/>
      <w:bookmarkEnd w:id="74"/>
      <w:bookmarkEnd w:id="75"/>
      <w:bookmarkEnd w:id="76"/>
      <w:bookmarkEnd w:id="77"/>
      <w:bookmarkEnd w:id="78"/>
      <w:bookmarkEnd w:id="79"/>
      <w:bookmarkEnd w:id="80"/>
      <w:bookmarkEnd w:id="81"/>
      <w:bookmarkEnd w:id="82"/>
      <w:bookmarkEnd w:id="83"/>
      <w:bookmarkEnd w:id="84"/>
    </w:p>
    <w:p w14:paraId="7E5D234D" w14:textId="5418C89D" w:rsidR="003161BF" w:rsidRDefault="003161BF" w:rsidP="003161BF">
      <w:r>
        <w:rPr>
          <w:lang w:bidi="ar-SA"/>
        </w:rPr>
        <w:t xml:space="preserve">The hazard assessment for this application primarily focuses on the active </w:t>
      </w:r>
      <w:r w:rsidR="00CE32F2">
        <w:rPr>
          <w:lang w:bidi="ar-SA"/>
        </w:rPr>
        <w:t>constituent</w:t>
      </w:r>
      <w:r>
        <w:rPr>
          <w:lang w:bidi="ar-SA"/>
        </w:rPr>
        <w:t>, CPC</w:t>
      </w:r>
      <w:r w:rsidR="00FA0E53">
        <w:rPr>
          <w:lang w:bidi="ar-SA"/>
        </w:rPr>
        <w:t xml:space="preserve"> as well as the </w:t>
      </w:r>
      <w:r w:rsidR="00927940">
        <w:rPr>
          <w:lang w:bidi="ar-SA"/>
        </w:rPr>
        <w:t>CPC preparation</w:t>
      </w:r>
      <w:r w:rsidR="007F57A7">
        <w:rPr>
          <w:lang w:bidi="ar-SA"/>
        </w:rPr>
        <w:t xml:space="preserve">, in particular, the </w:t>
      </w:r>
      <w:r>
        <w:rPr>
          <w:lang w:bidi="ar-SA"/>
        </w:rPr>
        <w:t>propylene glycol</w:t>
      </w:r>
      <w:r w:rsidR="007F57A7">
        <w:rPr>
          <w:lang w:bidi="ar-SA"/>
        </w:rPr>
        <w:t xml:space="preserve">. </w:t>
      </w:r>
    </w:p>
    <w:p w14:paraId="1F968ED0" w14:textId="563C5530" w:rsidR="00F87C06" w:rsidRDefault="00F87C06" w:rsidP="003161BF">
      <w:pPr>
        <w:rPr>
          <w:lang w:bidi="ar-SA"/>
        </w:rPr>
      </w:pPr>
    </w:p>
    <w:p w14:paraId="6478BB2D" w14:textId="399940B8" w:rsidR="00F87C06" w:rsidRDefault="00F87C06" w:rsidP="00F87C06">
      <w:pPr>
        <w:rPr>
          <w:lang w:bidi="ar-SA"/>
        </w:rPr>
      </w:pPr>
      <w:r>
        <w:rPr>
          <w:lang w:bidi="ar-SA"/>
        </w:rPr>
        <w:t xml:space="preserve">The applicant submitted a number of proprietary toxicity studies it had commissioned on CPC or the CPC preparation. These were a 14-day palatability study, 28-day and 90-day dietary toxicity studies in rats and dogs, an </w:t>
      </w:r>
      <w:r w:rsidRPr="0079508E">
        <w:rPr>
          <w:i/>
          <w:lang w:bidi="ar-SA"/>
        </w:rPr>
        <w:t>in vitro</w:t>
      </w:r>
      <w:r>
        <w:rPr>
          <w:lang w:bidi="ar-SA"/>
        </w:rPr>
        <w:t xml:space="preserve"> chromosome aberration study and a bacterial reverse mutation assay</w:t>
      </w:r>
      <w:r w:rsidRPr="00927940">
        <w:rPr>
          <w:lang w:bidi="ar-SA"/>
        </w:rPr>
        <w:t xml:space="preserve">. </w:t>
      </w:r>
      <w:r w:rsidR="006A189F">
        <w:rPr>
          <w:lang w:bidi="ar-SA"/>
        </w:rPr>
        <w:t xml:space="preserve">As these studies are considered Confidential Commercial Information, only limited details </w:t>
      </w:r>
      <w:r w:rsidR="006C20F7">
        <w:rPr>
          <w:lang w:bidi="ar-SA"/>
        </w:rPr>
        <w:t>are</w:t>
      </w:r>
      <w:r w:rsidR="006A189F">
        <w:rPr>
          <w:lang w:bidi="ar-SA"/>
        </w:rPr>
        <w:t xml:space="preserve"> included in this report. </w:t>
      </w:r>
      <w:r w:rsidRPr="00927940">
        <w:rPr>
          <w:lang w:bidi="ar-SA"/>
        </w:rPr>
        <w:t>In addition</w:t>
      </w:r>
      <w:r>
        <w:rPr>
          <w:lang w:bidi="ar-SA"/>
        </w:rPr>
        <w:t>, a number of industry reports and studies from the published literature were provided. Some of these studies were on other products containing CPC as well as other substances, and therefore of limited relevance for evaluating the safety of CPC itself.</w:t>
      </w:r>
    </w:p>
    <w:p w14:paraId="06B1A948" w14:textId="77777777" w:rsidR="00F87C06" w:rsidRDefault="00F87C06" w:rsidP="00F87C06">
      <w:pPr>
        <w:rPr>
          <w:lang w:bidi="ar-SA"/>
        </w:rPr>
      </w:pPr>
    </w:p>
    <w:p w14:paraId="639CEB13" w14:textId="184FB280" w:rsidR="00F87C06" w:rsidRPr="003161BF" w:rsidRDefault="00F87C06" w:rsidP="003161BF">
      <w:pPr>
        <w:rPr>
          <w:lang w:bidi="ar-SA"/>
        </w:rPr>
      </w:pPr>
      <w:r>
        <w:rPr>
          <w:lang w:bidi="ar-SA"/>
        </w:rPr>
        <w:t xml:space="preserve">Several proprietary toxicity studies of CPC that are not available to the applicant or FSANZ have been reviewed by overseas bodies. Limited details of these studies are included in the sections below, but cannot be verified by FSANZ. </w:t>
      </w:r>
    </w:p>
    <w:p w14:paraId="578C9222" w14:textId="0AA057B6" w:rsidR="005F7323" w:rsidRDefault="0081797C" w:rsidP="00D15757">
      <w:pPr>
        <w:pStyle w:val="Heading2"/>
      </w:pPr>
      <w:bookmarkStart w:id="87" w:name="_Toc471740085"/>
      <w:bookmarkStart w:id="88" w:name="_Toc499282440"/>
      <w:bookmarkStart w:id="89" w:name="_Toc505255639"/>
      <w:bookmarkStart w:id="90" w:name="_Toc536543996"/>
      <w:bookmarkStart w:id="91" w:name="_Toc536607131"/>
      <w:bookmarkStart w:id="92" w:name="_Toc41314173"/>
      <w:bookmarkStart w:id="93" w:name="_Toc62657929"/>
      <w:bookmarkStart w:id="94" w:name="_Toc62738979"/>
      <w:bookmarkStart w:id="95" w:name="_Toc62743565"/>
      <w:bookmarkStart w:id="96" w:name="_Toc63330870"/>
      <w:bookmarkStart w:id="97" w:name="_Toc92722920"/>
      <w:bookmarkStart w:id="98" w:name="_Toc93592309"/>
      <w:bookmarkStart w:id="99" w:name="_Toc93585320"/>
      <w:bookmarkStart w:id="100" w:name="_Toc97041615"/>
      <w:bookmarkEnd w:id="85"/>
      <w:bookmarkEnd w:id="86"/>
      <w:r>
        <w:t>3</w:t>
      </w:r>
      <w:r w:rsidR="005F7323" w:rsidRPr="006C2969">
        <w:t>.</w:t>
      </w:r>
      <w:bookmarkEnd w:id="87"/>
      <w:r w:rsidR="005F7323">
        <w:t>1</w:t>
      </w:r>
      <w:r w:rsidR="005F7323">
        <w:tab/>
      </w:r>
      <w:bookmarkEnd w:id="88"/>
      <w:bookmarkEnd w:id="89"/>
      <w:bookmarkEnd w:id="90"/>
      <w:bookmarkEnd w:id="91"/>
      <w:bookmarkEnd w:id="92"/>
      <w:r w:rsidR="00C62ED4">
        <w:t>Industrial use of the chemical</w:t>
      </w:r>
      <w:bookmarkEnd w:id="93"/>
      <w:bookmarkEnd w:id="94"/>
      <w:bookmarkEnd w:id="95"/>
      <w:bookmarkEnd w:id="96"/>
      <w:bookmarkEnd w:id="97"/>
      <w:bookmarkEnd w:id="98"/>
      <w:bookmarkEnd w:id="99"/>
      <w:bookmarkEnd w:id="100"/>
    </w:p>
    <w:p w14:paraId="262C7FB0" w14:textId="0EC3643B" w:rsidR="00C62ED4" w:rsidRDefault="00B07C5C" w:rsidP="00C62ED4">
      <w:pPr>
        <w:rPr>
          <w:lang w:bidi="ar-SA"/>
        </w:rPr>
      </w:pPr>
      <w:r>
        <w:rPr>
          <w:lang w:bidi="ar-SA"/>
        </w:rPr>
        <w:t>CPC</w:t>
      </w:r>
      <w:r w:rsidR="000C3DDA" w:rsidRPr="005271E2">
        <w:rPr>
          <w:lang w:bidi="ar-SA"/>
        </w:rPr>
        <w:t xml:space="preserve"> is a cationic quaternary ammonium compound found in many types </w:t>
      </w:r>
      <w:r w:rsidR="00F703E1" w:rsidRPr="005271E2">
        <w:rPr>
          <w:lang w:bidi="ar-SA"/>
        </w:rPr>
        <w:t xml:space="preserve">of </w:t>
      </w:r>
      <w:r w:rsidR="000C3DDA" w:rsidRPr="005271E2">
        <w:rPr>
          <w:lang w:bidi="ar-SA"/>
        </w:rPr>
        <w:t xml:space="preserve">commercially </w:t>
      </w:r>
      <w:r w:rsidR="000C3DDA" w:rsidRPr="005271E2">
        <w:rPr>
          <w:lang w:bidi="ar-SA"/>
        </w:rPr>
        <w:lastRenderedPageBreak/>
        <w:t xml:space="preserve">available products </w:t>
      </w:r>
      <w:r w:rsidR="001C5309">
        <w:rPr>
          <w:lang w:bidi="ar-SA"/>
        </w:rPr>
        <w:t>around the world</w:t>
      </w:r>
      <w:r w:rsidR="00F703E1" w:rsidRPr="005271E2">
        <w:rPr>
          <w:lang w:bidi="ar-SA"/>
        </w:rPr>
        <w:t xml:space="preserve"> </w:t>
      </w:r>
      <w:r w:rsidR="000C3DDA" w:rsidRPr="005271E2">
        <w:rPr>
          <w:lang w:bidi="ar-SA"/>
        </w:rPr>
        <w:t>such as mouthwash</w:t>
      </w:r>
      <w:r w:rsidR="00E90120" w:rsidRPr="005271E2">
        <w:rPr>
          <w:lang w:bidi="ar-SA"/>
        </w:rPr>
        <w:t>, toothpaste, sore throat</w:t>
      </w:r>
      <w:r w:rsidR="005271E2" w:rsidRPr="005271E2">
        <w:rPr>
          <w:lang w:bidi="ar-SA"/>
        </w:rPr>
        <w:t xml:space="preserve"> lozenges and </w:t>
      </w:r>
      <w:r w:rsidR="000C3DDA" w:rsidRPr="005271E2">
        <w:rPr>
          <w:lang w:bidi="ar-SA"/>
        </w:rPr>
        <w:t>throat sprays</w:t>
      </w:r>
      <w:r w:rsidR="005271E2" w:rsidRPr="005271E2">
        <w:rPr>
          <w:lang w:bidi="ar-SA"/>
        </w:rPr>
        <w:t>,</w:t>
      </w:r>
      <w:r w:rsidR="000C3DDA" w:rsidRPr="005271E2">
        <w:rPr>
          <w:lang w:bidi="ar-SA"/>
        </w:rPr>
        <w:t xml:space="preserve"> as well as </w:t>
      </w:r>
      <w:r w:rsidR="002B15C1" w:rsidRPr="005271E2">
        <w:rPr>
          <w:lang w:bidi="ar-SA"/>
        </w:rPr>
        <w:t xml:space="preserve">oral </w:t>
      </w:r>
      <w:r w:rsidR="000C3DDA" w:rsidRPr="005271E2">
        <w:rPr>
          <w:lang w:bidi="ar-SA"/>
        </w:rPr>
        <w:t>gels</w:t>
      </w:r>
      <w:r w:rsidR="002B15C1" w:rsidRPr="005271E2">
        <w:rPr>
          <w:lang w:bidi="ar-SA"/>
        </w:rPr>
        <w:t xml:space="preserve"> for teething, cold sores, ulcers and other abrasions</w:t>
      </w:r>
      <w:r w:rsidR="005271E2" w:rsidRPr="005271E2">
        <w:rPr>
          <w:lang w:bidi="ar-SA"/>
        </w:rPr>
        <w:t>,</w:t>
      </w:r>
      <w:r w:rsidR="000C3DDA" w:rsidRPr="005271E2">
        <w:rPr>
          <w:lang w:bidi="ar-SA"/>
        </w:rPr>
        <w:t xml:space="preserve"> baby wipes </w:t>
      </w:r>
      <w:r w:rsidR="005271E2" w:rsidRPr="005271E2">
        <w:rPr>
          <w:lang w:bidi="ar-SA"/>
        </w:rPr>
        <w:t>and antiseptic wipes</w:t>
      </w:r>
      <w:r w:rsidR="000C3DDA" w:rsidRPr="005271E2">
        <w:rPr>
          <w:lang w:bidi="ar-SA"/>
        </w:rPr>
        <w:t>.</w:t>
      </w:r>
      <w:r w:rsidR="000C3DDA">
        <w:rPr>
          <w:lang w:bidi="ar-SA"/>
        </w:rPr>
        <w:t xml:space="preserve"> </w:t>
      </w:r>
    </w:p>
    <w:p w14:paraId="4B882E42" w14:textId="636455C0" w:rsidR="00C62ED4" w:rsidRDefault="0081797C" w:rsidP="00D15757">
      <w:pPr>
        <w:pStyle w:val="Heading2"/>
      </w:pPr>
      <w:bookmarkStart w:id="101" w:name="_Toc62657930"/>
      <w:bookmarkStart w:id="102" w:name="_Toc62738980"/>
      <w:bookmarkStart w:id="103" w:name="_Toc62743566"/>
      <w:bookmarkStart w:id="104" w:name="_Toc63330871"/>
      <w:bookmarkStart w:id="105" w:name="_Toc92722921"/>
      <w:bookmarkStart w:id="106" w:name="_Toc93592310"/>
      <w:bookmarkStart w:id="107" w:name="_Toc93585321"/>
      <w:bookmarkStart w:id="108" w:name="_Toc97041616"/>
      <w:r>
        <w:t>3</w:t>
      </w:r>
      <w:r w:rsidR="00C62ED4">
        <w:t>.2</w:t>
      </w:r>
      <w:r w:rsidR="00C62ED4">
        <w:tab/>
        <w:t>Use of the chemical as a food processing aid in other countries</w:t>
      </w:r>
      <w:bookmarkEnd w:id="101"/>
      <w:bookmarkEnd w:id="102"/>
      <w:bookmarkEnd w:id="103"/>
      <w:bookmarkEnd w:id="104"/>
      <w:bookmarkEnd w:id="105"/>
      <w:bookmarkEnd w:id="106"/>
      <w:bookmarkEnd w:id="107"/>
      <w:bookmarkEnd w:id="108"/>
    </w:p>
    <w:p w14:paraId="31586980" w14:textId="697C3CD8" w:rsidR="00C62ED4" w:rsidRDefault="00927940" w:rsidP="00C62ED4">
      <w:pPr>
        <w:rPr>
          <w:lang w:bidi="ar-SA"/>
        </w:rPr>
      </w:pPr>
      <w:r>
        <w:rPr>
          <w:lang w:bidi="ar-SA"/>
        </w:rPr>
        <w:t>The CPC preparation</w:t>
      </w:r>
      <w:r w:rsidR="006A7F95">
        <w:rPr>
          <w:lang w:bidi="ar-SA"/>
        </w:rPr>
        <w:t xml:space="preserve"> is approved for use in the US</w:t>
      </w:r>
      <w:r w:rsidR="00F87C06">
        <w:rPr>
          <w:lang w:bidi="ar-SA"/>
        </w:rPr>
        <w:t>A</w:t>
      </w:r>
      <w:r w:rsidR="006A7F95">
        <w:rPr>
          <w:lang w:bidi="ar-SA"/>
        </w:rPr>
        <w:t xml:space="preserve"> as an antimicrobial agent applied in a pre-chiller or post-chiller solution to raw poultry carcasses. </w:t>
      </w:r>
      <w:r w:rsidR="005A1991">
        <w:rPr>
          <w:lang w:bidi="ar-SA"/>
        </w:rPr>
        <w:t>The most recent</w:t>
      </w:r>
      <w:r w:rsidR="00580D22">
        <w:rPr>
          <w:lang w:bidi="ar-SA"/>
        </w:rPr>
        <w:t xml:space="preserve"> US FDA</w:t>
      </w:r>
      <w:r w:rsidR="005A1991">
        <w:rPr>
          <w:lang w:bidi="ar-SA"/>
        </w:rPr>
        <w:t xml:space="preserve"> approval documentation was published in </w:t>
      </w:r>
      <w:r w:rsidR="00580D22">
        <w:rPr>
          <w:lang w:bidi="ar-SA"/>
        </w:rPr>
        <w:t>2007.</w:t>
      </w:r>
      <w:r w:rsidR="006A7F95">
        <w:rPr>
          <w:lang w:bidi="ar-SA"/>
        </w:rPr>
        <w:t xml:space="preserve"> </w:t>
      </w:r>
      <w:r>
        <w:rPr>
          <w:lang w:bidi="ar-SA"/>
        </w:rPr>
        <w:t xml:space="preserve">The CPC preparation </w:t>
      </w:r>
      <w:r w:rsidR="006A7F95">
        <w:rPr>
          <w:lang w:bidi="ar-SA"/>
        </w:rPr>
        <w:t xml:space="preserve">is also approved as an antimicrobial treatment of raw poultry carcasses in Canada, Russia, Mexico, Panama, Costa Rica, Colombia, Ecuador, El Salvador, Guatemala, Uruguay, Israel, Jordan, Peru, Saudi Arabia, South Africa, and the United Arab Emirates. </w:t>
      </w:r>
    </w:p>
    <w:p w14:paraId="70F385C9" w14:textId="1818D8B9" w:rsidR="00C62ED4" w:rsidRDefault="0081797C" w:rsidP="00D15757">
      <w:pPr>
        <w:pStyle w:val="Heading2"/>
      </w:pPr>
      <w:bookmarkStart w:id="109" w:name="_Toc62657931"/>
      <w:bookmarkStart w:id="110" w:name="_Toc62738981"/>
      <w:bookmarkStart w:id="111" w:name="_Toc62743567"/>
      <w:bookmarkStart w:id="112" w:name="_Toc63330872"/>
      <w:bookmarkStart w:id="113" w:name="_Toc92722922"/>
      <w:bookmarkStart w:id="114" w:name="_Toc93592311"/>
      <w:bookmarkStart w:id="115" w:name="_Toc93585322"/>
      <w:bookmarkStart w:id="116" w:name="_Toc97041617"/>
      <w:r>
        <w:t>3</w:t>
      </w:r>
      <w:r w:rsidR="00C62ED4">
        <w:t>.3</w:t>
      </w:r>
      <w:r w:rsidR="00C62ED4">
        <w:tab/>
        <w:t>Toxicokinetics and metabolism</w:t>
      </w:r>
      <w:bookmarkEnd w:id="109"/>
      <w:bookmarkEnd w:id="110"/>
      <w:bookmarkEnd w:id="111"/>
      <w:bookmarkEnd w:id="112"/>
      <w:bookmarkEnd w:id="113"/>
      <w:bookmarkEnd w:id="114"/>
      <w:bookmarkEnd w:id="115"/>
      <w:bookmarkEnd w:id="116"/>
    </w:p>
    <w:p w14:paraId="2E5498F7" w14:textId="099131C1" w:rsidR="004B2B78" w:rsidRDefault="00880C5B" w:rsidP="00C62ED4">
      <w:pPr>
        <w:rPr>
          <w:lang w:bidi="ar-SA"/>
        </w:rPr>
      </w:pPr>
      <w:r>
        <w:rPr>
          <w:lang w:bidi="ar-SA"/>
        </w:rPr>
        <w:t>Full reports of t</w:t>
      </w:r>
      <w:r w:rsidR="00842B3D">
        <w:rPr>
          <w:lang w:bidi="ar-SA"/>
        </w:rPr>
        <w:t xml:space="preserve">oxicokinetic and metabolism studies with CPC </w:t>
      </w:r>
      <w:r w:rsidR="00B07C5C">
        <w:rPr>
          <w:lang w:bidi="ar-SA"/>
        </w:rPr>
        <w:t>were not submitted by the appl</w:t>
      </w:r>
      <w:r w:rsidR="00691261">
        <w:rPr>
          <w:lang w:bidi="ar-SA"/>
        </w:rPr>
        <w:t>icant, and no publicly available studies</w:t>
      </w:r>
      <w:r w:rsidR="00B07C5C">
        <w:rPr>
          <w:lang w:bidi="ar-SA"/>
        </w:rPr>
        <w:t xml:space="preserve"> were identified in a literature search by FSANZ. </w:t>
      </w:r>
    </w:p>
    <w:p w14:paraId="03421724" w14:textId="1A9DE436" w:rsidR="004B2B78" w:rsidRDefault="004B2B78" w:rsidP="00C62ED4">
      <w:pPr>
        <w:rPr>
          <w:lang w:bidi="ar-SA"/>
        </w:rPr>
      </w:pPr>
    </w:p>
    <w:p w14:paraId="3648BC17" w14:textId="72E8DD35" w:rsidR="00691261" w:rsidRDefault="00691261" w:rsidP="00C62ED4">
      <w:pPr>
        <w:rPr>
          <w:lang w:bidi="ar-SA"/>
        </w:rPr>
      </w:pPr>
      <w:r>
        <w:rPr>
          <w:lang w:bidi="ar-SA"/>
        </w:rPr>
        <w:t>A submission on CPC-containing mouthrinses to the Plaque Subcommittee of the US Food and Drug Administration (FDA) Dental Panel, provided by the applicant, includes limited summaries of pharmacokinetic studies in rats and dogs (</w:t>
      </w:r>
      <w:r w:rsidRPr="00632577">
        <w:rPr>
          <w:lang w:bidi="ar-SA"/>
        </w:rPr>
        <w:t>Genco 1995</w:t>
      </w:r>
      <w:r>
        <w:rPr>
          <w:lang w:bidi="ar-SA"/>
        </w:rPr>
        <w:t>). In the rat, approximately 85% of a single dose of radiolabelled CPC was detected in the faeces and approximately 10% in the urine. The dog study was reported to be inconclusive because only 56.5% of the radiolabelled CPC was recovered from the urine, faeces, cage rinses, organs and carcass. These results are also reported by the US FDA in a safety assessment of the use of CPC as an antigingivitis/antiplaque agent in mouth rinses (</w:t>
      </w:r>
      <w:r w:rsidR="00CB01DE">
        <w:rPr>
          <w:lang w:bidi="ar-SA"/>
        </w:rPr>
        <w:t xml:space="preserve">US </w:t>
      </w:r>
      <w:r w:rsidRPr="00CB01DE">
        <w:rPr>
          <w:lang w:bidi="ar-SA"/>
        </w:rPr>
        <w:t>FDA 2003</w:t>
      </w:r>
      <w:r>
        <w:rPr>
          <w:lang w:bidi="ar-SA"/>
        </w:rPr>
        <w:t>).</w:t>
      </w:r>
    </w:p>
    <w:p w14:paraId="05FCA7C4" w14:textId="77777777" w:rsidR="00691261" w:rsidRDefault="00691261" w:rsidP="00C62ED4">
      <w:pPr>
        <w:rPr>
          <w:lang w:bidi="ar-SA"/>
        </w:rPr>
      </w:pPr>
    </w:p>
    <w:p w14:paraId="55CA1800" w14:textId="277FAD0B" w:rsidR="00C62ED4" w:rsidRDefault="00691261" w:rsidP="00C62ED4">
      <w:pPr>
        <w:rPr>
          <w:lang w:bidi="ar-SA"/>
        </w:rPr>
      </w:pPr>
      <w:r>
        <w:rPr>
          <w:lang w:bidi="ar-SA"/>
        </w:rPr>
        <w:t>These proprietary pharmaco</w:t>
      </w:r>
      <w:r w:rsidR="004B2B78">
        <w:rPr>
          <w:lang w:bidi="ar-SA"/>
        </w:rPr>
        <w:t xml:space="preserve">kinetic studies with CPC, unavailable to the applicant or to FSANZ, have </w:t>
      </w:r>
      <w:r>
        <w:rPr>
          <w:lang w:bidi="ar-SA"/>
        </w:rPr>
        <w:t xml:space="preserve">also </w:t>
      </w:r>
      <w:r w:rsidR="004B2B78">
        <w:rPr>
          <w:lang w:bidi="ar-SA"/>
        </w:rPr>
        <w:t xml:space="preserve">been </w:t>
      </w:r>
      <w:r>
        <w:rPr>
          <w:lang w:bidi="ar-SA"/>
        </w:rPr>
        <w:t>considered</w:t>
      </w:r>
      <w:r w:rsidR="004B2B78">
        <w:rPr>
          <w:lang w:bidi="ar-SA"/>
        </w:rPr>
        <w:t xml:space="preserve"> by the European Scientific Committee on Consumer Safety (SCCS) in</w:t>
      </w:r>
      <w:r>
        <w:rPr>
          <w:lang w:bidi="ar-SA"/>
        </w:rPr>
        <w:t xml:space="preserve"> a safety assessment</w:t>
      </w:r>
      <w:r w:rsidR="004B2B78">
        <w:rPr>
          <w:lang w:bidi="ar-SA"/>
        </w:rPr>
        <w:t xml:space="preserve"> of the use of CPC in mouthwashes, other oral hygiene cosmetic products, skin lotions and creams, and antiperspirant deodorants. </w:t>
      </w:r>
    </w:p>
    <w:p w14:paraId="2AABE2B2" w14:textId="46F6EB26" w:rsidR="0041156F" w:rsidRDefault="0041156F" w:rsidP="00C62ED4">
      <w:pPr>
        <w:rPr>
          <w:lang w:bidi="ar-SA"/>
        </w:rPr>
      </w:pPr>
    </w:p>
    <w:p w14:paraId="25AF6980" w14:textId="56CC8DBC" w:rsidR="0041156F" w:rsidRDefault="006974D8" w:rsidP="00C62ED4">
      <w:pPr>
        <w:rPr>
          <w:lang w:bidi="ar-SA"/>
        </w:rPr>
      </w:pPr>
      <w:r>
        <w:rPr>
          <w:lang w:bidi="ar-SA"/>
        </w:rPr>
        <w:t xml:space="preserve">The SCCS reported that </w:t>
      </w:r>
      <w:r w:rsidR="000F6A06">
        <w:rPr>
          <w:lang w:bidi="ar-SA"/>
        </w:rPr>
        <w:t xml:space="preserve">two toxicokinetic studies with CPC in rats and three in dogs were submitted, but </w:t>
      </w:r>
      <w:r>
        <w:rPr>
          <w:lang w:bidi="ar-SA"/>
        </w:rPr>
        <w:t xml:space="preserve">it was unable to evaluate </w:t>
      </w:r>
      <w:r w:rsidR="000F6A06">
        <w:rPr>
          <w:lang w:bidi="ar-SA"/>
        </w:rPr>
        <w:t>these studies because parts of the reports were poorly legible. The SCCS commented that the available data suggested &gt; 10% oral absorption in rats and dogs and that as well as urinary excretion, biliary excretion of CPC occurs in rats (</w:t>
      </w:r>
      <w:r w:rsidR="000F6A06" w:rsidRPr="00CB01DE">
        <w:rPr>
          <w:lang w:bidi="ar-SA"/>
        </w:rPr>
        <w:t>SCCS</w:t>
      </w:r>
      <w:r w:rsidR="009C167B" w:rsidRPr="00CB01DE">
        <w:rPr>
          <w:lang w:bidi="ar-SA"/>
        </w:rPr>
        <w:t xml:space="preserve"> 2015</w:t>
      </w:r>
      <w:r w:rsidR="000F6A06">
        <w:rPr>
          <w:lang w:bidi="ar-SA"/>
        </w:rPr>
        <w:t xml:space="preserve">). </w:t>
      </w:r>
    </w:p>
    <w:p w14:paraId="006653BF" w14:textId="22AE0485" w:rsidR="00691261" w:rsidRDefault="00691261" w:rsidP="00C62ED4">
      <w:pPr>
        <w:rPr>
          <w:lang w:bidi="ar-SA"/>
        </w:rPr>
      </w:pPr>
    </w:p>
    <w:p w14:paraId="56CE06DA" w14:textId="66545A00" w:rsidR="00691261" w:rsidRDefault="00691261" w:rsidP="00691261">
      <w:pPr>
        <w:rPr>
          <w:lang w:bidi="ar-SA"/>
        </w:rPr>
      </w:pPr>
      <w:r>
        <w:rPr>
          <w:lang w:bidi="ar-SA"/>
        </w:rPr>
        <w:t>Public summaries of</w:t>
      </w:r>
      <w:r w:rsidR="00E1177D">
        <w:rPr>
          <w:lang w:bidi="ar-SA"/>
        </w:rPr>
        <w:t xml:space="preserve"> some of</w:t>
      </w:r>
      <w:r>
        <w:rPr>
          <w:lang w:bidi="ar-SA"/>
        </w:rPr>
        <w:t xml:space="preserve"> these studies</w:t>
      </w:r>
      <w:r w:rsidR="00E1177D">
        <w:rPr>
          <w:lang w:bidi="ar-SA"/>
        </w:rPr>
        <w:t xml:space="preserve"> (one in rats and two in dogs)</w:t>
      </w:r>
      <w:r>
        <w:rPr>
          <w:lang w:bidi="ar-SA"/>
        </w:rPr>
        <w:t xml:space="preserve"> are also available as part of a REACH</w:t>
      </w:r>
      <w:r>
        <w:rPr>
          <w:rStyle w:val="FootnoteReference"/>
          <w:lang w:bidi="ar-SA"/>
        </w:rPr>
        <w:footnoteReference w:id="8"/>
      </w:r>
      <w:r>
        <w:rPr>
          <w:lang w:bidi="ar-SA"/>
        </w:rPr>
        <w:t xml:space="preserve"> registration dossier for CPC o</w:t>
      </w:r>
      <w:r w:rsidR="005E5139">
        <w:rPr>
          <w:lang w:bidi="ar-SA"/>
        </w:rPr>
        <w:t xml:space="preserve">n the European Chemical Agency (ECHA)’s </w:t>
      </w:r>
      <w:r>
        <w:rPr>
          <w:lang w:bidi="ar-SA"/>
        </w:rPr>
        <w:t>website.</w:t>
      </w:r>
    </w:p>
    <w:p w14:paraId="08F0302C" w14:textId="77777777" w:rsidR="00691261" w:rsidRDefault="00691261" w:rsidP="00C62ED4">
      <w:pPr>
        <w:rPr>
          <w:lang w:bidi="ar-SA"/>
        </w:rPr>
      </w:pPr>
    </w:p>
    <w:p w14:paraId="2266C95A" w14:textId="646FA363" w:rsidR="007E246E" w:rsidRDefault="0057097A" w:rsidP="00C62ED4">
      <w:pPr>
        <w:rPr>
          <w:lang w:bidi="ar-SA"/>
        </w:rPr>
      </w:pPr>
      <w:r>
        <w:rPr>
          <w:lang w:bidi="ar-SA"/>
        </w:rPr>
        <w:t>In the abs</w:t>
      </w:r>
      <w:r w:rsidR="008857CD">
        <w:rPr>
          <w:lang w:bidi="ar-SA"/>
        </w:rPr>
        <w:t xml:space="preserve">ence of </w:t>
      </w:r>
      <w:r w:rsidR="00E1177D">
        <w:rPr>
          <w:lang w:bidi="ar-SA"/>
        </w:rPr>
        <w:t xml:space="preserve">the full </w:t>
      </w:r>
      <w:r w:rsidR="00A62723">
        <w:rPr>
          <w:lang w:bidi="ar-SA"/>
        </w:rPr>
        <w:t>toxic</w:t>
      </w:r>
      <w:r w:rsidR="00E1177D">
        <w:rPr>
          <w:lang w:bidi="ar-SA"/>
        </w:rPr>
        <w:t>okinetic study reports</w:t>
      </w:r>
      <w:r>
        <w:rPr>
          <w:lang w:bidi="ar-SA"/>
        </w:rPr>
        <w:t xml:space="preserve"> for review FSANZ is unable to draw conclusions as to the absorption, distribution, metabolism and excretion of CPC. However, it is noted that reviews by overseas authorities indicate oral absorption greater than 10% of CPC in rats and dogs</w:t>
      </w:r>
      <w:r w:rsidR="00E1177D">
        <w:rPr>
          <w:lang w:bidi="ar-SA"/>
        </w:rPr>
        <w:t xml:space="preserve"> with elimination occurring via the urine, bile and faeces</w:t>
      </w:r>
      <w:r>
        <w:rPr>
          <w:lang w:bidi="ar-SA"/>
        </w:rPr>
        <w:t xml:space="preserve">. </w:t>
      </w:r>
      <w:r w:rsidR="00E1177D">
        <w:rPr>
          <w:lang w:bidi="ar-SA"/>
        </w:rPr>
        <w:t xml:space="preserve">Information on metabolism does not appear to be available. </w:t>
      </w:r>
    </w:p>
    <w:p w14:paraId="50F5C8F3" w14:textId="4D5B8F16" w:rsidR="00C62ED4" w:rsidRDefault="0081797C" w:rsidP="00D15757">
      <w:pPr>
        <w:pStyle w:val="Heading2"/>
      </w:pPr>
      <w:bookmarkStart w:id="117" w:name="_Toc62657932"/>
      <w:bookmarkStart w:id="118" w:name="_Toc62738982"/>
      <w:bookmarkStart w:id="119" w:name="_Toc62743568"/>
      <w:bookmarkStart w:id="120" w:name="_Toc63330873"/>
      <w:bookmarkStart w:id="121" w:name="_Toc92722923"/>
      <w:bookmarkStart w:id="122" w:name="_Toc93592312"/>
      <w:bookmarkStart w:id="123" w:name="_Toc93585323"/>
      <w:bookmarkStart w:id="124" w:name="_Toc97041618"/>
      <w:r>
        <w:lastRenderedPageBreak/>
        <w:t>3</w:t>
      </w:r>
      <w:r w:rsidR="00C62ED4">
        <w:t>.4</w:t>
      </w:r>
      <w:r w:rsidR="00C62ED4">
        <w:tab/>
        <w:t>Toxicity studies</w:t>
      </w:r>
      <w:bookmarkEnd w:id="117"/>
      <w:bookmarkEnd w:id="118"/>
      <w:bookmarkEnd w:id="119"/>
      <w:bookmarkEnd w:id="120"/>
      <w:bookmarkEnd w:id="121"/>
      <w:bookmarkEnd w:id="122"/>
      <w:bookmarkEnd w:id="123"/>
      <w:bookmarkEnd w:id="124"/>
    </w:p>
    <w:p w14:paraId="588A5A72" w14:textId="58C256AC" w:rsidR="008857CD" w:rsidRDefault="00C32178" w:rsidP="0081797C">
      <w:pPr>
        <w:pStyle w:val="Heading3"/>
      </w:pPr>
      <w:bookmarkStart w:id="125" w:name="_Toc62657933"/>
      <w:bookmarkStart w:id="126" w:name="_Toc62738983"/>
      <w:bookmarkStart w:id="127" w:name="_Toc62743569"/>
      <w:bookmarkStart w:id="128" w:name="_Toc63330874"/>
      <w:bookmarkStart w:id="129" w:name="_Toc92722924"/>
      <w:bookmarkStart w:id="130" w:name="_Toc93592313"/>
      <w:bookmarkStart w:id="131" w:name="_Toc93585324"/>
      <w:bookmarkStart w:id="132" w:name="_Toc97041619"/>
      <w:r>
        <w:t>3.4.1</w:t>
      </w:r>
      <w:r>
        <w:tab/>
      </w:r>
      <w:r w:rsidR="009B3A24">
        <w:t>Acute toxicity studies</w:t>
      </w:r>
      <w:bookmarkEnd w:id="125"/>
      <w:bookmarkEnd w:id="126"/>
      <w:bookmarkEnd w:id="127"/>
      <w:bookmarkEnd w:id="128"/>
      <w:bookmarkEnd w:id="129"/>
      <w:bookmarkEnd w:id="130"/>
      <w:bookmarkEnd w:id="131"/>
      <w:bookmarkEnd w:id="132"/>
    </w:p>
    <w:p w14:paraId="0E099465" w14:textId="629B50E7" w:rsidR="00987562" w:rsidRDefault="00987562" w:rsidP="00987562">
      <w:pPr>
        <w:pStyle w:val="Heading4"/>
        <w:rPr>
          <w:lang w:eastAsia="en-AU"/>
        </w:rPr>
      </w:pPr>
      <w:r>
        <w:rPr>
          <w:lang w:eastAsia="en-AU"/>
        </w:rPr>
        <w:t xml:space="preserve">Studies in animals </w:t>
      </w:r>
    </w:p>
    <w:p w14:paraId="1307B4FD" w14:textId="6CB59B09" w:rsidR="0061260A" w:rsidRDefault="00DF2E7E" w:rsidP="00DF2E7E">
      <w:pPr>
        <w:rPr>
          <w:lang w:bidi="ar-SA"/>
        </w:rPr>
      </w:pPr>
      <w:r>
        <w:rPr>
          <w:lang w:eastAsia="en-AU" w:bidi="ar-SA"/>
        </w:rPr>
        <w:t>The LD</w:t>
      </w:r>
      <w:r w:rsidRPr="00DF2E7E">
        <w:rPr>
          <w:vertAlign w:val="subscript"/>
          <w:lang w:eastAsia="en-AU" w:bidi="ar-SA"/>
        </w:rPr>
        <w:t>50</w:t>
      </w:r>
      <w:r>
        <w:rPr>
          <w:lang w:eastAsia="en-AU" w:bidi="ar-SA"/>
        </w:rPr>
        <w:t xml:space="preserve"> of CPC in male Sprague-Dawley rats</w:t>
      </w:r>
      <w:r w:rsidR="0061260A">
        <w:rPr>
          <w:lang w:eastAsia="en-AU" w:bidi="ar-SA"/>
        </w:rPr>
        <w:t xml:space="preserve"> following oral administration</w:t>
      </w:r>
      <w:r>
        <w:rPr>
          <w:lang w:eastAsia="en-AU" w:bidi="ar-SA"/>
        </w:rPr>
        <w:t xml:space="preserve"> was reported to be 200 mg/kg bw. </w:t>
      </w:r>
      <w:r>
        <w:rPr>
          <w:lang w:bidi="ar-SA"/>
        </w:rPr>
        <w:t>Large oral doses were reported to cause erosion of the gastric mucosa, and at fatal doses peripheral paralysis and central nervous stimulation were observed (</w:t>
      </w:r>
      <w:r w:rsidRPr="001845F6">
        <w:rPr>
          <w:lang w:bidi="ar-SA"/>
        </w:rPr>
        <w:t>Nelson and Lyster 1946</w:t>
      </w:r>
      <w:r>
        <w:rPr>
          <w:lang w:bidi="ar-SA"/>
        </w:rPr>
        <w:t>). In another study, the LD</w:t>
      </w:r>
      <w:r w:rsidRPr="00DF2E7E">
        <w:rPr>
          <w:vertAlign w:val="subscript"/>
          <w:lang w:bidi="ar-SA"/>
        </w:rPr>
        <w:t>50</w:t>
      </w:r>
      <w:r>
        <w:rPr>
          <w:lang w:bidi="ar-SA"/>
        </w:rPr>
        <w:t xml:space="preserve"> of CPC in male rats was calculated to be 428 mg/kg bw when administered in water and 192 mg/kg bw in 50% DMSO. In female mice, LD</w:t>
      </w:r>
      <w:r w:rsidRPr="00B40C32">
        <w:rPr>
          <w:vertAlign w:val="subscript"/>
          <w:lang w:bidi="ar-SA"/>
        </w:rPr>
        <w:t>50</w:t>
      </w:r>
      <w:r>
        <w:rPr>
          <w:lang w:bidi="ar-SA"/>
        </w:rPr>
        <w:t>s were 195 and 108 mg/kg bw, respectively (</w:t>
      </w:r>
      <w:r w:rsidRPr="001845F6">
        <w:rPr>
          <w:lang w:bidi="ar-SA"/>
        </w:rPr>
        <w:t>Rosen et al. 1965</w:t>
      </w:r>
      <w:r>
        <w:rPr>
          <w:lang w:bidi="ar-SA"/>
        </w:rPr>
        <w:t>).</w:t>
      </w:r>
      <w:r w:rsidR="0061260A">
        <w:rPr>
          <w:lang w:bidi="ar-SA"/>
        </w:rPr>
        <w:t xml:space="preserve"> </w:t>
      </w:r>
    </w:p>
    <w:p w14:paraId="16FF1D8A" w14:textId="77777777" w:rsidR="0061260A" w:rsidRDefault="0061260A" w:rsidP="00DF2E7E">
      <w:pPr>
        <w:rPr>
          <w:lang w:bidi="ar-SA"/>
        </w:rPr>
      </w:pPr>
    </w:p>
    <w:p w14:paraId="1632322E" w14:textId="3BDE1819" w:rsidR="00DF2E7E" w:rsidRDefault="0061260A" w:rsidP="00DF2E7E">
      <w:pPr>
        <w:rPr>
          <w:lang w:bidi="ar-SA"/>
        </w:rPr>
      </w:pPr>
      <w:r>
        <w:rPr>
          <w:lang w:bidi="ar-SA"/>
        </w:rPr>
        <w:t>In a more recent study, an LD</w:t>
      </w:r>
      <w:r w:rsidRPr="0061260A">
        <w:rPr>
          <w:vertAlign w:val="subscript"/>
          <w:lang w:bidi="ar-SA"/>
        </w:rPr>
        <w:t>50</w:t>
      </w:r>
      <w:r>
        <w:rPr>
          <w:lang w:bidi="ar-SA"/>
        </w:rPr>
        <w:t xml:space="preserve"> of 400 mg/kg bw for male and female rats combined was reported. Clinical signs in animals that died and survivors included diarrhoea, lethargy, piloerection, dyspnea, and chromodacryorrhoea. Necropsy of the dead animals found abnormalities of the lungs, liver, spleen, pancreas, pleural cavity and gastrointestinal tract (</w:t>
      </w:r>
      <w:r w:rsidRPr="004F3222">
        <w:rPr>
          <w:lang w:bidi="ar-SA"/>
        </w:rPr>
        <w:t>Zeeland Chemicals 1995</w:t>
      </w:r>
      <w:r w:rsidR="00153DF8">
        <w:rPr>
          <w:lang w:bidi="ar-SA"/>
        </w:rPr>
        <w:t>).</w:t>
      </w:r>
      <w:r>
        <w:rPr>
          <w:lang w:bidi="ar-SA"/>
        </w:rPr>
        <w:t xml:space="preserve"> </w:t>
      </w:r>
    </w:p>
    <w:p w14:paraId="2626C233" w14:textId="0A6A9B2E" w:rsidR="00DF2E7E" w:rsidRDefault="00DF2E7E" w:rsidP="00DF2E7E">
      <w:pPr>
        <w:rPr>
          <w:lang w:bidi="ar-SA"/>
        </w:rPr>
      </w:pPr>
    </w:p>
    <w:p w14:paraId="2189ADE5" w14:textId="3A7C6B02" w:rsidR="00987562" w:rsidRDefault="00DF2E7E" w:rsidP="00DF2E7E">
      <w:pPr>
        <w:rPr>
          <w:lang w:bidi="ar-SA"/>
        </w:rPr>
      </w:pPr>
      <w:r>
        <w:rPr>
          <w:lang w:bidi="ar-SA"/>
        </w:rPr>
        <w:t xml:space="preserve">In rabbits, </w:t>
      </w:r>
      <w:r w:rsidR="00545BA4">
        <w:rPr>
          <w:lang w:bidi="ar-SA"/>
        </w:rPr>
        <w:t xml:space="preserve">CPC </w:t>
      </w:r>
      <w:r>
        <w:rPr>
          <w:lang w:bidi="ar-SA"/>
        </w:rPr>
        <w:t xml:space="preserve">doses of 300, 400, 500, 600 and 700 mg/kg bw caused mortality in 0, 1, 5, 4 and 4 of 6 animals, respectively. </w:t>
      </w:r>
      <w:r w:rsidR="0050716B">
        <w:rPr>
          <w:lang w:bidi="ar-SA"/>
        </w:rPr>
        <w:t>Most of the rabbits developed diarrhoea (</w:t>
      </w:r>
      <w:r w:rsidR="0050716B" w:rsidRPr="00AB3F8D">
        <w:rPr>
          <w:lang w:bidi="ar-SA"/>
        </w:rPr>
        <w:t>Warren et al. 1942</w:t>
      </w:r>
      <w:r w:rsidR="0050716B">
        <w:rPr>
          <w:lang w:bidi="ar-SA"/>
        </w:rPr>
        <w:t xml:space="preserve">). </w:t>
      </w:r>
    </w:p>
    <w:p w14:paraId="776B0131" w14:textId="3112ED4E" w:rsidR="00987562" w:rsidRDefault="00987562" w:rsidP="00987562">
      <w:pPr>
        <w:pStyle w:val="Heading5"/>
      </w:pPr>
      <w:r>
        <w:t>Other studies not available to FSANZ</w:t>
      </w:r>
    </w:p>
    <w:p w14:paraId="0B45872F" w14:textId="21BC9F90" w:rsidR="00987562" w:rsidRDefault="00987562" w:rsidP="00987562">
      <w:pPr>
        <w:rPr>
          <w:lang w:eastAsia="en-AU" w:bidi="ar-SA"/>
        </w:rPr>
      </w:pPr>
      <w:r>
        <w:rPr>
          <w:lang w:eastAsia="en-AU" w:bidi="ar-SA"/>
        </w:rPr>
        <w:t>In a proprietary GLP acute oral toxicity study not available to FSANZ but reviewed by the SCCS, the LD</w:t>
      </w:r>
      <w:r w:rsidRPr="00987562">
        <w:rPr>
          <w:vertAlign w:val="subscript"/>
          <w:lang w:eastAsia="en-AU" w:bidi="ar-SA"/>
        </w:rPr>
        <w:t>50</w:t>
      </w:r>
      <w:r>
        <w:rPr>
          <w:lang w:eastAsia="en-AU" w:bidi="ar-SA"/>
        </w:rPr>
        <w:t xml:space="preserve"> in female Sprague-Dawley rats was estimated to be 560 mg/kg bw </w:t>
      </w:r>
      <w:r w:rsidRPr="00987562">
        <w:rPr>
          <w:lang w:eastAsia="en-AU" w:bidi="ar-SA"/>
        </w:rPr>
        <w:t>with approximate 95% confidence interval</w:t>
      </w:r>
      <w:r>
        <w:rPr>
          <w:lang w:eastAsia="en-AU" w:bidi="ar-SA"/>
        </w:rPr>
        <w:t>s</w:t>
      </w:r>
      <w:r w:rsidRPr="00987562">
        <w:rPr>
          <w:lang w:eastAsia="en-AU" w:bidi="ar-SA"/>
        </w:rPr>
        <w:t xml:space="preserve"> of 950 mg/kg and 300 mg/kg</w:t>
      </w:r>
      <w:r>
        <w:rPr>
          <w:lang w:eastAsia="en-AU" w:bidi="ar-SA"/>
        </w:rPr>
        <w:t xml:space="preserve"> (</w:t>
      </w:r>
      <w:r w:rsidRPr="00987562">
        <w:rPr>
          <w:lang w:eastAsia="en-AU" w:bidi="ar-SA"/>
        </w:rPr>
        <w:t>SCCS 2015</w:t>
      </w:r>
      <w:r>
        <w:rPr>
          <w:lang w:eastAsia="en-AU" w:bidi="ar-SA"/>
        </w:rPr>
        <w:t xml:space="preserve">). </w:t>
      </w:r>
    </w:p>
    <w:p w14:paraId="0C27B0C3" w14:textId="2F689D33" w:rsidR="00987562" w:rsidRDefault="00987562" w:rsidP="00987562">
      <w:pPr>
        <w:pStyle w:val="Heading4"/>
        <w:rPr>
          <w:lang w:eastAsia="en-AU"/>
        </w:rPr>
      </w:pPr>
      <w:r>
        <w:rPr>
          <w:lang w:eastAsia="en-AU"/>
        </w:rPr>
        <w:t>Reports in humans</w:t>
      </w:r>
    </w:p>
    <w:p w14:paraId="04F35A29" w14:textId="177E6DE4" w:rsidR="00142D87" w:rsidRPr="00DF2E7E" w:rsidRDefault="00142D87" w:rsidP="00DF2E7E">
      <w:pPr>
        <w:rPr>
          <w:lang w:eastAsia="en-AU" w:bidi="ar-SA"/>
        </w:rPr>
      </w:pPr>
      <w:r>
        <w:rPr>
          <w:lang w:eastAsia="en-AU" w:bidi="ar-SA"/>
        </w:rPr>
        <w:t xml:space="preserve">A textbook provided by the applicant </w:t>
      </w:r>
      <w:r w:rsidR="005852E6">
        <w:rPr>
          <w:lang w:eastAsia="en-AU" w:bidi="ar-SA"/>
        </w:rPr>
        <w:t xml:space="preserve">states </w:t>
      </w:r>
      <w:r>
        <w:rPr>
          <w:lang w:eastAsia="en-AU" w:bidi="ar-SA"/>
        </w:rPr>
        <w:t>that the fatal dose of CPC and other quaternary ammonium compounds has been estimated as being between 1 and 3 g. The principal signs following ingestion are stated to be vomiting, collapse and coma due to caustic effects (</w:t>
      </w:r>
      <w:r w:rsidRPr="003C21FA">
        <w:rPr>
          <w:lang w:eastAsia="en-AU" w:bidi="ar-SA"/>
        </w:rPr>
        <w:t>Arena and Drew 1986</w:t>
      </w:r>
      <w:r w:rsidR="00153DF8">
        <w:rPr>
          <w:lang w:eastAsia="en-AU" w:bidi="ar-SA"/>
        </w:rPr>
        <w:t>).</w:t>
      </w:r>
    </w:p>
    <w:p w14:paraId="3E8984A4" w14:textId="335D26BA" w:rsidR="00CB54AA" w:rsidRDefault="00C32178" w:rsidP="0081797C">
      <w:pPr>
        <w:pStyle w:val="Heading3"/>
      </w:pPr>
      <w:bookmarkStart w:id="133" w:name="_Toc62657934"/>
      <w:bookmarkStart w:id="134" w:name="_Toc62738984"/>
      <w:bookmarkStart w:id="135" w:name="_Toc62743570"/>
      <w:bookmarkStart w:id="136" w:name="_Toc63330875"/>
      <w:bookmarkStart w:id="137" w:name="_Toc92722925"/>
      <w:bookmarkStart w:id="138" w:name="_Toc93592314"/>
      <w:bookmarkStart w:id="139" w:name="_Toc93585325"/>
      <w:bookmarkStart w:id="140" w:name="_Toc97041620"/>
      <w:r>
        <w:t>3.4.2</w:t>
      </w:r>
      <w:r>
        <w:tab/>
      </w:r>
      <w:r w:rsidR="00CB54AA">
        <w:t>Short</w:t>
      </w:r>
      <w:r w:rsidR="00556C23">
        <w:t>-</w:t>
      </w:r>
      <w:r w:rsidR="00CB54AA">
        <w:t>term</w:t>
      </w:r>
      <w:r w:rsidR="00556C23">
        <w:t xml:space="preserve"> studies of</w:t>
      </w:r>
      <w:r w:rsidR="00CB54AA">
        <w:t xml:space="preserve"> toxicit</w:t>
      </w:r>
      <w:bookmarkEnd w:id="133"/>
      <w:bookmarkEnd w:id="134"/>
      <w:bookmarkEnd w:id="135"/>
      <w:bookmarkEnd w:id="136"/>
      <w:r w:rsidR="00556C23">
        <w:t>y</w:t>
      </w:r>
      <w:bookmarkEnd w:id="137"/>
      <w:bookmarkEnd w:id="138"/>
      <w:bookmarkEnd w:id="139"/>
      <w:bookmarkEnd w:id="140"/>
    </w:p>
    <w:p w14:paraId="71890208" w14:textId="3C149FDB" w:rsidR="00142D87" w:rsidRDefault="00142D87" w:rsidP="00C83FC6">
      <w:pPr>
        <w:pStyle w:val="Heading4"/>
      </w:pPr>
      <w:r>
        <w:t xml:space="preserve">Studies </w:t>
      </w:r>
      <w:r w:rsidR="000C6AEC">
        <w:t>commissioned by the applicant</w:t>
      </w:r>
    </w:p>
    <w:p w14:paraId="7E456002" w14:textId="35FE737D" w:rsidR="000C6AEC" w:rsidRDefault="000C6AEC" w:rsidP="000C6AEC">
      <w:pPr>
        <w:pStyle w:val="Heading4"/>
      </w:pPr>
      <w:r>
        <w:t>Rats</w:t>
      </w:r>
    </w:p>
    <w:p w14:paraId="7DA15F51" w14:textId="4BD59758" w:rsidR="000C6AEC" w:rsidRDefault="00BD47A2" w:rsidP="00BD47A2">
      <w:pPr>
        <w:pStyle w:val="Heading5"/>
      </w:pPr>
      <w:r>
        <w:t>14-day palatability study in rats (Redfield Laboratories 2002</w:t>
      </w:r>
      <w:r w:rsidR="003C21FA">
        <w:t>a</w:t>
      </w:r>
      <w:r>
        <w:t>) Regulatory status: GLP</w:t>
      </w:r>
      <w:r w:rsidR="00033F1D">
        <w:t>; non</w:t>
      </w:r>
      <w:r>
        <w:t>-guideline</w:t>
      </w:r>
    </w:p>
    <w:p w14:paraId="0B0C737E" w14:textId="55F92A3D" w:rsidR="00BD47A2" w:rsidRDefault="00D0067A" w:rsidP="000C6AEC">
      <w:pPr>
        <w:rPr>
          <w:lang w:bidi="ar-SA"/>
        </w:rPr>
      </w:pPr>
      <w:r>
        <w:rPr>
          <w:lang w:bidi="ar-SA"/>
        </w:rPr>
        <w:t>Sprague-Dawley rats (5/sex/group) were administ</w:t>
      </w:r>
      <w:r w:rsidR="0069090D">
        <w:rPr>
          <w:lang w:bidi="ar-SA"/>
        </w:rPr>
        <w:t>ered 0, 100, 500, 1000, 1500 or</w:t>
      </w:r>
      <w:r>
        <w:rPr>
          <w:lang w:bidi="ar-SA"/>
        </w:rPr>
        <w:t xml:space="preserve"> 2000 ppm CPC in the diet for 14 days. Clinical signs were recorded daily</w:t>
      </w:r>
      <w:r w:rsidR="000A0238">
        <w:rPr>
          <w:lang w:bidi="ar-SA"/>
        </w:rPr>
        <w:t xml:space="preserve"> and</w:t>
      </w:r>
      <w:r>
        <w:rPr>
          <w:lang w:bidi="ar-SA"/>
        </w:rPr>
        <w:t xml:space="preserve"> </w:t>
      </w:r>
      <w:r w:rsidR="000A0238">
        <w:rPr>
          <w:lang w:bidi="ar-SA"/>
        </w:rPr>
        <w:t>b</w:t>
      </w:r>
      <w:r>
        <w:rPr>
          <w:lang w:bidi="ar-SA"/>
        </w:rPr>
        <w:t xml:space="preserve">ody weight and feed consumption was measured </w:t>
      </w:r>
      <w:r w:rsidR="000A0238">
        <w:rPr>
          <w:lang w:bidi="ar-SA"/>
        </w:rPr>
        <w:t>every 2 to 3 days</w:t>
      </w:r>
      <w:r>
        <w:rPr>
          <w:lang w:bidi="ar-SA"/>
        </w:rPr>
        <w:t xml:space="preserve">. </w:t>
      </w:r>
    </w:p>
    <w:p w14:paraId="71FD3042" w14:textId="1CCFBC1E" w:rsidR="00D0067A" w:rsidRDefault="00D0067A" w:rsidP="000C6AEC">
      <w:pPr>
        <w:rPr>
          <w:lang w:bidi="ar-SA"/>
        </w:rPr>
      </w:pPr>
    </w:p>
    <w:p w14:paraId="687094A0" w14:textId="1C2DEF17" w:rsidR="00D0067A" w:rsidRDefault="000A0238" w:rsidP="000C6AEC">
      <w:pPr>
        <w:rPr>
          <w:lang w:bidi="ar-SA"/>
        </w:rPr>
      </w:pPr>
      <w:r>
        <w:rPr>
          <w:lang w:bidi="ar-SA"/>
        </w:rPr>
        <w:t>Thinness was observed in one female in the high dose group, which corresponded with lower feed consumption</w:t>
      </w:r>
      <w:r w:rsidR="007E392D">
        <w:rPr>
          <w:lang w:bidi="ar-SA"/>
        </w:rPr>
        <w:t>.</w:t>
      </w:r>
      <w:r>
        <w:rPr>
          <w:lang w:bidi="ar-SA"/>
        </w:rPr>
        <w:t xml:space="preserve"> Dose-dependent reductions in body weight were observed in males and females, with a significant effect starting at 1000 ppm in males and 1500 ppm in females. The no observed adverse effect level (NOAEL) in this study was considered to be 500 ppm CPC in the diet. </w:t>
      </w:r>
    </w:p>
    <w:p w14:paraId="7A3DE6DD" w14:textId="435C82DD" w:rsidR="00033F1D" w:rsidRDefault="00033F1D" w:rsidP="009A22B0">
      <w:pPr>
        <w:pStyle w:val="Heading5"/>
      </w:pPr>
      <w:r>
        <w:lastRenderedPageBreak/>
        <w:t>28-day dietary toxicity study in rats (Redfield Laboratories 2002</w:t>
      </w:r>
      <w:r w:rsidR="003C21FA">
        <w:t>b</w:t>
      </w:r>
      <w:r>
        <w:t xml:space="preserve">) Regulatory status: GLP; </w:t>
      </w:r>
      <w:r w:rsidR="007C1E7D">
        <w:t>consistent with OECD test guidelines</w:t>
      </w:r>
    </w:p>
    <w:p w14:paraId="6CFDE0B5" w14:textId="5799459F" w:rsidR="009A22B0" w:rsidRDefault="007C1E7D" w:rsidP="000C6AEC">
      <w:pPr>
        <w:rPr>
          <w:lang w:bidi="ar-SA"/>
        </w:rPr>
      </w:pPr>
      <w:r>
        <w:rPr>
          <w:lang w:bidi="ar-SA"/>
        </w:rPr>
        <w:t>CPC was administered in the diet to Sprague-Dawley rats (10/sex/group) at concentrations o</w:t>
      </w:r>
      <w:r w:rsidR="0069090D">
        <w:rPr>
          <w:lang w:bidi="ar-SA"/>
        </w:rPr>
        <w:t>f 0, 125, 250, 375, 500, 750 or</w:t>
      </w:r>
      <w:r>
        <w:rPr>
          <w:lang w:bidi="ar-SA"/>
        </w:rPr>
        <w:t xml:space="preserve"> 1000 ppm for 28 days. </w:t>
      </w:r>
      <w:r w:rsidR="00691528">
        <w:rPr>
          <w:lang w:bidi="ar-SA"/>
        </w:rPr>
        <w:t xml:space="preserve">Clinical signs were monitored daily. Body weights and feed consumption were measured weekly. Haematology, clinical chemistry and urinalysis parameters were assessed at the end of the study. All animals underwent gross necropsy and </w:t>
      </w:r>
      <w:r w:rsidR="00112B4E">
        <w:rPr>
          <w:lang w:bidi="ar-SA"/>
        </w:rPr>
        <w:t>specified tissues were analysed microscopically</w:t>
      </w:r>
      <w:r w:rsidR="00691528">
        <w:rPr>
          <w:lang w:bidi="ar-SA"/>
        </w:rPr>
        <w:t xml:space="preserve">. </w:t>
      </w:r>
    </w:p>
    <w:p w14:paraId="4504483E" w14:textId="57585379" w:rsidR="00691528" w:rsidRDefault="00691528" w:rsidP="000C6AEC">
      <w:pPr>
        <w:rPr>
          <w:lang w:bidi="ar-SA"/>
        </w:rPr>
      </w:pPr>
    </w:p>
    <w:p w14:paraId="72871C80" w14:textId="4A8BB46D" w:rsidR="00691528" w:rsidRDefault="00051D26" w:rsidP="000C6AEC">
      <w:pPr>
        <w:rPr>
          <w:lang w:bidi="ar-SA"/>
        </w:rPr>
      </w:pPr>
      <w:r>
        <w:rPr>
          <w:lang w:bidi="ar-SA"/>
        </w:rPr>
        <w:t>Dose dependent decreases in body weight and body weight gain were reported</w:t>
      </w:r>
      <w:r w:rsidR="00112B4E">
        <w:rPr>
          <w:lang w:bidi="ar-SA"/>
        </w:rPr>
        <w:t>,</w:t>
      </w:r>
      <w:r>
        <w:rPr>
          <w:lang w:bidi="ar-SA"/>
        </w:rPr>
        <w:t xml:space="preserve"> significantly lower</w:t>
      </w:r>
      <w:r w:rsidR="00B63EC9">
        <w:rPr>
          <w:lang w:bidi="ar-SA"/>
        </w:rPr>
        <w:t xml:space="preserve"> than controls</w:t>
      </w:r>
      <w:r>
        <w:rPr>
          <w:lang w:bidi="ar-SA"/>
        </w:rPr>
        <w:t xml:space="preserve"> at dietary concentrations of 750 and 1000 ppm</w:t>
      </w:r>
      <w:r w:rsidR="00B63EC9">
        <w:rPr>
          <w:lang w:bidi="ar-SA"/>
        </w:rPr>
        <w:t xml:space="preserve"> in both sexes.</w:t>
      </w:r>
      <w:r w:rsidR="00112B4E">
        <w:rPr>
          <w:lang w:bidi="ar-SA"/>
        </w:rPr>
        <w:t xml:space="preserve"> A corresponding decrease in feed consumption in these groups was considered dose responsive. No clinical observations were considered test article-related and necropsy found no treatment-related changes. </w:t>
      </w:r>
      <w:r w:rsidR="00697034">
        <w:rPr>
          <w:lang w:bidi="ar-SA"/>
        </w:rPr>
        <w:t xml:space="preserve"> </w:t>
      </w:r>
    </w:p>
    <w:p w14:paraId="0CECFB80" w14:textId="7B70A3E9" w:rsidR="00A41CDD" w:rsidRDefault="00A41CDD" w:rsidP="000C6AEC">
      <w:pPr>
        <w:rPr>
          <w:lang w:bidi="ar-SA"/>
        </w:rPr>
      </w:pPr>
    </w:p>
    <w:p w14:paraId="64408408" w14:textId="353E6E41" w:rsidR="00BE394D" w:rsidRDefault="00BE394D" w:rsidP="000C6AEC">
      <w:pPr>
        <w:rPr>
          <w:lang w:bidi="ar-SA"/>
        </w:rPr>
      </w:pPr>
      <w:r>
        <w:rPr>
          <w:lang w:bidi="ar-SA"/>
        </w:rPr>
        <w:t xml:space="preserve">The study authors concluded that the no observed effect level (NOEL) was 250 ppm CPC. The NOAEL was considered by the authors to be 1000 ppm. </w:t>
      </w:r>
    </w:p>
    <w:p w14:paraId="5396852C" w14:textId="75455F4D" w:rsidR="00F047B4" w:rsidRDefault="001003E9" w:rsidP="00F27D8C">
      <w:pPr>
        <w:pStyle w:val="Heading5"/>
      </w:pPr>
      <w:r>
        <w:t>13-week dietary toxicity study in rats (Charles River Laboratories 2006</w:t>
      </w:r>
      <w:r w:rsidR="004B7A36">
        <w:t>a</w:t>
      </w:r>
      <w:r>
        <w:t xml:space="preserve">) Regulatory status: GLP; </w:t>
      </w:r>
      <w:r w:rsidR="00F27D8C">
        <w:t>conducted in accordance with OECD Test Guideline 408</w:t>
      </w:r>
    </w:p>
    <w:p w14:paraId="7EAF7173" w14:textId="47C43131" w:rsidR="00F27D8C" w:rsidRDefault="0069090D" w:rsidP="000C6AEC">
      <w:pPr>
        <w:rPr>
          <w:lang w:bidi="ar-SA"/>
        </w:rPr>
      </w:pPr>
      <w:r>
        <w:rPr>
          <w:lang w:bidi="ar-SA"/>
        </w:rPr>
        <w:t xml:space="preserve">Sprague-Dawley rats (20/sex/group) were fed diets containing 0, 125, 250, 500 or 1000 ppm CPC for 91 days. </w:t>
      </w:r>
      <w:r w:rsidR="00171552">
        <w:rPr>
          <w:lang w:bidi="ar-SA"/>
        </w:rPr>
        <w:t>Clinical observations</w:t>
      </w:r>
      <w:r w:rsidR="00A465C6">
        <w:rPr>
          <w:lang w:bidi="ar-SA"/>
        </w:rPr>
        <w:t xml:space="preserve"> and measurements of body weight, feed consumption, ophthalmology, neurology, haematology, coagulation, clinical chemistry and urinalysis</w:t>
      </w:r>
      <w:r w:rsidR="00171552">
        <w:rPr>
          <w:lang w:bidi="ar-SA"/>
        </w:rPr>
        <w:t xml:space="preserve"> were performed.</w:t>
      </w:r>
      <w:r w:rsidR="00A465C6">
        <w:rPr>
          <w:lang w:bidi="ar-SA"/>
        </w:rPr>
        <w:t xml:space="preserve"> Complete necropsy was performed on day 92, organ weights and gross lesions were recorded and histopathology was performed.</w:t>
      </w:r>
      <w:r w:rsidR="00171552">
        <w:rPr>
          <w:lang w:bidi="ar-SA"/>
        </w:rPr>
        <w:t xml:space="preserve"> </w:t>
      </w:r>
    </w:p>
    <w:p w14:paraId="2C68F2BD" w14:textId="7252080F" w:rsidR="00780DA6" w:rsidRDefault="00780DA6" w:rsidP="000C6AEC">
      <w:pPr>
        <w:rPr>
          <w:lang w:bidi="ar-SA"/>
        </w:rPr>
      </w:pPr>
    </w:p>
    <w:p w14:paraId="066AA52D" w14:textId="50E25C1B" w:rsidR="00A465C6" w:rsidRDefault="002670E6" w:rsidP="00A465C6">
      <w:pPr>
        <w:rPr>
          <w:lang w:bidi="ar-SA"/>
        </w:rPr>
      </w:pPr>
      <w:r>
        <w:rPr>
          <w:lang w:bidi="ar-SA"/>
        </w:rPr>
        <w:t xml:space="preserve">One male in the 250 ppm group </w:t>
      </w:r>
      <w:r w:rsidR="00E94CA4">
        <w:rPr>
          <w:lang w:bidi="ar-SA"/>
        </w:rPr>
        <w:t xml:space="preserve">was found dead on study day 66. This death was considered to be </w:t>
      </w:r>
      <w:r w:rsidR="00A763AD">
        <w:rPr>
          <w:lang w:bidi="ar-SA"/>
        </w:rPr>
        <w:t>un</w:t>
      </w:r>
      <w:r w:rsidR="00E94CA4">
        <w:rPr>
          <w:lang w:bidi="ar-SA"/>
        </w:rPr>
        <w:t xml:space="preserve">related to the test item as histopathological examination indicated inflammation of the heart as the probable cause of death. No </w:t>
      </w:r>
      <w:r w:rsidR="00A465C6">
        <w:rPr>
          <w:lang w:bidi="ar-SA"/>
        </w:rPr>
        <w:t xml:space="preserve">treatment-related </w:t>
      </w:r>
      <w:r w:rsidR="00E94CA4">
        <w:rPr>
          <w:lang w:bidi="ar-SA"/>
        </w:rPr>
        <w:t xml:space="preserve">clinical signs were observed in </w:t>
      </w:r>
      <w:r w:rsidR="00A465C6">
        <w:rPr>
          <w:lang w:bidi="ar-SA"/>
        </w:rPr>
        <w:t xml:space="preserve">all other </w:t>
      </w:r>
      <w:r w:rsidR="00E94CA4">
        <w:rPr>
          <w:lang w:bidi="ar-SA"/>
        </w:rPr>
        <w:t>animals.</w:t>
      </w:r>
      <w:r w:rsidR="00A465C6">
        <w:rPr>
          <w:lang w:bidi="ar-SA"/>
        </w:rPr>
        <w:t xml:space="preserve"> Mean body weights were decreased </w:t>
      </w:r>
      <w:r w:rsidR="00E94CA4">
        <w:rPr>
          <w:lang w:bidi="ar-SA"/>
        </w:rPr>
        <w:t xml:space="preserve">in males given 1000 ppm from study day 8 and in females given 1000 ppm from study day 22. </w:t>
      </w:r>
      <w:r w:rsidR="00370B7F">
        <w:rPr>
          <w:lang w:bidi="ar-SA"/>
        </w:rPr>
        <w:t>Feed consumption was also significantly lower in high dose animals.</w:t>
      </w:r>
      <w:r w:rsidR="00A465C6">
        <w:rPr>
          <w:lang w:bidi="ar-SA"/>
        </w:rPr>
        <w:t xml:space="preserve"> It was not clear if these effects were due to palatability issues or caused by the test item.</w:t>
      </w:r>
      <w:r w:rsidR="00370B7F">
        <w:rPr>
          <w:lang w:bidi="ar-SA"/>
        </w:rPr>
        <w:t xml:space="preserve"> </w:t>
      </w:r>
      <w:r w:rsidR="00A465C6">
        <w:rPr>
          <w:lang w:bidi="ar-SA"/>
        </w:rPr>
        <w:t>No changes in ophthalmology, neuro</w:t>
      </w:r>
      <w:r w:rsidR="00873DE9">
        <w:rPr>
          <w:lang w:bidi="ar-SA"/>
        </w:rPr>
        <w:t>logical functions were reported. Intermittent changes in clinical pathology were not considered to be adverse</w:t>
      </w:r>
      <w:r w:rsidR="00A465C6">
        <w:rPr>
          <w:lang w:bidi="ar-SA"/>
        </w:rPr>
        <w:t xml:space="preserve"> and no gross lesions were recorded at necropsy. </w:t>
      </w:r>
    </w:p>
    <w:p w14:paraId="70746416" w14:textId="77777777" w:rsidR="00A465C6" w:rsidRDefault="00A465C6" w:rsidP="00A465C6">
      <w:pPr>
        <w:rPr>
          <w:lang w:bidi="ar-SA"/>
        </w:rPr>
      </w:pPr>
    </w:p>
    <w:p w14:paraId="720B771A" w14:textId="62E5962E" w:rsidR="00A763AD" w:rsidRDefault="00A763AD" w:rsidP="000C6AEC">
      <w:pPr>
        <w:rPr>
          <w:lang w:bidi="ar-SA"/>
        </w:rPr>
      </w:pPr>
      <w:r>
        <w:rPr>
          <w:lang w:bidi="ar-SA"/>
        </w:rPr>
        <w:t xml:space="preserve">The study authors concluded that the NOEL in this study was 250 ppm, and the NOAEL was 1000 ppm. </w:t>
      </w:r>
      <w:r w:rsidRPr="00183E35">
        <w:rPr>
          <w:lang w:bidi="ar-SA"/>
        </w:rPr>
        <w:t>However, FSANZ considers that the NOAEL in this study was 250 ppm.</w:t>
      </w:r>
      <w:r>
        <w:rPr>
          <w:lang w:bidi="ar-SA"/>
        </w:rPr>
        <w:t xml:space="preserve"> </w:t>
      </w:r>
    </w:p>
    <w:p w14:paraId="0B240EE2" w14:textId="4D3D273A" w:rsidR="003B208B" w:rsidRDefault="003B208B" w:rsidP="003B208B">
      <w:pPr>
        <w:pStyle w:val="Heading4"/>
      </w:pPr>
      <w:r>
        <w:t>Dogs</w:t>
      </w:r>
    </w:p>
    <w:p w14:paraId="66764AB3" w14:textId="39E5D845" w:rsidR="00777B98" w:rsidRDefault="00777B98" w:rsidP="00777B98">
      <w:pPr>
        <w:pStyle w:val="Heading5"/>
      </w:pPr>
      <w:r>
        <w:t>28-day dietary dose range-finding study in dogs (Charles River Laboratories 2006</w:t>
      </w:r>
      <w:r w:rsidR="004B7A36">
        <w:t>b</w:t>
      </w:r>
      <w:r>
        <w:t>) Regulatory status: Non-GLP, non-guideline</w:t>
      </w:r>
    </w:p>
    <w:p w14:paraId="40816344" w14:textId="7E37CA6A" w:rsidR="00777B98" w:rsidRDefault="00777B98" w:rsidP="00777B98">
      <w:pPr>
        <w:rPr>
          <w:lang w:bidi="ar-SA"/>
        </w:rPr>
      </w:pPr>
      <w:r>
        <w:rPr>
          <w:lang w:bidi="ar-SA"/>
        </w:rPr>
        <w:t>Beagle dogs</w:t>
      </w:r>
      <w:r w:rsidR="00A306E6">
        <w:rPr>
          <w:lang w:bidi="ar-SA"/>
        </w:rPr>
        <w:t xml:space="preserve"> (1/sex/group)</w:t>
      </w:r>
      <w:r>
        <w:rPr>
          <w:lang w:bidi="ar-SA"/>
        </w:rPr>
        <w:t xml:space="preserve"> were given diets containing 0, 250, 500, 1000 </w:t>
      </w:r>
      <w:r w:rsidR="00A306E6">
        <w:rPr>
          <w:lang w:bidi="ar-SA"/>
        </w:rPr>
        <w:t>or</w:t>
      </w:r>
      <w:r>
        <w:rPr>
          <w:lang w:bidi="ar-SA"/>
        </w:rPr>
        <w:t xml:space="preserve"> 1500 </w:t>
      </w:r>
      <w:r w:rsidR="00A306E6">
        <w:rPr>
          <w:lang w:bidi="ar-SA"/>
        </w:rPr>
        <w:t>ppm CPC for 28 days. Animals were monitored daily for clinical signs</w:t>
      </w:r>
      <w:r w:rsidR="00903668">
        <w:rPr>
          <w:lang w:bidi="ar-SA"/>
        </w:rPr>
        <w:t>. Body weights, feed consumption, haematology, clinical chemistry, coagulation and urinalysis parameters were recorded</w:t>
      </w:r>
      <w:r w:rsidR="00A306E6">
        <w:rPr>
          <w:lang w:bidi="ar-SA"/>
        </w:rPr>
        <w:t>.</w:t>
      </w:r>
      <w:r w:rsidR="00903668">
        <w:rPr>
          <w:lang w:bidi="ar-SA"/>
        </w:rPr>
        <w:t xml:space="preserve"> All animals were subjected to gross necropsy on day 29. Organ weights were recorded and histopathology </w:t>
      </w:r>
      <w:r w:rsidR="00A306E6">
        <w:rPr>
          <w:lang w:bidi="ar-SA"/>
        </w:rPr>
        <w:t xml:space="preserve">was performed on </w:t>
      </w:r>
      <w:r w:rsidR="00E010C6">
        <w:rPr>
          <w:lang w:bidi="ar-SA"/>
        </w:rPr>
        <w:t xml:space="preserve">all tissues from control and high dose dogs, and the kidney from dogs given 250, 500 or 1000 ppm. </w:t>
      </w:r>
    </w:p>
    <w:p w14:paraId="0F7C322A" w14:textId="259F6805" w:rsidR="00E010C6" w:rsidRDefault="00E010C6" w:rsidP="00777B98">
      <w:pPr>
        <w:rPr>
          <w:lang w:bidi="ar-SA"/>
        </w:rPr>
      </w:pPr>
    </w:p>
    <w:p w14:paraId="269FE031" w14:textId="5B28ACF5" w:rsidR="00903668" w:rsidRDefault="00053D66" w:rsidP="00777B98">
      <w:pPr>
        <w:rPr>
          <w:lang w:bidi="ar-SA"/>
        </w:rPr>
      </w:pPr>
      <w:r>
        <w:rPr>
          <w:lang w:bidi="ar-SA"/>
        </w:rPr>
        <w:t xml:space="preserve">All animals survived to scheduled termination. The incidence of abnormal stool (soft or watery) was increased in treated animals compared with controls. The study authors noted that it was unclear whether this was related to the test article. </w:t>
      </w:r>
      <w:r w:rsidR="00903668">
        <w:rPr>
          <w:lang w:bidi="ar-SA"/>
        </w:rPr>
        <w:t xml:space="preserve">Animals administered 1500 </w:t>
      </w:r>
      <w:r w:rsidR="00903668">
        <w:rPr>
          <w:lang w:bidi="ar-SA"/>
        </w:rPr>
        <w:lastRenderedPageBreak/>
        <w:t>ppm had a decrease in body weight from study day 8 to 28. Feed consumption was consistently less in both sexes in this group. The study authors considered that these effects may have been due to palatability issues with the test item rather than an effect of the test item itself. No treatment-related changes in haematology, coagulation or urinalysis parameters were observed. Alanine aminotransferase (ALT) was increased above the test facility normal ranges in the male administered 1000 ppm, and in the females administered 1000 and 1500 ppm</w:t>
      </w:r>
      <w:r w:rsidR="00010890">
        <w:rPr>
          <w:lang w:bidi="ar-SA"/>
        </w:rPr>
        <w:t>, but was not considered adverse as there were no accompanying histopathological lesions</w:t>
      </w:r>
      <w:r w:rsidR="00903668">
        <w:rPr>
          <w:lang w:bidi="ar-SA"/>
        </w:rPr>
        <w:t>.</w:t>
      </w:r>
    </w:p>
    <w:p w14:paraId="42800C65" w14:textId="77777777" w:rsidR="00182893" w:rsidRDefault="00182893" w:rsidP="00777B98">
      <w:pPr>
        <w:rPr>
          <w:lang w:bidi="ar-SA"/>
        </w:rPr>
      </w:pPr>
    </w:p>
    <w:p w14:paraId="40D3F5F3" w14:textId="73D4E73E" w:rsidR="0073750F" w:rsidRDefault="0073750F" w:rsidP="00777B98">
      <w:pPr>
        <w:rPr>
          <w:lang w:bidi="ar-SA"/>
        </w:rPr>
      </w:pPr>
      <w:r>
        <w:rPr>
          <w:lang w:bidi="ar-SA"/>
        </w:rPr>
        <w:t xml:space="preserve">The study authors concluded that the NOEL was 500 ppm. The NOAEL was </w:t>
      </w:r>
      <w:r w:rsidR="00BC2CF4">
        <w:rPr>
          <w:lang w:bidi="ar-SA"/>
        </w:rPr>
        <w:t>1000 ppm based on decreased body weights and feed consumption at 1500</w:t>
      </w:r>
      <w:r w:rsidR="00727903">
        <w:rPr>
          <w:lang w:bidi="ar-SA"/>
        </w:rPr>
        <w:t> </w:t>
      </w:r>
      <w:r w:rsidR="00BC2CF4">
        <w:rPr>
          <w:lang w:bidi="ar-SA"/>
        </w:rPr>
        <w:t xml:space="preserve">ppm. </w:t>
      </w:r>
    </w:p>
    <w:p w14:paraId="5DD89409" w14:textId="3B694B47" w:rsidR="0073750F" w:rsidRDefault="0073750F" w:rsidP="00777B98">
      <w:pPr>
        <w:rPr>
          <w:lang w:bidi="ar-SA"/>
        </w:rPr>
      </w:pPr>
    </w:p>
    <w:p w14:paraId="5179C03A" w14:textId="2BEA3524" w:rsidR="0073750F" w:rsidRPr="00777B98" w:rsidRDefault="0073750F" w:rsidP="00777B98">
      <w:pPr>
        <w:rPr>
          <w:lang w:bidi="ar-SA"/>
        </w:rPr>
      </w:pPr>
      <w:r>
        <w:rPr>
          <w:lang w:bidi="ar-SA"/>
        </w:rPr>
        <w:t>FSANZ notes that this study is of limited value for regulatory purposes given the use of</w:t>
      </w:r>
      <w:r w:rsidR="00BC2CF4">
        <w:rPr>
          <w:lang w:bidi="ar-SA"/>
        </w:rPr>
        <w:t xml:space="preserve"> a single animal</w:t>
      </w:r>
      <w:r>
        <w:rPr>
          <w:lang w:bidi="ar-SA"/>
        </w:rPr>
        <w:t xml:space="preserve"> of each sex and the inability to achieve a clear separation of increasing doses, most likely due to palatability issues. </w:t>
      </w:r>
    </w:p>
    <w:p w14:paraId="53948301" w14:textId="6831AE2B" w:rsidR="002A732C" w:rsidRDefault="002A732C" w:rsidP="00D06B51">
      <w:pPr>
        <w:pStyle w:val="Heading5"/>
      </w:pPr>
      <w:r>
        <w:t>13-week dietary toxicity study in dogs (Charles River Laboratories 2006</w:t>
      </w:r>
      <w:r w:rsidR="004B7A36">
        <w:t>c</w:t>
      </w:r>
      <w:r>
        <w:t>) Regulatory status: GLP; conducted in accordance with OECD TG 409 and FDA Redbook</w:t>
      </w:r>
    </w:p>
    <w:p w14:paraId="743F36F6" w14:textId="305D9752" w:rsidR="00D06B51" w:rsidRDefault="00D06B51" w:rsidP="00D06B51">
      <w:pPr>
        <w:rPr>
          <w:lang w:bidi="ar-SA"/>
        </w:rPr>
      </w:pPr>
      <w:r>
        <w:rPr>
          <w:lang w:bidi="ar-SA"/>
        </w:rPr>
        <w:t>Beagle dogs (4/sex/group) were administered diets containing 0, 250, 375, 500 or 1000/500 ppm CPC for 90 days. Clinical signs were monitored</w:t>
      </w:r>
      <w:r w:rsidR="003D7385">
        <w:rPr>
          <w:lang w:bidi="ar-SA"/>
        </w:rPr>
        <w:t xml:space="preserve">, body </w:t>
      </w:r>
      <w:r>
        <w:rPr>
          <w:lang w:bidi="ar-SA"/>
        </w:rPr>
        <w:t>weights</w:t>
      </w:r>
      <w:r w:rsidR="003D7385">
        <w:rPr>
          <w:lang w:bidi="ar-SA"/>
        </w:rPr>
        <w:t>,</w:t>
      </w:r>
      <w:r w:rsidR="00182893">
        <w:rPr>
          <w:lang w:bidi="ar-SA"/>
        </w:rPr>
        <w:t xml:space="preserve"> </w:t>
      </w:r>
      <w:r w:rsidR="003D7385">
        <w:rPr>
          <w:lang w:bidi="ar-SA"/>
        </w:rPr>
        <w:t xml:space="preserve">and </w:t>
      </w:r>
      <w:r>
        <w:rPr>
          <w:lang w:bidi="ar-SA"/>
        </w:rPr>
        <w:t>feed consumption</w:t>
      </w:r>
      <w:r w:rsidR="003D7385">
        <w:rPr>
          <w:lang w:bidi="ar-SA"/>
        </w:rPr>
        <w:t xml:space="preserve"> were recorded. Physical, ophthalmology, cardiology and neurological exams were performed and clinical pathology was evaluated. Post-mortem, organ weights were recorded and macroscopic and microscopic evaluations were performed.</w:t>
      </w:r>
    </w:p>
    <w:p w14:paraId="31FCDB2B" w14:textId="72E486BF" w:rsidR="009F0ACA" w:rsidRDefault="009F0ACA" w:rsidP="00D06B51">
      <w:pPr>
        <w:rPr>
          <w:lang w:bidi="ar-SA"/>
        </w:rPr>
      </w:pPr>
    </w:p>
    <w:p w14:paraId="3BE54361" w14:textId="2756BB6B" w:rsidR="003D7385" w:rsidRDefault="003D7385" w:rsidP="00D06B51">
      <w:pPr>
        <w:rPr>
          <w:lang w:bidi="ar-SA"/>
        </w:rPr>
      </w:pPr>
      <w:r>
        <w:rPr>
          <w:lang w:bidi="ar-SA"/>
        </w:rPr>
        <w:t xml:space="preserve">Thinness was observed in males in the 375, 500 and 1000 ppm groups, as well as females given 1000 ppm. </w:t>
      </w:r>
      <w:r w:rsidR="00F02D25">
        <w:rPr>
          <w:lang w:bidi="ar-SA"/>
        </w:rPr>
        <w:t xml:space="preserve">Mean body weights decreased in males given 1000 ppm  from day 8 – 36. </w:t>
      </w:r>
      <w:r w:rsidR="00061A9D">
        <w:rPr>
          <w:lang w:bidi="ar-SA"/>
        </w:rPr>
        <w:t xml:space="preserve">Due to </w:t>
      </w:r>
      <w:r w:rsidR="00F02D25">
        <w:rPr>
          <w:lang w:bidi="ar-SA"/>
        </w:rPr>
        <w:t xml:space="preserve">corresponding </w:t>
      </w:r>
      <w:r w:rsidR="00061A9D">
        <w:rPr>
          <w:lang w:bidi="ar-SA"/>
        </w:rPr>
        <w:t xml:space="preserve">decreases in feed consumption in this group, the test item was withdrawn from days 29 – 42 in males and days 29 – 41 to females, and after the dosing break the test item concentration was adjusted to 500 ppm. </w:t>
      </w:r>
      <w:r w:rsidR="00F02D25">
        <w:rPr>
          <w:lang w:bidi="ar-SA"/>
        </w:rPr>
        <w:t xml:space="preserve">All animals had normal physical exams and no treatment-related changes in neurological, ophthalmology, cardiology, clinical chemistry and urinalysis. Changes in haematology parameters were observed at higher doses. No histopathological changes were reported. </w:t>
      </w:r>
    </w:p>
    <w:p w14:paraId="4560B9E2" w14:textId="77777777" w:rsidR="00187477" w:rsidRDefault="00187477" w:rsidP="00D06B51">
      <w:pPr>
        <w:rPr>
          <w:lang w:bidi="ar-SA"/>
        </w:rPr>
      </w:pPr>
    </w:p>
    <w:p w14:paraId="7DE15F93" w14:textId="3B1B16A9" w:rsidR="0054012C" w:rsidRPr="00D06B51" w:rsidRDefault="0054012C" w:rsidP="00D06B51">
      <w:pPr>
        <w:rPr>
          <w:lang w:bidi="ar-SA"/>
        </w:rPr>
      </w:pPr>
      <w:r>
        <w:rPr>
          <w:lang w:bidi="ar-SA"/>
        </w:rPr>
        <w:t xml:space="preserve">The study authors concluded that the NOEL in this study was 250 </w:t>
      </w:r>
      <w:r w:rsidR="00CF2EF6">
        <w:rPr>
          <w:lang w:bidi="ar-SA"/>
        </w:rPr>
        <w:t>ppm. It</w:t>
      </w:r>
      <w:r>
        <w:rPr>
          <w:lang w:bidi="ar-SA"/>
        </w:rPr>
        <w:t xml:space="preserve"> was concluded that the NOAEL was </w:t>
      </w:r>
      <w:r w:rsidR="00DE11B7">
        <w:rPr>
          <w:lang w:bidi="ar-SA"/>
        </w:rPr>
        <w:t>375</w:t>
      </w:r>
      <w:r>
        <w:rPr>
          <w:lang w:bidi="ar-SA"/>
        </w:rPr>
        <w:t xml:space="preserve"> ppm</w:t>
      </w:r>
      <w:r w:rsidRPr="001511FC">
        <w:rPr>
          <w:lang w:bidi="ar-SA"/>
        </w:rPr>
        <w:t xml:space="preserve">. </w:t>
      </w:r>
      <w:r w:rsidR="00855B08" w:rsidRPr="001511FC">
        <w:rPr>
          <w:lang w:bidi="ar-SA"/>
        </w:rPr>
        <w:t>FSANZ considers the NOAEL to be 250 ppm, equal to 8 mg/kg bw/day</w:t>
      </w:r>
      <w:r w:rsidR="00C63F71" w:rsidRPr="001511FC">
        <w:rPr>
          <w:lang w:bidi="ar-SA"/>
        </w:rPr>
        <w:t>,</w:t>
      </w:r>
      <w:r w:rsidR="00855B08" w:rsidRPr="001511FC">
        <w:rPr>
          <w:lang w:bidi="ar-SA"/>
        </w:rPr>
        <w:t xml:space="preserve"> based on changes in body weight and haematology para</w:t>
      </w:r>
      <w:r w:rsidR="0047264F" w:rsidRPr="001511FC">
        <w:rPr>
          <w:lang w:bidi="ar-SA"/>
        </w:rPr>
        <w:t>meters in males administered 375</w:t>
      </w:r>
      <w:r w:rsidR="00855B08" w:rsidRPr="001511FC">
        <w:rPr>
          <w:lang w:bidi="ar-SA"/>
        </w:rPr>
        <w:t xml:space="preserve"> ppm.</w:t>
      </w:r>
    </w:p>
    <w:p w14:paraId="6BDBC115" w14:textId="748AE14C" w:rsidR="000C6AEC" w:rsidRDefault="00DE11B7" w:rsidP="000C6AEC">
      <w:pPr>
        <w:pStyle w:val="Heading4"/>
      </w:pPr>
      <w:r>
        <w:t>Studies of CPC not commissioned by the applicant</w:t>
      </w:r>
    </w:p>
    <w:p w14:paraId="59A64965" w14:textId="304AB9C8" w:rsidR="00A66FCE" w:rsidRPr="00A66FCE" w:rsidRDefault="00A66FCE" w:rsidP="00A66FCE">
      <w:pPr>
        <w:pStyle w:val="Heading4"/>
      </w:pPr>
      <w:r>
        <w:t>Rats</w:t>
      </w:r>
    </w:p>
    <w:p w14:paraId="433726B6" w14:textId="28CFA22D" w:rsidR="00FC6DCE" w:rsidRDefault="00FC6DCE" w:rsidP="00FC6DCE">
      <w:pPr>
        <w:pStyle w:val="Heading5"/>
      </w:pPr>
      <w:r>
        <w:t>90-day oral toxicity study in rats (USAEHA 1969) Regulatory status: non-GLP, non-guideline</w:t>
      </w:r>
    </w:p>
    <w:p w14:paraId="0FD235DE" w14:textId="42136E27" w:rsidR="00FC6DCE" w:rsidRDefault="00E64679" w:rsidP="00FC6DCE">
      <w:pPr>
        <w:rPr>
          <w:lang w:bidi="ar-SA"/>
        </w:rPr>
      </w:pPr>
      <w:r>
        <w:rPr>
          <w:lang w:bidi="ar-SA"/>
        </w:rPr>
        <w:t>In a 90-day study, g</w:t>
      </w:r>
      <w:r w:rsidR="00FC6DCE">
        <w:rPr>
          <w:lang w:bidi="ar-SA"/>
        </w:rPr>
        <w:t xml:space="preserve">roups of </w:t>
      </w:r>
      <w:r>
        <w:rPr>
          <w:lang w:bidi="ar-SA"/>
        </w:rPr>
        <w:t>6 male and 6 female rats (strain and age unspecified) were fed diets containing 0, 125, 300, 800, 2000, 5000 or 10,000</w:t>
      </w:r>
      <w:r w:rsidR="005E7C17">
        <w:rPr>
          <w:lang w:bidi="ar-SA"/>
        </w:rPr>
        <w:t xml:space="preserve"> ppm CPC. These concentrations resulted in doses of 0, 6.6, 15.8, 44.9 </w:t>
      </w:r>
      <w:r w:rsidR="00A306E6">
        <w:rPr>
          <w:lang w:bidi="ar-SA"/>
        </w:rPr>
        <w:t>or</w:t>
      </w:r>
      <w:r w:rsidR="005E7C17">
        <w:rPr>
          <w:lang w:bidi="ar-SA"/>
        </w:rPr>
        <w:t xml:space="preserve"> 128.4 mg/kg bw/day in the 0, 125, 300, 800</w:t>
      </w:r>
      <w:r w:rsidR="00380677">
        <w:rPr>
          <w:lang w:bidi="ar-SA"/>
        </w:rPr>
        <w:t xml:space="preserve"> </w:t>
      </w:r>
      <w:r w:rsidR="00A306E6">
        <w:rPr>
          <w:lang w:bidi="ar-SA"/>
        </w:rPr>
        <w:t>or</w:t>
      </w:r>
      <w:r w:rsidR="00380677">
        <w:rPr>
          <w:lang w:bidi="ar-SA"/>
        </w:rPr>
        <w:t xml:space="preserve"> 2000 ppm group males</w:t>
      </w:r>
      <w:r w:rsidR="00DD6C96">
        <w:rPr>
          <w:lang w:bidi="ar-SA"/>
        </w:rPr>
        <w:t>, respectively.</w:t>
      </w:r>
      <w:r w:rsidR="00380677">
        <w:rPr>
          <w:lang w:bidi="ar-SA"/>
        </w:rPr>
        <w:t xml:space="preserve"> In females, the doses at these concentrations were 0, 9.7, 29.4, 56.8 </w:t>
      </w:r>
      <w:r w:rsidR="00A306E6">
        <w:rPr>
          <w:lang w:bidi="ar-SA"/>
        </w:rPr>
        <w:t>or</w:t>
      </w:r>
      <w:r w:rsidR="00380677">
        <w:rPr>
          <w:lang w:bidi="ar-SA"/>
        </w:rPr>
        <w:t xml:space="preserve"> 144.6 mg/kg bw/day, respectively.</w:t>
      </w:r>
      <w:r w:rsidR="00DD6C96">
        <w:rPr>
          <w:lang w:bidi="ar-SA"/>
        </w:rPr>
        <w:t xml:space="preserve"> Doses at 5000 and 10,000 ppm</w:t>
      </w:r>
      <w:r>
        <w:rPr>
          <w:lang w:bidi="ar-SA"/>
        </w:rPr>
        <w:t xml:space="preserve"> </w:t>
      </w:r>
      <w:r w:rsidR="00DD6C96">
        <w:rPr>
          <w:lang w:bidi="ar-SA"/>
        </w:rPr>
        <w:t xml:space="preserve">were not </w:t>
      </w:r>
      <w:r w:rsidR="007B373F">
        <w:rPr>
          <w:lang w:bidi="ar-SA"/>
        </w:rPr>
        <w:t>reported</w:t>
      </w:r>
      <w:r w:rsidR="00DD6C96">
        <w:rPr>
          <w:lang w:bidi="ar-SA"/>
        </w:rPr>
        <w:t xml:space="preserve"> but were </w:t>
      </w:r>
      <w:r>
        <w:rPr>
          <w:lang w:bidi="ar-SA"/>
        </w:rPr>
        <w:t xml:space="preserve">equivalent to approximately 250 or 500 mg/kg bw/day, respectively. </w:t>
      </w:r>
      <w:r w:rsidR="008F2264">
        <w:rPr>
          <w:lang w:bidi="ar-SA"/>
        </w:rPr>
        <w:t>CPC</w:t>
      </w:r>
      <w:r>
        <w:rPr>
          <w:lang w:bidi="ar-SA"/>
        </w:rPr>
        <w:t xml:space="preserve"> was dissolved in ethanol prior to addition to the feed, and the ethanol was rem</w:t>
      </w:r>
      <w:r w:rsidR="00153DF8">
        <w:rPr>
          <w:lang w:bidi="ar-SA"/>
        </w:rPr>
        <w:t>oved from feed by evaporation.</w:t>
      </w:r>
    </w:p>
    <w:p w14:paraId="718DAFB4" w14:textId="3977887C" w:rsidR="00380677" w:rsidRDefault="00380677" w:rsidP="00FC6DCE">
      <w:pPr>
        <w:rPr>
          <w:lang w:bidi="ar-SA"/>
        </w:rPr>
      </w:pPr>
    </w:p>
    <w:p w14:paraId="39BBDC5B" w14:textId="5D11C0C3" w:rsidR="00380677" w:rsidRDefault="00380677" w:rsidP="00FC6DCE">
      <w:pPr>
        <w:rPr>
          <w:lang w:bidi="ar-SA"/>
        </w:rPr>
      </w:pPr>
      <w:r>
        <w:rPr>
          <w:lang w:bidi="ar-SA"/>
        </w:rPr>
        <w:t xml:space="preserve">All animals fed diets containing 5000 or 10,000 ppm CPC died within the first three weeks of </w:t>
      </w:r>
      <w:r>
        <w:rPr>
          <w:lang w:bidi="ar-SA"/>
        </w:rPr>
        <w:lastRenderedPageBreak/>
        <w:t xml:space="preserve">the study. </w:t>
      </w:r>
      <w:r w:rsidR="0039153F">
        <w:rPr>
          <w:lang w:bidi="ar-SA"/>
        </w:rPr>
        <w:t>Mean body weight, body weight gain and food utilisation were significantly lower than controls in rats given 2000 ppm. No significant differences in food consumption were observed. In males, increased liver, kidney and testes weights relative to body weight were observed at the high dose</w:t>
      </w:r>
      <w:r w:rsidR="004E4A72">
        <w:rPr>
          <w:lang w:bidi="ar-SA"/>
        </w:rPr>
        <w:t xml:space="preserve"> compared with controls</w:t>
      </w:r>
      <w:r w:rsidR="0039153F">
        <w:rPr>
          <w:lang w:bidi="ar-SA"/>
        </w:rPr>
        <w:t xml:space="preserve">. </w:t>
      </w:r>
      <w:r w:rsidR="004E4A72">
        <w:rPr>
          <w:lang w:bidi="ar-SA"/>
        </w:rPr>
        <w:t>Relative caecum weight</w:t>
      </w:r>
      <w:r w:rsidR="00E926F3">
        <w:rPr>
          <w:lang w:bidi="ar-SA"/>
        </w:rPr>
        <w:t xml:space="preserve"> (full or empty unspecified)</w:t>
      </w:r>
      <w:r w:rsidR="004E4A72">
        <w:rPr>
          <w:lang w:bidi="ar-SA"/>
        </w:rPr>
        <w:t xml:space="preserve"> was increased in males given 800 and 2000 ppm. In females, relative liver and kidney weights were increased at 2000 ppm, and </w:t>
      </w:r>
      <w:r w:rsidR="005B173E">
        <w:rPr>
          <w:lang w:bidi="ar-SA"/>
        </w:rPr>
        <w:t xml:space="preserve">relative </w:t>
      </w:r>
      <w:r w:rsidR="004E4A72">
        <w:rPr>
          <w:lang w:bidi="ar-SA"/>
        </w:rPr>
        <w:t xml:space="preserve">caecum weight was increased at concentrations </w:t>
      </w:r>
      <w:r w:rsidR="004E4A72">
        <w:rPr>
          <w:rFonts w:cs="Arial"/>
          <w:lang w:bidi="ar-SA"/>
        </w:rPr>
        <w:t>≥</w:t>
      </w:r>
      <w:r w:rsidR="004E4A72">
        <w:rPr>
          <w:lang w:bidi="ar-SA"/>
        </w:rPr>
        <w:t xml:space="preserve"> 300 ppm. As the dietary concentration of CPC increased, the total number of microorganisms recovered in the caecal contents was decreased. No substantial differences in the genera of caecal bacterial flora were observed. No treatment-related gross or histopathologic changes were observed in the liver, kidneys, lung, spleen, caecum and testes. </w:t>
      </w:r>
    </w:p>
    <w:p w14:paraId="3131760D" w14:textId="77777777" w:rsidR="00000F08" w:rsidRDefault="00000F08" w:rsidP="00FC6DCE">
      <w:pPr>
        <w:rPr>
          <w:lang w:bidi="ar-SA"/>
        </w:rPr>
      </w:pPr>
    </w:p>
    <w:p w14:paraId="39060D36" w14:textId="29DC403C" w:rsidR="00C83FC6" w:rsidRDefault="004E4A72" w:rsidP="00980354">
      <w:pPr>
        <w:rPr>
          <w:lang w:bidi="ar-SA"/>
        </w:rPr>
      </w:pPr>
      <w:r>
        <w:rPr>
          <w:lang w:bidi="ar-SA"/>
        </w:rPr>
        <w:t xml:space="preserve">The study authors concluded that the NOAEL in this study was 125 ppm, equal to </w:t>
      </w:r>
      <w:r w:rsidR="003F7A76">
        <w:rPr>
          <w:lang w:bidi="ar-SA"/>
        </w:rPr>
        <w:t>7 mg/kg bw/day</w:t>
      </w:r>
      <w:r w:rsidR="00622D7D">
        <w:rPr>
          <w:lang w:bidi="ar-SA"/>
        </w:rPr>
        <w:t>, based on increased caecal weights in females at 300 ppm (equal to 29 mg/kg bw/day)</w:t>
      </w:r>
      <w:r w:rsidR="00CF2EF6">
        <w:rPr>
          <w:lang w:bidi="ar-SA"/>
        </w:rPr>
        <w:t>.</w:t>
      </w:r>
    </w:p>
    <w:p w14:paraId="61A0EA47" w14:textId="77777777" w:rsidR="00855B08" w:rsidRDefault="00855B08" w:rsidP="00855B08">
      <w:pPr>
        <w:pStyle w:val="Heading4"/>
      </w:pPr>
      <w:r>
        <w:t>Rabbits</w:t>
      </w:r>
    </w:p>
    <w:p w14:paraId="75488121" w14:textId="77777777" w:rsidR="00855B08" w:rsidRDefault="00855B08" w:rsidP="00855B08">
      <w:pPr>
        <w:pStyle w:val="Heading5"/>
      </w:pPr>
      <w:r>
        <w:t>4 week oral toxicity study in rabbits (Warren et al. 1942); Regulatory status: non-GLP, non-guideline</w:t>
      </w:r>
    </w:p>
    <w:p w14:paraId="798EB8EF" w14:textId="5D381238" w:rsidR="00855B08" w:rsidRDefault="00855B08" w:rsidP="00855B08">
      <w:pPr>
        <w:rPr>
          <w:lang w:bidi="ar-SA"/>
        </w:rPr>
      </w:pPr>
      <w:r>
        <w:rPr>
          <w:lang w:bidi="ar-SA"/>
        </w:rPr>
        <w:t xml:space="preserve">Rabbits (age and sex unspecified) were orally administered </w:t>
      </w:r>
      <w:r w:rsidR="005E1092">
        <w:rPr>
          <w:lang w:bidi="ar-SA"/>
        </w:rPr>
        <w:t>(method not reported)</w:t>
      </w:r>
      <w:r>
        <w:rPr>
          <w:lang w:bidi="ar-SA"/>
        </w:rPr>
        <w:t xml:space="preserve"> 0 (6 animals), 10 (12 animals) or 100 (10 animals) mg/kg bw/day CPC for four weeks. At the end of the treatment period 50% of animals in each group were killed and examined for gross pathological changes, and tissues (unspecified) were taken for histological examination. The remainder of the animals were killed and examined following a two week treatment-free period. </w:t>
      </w:r>
    </w:p>
    <w:p w14:paraId="7359A308" w14:textId="77777777" w:rsidR="00855B08" w:rsidRDefault="00855B08" w:rsidP="00855B08">
      <w:pPr>
        <w:rPr>
          <w:lang w:bidi="ar-SA"/>
        </w:rPr>
      </w:pPr>
    </w:p>
    <w:p w14:paraId="50D04DA3" w14:textId="146FD1D2" w:rsidR="00855B08" w:rsidRDefault="00855B08" w:rsidP="00855B08">
      <w:pPr>
        <w:rPr>
          <w:lang w:bidi="ar-SA"/>
        </w:rPr>
      </w:pPr>
      <w:r>
        <w:rPr>
          <w:lang w:bidi="ar-SA"/>
        </w:rPr>
        <w:t>No treatment-related gross pathological conditions were observed. Many liver sections showed varying degrees of vacuolisation of the cytoplasm of hepatocytes. This was diffuse and no</w:t>
      </w:r>
      <w:r w:rsidR="00237CE2">
        <w:rPr>
          <w:lang w:bidi="ar-SA"/>
        </w:rPr>
        <w:t>t</w:t>
      </w:r>
      <w:r>
        <w:rPr>
          <w:lang w:bidi="ar-SA"/>
        </w:rPr>
        <w:t xml:space="preserve"> limited to any particular portion or zone of the lobule. This change was also observed in two control animals so it was uncertain whether it was treatment-related. Vacuolisation </w:t>
      </w:r>
      <w:r w:rsidR="00793A94">
        <w:rPr>
          <w:lang w:bidi="ar-SA"/>
        </w:rPr>
        <w:t>was</w:t>
      </w:r>
      <w:r>
        <w:rPr>
          <w:lang w:bidi="ar-SA"/>
        </w:rPr>
        <w:t xml:space="preserve"> observed in the kidney, in the cytoplasm of the cells lining the tubules. This change was observed to some extent in all groups but was more pronounced in animals in the high dose group. Some cloudy swelling of tubular cells was also observed, but there was no degeneration of the nuclei or pathological changes in the glomeruli. There were no histopathological changes in any other tissues. The study authors concluded that the results of this study indicate that administration of CPC at doses up to 100 mg/kg bw/day for four weeks did not induce any significant toxic effects. </w:t>
      </w:r>
    </w:p>
    <w:p w14:paraId="623F3710" w14:textId="77777777" w:rsidR="00855B08" w:rsidRDefault="00855B08" w:rsidP="00855B08">
      <w:pPr>
        <w:rPr>
          <w:lang w:bidi="ar-SA"/>
        </w:rPr>
      </w:pPr>
    </w:p>
    <w:p w14:paraId="1C7668DB" w14:textId="0456A99F" w:rsidR="00855B08" w:rsidRDefault="00855B08" w:rsidP="00980354">
      <w:pPr>
        <w:rPr>
          <w:lang w:bidi="ar-SA"/>
        </w:rPr>
      </w:pPr>
      <w:r>
        <w:rPr>
          <w:lang w:bidi="ar-SA"/>
        </w:rPr>
        <w:t xml:space="preserve">FSANZ notes that this study is not suitable for regulatory purposes due to the limited details reported. </w:t>
      </w:r>
    </w:p>
    <w:p w14:paraId="626089B8" w14:textId="180FA892" w:rsidR="00E61A58" w:rsidRDefault="00E61A58" w:rsidP="00E61A58">
      <w:pPr>
        <w:pStyle w:val="Heading4"/>
      </w:pPr>
      <w:r>
        <w:t>Studies of CPC not available to FSANZ</w:t>
      </w:r>
    </w:p>
    <w:p w14:paraId="2BC295C6" w14:textId="7000C296" w:rsidR="00E61A58" w:rsidRDefault="00683087" w:rsidP="00980354">
      <w:pPr>
        <w:rPr>
          <w:lang w:bidi="ar-SA"/>
        </w:rPr>
      </w:pPr>
      <w:r>
        <w:rPr>
          <w:lang w:bidi="ar-SA"/>
        </w:rPr>
        <w:t>Several</w:t>
      </w:r>
      <w:r w:rsidR="004A48FD">
        <w:rPr>
          <w:lang w:bidi="ar-SA"/>
        </w:rPr>
        <w:t xml:space="preserve"> proprietary </w:t>
      </w:r>
      <w:r>
        <w:rPr>
          <w:lang w:bidi="ar-SA"/>
        </w:rPr>
        <w:t xml:space="preserve">short-term </w:t>
      </w:r>
      <w:r w:rsidR="004A48FD">
        <w:rPr>
          <w:lang w:bidi="ar-SA"/>
        </w:rPr>
        <w:t>studies of CPC that are unavailable to FSANZ have been reviewed by the SCCS.</w:t>
      </w:r>
      <w:r>
        <w:rPr>
          <w:lang w:bidi="ar-SA"/>
        </w:rPr>
        <w:t xml:space="preserve"> The SCCS reviews of these studies are briefly summarised below (</w:t>
      </w:r>
      <w:r w:rsidRPr="00800929">
        <w:rPr>
          <w:lang w:bidi="ar-SA"/>
        </w:rPr>
        <w:t>SCCS 2015</w:t>
      </w:r>
      <w:r>
        <w:rPr>
          <w:lang w:bidi="ar-SA"/>
        </w:rPr>
        <w:t xml:space="preserve">). </w:t>
      </w:r>
    </w:p>
    <w:p w14:paraId="0667879D" w14:textId="39CE4C6E" w:rsidR="004A48FD" w:rsidRDefault="004A48FD" w:rsidP="00980354">
      <w:pPr>
        <w:rPr>
          <w:lang w:bidi="ar-SA"/>
        </w:rPr>
      </w:pPr>
    </w:p>
    <w:p w14:paraId="3A56D840" w14:textId="66E181BA" w:rsidR="004A48FD" w:rsidRDefault="004A48FD" w:rsidP="00980354">
      <w:pPr>
        <w:rPr>
          <w:lang w:bidi="ar-SA"/>
        </w:rPr>
      </w:pPr>
      <w:r>
        <w:rPr>
          <w:lang w:bidi="ar-SA"/>
        </w:rPr>
        <w:t xml:space="preserve">In a 28-day oral toxicity study, </w:t>
      </w:r>
      <w:r w:rsidR="00683087">
        <w:rPr>
          <w:lang w:bidi="ar-SA"/>
        </w:rPr>
        <w:t xml:space="preserve">Sprague-Dawley </w:t>
      </w:r>
      <w:r>
        <w:rPr>
          <w:lang w:bidi="ar-SA"/>
        </w:rPr>
        <w:t>rats</w:t>
      </w:r>
      <w:r w:rsidR="00CC6195">
        <w:rPr>
          <w:lang w:bidi="ar-SA"/>
        </w:rPr>
        <w:t xml:space="preserve"> (8/sex/group)</w:t>
      </w:r>
      <w:r>
        <w:rPr>
          <w:lang w:bidi="ar-SA"/>
        </w:rPr>
        <w:t xml:space="preserve"> were administered 0, 25, 50, 100, 200 or 400 mg/kg bw/day CPC by oral gavage. Mortality occurred in some or all animals at doses </w:t>
      </w:r>
      <w:r>
        <w:rPr>
          <w:rFonts w:cs="Arial"/>
          <w:lang w:bidi="ar-SA"/>
        </w:rPr>
        <w:t>≥</w:t>
      </w:r>
      <w:r>
        <w:rPr>
          <w:lang w:bidi="ar-SA"/>
        </w:rPr>
        <w:t xml:space="preserve"> 100 mg/kg bw/day. Body weight gain was reduced at all dose levels. The target organ was considered to be the stomach, with histopathological changes indicative of</w:t>
      </w:r>
      <w:r w:rsidR="00683087">
        <w:rPr>
          <w:lang w:bidi="ar-SA"/>
        </w:rPr>
        <w:t xml:space="preserve"> localised</w:t>
      </w:r>
      <w:r>
        <w:rPr>
          <w:lang w:bidi="ar-SA"/>
        </w:rPr>
        <w:t xml:space="preserve"> irritation (acanthosis and necrosis/erosion observed in the non-glandular region of the stomach at doses </w:t>
      </w:r>
      <w:r>
        <w:rPr>
          <w:rFonts w:cs="Arial"/>
          <w:lang w:bidi="ar-SA"/>
        </w:rPr>
        <w:t>≥</w:t>
      </w:r>
      <w:r>
        <w:rPr>
          <w:lang w:bidi="ar-SA"/>
        </w:rPr>
        <w:t xml:space="preserve"> 50 mg/kg bw/day. The NOAEL was considered to be 25 mg/kg </w:t>
      </w:r>
      <w:r>
        <w:rPr>
          <w:lang w:bidi="ar-SA"/>
        </w:rPr>
        <w:lastRenderedPageBreak/>
        <w:t>bw/day.</w:t>
      </w:r>
    </w:p>
    <w:p w14:paraId="03DA947B" w14:textId="7ED69E0D" w:rsidR="00683087" w:rsidRDefault="00683087" w:rsidP="00980354">
      <w:pPr>
        <w:rPr>
          <w:lang w:bidi="ar-SA"/>
        </w:rPr>
      </w:pPr>
    </w:p>
    <w:p w14:paraId="5E234403" w14:textId="54505F2E" w:rsidR="004A48FD" w:rsidRDefault="00683087" w:rsidP="00980354">
      <w:pPr>
        <w:rPr>
          <w:lang w:bidi="ar-SA"/>
        </w:rPr>
      </w:pPr>
      <w:r>
        <w:rPr>
          <w:lang w:bidi="ar-SA"/>
        </w:rPr>
        <w:t>In a 28-day oral toxicity study in dogs</w:t>
      </w:r>
      <w:r w:rsidR="00CC6195">
        <w:rPr>
          <w:lang w:bidi="ar-SA"/>
        </w:rPr>
        <w:t xml:space="preserve"> (3/sex/group)</w:t>
      </w:r>
      <w:r>
        <w:rPr>
          <w:lang w:bidi="ar-SA"/>
        </w:rPr>
        <w:t>, CPC was administered via a gelatin capsule at doses of 0, 5, 25, 125, 250 or 500 mg/kg bw/day. All animals in the high dose</w:t>
      </w:r>
      <w:r w:rsidR="000A4DB3">
        <w:rPr>
          <w:lang w:bidi="ar-SA"/>
        </w:rPr>
        <w:t xml:space="preserve"> group</w:t>
      </w:r>
      <w:r>
        <w:rPr>
          <w:lang w:bidi="ar-SA"/>
        </w:rPr>
        <w:t xml:space="preserve"> died or were killed in extremis during the study, as well as </w:t>
      </w:r>
      <w:r w:rsidR="00CC6195">
        <w:rPr>
          <w:lang w:bidi="ar-SA"/>
        </w:rPr>
        <w:t xml:space="preserve">two animals of each sex at 250 mg/kg bw/day and two males and one female at 125 mg/kg bw/day. Clinical signs observed at </w:t>
      </w:r>
      <w:r w:rsidR="00CC6195">
        <w:rPr>
          <w:rFonts w:cs="Arial"/>
          <w:lang w:bidi="ar-SA"/>
        </w:rPr>
        <w:t>≥</w:t>
      </w:r>
      <w:r w:rsidR="00CC6195">
        <w:rPr>
          <w:lang w:bidi="ar-SA"/>
        </w:rPr>
        <w:t xml:space="preserve"> 25 mg/kg bw/day included dehydration, abnormal head movements, decreased activity, decreased defecation, emesis, mucoid diarrhoea, discoloured faeces and pytalism. Decreased body weight or body weight gain and decreased food consumption were observed at </w:t>
      </w:r>
      <w:r w:rsidR="00CC6195">
        <w:rPr>
          <w:rFonts w:cs="Arial"/>
          <w:lang w:bidi="ar-SA"/>
        </w:rPr>
        <w:t>≥</w:t>
      </w:r>
      <w:r w:rsidR="00CC6195">
        <w:rPr>
          <w:lang w:bidi="ar-SA"/>
        </w:rPr>
        <w:t xml:space="preserve"> 25 mg/kg bw/day. Local effects were observed in the gastrointestinal tract including erosion, ulcers and/or acute/subacute inflammation in the oesophagus, stomach, duodenum, ileum, colon and/or rectum in both sexes at doses </w:t>
      </w:r>
      <w:r w:rsidR="00CC6195">
        <w:rPr>
          <w:rFonts w:cs="Arial"/>
          <w:lang w:bidi="ar-SA"/>
        </w:rPr>
        <w:t>≥</w:t>
      </w:r>
      <w:r w:rsidR="00CC6195">
        <w:rPr>
          <w:lang w:bidi="ar-SA"/>
        </w:rPr>
        <w:t xml:space="preserve"> 125 mg/kg bw/day, with localised effects in the stomach observed in one male in both the 5 and 25 mg/kg bw/day groups. </w:t>
      </w:r>
      <w:r w:rsidR="001043F8">
        <w:rPr>
          <w:lang w:bidi="ar-SA"/>
        </w:rPr>
        <w:t xml:space="preserve">Atrophy of the thymus and decreased relative thymus weight were observed at 125 and 250 mg/kg bw/day. The NOAEL for systemic toxicity was considered to be 250 mg/kg bw/day based on mortality and decreased thymus weight and thymus atrophy at 125 mg/kg bw/day. The NOAEL for local effects was &lt; 5 mg/kg bw/day based on effects in the gastrointestinal tract at all dose levels. </w:t>
      </w:r>
    </w:p>
    <w:p w14:paraId="09DE2A5F" w14:textId="454D6E41" w:rsidR="00855B08" w:rsidRDefault="00855B08" w:rsidP="00855B08">
      <w:pPr>
        <w:pStyle w:val="Heading4"/>
      </w:pPr>
      <w:r>
        <w:t>Studies of mixtures containing CPC</w:t>
      </w:r>
    </w:p>
    <w:p w14:paraId="468B92D9" w14:textId="3A820C8E" w:rsidR="00855B08" w:rsidRPr="00855B08" w:rsidRDefault="00894AC0" w:rsidP="00855B08">
      <w:pPr>
        <w:rPr>
          <w:lang w:bidi="ar-SA"/>
        </w:rPr>
      </w:pPr>
      <w:r>
        <w:rPr>
          <w:lang w:bidi="ar-SA"/>
        </w:rPr>
        <w:t xml:space="preserve">The applicant also submitted a number of </w:t>
      </w:r>
      <w:r w:rsidR="00932618">
        <w:rPr>
          <w:lang w:bidi="ar-SA"/>
        </w:rPr>
        <w:t xml:space="preserve">short-term toxicity </w:t>
      </w:r>
      <w:r>
        <w:rPr>
          <w:lang w:bidi="ar-SA"/>
        </w:rPr>
        <w:t xml:space="preserve">studies of </w:t>
      </w:r>
      <w:r w:rsidR="00974417">
        <w:rPr>
          <w:lang w:bidi="ar-SA"/>
        </w:rPr>
        <w:t xml:space="preserve">pharmaceutical </w:t>
      </w:r>
      <w:r>
        <w:rPr>
          <w:lang w:bidi="ar-SA"/>
        </w:rPr>
        <w:t xml:space="preserve">formulations containing CPC together with other ingredients. These studies </w:t>
      </w:r>
      <w:r w:rsidR="003737D6">
        <w:rPr>
          <w:lang w:bidi="ar-SA"/>
        </w:rPr>
        <w:t xml:space="preserve">are of limited value for </w:t>
      </w:r>
      <w:r w:rsidR="00800929">
        <w:rPr>
          <w:lang w:bidi="ar-SA"/>
        </w:rPr>
        <w:t xml:space="preserve">the </w:t>
      </w:r>
      <w:r>
        <w:rPr>
          <w:lang w:bidi="ar-SA"/>
        </w:rPr>
        <w:t>assessment of CPC given the presence of other compounds and the low concentration of CPC in these formulations. These studies are briefly summarised in</w:t>
      </w:r>
      <w:r w:rsidR="005201AE">
        <w:rPr>
          <w:lang w:bidi="ar-SA"/>
        </w:rPr>
        <w:t xml:space="preserve"> </w:t>
      </w:r>
      <w:r w:rsidR="005201AE">
        <w:rPr>
          <w:lang w:bidi="ar-SA"/>
        </w:rPr>
        <w:fldChar w:fldCharType="begin"/>
      </w:r>
      <w:r w:rsidR="005201AE">
        <w:rPr>
          <w:lang w:bidi="ar-SA"/>
        </w:rPr>
        <w:instrText xml:space="preserve"> REF _Ref92287299 \h </w:instrText>
      </w:r>
      <w:r w:rsidR="005201AE">
        <w:rPr>
          <w:lang w:bidi="ar-SA"/>
        </w:rPr>
      </w:r>
      <w:r w:rsidR="005201AE">
        <w:rPr>
          <w:lang w:bidi="ar-SA"/>
        </w:rPr>
        <w:fldChar w:fldCharType="separate"/>
      </w:r>
      <w:r w:rsidR="00A65698">
        <w:t xml:space="preserve">Table </w:t>
      </w:r>
      <w:r w:rsidR="00A65698">
        <w:rPr>
          <w:noProof/>
        </w:rPr>
        <w:t>3</w:t>
      </w:r>
      <w:r w:rsidR="005201AE">
        <w:rPr>
          <w:lang w:bidi="ar-SA"/>
        </w:rPr>
        <w:fldChar w:fldCharType="end"/>
      </w:r>
      <w:r>
        <w:rPr>
          <w:lang w:bidi="ar-SA"/>
        </w:rPr>
        <w:t xml:space="preserve">. </w:t>
      </w:r>
    </w:p>
    <w:p w14:paraId="79F406F6" w14:textId="77777777" w:rsidR="00855B08" w:rsidRDefault="00855B08" w:rsidP="00894AC0"/>
    <w:p w14:paraId="6B55033A" w14:textId="534D6D0F" w:rsidR="00800929" w:rsidRDefault="00800929" w:rsidP="003737D6">
      <w:pPr>
        <w:pStyle w:val="FSTableTitle"/>
      </w:pPr>
      <w:bookmarkStart w:id="141" w:name="_Ref92287299"/>
      <w:r>
        <w:t xml:space="preserve">Table </w:t>
      </w:r>
      <w:fldSimple w:instr=" SEQ Table \* ARABIC ">
        <w:r w:rsidR="00A65698">
          <w:rPr>
            <w:noProof/>
          </w:rPr>
          <w:t>3</w:t>
        </w:r>
      </w:fldSimple>
      <w:bookmarkEnd w:id="141"/>
      <w:r>
        <w:t xml:space="preserve"> Short-term toxicity studies of pharmaceutical formulations containing CPC plus other ingredients</w:t>
      </w:r>
    </w:p>
    <w:tbl>
      <w:tblPr>
        <w:tblStyle w:val="TableGrid"/>
        <w:tblW w:w="0" w:type="auto"/>
        <w:tblLook w:val="04A0" w:firstRow="1" w:lastRow="0" w:firstColumn="1" w:lastColumn="0" w:noHBand="0" w:noVBand="1"/>
        <w:tblCaption w:val="Table 7 Short-term toxicity studies of pharmaceutical formulations containing CPC plus other ingredients"/>
        <w:tblDescription w:val="Summary of short-term toxicity studies of various pharmaceutical formulations containing CPC and other ingredients. "/>
      </w:tblPr>
      <w:tblGrid>
        <w:gridCol w:w="1799"/>
        <w:gridCol w:w="1342"/>
        <w:gridCol w:w="999"/>
        <w:gridCol w:w="2234"/>
        <w:gridCol w:w="2686"/>
      </w:tblGrid>
      <w:tr w:rsidR="00894AC0" w14:paraId="46AD6364" w14:textId="77777777" w:rsidTr="000955C2">
        <w:tc>
          <w:tcPr>
            <w:tcW w:w="1799" w:type="dxa"/>
          </w:tcPr>
          <w:p w14:paraId="784868C9" w14:textId="578F7B9A" w:rsidR="00894AC0" w:rsidRDefault="00894AC0" w:rsidP="00C97B97">
            <w:pPr>
              <w:pStyle w:val="FSTableHeading"/>
            </w:pPr>
            <w:r>
              <w:t>Author/Testing party</w:t>
            </w:r>
          </w:p>
        </w:tc>
        <w:tc>
          <w:tcPr>
            <w:tcW w:w="1342" w:type="dxa"/>
          </w:tcPr>
          <w:p w14:paraId="0CE8E188" w14:textId="2CE71764" w:rsidR="00894AC0" w:rsidRDefault="00894AC0" w:rsidP="00C97B97">
            <w:pPr>
              <w:pStyle w:val="FSTableHeading"/>
            </w:pPr>
            <w:r>
              <w:t>Test item</w:t>
            </w:r>
          </w:p>
        </w:tc>
        <w:tc>
          <w:tcPr>
            <w:tcW w:w="999" w:type="dxa"/>
          </w:tcPr>
          <w:p w14:paraId="5D20D148" w14:textId="1E96F346" w:rsidR="00894AC0" w:rsidRDefault="00894AC0" w:rsidP="00C97B97">
            <w:pPr>
              <w:pStyle w:val="FSTableHeading"/>
            </w:pPr>
            <w:r>
              <w:t>Species</w:t>
            </w:r>
          </w:p>
        </w:tc>
        <w:tc>
          <w:tcPr>
            <w:tcW w:w="2234" w:type="dxa"/>
          </w:tcPr>
          <w:p w14:paraId="4F099DCF" w14:textId="0395C806" w:rsidR="00894AC0" w:rsidRDefault="00894AC0" w:rsidP="00C97B97">
            <w:pPr>
              <w:pStyle w:val="FSTableHeading"/>
            </w:pPr>
            <w:r>
              <w:t>Study type</w:t>
            </w:r>
            <w:r w:rsidR="008326B1">
              <w:t>/doses</w:t>
            </w:r>
          </w:p>
        </w:tc>
        <w:tc>
          <w:tcPr>
            <w:tcW w:w="2686" w:type="dxa"/>
          </w:tcPr>
          <w:p w14:paraId="3EF7E232" w14:textId="6CA68DC9" w:rsidR="00894AC0" w:rsidRDefault="00894AC0" w:rsidP="00C97B97">
            <w:pPr>
              <w:pStyle w:val="FSTableHeading"/>
            </w:pPr>
            <w:r>
              <w:t>Summary of results</w:t>
            </w:r>
          </w:p>
        </w:tc>
      </w:tr>
      <w:tr w:rsidR="00894AC0" w14:paraId="3361061E" w14:textId="77777777" w:rsidTr="000955C2">
        <w:tc>
          <w:tcPr>
            <w:tcW w:w="1799" w:type="dxa"/>
          </w:tcPr>
          <w:p w14:paraId="04CADB42" w14:textId="01485823" w:rsidR="00894AC0" w:rsidRDefault="00894AC0" w:rsidP="00C97B97">
            <w:pPr>
              <w:pStyle w:val="FSTableHeading"/>
            </w:pPr>
            <w:r>
              <w:t>Scien</w:t>
            </w:r>
            <w:r w:rsidR="00153DF8">
              <w:t>tific laboratories</w:t>
            </w:r>
            <w:r w:rsidR="00800929">
              <w:t xml:space="preserve"> (1969</w:t>
            </w:r>
            <w:r w:rsidR="008326B1">
              <w:t>)</w:t>
            </w:r>
          </w:p>
        </w:tc>
        <w:tc>
          <w:tcPr>
            <w:tcW w:w="1342" w:type="dxa"/>
          </w:tcPr>
          <w:p w14:paraId="754A23FA" w14:textId="230EDFFC" w:rsidR="00894AC0" w:rsidRDefault="00894AC0" w:rsidP="00C97B97">
            <w:pPr>
              <w:pStyle w:val="FSTableText"/>
            </w:pPr>
            <w:r>
              <w:t>Cepacol anaesthetic gargle (0.05% CPC)</w:t>
            </w:r>
          </w:p>
        </w:tc>
        <w:tc>
          <w:tcPr>
            <w:tcW w:w="999" w:type="dxa"/>
          </w:tcPr>
          <w:p w14:paraId="38532615" w14:textId="5A8565C7" w:rsidR="00894AC0" w:rsidRDefault="00894AC0" w:rsidP="00C97B97">
            <w:pPr>
              <w:pStyle w:val="FSTableText"/>
            </w:pPr>
            <w:r>
              <w:t>Rats</w:t>
            </w:r>
          </w:p>
        </w:tc>
        <w:tc>
          <w:tcPr>
            <w:tcW w:w="2234" w:type="dxa"/>
          </w:tcPr>
          <w:p w14:paraId="671ED529" w14:textId="67288B42" w:rsidR="00894AC0" w:rsidRDefault="008326B1" w:rsidP="00C97B97">
            <w:pPr>
              <w:pStyle w:val="FSTableText"/>
            </w:pPr>
            <w:r>
              <w:t>30</w:t>
            </w:r>
            <w:r w:rsidR="00103FA8">
              <w:t>-</w:t>
            </w:r>
            <w:r>
              <w:t>day oral toxicity study (non-GLP; non-guideline)</w:t>
            </w:r>
          </w:p>
          <w:p w14:paraId="77049D98" w14:textId="77777777" w:rsidR="008326B1" w:rsidRDefault="008326B1" w:rsidP="00C97B97">
            <w:pPr>
              <w:pStyle w:val="FSTableText"/>
            </w:pPr>
          </w:p>
          <w:p w14:paraId="68E8BBA2" w14:textId="186C4571" w:rsidR="008326B1" w:rsidRDefault="008326B1" w:rsidP="00C97B97">
            <w:pPr>
              <w:pStyle w:val="FSTableText"/>
            </w:pPr>
            <w:r>
              <w:t>Up to 10 mL/kg bw/day</w:t>
            </w:r>
            <w:r w:rsidR="00C640DF">
              <w:t xml:space="preserve"> administered by oral gavage</w:t>
            </w:r>
          </w:p>
        </w:tc>
        <w:tc>
          <w:tcPr>
            <w:tcW w:w="2686" w:type="dxa"/>
          </w:tcPr>
          <w:p w14:paraId="4373250C" w14:textId="0B79F375" w:rsidR="00894AC0" w:rsidRDefault="008326B1" w:rsidP="00C97B97">
            <w:pPr>
              <w:pStyle w:val="FSTableText"/>
            </w:pPr>
            <w:r>
              <w:rPr>
                <w:lang w:bidi="ar-SA"/>
              </w:rPr>
              <w:t>No treatment-related effects reported.</w:t>
            </w:r>
          </w:p>
        </w:tc>
      </w:tr>
      <w:tr w:rsidR="00894AC0" w14:paraId="262B9903" w14:textId="77777777" w:rsidTr="000955C2">
        <w:tc>
          <w:tcPr>
            <w:tcW w:w="1799" w:type="dxa"/>
          </w:tcPr>
          <w:p w14:paraId="2C346EB0" w14:textId="69A81D98" w:rsidR="00894AC0" w:rsidRDefault="00974417" w:rsidP="00C97B97">
            <w:pPr>
              <w:pStyle w:val="FSTableHeading"/>
            </w:pPr>
            <w:r>
              <w:t>Richardson-Merrell SpA (1972)</w:t>
            </w:r>
          </w:p>
        </w:tc>
        <w:tc>
          <w:tcPr>
            <w:tcW w:w="1342" w:type="dxa"/>
          </w:tcPr>
          <w:p w14:paraId="72871BD8" w14:textId="38F1578D" w:rsidR="00894AC0" w:rsidRDefault="00974417" w:rsidP="00C97B97">
            <w:pPr>
              <w:pStyle w:val="FSTableText"/>
            </w:pPr>
            <w:r>
              <w:t xml:space="preserve">Cepacaine cough drops dissolved in water </w:t>
            </w:r>
            <w:r w:rsidR="00DA7BB1">
              <w:t>(1.68 mg CPC per tablet)</w:t>
            </w:r>
          </w:p>
        </w:tc>
        <w:tc>
          <w:tcPr>
            <w:tcW w:w="999" w:type="dxa"/>
          </w:tcPr>
          <w:p w14:paraId="4444195E" w14:textId="3DBB67DA" w:rsidR="00894AC0" w:rsidRDefault="00DA7BB1" w:rsidP="00C97B97">
            <w:pPr>
              <w:pStyle w:val="FSTableText"/>
            </w:pPr>
            <w:r>
              <w:t>Rats</w:t>
            </w:r>
          </w:p>
        </w:tc>
        <w:tc>
          <w:tcPr>
            <w:tcW w:w="2234" w:type="dxa"/>
          </w:tcPr>
          <w:p w14:paraId="6B742DB5" w14:textId="77777777" w:rsidR="00C640DF" w:rsidRDefault="00C640DF" w:rsidP="00C97B97">
            <w:pPr>
              <w:pStyle w:val="FSTableText"/>
            </w:pPr>
            <w:r>
              <w:t>1-month oral toxicity study (non-GLP; non-guideline)</w:t>
            </w:r>
          </w:p>
          <w:p w14:paraId="06FA7CA4" w14:textId="77777777" w:rsidR="00C640DF" w:rsidRDefault="00C640DF" w:rsidP="00C97B97">
            <w:pPr>
              <w:pStyle w:val="FSTableText"/>
            </w:pPr>
          </w:p>
          <w:p w14:paraId="038DF435" w14:textId="0332B7FC" w:rsidR="00894AC0" w:rsidRDefault="00C640DF" w:rsidP="00C97B97">
            <w:pPr>
              <w:pStyle w:val="FSTableText"/>
            </w:pPr>
            <w:r>
              <w:t>Up to 7 mg/kg bw/day CPC administered by oral gavage</w:t>
            </w:r>
          </w:p>
        </w:tc>
        <w:tc>
          <w:tcPr>
            <w:tcW w:w="2686" w:type="dxa"/>
          </w:tcPr>
          <w:p w14:paraId="77DE4C8C" w14:textId="04393FAC" w:rsidR="00894AC0" w:rsidRDefault="00C640DF" w:rsidP="00C97B97">
            <w:pPr>
              <w:pStyle w:val="FSTableText"/>
            </w:pPr>
            <w:r>
              <w:t xml:space="preserve">No treatment-related effects reported. </w:t>
            </w:r>
          </w:p>
        </w:tc>
      </w:tr>
      <w:tr w:rsidR="00EC34EE" w14:paraId="6CE91289" w14:textId="77777777" w:rsidTr="000955C2">
        <w:tc>
          <w:tcPr>
            <w:tcW w:w="1799" w:type="dxa"/>
          </w:tcPr>
          <w:p w14:paraId="0ADA46A8" w14:textId="09071581" w:rsidR="00EC34EE" w:rsidRDefault="00EC34EE" w:rsidP="00C97B97">
            <w:pPr>
              <w:pStyle w:val="FSTableHeading"/>
            </w:pPr>
            <w:r>
              <w:t>Richardson-Merrell SpA (1972)</w:t>
            </w:r>
          </w:p>
        </w:tc>
        <w:tc>
          <w:tcPr>
            <w:tcW w:w="1342" w:type="dxa"/>
          </w:tcPr>
          <w:p w14:paraId="72D54763" w14:textId="3BE0901F" w:rsidR="00EC34EE" w:rsidRDefault="00EC34EE" w:rsidP="00C97B97">
            <w:pPr>
              <w:pStyle w:val="FSTableText"/>
            </w:pPr>
            <w:r>
              <w:t>Cepacaine cough drops dissolved in water (1.68 mg CPC per tablet)</w:t>
            </w:r>
          </w:p>
        </w:tc>
        <w:tc>
          <w:tcPr>
            <w:tcW w:w="999" w:type="dxa"/>
          </w:tcPr>
          <w:p w14:paraId="7B208F2E" w14:textId="3105C06B" w:rsidR="00EC34EE" w:rsidRDefault="00EC34EE" w:rsidP="00C97B97">
            <w:pPr>
              <w:pStyle w:val="FSTableText"/>
            </w:pPr>
            <w:r>
              <w:t>Rats</w:t>
            </w:r>
          </w:p>
        </w:tc>
        <w:tc>
          <w:tcPr>
            <w:tcW w:w="2234" w:type="dxa"/>
          </w:tcPr>
          <w:p w14:paraId="44B38377" w14:textId="739F133A" w:rsidR="00EC34EE" w:rsidRDefault="00EC34EE" w:rsidP="00C97B97">
            <w:pPr>
              <w:pStyle w:val="FSTableText"/>
            </w:pPr>
            <w:r>
              <w:t>95-day oral toxicity study (non-GLP; non-guideline)</w:t>
            </w:r>
          </w:p>
          <w:p w14:paraId="35C747B8" w14:textId="77777777" w:rsidR="00EC34EE" w:rsidRDefault="00EC34EE" w:rsidP="00C97B97">
            <w:pPr>
              <w:pStyle w:val="FSTableText"/>
            </w:pPr>
          </w:p>
          <w:p w14:paraId="2B21DF68" w14:textId="39172F5E" w:rsidR="00EC34EE" w:rsidRDefault="00EC34EE" w:rsidP="00C97B97">
            <w:pPr>
              <w:pStyle w:val="FSTableText"/>
            </w:pPr>
            <w:r>
              <w:t>Up to 7 mg/kg bw/day CPC administered by oral gavage</w:t>
            </w:r>
          </w:p>
        </w:tc>
        <w:tc>
          <w:tcPr>
            <w:tcW w:w="2686" w:type="dxa"/>
          </w:tcPr>
          <w:p w14:paraId="4D8470D2" w14:textId="4909BA87" w:rsidR="00EC34EE" w:rsidRDefault="00601F6C" w:rsidP="00C97B97">
            <w:pPr>
              <w:pStyle w:val="FSTableText"/>
            </w:pPr>
            <w:r>
              <w:t xml:space="preserve">No treatment-related effects reported. </w:t>
            </w:r>
          </w:p>
        </w:tc>
      </w:tr>
      <w:tr w:rsidR="00C640DF" w14:paraId="08AEF0D3" w14:textId="77777777" w:rsidTr="000955C2">
        <w:tc>
          <w:tcPr>
            <w:tcW w:w="1799" w:type="dxa"/>
          </w:tcPr>
          <w:p w14:paraId="169EB74B" w14:textId="6F9AC126" w:rsidR="00C640DF" w:rsidRDefault="00C640DF" w:rsidP="00C97B97">
            <w:pPr>
              <w:pStyle w:val="FSTableHeading"/>
            </w:pPr>
            <w:r>
              <w:t>Richardson-Merrell SpA (1972)</w:t>
            </w:r>
          </w:p>
        </w:tc>
        <w:tc>
          <w:tcPr>
            <w:tcW w:w="1342" w:type="dxa"/>
          </w:tcPr>
          <w:p w14:paraId="61EA65E0" w14:textId="1523E90C" w:rsidR="00C640DF" w:rsidRDefault="00C640DF" w:rsidP="00C97B97">
            <w:pPr>
              <w:pStyle w:val="FSTableText"/>
            </w:pPr>
            <w:r>
              <w:t>Cepacaine spray (0.05 % CPC)</w:t>
            </w:r>
          </w:p>
        </w:tc>
        <w:tc>
          <w:tcPr>
            <w:tcW w:w="999" w:type="dxa"/>
          </w:tcPr>
          <w:p w14:paraId="785333F7" w14:textId="014F13A5" w:rsidR="00C640DF" w:rsidRDefault="00C640DF" w:rsidP="00C97B97">
            <w:pPr>
              <w:pStyle w:val="FSTableText"/>
            </w:pPr>
            <w:r>
              <w:t>Rats</w:t>
            </w:r>
          </w:p>
        </w:tc>
        <w:tc>
          <w:tcPr>
            <w:tcW w:w="2234" w:type="dxa"/>
          </w:tcPr>
          <w:p w14:paraId="271D6C58" w14:textId="24762A97" w:rsidR="00C640DF" w:rsidRDefault="00C640DF" w:rsidP="00C97B97">
            <w:pPr>
              <w:pStyle w:val="FSTableText"/>
            </w:pPr>
            <w:r>
              <w:t>18-day local tolerability study</w:t>
            </w:r>
          </w:p>
          <w:p w14:paraId="783D5AF9" w14:textId="77777777" w:rsidR="00C640DF" w:rsidRDefault="00C640DF" w:rsidP="00C97B97">
            <w:pPr>
              <w:pStyle w:val="FSTableText"/>
            </w:pPr>
          </w:p>
          <w:p w14:paraId="2AFD72A8" w14:textId="0A26DB60" w:rsidR="00C640DF" w:rsidRDefault="00C640DF" w:rsidP="00C97B97">
            <w:pPr>
              <w:pStyle w:val="FSTableText"/>
            </w:pPr>
            <w:r>
              <w:t>100 mg cepacaine (route not specified; presumed oral)</w:t>
            </w:r>
          </w:p>
        </w:tc>
        <w:tc>
          <w:tcPr>
            <w:tcW w:w="2686" w:type="dxa"/>
          </w:tcPr>
          <w:p w14:paraId="58246E79" w14:textId="62D0BB85" w:rsidR="00C640DF" w:rsidRDefault="00C640DF" w:rsidP="00C97B97">
            <w:pPr>
              <w:pStyle w:val="FSTableText"/>
            </w:pPr>
            <w:r>
              <w:t xml:space="preserve">No signs of intolerance in the trachea, pharynx, larynx or mouth. </w:t>
            </w:r>
          </w:p>
        </w:tc>
      </w:tr>
      <w:tr w:rsidR="0008337E" w14:paraId="36DD855B" w14:textId="77777777" w:rsidTr="000955C2">
        <w:tc>
          <w:tcPr>
            <w:tcW w:w="1799" w:type="dxa"/>
          </w:tcPr>
          <w:p w14:paraId="6D769BFF" w14:textId="4669011B" w:rsidR="0008337E" w:rsidRDefault="005067B5" w:rsidP="00C97B97">
            <w:pPr>
              <w:pStyle w:val="FSTableHeading"/>
            </w:pPr>
            <w:r>
              <w:lastRenderedPageBreak/>
              <w:t>Proctor and Gamble (1979)</w:t>
            </w:r>
          </w:p>
        </w:tc>
        <w:tc>
          <w:tcPr>
            <w:tcW w:w="1342" w:type="dxa"/>
          </w:tcPr>
          <w:p w14:paraId="7A4B74D4" w14:textId="5846D837" w:rsidR="0008337E" w:rsidRDefault="005067B5" w:rsidP="00C97B97">
            <w:pPr>
              <w:pStyle w:val="FSTableText"/>
            </w:pPr>
            <w:r>
              <w:t>Scope mouthwash (0.045% CPC)</w:t>
            </w:r>
          </w:p>
        </w:tc>
        <w:tc>
          <w:tcPr>
            <w:tcW w:w="999" w:type="dxa"/>
          </w:tcPr>
          <w:p w14:paraId="3BCDD823" w14:textId="5A913B84" w:rsidR="0008337E" w:rsidRDefault="005067B5" w:rsidP="00C97B97">
            <w:pPr>
              <w:pStyle w:val="FSTableText"/>
            </w:pPr>
            <w:r>
              <w:t>Rats</w:t>
            </w:r>
          </w:p>
        </w:tc>
        <w:tc>
          <w:tcPr>
            <w:tcW w:w="2234" w:type="dxa"/>
          </w:tcPr>
          <w:p w14:paraId="4597FF6A" w14:textId="77777777" w:rsidR="005067B5" w:rsidRDefault="005067B5" w:rsidP="00C97B97">
            <w:pPr>
              <w:pStyle w:val="FSTableText"/>
            </w:pPr>
            <w:r>
              <w:t>91-day oral toxicity study (GLP status unspecified)</w:t>
            </w:r>
          </w:p>
          <w:p w14:paraId="46EB998F" w14:textId="77777777" w:rsidR="005067B5" w:rsidRDefault="005067B5" w:rsidP="00C97B97">
            <w:pPr>
              <w:pStyle w:val="FSTableText"/>
            </w:pPr>
          </w:p>
          <w:p w14:paraId="62E97893" w14:textId="182EFF9F" w:rsidR="0008337E" w:rsidRDefault="005067B5" w:rsidP="00C97B97">
            <w:pPr>
              <w:pStyle w:val="FSTableText"/>
            </w:pPr>
            <w:r>
              <w:t>Up to 20 mL/kg bw/day administered by oral gavage</w:t>
            </w:r>
          </w:p>
        </w:tc>
        <w:tc>
          <w:tcPr>
            <w:tcW w:w="2686" w:type="dxa"/>
          </w:tcPr>
          <w:p w14:paraId="31C392A5" w14:textId="19402D19" w:rsidR="0008337E" w:rsidRDefault="005067B5" w:rsidP="00C97B97">
            <w:pPr>
              <w:pStyle w:val="FSTableText"/>
            </w:pPr>
            <w:r>
              <w:t xml:space="preserve">No treatment-related effects reported. </w:t>
            </w:r>
          </w:p>
        </w:tc>
      </w:tr>
      <w:tr w:rsidR="00894AC0" w14:paraId="54A38FCE" w14:textId="77777777" w:rsidTr="000955C2">
        <w:tc>
          <w:tcPr>
            <w:tcW w:w="1799" w:type="dxa"/>
          </w:tcPr>
          <w:p w14:paraId="7199CF32" w14:textId="6124444D" w:rsidR="00894AC0" w:rsidRDefault="008326B1" w:rsidP="00C97B97">
            <w:pPr>
              <w:pStyle w:val="FSTableHeading"/>
            </w:pPr>
            <w:r>
              <w:t>Scientific Laboratories (1965)</w:t>
            </w:r>
          </w:p>
        </w:tc>
        <w:tc>
          <w:tcPr>
            <w:tcW w:w="1342" w:type="dxa"/>
          </w:tcPr>
          <w:p w14:paraId="34AE9977" w14:textId="44238A59" w:rsidR="00894AC0" w:rsidRDefault="008326B1" w:rsidP="00C97B97">
            <w:pPr>
              <w:pStyle w:val="FSTableText"/>
            </w:pPr>
            <w:r>
              <w:t>Cepa-Truss troche (1:1500 CPC)</w:t>
            </w:r>
          </w:p>
        </w:tc>
        <w:tc>
          <w:tcPr>
            <w:tcW w:w="999" w:type="dxa"/>
          </w:tcPr>
          <w:p w14:paraId="29423E14" w14:textId="1D35C587" w:rsidR="00894AC0" w:rsidRDefault="008326B1" w:rsidP="00C97B97">
            <w:pPr>
              <w:pStyle w:val="FSTableText"/>
            </w:pPr>
            <w:r>
              <w:t>Dogs</w:t>
            </w:r>
          </w:p>
        </w:tc>
        <w:tc>
          <w:tcPr>
            <w:tcW w:w="2234" w:type="dxa"/>
          </w:tcPr>
          <w:p w14:paraId="0D727055" w14:textId="1B9E03B2" w:rsidR="00894AC0" w:rsidRDefault="008326B1" w:rsidP="00C97B97">
            <w:pPr>
              <w:pStyle w:val="FSTableText"/>
            </w:pPr>
            <w:r>
              <w:t>1</w:t>
            </w:r>
            <w:r w:rsidR="00103FA8">
              <w:t>-</w:t>
            </w:r>
            <w:r>
              <w:t xml:space="preserve">month </w:t>
            </w:r>
            <w:r w:rsidR="00DA7BB1">
              <w:t xml:space="preserve">oral toxicity </w:t>
            </w:r>
            <w:r>
              <w:t>study (non-GLP; non-guideline)</w:t>
            </w:r>
          </w:p>
          <w:p w14:paraId="4B210E81" w14:textId="77777777" w:rsidR="008326B1" w:rsidRDefault="008326B1" w:rsidP="00C97B97">
            <w:pPr>
              <w:pStyle w:val="FSTableText"/>
            </w:pPr>
          </w:p>
          <w:p w14:paraId="6D54428E" w14:textId="2A5610B6" w:rsidR="008326B1" w:rsidRDefault="008326B1" w:rsidP="00C97B97">
            <w:pPr>
              <w:pStyle w:val="FSTableText"/>
            </w:pPr>
            <w:r>
              <w:t>1 troche/kg bw/day</w:t>
            </w:r>
          </w:p>
        </w:tc>
        <w:tc>
          <w:tcPr>
            <w:tcW w:w="2686" w:type="dxa"/>
          </w:tcPr>
          <w:p w14:paraId="548A31C1" w14:textId="65E7B1E4" w:rsidR="00894AC0" w:rsidRDefault="008326B1" w:rsidP="00C97B97">
            <w:pPr>
              <w:pStyle w:val="FSTableText"/>
            </w:pPr>
            <w:r>
              <w:t xml:space="preserve">No treatment-related effects reported. </w:t>
            </w:r>
          </w:p>
        </w:tc>
      </w:tr>
      <w:tr w:rsidR="00103FA8" w14:paraId="6E8F1B95" w14:textId="77777777" w:rsidTr="000955C2">
        <w:tc>
          <w:tcPr>
            <w:tcW w:w="1799" w:type="dxa"/>
          </w:tcPr>
          <w:p w14:paraId="21D0B1BF" w14:textId="31FFB33D" w:rsidR="00103FA8" w:rsidRDefault="00800929" w:rsidP="00C97B97">
            <w:pPr>
              <w:pStyle w:val="FSTableHeading"/>
            </w:pPr>
            <w:r>
              <w:t>Scientific Laboratories (1969</w:t>
            </w:r>
            <w:r w:rsidR="00103FA8">
              <w:t>)</w:t>
            </w:r>
          </w:p>
        </w:tc>
        <w:tc>
          <w:tcPr>
            <w:tcW w:w="1342" w:type="dxa"/>
          </w:tcPr>
          <w:p w14:paraId="5E3FB30B" w14:textId="0C64482F" w:rsidR="00103FA8" w:rsidRDefault="00103FA8" w:rsidP="00C97B97">
            <w:pPr>
              <w:pStyle w:val="FSTableText"/>
            </w:pPr>
            <w:r>
              <w:t>Cepacol anaesthetic gargle (0.05% CPC)</w:t>
            </w:r>
          </w:p>
        </w:tc>
        <w:tc>
          <w:tcPr>
            <w:tcW w:w="999" w:type="dxa"/>
          </w:tcPr>
          <w:p w14:paraId="4CC491D9" w14:textId="24161844" w:rsidR="00103FA8" w:rsidRDefault="00103FA8" w:rsidP="00C97B97">
            <w:pPr>
              <w:pStyle w:val="FSTableText"/>
            </w:pPr>
            <w:r>
              <w:t>Dogs</w:t>
            </w:r>
          </w:p>
        </w:tc>
        <w:tc>
          <w:tcPr>
            <w:tcW w:w="2234" w:type="dxa"/>
          </w:tcPr>
          <w:p w14:paraId="723F765B" w14:textId="7B9AC1F1" w:rsidR="00DA7BB1" w:rsidRDefault="00103FA8" w:rsidP="00C97B97">
            <w:pPr>
              <w:pStyle w:val="FSTableText"/>
            </w:pPr>
            <w:r>
              <w:t>1-month</w:t>
            </w:r>
            <w:r w:rsidR="00DA7BB1">
              <w:t xml:space="preserve"> oral toxicity study</w:t>
            </w:r>
            <w:r>
              <w:t xml:space="preserve"> (non-GLP; non-guideline)</w:t>
            </w:r>
          </w:p>
          <w:p w14:paraId="50B0E6DA" w14:textId="77777777" w:rsidR="00DA7BB1" w:rsidRDefault="00DA7BB1" w:rsidP="00C97B97">
            <w:pPr>
              <w:pStyle w:val="FSTableText"/>
            </w:pPr>
          </w:p>
          <w:p w14:paraId="2C1C1E68" w14:textId="531CFE04" w:rsidR="00103FA8" w:rsidRDefault="00DA7BB1" w:rsidP="00C97B97">
            <w:pPr>
              <w:pStyle w:val="FSTableText"/>
            </w:pPr>
            <w:r>
              <w:t>Up to 10 mL/kg bw/day administered by oral gavage</w:t>
            </w:r>
          </w:p>
        </w:tc>
        <w:tc>
          <w:tcPr>
            <w:tcW w:w="2686" w:type="dxa"/>
          </w:tcPr>
          <w:p w14:paraId="4DC736D3" w14:textId="0B74F3C8" w:rsidR="00103FA8" w:rsidRDefault="00103FA8" w:rsidP="00C97B97">
            <w:pPr>
              <w:pStyle w:val="FSTableText"/>
            </w:pPr>
            <w:r>
              <w:t xml:space="preserve">No treatment-related effects reported. </w:t>
            </w:r>
          </w:p>
        </w:tc>
      </w:tr>
    </w:tbl>
    <w:p w14:paraId="65368AB8" w14:textId="77777777" w:rsidR="00894AC0" w:rsidRDefault="00894AC0" w:rsidP="00894AC0"/>
    <w:p w14:paraId="26976332" w14:textId="467AA3EA" w:rsidR="000A3ACA" w:rsidRDefault="00C32178" w:rsidP="0081797C">
      <w:pPr>
        <w:pStyle w:val="Heading3"/>
      </w:pPr>
      <w:bookmarkStart w:id="142" w:name="_Toc92722926"/>
      <w:bookmarkStart w:id="143" w:name="_Toc93592315"/>
      <w:bookmarkStart w:id="144" w:name="_Toc93585326"/>
      <w:bookmarkStart w:id="145" w:name="_Toc97041621"/>
      <w:r>
        <w:t>3.4.3</w:t>
      </w:r>
      <w:r>
        <w:tab/>
      </w:r>
      <w:r w:rsidR="00556C23">
        <w:t xml:space="preserve">Long-term studies of </w:t>
      </w:r>
      <w:r w:rsidR="000A3ACA">
        <w:t>toxicity</w:t>
      </w:r>
      <w:r w:rsidR="00556C23">
        <w:t xml:space="preserve"> and carcinogenicity</w:t>
      </w:r>
      <w:bookmarkEnd w:id="142"/>
      <w:bookmarkEnd w:id="143"/>
      <w:bookmarkEnd w:id="144"/>
      <w:bookmarkEnd w:id="145"/>
    </w:p>
    <w:p w14:paraId="6CB0C5B7" w14:textId="7C5B3F48" w:rsidR="00D551BE" w:rsidRDefault="000A3ACA" w:rsidP="00C62ED4">
      <w:pPr>
        <w:rPr>
          <w:lang w:bidi="ar-SA"/>
        </w:rPr>
      </w:pPr>
      <w:r>
        <w:rPr>
          <w:lang w:bidi="ar-SA"/>
        </w:rPr>
        <w:t xml:space="preserve">No chronic toxicity or carcinogenicity studies of CPC </w:t>
      </w:r>
      <w:r w:rsidR="00BA5342">
        <w:rPr>
          <w:lang w:bidi="ar-SA"/>
        </w:rPr>
        <w:t>were submitted by the applicant</w:t>
      </w:r>
      <w:r w:rsidR="00907F83">
        <w:rPr>
          <w:lang w:bidi="ar-SA"/>
        </w:rPr>
        <w:t xml:space="preserve">, and no full reports of chronic toxicity or carcinogenicity studies are publicly available. </w:t>
      </w:r>
    </w:p>
    <w:p w14:paraId="34E628EE" w14:textId="7BE49819" w:rsidR="00BA5342" w:rsidRDefault="00BA5342" w:rsidP="00C62ED4">
      <w:pPr>
        <w:rPr>
          <w:lang w:bidi="ar-SA"/>
        </w:rPr>
      </w:pPr>
    </w:p>
    <w:p w14:paraId="0BABED66" w14:textId="117FF314" w:rsidR="00BA5342" w:rsidRDefault="00BA5342" w:rsidP="00C62ED4">
      <w:pPr>
        <w:rPr>
          <w:lang w:bidi="ar-SA"/>
        </w:rPr>
      </w:pPr>
      <w:r>
        <w:rPr>
          <w:lang w:bidi="ar-SA"/>
        </w:rPr>
        <w:t>A submission on CPC-containing mouthrinses to the Plaque Subcommittee of the US Food and Drug Administration (FDA) Dental Panel provides limited details of studies of 6 months and 1 year in duration (</w:t>
      </w:r>
      <w:r w:rsidRPr="00830139">
        <w:rPr>
          <w:lang w:bidi="ar-SA"/>
        </w:rPr>
        <w:t>Genco 1995</w:t>
      </w:r>
      <w:r>
        <w:rPr>
          <w:lang w:bidi="ar-SA"/>
        </w:rPr>
        <w:t>). In these studies CPC was administered by oral gavage to animals (species</w:t>
      </w:r>
      <w:r w:rsidR="005E5139">
        <w:rPr>
          <w:lang w:bidi="ar-SA"/>
        </w:rPr>
        <w:t xml:space="preserve"> and number</w:t>
      </w:r>
      <w:r>
        <w:rPr>
          <w:lang w:bidi="ar-SA"/>
        </w:rPr>
        <w:t xml:space="preserve"> unspecified) at doses ranging from 5 – 75 mg/kg bw/day. Significant decreases in body weight and body weight gain were noted in animals of both sexes administered 40 and 75 mg/kg bw/day. At necrop</w:t>
      </w:r>
      <w:r w:rsidR="00E00E06">
        <w:rPr>
          <w:lang w:bidi="ar-SA"/>
        </w:rPr>
        <w:t xml:space="preserve">sy, gastrointestinal irritation, manifested as thickening of the stomach mucosa, was observed </w:t>
      </w:r>
      <w:r w:rsidR="00F70E90">
        <w:rPr>
          <w:lang w:bidi="ar-SA"/>
        </w:rPr>
        <w:t xml:space="preserve">at </w:t>
      </w:r>
      <w:r w:rsidR="00E00E06">
        <w:rPr>
          <w:lang w:bidi="ar-SA"/>
        </w:rPr>
        <w:t>40 and 75 mg/kg bw/day</w:t>
      </w:r>
      <w:r w:rsidR="00F70E90">
        <w:rPr>
          <w:lang w:bidi="ar-SA"/>
        </w:rPr>
        <w:t xml:space="preserve"> and in some animals administered 15 mg/kg bw/day</w:t>
      </w:r>
      <w:r w:rsidR="00E00E06">
        <w:rPr>
          <w:lang w:bidi="ar-SA"/>
        </w:rPr>
        <w:t xml:space="preserve">. </w:t>
      </w:r>
    </w:p>
    <w:p w14:paraId="0EA3C41D" w14:textId="25F71B8F" w:rsidR="005E5139" w:rsidRDefault="005E5139" w:rsidP="00C62ED4">
      <w:pPr>
        <w:rPr>
          <w:lang w:bidi="ar-SA"/>
        </w:rPr>
      </w:pPr>
    </w:p>
    <w:p w14:paraId="13E8F66C" w14:textId="61C5A1EA" w:rsidR="005E5139" w:rsidRDefault="005E5139" w:rsidP="00C62ED4">
      <w:pPr>
        <w:rPr>
          <w:lang w:bidi="ar-SA"/>
        </w:rPr>
      </w:pPr>
      <w:r>
        <w:rPr>
          <w:lang w:bidi="ar-SA"/>
        </w:rPr>
        <w:t xml:space="preserve">Additional details of this study are included in the SCCS evaluation of CPC and in a public summary of the study REACH registration dossier for CPC on the ECHA website. The SCCS notes that the study was conducted in Sprague-Dawley rats (20/sex/group). Decreased body weight gain was also observed in females at 15 mg/kg bw/day. A higher incidence of a distended caecum was observed in males at 15 – 75 mg/kg bw/day and in females at 75 mg/kg bw/day. Histopathology showed acanthosis in the non-glandular stomach at doses </w:t>
      </w:r>
      <w:r>
        <w:rPr>
          <w:rFonts w:cs="Arial"/>
          <w:lang w:bidi="ar-SA"/>
        </w:rPr>
        <w:t>≥</w:t>
      </w:r>
      <w:r>
        <w:rPr>
          <w:lang w:bidi="ar-SA"/>
        </w:rPr>
        <w:t xml:space="preserve"> 15 mg/kg bw/day</w:t>
      </w:r>
      <w:r w:rsidR="00034936">
        <w:rPr>
          <w:lang w:bidi="ar-SA"/>
        </w:rPr>
        <w:t xml:space="preserve"> (</w:t>
      </w:r>
      <w:r w:rsidR="00034936" w:rsidRPr="00830139">
        <w:rPr>
          <w:lang w:bidi="ar-SA"/>
        </w:rPr>
        <w:t>SCCS 2015)</w:t>
      </w:r>
      <w:r>
        <w:rPr>
          <w:lang w:bidi="ar-SA"/>
        </w:rPr>
        <w:t xml:space="preserve">. </w:t>
      </w:r>
      <w:r w:rsidR="00034936">
        <w:rPr>
          <w:lang w:bidi="ar-SA"/>
        </w:rPr>
        <w:t>The summary of the study on ECHA’s website notes that the d</w:t>
      </w:r>
      <w:r w:rsidR="00034936" w:rsidRPr="00034936">
        <w:rPr>
          <w:lang w:bidi="ar-SA"/>
        </w:rPr>
        <w:t>istention of the c</w:t>
      </w:r>
      <w:r w:rsidR="00EF6D66">
        <w:rPr>
          <w:lang w:bidi="ar-SA"/>
        </w:rPr>
        <w:t>a</w:t>
      </w:r>
      <w:r w:rsidR="00034936" w:rsidRPr="00034936">
        <w:rPr>
          <w:lang w:bidi="ar-SA"/>
        </w:rPr>
        <w:t xml:space="preserve">ecum may not </w:t>
      </w:r>
      <w:r w:rsidR="00066049">
        <w:rPr>
          <w:lang w:bidi="ar-SA"/>
        </w:rPr>
        <w:t>have been</w:t>
      </w:r>
      <w:r w:rsidR="00034936" w:rsidRPr="00034936">
        <w:rPr>
          <w:lang w:bidi="ar-SA"/>
        </w:rPr>
        <w:t xml:space="preserve"> a direct effect of the test material or </w:t>
      </w:r>
      <w:r w:rsidR="00034936">
        <w:rPr>
          <w:lang w:bidi="ar-SA"/>
        </w:rPr>
        <w:t xml:space="preserve">due to </w:t>
      </w:r>
      <w:r w:rsidR="00034936" w:rsidRPr="00034936">
        <w:rPr>
          <w:lang w:bidi="ar-SA"/>
        </w:rPr>
        <w:t>gastric irritation</w:t>
      </w:r>
      <w:r w:rsidR="00034936">
        <w:rPr>
          <w:lang w:bidi="ar-SA"/>
        </w:rPr>
        <w:t xml:space="preserve">, but </w:t>
      </w:r>
      <w:r w:rsidR="00034936" w:rsidRPr="00034936">
        <w:rPr>
          <w:lang w:bidi="ar-SA"/>
        </w:rPr>
        <w:t xml:space="preserve">may </w:t>
      </w:r>
      <w:r w:rsidR="00034936">
        <w:rPr>
          <w:lang w:bidi="ar-SA"/>
        </w:rPr>
        <w:t>have been</w:t>
      </w:r>
      <w:r w:rsidR="00034936" w:rsidRPr="00034936">
        <w:rPr>
          <w:lang w:bidi="ar-SA"/>
        </w:rPr>
        <w:t xml:space="preserve"> caused by alterations in the</w:t>
      </w:r>
      <w:r w:rsidR="00066049">
        <w:rPr>
          <w:lang w:bidi="ar-SA"/>
        </w:rPr>
        <w:t xml:space="preserve"> gut</w:t>
      </w:r>
      <w:r w:rsidR="00034936" w:rsidRPr="00034936">
        <w:rPr>
          <w:lang w:bidi="ar-SA"/>
        </w:rPr>
        <w:t xml:space="preserve"> microflora due to chronic feeding of the test material.</w:t>
      </w:r>
    </w:p>
    <w:p w14:paraId="1B1F8748" w14:textId="01096591" w:rsidR="00E00E06" w:rsidRDefault="00E00E06" w:rsidP="00C62ED4">
      <w:pPr>
        <w:rPr>
          <w:lang w:bidi="ar-SA"/>
        </w:rPr>
      </w:pPr>
    </w:p>
    <w:p w14:paraId="608A1BC7" w14:textId="0804BB5C" w:rsidR="00E00E06" w:rsidRDefault="004D5E39" w:rsidP="00C62ED4">
      <w:pPr>
        <w:rPr>
          <w:lang w:bidi="ar-SA"/>
        </w:rPr>
      </w:pPr>
      <w:r>
        <w:rPr>
          <w:lang w:bidi="ar-SA"/>
        </w:rPr>
        <w:t>A toxicity profile of CPC prepared by BIBRA summarises limited details of a 1 year study in which CPC incorporated in a vinyl copolymer was administered via the diet to rats (10/sex/group</w:t>
      </w:r>
      <w:r w:rsidR="00AF44EC">
        <w:rPr>
          <w:lang w:bidi="ar-SA"/>
        </w:rPr>
        <w:t>; strain not specified</w:t>
      </w:r>
      <w:r>
        <w:rPr>
          <w:lang w:bidi="ar-SA"/>
        </w:rPr>
        <w:t>) at</w:t>
      </w:r>
      <w:r w:rsidR="00AF44EC">
        <w:rPr>
          <w:lang w:bidi="ar-SA"/>
        </w:rPr>
        <w:t xml:space="preserve"> levels providing</w:t>
      </w:r>
      <w:r>
        <w:rPr>
          <w:lang w:bidi="ar-SA"/>
        </w:rPr>
        <w:t xml:space="preserve"> doses of 7 or 35 mg/kg bw/day</w:t>
      </w:r>
      <w:r w:rsidR="00513434">
        <w:rPr>
          <w:lang w:bidi="ar-SA"/>
        </w:rPr>
        <w:t xml:space="preserve"> (</w:t>
      </w:r>
      <w:r w:rsidR="00513434" w:rsidRPr="008813A5">
        <w:rPr>
          <w:lang w:bidi="ar-SA"/>
        </w:rPr>
        <w:t>BIBRA 1988</w:t>
      </w:r>
      <w:r w:rsidR="00513434">
        <w:rPr>
          <w:lang w:bidi="ar-SA"/>
        </w:rPr>
        <w:t>)</w:t>
      </w:r>
      <w:r>
        <w:rPr>
          <w:lang w:bidi="ar-SA"/>
        </w:rPr>
        <w:t>. No clinical effects or blood changes were observed. Examination of most of the major tissues revealed no gross or microscopic abnormalities, including no evidence of carcinogenicity. As noted by BIBRA, this study would have limited power to detect</w:t>
      </w:r>
      <w:r w:rsidR="00513434">
        <w:rPr>
          <w:lang w:bidi="ar-SA"/>
        </w:rPr>
        <w:t xml:space="preserve"> carcinogenic activity as it did not follow current test guidelines regarding animal numbers, study duration and the range of tissues that should be examined</w:t>
      </w:r>
      <w:r>
        <w:rPr>
          <w:lang w:bidi="ar-SA"/>
        </w:rPr>
        <w:t xml:space="preserve">. </w:t>
      </w:r>
    </w:p>
    <w:p w14:paraId="21DE2D1A" w14:textId="77777777" w:rsidR="00D12CA5" w:rsidRDefault="00D12CA5" w:rsidP="00C62ED4">
      <w:pPr>
        <w:rPr>
          <w:lang w:bidi="ar-SA"/>
        </w:rPr>
      </w:pPr>
    </w:p>
    <w:p w14:paraId="4E3C23E8" w14:textId="67401E7A" w:rsidR="00A174E3" w:rsidRDefault="00A174E3" w:rsidP="00C62ED4">
      <w:pPr>
        <w:rPr>
          <w:lang w:bidi="ar-SA"/>
        </w:rPr>
      </w:pPr>
      <w:r>
        <w:rPr>
          <w:lang w:bidi="ar-SA"/>
        </w:rPr>
        <w:t>FSANZ notes that these reports are not suitable for regulatory purposes given the very limited details provided</w:t>
      </w:r>
      <w:r w:rsidR="00E5774B">
        <w:rPr>
          <w:lang w:bidi="ar-SA"/>
        </w:rPr>
        <w:t xml:space="preserve"> and the inability to access the original study reports</w:t>
      </w:r>
      <w:r>
        <w:rPr>
          <w:lang w:bidi="ar-SA"/>
        </w:rPr>
        <w:t xml:space="preserve">. </w:t>
      </w:r>
    </w:p>
    <w:p w14:paraId="17A60CD4" w14:textId="2AC2858E" w:rsidR="00AF44EC" w:rsidRDefault="00C32178" w:rsidP="0081797C">
      <w:pPr>
        <w:pStyle w:val="Heading3"/>
      </w:pPr>
      <w:bookmarkStart w:id="146" w:name="_Toc92722927"/>
      <w:bookmarkStart w:id="147" w:name="_Toc93592316"/>
      <w:bookmarkStart w:id="148" w:name="_Toc93585327"/>
      <w:bookmarkStart w:id="149" w:name="_Toc97041622"/>
      <w:r>
        <w:lastRenderedPageBreak/>
        <w:t>3.4.4</w:t>
      </w:r>
      <w:r>
        <w:tab/>
      </w:r>
      <w:r w:rsidR="00AF44EC">
        <w:t>Developmental and reproductive studies in animals</w:t>
      </w:r>
      <w:bookmarkEnd w:id="146"/>
      <w:bookmarkEnd w:id="147"/>
      <w:bookmarkEnd w:id="148"/>
      <w:bookmarkEnd w:id="149"/>
    </w:p>
    <w:p w14:paraId="4BBC5CF0" w14:textId="7E6AFDDD" w:rsidR="00AF44EC" w:rsidRDefault="00AF44EC" w:rsidP="00C62ED4">
      <w:pPr>
        <w:rPr>
          <w:lang w:bidi="ar-SA"/>
        </w:rPr>
      </w:pPr>
      <w:r>
        <w:rPr>
          <w:lang w:bidi="ar-SA"/>
        </w:rPr>
        <w:t xml:space="preserve">No developmental or reproductive toxicity studies of CPC were submitted by the applicant, and no full reports of such studies are publicly available. </w:t>
      </w:r>
    </w:p>
    <w:p w14:paraId="6999F487" w14:textId="7A1A96A4" w:rsidR="00AF44EC" w:rsidRDefault="00AF44EC" w:rsidP="00C62ED4">
      <w:pPr>
        <w:rPr>
          <w:lang w:bidi="ar-SA"/>
        </w:rPr>
      </w:pPr>
    </w:p>
    <w:p w14:paraId="67910BF6" w14:textId="44232DF5" w:rsidR="0088026F" w:rsidRDefault="006D4012" w:rsidP="00C62ED4">
      <w:pPr>
        <w:rPr>
          <w:lang w:bidi="ar-SA"/>
        </w:rPr>
      </w:pPr>
      <w:r>
        <w:rPr>
          <w:lang w:bidi="ar-SA"/>
        </w:rPr>
        <w:t>A submission from Proctor and Gamble to the US FDA’s OTC Review Panel on Oral Cavity Drug Products provides limited details of a teratogenicity study</w:t>
      </w:r>
      <w:r w:rsidR="0088026F">
        <w:rPr>
          <w:lang w:bidi="ar-SA"/>
        </w:rPr>
        <w:t xml:space="preserve"> of</w:t>
      </w:r>
      <w:r>
        <w:rPr>
          <w:lang w:bidi="ar-SA"/>
        </w:rPr>
        <w:t xml:space="preserve"> CPC</w:t>
      </w:r>
      <w:r w:rsidR="00F964FD">
        <w:rPr>
          <w:lang w:bidi="ar-SA"/>
        </w:rPr>
        <w:t xml:space="preserve"> as well as CPC</w:t>
      </w:r>
      <w:r>
        <w:rPr>
          <w:lang w:bidi="ar-SA"/>
        </w:rPr>
        <w:t xml:space="preserve"> and domiphen bromide</w:t>
      </w:r>
      <w:r w:rsidR="00E36E89">
        <w:rPr>
          <w:lang w:bidi="ar-SA"/>
        </w:rPr>
        <w:t xml:space="preserve"> (DB)</w:t>
      </w:r>
      <w:r>
        <w:rPr>
          <w:lang w:bidi="ar-SA"/>
        </w:rPr>
        <w:t xml:space="preserve"> at a 9:1 ratio (</w:t>
      </w:r>
      <w:r w:rsidRPr="008813A5">
        <w:rPr>
          <w:lang w:bidi="ar-SA"/>
        </w:rPr>
        <w:t xml:space="preserve">Proctor </w:t>
      </w:r>
      <w:r w:rsidR="008813A5">
        <w:rPr>
          <w:lang w:bidi="ar-SA"/>
        </w:rPr>
        <w:t>&amp;</w:t>
      </w:r>
      <w:r w:rsidRPr="008813A5">
        <w:rPr>
          <w:lang w:bidi="ar-SA"/>
        </w:rPr>
        <w:t xml:space="preserve"> Gamble 1979</w:t>
      </w:r>
      <w:r>
        <w:rPr>
          <w:lang w:bidi="ar-SA"/>
        </w:rPr>
        <w:t xml:space="preserve">). </w:t>
      </w:r>
      <w:r w:rsidR="0088026F">
        <w:rPr>
          <w:lang w:bidi="ar-SA"/>
        </w:rPr>
        <w:t>Groups of 15 pregnant New Zealand specified pathogen free (SPF) rabbits were administered 0, 2.5, 12 or 100 mg/kg bw/day CPC</w:t>
      </w:r>
      <w:r w:rsidR="00E36E89">
        <w:rPr>
          <w:lang w:bidi="ar-SA"/>
        </w:rPr>
        <w:t>, or the same levels of CPC to which one-ninth as much DB had been added (0, 0.28, 1.33 or 11.08 mg/kg bw/day)</w:t>
      </w:r>
      <w:r w:rsidR="0088026F">
        <w:rPr>
          <w:lang w:bidi="ar-SA"/>
        </w:rPr>
        <w:t xml:space="preserve"> by oral gavage from gestation days 7 – 18. </w:t>
      </w:r>
      <w:r w:rsidR="00E36E89">
        <w:rPr>
          <w:lang w:bidi="ar-SA"/>
        </w:rPr>
        <w:t xml:space="preserve">The highest dose was lethal to most dams and was discontinued. The six remaining untreated dams scheduled for inclusion in the two high dose groups were given either 25 mg/kg bw/day CPC or 25 mg/kg bw/day CPC plus 2.85 mg/kg bw/day DB. At the end of the treatment 1/15 dams given 12 mg/kg bw/day CPC and 1/6 dams given 25 mg/kg bw/day died. Gross necropsy of these animals indicated severe irritation of the gastrointestinal tract, marked by diarrhoea and gastric ulceration. </w:t>
      </w:r>
    </w:p>
    <w:p w14:paraId="47C38E7A" w14:textId="2EC96A33" w:rsidR="00E36E89" w:rsidRDefault="00E36E89" w:rsidP="00C62ED4">
      <w:pPr>
        <w:rPr>
          <w:lang w:bidi="ar-SA"/>
        </w:rPr>
      </w:pPr>
    </w:p>
    <w:p w14:paraId="7FFBE7A3" w14:textId="6FC4D934" w:rsidR="00E36E89" w:rsidRDefault="00E36E89" w:rsidP="00C62ED4">
      <w:pPr>
        <w:rPr>
          <w:lang w:bidi="ar-SA"/>
        </w:rPr>
      </w:pPr>
      <w:r>
        <w:rPr>
          <w:lang w:bidi="ar-SA"/>
        </w:rPr>
        <w:t xml:space="preserve">Loss of body weight was observed in dams in the 25 mg/kg bw/day CPC, 25 mg/kg bw/day CPC + 2.8 mg/kg bw/day DB and 12 mg/kg bw/day CPC groups, which was associated with anorexia. </w:t>
      </w:r>
      <w:r w:rsidR="00D46D98">
        <w:rPr>
          <w:lang w:bidi="ar-SA"/>
        </w:rPr>
        <w:t xml:space="preserve">Six dams aborted foetuses: one given 2.5 mg/kg bw/day CPC, two given 12 mg/kg bw/day CPC, two given 25 mg/kg bw CPC and one given 25 mg/kg bw CPC + 2.8 mg/kg bw/day DB. These abortions were considered probably related to maternal toxicity, which included anorexia and weight. </w:t>
      </w:r>
      <w:r w:rsidR="008E42CB">
        <w:rPr>
          <w:lang w:bidi="ar-SA"/>
        </w:rPr>
        <w:t xml:space="preserve">No significant differences in the average number of corpora lutea were observed. The high dose CPC group showed a higher incidence of resorptions which did not reach statistical significance, considered likely to be due to maternal toxicity. Significant differences in the number of implants in the high dose CPC and CPC + DB groups, compared to controls, were not considered treatment-related as dosing occurred post-implantation. Reductions in the number of live foetuses in the two high dose groups were considered likely to be a result of the lower number of implants or maternal toxicity. Female foetal weights in the high dose CPC group were lower than controls. No significant differences in the average number of male or female foetuses were observed. </w:t>
      </w:r>
      <w:r w:rsidR="00421D3B">
        <w:rPr>
          <w:lang w:bidi="ar-SA"/>
        </w:rPr>
        <w:t xml:space="preserve">The test items were reported to be increasingly toxic to the dams with increasing dose </w:t>
      </w:r>
      <w:r w:rsidR="00540311">
        <w:rPr>
          <w:lang w:bidi="ar-SA"/>
        </w:rPr>
        <w:t>with secondary toxicity in</w:t>
      </w:r>
      <w:r w:rsidR="00421D3B">
        <w:rPr>
          <w:lang w:bidi="ar-SA"/>
        </w:rPr>
        <w:t xml:space="preserve"> the embryos or foetuses, with further details not provided. There were no differences in the incidence of foetal soft tissue or skeletal abnormalities between controls and treated groups, and no treatment-related </w:t>
      </w:r>
      <w:r w:rsidR="0083471B">
        <w:rPr>
          <w:lang w:bidi="ar-SA"/>
        </w:rPr>
        <w:t xml:space="preserve">teratogenic </w:t>
      </w:r>
      <w:r w:rsidR="00421D3B">
        <w:rPr>
          <w:lang w:bidi="ar-SA"/>
        </w:rPr>
        <w:t>e</w:t>
      </w:r>
      <w:r>
        <w:rPr>
          <w:lang w:bidi="ar-SA"/>
        </w:rPr>
        <w:t xml:space="preserve">ffects were </w:t>
      </w:r>
      <w:r w:rsidR="00421D3B">
        <w:rPr>
          <w:lang w:bidi="ar-SA"/>
        </w:rPr>
        <w:t>observed</w:t>
      </w:r>
      <w:r w:rsidR="00540311">
        <w:rPr>
          <w:lang w:bidi="ar-SA"/>
        </w:rPr>
        <w:t>.</w:t>
      </w:r>
    </w:p>
    <w:p w14:paraId="74B9C9A1" w14:textId="07DDF1D9" w:rsidR="00D543B5" w:rsidRDefault="00D543B5" w:rsidP="00C62ED4">
      <w:pPr>
        <w:rPr>
          <w:lang w:bidi="ar-SA"/>
        </w:rPr>
      </w:pPr>
    </w:p>
    <w:p w14:paraId="49D4B724" w14:textId="6EEE415B" w:rsidR="006D4012" w:rsidRDefault="00D543B5" w:rsidP="00C62ED4">
      <w:pPr>
        <w:rPr>
          <w:lang w:bidi="ar-SA"/>
        </w:rPr>
      </w:pPr>
      <w:r>
        <w:rPr>
          <w:lang w:bidi="ar-SA"/>
        </w:rPr>
        <w:t xml:space="preserve">An abstract reports details of a teratology study in which CPC was administered to pregnant rats (strain and group sizes not reported) at doses ranging </w:t>
      </w:r>
      <w:r w:rsidR="00AE537C">
        <w:rPr>
          <w:lang w:bidi="ar-SA"/>
        </w:rPr>
        <w:t>up to 27.33</w:t>
      </w:r>
      <w:r>
        <w:rPr>
          <w:lang w:bidi="ar-SA"/>
        </w:rPr>
        <w:t xml:space="preserve"> mg/kg bw/day from gestation days 6 – 15</w:t>
      </w:r>
      <w:r w:rsidR="00A265B8">
        <w:rPr>
          <w:lang w:bidi="ar-SA"/>
        </w:rPr>
        <w:t xml:space="preserve"> (</w:t>
      </w:r>
      <w:r w:rsidR="00A265B8" w:rsidRPr="000A67BE">
        <w:rPr>
          <w:lang w:bidi="ar-SA"/>
        </w:rPr>
        <w:t>Gilman and De Salva 1979</w:t>
      </w:r>
      <w:r w:rsidR="00A265B8">
        <w:rPr>
          <w:lang w:bidi="ar-SA"/>
        </w:rPr>
        <w:t>)</w:t>
      </w:r>
      <w:r>
        <w:rPr>
          <w:lang w:bidi="ar-SA"/>
        </w:rPr>
        <w:t>.</w:t>
      </w:r>
      <w:r w:rsidR="008F4B6B">
        <w:rPr>
          <w:lang w:bidi="ar-SA"/>
        </w:rPr>
        <w:t xml:space="preserve"> Dams were killed on gestation day 20 and the foetuses were examined.</w:t>
      </w:r>
      <w:r>
        <w:rPr>
          <w:lang w:bidi="ar-SA"/>
        </w:rPr>
        <w:t xml:space="preserve"> </w:t>
      </w:r>
      <w:r w:rsidR="00AE537C">
        <w:rPr>
          <w:lang w:bidi="ar-SA"/>
        </w:rPr>
        <w:t>Mean body weights of dams were reduced i</w:t>
      </w:r>
      <w:r w:rsidR="008F4B6B">
        <w:rPr>
          <w:lang w:bidi="ar-SA"/>
        </w:rPr>
        <w:t xml:space="preserve">n dams given 27.33 mg/kg bw/day, but no clinical manifestations of skeletal deformity were observed. </w:t>
      </w:r>
    </w:p>
    <w:p w14:paraId="4DC30FD3" w14:textId="77777777" w:rsidR="008F4B6B" w:rsidRDefault="008F4B6B" w:rsidP="00C62ED4">
      <w:pPr>
        <w:rPr>
          <w:lang w:bidi="ar-SA"/>
        </w:rPr>
      </w:pPr>
    </w:p>
    <w:p w14:paraId="69120677" w14:textId="5B3C4F36" w:rsidR="00AF44EC" w:rsidRDefault="00AF44EC" w:rsidP="00C62ED4">
      <w:pPr>
        <w:rPr>
          <w:lang w:bidi="ar-SA"/>
        </w:rPr>
      </w:pPr>
      <w:r>
        <w:rPr>
          <w:lang w:bidi="ar-SA"/>
        </w:rPr>
        <w:t xml:space="preserve">BIBRA’s </w:t>
      </w:r>
      <w:r w:rsidR="006D4012">
        <w:rPr>
          <w:lang w:bidi="ar-SA"/>
        </w:rPr>
        <w:t xml:space="preserve">CPC </w:t>
      </w:r>
      <w:r>
        <w:rPr>
          <w:lang w:bidi="ar-SA"/>
        </w:rPr>
        <w:t>toxicity profile summarises a study in which CPC incorporated in a vinyl copolymer was administered in the diet to groups of four female rats (strain not specified) at levels providing 7 or 35 mg/kg bw/day</w:t>
      </w:r>
      <w:r w:rsidR="006D4012">
        <w:rPr>
          <w:lang w:bidi="ar-SA"/>
        </w:rPr>
        <w:t xml:space="preserve"> for three months prior to mating and during pregnancy and lactation (</w:t>
      </w:r>
      <w:r w:rsidR="006D4012" w:rsidRPr="008813A5">
        <w:rPr>
          <w:lang w:bidi="ar-SA"/>
        </w:rPr>
        <w:t>BIBRA 1988</w:t>
      </w:r>
      <w:r w:rsidR="006D4012">
        <w:rPr>
          <w:lang w:bidi="ar-SA"/>
        </w:rPr>
        <w:t>). At weaning, offspring were given the same diet as their mothers for three months prior to mating and throughout pregnancy and lactation. Third generation offspring were also fed the CPC diet and mated after three months. Fertility and the incidence of malformations were within normal limits in each generation.</w:t>
      </w:r>
    </w:p>
    <w:p w14:paraId="33B7BB03" w14:textId="57C3EC81" w:rsidR="00EA27DF" w:rsidRDefault="00EA27DF" w:rsidP="00C62ED4">
      <w:pPr>
        <w:rPr>
          <w:lang w:bidi="ar-SA"/>
        </w:rPr>
      </w:pPr>
    </w:p>
    <w:p w14:paraId="1254F2DF" w14:textId="0E0FDABD" w:rsidR="00EA27DF" w:rsidRDefault="00EA27DF" w:rsidP="00C62ED4">
      <w:pPr>
        <w:rPr>
          <w:lang w:bidi="ar-SA"/>
        </w:rPr>
      </w:pPr>
      <w:r>
        <w:rPr>
          <w:lang w:bidi="ar-SA"/>
        </w:rPr>
        <w:t xml:space="preserve">The SCCS review of CPC summarises details of a developmental toxicity study in Sprague-Dawley rats, in which CPC was administered by gavage at doses of 0, 5, 15 or 60 mg/kg bw/day during gestation days 6 – 16. Maternal toxicity (reduced body weight gain, decreased defecation and laboured breathing) was observed at 60 mg/kg bw/day, but there was no </w:t>
      </w:r>
      <w:r>
        <w:rPr>
          <w:lang w:bidi="ar-SA"/>
        </w:rPr>
        <w:lastRenderedPageBreak/>
        <w:t>evidence of developmental toxicity at any dose (</w:t>
      </w:r>
      <w:r w:rsidRPr="008813A5">
        <w:rPr>
          <w:lang w:bidi="ar-SA"/>
        </w:rPr>
        <w:t>SCCS 2015</w:t>
      </w:r>
      <w:r>
        <w:rPr>
          <w:lang w:bidi="ar-SA"/>
        </w:rPr>
        <w:t xml:space="preserve">). </w:t>
      </w:r>
    </w:p>
    <w:p w14:paraId="11474CD2" w14:textId="5B22CA6D" w:rsidR="00EF6D66" w:rsidRDefault="00EF6D66" w:rsidP="00C62ED4">
      <w:pPr>
        <w:rPr>
          <w:lang w:bidi="ar-SA"/>
        </w:rPr>
      </w:pPr>
    </w:p>
    <w:p w14:paraId="60BC99E7" w14:textId="1C304B10" w:rsidR="00EF6D66" w:rsidRDefault="00EF6D66" w:rsidP="00C62ED4">
      <w:pPr>
        <w:rPr>
          <w:lang w:bidi="ar-SA"/>
        </w:rPr>
      </w:pPr>
      <w:r>
        <w:rPr>
          <w:lang w:bidi="ar-SA"/>
        </w:rPr>
        <w:t xml:space="preserve">The REACH registration dossier </w:t>
      </w:r>
      <w:r w:rsidR="00287D67">
        <w:rPr>
          <w:lang w:bidi="ar-SA"/>
        </w:rPr>
        <w:t xml:space="preserve">for CPC </w:t>
      </w:r>
      <w:r>
        <w:rPr>
          <w:lang w:bidi="ar-SA"/>
        </w:rPr>
        <w:t xml:space="preserve">notes that </w:t>
      </w:r>
      <w:r w:rsidR="00287D67">
        <w:rPr>
          <w:lang w:bidi="ar-SA"/>
        </w:rPr>
        <w:t>in</w:t>
      </w:r>
      <w:r w:rsidR="002F03B3">
        <w:rPr>
          <w:lang w:bidi="ar-SA"/>
        </w:rPr>
        <w:t xml:space="preserve"> the </w:t>
      </w:r>
      <w:r w:rsidR="00287D67">
        <w:rPr>
          <w:lang w:bidi="ar-SA"/>
        </w:rPr>
        <w:t xml:space="preserve">6-month oral gavage toxicity study in rats (doses up to 75 mg/kg bw/day) </w:t>
      </w:r>
      <w:r>
        <w:rPr>
          <w:lang w:bidi="ar-SA"/>
        </w:rPr>
        <w:t xml:space="preserve">no histopathological changes were observed in </w:t>
      </w:r>
      <w:r w:rsidR="00287D67">
        <w:rPr>
          <w:lang w:bidi="ar-SA"/>
        </w:rPr>
        <w:t>the reproductive organs</w:t>
      </w:r>
      <w:r>
        <w:rPr>
          <w:lang w:bidi="ar-SA"/>
        </w:rPr>
        <w:t xml:space="preserve">. </w:t>
      </w:r>
    </w:p>
    <w:p w14:paraId="2D83ABF2" w14:textId="79C73B5F" w:rsidR="00EB4EB5" w:rsidRDefault="00EB4EB5" w:rsidP="00C62ED4">
      <w:pPr>
        <w:rPr>
          <w:lang w:bidi="ar-SA"/>
        </w:rPr>
      </w:pPr>
    </w:p>
    <w:p w14:paraId="6B3DB647" w14:textId="51D9B857" w:rsidR="00EB4EB5" w:rsidRDefault="00EB4EB5" w:rsidP="00C62ED4">
      <w:pPr>
        <w:rPr>
          <w:lang w:bidi="ar-SA"/>
        </w:rPr>
      </w:pPr>
      <w:r>
        <w:rPr>
          <w:lang w:bidi="ar-SA"/>
        </w:rPr>
        <w:t xml:space="preserve">FSANZ notes that these reports are not suitable for regulatory purposes given the very limited details provided and the inability to access the original study reports. </w:t>
      </w:r>
    </w:p>
    <w:p w14:paraId="0DDEDC65" w14:textId="664C3C54" w:rsidR="003F6712" w:rsidRDefault="00C32178" w:rsidP="0081797C">
      <w:pPr>
        <w:pStyle w:val="Heading3"/>
      </w:pPr>
      <w:bookmarkStart w:id="150" w:name="_Toc92722928"/>
      <w:bookmarkStart w:id="151" w:name="_Toc93592317"/>
      <w:bookmarkStart w:id="152" w:name="_Toc93585328"/>
      <w:bookmarkStart w:id="153" w:name="_Toc97041623"/>
      <w:r>
        <w:t>3.4.5</w:t>
      </w:r>
      <w:r>
        <w:tab/>
      </w:r>
      <w:r w:rsidR="003F6712">
        <w:t>Genotoxicity</w:t>
      </w:r>
      <w:bookmarkEnd w:id="150"/>
      <w:bookmarkEnd w:id="151"/>
      <w:bookmarkEnd w:id="152"/>
      <w:bookmarkEnd w:id="153"/>
    </w:p>
    <w:p w14:paraId="7DF387D6" w14:textId="4F03D367" w:rsidR="00EE5EEC" w:rsidRDefault="00EE5EEC" w:rsidP="00EE5EEC">
      <w:pPr>
        <w:pStyle w:val="Heading4"/>
      </w:pPr>
      <w:r>
        <w:t xml:space="preserve">Studies </w:t>
      </w:r>
      <w:r w:rsidR="00E7652E">
        <w:t xml:space="preserve">of </w:t>
      </w:r>
      <w:r w:rsidR="00110B8D">
        <w:t>the CPC preparation</w:t>
      </w:r>
      <w:r w:rsidR="00E7652E">
        <w:t xml:space="preserve"> </w:t>
      </w:r>
      <w:r>
        <w:t>commissioned by the applicant</w:t>
      </w:r>
    </w:p>
    <w:p w14:paraId="41EB4E31" w14:textId="5852E78F" w:rsidR="003F6712" w:rsidRDefault="00D34F60" w:rsidP="00D34F60">
      <w:pPr>
        <w:pStyle w:val="Heading5"/>
      </w:pPr>
      <w:r>
        <w:t xml:space="preserve">Bacterial reverse mutation assay with </w:t>
      </w:r>
      <w:r w:rsidR="00110B8D">
        <w:t>the CPC preparation</w:t>
      </w:r>
      <w:r>
        <w:t xml:space="preserve"> (Next Centur</w:t>
      </w:r>
      <w:r w:rsidR="0089451F">
        <w:t xml:space="preserve">y Incorporated 2002) Regulatory </w:t>
      </w:r>
      <w:r>
        <w:t>status: GLP; Conducted in accordance with OECD TG 471 (1997)</w:t>
      </w:r>
    </w:p>
    <w:p w14:paraId="33477325" w14:textId="03A1D847" w:rsidR="00D34F60" w:rsidRDefault="00110B8D" w:rsidP="00C62ED4">
      <w:pPr>
        <w:rPr>
          <w:lang w:bidi="ar-SA"/>
        </w:rPr>
      </w:pPr>
      <w:r>
        <w:rPr>
          <w:lang w:bidi="ar-SA"/>
        </w:rPr>
        <w:t>The CPC preparation</w:t>
      </w:r>
      <w:r w:rsidR="0089451F">
        <w:rPr>
          <w:lang w:bidi="ar-SA"/>
        </w:rPr>
        <w:t xml:space="preserve"> was tested in a bacterial reverse mutation assay in </w:t>
      </w:r>
      <w:r w:rsidR="0089451F" w:rsidRPr="0089451F">
        <w:rPr>
          <w:i/>
          <w:lang w:bidi="ar-SA"/>
        </w:rPr>
        <w:t xml:space="preserve">Salmonella </w:t>
      </w:r>
      <w:r w:rsidR="00C55940" w:rsidRPr="00C55940">
        <w:rPr>
          <w:i/>
          <w:lang w:bidi="ar-SA"/>
        </w:rPr>
        <w:t>typhimurium</w:t>
      </w:r>
      <w:r w:rsidR="0089451F">
        <w:rPr>
          <w:lang w:bidi="ar-SA"/>
        </w:rPr>
        <w:t xml:space="preserve"> strains TA97a, TA98, TA100 and </w:t>
      </w:r>
      <w:r w:rsidR="0083471B">
        <w:rPr>
          <w:lang w:bidi="ar-SA"/>
        </w:rPr>
        <w:t xml:space="preserve">TA1535 </w:t>
      </w:r>
      <w:r w:rsidR="0089451F">
        <w:rPr>
          <w:lang w:bidi="ar-SA"/>
        </w:rPr>
        <w:t xml:space="preserve">plus </w:t>
      </w:r>
      <w:r w:rsidR="0089451F" w:rsidRPr="0089451F">
        <w:rPr>
          <w:i/>
          <w:lang w:bidi="ar-SA"/>
        </w:rPr>
        <w:t>Escherichia coli</w:t>
      </w:r>
      <w:r w:rsidR="0089451F">
        <w:rPr>
          <w:lang w:bidi="ar-SA"/>
        </w:rPr>
        <w:t xml:space="preserve"> WP2 uvrA (pKM101) in the presence and absence of metabolic activation (rat liver S9 mix). The vehicle control was water.  </w:t>
      </w:r>
    </w:p>
    <w:p w14:paraId="488E950C" w14:textId="3303CA6E" w:rsidR="0089451F" w:rsidRDefault="0089451F" w:rsidP="00C62ED4">
      <w:pPr>
        <w:rPr>
          <w:lang w:bidi="ar-SA"/>
        </w:rPr>
      </w:pPr>
    </w:p>
    <w:p w14:paraId="3379A020" w14:textId="4F9D91FF" w:rsidR="0089451F" w:rsidRDefault="00432571" w:rsidP="00C62ED4">
      <w:pPr>
        <w:rPr>
          <w:lang w:bidi="ar-SA"/>
        </w:rPr>
      </w:pPr>
      <w:r>
        <w:rPr>
          <w:lang w:bidi="ar-SA"/>
        </w:rPr>
        <w:t xml:space="preserve">No treatment-related increases in the number of revertant colonies were observed in the presence or absence of metabolic activation in any strain. </w:t>
      </w:r>
    </w:p>
    <w:p w14:paraId="21831E52" w14:textId="59DBC894" w:rsidR="00C21D0E" w:rsidRDefault="00C21D0E" w:rsidP="00C62ED4">
      <w:pPr>
        <w:rPr>
          <w:lang w:bidi="ar-SA"/>
        </w:rPr>
      </w:pPr>
    </w:p>
    <w:p w14:paraId="5FAAC5C8" w14:textId="3CD09919" w:rsidR="00C21D0E" w:rsidRDefault="00C21D0E" w:rsidP="00C62ED4">
      <w:pPr>
        <w:rPr>
          <w:lang w:bidi="ar-SA"/>
        </w:rPr>
      </w:pPr>
      <w:r>
        <w:rPr>
          <w:lang w:bidi="ar-SA"/>
        </w:rPr>
        <w:t xml:space="preserve">It was concluded that </w:t>
      </w:r>
      <w:r w:rsidR="00110B8D">
        <w:rPr>
          <w:lang w:bidi="ar-SA"/>
        </w:rPr>
        <w:t>the CPC preparation</w:t>
      </w:r>
      <w:r>
        <w:rPr>
          <w:lang w:bidi="ar-SA"/>
        </w:rPr>
        <w:t xml:space="preserve"> was not mutagenic under the conditions of the study. </w:t>
      </w:r>
    </w:p>
    <w:p w14:paraId="4F06A9D6" w14:textId="04B8993D" w:rsidR="00D34F60" w:rsidRDefault="004C7B5E" w:rsidP="004C7B5E">
      <w:pPr>
        <w:pStyle w:val="Heading5"/>
      </w:pPr>
      <w:r>
        <w:t xml:space="preserve">In vitro mammalian chromosome aberration assay with </w:t>
      </w:r>
      <w:r w:rsidR="00110B8D">
        <w:t>the CPC preparation</w:t>
      </w:r>
      <w:r>
        <w:t xml:space="preserve"> (Next Century Incorporated 2001) Regulatory status: GLP; Conducted in accordance with OECD TG 473 (1997)</w:t>
      </w:r>
    </w:p>
    <w:p w14:paraId="03A76EA9" w14:textId="4EBC5AAA" w:rsidR="005C7F62" w:rsidRDefault="00110B8D" w:rsidP="005C7F62">
      <w:pPr>
        <w:rPr>
          <w:lang w:bidi="ar-SA"/>
        </w:rPr>
      </w:pPr>
      <w:r>
        <w:rPr>
          <w:lang w:bidi="ar-SA"/>
        </w:rPr>
        <w:t>The CPC preparation</w:t>
      </w:r>
      <w:r w:rsidR="00B31969">
        <w:rPr>
          <w:lang w:bidi="ar-SA"/>
        </w:rPr>
        <w:t xml:space="preserve"> was evaluated for its ability to induce chromosome aberrations in Chinese Hamster Ovary (CHO) cells </w:t>
      </w:r>
      <w:r w:rsidR="00B31969" w:rsidRPr="00B31969">
        <w:rPr>
          <w:i/>
          <w:lang w:bidi="ar-SA"/>
        </w:rPr>
        <w:t>in vitro</w:t>
      </w:r>
      <w:r w:rsidR="00B31969">
        <w:rPr>
          <w:lang w:bidi="ar-SA"/>
        </w:rPr>
        <w:t>. The assay was performed using duplicate cultures.</w:t>
      </w:r>
      <w:r w:rsidR="00D870AD">
        <w:rPr>
          <w:lang w:bidi="ar-SA"/>
        </w:rPr>
        <w:t xml:space="preserve"> Water was used as the vehicle control.</w:t>
      </w:r>
    </w:p>
    <w:p w14:paraId="2A793982" w14:textId="77777777" w:rsidR="005C7F62" w:rsidRDefault="005C7F62" w:rsidP="005C7F62">
      <w:pPr>
        <w:rPr>
          <w:lang w:bidi="ar-SA"/>
        </w:rPr>
      </w:pPr>
    </w:p>
    <w:p w14:paraId="7CAECEC5" w14:textId="2F2F5604" w:rsidR="00D870AD" w:rsidRDefault="005C7F62" w:rsidP="005C7F62">
      <w:pPr>
        <w:rPr>
          <w:lang w:bidi="ar-SA"/>
        </w:rPr>
      </w:pPr>
      <w:r>
        <w:rPr>
          <w:lang w:bidi="ar-SA"/>
        </w:rPr>
        <w:t xml:space="preserve">Treatment with the CPC preparation did not increase the frequency of cells with chromosome aberrations or structural chromosomal aberrations. </w:t>
      </w:r>
      <w:r w:rsidR="000C4D24">
        <w:rPr>
          <w:lang w:bidi="ar-SA"/>
        </w:rPr>
        <w:t xml:space="preserve"> </w:t>
      </w:r>
    </w:p>
    <w:p w14:paraId="39136B78" w14:textId="160A28B0" w:rsidR="000C4D24" w:rsidRDefault="000C4D24" w:rsidP="00C62ED4">
      <w:pPr>
        <w:rPr>
          <w:lang w:bidi="ar-SA"/>
        </w:rPr>
      </w:pPr>
    </w:p>
    <w:p w14:paraId="2291E827" w14:textId="5AEEB0E7" w:rsidR="004011B1" w:rsidRDefault="000C4D24" w:rsidP="00C62ED4">
      <w:pPr>
        <w:rPr>
          <w:lang w:bidi="ar-SA"/>
        </w:rPr>
      </w:pPr>
      <w:r>
        <w:rPr>
          <w:lang w:bidi="ar-SA"/>
        </w:rPr>
        <w:t xml:space="preserve">It was concluded that </w:t>
      </w:r>
      <w:r w:rsidR="00110B8D">
        <w:rPr>
          <w:lang w:bidi="ar-SA"/>
        </w:rPr>
        <w:t>the CPC preparation</w:t>
      </w:r>
      <w:r>
        <w:rPr>
          <w:lang w:bidi="ar-SA"/>
        </w:rPr>
        <w:t xml:space="preserve"> was not clastogenic under the conditions of this study. </w:t>
      </w:r>
    </w:p>
    <w:p w14:paraId="1B1DB664" w14:textId="680B4D15" w:rsidR="002F466B" w:rsidRDefault="002F466B" w:rsidP="002F466B">
      <w:pPr>
        <w:pStyle w:val="Heading4"/>
      </w:pPr>
      <w:r>
        <w:t>Other studies</w:t>
      </w:r>
    </w:p>
    <w:p w14:paraId="1498FB18" w14:textId="727AAD05" w:rsidR="002F466B" w:rsidRDefault="002F466B" w:rsidP="00C62ED4">
      <w:pPr>
        <w:rPr>
          <w:lang w:bidi="ar-SA"/>
        </w:rPr>
      </w:pPr>
      <w:r>
        <w:rPr>
          <w:lang w:bidi="ar-SA"/>
        </w:rPr>
        <w:t xml:space="preserve">The applicant also </w:t>
      </w:r>
      <w:r w:rsidR="00981C9F">
        <w:rPr>
          <w:lang w:bidi="ar-SA"/>
        </w:rPr>
        <w:t>submitted</w:t>
      </w:r>
      <w:r>
        <w:rPr>
          <w:lang w:bidi="ar-SA"/>
        </w:rPr>
        <w:t xml:space="preserve"> a number of other studies </w:t>
      </w:r>
      <w:r w:rsidR="00272EF4">
        <w:rPr>
          <w:lang w:bidi="ar-SA"/>
        </w:rPr>
        <w:t>that provide some</w:t>
      </w:r>
      <w:r>
        <w:rPr>
          <w:lang w:bidi="ar-SA"/>
        </w:rPr>
        <w:t xml:space="preserve"> </w:t>
      </w:r>
      <w:r w:rsidR="00EE2C05">
        <w:rPr>
          <w:lang w:bidi="ar-SA"/>
        </w:rPr>
        <w:t xml:space="preserve">limited </w:t>
      </w:r>
      <w:r>
        <w:rPr>
          <w:lang w:bidi="ar-SA"/>
        </w:rPr>
        <w:t xml:space="preserve">additional information on the </w:t>
      </w:r>
      <w:r w:rsidR="00272EF4">
        <w:rPr>
          <w:lang w:bidi="ar-SA"/>
        </w:rPr>
        <w:t xml:space="preserve">potential </w:t>
      </w:r>
      <w:r>
        <w:rPr>
          <w:lang w:bidi="ar-SA"/>
        </w:rPr>
        <w:t xml:space="preserve">genotoxicity </w:t>
      </w:r>
      <w:r w:rsidR="00272EF4">
        <w:rPr>
          <w:lang w:bidi="ar-SA"/>
        </w:rPr>
        <w:t>of CPC</w:t>
      </w:r>
      <w:r w:rsidR="00F33D39">
        <w:rPr>
          <w:lang w:bidi="ar-SA"/>
        </w:rPr>
        <w:t xml:space="preserve">, </w:t>
      </w:r>
      <w:r w:rsidR="00F33D39" w:rsidRPr="00D12CA5">
        <w:rPr>
          <w:lang w:bidi="ar-SA"/>
        </w:rPr>
        <w:t>and an additional study was identified by FSANZ in a literature search</w:t>
      </w:r>
      <w:r w:rsidR="00272EF4" w:rsidRPr="00D12CA5">
        <w:rPr>
          <w:lang w:bidi="ar-SA"/>
        </w:rPr>
        <w:t xml:space="preserve">. </w:t>
      </w:r>
      <w:r w:rsidR="00E66D5B" w:rsidRPr="00D12CA5">
        <w:rPr>
          <w:lang w:bidi="ar-SA"/>
        </w:rPr>
        <w:t>These studies are br</w:t>
      </w:r>
      <w:r w:rsidR="00E66D5B">
        <w:rPr>
          <w:lang w:bidi="ar-SA"/>
        </w:rPr>
        <w:t xml:space="preserve">iefly summarised below. </w:t>
      </w:r>
    </w:p>
    <w:p w14:paraId="15C4B324" w14:textId="567C535F" w:rsidR="00FA70D1" w:rsidRDefault="00FA70D1" w:rsidP="00C62ED4">
      <w:pPr>
        <w:rPr>
          <w:lang w:bidi="ar-SA"/>
        </w:rPr>
      </w:pPr>
    </w:p>
    <w:p w14:paraId="0B0F681B" w14:textId="7E8AB8F0" w:rsidR="00F33D39" w:rsidRDefault="00D46469" w:rsidP="00F33D39">
      <w:pPr>
        <w:rPr>
          <w:lang w:bidi="ar-SA"/>
        </w:rPr>
      </w:pPr>
      <w:r>
        <w:rPr>
          <w:lang w:bidi="ar-SA"/>
        </w:rPr>
        <w:t>In a study of a representative Xerox reprographic toner containing 2% CPC</w:t>
      </w:r>
      <w:r w:rsidR="008A6FB8">
        <w:rPr>
          <w:lang w:bidi="ar-SA"/>
        </w:rPr>
        <w:t>,</w:t>
      </w:r>
      <w:r>
        <w:rPr>
          <w:lang w:bidi="ar-SA"/>
        </w:rPr>
        <w:t xml:space="preserve"> a thermoplastic polymer</w:t>
      </w:r>
      <w:r w:rsidR="008A6FB8">
        <w:rPr>
          <w:lang w:bidi="ar-SA"/>
        </w:rPr>
        <w:t xml:space="preserve"> (major component) and carbon black, negative results were reported in a range of tests, listed below</w:t>
      </w:r>
      <w:r w:rsidR="00C356E9">
        <w:rPr>
          <w:lang w:bidi="ar-SA"/>
        </w:rPr>
        <w:t xml:space="preserve"> (</w:t>
      </w:r>
      <w:r w:rsidR="00C356E9" w:rsidRPr="00E7652E">
        <w:rPr>
          <w:lang w:bidi="ar-SA"/>
        </w:rPr>
        <w:t>Lin 1999</w:t>
      </w:r>
      <w:r w:rsidR="00C356E9">
        <w:rPr>
          <w:lang w:bidi="ar-SA"/>
        </w:rPr>
        <w:t>)</w:t>
      </w:r>
      <w:r w:rsidR="00F33D39">
        <w:rPr>
          <w:lang w:bidi="ar-SA"/>
        </w:rPr>
        <w:t>.</w:t>
      </w:r>
      <w:r w:rsidR="00F33D39" w:rsidRPr="00F33D39">
        <w:rPr>
          <w:lang w:bidi="ar-SA"/>
        </w:rPr>
        <w:t xml:space="preserve"> </w:t>
      </w:r>
      <w:r w:rsidR="00F33D39">
        <w:rPr>
          <w:lang w:bidi="ar-SA"/>
        </w:rPr>
        <w:t xml:space="preserve">The results of these assays are of uncertain relevance for the assessment of CPC given the test item contained a number of ingredients in addition to CPC itself. </w:t>
      </w:r>
    </w:p>
    <w:p w14:paraId="78B1F1F8" w14:textId="77777777" w:rsidR="008A6FB8" w:rsidRDefault="008A6FB8" w:rsidP="00C62ED4">
      <w:pPr>
        <w:rPr>
          <w:lang w:bidi="ar-SA"/>
        </w:rPr>
      </w:pPr>
    </w:p>
    <w:p w14:paraId="09FB35F4" w14:textId="0F666DA6" w:rsidR="00D46469" w:rsidRPr="00110B8D" w:rsidRDefault="008A6FB8" w:rsidP="00110B8D">
      <w:pPr>
        <w:pStyle w:val="FSBullet2"/>
      </w:pPr>
      <w:r w:rsidRPr="00110B8D">
        <w:lastRenderedPageBreak/>
        <w:t xml:space="preserve">Bacterial reverse mutation assay with </w:t>
      </w:r>
      <w:r w:rsidRPr="00110B8D">
        <w:rPr>
          <w:i/>
        </w:rPr>
        <w:t xml:space="preserve">S. </w:t>
      </w:r>
      <w:r w:rsidR="00C55940" w:rsidRPr="00C55940">
        <w:rPr>
          <w:i/>
        </w:rPr>
        <w:t>t</w:t>
      </w:r>
      <w:r w:rsidRPr="00C55940">
        <w:rPr>
          <w:i/>
        </w:rPr>
        <w:t>yphimurium</w:t>
      </w:r>
      <w:r w:rsidRPr="00110B8D">
        <w:t xml:space="preserve"> strains TA1535, TA1537, TA1538, TA98 and TA100 at concentrations up to 1000 µg/plate in the presence and absence of metabolic activation (S9 mix)</w:t>
      </w:r>
      <w:r w:rsidR="00C356E9" w:rsidRPr="00110B8D">
        <w:t>.</w:t>
      </w:r>
    </w:p>
    <w:p w14:paraId="0CD93D92" w14:textId="6797E6BC" w:rsidR="008A6FB8" w:rsidRPr="00110B8D" w:rsidRDefault="008A6FB8" w:rsidP="00110B8D">
      <w:pPr>
        <w:pStyle w:val="FSBullet2"/>
      </w:pPr>
      <w:r w:rsidRPr="00110B8D">
        <w:t>Mouse lymphoma assay in L5178Y TK+/- cells at concentrations up to 400 µg/mL in the absence of S9 and up to 300 µg/mL in the presence of S9</w:t>
      </w:r>
      <w:r w:rsidR="00C356E9" w:rsidRPr="00110B8D">
        <w:t>.</w:t>
      </w:r>
    </w:p>
    <w:p w14:paraId="5246C2EA" w14:textId="754ABEB6" w:rsidR="008A6FB8" w:rsidRPr="00110B8D" w:rsidRDefault="008A6FB8" w:rsidP="00110B8D">
      <w:pPr>
        <w:pStyle w:val="FSBullet2"/>
      </w:pPr>
      <w:r w:rsidRPr="00110B8D">
        <w:t>Sister chromatid exchange assay in CHO cells at concentrations up to 100 µg/mL in the presence and absence of S9</w:t>
      </w:r>
      <w:r w:rsidR="00C356E9" w:rsidRPr="00110B8D">
        <w:t>.</w:t>
      </w:r>
    </w:p>
    <w:p w14:paraId="528CCBB4" w14:textId="6DF9811E" w:rsidR="00C356E9" w:rsidRPr="00110B8D" w:rsidRDefault="00C356E9" w:rsidP="00110B8D">
      <w:pPr>
        <w:pStyle w:val="FSBullet2"/>
      </w:pPr>
      <w:r w:rsidRPr="00110B8D">
        <w:t xml:space="preserve">BALB/3T3 in vitro cell transformation assay at concentrations up to 0.16 µg/mL. </w:t>
      </w:r>
    </w:p>
    <w:p w14:paraId="70A0FDFD" w14:textId="77777777" w:rsidR="00AD78C7" w:rsidRPr="00110B8D" w:rsidRDefault="00AD78C7" w:rsidP="00110B8D">
      <w:pPr>
        <w:pStyle w:val="FSBullet2"/>
      </w:pPr>
      <w:r w:rsidRPr="00110B8D">
        <w:t>Micronucleus assay in bone marrow of rats exposed to toner via inhalation (whole body exposure) at concentrations up to 1343 mg/m</w:t>
      </w:r>
      <w:r w:rsidRPr="0083471B">
        <w:rPr>
          <w:vertAlign w:val="superscript"/>
        </w:rPr>
        <w:t>3</w:t>
      </w:r>
      <w:r w:rsidRPr="00110B8D">
        <w:t>, 6 hours/day, 5 days/week for 13 weeks.</w:t>
      </w:r>
    </w:p>
    <w:p w14:paraId="59D59666" w14:textId="14724FB6" w:rsidR="00C356E9" w:rsidRDefault="00C356E9" w:rsidP="00C62ED4">
      <w:pPr>
        <w:rPr>
          <w:lang w:bidi="ar-SA"/>
        </w:rPr>
      </w:pPr>
    </w:p>
    <w:p w14:paraId="220707FC" w14:textId="77894CE4" w:rsidR="00F33D39" w:rsidRDefault="00F33D39" w:rsidP="00F33D39">
      <w:pPr>
        <w:rPr>
          <w:lang w:bidi="ar-SA"/>
        </w:rPr>
      </w:pPr>
      <w:r>
        <w:rPr>
          <w:lang w:bidi="ar-SA"/>
        </w:rPr>
        <w:t xml:space="preserve">Cepacol mouthwash (0.05% CPC; 16.8% ethanol) produced positive responses in the </w:t>
      </w:r>
      <w:r w:rsidRPr="00F33D39">
        <w:rPr>
          <w:i/>
          <w:lang w:bidi="ar-SA"/>
        </w:rPr>
        <w:t>Drosophila melanogaster</w:t>
      </w:r>
      <w:r>
        <w:rPr>
          <w:lang w:bidi="ar-SA"/>
        </w:rPr>
        <w:t xml:space="preserve"> Wing Spot test (</w:t>
      </w:r>
      <w:r w:rsidRPr="00F8483E">
        <w:rPr>
          <w:lang w:bidi="ar-SA"/>
        </w:rPr>
        <w:t>Rodrigues et al</w:t>
      </w:r>
      <w:r w:rsidR="00A7184B" w:rsidRPr="00F8483E">
        <w:rPr>
          <w:lang w:bidi="ar-SA"/>
        </w:rPr>
        <w:t>.</w:t>
      </w:r>
      <w:r w:rsidRPr="00F8483E">
        <w:rPr>
          <w:lang w:bidi="ar-SA"/>
        </w:rPr>
        <w:t xml:space="preserve"> 2007</w:t>
      </w:r>
      <w:r>
        <w:rPr>
          <w:lang w:bidi="ar-SA"/>
        </w:rPr>
        <w:t xml:space="preserve">). Induction of mitotic recombination was detected in flies exposed as larvae to feed rehydrated with the test item at concentrations of 75% and 100%. Subsequent studies with ethanol or CPC tested individually at the same concentrations as those present in the mouthwash showed that ethanol produced a positive response but CPC did not. The study authors concluded that the genotoxic effects of Cepacol mouthwash observed in this study were likely to be due to the ethanol content rather than CPC. </w:t>
      </w:r>
    </w:p>
    <w:p w14:paraId="5DE85F85" w14:textId="4A1B043A" w:rsidR="00AD78C7" w:rsidRDefault="00AD78C7" w:rsidP="00F33D39">
      <w:pPr>
        <w:rPr>
          <w:lang w:bidi="ar-SA"/>
        </w:rPr>
      </w:pPr>
    </w:p>
    <w:p w14:paraId="097E098E" w14:textId="78554CA7" w:rsidR="00AD78C7" w:rsidRDefault="00AD78C7" w:rsidP="00F33D39">
      <w:pPr>
        <w:rPr>
          <w:lang w:bidi="ar-SA"/>
        </w:rPr>
      </w:pPr>
      <w:r>
        <w:rPr>
          <w:lang w:bidi="ar-SA"/>
        </w:rPr>
        <w:t>Buccal mucosa cells obtained from healthy human volunteers (15/group) before and after two weeks of using</w:t>
      </w:r>
      <w:r w:rsidR="00D12CA5">
        <w:rPr>
          <w:lang w:bidi="ar-SA"/>
        </w:rPr>
        <w:t xml:space="preserve"> one of five</w:t>
      </w:r>
      <w:r>
        <w:rPr>
          <w:lang w:bidi="ar-SA"/>
        </w:rPr>
        <w:t xml:space="preserve"> mouthwashes twice a day were evaluated for the presence of micronucleated cells</w:t>
      </w:r>
      <w:r w:rsidR="00A7184B">
        <w:rPr>
          <w:lang w:bidi="ar-SA"/>
        </w:rPr>
        <w:t xml:space="preserve"> (</w:t>
      </w:r>
      <w:r w:rsidR="00A7184B" w:rsidRPr="00F8483E">
        <w:rPr>
          <w:lang w:bidi="ar-SA"/>
        </w:rPr>
        <w:t>Carlin et al. 2012</w:t>
      </w:r>
      <w:r w:rsidR="00A7184B">
        <w:rPr>
          <w:lang w:bidi="ar-SA"/>
        </w:rPr>
        <w:t>)</w:t>
      </w:r>
      <w:r>
        <w:rPr>
          <w:lang w:bidi="ar-SA"/>
        </w:rPr>
        <w:t xml:space="preserve">. The mouthwashes tested included Cepacol (0.05% CPC; 17.6% ethanol; 225 ppm sodium fluoride), Plax alcohol free (0.05% CPC; </w:t>
      </w:r>
      <w:r w:rsidR="00A7184B">
        <w:rPr>
          <w:lang w:bidi="ar-SA"/>
        </w:rPr>
        <w:t xml:space="preserve">225 ppm sodium fluoride) and Plax whitening (0.05% CPC; 17.6% ethanol; 225 ppm sodium fluoride; 1.5% hydrogen peroxide). Compared with baseline, no significant differences in the frequency of micronucleated cells following two weeks of using the CPC-containing mouthwashes. In addition, comet assays were performed </w:t>
      </w:r>
      <w:r w:rsidR="00D12CA5" w:rsidRPr="00D12CA5">
        <w:rPr>
          <w:i/>
          <w:lang w:bidi="ar-SA"/>
        </w:rPr>
        <w:t>in vitro</w:t>
      </w:r>
      <w:r w:rsidR="00D12CA5">
        <w:rPr>
          <w:lang w:bidi="ar-SA"/>
        </w:rPr>
        <w:t xml:space="preserve"> </w:t>
      </w:r>
      <w:r w:rsidR="00A7184B">
        <w:rPr>
          <w:lang w:bidi="ar-SA"/>
        </w:rPr>
        <w:t xml:space="preserve">with the mouthwashes on peripheral blood cells obtained from three healthy human volunteers. </w:t>
      </w:r>
      <w:r w:rsidR="00D12CA5">
        <w:rPr>
          <w:lang w:bidi="ar-SA"/>
        </w:rPr>
        <w:t xml:space="preserve">Exposure to </w:t>
      </w:r>
      <w:r w:rsidR="00A7184B">
        <w:rPr>
          <w:lang w:bidi="ar-SA"/>
        </w:rPr>
        <w:t xml:space="preserve">Cepacol and Plax alcohol free </w:t>
      </w:r>
      <w:r w:rsidR="00D12CA5">
        <w:rPr>
          <w:lang w:bidi="ar-SA"/>
        </w:rPr>
        <w:t xml:space="preserve">for 1 hour did not induce DNA strand breaks as measured by comet tail moment. Plax whitening induced a significant increase in tail moment, which was attributed to the presence of hydrogen peroxide in this mouthwash. </w:t>
      </w:r>
    </w:p>
    <w:p w14:paraId="31741620" w14:textId="4B5E02A6" w:rsidR="009635B3" w:rsidRDefault="009635B3" w:rsidP="00F33D39">
      <w:pPr>
        <w:rPr>
          <w:lang w:bidi="ar-SA"/>
        </w:rPr>
      </w:pPr>
    </w:p>
    <w:p w14:paraId="709868FA" w14:textId="04F2ACB9" w:rsidR="009635B3" w:rsidRDefault="009635B3" w:rsidP="00F33D39">
      <w:pPr>
        <w:rPr>
          <w:lang w:bidi="ar-SA"/>
        </w:rPr>
      </w:pPr>
      <w:r>
        <w:rPr>
          <w:lang w:bidi="ar-SA"/>
        </w:rPr>
        <w:t xml:space="preserve">Two additional studies submitted by the applicant were not reviewed by FSANZ as they were not considered to provide relevant information. </w:t>
      </w:r>
      <w:r w:rsidRPr="007701F1">
        <w:rPr>
          <w:lang w:bidi="ar-SA"/>
        </w:rPr>
        <w:t>Yamaguchi and Yamashita (1979</w:t>
      </w:r>
      <w:r>
        <w:rPr>
          <w:lang w:bidi="ar-SA"/>
        </w:rPr>
        <w:t xml:space="preserve">) assessed the impact of co-exposure to CPC or other detergents on the mutagenicity of autooxidised linolenic acid in a bacterial reverse mutation assay. However CPC was not tested alone in this study. </w:t>
      </w:r>
      <w:r w:rsidR="00A63137">
        <w:rPr>
          <w:lang w:bidi="ar-SA"/>
        </w:rPr>
        <w:t>T</w:t>
      </w:r>
      <w:r>
        <w:rPr>
          <w:lang w:bidi="ar-SA"/>
        </w:rPr>
        <w:t>he other study</w:t>
      </w:r>
      <w:r w:rsidR="00A63137">
        <w:rPr>
          <w:lang w:bidi="ar-SA"/>
        </w:rPr>
        <w:t xml:space="preserve"> assessed</w:t>
      </w:r>
      <w:r>
        <w:rPr>
          <w:lang w:bidi="ar-SA"/>
        </w:rPr>
        <w:t xml:space="preserve"> the effects of CPC on </w:t>
      </w:r>
      <w:r w:rsidR="00940D85">
        <w:rPr>
          <w:lang w:bidi="ar-SA"/>
        </w:rPr>
        <w:t>chromosome aberrations at anaphase in</w:t>
      </w:r>
      <w:r w:rsidR="00A63137">
        <w:rPr>
          <w:lang w:bidi="ar-SA"/>
        </w:rPr>
        <w:t xml:space="preserve"> root meristems of </w:t>
      </w:r>
      <w:r w:rsidR="00940D85" w:rsidRPr="00940D85">
        <w:rPr>
          <w:i/>
          <w:lang w:bidi="ar-SA"/>
        </w:rPr>
        <w:t>Vicia faba</w:t>
      </w:r>
      <w:r w:rsidR="00A63137">
        <w:rPr>
          <w:lang w:bidi="ar-SA"/>
        </w:rPr>
        <w:t xml:space="preserve"> (broad bean)</w:t>
      </w:r>
      <w:r w:rsidR="00A64131">
        <w:rPr>
          <w:lang w:bidi="ar-SA"/>
        </w:rPr>
        <w:t>, which are of uncertain relevance for mammalian cells</w:t>
      </w:r>
      <w:r w:rsidR="00A63137">
        <w:rPr>
          <w:lang w:bidi="ar-SA"/>
        </w:rPr>
        <w:t xml:space="preserve"> (</w:t>
      </w:r>
      <w:r w:rsidR="00C173B8" w:rsidRPr="00C173B8">
        <w:rPr>
          <w:lang w:bidi="ar-SA"/>
        </w:rPr>
        <w:t>Smith and Lotf</w:t>
      </w:r>
      <w:r w:rsidR="00A63137" w:rsidRPr="00C173B8">
        <w:rPr>
          <w:lang w:bidi="ar-SA"/>
        </w:rPr>
        <w:t>y 1955</w:t>
      </w:r>
      <w:r w:rsidR="00A63137">
        <w:rPr>
          <w:lang w:bidi="ar-SA"/>
        </w:rPr>
        <w:t xml:space="preserve">). </w:t>
      </w:r>
    </w:p>
    <w:p w14:paraId="4DE44BAD" w14:textId="72E69A6D" w:rsidR="000C1179" w:rsidRDefault="000C1179" w:rsidP="000C1179">
      <w:pPr>
        <w:pStyle w:val="Heading4"/>
      </w:pPr>
      <w:r>
        <w:t>Studies</w:t>
      </w:r>
      <w:r w:rsidR="00F21342">
        <w:t xml:space="preserve"> of CPC</w:t>
      </w:r>
      <w:r>
        <w:t xml:space="preserve"> not available to FSANZ</w:t>
      </w:r>
    </w:p>
    <w:p w14:paraId="0068A7A7" w14:textId="340BCE38" w:rsidR="00F33D39" w:rsidRDefault="000C1179" w:rsidP="00C62ED4">
      <w:pPr>
        <w:rPr>
          <w:lang w:bidi="ar-SA"/>
        </w:rPr>
      </w:pPr>
      <w:r>
        <w:rPr>
          <w:lang w:bidi="ar-SA"/>
        </w:rPr>
        <w:t xml:space="preserve">Several additional proprietary genotoxicity studies of CPC were reviewed by the SCCS: a bacterial reverse mutation test, </w:t>
      </w:r>
      <w:r w:rsidRPr="00F21342">
        <w:rPr>
          <w:i/>
          <w:lang w:bidi="ar-SA"/>
        </w:rPr>
        <w:t>in vitro</w:t>
      </w:r>
      <w:r>
        <w:rPr>
          <w:lang w:bidi="ar-SA"/>
        </w:rPr>
        <w:t xml:space="preserve"> </w:t>
      </w:r>
      <w:r w:rsidR="00F21342">
        <w:rPr>
          <w:lang w:bidi="ar-SA"/>
        </w:rPr>
        <w:t xml:space="preserve">mammalian cell </w:t>
      </w:r>
      <w:r>
        <w:rPr>
          <w:lang w:bidi="ar-SA"/>
        </w:rPr>
        <w:t xml:space="preserve">gene mutation and chromosome aberration tests and an </w:t>
      </w:r>
      <w:r w:rsidRPr="00F21342">
        <w:rPr>
          <w:i/>
          <w:lang w:bidi="ar-SA"/>
        </w:rPr>
        <w:t>in vivo</w:t>
      </w:r>
      <w:r>
        <w:rPr>
          <w:lang w:bidi="ar-SA"/>
        </w:rPr>
        <w:t xml:space="preserve"> </w:t>
      </w:r>
      <w:r w:rsidR="00F21342">
        <w:rPr>
          <w:lang w:bidi="ar-SA"/>
        </w:rPr>
        <w:t xml:space="preserve">mouse bone marrow </w:t>
      </w:r>
      <w:r>
        <w:rPr>
          <w:lang w:bidi="ar-SA"/>
        </w:rPr>
        <w:t>micron</w:t>
      </w:r>
      <w:r w:rsidR="00F21342">
        <w:rPr>
          <w:lang w:bidi="ar-SA"/>
        </w:rPr>
        <w:t xml:space="preserve">ucleus test (SCCS 2015). An additional bacterial reverse mutation assay is summarised in the REACH registration dossier for CPC. No evidence of genotoxicity was </w:t>
      </w:r>
      <w:r w:rsidR="003737D6">
        <w:rPr>
          <w:lang w:bidi="ar-SA"/>
        </w:rPr>
        <w:t>reported</w:t>
      </w:r>
      <w:r w:rsidR="00153DF8">
        <w:rPr>
          <w:lang w:bidi="ar-SA"/>
        </w:rPr>
        <w:t xml:space="preserve"> in any of these studies.</w:t>
      </w:r>
    </w:p>
    <w:p w14:paraId="53FAFAAC" w14:textId="659F3FE7" w:rsidR="0022105A" w:rsidRDefault="0081797C" w:rsidP="00D15757">
      <w:pPr>
        <w:pStyle w:val="Heading2"/>
      </w:pPr>
      <w:bookmarkStart w:id="154" w:name="_Toc92722929"/>
      <w:bookmarkStart w:id="155" w:name="_Toc93592318"/>
      <w:bookmarkStart w:id="156" w:name="_Toc93585329"/>
      <w:bookmarkStart w:id="157" w:name="_Toc97041624"/>
      <w:r>
        <w:t>3</w:t>
      </w:r>
      <w:r w:rsidR="0022105A">
        <w:t>.5</w:t>
      </w:r>
      <w:r w:rsidR="0022105A">
        <w:tab/>
        <w:t>Potential for allergenicity</w:t>
      </w:r>
      <w:bookmarkEnd w:id="154"/>
      <w:bookmarkEnd w:id="155"/>
      <w:bookmarkEnd w:id="156"/>
      <w:bookmarkEnd w:id="157"/>
    </w:p>
    <w:p w14:paraId="0CC0169C" w14:textId="2350F231" w:rsidR="0007265A" w:rsidRDefault="00B62ED3" w:rsidP="00C62ED4">
      <w:pPr>
        <w:rPr>
          <w:lang w:bidi="ar-SA"/>
        </w:rPr>
      </w:pPr>
      <w:r w:rsidRPr="00B62ED3">
        <w:rPr>
          <w:lang w:bidi="ar-SA"/>
        </w:rPr>
        <w:t xml:space="preserve">No reports of food allergy attributed to consumption of CPC </w:t>
      </w:r>
      <w:r w:rsidR="003C633B">
        <w:rPr>
          <w:lang w:bidi="ar-SA"/>
        </w:rPr>
        <w:t xml:space="preserve">or </w:t>
      </w:r>
      <w:r w:rsidR="00D80D51">
        <w:rPr>
          <w:lang w:bidi="ar-SA"/>
        </w:rPr>
        <w:t>the CPC preparation</w:t>
      </w:r>
      <w:r w:rsidR="003C633B">
        <w:rPr>
          <w:lang w:bidi="ar-SA"/>
        </w:rPr>
        <w:t xml:space="preserve"> </w:t>
      </w:r>
      <w:r w:rsidRPr="00B62ED3">
        <w:rPr>
          <w:lang w:bidi="ar-SA"/>
        </w:rPr>
        <w:t>were identified</w:t>
      </w:r>
      <w:r w:rsidR="0065211B">
        <w:rPr>
          <w:lang w:bidi="ar-SA"/>
        </w:rPr>
        <w:t xml:space="preserve"> in a literature search</w:t>
      </w:r>
      <w:r w:rsidRPr="00B62ED3">
        <w:rPr>
          <w:lang w:bidi="ar-SA"/>
        </w:rPr>
        <w:t xml:space="preserve">. </w:t>
      </w:r>
    </w:p>
    <w:p w14:paraId="79EFBC31" w14:textId="77777777" w:rsidR="0007265A" w:rsidRDefault="0007265A" w:rsidP="00C62ED4">
      <w:pPr>
        <w:rPr>
          <w:lang w:bidi="ar-SA"/>
        </w:rPr>
      </w:pPr>
    </w:p>
    <w:p w14:paraId="3492F80D" w14:textId="36A8F2C4" w:rsidR="00E40D0B" w:rsidRDefault="0065211B" w:rsidP="00C62ED4">
      <w:pPr>
        <w:rPr>
          <w:lang w:bidi="ar-SA"/>
        </w:rPr>
      </w:pPr>
      <w:r>
        <w:rPr>
          <w:lang w:bidi="ar-SA"/>
        </w:rPr>
        <w:t>A single</w:t>
      </w:r>
      <w:r w:rsidR="00E40D0B">
        <w:rPr>
          <w:lang w:bidi="ar-SA"/>
        </w:rPr>
        <w:t xml:space="preserve"> case report of an immediate hypersensitivity reaction to a throat spray containing CPC was identified (</w:t>
      </w:r>
      <w:r w:rsidR="00E40D0B" w:rsidRPr="0080377C">
        <w:rPr>
          <w:lang w:bidi="ar-SA"/>
        </w:rPr>
        <w:t>Shima et al. 2015</w:t>
      </w:r>
      <w:r w:rsidR="00E40D0B">
        <w:rPr>
          <w:lang w:bidi="ar-SA"/>
        </w:rPr>
        <w:t xml:space="preserve">). A 67 year old male with a history of using throat lozenges and throat sprays developed generalised wheals, swelling of the eyelids and lips and dyspnoea twenty minutes after taking prescription medicine and using a throat spray. He recovered after receiving systemic corticosteroid therapy. </w:t>
      </w:r>
      <w:r w:rsidR="003168B2">
        <w:rPr>
          <w:lang w:bidi="ar-SA"/>
        </w:rPr>
        <w:t xml:space="preserve">Drug lymphocyte stimulation tests for two of the medications he was taking, loxoprofen sodium and cefcapene pivoxil hydrochloride, were negative. Prick tests for all components of the throat spray (glycerol, propylene glycol, l-menthol, citric acid, sodium citrate and CPC) did not induce a positive reaction after 15 minutes. An intradermal test with a 1% CPC solution induced a wheal 23 mm in diameter and erythema &gt; 50 mm in diameter after 15 minutes, accompanied by throat irritation. The individual’s forearm was severely swollen and tender several hours after the skin tests, and systemic corticosteroid therapy was administered. Signs and symptoms were relieved within a week. Prick and intradermal tests with CPC in five healthy subjects gave negative results, suggesting that the symptoms were not caused by a non-immunological reaction. The study authors concluded that the individual </w:t>
      </w:r>
      <w:r>
        <w:rPr>
          <w:lang w:bidi="ar-SA"/>
        </w:rPr>
        <w:t xml:space="preserve">had an immediate hypersensitivity reaction caused by CPC in the throat spray. </w:t>
      </w:r>
    </w:p>
    <w:p w14:paraId="55A18305" w14:textId="77777777" w:rsidR="00E40D0B" w:rsidRDefault="00E40D0B" w:rsidP="00C62ED4">
      <w:pPr>
        <w:rPr>
          <w:lang w:bidi="ar-SA"/>
        </w:rPr>
      </w:pPr>
    </w:p>
    <w:p w14:paraId="3DABB78C" w14:textId="123EF9C9" w:rsidR="003C633B" w:rsidRDefault="0007265A" w:rsidP="00C62ED4">
      <w:pPr>
        <w:rPr>
          <w:lang w:bidi="ar-SA"/>
        </w:rPr>
      </w:pPr>
      <w:r>
        <w:rPr>
          <w:lang w:bidi="ar-SA"/>
        </w:rPr>
        <w:t xml:space="preserve">Several case reports and studies have recorded incidents of allergic contact dermatitis attributed to </w:t>
      </w:r>
      <w:r w:rsidR="003C633B">
        <w:rPr>
          <w:lang w:bidi="ar-SA"/>
        </w:rPr>
        <w:t xml:space="preserve">the presence of </w:t>
      </w:r>
      <w:r>
        <w:rPr>
          <w:lang w:bidi="ar-SA"/>
        </w:rPr>
        <w:t xml:space="preserve">CPC </w:t>
      </w:r>
      <w:r w:rsidR="003168B2">
        <w:rPr>
          <w:lang w:bidi="ar-SA"/>
        </w:rPr>
        <w:t>as part of the lubricant</w:t>
      </w:r>
      <w:r>
        <w:rPr>
          <w:lang w:bidi="ar-SA"/>
        </w:rPr>
        <w:t xml:space="preserve"> in latex and latex-free medical gloves (</w:t>
      </w:r>
      <w:r w:rsidRPr="0080377C">
        <w:rPr>
          <w:lang w:bidi="ar-SA"/>
        </w:rPr>
        <w:t xml:space="preserve">Castelain and Castelain 1993; </w:t>
      </w:r>
      <w:r w:rsidRPr="00A72D79">
        <w:rPr>
          <w:lang w:bidi="ar-SA"/>
        </w:rPr>
        <w:t>Steinkjer 1998;</w:t>
      </w:r>
      <w:r w:rsidRPr="00912058">
        <w:rPr>
          <w:lang w:bidi="ar-SA"/>
        </w:rPr>
        <w:t xml:space="preserve"> Baeck et al. 2012; </w:t>
      </w:r>
      <w:r w:rsidRPr="00192F95">
        <w:rPr>
          <w:lang w:bidi="ar-SA"/>
        </w:rPr>
        <w:t>Pont</w:t>
      </w:r>
      <w:r w:rsidRPr="00192F95">
        <w:rPr>
          <w:rFonts w:cs="Arial"/>
          <w:lang w:bidi="ar-SA"/>
        </w:rPr>
        <w:t>é</w:t>
      </w:r>
      <w:r w:rsidRPr="00192F95">
        <w:rPr>
          <w:lang w:bidi="ar-SA"/>
        </w:rPr>
        <w:t>n et al. 2012</w:t>
      </w:r>
      <w:r>
        <w:rPr>
          <w:lang w:bidi="ar-SA"/>
        </w:rPr>
        <w:t xml:space="preserve">). </w:t>
      </w:r>
    </w:p>
    <w:p w14:paraId="5A6516B1" w14:textId="200CD232" w:rsidR="00C62ED4" w:rsidRDefault="0081797C" w:rsidP="00D15757">
      <w:pPr>
        <w:pStyle w:val="Heading2"/>
      </w:pPr>
      <w:bookmarkStart w:id="158" w:name="_Toc62657935"/>
      <w:bookmarkStart w:id="159" w:name="_Toc62738985"/>
      <w:bookmarkStart w:id="160" w:name="_Toc62743571"/>
      <w:bookmarkStart w:id="161" w:name="_Toc63330876"/>
      <w:bookmarkStart w:id="162" w:name="_Toc92722930"/>
      <w:bookmarkStart w:id="163" w:name="_Toc93592319"/>
      <w:bookmarkStart w:id="164" w:name="_Toc93585330"/>
      <w:bookmarkStart w:id="165" w:name="_Toc97041625"/>
      <w:r>
        <w:t>3</w:t>
      </w:r>
      <w:r w:rsidR="0022105A">
        <w:t>.6</w:t>
      </w:r>
      <w:r w:rsidR="00C62ED4">
        <w:tab/>
        <w:t>Safety assessments by international agencies or other national government agencies</w:t>
      </w:r>
      <w:bookmarkEnd w:id="158"/>
      <w:bookmarkEnd w:id="159"/>
      <w:bookmarkEnd w:id="160"/>
      <w:bookmarkEnd w:id="161"/>
      <w:bookmarkEnd w:id="162"/>
      <w:bookmarkEnd w:id="163"/>
      <w:bookmarkEnd w:id="164"/>
      <w:bookmarkEnd w:id="165"/>
    </w:p>
    <w:p w14:paraId="28BADD78" w14:textId="4CC9470C" w:rsidR="002C3C28" w:rsidRDefault="002C3C28" w:rsidP="002C3C28">
      <w:pPr>
        <w:pStyle w:val="Heading4"/>
      </w:pPr>
      <w:r>
        <w:t>Antimicrobial uses of CPC for poultry</w:t>
      </w:r>
    </w:p>
    <w:p w14:paraId="11EA7B76" w14:textId="3FAF5F60" w:rsidR="00464963" w:rsidRDefault="00095971" w:rsidP="00C62ED4">
      <w:pPr>
        <w:rPr>
          <w:lang w:bidi="ar-SA"/>
        </w:rPr>
      </w:pPr>
      <w:r>
        <w:rPr>
          <w:lang w:bidi="ar-SA"/>
        </w:rPr>
        <w:t xml:space="preserve">The US FDA has assessed the safety of </w:t>
      </w:r>
      <w:r w:rsidR="00160FB2">
        <w:rPr>
          <w:lang w:bidi="ar-SA"/>
        </w:rPr>
        <w:t xml:space="preserve">the </w:t>
      </w:r>
      <w:r>
        <w:rPr>
          <w:lang w:bidi="ar-SA"/>
        </w:rPr>
        <w:t xml:space="preserve">CPC </w:t>
      </w:r>
      <w:r w:rsidR="000375BD">
        <w:rPr>
          <w:lang w:bidi="ar-SA"/>
        </w:rPr>
        <w:t>preparation</w:t>
      </w:r>
      <w:r w:rsidR="00160FB2">
        <w:rPr>
          <w:lang w:bidi="ar-SA"/>
        </w:rPr>
        <w:t xml:space="preserve"> </w:t>
      </w:r>
      <w:r>
        <w:rPr>
          <w:lang w:bidi="ar-SA"/>
        </w:rPr>
        <w:t xml:space="preserve">as an antimicrobial agent in pre-chiller or post-chiller solutions for application to raw </w:t>
      </w:r>
      <w:r w:rsidR="00706068">
        <w:rPr>
          <w:lang w:bidi="ar-SA"/>
        </w:rPr>
        <w:t>poultry carcasses. The US FDA established an acceptable daily intake (ADI) of 0.008 mg/kg bw/day CPC (equivalent to 0.48 mg/person/day for a 60 kg individual), based on</w:t>
      </w:r>
      <w:r w:rsidR="00160FB2">
        <w:rPr>
          <w:lang w:bidi="ar-SA"/>
        </w:rPr>
        <w:t xml:space="preserve"> the NOEL of 8 mg/kg bw/day in the</w:t>
      </w:r>
      <w:r w:rsidR="00706068">
        <w:rPr>
          <w:lang w:bidi="ar-SA"/>
        </w:rPr>
        <w:t xml:space="preserve"> 90 day </w:t>
      </w:r>
      <w:r w:rsidR="00160FB2">
        <w:rPr>
          <w:lang w:bidi="ar-SA"/>
        </w:rPr>
        <w:t xml:space="preserve">dietary toxicity </w:t>
      </w:r>
      <w:r w:rsidR="00706068">
        <w:rPr>
          <w:lang w:bidi="ar-SA"/>
        </w:rPr>
        <w:t>study in dogs and a 1000-fold safety factor. Mean and 90</w:t>
      </w:r>
      <w:r w:rsidR="00706068" w:rsidRPr="00706068">
        <w:rPr>
          <w:vertAlign w:val="superscript"/>
          <w:lang w:bidi="ar-SA"/>
        </w:rPr>
        <w:t>th</w:t>
      </w:r>
      <w:r w:rsidR="00706068">
        <w:rPr>
          <w:lang w:bidi="ar-SA"/>
        </w:rPr>
        <w:t xml:space="preserve"> percentile estimated daily intakes of CPC from the proposed use were 0.0275 and 0.065 mg/person/day, and it was concluded that the proposed use was safe for humans</w:t>
      </w:r>
      <w:r w:rsidR="00D61EE0">
        <w:rPr>
          <w:lang w:bidi="ar-SA"/>
        </w:rPr>
        <w:t xml:space="preserve"> (</w:t>
      </w:r>
      <w:r w:rsidR="00D61EE0" w:rsidRPr="00192F95">
        <w:rPr>
          <w:lang w:bidi="ar-SA"/>
        </w:rPr>
        <w:t>US FDA 2007</w:t>
      </w:r>
      <w:r w:rsidR="00D61EE0">
        <w:rPr>
          <w:lang w:bidi="ar-SA"/>
        </w:rPr>
        <w:t>)</w:t>
      </w:r>
      <w:r w:rsidR="00706068">
        <w:rPr>
          <w:lang w:bidi="ar-SA"/>
        </w:rPr>
        <w:t xml:space="preserve">. </w:t>
      </w:r>
    </w:p>
    <w:p w14:paraId="7B446305" w14:textId="2201D6E7" w:rsidR="00255794" w:rsidRDefault="00255794" w:rsidP="00C62ED4">
      <w:pPr>
        <w:rPr>
          <w:lang w:bidi="ar-SA"/>
        </w:rPr>
      </w:pPr>
    </w:p>
    <w:p w14:paraId="296A8BB0" w14:textId="19453E2C" w:rsidR="00C62ED4" w:rsidRPr="00C62ED4" w:rsidRDefault="006E7625" w:rsidP="00C62ED4">
      <w:pPr>
        <w:rPr>
          <w:lang w:bidi="ar-SA"/>
        </w:rPr>
      </w:pPr>
      <w:r>
        <w:rPr>
          <w:lang w:bidi="ar-SA"/>
        </w:rPr>
        <w:t xml:space="preserve">The applicant’s </w:t>
      </w:r>
      <w:r w:rsidR="000375BD">
        <w:t>CPC preparation</w:t>
      </w:r>
      <w:r>
        <w:t xml:space="preserve"> was assessed by the EFSA Panel on Food Contact Materials, Enzymes, Flavourings and Processing Aids (CEF) in 2012. </w:t>
      </w:r>
      <w:r w:rsidR="006761D2">
        <w:t xml:space="preserve">The CEF Panel concluded that there was no concern for genotoxicity of CPC. A health-based guidance value (HBGV) could not be established for CPC due to </w:t>
      </w:r>
      <w:r w:rsidR="003737D6">
        <w:t>the</w:t>
      </w:r>
      <w:r w:rsidR="006761D2">
        <w:t xml:space="preserve"> lack of available studies of long-term, developmental and reproductive toxicity. However, a point of departure of 18 mg/kg bw/day was identified, which was the NOAEL from the 90-day dietary toxicity study in rats. The NOAEL was based on findings of increased caecal weight relative to body weight at higher doses, which the Panel considered could potentially be related to an effect on the composition of gastrointestinal microbiota. </w:t>
      </w:r>
      <w:r w:rsidR="00464963">
        <w:t xml:space="preserve">A comparison of this NOAEL with estimated dietary exposures gave margins of safety &gt; </w:t>
      </w:r>
      <w:r w:rsidR="003737D6">
        <w:t>3</w:t>
      </w:r>
      <w:r w:rsidR="00464963">
        <w:t xml:space="preserve">000 and &gt; </w:t>
      </w:r>
      <w:r w:rsidR="003737D6">
        <w:t>1</w:t>
      </w:r>
      <w:r w:rsidR="00464963">
        <w:t>000 for mean and 97.5</w:t>
      </w:r>
      <w:r w:rsidR="00464963" w:rsidRPr="00464963">
        <w:rPr>
          <w:vertAlign w:val="superscript"/>
        </w:rPr>
        <w:t>th</w:t>
      </w:r>
      <w:r w:rsidR="00464963">
        <w:t xml:space="preserve"> percentile exposures, respectively. </w:t>
      </w:r>
    </w:p>
    <w:p w14:paraId="6C5E287F" w14:textId="26B4A6D1" w:rsidR="005F7323" w:rsidRDefault="005F7323" w:rsidP="005F7323">
      <w:pPr>
        <w:rPr>
          <w:lang w:bidi="ar-SA"/>
        </w:rPr>
      </w:pPr>
    </w:p>
    <w:p w14:paraId="0524A803" w14:textId="05F9F48B" w:rsidR="00A30350" w:rsidRDefault="007E7548" w:rsidP="005F7323">
      <w:pPr>
        <w:rPr>
          <w:lang w:bidi="ar-SA"/>
        </w:rPr>
      </w:pPr>
      <w:r>
        <w:rPr>
          <w:lang w:bidi="ar-SA"/>
        </w:rPr>
        <w:t xml:space="preserve">The applicant also provided documentation indicating that the safety of </w:t>
      </w:r>
      <w:r w:rsidR="000375BD">
        <w:rPr>
          <w:lang w:bidi="ar-SA"/>
        </w:rPr>
        <w:t>the CPC preparation</w:t>
      </w:r>
      <w:r w:rsidR="001B01CA">
        <w:rPr>
          <w:lang w:bidi="ar-SA"/>
        </w:rPr>
        <w:t xml:space="preserve"> as an antimicrobial treatment for poultry carcasses</w:t>
      </w:r>
      <w:r>
        <w:rPr>
          <w:lang w:bidi="ar-SA"/>
        </w:rPr>
        <w:t xml:space="preserve"> </w:t>
      </w:r>
      <w:r w:rsidR="005A1991">
        <w:rPr>
          <w:lang w:bidi="ar-SA"/>
        </w:rPr>
        <w:t>was</w:t>
      </w:r>
      <w:r>
        <w:rPr>
          <w:lang w:bidi="ar-SA"/>
        </w:rPr>
        <w:t xml:space="preserve"> assessed by Health Canada </w:t>
      </w:r>
      <w:r w:rsidR="005A1991">
        <w:rPr>
          <w:lang w:bidi="ar-SA"/>
        </w:rPr>
        <w:t xml:space="preserve">in 2008 </w:t>
      </w:r>
      <w:r>
        <w:rPr>
          <w:lang w:bidi="ar-SA"/>
        </w:rPr>
        <w:t>and the Russian Ministry of Public Health</w:t>
      </w:r>
      <w:r w:rsidR="005A1991">
        <w:rPr>
          <w:lang w:bidi="ar-SA"/>
        </w:rPr>
        <w:t xml:space="preserve"> in 2004</w:t>
      </w:r>
      <w:r>
        <w:rPr>
          <w:lang w:bidi="ar-SA"/>
        </w:rPr>
        <w:t xml:space="preserve">. </w:t>
      </w:r>
    </w:p>
    <w:p w14:paraId="19969483" w14:textId="53930A0A" w:rsidR="002C3C28" w:rsidRDefault="002C3C28" w:rsidP="002C3C28">
      <w:pPr>
        <w:pStyle w:val="Heading4"/>
      </w:pPr>
      <w:r>
        <w:t>CPC in oral hygiene products</w:t>
      </w:r>
    </w:p>
    <w:p w14:paraId="6F2ED2DC" w14:textId="6DBC37EA" w:rsidR="002A3008" w:rsidRDefault="002A3008" w:rsidP="005F7323">
      <w:pPr>
        <w:rPr>
          <w:lang w:bidi="ar-SA"/>
        </w:rPr>
      </w:pPr>
      <w:r>
        <w:rPr>
          <w:lang w:bidi="ar-SA"/>
        </w:rPr>
        <w:t xml:space="preserve">The safety of CPC as an antigingivitis/antiplaque agent in mouthrinse formulations has been </w:t>
      </w:r>
      <w:r>
        <w:rPr>
          <w:lang w:bidi="ar-SA"/>
        </w:rPr>
        <w:lastRenderedPageBreak/>
        <w:t>evaluated by the US FDA.</w:t>
      </w:r>
      <w:r w:rsidR="00D533AE">
        <w:rPr>
          <w:lang w:bidi="ar-SA"/>
        </w:rPr>
        <w:t xml:space="preserve"> It was noted that FDA spontaneous adverse reaction and adverse events reports suggest that clinical experience of long-term over the counter use of CPC-based products has not revealed overt toxic manifestations. Oral irritation as well as tooth and tongue staining may occur with such products, however. </w:t>
      </w:r>
      <w:r>
        <w:rPr>
          <w:lang w:bidi="ar-SA"/>
        </w:rPr>
        <w:t>Based on the available toxicity studies, human clinical trials and adverse event data collected during more than 55 years of US marketing of mouthrinses containing CPC, the FDA concluded that CPC is safe in mouthrinse fo</w:t>
      </w:r>
      <w:r w:rsidR="00833650">
        <w:rPr>
          <w:lang w:bidi="ar-SA"/>
        </w:rPr>
        <w:t>r</w:t>
      </w:r>
      <w:r>
        <w:rPr>
          <w:lang w:bidi="ar-SA"/>
        </w:rPr>
        <w:t>mulations at concentrations of 0.045 – 0.1% (</w:t>
      </w:r>
      <w:r w:rsidRPr="00192F95">
        <w:rPr>
          <w:lang w:bidi="ar-SA"/>
        </w:rPr>
        <w:t>US FDA 2003</w:t>
      </w:r>
      <w:r>
        <w:rPr>
          <w:lang w:bidi="ar-SA"/>
        </w:rPr>
        <w:t xml:space="preserve">). </w:t>
      </w:r>
    </w:p>
    <w:p w14:paraId="22E255B5" w14:textId="245203E8" w:rsidR="002A3008" w:rsidRDefault="002A3008" w:rsidP="005F7323">
      <w:pPr>
        <w:rPr>
          <w:lang w:bidi="ar-SA"/>
        </w:rPr>
      </w:pPr>
    </w:p>
    <w:p w14:paraId="54D72A5E" w14:textId="036ACF7B" w:rsidR="0058351C" w:rsidRDefault="002A3008" w:rsidP="005F7323">
      <w:pPr>
        <w:rPr>
          <w:lang w:bidi="ar-SA"/>
        </w:rPr>
      </w:pPr>
      <w:r>
        <w:rPr>
          <w:lang w:bidi="ar-SA"/>
        </w:rPr>
        <w:t xml:space="preserve">The EU SCCS has also assessed the safety of CPC as a preservative in </w:t>
      </w:r>
      <w:r w:rsidR="00E848F6">
        <w:rPr>
          <w:lang w:bidi="ar-SA"/>
        </w:rPr>
        <w:t>mouthwashes up to a concentration of 0.1%, all other oral hygiene cosmetic products up to 0.5%, skin lotions and creams up to 0.2% and antiperspirant deodorants up to 2.0%. For dermal application, the NOAEL of 18 mg/kg bw/day identified by EFSA was used to derive</w:t>
      </w:r>
      <w:r w:rsidR="004144DB">
        <w:rPr>
          <w:lang w:bidi="ar-SA"/>
        </w:rPr>
        <w:t xml:space="preserve"> a margin of safety (MOS). Oral gavage studies were considered more relevant for the assessment of the oral applications, however. The SCCS identified a NOAEL of 5 mg/kg bw/day from the 6-month study in rats for use in MOS calculations for use of CPC in oral hygiene cosmetic products including mouthwashes. </w:t>
      </w:r>
      <w:r w:rsidR="0058351C">
        <w:rPr>
          <w:lang w:bidi="ar-SA"/>
        </w:rPr>
        <w:t>The SCCS noted that aggregate exposure to CPC from cosmetic products together with treated poultry</w:t>
      </w:r>
      <w:r w:rsidR="00C07038">
        <w:rPr>
          <w:lang w:bidi="ar-SA"/>
        </w:rPr>
        <w:t>,</w:t>
      </w:r>
      <w:r w:rsidR="0058351C">
        <w:rPr>
          <w:lang w:bidi="ar-SA"/>
        </w:rPr>
        <w:t xml:space="preserve"> based on worst case default assumptions for dermal and oral absorption</w:t>
      </w:r>
      <w:r w:rsidR="00C07038">
        <w:rPr>
          <w:lang w:bidi="ar-SA"/>
        </w:rPr>
        <w:t>,</w:t>
      </w:r>
      <w:r w:rsidR="0058351C">
        <w:rPr>
          <w:lang w:bidi="ar-SA"/>
        </w:rPr>
        <w:t xml:space="preserve"> may be of concern for some consumers based on a MOS &lt; 100</w:t>
      </w:r>
      <w:r w:rsidR="00C07038">
        <w:rPr>
          <w:lang w:bidi="ar-SA"/>
        </w:rPr>
        <w:t>. However the Committee</w:t>
      </w:r>
      <w:r w:rsidR="0058351C">
        <w:rPr>
          <w:lang w:bidi="ar-SA"/>
        </w:rPr>
        <w:t xml:space="preserve"> considered that simultaneous exposure from </w:t>
      </w:r>
      <w:r w:rsidR="00C07038">
        <w:rPr>
          <w:lang w:bidi="ar-SA"/>
        </w:rPr>
        <w:t xml:space="preserve">all </w:t>
      </w:r>
      <w:r w:rsidR="0058351C">
        <w:rPr>
          <w:lang w:bidi="ar-SA"/>
        </w:rPr>
        <w:t xml:space="preserve">cosmetic products and treated poultry is </w:t>
      </w:r>
      <w:r w:rsidR="00C07038">
        <w:rPr>
          <w:lang w:bidi="ar-SA"/>
        </w:rPr>
        <w:t>unlikely</w:t>
      </w:r>
      <w:r w:rsidR="0058351C">
        <w:rPr>
          <w:lang w:bidi="ar-SA"/>
        </w:rPr>
        <w:t xml:space="preserve"> (SCCS 2015). </w:t>
      </w:r>
    </w:p>
    <w:p w14:paraId="78DD7D88" w14:textId="77777777" w:rsidR="0058351C" w:rsidRDefault="0058351C" w:rsidP="005F7323">
      <w:pPr>
        <w:rPr>
          <w:lang w:bidi="ar-SA"/>
        </w:rPr>
      </w:pPr>
    </w:p>
    <w:p w14:paraId="796CABD4" w14:textId="7DAAD67B" w:rsidR="002A3008" w:rsidRDefault="000220E7" w:rsidP="005F7323">
      <w:pPr>
        <w:rPr>
          <w:lang w:bidi="ar-SA"/>
        </w:rPr>
      </w:pPr>
      <w:r>
        <w:rPr>
          <w:lang w:bidi="ar-SA"/>
        </w:rPr>
        <w:t>The SCCS also reviewed cosmetovigilance data on undesirable events associated with oral care products containing CPC collected by European companies from the period 1</w:t>
      </w:r>
      <w:r w:rsidRPr="000220E7">
        <w:rPr>
          <w:vertAlign w:val="superscript"/>
          <w:lang w:bidi="ar-SA"/>
        </w:rPr>
        <w:t>st</w:t>
      </w:r>
      <w:r>
        <w:rPr>
          <w:lang w:bidi="ar-SA"/>
        </w:rPr>
        <w:t xml:space="preserve"> July 2013 to 31</w:t>
      </w:r>
      <w:r w:rsidRPr="000220E7">
        <w:rPr>
          <w:vertAlign w:val="superscript"/>
          <w:lang w:bidi="ar-SA"/>
        </w:rPr>
        <w:t>st</w:t>
      </w:r>
      <w:r>
        <w:rPr>
          <w:lang w:bidi="ar-SA"/>
        </w:rPr>
        <w:t xml:space="preserve"> December 2014. The overall European industry rate of reported incidents classed as ‘likely’ or ‘very likely’ to be due to products containing CPC was estimated to be 0.76 per million units sold. The overall rate for undesirable effects considered ‘likely’ or ‘very likely’ and classified as oral mucosal irritation was estimated at 0.35 per million units sold. The company data was reported to indicate that oral mucosal irritation associated with CPC-based oral rinses is typically mild, self-limiting and may be confounded by pre-existing conditions given the purposes mouthwashes are typically used for. </w:t>
      </w:r>
      <w:r w:rsidR="004144DB">
        <w:rPr>
          <w:lang w:bidi="ar-SA"/>
        </w:rPr>
        <w:t xml:space="preserve">The SCCS concluded that with the exception of potential skin, eye and oral </w:t>
      </w:r>
      <w:r w:rsidR="009D45FE">
        <w:rPr>
          <w:lang w:bidi="ar-SA"/>
        </w:rPr>
        <w:t>mu</w:t>
      </w:r>
      <w:r w:rsidR="004144DB">
        <w:rPr>
          <w:lang w:bidi="ar-SA"/>
        </w:rPr>
        <w:t>cosal irritation, the use of CPC in the products assessed is safe for consumers (</w:t>
      </w:r>
      <w:r w:rsidR="004144DB" w:rsidRPr="00192F95">
        <w:rPr>
          <w:lang w:bidi="ar-SA"/>
        </w:rPr>
        <w:t>SCCS 2015</w:t>
      </w:r>
      <w:r w:rsidR="004144DB">
        <w:rPr>
          <w:lang w:bidi="ar-SA"/>
        </w:rPr>
        <w:t>)</w:t>
      </w:r>
      <w:r w:rsidR="00D17D7A">
        <w:rPr>
          <w:lang w:bidi="ar-SA"/>
        </w:rPr>
        <w:t>.</w:t>
      </w:r>
    </w:p>
    <w:p w14:paraId="30CC6A4E" w14:textId="19DC2BBE" w:rsidR="002C3C28" w:rsidRDefault="002C3C28" w:rsidP="002C3C28">
      <w:pPr>
        <w:pStyle w:val="Heading4"/>
      </w:pPr>
      <w:r>
        <w:t>Propylene glycol</w:t>
      </w:r>
    </w:p>
    <w:p w14:paraId="2E86D3E4" w14:textId="7B39F088" w:rsidR="002C3C28" w:rsidRDefault="002C3C28" w:rsidP="009D0B49">
      <w:pPr>
        <w:rPr>
          <w:lang w:bidi="ar-SA"/>
        </w:rPr>
      </w:pPr>
      <w:r>
        <w:rPr>
          <w:lang w:bidi="ar-SA"/>
        </w:rPr>
        <w:t>The Joint FAO/WHO Expert Committee on Food Additives (JECFA)</w:t>
      </w:r>
      <w:r w:rsidR="00FC615E">
        <w:rPr>
          <w:lang w:bidi="ar-SA"/>
        </w:rPr>
        <w:t xml:space="preserve"> has</w:t>
      </w:r>
      <w:r>
        <w:rPr>
          <w:lang w:bidi="ar-SA"/>
        </w:rPr>
        <w:t xml:space="preserve"> established an acceptable daily intake (ADI) of </w:t>
      </w:r>
      <w:r w:rsidR="00FC615E">
        <w:rPr>
          <w:lang w:bidi="ar-SA"/>
        </w:rPr>
        <w:t>0-</w:t>
      </w:r>
      <w:r>
        <w:rPr>
          <w:lang w:bidi="ar-SA"/>
        </w:rPr>
        <w:t>25 mg/kg bw for propylen</w:t>
      </w:r>
      <w:r w:rsidR="00FC615E">
        <w:rPr>
          <w:lang w:bidi="ar-SA"/>
        </w:rPr>
        <w:t>e glycol</w:t>
      </w:r>
      <w:r w:rsidR="009D0B49">
        <w:rPr>
          <w:lang w:bidi="ar-SA"/>
        </w:rPr>
        <w:t xml:space="preserve"> (WHO 1974). The Committee noted that propylene glycol is normally metabolised to lactic acid, and established the ADI based on the dose causing no toxicological effect in</w:t>
      </w:r>
      <w:r w:rsidR="00F61894">
        <w:rPr>
          <w:lang w:bidi="ar-SA"/>
        </w:rPr>
        <w:t xml:space="preserve"> 2-year dietary toxicity studies in</w:t>
      </w:r>
      <w:r w:rsidR="009D0B49">
        <w:rPr>
          <w:lang w:bidi="ar-SA"/>
        </w:rPr>
        <w:t xml:space="preserve"> rats and dogs (2500</w:t>
      </w:r>
      <w:r w:rsidR="00847A95">
        <w:rPr>
          <w:lang w:bidi="ar-SA"/>
        </w:rPr>
        <w:t xml:space="preserve"> and 2000</w:t>
      </w:r>
      <w:r w:rsidR="009D0B49">
        <w:rPr>
          <w:lang w:bidi="ar-SA"/>
        </w:rPr>
        <w:t xml:space="preserve"> mg/kg bw/day</w:t>
      </w:r>
      <w:r w:rsidR="00847A95">
        <w:rPr>
          <w:lang w:bidi="ar-SA"/>
        </w:rPr>
        <w:t>, respectively</w:t>
      </w:r>
      <w:r w:rsidR="009D0B49">
        <w:rPr>
          <w:lang w:bidi="ar-SA"/>
        </w:rPr>
        <w:t>) and a 100-fold uncertainty factor. In</w:t>
      </w:r>
      <w:r w:rsidR="006079A9">
        <w:rPr>
          <w:lang w:bidi="ar-SA"/>
        </w:rPr>
        <w:t xml:space="preserve"> </w:t>
      </w:r>
      <w:r w:rsidR="00F61894">
        <w:rPr>
          <w:lang w:bidi="ar-SA"/>
        </w:rPr>
        <w:t>the</w:t>
      </w:r>
      <w:r w:rsidR="006079A9">
        <w:rPr>
          <w:lang w:bidi="ar-SA"/>
        </w:rPr>
        <w:t xml:space="preserve"> study in</w:t>
      </w:r>
      <w:r w:rsidR="009D0B49">
        <w:rPr>
          <w:lang w:bidi="ar-SA"/>
        </w:rPr>
        <w:t xml:space="preserve"> dogs, findings suggestive of increased erythrocyte destruction with a compensatory increased rate of haematopoiesis were observed at 5000 mg/kg bw/day. </w:t>
      </w:r>
      <w:r w:rsidR="00F66C89">
        <w:rPr>
          <w:lang w:bidi="ar-SA"/>
        </w:rPr>
        <w:t>No other adverse effects were observed in this study.</w:t>
      </w:r>
      <w:r w:rsidR="009D0B49">
        <w:rPr>
          <w:lang w:bidi="ar-SA"/>
        </w:rPr>
        <w:t xml:space="preserve"> </w:t>
      </w:r>
      <w:r w:rsidR="00F66C89">
        <w:rPr>
          <w:lang w:bidi="ar-SA"/>
        </w:rPr>
        <w:t>The</w:t>
      </w:r>
      <w:r w:rsidR="0063232D">
        <w:rPr>
          <w:lang w:bidi="ar-SA"/>
        </w:rPr>
        <w:t xml:space="preserve"> ADI was maintained by JECFA at its 59</w:t>
      </w:r>
      <w:r w:rsidR="0063232D" w:rsidRPr="0063232D">
        <w:rPr>
          <w:vertAlign w:val="superscript"/>
          <w:lang w:bidi="ar-SA"/>
        </w:rPr>
        <w:t>th</w:t>
      </w:r>
      <w:r w:rsidR="0063232D">
        <w:rPr>
          <w:lang w:bidi="ar-SA"/>
        </w:rPr>
        <w:t xml:space="preserve"> meeting (WHO 2002). </w:t>
      </w:r>
    </w:p>
    <w:p w14:paraId="750157EA" w14:textId="50B70FC1" w:rsidR="0063232D" w:rsidRDefault="0063232D" w:rsidP="009D0B49">
      <w:pPr>
        <w:rPr>
          <w:lang w:bidi="ar-SA"/>
        </w:rPr>
      </w:pPr>
    </w:p>
    <w:p w14:paraId="19E446AB" w14:textId="75322CF3" w:rsidR="0063232D" w:rsidRDefault="00BF247E" w:rsidP="009D0B49">
      <w:pPr>
        <w:rPr>
          <w:lang w:bidi="ar-SA"/>
        </w:rPr>
      </w:pPr>
      <w:r>
        <w:rPr>
          <w:lang w:bidi="ar-SA"/>
        </w:rPr>
        <w:t xml:space="preserve">The European Scientific Committee on Food (SCF) evaluated propylene glycol as a food additive on several occasions and agreed with the ADI established by JECFA (reviewed in EFSA 2018). </w:t>
      </w:r>
      <w:r w:rsidR="0063232D">
        <w:rPr>
          <w:lang w:bidi="ar-SA"/>
        </w:rPr>
        <w:t xml:space="preserve">EFSA re-evaluated propylene glycol in </w:t>
      </w:r>
      <w:r>
        <w:rPr>
          <w:lang w:bidi="ar-SA"/>
        </w:rPr>
        <w:t>2018 and concluded that there was no reason to revise the ADI of 25 mg/kg bw/day (EFSA 2018).</w:t>
      </w:r>
    </w:p>
    <w:p w14:paraId="03050368" w14:textId="63153672" w:rsidR="00F61894" w:rsidRDefault="00F61894" w:rsidP="009D0B49">
      <w:pPr>
        <w:rPr>
          <w:lang w:bidi="ar-SA"/>
        </w:rPr>
      </w:pPr>
    </w:p>
    <w:p w14:paraId="3FD68EC1" w14:textId="642FDE61" w:rsidR="00F61894" w:rsidRDefault="00F61894" w:rsidP="009D0B49">
      <w:pPr>
        <w:rPr>
          <w:lang w:bidi="ar-SA"/>
        </w:rPr>
      </w:pPr>
      <w:r>
        <w:rPr>
          <w:lang w:bidi="ar-SA"/>
        </w:rPr>
        <w:t xml:space="preserve">The European Medicines Agency (EMA) considered the use of propylene glycol as an excipient in pharmaceutical products in 2017. The EMA concluded based on the available animal and clinical data that </w:t>
      </w:r>
      <w:r w:rsidR="006A03C8">
        <w:rPr>
          <w:lang w:bidi="ar-SA"/>
        </w:rPr>
        <w:t>for</w:t>
      </w:r>
      <w:r>
        <w:rPr>
          <w:lang w:bidi="ar-SA"/>
        </w:rPr>
        <w:t xml:space="preserve"> adult patients and children </w:t>
      </w:r>
      <w:r>
        <w:rPr>
          <w:rFonts w:cs="Arial"/>
          <w:lang w:bidi="ar-SA"/>
        </w:rPr>
        <w:t>≥</w:t>
      </w:r>
      <w:r>
        <w:rPr>
          <w:lang w:bidi="ar-SA"/>
        </w:rPr>
        <w:t xml:space="preserve"> 5 years of age,</w:t>
      </w:r>
      <w:r w:rsidR="006A03C8">
        <w:rPr>
          <w:lang w:bidi="ar-SA"/>
        </w:rPr>
        <w:t xml:space="preserve"> up to 500 mg/kg bw/day</w:t>
      </w:r>
      <w:r w:rsidR="009C081A">
        <w:rPr>
          <w:lang w:bidi="ar-SA"/>
        </w:rPr>
        <w:t xml:space="preserve"> administered orally or intravenously</w:t>
      </w:r>
      <w:r w:rsidR="006A03C8">
        <w:rPr>
          <w:lang w:bidi="ar-SA"/>
        </w:rPr>
        <w:t xml:space="preserve"> could generally be considered safe</w:t>
      </w:r>
      <w:r>
        <w:rPr>
          <w:lang w:bidi="ar-SA"/>
        </w:rPr>
        <w:t xml:space="preserve"> even for long term periods. For children aged </w:t>
      </w:r>
      <w:r w:rsidR="006A03C8">
        <w:rPr>
          <w:rFonts w:cs="Arial"/>
          <w:lang w:bidi="ar-SA"/>
        </w:rPr>
        <w:t xml:space="preserve">≥ 1 month - &lt; 5 years, it was considered safe to administer </w:t>
      </w:r>
      <w:r w:rsidR="006A03C8">
        <w:rPr>
          <w:rFonts w:cs="Arial"/>
          <w:lang w:bidi="ar-SA"/>
        </w:rPr>
        <w:lastRenderedPageBreak/>
        <w:t xml:space="preserve">doses up to 50 mg/kg bw/day (EMA 2017). </w:t>
      </w:r>
    </w:p>
    <w:p w14:paraId="6655E45C" w14:textId="727B9563" w:rsidR="00FC615E" w:rsidRDefault="00FC615E" w:rsidP="00FC615E">
      <w:pPr>
        <w:pStyle w:val="Heading5"/>
      </w:pPr>
      <w:r>
        <w:t xml:space="preserve">Propylene glycol in </w:t>
      </w:r>
      <w:r w:rsidR="00B71CB2">
        <w:t>the CPC preparation</w:t>
      </w:r>
    </w:p>
    <w:p w14:paraId="45AC6A62" w14:textId="624B5B7E" w:rsidR="005A5969" w:rsidRDefault="005A5969" w:rsidP="005A5969">
      <w:pPr>
        <w:rPr>
          <w:lang w:bidi="ar-SA"/>
        </w:rPr>
      </w:pPr>
      <w:r>
        <w:rPr>
          <w:lang w:bidi="ar-SA"/>
        </w:rPr>
        <w:t>The US FDA also considered the use of propylene glycol in the CPC solution. It was noted that propylene glycol has generally recognised as safe (GRAS) status as an ingredient in human food for multiple uses and as a processing aid, provided it is used according to good manufacturing practices. No safety concerns were raised regarding the proposed use of propylene glycol in the CPC solution for treating poultry for human consumption. However, propylene glycol is toxic to cats and it was noted that it is common for poultry and poultry by</w:t>
      </w:r>
      <w:r w:rsidR="004A6C76">
        <w:rPr>
          <w:lang w:bidi="ar-SA"/>
        </w:rPr>
        <w:t>-</w:t>
      </w:r>
      <w:r>
        <w:rPr>
          <w:lang w:bidi="ar-SA"/>
        </w:rPr>
        <w:t xml:space="preserve">products to be used in animal feed, including cat food. The US FDA has established that the concentration of propylene glycol in cat food must be </w:t>
      </w:r>
      <w:r>
        <w:rPr>
          <w:rFonts w:cs="Arial"/>
          <w:lang w:bidi="ar-SA"/>
        </w:rPr>
        <w:t>≤</w:t>
      </w:r>
      <w:r>
        <w:rPr>
          <w:lang w:bidi="ar-SA"/>
        </w:rPr>
        <w:t xml:space="preserve"> 200 ppm to be considered safe. It was concluded that potential propylene glycol residues in cat food from use of the CPC solution would not exceed 200 ppm at a maximum CPC concentration of 0.8%, a maximum limit of 5 gallons CPC solution per carcass and a minimum of 99% recovery of the applied solution (</w:t>
      </w:r>
      <w:r w:rsidRPr="00192F95">
        <w:rPr>
          <w:lang w:bidi="ar-SA"/>
        </w:rPr>
        <w:t>US FDA 2007</w:t>
      </w:r>
      <w:r>
        <w:rPr>
          <w:lang w:bidi="ar-SA"/>
        </w:rPr>
        <w:t>).</w:t>
      </w:r>
    </w:p>
    <w:p w14:paraId="172A128B" w14:textId="56AF2CE7" w:rsidR="00FC615E" w:rsidRDefault="00FC615E" w:rsidP="005F7323">
      <w:pPr>
        <w:rPr>
          <w:lang w:bidi="ar-SA"/>
        </w:rPr>
      </w:pPr>
    </w:p>
    <w:p w14:paraId="102F5BA2" w14:textId="28DDB5AD" w:rsidR="002C3C28" w:rsidRDefault="005A5969" w:rsidP="005F7323">
      <w:pPr>
        <w:rPr>
          <w:lang w:bidi="ar-SA"/>
        </w:rPr>
      </w:pPr>
      <w:r>
        <w:t xml:space="preserve">EFSA’s evaluation of </w:t>
      </w:r>
      <w:r w:rsidR="00D80D51">
        <w:t>the CPC preparation</w:t>
      </w:r>
      <w:r>
        <w:t xml:space="preserve"> found mean and 97.5</w:t>
      </w:r>
      <w:r w:rsidRPr="00464963">
        <w:rPr>
          <w:vertAlign w:val="superscript"/>
        </w:rPr>
        <w:t>th</w:t>
      </w:r>
      <w:r>
        <w:t xml:space="preserve"> percentile exposures to propylene glycol from the product were more than 22,000 and 7000 times, respectively, lower than the ADI established by JECFA. The CEF Panel concluded that there were no safety concerns for humans under the proposed use conditions (</w:t>
      </w:r>
      <w:r w:rsidRPr="00192F95">
        <w:t>EFSA 2012</w:t>
      </w:r>
      <w:r>
        <w:t>).</w:t>
      </w:r>
    </w:p>
    <w:p w14:paraId="7E170844" w14:textId="4AB1BF2E" w:rsidR="00D0092F" w:rsidRPr="005F7323" w:rsidRDefault="0081797C" w:rsidP="00D15757">
      <w:pPr>
        <w:pStyle w:val="Heading2"/>
      </w:pPr>
      <w:bookmarkStart w:id="166" w:name="_Toc93592320"/>
      <w:bookmarkStart w:id="167" w:name="_Toc93585331"/>
      <w:bookmarkStart w:id="168" w:name="_Toc97041626"/>
      <w:r w:rsidRPr="00BB5FA8">
        <w:t>3</w:t>
      </w:r>
      <w:r w:rsidR="00D0092F" w:rsidRPr="00BB5FA8">
        <w:t>.7</w:t>
      </w:r>
      <w:r w:rsidR="00D0092F" w:rsidRPr="00BB5FA8">
        <w:tab/>
        <w:t>Potential for development of antimicrobial resistance</w:t>
      </w:r>
      <w:bookmarkEnd w:id="166"/>
      <w:bookmarkEnd w:id="167"/>
      <w:bookmarkEnd w:id="168"/>
    </w:p>
    <w:p w14:paraId="7CB74154" w14:textId="140060D6" w:rsidR="00D15757" w:rsidRDefault="0072231B" w:rsidP="00D15757">
      <w:pPr>
        <w:pStyle w:val="CommentText"/>
        <w:rPr>
          <w:sz w:val="22"/>
          <w:szCs w:val="22"/>
          <w:lang w:eastAsia="en-AU" w:bidi="ar-SA"/>
        </w:rPr>
      </w:pPr>
      <w:r w:rsidRPr="00BB5FA8">
        <w:rPr>
          <w:sz w:val="22"/>
          <w:szCs w:val="22"/>
          <w:lang w:eastAsia="en-AU" w:bidi="ar-SA"/>
        </w:rPr>
        <w:t>Any d</w:t>
      </w:r>
      <w:r w:rsidR="00D31AEA" w:rsidRPr="00BB5FA8">
        <w:rPr>
          <w:sz w:val="22"/>
          <w:szCs w:val="22"/>
          <w:lang w:eastAsia="en-AU" w:bidi="ar-SA"/>
        </w:rPr>
        <w:t xml:space="preserve">evelopment of resistance to CPC could reduce the efficacy of </w:t>
      </w:r>
      <w:r w:rsidR="00BB5FA8">
        <w:rPr>
          <w:sz w:val="22"/>
          <w:szCs w:val="22"/>
          <w:lang w:eastAsia="en-AU" w:bidi="ar-SA"/>
        </w:rPr>
        <w:t xml:space="preserve">poultry </w:t>
      </w:r>
      <w:r w:rsidRPr="00BB5FA8">
        <w:rPr>
          <w:sz w:val="22"/>
          <w:szCs w:val="22"/>
          <w:lang w:eastAsia="en-AU" w:bidi="ar-SA"/>
        </w:rPr>
        <w:t xml:space="preserve">processing plant sanitisation measures, and potentially lead to the spread of CPC-resistant pathogens to food retail businesses and food preparation environments, commercial and domestic (Hora et al 2020). In addition, </w:t>
      </w:r>
      <w:r w:rsidR="00F84899">
        <w:rPr>
          <w:sz w:val="22"/>
          <w:szCs w:val="22"/>
          <w:lang w:eastAsia="en-AU" w:bidi="ar-SA"/>
        </w:rPr>
        <w:t>direct linkages have been observed between e</w:t>
      </w:r>
      <w:r w:rsidR="00F84899" w:rsidRPr="00F84899">
        <w:rPr>
          <w:sz w:val="22"/>
          <w:szCs w:val="22"/>
          <w:lang w:eastAsia="en-AU" w:bidi="ar-SA"/>
        </w:rPr>
        <w:t xml:space="preserve">xposure to biocides </w:t>
      </w:r>
      <w:r w:rsidR="00F84899">
        <w:rPr>
          <w:sz w:val="22"/>
          <w:szCs w:val="22"/>
          <w:lang w:eastAsia="en-AU" w:bidi="ar-SA"/>
        </w:rPr>
        <w:t>and the development of</w:t>
      </w:r>
      <w:r w:rsidR="00F84899" w:rsidRPr="00F84899">
        <w:rPr>
          <w:sz w:val="22"/>
          <w:szCs w:val="22"/>
          <w:lang w:eastAsia="en-AU" w:bidi="ar-SA"/>
        </w:rPr>
        <w:t xml:space="preserve"> antibiotic-resistant mutants in human pathogens</w:t>
      </w:r>
      <w:r w:rsidR="00F84899">
        <w:rPr>
          <w:sz w:val="22"/>
          <w:szCs w:val="22"/>
          <w:lang w:eastAsia="en-AU" w:bidi="ar-SA"/>
        </w:rPr>
        <w:t xml:space="preserve">, including </w:t>
      </w:r>
      <w:r w:rsidR="00F84899" w:rsidRPr="00BB5FA8">
        <w:rPr>
          <w:i/>
          <w:sz w:val="22"/>
          <w:szCs w:val="22"/>
          <w:lang w:eastAsia="en-AU" w:bidi="ar-SA"/>
        </w:rPr>
        <w:t>Salmonella</w:t>
      </w:r>
      <w:r w:rsidR="00F84899">
        <w:rPr>
          <w:sz w:val="22"/>
          <w:szCs w:val="22"/>
          <w:lang w:eastAsia="en-AU" w:bidi="ar-SA"/>
        </w:rPr>
        <w:t xml:space="preserve"> </w:t>
      </w:r>
      <w:r w:rsidR="00BB5FA8" w:rsidRPr="00BB5FA8">
        <w:rPr>
          <w:sz w:val="22"/>
          <w:szCs w:val="22"/>
          <w:lang w:eastAsia="en-AU" w:bidi="ar-SA"/>
        </w:rPr>
        <w:t xml:space="preserve">, </w:t>
      </w:r>
      <w:r w:rsidR="00BB5FA8" w:rsidRPr="00BB5FA8">
        <w:rPr>
          <w:i/>
          <w:sz w:val="22"/>
          <w:szCs w:val="22"/>
          <w:lang w:eastAsia="en-AU" w:bidi="ar-SA"/>
        </w:rPr>
        <w:t>Campylobacter</w:t>
      </w:r>
      <w:r w:rsidR="00BB5FA8" w:rsidRPr="00BB5FA8">
        <w:rPr>
          <w:sz w:val="22"/>
          <w:szCs w:val="22"/>
          <w:lang w:eastAsia="en-AU" w:bidi="ar-SA"/>
        </w:rPr>
        <w:t xml:space="preserve"> spp. </w:t>
      </w:r>
      <w:r w:rsidR="00F84899">
        <w:rPr>
          <w:sz w:val="22"/>
          <w:szCs w:val="22"/>
          <w:lang w:eastAsia="en-AU" w:bidi="ar-SA"/>
        </w:rPr>
        <w:t xml:space="preserve">and </w:t>
      </w:r>
      <w:r w:rsidR="00F84899" w:rsidRPr="00BB5FA8">
        <w:rPr>
          <w:i/>
          <w:sz w:val="22"/>
          <w:szCs w:val="22"/>
          <w:lang w:eastAsia="en-AU" w:bidi="ar-SA"/>
        </w:rPr>
        <w:t>Listeria monocytogenes</w:t>
      </w:r>
      <w:r w:rsidR="00F84899">
        <w:rPr>
          <w:sz w:val="22"/>
          <w:szCs w:val="22"/>
          <w:lang w:eastAsia="en-AU" w:bidi="ar-SA"/>
        </w:rPr>
        <w:t xml:space="preserve"> (</w:t>
      </w:r>
      <w:r w:rsidR="00BB5FA8" w:rsidRPr="00BB5FA8">
        <w:rPr>
          <w:sz w:val="22"/>
          <w:szCs w:val="22"/>
          <w:lang w:eastAsia="en-AU" w:bidi="ar-SA"/>
        </w:rPr>
        <w:t xml:space="preserve">Bland et al 2022; </w:t>
      </w:r>
      <w:r w:rsidR="00FE0155" w:rsidRPr="00BB5FA8">
        <w:rPr>
          <w:sz w:val="22"/>
          <w:szCs w:val="22"/>
          <w:lang w:eastAsia="en-AU" w:bidi="ar-SA"/>
        </w:rPr>
        <w:t xml:space="preserve">Guérin et al 2021; </w:t>
      </w:r>
      <w:r w:rsidR="00BB5FA8" w:rsidRPr="00BB5FA8">
        <w:rPr>
          <w:sz w:val="22"/>
          <w:szCs w:val="22"/>
          <w:lang w:eastAsia="en-AU" w:bidi="ar-SA"/>
        </w:rPr>
        <w:t xml:space="preserve">Mavri and Smole Možina 2013; </w:t>
      </w:r>
      <w:r w:rsidR="00F84899">
        <w:rPr>
          <w:sz w:val="22"/>
          <w:szCs w:val="22"/>
          <w:lang w:eastAsia="en-AU" w:bidi="ar-SA"/>
        </w:rPr>
        <w:t>Webber et al 2015</w:t>
      </w:r>
      <w:r w:rsidR="00BB5FA8" w:rsidRPr="00BB5FA8">
        <w:rPr>
          <w:sz w:val="22"/>
          <w:szCs w:val="22"/>
          <w:lang w:eastAsia="en-AU" w:bidi="ar-SA"/>
        </w:rPr>
        <w:t>).</w:t>
      </w:r>
    </w:p>
    <w:p w14:paraId="7BE397BD" w14:textId="77777777" w:rsidR="0093067F" w:rsidRPr="00D15757" w:rsidRDefault="0093067F" w:rsidP="00D15757">
      <w:pPr>
        <w:rPr>
          <w:szCs w:val="22"/>
          <w:lang w:eastAsia="en-AU" w:bidi="ar-SA"/>
        </w:rPr>
      </w:pPr>
    </w:p>
    <w:p w14:paraId="1C369D6D" w14:textId="793291AA" w:rsidR="00D15757" w:rsidRPr="00D15757" w:rsidRDefault="00D15757" w:rsidP="00D15757">
      <w:pPr>
        <w:rPr>
          <w:szCs w:val="22"/>
          <w:lang w:eastAsia="en-AU" w:bidi="ar-SA"/>
        </w:rPr>
      </w:pPr>
      <w:r w:rsidRPr="00D15757">
        <w:rPr>
          <w:szCs w:val="22"/>
          <w:lang w:eastAsia="en-AU" w:bidi="ar-SA"/>
        </w:rPr>
        <w:t>The applicant provided (as Confidential Commercial Information) the results of studies on the potential for the proposed use of CPC to engender resistance to the compound or cross</w:t>
      </w:r>
      <w:r w:rsidRPr="00D15757">
        <w:rPr>
          <w:szCs w:val="22"/>
          <w:lang w:eastAsia="en-AU" w:bidi="ar-SA"/>
        </w:rPr>
        <w:noBreakHyphen/>
        <w:t xml:space="preserve">resistance to antimicrobial compounds </w:t>
      </w:r>
      <w:r w:rsidR="00284E86">
        <w:rPr>
          <w:szCs w:val="22"/>
          <w:lang w:eastAsia="en-AU" w:bidi="ar-SA"/>
        </w:rPr>
        <w:t>such as those listed in the WHO list of c</w:t>
      </w:r>
      <w:r w:rsidR="00284E86" w:rsidRPr="00284E86">
        <w:rPr>
          <w:szCs w:val="22"/>
          <w:lang w:eastAsia="en-AU" w:bidi="ar-SA"/>
        </w:rPr>
        <w:t>ritically important antimicrobials for</w:t>
      </w:r>
      <w:r w:rsidRPr="00D15757">
        <w:rPr>
          <w:szCs w:val="22"/>
          <w:lang w:eastAsia="en-AU" w:bidi="ar-SA"/>
        </w:rPr>
        <w:t xml:space="preserve"> human </w:t>
      </w:r>
      <w:r w:rsidR="00284E86" w:rsidRPr="00284E86">
        <w:rPr>
          <w:szCs w:val="22"/>
          <w:lang w:eastAsia="en-AU" w:bidi="ar-SA"/>
        </w:rPr>
        <w:t>medicine</w:t>
      </w:r>
      <w:r w:rsidR="00284E86">
        <w:rPr>
          <w:szCs w:val="22"/>
          <w:lang w:eastAsia="en-AU" w:bidi="ar-SA"/>
        </w:rPr>
        <w:t xml:space="preserve"> (WHO 2019).</w:t>
      </w:r>
    </w:p>
    <w:p w14:paraId="76421777" w14:textId="77777777" w:rsidR="00D15757" w:rsidRPr="00D15757" w:rsidRDefault="00D15757" w:rsidP="00D15757">
      <w:pPr>
        <w:rPr>
          <w:szCs w:val="22"/>
          <w:lang w:eastAsia="en-AU" w:bidi="ar-SA"/>
        </w:rPr>
      </w:pPr>
    </w:p>
    <w:p w14:paraId="3892417C" w14:textId="35CDBCC5" w:rsidR="00284E86" w:rsidRDefault="00D15757" w:rsidP="00D15757">
      <w:pPr>
        <w:rPr>
          <w:szCs w:val="22"/>
          <w:lang w:eastAsia="en-AU" w:bidi="ar-SA"/>
        </w:rPr>
      </w:pPr>
      <w:r w:rsidRPr="00D15757">
        <w:rPr>
          <w:szCs w:val="22"/>
          <w:lang w:eastAsia="en-AU" w:bidi="ar-SA"/>
        </w:rPr>
        <w:t xml:space="preserve">The studies evaluated the potential development of resistance in six pathogens: </w:t>
      </w:r>
      <w:r w:rsidRPr="00D15757">
        <w:rPr>
          <w:i/>
          <w:szCs w:val="22"/>
          <w:lang w:eastAsia="en-AU" w:bidi="ar-SA"/>
        </w:rPr>
        <w:t>Salmonella</w:t>
      </w:r>
      <w:r w:rsidRPr="00D15757">
        <w:rPr>
          <w:szCs w:val="22"/>
          <w:lang w:eastAsia="en-AU" w:bidi="ar-SA"/>
        </w:rPr>
        <w:t xml:space="preserve"> Typhimurium, </w:t>
      </w:r>
      <w:r w:rsidRPr="00D15757">
        <w:rPr>
          <w:i/>
          <w:szCs w:val="22"/>
          <w:lang w:eastAsia="en-AU" w:bidi="ar-SA"/>
        </w:rPr>
        <w:t>Staphylococcus aureus</w:t>
      </w:r>
      <w:r w:rsidRPr="00D15757">
        <w:rPr>
          <w:szCs w:val="22"/>
          <w:lang w:eastAsia="en-AU" w:bidi="ar-SA"/>
        </w:rPr>
        <w:t xml:space="preserve">, </w:t>
      </w:r>
      <w:r w:rsidRPr="00D15757">
        <w:rPr>
          <w:i/>
          <w:szCs w:val="22"/>
          <w:lang w:eastAsia="en-AU" w:bidi="ar-SA"/>
        </w:rPr>
        <w:t>E. coli</w:t>
      </w:r>
      <w:r w:rsidRPr="00D15757">
        <w:rPr>
          <w:szCs w:val="22"/>
          <w:lang w:eastAsia="en-AU" w:bidi="ar-SA"/>
        </w:rPr>
        <w:t xml:space="preserve">, </w:t>
      </w:r>
      <w:r w:rsidRPr="00D15757">
        <w:rPr>
          <w:i/>
          <w:szCs w:val="22"/>
          <w:lang w:eastAsia="en-AU" w:bidi="ar-SA"/>
        </w:rPr>
        <w:t>Pseudomonas aeruginosa</w:t>
      </w:r>
      <w:r w:rsidRPr="00D15757">
        <w:rPr>
          <w:szCs w:val="22"/>
          <w:lang w:eastAsia="en-AU" w:bidi="ar-SA"/>
        </w:rPr>
        <w:t xml:space="preserve">, </w:t>
      </w:r>
      <w:r w:rsidRPr="00D15757">
        <w:rPr>
          <w:i/>
          <w:szCs w:val="22"/>
          <w:lang w:eastAsia="en-AU" w:bidi="ar-SA"/>
        </w:rPr>
        <w:t>Listeria monocytogenes</w:t>
      </w:r>
      <w:r w:rsidRPr="00D15757">
        <w:rPr>
          <w:szCs w:val="22"/>
          <w:lang w:eastAsia="en-AU" w:bidi="ar-SA"/>
        </w:rPr>
        <w:t xml:space="preserve"> and </w:t>
      </w:r>
      <w:r w:rsidRPr="00D15757">
        <w:rPr>
          <w:i/>
          <w:szCs w:val="22"/>
          <w:lang w:eastAsia="en-AU" w:bidi="ar-SA"/>
        </w:rPr>
        <w:t>Campylobacter jejuni</w:t>
      </w:r>
      <w:r w:rsidRPr="00D15757">
        <w:rPr>
          <w:szCs w:val="22"/>
          <w:lang w:eastAsia="en-AU" w:bidi="ar-SA"/>
        </w:rPr>
        <w:t xml:space="preserve">, following standard antimicrobial susceptibility testing protocols. </w:t>
      </w:r>
      <w:r w:rsidR="00284E86">
        <w:rPr>
          <w:szCs w:val="22"/>
          <w:lang w:eastAsia="en-AU" w:bidi="ar-SA"/>
        </w:rPr>
        <w:t>Studies established</w:t>
      </w:r>
      <w:r w:rsidR="00284E86" w:rsidRPr="00284E86">
        <w:rPr>
          <w:szCs w:val="22"/>
          <w:lang w:eastAsia="en-AU" w:bidi="ar-SA"/>
        </w:rPr>
        <w:t xml:space="preserve"> the baseline susceptibility profiles of the target </w:t>
      </w:r>
      <w:r w:rsidR="00284E86">
        <w:rPr>
          <w:szCs w:val="22"/>
          <w:lang w:eastAsia="en-AU" w:bidi="ar-SA"/>
        </w:rPr>
        <w:t>organism</w:t>
      </w:r>
      <w:r w:rsidR="00284E86" w:rsidRPr="00284E86">
        <w:rPr>
          <w:szCs w:val="22"/>
          <w:lang w:eastAsia="en-AU" w:bidi="ar-SA"/>
        </w:rPr>
        <w:t xml:space="preserve"> to CPC as well as a panel of antibiotics</w:t>
      </w:r>
      <w:r w:rsidR="00284E86">
        <w:rPr>
          <w:szCs w:val="22"/>
          <w:lang w:eastAsia="en-AU" w:bidi="ar-SA"/>
        </w:rPr>
        <w:t>. Followed by an assessment of any</w:t>
      </w:r>
      <w:r w:rsidR="00284E86" w:rsidRPr="00284E86">
        <w:rPr>
          <w:szCs w:val="22"/>
          <w:lang w:eastAsia="en-AU" w:bidi="ar-SA"/>
        </w:rPr>
        <w:t xml:space="preserve"> </w:t>
      </w:r>
      <w:r w:rsidR="00284E86">
        <w:rPr>
          <w:szCs w:val="22"/>
          <w:lang w:eastAsia="en-AU" w:bidi="ar-SA"/>
        </w:rPr>
        <w:t>change</w:t>
      </w:r>
      <w:r w:rsidR="00284E86" w:rsidRPr="00284E86">
        <w:rPr>
          <w:szCs w:val="22"/>
          <w:lang w:eastAsia="en-AU" w:bidi="ar-SA"/>
        </w:rPr>
        <w:t xml:space="preserve"> in susceptibility</w:t>
      </w:r>
      <w:r w:rsidR="00284E86">
        <w:rPr>
          <w:szCs w:val="22"/>
          <w:lang w:eastAsia="en-AU" w:bidi="ar-SA"/>
        </w:rPr>
        <w:t xml:space="preserve"> profiles after exposure to CPC, including whether the change wa</w:t>
      </w:r>
      <w:r w:rsidR="00284E86" w:rsidRPr="00284E86">
        <w:rPr>
          <w:szCs w:val="22"/>
          <w:lang w:eastAsia="en-AU" w:bidi="ar-SA"/>
        </w:rPr>
        <w:t>s transient or stable.</w:t>
      </w:r>
      <w:r w:rsidR="00284E86">
        <w:rPr>
          <w:szCs w:val="22"/>
          <w:lang w:eastAsia="en-AU" w:bidi="ar-SA"/>
        </w:rPr>
        <w:t xml:space="preserve"> </w:t>
      </w:r>
      <w:r w:rsidR="00284E86" w:rsidRPr="00284E86">
        <w:rPr>
          <w:szCs w:val="22"/>
          <w:lang w:eastAsia="en-AU" w:bidi="ar-SA"/>
        </w:rPr>
        <w:t>CPC susceptibility was based on measuring the minimum</w:t>
      </w:r>
      <w:r w:rsidR="00284E86">
        <w:rPr>
          <w:szCs w:val="22"/>
          <w:lang w:eastAsia="en-AU" w:bidi="ar-SA"/>
        </w:rPr>
        <w:t xml:space="preserve"> </w:t>
      </w:r>
      <w:r w:rsidR="00284E86" w:rsidRPr="00284E86">
        <w:rPr>
          <w:szCs w:val="22"/>
          <w:lang w:eastAsia="en-AU" w:bidi="ar-SA"/>
        </w:rPr>
        <w:t>inhibitory concentration (MIC) and the minimum b</w:t>
      </w:r>
      <w:r w:rsidR="00284E86">
        <w:rPr>
          <w:szCs w:val="22"/>
          <w:lang w:eastAsia="en-AU" w:bidi="ar-SA"/>
        </w:rPr>
        <w:t>actericidal concentration (MBC).</w:t>
      </w:r>
    </w:p>
    <w:p w14:paraId="56078D12" w14:textId="77777777" w:rsidR="00D15757" w:rsidRPr="00D15757" w:rsidRDefault="00D15757" w:rsidP="00D15757">
      <w:pPr>
        <w:rPr>
          <w:szCs w:val="22"/>
          <w:lang w:eastAsia="en-AU" w:bidi="ar-SA"/>
        </w:rPr>
      </w:pPr>
    </w:p>
    <w:p w14:paraId="7ABBBC4F" w14:textId="77777777" w:rsidR="00D15757" w:rsidRPr="00D15757" w:rsidRDefault="00D15757" w:rsidP="00D15757">
      <w:pPr>
        <w:rPr>
          <w:szCs w:val="22"/>
          <w:lang w:eastAsia="en-AU" w:bidi="ar-SA"/>
        </w:rPr>
      </w:pPr>
      <w:r w:rsidRPr="00D15757">
        <w:rPr>
          <w:szCs w:val="22"/>
          <w:lang w:eastAsia="en-AU" w:bidi="ar-SA"/>
        </w:rPr>
        <w:t>The overall findings showed no evidence for the development of pathogen resistance to CPC, nor was there any stable reduction in susceptibility to the antibiotics tested.</w:t>
      </w:r>
    </w:p>
    <w:p w14:paraId="0F341B90" w14:textId="77777777" w:rsidR="00D15757" w:rsidRPr="00D15757" w:rsidRDefault="00D15757" w:rsidP="00D15757">
      <w:pPr>
        <w:rPr>
          <w:szCs w:val="22"/>
          <w:lang w:eastAsia="en-AU" w:bidi="ar-SA"/>
        </w:rPr>
      </w:pPr>
    </w:p>
    <w:p w14:paraId="01051F9F" w14:textId="7D16ABAD" w:rsidR="00D15757" w:rsidRDefault="00D15757" w:rsidP="00D0092F">
      <w:pPr>
        <w:rPr>
          <w:lang w:eastAsia="en-AU" w:bidi="ar-SA"/>
        </w:rPr>
      </w:pPr>
      <w:r w:rsidRPr="00D15757">
        <w:rPr>
          <w:szCs w:val="22"/>
          <w:lang w:eastAsia="en-AU" w:bidi="ar-SA"/>
        </w:rPr>
        <w:t>It is concluded that the proposed use of CPC does not introduce an unacceptable risk of the development of antimicrobial resistance in the pathogens tested.</w:t>
      </w:r>
    </w:p>
    <w:p w14:paraId="28ECFCE1" w14:textId="762A4B7E" w:rsidR="004217C1" w:rsidRDefault="0081797C" w:rsidP="00D15757">
      <w:pPr>
        <w:pStyle w:val="Heading2"/>
      </w:pPr>
      <w:bookmarkStart w:id="169" w:name="_Toc92722931"/>
      <w:bookmarkStart w:id="170" w:name="_Toc93592321"/>
      <w:bookmarkStart w:id="171" w:name="_Toc93585332"/>
      <w:bookmarkStart w:id="172" w:name="_Toc97041627"/>
      <w:r>
        <w:t>3</w:t>
      </w:r>
      <w:r w:rsidR="00420421">
        <w:t>.</w:t>
      </w:r>
      <w:r>
        <w:t>8</w:t>
      </w:r>
      <w:r w:rsidR="00E97F5D">
        <w:tab/>
      </w:r>
      <w:r w:rsidR="00420421">
        <w:t>Discussion and conclusion</w:t>
      </w:r>
      <w:bookmarkEnd w:id="169"/>
      <w:bookmarkEnd w:id="170"/>
      <w:bookmarkEnd w:id="171"/>
      <w:bookmarkEnd w:id="172"/>
    </w:p>
    <w:p w14:paraId="26373F96" w14:textId="2C68C4DB" w:rsidR="00420421" w:rsidRPr="00420421" w:rsidRDefault="0065211B" w:rsidP="00420421">
      <w:pPr>
        <w:rPr>
          <w:lang w:bidi="ar-SA"/>
        </w:rPr>
      </w:pPr>
      <w:r>
        <w:rPr>
          <w:lang w:bidi="ar-SA"/>
        </w:rPr>
        <w:t xml:space="preserve">Data on the absorption, distribution, metabolism and excretion of CPC are not available to </w:t>
      </w:r>
      <w:r>
        <w:rPr>
          <w:lang w:bidi="ar-SA"/>
        </w:rPr>
        <w:lastRenderedPageBreak/>
        <w:t xml:space="preserve">FSANZ for review, however public summaries </w:t>
      </w:r>
      <w:r w:rsidR="00731AC1">
        <w:rPr>
          <w:lang w:bidi="ar-SA"/>
        </w:rPr>
        <w:t xml:space="preserve">of </w:t>
      </w:r>
      <w:r w:rsidR="00622BCC">
        <w:rPr>
          <w:lang w:bidi="ar-SA"/>
        </w:rPr>
        <w:t xml:space="preserve">reviews </w:t>
      </w:r>
      <w:r>
        <w:rPr>
          <w:lang w:bidi="ar-SA"/>
        </w:rPr>
        <w:t xml:space="preserve">of proprietary studies </w:t>
      </w:r>
      <w:r w:rsidR="00622BCC">
        <w:rPr>
          <w:lang w:bidi="ar-SA"/>
        </w:rPr>
        <w:t>by overseas authorities suggest</w:t>
      </w:r>
      <w:r>
        <w:rPr>
          <w:lang w:bidi="ar-SA"/>
        </w:rPr>
        <w:t xml:space="preserve"> that </w:t>
      </w:r>
      <w:r w:rsidR="00622BCC">
        <w:rPr>
          <w:lang w:bidi="ar-SA"/>
        </w:rPr>
        <w:t xml:space="preserve">oral absorption is greater than 10% in rats and dogs, with elimination occurring via urine, bile and faeces. No information on the metabolism of CPC was identified. </w:t>
      </w:r>
    </w:p>
    <w:p w14:paraId="2D95B675" w14:textId="44900C85" w:rsidR="00622BCC" w:rsidRDefault="00622BCC" w:rsidP="00420421">
      <w:pPr>
        <w:rPr>
          <w:lang w:bidi="ar-SA"/>
        </w:rPr>
      </w:pPr>
    </w:p>
    <w:p w14:paraId="653D1C70" w14:textId="322C0EF3" w:rsidR="00622BCC" w:rsidRDefault="00622BCC" w:rsidP="00420421">
      <w:pPr>
        <w:rPr>
          <w:lang w:bidi="ar-SA"/>
        </w:rPr>
      </w:pPr>
      <w:r>
        <w:rPr>
          <w:lang w:bidi="ar-SA"/>
        </w:rPr>
        <w:t>CPC is of moderate acute oral toxicity, with LD</w:t>
      </w:r>
      <w:r w:rsidRPr="00622BCC">
        <w:rPr>
          <w:vertAlign w:val="subscript"/>
          <w:lang w:bidi="ar-SA"/>
        </w:rPr>
        <w:t>50</w:t>
      </w:r>
      <w:r>
        <w:rPr>
          <w:lang w:bidi="ar-SA"/>
        </w:rPr>
        <w:t xml:space="preserve"> values of 200 – 560 mg/kg bw reported. High doses in acute studies were reported to cause diarrhoea and erosion of the gastric mucosa. </w:t>
      </w:r>
    </w:p>
    <w:p w14:paraId="5F465C24" w14:textId="44729667" w:rsidR="00622BCC" w:rsidRDefault="00622BCC" w:rsidP="00420421">
      <w:pPr>
        <w:rPr>
          <w:lang w:bidi="ar-SA"/>
        </w:rPr>
      </w:pPr>
    </w:p>
    <w:p w14:paraId="5AFE8970" w14:textId="4D4AF824" w:rsidR="00705746" w:rsidRDefault="00705746" w:rsidP="00705746">
      <w:pPr>
        <w:rPr>
          <w:lang w:bidi="ar-SA"/>
        </w:rPr>
      </w:pPr>
      <w:r>
        <w:rPr>
          <w:lang w:bidi="ar-SA"/>
        </w:rPr>
        <w:t xml:space="preserve">In short-term dietary toxicity studies of CPC in rats and dogs, reduced food consumption and decreased body weight and body weight gain were observed at higher concentrations. These effects may possibly be due to issues with palatability of the test item. </w:t>
      </w:r>
      <w:r w:rsidR="00C63F71" w:rsidRPr="001511FC">
        <w:rPr>
          <w:lang w:bidi="ar-SA"/>
        </w:rPr>
        <w:t>Increased caecum weights were observed in rats. The cause of this finding was unclear but it was not possible to definitively conclude that these changes were not treatment-related or adverse. In addition, haematological changes were observed in dogs. The no observed adverse effect level (NOAEL) in a 90-day dietary toxicity in dogs was 8 mg/kg bw/day.</w:t>
      </w:r>
    </w:p>
    <w:p w14:paraId="03BD3298" w14:textId="6F2C6BEC" w:rsidR="007D6996" w:rsidRDefault="007D6996" w:rsidP="00420421">
      <w:pPr>
        <w:rPr>
          <w:lang w:bidi="ar-SA"/>
        </w:rPr>
      </w:pPr>
    </w:p>
    <w:p w14:paraId="16352EB4" w14:textId="04AFFD50" w:rsidR="00C62225" w:rsidRDefault="00C62225" w:rsidP="00420421">
      <w:pPr>
        <w:rPr>
          <w:lang w:bidi="ar-SA"/>
        </w:rPr>
      </w:pPr>
      <w:r>
        <w:rPr>
          <w:lang w:bidi="ar-SA"/>
        </w:rPr>
        <w:t xml:space="preserve">FSANZ is also aware of publicly available summaries of proprietary 28-day, 6-month and 1 year studies in rats of CPC administered by oral gavage, and a 28-day study in rats involving administration via oral capsules. These studies were not available to FSANZ for review, but is it noted that toxicity and histopathological changes indicative of local irritant effects in the gastrointestinal tract were observed at doses </w:t>
      </w:r>
      <w:r>
        <w:rPr>
          <w:rFonts w:cs="Arial"/>
          <w:lang w:bidi="ar-SA"/>
        </w:rPr>
        <w:t>≥</w:t>
      </w:r>
      <w:r>
        <w:rPr>
          <w:lang w:bidi="ar-SA"/>
        </w:rPr>
        <w:t xml:space="preserve"> 5 mg/kg bw/day. Similar histopathological changes were not observed in the dietary toxicity studies with CPC. FSANZ considers that the dietary toxicity studies are more relevant </w:t>
      </w:r>
      <w:r w:rsidR="002D0A12">
        <w:rPr>
          <w:lang w:bidi="ar-SA"/>
        </w:rPr>
        <w:t xml:space="preserve">for risk assessment of dietary exposure to </w:t>
      </w:r>
      <w:r>
        <w:rPr>
          <w:lang w:bidi="ar-SA"/>
        </w:rPr>
        <w:t xml:space="preserve">CPC </w:t>
      </w:r>
      <w:r w:rsidR="002D0A12">
        <w:rPr>
          <w:lang w:bidi="ar-SA"/>
        </w:rPr>
        <w:t>from use</w:t>
      </w:r>
      <w:r>
        <w:rPr>
          <w:lang w:bidi="ar-SA"/>
        </w:rPr>
        <w:t xml:space="preserve"> an antimicrobial treatment for poultry carcasses</w:t>
      </w:r>
      <w:r w:rsidR="00A519F0">
        <w:rPr>
          <w:lang w:bidi="ar-SA"/>
        </w:rPr>
        <w:t xml:space="preserve"> than studies involving bolus administration</w:t>
      </w:r>
      <w:r>
        <w:rPr>
          <w:lang w:bidi="ar-SA"/>
        </w:rPr>
        <w:t xml:space="preserve">. </w:t>
      </w:r>
    </w:p>
    <w:p w14:paraId="59ACCA0A" w14:textId="6A98307F" w:rsidR="00C62225" w:rsidRDefault="00C62225" w:rsidP="00420421">
      <w:pPr>
        <w:rPr>
          <w:lang w:bidi="ar-SA"/>
        </w:rPr>
      </w:pPr>
    </w:p>
    <w:p w14:paraId="6879BCD4" w14:textId="2722BB87" w:rsidR="005E7923" w:rsidRDefault="009C081A" w:rsidP="005E7923">
      <w:pPr>
        <w:rPr>
          <w:lang w:bidi="ar-SA"/>
        </w:rPr>
      </w:pPr>
      <w:r>
        <w:rPr>
          <w:i/>
          <w:lang w:bidi="ar-SA"/>
        </w:rPr>
        <w:t>I</w:t>
      </w:r>
      <w:r w:rsidR="005E7923" w:rsidRPr="005E7923">
        <w:rPr>
          <w:i/>
          <w:lang w:bidi="ar-SA"/>
        </w:rPr>
        <w:t>n vitro</w:t>
      </w:r>
      <w:r w:rsidR="005E7923">
        <w:rPr>
          <w:lang w:bidi="ar-SA"/>
        </w:rPr>
        <w:t xml:space="preserve"> genotoxicity studies of the final </w:t>
      </w:r>
      <w:r w:rsidR="009076F5">
        <w:rPr>
          <w:lang w:bidi="ar-SA"/>
        </w:rPr>
        <w:t>CPC preparation</w:t>
      </w:r>
      <w:r w:rsidR="005E7923">
        <w:rPr>
          <w:lang w:bidi="ar-SA"/>
        </w:rPr>
        <w:t xml:space="preserve"> found no evidence of mutagenicity or clastogenicity. Studies of formulations containing CPC as an ingredient also found no evidence of genotoxicity attributable to CPC. In addition, proprietary </w:t>
      </w:r>
      <w:r w:rsidR="005E7923" w:rsidRPr="00227665">
        <w:rPr>
          <w:i/>
          <w:lang w:bidi="ar-SA"/>
        </w:rPr>
        <w:t>in vitro</w:t>
      </w:r>
      <w:r w:rsidR="005E7923">
        <w:rPr>
          <w:lang w:bidi="ar-SA"/>
        </w:rPr>
        <w:t xml:space="preserve"> and </w:t>
      </w:r>
      <w:r w:rsidR="005E7923" w:rsidRPr="00227665">
        <w:rPr>
          <w:i/>
          <w:lang w:bidi="ar-SA"/>
        </w:rPr>
        <w:t>in vivo</w:t>
      </w:r>
      <w:r w:rsidR="005E7923">
        <w:rPr>
          <w:lang w:bidi="ar-SA"/>
        </w:rPr>
        <w:t xml:space="preserve"> genotoxicity studies of CPC unavailable to FSANZ were reviewed by the</w:t>
      </w:r>
      <w:r w:rsidR="009C5F85">
        <w:rPr>
          <w:lang w:bidi="ar-SA"/>
        </w:rPr>
        <w:t xml:space="preserve"> EU</w:t>
      </w:r>
      <w:r w:rsidR="005E7923">
        <w:rPr>
          <w:lang w:bidi="ar-SA"/>
        </w:rPr>
        <w:t xml:space="preserve"> SCCS, and considered to demonstrate that CPC does not have genotoxic potential. </w:t>
      </w:r>
      <w:r>
        <w:rPr>
          <w:lang w:bidi="ar-SA"/>
        </w:rPr>
        <w:t>No long-term studies of toxicity or carcinogenicity are available for review, but n</w:t>
      </w:r>
      <w:r w:rsidR="00C35A0E">
        <w:rPr>
          <w:lang w:bidi="ar-SA"/>
        </w:rPr>
        <w:t xml:space="preserve">o histopathological changes indicative of </w:t>
      </w:r>
      <w:r w:rsidR="00C35A0E">
        <w:t>lesions that could lead to neoplasia through non</w:t>
      </w:r>
      <w:r>
        <w:t>-</w:t>
      </w:r>
      <w:r w:rsidR="00C35A0E">
        <w:t>genotoxic mechanisms were identified in the short-term dietary toxicity studies</w:t>
      </w:r>
      <w:r w:rsidR="009C5F85">
        <w:t xml:space="preserve"> reviewed by FSANZ</w:t>
      </w:r>
      <w:r w:rsidR="00C35A0E">
        <w:t xml:space="preserve">. </w:t>
      </w:r>
    </w:p>
    <w:p w14:paraId="70C9F3F2" w14:textId="77777777" w:rsidR="005E7923" w:rsidRDefault="005E7923" w:rsidP="00420421">
      <w:pPr>
        <w:rPr>
          <w:lang w:bidi="ar-SA"/>
        </w:rPr>
      </w:pPr>
    </w:p>
    <w:p w14:paraId="0DE2B6C0" w14:textId="438F535C" w:rsidR="00731AC1" w:rsidRDefault="00BF78E0" w:rsidP="00420421">
      <w:pPr>
        <w:rPr>
          <w:lang w:bidi="ar-SA"/>
        </w:rPr>
      </w:pPr>
      <w:r>
        <w:rPr>
          <w:lang w:bidi="ar-SA"/>
        </w:rPr>
        <w:t xml:space="preserve">Limited details summarising developmental toxicity studies in rats and rabbits </w:t>
      </w:r>
      <w:r w:rsidR="001F572F">
        <w:rPr>
          <w:lang w:bidi="ar-SA"/>
        </w:rPr>
        <w:t xml:space="preserve">were submitted to FSANZ. In addition, </w:t>
      </w:r>
      <w:r w:rsidR="009C5F85">
        <w:rPr>
          <w:lang w:bidi="ar-SA"/>
        </w:rPr>
        <w:t>the EU SCCS review of CPC</w:t>
      </w:r>
      <w:r w:rsidR="001F572F">
        <w:rPr>
          <w:lang w:bidi="ar-SA"/>
        </w:rPr>
        <w:t xml:space="preserve"> considered results of a proprietary developmental toxicity study in rats</w:t>
      </w:r>
      <w:r>
        <w:rPr>
          <w:lang w:bidi="ar-SA"/>
        </w:rPr>
        <w:t xml:space="preserve">. </w:t>
      </w:r>
      <w:r w:rsidR="009C5F85">
        <w:rPr>
          <w:lang w:bidi="ar-SA"/>
        </w:rPr>
        <w:t>These</w:t>
      </w:r>
      <w:r>
        <w:rPr>
          <w:lang w:bidi="ar-SA"/>
        </w:rPr>
        <w:t xml:space="preserve"> summaries </w:t>
      </w:r>
      <w:r w:rsidR="009C5F85">
        <w:rPr>
          <w:lang w:bidi="ar-SA"/>
        </w:rPr>
        <w:t>state</w:t>
      </w:r>
      <w:r>
        <w:rPr>
          <w:lang w:bidi="ar-SA"/>
        </w:rPr>
        <w:t xml:space="preserve"> that no developmental toxicity was observed, but the full study reports were not available to FSANZ for evaluation.</w:t>
      </w:r>
      <w:r w:rsidR="00C35A0E">
        <w:rPr>
          <w:lang w:bidi="ar-SA"/>
        </w:rPr>
        <w:t xml:space="preserve"> </w:t>
      </w:r>
      <w:r w:rsidR="00227665">
        <w:rPr>
          <w:lang w:bidi="ar-SA"/>
        </w:rPr>
        <w:t xml:space="preserve">A summary of a combined developmental and reproductive toxicity study of a vinyl copolymer containing CPC in rats, conducted over three generations, </w:t>
      </w:r>
      <w:r w:rsidR="00C35A0E">
        <w:rPr>
          <w:lang w:bidi="ar-SA"/>
        </w:rPr>
        <w:t>states that n</w:t>
      </w:r>
      <w:r w:rsidR="00227665">
        <w:rPr>
          <w:lang w:bidi="ar-SA"/>
        </w:rPr>
        <w:t xml:space="preserve">o effects on fertility or developmental toxicity were </w:t>
      </w:r>
      <w:r w:rsidR="00C35A0E">
        <w:rPr>
          <w:lang w:bidi="ar-SA"/>
        </w:rPr>
        <w:t>observed</w:t>
      </w:r>
      <w:r w:rsidR="00227665">
        <w:rPr>
          <w:lang w:bidi="ar-SA"/>
        </w:rPr>
        <w:t>.</w:t>
      </w:r>
      <w:r w:rsidR="00C35A0E">
        <w:rPr>
          <w:lang w:bidi="ar-SA"/>
        </w:rPr>
        <w:t xml:space="preserve"> No histopathological changes in reproductive tissues were reported in the short-term dietary toxicity studies reviewed by FSANZ.</w:t>
      </w:r>
      <w:r w:rsidR="00227665">
        <w:rPr>
          <w:lang w:bidi="ar-SA"/>
        </w:rPr>
        <w:t xml:space="preserve"> </w:t>
      </w:r>
    </w:p>
    <w:p w14:paraId="2C4B0560" w14:textId="5301E204" w:rsidR="00227665" w:rsidRDefault="00227665" w:rsidP="00420421">
      <w:pPr>
        <w:rPr>
          <w:lang w:bidi="ar-SA"/>
        </w:rPr>
      </w:pPr>
    </w:p>
    <w:p w14:paraId="7C409DFC" w14:textId="037281D0" w:rsidR="00A519F0" w:rsidRDefault="00E939D4" w:rsidP="00420421">
      <w:pPr>
        <w:rPr>
          <w:lang w:bidi="ar-SA"/>
        </w:rPr>
      </w:pPr>
      <w:r>
        <w:rPr>
          <w:lang w:bidi="ar-SA"/>
        </w:rPr>
        <w:t xml:space="preserve">Given the limited data available on long-term toxicity, carcinogenicity and developmental and reproductive toxicity, it is not </w:t>
      </w:r>
      <w:r w:rsidR="00253AD9">
        <w:rPr>
          <w:lang w:bidi="ar-SA"/>
        </w:rPr>
        <w:t>appropriate</w:t>
      </w:r>
      <w:r>
        <w:rPr>
          <w:lang w:bidi="ar-SA"/>
        </w:rPr>
        <w:t xml:space="preserve"> to establish a health-based guidance value (HBGV) for CPC. However, the NOAEL of 8 mg/kg bw/day identified in the 90-day dietary toxicity study in dogs is considered </w:t>
      </w:r>
      <w:r w:rsidR="009C081A">
        <w:rPr>
          <w:lang w:bidi="ar-SA"/>
        </w:rPr>
        <w:t>a suitable</w:t>
      </w:r>
      <w:r>
        <w:rPr>
          <w:lang w:bidi="ar-SA"/>
        </w:rPr>
        <w:t xml:space="preserve"> point of departure for use in a margin of exposure (MOE) assessment. </w:t>
      </w:r>
      <w:r w:rsidR="00C63F71" w:rsidRPr="001511FC">
        <w:rPr>
          <w:lang w:bidi="ar-SA"/>
        </w:rPr>
        <w:t>This NOAEL is also protective of the changes observed in the rat studies.</w:t>
      </w:r>
    </w:p>
    <w:p w14:paraId="122CEA24" w14:textId="77777777" w:rsidR="00BC6D56" w:rsidRDefault="00BC6D56" w:rsidP="00420421">
      <w:pPr>
        <w:rPr>
          <w:lang w:bidi="ar-SA"/>
        </w:rPr>
      </w:pPr>
    </w:p>
    <w:p w14:paraId="7947869C" w14:textId="605FB4C8" w:rsidR="00A519F0" w:rsidRDefault="00A519F0" w:rsidP="00420421">
      <w:pPr>
        <w:rPr>
          <w:lang w:bidi="ar-SA"/>
        </w:rPr>
      </w:pPr>
      <w:r>
        <w:rPr>
          <w:lang w:bidi="ar-SA"/>
        </w:rPr>
        <w:t xml:space="preserve">No </w:t>
      </w:r>
      <w:r w:rsidR="00E70CD0">
        <w:rPr>
          <w:lang w:bidi="ar-SA"/>
        </w:rPr>
        <w:t>reports</w:t>
      </w:r>
      <w:r>
        <w:rPr>
          <w:lang w:bidi="ar-SA"/>
        </w:rPr>
        <w:t xml:space="preserve"> of food allergy reactions to CPC were identified. A single case report of an immediate hypersensitivity reaction to a throat spray, attributed to CPC present in the spray, </w:t>
      </w:r>
      <w:r w:rsidR="0095268B">
        <w:rPr>
          <w:lang w:bidi="ar-SA"/>
        </w:rPr>
        <w:t>was found in the scientific literature</w:t>
      </w:r>
      <w:r>
        <w:rPr>
          <w:lang w:bidi="ar-SA"/>
        </w:rPr>
        <w:t xml:space="preserve">. </w:t>
      </w:r>
      <w:r w:rsidR="00D47787">
        <w:rPr>
          <w:lang w:bidi="ar-SA"/>
        </w:rPr>
        <w:t>However</w:t>
      </w:r>
      <w:r w:rsidR="00BC6D56">
        <w:rPr>
          <w:lang w:bidi="ar-SA"/>
        </w:rPr>
        <w:t>,</w:t>
      </w:r>
      <w:r w:rsidR="001F572F">
        <w:rPr>
          <w:lang w:bidi="ar-SA"/>
        </w:rPr>
        <w:t xml:space="preserve"> no reports of allergic reactions were identified in</w:t>
      </w:r>
      <w:r w:rsidR="00D47787">
        <w:rPr>
          <w:lang w:bidi="ar-SA"/>
        </w:rPr>
        <w:t xml:space="preserve"> the US FDA’s review of </w:t>
      </w:r>
      <w:r w:rsidR="005E7923">
        <w:rPr>
          <w:lang w:bidi="ar-SA"/>
        </w:rPr>
        <w:t xml:space="preserve">adverse event reports over </w:t>
      </w:r>
      <w:r w:rsidR="00D47787">
        <w:rPr>
          <w:lang w:bidi="ar-SA"/>
        </w:rPr>
        <w:t xml:space="preserve">more than 55 years of </w:t>
      </w:r>
      <w:r w:rsidR="005E7923">
        <w:rPr>
          <w:lang w:bidi="ar-SA"/>
        </w:rPr>
        <w:t>marketing</w:t>
      </w:r>
      <w:r w:rsidR="00D47787">
        <w:rPr>
          <w:lang w:bidi="ar-SA"/>
        </w:rPr>
        <w:t xml:space="preserve"> </w:t>
      </w:r>
      <w:r w:rsidR="005E7923">
        <w:rPr>
          <w:lang w:bidi="ar-SA"/>
        </w:rPr>
        <w:t xml:space="preserve">of </w:t>
      </w:r>
      <w:r w:rsidR="00D47787">
        <w:rPr>
          <w:lang w:bidi="ar-SA"/>
        </w:rPr>
        <w:lastRenderedPageBreak/>
        <w:t>CPC-containing mouthwashes, and the EU SCCS’s review of cosmetovigilance data on oral care products containing CPC</w:t>
      </w:r>
      <w:r w:rsidR="005E7923">
        <w:rPr>
          <w:lang w:bidi="ar-SA"/>
        </w:rPr>
        <w:t xml:space="preserve">. Based on the available evidence </w:t>
      </w:r>
      <w:r w:rsidR="0095268B">
        <w:rPr>
          <w:lang w:bidi="ar-SA"/>
        </w:rPr>
        <w:t>the risk of food allergy from the proposed use of CPC is likely to be very low</w:t>
      </w:r>
      <w:r>
        <w:rPr>
          <w:lang w:bidi="ar-SA"/>
        </w:rPr>
        <w:t xml:space="preserve">. </w:t>
      </w:r>
    </w:p>
    <w:p w14:paraId="52A74422" w14:textId="75DA0D36" w:rsidR="00BF247E" w:rsidRDefault="00BF247E" w:rsidP="00420421">
      <w:pPr>
        <w:rPr>
          <w:lang w:bidi="ar-SA"/>
        </w:rPr>
      </w:pPr>
    </w:p>
    <w:p w14:paraId="4939D46A" w14:textId="39FBF451" w:rsidR="00BF247E" w:rsidRDefault="00BF247E" w:rsidP="00420421">
      <w:pPr>
        <w:rPr>
          <w:lang w:bidi="ar-SA"/>
        </w:rPr>
      </w:pPr>
      <w:r>
        <w:rPr>
          <w:lang w:bidi="ar-SA"/>
        </w:rPr>
        <w:t xml:space="preserve">For propylene glycol, an ADI of 0 – 25 mg/kg bw has been established by JECFA and EFSA (WHO 1974; EFSA 2018). </w:t>
      </w:r>
      <w:r w:rsidR="00B71CB2">
        <w:rPr>
          <w:lang w:bidi="ar-SA"/>
        </w:rPr>
        <w:t xml:space="preserve">The US EPA concluded that as propylene glycol is toxic to cats, the concentration of propylene glycol in cat food treated with the CPC preparation must be </w:t>
      </w:r>
      <w:r w:rsidR="00B71CB2">
        <w:rPr>
          <w:rFonts w:cs="Arial"/>
          <w:lang w:bidi="ar-SA"/>
        </w:rPr>
        <w:t>≤</w:t>
      </w:r>
      <w:r w:rsidR="00B71CB2">
        <w:rPr>
          <w:lang w:bidi="ar-SA"/>
        </w:rPr>
        <w:t xml:space="preserve"> 200 ppm to be considered safe. Pet food is not regulated by the Food Standards Code, however. </w:t>
      </w:r>
    </w:p>
    <w:p w14:paraId="7B707A5C" w14:textId="05139E58" w:rsidR="005F7323" w:rsidRDefault="0081797C" w:rsidP="00C71929">
      <w:pPr>
        <w:pStyle w:val="Heading1"/>
        <w:ind w:left="567" w:hanging="567"/>
      </w:pPr>
      <w:bookmarkStart w:id="173" w:name="_Toc62657936"/>
      <w:bookmarkStart w:id="174" w:name="_Toc62738986"/>
      <w:bookmarkStart w:id="175" w:name="_Toc62743572"/>
      <w:bookmarkStart w:id="176" w:name="_Toc63330877"/>
      <w:bookmarkStart w:id="177" w:name="_Toc92722932"/>
      <w:bookmarkStart w:id="178" w:name="_Toc93592322"/>
      <w:bookmarkStart w:id="179" w:name="_Toc93585333"/>
      <w:bookmarkStart w:id="180" w:name="_Toc97041628"/>
      <w:r>
        <w:t>4</w:t>
      </w:r>
      <w:r w:rsidR="00AF2C16">
        <w:tab/>
        <w:t xml:space="preserve">Dietary </w:t>
      </w:r>
      <w:r w:rsidR="008D2698">
        <w:t>e</w:t>
      </w:r>
      <w:r w:rsidR="00AF2C16">
        <w:t>xposure</w:t>
      </w:r>
      <w:r w:rsidR="008D2698">
        <w:t xml:space="preserve"> assessment</w:t>
      </w:r>
      <w:bookmarkEnd w:id="173"/>
      <w:bookmarkEnd w:id="174"/>
      <w:bookmarkEnd w:id="175"/>
      <w:bookmarkEnd w:id="176"/>
      <w:bookmarkEnd w:id="177"/>
      <w:bookmarkEnd w:id="178"/>
      <w:bookmarkEnd w:id="179"/>
      <w:bookmarkEnd w:id="180"/>
    </w:p>
    <w:p w14:paraId="3969DC23" w14:textId="352B2AB3" w:rsidR="000F53D4" w:rsidRDefault="0081797C" w:rsidP="00D15757">
      <w:pPr>
        <w:pStyle w:val="Heading2"/>
      </w:pPr>
      <w:bookmarkStart w:id="181" w:name="_Toc518388294"/>
      <w:bookmarkStart w:id="182" w:name="_Toc518654992"/>
      <w:bookmarkStart w:id="183" w:name="_Toc508119306"/>
      <w:bookmarkStart w:id="184" w:name="_Toc516668836"/>
      <w:bookmarkStart w:id="185" w:name="_Toc517709894"/>
      <w:bookmarkStart w:id="186" w:name="_Toc62657937"/>
      <w:bookmarkStart w:id="187" w:name="_Toc62738987"/>
      <w:bookmarkStart w:id="188" w:name="_Toc62743573"/>
      <w:bookmarkStart w:id="189" w:name="_Toc63330878"/>
      <w:bookmarkStart w:id="190" w:name="_Toc92722933"/>
      <w:bookmarkStart w:id="191" w:name="_Toc93592323"/>
      <w:bookmarkStart w:id="192" w:name="_Toc93585334"/>
      <w:bookmarkStart w:id="193" w:name="_Toc97041629"/>
      <w:r>
        <w:t>4</w:t>
      </w:r>
      <w:r w:rsidR="000F53D4">
        <w:t>.1</w:t>
      </w:r>
      <w:r w:rsidR="000F53D4">
        <w:tab/>
        <w:t>Approach to estimating dietary exposure</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6C0C925D" w14:textId="65C7D9F4" w:rsidR="006F1F0A" w:rsidRDefault="00B21B2C" w:rsidP="000F53D4">
      <w:r>
        <w:t>Dietary exposure</w:t>
      </w:r>
      <w:r w:rsidRPr="00C472DB">
        <w:t xml:space="preserve"> assessments require data on the concentrations of the chemical</w:t>
      </w:r>
      <w:r>
        <w:t>s</w:t>
      </w:r>
      <w:r w:rsidRPr="00C472DB">
        <w:t xml:space="preserve"> of i</w:t>
      </w:r>
      <w:r>
        <w:t xml:space="preserve">nterest in the foods requested </w:t>
      </w:r>
      <w:r w:rsidRPr="00C472DB">
        <w:t>and consumption</w:t>
      </w:r>
      <w:r w:rsidR="001A2DDA">
        <w:t xml:space="preserve"> </w:t>
      </w:r>
      <w:r w:rsidRPr="00C472DB">
        <w:t>data for the foods that have been collected through a national nutrition survey.</w:t>
      </w:r>
      <w:r>
        <w:t xml:space="preserve"> </w:t>
      </w:r>
      <w:r w:rsidR="006F1F0A" w:rsidRPr="00C472DB">
        <w:t xml:space="preserve">The dietary </w:t>
      </w:r>
      <w:r w:rsidR="006F1F0A">
        <w:t>exposure</w:t>
      </w:r>
      <w:r w:rsidR="006F1F0A" w:rsidRPr="00C472DB">
        <w:t xml:space="preserve"> assessments were undertaken using FSANZ’s dietary modelling computer program, Harvest</w:t>
      </w:r>
      <w:r w:rsidR="006F1F0A" w:rsidRPr="00C472DB">
        <w:rPr>
          <w:rStyle w:val="FootnoteReference"/>
        </w:rPr>
        <w:footnoteReference w:id="9"/>
      </w:r>
      <w:r w:rsidR="006F1F0A" w:rsidRPr="00C472DB">
        <w:t>.</w:t>
      </w:r>
      <w:r w:rsidR="006F1F0A">
        <w:t xml:space="preserve"> </w:t>
      </w:r>
    </w:p>
    <w:p w14:paraId="47A49131" w14:textId="77777777" w:rsidR="006F1F0A" w:rsidRDefault="006F1F0A" w:rsidP="000F53D4"/>
    <w:p w14:paraId="348A63EA" w14:textId="6D05DBAE" w:rsidR="006F1F0A" w:rsidRPr="004217C1" w:rsidRDefault="006F1F0A" w:rsidP="000F53D4">
      <w:pPr>
        <w:rPr>
          <w:highlight w:val="yellow"/>
        </w:rPr>
      </w:pPr>
      <w:r>
        <w:t>For CPC, t</w:t>
      </w:r>
      <w:r w:rsidR="000F53D4" w:rsidRPr="00C472DB">
        <w:t xml:space="preserve">he dietary </w:t>
      </w:r>
      <w:r w:rsidR="000F53D4">
        <w:t>exposure</w:t>
      </w:r>
      <w:r w:rsidR="00713961">
        <w:t>s</w:t>
      </w:r>
      <w:r w:rsidR="000F53D4" w:rsidRPr="00C472DB">
        <w:t xml:space="preserve"> </w:t>
      </w:r>
      <w:r w:rsidR="00D21DCD">
        <w:t>were based on</w:t>
      </w:r>
      <w:r>
        <w:t xml:space="preserve"> </w:t>
      </w:r>
      <w:r w:rsidR="000F53D4">
        <w:t xml:space="preserve">(1) maximum </w:t>
      </w:r>
      <w:r w:rsidR="00D21DCD">
        <w:t xml:space="preserve">residue </w:t>
      </w:r>
      <w:r>
        <w:t>levels</w:t>
      </w:r>
      <w:r w:rsidR="000F53D4">
        <w:t xml:space="preserve"> of CPC </w:t>
      </w:r>
      <w:r w:rsidR="00D21DCD">
        <w:t>from use of the</w:t>
      </w:r>
      <w:r w:rsidR="000F53D4">
        <w:t xml:space="preserve"> poultry wash solution </w:t>
      </w:r>
      <w:r w:rsidR="00AB66F1">
        <w:t xml:space="preserve">(i.e. CPC after dilution with water for use) </w:t>
      </w:r>
      <w:r w:rsidR="00D21DCD">
        <w:t>o</w:t>
      </w:r>
      <w:r w:rsidR="000F53D4">
        <w:t>n all poultry (including game birds), and</w:t>
      </w:r>
      <w:r w:rsidR="000F53D4" w:rsidRPr="00C472DB">
        <w:t xml:space="preserve"> </w:t>
      </w:r>
      <w:r w:rsidR="000F53D4">
        <w:t>(2) </w:t>
      </w:r>
      <w:r w:rsidR="00D21DCD">
        <w:t>average residue</w:t>
      </w:r>
      <w:r w:rsidR="000F53D4">
        <w:t xml:space="preserve"> levels of CPC </w:t>
      </w:r>
      <w:r w:rsidR="00D21DCD">
        <w:t>from the use of</w:t>
      </w:r>
      <w:r w:rsidR="000F53D4">
        <w:t xml:space="preserve"> poultry wash solution </w:t>
      </w:r>
      <w:r w:rsidR="00D21DCD">
        <w:t>on</w:t>
      </w:r>
      <w:r w:rsidR="000F53D4">
        <w:t xml:space="preserve"> all poultry</w:t>
      </w:r>
      <w:r w:rsidR="00713961">
        <w:t xml:space="preserve">, </w:t>
      </w:r>
      <w:r w:rsidR="000F53D4">
        <w:t xml:space="preserve">combined with </w:t>
      </w:r>
      <w:r w:rsidR="000F53D4" w:rsidRPr="00C472DB">
        <w:t>food consumption data from the most recent Australian and New Zealand national nutrition surveys.</w:t>
      </w:r>
      <w:r w:rsidR="004D2E88">
        <w:t xml:space="preserve"> The dietary exposures were assessed against a NOAEL of 8 mg/kg bw/day, set by FSANZ.</w:t>
      </w:r>
      <w:r w:rsidR="000F53D4">
        <w:t xml:space="preserve"> </w:t>
      </w:r>
    </w:p>
    <w:p w14:paraId="2ED2C6DF" w14:textId="77777777" w:rsidR="006F1F0A" w:rsidRDefault="006F1F0A" w:rsidP="000F53D4"/>
    <w:p w14:paraId="22A4D236" w14:textId="2D97546F" w:rsidR="00721CF1" w:rsidRDefault="005F7A77" w:rsidP="000F53D4">
      <w:r>
        <w:rPr>
          <w:lang w:bidi="ar-SA"/>
        </w:rPr>
        <w:t>As the CPC preparation also contains</w:t>
      </w:r>
      <w:r w:rsidRPr="006C4A2C">
        <w:t xml:space="preserve"> propylene glycol, </w:t>
      </w:r>
      <w:r>
        <w:rPr>
          <w:lang w:bidi="ar-SA"/>
        </w:rPr>
        <w:t xml:space="preserve">this was also considered in </w:t>
      </w:r>
      <w:r w:rsidRPr="006C4A2C">
        <w:t xml:space="preserve">the dietary </w:t>
      </w:r>
      <w:r>
        <w:rPr>
          <w:lang w:bidi="ar-SA"/>
        </w:rPr>
        <w:t>exposure assessment. T</w:t>
      </w:r>
      <w:r w:rsidR="00721CF1" w:rsidRPr="006C4A2C">
        <w:t xml:space="preserve">he </w:t>
      </w:r>
      <w:r>
        <w:t>assessment</w:t>
      </w:r>
      <w:r w:rsidR="00721CF1" w:rsidRPr="006C4A2C">
        <w:t xml:space="preserve"> </w:t>
      </w:r>
      <w:r>
        <w:t>was based on</w:t>
      </w:r>
      <w:r w:rsidR="00721CF1" w:rsidRPr="006C4A2C">
        <w:t xml:space="preserve"> </w:t>
      </w:r>
      <w:r>
        <w:t>the</w:t>
      </w:r>
      <w:r w:rsidR="00721CF1" w:rsidRPr="006C4A2C">
        <w:t xml:space="preserve"> maximum </w:t>
      </w:r>
      <w:r w:rsidR="00D21DCD">
        <w:t>residue</w:t>
      </w:r>
      <w:r w:rsidR="00D21DCD" w:rsidRPr="006C4A2C">
        <w:t xml:space="preserve"> </w:t>
      </w:r>
      <w:r w:rsidR="00721CF1" w:rsidRPr="006C4A2C">
        <w:t xml:space="preserve">levels of propylene glycol </w:t>
      </w:r>
      <w:r>
        <w:t xml:space="preserve">arising </w:t>
      </w:r>
      <w:r w:rsidR="00D21DCD">
        <w:t>from use of the</w:t>
      </w:r>
      <w:r w:rsidR="00721CF1" w:rsidRPr="006C4A2C">
        <w:t xml:space="preserve"> </w:t>
      </w:r>
      <w:r w:rsidR="00361C65">
        <w:t xml:space="preserve">applicant’s CPC preparation </w:t>
      </w:r>
      <w:r w:rsidR="00D21DCD">
        <w:t>on</w:t>
      </w:r>
      <w:r w:rsidR="00721CF1" w:rsidRPr="006C4A2C">
        <w:t xml:space="preserve"> all poultry (including game </w:t>
      </w:r>
      <w:r w:rsidR="00721CF1" w:rsidRPr="00B753BF">
        <w:t xml:space="preserve">birds) combined with food consumption data from the most recent Australian and New Zealand national nutrition surveys. </w:t>
      </w:r>
      <w:r w:rsidR="00AA130D">
        <w:t>Propylene glycol is</w:t>
      </w:r>
      <w:r w:rsidR="00AA130D" w:rsidDel="00293D1B">
        <w:t xml:space="preserve"> </w:t>
      </w:r>
      <w:r w:rsidR="00AA130D">
        <w:t xml:space="preserve">a permitted food additive and processing aid. </w:t>
      </w:r>
      <w:r w:rsidR="00721CF1" w:rsidRPr="00B753BF">
        <w:t>The diet</w:t>
      </w:r>
      <w:r w:rsidR="004217C1" w:rsidRPr="00B753BF">
        <w:t xml:space="preserve">ary exposure assessment </w:t>
      </w:r>
      <w:r w:rsidR="006C4A2C" w:rsidRPr="00B753BF">
        <w:t>consider</w:t>
      </w:r>
      <w:r w:rsidR="00293D1B">
        <w:t>ed</w:t>
      </w:r>
      <w:r w:rsidR="006C4A2C" w:rsidRPr="00B753BF">
        <w:t xml:space="preserve"> baseline </w:t>
      </w:r>
      <w:r w:rsidR="00721CF1" w:rsidRPr="00B753BF">
        <w:t xml:space="preserve">permissions </w:t>
      </w:r>
      <w:r w:rsidR="004217C1" w:rsidRPr="00B753BF">
        <w:t>of propylene glycol</w:t>
      </w:r>
      <w:r w:rsidR="006C4A2C" w:rsidRPr="00B753BF">
        <w:t xml:space="preserve"> use</w:t>
      </w:r>
      <w:r w:rsidR="00293D1B">
        <w:t>d</w:t>
      </w:r>
      <w:r w:rsidR="006C4A2C" w:rsidRPr="00B753BF">
        <w:t xml:space="preserve"> as a food additive</w:t>
      </w:r>
      <w:r w:rsidR="004217C1" w:rsidRPr="00B753BF">
        <w:t xml:space="preserve"> in Schedule 15 </w:t>
      </w:r>
      <w:r w:rsidR="006C4A2C" w:rsidRPr="00B753BF">
        <w:t>and</w:t>
      </w:r>
      <w:r w:rsidR="004217C1" w:rsidRPr="00B753BF">
        <w:t xml:space="preserve"> 16 of the Code</w:t>
      </w:r>
      <w:r w:rsidR="00721CF1" w:rsidRPr="00B753BF">
        <w:t>. The dietary e</w:t>
      </w:r>
      <w:r w:rsidR="004217C1" w:rsidRPr="00B753BF">
        <w:t xml:space="preserve">xposures were assessed against JECFA’s </w:t>
      </w:r>
      <w:r w:rsidR="00721CF1" w:rsidRPr="00B753BF">
        <w:t xml:space="preserve">numerical ADI </w:t>
      </w:r>
      <w:r w:rsidR="004217C1" w:rsidRPr="00B753BF">
        <w:t>of 0 – 25 mg/kg</w:t>
      </w:r>
      <w:r w:rsidR="004217C1">
        <w:t xml:space="preserve"> bw/day</w:t>
      </w:r>
      <w:r w:rsidR="004B48FE">
        <w:t>.</w:t>
      </w:r>
    </w:p>
    <w:p w14:paraId="1F00415F" w14:textId="42ED393B" w:rsidR="00721CF1" w:rsidRDefault="00721CF1" w:rsidP="000F53D4"/>
    <w:p w14:paraId="0A5F9F52" w14:textId="493CBD53" w:rsidR="008D2698" w:rsidRDefault="008008C5" w:rsidP="008D2698">
      <w:pPr>
        <w:rPr>
          <w:lang w:bidi="ar-SA"/>
        </w:rPr>
      </w:pPr>
      <w:r>
        <w:t>More details</w:t>
      </w:r>
      <w:r w:rsidR="000F53D4" w:rsidRPr="00FE0034">
        <w:t xml:space="preserve"> of the general FSANZ approach to conducting the dietary </w:t>
      </w:r>
      <w:r w:rsidR="000F53D4">
        <w:t xml:space="preserve">exposure </w:t>
      </w:r>
      <w:r w:rsidR="000F53D4" w:rsidRPr="00FE0034">
        <w:t>asses</w:t>
      </w:r>
      <w:r>
        <w:t>sment for this application are</w:t>
      </w:r>
      <w:r w:rsidR="000F53D4">
        <w:t xml:space="preserve"> in </w:t>
      </w:r>
      <w:r w:rsidR="000F53D4">
        <w:fldChar w:fldCharType="begin"/>
      </w:r>
      <w:r w:rsidR="000F53D4">
        <w:instrText xml:space="preserve"> REF _Ref62656526 \h </w:instrText>
      </w:r>
      <w:r w:rsidR="000F53D4">
        <w:fldChar w:fldCharType="separate"/>
      </w:r>
      <w:r w:rsidR="00A65698">
        <w:t xml:space="preserve">Appendix </w:t>
      </w:r>
      <w:r w:rsidR="00A65698">
        <w:rPr>
          <w:noProof/>
        </w:rPr>
        <w:t>1</w:t>
      </w:r>
      <w:r w:rsidR="000F53D4">
        <w:fldChar w:fldCharType="end"/>
      </w:r>
      <w:r w:rsidR="000F53D4">
        <w:t>.</w:t>
      </w:r>
      <w:r w:rsidR="000F53D4" w:rsidRPr="00FE0034">
        <w:t xml:space="preserve"> A detailed discussion of the FSANZ methodology and approach to conducting dietary </w:t>
      </w:r>
      <w:r w:rsidR="000F53D4">
        <w:t>exposure</w:t>
      </w:r>
      <w:r w:rsidR="000F53D4" w:rsidRPr="00FE0034">
        <w:t xml:space="preserve"> assessments is set out in </w:t>
      </w:r>
      <w:r w:rsidR="000F53D4" w:rsidRPr="00FE0034">
        <w:rPr>
          <w:i/>
        </w:rPr>
        <w:t xml:space="preserve">Principles and Practices of Dietary Exposure Assessment for Food Regulatory Purposes </w:t>
      </w:r>
      <w:r w:rsidR="000F53D4" w:rsidRPr="00FE0034">
        <w:t>(FSANZ 2009).</w:t>
      </w:r>
    </w:p>
    <w:p w14:paraId="711D6817" w14:textId="72C8EC43" w:rsidR="002C76EE" w:rsidRDefault="0081797C" w:rsidP="0081797C">
      <w:pPr>
        <w:pStyle w:val="Heading3"/>
      </w:pPr>
      <w:bookmarkStart w:id="194" w:name="_Toc60738160"/>
      <w:bookmarkStart w:id="195" w:name="_Toc60738161"/>
      <w:bookmarkStart w:id="196" w:name="_Toc62657938"/>
      <w:bookmarkStart w:id="197" w:name="_Toc62738988"/>
      <w:bookmarkStart w:id="198" w:name="_Toc62743574"/>
      <w:bookmarkStart w:id="199" w:name="_Toc92722934"/>
      <w:bookmarkStart w:id="200" w:name="_Toc93592324"/>
      <w:bookmarkStart w:id="201" w:name="_Toc93585335"/>
      <w:bookmarkStart w:id="202" w:name="_Toc97041630"/>
      <w:bookmarkStart w:id="203" w:name="_Toc63330879"/>
      <w:bookmarkEnd w:id="194"/>
      <w:r>
        <w:t>4</w:t>
      </w:r>
      <w:r w:rsidR="00144782">
        <w:t>.1.1</w:t>
      </w:r>
      <w:r w:rsidR="00144782">
        <w:tab/>
      </w:r>
      <w:r w:rsidR="002C76EE">
        <w:t>Concentration data used</w:t>
      </w:r>
      <w:bookmarkEnd w:id="195"/>
      <w:bookmarkEnd w:id="196"/>
      <w:bookmarkEnd w:id="197"/>
      <w:bookmarkEnd w:id="198"/>
      <w:bookmarkEnd w:id="199"/>
      <w:bookmarkEnd w:id="200"/>
      <w:bookmarkEnd w:id="201"/>
      <w:bookmarkEnd w:id="202"/>
    </w:p>
    <w:p w14:paraId="78D7EF0E" w14:textId="34188099" w:rsidR="00357516" w:rsidRPr="00357516" w:rsidRDefault="0081797C" w:rsidP="00144782">
      <w:pPr>
        <w:pStyle w:val="Heading4"/>
      </w:pPr>
      <w:bookmarkStart w:id="204" w:name="_Toc60738163"/>
      <w:bookmarkStart w:id="205" w:name="_Toc49505866"/>
      <w:bookmarkStart w:id="206" w:name="_Toc47003476"/>
      <w:bookmarkStart w:id="207" w:name="_Toc46934420"/>
      <w:bookmarkStart w:id="208" w:name="_Toc46930293"/>
      <w:bookmarkStart w:id="209" w:name="_Toc46926167"/>
      <w:bookmarkStart w:id="210" w:name="_Toc46764360"/>
      <w:bookmarkStart w:id="211" w:name="_Toc46741945"/>
      <w:bookmarkStart w:id="212" w:name="_Toc46507644"/>
      <w:bookmarkStart w:id="213" w:name="_Toc46496542"/>
      <w:bookmarkStart w:id="214" w:name="_Toc46498606"/>
      <w:bookmarkStart w:id="215" w:name="_Toc46423472"/>
      <w:bookmarkStart w:id="216" w:name="_Toc46419134"/>
      <w:bookmarkStart w:id="217" w:name="_Toc46414880"/>
      <w:bookmarkStart w:id="218" w:name="_Toc46411514"/>
      <w:bookmarkStart w:id="219" w:name="_Toc46400082"/>
      <w:bookmarkStart w:id="220" w:name="_Toc46325666"/>
      <w:bookmarkStart w:id="221" w:name="_Toc46322218"/>
      <w:bookmarkStart w:id="222" w:name="_Toc42850575"/>
      <w:bookmarkStart w:id="223" w:name="_Toc42773853"/>
      <w:bookmarkEnd w:id="203"/>
      <w:r>
        <w:t>4</w:t>
      </w:r>
      <w:r w:rsidR="00306F77">
        <w:t>.1.1.1</w:t>
      </w:r>
      <w:r w:rsidR="00306F77">
        <w:tab/>
      </w:r>
      <w:r w:rsidR="00357516" w:rsidRPr="00357516">
        <w:t>CPC</w:t>
      </w:r>
    </w:p>
    <w:p w14:paraId="06E98918" w14:textId="73AA4F74" w:rsidR="005E6E61" w:rsidRDefault="004612A2" w:rsidP="00357516">
      <w:r>
        <w:t xml:space="preserve">The applicant noted that CPC is diluted to </w:t>
      </w:r>
      <w:r>
        <w:rPr>
          <w:rFonts w:cs="Arial"/>
        </w:rPr>
        <w:t>≤</w:t>
      </w:r>
      <w:r>
        <w:t>1% for use in the poultry wash</w:t>
      </w:r>
      <w:r w:rsidR="003E27EC">
        <w:t xml:space="preserve"> solution</w:t>
      </w:r>
      <w:r>
        <w:t xml:space="preserve">. </w:t>
      </w:r>
      <w:r w:rsidR="007A2F0B">
        <w:t xml:space="preserve">An average concentration of CPC in the wash </w:t>
      </w:r>
      <w:r w:rsidR="003E27EC">
        <w:t xml:space="preserve">solution </w:t>
      </w:r>
      <w:r w:rsidR="007A2F0B">
        <w:t xml:space="preserve">is 0.5%. </w:t>
      </w:r>
      <w:r w:rsidR="00306F77">
        <w:t>At a</w:t>
      </w:r>
      <w:r w:rsidR="0000343C">
        <w:t xml:space="preserve"> CPC concentration</w:t>
      </w:r>
      <w:r w:rsidR="00306F77">
        <w:t xml:space="preserve"> of 1% in the poultry wash</w:t>
      </w:r>
      <w:r w:rsidR="003E27EC">
        <w:t xml:space="preserve"> solution</w:t>
      </w:r>
      <w:r w:rsidR="0000343C">
        <w:t xml:space="preserve">, the corresponding </w:t>
      </w:r>
      <w:r w:rsidR="00306F77">
        <w:t xml:space="preserve">average and maximum </w:t>
      </w:r>
      <w:r w:rsidR="0000343C">
        <w:t>residue</w:t>
      </w:r>
      <w:r w:rsidR="00306F77">
        <w:t xml:space="preserve"> levels </w:t>
      </w:r>
      <w:r w:rsidR="006F1F0A">
        <w:t xml:space="preserve">of CPC </w:t>
      </w:r>
      <w:r w:rsidR="00306F77">
        <w:t xml:space="preserve">on </w:t>
      </w:r>
      <w:r w:rsidR="00306F77" w:rsidRPr="00B77713">
        <w:t>the poultry carcass (</w:t>
      </w:r>
      <w:r w:rsidR="00306F77" w:rsidRPr="00B77713" w:rsidDel="00D32591">
        <w:t>i.e.</w:t>
      </w:r>
      <w:r w:rsidR="00306F77" w:rsidRPr="00B77713">
        <w:t xml:space="preserve"> skin</w:t>
      </w:r>
      <w:r w:rsidR="00D32591" w:rsidRPr="00B77713">
        <w:t xml:space="preserve"> on</w:t>
      </w:r>
      <w:r w:rsidR="00306F77" w:rsidRPr="00B77713">
        <w:t xml:space="preserve">) </w:t>
      </w:r>
      <w:r w:rsidR="00343043">
        <w:t xml:space="preserve">provided by the applicant </w:t>
      </w:r>
      <w:r w:rsidR="00306F77" w:rsidRPr="00B77713">
        <w:t>ar</w:t>
      </w:r>
      <w:r w:rsidR="00306F77">
        <w:t>e</w:t>
      </w:r>
      <w:r w:rsidR="0000343C">
        <w:t xml:space="preserve"> 12.4 mg/kg</w:t>
      </w:r>
      <w:r w:rsidR="00306F77">
        <w:t xml:space="preserve"> and 13.4 mg/kg, respectively</w:t>
      </w:r>
      <w:r w:rsidR="0000343C">
        <w:t>.</w:t>
      </w:r>
      <w:r w:rsidR="00343043">
        <w:t xml:space="preserve"> These residues were following the standard application procedures </w:t>
      </w:r>
      <w:r w:rsidR="007A2F0B">
        <w:t>assuming there is a</w:t>
      </w:r>
      <w:r w:rsidR="00343043">
        <w:t xml:space="preserve"> rinsing step following </w:t>
      </w:r>
      <w:r w:rsidR="007A2F0B">
        <w:t xml:space="preserve">the </w:t>
      </w:r>
      <w:r w:rsidR="00343043">
        <w:t>application of the poultry wash</w:t>
      </w:r>
      <w:r w:rsidR="0023728E">
        <w:t xml:space="preserve"> solution</w:t>
      </w:r>
      <w:r w:rsidR="00343043">
        <w:t>.</w:t>
      </w:r>
      <w:r w:rsidR="0000343C">
        <w:t xml:space="preserve"> The applicant </w:t>
      </w:r>
      <w:r w:rsidR="00306F77">
        <w:t>provided information on the skin to total</w:t>
      </w:r>
      <w:r w:rsidR="0000343C">
        <w:t xml:space="preserve"> carcass weight</w:t>
      </w:r>
      <w:r w:rsidR="00306F77">
        <w:t xml:space="preserve"> of</w:t>
      </w:r>
      <w:r w:rsidR="004D1AC9">
        <w:t xml:space="preserve"> </w:t>
      </w:r>
      <w:r w:rsidR="0000343C">
        <w:t>8.8%</w:t>
      </w:r>
      <w:r w:rsidR="00306F77">
        <w:t xml:space="preserve">, </w:t>
      </w:r>
      <w:r w:rsidR="0000343C">
        <w:t xml:space="preserve">the average percentage of </w:t>
      </w:r>
      <w:r w:rsidR="004D1AC9">
        <w:t>skin</w:t>
      </w:r>
      <w:r w:rsidR="00306F77">
        <w:t xml:space="preserve"> on a typical broiler</w:t>
      </w:r>
      <w:r w:rsidR="006705DF">
        <w:t>.</w:t>
      </w:r>
      <w:r w:rsidR="004D1AC9">
        <w:t xml:space="preserve"> </w:t>
      </w:r>
      <w:r w:rsidR="00DA1A12">
        <w:t xml:space="preserve">The applicant applied this percentage to the residue </w:t>
      </w:r>
      <w:r w:rsidR="00DA1A12">
        <w:lastRenderedPageBreak/>
        <w:t>on the skin to determine the concentration in the poultry</w:t>
      </w:r>
      <w:r w:rsidR="001E779D">
        <w:t xml:space="preserve"> (i.e. skin and meat combined, no bones)</w:t>
      </w:r>
      <w:r w:rsidR="00DA1A12">
        <w:t xml:space="preserve"> that would be consumed with the skin</w:t>
      </w:r>
      <w:r w:rsidR="00343043">
        <w:t xml:space="preserve"> on of </w:t>
      </w:r>
      <w:r w:rsidR="00DA1A12">
        <w:t xml:space="preserve">1.2 mg CPC/kg </w:t>
      </w:r>
      <w:r w:rsidR="00343043">
        <w:t>(</w:t>
      </w:r>
      <w:r w:rsidR="00DA1A12">
        <w:t>based on a maximum residue on the skin of 13.4 mg/kg). This level was used in the estimate of dietary exposure presented by the applicant. As a worst case scenario FSANZ assumed for its dietary exposure assessment that t</w:t>
      </w:r>
      <w:r w:rsidR="006705DF">
        <w:t xml:space="preserve">he resulting concentrations for CPC in poultry meat and fat are 1.1 mg/kg for the </w:t>
      </w:r>
      <w:r w:rsidR="006705DF" w:rsidRPr="006705DF">
        <w:rPr>
          <w:i/>
        </w:rPr>
        <w:t xml:space="preserve">‘Average </w:t>
      </w:r>
      <w:r w:rsidR="005C2AD2">
        <w:rPr>
          <w:i/>
        </w:rPr>
        <w:t>residue</w:t>
      </w:r>
      <w:r w:rsidR="005C2AD2" w:rsidRPr="006705DF">
        <w:rPr>
          <w:i/>
        </w:rPr>
        <w:t xml:space="preserve"> </w:t>
      </w:r>
      <w:r w:rsidR="008056B9">
        <w:rPr>
          <w:i/>
        </w:rPr>
        <w:t>l</w:t>
      </w:r>
      <w:r w:rsidR="006705DF" w:rsidRPr="006705DF">
        <w:rPr>
          <w:i/>
        </w:rPr>
        <w:t>evel’</w:t>
      </w:r>
      <w:r w:rsidR="006705DF">
        <w:t xml:space="preserve"> scenario and </w:t>
      </w:r>
      <w:r w:rsidR="004D1AC9">
        <w:t>1.2</w:t>
      </w:r>
      <w:r w:rsidR="00C22B52">
        <w:t xml:space="preserve"> </w:t>
      </w:r>
      <w:r w:rsidR="004D1AC9">
        <w:t>mg/kg</w:t>
      </w:r>
      <w:r w:rsidR="006705DF">
        <w:t xml:space="preserve"> for the </w:t>
      </w:r>
      <w:r w:rsidR="008056B9">
        <w:rPr>
          <w:i/>
        </w:rPr>
        <w:t xml:space="preserve">‘Maximum </w:t>
      </w:r>
      <w:r w:rsidR="005C2AD2">
        <w:rPr>
          <w:i/>
        </w:rPr>
        <w:t xml:space="preserve">residue </w:t>
      </w:r>
      <w:r w:rsidR="008056B9">
        <w:rPr>
          <w:i/>
        </w:rPr>
        <w:t>l</w:t>
      </w:r>
      <w:r w:rsidR="006705DF">
        <w:rPr>
          <w:i/>
        </w:rPr>
        <w:t>evel’</w:t>
      </w:r>
      <w:r w:rsidR="006705DF">
        <w:t xml:space="preserve"> scenario</w:t>
      </w:r>
      <w:r w:rsidR="004D1AC9">
        <w:t xml:space="preserve">. </w:t>
      </w:r>
      <w:r w:rsidR="006705DF">
        <w:t>The CPC concentrations used in the d</w:t>
      </w:r>
      <w:r w:rsidR="0000343C">
        <w:t xml:space="preserve">ietary </w:t>
      </w:r>
      <w:r w:rsidR="006705DF">
        <w:t>exposure assessment are</w:t>
      </w:r>
      <w:r w:rsidR="00357516">
        <w:t xml:space="preserve"> noted in </w:t>
      </w:r>
      <w:r w:rsidR="009C081A">
        <w:fldChar w:fldCharType="begin"/>
      </w:r>
      <w:r w:rsidR="009C081A">
        <w:instrText xml:space="preserve"> REF _Ref92711492 \h </w:instrText>
      </w:r>
      <w:r w:rsidR="009C081A">
        <w:fldChar w:fldCharType="separate"/>
      </w:r>
      <w:r w:rsidR="00A65698">
        <w:t xml:space="preserve">Table </w:t>
      </w:r>
      <w:r w:rsidR="00A65698">
        <w:rPr>
          <w:noProof/>
        </w:rPr>
        <w:t>4</w:t>
      </w:r>
      <w:r w:rsidR="009C081A">
        <w:fldChar w:fldCharType="end"/>
      </w:r>
      <w:r w:rsidR="00306F77">
        <w:fldChar w:fldCharType="begin"/>
      </w:r>
      <w:r w:rsidR="00306F77">
        <w:instrText xml:space="preserve"> REF _Ref63323958 \h </w:instrText>
      </w:r>
      <w:r w:rsidR="00306F77">
        <w:fldChar w:fldCharType="end"/>
      </w:r>
      <w:r w:rsidR="004D1AC9">
        <w:t>.</w:t>
      </w:r>
    </w:p>
    <w:p w14:paraId="1261ECC8" w14:textId="476302F3" w:rsidR="005E6E61" w:rsidRDefault="005E6E61" w:rsidP="002C76EE"/>
    <w:p w14:paraId="2639C772" w14:textId="7C9F74DC" w:rsidR="00E51CFB" w:rsidRPr="00E82842" w:rsidRDefault="00B753BF" w:rsidP="001D1E05">
      <w:pPr>
        <w:rPr>
          <w:lang w:val="en-AU"/>
        </w:rPr>
      </w:pPr>
      <w:r>
        <w:t xml:space="preserve">FSANZ undertook an evaluation of the proportion of skin on poultry to ensure the derived concentration to use </w:t>
      </w:r>
      <w:r w:rsidR="00F91A4D">
        <w:t xml:space="preserve">in </w:t>
      </w:r>
      <w:r>
        <w:t xml:space="preserve">the dietary exposure assessment was representative of residues for a chronic risk assessment. </w:t>
      </w:r>
      <w:r w:rsidR="001D1E05" w:rsidRPr="00E82842">
        <w:t>It has been shown that the proportion</w:t>
      </w:r>
      <w:r w:rsidR="00DB46B5">
        <w:t xml:space="preserve"> of skin </w:t>
      </w:r>
      <w:r w:rsidR="00797262">
        <w:t>(</w:t>
      </w:r>
      <w:r w:rsidR="00DB46B5">
        <w:t>with subcutaneous fat</w:t>
      </w:r>
      <w:r w:rsidR="00797262">
        <w:t>)</w:t>
      </w:r>
      <w:r w:rsidR="001D1E05" w:rsidRPr="00E82842">
        <w:t xml:space="preserve"> in different types of poultry is variable</w:t>
      </w:r>
      <w:r w:rsidR="00DB46B5">
        <w:t>, f</w:t>
      </w:r>
      <w:r w:rsidR="00091981">
        <w:t xml:space="preserve">rom approximately </w:t>
      </w:r>
      <w:r w:rsidR="00091981" w:rsidRPr="00E82842">
        <w:t xml:space="preserve">10-12% in </w:t>
      </w:r>
      <w:r w:rsidR="00091981">
        <w:t>t</w:t>
      </w:r>
      <w:r w:rsidR="00091981" w:rsidRPr="00E82842">
        <w:t>urkeys</w:t>
      </w:r>
      <w:r w:rsidR="00091981">
        <w:t xml:space="preserve"> and 13% in broiler chickens to </w:t>
      </w:r>
      <w:r w:rsidR="00091981" w:rsidRPr="00E82842">
        <w:t xml:space="preserve">19% in </w:t>
      </w:r>
      <w:r w:rsidR="00091981">
        <w:t>g</w:t>
      </w:r>
      <w:r w:rsidR="00091981" w:rsidRPr="00E82842">
        <w:t>eese</w:t>
      </w:r>
      <w:r w:rsidR="00091981">
        <w:t xml:space="preserve"> and </w:t>
      </w:r>
      <w:r w:rsidR="001D1E05" w:rsidRPr="00E82842">
        <w:t>23% in Pekin ducks (Murawska, 2017).</w:t>
      </w:r>
      <w:r w:rsidR="001D1E05">
        <w:t xml:space="preserve"> </w:t>
      </w:r>
      <w:r w:rsidR="00E63790">
        <w:t>T</w:t>
      </w:r>
      <w:r w:rsidR="001D1E05">
        <w:t>he</w:t>
      </w:r>
      <w:r w:rsidR="00E63790">
        <w:t>re can also be variability in the proportion of skin and visible fat</w:t>
      </w:r>
      <w:r w:rsidR="001D1E05" w:rsidDel="00E63790">
        <w:t xml:space="preserve"> </w:t>
      </w:r>
      <w:r w:rsidR="00E63790">
        <w:t xml:space="preserve">depending on the total carcass weight </w:t>
      </w:r>
      <w:r w:rsidR="001D1E05">
        <w:t>of</w:t>
      </w:r>
      <w:r w:rsidR="00D47840">
        <w:t xml:space="preserve"> the</w:t>
      </w:r>
      <w:r w:rsidR="001D1E05">
        <w:t xml:space="preserve"> broiler chicken </w:t>
      </w:r>
      <w:r w:rsidR="00E63790">
        <w:t>(</w:t>
      </w:r>
      <w:r w:rsidR="00E51CFB">
        <w:t>ranging</w:t>
      </w:r>
      <w:r w:rsidR="001D1E05">
        <w:t xml:space="preserve"> 8-20%</w:t>
      </w:r>
      <w:r w:rsidR="00E63790">
        <w:t>)</w:t>
      </w:r>
      <w:r w:rsidR="001D1E05">
        <w:t xml:space="preserve"> </w:t>
      </w:r>
      <w:r w:rsidR="00E51CFB">
        <w:t>(</w:t>
      </w:r>
      <w:r w:rsidR="001D1E05" w:rsidRPr="00755DEF">
        <w:t>Fereidoun et al., 2007)</w:t>
      </w:r>
      <w:r w:rsidR="00E51CFB">
        <w:t xml:space="preserve">. The webpage of </w:t>
      </w:r>
      <w:r w:rsidR="00DF0788">
        <w:t xml:space="preserve">the </w:t>
      </w:r>
      <w:r w:rsidR="00E51CFB">
        <w:t xml:space="preserve">Australian Chicken </w:t>
      </w:r>
      <w:r w:rsidR="00E82842">
        <w:t>M</w:t>
      </w:r>
      <w:r w:rsidR="00E51CFB">
        <w:t>eat Federation states that the skin content in poultry differs with the parts. For example breast</w:t>
      </w:r>
      <w:r w:rsidR="00E82842">
        <w:t xml:space="preserve"> meat</w:t>
      </w:r>
      <w:r w:rsidR="00E51CFB">
        <w:t xml:space="preserve"> contain</w:t>
      </w:r>
      <w:r w:rsidR="00E82842">
        <w:t>s</w:t>
      </w:r>
      <w:r w:rsidR="001D1E05" w:rsidRPr="00E82842">
        <w:t xml:space="preserve"> 9%</w:t>
      </w:r>
      <w:r w:rsidR="00E51CFB" w:rsidRPr="00E82842">
        <w:t xml:space="preserve"> skin whereas the wing </w:t>
      </w:r>
      <w:r w:rsidR="00E51CFB">
        <w:t>contains</w:t>
      </w:r>
      <w:r w:rsidR="00E51CFB" w:rsidRPr="00E82842">
        <w:t xml:space="preserve"> 29% </w:t>
      </w:r>
      <w:r w:rsidR="00E51CFB">
        <w:t xml:space="preserve">of skin to </w:t>
      </w:r>
      <w:r w:rsidR="00E51CFB" w:rsidRPr="00E82842">
        <w:t>it</w:t>
      </w:r>
      <w:r w:rsidR="00E51CFB">
        <w:t>s</w:t>
      </w:r>
      <w:r w:rsidR="00E51CFB" w:rsidRPr="00E82842">
        <w:t xml:space="preserve"> weight</w:t>
      </w:r>
      <w:r w:rsidR="00E51CFB">
        <w:t xml:space="preserve"> (</w:t>
      </w:r>
      <w:r w:rsidR="00E51CFB" w:rsidRPr="00E51CFB">
        <w:t>https://www.chicken.org.au/chicken-cuts/</w:t>
      </w:r>
      <w:r w:rsidR="00E51CFB">
        <w:t>)</w:t>
      </w:r>
      <w:r w:rsidR="00E82842">
        <w:rPr>
          <w:lang w:val="en-AU"/>
        </w:rPr>
        <w:t>.</w:t>
      </w:r>
    </w:p>
    <w:p w14:paraId="49FE23BB" w14:textId="77777777" w:rsidR="00E51CFB" w:rsidRPr="00E82842" w:rsidRDefault="00E51CFB" w:rsidP="001D1E05">
      <w:pPr>
        <w:rPr>
          <w:lang w:val="en-AU"/>
        </w:rPr>
      </w:pPr>
    </w:p>
    <w:p w14:paraId="0FB20C5B" w14:textId="1A61F074" w:rsidR="00901331" w:rsidRDefault="00B753BF" w:rsidP="002C76EE">
      <w:r>
        <w:t xml:space="preserve">Based on this </w:t>
      </w:r>
      <w:r w:rsidR="00F2627A">
        <w:t>information</w:t>
      </w:r>
      <w:r>
        <w:t xml:space="preserve">, FSANZ also reviewed how commonly different types of poultry were consumed to evaluate if basing the residue concentration on concentrations from chicken was also applicable to the chronic risk assessment. </w:t>
      </w:r>
      <w:r w:rsidR="00E51CFB">
        <w:t xml:space="preserve">It was found from the </w:t>
      </w:r>
      <w:r w:rsidR="00E82842">
        <w:t xml:space="preserve">nutrition </w:t>
      </w:r>
      <w:r w:rsidR="00E51CFB">
        <w:t>survey data</w:t>
      </w:r>
      <w:r w:rsidR="00E82842">
        <w:t xml:space="preserve"> from both countries</w:t>
      </w:r>
      <w:r w:rsidR="00E51CFB">
        <w:t xml:space="preserve"> that </w:t>
      </w:r>
      <w:r w:rsidR="00901331" w:rsidRPr="00E82842">
        <w:t xml:space="preserve">chicken is the most commonly consumed </w:t>
      </w:r>
      <w:r w:rsidR="008B7A8A">
        <w:t xml:space="preserve">type of </w:t>
      </w:r>
      <w:r w:rsidR="00901331" w:rsidRPr="00E82842">
        <w:t xml:space="preserve">poultry </w:t>
      </w:r>
      <w:r w:rsidR="00E82842">
        <w:t xml:space="preserve">(38% </w:t>
      </w:r>
      <w:r w:rsidR="008B7A8A">
        <w:t xml:space="preserve">or more </w:t>
      </w:r>
      <w:r w:rsidR="00E82842">
        <w:t xml:space="preserve">of the population consuming) </w:t>
      </w:r>
      <w:r w:rsidR="00901331" w:rsidRPr="00E82842">
        <w:t xml:space="preserve">compared to other </w:t>
      </w:r>
      <w:r w:rsidR="00E82842">
        <w:t xml:space="preserve">types of </w:t>
      </w:r>
      <w:r w:rsidR="00901331" w:rsidRPr="00E82842">
        <w:t>poultry</w:t>
      </w:r>
      <w:r w:rsidR="00E82842">
        <w:t xml:space="preserve"> (e.g. duck, turkey, quail, ostrich</w:t>
      </w:r>
      <w:r w:rsidR="00731C92">
        <w:t>, goose, mutton bird</w:t>
      </w:r>
      <w:r w:rsidR="00E82842">
        <w:t>) (less than 3% consumers</w:t>
      </w:r>
      <w:r w:rsidR="00E82842" w:rsidRPr="006939E8">
        <w:t>)</w:t>
      </w:r>
      <w:r w:rsidR="00F2627A" w:rsidRPr="006939E8">
        <w:t xml:space="preserve"> (Table A</w:t>
      </w:r>
      <w:r w:rsidR="006939E8" w:rsidRPr="006939E8">
        <w:t>1.2</w:t>
      </w:r>
      <w:r w:rsidR="00F2627A" w:rsidRPr="006939E8">
        <w:t xml:space="preserve"> in Appendix</w:t>
      </w:r>
      <w:r w:rsidR="00DA6BE2">
        <w:t> </w:t>
      </w:r>
      <w:r w:rsidR="00C721BD" w:rsidRPr="006939E8">
        <w:t>1, section A1.2</w:t>
      </w:r>
      <w:r w:rsidR="00F2627A" w:rsidRPr="006939E8">
        <w:t>).</w:t>
      </w:r>
      <w:r w:rsidR="00901331" w:rsidRPr="006939E8">
        <w:t xml:space="preserve"> </w:t>
      </w:r>
      <w:r w:rsidR="00F2627A" w:rsidRPr="006939E8">
        <w:t>Therefore,</w:t>
      </w:r>
      <w:r w:rsidR="00901331" w:rsidRPr="006939E8">
        <w:t xml:space="preserve"> </w:t>
      </w:r>
      <w:r w:rsidR="008952A6" w:rsidRPr="006939E8">
        <w:t>any data for</w:t>
      </w:r>
      <w:r w:rsidR="00E82842" w:rsidRPr="006939E8">
        <w:t xml:space="preserve"> chicken </w:t>
      </w:r>
      <w:r w:rsidR="00901331" w:rsidRPr="006939E8">
        <w:t>is mor</w:t>
      </w:r>
      <w:r w:rsidR="00901331" w:rsidRPr="00E82842">
        <w:t xml:space="preserve">e likely to </w:t>
      </w:r>
      <w:r w:rsidR="00E82842">
        <w:t>influence</w:t>
      </w:r>
      <w:r w:rsidR="00E82842" w:rsidRPr="00E82842">
        <w:t xml:space="preserve"> </w:t>
      </w:r>
      <w:r w:rsidR="00901331" w:rsidRPr="00E82842">
        <w:t xml:space="preserve">long term exposures, irrespective of some other poultry types having higher skin percentages (and </w:t>
      </w:r>
      <w:r w:rsidR="008952A6">
        <w:t xml:space="preserve">therefore </w:t>
      </w:r>
      <w:r w:rsidR="00901331" w:rsidRPr="00E82842">
        <w:t>possibly higher residues for the skin and flesh combined</w:t>
      </w:r>
      <w:r w:rsidR="00ED6F98" w:rsidRPr="008952A6" w:rsidDel="00F2627A">
        <w:t>)</w:t>
      </w:r>
      <w:r w:rsidR="00F2627A" w:rsidRPr="008952A6">
        <w:t>.</w:t>
      </w:r>
    </w:p>
    <w:p w14:paraId="65E9BB9A" w14:textId="77777777" w:rsidR="00F2627A" w:rsidRDefault="00F2627A" w:rsidP="002C76EE"/>
    <w:p w14:paraId="53F0806A" w14:textId="29112F97" w:rsidR="00901331" w:rsidRDefault="00F2627A" w:rsidP="002C76EE">
      <w:r>
        <w:t>T</w:t>
      </w:r>
      <w:r w:rsidR="00901331">
        <w:t xml:space="preserve">he worst case scenario of around 30% of </w:t>
      </w:r>
      <w:r>
        <w:t xml:space="preserve">the carcass as </w:t>
      </w:r>
      <w:r w:rsidR="00901331">
        <w:t xml:space="preserve">skin would result </w:t>
      </w:r>
      <w:r w:rsidR="00901331" w:rsidRPr="00E82842">
        <w:t xml:space="preserve">in a residue in skin and flesh combined of around 4 mg/kg, which is higher than the 1.2 mg/kg </w:t>
      </w:r>
      <w:r>
        <w:t xml:space="preserve">noted </w:t>
      </w:r>
      <w:r w:rsidR="00901331" w:rsidRPr="00E82842">
        <w:t xml:space="preserve">in the application and used in the dietary exposure assessment. </w:t>
      </w:r>
      <w:r>
        <w:t>FSANZ did not</w:t>
      </w:r>
      <w:r w:rsidR="00901331" w:rsidRPr="00E82842">
        <w:t xml:space="preserve"> assess residues around 4 mg/kg because consumers </w:t>
      </w:r>
      <w:r w:rsidR="008B7A8A">
        <w:t xml:space="preserve">across their lifetime </w:t>
      </w:r>
      <w:r>
        <w:t>would not</w:t>
      </w:r>
      <w:r w:rsidR="00901331" w:rsidRPr="00E82842">
        <w:t xml:space="preserve"> only eat</w:t>
      </w:r>
      <w:r>
        <w:t xml:space="preserve"> poultry parts with a high proportion of skin (e.g.</w:t>
      </w:r>
      <w:r w:rsidR="00901331" w:rsidRPr="00E82842">
        <w:t xml:space="preserve"> wings</w:t>
      </w:r>
      <w:r>
        <w:t>)</w:t>
      </w:r>
      <w:r w:rsidR="00901331" w:rsidRPr="00E82842">
        <w:t xml:space="preserve"> and also the </w:t>
      </w:r>
      <w:r w:rsidR="008952A6">
        <w:t>most commonly consumed</w:t>
      </w:r>
      <w:r w:rsidR="008952A6" w:rsidRPr="00E82842">
        <w:t xml:space="preserve"> </w:t>
      </w:r>
      <w:r w:rsidR="00901331" w:rsidRPr="00E82842">
        <w:t>poultry was</w:t>
      </w:r>
      <w:r w:rsidR="00901331" w:rsidRPr="00E82842" w:rsidDel="00DF0788">
        <w:t xml:space="preserve"> </w:t>
      </w:r>
      <w:r w:rsidR="00901331" w:rsidRPr="00E82842">
        <w:t xml:space="preserve">chicken. Therefore, the residue of 1.2 mg/kg was </w:t>
      </w:r>
      <w:r w:rsidR="008952A6">
        <w:t xml:space="preserve">considered to be </w:t>
      </w:r>
      <w:r w:rsidR="00901331" w:rsidRPr="00E82842">
        <w:t xml:space="preserve">applicable for the </w:t>
      </w:r>
      <w:r w:rsidR="008952A6">
        <w:t xml:space="preserve">FSANZ </w:t>
      </w:r>
      <w:r w:rsidR="00901331" w:rsidRPr="00E82842">
        <w:t xml:space="preserve">risk assessment. However, it should be noted that, the residue may </w:t>
      </w:r>
      <w:r w:rsidR="008B7A8A">
        <w:t>be higher than 1.2 mg/kg</w:t>
      </w:r>
      <w:r w:rsidR="008B7A8A" w:rsidRPr="00E82842">
        <w:t xml:space="preserve"> </w:t>
      </w:r>
      <w:r w:rsidR="00901331" w:rsidRPr="00E82842">
        <w:t xml:space="preserve">if parts </w:t>
      </w:r>
      <w:r w:rsidR="008B7A8A">
        <w:t>are</w:t>
      </w:r>
      <w:r w:rsidR="008B7A8A" w:rsidRPr="00E82842">
        <w:t xml:space="preserve"> </w:t>
      </w:r>
      <w:r w:rsidR="00901331" w:rsidRPr="00E82842">
        <w:t xml:space="preserve">analysed separately, or </w:t>
      </w:r>
      <w:r w:rsidR="008B7A8A">
        <w:t>if</w:t>
      </w:r>
      <w:r w:rsidR="008B7A8A" w:rsidRPr="00E82842">
        <w:t xml:space="preserve"> </w:t>
      </w:r>
      <w:r w:rsidR="00901331" w:rsidRPr="00E82842">
        <w:t xml:space="preserve">poultry other than chicken </w:t>
      </w:r>
      <w:r w:rsidR="008B7A8A">
        <w:t>is</w:t>
      </w:r>
      <w:r w:rsidR="008B7A8A" w:rsidRPr="00E82842">
        <w:t xml:space="preserve"> </w:t>
      </w:r>
      <w:r w:rsidR="00901331" w:rsidRPr="00E82842">
        <w:t>analysed.</w:t>
      </w:r>
    </w:p>
    <w:p w14:paraId="13963E66" w14:textId="77777777" w:rsidR="008952A6" w:rsidRPr="00E82842" w:rsidRDefault="008952A6" w:rsidP="002C76EE"/>
    <w:p w14:paraId="6A9D27B2" w14:textId="4F0D10B3" w:rsidR="009C081A" w:rsidRDefault="009C081A" w:rsidP="000955C2">
      <w:pPr>
        <w:pStyle w:val="FSTableTitle"/>
        <w:keepNext/>
        <w:keepLines/>
      </w:pPr>
      <w:bookmarkStart w:id="224" w:name="_Ref41997275"/>
      <w:bookmarkStart w:id="225" w:name="_Ref63323958"/>
      <w:bookmarkStart w:id="226" w:name="_Ref92711492"/>
      <w:bookmarkEnd w:id="224"/>
      <w:bookmarkEnd w:id="225"/>
      <w:r>
        <w:t xml:space="preserve">Table </w:t>
      </w:r>
      <w:fldSimple w:instr=" SEQ Table \* ARABIC ">
        <w:r w:rsidR="00A65698">
          <w:rPr>
            <w:noProof/>
          </w:rPr>
          <w:t>4</w:t>
        </w:r>
      </w:fldSimple>
      <w:bookmarkEnd w:id="226"/>
      <w:r>
        <w:t xml:space="preserve"> </w:t>
      </w:r>
      <w:r w:rsidRPr="00C64EAC">
        <w:t>Concentrations of CPC* used in the dietary exposure assessment</w:t>
      </w:r>
    </w:p>
    <w:tbl>
      <w:tblPr>
        <w:tblStyle w:val="TableGrid"/>
        <w:tblW w:w="5000" w:type="pct"/>
        <w:tblLook w:val="04A0" w:firstRow="1" w:lastRow="0" w:firstColumn="1" w:lastColumn="0" w:noHBand="0" w:noVBand="1"/>
        <w:tblCaption w:val="Table 9 Concentrations of CPC* used in the dietary exposure assessment"/>
        <w:tblDescription w:val="Concentrations of CPC used in the dietary exposure assessment in mg per kilogram for the Average use level scenario and the Maximum use level scenario. The food groups listed are Poultry fat, Poultry meat and Poultry skin"/>
      </w:tblPr>
      <w:tblGrid>
        <w:gridCol w:w="2264"/>
        <w:gridCol w:w="2263"/>
        <w:gridCol w:w="2263"/>
        <w:gridCol w:w="2263"/>
        <w:gridCol w:w="7"/>
      </w:tblGrid>
      <w:tr w:rsidR="00C62FB7" w:rsidRPr="00B21B2C" w14:paraId="1666B4D1" w14:textId="77777777" w:rsidTr="00842A98">
        <w:trPr>
          <w:trHeight w:val="283"/>
        </w:trPr>
        <w:tc>
          <w:tcPr>
            <w:tcW w:w="1249" w:type="pct"/>
            <w:vMerge w:val="restart"/>
            <w:vAlign w:val="bottom"/>
          </w:tcPr>
          <w:p w14:paraId="3611B972" w14:textId="1688BA2E" w:rsidR="00C62FB7" w:rsidRPr="00842A98" w:rsidRDefault="00C62FB7" w:rsidP="00842A98">
            <w:pPr>
              <w:keepNext/>
              <w:keepLines/>
              <w:rPr>
                <w:b/>
                <w:sz w:val="20"/>
                <w:szCs w:val="20"/>
              </w:rPr>
            </w:pPr>
            <w:r w:rsidRPr="00842A98">
              <w:rPr>
                <w:b/>
                <w:sz w:val="20"/>
                <w:szCs w:val="20"/>
              </w:rPr>
              <w:t>Classification code</w:t>
            </w:r>
          </w:p>
        </w:tc>
        <w:tc>
          <w:tcPr>
            <w:tcW w:w="1249" w:type="pct"/>
            <w:vMerge w:val="restart"/>
            <w:vAlign w:val="bottom"/>
          </w:tcPr>
          <w:p w14:paraId="6104126B" w14:textId="7C7CC6F2" w:rsidR="00C62FB7" w:rsidRPr="00842A98" w:rsidRDefault="00C62FB7" w:rsidP="00842A98">
            <w:pPr>
              <w:keepNext/>
              <w:keepLines/>
              <w:rPr>
                <w:b/>
                <w:sz w:val="20"/>
                <w:szCs w:val="20"/>
              </w:rPr>
            </w:pPr>
            <w:r w:rsidRPr="00842A98">
              <w:rPr>
                <w:b/>
                <w:sz w:val="20"/>
                <w:szCs w:val="20"/>
              </w:rPr>
              <w:t>Classification name</w:t>
            </w:r>
          </w:p>
        </w:tc>
        <w:tc>
          <w:tcPr>
            <w:tcW w:w="2502" w:type="pct"/>
            <w:gridSpan w:val="3"/>
          </w:tcPr>
          <w:p w14:paraId="543528AF" w14:textId="0AE33466" w:rsidR="00C62FB7" w:rsidRPr="00842A98" w:rsidRDefault="008056B9" w:rsidP="000955C2">
            <w:pPr>
              <w:keepNext/>
              <w:keepLines/>
              <w:jc w:val="center"/>
              <w:rPr>
                <w:b/>
                <w:sz w:val="20"/>
                <w:szCs w:val="20"/>
              </w:rPr>
            </w:pPr>
            <w:r w:rsidRPr="00842A98">
              <w:rPr>
                <w:b/>
                <w:sz w:val="20"/>
                <w:szCs w:val="20"/>
              </w:rPr>
              <w:t>CPC c</w:t>
            </w:r>
            <w:r w:rsidR="00C62FB7" w:rsidRPr="00842A98">
              <w:rPr>
                <w:b/>
                <w:sz w:val="20"/>
                <w:szCs w:val="20"/>
              </w:rPr>
              <w:t>oncentration (mg/kg)</w:t>
            </w:r>
          </w:p>
        </w:tc>
      </w:tr>
      <w:tr w:rsidR="00945CD2" w:rsidRPr="00B21B2C" w14:paraId="072CDD58" w14:textId="77777777" w:rsidTr="00842A98">
        <w:trPr>
          <w:gridAfter w:val="1"/>
          <w:wAfter w:w="7" w:type="dxa"/>
          <w:trHeight w:val="515"/>
        </w:trPr>
        <w:tc>
          <w:tcPr>
            <w:tcW w:w="1249" w:type="pct"/>
            <w:vMerge/>
          </w:tcPr>
          <w:p w14:paraId="68F023FE" w14:textId="6BA0E127" w:rsidR="00C62FB7" w:rsidRPr="00B21B2C" w:rsidRDefault="00C62FB7" w:rsidP="000955C2">
            <w:pPr>
              <w:keepNext/>
              <w:keepLines/>
              <w:rPr>
                <w:sz w:val="20"/>
                <w:szCs w:val="20"/>
              </w:rPr>
            </w:pPr>
          </w:p>
        </w:tc>
        <w:tc>
          <w:tcPr>
            <w:tcW w:w="1249" w:type="pct"/>
            <w:vMerge/>
          </w:tcPr>
          <w:p w14:paraId="5FA1BF28" w14:textId="03F47FFA" w:rsidR="00C62FB7" w:rsidRPr="00B21B2C" w:rsidRDefault="00C62FB7" w:rsidP="000955C2">
            <w:pPr>
              <w:keepNext/>
              <w:keepLines/>
              <w:rPr>
                <w:sz w:val="20"/>
                <w:szCs w:val="20"/>
              </w:rPr>
            </w:pPr>
          </w:p>
        </w:tc>
        <w:tc>
          <w:tcPr>
            <w:tcW w:w="1249" w:type="pct"/>
          </w:tcPr>
          <w:p w14:paraId="419D53CD" w14:textId="4FA575F4" w:rsidR="00C62FB7" w:rsidRPr="00682F41" w:rsidRDefault="00C62FB7" w:rsidP="000955C2">
            <w:pPr>
              <w:keepNext/>
              <w:keepLines/>
              <w:jc w:val="center"/>
              <w:rPr>
                <w:b/>
                <w:sz w:val="20"/>
                <w:szCs w:val="20"/>
              </w:rPr>
            </w:pPr>
            <w:r w:rsidRPr="00682F41">
              <w:rPr>
                <w:b/>
                <w:sz w:val="20"/>
                <w:szCs w:val="20"/>
              </w:rPr>
              <w:t xml:space="preserve">Average </w:t>
            </w:r>
            <w:r w:rsidR="00A10CB9" w:rsidRPr="00682F41">
              <w:rPr>
                <w:b/>
                <w:sz w:val="20"/>
                <w:szCs w:val="20"/>
              </w:rPr>
              <w:t xml:space="preserve">residue </w:t>
            </w:r>
            <w:r w:rsidRPr="00682F41">
              <w:rPr>
                <w:b/>
                <w:sz w:val="20"/>
                <w:szCs w:val="20"/>
              </w:rPr>
              <w:t>level</w:t>
            </w:r>
          </w:p>
        </w:tc>
        <w:tc>
          <w:tcPr>
            <w:tcW w:w="1249" w:type="pct"/>
          </w:tcPr>
          <w:p w14:paraId="4BA4AA7A" w14:textId="19AAE470" w:rsidR="00C62FB7" w:rsidRPr="00682F41" w:rsidRDefault="00C62FB7" w:rsidP="000955C2">
            <w:pPr>
              <w:keepNext/>
              <w:keepLines/>
              <w:jc w:val="center"/>
              <w:rPr>
                <w:b/>
                <w:sz w:val="20"/>
                <w:szCs w:val="20"/>
              </w:rPr>
            </w:pPr>
            <w:r w:rsidRPr="00682F41">
              <w:rPr>
                <w:b/>
                <w:sz w:val="20"/>
                <w:szCs w:val="20"/>
              </w:rPr>
              <w:t xml:space="preserve">Maximum </w:t>
            </w:r>
            <w:r w:rsidR="00A10CB9" w:rsidRPr="00682F41">
              <w:rPr>
                <w:b/>
                <w:sz w:val="20"/>
                <w:szCs w:val="20"/>
              </w:rPr>
              <w:t xml:space="preserve">residue </w:t>
            </w:r>
            <w:r w:rsidRPr="00682F41">
              <w:rPr>
                <w:b/>
                <w:sz w:val="20"/>
                <w:szCs w:val="20"/>
              </w:rPr>
              <w:t>level</w:t>
            </w:r>
          </w:p>
        </w:tc>
      </w:tr>
      <w:tr w:rsidR="006705DF" w:rsidRPr="00B21B2C" w14:paraId="2C6D4960" w14:textId="77777777" w:rsidTr="00842A98">
        <w:trPr>
          <w:trHeight w:val="506"/>
        </w:trPr>
        <w:tc>
          <w:tcPr>
            <w:tcW w:w="1249" w:type="pct"/>
          </w:tcPr>
          <w:p w14:paraId="454163F8" w14:textId="19839199" w:rsidR="006705DF" w:rsidRPr="00B21B2C" w:rsidRDefault="006705DF" w:rsidP="000955C2">
            <w:pPr>
              <w:keepNext/>
              <w:keepLines/>
              <w:rPr>
                <w:sz w:val="20"/>
                <w:szCs w:val="20"/>
              </w:rPr>
            </w:pPr>
            <w:r w:rsidRPr="00B21B2C">
              <w:rPr>
                <w:sz w:val="20"/>
                <w:szCs w:val="20"/>
              </w:rPr>
              <w:t>PF</w:t>
            </w:r>
          </w:p>
        </w:tc>
        <w:tc>
          <w:tcPr>
            <w:tcW w:w="1249" w:type="pct"/>
          </w:tcPr>
          <w:p w14:paraId="78A501F9" w14:textId="09C81C44" w:rsidR="006705DF" w:rsidRPr="00B21B2C" w:rsidRDefault="006705DF" w:rsidP="000955C2">
            <w:pPr>
              <w:keepNext/>
              <w:keepLines/>
              <w:rPr>
                <w:sz w:val="20"/>
                <w:szCs w:val="20"/>
              </w:rPr>
            </w:pPr>
            <w:r w:rsidRPr="00B21B2C">
              <w:rPr>
                <w:sz w:val="20"/>
                <w:szCs w:val="20"/>
              </w:rPr>
              <w:t>Poultry fat</w:t>
            </w:r>
          </w:p>
        </w:tc>
        <w:tc>
          <w:tcPr>
            <w:tcW w:w="1249" w:type="pct"/>
          </w:tcPr>
          <w:p w14:paraId="3DCBE740" w14:textId="4931B9A3" w:rsidR="006705DF" w:rsidRPr="00B21B2C" w:rsidRDefault="006705DF" w:rsidP="000955C2">
            <w:pPr>
              <w:keepNext/>
              <w:keepLines/>
              <w:tabs>
                <w:tab w:val="decimal" w:pos="1021"/>
              </w:tabs>
              <w:rPr>
                <w:sz w:val="20"/>
                <w:szCs w:val="20"/>
              </w:rPr>
            </w:pPr>
            <w:r w:rsidRPr="00B21B2C">
              <w:rPr>
                <w:sz w:val="20"/>
                <w:szCs w:val="20"/>
              </w:rPr>
              <w:t>1.1</w:t>
            </w:r>
          </w:p>
        </w:tc>
        <w:tc>
          <w:tcPr>
            <w:tcW w:w="1253" w:type="pct"/>
            <w:gridSpan w:val="2"/>
          </w:tcPr>
          <w:p w14:paraId="52734D67" w14:textId="6AF0979D" w:rsidR="006705DF" w:rsidRPr="00B21B2C" w:rsidRDefault="006705DF" w:rsidP="000955C2">
            <w:pPr>
              <w:keepNext/>
              <w:keepLines/>
              <w:tabs>
                <w:tab w:val="decimal" w:pos="1021"/>
              </w:tabs>
              <w:rPr>
                <w:sz w:val="20"/>
                <w:szCs w:val="20"/>
              </w:rPr>
            </w:pPr>
            <w:r w:rsidRPr="00B21B2C">
              <w:rPr>
                <w:sz w:val="20"/>
                <w:szCs w:val="20"/>
              </w:rPr>
              <w:t>1.2</w:t>
            </w:r>
          </w:p>
        </w:tc>
      </w:tr>
      <w:tr w:rsidR="006705DF" w:rsidRPr="00B21B2C" w14:paraId="79572F1A" w14:textId="77777777" w:rsidTr="00842A98">
        <w:trPr>
          <w:trHeight w:val="506"/>
        </w:trPr>
        <w:tc>
          <w:tcPr>
            <w:tcW w:w="1249" w:type="pct"/>
          </w:tcPr>
          <w:p w14:paraId="77A4C35C" w14:textId="67754BCF" w:rsidR="006705DF" w:rsidRPr="00B21B2C" w:rsidRDefault="006705DF" w:rsidP="000955C2">
            <w:pPr>
              <w:keepNext/>
              <w:keepLines/>
              <w:rPr>
                <w:sz w:val="20"/>
                <w:szCs w:val="20"/>
              </w:rPr>
            </w:pPr>
            <w:r w:rsidRPr="00B21B2C">
              <w:rPr>
                <w:sz w:val="20"/>
                <w:szCs w:val="20"/>
              </w:rPr>
              <w:t>PM</w:t>
            </w:r>
          </w:p>
        </w:tc>
        <w:tc>
          <w:tcPr>
            <w:tcW w:w="1249" w:type="pct"/>
          </w:tcPr>
          <w:p w14:paraId="06E79850" w14:textId="5CF11C3E" w:rsidR="006705DF" w:rsidRPr="00B21B2C" w:rsidRDefault="006705DF" w:rsidP="000955C2">
            <w:pPr>
              <w:keepNext/>
              <w:keepLines/>
              <w:rPr>
                <w:sz w:val="20"/>
                <w:szCs w:val="20"/>
              </w:rPr>
            </w:pPr>
            <w:r w:rsidRPr="00B21B2C">
              <w:rPr>
                <w:sz w:val="20"/>
                <w:szCs w:val="20"/>
              </w:rPr>
              <w:t>Poultry meat</w:t>
            </w:r>
          </w:p>
        </w:tc>
        <w:tc>
          <w:tcPr>
            <w:tcW w:w="1249" w:type="pct"/>
          </w:tcPr>
          <w:p w14:paraId="6A1FE0A2" w14:textId="4FD2A0CC" w:rsidR="006705DF" w:rsidRPr="00B21B2C" w:rsidRDefault="006705DF" w:rsidP="000955C2">
            <w:pPr>
              <w:keepNext/>
              <w:keepLines/>
              <w:tabs>
                <w:tab w:val="decimal" w:pos="1021"/>
              </w:tabs>
              <w:rPr>
                <w:sz w:val="20"/>
                <w:szCs w:val="20"/>
              </w:rPr>
            </w:pPr>
            <w:r w:rsidRPr="00B21B2C">
              <w:rPr>
                <w:sz w:val="20"/>
                <w:szCs w:val="20"/>
              </w:rPr>
              <w:t>1.1</w:t>
            </w:r>
          </w:p>
        </w:tc>
        <w:tc>
          <w:tcPr>
            <w:tcW w:w="1253" w:type="pct"/>
            <w:gridSpan w:val="2"/>
          </w:tcPr>
          <w:p w14:paraId="63F9985E" w14:textId="740E6D10" w:rsidR="006705DF" w:rsidRPr="00B21B2C" w:rsidRDefault="006705DF" w:rsidP="000955C2">
            <w:pPr>
              <w:keepNext/>
              <w:keepLines/>
              <w:tabs>
                <w:tab w:val="decimal" w:pos="1021"/>
              </w:tabs>
              <w:rPr>
                <w:sz w:val="20"/>
                <w:szCs w:val="20"/>
              </w:rPr>
            </w:pPr>
            <w:r w:rsidRPr="00B21B2C">
              <w:rPr>
                <w:sz w:val="20"/>
                <w:szCs w:val="20"/>
              </w:rPr>
              <w:t>1.2</w:t>
            </w:r>
          </w:p>
        </w:tc>
      </w:tr>
      <w:tr w:rsidR="006705DF" w:rsidRPr="00B21B2C" w14:paraId="6E314206" w14:textId="77777777" w:rsidTr="00842A98">
        <w:trPr>
          <w:trHeight w:val="506"/>
        </w:trPr>
        <w:tc>
          <w:tcPr>
            <w:tcW w:w="1249" w:type="pct"/>
          </w:tcPr>
          <w:p w14:paraId="2F466008" w14:textId="19EA2B01" w:rsidR="006705DF" w:rsidRPr="00B21B2C" w:rsidRDefault="006705DF" w:rsidP="000955C2">
            <w:pPr>
              <w:keepNext/>
              <w:keepLines/>
              <w:rPr>
                <w:sz w:val="20"/>
                <w:szCs w:val="20"/>
              </w:rPr>
            </w:pPr>
            <w:r w:rsidRPr="00B21B2C">
              <w:rPr>
                <w:sz w:val="20"/>
                <w:szCs w:val="20"/>
              </w:rPr>
              <w:t>PO0113</w:t>
            </w:r>
          </w:p>
        </w:tc>
        <w:tc>
          <w:tcPr>
            <w:tcW w:w="1249" w:type="pct"/>
          </w:tcPr>
          <w:p w14:paraId="39DEDB5D" w14:textId="28D55190" w:rsidR="006705DF" w:rsidRPr="00B21B2C" w:rsidRDefault="006705DF" w:rsidP="000955C2">
            <w:pPr>
              <w:keepNext/>
              <w:keepLines/>
              <w:rPr>
                <w:sz w:val="20"/>
                <w:szCs w:val="20"/>
              </w:rPr>
            </w:pPr>
            <w:r w:rsidRPr="00B21B2C">
              <w:rPr>
                <w:sz w:val="20"/>
                <w:szCs w:val="20"/>
              </w:rPr>
              <w:t>Poultry skin</w:t>
            </w:r>
          </w:p>
        </w:tc>
        <w:tc>
          <w:tcPr>
            <w:tcW w:w="1249" w:type="pct"/>
          </w:tcPr>
          <w:p w14:paraId="48567B34" w14:textId="488B05EA" w:rsidR="006705DF" w:rsidRPr="00B21B2C" w:rsidRDefault="006705DF" w:rsidP="000955C2">
            <w:pPr>
              <w:keepNext/>
              <w:keepLines/>
              <w:tabs>
                <w:tab w:val="decimal" w:pos="1021"/>
              </w:tabs>
              <w:rPr>
                <w:sz w:val="20"/>
                <w:szCs w:val="20"/>
              </w:rPr>
            </w:pPr>
            <w:r w:rsidRPr="00B21B2C">
              <w:rPr>
                <w:sz w:val="20"/>
                <w:szCs w:val="20"/>
              </w:rPr>
              <w:t>12.4</w:t>
            </w:r>
          </w:p>
        </w:tc>
        <w:tc>
          <w:tcPr>
            <w:tcW w:w="1253" w:type="pct"/>
            <w:gridSpan w:val="2"/>
          </w:tcPr>
          <w:p w14:paraId="38C1644A" w14:textId="31EF1091" w:rsidR="006705DF" w:rsidRPr="00B21B2C" w:rsidRDefault="006705DF" w:rsidP="000955C2">
            <w:pPr>
              <w:keepNext/>
              <w:keepLines/>
              <w:tabs>
                <w:tab w:val="decimal" w:pos="1021"/>
              </w:tabs>
              <w:rPr>
                <w:sz w:val="20"/>
                <w:szCs w:val="20"/>
              </w:rPr>
            </w:pPr>
            <w:r w:rsidRPr="00B21B2C">
              <w:rPr>
                <w:sz w:val="20"/>
                <w:szCs w:val="20"/>
              </w:rPr>
              <w:t>13.4</w:t>
            </w:r>
          </w:p>
        </w:tc>
      </w:tr>
    </w:tbl>
    <w:p w14:paraId="0B5925DB" w14:textId="4CBF4644" w:rsidR="00C22B52" w:rsidRPr="009D5429" w:rsidRDefault="009D5429" w:rsidP="000955C2">
      <w:pPr>
        <w:keepNext/>
        <w:keepLines/>
        <w:rPr>
          <w:sz w:val="18"/>
        </w:rPr>
      </w:pPr>
      <w:r w:rsidRPr="009D5429">
        <w:rPr>
          <w:sz w:val="18"/>
        </w:rPr>
        <w:t>* As residues on the poultry, following treatment</w:t>
      </w:r>
      <w:r w:rsidR="00110647">
        <w:rPr>
          <w:sz w:val="18"/>
        </w:rPr>
        <w:t xml:space="preserve"> of the </w:t>
      </w:r>
      <w:r w:rsidR="00A10CB9">
        <w:rPr>
          <w:sz w:val="18"/>
        </w:rPr>
        <w:t xml:space="preserve">whole </w:t>
      </w:r>
      <w:r w:rsidR="00110647">
        <w:rPr>
          <w:sz w:val="18"/>
        </w:rPr>
        <w:t>carcass</w:t>
      </w:r>
      <w:r w:rsidR="00A10CB9">
        <w:rPr>
          <w:sz w:val="18"/>
        </w:rPr>
        <w:t>, skin on</w:t>
      </w:r>
      <w:r w:rsidRPr="009D5429">
        <w:rPr>
          <w:sz w:val="18"/>
        </w:rPr>
        <w:t xml:space="preserve"> with the </w:t>
      </w:r>
      <w:r w:rsidR="00361C65">
        <w:rPr>
          <w:sz w:val="18"/>
        </w:rPr>
        <w:t>CPC preparation</w:t>
      </w:r>
      <w:r w:rsidR="00A10CB9">
        <w:rPr>
          <w:sz w:val="18"/>
        </w:rPr>
        <w:t xml:space="preserve"> that had a concentration of 1% CPC</w:t>
      </w:r>
      <w:r w:rsidRPr="009D5429">
        <w:rPr>
          <w:sz w:val="18"/>
        </w:rPr>
        <w:t>.</w:t>
      </w:r>
    </w:p>
    <w:p w14:paraId="61BE6CBB" w14:textId="77777777" w:rsidR="009D5429" w:rsidRDefault="009D5429" w:rsidP="002C76EE"/>
    <w:p w14:paraId="7F4931F1" w14:textId="06F25F21" w:rsidR="00391392" w:rsidRPr="006C4A2C" w:rsidRDefault="0081797C" w:rsidP="00144782">
      <w:pPr>
        <w:pStyle w:val="Heading4"/>
      </w:pPr>
      <w:r>
        <w:lastRenderedPageBreak/>
        <w:t>4</w:t>
      </w:r>
      <w:r w:rsidR="00FF3787" w:rsidRPr="006C4A2C">
        <w:t>.1.1.2</w:t>
      </w:r>
      <w:r w:rsidR="00FF3787" w:rsidRPr="006C4A2C">
        <w:tab/>
        <w:t>Propylene Glycol</w:t>
      </w:r>
    </w:p>
    <w:p w14:paraId="4431B52A" w14:textId="5ED84A40" w:rsidR="009B0953" w:rsidRDefault="006F1F0A" w:rsidP="0008115C">
      <w:pPr>
        <w:rPr>
          <w:highlight w:val="cyan"/>
        </w:rPr>
      </w:pPr>
      <w:r w:rsidRPr="006C4A2C">
        <w:t>The applicant’s proprietary</w:t>
      </w:r>
      <w:r w:rsidRPr="006C4A2C" w:rsidDel="00361C65">
        <w:t xml:space="preserve"> </w:t>
      </w:r>
      <w:r w:rsidR="00361C65">
        <w:t>CPC preparation</w:t>
      </w:r>
      <w:r w:rsidR="00361C65" w:rsidRPr="006C4A2C">
        <w:t xml:space="preserve"> </w:t>
      </w:r>
      <w:r w:rsidRPr="006C4A2C">
        <w:t>contains propylene glycol and therefore the applican</w:t>
      </w:r>
      <w:r w:rsidR="005E050B" w:rsidRPr="006C4A2C">
        <w:t>t</w:t>
      </w:r>
      <w:r w:rsidRPr="006C4A2C">
        <w:t xml:space="preserve"> has submitted confidential data on the concentrations of propylene glycol on poultry carcasses resulting from the u</w:t>
      </w:r>
      <w:r w:rsidR="002E1DB4" w:rsidRPr="006C4A2C">
        <w:fldChar w:fldCharType="begin" w:fldLock="1"/>
      </w:r>
      <w:r w:rsidR="002E1DB4" w:rsidRPr="006C4A2C">
        <w:instrText xml:space="preserve"> DOCPROPERTY bjHeaderBothDocProperty \* MERGEFORMAT </w:instrText>
      </w:r>
      <w:r w:rsidR="002E1DB4" w:rsidRPr="006C4A2C">
        <w:fldChar w:fldCharType="end"/>
      </w:r>
      <w:r w:rsidRPr="006C4A2C">
        <w:t xml:space="preserve">se of the poultry wash. </w:t>
      </w:r>
      <w:r w:rsidR="005F7A77">
        <w:t xml:space="preserve">The dietary exposure assessment also considered uses as of propylene glycol as a food additive. </w:t>
      </w:r>
      <w:r w:rsidR="00863E31" w:rsidRPr="006C4A2C">
        <w:t xml:space="preserve">Propylene </w:t>
      </w:r>
      <w:r w:rsidR="005F7A77">
        <w:t>g</w:t>
      </w:r>
      <w:r w:rsidR="00863E31" w:rsidRPr="006C4A2C">
        <w:t>lycol is currently permitted</w:t>
      </w:r>
      <w:r w:rsidR="006C4A2C" w:rsidRPr="006C4A2C">
        <w:t xml:space="preserve"> as a food additive</w:t>
      </w:r>
      <w:r w:rsidR="00863E31" w:rsidRPr="006C4A2C">
        <w:t xml:space="preserve"> at GMP within </w:t>
      </w:r>
      <w:r w:rsidRPr="006C4A2C">
        <w:t>54</w:t>
      </w:r>
      <w:r w:rsidR="00863E31" w:rsidRPr="006C4A2C">
        <w:t xml:space="preserve"> food </w:t>
      </w:r>
      <w:r w:rsidR="00142D0C">
        <w:t>classes</w:t>
      </w:r>
      <w:r w:rsidR="00142D0C" w:rsidRPr="006C4A2C">
        <w:t xml:space="preserve"> </w:t>
      </w:r>
      <w:r w:rsidR="00863E31" w:rsidRPr="006C4A2C">
        <w:t>in Schedule 16</w:t>
      </w:r>
      <w:r w:rsidRPr="006C4A2C">
        <w:t xml:space="preserve">, and one </w:t>
      </w:r>
      <w:r w:rsidR="005E050B" w:rsidRPr="006C4A2C">
        <w:t xml:space="preserve">quantified </w:t>
      </w:r>
      <w:r w:rsidRPr="006C4A2C">
        <w:t>permission within Schedule 15</w:t>
      </w:r>
      <w:r w:rsidR="00863E31" w:rsidRPr="006C4A2C">
        <w:t>.</w:t>
      </w:r>
      <w:r w:rsidR="000A156C">
        <w:t xml:space="preserve"> </w:t>
      </w:r>
    </w:p>
    <w:p w14:paraId="1BFC4374" w14:textId="30D14D53" w:rsidR="006C4A2C" w:rsidRPr="006C4A2C" w:rsidRDefault="006C4A2C" w:rsidP="0008115C"/>
    <w:p w14:paraId="6103B52B" w14:textId="04F03F73" w:rsidR="00B44BFB" w:rsidRDefault="006C4A2C" w:rsidP="0008115C">
      <w:r w:rsidRPr="006C4A2C">
        <w:t>Given the majority of permissions for use of propylene glycol are at GMP in Schedule 16 of the Code, numerical concentrations were required in order to determine a baseline estimate of dietary exposure to propylene glycol.</w:t>
      </w:r>
      <w:r w:rsidR="00142D0C">
        <w:t xml:space="preserve"> A call for data from the food industry was undertaken to obtain data</w:t>
      </w:r>
      <w:r w:rsidR="00D41941">
        <w:t xml:space="preserve"> on use levels</w:t>
      </w:r>
      <w:r w:rsidR="00142D0C">
        <w:t xml:space="preserve">. </w:t>
      </w:r>
      <w:r w:rsidR="006C5B42">
        <w:t>D</w:t>
      </w:r>
      <w:r w:rsidR="00142D0C">
        <w:t xml:space="preserve">ata were received from </w:t>
      </w:r>
      <w:r w:rsidR="000537E5">
        <w:t>9</w:t>
      </w:r>
      <w:r w:rsidR="00142D0C">
        <w:t xml:space="preserve"> companies or industry groups for </w:t>
      </w:r>
      <w:r w:rsidR="00D704F7">
        <w:t>15</w:t>
      </w:r>
      <w:r w:rsidR="00142D0C">
        <w:t xml:space="preserve"> of the 54 food classes</w:t>
      </w:r>
      <w:r w:rsidR="006C5B42">
        <w:t xml:space="preserve"> of relevance for food additive use permitted</w:t>
      </w:r>
      <w:r w:rsidR="00142D0C">
        <w:t xml:space="preserve"> in Schedule 16.</w:t>
      </w:r>
      <w:r w:rsidR="002A78B2">
        <w:t xml:space="preserve"> Concentration data provided were commercial in confidence and therefore are not provided as part of this report.</w:t>
      </w:r>
      <w:r w:rsidR="008B1928">
        <w:t xml:space="preserve"> </w:t>
      </w:r>
      <w:r w:rsidR="0051502F">
        <w:t>A maximum permitted level (MPL) of 30,000 mg/kg for food class 4.1.2.1 Citrus Fruit exists in Schedule 15 of the Code. No industry use data were submitted for this category. Therefore the concentrations used in the dietary exposure assessment for this food class were assigned as 0 for the minimum scenario assuming no use by industry in citrus fruit to the MPL of 30,000 mg/kg for the ma</w:t>
      </w:r>
      <w:r w:rsidR="00D704F7">
        <w:t>ximum scenario as a worst case.</w:t>
      </w:r>
    </w:p>
    <w:p w14:paraId="0146580D" w14:textId="77777777" w:rsidR="00B44BFB" w:rsidRDefault="00B44BFB" w:rsidP="0008115C"/>
    <w:p w14:paraId="34261CE3" w14:textId="1EAC7413" w:rsidR="00B44BFB" w:rsidRDefault="00B44BFB" w:rsidP="0008115C">
      <w:r w:rsidRPr="00B05B58">
        <w:t xml:space="preserve">GS1 </w:t>
      </w:r>
      <w:r w:rsidR="00684E59" w:rsidRPr="00B05B58">
        <w:t>pro</w:t>
      </w:r>
      <w:r w:rsidR="00684E59">
        <w:t xml:space="preserve">vides information about products, including food, via bar codes. GS1 </w:t>
      </w:r>
      <w:r>
        <w:t xml:space="preserve">data were provided to FSANZ for use in this assessment by the New Zealand Ministry for Primary Industries. The </w:t>
      </w:r>
      <w:r w:rsidR="00684E59">
        <w:t xml:space="preserve">relevant food related </w:t>
      </w:r>
      <w:r>
        <w:t xml:space="preserve">data were extracted </w:t>
      </w:r>
      <w:r w:rsidR="00684E59">
        <w:t xml:space="preserve">from the GS1 database </w:t>
      </w:r>
      <w:r>
        <w:t xml:space="preserve">in </w:t>
      </w:r>
      <w:r w:rsidR="00684E59">
        <w:t>June 2021 and included</w:t>
      </w:r>
      <w:r>
        <w:t xml:space="preserve"> a list of food products that </w:t>
      </w:r>
      <w:r w:rsidR="00684E59">
        <w:t>report</w:t>
      </w:r>
      <w:r>
        <w:t xml:space="preserve"> propylene glycol or INS number 1520 as an ingredient. Each food </w:t>
      </w:r>
      <w:r w:rsidR="00684E59">
        <w:t xml:space="preserve">product </w:t>
      </w:r>
      <w:r>
        <w:t>was assigned the relevant food class code from Schedule 15 of the Code.</w:t>
      </w:r>
      <w:r w:rsidR="00B05B58">
        <w:t xml:space="preserve"> There were food products identified in 10 of the food classes with GMP permissions in Schedule 16.</w:t>
      </w:r>
      <w:r>
        <w:t xml:space="preserve"> These data were cross referenced with the use data provided by the food industry. There were some food classes where GS1 data indicated several food items that contained propylene glycol but where concentration of propylene glycol in those food items was not available from the</w:t>
      </w:r>
      <w:r w:rsidR="00B05B58">
        <w:t xml:space="preserve"> Australian and New Zealand</w:t>
      </w:r>
      <w:r>
        <w:t xml:space="preserve"> industry data provided. </w:t>
      </w:r>
    </w:p>
    <w:p w14:paraId="12A5E30A" w14:textId="77777777" w:rsidR="00B44BFB" w:rsidRDefault="00B44BFB" w:rsidP="0008115C"/>
    <w:p w14:paraId="740B704A" w14:textId="16094C19" w:rsidR="008B1928" w:rsidRDefault="006C5B42" w:rsidP="0008115C">
      <w:r>
        <w:t xml:space="preserve">A </w:t>
      </w:r>
      <w:r w:rsidR="00D41941">
        <w:t xml:space="preserve">literature </w:t>
      </w:r>
      <w:r>
        <w:t>search was undertaken to find e</w:t>
      </w:r>
      <w:r w:rsidR="008B1928">
        <w:t>stimates of dietary exposure internationally</w:t>
      </w:r>
      <w:r>
        <w:t>, and these</w:t>
      </w:r>
      <w:r w:rsidR="008B1928">
        <w:t xml:space="preserve"> were reviewed to evaluate uses in food categories overseas. This included a recent European assessment by EFSA (</w:t>
      </w:r>
      <w:r w:rsidR="008371F9">
        <w:t>2018</w:t>
      </w:r>
      <w:r w:rsidR="008B1928">
        <w:t xml:space="preserve">). </w:t>
      </w:r>
      <w:r w:rsidR="00D41941">
        <w:t>Use</w:t>
      </w:r>
      <w:r w:rsidR="009100A0">
        <w:t xml:space="preserve"> levels</w:t>
      </w:r>
      <w:r w:rsidR="00D41941">
        <w:t xml:space="preserve"> for a number of food categories were </w:t>
      </w:r>
      <w:r w:rsidR="009100A0">
        <w:t>reported as part of the EFSA assessment</w:t>
      </w:r>
      <w:r w:rsidR="00D41941">
        <w:t>.</w:t>
      </w:r>
      <w:r w:rsidR="00B44BFB" w:rsidRPr="00B44BFB">
        <w:t xml:space="preserve"> </w:t>
      </w:r>
      <w:r w:rsidR="00B44BFB">
        <w:t>These international concentration data reported</w:t>
      </w:r>
      <w:r w:rsidR="00D144C3">
        <w:t xml:space="preserve"> by EFSA were</w:t>
      </w:r>
      <w:r w:rsidR="00B44BFB">
        <w:t xml:space="preserve"> used to supplement the concentration </w:t>
      </w:r>
      <w:r w:rsidR="00D144C3">
        <w:t xml:space="preserve">data in the dietary exposure assessment </w:t>
      </w:r>
      <w:r w:rsidR="00B44BFB">
        <w:t>for those food items where GS1</w:t>
      </w:r>
      <w:r w:rsidR="00D144C3">
        <w:t xml:space="preserve"> data indicated use but no use levels were available from industry</w:t>
      </w:r>
      <w:r w:rsidR="00682F41">
        <w:t xml:space="preserve"> for certain scenarios (outlined further below)</w:t>
      </w:r>
      <w:r w:rsidR="00800D42">
        <w:t xml:space="preserve"> if EFSA data were available for that food class</w:t>
      </w:r>
      <w:r w:rsidR="00B44BFB">
        <w:t xml:space="preserve">. </w:t>
      </w:r>
      <w:r w:rsidR="00BA16B6">
        <w:t>If no Australian or New Zealand industry data were provided, and GS1 data indicated no uses, the international data was not used in the assessment.</w:t>
      </w:r>
    </w:p>
    <w:p w14:paraId="1C6E4BD6" w14:textId="77777777" w:rsidR="00D144C3" w:rsidRDefault="00D144C3" w:rsidP="0008115C"/>
    <w:p w14:paraId="6BF8D647" w14:textId="6BD4E0E0" w:rsidR="001E1035" w:rsidRPr="002F0192" w:rsidRDefault="001E1035" w:rsidP="002F0192">
      <w:pPr>
        <w:rPr>
          <w:lang w:eastAsia="en-AU" w:bidi="ar-SA"/>
        </w:rPr>
      </w:pPr>
      <w:r w:rsidRPr="002F0192">
        <w:rPr>
          <w:lang w:eastAsia="en-AU" w:bidi="ar-SA"/>
        </w:rPr>
        <w:t>The estimated dietary exposure</w:t>
      </w:r>
      <w:r w:rsidR="002F0192" w:rsidRPr="002F0192">
        <w:rPr>
          <w:lang w:eastAsia="en-AU" w:bidi="ar-SA"/>
        </w:rPr>
        <w:t>s</w:t>
      </w:r>
      <w:r w:rsidRPr="002F0192">
        <w:rPr>
          <w:lang w:eastAsia="en-AU" w:bidi="ar-SA"/>
        </w:rPr>
        <w:t xml:space="preserve"> to propylene glycol w</w:t>
      </w:r>
      <w:r w:rsidR="002F0192" w:rsidRPr="002F0192">
        <w:rPr>
          <w:lang w:eastAsia="en-AU" w:bidi="ar-SA"/>
        </w:rPr>
        <w:t>ere</w:t>
      </w:r>
      <w:r w:rsidRPr="002F0192">
        <w:rPr>
          <w:lang w:eastAsia="en-AU" w:bidi="ar-SA"/>
        </w:rPr>
        <w:t xml:space="preserve"> assessed</w:t>
      </w:r>
      <w:r w:rsidR="002F0192" w:rsidRPr="002F0192">
        <w:rPr>
          <w:lang w:eastAsia="en-AU" w:bidi="ar-SA"/>
        </w:rPr>
        <w:t xml:space="preserve"> based on </w:t>
      </w:r>
      <w:r w:rsidRPr="002F0192">
        <w:rPr>
          <w:lang w:eastAsia="en-AU" w:bidi="ar-SA"/>
        </w:rPr>
        <w:t xml:space="preserve">use </w:t>
      </w:r>
      <w:r w:rsidR="002F0192" w:rsidRPr="002F0192">
        <w:rPr>
          <w:lang w:eastAsia="en-AU" w:bidi="ar-SA"/>
        </w:rPr>
        <w:t>in</w:t>
      </w:r>
      <w:r w:rsidRPr="002F0192">
        <w:rPr>
          <w:lang w:eastAsia="en-AU" w:bidi="ar-SA"/>
        </w:rPr>
        <w:t xml:space="preserve"> the </w:t>
      </w:r>
      <w:r w:rsidR="00361C65">
        <w:t xml:space="preserve">applicant’s CPC preparation </w:t>
      </w:r>
      <w:r w:rsidRPr="002F0192">
        <w:rPr>
          <w:lang w:eastAsia="en-AU" w:bidi="ar-SA"/>
        </w:rPr>
        <w:t>only</w:t>
      </w:r>
      <w:r w:rsidR="00D9360B">
        <w:rPr>
          <w:lang w:eastAsia="en-AU" w:bidi="ar-SA"/>
        </w:rPr>
        <w:t>,</w:t>
      </w:r>
      <w:r w:rsidR="002F0192" w:rsidRPr="002F0192">
        <w:rPr>
          <w:lang w:eastAsia="en-AU" w:bidi="ar-SA"/>
        </w:rPr>
        <w:t xml:space="preserve"> and baseline plus </w:t>
      </w:r>
      <w:r w:rsidR="00361C65">
        <w:rPr>
          <w:lang w:eastAsia="en-AU" w:bidi="ar-SA"/>
        </w:rPr>
        <w:t>CPC preparation</w:t>
      </w:r>
      <w:r w:rsidR="002F0192" w:rsidRPr="002F0192">
        <w:rPr>
          <w:lang w:eastAsia="en-AU" w:bidi="ar-SA"/>
        </w:rPr>
        <w:t xml:space="preserve"> uses.</w:t>
      </w:r>
    </w:p>
    <w:p w14:paraId="01773CAD" w14:textId="77777777" w:rsidR="001E1035" w:rsidRDefault="001E1035" w:rsidP="0008115C"/>
    <w:p w14:paraId="7DA0DAC2" w14:textId="57FDA607" w:rsidR="001E1035" w:rsidRDefault="002F0192" w:rsidP="0008115C">
      <w:r>
        <w:t>W</w:t>
      </w:r>
      <w:r w:rsidR="001E1035">
        <w:t xml:space="preserve">ithin the baseline scenario for propylene glycol, four scenarios were </w:t>
      </w:r>
      <w:r>
        <w:t>assessed</w:t>
      </w:r>
      <w:r w:rsidR="001E1035">
        <w:t>:</w:t>
      </w:r>
    </w:p>
    <w:p w14:paraId="5D48AE6F" w14:textId="45891597" w:rsidR="001E1035" w:rsidRDefault="001E1035" w:rsidP="001E1035">
      <w:pPr>
        <w:pStyle w:val="ListParagraph"/>
        <w:numPr>
          <w:ilvl w:val="0"/>
          <w:numId w:val="19"/>
        </w:numPr>
      </w:pPr>
      <w:r>
        <w:t xml:space="preserve">Minimum concentrations for each food class from Australian and New Zealand </w:t>
      </w:r>
      <w:r w:rsidR="009100A0">
        <w:t xml:space="preserve">industry </w:t>
      </w:r>
      <w:r>
        <w:t>use</w:t>
      </w:r>
      <w:r w:rsidR="009100A0">
        <w:t xml:space="preserve"> data</w:t>
      </w:r>
      <w:r>
        <w:t xml:space="preserve"> only</w:t>
      </w:r>
      <w:r w:rsidR="002F0192">
        <w:t xml:space="preserve"> (Min ANZ only)</w:t>
      </w:r>
    </w:p>
    <w:p w14:paraId="3ED97505" w14:textId="22C3F388" w:rsidR="001E1035" w:rsidRDefault="001E1035" w:rsidP="001E1035">
      <w:pPr>
        <w:pStyle w:val="ListParagraph"/>
        <w:numPr>
          <w:ilvl w:val="0"/>
          <w:numId w:val="19"/>
        </w:numPr>
      </w:pPr>
      <w:r>
        <w:t xml:space="preserve">Maximum concentrations for each food class from Australian and New Zealand </w:t>
      </w:r>
      <w:r w:rsidR="009100A0">
        <w:t xml:space="preserve">industry </w:t>
      </w:r>
      <w:r>
        <w:t>use</w:t>
      </w:r>
      <w:r w:rsidR="009100A0">
        <w:t xml:space="preserve"> data</w:t>
      </w:r>
      <w:r>
        <w:t xml:space="preserve"> only</w:t>
      </w:r>
      <w:r w:rsidR="002F0192">
        <w:t xml:space="preserve"> (Max ANZ only)</w:t>
      </w:r>
    </w:p>
    <w:p w14:paraId="7C531A04" w14:textId="59E6EDB8" w:rsidR="001E1035" w:rsidRDefault="001E1035" w:rsidP="001E1035">
      <w:pPr>
        <w:pStyle w:val="ListParagraph"/>
        <w:numPr>
          <w:ilvl w:val="0"/>
          <w:numId w:val="19"/>
        </w:numPr>
      </w:pPr>
      <w:r>
        <w:t>Minimum concentrations for each food class from Australian and New Zealand use</w:t>
      </w:r>
      <w:r w:rsidR="009100A0">
        <w:t xml:space="preserve"> data </w:t>
      </w:r>
      <w:r>
        <w:t>supplemented with international data</w:t>
      </w:r>
      <w:r w:rsidR="009100A0">
        <w:t xml:space="preserve"> from the EFSA assessment where GS1 data indicated use in Australia or New Zealand</w:t>
      </w:r>
      <w:r w:rsidR="002F0192">
        <w:t xml:space="preserve"> (Min ANZ+Int)</w:t>
      </w:r>
    </w:p>
    <w:p w14:paraId="1B19FF5F" w14:textId="1BE6686A" w:rsidR="001E1035" w:rsidRDefault="001E1035" w:rsidP="001E1035">
      <w:pPr>
        <w:pStyle w:val="ListParagraph"/>
        <w:numPr>
          <w:ilvl w:val="0"/>
          <w:numId w:val="19"/>
        </w:numPr>
      </w:pPr>
      <w:r>
        <w:t>Maximum concentrations for each food class from Australian and New Zealand use</w:t>
      </w:r>
      <w:r w:rsidR="009100A0">
        <w:t xml:space="preserve"> data</w:t>
      </w:r>
      <w:r>
        <w:t xml:space="preserve"> </w:t>
      </w:r>
      <w:r w:rsidR="009100A0">
        <w:t xml:space="preserve">supplemented with international data from the EFSA assessment where GS1 </w:t>
      </w:r>
      <w:r w:rsidR="009100A0">
        <w:lastRenderedPageBreak/>
        <w:t xml:space="preserve">data indicated use in Australia or New Zealand </w:t>
      </w:r>
      <w:r w:rsidR="002F0192">
        <w:t>(Max ANZ+Int)</w:t>
      </w:r>
      <w:r>
        <w:t>.</w:t>
      </w:r>
    </w:p>
    <w:p w14:paraId="6611F5B8" w14:textId="73C917DE" w:rsidR="008B1928" w:rsidRDefault="008B1928" w:rsidP="0008115C"/>
    <w:p w14:paraId="04A58495" w14:textId="5787D003" w:rsidR="001E1035" w:rsidRDefault="001E1035" w:rsidP="0008115C">
      <w:r>
        <w:t xml:space="preserve">Scenarios </w:t>
      </w:r>
      <w:r w:rsidR="004B33E3">
        <w:t>i</w:t>
      </w:r>
      <w:r>
        <w:t xml:space="preserve"> and ii provide an indication of dietary exposure based on known uses in Australia and New Zealand where data were </w:t>
      </w:r>
      <w:r w:rsidRPr="009100A0">
        <w:t>provided</w:t>
      </w:r>
      <w:r w:rsidR="004B33E3" w:rsidRPr="009100A0">
        <w:t>.</w:t>
      </w:r>
      <w:r w:rsidRPr="009100A0">
        <w:t xml:space="preserve"> The use of international data to supplement the models allows for estimates of exposure to be calculated from a broader range of foods where propylene glycol </w:t>
      </w:r>
      <w:r w:rsidR="009100A0" w:rsidRPr="009100A0">
        <w:t>is</w:t>
      </w:r>
      <w:r w:rsidRPr="009100A0">
        <w:t xml:space="preserve"> being used in Australia and New Zealand</w:t>
      </w:r>
      <w:r w:rsidR="009100A0" w:rsidRPr="009100A0">
        <w:t xml:space="preserve"> but no local concentration data were provided</w:t>
      </w:r>
      <w:r w:rsidR="00D144C3">
        <w:t>.</w:t>
      </w:r>
    </w:p>
    <w:p w14:paraId="3C193D7D" w14:textId="77777777" w:rsidR="001E1035" w:rsidRDefault="001E1035" w:rsidP="0008115C"/>
    <w:p w14:paraId="2C7F25B0" w14:textId="083F0484" w:rsidR="008B1928" w:rsidRPr="00B21B2C" w:rsidRDefault="008B1928" w:rsidP="0008115C">
      <w:pPr>
        <w:rPr>
          <w:rFonts w:ascii="Calibri" w:hAnsi="Calibri" w:cs="Calibri"/>
          <w:b/>
          <w:sz w:val="24"/>
        </w:rPr>
      </w:pPr>
      <w:r>
        <w:t xml:space="preserve">A summary of the food classes with permissions for use of propylene glycol in Schedules 15 and 16, and where industry data or supplementary </w:t>
      </w:r>
      <w:r w:rsidR="001E1035">
        <w:t xml:space="preserve">international </w:t>
      </w:r>
      <w:r>
        <w:t xml:space="preserve">data were used in the dietary exposure assessment, </w:t>
      </w:r>
      <w:r w:rsidR="00930DC6">
        <w:t xml:space="preserve">and where GS1 data showed uses, </w:t>
      </w:r>
      <w:r>
        <w:t xml:space="preserve">are </w:t>
      </w:r>
      <w:r w:rsidRPr="00987CE7">
        <w:t>shown in Appendix 1</w:t>
      </w:r>
      <w:r w:rsidR="00C721BD" w:rsidRPr="00987CE7">
        <w:t>, section</w:t>
      </w:r>
      <w:r w:rsidR="00C721BD">
        <w:t xml:space="preserve"> A1.3</w:t>
      </w:r>
      <w:r>
        <w:t>.</w:t>
      </w:r>
    </w:p>
    <w:p w14:paraId="7970AF4F" w14:textId="27219333" w:rsidR="002C76EE" w:rsidRPr="00987CE7" w:rsidRDefault="0081797C" w:rsidP="0081797C">
      <w:pPr>
        <w:pStyle w:val="Heading3"/>
        <w:rPr>
          <w:color w:val="auto"/>
        </w:rPr>
      </w:pPr>
      <w:bookmarkStart w:id="227" w:name="_Toc62657939"/>
      <w:bookmarkStart w:id="228" w:name="_Toc62738989"/>
      <w:bookmarkStart w:id="229" w:name="_Toc62743575"/>
      <w:bookmarkStart w:id="230" w:name="_Toc63330880"/>
      <w:bookmarkStart w:id="231" w:name="_Toc92722935"/>
      <w:bookmarkStart w:id="232" w:name="_Toc93592325"/>
      <w:bookmarkStart w:id="233" w:name="_Toc93585336"/>
      <w:bookmarkStart w:id="234" w:name="_Toc97041631"/>
      <w:r>
        <w:t>4</w:t>
      </w:r>
      <w:r w:rsidR="000F53D4">
        <w:t>.</w:t>
      </w:r>
      <w:r w:rsidR="00233C0E">
        <w:t>1.2</w:t>
      </w:r>
      <w:r w:rsidR="000F53D4">
        <w:tab/>
      </w:r>
      <w:r w:rsidR="002C76EE">
        <w:t>Food consumption data used</w:t>
      </w:r>
      <w:bookmarkEnd w:id="204"/>
      <w:bookmarkEnd w:id="227"/>
      <w:bookmarkEnd w:id="228"/>
      <w:bookmarkEnd w:id="229"/>
      <w:r w:rsidR="00527C0F">
        <w:t xml:space="preserve"> and population groups assessed</w:t>
      </w:r>
      <w:bookmarkEnd w:id="230"/>
      <w:bookmarkEnd w:id="231"/>
      <w:bookmarkEnd w:id="232"/>
      <w:bookmarkEnd w:id="233"/>
      <w:bookmarkEnd w:id="234"/>
    </w:p>
    <w:p w14:paraId="3368D64B" w14:textId="77777777" w:rsidR="00233C0E" w:rsidRPr="00C472DB" w:rsidRDefault="00233C0E" w:rsidP="00233C0E">
      <w:pPr>
        <w:keepNext/>
        <w:keepLines/>
      </w:pPr>
      <w:r w:rsidRPr="00C472DB">
        <w:t>The food consumption data used for the dietary e</w:t>
      </w:r>
      <w:r>
        <w:t>xposure</w:t>
      </w:r>
      <w:r w:rsidRPr="00C472DB">
        <w:t xml:space="preserve"> assessments were:</w:t>
      </w:r>
    </w:p>
    <w:p w14:paraId="57F1C07B" w14:textId="56C28683" w:rsidR="00233C0E" w:rsidRDefault="00233C0E" w:rsidP="00233C0E">
      <w:pPr>
        <w:pStyle w:val="FSBullet1"/>
        <w:keepNext/>
        <w:keepLines/>
        <w:spacing w:before="60" w:after="120"/>
        <w:ind w:left="499" w:hanging="357"/>
      </w:pPr>
      <w:r w:rsidRPr="008D0B69">
        <w:rPr>
          <w:b/>
        </w:rPr>
        <w:t>2011-12 Australian National Nutrition and Physical Activity Survey (2011-12 NNPAS)</w:t>
      </w:r>
      <w:r w:rsidRPr="00274742">
        <w:t xml:space="preserve">, one 24-hour food recall survey of 12,153 Australians aged 2 years and above, with a second 24-hour recall undertaken for 64% of respondents (ABS, 2014). Only those respondents who had two days of food consumption data (n=7,735) were used in the assessment of dietary exposures to </w:t>
      </w:r>
      <w:r>
        <w:t>CPC</w:t>
      </w:r>
      <w:r w:rsidR="001E6A51">
        <w:t xml:space="preserve"> and propylene glycol</w:t>
      </w:r>
      <w:r w:rsidRPr="00274742">
        <w:t>.</w:t>
      </w:r>
    </w:p>
    <w:p w14:paraId="7072023A" w14:textId="77777777" w:rsidR="00233C0E" w:rsidRPr="00C01243" w:rsidRDefault="00233C0E" w:rsidP="00233C0E">
      <w:pPr>
        <w:pStyle w:val="FSBullet1"/>
        <w:spacing w:after="120"/>
        <w:ind w:left="499" w:hanging="357"/>
      </w:pPr>
      <w:r w:rsidRPr="00373EE8">
        <w:rPr>
          <w:b/>
        </w:rPr>
        <w:t xml:space="preserve">2008–09 New Zealand Adult Nutrition </w:t>
      </w:r>
      <w:r w:rsidRPr="002A190D">
        <w:rPr>
          <w:b/>
        </w:rPr>
        <w:t>Survey (2008 NZ ANS)</w:t>
      </w:r>
      <w:r w:rsidRPr="00373EE8">
        <w:rPr>
          <w:b/>
        </w:rPr>
        <w:t>:</w:t>
      </w:r>
      <w:r w:rsidRPr="00C01243">
        <w:t xml:space="preserve"> a 24-hour recall of 4,721 New Zealanders aged 15 years and above, with a second 24-hour recall undertaken for 25% of respondents. </w:t>
      </w:r>
      <w:r>
        <w:fldChar w:fldCharType="begin"/>
      </w:r>
      <w:r>
        <w:instrText xml:space="preserve"> ADDIN REFMGR.CITE &lt;Refman&gt;&lt;Cite&gt;&lt;Author&gt;Ministry of Health&lt;/Author&gt;&lt;Year&gt;2011&lt;/Year&gt;&lt;RecNum&gt;23&lt;/RecNum&gt;&lt;IDText&gt;Methodology report for the 2008/09 New Zealand Adult Nutrition Survey&lt;/IDText&gt;&lt;MDL Ref_Type="Report"&gt;&lt;Ref_Type&gt;Report&lt;/Ref_Type&gt;&lt;Ref_ID&gt;23&lt;/Ref_ID&gt;&lt;Title_Primary&gt;Methodology report for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978-0-478-37337-0&lt;/f&gt;&lt;/ISSN_ISBN&gt;&lt;ZZ_WorkformID&gt;24&lt;/ZZ_WorkformID&gt;&lt;/MDL&gt;&lt;/Cite&gt;&lt;Cite&gt;&lt;Author&gt;Ministry of Health&lt;/Author&gt;&lt;Year&gt;2011&lt;/Year&gt;&lt;RecNum&gt;24&lt;/RecNum&gt;&lt;IDText&gt;A focus on nutrition: Key findings of the 2008/09 New Zealand Adult Nutrition Survey&lt;/IDText&gt;&lt;MDL Ref_Type="Report"&gt;&lt;Ref_Type&gt;Report&lt;/Ref_Type&gt;&lt;Ref_ID&gt;24&lt;/Ref_ID&gt;&lt;Title_Primary&gt;A focus on nutrition: Key findings of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978-0-478-37348-6 (online)&lt;/f&gt;&lt;/ISSN_ISBN&gt;&lt;ZZ_WorkformID&gt;24&lt;/ZZ_WorkformID&gt;&lt;/MDL&gt;&lt;/Cite&gt;&lt;/Refman&gt;</w:instrText>
      </w:r>
      <w:r>
        <w:fldChar w:fldCharType="separate"/>
      </w:r>
      <w:r>
        <w:rPr>
          <w:noProof/>
        </w:rPr>
        <w:t>(Ministry of Health 2011a; Ministry of Health 2011b)</w:t>
      </w:r>
      <w:r>
        <w:fldChar w:fldCharType="end"/>
      </w:r>
      <w:r>
        <w:t>. Only the first day of food consumption data was used in this assessment.</w:t>
      </w:r>
    </w:p>
    <w:p w14:paraId="60CC5937" w14:textId="77777777" w:rsidR="00233C0E" w:rsidRDefault="00233C0E" w:rsidP="00233C0E">
      <w:pPr>
        <w:pStyle w:val="FSBullet1"/>
        <w:spacing w:after="120"/>
        <w:ind w:left="499" w:hanging="357"/>
      </w:pPr>
      <w:r w:rsidRPr="002A190D">
        <w:rPr>
          <w:b/>
        </w:rPr>
        <w:t>2002 New Zealand National Children’s Nutrition Survey (2002 NZ</w:t>
      </w:r>
      <w:r>
        <w:rPr>
          <w:b/>
        </w:rPr>
        <w:t xml:space="preserve"> </w:t>
      </w:r>
      <w:r w:rsidRPr="002A190D">
        <w:rPr>
          <w:b/>
        </w:rPr>
        <w:t>CNS)</w:t>
      </w:r>
      <w:r w:rsidRPr="00BB6B83">
        <w:t>, one 24-hour food recall covering 3,275 New Zealand school children aged 5-14 years</w:t>
      </w:r>
      <w:r>
        <w:t xml:space="preserve">, </w:t>
      </w:r>
      <w:r w:rsidRPr="00BC485A">
        <w:rPr>
          <w:lang w:eastAsia="en-AU"/>
        </w:rPr>
        <w:t>with 25% of respondents also completing a second 24-hour recall.</w:t>
      </w:r>
      <w:r>
        <w:rPr>
          <w:lang w:eastAsia="en-AU"/>
        </w:rPr>
        <w:t xml:space="preserve"> </w:t>
      </w:r>
      <w:r>
        <w:t>Only the first day of food consumption data was used in this assessment.</w:t>
      </w:r>
    </w:p>
    <w:p w14:paraId="1A876D6C" w14:textId="036DC503" w:rsidR="00233C0E" w:rsidRDefault="00233C0E" w:rsidP="00233C0E">
      <w:r>
        <w:t>The design of these</w:t>
      </w:r>
      <w:r w:rsidRPr="00E1781E">
        <w:t xml:space="preserve"> nutrition survey</w:t>
      </w:r>
      <w:r>
        <w:t>s</w:t>
      </w:r>
      <w:r w:rsidRPr="00E1781E">
        <w:t xml:space="preserve"> and the key attributes, including survey limitations, are set out in</w:t>
      </w:r>
      <w:r>
        <w:t xml:space="preserve"> </w:t>
      </w:r>
      <w:r>
        <w:fldChar w:fldCharType="begin"/>
      </w:r>
      <w:r>
        <w:instrText xml:space="preserve"> REF _Ref62656526 \h </w:instrText>
      </w:r>
      <w:r>
        <w:fldChar w:fldCharType="separate"/>
      </w:r>
      <w:r w:rsidR="00A65698">
        <w:t xml:space="preserve">Appendix </w:t>
      </w:r>
      <w:r w:rsidR="00A65698">
        <w:rPr>
          <w:noProof/>
        </w:rPr>
        <w:t>1</w:t>
      </w:r>
      <w:r>
        <w:fldChar w:fldCharType="end"/>
      </w:r>
      <w:r>
        <w:t>.</w:t>
      </w:r>
    </w:p>
    <w:p w14:paraId="587D84ED" w14:textId="77777777" w:rsidR="00233C0E" w:rsidRDefault="00233C0E" w:rsidP="00233C0E"/>
    <w:p w14:paraId="626156E1" w14:textId="0CF9E4A5" w:rsidR="00233C0E" w:rsidRDefault="00233C0E" w:rsidP="00233C0E">
      <w:pPr>
        <w:rPr>
          <w:rFonts w:cs="Arial"/>
          <w:iCs/>
          <w:sz w:val="24"/>
        </w:rPr>
      </w:pPr>
      <w:r w:rsidRPr="00492F84">
        <w:rPr>
          <w:rFonts w:cs="Arial"/>
          <w:iCs/>
          <w:szCs w:val="22"/>
        </w:rPr>
        <w:t>One day of food consumption data from both of the NZ surveys were used for the dietary exposure assessment whereas the average of two days of data from the 2011-12 NNPAS was used for Australia. The two day average exposures better reflect longer term estimates of dietary exposure and therefore are a better estimate of chronic dietary exposure</w:t>
      </w:r>
      <w:r w:rsidRPr="0047310C">
        <w:rPr>
          <w:rFonts w:cs="Arial"/>
          <w:iCs/>
          <w:sz w:val="24"/>
        </w:rPr>
        <w:t>.</w:t>
      </w:r>
    </w:p>
    <w:p w14:paraId="69C553B3" w14:textId="0ADB8C85" w:rsidR="000B0783" w:rsidRDefault="000B0783" w:rsidP="00233C0E"/>
    <w:p w14:paraId="2DF35F19" w14:textId="75E4D9FC" w:rsidR="00233C0E" w:rsidRDefault="002A78B2" w:rsidP="00233C0E">
      <w:r>
        <w:t xml:space="preserve">The hazard characterisation did not identify any population sub-groups for which there were specific safety considerations or where separate dietary exposure estimates were needed. </w:t>
      </w:r>
      <w:r w:rsidR="00233C0E" w:rsidRPr="002A78B2">
        <w:t>Poultry is consumed by a large proportion of the Australian and New</w:t>
      </w:r>
      <w:r w:rsidR="00233C0E" w:rsidRPr="001E6A51">
        <w:t xml:space="preserve"> Zealand populations. Therefore, the whole survey population from each of the nutrition surveys were used for the dietary exposure assessment.</w:t>
      </w:r>
      <w:r w:rsidR="00527C0F">
        <w:t xml:space="preserve"> The populations groups used in the dietary exposure assessment are outlined in</w:t>
      </w:r>
      <w:r w:rsidR="009C081A">
        <w:t xml:space="preserve"> </w:t>
      </w:r>
      <w:r w:rsidR="00406EB7">
        <w:fldChar w:fldCharType="begin"/>
      </w:r>
      <w:r w:rsidR="00406EB7">
        <w:instrText xml:space="preserve"> REF _Ref92714854 \h </w:instrText>
      </w:r>
      <w:r w:rsidR="00406EB7">
        <w:fldChar w:fldCharType="separate"/>
      </w:r>
      <w:r w:rsidR="00A65698">
        <w:t xml:space="preserve">Table </w:t>
      </w:r>
      <w:r w:rsidR="00A65698">
        <w:rPr>
          <w:noProof/>
        </w:rPr>
        <w:t>5</w:t>
      </w:r>
      <w:r w:rsidR="00406EB7">
        <w:fldChar w:fldCharType="end"/>
      </w:r>
      <w:r w:rsidR="00AF71E7">
        <w:t>.</w:t>
      </w:r>
    </w:p>
    <w:p w14:paraId="079F9DEC" w14:textId="77777777" w:rsidR="00527C0F" w:rsidRPr="001E6A51" w:rsidRDefault="00527C0F" w:rsidP="00233C0E"/>
    <w:p w14:paraId="442C3697" w14:textId="501F5218" w:rsidR="00406EB7" w:rsidRDefault="00406EB7" w:rsidP="00406EB7">
      <w:pPr>
        <w:pStyle w:val="FSTableTitle"/>
      </w:pPr>
      <w:bookmarkStart w:id="235" w:name="_Ref9271485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t xml:space="preserve">Table </w:t>
      </w:r>
      <w:fldSimple w:instr=" SEQ Table \* ARABIC ">
        <w:r w:rsidR="00A65698">
          <w:rPr>
            <w:noProof/>
          </w:rPr>
          <w:t>5</w:t>
        </w:r>
      </w:fldSimple>
      <w:bookmarkEnd w:id="235"/>
      <w:r>
        <w:t xml:space="preserve"> </w:t>
      </w:r>
      <w:r w:rsidRPr="006B09DE">
        <w:t>Population groups used in the dietary exposure assessment</w:t>
      </w:r>
    </w:p>
    <w:tbl>
      <w:tblPr>
        <w:tblStyle w:val="TableGrid"/>
        <w:tblW w:w="5024" w:type="pct"/>
        <w:tblLayout w:type="fixed"/>
        <w:tblLook w:val="04A0" w:firstRow="1" w:lastRow="0" w:firstColumn="1" w:lastColumn="0" w:noHBand="0" w:noVBand="1"/>
        <w:tblCaption w:val="Table 10 Population groups used in the dietary exposure assessment"/>
        <w:tblDescription w:val="Number of respondents on Day 1 of the Australian and New Zealand National Nutrition Surveys and the number of respondents who had 2 days of intake in the 2011-12 NNPAS."/>
      </w:tblPr>
      <w:tblGrid>
        <w:gridCol w:w="1414"/>
        <w:gridCol w:w="1984"/>
        <w:gridCol w:w="2126"/>
        <w:gridCol w:w="1842"/>
        <w:gridCol w:w="1737"/>
      </w:tblGrid>
      <w:tr w:rsidR="00233C0E" w:rsidRPr="0015469A" w14:paraId="2AD39DC4" w14:textId="77777777" w:rsidTr="001E75FF">
        <w:tc>
          <w:tcPr>
            <w:tcW w:w="776" w:type="pct"/>
            <w:vAlign w:val="bottom"/>
          </w:tcPr>
          <w:p w14:paraId="2D5E3FB5" w14:textId="77777777" w:rsidR="00233C0E" w:rsidRPr="001E75FF" w:rsidRDefault="00233C0E" w:rsidP="001E75FF">
            <w:pPr>
              <w:keepNext/>
              <w:keepLines/>
              <w:spacing w:before="60" w:after="60"/>
              <w:rPr>
                <w:rFonts w:cs="Arial"/>
                <w:b/>
                <w:bCs/>
                <w:szCs w:val="20"/>
              </w:rPr>
            </w:pPr>
            <w:r w:rsidRPr="001E75FF">
              <w:rPr>
                <w:rFonts w:cs="Arial"/>
                <w:b/>
                <w:szCs w:val="20"/>
              </w:rPr>
              <w:lastRenderedPageBreak/>
              <w:t>Country</w:t>
            </w:r>
          </w:p>
        </w:tc>
        <w:tc>
          <w:tcPr>
            <w:tcW w:w="1090" w:type="pct"/>
            <w:vAlign w:val="bottom"/>
            <w:hideMark/>
          </w:tcPr>
          <w:p w14:paraId="13BEC405" w14:textId="77777777" w:rsidR="00233C0E" w:rsidRPr="001E75FF" w:rsidRDefault="00233C0E" w:rsidP="001E75FF">
            <w:pPr>
              <w:keepNext/>
              <w:keepLines/>
              <w:spacing w:before="60" w:after="60"/>
              <w:rPr>
                <w:rFonts w:cs="Arial"/>
                <w:b/>
                <w:bCs/>
                <w:szCs w:val="20"/>
              </w:rPr>
            </w:pPr>
            <w:r w:rsidRPr="001E75FF">
              <w:rPr>
                <w:rFonts w:cs="Arial"/>
                <w:b/>
                <w:szCs w:val="20"/>
              </w:rPr>
              <w:t>Survey</w:t>
            </w:r>
          </w:p>
        </w:tc>
        <w:tc>
          <w:tcPr>
            <w:tcW w:w="1168" w:type="pct"/>
            <w:vAlign w:val="bottom"/>
            <w:hideMark/>
          </w:tcPr>
          <w:p w14:paraId="1872AF50" w14:textId="77777777" w:rsidR="00233C0E" w:rsidRPr="001E75FF" w:rsidRDefault="00233C0E" w:rsidP="001E75FF">
            <w:pPr>
              <w:keepNext/>
              <w:keepLines/>
              <w:spacing w:before="60" w:after="60"/>
              <w:rPr>
                <w:rFonts w:cs="Arial"/>
                <w:b/>
                <w:bCs/>
                <w:szCs w:val="20"/>
              </w:rPr>
            </w:pPr>
            <w:r w:rsidRPr="001E75FF">
              <w:rPr>
                <w:rFonts w:cs="Arial"/>
                <w:b/>
                <w:szCs w:val="20"/>
              </w:rPr>
              <w:t>Age group</w:t>
            </w:r>
          </w:p>
        </w:tc>
        <w:tc>
          <w:tcPr>
            <w:tcW w:w="1012" w:type="pct"/>
            <w:vAlign w:val="bottom"/>
            <w:hideMark/>
          </w:tcPr>
          <w:p w14:paraId="02BC4C16" w14:textId="484AEA22" w:rsidR="00233C0E" w:rsidRPr="001E75FF" w:rsidRDefault="00233C0E" w:rsidP="001E75FF">
            <w:pPr>
              <w:keepNext/>
              <w:keepLines/>
              <w:spacing w:before="60" w:after="60"/>
              <w:jc w:val="center"/>
              <w:rPr>
                <w:rFonts w:cs="Arial"/>
                <w:b/>
                <w:bCs/>
                <w:szCs w:val="20"/>
              </w:rPr>
            </w:pPr>
            <w:r w:rsidRPr="001E75FF">
              <w:rPr>
                <w:rFonts w:cs="Arial"/>
                <w:b/>
                <w:szCs w:val="20"/>
              </w:rPr>
              <w:t>No. respondents</w:t>
            </w:r>
            <w:r w:rsidR="00842A98" w:rsidRPr="001E75FF">
              <w:rPr>
                <w:rFonts w:cs="Arial"/>
                <w:b/>
                <w:szCs w:val="20"/>
              </w:rPr>
              <w:br/>
            </w:r>
            <w:r w:rsidRPr="001E75FF">
              <w:rPr>
                <w:rFonts w:cs="Arial"/>
                <w:b/>
                <w:szCs w:val="20"/>
              </w:rPr>
              <w:t>(Day 1 only)</w:t>
            </w:r>
          </w:p>
        </w:tc>
        <w:tc>
          <w:tcPr>
            <w:tcW w:w="954" w:type="pct"/>
            <w:vAlign w:val="bottom"/>
          </w:tcPr>
          <w:p w14:paraId="0CBF8811" w14:textId="03C13C04" w:rsidR="00233C0E" w:rsidRPr="001E75FF" w:rsidRDefault="00842A98" w:rsidP="001E75FF">
            <w:pPr>
              <w:keepNext/>
              <w:keepLines/>
              <w:spacing w:before="60" w:after="60"/>
              <w:jc w:val="center"/>
              <w:rPr>
                <w:rFonts w:cs="Arial"/>
                <w:b/>
                <w:bCs/>
                <w:szCs w:val="20"/>
              </w:rPr>
            </w:pPr>
            <w:r w:rsidRPr="001E75FF">
              <w:rPr>
                <w:rFonts w:cs="Arial"/>
                <w:b/>
                <w:szCs w:val="20"/>
              </w:rPr>
              <w:t>No. respondents</w:t>
            </w:r>
            <w:r w:rsidRPr="001E75FF">
              <w:rPr>
                <w:rFonts w:cs="Arial"/>
                <w:b/>
                <w:szCs w:val="20"/>
              </w:rPr>
              <w:br/>
            </w:r>
            <w:r w:rsidR="00233C0E" w:rsidRPr="001E75FF">
              <w:rPr>
                <w:rFonts w:cs="Arial"/>
                <w:b/>
                <w:szCs w:val="20"/>
              </w:rPr>
              <w:t>(Day 1 and 2)</w:t>
            </w:r>
          </w:p>
        </w:tc>
      </w:tr>
      <w:tr w:rsidR="00233C0E" w:rsidRPr="0015469A" w14:paraId="5D0C5D21" w14:textId="77777777" w:rsidTr="001E75FF">
        <w:trPr>
          <w:trHeight w:val="283"/>
        </w:trPr>
        <w:tc>
          <w:tcPr>
            <w:tcW w:w="776" w:type="pct"/>
          </w:tcPr>
          <w:p w14:paraId="13582B68" w14:textId="77777777" w:rsidR="00233C0E" w:rsidRPr="001E75FF" w:rsidRDefault="00233C0E" w:rsidP="00C62FB7">
            <w:pPr>
              <w:keepNext/>
              <w:keepLines/>
              <w:spacing w:before="60" w:after="60"/>
              <w:rPr>
                <w:rFonts w:cs="Arial"/>
                <w:szCs w:val="20"/>
              </w:rPr>
            </w:pPr>
            <w:r w:rsidRPr="001E75FF">
              <w:rPr>
                <w:rFonts w:cs="Arial"/>
                <w:szCs w:val="20"/>
              </w:rPr>
              <w:t>Australia</w:t>
            </w:r>
          </w:p>
        </w:tc>
        <w:tc>
          <w:tcPr>
            <w:tcW w:w="1090" w:type="pct"/>
          </w:tcPr>
          <w:p w14:paraId="3885FCC0" w14:textId="77777777" w:rsidR="00233C0E" w:rsidRPr="001E75FF" w:rsidRDefault="00233C0E" w:rsidP="00C62FB7">
            <w:pPr>
              <w:keepNext/>
              <w:keepLines/>
              <w:spacing w:before="60" w:after="60"/>
              <w:rPr>
                <w:rFonts w:cs="Arial"/>
                <w:color w:val="000000"/>
                <w:szCs w:val="20"/>
              </w:rPr>
            </w:pPr>
            <w:r w:rsidRPr="001E75FF">
              <w:rPr>
                <w:rFonts w:cs="Arial"/>
                <w:color w:val="000000"/>
                <w:szCs w:val="20"/>
              </w:rPr>
              <w:t>2011-12 NNPAS</w:t>
            </w:r>
          </w:p>
        </w:tc>
        <w:tc>
          <w:tcPr>
            <w:tcW w:w="1168" w:type="pct"/>
          </w:tcPr>
          <w:p w14:paraId="073E2A48" w14:textId="77777777" w:rsidR="00233C0E" w:rsidRPr="001E75FF" w:rsidRDefault="00233C0E" w:rsidP="00C62FB7">
            <w:pPr>
              <w:keepNext/>
              <w:keepLines/>
              <w:spacing w:before="60" w:after="60"/>
              <w:rPr>
                <w:rFonts w:cs="Arial"/>
                <w:color w:val="000000"/>
                <w:szCs w:val="20"/>
              </w:rPr>
            </w:pPr>
            <w:r w:rsidRPr="001E75FF">
              <w:rPr>
                <w:rFonts w:cs="Arial"/>
                <w:color w:val="000000"/>
                <w:szCs w:val="20"/>
              </w:rPr>
              <w:t>2 years and above</w:t>
            </w:r>
          </w:p>
        </w:tc>
        <w:tc>
          <w:tcPr>
            <w:tcW w:w="1012" w:type="pct"/>
            <w:noWrap/>
          </w:tcPr>
          <w:p w14:paraId="76E8C3C0" w14:textId="77777777" w:rsidR="00233C0E" w:rsidRPr="001E75FF" w:rsidRDefault="00233C0E" w:rsidP="00C62FB7">
            <w:pPr>
              <w:keepNext/>
              <w:keepLines/>
              <w:spacing w:before="60" w:after="60"/>
              <w:jc w:val="center"/>
              <w:rPr>
                <w:rFonts w:cs="Arial"/>
                <w:color w:val="000000"/>
                <w:szCs w:val="20"/>
              </w:rPr>
            </w:pPr>
            <w:r w:rsidRPr="001E75FF">
              <w:rPr>
                <w:rFonts w:cs="Arial"/>
                <w:color w:val="000000"/>
                <w:szCs w:val="20"/>
              </w:rPr>
              <w:t>n/a</w:t>
            </w:r>
          </w:p>
        </w:tc>
        <w:tc>
          <w:tcPr>
            <w:tcW w:w="954" w:type="pct"/>
          </w:tcPr>
          <w:p w14:paraId="5AAA9469" w14:textId="77777777" w:rsidR="00233C0E" w:rsidRPr="001E75FF" w:rsidRDefault="00233C0E" w:rsidP="00C62FB7">
            <w:pPr>
              <w:keepNext/>
              <w:keepLines/>
              <w:spacing w:before="60" w:after="60"/>
              <w:jc w:val="center"/>
              <w:rPr>
                <w:rFonts w:cs="Arial"/>
                <w:color w:val="000000"/>
                <w:szCs w:val="20"/>
              </w:rPr>
            </w:pPr>
            <w:r w:rsidRPr="001E75FF">
              <w:rPr>
                <w:rFonts w:cs="Arial"/>
                <w:color w:val="000000"/>
                <w:szCs w:val="20"/>
              </w:rPr>
              <w:t>7,735</w:t>
            </w:r>
          </w:p>
        </w:tc>
      </w:tr>
      <w:tr w:rsidR="00945CD2" w:rsidRPr="0015469A" w14:paraId="0C781858" w14:textId="77777777" w:rsidTr="001E75FF">
        <w:trPr>
          <w:trHeight w:val="283"/>
        </w:trPr>
        <w:tc>
          <w:tcPr>
            <w:tcW w:w="776" w:type="pct"/>
            <w:vMerge w:val="restart"/>
          </w:tcPr>
          <w:p w14:paraId="3E5DA4CA" w14:textId="77777777" w:rsidR="00945CD2" w:rsidRPr="001E75FF" w:rsidRDefault="00945CD2" w:rsidP="00C62FB7">
            <w:pPr>
              <w:keepNext/>
              <w:keepLines/>
              <w:spacing w:before="60" w:after="60"/>
              <w:rPr>
                <w:rFonts w:cs="Arial"/>
                <w:szCs w:val="20"/>
              </w:rPr>
            </w:pPr>
            <w:r w:rsidRPr="001E75FF">
              <w:rPr>
                <w:rFonts w:cs="Arial"/>
                <w:szCs w:val="20"/>
              </w:rPr>
              <w:t>New Zealand</w:t>
            </w:r>
          </w:p>
        </w:tc>
        <w:tc>
          <w:tcPr>
            <w:tcW w:w="1090" w:type="pct"/>
            <w:hideMark/>
          </w:tcPr>
          <w:p w14:paraId="29879F25" w14:textId="77777777" w:rsidR="00945CD2" w:rsidRPr="001E75FF" w:rsidRDefault="00945CD2" w:rsidP="00C62FB7">
            <w:pPr>
              <w:keepNext/>
              <w:keepLines/>
              <w:spacing w:before="60" w:after="60"/>
              <w:rPr>
                <w:rFonts w:cs="Arial"/>
                <w:color w:val="000000"/>
                <w:szCs w:val="20"/>
              </w:rPr>
            </w:pPr>
            <w:r w:rsidRPr="001E75FF">
              <w:rPr>
                <w:rFonts w:cs="Arial"/>
                <w:color w:val="000000"/>
                <w:szCs w:val="20"/>
              </w:rPr>
              <w:t>2002 NZ CNS</w:t>
            </w:r>
          </w:p>
        </w:tc>
        <w:tc>
          <w:tcPr>
            <w:tcW w:w="1168" w:type="pct"/>
            <w:hideMark/>
          </w:tcPr>
          <w:p w14:paraId="52F1060A" w14:textId="77777777" w:rsidR="00945CD2" w:rsidRPr="001E75FF" w:rsidRDefault="00945CD2" w:rsidP="00C62FB7">
            <w:pPr>
              <w:keepNext/>
              <w:keepLines/>
              <w:spacing w:before="60" w:after="60"/>
              <w:rPr>
                <w:rFonts w:cs="Arial"/>
                <w:color w:val="000000"/>
                <w:szCs w:val="20"/>
              </w:rPr>
            </w:pPr>
            <w:r w:rsidRPr="001E75FF">
              <w:rPr>
                <w:rFonts w:cs="Arial"/>
                <w:color w:val="000000"/>
                <w:szCs w:val="20"/>
              </w:rPr>
              <w:t>5 – 14 years</w:t>
            </w:r>
          </w:p>
        </w:tc>
        <w:tc>
          <w:tcPr>
            <w:tcW w:w="1012" w:type="pct"/>
            <w:noWrap/>
            <w:hideMark/>
          </w:tcPr>
          <w:p w14:paraId="03817EEF" w14:textId="77777777" w:rsidR="00945CD2" w:rsidRPr="001E75FF" w:rsidRDefault="00945CD2" w:rsidP="00C62FB7">
            <w:pPr>
              <w:keepNext/>
              <w:keepLines/>
              <w:spacing w:before="60" w:after="60"/>
              <w:jc w:val="center"/>
              <w:rPr>
                <w:rFonts w:cs="Arial"/>
                <w:color w:val="000000"/>
                <w:szCs w:val="20"/>
              </w:rPr>
            </w:pPr>
            <w:r w:rsidRPr="001E75FF">
              <w:rPr>
                <w:rFonts w:cs="Arial"/>
                <w:color w:val="000000"/>
                <w:szCs w:val="20"/>
              </w:rPr>
              <w:t>3,275</w:t>
            </w:r>
          </w:p>
        </w:tc>
        <w:tc>
          <w:tcPr>
            <w:tcW w:w="954" w:type="pct"/>
          </w:tcPr>
          <w:p w14:paraId="19EF4D60" w14:textId="77777777" w:rsidR="00945CD2" w:rsidRPr="001E75FF" w:rsidRDefault="00945CD2" w:rsidP="00C62FB7">
            <w:pPr>
              <w:keepNext/>
              <w:keepLines/>
              <w:spacing w:before="60" w:after="60"/>
              <w:jc w:val="center"/>
              <w:rPr>
                <w:rFonts w:cs="Arial"/>
                <w:color w:val="000000"/>
                <w:szCs w:val="20"/>
              </w:rPr>
            </w:pPr>
            <w:r w:rsidRPr="001E75FF">
              <w:rPr>
                <w:rFonts w:cs="Arial"/>
                <w:color w:val="000000"/>
                <w:szCs w:val="20"/>
              </w:rPr>
              <w:t>n/a</w:t>
            </w:r>
          </w:p>
        </w:tc>
      </w:tr>
      <w:tr w:rsidR="00945CD2" w:rsidRPr="0015469A" w14:paraId="56CE0AC5" w14:textId="77777777" w:rsidTr="001E75FF">
        <w:trPr>
          <w:trHeight w:val="283"/>
        </w:trPr>
        <w:tc>
          <w:tcPr>
            <w:tcW w:w="776" w:type="pct"/>
            <w:vMerge/>
          </w:tcPr>
          <w:p w14:paraId="764AB1D8" w14:textId="77777777" w:rsidR="00945CD2" w:rsidRPr="001E75FF" w:rsidRDefault="00945CD2" w:rsidP="00C62FB7">
            <w:pPr>
              <w:keepNext/>
              <w:keepLines/>
              <w:spacing w:before="60" w:after="60"/>
              <w:rPr>
                <w:rFonts w:cs="Arial"/>
                <w:b/>
                <w:color w:val="000000"/>
                <w:szCs w:val="20"/>
              </w:rPr>
            </w:pPr>
          </w:p>
        </w:tc>
        <w:tc>
          <w:tcPr>
            <w:tcW w:w="1090" w:type="pct"/>
            <w:hideMark/>
          </w:tcPr>
          <w:p w14:paraId="2A95AF6B" w14:textId="77777777" w:rsidR="00945CD2" w:rsidRPr="001E75FF" w:rsidRDefault="00945CD2" w:rsidP="00C62FB7">
            <w:pPr>
              <w:keepNext/>
              <w:keepLines/>
              <w:spacing w:before="60" w:after="60"/>
              <w:rPr>
                <w:rFonts w:cs="Arial"/>
                <w:color w:val="000000"/>
                <w:szCs w:val="20"/>
              </w:rPr>
            </w:pPr>
            <w:r w:rsidRPr="001E75FF">
              <w:rPr>
                <w:rFonts w:cs="Arial"/>
                <w:color w:val="000000"/>
                <w:szCs w:val="20"/>
              </w:rPr>
              <w:t>2008 NZ ANS</w:t>
            </w:r>
          </w:p>
        </w:tc>
        <w:tc>
          <w:tcPr>
            <w:tcW w:w="1168" w:type="pct"/>
            <w:hideMark/>
          </w:tcPr>
          <w:p w14:paraId="4B7770C4" w14:textId="77777777" w:rsidR="00945CD2" w:rsidRPr="001E75FF" w:rsidRDefault="00945CD2" w:rsidP="00C62FB7">
            <w:pPr>
              <w:keepNext/>
              <w:keepLines/>
              <w:spacing w:before="60" w:after="60"/>
              <w:rPr>
                <w:rFonts w:cs="Arial"/>
                <w:color w:val="000000"/>
                <w:szCs w:val="20"/>
              </w:rPr>
            </w:pPr>
            <w:r w:rsidRPr="001E75FF">
              <w:rPr>
                <w:rFonts w:cs="Arial"/>
                <w:color w:val="000000"/>
                <w:szCs w:val="20"/>
              </w:rPr>
              <w:t>15 years and above</w:t>
            </w:r>
          </w:p>
        </w:tc>
        <w:tc>
          <w:tcPr>
            <w:tcW w:w="1012" w:type="pct"/>
            <w:noWrap/>
            <w:hideMark/>
          </w:tcPr>
          <w:p w14:paraId="402DE153" w14:textId="77777777" w:rsidR="00945CD2" w:rsidRPr="001E75FF" w:rsidRDefault="00945CD2" w:rsidP="00C62FB7">
            <w:pPr>
              <w:keepNext/>
              <w:keepLines/>
              <w:spacing w:before="60" w:after="60"/>
              <w:jc w:val="center"/>
              <w:rPr>
                <w:rFonts w:cs="Arial"/>
                <w:color w:val="000000"/>
                <w:szCs w:val="20"/>
              </w:rPr>
            </w:pPr>
            <w:r w:rsidRPr="001E75FF">
              <w:rPr>
                <w:rFonts w:cs="Arial"/>
                <w:color w:val="000000"/>
                <w:szCs w:val="20"/>
              </w:rPr>
              <w:t>4,721</w:t>
            </w:r>
          </w:p>
        </w:tc>
        <w:tc>
          <w:tcPr>
            <w:tcW w:w="954" w:type="pct"/>
          </w:tcPr>
          <w:p w14:paraId="3B2A09FD" w14:textId="77777777" w:rsidR="00945CD2" w:rsidRPr="001E75FF" w:rsidRDefault="00945CD2" w:rsidP="00C62FB7">
            <w:pPr>
              <w:keepNext/>
              <w:keepLines/>
              <w:spacing w:before="60" w:after="60"/>
              <w:jc w:val="center"/>
              <w:rPr>
                <w:rFonts w:cs="Arial"/>
                <w:color w:val="000000"/>
                <w:szCs w:val="20"/>
              </w:rPr>
            </w:pPr>
            <w:r w:rsidRPr="001E75FF">
              <w:rPr>
                <w:rFonts w:cs="Arial"/>
                <w:color w:val="000000"/>
                <w:szCs w:val="20"/>
              </w:rPr>
              <w:t>n/a</w:t>
            </w:r>
          </w:p>
        </w:tc>
      </w:tr>
    </w:tbl>
    <w:p w14:paraId="4E5A6F94" w14:textId="77777777" w:rsidR="00A13469" w:rsidRDefault="00A13469" w:rsidP="00A13469">
      <w:bookmarkStart w:id="236" w:name="_Toc62657941"/>
      <w:bookmarkStart w:id="237" w:name="_Toc62738991"/>
      <w:bookmarkStart w:id="238" w:name="_Toc62743577"/>
    </w:p>
    <w:p w14:paraId="1C866C65" w14:textId="063D0588" w:rsidR="00D05D9F" w:rsidRDefault="0081797C" w:rsidP="0081797C">
      <w:pPr>
        <w:pStyle w:val="Heading3"/>
      </w:pPr>
      <w:bookmarkStart w:id="239" w:name="_Toc63330881"/>
      <w:bookmarkStart w:id="240" w:name="_Toc92722936"/>
      <w:bookmarkStart w:id="241" w:name="_Toc93592326"/>
      <w:bookmarkStart w:id="242" w:name="_Toc93585337"/>
      <w:bookmarkStart w:id="243" w:name="_Toc97041632"/>
      <w:r>
        <w:t>4</w:t>
      </w:r>
      <w:r w:rsidR="00E11F72" w:rsidRPr="008B1928">
        <w:t>.1.3</w:t>
      </w:r>
      <w:r w:rsidR="00E11F72" w:rsidRPr="008B1928">
        <w:tab/>
      </w:r>
      <w:r w:rsidR="00233C0E" w:rsidRPr="008B1928">
        <w:t>Assumptions and limitations of the dietary exposure assessment</w:t>
      </w:r>
      <w:bookmarkEnd w:id="236"/>
      <w:bookmarkEnd w:id="237"/>
      <w:bookmarkEnd w:id="238"/>
      <w:bookmarkEnd w:id="239"/>
      <w:bookmarkEnd w:id="240"/>
      <w:bookmarkEnd w:id="241"/>
      <w:bookmarkEnd w:id="242"/>
      <w:bookmarkEnd w:id="243"/>
    </w:p>
    <w:p w14:paraId="63C25B58" w14:textId="14E4E576" w:rsidR="00233C0E" w:rsidRDefault="00233C0E" w:rsidP="00A13469">
      <w:r w:rsidRPr="00A72AB1">
        <w:t xml:space="preserve">The aim of the dietary exposure assessment was to make the most realistic estimation of dietary exposures to </w:t>
      </w:r>
      <w:r w:rsidR="008F0430">
        <w:t xml:space="preserve">CPC and </w:t>
      </w:r>
      <w:r w:rsidR="00A13469">
        <w:t>propylene glycol</w:t>
      </w:r>
      <w:r w:rsidRPr="00A72AB1">
        <w:t xml:space="preserve"> as possible. However, where significant uncertainties in the data existed, conservative assumptions were generally used to ensure that the estimated dietary exposure was not an underestimate of exposure.</w:t>
      </w:r>
    </w:p>
    <w:p w14:paraId="0E001014" w14:textId="77777777" w:rsidR="00A13469" w:rsidRPr="00A72AB1" w:rsidRDefault="00A13469" w:rsidP="00A13469"/>
    <w:p w14:paraId="323735F5" w14:textId="77777777" w:rsidR="00233C0E" w:rsidRPr="00A72AB1" w:rsidRDefault="00233C0E" w:rsidP="00A13469">
      <w:r w:rsidRPr="00A72AB1">
        <w:t>Assumptions made in the dietary exposure assessment included:</w:t>
      </w:r>
    </w:p>
    <w:p w14:paraId="1FB23026" w14:textId="66244BB2" w:rsidR="00990251" w:rsidRPr="00AF71E7" w:rsidRDefault="00233C0E" w:rsidP="00327926">
      <w:pPr>
        <w:pStyle w:val="FSBullet1"/>
        <w:numPr>
          <w:ilvl w:val="0"/>
          <w:numId w:val="22"/>
        </w:numPr>
        <w:spacing w:after="60"/>
      </w:pPr>
      <w:r w:rsidRPr="00AF71E7">
        <w:t xml:space="preserve">Unless otherwise specified, all foods within a </w:t>
      </w:r>
      <w:r w:rsidR="00987CE7">
        <w:t>food class</w:t>
      </w:r>
      <w:r w:rsidRPr="00AF71E7">
        <w:t xml:space="preserve"> contain CPC at the concentrations listed in</w:t>
      </w:r>
      <w:r w:rsidR="008F0430" w:rsidRPr="00AF71E7">
        <w:t xml:space="preserve"> </w:t>
      </w:r>
      <w:r w:rsidR="00921907">
        <w:fldChar w:fldCharType="begin"/>
      </w:r>
      <w:r w:rsidR="00921907">
        <w:instrText xml:space="preserve"> REF _Ref92711492 \h </w:instrText>
      </w:r>
      <w:r w:rsidR="00921907">
        <w:fldChar w:fldCharType="separate"/>
      </w:r>
      <w:r w:rsidR="00A65698">
        <w:t xml:space="preserve">Table </w:t>
      </w:r>
      <w:r w:rsidR="00A65698">
        <w:rPr>
          <w:noProof/>
        </w:rPr>
        <w:t>4</w:t>
      </w:r>
      <w:r w:rsidR="00921907">
        <w:fldChar w:fldCharType="end"/>
      </w:r>
      <w:r w:rsidR="00A13469" w:rsidRPr="00AF71E7">
        <w:fldChar w:fldCharType="begin"/>
      </w:r>
      <w:r w:rsidR="00A13469" w:rsidRPr="00AF71E7">
        <w:instrText xml:space="preserve"> REF _Ref41997275 \h </w:instrText>
      </w:r>
      <w:r w:rsidR="00AF71E7" w:rsidRPr="00AF71E7">
        <w:instrText xml:space="preserve"> \* MERGEFORMAT </w:instrText>
      </w:r>
      <w:r w:rsidR="00A13469" w:rsidRPr="00AF71E7">
        <w:fldChar w:fldCharType="end"/>
      </w:r>
      <w:r w:rsidR="00327926" w:rsidRPr="00AF71E7">
        <w:t>.</w:t>
      </w:r>
    </w:p>
    <w:p w14:paraId="6AF39F3A" w14:textId="3D2DCECD" w:rsidR="00327926" w:rsidRDefault="00990251" w:rsidP="00327926">
      <w:pPr>
        <w:pStyle w:val="FSBullet1"/>
        <w:numPr>
          <w:ilvl w:val="0"/>
          <w:numId w:val="22"/>
        </w:numPr>
        <w:spacing w:after="60"/>
      </w:pPr>
      <w:r w:rsidRPr="00066216">
        <w:t>Unless otherwise specified</w:t>
      </w:r>
      <w:r>
        <w:t>, all poultry contain</w:t>
      </w:r>
      <w:r w:rsidR="002F3DAE">
        <w:t>s</w:t>
      </w:r>
      <w:r>
        <w:t xml:space="preserve"> propylene glycol at residue levels provided by the applicant</w:t>
      </w:r>
      <w:r w:rsidR="00327926">
        <w:t>.</w:t>
      </w:r>
    </w:p>
    <w:p w14:paraId="4022294A" w14:textId="77777777" w:rsidR="00327926" w:rsidRDefault="00327926" w:rsidP="00327926">
      <w:pPr>
        <w:pStyle w:val="FSBullet1"/>
        <w:numPr>
          <w:ilvl w:val="0"/>
          <w:numId w:val="22"/>
        </w:numPr>
        <w:spacing w:after="60"/>
      </w:pPr>
      <w:r>
        <w:t>Treatment is applied to all poultry irrespective of if it was whole carcass or pieces.</w:t>
      </w:r>
    </w:p>
    <w:p w14:paraId="1A1F9472" w14:textId="77777777" w:rsidR="00327926" w:rsidRDefault="00327926" w:rsidP="00327926">
      <w:pPr>
        <w:pStyle w:val="FSBullet1"/>
        <w:numPr>
          <w:ilvl w:val="0"/>
          <w:numId w:val="22"/>
        </w:numPr>
        <w:spacing w:after="60"/>
      </w:pPr>
      <w:r>
        <w:t>T</w:t>
      </w:r>
      <w:r w:rsidRPr="00A72AB1">
        <w:t xml:space="preserve">here is 100% market penetration of the use of </w:t>
      </w:r>
      <w:r>
        <w:t>CPC and propylene glycol on poultry (including game bird) carcasses.</w:t>
      </w:r>
    </w:p>
    <w:p w14:paraId="6B7CEFC2" w14:textId="49C8E10B" w:rsidR="00990251" w:rsidRDefault="002A34B4" w:rsidP="00327926">
      <w:pPr>
        <w:pStyle w:val="FSBullet1"/>
        <w:numPr>
          <w:ilvl w:val="0"/>
          <w:numId w:val="22"/>
        </w:numPr>
        <w:spacing w:after="60"/>
      </w:pPr>
      <w:r>
        <w:t>R</w:t>
      </w:r>
      <w:r w:rsidR="00327926">
        <w:t xml:space="preserve">insing of the treated poultry occurs after application of the </w:t>
      </w:r>
      <w:r w:rsidR="00361C65">
        <w:t>CPC preparation</w:t>
      </w:r>
      <w:r w:rsidR="00327926">
        <w:t>.</w:t>
      </w:r>
    </w:p>
    <w:p w14:paraId="5D7BA16C" w14:textId="4BA4274F" w:rsidR="00D21F7D" w:rsidRDefault="00D21F7D" w:rsidP="00327926">
      <w:pPr>
        <w:pStyle w:val="FSBullet1"/>
        <w:numPr>
          <w:ilvl w:val="0"/>
          <w:numId w:val="22"/>
        </w:numPr>
        <w:spacing w:after="60"/>
      </w:pPr>
      <w:r>
        <w:t xml:space="preserve">Poultry offal </w:t>
      </w:r>
      <w:r w:rsidR="00A13469">
        <w:t xml:space="preserve">does not contain CPC nor propylene glycol from the </w:t>
      </w:r>
      <w:r w:rsidR="00361C65">
        <w:t>CPC preparation</w:t>
      </w:r>
      <w:r w:rsidR="00327926">
        <w:t>, only the meat and skin</w:t>
      </w:r>
      <w:r w:rsidR="00987CE7">
        <w:t>, as it is noted in the application it is removed before the poultry wash is applied</w:t>
      </w:r>
      <w:r w:rsidR="00327926">
        <w:t>.</w:t>
      </w:r>
    </w:p>
    <w:p w14:paraId="2AB848B4" w14:textId="15A62A18" w:rsidR="00D21F7D" w:rsidRDefault="00A13469" w:rsidP="00327926">
      <w:pPr>
        <w:pStyle w:val="FSBullet1"/>
        <w:numPr>
          <w:ilvl w:val="0"/>
          <w:numId w:val="22"/>
        </w:numPr>
        <w:spacing w:after="60"/>
      </w:pPr>
      <w:r>
        <w:t>Meats listed as ‘unspecified’ in the food consumption data are not poultry</w:t>
      </w:r>
      <w:r w:rsidR="00327926">
        <w:t>.</w:t>
      </w:r>
    </w:p>
    <w:p w14:paraId="7916F05F" w14:textId="30915A89" w:rsidR="00A13469" w:rsidRPr="00A13469" w:rsidRDefault="00A13469" w:rsidP="00327926">
      <w:pPr>
        <w:pStyle w:val="FSBullet1"/>
        <w:numPr>
          <w:ilvl w:val="0"/>
          <w:numId w:val="22"/>
        </w:numPr>
        <w:spacing w:after="60"/>
      </w:pPr>
      <w:r>
        <w:t>Mixed dishes with unspecified contents (e.g. sushi, sandwiches, stir-fries) do not contain poultry</w:t>
      </w:r>
      <w:r w:rsidR="00327926">
        <w:t>.</w:t>
      </w:r>
    </w:p>
    <w:p w14:paraId="539F1201" w14:textId="038E6DED" w:rsidR="00233C0E" w:rsidRPr="00A72AB1" w:rsidRDefault="00D21F7D" w:rsidP="00327926">
      <w:pPr>
        <w:pStyle w:val="FSBullet1"/>
        <w:numPr>
          <w:ilvl w:val="0"/>
          <w:numId w:val="22"/>
        </w:numPr>
        <w:spacing w:after="60"/>
      </w:pPr>
      <w:r>
        <w:t>W</w:t>
      </w:r>
      <w:r w:rsidR="00233C0E" w:rsidRPr="00EA2340">
        <w:t xml:space="preserve">here a food </w:t>
      </w:r>
      <w:r w:rsidR="00987CE7">
        <w:t xml:space="preserve">or food class </w:t>
      </w:r>
      <w:r w:rsidR="00233C0E" w:rsidRPr="00EA2340">
        <w:t>was not included in the dietary</w:t>
      </w:r>
      <w:r w:rsidR="00233C0E" w:rsidRPr="00A72AB1">
        <w:t xml:space="preserve"> exposure assessment, it was assumed to contain a zero concentration of </w:t>
      </w:r>
      <w:r w:rsidR="00233C0E">
        <w:t>CPC</w:t>
      </w:r>
      <w:r w:rsidR="00A13469">
        <w:t xml:space="preserve"> or propylene glycol</w:t>
      </w:r>
      <w:r w:rsidR="00327926">
        <w:t>.</w:t>
      </w:r>
    </w:p>
    <w:p w14:paraId="20167955" w14:textId="48B36642" w:rsidR="00D21F7D" w:rsidRDefault="00990251" w:rsidP="00327926">
      <w:pPr>
        <w:pStyle w:val="FSBullet1"/>
        <w:numPr>
          <w:ilvl w:val="0"/>
          <w:numId w:val="22"/>
        </w:numPr>
        <w:spacing w:after="60"/>
      </w:pPr>
      <w:r>
        <w:t>W</w:t>
      </w:r>
      <w:r w:rsidR="00233C0E">
        <w:t>here a concentration is assigned to a food</w:t>
      </w:r>
      <w:r w:rsidR="00987CE7">
        <w:t xml:space="preserve"> class</w:t>
      </w:r>
      <w:r w:rsidR="00233C0E">
        <w:t>, this concentration is carried over to any mixed dishes where</w:t>
      </w:r>
      <w:r w:rsidR="00987CE7">
        <w:t xml:space="preserve"> foods in this class</w:t>
      </w:r>
      <w:r w:rsidR="00233C0E">
        <w:t xml:space="preserve"> ha</w:t>
      </w:r>
      <w:r w:rsidR="00987CE7">
        <w:t>ve</w:t>
      </w:r>
      <w:r w:rsidR="00233C0E">
        <w:t xml:space="preserve"> been used as an ingredient to capture exposure from all </w:t>
      </w:r>
      <w:r w:rsidR="00A13469">
        <w:t>sources of the food in the diet</w:t>
      </w:r>
      <w:r w:rsidR="00327926">
        <w:t>.</w:t>
      </w:r>
    </w:p>
    <w:p w14:paraId="7D6B61D5" w14:textId="7C7FAC46" w:rsidR="00327926" w:rsidRDefault="00327926" w:rsidP="00327926">
      <w:pPr>
        <w:pStyle w:val="FSBullet1"/>
        <w:numPr>
          <w:ilvl w:val="0"/>
          <w:numId w:val="22"/>
        </w:numPr>
        <w:spacing w:after="60"/>
      </w:pPr>
      <w:r>
        <w:t>Where there were no industry data</w:t>
      </w:r>
      <w:r w:rsidR="00D07282">
        <w:t xml:space="preserve"> </w:t>
      </w:r>
      <w:r>
        <w:t>for the use of propylene glycol for the baseline estimate of dietary exposure</w:t>
      </w:r>
      <w:r w:rsidR="00D07282">
        <w:t xml:space="preserve"> provided for Australia and New Zealand</w:t>
      </w:r>
      <w:r>
        <w:t xml:space="preserve">, European data </w:t>
      </w:r>
      <w:r w:rsidR="00D07282">
        <w:t>were</w:t>
      </w:r>
      <w:r>
        <w:t xml:space="preserve"> used to supplement data gaps where the use of propylene glycol </w:t>
      </w:r>
      <w:r w:rsidR="00D07282">
        <w:t>was</w:t>
      </w:r>
      <w:r>
        <w:t xml:space="preserve"> known in Australian or New Zealand food products</w:t>
      </w:r>
      <w:r w:rsidR="00D07282">
        <w:t xml:space="preserve"> as shown by GS1 data</w:t>
      </w:r>
      <w:r>
        <w:t xml:space="preserve">. This was based on the assumption that food additive use levels are limited by a technological amount </w:t>
      </w:r>
      <w:r w:rsidR="00D07282">
        <w:t>and</w:t>
      </w:r>
      <w:r>
        <w:t xml:space="preserve"> would be similar </w:t>
      </w:r>
      <w:r w:rsidR="00D07282">
        <w:t>in</w:t>
      </w:r>
      <w:r>
        <w:t xml:space="preserve"> Australia,</w:t>
      </w:r>
      <w:r w:rsidR="00D07282">
        <w:t xml:space="preserve"> </w:t>
      </w:r>
      <w:r>
        <w:t xml:space="preserve">New Zealand and Europe. </w:t>
      </w:r>
    </w:p>
    <w:p w14:paraId="4F8A517A" w14:textId="77777777" w:rsidR="00327926" w:rsidRDefault="00327926" w:rsidP="00327926">
      <w:pPr>
        <w:pStyle w:val="FSBullet1"/>
        <w:spacing w:after="60"/>
        <w:ind w:left="0" w:firstLine="0"/>
      </w:pPr>
    </w:p>
    <w:p w14:paraId="67655EBA" w14:textId="03995094" w:rsidR="00D07282" w:rsidRPr="00D07282" w:rsidRDefault="00233C0E" w:rsidP="00714FFE">
      <w:pPr>
        <w:pStyle w:val="FSBullet1"/>
        <w:spacing w:after="60"/>
        <w:ind w:left="0" w:firstLine="0"/>
      </w:pPr>
      <w:r w:rsidRPr="00A72AB1">
        <w:t xml:space="preserve">In addition to the specific assumptions made in relation to this dietary exposure assessment, there are a number of limitations associated with the nutrition surveys from which the food consumption data used for the assessment are based. A discussion of these limitations is included in Section 6 of the </w:t>
      </w:r>
      <w:r w:rsidRPr="00D21F7D">
        <w:rPr>
          <w:i/>
        </w:rPr>
        <w:t>Principles and Practices of Dietary Exposure Assessment for Food Regulatory Purposes</w:t>
      </w:r>
      <w:r w:rsidRPr="00A72AB1">
        <w:t xml:space="preserve"> (FSANZ 2009).</w:t>
      </w:r>
    </w:p>
    <w:p w14:paraId="49350C08" w14:textId="7F8DFF11" w:rsidR="002C76EE" w:rsidRDefault="0081797C" w:rsidP="00D15757">
      <w:pPr>
        <w:pStyle w:val="Heading2"/>
      </w:pPr>
      <w:bookmarkStart w:id="244" w:name="_Toc46926169"/>
      <w:bookmarkStart w:id="245" w:name="_Toc46764362"/>
      <w:bookmarkStart w:id="246" w:name="_Toc46741947"/>
      <w:bookmarkStart w:id="247" w:name="_Toc46507646"/>
      <w:bookmarkStart w:id="248" w:name="_Toc46496544"/>
      <w:bookmarkStart w:id="249" w:name="_Toc46498608"/>
      <w:bookmarkStart w:id="250" w:name="_Toc46423474"/>
      <w:bookmarkStart w:id="251" w:name="_Toc46419136"/>
      <w:bookmarkStart w:id="252" w:name="_Toc46414882"/>
      <w:bookmarkStart w:id="253" w:name="_Toc46411516"/>
      <w:bookmarkStart w:id="254" w:name="_Toc46400084"/>
      <w:bookmarkStart w:id="255" w:name="_Toc46325668"/>
      <w:bookmarkStart w:id="256" w:name="_Toc46322220"/>
      <w:bookmarkStart w:id="257" w:name="_Toc42850577"/>
      <w:bookmarkStart w:id="258" w:name="_Toc42773855"/>
      <w:bookmarkStart w:id="259" w:name="_Toc42615061"/>
      <w:bookmarkStart w:id="260" w:name="_Toc42616494"/>
      <w:bookmarkStart w:id="261" w:name="_Toc60738166"/>
      <w:bookmarkStart w:id="262" w:name="_Toc49505868"/>
      <w:bookmarkStart w:id="263" w:name="_Toc47003478"/>
      <w:bookmarkStart w:id="264" w:name="_Toc46934422"/>
      <w:bookmarkStart w:id="265" w:name="_Toc46930295"/>
      <w:bookmarkStart w:id="266" w:name="_Toc62657942"/>
      <w:bookmarkStart w:id="267" w:name="_Toc62738992"/>
      <w:bookmarkStart w:id="268" w:name="_Toc62743578"/>
      <w:bookmarkStart w:id="269" w:name="_Toc63330882"/>
      <w:bookmarkStart w:id="270" w:name="_Toc92722937"/>
      <w:bookmarkStart w:id="271" w:name="_Toc93592327"/>
      <w:bookmarkStart w:id="272" w:name="_Toc93585338"/>
      <w:bookmarkStart w:id="273" w:name="_Toc97041633"/>
      <w:r>
        <w:lastRenderedPageBreak/>
        <w:t>4</w:t>
      </w:r>
      <w:r w:rsidR="000B0783">
        <w:t>.2</w:t>
      </w:r>
      <w:r w:rsidR="00144782">
        <w:tab/>
      </w:r>
      <w:r w:rsidR="002C76EE">
        <w:t>Dietary exposure assessment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2C76EE">
        <w:t xml:space="preserve"> results</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1087E097" w14:textId="378D8F84" w:rsidR="00F36F60" w:rsidRPr="00933C8E" w:rsidRDefault="00672034" w:rsidP="00672034">
      <w:bookmarkStart w:id="274" w:name="_Ref41393115"/>
      <w:bookmarkStart w:id="275" w:name="_Toc49505901"/>
      <w:bookmarkStart w:id="276" w:name="_Toc46934375"/>
      <w:bookmarkStart w:id="277" w:name="_Toc46764301"/>
      <w:bookmarkStart w:id="278" w:name="_Toc46741886"/>
      <w:bookmarkStart w:id="279" w:name="_Toc46507583"/>
      <w:bookmarkStart w:id="280" w:name="_Toc46496646"/>
      <w:bookmarkStart w:id="281" w:name="_Toc46498547"/>
      <w:bookmarkStart w:id="282" w:name="_Toc46423412"/>
      <w:bookmarkStart w:id="283" w:name="_Toc46419074"/>
      <w:bookmarkStart w:id="284" w:name="_Toc46414820"/>
      <w:bookmarkStart w:id="285" w:name="_Toc46399947"/>
      <w:bookmarkStart w:id="286" w:name="_Toc46325473"/>
      <w:bookmarkStart w:id="287" w:name="_Toc46322261"/>
      <w:bookmarkStart w:id="288" w:name="_Toc42614998"/>
      <w:bookmarkStart w:id="289" w:name="_Toc42616431"/>
      <w:r>
        <w:t xml:space="preserve">In this assessment, dietary exposures have been estimated for </w:t>
      </w:r>
      <w:r w:rsidR="007A2F0B">
        <w:t>‘consumer</w:t>
      </w:r>
      <w:r w:rsidRPr="00933C8E">
        <w:t>s only’ (</w:t>
      </w:r>
      <w:r>
        <w:t xml:space="preserve">i.e. </w:t>
      </w:r>
      <w:r w:rsidRPr="00933C8E">
        <w:t>consumers of foods containing</w:t>
      </w:r>
      <w:r>
        <w:t xml:space="preserve"> CPC</w:t>
      </w:r>
      <w:r w:rsidR="00144782">
        <w:t xml:space="preserve"> or propylene glycol</w:t>
      </w:r>
      <w:r w:rsidRPr="00933C8E">
        <w:t>).</w:t>
      </w:r>
      <w:r>
        <w:t xml:space="preserve"> Nutrition survey</w:t>
      </w:r>
      <w:r w:rsidRPr="00933C8E">
        <w:t xml:space="preserve"> </w:t>
      </w:r>
      <w:r>
        <w:t xml:space="preserve">respondents </w:t>
      </w:r>
      <w:r w:rsidRPr="00933C8E">
        <w:t>who had no consumption</w:t>
      </w:r>
      <w:r w:rsidR="00144782">
        <w:t xml:space="preserve"> of these foods </w:t>
      </w:r>
      <w:r>
        <w:t>were excluded. The proportion of the population who are consumers varies between the differ</w:t>
      </w:r>
      <w:r w:rsidR="007A2F0B">
        <w:t>ent population groups assessed.</w:t>
      </w:r>
    </w:p>
    <w:p w14:paraId="4EB8F531" w14:textId="16741460" w:rsidR="00C8000E" w:rsidRDefault="0081797C" w:rsidP="0081797C">
      <w:pPr>
        <w:pStyle w:val="Heading3"/>
      </w:pPr>
      <w:bookmarkStart w:id="290" w:name="_Toc62657943"/>
      <w:bookmarkStart w:id="291" w:name="_Toc62738993"/>
      <w:bookmarkStart w:id="292" w:name="_Toc62743579"/>
      <w:bookmarkStart w:id="293" w:name="_Toc63330883"/>
      <w:bookmarkStart w:id="294" w:name="_Toc92722938"/>
      <w:bookmarkStart w:id="295" w:name="_Toc93592328"/>
      <w:bookmarkStart w:id="296" w:name="_Toc93585339"/>
      <w:bookmarkStart w:id="297" w:name="_Toc97041634"/>
      <w:r>
        <w:t>4</w:t>
      </w:r>
      <w:r w:rsidR="00144782">
        <w:t>.2.1</w:t>
      </w:r>
      <w:r w:rsidR="00144782">
        <w:tab/>
      </w:r>
      <w:r w:rsidR="00C8000E">
        <w:t>CPC</w:t>
      </w:r>
      <w:bookmarkEnd w:id="290"/>
      <w:bookmarkEnd w:id="291"/>
      <w:bookmarkEnd w:id="292"/>
      <w:bookmarkEnd w:id="293"/>
      <w:bookmarkEnd w:id="294"/>
      <w:bookmarkEnd w:id="295"/>
      <w:bookmarkEnd w:id="296"/>
      <w:bookmarkEnd w:id="297"/>
    </w:p>
    <w:p w14:paraId="273C0F96" w14:textId="67701894" w:rsidR="007A1B49" w:rsidRDefault="00521868" w:rsidP="007A1B49">
      <w:pPr>
        <w:rPr>
          <w:lang w:eastAsia="en-AU" w:bidi="ar-SA"/>
        </w:rPr>
      </w:pPr>
      <w:r>
        <w:rPr>
          <w:lang w:eastAsia="en-AU" w:bidi="ar-SA"/>
        </w:rPr>
        <w:t>Over 40</w:t>
      </w:r>
      <w:r w:rsidR="007A1B49">
        <w:rPr>
          <w:lang w:eastAsia="en-AU" w:bidi="ar-SA"/>
        </w:rPr>
        <w:t xml:space="preserve">% of the New Zealand and Australian populations are estimated to be exposed to CPC </w:t>
      </w:r>
      <w:r w:rsidR="006F0D26">
        <w:rPr>
          <w:lang w:eastAsia="en-AU" w:bidi="ar-SA"/>
        </w:rPr>
        <w:t>through consumption of poultry.</w:t>
      </w:r>
    </w:p>
    <w:p w14:paraId="3C6301DB" w14:textId="79D993EE" w:rsidR="007A1B49" w:rsidRDefault="007A1B49" w:rsidP="007A1B49">
      <w:pPr>
        <w:rPr>
          <w:lang w:eastAsia="en-AU" w:bidi="ar-SA"/>
        </w:rPr>
      </w:pPr>
    </w:p>
    <w:p w14:paraId="0307B309" w14:textId="2D7912A0" w:rsidR="007A1B49" w:rsidRDefault="007A1B49" w:rsidP="007A1B49">
      <w:pPr>
        <w:rPr>
          <w:lang w:eastAsia="en-AU"/>
        </w:rPr>
      </w:pPr>
      <w:r>
        <w:rPr>
          <w:lang w:eastAsia="en-AU"/>
        </w:rPr>
        <w:t>The mean and P90 consumer dietary exposures to CPC for Australians aged 2</w:t>
      </w:r>
      <w:r w:rsidR="003029DC">
        <w:rPr>
          <w:lang w:eastAsia="en-AU"/>
        </w:rPr>
        <w:t> </w:t>
      </w:r>
      <w:r w:rsidR="00CB5542">
        <w:rPr>
          <w:lang w:eastAsia="en-AU"/>
        </w:rPr>
        <w:t>years and above range between 0.0025</w:t>
      </w:r>
      <w:r w:rsidR="003029DC">
        <w:rPr>
          <w:lang w:eastAsia="en-AU"/>
        </w:rPr>
        <w:t xml:space="preserve"> </w:t>
      </w:r>
      <w:r>
        <w:rPr>
          <w:lang w:eastAsia="en-AU"/>
        </w:rPr>
        <w:t xml:space="preserve">– </w:t>
      </w:r>
      <w:r w:rsidR="00CB5542">
        <w:rPr>
          <w:lang w:eastAsia="en-AU"/>
        </w:rPr>
        <w:t>0.0027</w:t>
      </w:r>
      <w:r>
        <w:rPr>
          <w:lang w:eastAsia="en-AU"/>
        </w:rPr>
        <w:t xml:space="preserve"> mg/kg bw/day and </w:t>
      </w:r>
      <w:r w:rsidR="00CB5542">
        <w:rPr>
          <w:lang w:eastAsia="en-AU"/>
        </w:rPr>
        <w:t>0.0057</w:t>
      </w:r>
      <w:r>
        <w:rPr>
          <w:lang w:eastAsia="en-AU"/>
        </w:rPr>
        <w:t xml:space="preserve"> – </w:t>
      </w:r>
      <w:r w:rsidR="00CB5542">
        <w:rPr>
          <w:lang w:eastAsia="en-AU"/>
        </w:rPr>
        <w:t>0.0062</w:t>
      </w:r>
      <w:r>
        <w:rPr>
          <w:lang w:eastAsia="en-AU"/>
        </w:rPr>
        <w:t xml:space="preserve"> mg/kg bw/day, respectively depending on the scenario. The lower end of the range is for the </w:t>
      </w:r>
      <w:r w:rsidR="0002638B">
        <w:rPr>
          <w:i/>
          <w:lang w:eastAsia="en-AU"/>
        </w:rPr>
        <w:t>A</w:t>
      </w:r>
      <w:r w:rsidR="003029DC">
        <w:rPr>
          <w:i/>
          <w:lang w:eastAsia="en-AU"/>
        </w:rPr>
        <w:t xml:space="preserve">verage </w:t>
      </w:r>
      <w:r w:rsidR="00B62DC2">
        <w:rPr>
          <w:i/>
          <w:lang w:eastAsia="en-AU"/>
        </w:rPr>
        <w:t xml:space="preserve">residue </w:t>
      </w:r>
      <w:r w:rsidR="003029DC">
        <w:rPr>
          <w:i/>
          <w:lang w:eastAsia="en-AU"/>
        </w:rPr>
        <w:t>level</w:t>
      </w:r>
      <w:r w:rsidR="0002638B">
        <w:rPr>
          <w:lang w:eastAsia="en-AU"/>
        </w:rPr>
        <w:t xml:space="preserve"> scenario</w:t>
      </w:r>
      <w:r>
        <w:rPr>
          <w:lang w:eastAsia="en-AU"/>
        </w:rPr>
        <w:t xml:space="preserve">, with the upper end of the range being for the </w:t>
      </w:r>
      <w:r w:rsidR="0002638B">
        <w:rPr>
          <w:i/>
          <w:lang w:eastAsia="en-AU"/>
        </w:rPr>
        <w:t>M</w:t>
      </w:r>
      <w:r w:rsidR="003029DC">
        <w:rPr>
          <w:i/>
          <w:lang w:eastAsia="en-AU"/>
        </w:rPr>
        <w:t xml:space="preserve">aximum </w:t>
      </w:r>
      <w:r w:rsidR="00B62DC2">
        <w:rPr>
          <w:i/>
          <w:lang w:eastAsia="en-AU"/>
        </w:rPr>
        <w:t xml:space="preserve">residue </w:t>
      </w:r>
      <w:r w:rsidR="003029DC">
        <w:rPr>
          <w:i/>
          <w:lang w:eastAsia="en-AU"/>
        </w:rPr>
        <w:t>level</w:t>
      </w:r>
      <w:r w:rsidR="0002638B">
        <w:rPr>
          <w:lang w:eastAsia="en-AU"/>
        </w:rPr>
        <w:t xml:space="preserve"> scenario</w:t>
      </w:r>
      <w:r>
        <w:rPr>
          <w:lang w:eastAsia="en-AU"/>
        </w:rPr>
        <w:t>.</w:t>
      </w:r>
    </w:p>
    <w:p w14:paraId="596C2487" w14:textId="77777777" w:rsidR="00CB5542" w:rsidRDefault="00CB5542" w:rsidP="007A1B49">
      <w:pPr>
        <w:rPr>
          <w:lang w:eastAsia="en-AU"/>
        </w:rPr>
      </w:pPr>
    </w:p>
    <w:p w14:paraId="628B59F7" w14:textId="73D317AD" w:rsidR="00CB5542" w:rsidRDefault="00CB5542" w:rsidP="00CB5542">
      <w:pPr>
        <w:rPr>
          <w:lang w:eastAsia="en-AU"/>
        </w:rPr>
      </w:pPr>
      <w:r>
        <w:rPr>
          <w:lang w:eastAsia="en-AU"/>
        </w:rPr>
        <w:t xml:space="preserve">For </w:t>
      </w:r>
      <w:r w:rsidR="00F644E3">
        <w:rPr>
          <w:lang w:eastAsia="en-AU"/>
        </w:rPr>
        <w:t xml:space="preserve">New </w:t>
      </w:r>
      <w:r>
        <w:rPr>
          <w:lang w:eastAsia="en-AU"/>
        </w:rPr>
        <w:t xml:space="preserve">Zealanders aged 5 to 14 years, the mean and P90 consumer dietary exposures to </w:t>
      </w:r>
      <w:r>
        <w:t>CPC</w:t>
      </w:r>
      <w:r w:rsidR="00061460">
        <w:rPr>
          <w:lang w:eastAsia="en-AU"/>
        </w:rPr>
        <w:t xml:space="preserve"> range between 0.0048 – 0.0052</w:t>
      </w:r>
      <w:r>
        <w:rPr>
          <w:lang w:eastAsia="en-AU"/>
        </w:rPr>
        <w:t> mg/kg bw/day and 0.01</w:t>
      </w:r>
      <w:r w:rsidR="00061460">
        <w:rPr>
          <w:lang w:eastAsia="en-AU"/>
        </w:rPr>
        <w:t>3 – 0.014</w:t>
      </w:r>
      <w:r>
        <w:rPr>
          <w:lang w:eastAsia="en-AU"/>
        </w:rPr>
        <w:t> mg/kg bw/day, respectively. The mean and P90 consumer dietary exposures for New Zealanders aged 15 year</w:t>
      </w:r>
      <w:r w:rsidR="00061460">
        <w:rPr>
          <w:lang w:eastAsia="en-AU"/>
        </w:rPr>
        <w:t>s and above range between 0.0033 – 0.0036 mg/kg bw/day and 0.0083</w:t>
      </w:r>
      <w:r>
        <w:rPr>
          <w:lang w:eastAsia="en-AU"/>
        </w:rPr>
        <w:t xml:space="preserve"> – </w:t>
      </w:r>
      <w:r w:rsidR="00061460">
        <w:t>0.009</w:t>
      </w:r>
      <w:r w:rsidR="0002638B">
        <w:t>0</w:t>
      </w:r>
      <w:r>
        <w:t xml:space="preserve"> mg/kg bw/day, </w:t>
      </w:r>
      <w:r>
        <w:rPr>
          <w:lang w:eastAsia="en-AU"/>
        </w:rPr>
        <w:t xml:space="preserve">respectively. For both New Zealand population groups the lower end of the range represents the </w:t>
      </w:r>
      <w:r w:rsidR="0002638B">
        <w:rPr>
          <w:i/>
          <w:lang w:eastAsia="en-AU"/>
        </w:rPr>
        <w:t xml:space="preserve">Average </w:t>
      </w:r>
      <w:r w:rsidR="00B62DC2">
        <w:rPr>
          <w:i/>
          <w:lang w:eastAsia="en-AU"/>
        </w:rPr>
        <w:t xml:space="preserve">residue </w:t>
      </w:r>
      <w:r w:rsidR="0002638B">
        <w:rPr>
          <w:i/>
          <w:lang w:eastAsia="en-AU"/>
        </w:rPr>
        <w:t>level</w:t>
      </w:r>
      <w:r w:rsidR="0002638B">
        <w:rPr>
          <w:lang w:eastAsia="en-AU"/>
        </w:rPr>
        <w:t xml:space="preserve"> scenario </w:t>
      </w:r>
      <w:r>
        <w:rPr>
          <w:lang w:eastAsia="en-AU"/>
        </w:rPr>
        <w:t xml:space="preserve">and the upper end of the range represents the </w:t>
      </w:r>
      <w:r w:rsidR="0002638B">
        <w:rPr>
          <w:i/>
          <w:lang w:eastAsia="en-AU"/>
        </w:rPr>
        <w:t xml:space="preserve">Maximum </w:t>
      </w:r>
      <w:r w:rsidR="00B62DC2">
        <w:rPr>
          <w:i/>
          <w:lang w:eastAsia="en-AU"/>
        </w:rPr>
        <w:t xml:space="preserve">residue </w:t>
      </w:r>
      <w:r w:rsidR="0002638B">
        <w:rPr>
          <w:i/>
          <w:lang w:eastAsia="en-AU"/>
        </w:rPr>
        <w:t>level</w:t>
      </w:r>
      <w:r w:rsidR="0002638B">
        <w:rPr>
          <w:lang w:eastAsia="en-AU"/>
        </w:rPr>
        <w:t xml:space="preserve"> scenario.</w:t>
      </w:r>
    </w:p>
    <w:p w14:paraId="3A1222C4" w14:textId="77777777" w:rsidR="00CB5542" w:rsidRDefault="00CB5542" w:rsidP="007A1B49">
      <w:pPr>
        <w:rPr>
          <w:lang w:eastAsia="en-AU"/>
        </w:rPr>
      </w:pPr>
    </w:p>
    <w:p w14:paraId="7637AE2C" w14:textId="039640ED" w:rsidR="00CB5542" w:rsidRDefault="0002638B" w:rsidP="0002638B">
      <w:pPr>
        <w:rPr>
          <w:lang w:eastAsia="en-AU" w:bidi="ar-SA"/>
        </w:rPr>
      </w:pPr>
      <w:r>
        <w:rPr>
          <w:lang w:eastAsia="en-AU" w:bidi="ar-SA"/>
        </w:rPr>
        <w:t>New Zealand population groups had higher mean and P90 dietary exposures to CPC compared to the Australian population group aged 2 years and above. New Zealand children aged 5-14 years had higher dietary CPC exposures that those for New Zealanders aged 15 years and above.</w:t>
      </w:r>
    </w:p>
    <w:p w14:paraId="364564D8" w14:textId="77777777" w:rsidR="0002638B" w:rsidRDefault="0002638B" w:rsidP="0002638B">
      <w:pPr>
        <w:rPr>
          <w:lang w:eastAsia="en-AU" w:bidi="ar-SA"/>
        </w:rPr>
      </w:pPr>
    </w:p>
    <w:p w14:paraId="2D147A38" w14:textId="02FA26E8" w:rsidR="00CB5542" w:rsidRDefault="0002638B" w:rsidP="0063056F">
      <w:pPr>
        <w:rPr>
          <w:lang w:eastAsia="en-AU" w:bidi="ar-SA"/>
        </w:rPr>
      </w:pPr>
      <w:r>
        <w:rPr>
          <w:lang w:eastAsia="en-AU" w:bidi="ar-SA"/>
        </w:rPr>
        <w:t>Further details are available in</w:t>
      </w:r>
      <w:r w:rsidR="0063056F">
        <w:rPr>
          <w:lang w:eastAsia="en-AU" w:bidi="ar-SA"/>
        </w:rPr>
        <w:t xml:space="preserve"> </w:t>
      </w:r>
      <w:r w:rsidR="0063056F">
        <w:rPr>
          <w:lang w:eastAsia="en-AU" w:bidi="ar-SA"/>
        </w:rPr>
        <w:fldChar w:fldCharType="begin"/>
      </w:r>
      <w:r w:rsidR="0063056F">
        <w:rPr>
          <w:lang w:eastAsia="en-AU" w:bidi="ar-SA"/>
        </w:rPr>
        <w:instrText xml:space="preserve"> REF _Ref92725155 \h </w:instrText>
      </w:r>
      <w:r w:rsidR="0063056F">
        <w:rPr>
          <w:lang w:eastAsia="en-AU" w:bidi="ar-SA"/>
        </w:rPr>
      </w:r>
      <w:r w:rsidR="0063056F">
        <w:rPr>
          <w:lang w:eastAsia="en-AU" w:bidi="ar-SA"/>
        </w:rPr>
        <w:fldChar w:fldCharType="separate"/>
      </w:r>
      <w:r w:rsidR="00A65698">
        <w:t xml:space="preserve">Table </w:t>
      </w:r>
      <w:r w:rsidR="00A65698">
        <w:rPr>
          <w:noProof/>
        </w:rPr>
        <w:t>6</w:t>
      </w:r>
      <w:r w:rsidR="0063056F">
        <w:rPr>
          <w:lang w:eastAsia="en-AU" w:bidi="ar-SA"/>
        </w:rPr>
        <w:fldChar w:fldCharType="end"/>
      </w:r>
      <w:r w:rsidR="00CB5542">
        <w:rPr>
          <w:lang w:eastAsia="en-AU" w:bidi="ar-SA"/>
        </w:rPr>
        <w:t>.</w:t>
      </w:r>
    </w:p>
    <w:p w14:paraId="39205CFB" w14:textId="77777777" w:rsidR="0063056F" w:rsidRDefault="0063056F" w:rsidP="007A1B49">
      <w:pPr>
        <w:rPr>
          <w:lang w:eastAsia="en-AU" w:bidi="ar-SA"/>
        </w:rPr>
      </w:pPr>
    </w:p>
    <w:p w14:paraId="788711F2" w14:textId="2FE0A2BE" w:rsidR="00406EB7" w:rsidRDefault="00406EB7" w:rsidP="001E75FF">
      <w:pPr>
        <w:pStyle w:val="FSTableTitle"/>
        <w:keepNext/>
        <w:keepLines/>
      </w:pPr>
      <w:bookmarkStart w:id="298" w:name="_Ref92714995"/>
      <w:bookmarkStart w:id="299" w:name="_Ref92725155"/>
      <w:r>
        <w:t xml:space="preserve">Table </w:t>
      </w:r>
      <w:fldSimple w:instr=" SEQ Table \* ARABIC ">
        <w:r w:rsidR="00A65698">
          <w:rPr>
            <w:noProof/>
          </w:rPr>
          <w:t>6</w:t>
        </w:r>
      </w:fldSimple>
      <w:bookmarkEnd w:id="298"/>
      <w:bookmarkEnd w:id="299"/>
      <w:r>
        <w:t xml:space="preserve"> </w:t>
      </w:r>
      <w:r w:rsidRPr="009D0BFA">
        <w:t>Estimated mean and P90 dietary exposures to CPC</w:t>
      </w:r>
      <w:r w:rsidR="001E75FF">
        <w:t xml:space="preserve"> from poultry</w:t>
      </w:r>
      <w:r w:rsidRPr="009D0BFA">
        <w:t xml:space="preserve"> for Australian and New Zealand consumers, expressed in mg/kg bw/day</w:t>
      </w:r>
    </w:p>
    <w:tbl>
      <w:tblPr>
        <w:tblStyle w:val="TableGrid"/>
        <w:tblW w:w="0" w:type="auto"/>
        <w:tblLook w:val="04A0" w:firstRow="1" w:lastRow="0" w:firstColumn="1" w:lastColumn="0" w:noHBand="0" w:noVBand="1"/>
        <w:tblCaption w:val="Table 11 Estimated mean and P90 dietary exposures to CPC for Australian and New Zealand consumers, expressed in mg/kg bw/day"/>
        <w:tblDescription w:val="Estimated consumer mean and P90 dietary exposures to CPC for Australians aged 2 years and above and New Zealanders aged 5-14 years and 15 years and above."/>
      </w:tblPr>
      <w:tblGrid>
        <w:gridCol w:w="1179"/>
        <w:gridCol w:w="1510"/>
        <w:gridCol w:w="1739"/>
        <w:gridCol w:w="1085"/>
        <w:gridCol w:w="1231"/>
        <w:gridCol w:w="1085"/>
        <w:gridCol w:w="1231"/>
      </w:tblGrid>
      <w:tr w:rsidR="00C86297" w14:paraId="5D50BF03" w14:textId="77777777" w:rsidTr="001E75FF">
        <w:tc>
          <w:tcPr>
            <w:tcW w:w="1179" w:type="dxa"/>
            <w:vMerge w:val="restart"/>
            <w:vAlign w:val="bottom"/>
          </w:tcPr>
          <w:p w14:paraId="053141F8" w14:textId="77777777" w:rsidR="00C86297" w:rsidRPr="001E75FF" w:rsidRDefault="00C86297" w:rsidP="001E75FF">
            <w:pPr>
              <w:keepNext/>
              <w:keepLines/>
              <w:spacing w:before="60" w:after="60"/>
              <w:rPr>
                <w:b/>
              </w:rPr>
            </w:pPr>
            <w:r w:rsidRPr="001E75FF">
              <w:rPr>
                <w:b/>
              </w:rPr>
              <w:t>Country</w:t>
            </w:r>
          </w:p>
        </w:tc>
        <w:tc>
          <w:tcPr>
            <w:tcW w:w="1510" w:type="dxa"/>
            <w:vMerge w:val="restart"/>
            <w:vAlign w:val="bottom"/>
          </w:tcPr>
          <w:p w14:paraId="4DBC7420" w14:textId="77777777" w:rsidR="00C86297" w:rsidRPr="001E75FF" w:rsidRDefault="00C86297" w:rsidP="001E75FF">
            <w:pPr>
              <w:keepNext/>
              <w:keepLines/>
              <w:spacing w:before="60" w:after="60"/>
              <w:rPr>
                <w:b/>
              </w:rPr>
            </w:pPr>
            <w:r w:rsidRPr="001E75FF">
              <w:rPr>
                <w:b/>
              </w:rPr>
              <w:t>Population Group</w:t>
            </w:r>
          </w:p>
        </w:tc>
        <w:tc>
          <w:tcPr>
            <w:tcW w:w="1739" w:type="dxa"/>
            <w:vMerge w:val="restart"/>
            <w:vAlign w:val="bottom"/>
          </w:tcPr>
          <w:p w14:paraId="51BFCFD5" w14:textId="52F7300E" w:rsidR="00C86297" w:rsidRPr="001E75FF" w:rsidRDefault="00C86297" w:rsidP="001E75FF">
            <w:pPr>
              <w:keepNext/>
              <w:keepLines/>
              <w:spacing w:before="60" w:after="60"/>
              <w:rPr>
                <w:b/>
              </w:rPr>
            </w:pPr>
            <w:r w:rsidRPr="001E75FF">
              <w:rPr>
                <w:b/>
              </w:rPr>
              <w:t>Proportion consumers to respondents</w:t>
            </w:r>
            <w:r w:rsidR="00551A68" w:rsidRPr="001E75FF">
              <w:rPr>
                <w:rFonts w:cs="Arial"/>
                <w:b/>
                <w:sz w:val="16"/>
                <w:szCs w:val="16"/>
              </w:rPr>
              <w:sym w:font="Wingdings" w:char="F074"/>
            </w:r>
          </w:p>
        </w:tc>
        <w:tc>
          <w:tcPr>
            <w:tcW w:w="4632" w:type="dxa"/>
            <w:gridSpan w:val="4"/>
            <w:vAlign w:val="bottom"/>
          </w:tcPr>
          <w:p w14:paraId="469500E9" w14:textId="2C4FE8DE" w:rsidR="00C86297" w:rsidRPr="001E75FF" w:rsidRDefault="00C86297" w:rsidP="001E75FF">
            <w:pPr>
              <w:keepNext/>
              <w:keepLines/>
              <w:spacing w:before="60" w:after="60"/>
              <w:jc w:val="center"/>
              <w:rPr>
                <w:b/>
              </w:rPr>
            </w:pPr>
            <w:r w:rsidRPr="001E75FF">
              <w:rPr>
                <w:b/>
              </w:rPr>
              <w:t>Estimated consumer dietary exposure to CPC (mg/k</w:t>
            </w:r>
            <w:r w:rsidR="005335BF" w:rsidRPr="001E75FF">
              <w:rPr>
                <w:b/>
              </w:rPr>
              <w:t>g</w:t>
            </w:r>
            <w:r w:rsidRPr="001E75FF">
              <w:rPr>
                <w:b/>
              </w:rPr>
              <w:t xml:space="preserve"> bw/day)</w:t>
            </w:r>
          </w:p>
        </w:tc>
      </w:tr>
      <w:tr w:rsidR="00C86297" w14:paraId="33DC2D15" w14:textId="77777777" w:rsidTr="001E75FF">
        <w:tc>
          <w:tcPr>
            <w:tcW w:w="1179" w:type="dxa"/>
            <w:vMerge/>
          </w:tcPr>
          <w:p w14:paraId="7DBCC428" w14:textId="77777777" w:rsidR="00C86297" w:rsidRPr="001E75FF" w:rsidRDefault="00C86297" w:rsidP="001E75FF">
            <w:pPr>
              <w:keepNext/>
              <w:keepLines/>
              <w:spacing w:before="60" w:after="60"/>
              <w:rPr>
                <w:b/>
              </w:rPr>
            </w:pPr>
          </w:p>
        </w:tc>
        <w:tc>
          <w:tcPr>
            <w:tcW w:w="1510" w:type="dxa"/>
            <w:vMerge/>
          </w:tcPr>
          <w:p w14:paraId="4DBE2C37" w14:textId="77777777" w:rsidR="00C86297" w:rsidRPr="001E75FF" w:rsidRDefault="00C86297" w:rsidP="001E75FF">
            <w:pPr>
              <w:keepNext/>
              <w:keepLines/>
              <w:spacing w:before="60" w:after="60"/>
              <w:rPr>
                <w:b/>
              </w:rPr>
            </w:pPr>
          </w:p>
        </w:tc>
        <w:tc>
          <w:tcPr>
            <w:tcW w:w="1739" w:type="dxa"/>
            <w:vMerge/>
          </w:tcPr>
          <w:p w14:paraId="13B31339" w14:textId="77777777" w:rsidR="00C86297" w:rsidRPr="001E75FF" w:rsidRDefault="00C86297" w:rsidP="001E75FF">
            <w:pPr>
              <w:keepNext/>
              <w:keepLines/>
              <w:spacing w:before="60" w:after="60"/>
              <w:jc w:val="center"/>
              <w:rPr>
                <w:b/>
              </w:rPr>
            </w:pPr>
          </w:p>
        </w:tc>
        <w:tc>
          <w:tcPr>
            <w:tcW w:w="2316" w:type="dxa"/>
            <w:gridSpan w:val="2"/>
            <w:vAlign w:val="bottom"/>
          </w:tcPr>
          <w:p w14:paraId="57F531FF" w14:textId="77777777" w:rsidR="00C86297" w:rsidRPr="001E75FF" w:rsidRDefault="00C86297" w:rsidP="001E75FF">
            <w:pPr>
              <w:keepNext/>
              <w:keepLines/>
              <w:spacing w:before="60" w:after="60"/>
              <w:jc w:val="center"/>
              <w:rPr>
                <w:b/>
              </w:rPr>
            </w:pPr>
            <w:r w:rsidRPr="001E75FF">
              <w:rPr>
                <w:b/>
              </w:rPr>
              <w:t>Mean</w:t>
            </w:r>
          </w:p>
        </w:tc>
        <w:tc>
          <w:tcPr>
            <w:tcW w:w="2316" w:type="dxa"/>
            <w:gridSpan w:val="2"/>
            <w:vAlign w:val="bottom"/>
          </w:tcPr>
          <w:p w14:paraId="748BD7A1" w14:textId="77777777" w:rsidR="00C86297" w:rsidRPr="001E75FF" w:rsidRDefault="00C86297" w:rsidP="001E75FF">
            <w:pPr>
              <w:keepNext/>
              <w:keepLines/>
              <w:spacing w:before="60" w:after="60"/>
              <w:jc w:val="center"/>
              <w:rPr>
                <w:b/>
              </w:rPr>
            </w:pPr>
            <w:r w:rsidRPr="001E75FF">
              <w:rPr>
                <w:b/>
              </w:rPr>
              <w:t>P90</w:t>
            </w:r>
          </w:p>
        </w:tc>
      </w:tr>
      <w:tr w:rsidR="0019075C" w14:paraId="6CF8E5FF" w14:textId="77777777" w:rsidTr="001E75FF">
        <w:tc>
          <w:tcPr>
            <w:tcW w:w="1179" w:type="dxa"/>
            <w:vMerge/>
          </w:tcPr>
          <w:p w14:paraId="20BA4032" w14:textId="77777777" w:rsidR="0019075C" w:rsidRPr="001E75FF" w:rsidRDefault="0019075C" w:rsidP="001E75FF">
            <w:pPr>
              <w:keepNext/>
              <w:keepLines/>
              <w:spacing w:before="60" w:after="60"/>
              <w:rPr>
                <w:b/>
              </w:rPr>
            </w:pPr>
          </w:p>
        </w:tc>
        <w:tc>
          <w:tcPr>
            <w:tcW w:w="1510" w:type="dxa"/>
            <w:vMerge/>
          </w:tcPr>
          <w:p w14:paraId="243D6F2B" w14:textId="77777777" w:rsidR="0019075C" w:rsidRPr="001E75FF" w:rsidRDefault="0019075C" w:rsidP="001E75FF">
            <w:pPr>
              <w:keepNext/>
              <w:keepLines/>
              <w:spacing w:before="60" w:after="60"/>
              <w:rPr>
                <w:b/>
              </w:rPr>
            </w:pPr>
          </w:p>
        </w:tc>
        <w:tc>
          <w:tcPr>
            <w:tcW w:w="1739" w:type="dxa"/>
            <w:vMerge/>
          </w:tcPr>
          <w:p w14:paraId="63DE9684" w14:textId="77777777" w:rsidR="0019075C" w:rsidRPr="001E75FF" w:rsidRDefault="0019075C" w:rsidP="001E75FF">
            <w:pPr>
              <w:keepNext/>
              <w:keepLines/>
              <w:spacing w:before="60" w:after="60"/>
              <w:jc w:val="center"/>
              <w:rPr>
                <w:b/>
              </w:rPr>
            </w:pPr>
          </w:p>
        </w:tc>
        <w:tc>
          <w:tcPr>
            <w:tcW w:w="1085" w:type="dxa"/>
            <w:vAlign w:val="bottom"/>
          </w:tcPr>
          <w:p w14:paraId="6D41343F" w14:textId="0A075247" w:rsidR="0019075C" w:rsidRPr="001E75FF" w:rsidRDefault="0019075C" w:rsidP="001E75FF">
            <w:pPr>
              <w:keepNext/>
              <w:keepLines/>
              <w:spacing w:before="60" w:after="60"/>
              <w:jc w:val="center"/>
              <w:rPr>
                <w:b/>
              </w:rPr>
            </w:pPr>
            <w:r w:rsidRPr="001E75FF">
              <w:rPr>
                <w:b/>
              </w:rPr>
              <w:t xml:space="preserve">Average </w:t>
            </w:r>
            <w:r w:rsidR="00B62DC2" w:rsidRPr="001E75FF">
              <w:rPr>
                <w:b/>
              </w:rPr>
              <w:t xml:space="preserve">residue </w:t>
            </w:r>
            <w:r w:rsidRPr="001E75FF">
              <w:rPr>
                <w:b/>
              </w:rPr>
              <w:t>level</w:t>
            </w:r>
          </w:p>
        </w:tc>
        <w:tc>
          <w:tcPr>
            <w:tcW w:w="1231" w:type="dxa"/>
            <w:vAlign w:val="bottom"/>
          </w:tcPr>
          <w:p w14:paraId="797E3D1C" w14:textId="2E384DE0" w:rsidR="0019075C" w:rsidRPr="001E75FF" w:rsidRDefault="0019075C" w:rsidP="001E75FF">
            <w:pPr>
              <w:keepNext/>
              <w:keepLines/>
              <w:spacing w:before="60" w:after="60"/>
              <w:jc w:val="center"/>
              <w:rPr>
                <w:b/>
              </w:rPr>
            </w:pPr>
            <w:r w:rsidRPr="001E75FF">
              <w:rPr>
                <w:b/>
              </w:rPr>
              <w:t xml:space="preserve">Maximum </w:t>
            </w:r>
            <w:r w:rsidR="00B62DC2" w:rsidRPr="001E75FF">
              <w:rPr>
                <w:b/>
              </w:rPr>
              <w:t xml:space="preserve">residue </w:t>
            </w:r>
            <w:r w:rsidRPr="001E75FF">
              <w:rPr>
                <w:b/>
              </w:rPr>
              <w:t>level</w:t>
            </w:r>
          </w:p>
        </w:tc>
        <w:tc>
          <w:tcPr>
            <w:tcW w:w="1085" w:type="dxa"/>
            <w:vAlign w:val="bottom"/>
          </w:tcPr>
          <w:p w14:paraId="7AFB4E7C" w14:textId="0A0A208F" w:rsidR="0019075C" w:rsidRPr="001E75FF" w:rsidRDefault="0019075C" w:rsidP="001E75FF">
            <w:pPr>
              <w:keepNext/>
              <w:keepLines/>
              <w:spacing w:before="60" w:after="60"/>
              <w:jc w:val="center"/>
              <w:rPr>
                <w:b/>
              </w:rPr>
            </w:pPr>
            <w:r w:rsidRPr="001E75FF">
              <w:rPr>
                <w:b/>
              </w:rPr>
              <w:t xml:space="preserve">Average </w:t>
            </w:r>
            <w:r w:rsidR="00B62DC2" w:rsidRPr="001E75FF">
              <w:rPr>
                <w:b/>
              </w:rPr>
              <w:t xml:space="preserve">residue </w:t>
            </w:r>
            <w:r w:rsidRPr="001E75FF">
              <w:rPr>
                <w:b/>
              </w:rPr>
              <w:t>level</w:t>
            </w:r>
          </w:p>
        </w:tc>
        <w:tc>
          <w:tcPr>
            <w:tcW w:w="1231" w:type="dxa"/>
            <w:vAlign w:val="bottom"/>
          </w:tcPr>
          <w:p w14:paraId="15FED9DE" w14:textId="192A156C" w:rsidR="0019075C" w:rsidRPr="001E75FF" w:rsidRDefault="0019075C" w:rsidP="001E75FF">
            <w:pPr>
              <w:keepNext/>
              <w:keepLines/>
              <w:spacing w:before="60" w:after="60"/>
              <w:jc w:val="center"/>
              <w:rPr>
                <w:b/>
              </w:rPr>
            </w:pPr>
            <w:r w:rsidRPr="001E75FF">
              <w:rPr>
                <w:b/>
              </w:rPr>
              <w:t xml:space="preserve">Maximum </w:t>
            </w:r>
            <w:r w:rsidR="00B62DC2" w:rsidRPr="001E75FF">
              <w:rPr>
                <w:b/>
              </w:rPr>
              <w:t xml:space="preserve">residue </w:t>
            </w:r>
            <w:r w:rsidRPr="001E75FF">
              <w:rPr>
                <w:b/>
              </w:rPr>
              <w:t>level</w:t>
            </w:r>
          </w:p>
        </w:tc>
      </w:tr>
      <w:tr w:rsidR="00E67152" w14:paraId="225D2A9C" w14:textId="77777777" w:rsidTr="001E75FF">
        <w:tc>
          <w:tcPr>
            <w:tcW w:w="1179" w:type="dxa"/>
          </w:tcPr>
          <w:p w14:paraId="239C6B5D" w14:textId="5831EDF8" w:rsidR="00E67152" w:rsidRDefault="00E67152" w:rsidP="001E75FF">
            <w:pPr>
              <w:keepNext/>
              <w:keepLines/>
              <w:spacing w:before="60" w:after="60"/>
            </w:pPr>
            <w:r>
              <w:t>Australia</w:t>
            </w:r>
          </w:p>
        </w:tc>
        <w:tc>
          <w:tcPr>
            <w:tcW w:w="1510" w:type="dxa"/>
          </w:tcPr>
          <w:p w14:paraId="42CF8ED9" w14:textId="77777777" w:rsidR="00E67152" w:rsidRDefault="00E67152" w:rsidP="001E75FF">
            <w:pPr>
              <w:keepNext/>
              <w:keepLines/>
              <w:spacing w:before="60" w:after="60"/>
            </w:pPr>
            <w:r>
              <w:t>2 years and above</w:t>
            </w:r>
            <w:r w:rsidRPr="0015469A">
              <w:rPr>
                <w:rFonts w:cs="Arial"/>
                <w:sz w:val="20"/>
                <w:szCs w:val="20"/>
                <w:vertAlign w:val="superscript"/>
              </w:rPr>
              <w:sym w:font="Wingdings" w:char="F076"/>
            </w:r>
          </w:p>
        </w:tc>
        <w:tc>
          <w:tcPr>
            <w:tcW w:w="1739" w:type="dxa"/>
          </w:tcPr>
          <w:p w14:paraId="2FA80049" w14:textId="247DB87C" w:rsidR="00E67152" w:rsidRDefault="00E67152" w:rsidP="001E75FF">
            <w:pPr>
              <w:keepNext/>
              <w:keepLines/>
              <w:spacing w:before="60" w:after="60"/>
              <w:jc w:val="center"/>
            </w:pPr>
            <w:r>
              <w:rPr>
                <w:rFonts w:cs="Arial"/>
                <w:color w:val="000000"/>
                <w:szCs w:val="22"/>
              </w:rPr>
              <w:t>60.6</w:t>
            </w:r>
          </w:p>
        </w:tc>
        <w:tc>
          <w:tcPr>
            <w:tcW w:w="1085" w:type="dxa"/>
          </w:tcPr>
          <w:p w14:paraId="5B1FC81C" w14:textId="31A1531E" w:rsidR="00E67152" w:rsidRDefault="00E67152" w:rsidP="001E75FF">
            <w:pPr>
              <w:keepNext/>
              <w:keepLines/>
              <w:spacing w:before="60" w:after="60"/>
              <w:jc w:val="center"/>
            </w:pPr>
            <w:r>
              <w:rPr>
                <w:rFonts w:cs="Arial"/>
                <w:color w:val="000000"/>
                <w:szCs w:val="22"/>
              </w:rPr>
              <w:t>0.0025</w:t>
            </w:r>
          </w:p>
        </w:tc>
        <w:tc>
          <w:tcPr>
            <w:tcW w:w="1231" w:type="dxa"/>
          </w:tcPr>
          <w:p w14:paraId="6D4CC0F9" w14:textId="15CC137A" w:rsidR="00E67152" w:rsidRDefault="00E67152" w:rsidP="001E75FF">
            <w:pPr>
              <w:keepNext/>
              <w:keepLines/>
              <w:spacing w:before="60" w:after="60"/>
              <w:jc w:val="center"/>
            </w:pPr>
            <w:r>
              <w:rPr>
                <w:rFonts w:cs="Arial"/>
                <w:color w:val="000000"/>
                <w:szCs w:val="22"/>
              </w:rPr>
              <w:t>0.0027</w:t>
            </w:r>
          </w:p>
        </w:tc>
        <w:tc>
          <w:tcPr>
            <w:tcW w:w="1085" w:type="dxa"/>
          </w:tcPr>
          <w:p w14:paraId="3493F264" w14:textId="056DC3AC" w:rsidR="00E67152" w:rsidRDefault="00E67152" w:rsidP="001E75FF">
            <w:pPr>
              <w:keepNext/>
              <w:keepLines/>
              <w:tabs>
                <w:tab w:val="decimal" w:pos="295"/>
              </w:tabs>
              <w:spacing w:before="60" w:after="60"/>
            </w:pPr>
            <w:r>
              <w:rPr>
                <w:rFonts w:cs="Arial"/>
                <w:color w:val="000000"/>
                <w:szCs w:val="22"/>
              </w:rPr>
              <w:t>0.0057</w:t>
            </w:r>
          </w:p>
        </w:tc>
        <w:tc>
          <w:tcPr>
            <w:tcW w:w="1231" w:type="dxa"/>
          </w:tcPr>
          <w:p w14:paraId="2AC6A964" w14:textId="1AAF7541" w:rsidR="00E67152" w:rsidRDefault="00E67152" w:rsidP="001E75FF">
            <w:pPr>
              <w:keepNext/>
              <w:keepLines/>
              <w:tabs>
                <w:tab w:val="decimal" w:pos="295"/>
              </w:tabs>
              <w:spacing w:before="60" w:after="60"/>
            </w:pPr>
            <w:r>
              <w:rPr>
                <w:rFonts w:cs="Arial"/>
                <w:color w:val="000000"/>
                <w:szCs w:val="22"/>
              </w:rPr>
              <w:t>0.0062</w:t>
            </w:r>
          </w:p>
        </w:tc>
      </w:tr>
      <w:tr w:rsidR="00E67152" w14:paraId="56878C72" w14:textId="77777777" w:rsidTr="001E75FF">
        <w:tc>
          <w:tcPr>
            <w:tcW w:w="1179" w:type="dxa"/>
            <w:vMerge w:val="restart"/>
          </w:tcPr>
          <w:p w14:paraId="6B386EDF" w14:textId="34167A73" w:rsidR="00E67152" w:rsidRDefault="00E67152" w:rsidP="001E75FF">
            <w:pPr>
              <w:keepNext/>
              <w:keepLines/>
              <w:spacing w:before="60" w:after="60"/>
            </w:pPr>
            <w:r>
              <w:t>New Zealand</w:t>
            </w:r>
          </w:p>
        </w:tc>
        <w:tc>
          <w:tcPr>
            <w:tcW w:w="1510" w:type="dxa"/>
          </w:tcPr>
          <w:p w14:paraId="6F0256CC" w14:textId="77777777" w:rsidR="00E67152" w:rsidRDefault="00E67152" w:rsidP="001E75FF">
            <w:pPr>
              <w:keepNext/>
              <w:keepLines/>
              <w:spacing w:before="60" w:after="60"/>
            </w:pPr>
            <w:r>
              <w:t>5-14 years</w:t>
            </w:r>
            <w:r w:rsidRPr="0015469A">
              <w:rPr>
                <w:rFonts w:cs="Arial"/>
                <w:sz w:val="20"/>
                <w:szCs w:val="20"/>
                <w:vertAlign w:val="superscript"/>
              </w:rPr>
              <w:sym w:font="Wingdings 3" w:char="F073"/>
            </w:r>
          </w:p>
        </w:tc>
        <w:tc>
          <w:tcPr>
            <w:tcW w:w="1739" w:type="dxa"/>
          </w:tcPr>
          <w:p w14:paraId="47C8BEA1" w14:textId="44D567A9" w:rsidR="00E67152" w:rsidRDefault="00521868" w:rsidP="001E75FF">
            <w:pPr>
              <w:keepNext/>
              <w:keepLines/>
              <w:spacing w:before="60" w:after="60"/>
              <w:jc w:val="center"/>
            </w:pPr>
            <w:r>
              <w:rPr>
                <w:rFonts w:cs="Arial"/>
                <w:color w:val="000000"/>
                <w:szCs w:val="22"/>
              </w:rPr>
              <w:t>41.4</w:t>
            </w:r>
          </w:p>
        </w:tc>
        <w:tc>
          <w:tcPr>
            <w:tcW w:w="1085" w:type="dxa"/>
          </w:tcPr>
          <w:p w14:paraId="7B45FD54" w14:textId="0D788815" w:rsidR="00E67152" w:rsidRDefault="00061460" w:rsidP="001E75FF">
            <w:pPr>
              <w:keepNext/>
              <w:keepLines/>
              <w:spacing w:before="60" w:after="60"/>
              <w:jc w:val="center"/>
            </w:pPr>
            <w:r>
              <w:rPr>
                <w:rFonts w:cs="Arial"/>
                <w:color w:val="000000"/>
                <w:szCs w:val="22"/>
              </w:rPr>
              <w:t>0.0048</w:t>
            </w:r>
          </w:p>
        </w:tc>
        <w:tc>
          <w:tcPr>
            <w:tcW w:w="1231" w:type="dxa"/>
          </w:tcPr>
          <w:p w14:paraId="47146D5C" w14:textId="64513F38" w:rsidR="00E67152" w:rsidRDefault="00061460" w:rsidP="001E75FF">
            <w:pPr>
              <w:keepNext/>
              <w:keepLines/>
              <w:spacing w:before="60" w:after="60"/>
              <w:jc w:val="center"/>
            </w:pPr>
            <w:r>
              <w:rPr>
                <w:rFonts w:cs="Arial"/>
                <w:color w:val="000000"/>
                <w:szCs w:val="22"/>
              </w:rPr>
              <w:t>0.0052</w:t>
            </w:r>
          </w:p>
        </w:tc>
        <w:tc>
          <w:tcPr>
            <w:tcW w:w="1085" w:type="dxa"/>
          </w:tcPr>
          <w:p w14:paraId="75B44759" w14:textId="635184FB" w:rsidR="00E67152" w:rsidRDefault="00E67152" w:rsidP="001E75FF">
            <w:pPr>
              <w:keepNext/>
              <w:keepLines/>
              <w:tabs>
                <w:tab w:val="decimal" w:pos="295"/>
              </w:tabs>
              <w:spacing w:before="60" w:after="60"/>
            </w:pPr>
            <w:r>
              <w:rPr>
                <w:rFonts w:cs="Arial"/>
                <w:color w:val="000000"/>
                <w:szCs w:val="22"/>
              </w:rPr>
              <w:t>0.01</w:t>
            </w:r>
            <w:r w:rsidR="00061460">
              <w:rPr>
                <w:rFonts w:cs="Arial"/>
                <w:color w:val="000000"/>
                <w:szCs w:val="22"/>
              </w:rPr>
              <w:t>3</w:t>
            </w:r>
          </w:p>
        </w:tc>
        <w:tc>
          <w:tcPr>
            <w:tcW w:w="1231" w:type="dxa"/>
          </w:tcPr>
          <w:p w14:paraId="202214E0" w14:textId="7FAAC31C" w:rsidR="00E67152" w:rsidRDefault="00061460" w:rsidP="001E75FF">
            <w:pPr>
              <w:keepNext/>
              <w:keepLines/>
              <w:tabs>
                <w:tab w:val="decimal" w:pos="295"/>
              </w:tabs>
              <w:spacing w:before="60" w:after="60"/>
            </w:pPr>
            <w:r>
              <w:rPr>
                <w:rFonts w:cs="Arial"/>
                <w:color w:val="000000"/>
                <w:szCs w:val="22"/>
              </w:rPr>
              <w:t>0.014</w:t>
            </w:r>
          </w:p>
        </w:tc>
      </w:tr>
      <w:tr w:rsidR="00E67152" w14:paraId="3FF7BBB1" w14:textId="77777777" w:rsidTr="001E75FF">
        <w:tc>
          <w:tcPr>
            <w:tcW w:w="1179" w:type="dxa"/>
            <w:vMerge/>
          </w:tcPr>
          <w:p w14:paraId="2923DEA9" w14:textId="2778D1EF" w:rsidR="00E67152" w:rsidRDefault="00E67152" w:rsidP="001E75FF">
            <w:pPr>
              <w:keepNext/>
              <w:keepLines/>
              <w:spacing w:before="60" w:after="60"/>
            </w:pPr>
          </w:p>
        </w:tc>
        <w:tc>
          <w:tcPr>
            <w:tcW w:w="1510" w:type="dxa"/>
          </w:tcPr>
          <w:p w14:paraId="6021CCCA" w14:textId="77777777" w:rsidR="00E67152" w:rsidRDefault="00E67152" w:rsidP="001E75FF">
            <w:pPr>
              <w:keepNext/>
              <w:keepLines/>
              <w:spacing w:before="60" w:after="60"/>
            </w:pPr>
            <w:r>
              <w:t>15 years and above</w:t>
            </w:r>
            <w:r w:rsidRPr="0015469A">
              <w:rPr>
                <w:rFonts w:cs="Arial"/>
                <w:sz w:val="20"/>
                <w:szCs w:val="20"/>
                <w:vertAlign w:val="superscript"/>
              </w:rPr>
              <w:sym w:font="Wingdings 3" w:char="F073"/>
            </w:r>
          </w:p>
        </w:tc>
        <w:tc>
          <w:tcPr>
            <w:tcW w:w="1739" w:type="dxa"/>
          </w:tcPr>
          <w:p w14:paraId="0BBA4198" w14:textId="0DA560C2" w:rsidR="00E67152" w:rsidRDefault="00521868" w:rsidP="001E75FF">
            <w:pPr>
              <w:keepNext/>
              <w:keepLines/>
              <w:spacing w:before="60" w:after="60"/>
              <w:jc w:val="center"/>
            </w:pPr>
            <w:r>
              <w:rPr>
                <w:rFonts w:cs="Arial"/>
                <w:color w:val="000000"/>
                <w:szCs w:val="22"/>
              </w:rPr>
              <w:t>39.6</w:t>
            </w:r>
          </w:p>
        </w:tc>
        <w:tc>
          <w:tcPr>
            <w:tcW w:w="1085" w:type="dxa"/>
          </w:tcPr>
          <w:p w14:paraId="03732064" w14:textId="5D22B236" w:rsidR="00E67152" w:rsidRDefault="00061460" w:rsidP="001E75FF">
            <w:pPr>
              <w:keepNext/>
              <w:keepLines/>
              <w:spacing w:before="60" w:after="60"/>
              <w:jc w:val="center"/>
            </w:pPr>
            <w:r>
              <w:rPr>
                <w:rFonts w:cs="Arial"/>
                <w:color w:val="000000"/>
                <w:szCs w:val="22"/>
              </w:rPr>
              <w:t>0.0033</w:t>
            </w:r>
          </w:p>
        </w:tc>
        <w:tc>
          <w:tcPr>
            <w:tcW w:w="1231" w:type="dxa"/>
          </w:tcPr>
          <w:p w14:paraId="72AE4A55" w14:textId="27441AAB" w:rsidR="00E67152" w:rsidRDefault="00061460" w:rsidP="001E75FF">
            <w:pPr>
              <w:keepNext/>
              <w:keepLines/>
              <w:spacing w:before="60" w:after="60"/>
              <w:jc w:val="center"/>
            </w:pPr>
            <w:r>
              <w:rPr>
                <w:rFonts w:cs="Arial"/>
                <w:color w:val="000000"/>
                <w:szCs w:val="22"/>
              </w:rPr>
              <w:t>0.0036</w:t>
            </w:r>
          </w:p>
        </w:tc>
        <w:tc>
          <w:tcPr>
            <w:tcW w:w="1085" w:type="dxa"/>
          </w:tcPr>
          <w:p w14:paraId="23668CF3" w14:textId="29437F41" w:rsidR="00E67152" w:rsidRDefault="00061460" w:rsidP="001E75FF">
            <w:pPr>
              <w:keepNext/>
              <w:keepLines/>
              <w:tabs>
                <w:tab w:val="decimal" w:pos="295"/>
              </w:tabs>
              <w:spacing w:before="60" w:after="60"/>
            </w:pPr>
            <w:r>
              <w:rPr>
                <w:rFonts w:cs="Arial"/>
                <w:color w:val="000000"/>
                <w:szCs w:val="22"/>
              </w:rPr>
              <w:t>0.0083</w:t>
            </w:r>
          </w:p>
        </w:tc>
        <w:tc>
          <w:tcPr>
            <w:tcW w:w="1231" w:type="dxa"/>
          </w:tcPr>
          <w:p w14:paraId="303A19AC" w14:textId="4F99EEFE" w:rsidR="00E67152" w:rsidRDefault="00061460" w:rsidP="001E75FF">
            <w:pPr>
              <w:keepNext/>
              <w:keepLines/>
              <w:tabs>
                <w:tab w:val="decimal" w:pos="295"/>
              </w:tabs>
              <w:spacing w:before="60" w:after="60"/>
            </w:pPr>
            <w:r>
              <w:rPr>
                <w:rFonts w:cs="Arial"/>
                <w:color w:val="000000"/>
                <w:szCs w:val="22"/>
              </w:rPr>
              <w:t>0.009</w:t>
            </w:r>
            <w:r w:rsidR="00B2414B">
              <w:rPr>
                <w:rFonts w:cs="Arial"/>
                <w:color w:val="000000"/>
                <w:szCs w:val="22"/>
              </w:rPr>
              <w:t>0</w:t>
            </w:r>
          </w:p>
        </w:tc>
      </w:tr>
    </w:tbl>
    <w:p w14:paraId="2246668C" w14:textId="40585205" w:rsidR="00202B57" w:rsidRPr="001F7442" w:rsidRDefault="00202B57" w:rsidP="001E75FF">
      <w:pPr>
        <w:keepNext/>
        <w:keepLines/>
        <w:ind w:left="567" w:hanging="567"/>
        <w:rPr>
          <w:sz w:val="16"/>
          <w:szCs w:val="16"/>
        </w:rPr>
      </w:pPr>
      <w:r w:rsidRPr="001F7442">
        <w:rPr>
          <w:rFonts w:cs="Arial"/>
          <w:sz w:val="16"/>
          <w:szCs w:val="16"/>
        </w:rPr>
        <w:sym w:font="Wingdings" w:char="F074"/>
      </w:r>
      <w:r w:rsidRPr="001F7442">
        <w:rPr>
          <w:sz w:val="16"/>
          <w:szCs w:val="16"/>
        </w:rPr>
        <w:tab/>
      </w:r>
      <w:r w:rsidRPr="005575D5">
        <w:rPr>
          <w:sz w:val="16"/>
          <w:szCs w:val="16"/>
        </w:rPr>
        <w:t>Consumers as a % of total respondents</w:t>
      </w:r>
      <w:r>
        <w:rPr>
          <w:sz w:val="16"/>
          <w:szCs w:val="16"/>
        </w:rPr>
        <w:t xml:space="preserve">. A consumer is a </w:t>
      </w:r>
      <w:r w:rsidRPr="005575D5">
        <w:rPr>
          <w:sz w:val="16"/>
          <w:szCs w:val="16"/>
        </w:rPr>
        <w:t xml:space="preserve">respondent in the </w:t>
      </w:r>
      <w:r>
        <w:rPr>
          <w:sz w:val="16"/>
          <w:szCs w:val="16"/>
        </w:rPr>
        <w:t>national nutrition survey</w:t>
      </w:r>
      <w:r w:rsidRPr="005575D5">
        <w:rPr>
          <w:sz w:val="16"/>
          <w:szCs w:val="16"/>
        </w:rPr>
        <w:t xml:space="preserve"> who</w:t>
      </w:r>
      <w:r>
        <w:rPr>
          <w:sz w:val="16"/>
          <w:szCs w:val="16"/>
        </w:rPr>
        <w:t xml:space="preserve"> consumes a food containing CPC. A respondent is anyone in a national nutrition survey, irrespective of whether they consume a food that contains CPC or not</w:t>
      </w:r>
      <w:r w:rsidR="00B21B2C">
        <w:rPr>
          <w:sz w:val="16"/>
          <w:szCs w:val="16"/>
        </w:rPr>
        <w:t>.</w:t>
      </w:r>
      <w:r w:rsidR="000242C8">
        <w:rPr>
          <w:sz w:val="16"/>
          <w:szCs w:val="16"/>
        </w:rPr>
        <w:t xml:space="preserve"> Number of respondents: Australia 2+ = </w:t>
      </w:r>
      <w:r w:rsidR="00551A68">
        <w:rPr>
          <w:sz w:val="16"/>
          <w:szCs w:val="16"/>
        </w:rPr>
        <w:t>7735</w:t>
      </w:r>
      <w:r w:rsidR="000242C8">
        <w:rPr>
          <w:sz w:val="16"/>
          <w:szCs w:val="16"/>
        </w:rPr>
        <w:t xml:space="preserve">, New Zealand 5-14 years = </w:t>
      </w:r>
      <w:r w:rsidR="002C5E1A">
        <w:rPr>
          <w:sz w:val="16"/>
          <w:szCs w:val="16"/>
        </w:rPr>
        <w:t>3275</w:t>
      </w:r>
      <w:r w:rsidR="000242C8">
        <w:rPr>
          <w:sz w:val="16"/>
          <w:szCs w:val="16"/>
        </w:rPr>
        <w:t xml:space="preserve"> and 15+ = </w:t>
      </w:r>
      <w:r w:rsidR="002C5E1A">
        <w:rPr>
          <w:sz w:val="16"/>
          <w:szCs w:val="16"/>
        </w:rPr>
        <w:t>4721</w:t>
      </w:r>
      <w:r w:rsidR="000242C8">
        <w:rPr>
          <w:sz w:val="16"/>
          <w:szCs w:val="16"/>
        </w:rPr>
        <w:t>.</w:t>
      </w:r>
    </w:p>
    <w:p w14:paraId="01D8CAE0" w14:textId="643C5D49" w:rsidR="00202B57" w:rsidRPr="001F034B" w:rsidRDefault="00202B57" w:rsidP="001E75FF">
      <w:pPr>
        <w:keepNext/>
        <w:keepLines/>
        <w:rPr>
          <w:sz w:val="16"/>
          <w:szCs w:val="16"/>
        </w:rPr>
      </w:pPr>
      <w:r w:rsidRPr="001F034B">
        <w:rPr>
          <w:sz w:val="16"/>
          <w:szCs w:val="16"/>
        </w:rPr>
        <w:sym w:font="Wingdings" w:char="F076"/>
      </w:r>
      <w:r w:rsidRPr="001F034B">
        <w:rPr>
          <w:sz w:val="16"/>
          <w:szCs w:val="16"/>
        </w:rPr>
        <w:tab/>
        <w:t xml:space="preserve">Based on </w:t>
      </w:r>
      <w:r>
        <w:rPr>
          <w:sz w:val="16"/>
          <w:szCs w:val="16"/>
        </w:rPr>
        <w:t>consumption data from Day 1 and 2</w:t>
      </w:r>
      <w:r w:rsidR="00B21B2C">
        <w:rPr>
          <w:sz w:val="16"/>
          <w:szCs w:val="16"/>
        </w:rPr>
        <w:t>.</w:t>
      </w:r>
    </w:p>
    <w:p w14:paraId="74EBA7D2" w14:textId="6DEB6BBF" w:rsidR="00202B57" w:rsidRPr="00E009E2" w:rsidRDefault="00202B57" w:rsidP="001E75FF">
      <w:pPr>
        <w:keepNext/>
        <w:keepLines/>
        <w:rPr>
          <w:highlight w:val="yellow"/>
        </w:rPr>
      </w:pPr>
      <w:r w:rsidRPr="001F034B">
        <w:rPr>
          <w:sz w:val="16"/>
          <w:szCs w:val="16"/>
        </w:rPr>
        <w:sym w:font="Wingdings 3" w:char="F073"/>
      </w:r>
      <w:r w:rsidRPr="001F034B">
        <w:rPr>
          <w:sz w:val="16"/>
          <w:szCs w:val="16"/>
        </w:rPr>
        <w:tab/>
        <w:t>Based on</w:t>
      </w:r>
      <w:r>
        <w:rPr>
          <w:sz w:val="16"/>
          <w:szCs w:val="16"/>
        </w:rPr>
        <w:t xml:space="preserve"> consumption data from</w:t>
      </w:r>
      <w:r w:rsidRPr="001F034B">
        <w:rPr>
          <w:sz w:val="16"/>
          <w:szCs w:val="16"/>
        </w:rPr>
        <w:t xml:space="preserve"> Day 1 respondents only</w:t>
      </w:r>
      <w:r w:rsidR="00B21B2C">
        <w:rPr>
          <w:sz w:val="16"/>
          <w:szCs w:val="16"/>
        </w:rPr>
        <w:t>.</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3D3622D7" w14:textId="32CBC446" w:rsidR="00C8000E" w:rsidRDefault="00C8000E" w:rsidP="008D2698">
      <w:pPr>
        <w:rPr>
          <w:lang w:bidi="ar-SA"/>
        </w:rPr>
      </w:pPr>
    </w:p>
    <w:p w14:paraId="4080AE5D" w14:textId="122087F4" w:rsidR="00990251" w:rsidRPr="00E67BD3" w:rsidRDefault="0081797C" w:rsidP="0081797C">
      <w:pPr>
        <w:pStyle w:val="Heading3"/>
      </w:pPr>
      <w:bookmarkStart w:id="300" w:name="_Toc62657944"/>
      <w:bookmarkStart w:id="301" w:name="_Toc62738994"/>
      <w:bookmarkStart w:id="302" w:name="_Toc62743580"/>
      <w:bookmarkStart w:id="303" w:name="_Toc63330884"/>
      <w:bookmarkStart w:id="304" w:name="_Toc92722939"/>
      <w:bookmarkStart w:id="305" w:name="_Toc93592329"/>
      <w:bookmarkStart w:id="306" w:name="_Toc93585340"/>
      <w:bookmarkStart w:id="307" w:name="_Toc97041635"/>
      <w:r>
        <w:lastRenderedPageBreak/>
        <w:t>4</w:t>
      </w:r>
      <w:r w:rsidR="00144782" w:rsidRPr="00E67BD3">
        <w:t>.2.2</w:t>
      </w:r>
      <w:r w:rsidR="00144782" w:rsidRPr="00E67BD3">
        <w:tab/>
      </w:r>
      <w:r w:rsidR="00C8000E" w:rsidRPr="00E67BD3">
        <w:t>Propylene Glycol</w:t>
      </w:r>
      <w:bookmarkEnd w:id="300"/>
      <w:bookmarkEnd w:id="301"/>
      <w:bookmarkEnd w:id="302"/>
      <w:bookmarkEnd w:id="303"/>
      <w:bookmarkEnd w:id="304"/>
      <w:bookmarkEnd w:id="305"/>
      <w:bookmarkEnd w:id="306"/>
      <w:bookmarkEnd w:id="307"/>
    </w:p>
    <w:p w14:paraId="0FB60CDD" w14:textId="6A79F1C9" w:rsidR="00233C0E" w:rsidRPr="006F32C3" w:rsidRDefault="001E1035" w:rsidP="00E84075">
      <w:r w:rsidRPr="006F32C3">
        <w:rPr>
          <w:lang w:eastAsia="en-AU" w:bidi="ar-SA"/>
        </w:rPr>
        <w:t>It is estimated that o</w:t>
      </w:r>
      <w:r w:rsidR="00990251" w:rsidRPr="006F32C3">
        <w:rPr>
          <w:lang w:eastAsia="en-AU" w:bidi="ar-SA"/>
        </w:rPr>
        <w:t xml:space="preserve">ver </w:t>
      </w:r>
      <w:r w:rsidR="00521868" w:rsidRPr="006F32C3">
        <w:rPr>
          <w:lang w:eastAsia="en-AU" w:bidi="ar-SA"/>
        </w:rPr>
        <w:t>40</w:t>
      </w:r>
      <w:r w:rsidR="00990251" w:rsidRPr="006F32C3">
        <w:rPr>
          <w:lang w:eastAsia="en-AU" w:bidi="ar-SA"/>
        </w:rPr>
        <w:t xml:space="preserve">% of the </w:t>
      </w:r>
      <w:r w:rsidRPr="006F32C3">
        <w:rPr>
          <w:lang w:eastAsia="en-AU" w:bidi="ar-SA"/>
        </w:rPr>
        <w:t xml:space="preserve">Australian </w:t>
      </w:r>
      <w:r w:rsidR="00990251" w:rsidRPr="006F32C3">
        <w:rPr>
          <w:lang w:eastAsia="en-AU" w:bidi="ar-SA"/>
        </w:rPr>
        <w:t xml:space="preserve">and </w:t>
      </w:r>
      <w:r w:rsidRPr="006F32C3">
        <w:rPr>
          <w:lang w:eastAsia="en-AU" w:bidi="ar-SA"/>
        </w:rPr>
        <w:t xml:space="preserve">New Zealand </w:t>
      </w:r>
      <w:r w:rsidR="00990251" w:rsidRPr="006F32C3">
        <w:rPr>
          <w:lang w:eastAsia="en-AU" w:bidi="ar-SA"/>
        </w:rPr>
        <w:t xml:space="preserve">populations </w:t>
      </w:r>
      <w:r w:rsidRPr="006F32C3">
        <w:rPr>
          <w:lang w:eastAsia="en-AU" w:bidi="ar-SA"/>
        </w:rPr>
        <w:t>would</w:t>
      </w:r>
      <w:r w:rsidR="00990251" w:rsidRPr="006F32C3">
        <w:rPr>
          <w:lang w:eastAsia="en-AU" w:bidi="ar-SA"/>
        </w:rPr>
        <w:t xml:space="preserve"> be exposed to propylene glycol through consumption of poultry</w:t>
      </w:r>
      <w:r w:rsidR="002F3DAE" w:rsidRPr="006F32C3">
        <w:rPr>
          <w:lang w:eastAsia="en-AU" w:bidi="ar-SA"/>
        </w:rPr>
        <w:t>, resulting</w:t>
      </w:r>
      <w:r w:rsidR="00E84075" w:rsidRPr="006F32C3">
        <w:rPr>
          <w:lang w:eastAsia="en-AU" w:bidi="ar-SA"/>
        </w:rPr>
        <w:t xml:space="preserve"> from </w:t>
      </w:r>
      <w:r w:rsidR="002F3DAE" w:rsidRPr="006F32C3">
        <w:rPr>
          <w:lang w:eastAsia="en-AU" w:bidi="ar-SA"/>
        </w:rPr>
        <w:t xml:space="preserve">use of </w:t>
      </w:r>
      <w:r w:rsidRPr="006F32C3">
        <w:rPr>
          <w:lang w:eastAsia="en-AU" w:bidi="ar-SA"/>
        </w:rPr>
        <w:t xml:space="preserve">the </w:t>
      </w:r>
      <w:r w:rsidR="00361C65">
        <w:t>applicant’s CPC preparation</w:t>
      </w:r>
      <w:r w:rsidR="00990251" w:rsidRPr="006F32C3">
        <w:rPr>
          <w:lang w:eastAsia="en-AU" w:bidi="ar-SA"/>
        </w:rPr>
        <w:t>.</w:t>
      </w:r>
      <w:r w:rsidR="006F32C3" w:rsidRPr="006F32C3">
        <w:rPr>
          <w:lang w:eastAsia="en-AU" w:bidi="ar-SA"/>
        </w:rPr>
        <w:t xml:space="preserve"> More specifically 61% of Australians aged 2 years and above, 41% of New Zealand children 5-14 years and 40% of New Zealanders 15 years and above.</w:t>
      </w:r>
    </w:p>
    <w:p w14:paraId="24810E10" w14:textId="55C73887" w:rsidR="00F644E3" w:rsidRDefault="00F644E3" w:rsidP="00E84075"/>
    <w:p w14:paraId="72C5E099" w14:textId="61D032AE" w:rsidR="00F644E3" w:rsidRDefault="006F32C3" w:rsidP="00F644E3">
      <w:pPr>
        <w:rPr>
          <w:highlight w:val="cyan"/>
          <w:lang w:eastAsia="en-AU" w:bidi="ar-SA"/>
        </w:rPr>
      </w:pPr>
      <w:r>
        <w:t>A</w:t>
      </w:r>
      <w:r w:rsidRPr="006F32C3">
        <w:rPr>
          <w:lang w:eastAsia="en-AU"/>
        </w:rPr>
        <w:t xml:space="preserve">cross the three population groups assessed </w:t>
      </w:r>
      <w:r>
        <w:rPr>
          <w:lang w:eastAsia="en-AU"/>
        </w:rPr>
        <w:t>t</w:t>
      </w:r>
      <w:r w:rsidRPr="006F32C3">
        <w:rPr>
          <w:lang w:eastAsia="en-AU"/>
        </w:rPr>
        <w:t xml:space="preserve">he estimated mean consumer dietary exposures to propylene glycol from </w:t>
      </w:r>
      <w:r w:rsidR="00845AD2">
        <w:rPr>
          <w:lang w:eastAsia="en-AU"/>
        </w:rPr>
        <w:t xml:space="preserve">the </w:t>
      </w:r>
      <w:r w:rsidR="00361C65">
        <w:t xml:space="preserve">CPC preparation </w:t>
      </w:r>
      <w:r w:rsidR="009100A0">
        <w:rPr>
          <w:lang w:eastAsia="en-AU"/>
        </w:rPr>
        <w:t xml:space="preserve">only </w:t>
      </w:r>
      <w:r w:rsidRPr="006F32C3">
        <w:rPr>
          <w:lang w:eastAsia="en-AU"/>
        </w:rPr>
        <w:t xml:space="preserve">ranged between 0.013 and </w:t>
      </w:r>
      <w:r>
        <w:rPr>
          <w:lang w:eastAsia="en-AU"/>
        </w:rPr>
        <w:t>0.022 mg/kg bw/day, and P90 dietary exposures ranged between 0.028 and 0.049 mg/kg bw/day.</w:t>
      </w:r>
      <w:r>
        <w:t xml:space="preserve"> </w:t>
      </w:r>
    </w:p>
    <w:p w14:paraId="10E026B4" w14:textId="2BFBBD31" w:rsidR="004074F1" w:rsidRDefault="004074F1" w:rsidP="00F644E3">
      <w:pPr>
        <w:rPr>
          <w:highlight w:val="cyan"/>
          <w:lang w:eastAsia="en-AU" w:bidi="ar-SA"/>
        </w:rPr>
      </w:pPr>
    </w:p>
    <w:p w14:paraId="03E1C56F" w14:textId="38B658B0" w:rsidR="009100A0" w:rsidRDefault="009100A0" w:rsidP="009100A0">
      <w:pPr>
        <w:rPr>
          <w:lang w:eastAsia="en-AU" w:bidi="ar-SA"/>
        </w:rPr>
      </w:pPr>
      <w:r w:rsidRPr="002442E9">
        <w:rPr>
          <w:lang w:bidi="ar-SA"/>
        </w:rPr>
        <w:t>When</w:t>
      </w:r>
      <w:r>
        <w:rPr>
          <w:lang w:bidi="ar-SA"/>
        </w:rPr>
        <w:t xml:space="preserve"> current (</w:t>
      </w:r>
      <w:r w:rsidRPr="002442E9">
        <w:rPr>
          <w:lang w:bidi="ar-SA"/>
        </w:rPr>
        <w:t>baseline</w:t>
      </w:r>
      <w:r>
        <w:rPr>
          <w:lang w:bidi="ar-SA"/>
        </w:rPr>
        <w:t>)</w:t>
      </w:r>
      <w:r w:rsidRPr="002442E9">
        <w:rPr>
          <w:lang w:bidi="ar-SA"/>
        </w:rPr>
        <w:t xml:space="preserve"> uses of propylene glycol were included in t</w:t>
      </w:r>
      <w:r>
        <w:rPr>
          <w:lang w:bidi="ar-SA"/>
        </w:rPr>
        <w:t xml:space="preserve">he dietary exposure assessment in combination with </w:t>
      </w:r>
      <w:r w:rsidR="00845AD2">
        <w:rPr>
          <w:lang w:bidi="ar-SA"/>
        </w:rPr>
        <w:t>use of</w:t>
      </w:r>
      <w:r>
        <w:rPr>
          <w:lang w:bidi="ar-SA"/>
        </w:rPr>
        <w:t xml:space="preserve"> the</w:t>
      </w:r>
      <w:r w:rsidRPr="002442E9">
        <w:rPr>
          <w:lang w:bidi="ar-SA"/>
        </w:rPr>
        <w:t xml:space="preserve"> </w:t>
      </w:r>
      <w:r w:rsidR="00361C65">
        <w:t>applicant’s CPC preparation</w:t>
      </w:r>
      <w:r>
        <w:rPr>
          <w:lang w:bidi="ar-SA"/>
        </w:rPr>
        <w:t xml:space="preserve">, estimated dietary exposures </w:t>
      </w:r>
      <w:r w:rsidRPr="002442E9">
        <w:rPr>
          <w:lang w:bidi="ar-SA"/>
        </w:rPr>
        <w:t xml:space="preserve">ranged </w:t>
      </w:r>
      <w:r>
        <w:rPr>
          <w:lang w:bidi="ar-SA"/>
        </w:rPr>
        <w:t>between</w:t>
      </w:r>
      <w:r w:rsidRPr="002442E9">
        <w:rPr>
          <w:lang w:bidi="ar-SA"/>
        </w:rPr>
        <w:t xml:space="preserve"> </w:t>
      </w:r>
      <w:r w:rsidRPr="00B606CC">
        <w:rPr>
          <w:lang w:bidi="ar-SA"/>
        </w:rPr>
        <w:t>&lt;1 and 13 mg</w:t>
      </w:r>
      <w:r>
        <w:rPr>
          <w:lang w:bidi="ar-SA"/>
        </w:rPr>
        <w:t xml:space="preserve">/kg bw/day at the mean </w:t>
      </w:r>
      <w:r w:rsidRPr="002442E9">
        <w:rPr>
          <w:lang w:bidi="ar-SA"/>
        </w:rPr>
        <w:t xml:space="preserve">for </w:t>
      </w:r>
      <w:r>
        <w:rPr>
          <w:lang w:bidi="ar-SA"/>
        </w:rPr>
        <w:t>all population groups assessed</w:t>
      </w:r>
      <w:r w:rsidRPr="002442E9">
        <w:rPr>
          <w:lang w:bidi="ar-SA"/>
        </w:rPr>
        <w:t xml:space="preserve">. </w:t>
      </w:r>
      <w:r>
        <w:rPr>
          <w:lang w:bidi="ar-SA"/>
        </w:rPr>
        <w:t xml:space="preserve">At the P90 exposures ranged between </w:t>
      </w:r>
      <w:r w:rsidR="00B47D17">
        <w:rPr>
          <w:lang w:bidi="ar-SA"/>
        </w:rPr>
        <w:t>&lt;</w:t>
      </w:r>
      <w:r w:rsidRPr="00B606CC">
        <w:rPr>
          <w:lang w:bidi="ar-SA"/>
        </w:rPr>
        <w:t>1 and 27</w:t>
      </w:r>
      <w:r>
        <w:rPr>
          <w:lang w:bidi="ar-SA"/>
        </w:rPr>
        <w:t xml:space="preserve"> mg/kg bw/day across all population groups assessed. </w:t>
      </w:r>
      <w:r w:rsidR="0063056F">
        <w:rPr>
          <w:lang w:eastAsia="en-AU" w:bidi="ar-SA"/>
        </w:rPr>
        <w:t xml:space="preserve">Further details are shown in </w:t>
      </w:r>
      <w:r w:rsidR="0063056F">
        <w:rPr>
          <w:lang w:eastAsia="en-AU" w:bidi="ar-SA"/>
        </w:rPr>
        <w:fldChar w:fldCharType="begin"/>
      </w:r>
      <w:r w:rsidR="0063056F">
        <w:rPr>
          <w:lang w:eastAsia="en-AU" w:bidi="ar-SA"/>
        </w:rPr>
        <w:instrText xml:space="preserve"> REF _Ref92725254 \h </w:instrText>
      </w:r>
      <w:r w:rsidR="0063056F">
        <w:rPr>
          <w:lang w:eastAsia="en-AU" w:bidi="ar-SA"/>
        </w:rPr>
      </w:r>
      <w:r w:rsidR="0063056F">
        <w:rPr>
          <w:lang w:eastAsia="en-AU" w:bidi="ar-SA"/>
        </w:rPr>
        <w:fldChar w:fldCharType="separate"/>
      </w:r>
      <w:r w:rsidR="00A65698">
        <w:t xml:space="preserve">Table </w:t>
      </w:r>
      <w:r w:rsidR="00A65698">
        <w:rPr>
          <w:noProof/>
        </w:rPr>
        <w:t>7</w:t>
      </w:r>
      <w:r w:rsidR="0063056F">
        <w:rPr>
          <w:lang w:eastAsia="en-AU" w:bidi="ar-SA"/>
        </w:rPr>
        <w:fldChar w:fldCharType="end"/>
      </w:r>
      <w:r>
        <w:rPr>
          <w:lang w:eastAsia="en-AU" w:bidi="ar-SA"/>
        </w:rPr>
        <w:t>.</w:t>
      </w:r>
    </w:p>
    <w:p w14:paraId="29BC1A8D" w14:textId="77777777" w:rsidR="009100A0" w:rsidRPr="006F32C3" w:rsidRDefault="009100A0" w:rsidP="00F644E3">
      <w:pPr>
        <w:rPr>
          <w:lang w:eastAsia="en-AU" w:bidi="ar-SA"/>
        </w:rPr>
      </w:pPr>
    </w:p>
    <w:p w14:paraId="41422784" w14:textId="4D8B13BF" w:rsidR="00406EB7" w:rsidRDefault="00406EB7" w:rsidP="003855CD">
      <w:pPr>
        <w:pStyle w:val="FSTableTitle"/>
        <w:keepNext/>
        <w:keepLines/>
      </w:pPr>
      <w:bookmarkStart w:id="308" w:name="_Toc20921765"/>
      <w:bookmarkStart w:id="309" w:name="_Toc41314187"/>
      <w:bookmarkStart w:id="310" w:name="_Ref92715380"/>
      <w:bookmarkStart w:id="311" w:name="_Ref92725254"/>
      <w:bookmarkStart w:id="312" w:name="_Toc62657945"/>
      <w:bookmarkStart w:id="313" w:name="_Toc62738995"/>
      <w:bookmarkStart w:id="314" w:name="_Toc62743581"/>
      <w:bookmarkStart w:id="315" w:name="_Toc63330885"/>
      <w:bookmarkStart w:id="316" w:name="_Toc41314188"/>
      <w:bookmarkEnd w:id="308"/>
      <w:bookmarkEnd w:id="309"/>
      <w:r>
        <w:t xml:space="preserve">Table </w:t>
      </w:r>
      <w:fldSimple w:instr=" SEQ Table \* ARABIC ">
        <w:r w:rsidR="00A65698">
          <w:rPr>
            <w:noProof/>
          </w:rPr>
          <w:t>7</w:t>
        </w:r>
      </w:fldSimple>
      <w:bookmarkEnd w:id="310"/>
      <w:bookmarkEnd w:id="311"/>
      <w:r>
        <w:t xml:space="preserve"> </w:t>
      </w:r>
      <w:r w:rsidRPr="00161BB2">
        <w:t xml:space="preserve">Estimated mean and P90 dietary exposures to propylene glycol from existing permissions (baseline) and </w:t>
      </w:r>
      <w:r w:rsidR="00361C65">
        <w:t xml:space="preserve">the applicant’s CPC preparation </w:t>
      </w:r>
      <w:r w:rsidRPr="00161BB2">
        <w:t>combined, for Australian and New Zealand consumers, expressed in mg/kg bw/day</w:t>
      </w:r>
    </w:p>
    <w:tbl>
      <w:tblPr>
        <w:tblStyle w:val="TableGrid"/>
        <w:tblW w:w="5161" w:type="pct"/>
        <w:tblLook w:val="04A0" w:firstRow="1" w:lastRow="0" w:firstColumn="1" w:lastColumn="0" w:noHBand="0" w:noVBand="1"/>
        <w:tblCaption w:val="Table 12 Estimated mean and P90 dietary exposures to propylene glycol from existing permissions (baseline) and poultry wash uses combined, for Australian and New Zealand consumers, expressed in mg/kg bw/day"/>
        <w:tblDescription w:val="Estimated mean and P90 dietary exposures to propylene glycol from existing permissions (baseline) and poultry wash uses combined, for Australian and New Zealand consumers,"/>
      </w:tblPr>
      <w:tblGrid>
        <w:gridCol w:w="1271"/>
        <w:gridCol w:w="1560"/>
        <w:gridCol w:w="1276"/>
        <w:gridCol w:w="1971"/>
        <w:gridCol w:w="1637"/>
        <w:gridCol w:w="1637"/>
      </w:tblGrid>
      <w:tr w:rsidR="00F23B1E" w:rsidRPr="006F32C3" w14:paraId="3881653A" w14:textId="77777777" w:rsidTr="001E75FF">
        <w:trPr>
          <w:trHeight w:val="585"/>
        </w:trPr>
        <w:tc>
          <w:tcPr>
            <w:tcW w:w="680" w:type="pct"/>
            <w:vMerge w:val="restart"/>
            <w:vAlign w:val="bottom"/>
            <w:hideMark/>
          </w:tcPr>
          <w:p w14:paraId="045CAEBF" w14:textId="6FECB203" w:rsidR="00F23B1E" w:rsidRPr="001E75FF" w:rsidRDefault="00F23B1E" w:rsidP="001E75FF">
            <w:pPr>
              <w:keepNext/>
              <w:keepLines/>
              <w:spacing w:before="60" w:after="60"/>
              <w:rPr>
                <w:b/>
              </w:rPr>
            </w:pPr>
            <w:r w:rsidRPr="001E75FF">
              <w:rPr>
                <w:b/>
              </w:rPr>
              <w:t>Country</w:t>
            </w:r>
          </w:p>
        </w:tc>
        <w:tc>
          <w:tcPr>
            <w:tcW w:w="834" w:type="pct"/>
            <w:vMerge w:val="restart"/>
            <w:vAlign w:val="bottom"/>
            <w:hideMark/>
          </w:tcPr>
          <w:p w14:paraId="72A87F0B" w14:textId="77777777" w:rsidR="00F23B1E" w:rsidRPr="001E75FF" w:rsidRDefault="00F23B1E" w:rsidP="001E75FF">
            <w:pPr>
              <w:keepNext/>
              <w:keepLines/>
              <w:spacing w:before="60" w:after="60"/>
              <w:rPr>
                <w:b/>
              </w:rPr>
            </w:pPr>
            <w:r w:rsidRPr="001E75FF">
              <w:rPr>
                <w:b/>
              </w:rPr>
              <w:t>Population Group</w:t>
            </w:r>
          </w:p>
        </w:tc>
        <w:tc>
          <w:tcPr>
            <w:tcW w:w="682" w:type="pct"/>
            <w:vMerge w:val="restart"/>
            <w:vAlign w:val="bottom"/>
          </w:tcPr>
          <w:p w14:paraId="60C19E47" w14:textId="6A599924" w:rsidR="00F23B1E" w:rsidRPr="001E75FF" w:rsidRDefault="00F23B1E" w:rsidP="001E75FF">
            <w:pPr>
              <w:keepNext/>
              <w:keepLines/>
              <w:spacing w:before="60" w:after="60"/>
              <w:rPr>
                <w:b/>
              </w:rPr>
            </w:pPr>
            <w:r w:rsidRPr="001E75FF">
              <w:rPr>
                <w:b/>
              </w:rPr>
              <w:t>Scenario</w:t>
            </w:r>
          </w:p>
        </w:tc>
        <w:tc>
          <w:tcPr>
            <w:tcW w:w="1054" w:type="pct"/>
            <w:vMerge w:val="restart"/>
            <w:vAlign w:val="bottom"/>
            <w:hideMark/>
          </w:tcPr>
          <w:p w14:paraId="7925D89C" w14:textId="77777777" w:rsidR="00B174BD" w:rsidRPr="001E75FF" w:rsidRDefault="00F23B1E" w:rsidP="001E75FF">
            <w:pPr>
              <w:keepNext/>
              <w:keepLines/>
              <w:spacing w:before="60" w:after="60"/>
              <w:rPr>
                <w:b/>
              </w:rPr>
            </w:pPr>
            <w:r w:rsidRPr="001E75FF">
              <w:rPr>
                <w:b/>
              </w:rPr>
              <w:t xml:space="preserve">Proportion consumers to respondents </w:t>
            </w:r>
            <w:r w:rsidR="00B174BD" w:rsidRPr="001E75FF">
              <w:rPr>
                <w:b/>
              </w:rPr>
              <w:t>(Min-Max concentration scenario)</w:t>
            </w:r>
          </w:p>
          <w:p w14:paraId="451EC8E6" w14:textId="0205C919" w:rsidR="00F23B1E" w:rsidRPr="001E75FF" w:rsidRDefault="00F23B1E" w:rsidP="001E75FF">
            <w:pPr>
              <w:keepNext/>
              <w:keepLines/>
              <w:spacing w:before="60" w:after="60"/>
              <w:rPr>
                <w:b/>
              </w:rPr>
            </w:pPr>
            <w:r w:rsidRPr="001E75FF">
              <w:rPr>
                <w:b/>
              </w:rPr>
              <w:t>(%)</w:t>
            </w:r>
            <w:r w:rsidRPr="001E75FF">
              <w:rPr>
                <w:rFonts w:cs="Arial"/>
                <w:b/>
                <w:sz w:val="16"/>
                <w:szCs w:val="16"/>
              </w:rPr>
              <w:sym w:font="Wingdings" w:char="F074"/>
            </w:r>
          </w:p>
        </w:tc>
        <w:tc>
          <w:tcPr>
            <w:tcW w:w="1750" w:type="pct"/>
            <w:gridSpan w:val="2"/>
            <w:hideMark/>
          </w:tcPr>
          <w:p w14:paraId="4A853B86" w14:textId="74361586" w:rsidR="005C3FB5" w:rsidRPr="001E75FF" w:rsidRDefault="00F23B1E" w:rsidP="003855CD">
            <w:pPr>
              <w:keepNext/>
              <w:keepLines/>
              <w:spacing w:before="60" w:after="60"/>
              <w:jc w:val="center"/>
              <w:rPr>
                <w:b/>
              </w:rPr>
            </w:pPr>
            <w:r w:rsidRPr="001E75FF">
              <w:rPr>
                <w:b/>
              </w:rPr>
              <w:t>Estimated consumer dietary exp</w:t>
            </w:r>
            <w:r w:rsidR="001E75FF">
              <w:rPr>
                <w:b/>
              </w:rPr>
              <w:t>osure to propylene glycol</w:t>
            </w:r>
          </w:p>
          <w:p w14:paraId="43014258" w14:textId="77777777" w:rsidR="00B174BD" w:rsidRPr="001E75FF" w:rsidRDefault="00B174BD" w:rsidP="003855CD">
            <w:pPr>
              <w:keepNext/>
              <w:keepLines/>
              <w:spacing w:before="60" w:after="60"/>
              <w:jc w:val="center"/>
              <w:rPr>
                <w:b/>
              </w:rPr>
            </w:pPr>
            <w:r w:rsidRPr="001E75FF">
              <w:rPr>
                <w:b/>
              </w:rPr>
              <w:t>(Min-Max concentration scenario)</w:t>
            </w:r>
          </w:p>
          <w:p w14:paraId="490DFBCB" w14:textId="5EE43888" w:rsidR="00F23B1E" w:rsidRPr="001E75FF" w:rsidRDefault="00F23B1E" w:rsidP="003855CD">
            <w:pPr>
              <w:keepNext/>
              <w:keepLines/>
              <w:spacing w:before="60" w:after="60"/>
              <w:jc w:val="center"/>
              <w:rPr>
                <w:b/>
              </w:rPr>
            </w:pPr>
            <w:r w:rsidRPr="001E75FF">
              <w:rPr>
                <w:b/>
              </w:rPr>
              <w:t>(mg/k</w:t>
            </w:r>
            <w:r w:rsidR="005335BF" w:rsidRPr="001E75FF">
              <w:rPr>
                <w:b/>
              </w:rPr>
              <w:t>g</w:t>
            </w:r>
            <w:r w:rsidRPr="001E75FF">
              <w:rPr>
                <w:b/>
              </w:rPr>
              <w:t xml:space="preserve"> bw/day)</w:t>
            </w:r>
          </w:p>
        </w:tc>
      </w:tr>
      <w:tr w:rsidR="00F23B1E" w:rsidRPr="006F32C3" w14:paraId="69816B4E" w14:textId="77777777" w:rsidTr="001E75FF">
        <w:trPr>
          <w:trHeight w:val="300"/>
        </w:trPr>
        <w:tc>
          <w:tcPr>
            <w:tcW w:w="680" w:type="pct"/>
            <w:vMerge/>
            <w:hideMark/>
          </w:tcPr>
          <w:p w14:paraId="57152AAD" w14:textId="24EEE82E" w:rsidR="00F23B1E" w:rsidRPr="006F32C3" w:rsidRDefault="00F23B1E" w:rsidP="003855CD">
            <w:pPr>
              <w:keepNext/>
              <w:keepLines/>
              <w:spacing w:before="60" w:after="60"/>
            </w:pPr>
          </w:p>
        </w:tc>
        <w:tc>
          <w:tcPr>
            <w:tcW w:w="834" w:type="pct"/>
            <w:vMerge/>
            <w:hideMark/>
          </w:tcPr>
          <w:p w14:paraId="6213090F" w14:textId="77777777" w:rsidR="00F23B1E" w:rsidRPr="006F32C3" w:rsidRDefault="00F23B1E" w:rsidP="003855CD">
            <w:pPr>
              <w:keepNext/>
              <w:keepLines/>
              <w:spacing w:before="60" w:after="60"/>
              <w:rPr>
                <w:color w:val="FFFFFF" w:themeColor="background1"/>
              </w:rPr>
            </w:pPr>
          </w:p>
        </w:tc>
        <w:tc>
          <w:tcPr>
            <w:tcW w:w="682" w:type="pct"/>
            <w:vMerge/>
          </w:tcPr>
          <w:p w14:paraId="1D3946FC" w14:textId="39B78B83" w:rsidR="00F23B1E" w:rsidRPr="006F32C3" w:rsidRDefault="00F23B1E" w:rsidP="003855CD">
            <w:pPr>
              <w:keepNext/>
              <w:keepLines/>
              <w:spacing w:before="60" w:after="60"/>
              <w:jc w:val="center"/>
              <w:rPr>
                <w:b/>
                <w:color w:val="FFFFFF" w:themeColor="background1"/>
              </w:rPr>
            </w:pPr>
          </w:p>
        </w:tc>
        <w:tc>
          <w:tcPr>
            <w:tcW w:w="1054" w:type="pct"/>
            <w:vMerge/>
            <w:hideMark/>
          </w:tcPr>
          <w:p w14:paraId="0F4F78F7" w14:textId="127E957B" w:rsidR="00F23B1E" w:rsidRPr="006F32C3" w:rsidRDefault="00F23B1E" w:rsidP="003855CD">
            <w:pPr>
              <w:keepNext/>
              <w:keepLines/>
              <w:spacing w:before="60" w:after="60"/>
              <w:jc w:val="center"/>
              <w:rPr>
                <w:b/>
                <w:color w:val="FFFFFF" w:themeColor="background1"/>
              </w:rPr>
            </w:pPr>
          </w:p>
        </w:tc>
        <w:tc>
          <w:tcPr>
            <w:tcW w:w="875" w:type="pct"/>
            <w:hideMark/>
          </w:tcPr>
          <w:p w14:paraId="76E06083" w14:textId="77777777" w:rsidR="00F23B1E" w:rsidRPr="001E75FF" w:rsidRDefault="00F23B1E" w:rsidP="003855CD">
            <w:pPr>
              <w:keepNext/>
              <w:keepLines/>
              <w:spacing w:before="60" w:after="60"/>
              <w:jc w:val="center"/>
              <w:rPr>
                <w:b/>
              </w:rPr>
            </w:pPr>
            <w:r w:rsidRPr="001E75FF">
              <w:rPr>
                <w:b/>
              </w:rPr>
              <w:t>Mean</w:t>
            </w:r>
          </w:p>
        </w:tc>
        <w:tc>
          <w:tcPr>
            <w:tcW w:w="875" w:type="pct"/>
            <w:hideMark/>
          </w:tcPr>
          <w:p w14:paraId="18E3780E" w14:textId="77777777" w:rsidR="00F23B1E" w:rsidRPr="001E75FF" w:rsidRDefault="00F23B1E" w:rsidP="003855CD">
            <w:pPr>
              <w:keepNext/>
              <w:keepLines/>
              <w:spacing w:before="60" w:after="60"/>
              <w:jc w:val="center"/>
              <w:rPr>
                <w:b/>
              </w:rPr>
            </w:pPr>
            <w:r w:rsidRPr="001E75FF">
              <w:rPr>
                <w:b/>
              </w:rPr>
              <w:t>P90</w:t>
            </w:r>
          </w:p>
        </w:tc>
      </w:tr>
      <w:tr w:rsidR="00F23B1E" w:rsidRPr="006F32C3" w14:paraId="279A59B9" w14:textId="77777777" w:rsidTr="001E75FF">
        <w:trPr>
          <w:trHeight w:val="300"/>
        </w:trPr>
        <w:tc>
          <w:tcPr>
            <w:tcW w:w="680" w:type="pct"/>
            <w:vMerge w:val="restart"/>
          </w:tcPr>
          <w:p w14:paraId="796E209A" w14:textId="1DF101FC" w:rsidR="00F23B1E" w:rsidRPr="00F23B1E" w:rsidRDefault="00F23B1E" w:rsidP="003855CD">
            <w:pPr>
              <w:keepNext/>
              <w:keepLines/>
              <w:widowControl/>
              <w:rPr>
                <w:rFonts w:cs="Arial"/>
                <w:b/>
                <w:bCs/>
                <w:color w:val="000000"/>
                <w:szCs w:val="22"/>
                <w:lang w:eastAsia="en-GB" w:bidi="ar-SA"/>
              </w:rPr>
            </w:pPr>
            <w:r w:rsidRPr="006F32C3">
              <w:t>Australia</w:t>
            </w:r>
          </w:p>
        </w:tc>
        <w:tc>
          <w:tcPr>
            <w:tcW w:w="834" w:type="pct"/>
            <w:vMerge w:val="restart"/>
          </w:tcPr>
          <w:p w14:paraId="10E5A624" w14:textId="53FA6884" w:rsidR="00F23B1E" w:rsidRPr="006F32C3" w:rsidRDefault="00F23B1E" w:rsidP="003855CD">
            <w:pPr>
              <w:keepNext/>
              <w:keepLines/>
              <w:widowControl/>
              <w:rPr>
                <w:rFonts w:cs="Arial"/>
                <w:color w:val="000000"/>
                <w:szCs w:val="22"/>
                <w:lang w:eastAsia="en-GB" w:bidi="ar-SA"/>
              </w:rPr>
            </w:pPr>
            <w:r w:rsidRPr="006F32C3">
              <w:rPr>
                <w:rFonts w:cs="Arial"/>
                <w:color w:val="000000"/>
                <w:szCs w:val="22"/>
                <w:lang w:eastAsia="en-GB" w:bidi="ar-SA"/>
              </w:rPr>
              <w:t>2 years and above</w:t>
            </w:r>
            <w:r w:rsidRPr="006F32C3">
              <w:rPr>
                <w:rFonts w:ascii="Wingdings" w:hAnsi="Wingdings" w:cs="Arial"/>
                <w:color w:val="000000"/>
                <w:sz w:val="20"/>
                <w:szCs w:val="20"/>
                <w:vertAlign w:val="superscript"/>
                <w:lang w:eastAsia="en-GB" w:bidi="ar-SA"/>
              </w:rPr>
              <w:t></w:t>
            </w:r>
          </w:p>
        </w:tc>
        <w:tc>
          <w:tcPr>
            <w:tcW w:w="682" w:type="pct"/>
          </w:tcPr>
          <w:p w14:paraId="29C48A11" w14:textId="1BD50449" w:rsidR="00F23B1E" w:rsidRDefault="00F23B1E" w:rsidP="003855CD">
            <w:pPr>
              <w:keepNext/>
              <w:keepLines/>
              <w:widowControl/>
              <w:rPr>
                <w:rFonts w:cs="Arial"/>
                <w:color w:val="000000"/>
                <w:szCs w:val="22"/>
                <w:lang w:eastAsia="en-GB" w:bidi="ar-SA"/>
              </w:rPr>
            </w:pPr>
            <w:r>
              <w:rPr>
                <w:rFonts w:cs="Arial"/>
                <w:color w:val="000000"/>
                <w:szCs w:val="22"/>
                <w:lang w:eastAsia="en-GB" w:bidi="ar-SA"/>
              </w:rPr>
              <w:t>ANZ</w:t>
            </w:r>
          </w:p>
        </w:tc>
        <w:tc>
          <w:tcPr>
            <w:tcW w:w="1054" w:type="pct"/>
          </w:tcPr>
          <w:p w14:paraId="55235FA9" w14:textId="556A0FCB" w:rsidR="00F23B1E" w:rsidRPr="00F23B1E" w:rsidRDefault="00F23B1E" w:rsidP="003855CD">
            <w:pPr>
              <w:keepNext/>
              <w:keepLines/>
              <w:widowControl/>
              <w:jc w:val="center"/>
            </w:pPr>
            <w:r>
              <w:rPr>
                <w:rFonts w:cs="Arial"/>
                <w:color w:val="000000"/>
                <w:szCs w:val="22"/>
                <w:lang w:eastAsia="en-GB" w:bidi="ar-SA"/>
              </w:rPr>
              <w:t>94-95</w:t>
            </w:r>
          </w:p>
        </w:tc>
        <w:tc>
          <w:tcPr>
            <w:tcW w:w="875" w:type="pct"/>
          </w:tcPr>
          <w:p w14:paraId="4919B328" w14:textId="30A42C22" w:rsidR="00F23B1E" w:rsidRPr="006F32C3" w:rsidRDefault="00B606CC" w:rsidP="003855CD">
            <w:pPr>
              <w:keepNext/>
              <w:keepLines/>
              <w:widowControl/>
              <w:jc w:val="center"/>
              <w:rPr>
                <w:rFonts w:cs="Arial"/>
                <w:color w:val="000000"/>
                <w:szCs w:val="22"/>
                <w:lang w:eastAsia="en-GB" w:bidi="ar-SA"/>
              </w:rPr>
            </w:pPr>
            <w:r>
              <w:rPr>
                <w:rFonts w:cs="Arial"/>
                <w:color w:val="000000"/>
                <w:szCs w:val="22"/>
                <w:lang w:eastAsia="en-GB" w:bidi="ar-SA"/>
              </w:rPr>
              <w:t>1-6</w:t>
            </w:r>
          </w:p>
        </w:tc>
        <w:tc>
          <w:tcPr>
            <w:tcW w:w="875" w:type="pct"/>
          </w:tcPr>
          <w:p w14:paraId="79FADA6C" w14:textId="319154AA" w:rsidR="00F23B1E" w:rsidRPr="006F32C3" w:rsidRDefault="00B606CC" w:rsidP="003855CD">
            <w:pPr>
              <w:keepNext/>
              <w:keepLines/>
              <w:widowControl/>
              <w:jc w:val="center"/>
              <w:rPr>
                <w:rFonts w:cs="Arial"/>
                <w:color w:val="000000"/>
                <w:szCs w:val="22"/>
                <w:lang w:eastAsia="en-GB" w:bidi="ar-SA"/>
              </w:rPr>
            </w:pPr>
            <w:r>
              <w:rPr>
                <w:rFonts w:cs="Arial"/>
                <w:color w:val="000000"/>
                <w:szCs w:val="22"/>
                <w:lang w:eastAsia="en-GB" w:bidi="ar-SA"/>
              </w:rPr>
              <w:t>1-14</w:t>
            </w:r>
          </w:p>
        </w:tc>
      </w:tr>
      <w:tr w:rsidR="00F23B1E" w:rsidRPr="006F32C3" w14:paraId="3FF8E789" w14:textId="77777777" w:rsidTr="001E75FF">
        <w:trPr>
          <w:trHeight w:val="300"/>
        </w:trPr>
        <w:tc>
          <w:tcPr>
            <w:tcW w:w="680" w:type="pct"/>
            <w:vMerge/>
          </w:tcPr>
          <w:p w14:paraId="1F7DA055" w14:textId="2D1F16C6" w:rsidR="00F23B1E" w:rsidRPr="006F32C3" w:rsidRDefault="00F23B1E" w:rsidP="003855CD">
            <w:pPr>
              <w:keepNext/>
              <w:keepLines/>
              <w:widowControl/>
            </w:pPr>
          </w:p>
        </w:tc>
        <w:tc>
          <w:tcPr>
            <w:tcW w:w="834" w:type="pct"/>
            <w:vMerge/>
          </w:tcPr>
          <w:p w14:paraId="317CA14A" w14:textId="77777777" w:rsidR="00F23B1E" w:rsidRPr="006F32C3" w:rsidRDefault="00F23B1E" w:rsidP="003855CD">
            <w:pPr>
              <w:keepNext/>
              <w:keepLines/>
              <w:widowControl/>
              <w:rPr>
                <w:rFonts w:cs="Arial"/>
                <w:color w:val="000000"/>
                <w:szCs w:val="22"/>
                <w:lang w:eastAsia="en-GB" w:bidi="ar-SA"/>
              </w:rPr>
            </w:pPr>
          </w:p>
        </w:tc>
        <w:tc>
          <w:tcPr>
            <w:tcW w:w="682" w:type="pct"/>
          </w:tcPr>
          <w:p w14:paraId="511F1823" w14:textId="2F9CBFC8" w:rsidR="00F23B1E" w:rsidRDefault="00F23B1E" w:rsidP="003855CD">
            <w:pPr>
              <w:keepNext/>
              <w:keepLines/>
              <w:widowControl/>
              <w:rPr>
                <w:rFonts w:cs="Arial"/>
                <w:color w:val="000000"/>
                <w:szCs w:val="22"/>
                <w:lang w:eastAsia="en-GB" w:bidi="ar-SA"/>
              </w:rPr>
            </w:pPr>
            <w:r>
              <w:rPr>
                <w:rFonts w:cs="Arial"/>
                <w:color w:val="000000"/>
                <w:szCs w:val="22"/>
                <w:lang w:eastAsia="en-GB" w:bidi="ar-SA"/>
              </w:rPr>
              <w:t>ANZ+Int</w:t>
            </w:r>
          </w:p>
        </w:tc>
        <w:tc>
          <w:tcPr>
            <w:tcW w:w="1054" w:type="pct"/>
          </w:tcPr>
          <w:p w14:paraId="15446781" w14:textId="2E138FE1" w:rsidR="00F23B1E" w:rsidRDefault="00F23B1E" w:rsidP="003855CD">
            <w:pPr>
              <w:keepNext/>
              <w:keepLines/>
              <w:widowControl/>
              <w:jc w:val="center"/>
              <w:rPr>
                <w:rFonts w:cs="Arial"/>
                <w:color w:val="000000"/>
                <w:szCs w:val="22"/>
                <w:lang w:eastAsia="en-GB" w:bidi="ar-SA"/>
              </w:rPr>
            </w:pPr>
            <w:r>
              <w:rPr>
                <w:rFonts w:cs="Arial"/>
                <w:color w:val="000000"/>
                <w:szCs w:val="22"/>
                <w:lang w:eastAsia="en-GB" w:bidi="ar-SA"/>
              </w:rPr>
              <w:t>99</w:t>
            </w:r>
            <w:r w:rsidR="00A31E5B">
              <w:rPr>
                <w:rFonts w:cs="Arial"/>
                <w:color w:val="000000"/>
                <w:szCs w:val="22"/>
                <w:lang w:eastAsia="en-GB" w:bidi="ar-SA"/>
              </w:rPr>
              <w:t>-99</w:t>
            </w:r>
          </w:p>
        </w:tc>
        <w:tc>
          <w:tcPr>
            <w:tcW w:w="875" w:type="pct"/>
          </w:tcPr>
          <w:p w14:paraId="7C438E9C" w14:textId="3D76F050" w:rsidR="00F23B1E" w:rsidRPr="006F32C3" w:rsidRDefault="00B606CC" w:rsidP="003855CD">
            <w:pPr>
              <w:keepNext/>
              <w:keepLines/>
              <w:widowControl/>
              <w:jc w:val="center"/>
              <w:rPr>
                <w:rFonts w:cs="Arial"/>
                <w:color w:val="000000"/>
                <w:szCs w:val="22"/>
                <w:lang w:eastAsia="en-GB" w:bidi="ar-SA"/>
              </w:rPr>
            </w:pPr>
            <w:r>
              <w:rPr>
                <w:rFonts w:cs="Arial"/>
                <w:color w:val="000000"/>
                <w:szCs w:val="22"/>
                <w:lang w:eastAsia="en-GB" w:bidi="ar-SA"/>
              </w:rPr>
              <w:t>1-7</w:t>
            </w:r>
          </w:p>
        </w:tc>
        <w:tc>
          <w:tcPr>
            <w:tcW w:w="875" w:type="pct"/>
          </w:tcPr>
          <w:p w14:paraId="46C2F334" w14:textId="672B9E2E" w:rsidR="00F23B1E" w:rsidRDefault="00B606CC" w:rsidP="003855CD">
            <w:pPr>
              <w:keepNext/>
              <w:keepLines/>
              <w:widowControl/>
              <w:jc w:val="center"/>
              <w:rPr>
                <w:rFonts w:cs="Arial"/>
                <w:color w:val="000000"/>
                <w:szCs w:val="22"/>
                <w:lang w:eastAsia="en-GB" w:bidi="ar-SA"/>
              </w:rPr>
            </w:pPr>
            <w:r>
              <w:rPr>
                <w:rFonts w:cs="Arial"/>
                <w:color w:val="000000"/>
                <w:szCs w:val="22"/>
                <w:lang w:eastAsia="en-GB" w:bidi="ar-SA"/>
              </w:rPr>
              <w:t>2-15</w:t>
            </w:r>
          </w:p>
        </w:tc>
      </w:tr>
      <w:tr w:rsidR="00F23B1E" w:rsidRPr="006F32C3" w14:paraId="19F7E243" w14:textId="77777777" w:rsidTr="001E75FF">
        <w:trPr>
          <w:trHeight w:val="300"/>
        </w:trPr>
        <w:tc>
          <w:tcPr>
            <w:tcW w:w="680" w:type="pct"/>
            <w:vMerge w:val="restart"/>
          </w:tcPr>
          <w:p w14:paraId="5D46D757" w14:textId="577D2452" w:rsidR="00F23B1E" w:rsidRPr="00F23B1E" w:rsidRDefault="00F23B1E" w:rsidP="003855CD">
            <w:pPr>
              <w:keepNext/>
              <w:keepLines/>
              <w:widowControl/>
              <w:rPr>
                <w:rFonts w:cs="Arial"/>
                <w:b/>
                <w:bCs/>
                <w:color w:val="000000"/>
                <w:szCs w:val="22"/>
                <w:lang w:eastAsia="en-GB" w:bidi="ar-SA"/>
              </w:rPr>
            </w:pPr>
            <w:r w:rsidRPr="006F32C3">
              <w:t>New Zealand</w:t>
            </w:r>
          </w:p>
        </w:tc>
        <w:tc>
          <w:tcPr>
            <w:tcW w:w="834" w:type="pct"/>
            <w:vMerge w:val="restart"/>
          </w:tcPr>
          <w:p w14:paraId="01C00019" w14:textId="48886BE4" w:rsidR="00F23B1E" w:rsidRPr="006F32C3" w:rsidRDefault="00F23B1E" w:rsidP="003855CD">
            <w:pPr>
              <w:keepNext/>
              <w:keepLines/>
              <w:widowControl/>
              <w:rPr>
                <w:rFonts w:cs="Arial"/>
                <w:color w:val="000000"/>
                <w:szCs w:val="22"/>
                <w:lang w:eastAsia="en-GB" w:bidi="ar-SA"/>
              </w:rPr>
            </w:pPr>
            <w:r w:rsidRPr="006F32C3">
              <w:rPr>
                <w:rFonts w:cs="Arial"/>
                <w:color w:val="000000"/>
                <w:szCs w:val="22"/>
                <w:lang w:eastAsia="en-GB" w:bidi="ar-SA"/>
              </w:rPr>
              <w:t>5-14 years</w:t>
            </w:r>
            <w:r w:rsidRPr="006F32C3">
              <w:rPr>
                <w:rFonts w:ascii="Wingdings 3" w:hAnsi="Wingdings 3" w:cs="Arial"/>
                <w:color w:val="000000"/>
                <w:sz w:val="20"/>
                <w:szCs w:val="20"/>
                <w:vertAlign w:val="superscript"/>
                <w:lang w:eastAsia="en-GB" w:bidi="ar-SA"/>
              </w:rPr>
              <w:t></w:t>
            </w:r>
          </w:p>
        </w:tc>
        <w:tc>
          <w:tcPr>
            <w:tcW w:w="682" w:type="pct"/>
          </w:tcPr>
          <w:p w14:paraId="6B2EEA2B" w14:textId="646CD705" w:rsidR="00F23B1E" w:rsidRDefault="00F23B1E" w:rsidP="003855CD">
            <w:pPr>
              <w:keepNext/>
              <w:keepLines/>
              <w:widowControl/>
              <w:rPr>
                <w:rFonts w:cs="Arial"/>
                <w:color w:val="000000"/>
                <w:szCs w:val="22"/>
                <w:lang w:eastAsia="en-GB" w:bidi="ar-SA"/>
              </w:rPr>
            </w:pPr>
            <w:r>
              <w:rPr>
                <w:rFonts w:cs="Arial"/>
                <w:color w:val="000000"/>
                <w:szCs w:val="22"/>
                <w:lang w:eastAsia="en-GB" w:bidi="ar-SA"/>
              </w:rPr>
              <w:t>ANZ</w:t>
            </w:r>
          </w:p>
        </w:tc>
        <w:tc>
          <w:tcPr>
            <w:tcW w:w="1054" w:type="pct"/>
          </w:tcPr>
          <w:p w14:paraId="3DD06A3E" w14:textId="007D6BE9" w:rsidR="00F23B1E" w:rsidRPr="006F32C3" w:rsidRDefault="00F23B1E" w:rsidP="003855CD">
            <w:pPr>
              <w:keepNext/>
              <w:keepLines/>
              <w:widowControl/>
              <w:jc w:val="center"/>
              <w:rPr>
                <w:rFonts w:cs="Arial"/>
                <w:color w:val="000000"/>
                <w:szCs w:val="22"/>
                <w:lang w:eastAsia="en-GB" w:bidi="ar-SA"/>
              </w:rPr>
            </w:pPr>
            <w:r>
              <w:rPr>
                <w:rFonts w:cs="Arial"/>
                <w:color w:val="000000"/>
                <w:szCs w:val="22"/>
                <w:lang w:eastAsia="en-GB" w:bidi="ar-SA"/>
              </w:rPr>
              <w:t>85-8</w:t>
            </w:r>
            <w:r w:rsidR="00A31E5B">
              <w:rPr>
                <w:rFonts w:cs="Arial"/>
                <w:color w:val="000000"/>
                <w:szCs w:val="22"/>
                <w:lang w:eastAsia="en-GB" w:bidi="ar-SA"/>
              </w:rPr>
              <w:t>8</w:t>
            </w:r>
          </w:p>
        </w:tc>
        <w:tc>
          <w:tcPr>
            <w:tcW w:w="875" w:type="pct"/>
          </w:tcPr>
          <w:p w14:paraId="7F8897FA" w14:textId="059565AD" w:rsidR="00F23B1E" w:rsidRPr="006F32C3" w:rsidRDefault="00A31E5B" w:rsidP="003855CD">
            <w:pPr>
              <w:keepNext/>
              <w:keepLines/>
              <w:widowControl/>
              <w:jc w:val="center"/>
              <w:rPr>
                <w:rFonts w:cs="Arial"/>
                <w:color w:val="000000"/>
                <w:szCs w:val="22"/>
                <w:lang w:eastAsia="en-GB" w:bidi="ar-SA"/>
              </w:rPr>
            </w:pPr>
            <w:r>
              <w:rPr>
                <w:rFonts w:cs="Arial"/>
                <w:color w:val="000000"/>
                <w:szCs w:val="22"/>
                <w:lang w:eastAsia="en-GB" w:bidi="ar-SA"/>
              </w:rPr>
              <w:t>&lt;1-10</w:t>
            </w:r>
          </w:p>
        </w:tc>
        <w:tc>
          <w:tcPr>
            <w:tcW w:w="875" w:type="pct"/>
          </w:tcPr>
          <w:p w14:paraId="363B3F4B" w14:textId="2B749B3F" w:rsidR="00F23B1E" w:rsidRPr="006F32C3" w:rsidRDefault="00A31E5B" w:rsidP="00B606CC">
            <w:pPr>
              <w:keepNext/>
              <w:keepLines/>
              <w:widowControl/>
              <w:jc w:val="center"/>
              <w:rPr>
                <w:rFonts w:cs="Arial"/>
                <w:color w:val="000000"/>
                <w:szCs w:val="22"/>
                <w:lang w:eastAsia="en-GB" w:bidi="ar-SA"/>
              </w:rPr>
            </w:pPr>
            <w:r>
              <w:rPr>
                <w:rFonts w:cs="Arial"/>
                <w:color w:val="000000"/>
                <w:szCs w:val="22"/>
                <w:lang w:eastAsia="en-GB" w:bidi="ar-SA"/>
              </w:rPr>
              <w:t>1-2</w:t>
            </w:r>
            <w:r w:rsidR="00B606CC">
              <w:rPr>
                <w:rFonts w:cs="Arial"/>
                <w:color w:val="000000"/>
                <w:szCs w:val="22"/>
                <w:lang w:eastAsia="en-GB" w:bidi="ar-SA"/>
              </w:rPr>
              <w:t>2</w:t>
            </w:r>
          </w:p>
        </w:tc>
      </w:tr>
      <w:tr w:rsidR="00F23B1E" w:rsidRPr="006F32C3" w14:paraId="4F294827" w14:textId="77777777" w:rsidTr="001E75FF">
        <w:trPr>
          <w:trHeight w:val="300"/>
        </w:trPr>
        <w:tc>
          <w:tcPr>
            <w:tcW w:w="680" w:type="pct"/>
            <w:vMerge/>
          </w:tcPr>
          <w:p w14:paraId="1E19C6C6" w14:textId="10D1ECC1" w:rsidR="00F23B1E" w:rsidRPr="006F32C3" w:rsidRDefault="00F23B1E" w:rsidP="003855CD">
            <w:pPr>
              <w:keepNext/>
              <w:keepLines/>
            </w:pPr>
          </w:p>
        </w:tc>
        <w:tc>
          <w:tcPr>
            <w:tcW w:w="834" w:type="pct"/>
            <w:vMerge/>
          </w:tcPr>
          <w:p w14:paraId="5DEB49A8" w14:textId="77777777" w:rsidR="00F23B1E" w:rsidRPr="006F32C3" w:rsidRDefault="00F23B1E" w:rsidP="003855CD">
            <w:pPr>
              <w:keepNext/>
              <w:keepLines/>
              <w:widowControl/>
              <w:rPr>
                <w:rFonts w:cs="Arial"/>
                <w:color w:val="000000"/>
                <w:szCs w:val="22"/>
                <w:lang w:eastAsia="en-GB" w:bidi="ar-SA"/>
              </w:rPr>
            </w:pPr>
          </w:p>
        </w:tc>
        <w:tc>
          <w:tcPr>
            <w:tcW w:w="682" w:type="pct"/>
          </w:tcPr>
          <w:p w14:paraId="094E8358" w14:textId="3E81D600" w:rsidR="00F23B1E" w:rsidRDefault="00F23B1E" w:rsidP="003855CD">
            <w:pPr>
              <w:keepNext/>
              <w:keepLines/>
              <w:widowControl/>
              <w:rPr>
                <w:rFonts w:cs="Arial"/>
                <w:color w:val="000000"/>
                <w:szCs w:val="22"/>
                <w:lang w:eastAsia="en-GB" w:bidi="ar-SA"/>
              </w:rPr>
            </w:pPr>
            <w:r>
              <w:rPr>
                <w:rFonts w:cs="Arial"/>
                <w:color w:val="000000"/>
                <w:szCs w:val="22"/>
                <w:lang w:eastAsia="en-GB" w:bidi="ar-SA"/>
              </w:rPr>
              <w:t>ANZ+Int</w:t>
            </w:r>
          </w:p>
        </w:tc>
        <w:tc>
          <w:tcPr>
            <w:tcW w:w="1054" w:type="pct"/>
          </w:tcPr>
          <w:p w14:paraId="2675A6EC" w14:textId="2D9525D9" w:rsidR="00F23B1E" w:rsidRDefault="00F23B1E" w:rsidP="003855CD">
            <w:pPr>
              <w:keepNext/>
              <w:keepLines/>
              <w:widowControl/>
              <w:jc w:val="center"/>
              <w:rPr>
                <w:rFonts w:cs="Arial"/>
                <w:color w:val="000000"/>
                <w:szCs w:val="22"/>
                <w:lang w:eastAsia="en-GB" w:bidi="ar-SA"/>
              </w:rPr>
            </w:pPr>
            <w:r>
              <w:rPr>
                <w:rFonts w:cs="Arial"/>
                <w:color w:val="000000"/>
                <w:szCs w:val="22"/>
                <w:lang w:eastAsia="en-GB" w:bidi="ar-SA"/>
              </w:rPr>
              <w:t>99</w:t>
            </w:r>
            <w:r w:rsidR="00A31E5B">
              <w:rPr>
                <w:rFonts w:cs="Arial"/>
                <w:color w:val="000000"/>
                <w:szCs w:val="22"/>
                <w:lang w:eastAsia="en-GB" w:bidi="ar-SA"/>
              </w:rPr>
              <w:t>-99</w:t>
            </w:r>
          </w:p>
        </w:tc>
        <w:tc>
          <w:tcPr>
            <w:tcW w:w="875" w:type="pct"/>
          </w:tcPr>
          <w:p w14:paraId="0A916D00" w14:textId="29770DD8" w:rsidR="00F23B1E" w:rsidRPr="006F32C3" w:rsidRDefault="00A31E5B" w:rsidP="003855CD">
            <w:pPr>
              <w:keepNext/>
              <w:keepLines/>
              <w:widowControl/>
              <w:jc w:val="center"/>
              <w:rPr>
                <w:rFonts w:cs="Arial"/>
                <w:color w:val="000000"/>
                <w:szCs w:val="22"/>
                <w:lang w:eastAsia="en-GB" w:bidi="ar-SA"/>
              </w:rPr>
            </w:pPr>
            <w:r>
              <w:rPr>
                <w:rFonts w:cs="Arial"/>
                <w:color w:val="000000"/>
                <w:szCs w:val="22"/>
                <w:lang w:eastAsia="en-GB" w:bidi="ar-SA"/>
              </w:rPr>
              <w:t>1-13</w:t>
            </w:r>
          </w:p>
        </w:tc>
        <w:tc>
          <w:tcPr>
            <w:tcW w:w="875" w:type="pct"/>
          </w:tcPr>
          <w:p w14:paraId="080F547F" w14:textId="5C21D39E" w:rsidR="00F23B1E" w:rsidRDefault="00A31E5B" w:rsidP="003855CD">
            <w:pPr>
              <w:keepNext/>
              <w:keepLines/>
              <w:widowControl/>
              <w:jc w:val="center"/>
              <w:rPr>
                <w:rFonts w:cs="Arial"/>
                <w:color w:val="000000"/>
                <w:szCs w:val="22"/>
                <w:lang w:eastAsia="en-GB" w:bidi="ar-SA"/>
              </w:rPr>
            </w:pPr>
            <w:r>
              <w:rPr>
                <w:rFonts w:cs="Arial"/>
                <w:color w:val="000000"/>
                <w:szCs w:val="22"/>
                <w:lang w:eastAsia="en-GB" w:bidi="ar-SA"/>
              </w:rPr>
              <w:t>3-27</w:t>
            </w:r>
          </w:p>
        </w:tc>
      </w:tr>
      <w:tr w:rsidR="00F23B1E" w:rsidRPr="006F32C3" w14:paraId="4443D429" w14:textId="77777777" w:rsidTr="001E75FF">
        <w:trPr>
          <w:trHeight w:val="300"/>
        </w:trPr>
        <w:tc>
          <w:tcPr>
            <w:tcW w:w="680" w:type="pct"/>
            <w:vMerge/>
          </w:tcPr>
          <w:p w14:paraId="30314986" w14:textId="339A11B1" w:rsidR="00F23B1E" w:rsidRPr="006F32C3" w:rsidRDefault="00F23B1E" w:rsidP="003855CD">
            <w:pPr>
              <w:keepNext/>
              <w:keepLines/>
              <w:rPr>
                <w:rFonts w:cs="Arial"/>
                <w:color w:val="000000"/>
                <w:szCs w:val="22"/>
                <w:lang w:eastAsia="en-GB" w:bidi="ar-SA"/>
              </w:rPr>
            </w:pPr>
          </w:p>
        </w:tc>
        <w:tc>
          <w:tcPr>
            <w:tcW w:w="834" w:type="pct"/>
            <w:vMerge w:val="restart"/>
          </w:tcPr>
          <w:p w14:paraId="6DDE6C06" w14:textId="349FDECC" w:rsidR="00F23B1E" w:rsidRPr="006F32C3" w:rsidRDefault="00F23B1E" w:rsidP="003855CD">
            <w:pPr>
              <w:keepNext/>
              <w:keepLines/>
              <w:widowControl/>
              <w:rPr>
                <w:rFonts w:cs="Arial"/>
                <w:color w:val="000000"/>
                <w:szCs w:val="22"/>
                <w:lang w:eastAsia="en-GB" w:bidi="ar-SA"/>
              </w:rPr>
            </w:pPr>
            <w:r w:rsidRPr="006F32C3">
              <w:rPr>
                <w:rFonts w:cs="Arial"/>
                <w:color w:val="000000"/>
                <w:szCs w:val="22"/>
                <w:lang w:eastAsia="en-GB" w:bidi="ar-SA"/>
              </w:rPr>
              <w:t>15 years and above</w:t>
            </w:r>
            <w:r w:rsidRPr="006F32C3">
              <w:rPr>
                <w:rFonts w:ascii="Wingdings 3" w:hAnsi="Wingdings 3" w:cs="Arial"/>
                <w:color w:val="000000"/>
                <w:sz w:val="20"/>
                <w:szCs w:val="20"/>
                <w:vertAlign w:val="superscript"/>
                <w:lang w:eastAsia="en-GB" w:bidi="ar-SA"/>
              </w:rPr>
              <w:t></w:t>
            </w:r>
          </w:p>
        </w:tc>
        <w:tc>
          <w:tcPr>
            <w:tcW w:w="682" w:type="pct"/>
          </w:tcPr>
          <w:p w14:paraId="3AF144D7" w14:textId="16516974" w:rsidR="00F23B1E" w:rsidRDefault="00F23B1E" w:rsidP="003855CD">
            <w:pPr>
              <w:keepNext/>
              <w:keepLines/>
              <w:widowControl/>
              <w:rPr>
                <w:rFonts w:cs="Arial"/>
                <w:color w:val="000000"/>
                <w:szCs w:val="22"/>
                <w:lang w:eastAsia="en-GB" w:bidi="ar-SA"/>
              </w:rPr>
            </w:pPr>
            <w:r>
              <w:rPr>
                <w:rFonts w:cs="Arial"/>
                <w:color w:val="000000"/>
                <w:szCs w:val="22"/>
                <w:lang w:eastAsia="en-GB" w:bidi="ar-SA"/>
              </w:rPr>
              <w:t>ANZ</w:t>
            </w:r>
          </w:p>
        </w:tc>
        <w:tc>
          <w:tcPr>
            <w:tcW w:w="1054" w:type="pct"/>
          </w:tcPr>
          <w:p w14:paraId="08E313ED" w14:textId="3F4124F1" w:rsidR="00F23B1E" w:rsidRPr="006F32C3" w:rsidRDefault="00F23B1E" w:rsidP="003855CD">
            <w:pPr>
              <w:keepNext/>
              <w:keepLines/>
              <w:widowControl/>
              <w:jc w:val="center"/>
              <w:rPr>
                <w:rFonts w:cs="Arial"/>
                <w:color w:val="000000"/>
                <w:szCs w:val="22"/>
                <w:lang w:eastAsia="en-GB" w:bidi="ar-SA"/>
              </w:rPr>
            </w:pPr>
            <w:r>
              <w:rPr>
                <w:rFonts w:cs="Arial"/>
                <w:color w:val="000000"/>
                <w:szCs w:val="22"/>
                <w:lang w:eastAsia="en-GB" w:bidi="ar-SA"/>
              </w:rPr>
              <w:t>73-76</w:t>
            </w:r>
          </w:p>
        </w:tc>
        <w:tc>
          <w:tcPr>
            <w:tcW w:w="875" w:type="pct"/>
          </w:tcPr>
          <w:p w14:paraId="0A801463" w14:textId="7A42F31F" w:rsidR="00F23B1E" w:rsidRPr="006F32C3" w:rsidRDefault="00A31E5B" w:rsidP="003855CD">
            <w:pPr>
              <w:keepNext/>
              <w:keepLines/>
              <w:widowControl/>
              <w:jc w:val="center"/>
              <w:rPr>
                <w:rFonts w:cs="Arial"/>
                <w:color w:val="000000"/>
                <w:szCs w:val="22"/>
                <w:lang w:eastAsia="en-GB" w:bidi="ar-SA"/>
              </w:rPr>
            </w:pPr>
            <w:r>
              <w:rPr>
                <w:rFonts w:cs="Arial"/>
                <w:color w:val="000000"/>
                <w:szCs w:val="22"/>
                <w:lang w:eastAsia="en-GB" w:bidi="ar-SA"/>
              </w:rPr>
              <w:t>&lt;1-</w:t>
            </w:r>
            <w:r w:rsidR="00C97433">
              <w:rPr>
                <w:rFonts w:cs="Arial"/>
                <w:color w:val="000000"/>
                <w:szCs w:val="22"/>
                <w:lang w:eastAsia="en-GB" w:bidi="ar-SA"/>
              </w:rPr>
              <w:t>6</w:t>
            </w:r>
          </w:p>
        </w:tc>
        <w:tc>
          <w:tcPr>
            <w:tcW w:w="875" w:type="pct"/>
          </w:tcPr>
          <w:p w14:paraId="6E9AD0A9" w14:textId="29457619" w:rsidR="00F23B1E" w:rsidRPr="006F32C3" w:rsidRDefault="00B47D17" w:rsidP="00B606CC">
            <w:pPr>
              <w:keepNext/>
              <w:keepLines/>
              <w:widowControl/>
              <w:jc w:val="center"/>
              <w:rPr>
                <w:rFonts w:cs="Arial"/>
                <w:color w:val="000000"/>
                <w:szCs w:val="22"/>
                <w:lang w:eastAsia="en-GB" w:bidi="ar-SA"/>
              </w:rPr>
            </w:pPr>
            <w:r>
              <w:rPr>
                <w:rFonts w:cs="Arial"/>
                <w:color w:val="000000"/>
                <w:szCs w:val="22"/>
                <w:lang w:eastAsia="en-GB" w:bidi="ar-SA"/>
              </w:rPr>
              <w:t>&lt;</w:t>
            </w:r>
            <w:r w:rsidR="00A31E5B">
              <w:rPr>
                <w:rFonts w:cs="Arial"/>
                <w:color w:val="000000"/>
                <w:szCs w:val="22"/>
                <w:lang w:eastAsia="en-GB" w:bidi="ar-SA"/>
              </w:rPr>
              <w:t>1-</w:t>
            </w:r>
            <w:r w:rsidR="007066AE">
              <w:rPr>
                <w:rFonts w:cs="Arial"/>
                <w:color w:val="000000"/>
                <w:szCs w:val="22"/>
                <w:lang w:eastAsia="en-GB" w:bidi="ar-SA"/>
              </w:rPr>
              <w:t>1</w:t>
            </w:r>
            <w:r w:rsidR="00B606CC">
              <w:rPr>
                <w:rFonts w:cs="Arial"/>
                <w:color w:val="000000"/>
                <w:szCs w:val="22"/>
                <w:lang w:eastAsia="en-GB" w:bidi="ar-SA"/>
              </w:rPr>
              <w:t>3</w:t>
            </w:r>
          </w:p>
        </w:tc>
      </w:tr>
      <w:tr w:rsidR="00F23B1E" w:rsidRPr="006F32C3" w14:paraId="19E4EDEB" w14:textId="77777777" w:rsidTr="001E75FF">
        <w:trPr>
          <w:trHeight w:val="300"/>
        </w:trPr>
        <w:tc>
          <w:tcPr>
            <w:tcW w:w="680" w:type="pct"/>
            <w:vMerge/>
          </w:tcPr>
          <w:p w14:paraId="5469B8FE" w14:textId="60394513" w:rsidR="00F23B1E" w:rsidRPr="006F32C3" w:rsidRDefault="00F23B1E" w:rsidP="003855CD">
            <w:pPr>
              <w:keepNext/>
              <w:keepLines/>
              <w:widowControl/>
              <w:rPr>
                <w:rFonts w:cs="Arial"/>
                <w:color w:val="000000"/>
                <w:szCs w:val="22"/>
                <w:lang w:eastAsia="en-GB" w:bidi="ar-SA"/>
              </w:rPr>
            </w:pPr>
          </w:p>
        </w:tc>
        <w:tc>
          <w:tcPr>
            <w:tcW w:w="834" w:type="pct"/>
            <w:vMerge/>
          </w:tcPr>
          <w:p w14:paraId="76EAC51B" w14:textId="77777777" w:rsidR="00F23B1E" w:rsidRPr="006F32C3" w:rsidRDefault="00F23B1E" w:rsidP="003855CD">
            <w:pPr>
              <w:keepNext/>
              <w:keepLines/>
              <w:widowControl/>
              <w:rPr>
                <w:rFonts w:cs="Arial"/>
                <w:color w:val="000000"/>
                <w:szCs w:val="22"/>
                <w:lang w:eastAsia="en-GB" w:bidi="ar-SA"/>
              </w:rPr>
            </w:pPr>
          </w:p>
        </w:tc>
        <w:tc>
          <w:tcPr>
            <w:tcW w:w="682" w:type="pct"/>
          </w:tcPr>
          <w:p w14:paraId="062D3310" w14:textId="4C474E2C" w:rsidR="00F23B1E" w:rsidRDefault="00F23B1E" w:rsidP="003855CD">
            <w:pPr>
              <w:keepNext/>
              <w:keepLines/>
              <w:widowControl/>
              <w:rPr>
                <w:rFonts w:cs="Arial"/>
                <w:color w:val="000000"/>
                <w:szCs w:val="22"/>
                <w:lang w:eastAsia="en-GB" w:bidi="ar-SA"/>
              </w:rPr>
            </w:pPr>
            <w:r>
              <w:rPr>
                <w:rFonts w:cs="Arial"/>
                <w:color w:val="000000"/>
                <w:szCs w:val="22"/>
                <w:lang w:eastAsia="en-GB" w:bidi="ar-SA"/>
              </w:rPr>
              <w:t>ANZ+Int</w:t>
            </w:r>
          </w:p>
        </w:tc>
        <w:tc>
          <w:tcPr>
            <w:tcW w:w="1054" w:type="pct"/>
          </w:tcPr>
          <w:p w14:paraId="27989F09" w14:textId="47A34B68" w:rsidR="00F23B1E" w:rsidRDefault="00F23B1E" w:rsidP="003855CD">
            <w:pPr>
              <w:keepNext/>
              <w:keepLines/>
              <w:widowControl/>
              <w:jc w:val="center"/>
              <w:rPr>
                <w:rFonts w:cs="Arial"/>
                <w:color w:val="000000"/>
                <w:szCs w:val="22"/>
                <w:lang w:eastAsia="en-GB" w:bidi="ar-SA"/>
              </w:rPr>
            </w:pPr>
            <w:r>
              <w:rPr>
                <w:rFonts w:cs="Arial"/>
                <w:color w:val="000000"/>
                <w:szCs w:val="22"/>
                <w:lang w:eastAsia="en-GB" w:bidi="ar-SA"/>
              </w:rPr>
              <w:t>96</w:t>
            </w:r>
            <w:r w:rsidR="00A31E5B">
              <w:rPr>
                <w:rFonts w:cs="Arial"/>
                <w:color w:val="000000"/>
                <w:szCs w:val="22"/>
                <w:lang w:eastAsia="en-GB" w:bidi="ar-SA"/>
              </w:rPr>
              <w:t>-96</w:t>
            </w:r>
          </w:p>
        </w:tc>
        <w:tc>
          <w:tcPr>
            <w:tcW w:w="875" w:type="pct"/>
          </w:tcPr>
          <w:p w14:paraId="2519EA6C" w14:textId="09989D4A" w:rsidR="00F23B1E" w:rsidRPr="006F32C3" w:rsidRDefault="00A31E5B" w:rsidP="003855CD">
            <w:pPr>
              <w:keepNext/>
              <w:keepLines/>
              <w:widowControl/>
              <w:jc w:val="center"/>
              <w:rPr>
                <w:rFonts w:cs="Arial"/>
                <w:color w:val="000000"/>
                <w:szCs w:val="22"/>
                <w:lang w:eastAsia="en-GB" w:bidi="ar-SA"/>
              </w:rPr>
            </w:pPr>
            <w:r>
              <w:rPr>
                <w:rFonts w:cs="Arial"/>
                <w:color w:val="000000"/>
                <w:szCs w:val="22"/>
                <w:lang w:eastAsia="en-GB" w:bidi="ar-SA"/>
              </w:rPr>
              <w:t>1-6</w:t>
            </w:r>
          </w:p>
        </w:tc>
        <w:tc>
          <w:tcPr>
            <w:tcW w:w="875" w:type="pct"/>
          </w:tcPr>
          <w:p w14:paraId="6E42F604" w14:textId="5AE393D3" w:rsidR="00F23B1E" w:rsidRDefault="00A31E5B" w:rsidP="003855CD">
            <w:pPr>
              <w:keepNext/>
              <w:keepLines/>
              <w:widowControl/>
              <w:jc w:val="center"/>
              <w:rPr>
                <w:rFonts w:cs="Arial"/>
                <w:color w:val="000000"/>
                <w:szCs w:val="22"/>
                <w:lang w:eastAsia="en-GB" w:bidi="ar-SA"/>
              </w:rPr>
            </w:pPr>
            <w:r>
              <w:rPr>
                <w:rFonts w:cs="Arial"/>
                <w:color w:val="000000"/>
                <w:szCs w:val="22"/>
                <w:lang w:eastAsia="en-GB" w:bidi="ar-SA"/>
              </w:rPr>
              <w:t>1-12</w:t>
            </w:r>
          </w:p>
        </w:tc>
      </w:tr>
    </w:tbl>
    <w:p w14:paraId="76D0EA8C" w14:textId="2A69C124" w:rsidR="002F3DAE" w:rsidRPr="006F32C3" w:rsidRDefault="002F3DAE" w:rsidP="003855CD">
      <w:pPr>
        <w:keepNext/>
        <w:keepLines/>
        <w:ind w:left="567" w:hanging="567"/>
        <w:rPr>
          <w:sz w:val="16"/>
          <w:szCs w:val="16"/>
        </w:rPr>
      </w:pPr>
      <w:r w:rsidRPr="006F32C3">
        <w:rPr>
          <w:rFonts w:cs="Arial"/>
          <w:sz w:val="16"/>
          <w:szCs w:val="16"/>
        </w:rPr>
        <w:sym w:font="Wingdings" w:char="F074"/>
      </w:r>
      <w:r w:rsidRPr="006F32C3">
        <w:rPr>
          <w:sz w:val="16"/>
          <w:szCs w:val="16"/>
        </w:rPr>
        <w:tab/>
        <w:t xml:space="preserve">Consumers as a % of total respondents. A consumer is a respondent in the national nutrition survey who consumes a food containing poultry. A respondent is anyone in a national nutrition survey, irrespective of whether they consume a food that contains </w:t>
      </w:r>
      <w:r w:rsidR="00971E50" w:rsidRPr="006F32C3">
        <w:rPr>
          <w:sz w:val="16"/>
          <w:szCs w:val="16"/>
        </w:rPr>
        <w:t xml:space="preserve">propylene glycol from </w:t>
      </w:r>
      <w:r w:rsidR="00361C65">
        <w:rPr>
          <w:sz w:val="16"/>
          <w:szCs w:val="16"/>
        </w:rPr>
        <w:t xml:space="preserve">use of the applicant’s CPC preparation </w:t>
      </w:r>
      <w:r w:rsidRPr="006F32C3">
        <w:rPr>
          <w:sz w:val="16"/>
          <w:szCs w:val="16"/>
        </w:rPr>
        <w:t>or not</w:t>
      </w:r>
      <w:r w:rsidR="00B21B2C" w:rsidRPr="006F32C3">
        <w:rPr>
          <w:sz w:val="16"/>
          <w:szCs w:val="16"/>
        </w:rPr>
        <w:t>.</w:t>
      </w:r>
      <w:r w:rsidR="00551A68" w:rsidRPr="006F32C3">
        <w:rPr>
          <w:sz w:val="16"/>
          <w:szCs w:val="16"/>
        </w:rPr>
        <w:t xml:space="preserve"> Number of respondents: Australia 2+ = 7735, New Zealand 5-14 years = 3275 and 15+ = 4721.</w:t>
      </w:r>
    </w:p>
    <w:p w14:paraId="47C2F485" w14:textId="02A47C5A" w:rsidR="002F3DAE" w:rsidRPr="006F32C3" w:rsidRDefault="002F3DAE" w:rsidP="003855CD">
      <w:pPr>
        <w:keepNext/>
        <w:keepLines/>
        <w:rPr>
          <w:sz w:val="16"/>
          <w:szCs w:val="16"/>
        </w:rPr>
      </w:pPr>
      <w:r w:rsidRPr="006F32C3">
        <w:rPr>
          <w:sz w:val="16"/>
          <w:szCs w:val="16"/>
        </w:rPr>
        <w:sym w:font="Wingdings" w:char="F076"/>
      </w:r>
      <w:r w:rsidRPr="006F32C3">
        <w:rPr>
          <w:sz w:val="16"/>
          <w:szCs w:val="16"/>
        </w:rPr>
        <w:tab/>
        <w:t>Based on consumption data from Day 1 and 2</w:t>
      </w:r>
      <w:r w:rsidR="00B21B2C" w:rsidRPr="006F32C3">
        <w:rPr>
          <w:sz w:val="16"/>
          <w:szCs w:val="16"/>
        </w:rPr>
        <w:t>.</w:t>
      </w:r>
    </w:p>
    <w:p w14:paraId="1D2B6F4E" w14:textId="035EF1C3" w:rsidR="002F3DAE" w:rsidRPr="006F32C3" w:rsidRDefault="002F3DAE" w:rsidP="003855CD">
      <w:pPr>
        <w:keepNext/>
        <w:keepLines/>
      </w:pPr>
      <w:r w:rsidRPr="006F32C3">
        <w:rPr>
          <w:sz w:val="16"/>
          <w:szCs w:val="16"/>
        </w:rPr>
        <w:sym w:font="Wingdings 3" w:char="F073"/>
      </w:r>
      <w:r w:rsidRPr="006F32C3">
        <w:rPr>
          <w:sz w:val="16"/>
          <w:szCs w:val="16"/>
        </w:rPr>
        <w:tab/>
        <w:t>Based on consumption data from Day 1 respondents only</w:t>
      </w:r>
      <w:r w:rsidR="00B21B2C" w:rsidRPr="006F32C3">
        <w:rPr>
          <w:sz w:val="16"/>
          <w:szCs w:val="16"/>
        </w:rPr>
        <w:t>.</w:t>
      </w:r>
    </w:p>
    <w:p w14:paraId="216002C8" w14:textId="77777777" w:rsidR="00F36F60" w:rsidRDefault="00F36F60" w:rsidP="00971E50"/>
    <w:p w14:paraId="3C55EF46" w14:textId="0B3402A9" w:rsidR="00D05D9F" w:rsidRDefault="00562EB2">
      <w:pPr>
        <w:pStyle w:val="Heading1"/>
      </w:pPr>
      <w:bookmarkStart w:id="317" w:name="_Toc92722940"/>
      <w:bookmarkStart w:id="318" w:name="_Toc93592330"/>
      <w:bookmarkStart w:id="319" w:name="_Toc93585341"/>
      <w:bookmarkStart w:id="320" w:name="_Toc97041636"/>
      <w:r>
        <w:t>5</w:t>
      </w:r>
      <w:r w:rsidR="000B0783">
        <w:t xml:space="preserve"> </w:t>
      </w:r>
      <w:r w:rsidR="00C71929">
        <w:tab/>
      </w:r>
      <w:r w:rsidR="00D05D9F">
        <w:t>Risk characterisation</w:t>
      </w:r>
      <w:bookmarkEnd w:id="312"/>
      <w:bookmarkEnd w:id="313"/>
      <w:bookmarkEnd w:id="314"/>
      <w:bookmarkEnd w:id="315"/>
      <w:bookmarkEnd w:id="317"/>
      <w:bookmarkEnd w:id="318"/>
      <w:bookmarkEnd w:id="319"/>
      <w:bookmarkEnd w:id="320"/>
    </w:p>
    <w:p w14:paraId="212FF18C" w14:textId="311FA756" w:rsidR="00FB1489" w:rsidRDefault="00041E8D">
      <w:pPr>
        <w:pStyle w:val="Heading2"/>
      </w:pPr>
      <w:bookmarkStart w:id="321" w:name="_Toc63330886"/>
      <w:bookmarkStart w:id="322" w:name="_Toc92722941"/>
      <w:bookmarkStart w:id="323" w:name="_Toc93592331"/>
      <w:bookmarkStart w:id="324" w:name="_Toc93585342"/>
      <w:bookmarkStart w:id="325" w:name="_Toc97041637"/>
      <w:r>
        <w:t>5.</w:t>
      </w:r>
      <w:r w:rsidR="00FB1489">
        <w:t>1</w:t>
      </w:r>
      <w:r w:rsidR="00FB1489">
        <w:tab/>
        <w:t>CPC</w:t>
      </w:r>
      <w:bookmarkEnd w:id="321"/>
      <w:bookmarkEnd w:id="322"/>
      <w:bookmarkEnd w:id="323"/>
      <w:bookmarkEnd w:id="324"/>
      <w:bookmarkEnd w:id="325"/>
    </w:p>
    <w:p w14:paraId="46D498B8" w14:textId="4B5E0296" w:rsidR="00A44364" w:rsidRDefault="00A44364" w:rsidP="00D05D9F">
      <w:pPr>
        <w:rPr>
          <w:lang w:bidi="ar-SA"/>
        </w:rPr>
      </w:pPr>
      <w:r>
        <w:rPr>
          <w:lang w:bidi="ar-SA"/>
        </w:rPr>
        <w:t>The MOE’s present</w:t>
      </w:r>
      <w:r w:rsidR="00714FFE">
        <w:rPr>
          <w:lang w:bidi="ar-SA"/>
        </w:rPr>
        <w:t>ed</w:t>
      </w:r>
      <w:r>
        <w:rPr>
          <w:lang w:bidi="ar-SA"/>
        </w:rPr>
        <w:t xml:space="preserve"> in</w:t>
      </w:r>
      <w:r w:rsidR="000C3F1B">
        <w:rPr>
          <w:lang w:bidi="ar-SA"/>
        </w:rPr>
        <w:t xml:space="preserve"> </w:t>
      </w:r>
      <w:r w:rsidR="000C3F1B">
        <w:rPr>
          <w:lang w:bidi="ar-SA"/>
        </w:rPr>
        <w:fldChar w:fldCharType="begin"/>
      </w:r>
      <w:r w:rsidR="000C3F1B">
        <w:rPr>
          <w:lang w:bidi="ar-SA"/>
        </w:rPr>
        <w:instrText xml:space="preserve"> REF _Ref92725530 \h </w:instrText>
      </w:r>
      <w:r w:rsidR="000C3F1B">
        <w:rPr>
          <w:lang w:bidi="ar-SA"/>
        </w:rPr>
      </w:r>
      <w:r w:rsidR="000C3F1B">
        <w:rPr>
          <w:lang w:bidi="ar-SA"/>
        </w:rPr>
        <w:fldChar w:fldCharType="separate"/>
      </w:r>
      <w:r w:rsidR="00A65698">
        <w:t xml:space="preserve">Table </w:t>
      </w:r>
      <w:r w:rsidR="00A65698">
        <w:rPr>
          <w:noProof/>
        </w:rPr>
        <w:t>8</w:t>
      </w:r>
      <w:r w:rsidR="000C3F1B">
        <w:rPr>
          <w:lang w:bidi="ar-SA"/>
        </w:rPr>
        <w:fldChar w:fldCharType="end"/>
      </w:r>
      <w:r>
        <w:rPr>
          <w:lang w:bidi="ar-SA"/>
        </w:rPr>
        <w:t xml:space="preserve"> are based on the dietary exposures to CPC from poultry washes only. The MOE’s are based </w:t>
      </w:r>
      <w:r w:rsidR="007739F7">
        <w:rPr>
          <w:lang w:bidi="ar-SA"/>
        </w:rPr>
        <w:t xml:space="preserve">on </w:t>
      </w:r>
      <w:r>
        <w:rPr>
          <w:lang w:bidi="ar-SA"/>
        </w:rPr>
        <w:t>the NOAEL o</w:t>
      </w:r>
      <w:r w:rsidR="00B21B2C">
        <w:rPr>
          <w:lang w:bidi="ar-SA"/>
        </w:rPr>
        <w:t>f 8 mg/kg bw/day established by FSANZ</w:t>
      </w:r>
      <w:r w:rsidR="007739F7">
        <w:rPr>
          <w:lang w:bidi="ar-SA"/>
        </w:rPr>
        <w:t xml:space="preserve"> as a point of departure for the risk assessment</w:t>
      </w:r>
      <w:r w:rsidR="00B21B2C">
        <w:rPr>
          <w:lang w:bidi="ar-SA"/>
        </w:rPr>
        <w:t>.</w:t>
      </w:r>
    </w:p>
    <w:p w14:paraId="7AA4808E" w14:textId="77777777" w:rsidR="00A44364" w:rsidRDefault="00A44364" w:rsidP="00D05D9F">
      <w:pPr>
        <w:rPr>
          <w:lang w:bidi="ar-SA"/>
        </w:rPr>
      </w:pPr>
    </w:p>
    <w:p w14:paraId="3DB5125E" w14:textId="5E7F3C3E" w:rsidR="00A44364" w:rsidRDefault="00A44364" w:rsidP="00A44364">
      <w:pPr>
        <w:rPr>
          <w:lang w:bidi="ar-SA"/>
        </w:rPr>
      </w:pPr>
      <w:r>
        <w:rPr>
          <w:lang w:bidi="ar-SA"/>
        </w:rPr>
        <w:t>For Australians aged 2 years and above the MOEs range from 1300 – 3200, with the P90</w:t>
      </w:r>
      <w:r w:rsidR="00E97E26">
        <w:rPr>
          <w:lang w:bidi="ar-SA"/>
        </w:rPr>
        <w:t xml:space="preserve"> dietary exposure</w:t>
      </w:r>
      <w:r>
        <w:rPr>
          <w:lang w:bidi="ar-SA"/>
        </w:rPr>
        <w:t xml:space="preserve"> </w:t>
      </w:r>
      <w:r w:rsidR="00E97E26">
        <w:rPr>
          <w:lang w:bidi="ar-SA"/>
        </w:rPr>
        <w:t xml:space="preserve">based on </w:t>
      </w:r>
      <w:r>
        <w:rPr>
          <w:lang w:bidi="ar-SA"/>
        </w:rPr>
        <w:t xml:space="preserve">the </w:t>
      </w:r>
      <w:r w:rsidR="00E97E26">
        <w:rPr>
          <w:lang w:bidi="ar-SA"/>
        </w:rPr>
        <w:t>m</w:t>
      </w:r>
      <w:r>
        <w:rPr>
          <w:lang w:bidi="ar-SA"/>
        </w:rPr>
        <w:t xml:space="preserve">aximum </w:t>
      </w:r>
      <w:r w:rsidR="00D53344">
        <w:rPr>
          <w:lang w:bidi="ar-SA"/>
        </w:rPr>
        <w:t xml:space="preserve">residue </w:t>
      </w:r>
      <w:r>
        <w:rPr>
          <w:lang w:bidi="ar-SA"/>
        </w:rPr>
        <w:t xml:space="preserve">level being the lower </w:t>
      </w:r>
      <w:r w:rsidR="00E97E26">
        <w:rPr>
          <w:lang w:bidi="ar-SA"/>
        </w:rPr>
        <w:t xml:space="preserve">end of this </w:t>
      </w:r>
      <w:r>
        <w:rPr>
          <w:lang w:bidi="ar-SA"/>
        </w:rPr>
        <w:t xml:space="preserve">range and the </w:t>
      </w:r>
      <w:r w:rsidR="00E97E26">
        <w:rPr>
          <w:lang w:bidi="ar-SA"/>
        </w:rPr>
        <w:t>m</w:t>
      </w:r>
      <w:r>
        <w:rPr>
          <w:lang w:bidi="ar-SA"/>
        </w:rPr>
        <w:t xml:space="preserve">ean </w:t>
      </w:r>
      <w:r w:rsidR="00E97E26">
        <w:rPr>
          <w:lang w:bidi="ar-SA"/>
        </w:rPr>
        <w:t xml:space="preserve">dietary exposure based on </w:t>
      </w:r>
      <w:r>
        <w:rPr>
          <w:lang w:bidi="ar-SA"/>
        </w:rPr>
        <w:t xml:space="preserve">the </w:t>
      </w:r>
      <w:r w:rsidR="00E97E26">
        <w:rPr>
          <w:lang w:bidi="ar-SA"/>
        </w:rPr>
        <w:t>a</w:t>
      </w:r>
      <w:r>
        <w:rPr>
          <w:lang w:bidi="ar-SA"/>
        </w:rPr>
        <w:t xml:space="preserve">verage </w:t>
      </w:r>
      <w:r w:rsidR="00D53344">
        <w:rPr>
          <w:lang w:bidi="ar-SA"/>
        </w:rPr>
        <w:t xml:space="preserve">residue </w:t>
      </w:r>
      <w:r>
        <w:rPr>
          <w:lang w:bidi="ar-SA"/>
        </w:rPr>
        <w:t xml:space="preserve">level being the higher range. </w:t>
      </w:r>
    </w:p>
    <w:p w14:paraId="582535E6" w14:textId="72DEBDD3" w:rsidR="00A44364" w:rsidRDefault="00A44364" w:rsidP="00D05D9F">
      <w:pPr>
        <w:rPr>
          <w:lang w:bidi="ar-SA"/>
        </w:rPr>
      </w:pPr>
    </w:p>
    <w:p w14:paraId="6ECAAB89" w14:textId="02CB1C3C" w:rsidR="00A44364" w:rsidRDefault="00A44364" w:rsidP="00A44364">
      <w:pPr>
        <w:rPr>
          <w:lang w:bidi="ar-SA"/>
        </w:rPr>
      </w:pPr>
      <w:r>
        <w:rPr>
          <w:lang w:bidi="ar-SA"/>
        </w:rPr>
        <w:lastRenderedPageBreak/>
        <w:t xml:space="preserve">For New Zealanders aged 5 to 14 years the MOEs ranged from 600 – 1700, with the P90 </w:t>
      </w:r>
      <w:r w:rsidR="00E97E26">
        <w:rPr>
          <w:lang w:bidi="ar-SA"/>
        </w:rPr>
        <w:t xml:space="preserve">dietary exposures </w:t>
      </w:r>
      <w:r>
        <w:rPr>
          <w:lang w:bidi="ar-SA"/>
        </w:rPr>
        <w:t>for the both</w:t>
      </w:r>
      <w:r w:rsidR="00E97E26">
        <w:rPr>
          <w:lang w:bidi="ar-SA"/>
        </w:rPr>
        <w:t xml:space="preserve"> the maximum and average </w:t>
      </w:r>
      <w:r w:rsidR="00D53344">
        <w:rPr>
          <w:lang w:bidi="ar-SA"/>
        </w:rPr>
        <w:t xml:space="preserve">residue </w:t>
      </w:r>
      <w:r>
        <w:rPr>
          <w:lang w:bidi="ar-SA"/>
        </w:rPr>
        <w:t>scenarios being the lower</w:t>
      </w:r>
      <w:r w:rsidR="00E97E26">
        <w:rPr>
          <w:lang w:bidi="ar-SA"/>
        </w:rPr>
        <w:t xml:space="preserve"> end of the</w:t>
      </w:r>
      <w:r>
        <w:rPr>
          <w:lang w:bidi="ar-SA"/>
        </w:rPr>
        <w:t xml:space="preserve"> range and the </w:t>
      </w:r>
      <w:r w:rsidR="00E97E26">
        <w:rPr>
          <w:lang w:bidi="ar-SA"/>
        </w:rPr>
        <w:t>m</w:t>
      </w:r>
      <w:r>
        <w:rPr>
          <w:lang w:bidi="ar-SA"/>
        </w:rPr>
        <w:t>ean</w:t>
      </w:r>
      <w:r w:rsidR="00E97E26">
        <w:rPr>
          <w:lang w:bidi="ar-SA"/>
        </w:rPr>
        <w:t xml:space="preserve"> dietary exposure</w:t>
      </w:r>
      <w:r>
        <w:rPr>
          <w:lang w:bidi="ar-SA"/>
        </w:rPr>
        <w:t xml:space="preserve"> for the </w:t>
      </w:r>
      <w:r w:rsidR="00E97E26">
        <w:rPr>
          <w:lang w:bidi="ar-SA"/>
        </w:rPr>
        <w:t>a</w:t>
      </w:r>
      <w:r>
        <w:rPr>
          <w:lang w:bidi="ar-SA"/>
        </w:rPr>
        <w:t xml:space="preserve">verage </w:t>
      </w:r>
      <w:r w:rsidR="00D53344">
        <w:rPr>
          <w:lang w:bidi="ar-SA"/>
        </w:rPr>
        <w:t xml:space="preserve">residue </w:t>
      </w:r>
      <w:r>
        <w:rPr>
          <w:lang w:bidi="ar-SA"/>
        </w:rPr>
        <w:t>level being the higher</w:t>
      </w:r>
      <w:r w:rsidR="00E97E26">
        <w:rPr>
          <w:lang w:bidi="ar-SA"/>
        </w:rPr>
        <w:t xml:space="preserve"> end of the</w:t>
      </w:r>
      <w:r>
        <w:rPr>
          <w:lang w:bidi="ar-SA"/>
        </w:rPr>
        <w:t xml:space="preserve"> range. This population group </w:t>
      </w:r>
      <w:r w:rsidR="00E97E26">
        <w:rPr>
          <w:lang w:bidi="ar-SA"/>
        </w:rPr>
        <w:t>had</w:t>
      </w:r>
      <w:r>
        <w:rPr>
          <w:lang w:bidi="ar-SA"/>
        </w:rPr>
        <w:t xml:space="preserve"> the lowest MOEs</w:t>
      </w:r>
      <w:r w:rsidR="00E97E26">
        <w:rPr>
          <w:lang w:bidi="ar-SA"/>
        </w:rPr>
        <w:t>.</w:t>
      </w:r>
      <w:r>
        <w:rPr>
          <w:lang w:bidi="ar-SA"/>
        </w:rPr>
        <w:t xml:space="preserve"> </w:t>
      </w:r>
    </w:p>
    <w:p w14:paraId="1704E792" w14:textId="771A2B4A" w:rsidR="00A44364" w:rsidRDefault="00A44364" w:rsidP="00D05D9F">
      <w:pPr>
        <w:rPr>
          <w:lang w:bidi="ar-SA"/>
        </w:rPr>
      </w:pPr>
    </w:p>
    <w:p w14:paraId="41FB9EDC" w14:textId="30C2F65E" w:rsidR="00A44364" w:rsidRDefault="00A44364" w:rsidP="00D05D9F">
      <w:pPr>
        <w:rPr>
          <w:lang w:bidi="ar-SA"/>
        </w:rPr>
      </w:pPr>
      <w:r>
        <w:rPr>
          <w:lang w:bidi="ar-SA"/>
        </w:rPr>
        <w:t xml:space="preserve">For New Zealanders aged 15 years and above the MOEs ranged from 900 – 2400. The lower </w:t>
      </w:r>
      <w:r w:rsidR="00E97E26">
        <w:rPr>
          <w:lang w:bidi="ar-SA"/>
        </w:rPr>
        <w:t xml:space="preserve">end of the </w:t>
      </w:r>
      <w:r>
        <w:rPr>
          <w:lang w:bidi="ar-SA"/>
        </w:rPr>
        <w:t xml:space="preserve">range represents the </w:t>
      </w:r>
      <w:r w:rsidR="00E97E26">
        <w:rPr>
          <w:lang w:bidi="ar-SA"/>
        </w:rPr>
        <w:t>P90 dietary exposures based on the m</w:t>
      </w:r>
      <w:r>
        <w:rPr>
          <w:lang w:bidi="ar-SA"/>
        </w:rPr>
        <w:t xml:space="preserve">aximum </w:t>
      </w:r>
      <w:r w:rsidR="00D53344">
        <w:rPr>
          <w:lang w:bidi="ar-SA"/>
        </w:rPr>
        <w:t xml:space="preserve">residue </w:t>
      </w:r>
      <w:r>
        <w:rPr>
          <w:lang w:bidi="ar-SA"/>
        </w:rPr>
        <w:t>level</w:t>
      </w:r>
      <w:r w:rsidR="00E97E26">
        <w:rPr>
          <w:lang w:bidi="ar-SA"/>
        </w:rPr>
        <w:t xml:space="preserve"> and t</w:t>
      </w:r>
      <w:r>
        <w:rPr>
          <w:lang w:bidi="ar-SA"/>
        </w:rPr>
        <w:t>he higher end of the range represents the mean</w:t>
      </w:r>
      <w:r w:rsidR="00E97E26">
        <w:rPr>
          <w:lang w:bidi="ar-SA"/>
        </w:rPr>
        <w:t xml:space="preserve"> dietary exposure based on the average </w:t>
      </w:r>
      <w:r w:rsidR="00D53344">
        <w:rPr>
          <w:lang w:bidi="ar-SA"/>
        </w:rPr>
        <w:t xml:space="preserve">residue </w:t>
      </w:r>
      <w:r w:rsidR="00E97E26">
        <w:rPr>
          <w:lang w:bidi="ar-SA"/>
        </w:rPr>
        <w:t>level.</w:t>
      </w:r>
    </w:p>
    <w:p w14:paraId="085BAD98" w14:textId="56EB868E" w:rsidR="00787231" w:rsidRDefault="00787231" w:rsidP="00D05D9F">
      <w:pPr>
        <w:rPr>
          <w:lang w:bidi="ar-SA"/>
        </w:rPr>
      </w:pPr>
    </w:p>
    <w:p w14:paraId="4908FC1F" w14:textId="52A3D019" w:rsidR="00D017D3" w:rsidRDefault="00D017D3" w:rsidP="00921907">
      <w:pPr>
        <w:pStyle w:val="FSTableTitle"/>
        <w:keepNext/>
        <w:keepLines/>
      </w:pPr>
      <w:bookmarkStart w:id="326" w:name="_Ref92715490"/>
      <w:bookmarkStart w:id="327" w:name="_Ref92725530"/>
      <w:r>
        <w:t xml:space="preserve">Table </w:t>
      </w:r>
      <w:fldSimple w:instr=" SEQ Table \* ARABIC ">
        <w:r w:rsidR="00A65698">
          <w:rPr>
            <w:noProof/>
          </w:rPr>
          <w:t>8</w:t>
        </w:r>
      </w:fldSimple>
      <w:bookmarkEnd w:id="326"/>
      <w:bookmarkEnd w:id="327"/>
      <w:r>
        <w:t xml:space="preserve"> </w:t>
      </w:r>
      <w:r w:rsidRPr="00D82BB5">
        <w:t>Estimated mean and P90 dietary exposures to CPC for Australian and New Zealand consumers, expressed as Margins of Exposure*</w:t>
      </w:r>
    </w:p>
    <w:tbl>
      <w:tblPr>
        <w:tblStyle w:val="TableGrid"/>
        <w:tblW w:w="9062" w:type="dxa"/>
        <w:tblLayout w:type="fixed"/>
        <w:tblLook w:val="04A0" w:firstRow="1" w:lastRow="0" w:firstColumn="1" w:lastColumn="0" w:noHBand="0" w:noVBand="1"/>
        <w:tblCaption w:val="Table 13 Estimated mean and P90 dietary exposures to CPC for Australian and New Zealand consumers, expressed as Margins of Exposure"/>
        <w:tblDescription w:val="Estimated mean and P90 dietary exposures to CPC for Australian and New Zealand consumers, expressed as Margins of Exposure"/>
      </w:tblPr>
      <w:tblGrid>
        <w:gridCol w:w="1974"/>
        <w:gridCol w:w="1701"/>
        <w:gridCol w:w="1346"/>
        <w:gridCol w:w="1347"/>
        <w:gridCol w:w="1347"/>
        <w:gridCol w:w="1347"/>
      </w:tblGrid>
      <w:tr w:rsidR="00C54D08" w:rsidRPr="00C54D08" w14:paraId="3BD8A95B" w14:textId="77777777" w:rsidTr="001E75FF">
        <w:trPr>
          <w:trHeight w:val="300"/>
        </w:trPr>
        <w:tc>
          <w:tcPr>
            <w:tcW w:w="1975" w:type="dxa"/>
            <w:vMerge w:val="restart"/>
            <w:vAlign w:val="bottom"/>
            <w:hideMark/>
          </w:tcPr>
          <w:p w14:paraId="7DEDB768" w14:textId="77777777" w:rsidR="00C54D08" w:rsidRPr="001E75FF" w:rsidRDefault="00C54D08" w:rsidP="001E75FF">
            <w:pPr>
              <w:keepNext/>
              <w:keepLines/>
              <w:widowControl/>
              <w:rPr>
                <w:rFonts w:cs="Arial"/>
                <w:b/>
                <w:bCs/>
                <w:szCs w:val="22"/>
                <w:lang w:eastAsia="en-GB" w:bidi="ar-SA"/>
              </w:rPr>
            </w:pPr>
            <w:r w:rsidRPr="001E75FF">
              <w:rPr>
                <w:rFonts w:cs="Arial"/>
                <w:b/>
                <w:bCs/>
                <w:szCs w:val="22"/>
                <w:lang w:eastAsia="en-GB" w:bidi="ar-SA"/>
              </w:rPr>
              <w:t>Country</w:t>
            </w:r>
          </w:p>
        </w:tc>
        <w:tc>
          <w:tcPr>
            <w:tcW w:w="1701" w:type="dxa"/>
            <w:vMerge w:val="restart"/>
            <w:vAlign w:val="bottom"/>
            <w:hideMark/>
          </w:tcPr>
          <w:p w14:paraId="23A21495" w14:textId="77777777" w:rsidR="00C54D08" w:rsidRPr="001E75FF" w:rsidRDefault="00C54D08" w:rsidP="001E75FF">
            <w:pPr>
              <w:keepNext/>
              <w:keepLines/>
              <w:widowControl/>
              <w:rPr>
                <w:rFonts w:cs="Arial"/>
                <w:b/>
                <w:bCs/>
                <w:szCs w:val="22"/>
                <w:lang w:eastAsia="en-GB" w:bidi="ar-SA"/>
              </w:rPr>
            </w:pPr>
            <w:r w:rsidRPr="001E75FF">
              <w:rPr>
                <w:rFonts w:cs="Arial"/>
                <w:b/>
                <w:bCs/>
                <w:szCs w:val="22"/>
                <w:lang w:eastAsia="en-GB" w:bidi="ar-SA"/>
              </w:rPr>
              <w:t>Population Group</w:t>
            </w:r>
          </w:p>
        </w:tc>
        <w:tc>
          <w:tcPr>
            <w:tcW w:w="5386" w:type="dxa"/>
            <w:gridSpan w:val="4"/>
            <w:hideMark/>
          </w:tcPr>
          <w:p w14:paraId="1BFC5F17" w14:textId="0F6DBB0E" w:rsidR="00C54D08" w:rsidRPr="001E75FF" w:rsidRDefault="00C54D08" w:rsidP="00921907">
            <w:pPr>
              <w:keepNext/>
              <w:keepLines/>
              <w:widowControl/>
              <w:jc w:val="center"/>
              <w:rPr>
                <w:rFonts w:cs="Arial"/>
                <w:b/>
                <w:bCs/>
                <w:szCs w:val="22"/>
                <w:lang w:eastAsia="en-GB" w:bidi="ar-SA"/>
              </w:rPr>
            </w:pPr>
            <w:r w:rsidRPr="001E75FF">
              <w:rPr>
                <w:rFonts w:cs="Arial"/>
                <w:b/>
                <w:bCs/>
                <w:szCs w:val="22"/>
                <w:lang w:eastAsia="en-GB" w:bidi="ar-SA"/>
              </w:rPr>
              <w:t>Estimated consumer dietary exposure to CPC (</w:t>
            </w:r>
            <w:r w:rsidR="00D5080B" w:rsidRPr="001E75FF">
              <w:rPr>
                <w:rFonts w:cs="Arial"/>
                <w:b/>
                <w:bCs/>
                <w:szCs w:val="22"/>
                <w:lang w:eastAsia="en-GB" w:bidi="ar-SA"/>
              </w:rPr>
              <w:t xml:space="preserve">expressed as Margins of </w:t>
            </w:r>
            <w:r w:rsidR="00A44364" w:rsidRPr="001E75FF">
              <w:rPr>
                <w:rFonts w:cs="Arial"/>
                <w:b/>
                <w:bCs/>
                <w:szCs w:val="22"/>
                <w:lang w:eastAsia="en-GB" w:bidi="ar-SA"/>
              </w:rPr>
              <w:t>Exposure</w:t>
            </w:r>
            <w:r w:rsidRPr="001E75FF">
              <w:rPr>
                <w:rFonts w:cs="Arial"/>
                <w:b/>
                <w:bCs/>
                <w:szCs w:val="22"/>
                <w:lang w:eastAsia="en-GB" w:bidi="ar-SA"/>
              </w:rPr>
              <w:t>)</w:t>
            </w:r>
          </w:p>
        </w:tc>
      </w:tr>
      <w:tr w:rsidR="00C54D08" w:rsidRPr="00C54D08" w14:paraId="34F0FAEA" w14:textId="77777777" w:rsidTr="006A1C46">
        <w:trPr>
          <w:trHeight w:val="300"/>
        </w:trPr>
        <w:tc>
          <w:tcPr>
            <w:tcW w:w="1975" w:type="dxa"/>
            <w:vMerge/>
            <w:hideMark/>
          </w:tcPr>
          <w:p w14:paraId="01E5E426" w14:textId="77777777" w:rsidR="00C54D08" w:rsidRPr="001E75FF" w:rsidRDefault="00C54D08" w:rsidP="00921907">
            <w:pPr>
              <w:keepNext/>
              <w:keepLines/>
              <w:widowControl/>
              <w:rPr>
                <w:rFonts w:cs="Arial"/>
                <w:b/>
                <w:bCs/>
                <w:szCs w:val="22"/>
                <w:lang w:eastAsia="en-GB" w:bidi="ar-SA"/>
              </w:rPr>
            </w:pPr>
          </w:p>
        </w:tc>
        <w:tc>
          <w:tcPr>
            <w:tcW w:w="1701" w:type="dxa"/>
            <w:vMerge/>
            <w:hideMark/>
          </w:tcPr>
          <w:p w14:paraId="6B6E4258" w14:textId="77777777" w:rsidR="00C54D08" w:rsidRPr="001E75FF" w:rsidRDefault="00C54D08" w:rsidP="00921907">
            <w:pPr>
              <w:keepNext/>
              <w:keepLines/>
              <w:widowControl/>
              <w:rPr>
                <w:rFonts w:cs="Arial"/>
                <w:b/>
                <w:bCs/>
                <w:szCs w:val="22"/>
                <w:lang w:eastAsia="en-GB" w:bidi="ar-SA"/>
              </w:rPr>
            </w:pPr>
          </w:p>
        </w:tc>
        <w:tc>
          <w:tcPr>
            <w:tcW w:w="2693" w:type="dxa"/>
            <w:gridSpan w:val="2"/>
            <w:hideMark/>
          </w:tcPr>
          <w:p w14:paraId="62D9E231" w14:textId="3F888476" w:rsidR="00C54D08" w:rsidRPr="001E75FF" w:rsidRDefault="00C54D08" w:rsidP="00921907">
            <w:pPr>
              <w:keepNext/>
              <w:keepLines/>
              <w:widowControl/>
              <w:jc w:val="center"/>
              <w:rPr>
                <w:rFonts w:cs="Arial"/>
                <w:b/>
                <w:bCs/>
                <w:szCs w:val="22"/>
                <w:lang w:eastAsia="en-GB" w:bidi="ar-SA"/>
              </w:rPr>
            </w:pPr>
            <w:r w:rsidRPr="001E75FF">
              <w:rPr>
                <w:rFonts w:cs="Arial"/>
                <w:b/>
                <w:bCs/>
                <w:szCs w:val="22"/>
                <w:lang w:eastAsia="en-GB" w:bidi="ar-SA"/>
              </w:rPr>
              <w:t>Mean</w:t>
            </w:r>
          </w:p>
        </w:tc>
        <w:tc>
          <w:tcPr>
            <w:tcW w:w="2693" w:type="dxa"/>
            <w:gridSpan w:val="2"/>
          </w:tcPr>
          <w:p w14:paraId="53A9D22D" w14:textId="6D083BB4" w:rsidR="00C54D08" w:rsidRPr="001E75FF" w:rsidRDefault="00C54D08" w:rsidP="00921907">
            <w:pPr>
              <w:keepNext/>
              <w:keepLines/>
              <w:widowControl/>
              <w:jc w:val="center"/>
              <w:rPr>
                <w:rFonts w:cs="Arial"/>
                <w:b/>
                <w:bCs/>
                <w:szCs w:val="22"/>
                <w:lang w:eastAsia="en-GB" w:bidi="ar-SA"/>
              </w:rPr>
            </w:pPr>
            <w:r w:rsidRPr="001E75FF">
              <w:rPr>
                <w:rFonts w:cs="Arial"/>
                <w:b/>
                <w:bCs/>
                <w:szCs w:val="22"/>
                <w:lang w:eastAsia="en-GB" w:bidi="ar-SA"/>
              </w:rPr>
              <w:t>P90</w:t>
            </w:r>
          </w:p>
        </w:tc>
      </w:tr>
      <w:tr w:rsidR="00C54D08" w:rsidRPr="00C54D08" w14:paraId="7FFADDDB" w14:textId="77777777" w:rsidTr="006A1C46">
        <w:trPr>
          <w:trHeight w:val="850"/>
        </w:trPr>
        <w:tc>
          <w:tcPr>
            <w:tcW w:w="1975" w:type="dxa"/>
            <w:vMerge/>
            <w:hideMark/>
          </w:tcPr>
          <w:p w14:paraId="1BD6B26F" w14:textId="77777777" w:rsidR="00C54D08" w:rsidRPr="001E75FF" w:rsidRDefault="00C54D08" w:rsidP="00921907">
            <w:pPr>
              <w:keepNext/>
              <w:keepLines/>
              <w:widowControl/>
              <w:rPr>
                <w:rFonts w:cs="Arial"/>
                <w:b/>
                <w:bCs/>
                <w:szCs w:val="22"/>
                <w:lang w:eastAsia="en-GB" w:bidi="ar-SA"/>
              </w:rPr>
            </w:pPr>
          </w:p>
        </w:tc>
        <w:tc>
          <w:tcPr>
            <w:tcW w:w="1701" w:type="dxa"/>
            <w:vMerge/>
            <w:hideMark/>
          </w:tcPr>
          <w:p w14:paraId="1688147C" w14:textId="77777777" w:rsidR="00C54D08" w:rsidRPr="001E75FF" w:rsidRDefault="00C54D08" w:rsidP="00921907">
            <w:pPr>
              <w:keepNext/>
              <w:keepLines/>
              <w:widowControl/>
              <w:rPr>
                <w:rFonts w:cs="Arial"/>
                <w:b/>
                <w:bCs/>
                <w:szCs w:val="22"/>
                <w:lang w:eastAsia="en-GB" w:bidi="ar-SA"/>
              </w:rPr>
            </w:pPr>
          </w:p>
        </w:tc>
        <w:tc>
          <w:tcPr>
            <w:tcW w:w="1346" w:type="dxa"/>
            <w:hideMark/>
          </w:tcPr>
          <w:p w14:paraId="7D868972" w14:textId="3F111267" w:rsidR="00C54D08" w:rsidRPr="001E75FF" w:rsidRDefault="00C54D08" w:rsidP="00921907">
            <w:pPr>
              <w:keepNext/>
              <w:keepLines/>
              <w:widowControl/>
              <w:jc w:val="center"/>
              <w:rPr>
                <w:rFonts w:cs="Arial"/>
                <w:b/>
                <w:bCs/>
                <w:szCs w:val="22"/>
                <w:lang w:eastAsia="en-GB" w:bidi="ar-SA"/>
              </w:rPr>
            </w:pPr>
            <w:r w:rsidRPr="001E75FF">
              <w:rPr>
                <w:rFonts w:cs="Arial"/>
                <w:b/>
                <w:bCs/>
                <w:szCs w:val="22"/>
                <w:lang w:eastAsia="en-GB" w:bidi="ar-SA"/>
              </w:rPr>
              <w:t xml:space="preserve">Average </w:t>
            </w:r>
            <w:r w:rsidR="00D53344" w:rsidRPr="001E75FF">
              <w:rPr>
                <w:rFonts w:cs="Arial"/>
                <w:b/>
                <w:bCs/>
                <w:szCs w:val="22"/>
                <w:lang w:eastAsia="en-GB" w:bidi="ar-SA"/>
              </w:rPr>
              <w:t xml:space="preserve">residue </w:t>
            </w:r>
            <w:r w:rsidRPr="001E75FF">
              <w:rPr>
                <w:rFonts w:cs="Arial"/>
                <w:b/>
                <w:bCs/>
                <w:szCs w:val="22"/>
                <w:lang w:eastAsia="en-GB" w:bidi="ar-SA"/>
              </w:rPr>
              <w:t>level</w:t>
            </w:r>
          </w:p>
        </w:tc>
        <w:tc>
          <w:tcPr>
            <w:tcW w:w="1346" w:type="dxa"/>
            <w:hideMark/>
          </w:tcPr>
          <w:p w14:paraId="2D53E7A8" w14:textId="27FFC2A0" w:rsidR="00C54D08" w:rsidRPr="001E75FF" w:rsidRDefault="00C54D08" w:rsidP="00921907">
            <w:pPr>
              <w:keepNext/>
              <w:keepLines/>
              <w:widowControl/>
              <w:jc w:val="center"/>
              <w:rPr>
                <w:rFonts w:cs="Arial"/>
                <w:b/>
                <w:bCs/>
                <w:szCs w:val="22"/>
                <w:lang w:eastAsia="en-GB" w:bidi="ar-SA"/>
              </w:rPr>
            </w:pPr>
            <w:r w:rsidRPr="001E75FF">
              <w:rPr>
                <w:rFonts w:cs="Arial"/>
                <w:b/>
                <w:bCs/>
                <w:szCs w:val="22"/>
                <w:lang w:eastAsia="en-GB" w:bidi="ar-SA"/>
              </w:rPr>
              <w:t xml:space="preserve">Maximum </w:t>
            </w:r>
            <w:r w:rsidR="00D53344" w:rsidRPr="001E75FF">
              <w:rPr>
                <w:rFonts w:cs="Arial"/>
                <w:b/>
                <w:bCs/>
                <w:szCs w:val="22"/>
                <w:lang w:eastAsia="en-GB" w:bidi="ar-SA"/>
              </w:rPr>
              <w:t xml:space="preserve">residue </w:t>
            </w:r>
            <w:r w:rsidRPr="001E75FF">
              <w:rPr>
                <w:rFonts w:cs="Arial"/>
                <w:b/>
                <w:bCs/>
                <w:szCs w:val="22"/>
                <w:lang w:eastAsia="en-GB" w:bidi="ar-SA"/>
              </w:rPr>
              <w:t>level</w:t>
            </w:r>
          </w:p>
        </w:tc>
        <w:tc>
          <w:tcPr>
            <w:tcW w:w="1347" w:type="dxa"/>
            <w:hideMark/>
          </w:tcPr>
          <w:p w14:paraId="06EADAA5" w14:textId="46A4D5C6" w:rsidR="00C54D08" w:rsidRPr="001E75FF" w:rsidRDefault="00C54D08" w:rsidP="00921907">
            <w:pPr>
              <w:keepNext/>
              <w:keepLines/>
              <w:widowControl/>
              <w:jc w:val="center"/>
              <w:rPr>
                <w:rFonts w:cs="Arial"/>
                <w:b/>
                <w:bCs/>
                <w:szCs w:val="22"/>
                <w:lang w:eastAsia="en-GB" w:bidi="ar-SA"/>
              </w:rPr>
            </w:pPr>
            <w:r w:rsidRPr="001E75FF">
              <w:rPr>
                <w:rFonts w:cs="Arial"/>
                <w:b/>
                <w:bCs/>
                <w:szCs w:val="22"/>
                <w:lang w:eastAsia="en-GB" w:bidi="ar-SA"/>
              </w:rPr>
              <w:t xml:space="preserve">Average </w:t>
            </w:r>
            <w:r w:rsidR="00D53344" w:rsidRPr="001E75FF">
              <w:rPr>
                <w:rFonts w:cs="Arial"/>
                <w:b/>
                <w:bCs/>
                <w:szCs w:val="22"/>
                <w:lang w:eastAsia="en-GB" w:bidi="ar-SA"/>
              </w:rPr>
              <w:t xml:space="preserve">residue </w:t>
            </w:r>
            <w:r w:rsidRPr="001E75FF">
              <w:rPr>
                <w:rFonts w:cs="Arial"/>
                <w:b/>
                <w:bCs/>
                <w:szCs w:val="22"/>
                <w:lang w:eastAsia="en-GB" w:bidi="ar-SA"/>
              </w:rPr>
              <w:t>level</w:t>
            </w:r>
          </w:p>
        </w:tc>
        <w:tc>
          <w:tcPr>
            <w:tcW w:w="1347" w:type="dxa"/>
            <w:hideMark/>
          </w:tcPr>
          <w:p w14:paraId="7AD2B1C5" w14:textId="33749759" w:rsidR="00C54D08" w:rsidRPr="001E75FF" w:rsidRDefault="00C54D08" w:rsidP="00921907">
            <w:pPr>
              <w:keepNext/>
              <w:keepLines/>
              <w:widowControl/>
              <w:jc w:val="center"/>
              <w:rPr>
                <w:rFonts w:cs="Arial"/>
                <w:b/>
                <w:bCs/>
                <w:szCs w:val="22"/>
                <w:lang w:eastAsia="en-GB" w:bidi="ar-SA"/>
              </w:rPr>
            </w:pPr>
            <w:r w:rsidRPr="001E75FF">
              <w:rPr>
                <w:rFonts w:cs="Arial"/>
                <w:b/>
                <w:bCs/>
                <w:szCs w:val="22"/>
                <w:lang w:eastAsia="en-GB" w:bidi="ar-SA"/>
              </w:rPr>
              <w:t xml:space="preserve">Maximum </w:t>
            </w:r>
            <w:r w:rsidR="00D53344" w:rsidRPr="001E75FF">
              <w:rPr>
                <w:rFonts w:cs="Arial"/>
                <w:b/>
                <w:bCs/>
                <w:szCs w:val="22"/>
                <w:lang w:eastAsia="en-GB" w:bidi="ar-SA"/>
              </w:rPr>
              <w:t xml:space="preserve">residue </w:t>
            </w:r>
            <w:r w:rsidRPr="001E75FF">
              <w:rPr>
                <w:rFonts w:cs="Arial"/>
                <w:b/>
                <w:bCs/>
                <w:szCs w:val="22"/>
                <w:lang w:eastAsia="en-GB" w:bidi="ar-SA"/>
              </w:rPr>
              <w:t>level</w:t>
            </w:r>
          </w:p>
        </w:tc>
      </w:tr>
      <w:tr w:rsidR="00C54D08" w:rsidRPr="00C54D08" w14:paraId="589949B6" w14:textId="77777777" w:rsidTr="006A1C46">
        <w:trPr>
          <w:trHeight w:val="497"/>
        </w:trPr>
        <w:tc>
          <w:tcPr>
            <w:tcW w:w="1975" w:type="dxa"/>
            <w:hideMark/>
          </w:tcPr>
          <w:p w14:paraId="561E0E2C" w14:textId="77777777" w:rsidR="00C54D08" w:rsidRPr="001E75FF" w:rsidRDefault="00C54D08" w:rsidP="00921907">
            <w:pPr>
              <w:keepNext/>
              <w:keepLines/>
              <w:widowControl/>
              <w:rPr>
                <w:rFonts w:cs="Arial"/>
                <w:bCs/>
                <w:szCs w:val="22"/>
                <w:lang w:eastAsia="en-GB" w:bidi="ar-SA"/>
              </w:rPr>
            </w:pPr>
            <w:r w:rsidRPr="001E75FF">
              <w:rPr>
                <w:rFonts w:cs="Arial"/>
                <w:bCs/>
                <w:szCs w:val="22"/>
                <w:lang w:eastAsia="en-GB" w:bidi="ar-SA"/>
              </w:rPr>
              <w:t>Australia</w:t>
            </w:r>
          </w:p>
        </w:tc>
        <w:tc>
          <w:tcPr>
            <w:tcW w:w="1701" w:type="dxa"/>
            <w:hideMark/>
          </w:tcPr>
          <w:p w14:paraId="5A129250" w14:textId="77777777" w:rsidR="00C54D08" w:rsidRPr="00C54D08" w:rsidRDefault="00C54D08" w:rsidP="00921907">
            <w:pPr>
              <w:keepNext/>
              <w:keepLines/>
              <w:widowControl/>
              <w:rPr>
                <w:rFonts w:cs="Arial"/>
                <w:color w:val="000000"/>
                <w:szCs w:val="22"/>
                <w:lang w:eastAsia="en-GB" w:bidi="ar-SA"/>
              </w:rPr>
            </w:pPr>
            <w:r w:rsidRPr="00C54D08">
              <w:rPr>
                <w:rFonts w:cs="Arial"/>
                <w:color w:val="000000"/>
                <w:szCs w:val="22"/>
                <w:lang w:eastAsia="en-GB" w:bidi="ar-SA"/>
              </w:rPr>
              <w:t>2 years and above</w:t>
            </w:r>
            <w:r w:rsidRPr="00C54D08">
              <w:rPr>
                <w:rFonts w:ascii="Wingdings" w:hAnsi="Wingdings" w:cs="Arial"/>
                <w:color w:val="000000"/>
                <w:sz w:val="20"/>
                <w:szCs w:val="20"/>
                <w:vertAlign w:val="superscript"/>
                <w:lang w:eastAsia="en-GB" w:bidi="ar-SA"/>
              </w:rPr>
              <w:t></w:t>
            </w:r>
          </w:p>
        </w:tc>
        <w:tc>
          <w:tcPr>
            <w:tcW w:w="1346" w:type="dxa"/>
            <w:hideMark/>
          </w:tcPr>
          <w:p w14:paraId="1583E939"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3200</w:t>
            </w:r>
          </w:p>
        </w:tc>
        <w:tc>
          <w:tcPr>
            <w:tcW w:w="1346" w:type="dxa"/>
            <w:hideMark/>
          </w:tcPr>
          <w:p w14:paraId="0096E13D"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2900</w:t>
            </w:r>
          </w:p>
        </w:tc>
        <w:tc>
          <w:tcPr>
            <w:tcW w:w="1347" w:type="dxa"/>
            <w:hideMark/>
          </w:tcPr>
          <w:p w14:paraId="374B971C"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1400</w:t>
            </w:r>
          </w:p>
        </w:tc>
        <w:tc>
          <w:tcPr>
            <w:tcW w:w="1347" w:type="dxa"/>
            <w:hideMark/>
          </w:tcPr>
          <w:p w14:paraId="69F0DE9E"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1300</w:t>
            </w:r>
          </w:p>
        </w:tc>
      </w:tr>
      <w:tr w:rsidR="00C54D08" w:rsidRPr="00C54D08" w14:paraId="324124EE" w14:textId="77777777" w:rsidTr="006A1C46">
        <w:trPr>
          <w:trHeight w:val="263"/>
        </w:trPr>
        <w:tc>
          <w:tcPr>
            <w:tcW w:w="1975" w:type="dxa"/>
            <w:vMerge w:val="restart"/>
            <w:hideMark/>
          </w:tcPr>
          <w:p w14:paraId="0BAD9DB1" w14:textId="7F160C0F" w:rsidR="00C54D08" w:rsidRPr="001E75FF" w:rsidRDefault="00C54D08" w:rsidP="00921907">
            <w:pPr>
              <w:keepNext/>
              <w:keepLines/>
              <w:widowControl/>
              <w:rPr>
                <w:rFonts w:cs="Arial"/>
                <w:bCs/>
                <w:szCs w:val="22"/>
                <w:lang w:eastAsia="en-GB" w:bidi="ar-SA"/>
              </w:rPr>
            </w:pPr>
            <w:r w:rsidRPr="001E75FF">
              <w:rPr>
                <w:rFonts w:cs="Arial"/>
                <w:bCs/>
                <w:szCs w:val="22"/>
                <w:lang w:eastAsia="en-GB" w:bidi="ar-SA"/>
              </w:rPr>
              <w:t>New Zealand</w:t>
            </w:r>
          </w:p>
        </w:tc>
        <w:tc>
          <w:tcPr>
            <w:tcW w:w="1701" w:type="dxa"/>
            <w:hideMark/>
          </w:tcPr>
          <w:p w14:paraId="1E874939" w14:textId="77777777" w:rsidR="00C54D08" w:rsidRPr="00C54D08" w:rsidRDefault="00C54D08" w:rsidP="00921907">
            <w:pPr>
              <w:keepNext/>
              <w:keepLines/>
              <w:widowControl/>
              <w:rPr>
                <w:rFonts w:cs="Arial"/>
                <w:color w:val="000000"/>
                <w:szCs w:val="22"/>
                <w:lang w:eastAsia="en-GB" w:bidi="ar-SA"/>
              </w:rPr>
            </w:pPr>
            <w:r w:rsidRPr="00C54D08">
              <w:rPr>
                <w:rFonts w:cs="Arial"/>
                <w:color w:val="000000"/>
                <w:szCs w:val="22"/>
                <w:lang w:eastAsia="en-GB" w:bidi="ar-SA"/>
              </w:rPr>
              <w:t>5-14 years</w:t>
            </w:r>
            <w:r w:rsidRPr="00C54D08">
              <w:rPr>
                <w:rFonts w:ascii="Wingdings 3" w:hAnsi="Wingdings 3" w:cs="Arial"/>
                <w:color w:val="000000"/>
                <w:sz w:val="20"/>
                <w:szCs w:val="20"/>
                <w:vertAlign w:val="superscript"/>
                <w:lang w:eastAsia="en-GB" w:bidi="ar-SA"/>
              </w:rPr>
              <w:t></w:t>
            </w:r>
          </w:p>
        </w:tc>
        <w:tc>
          <w:tcPr>
            <w:tcW w:w="1346" w:type="dxa"/>
            <w:hideMark/>
          </w:tcPr>
          <w:p w14:paraId="4710D2D8"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1700</w:t>
            </w:r>
          </w:p>
        </w:tc>
        <w:tc>
          <w:tcPr>
            <w:tcW w:w="1346" w:type="dxa"/>
            <w:hideMark/>
          </w:tcPr>
          <w:p w14:paraId="6B7578B7"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1500</w:t>
            </w:r>
          </w:p>
        </w:tc>
        <w:tc>
          <w:tcPr>
            <w:tcW w:w="1347" w:type="dxa"/>
            <w:hideMark/>
          </w:tcPr>
          <w:p w14:paraId="14A4F2EE"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600</w:t>
            </w:r>
          </w:p>
        </w:tc>
        <w:tc>
          <w:tcPr>
            <w:tcW w:w="1347" w:type="dxa"/>
            <w:hideMark/>
          </w:tcPr>
          <w:p w14:paraId="17083E0D"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600</w:t>
            </w:r>
          </w:p>
        </w:tc>
      </w:tr>
      <w:tr w:rsidR="00C54D08" w:rsidRPr="00C54D08" w14:paraId="697C050C" w14:textId="77777777" w:rsidTr="006A1C46">
        <w:trPr>
          <w:trHeight w:val="550"/>
        </w:trPr>
        <w:tc>
          <w:tcPr>
            <w:tcW w:w="1975" w:type="dxa"/>
            <w:vMerge/>
            <w:hideMark/>
          </w:tcPr>
          <w:p w14:paraId="08329EBF" w14:textId="5DDC0A11" w:rsidR="00C54D08" w:rsidRPr="00C54D08" w:rsidRDefault="00C54D08" w:rsidP="00921907">
            <w:pPr>
              <w:keepNext/>
              <w:keepLines/>
              <w:widowControl/>
              <w:rPr>
                <w:rFonts w:cs="Arial"/>
                <w:b/>
                <w:bCs/>
                <w:color w:val="FFFFFF"/>
                <w:szCs w:val="22"/>
                <w:lang w:eastAsia="en-GB" w:bidi="ar-SA"/>
              </w:rPr>
            </w:pPr>
          </w:p>
        </w:tc>
        <w:tc>
          <w:tcPr>
            <w:tcW w:w="1701" w:type="dxa"/>
            <w:hideMark/>
          </w:tcPr>
          <w:p w14:paraId="1900C886" w14:textId="77777777" w:rsidR="00C54D08" w:rsidRPr="00C54D08" w:rsidRDefault="00C54D08" w:rsidP="00921907">
            <w:pPr>
              <w:keepNext/>
              <w:keepLines/>
              <w:widowControl/>
              <w:rPr>
                <w:rFonts w:cs="Arial"/>
                <w:color w:val="000000"/>
                <w:szCs w:val="22"/>
                <w:lang w:eastAsia="en-GB" w:bidi="ar-SA"/>
              </w:rPr>
            </w:pPr>
            <w:r w:rsidRPr="00C54D08">
              <w:rPr>
                <w:rFonts w:cs="Arial"/>
                <w:color w:val="000000"/>
                <w:szCs w:val="22"/>
                <w:lang w:eastAsia="en-GB" w:bidi="ar-SA"/>
              </w:rPr>
              <w:t>15 years and above</w:t>
            </w:r>
            <w:r w:rsidRPr="00C54D08">
              <w:rPr>
                <w:rFonts w:ascii="Wingdings 3" w:hAnsi="Wingdings 3" w:cs="Arial"/>
                <w:color w:val="000000"/>
                <w:sz w:val="20"/>
                <w:szCs w:val="20"/>
                <w:vertAlign w:val="superscript"/>
                <w:lang w:eastAsia="en-GB" w:bidi="ar-SA"/>
              </w:rPr>
              <w:t></w:t>
            </w:r>
          </w:p>
        </w:tc>
        <w:tc>
          <w:tcPr>
            <w:tcW w:w="1346" w:type="dxa"/>
            <w:hideMark/>
          </w:tcPr>
          <w:p w14:paraId="4E198CED"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2400</w:t>
            </w:r>
          </w:p>
        </w:tc>
        <w:tc>
          <w:tcPr>
            <w:tcW w:w="1346" w:type="dxa"/>
            <w:hideMark/>
          </w:tcPr>
          <w:p w14:paraId="45404E8B"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2200</w:t>
            </w:r>
          </w:p>
        </w:tc>
        <w:tc>
          <w:tcPr>
            <w:tcW w:w="1347" w:type="dxa"/>
            <w:hideMark/>
          </w:tcPr>
          <w:p w14:paraId="4F11FA4B" w14:textId="77777777"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1000</w:t>
            </w:r>
          </w:p>
        </w:tc>
        <w:tc>
          <w:tcPr>
            <w:tcW w:w="1347" w:type="dxa"/>
            <w:hideMark/>
          </w:tcPr>
          <w:p w14:paraId="7FBBFA3D" w14:textId="23FE135A" w:rsidR="00C54D08" w:rsidRPr="00C54D08" w:rsidRDefault="00C54D08" w:rsidP="00921907">
            <w:pPr>
              <w:keepNext/>
              <w:keepLines/>
              <w:widowControl/>
              <w:jc w:val="center"/>
              <w:rPr>
                <w:rFonts w:cs="Arial"/>
                <w:color w:val="000000"/>
                <w:szCs w:val="22"/>
                <w:lang w:eastAsia="en-GB" w:bidi="ar-SA"/>
              </w:rPr>
            </w:pPr>
            <w:r w:rsidRPr="00C54D08">
              <w:rPr>
                <w:rFonts w:cs="Arial"/>
                <w:color w:val="000000"/>
                <w:szCs w:val="22"/>
                <w:lang w:eastAsia="en-GB" w:bidi="ar-SA"/>
              </w:rPr>
              <w:t>900</w:t>
            </w:r>
          </w:p>
        </w:tc>
      </w:tr>
    </w:tbl>
    <w:p w14:paraId="08F81765" w14:textId="463CFD0B" w:rsidR="00672034" w:rsidRPr="001F7442" w:rsidRDefault="00672034" w:rsidP="00921907">
      <w:pPr>
        <w:keepNext/>
        <w:keepLines/>
        <w:ind w:left="567" w:hanging="567"/>
        <w:rPr>
          <w:sz w:val="16"/>
          <w:szCs w:val="16"/>
        </w:rPr>
      </w:pPr>
      <w:r w:rsidRPr="001F7442">
        <w:rPr>
          <w:rFonts w:cs="Arial"/>
          <w:sz w:val="16"/>
          <w:szCs w:val="16"/>
        </w:rPr>
        <w:sym w:font="Wingdings" w:char="F074"/>
      </w:r>
      <w:r w:rsidRPr="001F7442">
        <w:rPr>
          <w:sz w:val="16"/>
          <w:szCs w:val="16"/>
        </w:rPr>
        <w:tab/>
      </w:r>
      <w:r w:rsidRPr="005575D5">
        <w:rPr>
          <w:sz w:val="16"/>
          <w:szCs w:val="16"/>
        </w:rPr>
        <w:t>Consumers as a % of total respondents</w:t>
      </w:r>
      <w:r>
        <w:rPr>
          <w:sz w:val="16"/>
          <w:szCs w:val="16"/>
        </w:rPr>
        <w:t xml:space="preserve">. A consumer is a </w:t>
      </w:r>
      <w:r w:rsidRPr="005575D5">
        <w:rPr>
          <w:sz w:val="16"/>
          <w:szCs w:val="16"/>
        </w:rPr>
        <w:t xml:space="preserve">respondent in the </w:t>
      </w:r>
      <w:r>
        <w:rPr>
          <w:sz w:val="16"/>
          <w:szCs w:val="16"/>
        </w:rPr>
        <w:t>national nutrition survey</w:t>
      </w:r>
      <w:r w:rsidRPr="005575D5">
        <w:rPr>
          <w:sz w:val="16"/>
          <w:szCs w:val="16"/>
        </w:rPr>
        <w:t xml:space="preserve"> who</w:t>
      </w:r>
      <w:r>
        <w:rPr>
          <w:sz w:val="16"/>
          <w:szCs w:val="16"/>
        </w:rPr>
        <w:t xml:space="preserve"> consumes a food containing </w:t>
      </w:r>
      <w:r w:rsidR="00202B57">
        <w:rPr>
          <w:sz w:val="16"/>
          <w:szCs w:val="16"/>
        </w:rPr>
        <w:t>CPC</w:t>
      </w:r>
      <w:r>
        <w:rPr>
          <w:sz w:val="16"/>
          <w:szCs w:val="16"/>
        </w:rPr>
        <w:t xml:space="preserve">. A respondent is anyone in a national nutrition survey, irrespective of whether they consume a food that contains </w:t>
      </w:r>
      <w:r w:rsidR="00202B57">
        <w:rPr>
          <w:sz w:val="16"/>
          <w:szCs w:val="16"/>
        </w:rPr>
        <w:t>CPC</w:t>
      </w:r>
      <w:r>
        <w:rPr>
          <w:sz w:val="16"/>
          <w:szCs w:val="16"/>
        </w:rPr>
        <w:t xml:space="preserve"> or not</w:t>
      </w:r>
      <w:r w:rsidR="00B21B2C">
        <w:rPr>
          <w:sz w:val="16"/>
          <w:szCs w:val="16"/>
        </w:rPr>
        <w:t>.</w:t>
      </w:r>
    </w:p>
    <w:p w14:paraId="30A63211" w14:textId="78EC1689" w:rsidR="00672034" w:rsidRPr="001F034B" w:rsidRDefault="00672034" w:rsidP="00921907">
      <w:pPr>
        <w:keepNext/>
        <w:keepLines/>
        <w:rPr>
          <w:sz w:val="16"/>
          <w:szCs w:val="16"/>
        </w:rPr>
      </w:pPr>
      <w:r w:rsidRPr="001F034B">
        <w:rPr>
          <w:sz w:val="16"/>
          <w:szCs w:val="16"/>
        </w:rPr>
        <w:sym w:font="Wingdings" w:char="F076"/>
      </w:r>
      <w:r w:rsidRPr="001F034B">
        <w:rPr>
          <w:sz w:val="16"/>
          <w:szCs w:val="16"/>
        </w:rPr>
        <w:tab/>
        <w:t xml:space="preserve">Based on </w:t>
      </w:r>
      <w:r>
        <w:rPr>
          <w:sz w:val="16"/>
          <w:szCs w:val="16"/>
        </w:rPr>
        <w:t>consumption data from Day 1 and 2</w:t>
      </w:r>
      <w:r w:rsidR="00B21B2C">
        <w:rPr>
          <w:sz w:val="16"/>
          <w:szCs w:val="16"/>
        </w:rPr>
        <w:t>.</w:t>
      </w:r>
    </w:p>
    <w:p w14:paraId="72DB8EBD" w14:textId="164BFF92" w:rsidR="00672034" w:rsidRDefault="00672034" w:rsidP="00921907">
      <w:pPr>
        <w:keepNext/>
        <w:keepLines/>
        <w:rPr>
          <w:sz w:val="16"/>
          <w:szCs w:val="16"/>
        </w:rPr>
      </w:pPr>
      <w:r w:rsidRPr="001F034B">
        <w:rPr>
          <w:sz w:val="16"/>
          <w:szCs w:val="16"/>
        </w:rPr>
        <w:sym w:font="Wingdings 3" w:char="F073"/>
      </w:r>
      <w:r w:rsidRPr="001F034B">
        <w:rPr>
          <w:sz w:val="16"/>
          <w:szCs w:val="16"/>
        </w:rPr>
        <w:tab/>
        <w:t>Based on</w:t>
      </w:r>
      <w:r>
        <w:rPr>
          <w:sz w:val="16"/>
          <w:szCs w:val="16"/>
        </w:rPr>
        <w:t xml:space="preserve"> consumption data from</w:t>
      </w:r>
      <w:r w:rsidRPr="001F034B">
        <w:rPr>
          <w:sz w:val="16"/>
          <w:szCs w:val="16"/>
        </w:rPr>
        <w:t xml:space="preserve"> Day 1 respondents only</w:t>
      </w:r>
      <w:r w:rsidR="00B21B2C">
        <w:rPr>
          <w:sz w:val="16"/>
          <w:szCs w:val="16"/>
        </w:rPr>
        <w:t>.</w:t>
      </w:r>
    </w:p>
    <w:p w14:paraId="4C9266AE" w14:textId="298D510B" w:rsidR="00725444" w:rsidRPr="00023CC2" w:rsidRDefault="00725444" w:rsidP="00921907">
      <w:pPr>
        <w:keepNext/>
        <w:keepLines/>
        <w:ind w:left="567" w:hanging="567"/>
      </w:pPr>
      <w:r w:rsidRPr="00725444">
        <w:rPr>
          <w:sz w:val="16"/>
          <w:szCs w:val="16"/>
        </w:rPr>
        <w:t xml:space="preserve">* </w:t>
      </w:r>
      <w:r>
        <w:rPr>
          <w:sz w:val="16"/>
          <w:szCs w:val="16"/>
        </w:rPr>
        <w:tab/>
      </w:r>
      <w:r w:rsidRPr="00725444">
        <w:rPr>
          <w:sz w:val="16"/>
          <w:szCs w:val="16"/>
        </w:rPr>
        <w:t>Based on a NOAEL of 8 mg/kg bw/day.</w:t>
      </w:r>
    </w:p>
    <w:p w14:paraId="3E6297C3" w14:textId="77777777" w:rsidR="00725444" w:rsidRPr="00E009E2" w:rsidRDefault="00725444" w:rsidP="00672034">
      <w:pPr>
        <w:rPr>
          <w:highlight w:val="yellow"/>
        </w:rPr>
      </w:pPr>
    </w:p>
    <w:p w14:paraId="4AFBF9D6" w14:textId="72FCDC30" w:rsidR="00FB1489" w:rsidRDefault="009E17DE" w:rsidP="00144782">
      <w:pPr>
        <w:rPr>
          <w:lang w:bidi="ar-SA"/>
        </w:rPr>
      </w:pPr>
      <w:r>
        <w:rPr>
          <w:lang w:bidi="ar-SA"/>
        </w:rPr>
        <w:t xml:space="preserve">Taking into account the available toxicological </w:t>
      </w:r>
      <w:r w:rsidR="00F06F46">
        <w:rPr>
          <w:lang w:bidi="ar-SA"/>
        </w:rPr>
        <w:t xml:space="preserve">information </w:t>
      </w:r>
      <w:r>
        <w:rPr>
          <w:lang w:bidi="ar-SA"/>
        </w:rPr>
        <w:t xml:space="preserve">and the conservative nature of the dietary exposure assessment, the MOEs </w:t>
      </w:r>
      <w:r w:rsidR="00F06F46">
        <w:rPr>
          <w:lang w:bidi="ar-SA"/>
        </w:rPr>
        <w:t>are sufficiently large to account for the uncertainties in the database</w:t>
      </w:r>
      <w:r w:rsidR="00861434">
        <w:rPr>
          <w:lang w:bidi="ar-SA"/>
        </w:rPr>
        <w:t xml:space="preserve"> for CPC</w:t>
      </w:r>
      <w:r w:rsidR="00F06F46">
        <w:rPr>
          <w:lang w:bidi="ar-SA"/>
        </w:rPr>
        <w:t>, and</w:t>
      </w:r>
      <w:r>
        <w:rPr>
          <w:lang w:bidi="ar-SA"/>
        </w:rPr>
        <w:t xml:space="preserve"> indicate that there are no safety concerns from the proposed use of CPC as a poultry treatment. </w:t>
      </w:r>
    </w:p>
    <w:p w14:paraId="4A6AA623" w14:textId="1D19D8B0" w:rsidR="00FB1489" w:rsidRPr="002442E9" w:rsidRDefault="00041E8D">
      <w:pPr>
        <w:pStyle w:val="Heading2"/>
      </w:pPr>
      <w:bookmarkStart w:id="328" w:name="_Toc63330887"/>
      <w:bookmarkStart w:id="329" w:name="_Toc92722942"/>
      <w:bookmarkStart w:id="330" w:name="_Toc93592332"/>
      <w:bookmarkStart w:id="331" w:name="_Toc93585343"/>
      <w:bookmarkStart w:id="332" w:name="_Toc97041638"/>
      <w:r>
        <w:t>5.</w:t>
      </w:r>
      <w:r w:rsidR="00FB1489" w:rsidRPr="002442E9">
        <w:t>2</w:t>
      </w:r>
      <w:r w:rsidR="00FB1489" w:rsidRPr="002442E9">
        <w:tab/>
        <w:t>Propylene glycol</w:t>
      </w:r>
      <w:bookmarkEnd w:id="328"/>
      <w:bookmarkEnd w:id="329"/>
      <w:bookmarkEnd w:id="330"/>
      <w:bookmarkEnd w:id="331"/>
      <w:bookmarkEnd w:id="332"/>
    </w:p>
    <w:p w14:paraId="26F5E12F" w14:textId="19CB2F08" w:rsidR="005C3FB5" w:rsidRDefault="00E84075" w:rsidP="00144782">
      <w:pPr>
        <w:rPr>
          <w:lang w:bidi="ar-SA"/>
        </w:rPr>
      </w:pPr>
      <w:r w:rsidRPr="002442E9">
        <w:rPr>
          <w:lang w:bidi="ar-SA"/>
        </w:rPr>
        <w:t xml:space="preserve">FSANZ has used the </w:t>
      </w:r>
      <w:r w:rsidR="00AB074B" w:rsidRPr="002442E9">
        <w:rPr>
          <w:lang w:bidi="ar-SA"/>
        </w:rPr>
        <w:t xml:space="preserve">propylene glycol </w:t>
      </w:r>
      <w:r w:rsidRPr="002442E9">
        <w:rPr>
          <w:lang w:bidi="ar-SA"/>
        </w:rPr>
        <w:t xml:space="preserve">ADI established </w:t>
      </w:r>
      <w:r w:rsidR="00AB074B" w:rsidRPr="002442E9">
        <w:rPr>
          <w:lang w:bidi="ar-SA"/>
        </w:rPr>
        <w:t xml:space="preserve">by </w:t>
      </w:r>
      <w:r w:rsidRPr="002442E9">
        <w:rPr>
          <w:lang w:bidi="ar-SA"/>
        </w:rPr>
        <w:t>JECFA, of 0 to 25 mg/kg bw</w:t>
      </w:r>
      <w:r w:rsidR="00971E50" w:rsidRPr="002442E9">
        <w:rPr>
          <w:lang w:bidi="ar-SA"/>
        </w:rPr>
        <w:t>/day</w:t>
      </w:r>
      <w:r w:rsidR="00714FFE">
        <w:rPr>
          <w:lang w:bidi="ar-SA"/>
        </w:rPr>
        <w:t xml:space="preserve"> for risk characterisation purposes</w:t>
      </w:r>
      <w:r w:rsidRPr="002442E9">
        <w:rPr>
          <w:lang w:bidi="ar-SA"/>
        </w:rPr>
        <w:t xml:space="preserve">. </w:t>
      </w:r>
    </w:p>
    <w:p w14:paraId="01F1D4F2" w14:textId="77777777" w:rsidR="005C3FB5" w:rsidRDefault="005C3FB5" w:rsidP="00144782">
      <w:pPr>
        <w:rPr>
          <w:lang w:bidi="ar-SA"/>
        </w:rPr>
      </w:pPr>
    </w:p>
    <w:p w14:paraId="102E3D9A" w14:textId="31C9A779" w:rsidR="002442E9" w:rsidRPr="002442E9" w:rsidRDefault="005C3FB5" w:rsidP="00144782">
      <w:pPr>
        <w:rPr>
          <w:lang w:bidi="ar-SA"/>
        </w:rPr>
      </w:pPr>
      <w:r>
        <w:rPr>
          <w:lang w:bidi="ar-SA"/>
        </w:rPr>
        <w:t>Estimated d</w:t>
      </w:r>
      <w:r w:rsidR="00AB074B" w:rsidRPr="002442E9">
        <w:rPr>
          <w:lang w:bidi="ar-SA"/>
        </w:rPr>
        <w:t xml:space="preserve">ietary exposures </w:t>
      </w:r>
      <w:r w:rsidR="00971E50" w:rsidRPr="002442E9">
        <w:rPr>
          <w:lang w:bidi="ar-SA"/>
        </w:rPr>
        <w:t>to</w:t>
      </w:r>
      <w:r w:rsidR="00AB074B" w:rsidRPr="002442E9">
        <w:rPr>
          <w:lang w:bidi="ar-SA"/>
        </w:rPr>
        <w:t xml:space="preserve"> </w:t>
      </w:r>
      <w:r w:rsidR="00971E50" w:rsidRPr="002442E9">
        <w:t xml:space="preserve">propylene glycol from </w:t>
      </w:r>
      <w:r w:rsidR="00845AD2">
        <w:t xml:space="preserve">the </w:t>
      </w:r>
      <w:r w:rsidR="00361C65">
        <w:t xml:space="preserve">applicant’s CPC preparation </w:t>
      </w:r>
      <w:r w:rsidR="00971E50" w:rsidRPr="002442E9">
        <w:t>use</w:t>
      </w:r>
      <w:r w:rsidR="00AB074B" w:rsidRPr="002442E9">
        <w:t xml:space="preserve"> </w:t>
      </w:r>
      <w:r w:rsidR="00AB074B" w:rsidRPr="002442E9">
        <w:rPr>
          <w:lang w:bidi="ar-SA"/>
        </w:rPr>
        <w:t>only</w:t>
      </w:r>
      <w:r>
        <w:rPr>
          <w:lang w:bidi="ar-SA"/>
        </w:rPr>
        <w:t xml:space="preserve"> </w:t>
      </w:r>
      <w:r w:rsidR="00B174BD">
        <w:rPr>
          <w:lang w:bidi="ar-SA"/>
        </w:rPr>
        <w:t>at the</w:t>
      </w:r>
      <w:r w:rsidR="00E84075" w:rsidRPr="002442E9">
        <w:rPr>
          <w:lang w:bidi="ar-SA"/>
        </w:rPr>
        <w:t xml:space="preserve"> mean and P90 </w:t>
      </w:r>
      <w:r w:rsidR="00B174BD">
        <w:rPr>
          <w:lang w:bidi="ar-SA"/>
        </w:rPr>
        <w:t>were</w:t>
      </w:r>
      <w:r w:rsidR="00E84075" w:rsidRPr="002442E9">
        <w:rPr>
          <w:lang w:bidi="ar-SA"/>
        </w:rPr>
        <w:t xml:space="preserve"> below 1% of the ADI for the population groups assessed.</w:t>
      </w:r>
    </w:p>
    <w:p w14:paraId="037B32B7" w14:textId="77777777" w:rsidR="002442E9" w:rsidRPr="002442E9" w:rsidRDefault="002442E9" w:rsidP="00144782">
      <w:pPr>
        <w:rPr>
          <w:lang w:bidi="ar-SA"/>
        </w:rPr>
      </w:pPr>
    </w:p>
    <w:p w14:paraId="111E9E35" w14:textId="74C92190" w:rsidR="00E870F3" w:rsidRDefault="002442E9" w:rsidP="00AF71E7">
      <w:pPr>
        <w:rPr>
          <w:lang w:eastAsia="en-AU" w:bidi="ar-SA"/>
        </w:rPr>
      </w:pPr>
      <w:r w:rsidRPr="002442E9">
        <w:rPr>
          <w:lang w:bidi="ar-SA"/>
        </w:rPr>
        <w:t>When</w:t>
      </w:r>
      <w:r w:rsidR="00E870F3">
        <w:rPr>
          <w:lang w:bidi="ar-SA"/>
        </w:rPr>
        <w:t xml:space="preserve"> current (</w:t>
      </w:r>
      <w:r w:rsidRPr="002442E9">
        <w:rPr>
          <w:lang w:bidi="ar-SA"/>
        </w:rPr>
        <w:t>baseline</w:t>
      </w:r>
      <w:r w:rsidR="00E870F3">
        <w:rPr>
          <w:lang w:bidi="ar-SA"/>
        </w:rPr>
        <w:t>)</w:t>
      </w:r>
      <w:r w:rsidRPr="002442E9">
        <w:rPr>
          <w:lang w:bidi="ar-SA"/>
        </w:rPr>
        <w:t xml:space="preserve"> uses of propylene glycol were included in t</w:t>
      </w:r>
      <w:r w:rsidR="00E870F3">
        <w:rPr>
          <w:lang w:bidi="ar-SA"/>
        </w:rPr>
        <w:t xml:space="preserve">he dietary exposure assessment in combination with </w:t>
      </w:r>
      <w:r w:rsidR="00845AD2">
        <w:rPr>
          <w:lang w:bidi="ar-SA"/>
        </w:rPr>
        <w:t>use of</w:t>
      </w:r>
      <w:r w:rsidR="00E870F3">
        <w:rPr>
          <w:lang w:bidi="ar-SA"/>
        </w:rPr>
        <w:t xml:space="preserve"> the</w:t>
      </w:r>
      <w:r w:rsidRPr="002442E9">
        <w:rPr>
          <w:lang w:bidi="ar-SA"/>
        </w:rPr>
        <w:t xml:space="preserve"> </w:t>
      </w:r>
      <w:r w:rsidR="00361C65">
        <w:rPr>
          <w:lang w:bidi="ar-SA"/>
        </w:rPr>
        <w:t>CPC preparation</w:t>
      </w:r>
      <w:r w:rsidR="00376E79">
        <w:rPr>
          <w:lang w:bidi="ar-SA"/>
        </w:rPr>
        <w:t xml:space="preserve"> </w:t>
      </w:r>
      <w:r w:rsidR="00B174BD">
        <w:rPr>
          <w:lang w:bidi="ar-SA"/>
        </w:rPr>
        <w:t>use</w:t>
      </w:r>
      <w:r w:rsidR="00E870F3">
        <w:rPr>
          <w:lang w:bidi="ar-SA"/>
        </w:rPr>
        <w:t xml:space="preserve">, estimated dietary exposures </w:t>
      </w:r>
      <w:r w:rsidRPr="002442E9">
        <w:rPr>
          <w:lang w:bidi="ar-SA"/>
        </w:rPr>
        <w:t xml:space="preserve">ranged </w:t>
      </w:r>
      <w:r w:rsidR="00E870F3">
        <w:rPr>
          <w:lang w:bidi="ar-SA"/>
        </w:rPr>
        <w:t>between</w:t>
      </w:r>
      <w:r w:rsidRPr="002442E9">
        <w:rPr>
          <w:lang w:bidi="ar-SA"/>
        </w:rPr>
        <w:t xml:space="preserve"> </w:t>
      </w:r>
      <w:r w:rsidR="00B174BD">
        <w:rPr>
          <w:lang w:bidi="ar-SA"/>
        </w:rPr>
        <w:t>1</w:t>
      </w:r>
      <w:r w:rsidR="00E870F3">
        <w:rPr>
          <w:lang w:bidi="ar-SA"/>
        </w:rPr>
        <w:t xml:space="preserve"> and </w:t>
      </w:r>
      <w:r w:rsidR="00B174BD">
        <w:rPr>
          <w:lang w:bidi="ar-SA"/>
        </w:rPr>
        <w:t xml:space="preserve">50% </w:t>
      </w:r>
      <w:r w:rsidR="00E870F3">
        <w:rPr>
          <w:lang w:bidi="ar-SA"/>
        </w:rPr>
        <w:t xml:space="preserve">of the </w:t>
      </w:r>
      <w:r w:rsidR="00B174BD">
        <w:rPr>
          <w:lang w:bidi="ar-SA"/>
        </w:rPr>
        <w:t xml:space="preserve">ADI at the mean </w:t>
      </w:r>
      <w:r w:rsidRPr="002442E9">
        <w:rPr>
          <w:lang w:bidi="ar-SA"/>
        </w:rPr>
        <w:t xml:space="preserve">for </w:t>
      </w:r>
      <w:r w:rsidR="00B174BD">
        <w:rPr>
          <w:lang w:bidi="ar-SA"/>
        </w:rPr>
        <w:t>all population groups assessed</w:t>
      </w:r>
      <w:r w:rsidRPr="002442E9">
        <w:rPr>
          <w:lang w:bidi="ar-SA"/>
        </w:rPr>
        <w:t xml:space="preserve">. </w:t>
      </w:r>
      <w:r w:rsidR="00B174BD">
        <w:rPr>
          <w:lang w:bidi="ar-SA"/>
        </w:rPr>
        <w:t xml:space="preserve">At the P90 exposures ranged </w:t>
      </w:r>
      <w:r w:rsidR="00E870F3">
        <w:rPr>
          <w:lang w:bidi="ar-SA"/>
        </w:rPr>
        <w:t>between</w:t>
      </w:r>
      <w:r w:rsidR="00B174BD">
        <w:rPr>
          <w:lang w:bidi="ar-SA"/>
        </w:rPr>
        <w:t xml:space="preserve"> 2</w:t>
      </w:r>
      <w:r w:rsidR="00E870F3">
        <w:rPr>
          <w:lang w:bidi="ar-SA"/>
        </w:rPr>
        <w:t xml:space="preserve"> and </w:t>
      </w:r>
      <w:r w:rsidR="00B174BD">
        <w:rPr>
          <w:lang w:bidi="ar-SA"/>
        </w:rPr>
        <w:t>110% of the ADI across all population groups assessed.</w:t>
      </w:r>
      <w:r w:rsidR="009100A0">
        <w:rPr>
          <w:lang w:bidi="ar-SA"/>
        </w:rPr>
        <w:t xml:space="preserve"> </w:t>
      </w:r>
      <w:r w:rsidR="00AF71E7">
        <w:rPr>
          <w:lang w:eastAsia="en-AU" w:bidi="ar-SA"/>
        </w:rPr>
        <w:t xml:space="preserve">Further details are </w:t>
      </w:r>
      <w:r w:rsidR="00E870F3">
        <w:rPr>
          <w:lang w:eastAsia="en-AU" w:bidi="ar-SA"/>
        </w:rPr>
        <w:t>shown</w:t>
      </w:r>
      <w:r w:rsidR="00AF71E7">
        <w:rPr>
          <w:lang w:eastAsia="en-AU" w:bidi="ar-SA"/>
        </w:rPr>
        <w:t xml:space="preserve"> in</w:t>
      </w:r>
      <w:r w:rsidR="000C3F1B">
        <w:rPr>
          <w:lang w:eastAsia="en-AU" w:bidi="ar-SA"/>
        </w:rPr>
        <w:t xml:space="preserve"> </w:t>
      </w:r>
      <w:r w:rsidR="000C3F1B">
        <w:rPr>
          <w:lang w:eastAsia="en-AU" w:bidi="ar-SA"/>
        </w:rPr>
        <w:fldChar w:fldCharType="begin"/>
      </w:r>
      <w:r w:rsidR="000C3F1B">
        <w:rPr>
          <w:lang w:eastAsia="en-AU" w:bidi="ar-SA"/>
        </w:rPr>
        <w:instrText xml:space="preserve"> REF _Ref92725574 \h </w:instrText>
      </w:r>
      <w:r w:rsidR="000C3F1B">
        <w:rPr>
          <w:lang w:eastAsia="en-AU" w:bidi="ar-SA"/>
        </w:rPr>
      </w:r>
      <w:r w:rsidR="000C3F1B">
        <w:rPr>
          <w:lang w:eastAsia="en-AU" w:bidi="ar-SA"/>
        </w:rPr>
        <w:fldChar w:fldCharType="separate"/>
      </w:r>
      <w:r w:rsidR="00A65698">
        <w:t xml:space="preserve">Table </w:t>
      </w:r>
      <w:r w:rsidR="00A65698">
        <w:rPr>
          <w:noProof/>
        </w:rPr>
        <w:t>9</w:t>
      </w:r>
      <w:r w:rsidR="000C3F1B">
        <w:rPr>
          <w:lang w:eastAsia="en-AU" w:bidi="ar-SA"/>
        </w:rPr>
        <w:fldChar w:fldCharType="end"/>
      </w:r>
      <w:r w:rsidR="000C3F1B">
        <w:rPr>
          <w:lang w:eastAsia="en-AU" w:bidi="ar-SA"/>
        </w:rPr>
        <w:t>.</w:t>
      </w:r>
      <w:r w:rsidR="00D017D3">
        <w:rPr>
          <w:lang w:eastAsia="en-AU" w:bidi="ar-SA"/>
        </w:rPr>
        <w:t xml:space="preserve"> </w:t>
      </w:r>
    </w:p>
    <w:p w14:paraId="70A8C9B7" w14:textId="77777777" w:rsidR="00D80D51" w:rsidRDefault="00D80D51" w:rsidP="00D017D3">
      <w:pPr>
        <w:pStyle w:val="FSTableTitle"/>
        <w:rPr>
          <w:lang w:eastAsia="en-AU" w:bidi="ar-SA"/>
        </w:rPr>
      </w:pPr>
      <w:bookmarkStart w:id="333" w:name="_Ref92715777"/>
    </w:p>
    <w:p w14:paraId="1D55F158" w14:textId="35758DCE" w:rsidR="00D017D3" w:rsidRDefault="00D017D3" w:rsidP="00921907">
      <w:pPr>
        <w:pStyle w:val="FSTableTitle"/>
        <w:keepNext/>
        <w:keepLines/>
      </w:pPr>
      <w:bookmarkStart w:id="334" w:name="_Ref92725574"/>
      <w:r>
        <w:lastRenderedPageBreak/>
        <w:t xml:space="preserve">Table </w:t>
      </w:r>
      <w:fldSimple w:instr=" SEQ Table \* ARABIC ">
        <w:r w:rsidR="00A65698">
          <w:rPr>
            <w:noProof/>
          </w:rPr>
          <w:t>9</w:t>
        </w:r>
      </w:fldSimple>
      <w:bookmarkEnd w:id="333"/>
      <w:bookmarkEnd w:id="334"/>
      <w:r>
        <w:t xml:space="preserve"> </w:t>
      </w:r>
      <w:r w:rsidRPr="009F76D9">
        <w:t xml:space="preserve">Estimated mean and P90 dietary exposures to propylene glycol for Australian and New Zealand consumers from baseline and </w:t>
      </w:r>
      <w:r w:rsidR="00361C65">
        <w:t xml:space="preserve">the applicant’s CPC preparation </w:t>
      </w:r>
      <w:r w:rsidRPr="009F76D9">
        <w:t>combined, expressed as a percent of the ADI*</w:t>
      </w:r>
    </w:p>
    <w:tbl>
      <w:tblPr>
        <w:tblStyle w:val="TableGrid"/>
        <w:tblW w:w="4769" w:type="pct"/>
        <w:tblLook w:val="04A0" w:firstRow="1" w:lastRow="0" w:firstColumn="1" w:lastColumn="0" w:noHBand="0" w:noVBand="1"/>
        <w:tblCaption w:val="Table 14 Estimated mean and P90 dietary exposures to propylene glycol for Australian and New Zealand consumers from baseline and poultry wash uses combined, expressed as a percent of the ADI*"/>
        <w:tblDescription w:val="Estimated mean and P90 dietary exposures to propylene glycol for Australian and New Zealand consumers from baseline and poultry wash uses combined, expressed as a percent of the ADI*"/>
      </w:tblPr>
      <w:tblGrid>
        <w:gridCol w:w="1585"/>
        <w:gridCol w:w="1455"/>
        <w:gridCol w:w="1441"/>
        <w:gridCol w:w="2081"/>
        <w:gridCol w:w="2079"/>
      </w:tblGrid>
      <w:tr w:rsidR="00725DA9" w:rsidRPr="006F32C3" w14:paraId="50958541" w14:textId="77777777" w:rsidTr="006A1C46">
        <w:trPr>
          <w:trHeight w:val="585"/>
        </w:trPr>
        <w:tc>
          <w:tcPr>
            <w:tcW w:w="917" w:type="pct"/>
            <w:vMerge w:val="restart"/>
            <w:vAlign w:val="bottom"/>
            <w:hideMark/>
          </w:tcPr>
          <w:p w14:paraId="445AEECC" w14:textId="77777777" w:rsidR="00725DA9" w:rsidRPr="001E75FF" w:rsidRDefault="00725DA9" w:rsidP="006A1C46">
            <w:pPr>
              <w:keepNext/>
              <w:keepLines/>
              <w:spacing w:before="60" w:after="60"/>
              <w:rPr>
                <w:b/>
              </w:rPr>
            </w:pPr>
            <w:r w:rsidRPr="001E75FF">
              <w:rPr>
                <w:b/>
              </w:rPr>
              <w:t>Country</w:t>
            </w:r>
          </w:p>
        </w:tc>
        <w:tc>
          <w:tcPr>
            <w:tcW w:w="842" w:type="pct"/>
            <w:vMerge w:val="restart"/>
            <w:vAlign w:val="bottom"/>
            <w:hideMark/>
          </w:tcPr>
          <w:p w14:paraId="6F87EB63" w14:textId="77777777" w:rsidR="00725DA9" w:rsidRPr="001E75FF" w:rsidRDefault="00725DA9" w:rsidP="006A1C46">
            <w:pPr>
              <w:keepNext/>
              <w:keepLines/>
              <w:spacing w:before="60" w:after="60"/>
              <w:rPr>
                <w:b/>
              </w:rPr>
            </w:pPr>
            <w:r w:rsidRPr="001E75FF">
              <w:rPr>
                <w:b/>
              </w:rPr>
              <w:t>Population Group</w:t>
            </w:r>
          </w:p>
        </w:tc>
        <w:tc>
          <w:tcPr>
            <w:tcW w:w="834" w:type="pct"/>
            <w:vMerge w:val="restart"/>
            <w:vAlign w:val="bottom"/>
          </w:tcPr>
          <w:p w14:paraId="4C5E28A7" w14:textId="77777777" w:rsidR="00725DA9" w:rsidRPr="001E75FF" w:rsidRDefault="00725DA9" w:rsidP="006A1C46">
            <w:pPr>
              <w:keepNext/>
              <w:keepLines/>
              <w:spacing w:before="60" w:after="60"/>
              <w:rPr>
                <w:b/>
              </w:rPr>
            </w:pPr>
            <w:r w:rsidRPr="001E75FF">
              <w:rPr>
                <w:b/>
              </w:rPr>
              <w:t>Scenario</w:t>
            </w:r>
          </w:p>
        </w:tc>
        <w:tc>
          <w:tcPr>
            <w:tcW w:w="2407" w:type="pct"/>
            <w:gridSpan w:val="2"/>
            <w:hideMark/>
          </w:tcPr>
          <w:p w14:paraId="7F460B88" w14:textId="79003CB8" w:rsidR="005C3FB5" w:rsidRPr="001E75FF" w:rsidRDefault="00725DA9" w:rsidP="00921907">
            <w:pPr>
              <w:keepNext/>
              <w:keepLines/>
              <w:spacing w:before="60" w:after="60"/>
              <w:jc w:val="center"/>
              <w:rPr>
                <w:b/>
              </w:rPr>
            </w:pPr>
            <w:r w:rsidRPr="001E75FF">
              <w:rPr>
                <w:b/>
              </w:rPr>
              <w:t>Estimated consumer dietary exposure to prop</w:t>
            </w:r>
            <w:r w:rsidR="00B47D17">
              <w:rPr>
                <w:b/>
              </w:rPr>
              <w:t>ylene glycol</w:t>
            </w:r>
          </w:p>
          <w:p w14:paraId="6B32F6E4" w14:textId="2551F88D" w:rsidR="00725DA9" w:rsidRPr="001E75FF" w:rsidRDefault="005C3FB5" w:rsidP="00921907">
            <w:pPr>
              <w:keepNext/>
              <w:keepLines/>
              <w:spacing w:before="60" w:after="60"/>
              <w:jc w:val="center"/>
              <w:rPr>
                <w:b/>
              </w:rPr>
            </w:pPr>
            <w:r w:rsidRPr="001E75FF">
              <w:rPr>
                <w:b/>
              </w:rPr>
              <w:t>(</w:t>
            </w:r>
            <w:r w:rsidR="00B174BD" w:rsidRPr="001E75FF">
              <w:rPr>
                <w:b/>
              </w:rPr>
              <w:t>M</w:t>
            </w:r>
            <w:r w:rsidRPr="001E75FF">
              <w:rPr>
                <w:b/>
              </w:rPr>
              <w:t>in-</w:t>
            </w:r>
            <w:r w:rsidR="00B174BD" w:rsidRPr="001E75FF">
              <w:rPr>
                <w:b/>
              </w:rPr>
              <w:t>M</w:t>
            </w:r>
            <w:r w:rsidRPr="001E75FF">
              <w:rPr>
                <w:b/>
              </w:rPr>
              <w:t xml:space="preserve">ax </w:t>
            </w:r>
            <w:r w:rsidR="00B174BD" w:rsidRPr="001E75FF">
              <w:rPr>
                <w:b/>
              </w:rPr>
              <w:t xml:space="preserve">concentration </w:t>
            </w:r>
            <w:r w:rsidRPr="001E75FF">
              <w:rPr>
                <w:b/>
              </w:rPr>
              <w:t>scenario)</w:t>
            </w:r>
          </w:p>
          <w:p w14:paraId="1D368B95" w14:textId="5E3BC565" w:rsidR="00725DA9" w:rsidRPr="001E75FF" w:rsidRDefault="00725DA9" w:rsidP="00921907">
            <w:pPr>
              <w:keepNext/>
              <w:keepLines/>
              <w:spacing w:before="60" w:after="60"/>
              <w:jc w:val="center"/>
              <w:rPr>
                <w:b/>
              </w:rPr>
            </w:pPr>
            <w:r w:rsidRPr="001E75FF">
              <w:rPr>
                <w:b/>
              </w:rPr>
              <w:t>(%ADI)</w:t>
            </w:r>
          </w:p>
        </w:tc>
      </w:tr>
      <w:tr w:rsidR="00725DA9" w:rsidRPr="006F32C3" w14:paraId="7423E481" w14:textId="77777777" w:rsidTr="001E75FF">
        <w:trPr>
          <w:trHeight w:val="300"/>
        </w:trPr>
        <w:tc>
          <w:tcPr>
            <w:tcW w:w="917" w:type="pct"/>
            <w:vMerge/>
            <w:hideMark/>
          </w:tcPr>
          <w:p w14:paraId="1325FC50" w14:textId="77777777" w:rsidR="00725DA9" w:rsidRPr="006F32C3" w:rsidRDefault="00725DA9" w:rsidP="00921907">
            <w:pPr>
              <w:keepNext/>
              <w:keepLines/>
              <w:spacing w:before="60" w:after="60"/>
            </w:pPr>
          </w:p>
        </w:tc>
        <w:tc>
          <w:tcPr>
            <w:tcW w:w="842" w:type="pct"/>
            <w:vMerge/>
            <w:hideMark/>
          </w:tcPr>
          <w:p w14:paraId="334D398B" w14:textId="77777777" w:rsidR="00725DA9" w:rsidRPr="006F32C3" w:rsidRDefault="00725DA9" w:rsidP="00921907">
            <w:pPr>
              <w:keepNext/>
              <w:keepLines/>
              <w:spacing w:before="60" w:after="60"/>
              <w:rPr>
                <w:color w:val="FFFFFF" w:themeColor="background1"/>
              </w:rPr>
            </w:pPr>
          </w:p>
        </w:tc>
        <w:tc>
          <w:tcPr>
            <w:tcW w:w="834" w:type="pct"/>
            <w:vMerge/>
          </w:tcPr>
          <w:p w14:paraId="34A550FB" w14:textId="77777777" w:rsidR="00725DA9" w:rsidRPr="006F32C3" w:rsidRDefault="00725DA9" w:rsidP="00921907">
            <w:pPr>
              <w:keepNext/>
              <w:keepLines/>
              <w:spacing w:before="60" w:after="60"/>
              <w:jc w:val="center"/>
              <w:rPr>
                <w:b/>
                <w:color w:val="FFFFFF" w:themeColor="background1"/>
              </w:rPr>
            </w:pPr>
          </w:p>
        </w:tc>
        <w:tc>
          <w:tcPr>
            <w:tcW w:w="1204" w:type="pct"/>
            <w:hideMark/>
          </w:tcPr>
          <w:p w14:paraId="07CCB230" w14:textId="77777777" w:rsidR="00725DA9" w:rsidRPr="001E75FF" w:rsidRDefault="00725DA9" w:rsidP="00921907">
            <w:pPr>
              <w:keepNext/>
              <w:keepLines/>
              <w:spacing w:before="60" w:after="60"/>
              <w:jc w:val="center"/>
              <w:rPr>
                <w:b/>
              </w:rPr>
            </w:pPr>
            <w:r w:rsidRPr="001E75FF">
              <w:rPr>
                <w:b/>
              </w:rPr>
              <w:t>Mean</w:t>
            </w:r>
          </w:p>
        </w:tc>
        <w:tc>
          <w:tcPr>
            <w:tcW w:w="1203" w:type="pct"/>
            <w:hideMark/>
          </w:tcPr>
          <w:p w14:paraId="52DC9A9A" w14:textId="77777777" w:rsidR="00725DA9" w:rsidRPr="001E75FF" w:rsidRDefault="00725DA9" w:rsidP="00921907">
            <w:pPr>
              <w:keepNext/>
              <w:keepLines/>
              <w:spacing w:before="60" w:after="60"/>
              <w:jc w:val="center"/>
              <w:rPr>
                <w:b/>
              </w:rPr>
            </w:pPr>
            <w:r w:rsidRPr="001E75FF">
              <w:rPr>
                <w:b/>
              </w:rPr>
              <w:t>P90</w:t>
            </w:r>
          </w:p>
        </w:tc>
      </w:tr>
      <w:tr w:rsidR="00725DA9" w:rsidRPr="006F32C3" w14:paraId="49B260F5" w14:textId="77777777" w:rsidTr="001E75FF">
        <w:trPr>
          <w:trHeight w:val="300"/>
        </w:trPr>
        <w:tc>
          <w:tcPr>
            <w:tcW w:w="917" w:type="pct"/>
            <w:vMerge w:val="restart"/>
          </w:tcPr>
          <w:p w14:paraId="20020B8C" w14:textId="77777777" w:rsidR="00725DA9" w:rsidRPr="00F23B1E" w:rsidRDefault="00725DA9" w:rsidP="00921907">
            <w:pPr>
              <w:keepNext/>
              <w:keepLines/>
              <w:widowControl/>
              <w:rPr>
                <w:rFonts w:cs="Arial"/>
                <w:b/>
                <w:bCs/>
                <w:color w:val="000000"/>
                <w:szCs w:val="22"/>
                <w:lang w:eastAsia="en-GB" w:bidi="ar-SA"/>
              </w:rPr>
            </w:pPr>
            <w:r w:rsidRPr="006F32C3">
              <w:t>Australia</w:t>
            </w:r>
          </w:p>
        </w:tc>
        <w:tc>
          <w:tcPr>
            <w:tcW w:w="842" w:type="pct"/>
            <w:vMerge w:val="restart"/>
          </w:tcPr>
          <w:p w14:paraId="0981B5E1" w14:textId="77777777" w:rsidR="00725DA9" w:rsidRPr="006F32C3" w:rsidRDefault="00725DA9" w:rsidP="00921907">
            <w:pPr>
              <w:keepNext/>
              <w:keepLines/>
              <w:widowControl/>
              <w:rPr>
                <w:rFonts w:cs="Arial"/>
                <w:color w:val="000000"/>
                <w:szCs w:val="22"/>
                <w:lang w:eastAsia="en-GB" w:bidi="ar-SA"/>
              </w:rPr>
            </w:pPr>
            <w:r w:rsidRPr="006F32C3">
              <w:rPr>
                <w:rFonts w:cs="Arial"/>
                <w:color w:val="000000"/>
                <w:szCs w:val="22"/>
                <w:lang w:eastAsia="en-GB" w:bidi="ar-SA"/>
              </w:rPr>
              <w:t>2 years and above</w:t>
            </w:r>
            <w:r w:rsidRPr="006F32C3">
              <w:rPr>
                <w:rFonts w:ascii="Wingdings" w:hAnsi="Wingdings" w:cs="Arial"/>
                <w:color w:val="000000"/>
                <w:sz w:val="20"/>
                <w:szCs w:val="20"/>
                <w:vertAlign w:val="superscript"/>
                <w:lang w:eastAsia="en-GB" w:bidi="ar-SA"/>
              </w:rPr>
              <w:t></w:t>
            </w:r>
          </w:p>
        </w:tc>
        <w:tc>
          <w:tcPr>
            <w:tcW w:w="834" w:type="pct"/>
          </w:tcPr>
          <w:p w14:paraId="502B3F2C" w14:textId="77777777" w:rsidR="00725DA9" w:rsidRDefault="00725DA9" w:rsidP="00921907">
            <w:pPr>
              <w:keepNext/>
              <w:keepLines/>
              <w:widowControl/>
              <w:rPr>
                <w:rFonts w:cs="Arial"/>
                <w:color w:val="000000"/>
                <w:szCs w:val="22"/>
                <w:lang w:eastAsia="en-GB" w:bidi="ar-SA"/>
              </w:rPr>
            </w:pPr>
            <w:r>
              <w:rPr>
                <w:rFonts w:cs="Arial"/>
                <w:color w:val="000000"/>
                <w:szCs w:val="22"/>
                <w:lang w:eastAsia="en-GB" w:bidi="ar-SA"/>
              </w:rPr>
              <w:t>ANZ</w:t>
            </w:r>
          </w:p>
        </w:tc>
        <w:tc>
          <w:tcPr>
            <w:tcW w:w="1204" w:type="pct"/>
          </w:tcPr>
          <w:p w14:paraId="32FE8565" w14:textId="23408D3D" w:rsidR="00725DA9" w:rsidRPr="006F32C3" w:rsidRDefault="00B47D17" w:rsidP="00921907">
            <w:pPr>
              <w:keepNext/>
              <w:keepLines/>
              <w:widowControl/>
              <w:jc w:val="center"/>
              <w:rPr>
                <w:rFonts w:cs="Arial"/>
                <w:color w:val="000000"/>
                <w:szCs w:val="22"/>
                <w:lang w:eastAsia="en-GB" w:bidi="ar-SA"/>
              </w:rPr>
            </w:pPr>
            <w:r>
              <w:rPr>
                <w:rFonts w:cs="Arial"/>
                <w:color w:val="000000"/>
                <w:szCs w:val="22"/>
                <w:lang w:eastAsia="en-GB" w:bidi="ar-SA"/>
              </w:rPr>
              <w:t>4-25</w:t>
            </w:r>
          </w:p>
        </w:tc>
        <w:tc>
          <w:tcPr>
            <w:tcW w:w="1203" w:type="pct"/>
          </w:tcPr>
          <w:p w14:paraId="695053F9" w14:textId="24633804" w:rsidR="00725DA9" w:rsidRPr="006F32C3" w:rsidRDefault="00B47D17" w:rsidP="00921907">
            <w:pPr>
              <w:keepNext/>
              <w:keepLines/>
              <w:widowControl/>
              <w:jc w:val="center"/>
              <w:rPr>
                <w:rFonts w:cs="Arial"/>
                <w:color w:val="000000"/>
                <w:szCs w:val="22"/>
                <w:lang w:eastAsia="en-GB" w:bidi="ar-SA"/>
              </w:rPr>
            </w:pPr>
            <w:r>
              <w:rPr>
                <w:rFonts w:cs="Arial"/>
                <w:color w:val="000000"/>
                <w:szCs w:val="22"/>
                <w:lang w:eastAsia="en-GB" w:bidi="ar-SA"/>
              </w:rPr>
              <w:t>3-55</w:t>
            </w:r>
          </w:p>
        </w:tc>
      </w:tr>
      <w:tr w:rsidR="00725DA9" w:rsidRPr="006F32C3" w14:paraId="06737993" w14:textId="77777777" w:rsidTr="001E75FF">
        <w:trPr>
          <w:trHeight w:val="300"/>
        </w:trPr>
        <w:tc>
          <w:tcPr>
            <w:tcW w:w="917" w:type="pct"/>
            <w:vMerge/>
          </w:tcPr>
          <w:p w14:paraId="5B3E6740" w14:textId="77777777" w:rsidR="00725DA9" w:rsidRPr="006F32C3" w:rsidRDefault="00725DA9" w:rsidP="00921907">
            <w:pPr>
              <w:keepNext/>
              <w:keepLines/>
              <w:widowControl/>
            </w:pPr>
          </w:p>
        </w:tc>
        <w:tc>
          <w:tcPr>
            <w:tcW w:w="842" w:type="pct"/>
            <w:vMerge/>
          </w:tcPr>
          <w:p w14:paraId="040BF0B3" w14:textId="77777777" w:rsidR="00725DA9" w:rsidRPr="006F32C3" w:rsidRDefault="00725DA9" w:rsidP="00921907">
            <w:pPr>
              <w:keepNext/>
              <w:keepLines/>
              <w:widowControl/>
              <w:rPr>
                <w:rFonts w:cs="Arial"/>
                <w:color w:val="000000"/>
                <w:szCs w:val="22"/>
                <w:lang w:eastAsia="en-GB" w:bidi="ar-SA"/>
              </w:rPr>
            </w:pPr>
          </w:p>
        </w:tc>
        <w:tc>
          <w:tcPr>
            <w:tcW w:w="834" w:type="pct"/>
          </w:tcPr>
          <w:p w14:paraId="591DAC76" w14:textId="77777777" w:rsidR="00725DA9" w:rsidRDefault="00725DA9" w:rsidP="00921907">
            <w:pPr>
              <w:keepNext/>
              <w:keepLines/>
              <w:widowControl/>
              <w:rPr>
                <w:rFonts w:cs="Arial"/>
                <w:color w:val="000000"/>
                <w:szCs w:val="22"/>
                <w:lang w:eastAsia="en-GB" w:bidi="ar-SA"/>
              </w:rPr>
            </w:pPr>
            <w:r>
              <w:rPr>
                <w:rFonts w:cs="Arial"/>
                <w:color w:val="000000"/>
                <w:szCs w:val="22"/>
                <w:lang w:eastAsia="en-GB" w:bidi="ar-SA"/>
              </w:rPr>
              <w:t>ANZ+Int</w:t>
            </w:r>
          </w:p>
        </w:tc>
        <w:tc>
          <w:tcPr>
            <w:tcW w:w="1204" w:type="pct"/>
          </w:tcPr>
          <w:p w14:paraId="3449A7D0" w14:textId="0FC07048" w:rsidR="00725DA9" w:rsidRPr="006F32C3" w:rsidRDefault="00B47D17" w:rsidP="00921907">
            <w:pPr>
              <w:keepNext/>
              <w:keepLines/>
              <w:widowControl/>
              <w:jc w:val="center"/>
              <w:rPr>
                <w:rFonts w:cs="Arial"/>
                <w:color w:val="000000"/>
                <w:szCs w:val="22"/>
                <w:lang w:eastAsia="en-GB" w:bidi="ar-SA"/>
              </w:rPr>
            </w:pPr>
            <w:r>
              <w:rPr>
                <w:rFonts w:cs="Arial"/>
                <w:color w:val="000000"/>
                <w:szCs w:val="22"/>
                <w:lang w:eastAsia="en-GB" w:bidi="ar-SA"/>
              </w:rPr>
              <w:t>4-30</w:t>
            </w:r>
          </w:p>
        </w:tc>
        <w:tc>
          <w:tcPr>
            <w:tcW w:w="1203" w:type="pct"/>
          </w:tcPr>
          <w:p w14:paraId="08B798F4" w14:textId="2F2A19F7" w:rsidR="00725DA9" w:rsidRDefault="00B47D17" w:rsidP="00921907">
            <w:pPr>
              <w:keepNext/>
              <w:keepLines/>
              <w:widowControl/>
              <w:jc w:val="center"/>
              <w:rPr>
                <w:rFonts w:cs="Arial"/>
                <w:color w:val="000000"/>
                <w:szCs w:val="22"/>
                <w:lang w:eastAsia="en-GB" w:bidi="ar-SA"/>
              </w:rPr>
            </w:pPr>
            <w:r>
              <w:rPr>
                <w:rFonts w:cs="Arial"/>
                <w:color w:val="000000"/>
                <w:szCs w:val="22"/>
                <w:lang w:eastAsia="en-GB" w:bidi="ar-SA"/>
              </w:rPr>
              <w:t>7-60</w:t>
            </w:r>
          </w:p>
        </w:tc>
      </w:tr>
      <w:tr w:rsidR="00725DA9" w:rsidRPr="006F32C3" w14:paraId="57E81060" w14:textId="77777777" w:rsidTr="001E75FF">
        <w:trPr>
          <w:trHeight w:val="300"/>
        </w:trPr>
        <w:tc>
          <w:tcPr>
            <w:tcW w:w="917" w:type="pct"/>
            <w:vMerge w:val="restart"/>
          </w:tcPr>
          <w:p w14:paraId="170BA0F8" w14:textId="77777777" w:rsidR="00725DA9" w:rsidRPr="00F23B1E" w:rsidRDefault="00725DA9" w:rsidP="00921907">
            <w:pPr>
              <w:keepNext/>
              <w:keepLines/>
              <w:widowControl/>
              <w:rPr>
                <w:rFonts w:cs="Arial"/>
                <w:b/>
                <w:bCs/>
                <w:color w:val="000000"/>
                <w:szCs w:val="22"/>
                <w:lang w:eastAsia="en-GB" w:bidi="ar-SA"/>
              </w:rPr>
            </w:pPr>
            <w:r w:rsidRPr="006F32C3">
              <w:t>New Zealand</w:t>
            </w:r>
          </w:p>
        </w:tc>
        <w:tc>
          <w:tcPr>
            <w:tcW w:w="842" w:type="pct"/>
            <w:vMerge w:val="restart"/>
          </w:tcPr>
          <w:p w14:paraId="342B1626" w14:textId="77777777" w:rsidR="00725DA9" w:rsidRPr="006F32C3" w:rsidRDefault="00725DA9" w:rsidP="00921907">
            <w:pPr>
              <w:keepNext/>
              <w:keepLines/>
              <w:widowControl/>
              <w:rPr>
                <w:rFonts w:cs="Arial"/>
                <w:color w:val="000000"/>
                <w:szCs w:val="22"/>
                <w:lang w:eastAsia="en-GB" w:bidi="ar-SA"/>
              </w:rPr>
            </w:pPr>
            <w:r w:rsidRPr="006F32C3">
              <w:rPr>
                <w:rFonts w:cs="Arial"/>
                <w:color w:val="000000"/>
                <w:szCs w:val="22"/>
                <w:lang w:eastAsia="en-GB" w:bidi="ar-SA"/>
              </w:rPr>
              <w:t>5-14 years</w:t>
            </w:r>
            <w:r w:rsidRPr="006F32C3">
              <w:rPr>
                <w:rFonts w:ascii="Wingdings 3" w:hAnsi="Wingdings 3" w:cs="Arial"/>
                <w:color w:val="000000"/>
                <w:sz w:val="20"/>
                <w:szCs w:val="20"/>
                <w:vertAlign w:val="superscript"/>
                <w:lang w:eastAsia="en-GB" w:bidi="ar-SA"/>
              </w:rPr>
              <w:t></w:t>
            </w:r>
          </w:p>
        </w:tc>
        <w:tc>
          <w:tcPr>
            <w:tcW w:w="834" w:type="pct"/>
          </w:tcPr>
          <w:p w14:paraId="73FD714A" w14:textId="77777777" w:rsidR="00725DA9" w:rsidRDefault="00725DA9" w:rsidP="00921907">
            <w:pPr>
              <w:keepNext/>
              <w:keepLines/>
              <w:widowControl/>
              <w:rPr>
                <w:rFonts w:cs="Arial"/>
                <w:color w:val="000000"/>
                <w:szCs w:val="22"/>
                <w:lang w:eastAsia="en-GB" w:bidi="ar-SA"/>
              </w:rPr>
            </w:pPr>
            <w:r>
              <w:rPr>
                <w:rFonts w:cs="Arial"/>
                <w:color w:val="000000"/>
                <w:szCs w:val="22"/>
                <w:lang w:eastAsia="en-GB" w:bidi="ar-SA"/>
              </w:rPr>
              <w:t>ANZ</w:t>
            </w:r>
          </w:p>
        </w:tc>
        <w:tc>
          <w:tcPr>
            <w:tcW w:w="1204" w:type="pct"/>
          </w:tcPr>
          <w:p w14:paraId="023B020A" w14:textId="36F406FE" w:rsidR="00725DA9" w:rsidRPr="006F32C3" w:rsidRDefault="005C3FB5" w:rsidP="00921907">
            <w:pPr>
              <w:keepNext/>
              <w:keepLines/>
              <w:widowControl/>
              <w:jc w:val="center"/>
              <w:rPr>
                <w:rFonts w:cs="Arial"/>
                <w:color w:val="000000"/>
                <w:szCs w:val="22"/>
                <w:lang w:eastAsia="en-GB" w:bidi="ar-SA"/>
              </w:rPr>
            </w:pPr>
            <w:r>
              <w:rPr>
                <w:rFonts w:cs="Arial"/>
                <w:color w:val="000000"/>
                <w:szCs w:val="22"/>
                <w:lang w:eastAsia="en-GB" w:bidi="ar-SA"/>
              </w:rPr>
              <w:t>1-40</w:t>
            </w:r>
          </w:p>
        </w:tc>
        <w:tc>
          <w:tcPr>
            <w:tcW w:w="1203" w:type="pct"/>
          </w:tcPr>
          <w:p w14:paraId="2CC9E1CC" w14:textId="499FDAA0" w:rsidR="00725DA9" w:rsidRPr="006F32C3" w:rsidRDefault="005C3FB5" w:rsidP="00921907">
            <w:pPr>
              <w:keepNext/>
              <w:keepLines/>
              <w:widowControl/>
              <w:jc w:val="center"/>
              <w:rPr>
                <w:rFonts w:cs="Arial"/>
                <w:color w:val="000000"/>
                <w:szCs w:val="22"/>
                <w:lang w:eastAsia="en-GB" w:bidi="ar-SA"/>
              </w:rPr>
            </w:pPr>
            <w:r>
              <w:rPr>
                <w:rFonts w:cs="Arial"/>
                <w:color w:val="000000"/>
                <w:szCs w:val="22"/>
                <w:lang w:eastAsia="en-GB" w:bidi="ar-SA"/>
              </w:rPr>
              <w:t>2-90</w:t>
            </w:r>
          </w:p>
        </w:tc>
      </w:tr>
      <w:tr w:rsidR="00725DA9" w:rsidRPr="006F32C3" w14:paraId="06EB66FC" w14:textId="77777777" w:rsidTr="001E75FF">
        <w:trPr>
          <w:trHeight w:val="300"/>
        </w:trPr>
        <w:tc>
          <w:tcPr>
            <w:tcW w:w="917" w:type="pct"/>
            <w:vMerge/>
          </w:tcPr>
          <w:p w14:paraId="7CC9055E" w14:textId="77777777" w:rsidR="00725DA9" w:rsidRPr="006F32C3" w:rsidRDefault="00725DA9" w:rsidP="00921907">
            <w:pPr>
              <w:keepNext/>
              <w:keepLines/>
            </w:pPr>
          </w:p>
        </w:tc>
        <w:tc>
          <w:tcPr>
            <w:tcW w:w="842" w:type="pct"/>
            <w:vMerge/>
          </w:tcPr>
          <w:p w14:paraId="46DFE6D3" w14:textId="77777777" w:rsidR="00725DA9" w:rsidRPr="006F32C3" w:rsidRDefault="00725DA9" w:rsidP="00921907">
            <w:pPr>
              <w:keepNext/>
              <w:keepLines/>
              <w:widowControl/>
              <w:rPr>
                <w:rFonts w:cs="Arial"/>
                <w:color w:val="000000"/>
                <w:szCs w:val="22"/>
                <w:lang w:eastAsia="en-GB" w:bidi="ar-SA"/>
              </w:rPr>
            </w:pPr>
          </w:p>
        </w:tc>
        <w:tc>
          <w:tcPr>
            <w:tcW w:w="834" w:type="pct"/>
          </w:tcPr>
          <w:p w14:paraId="16A71A46" w14:textId="77777777" w:rsidR="00725DA9" w:rsidRDefault="00725DA9" w:rsidP="00921907">
            <w:pPr>
              <w:keepNext/>
              <w:keepLines/>
              <w:widowControl/>
              <w:rPr>
                <w:rFonts w:cs="Arial"/>
                <w:color w:val="000000"/>
                <w:szCs w:val="22"/>
                <w:lang w:eastAsia="en-GB" w:bidi="ar-SA"/>
              </w:rPr>
            </w:pPr>
            <w:r>
              <w:rPr>
                <w:rFonts w:cs="Arial"/>
                <w:color w:val="000000"/>
                <w:szCs w:val="22"/>
                <w:lang w:eastAsia="en-GB" w:bidi="ar-SA"/>
              </w:rPr>
              <w:t>ANZ+Int</w:t>
            </w:r>
          </w:p>
        </w:tc>
        <w:tc>
          <w:tcPr>
            <w:tcW w:w="1204" w:type="pct"/>
          </w:tcPr>
          <w:p w14:paraId="7562DEF0" w14:textId="3433763D" w:rsidR="00725DA9" w:rsidRPr="006F32C3" w:rsidRDefault="005C3FB5" w:rsidP="00921907">
            <w:pPr>
              <w:keepNext/>
              <w:keepLines/>
              <w:widowControl/>
              <w:jc w:val="center"/>
              <w:rPr>
                <w:rFonts w:cs="Arial"/>
                <w:color w:val="000000"/>
                <w:szCs w:val="22"/>
                <w:lang w:eastAsia="en-GB" w:bidi="ar-SA"/>
              </w:rPr>
            </w:pPr>
            <w:r>
              <w:rPr>
                <w:rFonts w:cs="Arial"/>
                <w:color w:val="000000"/>
                <w:szCs w:val="22"/>
                <w:lang w:eastAsia="en-GB" w:bidi="ar-SA"/>
              </w:rPr>
              <w:t>5-50</w:t>
            </w:r>
          </w:p>
        </w:tc>
        <w:tc>
          <w:tcPr>
            <w:tcW w:w="1203" w:type="pct"/>
          </w:tcPr>
          <w:p w14:paraId="6D0F8197" w14:textId="398A24B2" w:rsidR="00725DA9" w:rsidRDefault="005C3FB5" w:rsidP="00921907">
            <w:pPr>
              <w:keepNext/>
              <w:keepLines/>
              <w:widowControl/>
              <w:jc w:val="center"/>
              <w:rPr>
                <w:rFonts w:cs="Arial"/>
                <w:color w:val="000000"/>
                <w:szCs w:val="22"/>
                <w:lang w:eastAsia="en-GB" w:bidi="ar-SA"/>
              </w:rPr>
            </w:pPr>
            <w:r>
              <w:rPr>
                <w:rFonts w:cs="Arial"/>
                <w:color w:val="000000"/>
                <w:szCs w:val="22"/>
                <w:lang w:eastAsia="en-GB" w:bidi="ar-SA"/>
              </w:rPr>
              <w:t>10-110</w:t>
            </w:r>
          </w:p>
        </w:tc>
      </w:tr>
      <w:tr w:rsidR="00725DA9" w:rsidRPr="006F32C3" w14:paraId="31E0D97A" w14:textId="77777777" w:rsidTr="001E75FF">
        <w:trPr>
          <w:trHeight w:val="300"/>
        </w:trPr>
        <w:tc>
          <w:tcPr>
            <w:tcW w:w="917" w:type="pct"/>
            <w:vMerge/>
          </w:tcPr>
          <w:p w14:paraId="0FDA7F08" w14:textId="77777777" w:rsidR="00725DA9" w:rsidRPr="006F32C3" w:rsidRDefault="00725DA9" w:rsidP="00921907">
            <w:pPr>
              <w:keepNext/>
              <w:keepLines/>
              <w:rPr>
                <w:rFonts w:cs="Arial"/>
                <w:color w:val="000000"/>
                <w:szCs w:val="22"/>
                <w:lang w:eastAsia="en-GB" w:bidi="ar-SA"/>
              </w:rPr>
            </w:pPr>
          </w:p>
        </w:tc>
        <w:tc>
          <w:tcPr>
            <w:tcW w:w="842" w:type="pct"/>
            <w:vMerge w:val="restart"/>
          </w:tcPr>
          <w:p w14:paraId="4C481332" w14:textId="77777777" w:rsidR="00725DA9" w:rsidRPr="006F32C3" w:rsidRDefault="00725DA9" w:rsidP="00921907">
            <w:pPr>
              <w:keepNext/>
              <w:keepLines/>
              <w:widowControl/>
              <w:rPr>
                <w:rFonts w:cs="Arial"/>
                <w:color w:val="000000"/>
                <w:szCs w:val="22"/>
                <w:lang w:eastAsia="en-GB" w:bidi="ar-SA"/>
              </w:rPr>
            </w:pPr>
            <w:r w:rsidRPr="006F32C3">
              <w:rPr>
                <w:rFonts w:cs="Arial"/>
                <w:color w:val="000000"/>
                <w:szCs w:val="22"/>
                <w:lang w:eastAsia="en-GB" w:bidi="ar-SA"/>
              </w:rPr>
              <w:t>15 years and above</w:t>
            </w:r>
            <w:r w:rsidRPr="006F32C3">
              <w:rPr>
                <w:rFonts w:ascii="Wingdings 3" w:hAnsi="Wingdings 3" w:cs="Arial"/>
                <w:color w:val="000000"/>
                <w:sz w:val="20"/>
                <w:szCs w:val="20"/>
                <w:vertAlign w:val="superscript"/>
                <w:lang w:eastAsia="en-GB" w:bidi="ar-SA"/>
              </w:rPr>
              <w:t></w:t>
            </w:r>
          </w:p>
        </w:tc>
        <w:tc>
          <w:tcPr>
            <w:tcW w:w="834" w:type="pct"/>
          </w:tcPr>
          <w:p w14:paraId="04155556" w14:textId="77777777" w:rsidR="00725DA9" w:rsidRDefault="00725DA9" w:rsidP="00921907">
            <w:pPr>
              <w:keepNext/>
              <w:keepLines/>
              <w:widowControl/>
              <w:rPr>
                <w:rFonts w:cs="Arial"/>
                <w:color w:val="000000"/>
                <w:szCs w:val="22"/>
                <w:lang w:eastAsia="en-GB" w:bidi="ar-SA"/>
              </w:rPr>
            </w:pPr>
            <w:r>
              <w:rPr>
                <w:rFonts w:cs="Arial"/>
                <w:color w:val="000000"/>
                <w:szCs w:val="22"/>
                <w:lang w:eastAsia="en-GB" w:bidi="ar-SA"/>
              </w:rPr>
              <w:t>ANZ</w:t>
            </w:r>
          </w:p>
        </w:tc>
        <w:tc>
          <w:tcPr>
            <w:tcW w:w="1204" w:type="pct"/>
          </w:tcPr>
          <w:p w14:paraId="1EBD0514" w14:textId="20CCF537" w:rsidR="00725DA9" w:rsidRPr="006F32C3" w:rsidRDefault="005C3FB5" w:rsidP="00921907">
            <w:pPr>
              <w:keepNext/>
              <w:keepLines/>
              <w:widowControl/>
              <w:jc w:val="center"/>
              <w:rPr>
                <w:rFonts w:cs="Arial"/>
                <w:color w:val="000000"/>
                <w:szCs w:val="22"/>
                <w:lang w:eastAsia="en-GB" w:bidi="ar-SA"/>
              </w:rPr>
            </w:pPr>
            <w:r>
              <w:rPr>
                <w:rFonts w:cs="Arial"/>
                <w:color w:val="000000"/>
                <w:szCs w:val="22"/>
                <w:lang w:eastAsia="en-GB" w:bidi="ar-SA"/>
              </w:rPr>
              <w:t>2-25</w:t>
            </w:r>
          </w:p>
        </w:tc>
        <w:tc>
          <w:tcPr>
            <w:tcW w:w="1203" w:type="pct"/>
          </w:tcPr>
          <w:p w14:paraId="54789B0B" w14:textId="691DEE49" w:rsidR="00725DA9" w:rsidRPr="006F32C3" w:rsidRDefault="005C3FB5" w:rsidP="00921907">
            <w:pPr>
              <w:keepNext/>
              <w:keepLines/>
              <w:widowControl/>
              <w:jc w:val="center"/>
              <w:rPr>
                <w:rFonts w:cs="Arial"/>
                <w:color w:val="000000"/>
                <w:szCs w:val="22"/>
                <w:lang w:eastAsia="en-GB" w:bidi="ar-SA"/>
              </w:rPr>
            </w:pPr>
            <w:r>
              <w:rPr>
                <w:rFonts w:cs="Arial"/>
                <w:color w:val="000000"/>
                <w:szCs w:val="22"/>
                <w:lang w:eastAsia="en-GB" w:bidi="ar-SA"/>
              </w:rPr>
              <w:t>2-50</w:t>
            </w:r>
          </w:p>
        </w:tc>
      </w:tr>
      <w:tr w:rsidR="00725DA9" w:rsidRPr="006F32C3" w14:paraId="24E71A0B" w14:textId="77777777" w:rsidTr="001E75FF">
        <w:trPr>
          <w:trHeight w:val="300"/>
        </w:trPr>
        <w:tc>
          <w:tcPr>
            <w:tcW w:w="917" w:type="pct"/>
            <w:vMerge/>
          </w:tcPr>
          <w:p w14:paraId="1A03E70D" w14:textId="77777777" w:rsidR="00725DA9" w:rsidRPr="006F32C3" w:rsidRDefault="00725DA9" w:rsidP="00921907">
            <w:pPr>
              <w:keepNext/>
              <w:keepLines/>
              <w:widowControl/>
              <w:rPr>
                <w:rFonts w:cs="Arial"/>
                <w:color w:val="000000"/>
                <w:szCs w:val="22"/>
                <w:lang w:eastAsia="en-GB" w:bidi="ar-SA"/>
              </w:rPr>
            </w:pPr>
          </w:p>
        </w:tc>
        <w:tc>
          <w:tcPr>
            <w:tcW w:w="842" w:type="pct"/>
            <w:vMerge/>
          </w:tcPr>
          <w:p w14:paraId="22C3AD60" w14:textId="77777777" w:rsidR="00725DA9" w:rsidRPr="006F32C3" w:rsidRDefault="00725DA9" w:rsidP="00921907">
            <w:pPr>
              <w:keepNext/>
              <w:keepLines/>
              <w:widowControl/>
              <w:rPr>
                <w:rFonts w:cs="Arial"/>
                <w:color w:val="000000"/>
                <w:szCs w:val="22"/>
                <w:lang w:eastAsia="en-GB" w:bidi="ar-SA"/>
              </w:rPr>
            </w:pPr>
          </w:p>
        </w:tc>
        <w:tc>
          <w:tcPr>
            <w:tcW w:w="834" w:type="pct"/>
          </w:tcPr>
          <w:p w14:paraId="47DEF293" w14:textId="77777777" w:rsidR="00725DA9" w:rsidRDefault="00725DA9" w:rsidP="00921907">
            <w:pPr>
              <w:keepNext/>
              <w:keepLines/>
              <w:widowControl/>
              <w:rPr>
                <w:rFonts w:cs="Arial"/>
                <w:color w:val="000000"/>
                <w:szCs w:val="22"/>
                <w:lang w:eastAsia="en-GB" w:bidi="ar-SA"/>
              </w:rPr>
            </w:pPr>
            <w:r>
              <w:rPr>
                <w:rFonts w:cs="Arial"/>
                <w:color w:val="000000"/>
                <w:szCs w:val="22"/>
                <w:lang w:eastAsia="en-GB" w:bidi="ar-SA"/>
              </w:rPr>
              <w:t>ANZ+Int</w:t>
            </w:r>
          </w:p>
        </w:tc>
        <w:tc>
          <w:tcPr>
            <w:tcW w:w="1204" w:type="pct"/>
          </w:tcPr>
          <w:p w14:paraId="368DB5D6" w14:textId="3F0230F0" w:rsidR="00725DA9" w:rsidRPr="006F32C3" w:rsidRDefault="005C3FB5" w:rsidP="00921907">
            <w:pPr>
              <w:keepNext/>
              <w:keepLines/>
              <w:widowControl/>
              <w:jc w:val="center"/>
              <w:rPr>
                <w:rFonts w:cs="Arial"/>
                <w:color w:val="000000"/>
                <w:szCs w:val="22"/>
                <w:lang w:eastAsia="en-GB" w:bidi="ar-SA"/>
              </w:rPr>
            </w:pPr>
            <w:r>
              <w:rPr>
                <w:rFonts w:cs="Arial"/>
                <w:color w:val="000000"/>
                <w:szCs w:val="22"/>
                <w:lang w:eastAsia="en-GB" w:bidi="ar-SA"/>
              </w:rPr>
              <w:t>2-25</w:t>
            </w:r>
          </w:p>
        </w:tc>
        <w:tc>
          <w:tcPr>
            <w:tcW w:w="1203" w:type="pct"/>
          </w:tcPr>
          <w:p w14:paraId="7585B113" w14:textId="60C758DB" w:rsidR="00725DA9" w:rsidRDefault="005C3FB5" w:rsidP="00921907">
            <w:pPr>
              <w:keepNext/>
              <w:keepLines/>
              <w:widowControl/>
              <w:jc w:val="center"/>
              <w:rPr>
                <w:rFonts w:cs="Arial"/>
                <w:color w:val="000000"/>
                <w:szCs w:val="22"/>
                <w:lang w:eastAsia="en-GB" w:bidi="ar-SA"/>
              </w:rPr>
            </w:pPr>
            <w:r>
              <w:rPr>
                <w:rFonts w:cs="Arial"/>
                <w:color w:val="000000"/>
                <w:szCs w:val="22"/>
                <w:lang w:eastAsia="en-GB" w:bidi="ar-SA"/>
              </w:rPr>
              <w:t>5-50</w:t>
            </w:r>
          </w:p>
        </w:tc>
      </w:tr>
    </w:tbl>
    <w:p w14:paraId="5551B071" w14:textId="428FE9DC" w:rsidR="002442E9" w:rsidRPr="00023CC2" w:rsidRDefault="002442E9" w:rsidP="00921907">
      <w:pPr>
        <w:keepNext/>
        <w:keepLines/>
        <w:ind w:left="567" w:hanging="567"/>
      </w:pPr>
      <w:r w:rsidRPr="00725444">
        <w:rPr>
          <w:sz w:val="16"/>
          <w:szCs w:val="16"/>
        </w:rPr>
        <w:t>*</w:t>
      </w:r>
      <w:r>
        <w:rPr>
          <w:sz w:val="16"/>
          <w:szCs w:val="16"/>
        </w:rPr>
        <w:tab/>
        <w:t>Acceptable Daily Intake established by JECFA of 25 mg/kg bw</w:t>
      </w:r>
      <w:r w:rsidRPr="00725444">
        <w:rPr>
          <w:sz w:val="16"/>
          <w:szCs w:val="16"/>
        </w:rPr>
        <w:t>.</w:t>
      </w:r>
    </w:p>
    <w:p w14:paraId="50932122" w14:textId="77777777" w:rsidR="00AF71E7" w:rsidRPr="001F034B" w:rsidRDefault="00AF71E7" w:rsidP="00921907">
      <w:pPr>
        <w:keepNext/>
        <w:keepLines/>
        <w:rPr>
          <w:sz w:val="16"/>
          <w:szCs w:val="16"/>
        </w:rPr>
      </w:pPr>
      <w:r w:rsidRPr="001F034B">
        <w:rPr>
          <w:sz w:val="16"/>
          <w:szCs w:val="16"/>
        </w:rPr>
        <w:sym w:font="Wingdings" w:char="F076"/>
      </w:r>
      <w:r w:rsidRPr="001F034B">
        <w:rPr>
          <w:sz w:val="16"/>
          <w:szCs w:val="16"/>
        </w:rPr>
        <w:tab/>
        <w:t xml:space="preserve">Based on </w:t>
      </w:r>
      <w:r>
        <w:rPr>
          <w:sz w:val="16"/>
          <w:szCs w:val="16"/>
        </w:rPr>
        <w:t>consumption data from Day 1 and 2.</w:t>
      </w:r>
    </w:p>
    <w:p w14:paraId="376AE932" w14:textId="77777777" w:rsidR="00AF71E7" w:rsidRDefault="00AF71E7" w:rsidP="00921907">
      <w:pPr>
        <w:keepNext/>
        <w:keepLines/>
        <w:rPr>
          <w:sz w:val="16"/>
          <w:szCs w:val="16"/>
        </w:rPr>
      </w:pPr>
      <w:r w:rsidRPr="001F034B">
        <w:rPr>
          <w:sz w:val="16"/>
          <w:szCs w:val="16"/>
        </w:rPr>
        <w:sym w:font="Wingdings 3" w:char="F073"/>
      </w:r>
      <w:r w:rsidRPr="001F034B">
        <w:rPr>
          <w:sz w:val="16"/>
          <w:szCs w:val="16"/>
        </w:rPr>
        <w:tab/>
        <w:t>Based on</w:t>
      </w:r>
      <w:r>
        <w:rPr>
          <w:sz w:val="16"/>
          <w:szCs w:val="16"/>
        </w:rPr>
        <w:t xml:space="preserve"> consumption data from</w:t>
      </w:r>
      <w:r w:rsidRPr="001F034B">
        <w:rPr>
          <w:sz w:val="16"/>
          <w:szCs w:val="16"/>
        </w:rPr>
        <w:t xml:space="preserve"> Day 1 respondents only</w:t>
      </w:r>
      <w:r>
        <w:rPr>
          <w:sz w:val="16"/>
          <w:szCs w:val="16"/>
        </w:rPr>
        <w:t>.</w:t>
      </w:r>
    </w:p>
    <w:p w14:paraId="3FEF7018" w14:textId="6F9687E4" w:rsidR="00AF71E7" w:rsidRDefault="00AF71E7" w:rsidP="00AF71E7">
      <w:pPr>
        <w:rPr>
          <w:highlight w:val="yellow"/>
        </w:rPr>
      </w:pPr>
    </w:p>
    <w:p w14:paraId="7CE81EE0" w14:textId="2526407D" w:rsidR="00153DF8" w:rsidRDefault="00153DF8" w:rsidP="00AF71E7">
      <w:pPr>
        <w:rPr>
          <w:highlight w:val="yellow"/>
        </w:rPr>
      </w:pPr>
    </w:p>
    <w:p w14:paraId="4784CA3C" w14:textId="3DBDAA92" w:rsidR="00153DF8" w:rsidRPr="00153DF8" w:rsidRDefault="00153DF8" w:rsidP="00AF71E7">
      <w:r w:rsidRPr="00153DF8">
        <w:t>Whilst a slight exceedance of the ADI is observed for New Zealand children 5-14 years, this is not considered to be a public health and safety concern for a number of reasons. These include:</w:t>
      </w:r>
    </w:p>
    <w:p w14:paraId="2347B8F4" w14:textId="77777777" w:rsidR="00D94FF3" w:rsidRPr="00153DF8" w:rsidRDefault="00D94FF3" w:rsidP="00AF71E7"/>
    <w:p w14:paraId="12F94F62" w14:textId="6AF65BE3" w:rsidR="00153DF8" w:rsidRDefault="00153DF8" w:rsidP="00FE181D">
      <w:pPr>
        <w:pStyle w:val="ListParagraph"/>
        <w:numPr>
          <w:ilvl w:val="0"/>
          <w:numId w:val="24"/>
        </w:numPr>
      </w:pPr>
      <w:r w:rsidRPr="00153DF8">
        <w:t xml:space="preserve">That this </w:t>
      </w:r>
      <w:r w:rsidR="00FE181D">
        <w:t>exceedance</w:t>
      </w:r>
      <w:r w:rsidRPr="00153DF8">
        <w:t xml:space="preserve"> is for children only, and the ADI applies to a chronic or lifetime exposure. Food consumption or dietary exposure data for the New Zealand population as a whole was not </w:t>
      </w:r>
      <w:r w:rsidRPr="00FE181D">
        <w:t>available</w:t>
      </w:r>
      <w:r>
        <w:t xml:space="preserve">. </w:t>
      </w:r>
      <w:r w:rsidR="0083471B">
        <w:t>Estimated exposures</w:t>
      </w:r>
      <w:r>
        <w:t xml:space="preserve"> for New Zealand adults were under the ADI.</w:t>
      </w:r>
      <w:r w:rsidR="00FE181D">
        <w:t xml:space="preserve"> </w:t>
      </w:r>
      <w:r w:rsidR="0083471B">
        <w:t xml:space="preserve">Estimated exposures </w:t>
      </w:r>
      <w:r w:rsidR="00FE181D">
        <w:t>for the Australian population 2 years and above were under the ADI.</w:t>
      </w:r>
    </w:p>
    <w:p w14:paraId="64ACE691" w14:textId="2E1EF9E2" w:rsidR="00153DF8" w:rsidRDefault="00153DF8" w:rsidP="00FE181D">
      <w:pPr>
        <w:pStyle w:val="ListParagraph"/>
        <w:numPr>
          <w:ilvl w:val="0"/>
          <w:numId w:val="24"/>
        </w:numPr>
      </w:pPr>
      <w:r>
        <w:t>It is only for the 90</w:t>
      </w:r>
      <w:r w:rsidRPr="00FE181D">
        <w:rPr>
          <w:vertAlign w:val="superscript"/>
        </w:rPr>
        <w:t>th</w:t>
      </w:r>
      <w:r>
        <w:t xml:space="preserve"> percentile exposure and it is not expected that a consumer would have </w:t>
      </w:r>
      <w:r w:rsidR="00FE181D">
        <w:t xml:space="preserve">a </w:t>
      </w:r>
      <w:r>
        <w:t>high dietary exposure every day over a lifetime.</w:t>
      </w:r>
    </w:p>
    <w:p w14:paraId="2D2BBF30" w14:textId="1D34DF60" w:rsidR="00FE181D" w:rsidRDefault="00153DF8" w:rsidP="00FE181D">
      <w:pPr>
        <w:pStyle w:val="ListParagraph"/>
        <w:numPr>
          <w:ilvl w:val="0"/>
          <w:numId w:val="24"/>
        </w:numPr>
      </w:pPr>
      <w:r>
        <w:t xml:space="preserve">It is only for </w:t>
      </w:r>
      <w:r w:rsidRPr="005C3FB5">
        <w:t xml:space="preserve">the maximum </w:t>
      </w:r>
      <w:r w:rsidR="005C3FB5" w:rsidRPr="005C3FB5">
        <w:t xml:space="preserve">concentration </w:t>
      </w:r>
      <w:r w:rsidRPr="005C3FB5">
        <w:t>scenario where</w:t>
      </w:r>
      <w:r w:rsidR="00FE181D">
        <w:t xml:space="preserve"> maximum concentrations were assumed for all foods</w:t>
      </w:r>
      <w:r w:rsidR="005C3FB5">
        <w:t xml:space="preserve">. It is unlikely that a consumer would always select every food in every food group with the highest concentration over </w:t>
      </w:r>
      <w:r w:rsidR="00BB13D5">
        <w:t>a</w:t>
      </w:r>
      <w:r w:rsidR="005C3FB5">
        <w:t xml:space="preserve"> lifetime.</w:t>
      </w:r>
      <w:r w:rsidR="00F828F0">
        <w:t xml:space="preserve"> It is also unlikely that all foods within a group would contain propylene glycol.</w:t>
      </w:r>
    </w:p>
    <w:p w14:paraId="1A60A221" w14:textId="2356A7B3" w:rsidR="00153DF8" w:rsidRPr="00FE181D" w:rsidRDefault="00FE181D" w:rsidP="00FE181D">
      <w:pPr>
        <w:pStyle w:val="ListParagraph"/>
        <w:numPr>
          <w:ilvl w:val="0"/>
          <w:numId w:val="24"/>
        </w:numPr>
      </w:pPr>
      <w:r>
        <w:t>It is only for the scenario where</w:t>
      </w:r>
      <w:r w:rsidR="00153DF8">
        <w:t xml:space="preserve"> </w:t>
      </w:r>
      <w:r>
        <w:t>international</w:t>
      </w:r>
      <w:r w:rsidR="00153DF8">
        <w:t xml:space="preserve"> concentration data are used for food groups where use in foods in Australia or New Zealand </w:t>
      </w:r>
      <w:r w:rsidR="005C3FB5">
        <w:t>was</w:t>
      </w:r>
      <w:r w:rsidR="00153DF8">
        <w:t xml:space="preserve"> identified but no use levels were provided by industry in Australia or New Zealand.</w:t>
      </w:r>
    </w:p>
    <w:p w14:paraId="0F957263" w14:textId="562311FC" w:rsidR="00153DF8" w:rsidRPr="00153DF8" w:rsidRDefault="00153DF8" w:rsidP="00FE181D">
      <w:pPr>
        <w:pStyle w:val="ListParagraph"/>
        <w:numPr>
          <w:ilvl w:val="0"/>
          <w:numId w:val="24"/>
        </w:numPr>
      </w:pPr>
      <w:r w:rsidRPr="00FE181D">
        <w:t>The exposure is based on only one</w:t>
      </w:r>
      <w:r w:rsidR="00FE181D">
        <w:t xml:space="preserve"> day of food consumption data. Mo</w:t>
      </w:r>
      <w:r w:rsidRPr="00FE181D">
        <w:t xml:space="preserve">re days of consumption data better reflect dietary exposures over a long or chronic period of time. </w:t>
      </w:r>
      <w:r w:rsidR="00FE181D">
        <w:t>I</w:t>
      </w:r>
      <w:r w:rsidR="005F7D9F">
        <w:t>t is known that more consumption days has the effect of averaging dietary exposures and bring</w:t>
      </w:r>
      <w:r w:rsidR="00FE181D">
        <w:t>ing</w:t>
      </w:r>
      <w:r w:rsidR="005F7D9F">
        <w:t xml:space="preserve"> in the tails of the exposure distribution, resulting in a lower high percentile </w:t>
      </w:r>
      <w:r w:rsidR="00FE181D">
        <w:t>exposure</w:t>
      </w:r>
      <w:r w:rsidR="005F7D9F">
        <w:t>.</w:t>
      </w:r>
    </w:p>
    <w:p w14:paraId="1E1BD3B8" w14:textId="3896BE9A" w:rsidR="0061321B" w:rsidRPr="00153DF8" w:rsidRDefault="00027DED" w:rsidP="00FE181D">
      <w:pPr>
        <w:pStyle w:val="ListParagraph"/>
        <w:numPr>
          <w:ilvl w:val="0"/>
          <w:numId w:val="24"/>
        </w:numPr>
      </w:pPr>
      <w:r>
        <w:t xml:space="preserve">The ADI is only slightly exceeded and the maximum dietary exposure estimate is </w:t>
      </w:r>
      <w:r w:rsidR="000A257B">
        <w:t>more</w:t>
      </w:r>
      <w:r>
        <w:t xml:space="preserve"> than 180-fold lower than the LOAEL</w:t>
      </w:r>
      <w:r w:rsidR="00D017D3">
        <w:t xml:space="preserve"> of 5000 mg/kg bw/day</w:t>
      </w:r>
      <w:r>
        <w:t xml:space="preserve">. </w:t>
      </w:r>
      <w:r w:rsidR="0061321B">
        <w:t xml:space="preserve">The EMA has concluded based on clinical data that </w:t>
      </w:r>
      <w:r w:rsidR="0061321B">
        <w:rPr>
          <w:lang w:bidi="ar-SA"/>
        </w:rPr>
        <w:t xml:space="preserve">for adults and children </w:t>
      </w:r>
      <w:r w:rsidR="0061321B">
        <w:rPr>
          <w:rFonts w:cs="Arial"/>
          <w:lang w:bidi="ar-SA"/>
        </w:rPr>
        <w:t>≥</w:t>
      </w:r>
      <w:r w:rsidR="0061321B">
        <w:rPr>
          <w:lang w:bidi="ar-SA"/>
        </w:rPr>
        <w:t xml:space="preserve"> 5 years of age, up to 500 mg/kg bw/day propylene glycol could generally be considered safe, and up to 50 mg/kg bw/day can be considered safe for children aged </w:t>
      </w:r>
      <w:r w:rsidR="0061321B">
        <w:rPr>
          <w:rFonts w:cs="Arial"/>
          <w:lang w:bidi="ar-SA"/>
        </w:rPr>
        <w:t>≥ 1 month - &lt; 5 years</w:t>
      </w:r>
      <w:r w:rsidR="0061321B">
        <w:rPr>
          <w:lang w:bidi="ar-SA"/>
        </w:rPr>
        <w:t xml:space="preserve">. These doses are substantially higher than the maximum dietary exposure estimate. </w:t>
      </w:r>
    </w:p>
    <w:p w14:paraId="09303E21" w14:textId="77777777" w:rsidR="00AF71E7" w:rsidRPr="000B0783" w:rsidRDefault="00AF71E7" w:rsidP="00144782">
      <w:pPr>
        <w:rPr>
          <w:lang w:bidi="ar-SA"/>
        </w:rPr>
      </w:pPr>
    </w:p>
    <w:p w14:paraId="592E4D6F" w14:textId="1BEF6DCA" w:rsidR="000B0783" w:rsidRPr="000B0783" w:rsidRDefault="00041E8D" w:rsidP="00D15757">
      <w:pPr>
        <w:pStyle w:val="Heading2"/>
        <w:rPr>
          <w:sz w:val="36"/>
          <w:szCs w:val="28"/>
        </w:rPr>
      </w:pPr>
      <w:bookmarkStart w:id="335" w:name="_Toc63330888"/>
      <w:bookmarkStart w:id="336" w:name="_Toc92722943"/>
      <w:bookmarkStart w:id="337" w:name="_Toc93592333"/>
      <w:bookmarkStart w:id="338" w:name="_Toc93585344"/>
      <w:bookmarkStart w:id="339" w:name="_Toc97041639"/>
      <w:r>
        <w:lastRenderedPageBreak/>
        <w:t>5.3</w:t>
      </w:r>
      <w:r w:rsidR="00144782">
        <w:tab/>
      </w:r>
      <w:r w:rsidR="00153DF8">
        <w:t>Conclusions from the</w:t>
      </w:r>
      <w:r w:rsidR="000B0783" w:rsidRPr="000B0783">
        <w:t xml:space="preserve"> </w:t>
      </w:r>
      <w:r>
        <w:t>risk characterisation</w:t>
      </w:r>
      <w:bookmarkEnd w:id="335"/>
      <w:bookmarkEnd w:id="336"/>
      <w:bookmarkEnd w:id="337"/>
      <w:bookmarkEnd w:id="338"/>
      <w:bookmarkEnd w:id="339"/>
    </w:p>
    <w:p w14:paraId="2A35D3B8" w14:textId="674787A8" w:rsidR="00144782" w:rsidRDefault="00041E8D" w:rsidP="0081797C">
      <w:pPr>
        <w:pStyle w:val="Heading3"/>
      </w:pPr>
      <w:bookmarkStart w:id="340" w:name="_Toc63330889"/>
      <w:bookmarkStart w:id="341" w:name="_Toc92722944"/>
      <w:bookmarkStart w:id="342" w:name="_Toc93592334"/>
      <w:bookmarkStart w:id="343" w:name="_Toc93585345"/>
      <w:bookmarkStart w:id="344" w:name="_Toc97041640"/>
      <w:r>
        <w:t>5.3</w:t>
      </w:r>
      <w:r w:rsidR="00144782">
        <w:t>.1</w:t>
      </w:r>
      <w:r w:rsidR="00144782">
        <w:tab/>
        <w:t>CPC</w:t>
      </w:r>
      <w:bookmarkEnd w:id="340"/>
      <w:bookmarkEnd w:id="341"/>
      <w:bookmarkEnd w:id="342"/>
      <w:bookmarkEnd w:id="343"/>
      <w:bookmarkEnd w:id="344"/>
    </w:p>
    <w:p w14:paraId="3FB06092" w14:textId="71CE3B06" w:rsidR="000B0783" w:rsidRDefault="004D1C4E" w:rsidP="00D05D9F">
      <w:pPr>
        <w:rPr>
          <w:lang w:bidi="ar-SA"/>
        </w:rPr>
      </w:pPr>
      <w:r w:rsidRPr="00E10CD2">
        <w:rPr>
          <w:lang w:eastAsia="en-AU" w:bidi="ar-SA"/>
        </w:rPr>
        <w:t xml:space="preserve">The dietary exposure assessment for CPC assessed </w:t>
      </w:r>
      <w:r w:rsidRPr="00E10CD2">
        <w:t xml:space="preserve">maximum </w:t>
      </w:r>
      <w:r w:rsidR="005C2AD2" w:rsidRPr="00E10CD2">
        <w:t xml:space="preserve">residue </w:t>
      </w:r>
      <w:r w:rsidRPr="00E10CD2">
        <w:t xml:space="preserve">and average </w:t>
      </w:r>
      <w:r w:rsidR="005C2AD2" w:rsidRPr="00E10CD2">
        <w:t>residue</w:t>
      </w:r>
      <w:r w:rsidRPr="00E10CD2">
        <w:t xml:space="preserve"> levels o</w:t>
      </w:r>
      <w:r w:rsidR="00E10CD2">
        <w:t>f CPC</w:t>
      </w:r>
      <w:r w:rsidR="000B3115">
        <w:t xml:space="preserve"> on poultry from use of the</w:t>
      </w:r>
      <w:r w:rsidR="00E10CD2">
        <w:t xml:space="preserve"> poultry wash solution on</w:t>
      </w:r>
      <w:r w:rsidRPr="00E10CD2">
        <w:t xml:space="preserve"> all </w:t>
      </w:r>
      <w:r w:rsidR="000B3115">
        <w:t xml:space="preserve">types of </w:t>
      </w:r>
      <w:r w:rsidRPr="00E10CD2">
        <w:t>poultry</w:t>
      </w:r>
      <w:r w:rsidRPr="00E10CD2">
        <w:rPr>
          <w:lang w:eastAsia="en-AU" w:bidi="ar-SA"/>
        </w:rPr>
        <w:t>.</w:t>
      </w:r>
      <w:r w:rsidR="00DB0834" w:rsidRPr="00E10CD2">
        <w:rPr>
          <w:lang w:eastAsia="en-AU"/>
        </w:rPr>
        <w:t xml:space="preserve"> </w:t>
      </w:r>
      <w:r w:rsidRPr="00E10CD2">
        <w:rPr>
          <w:lang w:eastAsia="en-AU" w:bidi="ar-SA"/>
        </w:rPr>
        <w:t>The MOEs calculated based on</w:t>
      </w:r>
      <w:r w:rsidRPr="00E10CD2">
        <w:rPr>
          <w:lang w:bidi="ar-SA"/>
        </w:rPr>
        <w:t xml:space="preserve"> dietary exposures to CPC from </w:t>
      </w:r>
      <w:r w:rsidR="00FE181D" w:rsidRPr="00E10CD2">
        <w:rPr>
          <w:lang w:bidi="ar-SA"/>
        </w:rPr>
        <w:t xml:space="preserve">the </w:t>
      </w:r>
      <w:r w:rsidR="001D6044">
        <w:rPr>
          <w:lang w:bidi="ar-SA"/>
        </w:rPr>
        <w:t>proposed use of the applicant’s CPC preparation</w:t>
      </w:r>
      <w:r w:rsidRPr="00E10CD2">
        <w:rPr>
          <w:lang w:bidi="ar-SA"/>
        </w:rPr>
        <w:t xml:space="preserve"> </w:t>
      </w:r>
      <w:r w:rsidR="00FE181D" w:rsidRPr="00E10CD2">
        <w:rPr>
          <w:lang w:bidi="ar-SA"/>
        </w:rPr>
        <w:t xml:space="preserve">for mean and high exposures for </w:t>
      </w:r>
      <w:r w:rsidR="00E10CD2">
        <w:rPr>
          <w:lang w:bidi="ar-SA"/>
        </w:rPr>
        <w:t xml:space="preserve">all residue concentrations </w:t>
      </w:r>
      <w:r w:rsidR="00FE181D" w:rsidRPr="00E10CD2">
        <w:rPr>
          <w:lang w:bidi="ar-SA"/>
        </w:rPr>
        <w:t xml:space="preserve">for all population groups assessed </w:t>
      </w:r>
      <w:r w:rsidR="00E10CD2" w:rsidRPr="00E10CD2">
        <w:rPr>
          <w:lang w:bidi="ar-SA"/>
        </w:rPr>
        <w:t>did not indicate any public health and safety concerns.</w:t>
      </w:r>
    </w:p>
    <w:p w14:paraId="29AEBF52" w14:textId="7AF63F84" w:rsidR="00144782" w:rsidRPr="003361E3" w:rsidRDefault="00041E8D" w:rsidP="0081797C">
      <w:pPr>
        <w:pStyle w:val="Heading3"/>
      </w:pPr>
      <w:bookmarkStart w:id="345" w:name="_Toc63330890"/>
      <w:bookmarkStart w:id="346" w:name="_Toc92722945"/>
      <w:bookmarkStart w:id="347" w:name="_Toc93592335"/>
      <w:bookmarkStart w:id="348" w:name="_Toc93585346"/>
      <w:bookmarkStart w:id="349" w:name="_Toc97041641"/>
      <w:r>
        <w:t>5.3</w:t>
      </w:r>
      <w:r w:rsidR="00144782" w:rsidRPr="003361E3">
        <w:t>.2</w:t>
      </w:r>
      <w:r w:rsidR="00144782" w:rsidRPr="003361E3">
        <w:tab/>
        <w:t>Propylene glycol</w:t>
      </w:r>
      <w:bookmarkEnd w:id="345"/>
      <w:bookmarkEnd w:id="346"/>
      <w:bookmarkEnd w:id="347"/>
      <w:bookmarkEnd w:id="348"/>
      <w:bookmarkEnd w:id="349"/>
    </w:p>
    <w:p w14:paraId="07737BAC" w14:textId="673C2445" w:rsidR="00863E31" w:rsidRDefault="00AB074B" w:rsidP="00D05D9F">
      <w:pPr>
        <w:rPr>
          <w:lang w:bidi="ar-SA"/>
        </w:rPr>
      </w:pPr>
      <w:r w:rsidRPr="003361E3">
        <w:rPr>
          <w:lang w:bidi="ar-SA"/>
        </w:rPr>
        <w:t xml:space="preserve">The dietary exposure assessment for propylene glycol assessed residues supplied by the applicant </w:t>
      </w:r>
      <w:r w:rsidR="003361E3" w:rsidRPr="003361E3">
        <w:rPr>
          <w:lang w:bidi="ar-SA"/>
        </w:rPr>
        <w:t>resulting from use of the</w:t>
      </w:r>
      <w:r w:rsidR="001B3359" w:rsidRPr="003361E3">
        <w:rPr>
          <w:lang w:bidi="ar-SA"/>
        </w:rPr>
        <w:t xml:space="preserve"> </w:t>
      </w:r>
      <w:r w:rsidR="000B3115">
        <w:rPr>
          <w:lang w:bidi="ar-SA"/>
        </w:rPr>
        <w:t>applicant</w:t>
      </w:r>
      <w:r w:rsidR="001D6044">
        <w:rPr>
          <w:lang w:bidi="ar-SA"/>
        </w:rPr>
        <w:t>’</w:t>
      </w:r>
      <w:r w:rsidR="000B3115">
        <w:rPr>
          <w:lang w:bidi="ar-SA"/>
        </w:rPr>
        <w:t xml:space="preserve">s </w:t>
      </w:r>
      <w:r w:rsidR="009069A6" w:rsidRPr="003361E3">
        <w:rPr>
          <w:lang w:bidi="ar-SA"/>
        </w:rPr>
        <w:t>CPC</w:t>
      </w:r>
      <w:r w:rsidR="000B3115">
        <w:rPr>
          <w:lang w:bidi="ar-SA"/>
        </w:rPr>
        <w:t xml:space="preserve"> preparation</w:t>
      </w:r>
      <w:r w:rsidR="001B3359" w:rsidRPr="003361E3">
        <w:rPr>
          <w:lang w:bidi="ar-SA"/>
        </w:rPr>
        <w:t>, along with baseline dietary exposures</w:t>
      </w:r>
      <w:r w:rsidRPr="003361E3">
        <w:rPr>
          <w:lang w:bidi="ar-SA"/>
        </w:rPr>
        <w:t xml:space="preserve">. </w:t>
      </w:r>
      <w:r w:rsidR="003361E3" w:rsidRPr="003361E3">
        <w:rPr>
          <w:lang w:bidi="ar-SA"/>
        </w:rPr>
        <w:t xml:space="preserve">Dietary exposures </w:t>
      </w:r>
      <w:r w:rsidR="00CC5358" w:rsidRPr="003361E3">
        <w:rPr>
          <w:lang w:bidi="ar-SA"/>
        </w:rPr>
        <w:t xml:space="preserve">to propylene glycol from </w:t>
      </w:r>
      <w:r w:rsidR="003361E3" w:rsidRPr="003361E3">
        <w:rPr>
          <w:lang w:bidi="ar-SA"/>
        </w:rPr>
        <w:t xml:space="preserve">the </w:t>
      </w:r>
      <w:r w:rsidR="001D6044">
        <w:rPr>
          <w:lang w:bidi="ar-SA"/>
        </w:rPr>
        <w:t>CPC preparation</w:t>
      </w:r>
      <w:r w:rsidR="003361E3" w:rsidRPr="003361E3">
        <w:rPr>
          <w:lang w:bidi="ar-SA"/>
        </w:rPr>
        <w:t xml:space="preserve"> </w:t>
      </w:r>
      <w:r w:rsidR="00CC5358" w:rsidRPr="003361E3">
        <w:rPr>
          <w:lang w:bidi="ar-SA"/>
        </w:rPr>
        <w:t xml:space="preserve">at mean and </w:t>
      </w:r>
      <w:r w:rsidR="003361E3" w:rsidRPr="003361E3">
        <w:rPr>
          <w:lang w:bidi="ar-SA"/>
        </w:rPr>
        <w:t>high exposures</w:t>
      </w:r>
      <w:r w:rsidRPr="003361E3">
        <w:rPr>
          <w:lang w:bidi="ar-SA"/>
        </w:rPr>
        <w:t xml:space="preserve"> </w:t>
      </w:r>
      <w:r w:rsidR="003361E3" w:rsidRPr="003361E3">
        <w:rPr>
          <w:lang w:bidi="ar-SA"/>
        </w:rPr>
        <w:t>were</w:t>
      </w:r>
      <w:r w:rsidRPr="003361E3">
        <w:rPr>
          <w:lang w:bidi="ar-SA"/>
        </w:rPr>
        <w:t xml:space="preserve"> below 1% of the JECFA ADI for the population groups assessed</w:t>
      </w:r>
      <w:r w:rsidR="003361E3" w:rsidRPr="003361E3">
        <w:rPr>
          <w:lang w:bidi="ar-SA"/>
        </w:rPr>
        <w:t xml:space="preserve"> showing a</w:t>
      </w:r>
      <w:r w:rsidR="009069A6" w:rsidRPr="003361E3">
        <w:rPr>
          <w:lang w:bidi="ar-SA"/>
        </w:rPr>
        <w:t xml:space="preserve">n extension of use of propylene glycol </w:t>
      </w:r>
      <w:r w:rsidR="003361E3" w:rsidRPr="003361E3">
        <w:rPr>
          <w:lang w:bidi="ar-SA"/>
        </w:rPr>
        <w:t>from the</w:t>
      </w:r>
      <w:r w:rsidR="009069A6" w:rsidRPr="003361E3">
        <w:rPr>
          <w:lang w:bidi="ar-SA"/>
        </w:rPr>
        <w:t xml:space="preserve"> </w:t>
      </w:r>
      <w:r w:rsidR="001D6044">
        <w:rPr>
          <w:lang w:bidi="ar-SA"/>
        </w:rPr>
        <w:t>applicant’s CPC preparation</w:t>
      </w:r>
      <w:r w:rsidR="009069A6" w:rsidRPr="003361E3">
        <w:rPr>
          <w:lang w:bidi="ar-SA"/>
        </w:rPr>
        <w:t xml:space="preserve"> adds minimally to propylene</w:t>
      </w:r>
      <w:r w:rsidR="009069A6" w:rsidRPr="00FE181D">
        <w:rPr>
          <w:lang w:bidi="ar-SA"/>
        </w:rPr>
        <w:t xml:space="preserve"> glycol dietary exposures.</w:t>
      </w:r>
      <w:r w:rsidR="003361E3">
        <w:rPr>
          <w:lang w:bidi="ar-SA"/>
        </w:rPr>
        <w:t xml:space="preserve"> </w:t>
      </w:r>
      <w:r w:rsidR="00394A53">
        <w:rPr>
          <w:lang w:bidi="ar-SA"/>
        </w:rPr>
        <w:t>Whilst the upper end of the range of estimated dietary exposures just exceeds the ADI, it is based on a very conservative estimate in relation to data and methodologies used and would be lower in reality.</w:t>
      </w:r>
      <w:r w:rsidR="003E2488">
        <w:rPr>
          <w:lang w:bidi="ar-SA"/>
        </w:rPr>
        <w:t xml:space="preserve"> </w:t>
      </w:r>
      <w:r w:rsidR="00394A53">
        <w:rPr>
          <w:lang w:bidi="ar-SA"/>
        </w:rPr>
        <w:t>Overall, d</w:t>
      </w:r>
      <w:r w:rsidR="003361E3">
        <w:rPr>
          <w:lang w:bidi="ar-SA"/>
        </w:rPr>
        <w:t xml:space="preserve">ietary exposures from baseline and </w:t>
      </w:r>
      <w:r w:rsidR="001D6044">
        <w:rPr>
          <w:lang w:bidi="ar-SA"/>
        </w:rPr>
        <w:t xml:space="preserve">the </w:t>
      </w:r>
      <w:r w:rsidR="001D6044">
        <w:t>applicant’s CPC preparation</w:t>
      </w:r>
      <w:r w:rsidR="003361E3">
        <w:rPr>
          <w:lang w:bidi="ar-SA"/>
        </w:rPr>
        <w:t xml:space="preserve"> uses combined did not raise any concerns for public health and safety.</w:t>
      </w:r>
      <w:r w:rsidR="007F57A7">
        <w:rPr>
          <w:lang w:bidi="ar-SA"/>
        </w:rPr>
        <w:t xml:space="preserve"> </w:t>
      </w:r>
    </w:p>
    <w:p w14:paraId="73581E49" w14:textId="39CD716B" w:rsidR="005F7323" w:rsidRPr="00521FAD" w:rsidRDefault="00562EB2" w:rsidP="00C71929">
      <w:pPr>
        <w:pStyle w:val="Heading1"/>
        <w:ind w:left="567" w:hanging="567"/>
      </w:pPr>
      <w:bookmarkStart w:id="350" w:name="_Toc62657946"/>
      <w:bookmarkStart w:id="351" w:name="_Toc62738998"/>
      <w:bookmarkStart w:id="352" w:name="_Toc62743584"/>
      <w:bookmarkStart w:id="353" w:name="_Toc63330892"/>
      <w:bookmarkStart w:id="354" w:name="_Toc92722949"/>
      <w:bookmarkStart w:id="355" w:name="_Toc93592336"/>
      <w:bookmarkStart w:id="356" w:name="_Toc93585347"/>
      <w:bookmarkStart w:id="357" w:name="_Toc97041642"/>
      <w:r>
        <w:t>6</w:t>
      </w:r>
      <w:r w:rsidR="005F7323">
        <w:t xml:space="preserve"> </w:t>
      </w:r>
      <w:r w:rsidR="005F7323">
        <w:tab/>
      </w:r>
      <w:r w:rsidR="005F7323" w:rsidRPr="00521FAD">
        <w:t>Conclusion</w:t>
      </w:r>
      <w:bookmarkEnd w:id="316"/>
      <w:bookmarkEnd w:id="350"/>
      <w:bookmarkEnd w:id="351"/>
      <w:bookmarkEnd w:id="352"/>
      <w:bookmarkEnd w:id="353"/>
      <w:r w:rsidR="00AF71E7">
        <w:t>s from the risk and technical assessment</w:t>
      </w:r>
      <w:bookmarkEnd w:id="354"/>
      <w:bookmarkEnd w:id="355"/>
      <w:bookmarkEnd w:id="356"/>
      <w:bookmarkEnd w:id="357"/>
    </w:p>
    <w:p w14:paraId="4843FE4A" w14:textId="77777777" w:rsidR="00A53837" w:rsidRDefault="00A53837" w:rsidP="00A53837">
      <w:r>
        <w:t>FSANZ has undertaken an assessment to determine whether CPC achieves the technological purpose, as a processing aid, of an antimicrobial treatment for raw poultry and to identify any potential public health and safety concerns associated with its proposed use.</w:t>
      </w:r>
    </w:p>
    <w:p w14:paraId="737F3020" w14:textId="77777777" w:rsidR="00A53837" w:rsidRDefault="00A53837" w:rsidP="00A53837"/>
    <w:p w14:paraId="71663442" w14:textId="6DB1FB28" w:rsidR="00A53837" w:rsidRDefault="00A53837" w:rsidP="00A53837">
      <w:pPr>
        <w:rPr>
          <w:lang w:eastAsia="en-AU" w:bidi="ar-SA"/>
        </w:rPr>
      </w:pPr>
      <w:r w:rsidRPr="00C37810">
        <w:rPr>
          <w:lang w:eastAsia="en-AU" w:bidi="ar-SA"/>
        </w:rPr>
        <w:t xml:space="preserve">Raw poultry </w:t>
      </w:r>
      <w:r w:rsidR="00F75B63">
        <w:rPr>
          <w:lang w:eastAsia="en-AU" w:bidi="ar-SA"/>
        </w:rPr>
        <w:t xml:space="preserve">inherently </w:t>
      </w:r>
      <w:r w:rsidRPr="00C37810">
        <w:rPr>
          <w:lang w:eastAsia="en-AU" w:bidi="ar-SA"/>
        </w:rPr>
        <w:t>carr</w:t>
      </w:r>
      <w:r w:rsidR="00C90E31">
        <w:rPr>
          <w:lang w:eastAsia="en-AU" w:bidi="ar-SA"/>
        </w:rPr>
        <w:t>ies</w:t>
      </w:r>
      <w:r w:rsidRPr="00C37810">
        <w:rPr>
          <w:lang w:eastAsia="en-AU" w:bidi="ar-SA"/>
        </w:rPr>
        <w:t xml:space="preserve"> a wide range of microorganisms, some of which are potential human pathogens that may cause illness in consumers. </w:t>
      </w:r>
      <w:r>
        <w:rPr>
          <w:lang w:eastAsia="en-AU" w:bidi="ar-SA"/>
        </w:rPr>
        <w:t>Analysis of the evidence provides adequate assurance that the application of CPC at</w:t>
      </w:r>
      <w:r w:rsidRPr="005F597D">
        <w:t xml:space="preserve"> </w:t>
      </w:r>
      <w:r w:rsidRPr="005F597D">
        <w:rPr>
          <w:lang w:eastAsia="en-AU" w:bidi="ar-SA"/>
        </w:rPr>
        <w:t xml:space="preserve">levels ranging from 0.1 to </w:t>
      </w:r>
      <w:r w:rsidR="009827E2">
        <w:rPr>
          <w:lang w:eastAsia="en-AU" w:bidi="ar-SA"/>
        </w:rPr>
        <w:t>1% (w/v)</w:t>
      </w:r>
      <w:r>
        <w:rPr>
          <w:lang w:eastAsia="en-AU" w:bidi="ar-SA"/>
        </w:rPr>
        <w:t xml:space="preserve"> to the surface of raw poultry carcasses and skin-on poultry </w:t>
      </w:r>
      <w:r w:rsidR="00F668A1">
        <w:rPr>
          <w:lang w:eastAsia="en-AU" w:bidi="ar-SA"/>
        </w:rPr>
        <w:t>pieces</w:t>
      </w:r>
      <w:r>
        <w:rPr>
          <w:lang w:eastAsia="en-AU" w:bidi="ar-SA"/>
        </w:rPr>
        <w:t xml:space="preserve"> </w:t>
      </w:r>
      <w:r w:rsidR="00561C62" w:rsidRPr="00561C62">
        <w:rPr>
          <w:lang w:eastAsia="en-AU" w:bidi="ar-SA"/>
        </w:rPr>
        <w:t>can effectively reduce the prevalence and levels of microorganisms, including relevant pathogens</w:t>
      </w:r>
      <w:r>
        <w:rPr>
          <w:lang w:eastAsia="en-AU" w:bidi="ar-SA"/>
        </w:rPr>
        <w:t>.</w:t>
      </w:r>
      <w:r w:rsidRPr="00C37810">
        <w:rPr>
          <w:lang w:eastAsia="en-AU" w:bidi="ar-SA"/>
        </w:rPr>
        <w:t xml:space="preserve"> </w:t>
      </w:r>
      <w:r>
        <w:rPr>
          <w:lang w:eastAsia="en-AU" w:bidi="ar-SA"/>
        </w:rPr>
        <w:t xml:space="preserve">FSANZ therefore concludes that the proposed use of CPC as an antimicrobial agent for raw poultry is technologically justified. </w:t>
      </w:r>
    </w:p>
    <w:p w14:paraId="168EDE38" w14:textId="577DDBC7" w:rsidR="005F7323" w:rsidRPr="00BD2464" w:rsidRDefault="005F7323" w:rsidP="005F7323">
      <w:pPr>
        <w:widowControl/>
        <w:rPr>
          <w:lang w:eastAsia="en-AU" w:bidi="ar-SA"/>
        </w:rPr>
      </w:pPr>
    </w:p>
    <w:p w14:paraId="4B70FAA1" w14:textId="28525BE6" w:rsidR="005F7323" w:rsidRDefault="00A53837" w:rsidP="005F7323">
      <w:pPr>
        <w:widowControl/>
      </w:pPr>
      <w:r>
        <w:t xml:space="preserve">Studies on the potential for the proposed use of CPC to engender resistance to the compound or cross resistance to antimicrobial compounds of importance to human health demonstrate that </w:t>
      </w:r>
      <w:r w:rsidRPr="009B2E62">
        <w:t>the proposed use of CPC does not introduce an unacceptable risk of the development of antimicrobial resistance</w:t>
      </w:r>
      <w:r>
        <w:t xml:space="preserve"> in the six pathogens tested</w:t>
      </w:r>
      <w:r w:rsidR="00C52984">
        <w:t>.</w:t>
      </w:r>
    </w:p>
    <w:p w14:paraId="7A9C4138" w14:textId="06E54D08" w:rsidR="003A39B0" w:rsidRDefault="003A39B0" w:rsidP="005F7323">
      <w:pPr>
        <w:widowControl/>
        <w:rPr>
          <w:lang w:eastAsia="en-AU" w:bidi="ar-SA"/>
        </w:rPr>
      </w:pPr>
    </w:p>
    <w:p w14:paraId="25C8E6E0" w14:textId="4A33F20A" w:rsidR="003A39B0" w:rsidRPr="00BD2464" w:rsidRDefault="003A39B0" w:rsidP="005F7323">
      <w:pPr>
        <w:widowControl/>
        <w:rPr>
          <w:lang w:eastAsia="en-AU" w:bidi="ar-SA"/>
        </w:rPr>
      </w:pPr>
      <w:r>
        <w:rPr>
          <w:lang w:eastAsia="en-AU" w:bidi="ar-SA"/>
        </w:rPr>
        <w:t>There were no public health and safety concerns identified from the estimated dietary exposure to either CPC or the propylene glycol in the</w:t>
      </w:r>
      <w:r w:rsidR="000B3115">
        <w:rPr>
          <w:lang w:eastAsia="en-AU" w:bidi="ar-SA"/>
        </w:rPr>
        <w:t xml:space="preserve"> applicant</w:t>
      </w:r>
      <w:r w:rsidR="00C735F0">
        <w:rPr>
          <w:lang w:eastAsia="en-AU" w:bidi="ar-SA"/>
        </w:rPr>
        <w:t>’</w:t>
      </w:r>
      <w:r w:rsidR="000B3115">
        <w:rPr>
          <w:lang w:eastAsia="en-AU" w:bidi="ar-SA"/>
        </w:rPr>
        <w:t>s</w:t>
      </w:r>
      <w:r>
        <w:rPr>
          <w:lang w:eastAsia="en-AU" w:bidi="ar-SA"/>
        </w:rPr>
        <w:t xml:space="preserve"> </w:t>
      </w:r>
      <w:r w:rsidR="00C735F0">
        <w:rPr>
          <w:lang w:eastAsia="en-AU" w:bidi="ar-SA"/>
        </w:rPr>
        <w:t>CPC</w:t>
      </w:r>
      <w:r>
        <w:rPr>
          <w:lang w:eastAsia="en-AU" w:bidi="ar-SA"/>
        </w:rPr>
        <w:t xml:space="preserve"> </w:t>
      </w:r>
      <w:r w:rsidR="000B3115">
        <w:rPr>
          <w:lang w:eastAsia="en-AU" w:bidi="ar-SA"/>
        </w:rPr>
        <w:t xml:space="preserve">preparation </w:t>
      </w:r>
      <w:r>
        <w:rPr>
          <w:lang w:eastAsia="en-AU" w:bidi="ar-SA"/>
        </w:rPr>
        <w:t>at the proposed use levels.</w:t>
      </w:r>
    </w:p>
    <w:p w14:paraId="01EFBC06" w14:textId="27B6BBE1" w:rsidR="005F7323" w:rsidRDefault="00562EB2" w:rsidP="00C71929">
      <w:pPr>
        <w:pStyle w:val="Heading1"/>
        <w:ind w:left="567" w:hanging="567"/>
      </w:pPr>
      <w:bookmarkStart w:id="358" w:name="_Toc41314189"/>
      <w:bookmarkStart w:id="359" w:name="_Toc62657947"/>
      <w:bookmarkStart w:id="360" w:name="_Toc62738999"/>
      <w:bookmarkStart w:id="361" w:name="_Toc62743585"/>
      <w:bookmarkStart w:id="362" w:name="_Toc63330893"/>
      <w:bookmarkStart w:id="363" w:name="_Toc92722950"/>
      <w:bookmarkStart w:id="364" w:name="_Toc93592337"/>
      <w:bookmarkStart w:id="365" w:name="_Toc93585348"/>
      <w:bookmarkStart w:id="366" w:name="_Toc97041643"/>
      <w:r>
        <w:t>7</w:t>
      </w:r>
      <w:r w:rsidR="005F7323" w:rsidRPr="00521FAD">
        <w:t xml:space="preserve"> </w:t>
      </w:r>
      <w:r w:rsidR="005F7323">
        <w:tab/>
        <w:t>References</w:t>
      </w:r>
      <w:bookmarkEnd w:id="358"/>
      <w:bookmarkEnd w:id="359"/>
      <w:bookmarkEnd w:id="360"/>
      <w:bookmarkEnd w:id="361"/>
      <w:bookmarkEnd w:id="362"/>
      <w:bookmarkEnd w:id="363"/>
      <w:bookmarkEnd w:id="364"/>
      <w:bookmarkEnd w:id="365"/>
      <w:bookmarkEnd w:id="366"/>
    </w:p>
    <w:p w14:paraId="2A16709A" w14:textId="49AF5CE0" w:rsidR="000F53D4" w:rsidRPr="0085042A" w:rsidRDefault="000F53D4" w:rsidP="000F53D4">
      <w:pPr>
        <w:widowControl/>
        <w:spacing w:after="240"/>
        <w:rPr>
          <w:rFonts w:eastAsia="Calibri" w:cs="Arial"/>
          <w:szCs w:val="22"/>
          <w:lang w:val="en-AU" w:bidi="ar-SA"/>
        </w:rPr>
      </w:pPr>
      <w:r w:rsidRPr="0085042A">
        <w:rPr>
          <w:rFonts w:eastAsia="Calibri" w:cs="Arial"/>
          <w:szCs w:val="22"/>
          <w:lang w:bidi="ar-SA"/>
        </w:rPr>
        <w:t xml:space="preserve">ABS (2014) </w:t>
      </w:r>
      <w:hyperlink r:id="rId18" w:history="1">
        <w:r w:rsidRPr="00B75459">
          <w:rPr>
            <w:rStyle w:val="Hyperlink"/>
            <w:rFonts w:eastAsia="Calibri" w:cs="Arial"/>
            <w:szCs w:val="22"/>
            <w:lang w:bidi="ar-SA"/>
          </w:rPr>
          <w:t>National Nutrition and Physical Activity Survey</w:t>
        </w:r>
      </w:hyperlink>
      <w:r w:rsidRPr="0085042A">
        <w:rPr>
          <w:rFonts w:eastAsia="Calibri" w:cs="Arial"/>
          <w:szCs w:val="22"/>
          <w:lang w:bidi="ar-SA"/>
        </w:rPr>
        <w:t xml:space="preserve">, 2011–12, Basic CURF. Australian Government, Canberra. </w:t>
      </w:r>
      <w:hyperlink r:id="rId19" w:history="1">
        <w:r w:rsidRPr="002F200C">
          <w:rPr>
            <w:rFonts w:eastAsia="Calibri" w:cs="Arial"/>
            <w:color w:val="0000FF"/>
            <w:szCs w:val="22"/>
            <w:u w:val="single"/>
            <w:lang w:bidi="ar-SA"/>
          </w:rPr>
          <w:t>http://www.abs.gov.au/AUSSTATS/abs@.nsf/Latestproducts/4324.0.55.002Main%20Feature</w:t>
        </w:r>
        <w:r w:rsidRPr="002F200C">
          <w:rPr>
            <w:rFonts w:eastAsia="Calibri" w:cs="Arial"/>
            <w:color w:val="0000FF"/>
            <w:szCs w:val="22"/>
            <w:u w:val="single"/>
            <w:lang w:bidi="ar-SA"/>
          </w:rPr>
          <w:lastRenderedPageBreak/>
          <w:t>s652011-12?opendocument&amp;tabname=Summary&amp;prodno=4324.0.55.002&amp;issue=2011-12&amp;num=&amp;view</w:t>
        </w:r>
      </w:hyperlink>
      <w:r w:rsidRPr="0085042A">
        <w:rPr>
          <w:rFonts w:eastAsia="Calibri" w:cs="Arial"/>
          <w:szCs w:val="22"/>
          <w:lang w:bidi="ar-SA"/>
        </w:rPr>
        <w:t>=</w:t>
      </w:r>
    </w:p>
    <w:p w14:paraId="3FD37BCD" w14:textId="37949306" w:rsidR="00AB3F8D" w:rsidRPr="0085042A" w:rsidRDefault="00AB3F8D" w:rsidP="00735F3C">
      <w:pPr>
        <w:widowControl/>
        <w:spacing w:after="240"/>
        <w:rPr>
          <w:rFonts w:eastAsia="Calibri" w:cs="Arial"/>
          <w:szCs w:val="22"/>
          <w:lang w:bidi="ar-SA"/>
        </w:rPr>
      </w:pPr>
      <w:r w:rsidRPr="0085042A">
        <w:rPr>
          <w:rFonts w:eastAsia="Calibri" w:cs="Arial"/>
          <w:szCs w:val="22"/>
          <w:lang w:bidi="ar-SA"/>
        </w:rPr>
        <w:t xml:space="preserve">Arena JM, Drew RH (1986) Poisoning. Toxicology, symptoms, treatments. Fifth edition. Charles G Thomas Publisher, Springfield, Illinois, USA. </w:t>
      </w:r>
    </w:p>
    <w:p w14:paraId="32B0D421" w14:textId="3EFE714A" w:rsidR="00982561" w:rsidRPr="0085042A" w:rsidRDefault="00982561" w:rsidP="00735F3C">
      <w:pPr>
        <w:widowControl/>
        <w:spacing w:after="240"/>
        <w:rPr>
          <w:rFonts w:eastAsia="Calibri" w:cs="Arial"/>
          <w:szCs w:val="22"/>
          <w:lang w:bidi="ar-SA"/>
        </w:rPr>
      </w:pPr>
      <w:r w:rsidRPr="0085042A">
        <w:rPr>
          <w:rFonts w:eastAsia="Calibri" w:cs="Arial"/>
          <w:szCs w:val="22"/>
          <w:lang w:bidi="ar-SA"/>
        </w:rPr>
        <w:t xml:space="preserve">Arritt FM, Eifert JD, Pierson MD, Sumner SS (2002) Efficacy of antimicrobials against </w:t>
      </w:r>
      <w:r w:rsidRPr="0085042A">
        <w:rPr>
          <w:rFonts w:eastAsia="Calibri" w:cs="Arial"/>
          <w:i/>
          <w:szCs w:val="22"/>
          <w:lang w:bidi="ar-SA"/>
        </w:rPr>
        <w:t>Campylobacter jejuni</w:t>
      </w:r>
      <w:r w:rsidRPr="0085042A">
        <w:rPr>
          <w:rFonts w:eastAsia="Calibri" w:cs="Arial"/>
          <w:szCs w:val="22"/>
          <w:lang w:bidi="ar-SA"/>
        </w:rPr>
        <w:t xml:space="preserve"> on chicken breast skin. J. Appl. Poultry Sci. 11(4): 358-366. doi:10.1093/japr/11.4.358.</w:t>
      </w:r>
    </w:p>
    <w:p w14:paraId="231B8F1F" w14:textId="1820975B" w:rsidR="00123ADA" w:rsidRPr="0085042A" w:rsidRDefault="00A72D79" w:rsidP="00A72D79">
      <w:pPr>
        <w:widowControl/>
        <w:spacing w:after="240"/>
        <w:rPr>
          <w:rFonts w:eastAsia="Calibri" w:cs="Arial"/>
          <w:szCs w:val="22"/>
          <w:lang w:bidi="ar-SA"/>
        </w:rPr>
      </w:pPr>
      <w:r w:rsidRPr="0085042A">
        <w:rPr>
          <w:rFonts w:eastAsia="Calibri" w:cs="Arial"/>
          <w:szCs w:val="22"/>
          <w:lang w:bidi="ar-SA"/>
        </w:rPr>
        <w:t>Baeck M, Cawet B, Tennstedt D, Goossens A (2013) Allergic contact dermatitis caused by latex (natural rubber)-free gloves in healthcare workers. Contact Dermatitis 68(1):54-5. doi:10.1111/j.1600-0536.2012.02054.x.</w:t>
      </w:r>
    </w:p>
    <w:p w14:paraId="3551FD3C" w14:textId="6CDA59FF" w:rsidR="00123ADA" w:rsidRPr="0085042A" w:rsidRDefault="00123ADA" w:rsidP="00123ADA">
      <w:pPr>
        <w:widowControl/>
        <w:spacing w:after="240"/>
        <w:rPr>
          <w:rFonts w:eastAsia="Calibri" w:cs="Arial"/>
          <w:szCs w:val="22"/>
          <w:lang w:bidi="ar-SA"/>
        </w:rPr>
      </w:pPr>
      <w:r w:rsidRPr="0085042A">
        <w:rPr>
          <w:rFonts w:eastAsia="Calibri" w:cs="Arial"/>
          <w:szCs w:val="22"/>
          <w:lang w:bidi="ar-SA"/>
        </w:rPr>
        <w:t>Bai Y, Coleman KR, Coleman CW, Waldroup AL (2007) Effect of cetylpyridinium chloride (Cecure® CPC antimicrobial) on the refrigerated shelf life of fresh boneless, skinless broiler thigh meat. International Journal of Poultry Science 6(2):91-94. doi:10.3923/ijps.2007.91.94.</w:t>
      </w:r>
    </w:p>
    <w:p w14:paraId="455B7A23" w14:textId="47826C1A" w:rsidR="00123ADA" w:rsidRPr="0085042A" w:rsidRDefault="00123ADA" w:rsidP="00123ADA">
      <w:pPr>
        <w:widowControl/>
        <w:spacing w:after="240"/>
        <w:rPr>
          <w:rFonts w:eastAsia="Calibri" w:cs="Arial"/>
          <w:szCs w:val="22"/>
          <w:lang w:bidi="ar-SA"/>
        </w:rPr>
      </w:pPr>
      <w:r w:rsidRPr="0085042A">
        <w:rPr>
          <w:rFonts w:eastAsia="Calibri" w:cs="Arial"/>
          <w:szCs w:val="22"/>
          <w:lang w:bidi="ar-SA"/>
        </w:rPr>
        <w:t>Baker RA, Beers KL, Cook PE, Smith BA (2010</w:t>
      </w:r>
      <w:r w:rsidR="00D42794" w:rsidRPr="0085042A">
        <w:rPr>
          <w:rFonts w:eastAsia="Calibri" w:cs="Arial"/>
          <w:szCs w:val="22"/>
          <w:lang w:bidi="ar-SA"/>
        </w:rPr>
        <w:t>) Efficacy of a commercial post-chill whole c</w:t>
      </w:r>
      <w:r w:rsidRPr="0085042A">
        <w:rPr>
          <w:rFonts w:eastAsia="Calibri" w:cs="Arial"/>
          <w:szCs w:val="22"/>
          <w:lang w:bidi="ar-SA"/>
        </w:rPr>
        <w:t>arc</w:t>
      </w:r>
      <w:r w:rsidR="00D42794" w:rsidRPr="0085042A">
        <w:rPr>
          <w:rFonts w:eastAsia="Calibri" w:cs="Arial"/>
          <w:szCs w:val="22"/>
          <w:lang w:bidi="ar-SA"/>
        </w:rPr>
        <w:t>ass Cecure® antimicrobial application for extending the shelf-life of various broiler p</w:t>
      </w:r>
      <w:r w:rsidRPr="0085042A">
        <w:rPr>
          <w:rFonts w:eastAsia="Calibri" w:cs="Arial"/>
          <w:szCs w:val="22"/>
          <w:lang w:bidi="ar-SA"/>
        </w:rPr>
        <w:t>roducts. International</w:t>
      </w:r>
      <w:r w:rsidR="00D42794" w:rsidRPr="0085042A">
        <w:rPr>
          <w:rFonts w:eastAsia="Calibri" w:cs="Arial"/>
          <w:szCs w:val="22"/>
          <w:lang w:bidi="ar-SA"/>
        </w:rPr>
        <w:t xml:space="preserve"> Journal of Poultry Science 9(1):99.</w:t>
      </w:r>
      <w:r w:rsidRPr="0085042A">
        <w:rPr>
          <w:rFonts w:eastAsia="Calibri" w:cs="Arial"/>
          <w:szCs w:val="22"/>
          <w:lang w:bidi="ar-SA"/>
        </w:rPr>
        <w:t xml:space="preserve"> </w:t>
      </w:r>
      <w:r w:rsidR="00D42794" w:rsidRPr="0085042A">
        <w:rPr>
          <w:rFonts w:eastAsia="Calibri" w:cs="Arial"/>
          <w:szCs w:val="22"/>
          <w:lang w:bidi="ar-SA"/>
        </w:rPr>
        <w:t>doi:</w:t>
      </w:r>
      <w:r w:rsidRPr="0085042A">
        <w:rPr>
          <w:rFonts w:eastAsia="Calibri" w:cs="Arial"/>
          <w:szCs w:val="22"/>
          <w:lang w:bidi="ar-SA"/>
        </w:rPr>
        <w:t>10.3923/ijps.2010.99.99</w:t>
      </w:r>
      <w:r w:rsidR="00D42794" w:rsidRPr="0085042A">
        <w:rPr>
          <w:rFonts w:eastAsia="Calibri" w:cs="Arial"/>
          <w:szCs w:val="22"/>
          <w:lang w:bidi="ar-SA"/>
        </w:rPr>
        <w:t>.</w:t>
      </w:r>
    </w:p>
    <w:p w14:paraId="05B5BB9F" w14:textId="50FB22B0" w:rsidR="00B847A9" w:rsidRPr="0085042A" w:rsidRDefault="00B847A9" w:rsidP="00123ADA">
      <w:pPr>
        <w:widowControl/>
        <w:spacing w:after="240"/>
        <w:rPr>
          <w:rFonts w:eastAsia="Calibri" w:cs="Arial"/>
          <w:szCs w:val="22"/>
          <w:lang w:bidi="ar-SA"/>
        </w:rPr>
      </w:pPr>
      <w:r w:rsidRPr="00B847A9">
        <w:rPr>
          <w:rFonts w:eastAsia="Calibri" w:cs="Arial"/>
          <w:szCs w:val="22"/>
          <w:lang w:bidi="ar-SA"/>
        </w:rPr>
        <w:t xml:space="preserve">Bell R, Draper A, Fearnley E, Franklin N, Glasgow K, Gregory J, Harlock M, Hope K, Kane S, Miller M, Pingault N, Sloan-Gardner </w:t>
      </w:r>
      <w:r>
        <w:rPr>
          <w:rFonts w:eastAsia="Calibri" w:cs="Arial"/>
          <w:szCs w:val="22"/>
          <w:lang w:bidi="ar-SA"/>
        </w:rPr>
        <w:t>T, Stafford R, Ward K, Wright R:</w:t>
      </w:r>
      <w:r w:rsidRPr="00B847A9">
        <w:rPr>
          <w:rFonts w:eastAsia="Calibri" w:cs="Arial"/>
          <w:szCs w:val="22"/>
          <w:lang w:bidi="ar-SA"/>
        </w:rPr>
        <w:t xml:space="preserve"> OzFoodNet Working Group</w:t>
      </w:r>
      <w:r>
        <w:rPr>
          <w:rFonts w:eastAsia="Calibri" w:cs="Arial"/>
          <w:szCs w:val="22"/>
          <w:lang w:bidi="ar-SA"/>
        </w:rPr>
        <w:t xml:space="preserve"> (2021)</w:t>
      </w:r>
      <w:r w:rsidRPr="00B847A9">
        <w:rPr>
          <w:rFonts w:eastAsia="Calibri" w:cs="Arial"/>
          <w:szCs w:val="22"/>
          <w:lang w:bidi="ar-SA"/>
        </w:rPr>
        <w:t xml:space="preserve"> Monitoring the incidence and causes of disease potentially transmitted by food in Australia: Annual report of the OzFoodNet network, 2016. C</w:t>
      </w:r>
      <w:r>
        <w:rPr>
          <w:rFonts w:eastAsia="Calibri" w:cs="Arial"/>
          <w:szCs w:val="22"/>
          <w:lang w:bidi="ar-SA"/>
        </w:rPr>
        <w:t xml:space="preserve">ommun Dis Intell </w:t>
      </w:r>
      <w:r w:rsidRPr="00B847A9">
        <w:rPr>
          <w:rFonts w:eastAsia="Calibri" w:cs="Arial"/>
          <w:szCs w:val="22"/>
          <w:lang w:bidi="ar-SA"/>
        </w:rPr>
        <w:t>45. doi:10.33321</w:t>
      </w:r>
      <w:r>
        <w:rPr>
          <w:rFonts w:eastAsia="Calibri" w:cs="Arial"/>
          <w:szCs w:val="22"/>
          <w:lang w:bidi="ar-SA"/>
        </w:rPr>
        <w:t>/cdi.2021.45.52.</w:t>
      </w:r>
    </w:p>
    <w:p w14:paraId="4BFB300F" w14:textId="2D8E40DF" w:rsidR="00735F3C" w:rsidRPr="0085042A" w:rsidRDefault="00735F3C" w:rsidP="00735F3C">
      <w:pPr>
        <w:widowControl/>
        <w:spacing w:after="240"/>
        <w:rPr>
          <w:rFonts w:eastAsia="Calibri" w:cs="Arial"/>
          <w:szCs w:val="22"/>
          <w:lang w:bidi="ar-SA"/>
        </w:rPr>
      </w:pPr>
      <w:r w:rsidRPr="0085042A">
        <w:rPr>
          <w:rFonts w:eastAsia="Calibri" w:cs="Arial"/>
          <w:szCs w:val="22"/>
          <w:lang w:bidi="ar-SA"/>
        </w:rPr>
        <w:t>Beers K, Rheingans J, Chinault K, Cook P, Smith B, Waldroup A (2006) Microbial efficacy of commercial application of Cecure® CPC antimicrobial to ingesta-contaminated pre-chill broiler carcasses. International Journal of Poultry Science 5(8): 698-703. doi:10.3923/ijps.2006.698.703.</w:t>
      </w:r>
    </w:p>
    <w:p w14:paraId="6E80A6A8" w14:textId="464EFAC7" w:rsidR="00830139" w:rsidRPr="0085042A" w:rsidRDefault="00830139" w:rsidP="00735F3C">
      <w:pPr>
        <w:widowControl/>
        <w:spacing w:after="240"/>
        <w:rPr>
          <w:rFonts w:eastAsia="Calibri" w:cs="Arial"/>
          <w:szCs w:val="22"/>
          <w:lang w:bidi="ar-SA"/>
        </w:rPr>
      </w:pPr>
      <w:r w:rsidRPr="0085042A">
        <w:rPr>
          <w:rFonts w:eastAsia="Calibri" w:cs="Arial"/>
          <w:szCs w:val="22"/>
          <w:lang w:bidi="ar-SA"/>
        </w:rPr>
        <w:t>BIBRA (1988) Toxicity profile</w:t>
      </w:r>
      <w:r w:rsidR="008813A5" w:rsidRPr="0085042A">
        <w:rPr>
          <w:rFonts w:eastAsia="Calibri" w:cs="Arial"/>
          <w:szCs w:val="22"/>
          <w:lang w:bidi="ar-SA"/>
        </w:rPr>
        <w:t>.</w:t>
      </w:r>
      <w:r w:rsidRPr="0085042A">
        <w:rPr>
          <w:rFonts w:eastAsia="Calibri" w:cs="Arial"/>
          <w:szCs w:val="22"/>
          <w:lang w:bidi="ar-SA"/>
        </w:rPr>
        <w:t xml:space="preserve"> </w:t>
      </w:r>
      <w:r w:rsidR="008813A5" w:rsidRPr="0085042A">
        <w:rPr>
          <w:rFonts w:eastAsia="Calibri" w:cs="Arial"/>
          <w:szCs w:val="22"/>
          <w:lang w:bidi="ar-SA"/>
        </w:rPr>
        <w:t>Cetylpyridinium Chloride. BIBRA International. Carshalton, Surrey UK.</w:t>
      </w:r>
    </w:p>
    <w:p w14:paraId="302C5CF7" w14:textId="77777777" w:rsidR="00BB5FA8" w:rsidRDefault="00FE0155" w:rsidP="00FE0155">
      <w:pPr>
        <w:widowControl/>
        <w:spacing w:after="240"/>
        <w:rPr>
          <w:rFonts w:eastAsia="Calibri" w:cs="Arial"/>
          <w:szCs w:val="22"/>
          <w:lang w:bidi="ar-SA"/>
        </w:rPr>
      </w:pPr>
      <w:r>
        <w:rPr>
          <w:rFonts w:eastAsia="Calibri" w:cs="Arial"/>
          <w:szCs w:val="22"/>
          <w:lang w:bidi="ar-SA"/>
        </w:rPr>
        <w:t>Bland R, Waite-Cusic J, Weisberg AJ, Riutta ER, Chang JH, Kovacevic J (2022) Adaptation to a commercial quaternary ammonium compound sanitizer leads to cross-r</w:t>
      </w:r>
      <w:r w:rsidRPr="00FE0155">
        <w:rPr>
          <w:rFonts w:eastAsia="Calibri" w:cs="Arial"/>
          <w:szCs w:val="22"/>
          <w:lang w:bidi="ar-SA"/>
        </w:rPr>
        <w:t>e</w:t>
      </w:r>
      <w:r>
        <w:rPr>
          <w:rFonts w:eastAsia="Calibri" w:cs="Arial"/>
          <w:szCs w:val="22"/>
          <w:lang w:bidi="ar-SA"/>
        </w:rPr>
        <w:t>sistance to select a</w:t>
      </w:r>
      <w:r w:rsidRPr="00FE0155">
        <w:rPr>
          <w:rFonts w:eastAsia="Calibri" w:cs="Arial"/>
          <w:szCs w:val="22"/>
          <w:lang w:bidi="ar-SA"/>
        </w:rPr>
        <w:t>ntibio</w:t>
      </w:r>
      <w:r>
        <w:rPr>
          <w:rFonts w:eastAsia="Calibri" w:cs="Arial"/>
          <w:szCs w:val="22"/>
          <w:lang w:bidi="ar-SA"/>
        </w:rPr>
        <w:t xml:space="preserve">tics in </w:t>
      </w:r>
      <w:r w:rsidRPr="00BB5FA8">
        <w:rPr>
          <w:rFonts w:eastAsia="Calibri" w:cs="Arial"/>
          <w:i/>
          <w:szCs w:val="22"/>
          <w:lang w:bidi="ar-SA"/>
        </w:rPr>
        <w:t>Listeria monocytogenes</w:t>
      </w:r>
      <w:r>
        <w:rPr>
          <w:rFonts w:eastAsia="Calibri" w:cs="Arial"/>
          <w:szCs w:val="22"/>
          <w:lang w:bidi="ar-SA"/>
        </w:rPr>
        <w:t xml:space="preserve"> isolated from fresh produce e</w:t>
      </w:r>
      <w:r w:rsidRPr="00FE0155">
        <w:rPr>
          <w:rFonts w:eastAsia="Calibri" w:cs="Arial"/>
          <w:szCs w:val="22"/>
          <w:lang w:bidi="ar-SA"/>
        </w:rPr>
        <w:t>nvironments</w:t>
      </w:r>
      <w:r>
        <w:rPr>
          <w:rFonts w:eastAsia="Calibri" w:cs="Arial"/>
          <w:szCs w:val="22"/>
          <w:lang w:bidi="ar-SA"/>
        </w:rPr>
        <w:t xml:space="preserve">. </w:t>
      </w:r>
      <w:r w:rsidRPr="00FE0155">
        <w:rPr>
          <w:rFonts w:eastAsia="Calibri" w:cs="Arial"/>
          <w:szCs w:val="22"/>
          <w:lang w:bidi="ar-SA"/>
        </w:rPr>
        <w:t xml:space="preserve">Frontiers in Microbiology </w:t>
      </w:r>
      <w:r w:rsidR="00BB5FA8">
        <w:rPr>
          <w:rFonts w:eastAsia="Calibri" w:cs="Arial"/>
          <w:szCs w:val="22"/>
          <w:lang w:bidi="ar-SA"/>
        </w:rPr>
        <w:t xml:space="preserve">12:782920. doi </w:t>
      </w:r>
      <w:r w:rsidRPr="00FE0155">
        <w:rPr>
          <w:rFonts w:eastAsia="Calibri" w:cs="Arial"/>
          <w:szCs w:val="22"/>
          <w:lang w:bidi="ar-SA"/>
        </w:rPr>
        <w:t>10.3389/fmicb.2021.782920</w:t>
      </w:r>
      <w:r w:rsidR="00BB5FA8">
        <w:rPr>
          <w:rFonts w:eastAsia="Calibri" w:cs="Arial"/>
          <w:szCs w:val="22"/>
          <w:lang w:bidi="ar-SA"/>
        </w:rPr>
        <w:t>.</w:t>
      </w:r>
    </w:p>
    <w:p w14:paraId="648FDD49" w14:textId="30710366" w:rsidR="005369A0" w:rsidRPr="0085042A" w:rsidRDefault="005369A0" w:rsidP="000F53D4">
      <w:pPr>
        <w:widowControl/>
        <w:spacing w:after="240"/>
        <w:rPr>
          <w:rFonts w:eastAsia="Calibri" w:cs="Arial"/>
          <w:szCs w:val="22"/>
          <w:lang w:bidi="ar-SA"/>
        </w:rPr>
      </w:pPr>
      <w:r w:rsidRPr="0085042A">
        <w:rPr>
          <w:rFonts w:eastAsia="Calibri" w:cs="Arial"/>
          <w:szCs w:val="22"/>
          <w:lang w:bidi="ar-SA"/>
        </w:rPr>
        <w:t xml:space="preserve">Breen PJ, Salari H, Compadre CM (1997) Elimination of </w:t>
      </w:r>
      <w:r w:rsidRPr="0085042A">
        <w:rPr>
          <w:rFonts w:eastAsia="Calibri" w:cs="Arial"/>
          <w:i/>
          <w:szCs w:val="22"/>
          <w:lang w:bidi="ar-SA"/>
        </w:rPr>
        <w:t>Salmonella</w:t>
      </w:r>
      <w:r w:rsidRPr="0085042A">
        <w:rPr>
          <w:rFonts w:eastAsia="Calibri" w:cs="Arial"/>
          <w:szCs w:val="22"/>
          <w:lang w:bidi="ar-SA"/>
        </w:rPr>
        <w:t xml:space="preserve"> contamination from poultry tissues by cetylpyridinium chloride solutions. J. Food Prot. 60</w:t>
      </w:r>
      <w:r w:rsidR="00DB1AA7" w:rsidRPr="0085042A">
        <w:rPr>
          <w:rFonts w:eastAsia="Calibri" w:cs="Arial"/>
          <w:szCs w:val="22"/>
          <w:lang w:bidi="ar-SA"/>
        </w:rPr>
        <w:t>(9):</w:t>
      </w:r>
      <w:r w:rsidRPr="0085042A">
        <w:rPr>
          <w:rFonts w:eastAsia="Calibri" w:cs="Arial"/>
          <w:szCs w:val="22"/>
          <w:lang w:bidi="ar-SA"/>
        </w:rPr>
        <w:t xml:space="preserve"> 1019-1021.</w:t>
      </w:r>
      <w:r w:rsidR="00982561" w:rsidRPr="0085042A">
        <w:rPr>
          <w:rFonts w:eastAsia="Calibri" w:cs="Arial"/>
          <w:szCs w:val="22"/>
          <w:lang w:bidi="ar-SA"/>
        </w:rPr>
        <w:t xml:space="preserve"> doi:</w:t>
      </w:r>
      <w:r w:rsidR="00153DF8" w:rsidRPr="0085042A">
        <w:rPr>
          <w:rFonts w:eastAsia="Calibri" w:cs="Arial"/>
          <w:szCs w:val="22"/>
          <w:lang w:bidi="ar-SA"/>
        </w:rPr>
        <w:t>10.4315/0362-028X-60.9.1019</w:t>
      </w:r>
      <w:r w:rsidR="0085042A">
        <w:rPr>
          <w:rFonts w:eastAsia="Calibri" w:cs="Arial"/>
          <w:szCs w:val="22"/>
          <w:lang w:bidi="ar-SA"/>
        </w:rPr>
        <w:t>.</w:t>
      </w:r>
    </w:p>
    <w:p w14:paraId="72D17663" w14:textId="40D570EB" w:rsidR="00F8483E" w:rsidRPr="0085042A" w:rsidRDefault="00F8483E" w:rsidP="00F8483E">
      <w:pPr>
        <w:widowControl/>
        <w:spacing w:after="240"/>
        <w:rPr>
          <w:rFonts w:eastAsia="Calibri" w:cs="Arial"/>
          <w:szCs w:val="22"/>
          <w:lang w:bidi="ar-SA"/>
        </w:rPr>
      </w:pPr>
      <w:r w:rsidRPr="0085042A">
        <w:rPr>
          <w:rFonts w:eastAsia="Calibri" w:cs="Arial"/>
          <w:szCs w:val="22"/>
          <w:lang w:bidi="ar-SA"/>
        </w:rPr>
        <w:t>Carlin V, Matsumoto MA, Saraiva PP, Artioli A, Oshima CT, Ribeiro DA (2012) Cytogenetic damage induced by mouthrinses formulations in vivo and in vitro. Clin Oral Investig 16(3):813-20. doi: 10.1007/s00784-011-0559-2.</w:t>
      </w:r>
    </w:p>
    <w:p w14:paraId="598C4137" w14:textId="101A343A" w:rsidR="0080377C" w:rsidRPr="0085042A" w:rsidRDefault="0080377C" w:rsidP="0080377C">
      <w:pPr>
        <w:widowControl/>
        <w:spacing w:after="240"/>
        <w:rPr>
          <w:rFonts w:eastAsia="Calibri" w:cs="Arial"/>
          <w:szCs w:val="22"/>
          <w:lang w:bidi="ar-SA"/>
        </w:rPr>
      </w:pPr>
      <w:r w:rsidRPr="0085042A">
        <w:rPr>
          <w:rFonts w:eastAsia="Calibri" w:cs="Arial"/>
          <w:szCs w:val="22"/>
          <w:lang w:bidi="ar-SA"/>
        </w:rPr>
        <w:t>Castelain M, Castelain PY (1993) Allergic contact dermatitis from cetyl pyridinium chloride in latex gloves. Contact Dermatitis 28(2):118. doi: 10.1111/j.1600-0536.1993.tb03360.x.</w:t>
      </w:r>
    </w:p>
    <w:p w14:paraId="2305F78D" w14:textId="6F80EA16" w:rsidR="004B7A36" w:rsidRPr="0085042A" w:rsidRDefault="004B7A36" w:rsidP="000F53D4">
      <w:pPr>
        <w:widowControl/>
        <w:spacing w:after="240"/>
        <w:rPr>
          <w:rFonts w:eastAsia="Calibri" w:cs="Arial"/>
          <w:szCs w:val="22"/>
          <w:lang w:bidi="ar-SA"/>
        </w:rPr>
      </w:pPr>
      <w:r w:rsidRPr="0085042A">
        <w:rPr>
          <w:rFonts w:eastAsia="Calibri" w:cs="Arial"/>
          <w:szCs w:val="22"/>
          <w:lang w:bidi="ar-SA"/>
        </w:rPr>
        <w:t xml:space="preserve">Charles River Laboratories (2006a) A 13-week dietary toxicity study of cetylpyridinium chloride in Sprague-Dawley rats. </w:t>
      </w:r>
    </w:p>
    <w:p w14:paraId="1579D7B0" w14:textId="74C38F80" w:rsidR="004B7A36" w:rsidRPr="0085042A" w:rsidRDefault="004B7A36" w:rsidP="000F53D4">
      <w:pPr>
        <w:widowControl/>
        <w:spacing w:after="240"/>
        <w:rPr>
          <w:rFonts w:eastAsia="Calibri" w:cs="Arial"/>
          <w:szCs w:val="22"/>
          <w:lang w:bidi="ar-SA"/>
        </w:rPr>
      </w:pPr>
      <w:r w:rsidRPr="0085042A">
        <w:rPr>
          <w:rFonts w:eastAsia="Calibri" w:cs="Arial"/>
          <w:szCs w:val="22"/>
          <w:lang w:bidi="ar-SA"/>
        </w:rPr>
        <w:lastRenderedPageBreak/>
        <w:t>Charles River Laboratories (2006b) A 28-day dietary dose range-finding study of cetylpyridinium chloride in Beagle dogs.</w:t>
      </w:r>
    </w:p>
    <w:p w14:paraId="7DC98356" w14:textId="31B1EC5F" w:rsidR="004B7A36" w:rsidRPr="0085042A" w:rsidRDefault="004B7A36" w:rsidP="004B7A36">
      <w:pPr>
        <w:widowControl/>
        <w:spacing w:after="240"/>
        <w:rPr>
          <w:rFonts w:eastAsia="Calibri" w:cs="Arial"/>
          <w:szCs w:val="22"/>
          <w:lang w:bidi="ar-SA"/>
        </w:rPr>
      </w:pPr>
      <w:r w:rsidRPr="0085042A">
        <w:rPr>
          <w:rFonts w:eastAsia="Calibri" w:cs="Arial"/>
          <w:szCs w:val="22"/>
          <w:lang w:bidi="ar-SA"/>
        </w:rPr>
        <w:t xml:space="preserve">Charles River Laboratories (2006c) A 13-week dietary toxicity study of cetylpyridinium chloride in Beagle dogs. </w:t>
      </w:r>
    </w:p>
    <w:p w14:paraId="65604380" w14:textId="317859C7" w:rsidR="00E51CFB" w:rsidRPr="0085042A" w:rsidRDefault="00E51CFB" w:rsidP="004B7A36">
      <w:pPr>
        <w:widowControl/>
        <w:spacing w:after="240"/>
        <w:rPr>
          <w:rFonts w:eastAsia="Calibri" w:cs="Arial"/>
          <w:szCs w:val="22"/>
          <w:lang w:bidi="ar-SA"/>
        </w:rPr>
      </w:pPr>
      <w:r w:rsidRPr="0085042A">
        <w:rPr>
          <w:rFonts w:eastAsia="Calibri" w:cs="Arial"/>
          <w:szCs w:val="22"/>
          <w:lang w:bidi="ar-SA"/>
        </w:rPr>
        <w:t xml:space="preserve">Chicken Cuts. Australian Chicken Meat Federation. </w:t>
      </w:r>
      <w:hyperlink r:id="rId20" w:history="1">
        <w:r w:rsidRPr="0085042A">
          <w:rPr>
            <w:rStyle w:val="Hyperlink"/>
            <w:rFonts w:eastAsia="Calibri" w:cs="Arial"/>
            <w:color w:val="auto"/>
            <w:szCs w:val="22"/>
            <w:lang w:bidi="ar-SA"/>
          </w:rPr>
          <w:t>https://www.chicken.org.au/chicken-cuts/</w:t>
        </w:r>
      </w:hyperlink>
      <w:r w:rsidRPr="0085042A">
        <w:rPr>
          <w:rFonts w:eastAsia="Calibri" w:cs="Arial"/>
          <w:szCs w:val="22"/>
          <w:lang w:bidi="ar-SA"/>
        </w:rPr>
        <w:t>. Accessed on 21/12/2021.</w:t>
      </w:r>
    </w:p>
    <w:p w14:paraId="4171D180" w14:textId="537C2E83" w:rsidR="00300617" w:rsidRPr="0085042A" w:rsidRDefault="00300617" w:rsidP="000F53D4">
      <w:pPr>
        <w:widowControl/>
        <w:spacing w:after="240"/>
        <w:rPr>
          <w:rFonts w:eastAsia="Calibri" w:cs="Arial"/>
          <w:szCs w:val="22"/>
          <w:lang w:bidi="ar-SA"/>
        </w:rPr>
      </w:pPr>
      <w:r w:rsidRPr="0085042A">
        <w:rPr>
          <w:rFonts w:eastAsia="Calibri" w:cs="Arial"/>
          <w:szCs w:val="22"/>
          <w:lang w:bidi="ar-SA"/>
        </w:rPr>
        <w:t>EFSA (2010) Revision of the joint AFC/BIOHAZ guidance document on the submission of data for the evaluation of the safety and efficacy of substances for the removal of microbial surface contamination of foods of animal origin intended for human consumption. EFSA Journal 8(4): 1544. doi:10.2903/j.efsa.2010.1544</w:t>
      </w:r>
      <w:r w:rsidR="0085042A">
        <w:rPr>
          <w:rFonts w:eastAsia="Calibri" w:cs="Arial"/>
          <w:szCs w:val="22"/>
          <w:lang w:bidi="ar-SA"/>
        </w:rPr>
        <w:t>.</w:t>
      </w:r>
    </w:p>
    <w:p w14:paraId="23BEDCEE" w14:textId="6F285111" w:rsidR="00A22F9B" w:rsidRPr="0085042A" w:rsidRDefault="00A22F9B" w:rsidP="000F53D4">
      <w:pPr>
        <w:widowControl/>
        <w:spacing w:after="240"/>
        <w:rPr>
          <w:rFonts w:eastAsia="Calibri" w:cs="Arial"/>
          <w:szCs w:val="22"/>
          <w:lang w:bidi="ar-SA"/>
        </w:rPr>
      </w:pPr>
      <w:r w:rsidRPr="0085042A">
        <w:rPr>
          <w:rFonts w:eastAsia="Calibri" w:cs="Arial"/>
          <w:szCs w:val="22"/>
          <w:lang w:bidi="ar-SA"/>
        </w:rPr>
        <w:t>EFSA (2012) Scientific opinion on the evaluation of the safety and efficacy of Cecure® for the removal of microbial surface contamination of raw poultry products. EFSA Journal 10(3):</w:t>
      </w:r>
      <w:r w:rsidR="008C03CE" w:rsidRPr="0085042A">
        <w:rPr>
          <w:rFonts w:eastAsia="Calibri" w:cs="Arial"/>
          <w:szCs w:val="22"/>
          <w:lang w:bidi="ar-SA"/>
        </w:rPr>
        <w:t xml:space="preserve"> </w:t>
      </w:r>
      <w:r w:rsidRPr="0085042A">
        <w:rPr>
          <w:rFonts w:eastAsia="Calibri" w:cs="Arial"/>
          <w:szCs w:val="22"/>
          <w:lang w:bidi="ar-SA"/>
        </w:rPr>
        <w:t>261</w:t>
      </w:r>
      <w:r w:rsidR="00300617" w:rsidRPr="0085042A">
        <w:rPr>
          <w:rFonts w:eastAsia="Calibri" w:cs="Arial"/>
          <w:szCs w:val="22"/>
          <w:lang w:bidi="ar-SA"/>
        </w:rPr>
        <w:t>2. doi:10.2903/j.efsa.2012.2612</w:t>
      </w:r>
      <w:r w:rsidR="0085042A">
        <w:rPr>
          <w:rFonts w:eastAsia="Calibri" w:cs="Arial"/>
          <w:szCs w:val="22"/>
          <w:lang w:bidi="ar-SA"/>
        </w:rPr>
        <w:t>.</w:t>
      </w:r>
    </w:p>
    <w:p w14:paraId="70019177" w14:textId="4DB76109" w:rsidR="00BF247E" w:rsidRPr="0085042A" w:rsidRDefault="00BF247E" w:rsidP="00BF247E">
      <w:pPr>
        <w:widowControl/>
        <w:spacing w:after="240"/>
        <w:rPr>
          <w:rFonts w:eastAsia="Calibri" w:cs="Arial"/>
          <w:szCs w:val="22"/>
          <w:lang w:bidi="ar-SA"/>
        </w:rPr>
      </w:pPr>
      <w:r w:rsidRPr="0085042A">
        <w:rPr>
          <w:rFonts w:eastAsia="Calibri" w:cs="Arial"/>
          <w:szCs w:val="22"/>
          <w:lang w:bidi="ar-SA"/>
        </w:rPr>
        <w:t>EFSA (2018) Scientific Opinion on the re-evaluation of propane-1,2-diol (E 1520) as a food additive. EFSA Panel on Food Additives and Nutrient Sources added to Food (ANS). EFSA Journal 16(4):5235. doi: 10.2903/j.efsa.2018.5235</w:t>
      </w:r>
      <w:r w:rsidR="0085042A">
        <w:rPr>
          <w:rFonts w:eastAsia="Calibri" w:cs="Arial"/>
          <w:szCs w:val="22"/>
          <w:lang w:bidi="ar-SA"/>
        </w:rPr>
        <w:t>.</w:t>
      </w:r>
    </w:p>
    <w:p w14:paraId="26E0892D" w14:textId="1179931A" w:rsidR="0007063D" w:rsidRPr="0085042A" w:rsidRDefault="0007063D" w:rsidP="00BF247E">
      <w:pPr>
        <w:widowControl/>
        <w:spacing w:after="240"/>
        <w:rPr>
          <w:rFonts w:eastAsia="Calibri" w:cs="Arial"/>
          <w:szCs w:val="22"/>
          <w:lang w:bidi="ar-SA"/>
        </w:rPr>
      </w:pPr>
      <w:r w:rsidRPr="0085042A">
        <w:rPr>
          <w:rFonts w:eastAsia="Calibri" w:cs="Arial"/>
          <w:szCs w:val="22"/>
          <w:lang w:bidi="ar-SA"/>
        </w:rPr>
        <w:t xml:space="preserve">EMA (2017) Propylene glycol used as an excipient. Report published in support of the ‘Questions and answers on propylene glycol used as an excipient in medicinal products for human use’ (EMA/CHMP/704195/2013). EMA/CHMP/334655/2013. European Medicines Agency. </w:t>
      </w:r>
    </w:p>
    <w:p w14:paraId="73DE2A28" w14:textId="77777777" w:rsidR="009568FD" w:rsidRPr="0085042A" w:rsidRDefault="009568FD" w:rsidP="009568FD">
      <w:pPr>
        <w:widowControl/>
        <w:spacing w:after="240"/>
        <w:rPr>
          <w:rFonts w:eastAsia="Calibri" w:cs="Arial"/>
          <w:szCs w:val="22"/>
          <w:lang w:bidi="ar-SA"/>
        </w:rPr>
      </w:pPr>
      <w:r w:rsidRPr="00EE61AC">
        <w:rPr>
          <w:rFonts w:eastAsia="Calibri" w:cs="Arial"/>
          <w:szCs w:val="22"/>
          <w:lang w:bidi="ar-SA"/>
        </w:rPr>
        <w:t>Fereidoun, H., Bahram, A., Soltanieh, K., Abbass, S. A., &amp; Pouria, H. (2007). Mean percentage of skin and visible fat in 10 chicken carcass weight. Int. J. Poult. Sci, 6, 43-47.</w:t>
      </w:r>
    </w:p>
    <w:p w14:paraId="0626ACC5" w14:textId="45FCF937" w:rsidR="00C51C7B" w:rsidRPr="0085042A" w:rsidRDefault="00C51C7B" w:rsidP="000F53D4">
      <w:pPr>
        <w:widowControl/>
        <w:spacing w:after="240"/>
        <w:rPr>
          <w:rFonts w:eastAsia="Calibri" w:cs="Arial"/>
          <w:szCs w:val="22"/>
          <w:lang w:bidi="ar-SA"/>
        </w:rPr>
      </w:pPr>
      <w:r w:rsidRPr="0085042A">
        <w:rPr>
          <w:rFonts w:eastAsia="Calibri" w:cs="Arial"/>
          <w:szCs w:val="22"/>
          <w:lang w:bidi="ar-SA"/>
        </w:rPr>
        <w:t xml:space="preserve">FSANZ (2005) Proposal P282 – Primary Production and Processing Standard for Poultry. Draft Assessment report. Attachment 3: Scientific Assessment of the Public Health and Safety of Poultry Meat in Australia. Available at </w:t>
      </w:r>
      <w:hyperlink r:id="rId21" w:history="1">
        <w:r w:rsidRPr="00C51C7B">
          <w:rPr>
            <w:rFonts w:cs="Arial"/>
            <w:color w:val="0563C1"/>
            <w:u w:val="single"/>
            <w:lang w:val="en-AU"/>
          </w:rPr>
          <w:t>www.foodstandards.gov.au/code/proposals/Pages/proposalp282primaryp2442.aspx</w:t>
        </w:r>
      </w:hyperlink>
      <w:r>
        <w:rPr>
          <w:rFonts w:cs="Arial"/>
          <w:color w:val="44546A"/>
          <w:lang w:val="en-AU"/>
        </w:rPr>
        <w:t xml:space="preserve"> </w:t>
      </w:r>
      <w:r w:rsidRPr="0085042A">
        <w:rPr>
          <w:rFonts w:cs="Arial"/>
          <w:lang w:val="en-AU"/>
        </w:rPr>
        <w:t>Accessed 14 October 2021</w:t>
      </w:r>
      <w:r w:rsidR="0085042A">
        <w:rPr>
          <w:rFonts w:cs="Arial"/>
          <w:lang w:val="en-AU"/>
        </w:rPr>
        <w:t>.</w:t>
      </w:r>
    </w:p>
    <w:p w14:paraId="0C373FD9" w14:textId="21076F8D" w:rsidR="000F53D4" w:rsidRDefault="000F53D4" w:rsidP="000F53D4">
      <w:pPr>
        <w:widowControl/>
        <w:spacing w:after="240"/>
        <w:rPr>
          <w:rFonts w:eastAsia="Calibri" w:cs="Arial"/>
          <w:color w:val="2E3037"/>
          <w:szCs w:val="22"/>
          <w:lang w:bidi="ar-SA"/>
        </w:rPr>
      </w:pPr>
      <w:r w:rsidRPr="0085042A">
        <w:rPr>
          <w:rFonts w:eastAsia="Calibri" w:cs="Arial"/>
          <w:szCs w:val="22"/>
          <w:lang w:bidi="ar-SA"/>
        </w:rPr>
        <w:t xml:space="preserve">FSANZ (2009) </w:t>
      </w:r>
      <w:hyperlink r:id="rId22" w:history="1">
        <w:r w:rsidRPr="00B75459">
          <w:rPr>
            <w:rStyle w:val="Hyperlink"/>
            <w:rFonts w:eastAsia="Calibri" w:cs="Arial"/>
            <w:szCs w:val="22"/>
            <w:lang w:bidi="ar-SA"/>
          </w:rPr>
          <w:t>Principles and Practices of Dietary Exposure Assessment for Food Regulatory Purposes</w:t>
        </w:r>
      </w:hyperlink>
      <w:r w:rsidRPr="0085042A">
        <w:rPr>
          <w:rFonts w:eastAsia="Calibri" w:cs="Arial"/>
          <w:szCs w:val="22"/>
          <w:lang w:bidi="ar-SA"/>
        </w:rPr>
        <w:t xml:space="preserve">. Report prepared by Food Standards Australia New Zealand, Canberra. </w:t>
      </w:r>
      <w:hyperlink r:id="rId23" w:history="1">
        <w:r w:rsidRPr="002F200C">
          <w:rPr>
            <w:rFonts w:eastAsia="Calibri" w:cs="Arial"/>
            <w:color w:val="0000FF"/>
            <w:szCs w:val="22"/>
            <w:u w:val="single"/>
            <w:lang w:bidi="ar-SA"/>
          </w:rPr>
          <w:t>http://www.foodstandards.gov.au/publications/Pages/Principles-and-Practices-of-Dietary.aspx</w:t>
        </w:r>
      </w:hyperlink>
    </w:p>
    <w:p w14:paraId="3F81DA73" w14:textId="7D9BC5A7" w:rsidR="000F53D4" w:rsidRDefault="000F53D4" w:rsidP="000F53D4">
      <w:pPr>
        <w:widowControl/>
        <w:spacing w:after="240"/>
        <w:rPr>
          <w:rFonts w:eastAsia="Calibri" w:cs="Arial"/>
          <w:color w:val="2E3037"/>
          <w:szCs w:val="22"/>
          <w:lang w:bidi="ar-SA"/>
        </w:rPr>
      </w:pPr>
      <w:r w:rsidRPr="0085042A">
        <w:rPr>
          <w:rFonts w:eastAsia="Calibri" w:cs="Arial"/>
          <w:szCs w:val="22"/>
          <w:lang w:val="en-AU" w:bidi="ar-SA"/>
        </w:rPr>
        <w:t xml:space="preserve">FSANZ (2014) Protecting 'high consumers'. </w:t>
      </w:r>
      <w:r w:rsidRPr="0085042A">
        <w:rPr>
          <w:rFonts w:eastAsia="Calibri" w:cs="Arial"/>
          <w:szCs w:val="22"/>
          <w:lang w:bidi="ar-SA"/>
        </w:rPr>
        <w:t>Food Standards Australia New Ze</w:t>
      </w:r>
      <w:r w:rsidR="00153DF8" w:rsidRPr="0085042A">
        <w:rPr>
          <w:rFonts w:eastAsia="Calibri" w:cs="Arial"/>
          <w:szCs w:val="22"/>
          <w:lang w:bidi="ar-SA"/>
        </w:rPr>
        <w:t xml:space="preserve">aland website. </w:t>
      </w:r>
      <w:r w:rsidRPr="0085042A">
        <w:rPr>
          <w:rFonts w:eastAsia="Calibri" w:cs="Arial"/>
          <w:szCs w:val="22"/>
          <w:lang w:bidi="ar-SA"/>
        </w:rPr>
        <w:t>Accessed on 2 July 2018</w:t>
      </w:r>
      <w:r w:rsidR="0085042A">
        <w:rPr>
          <w:rFonts w:eastAsia="Calibri" w:cs="Arial"/>
          <w:szCs w:val="22"/>
          <w:lang w:bidi="ar-SA"/>
        </w:rPr>
        <w:t>.</w:t>
      </w:r>
      <w:r w:rsidRPr="0085042A">
        <w:rPr>
          <w:rFonts w:eastAsia="Calibri" w:cs="Arial"/>
          <w:szCs w:val="22"/>
          <w:lang w:bidi="ar-SA"/>
        </w:rPr>
        <w:t xml:space="preserve"> </w:t>
      </w:r>
      <w:hyperlink r:id="rId24" w:history="1">
        <w:r w:rsidRPr="002F200C">
          <w:rPr>
            <w:rFonts w:eastAsia="Calibri" w:cs="Arial"/>
            <w:color w:val="0000FF"/>
            <w:szCs w:val="22"/>
            <w:u w:val="single"/>
            <w:lang w:val="en-AU" w:bidi="ar-SA"/>
          </w:rPr>
          <w:t>http://www.foodstandards.gov.au/science/exposure/Pages/protectinghighconsum4441.aspx</w:t>
        </w:r>
      </w:hyperlink>
    </w:p>
    <w:p w14:paraId="6548A157" w14:textId="51EC1C82" w:rsidR="00315D88" w:rsidRPr="0085042A" w:rsidRDefault="00315D88" w:rsidP="000F53D4">
      <w:pPr>
        <w:widowControl/>
        <w:spacing w:after="240"/>
        <w:rPr>
          <w:rFonts w:eastAsia="Calibri" w:cs="Arial"/>
          <w:szCs w:val="22"/>
          <w:lang w:bidi="ar-SA"/>
        </w:rPr>
      </w:pPr>
      <w:r w:rsidRPr="0085042A">
        <w:rPr>
          <w:rFonts w:eastAsia="Calibri" w:cs="Arial"/>
          <w:szCs w:val="22"/>
          <w:lang w:bidi="ar-SA"/>
        </w:rPr>
        <w:t>Genco R (1995) Memorandum to Members of the Plaque Subcommittee of the FDA Dental Panel re Cetylpyridinium Chloride. August 14 1995. Unpublished.</w:t>
      </w:r>
    </w:p>
    <w:p w14:paraId="3EEE378C" w14:textId="29413A34" w:rsidR="00D42794" w:rsidRPr="0085042A" w:rsidRDefault="00D42794" w:rsidP="00D42794">
      <w:pPr>
        <w:widowControl/>
        <w:spacing w:after="240"/>
        <w:rPr>
          <w:rFonts w:eastAsia="Calibri" w:cs="Arial"/>
          <w:szCs w:val="22"/>
          <w:lang w:bidi="ar-SA"/>
        </w:rPr>
      </w:pPr>
      <w:r w:rsidRPr="0085042A">
        <w:rPr>
          <w:rFonts w:eastAsia="Calibri" w:cs="Arial"/>
          <w:szCs w:val="22"/>
          <w:lang w:bidi="ar-SA"/>
        </w:rPr>
        <w:t>Gilbert CD, Bai Y, Jiang H (2015) Microbial evaluation of Cecure®-treated (post-chill) raw poultry carcasses and cut-up parts in four commercial broiler processing facilities. International Journal of Poultry Science 14(3):120-126. doi:10.3923/ijps.2015.120.126.</w:t>
      </w:r>
    </w:p>
    <w:p w14:paraId="6A0E870F" w14:textId="1D4333DE" w:rsidR="0072231B" w:rsidRDefault="008813A5" w:rsidP="000F53D4">
      <w:pPr>
        <w:widowControl/>
        <w:spacing w:after="240"/>
        <w:rPr>
          <w:rFonts w:eastAsia="Calibri" w:cs="Arial"/>
          <w:szCs w:val="22"/>
          <w:lang w:bidi="ar-SA"/>
        </w:rPr>
      </w:pPr>
      <w:r w:rsidRPr="0085042A">
        <w:rPr>
          <w:rFonts w:eastAsia="Calibri" w:cs="Arial"/>
          <w:szCs w:val="22"/>
          <w:lang w:bidi="ar-SA"/>
        </w:rPr>
        <w:t>Gilman MR, De Salva SJ (1979) Teratology studies of benzethonium chloride, cetylpyridinium chloride and chclorhexidine in rats. Toxicol Appl Pharmacol 48:1 Part 2. A 35.</w:t>
      </w:r>
    </w:p>
    <w:p w14:paraId="36298CD6" w14:textId="4D732B25" w:rsidR="00FE0155" w:rsidRDefault="00FE0155" w:rsidP="000F53D4">
      <w:pPr>
        <w:widowControl/>
        <w:spacing w:after="240"/>
        <w:rPr>
          <w:rFonts w:eastAsia="Calibri" w:cs="Arial"/>
          <w:szCs w:val="22"/>
          <w:lang w:bidi="ar-SA"/>
        </w:rPr>
      </w:pPr>
      <w:r w:rsidRPr="00FE0155">
        <w:rPr>
          <w:rFonts w:eastAsia="Calibri" w:cs="Arial"/>
          <w:szCs w:val="22"/>
          <w:lang w:bidi="ar-SA"/>
        </w:rPr>
        <w:lastRenderedPageBreak/>
        <w:t>Guérin A, Bridier A, Le Grandois P, Sévellec Y, Palma F, Félix B, LISTADAPT Study Group, Roussel S, Soumet C</w:t>
      </w:r>
      <w:r>
        <w:rPr>
          <w:rFonts w:eastAsia="Calibri" w:cs="Arial"/>
          <w:szCs w:val="22"/>
          <w:lang w:bidi="ar-SA"/>
        </w:rPr>
        <w:t xml:space="preserve"> (2021) Exposure to quaternary ammonium compounds selects resistance to c</w:t>
      </w:r>
      <w:r w:rsidRPr="00FE0155">
        <w:rPr>
          <w:rFonts w:eastAsia="Calibri" w:cs="Arial"/>
          <w:szCs w:val="22"/>
          <w:lang w:bidi="ar-SA"/>
        </w:rPr>
        <w:t xml:space="preserve">iprofloxacin in </w:t>
      </w:r>
      <w:r w:rsidRPr="00BB5FA8">
        <w:rPr>
          <w:rFonts w:eastAsia="Calibri" w:cs="Arial"/>
          <w:i/>
          <w:szCs w:val="22"/>
          <w:lang w:bidi="ar-SA"/>
        </w:rPr>
        <w:t>Listeria monocytogenes</w:t>
      </w:r>
      <w:r>
        <w:rPr>
          <w:rFonts w:eastAsia="Calibri" w:cs="Arial"/>
          <w:szCs w:val="22"/>
          <w:lang w:bidi="ar-SA"/>
        </w:rPr>
        <w:t>. Pathogens</w:t>
      </w:r>
      <w:r w:rsidRPr="00FE0155">
        <w:rPr>
          <w:rFonts w:eastAsia="Calibri" w:cs="Arial"/>
          <w:szCs w:val="22"/>
          <w:lang w:bidi="ar-SA"/>
        </w:rPr>
        <w:t xml:space="preserve"> </w:t>
      </w:r>
      <w:r>
        <w:rPr>
          <w:rFonts w:eastAsia="Calibri" w:cs="Arial"/>
          <w:szCs w:val="22"/>
          <w:lang w:bidi="ar-SA"/>
        </w:rPr>
        <w:t>10(2):220.</w:t>
      </w:r>
      <w:r>
        <w:rPr>
          <w:rFonts w:eastAsia="Calibri" w:cs="Arial"/>
          <w:szCs w:val="22"/>
          <w:lang w:bidi="ar-SA"/>
        </w:rPr>
        <w:br/>
        <w:t xml:space="preserve">doi </w:t>
      </w:r>
      <w:r w:rsidRPr="00FE0155">
        <w:rPr>
          <w:rFonts w:eastAsia="Calibri" w:cs="Arial"/>
          <w:szCs w:val="22"/>
          <w:lang w:bidi="ar-SA"/>
        </w:rPr>
        <w:t>10.3390/pathogens10020220</w:t>
      </w:r>
      <w:r>
        <w:rPr>
          <w:rFonts w:eastAsia="Calibri" w:cs="Arial"/>
          <w:szCs w:val="22"/>
          <w:lang w:bidi="ar-SA"/>
        </w:rPr>
        <w:t>.</w:t>
      </w:r>
    </w:p>
    <w:p w14:paraId="6F150DAC" w14:textId="5EC302A3" w:rsidR="0072231B" w:rsidRPr="0085042A" w:rsidRDefault="0072231B" w:rsidP="000F53D4">
      <w:pPr>
        <w:widowControl/>
        <w:spacing w:after="240"/>
        <w:rPr>
          <w:rFonts w:eastAsia="Calibri" w:cs="Arial"/>
          <w:szCs w:val="22"/>
          <w:lang w:bidi="ar-SA"/>
        </w:rPr>
      </w:pPr>
      <w:r>
        <w:rPr>
          <w:rFonts w:eastAsia="Calibri" w:cs="Arial"/>
          <w:szCs w:val="22"/>
          <w:lang w:bidi="ar-SA"/>
        </w:rPr>
        <w:t>Hora PI, Pati SG, McNamara PJ, Arnold WA (2020) Increased use of quaternary ammonium compounds during the SARS-CoV-2 pandemic and beyond: consideration of environmental i</w:t>
      </w:r>
      <w:r w:rsidRPr="0072231B">
        <w:rPr>
          <w:rFonts w:eastAsia="Calibri" w:cs="Arial"/>
          <w:szCs w:val="22"/>
          <w:lang w:bidi="ar-SA"/>
        </w:rPr>
        <w:t>mplications</w:t>
      </w:r>
      <w:r>
        <w:rPr>
          <w:rFonts w:eastAsia="Calibri" w:cs="Arial"/>
          <w:szCs w:val="22"/>
          <w:lang w:bidi="ar-SA"/>
        </w:rPr>
        <w:t xml:space="preserve">. </w:t>
      </w:r>
      <w:r w:rsidRPr="0072231B">
        <w:rPr>
          <w:rFonts w:eastAsia="Calibri" w:cs="Arial"/>
          <w:szCs w:val="22"/>
          <w:lang w:bidi="ar-SA"/>
        </w:rPr>
        <w:t xml:space="preserve">Environ. Sci. Technol. Lett. </w:t>
      </w:r>
      <w:r>
        <w:rPr>
          <w:rFonts w:eastAsia="Calibri" w:cs="Arial"/>
          <w:szCs w:val="22"/>
          <w:lang w:bidi="ar-SA"/>
        </w:rPr>
        <w:t>7(</w:t>
      </w:r>
      <w:r w:rsidRPr="0072231B">
        <w:rPr>
          <w:rFonts w:eastAsia="Calibri" w:cs="Arial"/>
          <w:szCs w:val="22"/>
          <w:lang w:bidi="ar-SA"/>
        </w:rPr>
        <w:t>9</w:t>
      </w:r>
      <w:r>
        <w:rPr>
          <w:rFonts w:eastAsia="Calibri" w:cs="Arial"/>
          <w:szCs w:val="22"/>
          <w:lang w:bidi="ar-SA"/>
        </w:rPr>
        <w:t>):</w:t>
      </w:r>
      <w:r w:rsidRPr="0072231B">
        <w:rPr>
          <w:rFonts w:eastAsia="Calibri" w:cs="Arial"/>
          <w:szCs w:val="22"/>
          <w:lang w:bidi="ar-SA"/>
        </w:rPr>
        <w:t>622–631</w:t>
      </w:r>
      <w:r>
        <w:rPr>
          <w:rFonts w:eastAsia="Calibri" w:cs="Arial"/>
          <w:szCs w:val="22"/>
          <w:lang w:bidi="ar-SA"/>
        </w:rPr>
        <w:t xml:space="preserve">. doi </w:t>
      </w:r>
      <w:r w:rsidRPr="0072231B">
        <w:rPr>
          <w:rFonts w:eastAsia="Calibri" w:cs="Arial"/>
          <w:szCs w:val="22"/>
          <w:lang w:bidi="ar-SA"/>
        </w:rPr>
        <w:t>10.1021/acs.estlett.0c00437</w:t>
      </w:r>
      <w:r>
        <w:rPr>
          <w:rFonts w:eastAsia="Calibri" w:cs="Arial"/>
          <w:szCs w:val="22"/>
          <w:lang w:bidi="ar-SA"/>
        </w:rPr>
        <w:t>.</w:t>
      </w:r>
    </w:p>
    <w:p w14:paraId="18197F18" w14:textId="33C391DD" w:rsidR="00B847A9" w:rsidRDefault="00B847A9" w:rsidP="000F53D4">
      <w:pPr>
        <w:widowControl/>
        <w:spacing w:after="240"/>
        <w:rPr>
          <w:rFonts w:eastAsia="Calibri" w:cs="Arial"/>
          <w:szCs w:val="22"/>
          <w:lang w:bidi="ar-SA"/>
        </w:rPr>
      </w:pPr>
      <w:r w:rsidRPr="00B847A9">
        <w:rPr>
          <w:rFonts w:eastAsia="Calibri" w:cs="Arial"/>
          <w:szCs w:val="22"/>
          <w:lang w:bidi="ar-SA"/>
        </w:rPr>
        <w:t>Lee H, Yoon Y</w:t>
      </w:r>
      <w:r>
        <w:rPr>
          <w:rFonts w:eastAsia="Calibri" w:cs="Arial"/>
          <w:szCs w:val="22"/>
          <w:lang w:bidi="ar-SA"/>
        </w:rPr>
        <w:t xml:space="preserve"> (2021)</w:t>
      </w:r>
      <w:r w:rsidR="00322913">
        <w:rPr>
          <w:rFonts w:eastAsia="Calibri" w:cs="Arial"/>
          <w:szCs w:val="22"/>
          <w:lang w:bidi="ar-SA"/>
        </w:rPr>
        <w:t xml:space="preserve"> Etiological agents implicated in foodborne illness world w</w:t>
      </w:r>
      <w:r>
        <w:rPr>
          <w:rFonts w:eastAsia="Calibri" w:cs="Arial"/>
          <w:szCs w:val="22"/>
          <w:lang w:bidi="ar-SA"/>
        </w:rPr>
        <w:t>ide. Food Sci Anim Resour</w:t>
      </w:r>
      <w:r w:rsidRPr="00B847A9">
        <w:rPr>
          <w:rFonts w:eastAsia="Calibri" w:cs="Arial"/>
          <w:szCs w:val="22"/>
          <w:lang w:bidi="ar-SA"/>
        </w:rPr>
        <w:t xml:space="preserve"> </w:t>
      </w:r>
      <w:r>
        <w:rPr>
          <w:rFonts w:eastAsia="Calibri" w:cs="Arial"/>
          <w:szCs w:val="22"/>
          <w:lang w:bidi="ar-SA"/>
        </w:rPr>
        <w:t>41(1):1-7. doi:10.5851/kosfa.2020.e75.</w:t>
      </w:r>
    </w:p>
    <w:p w14:paraId="473140E5" w14:textId="21344B25" w:rsidR="000B43B7" w:rsidRPr="0085042A" w:rsidRDefault="000B43B7" w:rsidP="000F53D4">
      <w:pPr>
        <w:widowControl/>
        <w:spacing w:after="240"/>
        <w:rPr>
          <w:rFonts w:eastAsia="Calibri" w:cs="Arial"/>
          <w:szCs w:val="22"/>
          <w:lang w:bidi="ar-SA"/>
        </w:rPr>
      </w:pPr>
      <w:r w:rsidRPr="0085042A">
        <w:rPr>
          <w:rFonts w:eastAsia="Calibri" w:cs="Arial"/>
          <w:szCs w:val="22"/>
          <w:lang w:bidi="ar-SA"/>
        </w:rPr>
        <w:t>Li Y, Slavik MF,</w:t>
      </w:r>
      <w:r w:rsidR="007A7AA2" w:rsidRPr="0085042A">
        <w:rPr>
          <w:rFonts w:eastAsia="Calibri" w:cs="Arial"/>
          <w:szCs w:val="22"/>
          <w:lang w:bidi="ar-SA"/>
        </w:rPr>
        <w:t xml:space="preserve"> Walker JT, Xiong H</w:t>
      </w:r>
      <w:r w:rsidRPr="0085042A">
        <w:rPr>
          <w:rFonts w:eastAsia="Calibri" w:cs="Arial"/>
          <w:szCs w:val="22"/>
          <w:lang w:bidi="ar-SA"/>
        </w:rPr>
        <w:t xml:space="preserve"> (1997) Pre-chill spray of chicken carcasses to reduce </w:t>
      </w:r>
      <w:r w:rsidRPr="0085042A">
        <w:rPr>
          <w:rFonts w:eastAsia="Calibri" w:cs="Arial"/>
          <w:i/>
          <w:szCs w:val="22"/>
          <w:lang w:bidi="ar-SA"/>
        </w:rPr>
        <w:t>Salmonella</w:t>
      </w:r>
      <w:r w:rsidRPr="0085042A">
        <w:rPr>
          <w:rFonts w:eastAsia="Calibri" w:cs="Arial"/>
          <w:szCs w:val="22"/>
          <w:lang w:bidi="ar-SA"/>
        </w:rPr>
        <w:t xml:space="preserve"> Typhimurium. Journal of Food Science 62(3):</w:t>
      </w:r>
      <w:r w:rsidR="008C03CE" w:rsidRPr="0085042A">
        <w:rPr>
          <w:rFonts w:eastAsia="Calibri" w:cs="Arial"/>
          <w:szCs w:val="22"/>
          <w:lang w:bidi="ar-SA"/>
        </w:rPr>
        <w:t xml:space="preserve"> </w:t>
      </w:r>
      <w:r w:rsidRPr="0085042A">
        <w:rPr>
          <w:rFonts w:eastAsia="Calibri" w:cs="Arial"/>
          <w:szCs w:val="22"/>
          <w:lang w:bidi="ar-SA"/>
        </w:rPr>
        <w:t>605-607. doi:10.1111/j.1365-2621.1997.tb04441.x.</w:t>
      </w:r>
    </w:p>
    <w:p w14:paraId="6E339451" w14:textId="649D7121" w:rsidR="004F3222" w:rsidRPr="0085042A" w:rsidRDefault="004F3222" w:rsidP="000F53D4">
      <w:pPr>
        <w:widowControl/>
        <w:spacing w:after="240"/>
        <w:rPr>
          <w:rFonts w:eastAsia="Calibri" w:cs="Arial"/>
          <w:szCs w:val="22"/>
          <w:lang w:bidi="ar-SA"/>
        </w:rPr>
      </w:pPr>
      <w:r w:rsidRPr="0085042A">
        <w:rPr>
          <w:rFonts w:eastAsia="Calibri" w:cs="Arial"/>
          <w:szCs w:val="22"/>
          <w:lang w:bidi="ar-SA"/>
        </w:rPr>
        <w:t>Lin GHY (1999) Toxicological studies of a representative Xerox reprographic toner. Int J Toxicol 18:23-34.</w:t>
      </w:r>
    </w:p>
    <w:p w14:paraId="0709E3FF" w14:textId="17FBC0BA" w:rsidR="00BB5FA8" w:rsidRPr="0085042A" w:rsidRDefault="00BB5FA8" w:rsidP="000F53D4">
      <w:pPr>
        <w:widowControl/>
        <w:spacing w:after="240"/>
        <w:rPr>
          <w:rFonts w:eastAsia="Calibri" w:cs="Arial"/>
          <w:szCs w:val="22"/>
          <w:lang w:bidi="ar-SA"/>
        </w:rPr>
      </w:pPr>
      <w:r w:rsidRPr="00BB5FA8">
        <w:rPr>
          <w:rFonts w:eastAsia="Calibri" w:cs="Arial"/>
          <w:szCs w:val="22"/>
          <w:lang w:bidi="ar-SA"/>
        </w:rPr>
        <w:t>Mavri A, Smole Možina S</w:t>
      </w:r>
      <w:r>
        <w:rPr>
          <w:rFonts w:eastAsia="Calibri" w:cs="Arial"/>
          <w:szCs w:val="22"/>
          <w:lang w:bidi="ar-SA"/>
        </w:rPr>
        <w:t xml:space="preserve"> (2013)</w:t>
      </w:r>
      <w:r w:rsidRPr="00BB5FA8">
        <w:rPr>
          <w:rFonts w:eastAsia="Calibri" w:cs="Arial"/>
          <w:szCs w:val="22"/>
          <w:lang w:bidi="ar-SA"/>
        </w:rPr>
        <w:t xml:space="preserve"> Development of antimicrobial resistance in </w:t>
      </w:r>
      <w:r w:rsidRPr="00BB5FA8">
        <w:rPr>
          <w:rFonts w:eastAsia="Calibri" w:cs="Arial"/>
          <w:i/>
          <w:szCs w:val="22"/>
          <w:lang w:bidi="ar-SA"/>
        </w:rPr>
        <w:t>Campylobacter jejuni</w:t>
      </w:r>
      <w:r w:rsidRPr="00BB5FA8">
        <w:rPr>
          <w:rFonts w:eastAsia="Calibri" w:cs="Arial"/>
          <w:szCs w:val="22"/>
          <w:lang w:bidi="ar-SA"/>
        </w:rPr>
        <w:t xml:space="preserve"> and </w:t>
      </w:r>
      <w:r w:rsidRPr="00BB5FA8">
        <w:rPr>
          <w:rFonts w:eastAsia="Calibri" w:cs="Arial"/>
          <w:i/>
          <w:szCs w:val="22"/>
          <w:lang w:bidi="ar-SA"/>
        </w:rPr>
        <w:t>Campylobacter coli</w:t>
      </w:r>
      <w:r w:rsidRPr="00BB5FA8">
        <w:rPr>
          <w:rFonts w:eastAsia="Calibri" w:cs="Arial"/>
          <w:szCs w:val="22"/>
          <w:lang w:bidi="ar-SA"/>
        </w:rPr>
        <w:t xml:space="preserve"> adapted to biocides. Int J Food Microbiol. </w:t>
      </w:r>
      <w:r>
        <w:rPr>
          <w:rFonts w:eastAsia="Calibri" w:cs="Arial"/>
          <w:szCs w:val="22"/>
          <w:lang w:bidi="ar-SA"/>
        </w:rPr>
        <w:t>160(3):304-12.</w:t>
      </w:r>
      <w:r>
        <w:rPr>
          <w:rFonts w:eastAsia="Calibri" w:cs="Arial"/>
          <w:szCs w:val="22"/>
          <w:lang w:bidi="ar-SA"/>
        </w:rPr>
        <w:br/>
      </w:r>
      <w:r w:rsidRPr="00BB5FA8">
        <w:rPr>
          <w:rFonts w:eastAsia="Calibri" w:cs="Arial"/>
          <w:szCs w:val="22"/>
          <w:lang w:bidi="ar-SA"/>
        </w:rPr>
        <w:t>doi: 10</w:t>
      </w:r>
      <w:r>
        <w:rPr>
          <w:rFonts w:eastAsia="Calibri" w:cs="Arial"/>
          <w:szCs w:val="22"/>
          <w:lang w:bidi="ar-SA"/>
        </w:rPr>
        <w:t>.1016/j.ijfoodmicro.2012.11.006</w:t>
      </w:r>
      <w:r w:rsidRPr="00BB5FA8">
        <w:rPr>
          <w:rFonts w:eastAsia="Calibri" w:cs="Arial"/>
          <w:szCs w:val="22"/>
          <w:lang w:bidi="ar-SA"/>
        </w:rPr>
        <w:t>.</w:t>
      </w:r>
    </w:p>
    <w:p w14:paraId="3BA5BB87" w14:textId="3CEF63D2" w:rsidR="001D1E05" w:rsidRPr="0085042A" w:rsidRDefault="001D1E05" w:rsidP="000F53D4">
      <w:pPr>
        <w:widowControl/>
        <w:spacing w:after="240"/>
        <w:rPr>
          <w:rFonts w:eastAsia="Calibri" w:cs="Arial"/>
          <w:szCs w:val="22"/>
          <w:lang w:bidi="ar-SA"/>
        </w:rPr>
      </w:pPr>
      <w:r w:rsidRPr="00EE61AC">
        <w:rPr>
          <w:rFonts w:eastAsia="Calibri" w:cs="Arial"/>
          <w:szCs w:val="22"/>
          <w:lang w:bidi="ar-SA"/>
        </w:rPr>
        <w:t>Murawska, D. (2017). The effect of age on growth performance and carcass quality parameters in different poultry species. Poultry Science, 33-50.</w:t>
      </w:r>
    </w:p>
    <w:p w14:paraId="6C617C84" w14:textId="475495E9" w:rsidR="000F53D4" w:rsidRPr="0085042A" w:rsidRDefault="000F53D4" w:rsidP="000F53D4">
      <w:pPr>
        <w:widowControl/>
        <w:spacing w:after="240"/>
        <w:rPr>
          <w:rFonts w:eastAsia="Calibri" w:cs="Arial"/>
          <w:szCs w:val="22"/>
          <w:lang w:bidi="ar-SA"/>
        </w:rPr>
      </w:pPr>
      <w:r w:rsidRPr="0085042A">
        <w:rPr>
          <w:rFonts w:eastAsia="Calibri" w:cs="Arial"/>
          <w:szCs w:val="22"/>
          <w:lang w:bidi="ar-SA"/>
        </w:rPr>
        <w:t>Ministry of Health (2003) NZ Food NZ Children: Key results of the 2002 National Children's Nutrition Survey. Ministry of Health, Wellington</w:t>
      </w:r>
      <w:r w:rsidR="0085042A">
        <w:rPr>
          <w:rFonts w:eastAsia="Calibri" w:cs="Arial"/>
          <w:szCs w:val="22"/>
          <w:lang w:bidi="ar-SA"/>
        </w:rPr>
        <w:t>.</w:t>
      </w:r>
    </w:p>
    <w:p w14:paraId="72F2D307" w14:textId="60C8DC15" w:rsidR="000F53D4" w:rsidRPr="0085042A" w:rsidRDefault="000F53D4" w:rsidP="000F53D4">
      <w:pPr>
        <w:widowControl/>
        <w:spacing w:after="240"/>
        <w:rPr>
          <w:rFonts w:eastAsia="Calibri" w:cs="Arial"/>
          <w:szCs w:val="22"/>
          <w:lang w:bidi="ar-SA"/>
        </w:rPr>
      </w:pPr>
      <w:r w:rsidRPr="0085042A">
        <w:rPr>
          <w:rFonts w:eastAsia="Calibri" w:cs="Arial"/>
          <w:szCs w:val="22"/>
          <w:lang w:bidi="ar-SA"/>
        </w:rPr>
        <w:t>Ministry of Health (2005) 2002 National Children's Nutrition Survey: National Confidentialised Unit Record File (CURF) User Document. Ministry of Health, Wellington</w:t>
      </w:r>
      <w:r w:rsidR="0085042A">
        <w:rPr>
          <w:rFonts w:eastAsia="Calibri" w:cs="Arial"/>
          <w:szCs w:val="22"/>
          <w:lang w:bidi="ar-SA"/>
        </w:rPr>
        <w:t>.</w:t>
      </w:r>
    </w:p>
    <w:p w14:paraId="6896B624" w14:textId="406CC5DB" w:rsidR="000F53D4" w:rsidRPr="0085042A" w:rsidRDefault="000F53D4" w:rsidP="000F53D4">
      <w:pPr>
        <w:widowControl/>
        <w:spacing w:after="240"/>
        <w:rPr>
          <w:rFonts w:eastAsia="Calibri" w:cs="Arial"/>
          <w:szCs w:val="22"/>
          <w:lang w:bidi="ar-SA"/>
        </w:rPr>
      </w:pPr>
      <w:r w:rsidRPr="0085042A">
        <w:rPr>
          <w:rFonts w:eastAsia="Calibri" w:cs="Arial"/>
          <w:szCs w:val="22"/>
          <w:lang w:bidi="ar-SA"/>
        </w:rPr>
        <w:t>Ministry of Health (2011a) Methodology report for the 2008/09 New Zealand Adult Nutrition Survey. Ministry of Health, Wellington</w:t>
      </w:r>
      <w:r w:rsidR="0085042A">
        <w:rPr>
          <w:rFonts w:eastAsia="Calibri" w:cs="Arial"/>
          <w:szCs w:val="22"/>
          <w:lang w:bidi="ar-SA"/>
        </w:rPr>
        <w:t>.</w:t>
      </w:r>
    </w:p>
    <w:p w14:paraId="1B745CAA" w14:textId="7B52DD77" w:rsidR="000F53D4" w:rsidRPr="0085042A" w:rsidRDefault="000F53D4" w:rsidP="000F53D4">
      <w:pPr>
        <w:widowControl/>
        <w:spacing w:after="240"/>
        <w:rPr>
          <w:rFonts w:eastAsia="Calibri" w:cs="Arial"/>
          <w:szCs w:val="22"/>
          <w:lang w:bidi="ar-SA"/>
        </w:rPr>
      </w:pPr>
      <w:r w:rsidRPr="0085042A">
        <w:rPr>
          <w:rFonts w:eastAsia="Calibri" w:cs="Arial"/>
          <w:szCs w:val="22"/>
          <w:lang w:bidi="ar-SA"/>
        </w:rPr>
        <w:t>Ministry of Health (2011b) A focus on nutrition: Key findings of the 2008/09 New Zealand Adult Nutrition Survey. Ministry of Health, Wellington</w:t>
      </w:r>
      <w:r w:rsidR="0085042A">
        <w:rPr>
          <w:rFonts w:eastAsia="Calibri" w:cs="Arial"/>
          <w:szCs w:val="22"/>
          <w:lang w:bidi="ar-SA"/>
        </w:rPr>
        <w:t>.</w:t>
      </w:r>
    </w:p>
    <w:p w14:paraId="21903B5D" w14:textId="4913ECEA" w:rsidR="009E102F" w:rsidRPr="0085042A" w:rsidRDefault="009E102F" w:rsidP="001845F6">
      <w:pPr>
        <w:widowControl/>
        <w:spacing w:after="240"/>
        <w:rPr>
          <w:rFonts w:eastAsia="Calibri" w:cs="Arial"/>
          <w:szCs w:val="22"/>
          <w:lang w:bidi="ar-SA"/>
        </w:rPr>
      </w:pPr>
      <w:r w:rsidRPr="0085042A">
        <w:rPr>
          <w:rFonts w:eastAsia="Calibri" w:cs="Arial"/>
          <w:szCs w:val="22"/>
          <w:lang w:bidi="ar-SA"/>
        </w:rPr>
        <w:t>NCBI 2021.National Center for Biotechnology Information (2021). PubChem Compound</w:t>
      </w:r>
      <w:r w:rsidRPr="009E102F">
        <w:rPr>
          <w:rFonts w:eastAsia="Calibri" w:cs="Arial"/>
          <w:color w:val="2E3037"/>
          <w:szCs w:val="22"/>
          <w:lang w:bidi="ar-SA"/>
        </w:rPr>
        <w:t xml:space="preserve"> </w:t>
      </w:r>
      <w:hyperlink r:id="rId25" w:history="1">
        <w:r w:rsidRPr="009E102F">
          <w:rPr>
            <w:rStyle w:val="Hyperlink"/>
            <w:rFonts w:eastAsia="Calibri" w:cs="Arial"/>
            <w:szCs w:val="22"/>
            <w:lang w:bidi="ar-SA"/>
          </w:rPr>
          <w:t>Summary for CID 31239, Cetylpyridinium chloride.</w:t>
        </w:r>
      </w:hyperlink>
      <w:r w:rsidRPr="009E102F">
        <w:rPr>
          <w:rFonts w:eastAsia="Calibri" w:cs="Arial"/>
          <w:color w:val="2E3037"/>
          <w:szCs w:val="22"/>
          <w:lang w:bidi="ar-SA"/>
        </w:rPr>
        <w:t xml:space="preserve"> </w:t>
      </w:r>
      <w:r w:rsidRPr="0085042A">
        <w:rPr>
          <w:rFonts w:eastAsia="Calibri" w:cs="Arial"/>
          <w:szCs w:val="22"/>
          <w:lang w:bidi="ar-SA"/>
        </w:rPr>
        <w:t>Accessed October 4, 2021</w:t>
      </w:r>
      <w:r w:rsidR="0085042A">
        <w:rPr>
          <w:rFonts w:eastAsia="Calibri" w:cs="Arial"/>
          <w:szCs w:val="22"/>
          <w:lang w:bidi="ar-SA"/>
        </w:rPr>
        <w:t>.</w:t>
      </w:r>
      <w:r w:rsidRPr="0085042A">
        <w:rPr>
          <w:rFonts w:eastAsia="Calibri" w:cs="Arial"/>
          <w:szCs w:val="22"/>
          <w:lang w:bidi="ar-SA"/>
        </w:rPr>
        <w:t xml:space="preserve"> </w:t>
      </w:r>
    </w:p>
    <w:p w14:paraId="59F18282" w14:textId="11EC8738" w:rsidR="007B632C" w:rsidRPr="0085042A" w:rsidRDefault="007B632C" w:rsidP="007B632C">
      <w:pPr>
        <w:widowControl/>
        <w:spacing w:after="240"/>
        <w:rPr>
          <w:rFonts w:eastAsia="Calibri" w:cs="Arial"/>
          <w:szCs w:val="22"/>
          <w:lang w:val="en" w:bidi="ar-SA"/>
        </w:rPr>
      </w:pPr>
      <w:r w:rsidRPr="0085042A">
        <w:rPr>
          <w:rFonts w:eastAsia="Calibri" w:cs="Arial"/>
          <w:szCs w:val="22"/>
          <w:lang w:val="en" w:bidi="ar-SA"/>
        </w:rPr>
        <w:t xml:space="preserve">PubChem [Internet] (2004). Bethesda (MD): National Library of Medicine (US), National Center for Biotechnology Information; 2004-. PubChem Compound Summary for CID 31239, Cetylpyridinium chloride; Available from: </w:t>
      </w:r>
      <w:hyperlink r:id="rId26" w:history="1">
        <w:r w:rsidRPr="007B632C">
          <w:rPr>
            <w:rStyle w:val="Hyperlink"/>
            <w:rFonts w:eastAsia="Calibri" w:cs="Arial"/>
            <w:szCs w:val="22"/>
            <w:lang w:val="en" w:bidi="ar-SA"/>
          </w:rPr>
          <w:t>https://pubchem.ncbi.nlm.nih.gov/compound/Cetylpyridinium-chloride</w:t>
        </w:r>
      </w:hyperlink>
      <w:r>
        <w:rPr>
          <w:rFonts w:eastAsia="Calibri" w:cs="Arial"/>
          <w:color w:val="2E3037"/>
          <w:szCs w:val="22"/>
          <w:lang w:bidi="ar-SA"/>
        </w:rPr>
        <w:t xml:space="preserve">. </w:t>
      </w:r>
      <w:r w:rsidRPr="0085042A">
        <w:rPr>
          <w:rFonts w:eastAsia="Calibri" w:cs="Arial"/>
          <w:szCs w:val="22"/>
          <w:lang w:bidi="ar-SA"/>
        </w:rPr>
        <w:t xml:space="preserve">Accessed 11 October 2021. </w:t>
      </w:r>
    </w:p>
    <w:p w14:paraId="5D22A202" w14:textId="3BC03F69" w:rsidR="001845F6" w:rsidRPr="0085042A" w:rsidRDefault="001845F6" w:rsidP="001845F6">
      <w:pPr>
        <w:widowControl/>
        <w:spacing w:after="240"/>
        <w:rPr>
          <w:rFonts w:eastAsia="Calibri" w:cs="Arial"/>
          <w:szCs w:val="22"/>
          <w:lang w:bidi="ar-SA"/>
        </w:rPr>
      </w:pPr>
      <w:r w:rsidRPr="0085042A">
        <w:rPr>
          <w:rFonts w:eastAsia="Calibri" w:cs="Arial"/>
          <w:szCs w:val="22"/>
          <w:lang w:bidi="ar-SA"/>
        </w:rPr>
        <w:t>Nelson JW, Lyster SC (1946) The toxicity of myristyl-gamma-picolinium chloride. J Am Pharm Assoc 35:89-94. doi: 10.1002/jps.3030350308.</w:t>
      </w:r>
    </w:p>
    <w:p w14:paraId="517B2512" w14:textId="04B9C88D" w:rsidR="00EC29AD" w:rsidRPr="0085042A" w:rsidRDefault="00EC29AD" w:rsidP="001845F6">
      <w:pPr>
        <w:widowControl/>
        <w:spacing w:after="240"/>
        <w:rPr>
          <w:rFonts w:eastAsia="Calibri" w:cs="Arial"/>
          <w:szCs w:val="22"/>
          <w:lang w:bidi="ar-SA"/>
        </w:rPr>
      </w:pPr>
      <w:r w:rsidRPr="0085042A">
        <w:rPr>
          <w:rFonts w:eastAsia="Calibri" w:cs="Arial"/>
          <w:szCs w:val="22"/>
          <w:lang w:bidi="ar-SA"/>
        </w:rPr>
        <w:t xml:space="preserve">Next Century Incorporated (2001) Cecure: In vitro chromosome aberration in Chinese hamster ovary cells for liquids. </w:t>
      </w:r>
    </w:p>
    <w:p w14:paraId="304B34A9" w14:textId="3C5BD318" w:rsidR="00EC29AD" w:rsidRPr="0085042A" w:rsidRDefault="00EC29AD" w:rsidP="001845F6">
      <w:pPr>
        <w:widowControl/>
        <w:spacing w:after="240"/>
        <w:rPr>
          <w:rFonts w:eastAsia="Calibri" w:cs="Arial"/>
          <w:szCs w:val="22"/>
          <w:lang w:bidi="ar-SA"/>
        </w:rPr>
      </w:pPr>
      <w:r w:rsidRPr="0085042A">
        <w:rPr>
          <w:rFonts w:eastAsia="Calibri" w:cs="Arial"/>
          <w:szCs w:val="22"/>
          <w:lang w:bidi="ar-SA"/>
        </w:rPr>
        <w:t xml:space="preserve">Next Century Incorporated (2002) Cecure: Bacterial reverse mutation test: plate incorporation and preincubation method for liquids. </w:t>
      </w:r>
    </w:p>
    <w:p w14:paraId="4511DCCD" w14:textId="11CEF414" w:rsidR="0041735C" w:rsidRPr="0085042A" w:rsidRDefault="0041735C" w:rsidP="0041735C">
      <w:pPr>
        <w:widowControl/>
        <w:spacing w:after="240"/>
        <w:rPr>
          <w:rFonts w:eastAsia="Calibri" w:cs="Arial"/>
          <w:szCs w:val="22"/>
          <w:lang w:bidi="ar-SA"/>
        </w:rPr>
      </w:pPr>
      <w:r w:rsidRPr="0041735C">
        <w:rPr>
          <w:rFonts w:eastAsia="Calibri" w:cs="Arial"/>
          <w:szCs w:val="22"/>
          <w:lang w:bidi="ar-SA"/>
        </w:rPr>
        <w:lastRenderedPageBreak/>
        <w:t>Pitten FA, K</w:t>
      </w:r>
      <w:r>
        <w:rPr>
          <w:rFonts w:eastAsia="Calibri" w:cs="Arial"/>
          <w:szCs w:val="22"/>
          <w:lang w:bidi="ar-SA"/>
        </w:rPr>
        <w:t>ramer A</w:t>
      </w:r>
      <w:r w:rsidRPr="0041735C">
        <w:rPr>
          <w:rFonts w:eastAsia="Calibri" w:cs="Arial"/>
          <w:szCs w:val="22"/>
          <w:lang w:bidi="ar-SA"/>
        </w:rPr>
        <w:t xml:space="preserve"> (2001)</w:t>
      </w:r>
      <w:r>
        <w:rPr>
          <w:rFonts w:eastAsia="Calibri" w:cs="Arial"/>
          <w:szCs w:val="22"/>
          <w:lang w:bidi="ar-SA"/>
        </w:rPr>
        <w:t xml:space="preserve"> </w:t>
      </w:r>
      <w:r w:rsidRPr="0041735C">
        <w:rPr>
          <w:rFonts w:eastAsia="Calibri" w:cs="Arial"/>
          <w:szCs w:val="22"/>
          <w:lang w:bidi="ar-SA"/>
        </w:rPr>
        <w:t>Efficacy of cetylpyridinium chloride used as oropharyngeal antiseptic. Arzneimittelforschung 51(7):588-95. doi: 10.1055/s-0031-1300084.</w:t>
      </w:r>
    </w:p>
    <w:p w14:paraId="119A2C0F" w14:textId="1206AA4D" w:rsidR="0072231B" w:rsidRPr="0085042A" w:rsidRDefault="00912058" w:rsidP="00AE279B">
      <w:pPr>
        <w:widowControl/>
        <w:spacing w:after="240"/>
        <w:rPr>
          <w:rFonts w:eastAsia="Calibri" w:cs="Arial"/>
          <w:szCs w:val="22"/>
          <w:lang w:bidi="ar-SA"/>
        </w:rPr>
      </w:pPr>
      <w:r w:rsidRPr="0085042A">
        <w:rPr>
          <w:rFonts w:eastAsia="Calibri" w:cs="Arial"/>
          <w:szCs w:val="22"/>
          <w:lang w:bidi="ar-SA"/>
        </w:rPr>
        <w:t xml:space="preserve">Pontén A, Hamnerius N, Bruze M, Hansson C, Persson C, Svedman C, Thörneby Andersson K, Bergendorff O (2013) Occupational allergic contact dermatitis caused by sterile non-latex protective gloves: clinical investigation and chemical analyses. </w:t>
      </w:r>
      <w:r w:rsidR="00AE279B" w:rsidRPr="0085042A">
        <w:rPr>
          <w:rFonts w:eastAsia="Calibri" w:cs="Arial"/>
          <w:szCs w:val="22"/>
          <w:lang w:bidi="ar-SA"/>
        </w:rPr>
        <w:t>Contact Dermatitis 68(2):103-10. doi: 10.1111/cod.12010.</w:t>
      </w:r>
    </w:p>
    <w:p w14:paraId="009D7C81" w14:textId="38139048" w:rsidR="00550767" w:rsidRPr="0085042A" w:rsidRDefault="00550767" w:rsidP="001845F6">
      <w:pPr>
        <w:widowControl/>
        <w:spacing w:after="240"/>
        <w:rPr>
          <w:rFonts w:eastAsia="Calibri" w:cs="Arial"/>
          <w:szCs w:val="22"/>
          <w:lang w:bidi="ar-SA"/>
        </w:rPr>
      </w:pPr>
      <w:r w:rsidRPr="0085042A">
        <w:rPr>
          <w:rFonts w:eastAsia="Calibri" w:cs="Arial"/>
          <w:szCs w:val="22"/>
          <w:lang w:bidi="ar-SA"/>
        </w:rPr>
        <w:t xml:space="preserve">Proctor &amp; Gamble (1979) Supplemental report to the OTC review panel on oral cavity drug products. Subchronic toxicity and teratology studies on cetylpyridinium chloride and domiphen bromide. </w:t>
      </w:r>
      <w:r w:rsidR="00471BBE" w:rsidRPr="0085042A">
        <w:rPr>
          <w:rFonts w:eastAsia="Calibri" w:cs="Arial"/>
          <w:szCs w:val="22"/>
          <w:lang w:bidi="ar-SA"/>
        </w:rPr>
        <w:t>The Proctor &amp; Gamble Company, Cincinnati, Ohio, USA.</w:t>
      </w:r>
    </w:p>
    <w:p w14:paraId="2BAD84CD" w14:textId="2F7F3EC2" w:rsidR="003C21FA" w:rsidRPr="0085042A" w:rsidRDefault="003C21FA" w:rsidP="001845F6">
      <w:pPr>
        <w:widowControl/>
        <w:spacing w:after="240"/>
        <w:rPr>
          <w:rFonts w:eastAsia="Calibri" w:cs="Arial"/>
          <w:szCs w:val="22"/>
          <w:lang w:bidi="ar-SA"/>
        </w:rPr>
      </w:pPr>
      <w:r w:rsidRPr="0085042A">
        <w:rPr>
          <w:rFonts w:eastAsia="Calibri" w:cs="Arial"/>
          <w:szCs w:val="22"/>
          <w:lang w:bidi="ar-SA"/>
        </w:rPr>
        <w:t xml:space="preserve">Redfield Laboratories (2002a) A 14-day palatability study of cetylpyridium chloride in Sprague-Dawley rats. </w:t>
      </w:r>
    </w:p>
    <w:p w14:paraId="00DADD24" w14:textId="72189532" w:rsidR="003C21FA" w:rsidRPr="0085042A" w:rsidRDefault="003C21FA" w:rsidP="001845F6">
      <w:pPr>
        <w:widowControl/>
        <w:spacing w:after="240"/>
        <w:rPr>
          <w:rFonts w:eastAsia="Calibri" w:cs="Arial"/>
          <w:szCs w:val="22"/>
          <w:lang w:bidi="ar-SA"/>
        </w:rPr>
      </w:pPr>
      <w:r w:rsidRPr="0085042A">
        <w:rPr>
          <w:rFonts w:eastAsia="Calibri" w:cs="Arial"/>
          <w:szCs w:val="22"/>
          <w:lang w:bidi="ar-SA"/>
        </w:rPr>
        <w:t xml:space="preserve">Redfield Laboratories (2002b) A dietary 28-day toxicity study of cetylpyridium chloride in Sprague-Dawley rats. </w:t>
      </w:r>
    </w:p>
    <w:p w14:paraId="45DCA480" w14:textId="6652F68B" w:rsidR="0085042A" w:rsidRPr="0085042A" w:rsidRDefault="00B31209" w:rsidP="0085042A">
      <w:pPr>
        <w:widowControl/>
        <w:spacing w:after="240"/>
        <w:rPr>
          <w:rFonts w:eastAsia="Calibri" w:cs="Arial"/>
          <w:szCs w:val="22"/>
          <w:lang w:bidi="ar-SA"/>
        </w:rPr>
      </w:pPr>
      <w:r w:rsidRPr="0085042A">
        <w:rPr>
          <w:rFonts w:eastAsia="Calibri" w:cs="Arial"/>
          <w:szCs w:val="22"/>
          <w:lang w:bidi="ar-SA"/>
        </w:rPr>
        <w:t xml:space="preserve">Richardson-Merrell (1972) Studies on the toxicity of Cepacaine, Reports no. 1 and 2. Richardson-Merrell SpA, Naples. Project Report Numbers N-72-10 and N-72-15. </w:t>
      </w:r>
    </w:p>
    <w:p w14:paraId="3991C50D" w14:textId="4F3F8F57" w:rsidR="00E7652E" w:rsidRPr="0085042A" w:rsidRDefault="00F8483E" w:rsidP="00A323DA">
      <w:pPr>
        <w:widowControl/>
        <w:spacing w:after="240"/>
        <w:rPr>
          <w:rFonts w:eastAsia="Calibri" w:cs="Arial"/>
          <w:szCs w:val="22"/>
          <w:lang w:bidi="ar-SA"/>
        </w:rPr>
      </w:pPr>
      <w:r w:rsidRPr="0085042A">
        <w:rPr>
          <w:rFonts w:eastAsia="Calibri" w:cs="Arial"/>
          <w:szCs w:val="22"/>
          <w:lang w:bidi="ar-SA"/>
        </w:rPr>
        <w:t>R</w:t>
      </w:r>
      <w:r w:rsidR="00E7652E" w:rsidRPr="0085042A">
        <w:rPr>
          <w:rFonts w:eastAsia="Calibri" w:cs="Arial"/>
          <w:szCs w:val="22"/>
          <w:lang w:bidi="ar-SA"/>
        </w:rPr>
        <w:t>odrigues F, Lehmann M, do Amaral</w:t>
      </w:r>
      <w:r w:rsidR="00A323DA" w:rsidRPr="0085042A">
        <w:rPr>
          <w:rFonts w:eastAsia="Calibri" w:cs="Arial"/>
          <w:szCs w:val="22"/>
          <w:lang w:bidi="ar-SA"/>
        </w:rPr>
        <w:t xml:space="preserve"> VS</w:t>
      </w:r>
      <w:r w:rsidR="00E7652E" w:rsidRPr="0085042A">
        <w:rPr>
          <w:rFonts w:eastAsia="Calibri" w:cs="Arial"/>
          <w:szCs w:val="22"/>
          <w:lang w:bidi="ar-SA"/>
        </w:rPr>
        <w:t>, Reguly</w:t>
      </w:r>
      <w:r w:rsidR="00A323DA" w:rsidRPr="0085042A">
        <w:rPr>
          <w:rFonts w:eastAsia="Calibri" w:cs="Arial"/>
          <w:szCs w:val="22"/>
          <w:lang w:bidi="ar-SA"/>
        </w:rPr>
        <w:t xml:space="preserve"> ML</w:t>
      </w:r>
      <w:r w:rsidR="00E7652E" w:rsidRPr="0085042A">
        <w:rPr>
          <w:rFonts w:eastAsia="Calibri" w:cs="Arial"/>
          <w:szCs w:val="22"/>
          <w:lang w:bidi="ar-SA"/>
        </w:rPr>
        <w:t>, de Andrade</w:t>
      </w:r>
      <w:r w:rsidR="00A323DA" w:rsidRPr="0085042A">
        <w:rPr>
          <w:rFonts w:eastAsia="Calibri" w:cs="Arial"/>
          <w:szCs w:val="22"/>
          <w:lang w:bidi="ar-SA"/>
        </w:rPr>
        <w:t xml:space="preserve"> HH (2007) Genotoxicity of three mouthwash products, Cepacol, Periogard, and Plax, in the Drosophila wing-spot test. Environ Mol Mutagen 48(8):644-9. doi: 10.1002/em.20332. </w:t>
      </w:r>
    </w:p>
    <w:p w14:paraId="15D0F29B" w14:textId="240BEAB4" w:rsidR="001845F6" w:rsidRPr="0085042A" w:rsidRDefault="001845F6" w:rsidP="001845F6">
      <w:pPr>
        <w:widowControl/>
        <w:spacing w:after="240"/>
        <w:rPr>
          <w:rFonts w:eastAsia="Calibri" w:cs="Arial"/>
          <w:szCs w:val="22"/>
          <w:lang w:bidi="ar-SA"/>
        </w:rPr>
      </w:pPr>
      <w:r w:rsidRPr="0085042A">
        <w:rPr>
          <w:rFonts w:eastAsia="Calibri" w:cs="Arial"/>
          <w:szCs w:val="22"/>
          <w:lang w:bidi="ar-SA"/>
        </w:rPr>
        <w:t xml:space="preserve">Rosen H, Blumenthal A, Panasevich R, McCallum J (1965) Dimethyl sulfoxide (DMSO) as a solvent in acute toxicity determinations. Proc Soc Exp Biol Med 120(2):511-4. doi: 10.3181/00379727-120-30574. </w:t>
      </w:r>
    </w:p>
    <w:p w14:paraId="3F1F91A7" w14:textId="77A04BD7" w:rsidR="00A67D6A" w:rsidRPr="0085042A" w:rsidRDefault="00A67D6A" w:rsidP="00F84899">
      <w:pPr>
        <w:widowControl/>
        <w:spacing w:after="240"/>
        <w:rPr>
          <w:rFonts w:eastAsia="Calibri"/>
          <w:lang w:bidi="ar-SA"/>
        </w:rPr>
      </w:pPr>
      <w:r w:rsidRPr="0085042A">
        <w:rPr>
          <w:rFonts w:eastAsia="Calibri"/>
          <w:lang w:bidi="ar-SA"/>
        </w:rPr>
        <w:t>SCCS (Scientific Committee on Consumer Safety) 2015 Opinion on Cetylpyridinium chloride – submission II (P97), SCCS/1548/15, 25 March 2015, revision of 15 December 2015.</w:t>
      </w:r>
    </w:p>
    <w:p w14:paraId="2BACE63B" w14:textId="4A151FC5" w:rsidR="00800929" w:rsidRPr="0085042A" w:rsidRDefault="00800929" w:rsidP="00F84899">
      <w:pPr>
        <w:widowControl/>
        <w:spacing w:after="240"/>
        <w:rPr>
          <w:rFonts w:eastAsia="Calibri"/>
          <w:lang w:bidi="ar-SA"/>
        </w:rPr>
      </w:pPr>
      <w:r w:rsidRPr="0085042A">
        <w:rPr>
          <w:rFonts w:eastAsia="Calibri"/>
          <w:lang w:bidi="ar-SA"/>
        </w:rPr>
        <w:t>Scientific Laboratories (1965) Subacute</w:t>
      </w:r>
      <w:r w:rsidR="00371D81" w:rsidRPr="0085042A">
        <w:rPr>
          <w:rFonts w:eastAsia="Calibri"/>
          <w:lang w:bidi="ar-SA"/>
        </w:rPr>
        <w:t xml:space="preserve"> (1 month)</w:t>
      </w:r>
      <w:r w:rsidRPr="0085042A">
        <w:rPr>
          <w:rFonts w:eastAsia="Calibri"/>
          <w:lang w:bidi="ar-SA"/>
        </w:rPr>
        <w:t xml:space="preserve"> </w:t>
      </w:r>
      <w:r w:rsidR="00371D81" w:rsidRPr="0085042A">
        <w:rPr>
          <w:rFonts w:eastAsia="Calibri"/>
          <w:lang w:bidi="ar-SA"/>
        </w:rPr>
        <w:t>toxicity study</w:t>
      </w:r>
      <w:r w:rsidRPr="0085042A">
        <w:rPr>
          <w:rFonts w:eastAsia="Calibri"/>
          <w:lang w:bidi="ar-SA"/>
        </w:rPr>
        <w:t xml:space="preserve"> </w:t>
      </w:r>
      <w:r w:rsidR="00371D81" w:rsidRPr="0085042A">
        <w:rPr>
          <w:rFonts w:eastAsia="Calibri"/>
          <w:lang w:bidi="ar-SA"/>
        </w:rPr>
        <w:t>of Cepa-Tuss troches</w:t>
      </w:r>
      <w:r w:rsidRPr="0085042A">
        <w:rPr>
          <w:rFonts w:eastAsia="Calibri"/>
          <w:lang w:bidi="ar-SA"/>
        </w:rPr>
        <w:t xml:space="preserve"> in dogs. Scientific Laboratories, Wm S Merrell Company</w:t>
      </w:r>
      <w:r w:rsidR="00371D81" w:rsidRPr="0085042A">
        <w:rPr>
          <w:rFonts w:eastAsia="Calibri"/>
          <w:lang w:bidi="ar-SA"/>
        </w:rPr>
        <w:t>, Cincinnati, Ohio USA</w:t>
      </w:r>
      <w:r w:rsidRPr="0085042A">
        <w:rPr>
          <w:rFonts w:eastAsia="Calibri"/>
          <w:lang w:bidi="ar-SA"/>
        </w:rPr>
        <w:t xml:space="preserve">. Project Report </w:t>
      </w:r>
      <w:r w:rsidR="00371D81" w:rsidRPr="0085042A">
        <w:rPr>
          <w:rFonts w:eastAsia="Calibri"/>
          <w:lang w:bidi="ar-SA"/>
        </w:rPr>
        <w:t>T-65-27</w:t>
      </w:r>
      <w:r w:rsidRPr="0085042A">
        <w:rPr>
          <w:rFonts w:eastAsia="Calibri"/>
          <w:lang w:bidi="ar-SA"/>
        </w:rPr>
        <w:t xml:space="preserve">. </w:t>
      </w:r>
    </w:p>
    <w:p w14:paraId="200D05B0" w14:textId="44408CA1" w:rsidR="00800929" w:rsidRPr="0085042A" w:rsidRDefault="00800929" w:rsidP="00F84899">
      <w:pPr>
        <w:widowControl/>
        <w:spacing w:after="240"/>
        <w:rPr>
          <w:rFonts w:eastAsia="Calibri"/>
          <w:lang w:bidi="ar-SA"/>
        </w:rPr>
      </w:pPr>
      <w:r w:rsidRPr="0085042A">
        <w:rPr>
          <w:rFonts w:eastAsia="Calibri"/>
          <w:lang w:bidi="ar-SA"/>
        </w:rPr>
        <w:t>Scientific Laboratories (1969) Subacute oral toxicity studies with cepacol anaesthetic gargle in dogs and rats. Scientific Laboratories, Wm S Merrell Company</w:t>
      </w:r>
      <w:r w:rsidR="00371D81" w:rsidRPr="0085042A">
        <w:rPr>
          <w:rFonts w:eastAsia="Calibri"/>
          <w:lang w:bidi="ar-SA"/>
        </w:rPr>
        <w:t>, Cincinnati, Ohio USA</w:t>
      </w:r>
      <w:r w:rsidRPr="0085042A">
        <w:rPr>
          <w:rFonts w:eastAsia="Calibri"/>
          <w:lang w:bidi="ar-SA"/>
        </w:rPr>
        <w:t xml:space="preserve">. Project Report T-69-12. </w:t>
      </w:r>
    </w:p>
    <w:p w14:paraId="28F6493D" w14:textId="325F3442" w:rsidR="00C173B8" w:rsidRPr="0085042A" w:rsidRDefault="00C173B8" w:rsidP="00F84899">
      <w:pPr>
        <w:widowControl/>
        <w:spacing w:after="240"/>
        <w:rPr>
          <w:rFonts w:eastAsia="Calibri"/>
          <w:lang w:bidi="ar-SA"/>
        </w:rPr>
      </w:pPr>
      <w:r w:rsidRPr="0085042A">
        <w:rPr>
          <w:rFonts w:eastAsia="Calibri"/>
          <w:lang w:bidi="ar-SA"/>
        </w:rPr>
        <w:t>Shima K, Tanizaki H, Endo Y, Fujisawa A, Tanioka M, Miyachi Y, Kabashima K (2015) Immediate hypersensitivity caused by cetylpyridinium chloride in a throat spray. Contact Dermatitis 73(4):248-9. doi: 10.1111/cod.12418.</w:t>
      </w:r>
    </w:p>
    <w:p w14:paraId="6E8C14D9" w14:textId="4021B7BC" w:rsidR="007701F1" w:rsidRPr="0085042A" w:rsidRDefault="007701F1" w:rsidP="00F84899">
      <w:pPr>
        <w:widowControl/>
        <w:spacing w:after="240"/>
        <w:rPr>
          <w:rFonts w:eastAsia="Calibri"/>
          <w:lang w:bidi="ar-SA"/>
        </w:rPr>
      </w:pPr>
      <w:r w:rsidRPr="0085042A">
        <w:rPr>
          <w:rFonts w:eastAsia="Calibri"/>
          <w:lang w:bidi="ar-SA"/>
        </w:rPr>
        <w:t>Smith HH, Lotfy TA</w:t>
      </w:r>
      <w:r w:rsidR="00C173B8" w:rsidRPr="0085042A">
        <w:rPr>
          <w:rFonts w:eastAsia="Calibri"/>
          <w:lang w:bidi="ar-SA"/>
        </w:rPr>
        <w:t xml:space="preserve"> (1955) Effects of beta-propiolactone and ceepryn on chromosomes of vicia and allium. Am J Bot 42(8):750-758. </w:t>
      </w:r>
    </w:p>
    <w:p w14:paraId="5A41D300" w14:textId="23AAD8F4" w:rsidR="0080377C" w:rsidRDefault="0080377C" w:rsidP="00F84899">
      <w:pPr>
        <w:widowControl/>
        <w:spacing w:after="240"/>
        <w:rPr>
          <w:rFonts w:eastAsia="Calibri"/>
          <w:lang w:bidi="ar-SA"/>
        </w:rPr>
      </w:pPr>
      <w:r w:rsidRPr="0085042A">
        <w:rPr>
          <w:rFonts w:eastAsia="Calibri"/>
          <w:lang w:bidi="ar-SA"/>
        </w:rPr>
        <w:t xml:space="preserve">Steinkjer </w:t>
      </w:r>
      <w:r w:rsidR="00A72D79" w:rsidRPr="0085042A">
        <w:rPr>
          <w:rFonts w:eastAsia="Calibri"/>
          <w:lang w:bidi="ar-SA"/>
        </w:rPr>
        <w:t>B (1998) Contact dermatitis from cetyl pyridinium chloride in latex surgical gloves. Contact dermatitis from cetyl pyridinium chloride in latex surgical gloves. Contact Dermatitis 39(1):29-30. doi: 10.1111/j.1600-0536.1998.tb05808.x.</w:t>
      </w:r>
    </w:p>
    <w:p w14:paraId="6C51C661" w14:textId="11B05C6E" w:rsidR="00710616" w:rsidRPr="0085042A" w:rsidRDefault="00710616" w:rsidP="00F84899">
      <w:pPr>
        <w:widowControl/>
        <w:spacing w:after="240"/>
        <w:rPr>
          <w:rFonts w:eastAsia="Calibri"/>
          <w:lang w:bidi="ar-SA"/>
        </w:rPr>
      </w:pPr>
      <w:r w:rsidRPr="00710616">
        <w:rPr>
          <w:rFonts w:eastAsia="Calibri"/>
          <w:lang w:bidi="ar-SA"/>
        </w:rPr>
        <w:t>United States Pharmacopeial Convention (2020) Food Chemicals Codex 12th ed, United States Pharmacopeial Convention, Rockville, MD.</w:t>
      </w:r>
    </w:p>
    <w:p w14:paraId="7F9DB01C" w14:textId="29E28098" w:rsidR="005F7323" w:rsidRPr="0085042A" w:rsidRDefault="0074494B" w:rsidP="00F84899">
      <w:pPr>
        <w:widowControl/>
        <w:spacing w:after="240"/>
        <w:rPr>
          <w:rFonts w:eastAsia="Calibri"/>
          <w:lang w:bidi="ar-SA"/>
        </w:rPr>
      </w:pPr>
      <w:r w:rsidRPr="0085042A">
        <w:rPr>
          <w:rFonts w:eastAsia="Calibri"/>
          <w:lang w:bidi="ar-SA"/>
        </w:rPr>
        <w:lastRenderedPageBreak/>
        <w:t>US FDA (2003) Oral health care drug production for over-the-counter human use; antigingivitis/antiplaque drug products, establishment of a monograph, proposed rules. Federal Register. Vol. 68, No. 103. 29</w:t>
      </w:r>
      <w:r w:rsidRPr="00F84899">
        <w:rPr>
          <w:rFonts w:eastAsia="Calibri" w:cs="Arial"/>
          <w:szCs w:val="22"/>
          <w:lang w:bidi="ar-SA"/>
        </w:rPr>
        <w:t xml:space="preserve"> </w:t>
      </w:r>
      <w:r w:rsidRPr="0085042A">
        <w:rPr>
          <w:rFonts w:eastAsia="Calibri"/>
          <w:lang w:bidi="ar-SA"/>
        </w:rPr>
        <w:t xml:space="preserve">May 2003. </w:t>
      </w:r>
    </w:p>
    <w:p w14:paraId="2D97EACD" w14:textId="35BD8711" w:rsidR="00192F95" w:rsidRPr="0085042A" w:rsidRDefault="00192F95" w:rsidP="00F84899">
      <w:pPr>
        <w:widowControl/>
        <w:spacing w:after="240"/>
        <w:rPr>
          <w:rFonts w:eastAsia="Calibri"/>
          <w:lang w:bidi="ar-SA"/>
        </w:rPr>
      </w:pPr>
      <w:r w:rsidRPr="0085042A">
        <w:rPr>
          <w:rFonts w:eastAsia="Calibri"/>
          <w:lang w:bidi="ar-SA"/>
        </w:rPr>
        <w:t xml:space="preserve">US FDA (2007) 21 CFR Part 173. Secondary direct food additives permitted in food for human consumption. Section 173.375 Cetylpyridinium chloride. Federal Register 72(229):67572-67576. </w:t>
      </w:r>
    </w:p>
    <w:p w14:paraId="727F4A95" w14:textId="1D98EFA8" w:rsidR="00861F2B" w:rsidRPr="0085042A" w:rsidRDefault="00861F2B" w:rsidP="00F84899">
      <w:pPr>
        <w:widowControl/>
        <w:spacing w:after="240"/>
        <w:rPr>
          <w:rFonts w:eastAsia="Calibri"/>
          <w:lang w:bidi="ar-SA"/>
        </w:rPr>
      </w:pPr>
      <w:r w:rsidRPr="0085042A">
        <w:rPr>
          <w:rFonts w:eastAsia="Calibri"/>
        </w:rPr>
        <w:t xml:space="preserve">USAEHA (1969) Relative toxicity of candidate mothproofing uniform impregnant cetylpyridium chloride. US Army Environmental Hygiene Agency, Arsenal USA. Special Study No. 33-4-68/71. </w:t>
      </w:r>
    </w:p>
    <w:p w14:paraId="1522FA00" w14:textId="17397D00" w:rsidR="004F3222" w:rsidRPr="0085042A" w:rsidRDefault="004F3222" w:rsidP="00F84899">
      <w:pPr>
        <w:widowControl/>
        <w:spacing w:after="240"/>
        <w:rPr>
          <w:rFonts w:eastAsia="Calibri"/>
          <w:lang w:bidi="ar-SA"/>
        </w:rPr>
      </w:pPr>
      <w:r w:rsidRPr="0085042A">
        <w:rPr>
          <w:rFonts w:eastAsia="Calibri"/>
          <w:lang w:bidi="ar-SA"/>
        </w:rPr>
        <w:t>Warren MR, Becker TJ, Marsh DG, Shelton RS (1942) Pharmacological and toxicological studies on cetylpyridinium chloride, a new germicide. Journal of Pharmacology and Experimental Therapeutics 74(4):401-408.</w:t>
      </w:r>
    </w:p>
    <w:p w14:paraId="7C475320" w14:textId="2ED0C7F8" w:rsidR="00F84899" w:rsidRPr="00F84899" w:rsidRDefault="00F84899" w:rsidP="00F84899">
      <w:pPr>
        <w:widowControl/>
        <w:spacing w:after="240"/>
        <w:rPr>
          <w:rFonts w:eastAsia="Calibri" w:cs="Arial"/>
          <w:szCs w:val="22"/>
          <w:lang w:bidi="ar-SA"/>
        </w:rPr>
      </w:pPr>
      <w:r w:rsidRPr="00F84899">
        <w:rPr>
          <w:rFonts w:eastAsia="Calibri" w:cs="Arial"/>
          <w:szCs w:val="22"/>
          <w:lang w:bidi="ar-SA"/>
        </w:rPr>
        <w:t>Webber MA, Whitehead RN, Mount M, Loman NJ, Pallen MJ, Piddock LJ (2015) Parallel evolutionary pathways to antibiotic resistance selected by biocide exposure. J Antimicrob Chemother. 70(8):2241-8. doi: 10.1093/jac/dkv109.</w:t>
      </w:r>
    </w:p>
    <w:p w14:paraId="7B21BCD2" w14:textId="1AB2F092" w:rsidR="009D0B49" w:rsidRPr="00F84899" w:rsidRDefault="009D0B49" w:rsidP="009D0B49">
      <w:pPr>
        <w:widowControl/>
        <w:spacing w:after="240"/>
        <w:rPr>
          <w:rFonts w:eastAsia="Calibri" w:cs="Arial"/>
          <w:szCs w:val="22"/>
          <w:lang w:bidi="ar-SA"/>
        </w:rPr>
      </w:pPr>
      <w:r w:rsidRPr="00F84899">
        <w:rPr>
          <w:rFonts w:eastAsia="Calibri" w:cs="Arial"/>
          <w:szCs w:val="22"/>
          <w:lang w:bidi="ar-SA"/>
        </w:rPr>
        <w:t>World Health Organisation (WHO) (1974)</w:t>
      </w:r>
      <w:r w:rsidRPr="0085042A">
        <w:rPr>
          <w:rFonts w:eastAsia="Calibri"/>
        </w:rPr>
        <w:t xml:space="preserve"> </w:t>
      </w:r>
      <w:r w:rsidRPr="00F84899">
        <w:rPr>
          <w:rFonts w:eastAsia="Calibri" w:cs="Arial"/>
          <w:szCs w:val="22"/>
          <w:lang w:bidi="ar-SA"/>
        </w:rPr>
        <w:t>Toxicological evaluation of some food additives including anticaking agents, antimicrobials, antioxidants, emulsifiers and thickening agents. WHO Food Additives Series No. 5, World Health Organisation, Geneva.</w:t>
      </w:r>
    </w:p>
    <w:p w14:paraId="50A3B900" w14:textId="7BAAE19E" w:rsidR="000F53D4" w:rsidRPr="00F84899" w:rsidRDefault="000F53D4" w:rsidP="000F53D4">
      <w:pPr>
        <w:widowControl/>
        <w:spacing w:after="240"/>
        <w:rPr>
          <w:rFonts w:eastAsia="Calibri" w:cs="Arial"/>
          <w:szCs w:val="22"/>
          <w:lang w:bidi="ar-SA"/>
        </w:rPr>
      </w:pPr>
      <w:r w:rsidRPr="00F84899">
        <w:rPr>
          <w:rFonts w:eastAsia="Calibri" w:cs="Arial"/>
          <w:szCs w:val="22"/>
          <w:lang w:bidi="ar-SA"/>
        </w:rPr>
        <w:t>World Health Organisation (WHO) (1985) Guidelines for The Study of Dietary exposures to Chemical Contaminants. WHO Offset Publication. Report No. 87, World Health Organisation, Geneva</w:t>
      </w:r>
      <w:r w:rsidR="0085042A" w:rsidRPr="00F84899">
        <w:rPr>
          <w:rFonts w:eastAsia="Calibri" w:cs="Arial"/>
          <w:szCs w:val="22"/>
          <w:lang w:bidi="ar-SA"/>
        </w:rPr>
        <w:t>.</w:t>
      </w:r>
    </w:p>
    <w:p w14:paraId="1101DEB5" w14:textId="061E897E" w:rsidR="0063232D" w:rsidRPr="00F84899" w:rsidRDefault="0063232D" w:rsidP="000F53D4">
      <w:pPr>
        <w:widowControl/>
        <w:spacing w:after="240"/>
        <w:rPr>
          <w:rFonts w:eastAsia="Calibri" w:cs="Arial"/>
          <w:szCs w:val="22"/>
          <w:lang w:bidi="ar-SA"/>
        </w:rPr>
      </w:pPr>
      <w:r w:rsidRPr="00F84899">
        <w:rPr>
          <w:rFonts w:eastAsia="Calibri" w:cs="Arial"/>
          <w:szCs w:val="22"/>
          <w:lang w:bidi="ar-SA"/>
        </w:rPr>
        <w:t xml:space="preserve">World Health Organisation (WHO) (2002) Safety evaluation of certain food additives and contaminants. Aliphatic acyclic diols, triols and related substances. WHO Food Additives Series No. 48, World Health Organisation, Geneva. </w:t>
      </w:r>
    </w:p>
    <w:p w14:paraId="1A476800" w14:textId="19202356" w:rsidR="00284E86" w:rsidRPr="00F84899" w:rsidRDefault="00284E86" w:rsidP="000F53D4">
      <w:pPr>
        <w:widowControl/>
        <w:spacing w:after="240"/>
        <w:rPr>
          <w:rFonts w:eastAsia="Calibri" w:cs="Arial"/>
          <w:szCs w:val="22"/>
          <w:lang w:bidi="ar-SA"/>
        </w:rPr>
      </w:pPr>
      <w:r w:rsidRPr="00F84899">
        <w:rPr>
          <w:rFonts w:eastAsia="Calibri" w:cs="Arial"/>
          <w:szCs w:val="22"/>
          <w:lang w:bidi="ar-SA"/>
        </w:rPr>
        <w:t>World</w:t>
      </w:r>
      <w:r>
        <w:rPr>
          <w:rFonts w:eastAsia="Calibri" w:cs="Arial"/>
          <w:szCs w:val="22"/>
          <w:lang w:bidi="ar-SA"/>
        </w:rPr>
        <w:t xml:space="preserve"> Health Organisation (WHO) (2019</w:t>
      </w:r>
      <w:r w:rsidRPr="00F84899">
        <w:rPr>
          <w:rFonts w:eastAsia="Calibri" w:cs="Arial"/>
          <w:szCs w:val="22"/>
          <w:lang w:bidi="ar-SA"/>
        </w:rPr>
        <w:t xml:space="preserve">) </w:t>
      </w:r>
      <w:r w:rsidRPr="00284E86">
        <w:rPr>
          <w:rFonts w:eastAsia="Calibri" w:cs="Arial"/>
          <w:szCs w:val="22"/>
          <w:lang w:bidi="ar-SA"/>
        </w:rPr>
        <w:t>Critically important an</w:t>
      </w:r>
      <w:r>
        <w:rPr>
          <w:rFonts w:eastAsia="Calibri" w:cs="Arial"/>
          <w:szCs w:val="22"/>
          <w:lang w:bidi="ar-SA"/>
        </w:rPr>
        <w:t>timicrobials for human medicine</w:t>
      </w:r>
      <w:r w:rsidRPr="00284E86">
        <w:rPr>
          <w:rFonts w:eastAsia="Calibri" w:cs="Arial"/>
          <w:szCs w:val="22"/>
          <w:lang w:bidi="ar-SA"/>
        </w:rPr>
        <w:t>: 6th revision</w:t>
      </w:r>
      <w:r>
        <w:rPr>
          <w:rFonts w:eastAsia="Calibri" w:cs="Arial"/>
          <w:szCs w:val="22"/>
          <w:lang w:bidi="ar-SA"/>
        </w:rPr>
        <w:t xml:space="preserve">. Available from: </w:t>
      </w:r>
      <w:hyperlink r:id="rId27" w:history="1">
        <w:r w:rsidRPr="00543A71">
          <w:rPr>
            <w:rStyle w:val="Hyperlink"/>
            <w:rFonts w:eastAsia="Calibri" w:cs="Arial"/>
            <w:szCs w:val="22"/>
            <w:lang w:bidi="ar-SA"/>
          </w:rPr>
          <w:t>www.who.int/publications/i/item/9789241515528</w:t>
        </w:r>
      </w:hyperlink>
      <w:r>
        <w:rPr>
          <w:rFonts w:eastAsia="Calibri" w:cs="Arial"/>
          <w:szCs w:val="22"/>
          <w:lang w:bidi="ar-SA"/>
        </w:rPr>
        <w:t>. Accessed 20 January 2022.</w:t>
      </w:r>
    </w:p>
    <w:p w14:paraId="3F4826AE" w14:textId="309106F4" w:rsidR="00F8483E" w:rsidRPr="00F84899" w:rsidRDefault="00F8483E" w:rsidP="000F53D4">
      <w:pPr>
        <w:widowControl/>
        <w:spacing w:after="240"/>
        <w:rPr>
          <w:rFonts w:eastAsia="Calibri" w:cs="Arial"/>
          <w:szCs w:val="22"/>
          <w:lang w:bidi="ar-SA"/>
        </w:rPr>
      </w:pPr>
      <w:r w:rsidRPr="00F84899">
        <w:rPr>
          <w:rFonts w:eastAsia="Calibri" w:cs="Arial"/>
          <w:szCs w:val="22"/>
          <w:lang w:bidi="ar-SA"/>
        </w:rPr>
        <w:t xml:space="preserve">Yamaguchi T, Yamashita Y (1979) </w:t>
      </w:r>
      <w:r w:rsidR="00612A77" w:rsidRPr="00F84899">
        <w:rPr>
          <w:rFonts w:eastAsia="Calibri" w:cs="Arial"/>
          <w:szCs w:val="22"/>
          <w:lang w:bidi="ar-SA"/>
        </w:rPr>
        <w:t>Mutagenic activity of autoxidised linolenic and linoleic acid. Agric Biol Chem 43(10):2225-2226.</w:t>
      </w:r>
    </w:p>
    <w:p w14:paraId="46C4957C" w14:textId="601A4FA0" w:rsidR="0041735C" w:rsidRPr="00F84899" w:rsidRDefault="0041735C" w:rsidP="000F53D4">
      <w:pPr>
        <w:widowControl/>
        <w:spacing w:after="240"/>
        <w:rPr>
          <w:rFonts w:eastAsia="Calibri" w:cs="Arial"/>
          <w:szCs w:val="22"/>
          <w:lang w:bidi="ar-SA"/>
        </w:rPr>
      </w:pPr>
      <w:r w:rsidRPr="00F84899">
        <w:rPr>
          <w:rFonts w:eastAsia="Calibri" w:cs="Arial"/>
          <w:szCs w:val="22"/>
          <w:lang w:bidi="ar-SA"/>
        </w:rPr>
        <w:t xml:space="preserve">Yegin Y, Oh JK, Akbulut M, Taylor T (2019) Cetylpyridinium chloride produces increased zeta-potential on </w:t>
      </w:r>
      <w:r w:rsidRPr="00A25BB7">
        <w:rPr>
          <w:rFonts w:eastAsia="Calibri" w:cs="Arial"/>
          <w:i/>
          <w:szCs w:val="22"/>
          <w:lang w:bidi="ar-SA"/>
        </w:rPr>
        <w:t>Salmonella</w:t>
      </w:r>
      <w:r w:rsidRPr="00F84899">
        <w:rPr>
          <w:rFonts w:eastAsia="Calibri" w:cs="Arial"/>
          <w:szCs w:val="22"/>
          <w:lang w:bidi="ar-SA"/>
        </w:rPr>
        <w:t xml:space="preserve"> Typhimurium cells, a mechanism of the pathogen's inactivation. NPJ Science of Food 3:21. doi: 10.1038/s41538-019-0052-x.</w:t>
      </w:r>
    </w:p>
    <w:p w14:paraId="60433C73" w14:textId="4B9C07F6" w:rsidR="001845F6" w:rsidRPr="00F84899" w:rsidRDefault="001845F6" w:rsidP="000F53D4">
      <w:pPr>
        <w:widowControl/>
        <w:spacing w:after="240"/>
        <w:rPr>
          <w:rFonts w:eastAsia="Calibri" w:cs="Arial"/>
          <w:szCs w:val="22"/>
          <w:lang w:bidi="ar-SA"/>
        </w:rPr>
      </w:pPr>
      <w:r w:rsidRPr="00F84899">
        <w:rPr>
          <w:rFonts w:eastAsia="Calibri" w:cs="Arial"/>
          <w:szCs w:val="22"/>
          <w:lang w:bidi="ar-SA"/>
        </w:rPr>
        <w:t xml:space="preserve">Zeeland Chemicals Inc. (1995) </w:t>
      </w:r>
      <w:r w:rsidR="004F3222" w:rsidRPr="00F84899">
        <w:rPr>
          <w:rFonts w:eastAsia="Calibri" w:cs="Arial"/>
          <w:szCs w:val="22"/>
          <w:lang w:bidi="ar-SA"/>
        </w:rPr>
        <w:t xml:space="preserve">Cetylpyridinium chloride USP. Single dose oral toxicity study in rats/LD50 in rats. Project No. MB 95-4497 A. </w:t>
      </w:r>
    </w:p>
    <w:p w14:paraId="52CC32CC" w14:textId="00298606" w:rsidR="005F7323" w:rsidRPr="0085042A" w:rsidRDefault="005F7323" w:rsidP="005F7323">
      <w:pPr>
        <w:rPr>
          <w:lang w:bidi="ar-SA"/>
        </w:rPr>
      </w:pPr>
    </w:p>
    <w:p w14:paraId="540731C7" w14:textId="7E339002" w:rsidR="000F53D4" w:rsidRDefault="000F53D4">
      <w:pPr>
        <w:widowControl/>
        <w:rPr>
          <w:lang w:bidi="ar-SA"/>
        </w:rPr>
      </w:pPr>
      <w:r>
        <w:rPr>
          <w:lang w:bidi="ar-SA"/>
        </w:rPr>
        <w:br w:type="page"/>
      </w:r>
    </w:p>
    <w:p w14:paraId="42FF135A" w14:textId="142B687F" w:rsidR="000F53D4" w:rsidRDefault="000F53D4" w:rsidP="000F53D4">
      <w:pPr>
        <w:pStyle w:val="Heading1"/>
      </w:pPr>
      <w:bookmarkStart w:id="367" w:name="_Ref62656526"/>
      <w:bookmarkStart w:id="368" w:name="_Toc518388308"/>
      <w:bookmarkStart w:id="369" w:name="_Toc518655006"/>
      <w:bookmarkStart w:id="370" w:name="_Toc62657948"/>
      <w:bookmarkStart w:id="371" w:name="_Toc62739000"/>
      <w:bookmarkStart w:id="372" w:name="_Toc62743586"/>
      <w:bookmarkStart w:id="373" w:name="_Toc63330894"/>
      <w:bookmarkStart w:id="374" w:name="_Toc92722951"/>
      <w:bookmarkStart w:id="375" w:name="_Toc93592338"/>
      <w:bookmarkStart w:id="376" w:name="_Toc93585349"/>
      <w:bookmarkStart w:id="377" w:name="_Toc97041644"/>
      <w:r>
        <w:lastRenderedPageBreak/>
        <w:t xml:space="preserve">Appendix </w:t>
      </w:r>
      <w:fldSimple w:instr=" SEQ Appendix \* ARABIC ">
        <w:r w:rsidR="00A65698">
          <w:rPr>
            <w:noProof/>
          </w:rPr>
          <w:t>1</w:t>
        </w:r>
      </w:fldSimple>
      <w:bookmarkEnd w:id="367"/>
      <w:r>
        <w:t>: Dietary Exposure Assessments at FSANZ</w:t>
      </w:r>
      <w:bookmarkEnd w:id="368"/>
      <w:bookmarkEnd w:id="369"/>
      <w:bookmarkEnd w:id="370"/>
      <w:bookmarkEnd w:id="371"/>
      <w:bookmarkEnd w:id="372"/>
      <w:bookmarkEnd w:id="373"/>
      <w:bookmarkEnd w:id="374"/>
      <w:bookmarkEnd w:id="375"/>
      <w:bookmarkEnd w:id="376"/>
      <w:bookmarkEnd w:id="377"/>
    </w:p>
    <w:p w14:paraId="4E963657" w14:textId="77777777" w:rsidR="000F53D4" w:rsidRDefault="000F53D4" w:rsidP="000F53D4">
      <w:pPr>
        <w:rPr>
          <w:lang w:eastAsia="en-GB"/>
        </w:rPr>
      </w:pPr>
      <w:r w:rsidRPr="001C66A9">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w:t>
      </w:r>
      <w:r>
        <w:rPr>
          <w:lang w:eastAsia="en-GB"/>
        </w:rPr>
        <w:t>s is called ‘dietary modelling’, where:</w:t>
      </w:r>
    </w:p>
    <w:p w14:paraId="73AF8EDB" w14:textId="77777777" w:rsidR="000F53D4" w:rsidRPr="001C66A9" w:rsidRDefault="000F53D4" w:rsidP="00C721BD">
      <w:pPr>
        <w:rPr>
          <w:lang w:eastAsia="en-GB"/>
        </w:rPr>
      </w:pPr>
    </w:p>
    <w:p w14:paraId="31084CF0" w14:textId="77777777" w:rsidR="000F53D4" w:rsidRDefault="000F53D4" w:rsidP="000F53D4">
      <w:pPr>
        <w:jc w:val="center"/>
        <w:rPr>
          <w:i/>
          <w:lang w:eastAsia="en-GB"/>
        </w:rPr>
      </w:pPr>
      <w:r w:rsidRPr="001C66A9">
        <w:rPr>
          <w:i/>
          <w:lang w:eastAsia="en-GB"/>
        </w:rPr>
        <w:t>Dietary exposure = food chemical concentration x food consumption</w:t>
      </w:r>
    </w:p>
    <w:p w14:paraId="267C63E3" w14:textId="77777777" w:rsidR="000F53D4" w:rsidRPr="001C66A9" w:rsidRDefault="000F53D4" w:rsidP="000F53D4">
      <w:pPr>
        <w:rPr>
          <w:i/>
          <w:lang w:eastAsia="en-GB"/>
        </w:rPr>
      </w:pPr>
    </w:p>
    <w:p w14:paraId="0D10C6FF" w14:textId="77777777" w:rsidR="000F53D4" w:rsidRDefault="000F53D4" w:rsidP="000F53D4">
      <w:pPr>
        <w:rPr>
          <w:lang w:eastAsia="en-GB"/>
        </w:rPr>
      </w:pPr>
      <w:r w:rsidRPr="001C66A9">
        <w:rPr>
          <w:lang w:eastAsia="en-GB"/>
        </w:rPr>
        <w:t xml:space="preserve">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w:t>
      </w:r>
      <w:r>
        <w:rPr>
          <w:lang w:eastAsia="en-GB"/>
        </w:rPr>
        <w:t>exposure</w:t>
      </w:r>
      <w:r w:rsidRPr="001C66A9">
        <w:rPr>
          <w:lang w:eastAsia="en-GB"/>
        </w:rPr>
        <w:t xml:space="preserve">. Population summary statistics such as the mean </w:t>
      </w:r>
      <w:r>
        <w:rPr>
          <w:lang w:eastAsia="en-GB"/>
        </w:rPr>
        <w:t>exposure</w:t>
      </w:r>
      <w:r w:rsidRPr="001C66A9">
        <w:rPr>
          <w:lang w:eastAsia="en-GB"/>
        </w:rPr>
        <w:t xml:space="preserve"> or a high percentile </w:t>
      </w:r>
      <w:r>
        <w:rPr>
          <w:lang w:eastAsia="en-GB"/>
        </w:rPr>
        <w:t>exposure</w:t>
      </w:r>
      <w:r w:rsidRPr="001C66A9">
        <w:rPr>
          <w:lang w:eastAsia="en-GB"/>
        </w:rPr>
        <w:t xml:space="preserve"> are derived from the ranked individual person’s </w:t>
      </w:r>
      <w:r>
        <w:rPr>
          <w:lang w:eastAsia="en-GB"/>
        </w:rPr>
        <w:t>exposure</w:t>
      </w:r>
      <w:r w:rsidRPr="001C66A9">
        <w:rPr>
          <w:lang w:eastAsia="en-GB"/>
        </w:rPr>
        <w:t>s from the nutrition survey.</w:t>
      </w:r>
    </w:p>
    <w:p w14:paraId="57AEDBB5" w14:textId="77777777" w:rsidR="000F53D4" w:rsidRPr="001C66A9" w:rsidRDefault="000F53D4" w:rsidP="000F53D4">
      <w:pPr>
        <w:rPr>
          <w:lang w:eastAsia="en-GB"/>
        </w:rPr>
      </w:pPr>
    </w:p>
    <w:p w14:paraId="6A2F9BFF" w14:textId="3CEB9F13" w:rsidR="000F53D4" w:rsidRDefault="000F53D4" w:rsidP="000F53D4">
      <w:r w:rsidRPr="001C66A9">
        <w:t>An overview of how dietary e</w:t>
      </w:r>
      <w:r>
        <w:t>xposure</w:t>
      </w:r>
      <w:r w:rsidRPr="001C66A9">
        <w:t xml:space="preserve"> assessments are conducted and their place in the FSANZ Risk Analysis Process is provided on the FSANZ website at:</w:t>
      </w:r>
      <w:r>
        <w:t xml:space="preserve"> </w:t>
      </w:r>
      <w:hyperlink r:id="rId28" w:history="1">
        <w:r w:rsidRPr="001C66A9">
          <w:rPr>
            <w:rStyle w:val="Hyperlink"/>
          </w:rPr>
          <w:t>http://www.foodstandards.gov.au/science/riskanalysis/Pages/default.aspx</w:t>
        </w:r>
      </w:hyperlink>
      <w:r w:rsidRPr="001C66A9">
        <w:t xml:space="preserve"> </w:t>
      </w:r>
    </w:p>
    <w:p w14:paraId="3F807F65" w14:textId="77777777" w:rsidR="000F53D4" w:rsidRPr="001C66A9" w:rsidRDefault="000F53D4" w:rsidP="000F53D4"/>
    <w:p w14:paraId="3FA425E6" w14:textId="77777777" w:rsidR="000F53D4" w:rsidRPr="001C66A9" w:rsidRDefault="000F53D4" w:rsidP="000F53D4">
      <w:r w:rsidRPr="001C66A9">
        <w:rPr>
          <w:lang w:eastAsia="en-GB"/>
        </w:rPr>
        <w:t xml:space="preserve">FSANZ has developed a custom-built computer program ‘Harvest’ to calculate dietary exposures. Harvest replaces the program ‘DIAMOND’ that </w:t>
      </w:r>
      <w:r>
        <w:rPr>
          <w:lang w:eastAsia="en-GB"/>
        </w:rPr>
        <w:t>had</w:t>
      </w:r>
      <w:r w:rsidRPr="001C66A9">
        <w:rPr>
          <w:lang w:eastAsia="en-GB"/>
        </w:rPr>
        <w:t xml:space="preserve"> been used by FSANZ for many years. Harvest has been designed to replicate the calculations that occurred within DIAMOND using a different software package.</w:t>
      </w:r>
    </w:p>
    <w:p w14:paraId="174ECB17" w14:textId="77777777" w:rsidR="000F53D4" w:rsidRPr="001C66A9" w:rsidRDefault="000F53D4" w:rsidP="000F53D4"/>
    <w:p w14:paraId="44D1DF5D" w14:textId="3642664F" w:rsidR="000F53D4" w:rsidRPr="001C66A9" w:rsidRDefault="000F53D4" w:rsidP="000F53D4">
      <w:r w:rsidRPr="001C66A9">
        <w:t xml:space="preserve">Further detailed information on conducting dietary exposure assessments at FSANZ is provided in </w:t>
      </w:r>
      <w:r w:rsidRPr="001C66A9">
        <w:rPr>
          <w:i/>
        </w:rPr>
        <w:t xml:space="preserve">Principles and Practices of Dietary Exposure Assessment for Food Regulatory Purposes </w:t>
      </w:r>
      <w:r w:rsidRPr="001C66A9">
        <w:t xml:space="preserve">(FSANZ 2009), available at: </w:t>
      </w:r>
      <w:hyperlink r:id="rId29" w:history="1">
        <w:r w:rsidRPr="001C66A9">
          <w:rPr>
            <w:rStyle w:val="Hyperlink"/>
          </w:rPr>
          <w:t>http://www.foodstandards.gov.au/science/exposure/documents/Principles%20_%20practices%20exposure%20assessment%202009.pdf</w:t>
        </w:r>
      </w:hyperlink>
      <w:r w:rsidRPr="001C66A9">
        <w:t xml:space="preserve"> </w:t>
      </w:r>
    </w:p>
    <w:p w14:paraId="4272BA7E" w14:textId="77777777" w:rsidR="000F53D4" w:rsidRPr="001C66A9" w:rsidRDefault="000F53D4" w:rsidP="00D15757">
      <w:pPr>
        <w:pStyle w:val="Heading2"/>
      </w:pPr>
      <w:bookmarkStart w:id="378" w:name="_Toc256582725"/>
      <w:bookmarkStart w:id="379" w:name="_Toc360028638"/>
      <w:bookmarkStart w:id="380" w:name="_Toc415041937"/>
      <w:bookmarkStart w:id="381" w:name="_Toc494292566"/>
      <w:bookmarkStart w:id="382" w:name="_Toc508119311"/>
      <w:bookmarkStart w:id="383" w:name="_Toc516668856"/>
      <w:bookmarkStart w:id="384" w:name="_Toc517709909"/>
      <w:bookmarkStart w:id="385" w:name="_Toc518388309"/>
      <w:bookmarkStart w:id="386" w:name="_Toc518655007"/>
      <w:bookmarkStart w:id="387" w:name="_Toc62657949"/>
      <w:bookmarkStart w:id="388" w:name="_Toc62739001"/>
      <w:bookmarkStart w:id="389" w:name="_Toc62743587"/>
      <w:bookmarkStart w:id="390" w:name="_Toc63330895"/>
      <w:bookmarkStart w:id="391" w:name="_Toc92722952"/>
      <w:bookmarkStart w:id="392" w:name="_Toc93592339"/>
      <w:bookmarkStart w:id="393" w:name="_Toc93585350"/>
      <w:bookmarkStart w:id="394" w:name="_Toc97041645"/>
      <w:r w:rsidRPr="001C66A9">
        <w:t>A1.1</w:t>
      </w:r>
      <w:r w:rsidRPr="001C66A9">
        <w:tab/>
        <w:t>Food consumption data used</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6694718" w14:textId="5F7E7D9B" w:rsidR="000F53D4" w:rsidRPr="00BC485A" w:rsidRDefault="000F53D4" w:rsidP="000F53D4">
      <w:r w:rsidRPr="00BC485A">
        <w:t xml:space="preserve">The most recent food consumption data available were used to estimate </w:t>
      </w:r>
      <w:r w:rsidR="00257943">
        <w:rPr>
          <w:lang w:eastAsia="en-AU" w:bidi="ar-SA"/>
        </w:rPr>
        <w:t xml:space="preserve">CPC and propylene glycol </w:t>
      </w:r>
      <w:r>
        <w:t xml:space="preserve">dietary exposures </w:t>
      </w:r>
      <w:r w:rsidRPr="00BC485A">
        <w:t>for the Australian and New Zealand populations. The national nutrition survey data used for these assessments were:</w:t>
      </w:r>
    </w:p>
    <w:p w14:paraId="4FD93CF5" w14:textId="77777777" w:rsidR="000F53D4" w:rsidRPr="00BC485A" w:rsidRDefault="000F53D4" w:rsidP="000F53D4">
      <w:pPr>
        <w:pStyle w:val="FSBullet1"/>
      </w:pPr>
      <w:r w:rsidRPr="00BC485A">
        <w:t>The 2011-12 Australian National Nutrition and Physical Activity Survey (2011</w:t>
      </w:r>
      <w:r>
        <w:t>-12</w:t>
      </w:r>
      <w:r w:rsidRPr="00BC485A">
        <w:t> NNPAS)</w:t>
      </w:r>
    </w:p>
    <w:p w14:paraId="5C0469A7" w14:textId="77777777" w:rsidR="000F53D4" w:rsidRPr="00BC485A" w:rsidRDefault="000F53D4" w:rsidP="000F53D4">
      <w:pPr>
        <w:pStyle w:val="FSBullet1"/>
      </w:pPr>
      <w:r w:rsidRPr="00BC485A">
        <w:t>The 2002 New Zealand National Children’s Nutrition Survey (2002 NZ</w:t>
      </w:r>
      <w:r>
        <w:t xml:space="preserve"> C</w:t>
      </w:r>
      <w:r w:rsidRPr="00BC485A">
        <w:t>NS)</w:t>
      </w:r>
    </w:p>
    <w:p w14:paraId="30562607" w14:textId="77777777" w:rsidR="000F53D4" w:rsidRPr="00BC485A" w:rsidRDefault="000F53D4" w:rsidP="000F53D4">
      <w:pPr>
        <w:pStyle w:val="FSBullet1"/>
      </w:pPr>
      <w:r w:rsidRPr="00BC485A">
        <w:t>The 2008-09 New Zealand Adult Nutrition Survey (2008 NZ</w:t>
      </w:r>
      <w:r>
        <w:t xml:space="preserve"> </w:t>
      </w:r>
      <w:r w:rsidRPr="00BC485A">
        <w:t>ANS).</w:t>
      </w:r>
    </w:p>
    <w:p w14:paraId="73FDA5C5" w14:textId="77777777" w:rsidR="000F53D4" w:rsidRPr="00BC485A" w:rsidRDefault="000F53D4" w:rsidP="000F53D4"/>
    <w:p w14:paraId="64CD5E7D" w14:textId="2C5BA657" w:rsidR="000F53D4" w:rsidRDefault="000F53D4" w:rsidP="000F53D4">
      <w:pPr>
        <w:rPr>
          <w:lang w:eastAsia="en-AU"/>
        </w:rPr>
      </w:pPr>
      <w:r w:rsidRPr="00BC485A">
        <w:t xml:space="preserve">The design of each of these surveys varies somewhat and key attributes of each are set out below. </w:t>
      </w:r>
      <w:r w:rsidRPr="00BC485A">
        <w:rPr>
          <w:lang w:eastAsia="en-AU"/>
        </w:rPr>
        <w:t xml:space="preserve">Further information on the </w:t>
      </w:r>
      <w:r>
        <w:rPr>
          <w:lang w:eastAsia="en-AU"/>
        </w:rPr>
        <w:t>n</w:t>
      </w:r>
      <w:r w:rsidRPr="00BC485A">
        <w:rPr>
          <w:lang w:eastAsia="en-AU"/>
        </w:rPr>
        <w:t xml:space="preserve">ational </w:t>
      </w:r>
      <w:r>
        <w:rPr>
          <w:lang w:eastAsia="en-AU"/>
        </w:rPr>
        <w:t>n</w:t>
      </w:r>
      <w:r w:rsidRPr="00BC485A">
        <w:rPr>
          <w:lang w:eastAsia="en-AU"/>
        </w:rPr>
        <w:t xml:space="preserve">utrition </w:t>
      </w:r>
      <w:r>
        <w:rPr>
          <w:lang w:eastAsia="en-AU"/>
        </w:rPr>
        <w:t>s</w:t>
      </w:r>
      <w:r w:rsidRPr="00BC485A">
        <w:rPr>
          <w:lang w:eastAsia="en-AU"/>
        </w:rPr>
        <w:t xml:space="preserve">urveys used to conduct dietary exposure assessments is available on the FSANZ website at </w:t>
      </w:r>
      <w:hyperlink r:id="rId30" w:history="1">
        <w:r w:rsidRPr="00BC485A">
          <w:rPr>
            <w:color w:val="3333FF"/>
            <w:u w:val="single"/>
            <w:lang w:eastAsia="en-AU"/>
          </w:rPr>
          <w:t>http://www.foodstandards.gov.au/science/exposure/Pages/dietaryexposureandin4438.aspx</w:t>
        </w:r>
      </w:hyperlink>
      <w:r w:rsidRPr="00BC485A">
        <w:rPr>
          <w:lang w:eastAsia="en-AU"/>
        </w:rPr>
        <w:t>.</w:t>
      </w:r>
    </w:p>
    <w:p w14:paraId="35AEDF37" w14:textId="77777777" w:rsidR="000F53D4" w:rsidRPr="00BC485A" w:rsidRDefault="000F53D4" w:rsidP="000F53D4">
      <w:pPr>
        <w:rPr>
          <w:i/>
          <w:highlight w:val="yellow"/>
        </w:rPr>
      </w:pPr>
    </w:p>
    <w:p w14:paraId="10B619D9" w14:textId="77777777" w:rsidR="000F53D4" w:rsidRDefault="000F53D4" w:rsidP="0081797C">
      <w:pPr>
        <w:pStyle w:val="Heading3"/>
      </w:pPr>
      <w:bookmarkStart w:id="395" w:name="_Toc415041938"/>
      <w:bookmarkStart w:id="396" w:name="_Toc494292567"/>
      <w:bookmarkStart w:id="397" w:name="_Toc518655008"/>
      <w:bookmarkStart w:id="398" w:name="_Toc62657950"/>
      <w:bookmarkStart w:id="399" w:name="_Toc62739002"/>
      <w:bookmarkStart w:id="400" w:name="_Toc62743588"/>
      <w:bookmarkStart w:id="401" w:name="_Toc63330896"/>
      <w:bookmarkStart w:id="402" w:name="_Toc92722953"/>
      <w:bookmarkStart w:id="403" w:name="_Toc93592340"/>
      <w:bookmarkStart w:id="404" w:name="_Toc93585351"/>
      <w:bookmarkStart w:id="405" w:name="_Toc97041646"/>
      <w:bookmarkStart w:id="406" w:name="_Toc508119312"/>
      <w:bookmarkStart w:id="407" w:name="_Toc516668857"/>
      <w:bookmarkStart w:id="408" w:name="_Toc517709910"/>
      <w:bookmarkStart w:id="409" w:name="_Toc518388310"/>
      <w:r w:rsidRPr="0033168F">
        <w:lastRenderedPageBreak/>
        <w:t>A1.1.1</w:t>
      </w:r>
      <w:bookmarkEnd w:id="395"/>
      <w:bookmarkEnd w:id="396"/>
      <w:r w:rsidRPr="0033168F">
        <w:tab/>
        <w:t xml:space="preserve">2011–12 Australian National Nutrition and Physical Activity Survey (2011-12 </w:t>
      </w:r>
      <w:r>
        <w:t>NNPAS)</w:t>
      </w:r>
      <w:bookmarkEnd w:id="397"/>
      <w:bookmarkEnd w:id="398"/>
      <w:bookmarkEnd w:id="399"/>
      <w:bookmarkEnd w:id="400"/>
      <w:bookmarkEnd w:id="401"/>
      <w:bookmarkEnd w:id="402"/>
      <w:bookmarkEnd w:id="403"/>
      <w:bookmarkEnd w:id="404"/>
      <w:bookmarkEnd w:id="405"/>
    </w:p>
    <w:bookmarkEnd w:id="406"/>
    <w:bookmarkEnd w:id="407"/>
    <w:bookmarkEnd w:id="408"/>
    <w:bookmarkEnd w:id="409"/>
    <w:p w14:paraId="350A5DA5" w14:textId="0397055B" w:rsidR="000F53D4" w:rsidRPr="0033168F" w:rsidRDefault="000F53D4" w:rsidP="000F53D4">
      <w:pPr>
        <w:keepLines/>
      </w:pPr>
      <w:r w:rsidRPr="0033168F">
        <w:t xml:space="preserve">The 2011–12 Australian National Nutrition and Physical Activity Survey (2011-12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w:t>
      </w:r>
      <w:r>
        <w:t xml:space="preserve">(n=7,735) </w:t>
      </w:r>
      <w:r w:rsidRPr="0033168F">
        <w:t xml:space="preserve">also completing a second 24-hour recall on a second, non-consecutive day. The data were collected from May 2011 to June 2012 (with no enumeration between August and September 2011 due to the Census). Only those respondents who had two days of food consumption data were used to estimate </w:t>
      </w:r>
      <w:r w:rsidR="00257943" w:rsidRPr="00257943">
        <w:rPr>
          <w:lang w:eastAsia="en-AU" w:bidi="ar-SA"/>
        </w:rPr>
        <w:t xml:space="preserve"> </w:t>
      </w:r>
      <w:r w:rsidR="00257943">
        <w:rPr>
          <w:lang w:eastAsia="en-AU" w:bidi="ar-SA"/>
        </w:rPr>
        <w:t>CPC and propylene glycol</w:t>
      </w:r>
      <w:r w:rsidR="00257943">
        <w:t xml:space="preserve"> </w:t>
      </w:r>
      <w:r w:rsidRPr="0033168F">
        <w:t>dietary exposures for this assessment. T</w:t>
      </w:r>
      <w:r w:rsidRPr="0033168F">
        <w:rPr>
          <w:lang w:eastAsia="en-AU"/>
        </w:rPr>
        <w:t xml:space="preserve">he </w:t>
      </w:r>
      <w:r>
        <w:rPr>
          <w:lang w:eastAsia="en-AU"/>
        </w:rPr>
        <w:t>Day 1 and 2</w:t>
      </w:r>
      <w:r w:rsidRPr="0033168F">
        <w:rPr>
          <w:lang w:eastAsia="en-AU"/>
        </w:rPr>
        <w:t xml:space="preserve"> average provides the best estimates of</w:t>
      </w:r>
      <w:r w:rsidRPr="0033168F" w:rsidDel="00257943">
        <w:rPr>
          <w:lang w:eastAsia="en-AU"/>
        </w:rPr>
        <w:t xml:space="preserve"> </w:t>
      </w:r>
      <w:r w:rsidR="00257943">
        <w:rPr>
          <w:lang w:eastAsia="en-AU" w:bidi="ar-SA"/>
        </w:rPr>
        <w:t xml:space="preserve">CPC and propylene glycol </w:t>
      </w:r>
      <w:r w:rsidRPr="0033168F">
        <w:t>dietary</w:t>
      </w:r>
      <w:r w:rsidRPr="0033168F">
        <w:rPr>
          <w:lang w:eastAsia="en-AU"/>
        </w:rPr>
        <w:t xml:space="preserve"> </w:t>
      </w:r>
      <w:r>
        <w:rPr>
          <w:lang w:eastAsia="en-AU"/>
        </w:rPr>
        <w:t>exposure</w:t>
      </w:r>
      <w:r w:rsidRPr="0033168F">
        <w:rPr>
          <w:lang w:eastAsia="en-AU"/>
        </w:rPr>
        <w:t xml:space="preserve">s for Australians aged 2 years and above. </w:t>
      </w:r>
      <w:r w:rsidRPr="0033168F">
        <w:t xml:space="preserve">Consumption and respondent data from the survey were incorporated into the Harvest program from the Confidentialised Unit Record Files (CURF) data set </w:t>
      </w:r>
      <w:r w:rsidRPr="0033168F">
        <w:fldChar w:fldCharType="begin"/>
      </w:r>
      <w:r w:rsidRPr="0033168F">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33168F">
        <w:fldChar w:fldCharType="separate"/>
      </w:r>
      <w:r w:rsidRPr="0033168F">
        <w:rPr>
          <w:noProof/>
        </w:rPr>
        <w:t>(ABS 2014)</w:t>
      </w:r>
      <w:r w:rsidRPr="0033168F">
        <w:fldChar w:fldCharType="end"/>
      </w:r>
      <w:r w:rsidRPr="0033168F">
        <w:t>.</w:t>
      </w:r>
      <w:r>
        <w:t xml:space="preserve"> These data were weighted during the calculations undertaken in Harvest.</w:t>
      </w:r>
    </w:p>
    <w:p w14:paraId="69B7452D" w14:textId="77777777" w:rsidR="000F53D4" w:rsidRPr="00BC485A" w:rsidRDefault="000F53D4" w:rsidP="0081797C">
      <w:pPr>
        <w:pStyle w:val="Heading3"/>
      </w:pPr>
      <w:bookmarkStart w:id="410" w:name="_Toc434566820"/>
      <w:bookmarkStart w:id="411" w:name="_Toc508119313"/>
      <w:bookmarkStart w:id="412" w:name="_Toc516668858"/>
      <w:bookmarkStart w:id="413" w:name="_Toc517709911"/>
      <w:bookmarkStart w:id="414" w:name="_Toc518388311"/>
      <w:bookmarkStart w:id="415" w:name="_Toc518655009"/>
      <w:bookmarkStart w:id="416" w:name="_Toc62657951"/>
      <w:bookmarkStart w:id="417" w:name="_Toc62739003"/>
      <w:bookmarkStart w:id="418" w:name="_Toc62743589"/>
      <w:bookmarkStart w:id="419" w:name="_Toc63330897"/>
      <w:bookmarkStart w:id="420" w:name="_Toc92722954"/>
      <w:bookmarkStart w:id="421" w:name="_Toc93592341"/>
      <w:bookmarkStart w:id="422" w:name="_Toc93585352"/>
      <w:bookmarkStart w:id="423" w:name="_Toc97041647"/>
      <w:r>
        <w:t>A1.1.2</w:t>
      </w:r>
      <w:r>
        <w:tab/>
      </w:r>
      <w:r w:rsidRPr="00BC485A">
        <w:t>2002 New Zealand National Children’s Nutrition Survey (2002 NZ</w:t>
      </w:r>
      <w:r>
        <w:t xml:space="preserve"> C</w:t>
      </w:r>
      <w:r w:rsidRPr="00BC485A">
        <w:t>NS)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6E5BF11" w14:textId="77777777" w:rsidR="000F53D4" w:rsidRPr="00BC485A" w:rsidRDefault="000F53D4" w:rsidP="000F53D4">
      <w:pPr>
        <w:autoSpaceDE w:val="0"/>
        <w:autoSpaceDN w:val="0"/>
        <w:adjustRightInd w:val="0"/>
      </w:pPr>
      <w:r w:rsidRPr="00BC485A">
        <w:t>The 2002 NZ</w:t>
      </w:r>
      <w:r>
        <w:t xml:space="preserve"> C</w:t>
      </w:r>
      <w:r w:rsidRPr="00BC485A">
        <w:t xml:space="preserve">NS 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w:t>
      </w:r>
      <w:r w:rsidRPr="00BC485A">
        <w:rPr>
          <w:lang w:eastAsia="en-AU"/>
        </w:rPr>
        <w:t xml:space="preserve">Only the Day 1 24-hour recall data for all respondents (excluding supplements) were used for this assessment. </w:t>
      </w:r>
      <w:r w:rsidRPr="00BC485A">
        <w:t xml:space="preserve">These data were weighted </w:t>
      </w:r>
      <w:r>
        <w:t>during the calculations undertaken</w:t>
      </w:r>
      <w:r w:rsidRPr="00BC485A">
        <w:t xml:space="preserve"> in Harvest.</w:t>
      </w:r>
    </w:p>
    <w:p w14:paraId="26DFC259" w14:textId="77777777" w:rsidR="000F53D4" w:rsidRPr="00444BC0" w:rsidRDefault="000F53D4" w:rsidP="0081797C">
      <w:pPr>
        <w:pStyle w:val="Heading3"/>
        <w:rPr>
          <w:rFonts w:eastAsia="Calibri"/>
        </w:rPr>
      </w:pPr>
      <w:bookmarkStart w:id="424" w:name="_Toc434566821"/>
      <w:bookmarkStart w:id="425" w:name="_Toc508119314"/>
      <w:bookmarkStart w:id="426" w:name="_Toc516668859"/>
      <w:bookmarkStart w:id="427" w:name="_Toc517709912"/>
      <w:bookmarkStart w:id="428" w:name="_Toc518388312"/>
      <w:bookmarkStart w:id="429" w:name="_Toc518655010"/>
      <w:bookmarkStart w:id="430" w:name="_Toc62657952"/>
      <w:bookmarkStart w:id="431" w:name="_Toc62739004"/>
      <w:bookmarkStart w:id="432" w:name="_Toc62743590"/>
      <w:bookmarkStart w:id="433" w:name="_Toc63330898"/>
      <w:bookmarkStart w:id="434" w:name="_Toc92722955"/>
      <w:bookmarkStart w:id="435" w:name="_Toc93592342"/>
      <w:bookmarkStart w:id="436" w:name="_Toc93585353"/>
      <w:bookmarkStart w:id="437" w:name="_Toc97041648"/>
      <w:r>
        <w:rPr>
          <w:rFonts w:eastAsia="Calibri"/>
        </w:rPr>
        <w:t>A1.1.3</w:t>
      </w:r>
      <w:r>
        <w:rPr>
          <w:rFonts w:eastAsia="Calibri"/>
        </w:rPr>
        <w:tab/>
      </w:r>
      <w:r w:rsidRPr="00444BC0">
        <w:rPr>
          <w:rFonts w:eastAsia="Calibri"/>
        </w:rPr>
        <w:t>2008-09 New Zealand Adult Nutrition Survey (2008 NZ ANS)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12F9BA2" w14:textId="29D52ACB" w:rsidR="000F53D4" w:rsidRDefault="000F53D4" w:rsidP="000F53D4">
      <w:pPr>
        <w:rPr>
          <w:lang w:eastAsia="en-AU"/>
        </w:rPr>
      </w:pPr>
      <w:r w:rsidRPr="00BC485A">
        <w:rPr>
          <w:lang w:eastAsia="en-AU"/>
        </w:rPr>
        <w:t>The 2008 NZ</w:t>
      </w:r>
      <w:r>
        <w:rPr>
          <w:lang w:eastAsia="en-AU"/>
        </w:rPr>
        <w:t xml:space="preserve"> </w:t>
      </w:r>
      <w:r w:rsidRPr="00BC485A">
        <w:rPr>
          <w:lang w:eastAsia="en-AU"/>
        </w:rPr>
        <w:t xml:space="preserve">ANS provides comprehensive information on the dietary patterns of a sample of 4,721 respondents aged 15 years and above. The survey was conducted on a stratified sample over a 12-month period from October 2008 to October 2009. The survey used a </w:t>
      </w:r>
      <w:r>
        <w:rPr>
          <w:lang w:eastAsia="en-AU"/>
        </w:rPr>
        <w:t>24</w:t>
      </w:r>
      <w:r>
        <w:rPr>
          <w:lang w:eastAsia="en-AU"/>
        </w:rPr>
        <w:noBreakHyphen/>
        <w:t>h</w:t>
      </w:r>
      <w:r w:rsidRPr="00BC485A">
        <w:rPr>
          <w:lang w:eastAsia="en-AU"/>
        </w:rPr>
        <w:t>our recall methodology with 25% of respondents also completing a second 24-hour recall.</w:t>
      </w:r>
      <w:r w:rsidRPr="00BC485A">
        <w:t xml:space="preserve"> The information collected in the 2008 NZ</w:t>
      </w:r>
      <w:r>
        <w:t xml:space="preserve"> </w:t>
      </w:r>
      <w:r w:rsidRPr="00BC485A">
        <w:t xml:space="preserve">ANS included food and nutrient intakes, dietary supplement use, socio-demographics, nutrition related health, and anthropometric measures. </w:t>
      </w:r>
      <w:r w:rsidRPr="00BC485A">
        <w:rPr>
          <w:lang w:eastAsia="en-AU"/>
        </w:rPr>
        <w:t>Only the Day 1 24-hour recall data for all respondents</w:t>
      </w:r>
      <w:r>
        <w:rPr>
          <w:lang w:eastAsia="en-AU"/>
        </w:rPr>
        <w:t xml:space="preserve"> (excluding supplements)</w:t>
      </w:r>
      <w:r w:rsidRPr="00BC485A">
        <w:rPr>
          <w:lang w:eastAsia="en-AU"/>
        </w:rPr>
        <w:t xml:space="preserve"> were used for this assessment. These data were weighted </w:t>
      </w:r>
      <w:r>
        <w:rPr>
          <w:lang w:eastAsia="en-AU"/>
        </w:rPr>
        <w:t>during the calculations undertaken</w:t>
      </w:r>
      <w:r w:rsidRPr="00BC485A">
        <w:rPr>
          <w:lang w:eastAsia="en-AU"/>
        </w:rPr>
        <w:t xml:space="preserve"> in Harvest.</w:t>
      </w:r>
      <w:bookmarkStart w:id="438" w:name="_Toc360028639"/>
      <w:bookmarkEnd w:id="438"/>
    </w:p>
    <w:p w14:paraId="3155BFC1" w14:textId="77777777" w:rsidR="00C94009" w:rsidRDefault="00C94009" w:rsidP="00C94009"/>
    <w:p w14:paraId="308BF1FE" w14:textId="088354B8" w:rsidR="00930DC6" w:rsidRPr="001C66A9" w:rsidRDefault="00930DC6" w:rsidP="00D15757">
      <w:pPr>
        <w:pStyle w:val="Heading2"/>
      </w:pPr>
      <w:bookmarkStart w:id="439" w:name="_Toc92722956"/>
      <w:bookmarkStart w:id="440" w:name="_Toc93592343"/>
      <w:bookmarkStart w:id="441" w:name="_Toc93585354"/>
      <w:bookmarkStart w:id="442" w:name="_Toc97041649"/>
      <w:r w:rsidRPr="001C66A9">
        <w:t>A1.</w:t>
      </w:r>
      <w:r>
        <w:t>2</w:t>
      </w:r>
      <w:r>
        <w:tab/>
        <w:t>Poultry</w:t>
      </w:r>
      <w:r w:rsidRPr="001C66A9">
        <w:t xml:space="preserve"> consumption data</w:t>
      </w:r>
      <w:bookmarkEnd w:id="439"/>
      <w:bookmarkEnd w:id="440"/>
      <w:bookmarkEnd w:id="441"/>
      <w:bookmarkEnd w:id="442"/>
    </w:p>
    <w:p w14:paraId="001E0CF3" w14:textId="0574BA8A" w:rsidR="00ED6F98" w:rsidRDefault="0021398E" w:rsidP="000F53D4">
      <w:pPr>
        <w:rPr>
          <w:lang w:eastAsia="en-AU"/>
        </w:rPr>
      </w:pPr>
      <w:r>
        <w:rPr>
          <w:lang w:eastAsia="en-AU"/>
        </w:rPr>
        <w:t>The nutrition survey data from Australia and New Zealand were queried to determine the proportion and amount of different types of poultry that were consumed. The results are shown in Table A1.</w:t>
      </w:r>
      <w:r w:rsidR="00CD298E">
        <w:rPr>
          <w:lang w:eastAsia="en-AU"/>
        </w:rPr>
        <w:t>1</w:t>
      </w:r>
      <w:r>
        <w:rPr>
          <w:lang w:eastAsia="en-AU"/>
        </w:rPr>
        <w:t xml:space="preserve">. These results </w:t>
      </w:r>
      <w:r w:rsidR="00AA130D">
        <w:rPr>
          <w:lang w:eastAsia="en-AU"/>
        </w:rPr>
        <w:t>are based only on</w:t>
      </w:r>
      <w:r>
        <w:rPr>
          <w:lang w:eastAsia="en-AU"/>
        </w:rPr>
        <w:t xml:space="preserve"> </w:t>
      </w:r>
      <w:r w:rsidR="00AA130D">
        <w:rPr>
          <w:lang w:eastAsia="en-AU"/>
        </w:rPr>
        <w:t xml:space="preserve">where respondents reported eating a specific type of </w:t>
      </w:r>
      <w:r>
        <w:rPr>
          <w:lang w:eastAsia="en-AU"/>
        </w:rPr>
        <w:t>poultry</w:t>
      </w:r>
      <w:r w:rsidR="00AA130D">
        <w:rPr>
          <w:lang w:eastAsia="en-AU"/>
        </w:rPr>
        <w:t>;</w:t>
      </w:r>
      <w:r>
        <w:rPr>
          <w:lang w:eastAsia="en-AU"/>
        </w:rPr>
        <w:t xml:space="preserve"> they do not include meat that was reported as ‘unspecified’ type as that may have been non-poultry meats.</w:t>
      </w:r>
    </w:p>
    <w:p w14:paraId="132670FA" w14:textId="13B96BA3" w:rsidR="00930DC6" w:rsidRPr="00B748C3" w:rsidRDefault="00930DC6" w:rsidP="00930DC6">
      <w:pPr>
        <w:pStyle w:val="FSTableTitle"/>
        <w:keepNext/>
        <w:keepLines/>
      </w:pPr>
      <w:r>
        <w:lastRenderedPageBreak/>
        <w:t>Table A1.</w:t>
      </w:r>
      <w:r w:rsidR="00CD298E">
        <w:t>1</w:t>
      </w:r>
      <w:r w:rsidRPr="00B748C3">
        <w:t xml:space="preserve">: </w:t>
      </w:r>
      <w:r>
        <w:t>Proportion of consumers and consumption amounts of different types of poultry for Australian and New Zealand population groups</w:t>
      </w:r>
    </w:p>
    <w:tbl>
      <w:tblPr>
        <w:tblStyle w:val="TableGrid"/>
        <w:tblW w:w="0" w:type="auto"/>
        <w:tblLook w:val="04A0" w:firstRow="1" w:lastRow="0" w:firstColumn="1" w:lastColumn="0" w:noHBand="0" w:noVBand="1"/>
        <w:tblCaption w:val="Table A1.2: Proportion of consumers and consumption amounts of different types of poultry for Australian and New Zealand population groups"/>
        <w:tblDescription w:val="Estimated consumer mean and P90 dietary exposures to CPC for Australians aged 2 years and above and New Zealanders aged 5-14 years and 15 years and above."/>
      </w:tblPr>
      <w:tblGrid>
        <w:gridCol w:w="1540"/>
        <w:gridCol w:w="1356"/>
        <w:gridCol w:w="1585"/>
        <w:gridCol w:w="1591"/>
        <w:gridCol w:w="1591"/>
        <w:gridCol w:w="1397"/>
      </w:tblGrid>
      <w:tr w:rsidR="00ED6F98" w14:paraId="2A039593" w14:textId="77777777" w:rsidTr="006A1C46">
        <w:tc>
          <w:tcPr>
            <w:tcW w:w="1540" w:type="dxa"/>
            <w:vMerge w:val="restart"/>
            <w:vAlign w:val="bottom"/>
          </w:tcPr>
          <w:p w14:paraId="15D8C63A" w14:textId="77777777" w:rsidR="00ED6F98" w:rsidRPr="006A1C46" w:rsidRDefault="00ED6F98" w:rsidP="006A1C46">
            <w:pPr>
              <w:keepNext/>
              <w:keepLines/>
              <w:spacing w:before="60" w:after="60"/>
              <w:rPr>
                <w:b/>
              </w:rPr>
            </w:pPr>
            <w:r w:rsidRPr="006A1C46">
              <w:rPr>
                <w:b/>
              </w:rPr>
              <w:t>Country</w:t>
            </w:r>
          </w:p>
        </w:tc>
        <w:tc>
          <w:tcPr>
            <w:tcW w:w="1356" w:type="dxa"/>
            <w:vMerge w:val="restart"/>
            <w:vAlign w:val="bottom"/>
          </w:tcPr>
          <w:p w14:paraId="3839595E" w14:textId="77777777" w:rsidR="00ED6F98" w:rsidRPr="006A1C46" w:rsidRDefault="00ED6F98" w:rsidP="006A1C46">
            <w:pPr>
              <w:keepNext/>
              <w:keepLines/>
              <w:spacing w:before="60" w:after="60"/>
              <w:rPr>
                <w:b/>
              </w:rPr>
            </w:pPr>
            <w:r w:rsidRPr="006A1C46">
              <w:rPr>
                <w:b/>
              </w:rPr>
              <w:t>Population Group</w:t>
            </w:r>
          </w:p>
        </w:tc>
        <w:tc>
          <w:tcPr>
            <w:tcW w:w="1585" w:type="dxa"/>
            <w:vMerge w:val="restart"/>
            <w:vAlign w:val="bottom"/>
          </w:tcPr>
          <w:p w14:paraId="0B262AC4" w14:textId="77777777" w:rsidR="00ED6F98" w:rsidRPr="006A1C46" w:rsidRDefault="00ED6F98" w:rsidP="006A1C46">
            <w:pPr>
              <w:keepNext/>
              <w:keepLines/>
              <w:spacing w:before="60" w:after="60"/>
              <w:rPr>
                <w:b/>
              </w:rPr>
            </w:pPr>
            <w:r w:rsidRPr="006A1C46">
              <w:rPr>
                <w:b/>
              </w:rPr>
              <w:t>Poultry sub-type</w:t>
            </w:r>
          </w:p>
        </w:tc>
        <w:tc>
          <w:tcPr>
            <w:tcW w:w="1591" w:type="dxa"/>
            <w:vMerge w:val="restart"/>
            <w:vAlign w:val="bottom"/>
          </w:tcPr>
          <w:p w14:paraId="52435CD8" w14:textId="3A896CF1" w:rsidR="00ED6F98" w:rsidRPr="006A1C46" w:rsidRDefault="00ED6F98" w:rsidP="006A1C46">
            <w:pPr>
              <w:keepNext/>
              <w:keepLines/>
              <w:spacing w:before="60" w:after="60"/>
              <w:jc w:val="center"/>
              <w:rPr>
                <w:b/>
              </w:rPr>
            </w:pPr>
            <w:r w:rsidRPr="006A1C46">
              <w:rPr>
                <w:b/>
              </w:rPr>
              <w:t>Proportion consumers of poultry to respondents</w:t>
            </w:r>
            <w:r w:rsidR="003A7F5A" w:rsidRPr="006A1C46">
              <w:rPr>
                <w:b/>
              </w:rPr>
              <w:t xml:space="preserve"> (%)</w:t>
            </w:r>
          </w:p>
        </w:tc>
        <w:tc>
          <w:tcPr>
            <w:tcW w:w="2988" w:type="dxa"/>
            <w:gridSpan w:val="2"/>
            <w:vAlign w:val="bottom"/>
          </w:tcPr>
          <w:p w14:paraId="7D4DBAC8" w14:textId="372F75EC" w:rsidR="00ED6F98" w:rsidRPr="006A1C46" w:rsidRDefault="00ED6F98" w:rsidP="006A1C46">
            <w:pPr>
              <w:keepNext/>
              <w:keepLines/>
              <w:spacing w:before="60" w:after="60"/>
              <w:jc w:val="center"/>
              <w:rPr>
                <w:b/>
              </w:rPr>
            </w:pPr>
            <w:r w:rsidRPr="006A1C46">
              <w:rPr>
                <w:b/>
              </w:rPr>
              <w:t>Consumption of poultry (g/day)</w:t>
            </w:r>
          </w:p>
        </w:tc>
      </w:tr>
      <w:tr w:rsidR="00ED6F98" w14:paraId="754BDDF7" w14:textId="77777777" w:rsidTr="006A1C46">
        <w:trPr>
          <w:trHeight w:val="746"/>
        </w:trPr>
        <w:tc>
          <w:tcPr>
            <w:tcW w:w="1540" w:type="dxa"/>
            <w:vMerge/>
          </w:tcPr>
          <w:p w14:paraId="668DF93F" w14:textId="77777777" w:rsidR="00ED6F98" w:rsidRPr="006A1C46" w:rsidRDefault="00ED6F98" w:rsidP="00EF3EA1">
            <w:pPr>
              <w:keepNext/>
              <w:keepLines/>
              <w:spacing w:before="60" w:after="60"/>
              <w:rPr>
                <w:b/>
              </w:rPr>
            </w:pPr>
          </w:p>
        </w:tc>
        <w:tc>
          <w:tcPr>
            <w:tcW w:w="1356" w:type="dxa"/>
            <w:vMerge/>
          </w:tcPr>
          <w:p w14:paraId="6F9FE5B6" w14:textId="77777777" w:rsidR="00ED6F98" w:rsidRPr="006A1C46" w:rsidRDefault="00ED6F98" w:rsidP="00EF3EA1">
            <w:pPr>
              <w:keepNext/>
              <w:keepLines/>
              <w:spacing w:before="60" w:after="60"/>
              <w:rPr>
                <w:b/>
              </w:rPr>
            </w:pPr>
          </w:p>
        </w:tc>
        <w:tc>
          <w:tcPr>
            <w:tcW w:w="1585" w:type="dxa"/>
            <w:vMerge/>
          </w:tcPr>
          <w:p w14:paraId="643C72AC" w14:textId="77777777" w:rsidR="00ED6F98" w:rsidRPr="006A1C46" w:rsidRDefault="00ED6F98" w:rsidP="00EF3EA1">
            <w:pPr>
              <w:keepNext/>
              <w:keepLines/>
              <w:spacing w:before="60" w:after="60"/>
              <w:jc w:val="center"/>
              <w:rPr>
                <w:b/>
              </w:rPr>
            </w:pPr>
          </w:p>
        </w:tc>
        <w:tc>
          <w:tcPr>
            <w:tcW w:w="1591" w:type="dxa"/>
            <w:vMerge/>
          </w:tcPr>
          <w:p w14:paraId="7E081E8D" w14:textId="77777777" w:rsidR="00ED6F98" w:rsidRPr="006A1C46" w:rsidRDefault="00ED6F98" w:rsidP="00EF3EA1">
            <w:pPr>
              <w:keepNext/>
              <w:keepLines/>
              <w:spacing w:before="60" w:after="60"/>
              <w:jc w:val="center"/>
              <w:rPr>
                <w:b/>
              </w:rPr>
            </w:pPr>
          </w:p>
        </w:tc>
        <w:tc>
          <w:tcPr>
            <w:tcW w:w="1591" w:type="dxa"/>
            <w:vAlign w:val="bottom"/>
          </w:tcPr>
          <w:p w14:paraId="188900E9" w14:textId="6131F3F2" w:rsidR="00ED6F98" w:rsidRPr="006A1C46" w:rsidRDefault="00ED6F98" w:rsidP="006A1C46">
            <w:pPr>
              <w:keepNext/>
              <w:keepLines/>
              <w:spacing w:before="60" w:after="60"/>
              <w:jc w:val="center"/>
              <w:rPr>
                <w:b/>
              </w:rPr>
            </w:pPr>
            <w:r w:rsidRPr="006A1C46">
              <w:rPr>
                <w:b/>
              </w:rPr>
              <w:t xml:space="preserve">Mean – </w:t>
            </w:r>
            <w:r w:rsidR="00C97433" w:rsidRPr="006A1C46">
              <w:rPr>
                <w:b/>
              </w:rPr>
              <w:br/>
            </w:r>
            <w:r w:rsidRPr="006A1C46">
              <w:rPr>
                <w:b/>
              </w:rPr>
              <w:t>all respondents</w:t>
            </w:r>
          </w:p>
        </w:tc>
        <w:tc>
          <w:tcPr>
            <w:tcW w:w="1397" w:type="dxa"/>
            <w:vAlign w:val="bottom"/>
          </w:tcPr>
          <w:p w14:paraId="5AF49D85" w14:textId="77777777" w:rsidR="00ED6F98" w:rsidRPr="006A1C46" w:rsidRDefault="00ED6F98" w:rsidP="006A1C46">
            <w:pPr>
              <w:keepNext/>
              <w:keepLines/>
              <w:spacing w:before="60" w:after="60"/>
              <w:jc w:val="center"/>
              <w:rPr>
                <w:b/>
              </w:rPr>
            </w:pPr>
            <w:r w:rsidRPr="006A1C46">
              <w:rPr>
                <w:b/>
              </w:rPr>
              <w:t>Mean – consumers only</w:t>
            </w:r>
          </w:p>
        </w:tc>
      </w:tr>
      <w:tr w:rsidR="00EE61AC" w14:paraId="4D3349D0" w14:textId="77777777" w:rsidTr="006A1C46">
        <w:tc>
          <w:tcPr>
            <w:tcW w:w="1540" w:type="dxa"/>
            <w:vMerge w:val="restart"/>
          </w:tcPr>
          <w:p w14:paraId="7A8F4716" w14:textId="4C599308" w:rsidR="00EE61AC" w:rsidRPr="006A1C46" w:rsidRDefault="00EE61AC" w:rsidP="00EF3EA1">
            <w:pPr>
              <w:keepNext/>
              <w:keepLines/>
              <w:spacing w:before="60" w:after="60"/>
              <w:rPr>
                <w:b/>
                <w:bCs/>
              </w:rPr>
            </w:pPr>
            <w:r>
              <w:t>Australia</w:t>
            </w:r>
          </w:p>
        </w:tc>
        <w:tc>
          <w:tcPr>
            <w:tcW w:w="1356" w:type="dxa"/>
            <w:vMerge w:val="restart"/>
          </w:tcPr>
          <w:p w14:paraId="65A708A8" w14:textId="77777777" w:rsidR="00EE61AC" w:rsidRDefault="00EE61AC" w:rsidP="00EF3EA1">
            <w:pPr>
              <w:keepNext/>
              <w:keepLines/>
              <w:spacing w:before="60" w:after="60"/>
            </w:pPr>
            <w:r>
              <w:t>2 years and above</w:t>
            </w:r>
            <w:r w:rsidRPr="0015469A">
              <w:rPr>
                <w:rFonts w:cs="Arial"/>
                <w:sz w:val="20"/>
                <w:szCs w:val="20"/>
                <w:vertAlign w:val="superscript"/>
              </w:rPr>
              <w:sym w:font="Wingdings" w:char="F076"/>
            </w:r>
          </w:p>
        </w:tc>
        <w:tc>
          <w:tcPr>
            <w:tcW w:w="1585" w:type="dxa"/>
          </w:tcPr>
          <w:p w14:paraId="54040400" w14:textId="77777777" w:rsidR="00EE61AC" w:rsidRDefault="00EE61AC" w:rsidP="00EF3EA1">
            <w:pPr>
              <w:keepNext/>
              <w:keepLines/>
              <w:spacing w:before="60" w:after="60"/>
              <w:jc w:val="center"/>
            </w:pPr>
            <w:r>
              <w:t>Chicken</w:t>
            </w:r>
          </w:p>
        </w:tc>
        <w:tc>
          <w:tcPr>
            <w:tcW w:w="1591" w:type="dxa"/>
          </w:tcPr>
          <w:p w14:paraId="391A4E37" w14:textId="378C88E0" w:rsidR="00EE61AC" w:rsidRDefault="00EE61AC" w:rsidP="00EF3EA1">
            <w:pPr>
              <w:keepNext/>
              <w:keepLines/>
              <w:spacing w:before="60" w:after="60"/>
              <w:jc w:val="center"/>
            </w:pPr>
            <w:r>
              <w:t>59.6</w:t>
            </w:r>
          </w:p>
        </w:tc>
        <w:tc>
          <w:tcPr>
            <w:tcW w:w="1591" w:type="dxa"/>
          </w:tcPr>
          <w:p w14:paraId="41376222" w14:textId="2FC3B487" w:rsidR="00EE61AC" w:rsidRDefault="00EE61AC" w:rsidP="00EF3EA1">
            <w:pPr>
              <w:keepNext/>
              <w:keepLines/>
              <w:spacing w:before="60" w:after="60"/>
              <w:jc w:val="center"/>
            </w:pPr>
            <w:r>
              <w:t>57</w:t>
            </w:r>
          </w:p>
        </w:tc>
        <w:tc>
          <w:tcPr>
            <w:tcW w:w="1397" w:type="dxa"/>
          </w:tcPr>
          <w:p w14:paraId="04BC7724" w14:textId="17735A1C" w:rsidR="00EE61AC" w:rsidRDefault="00EE61AC" w:rsidP="006A1C46">
            <w:pPr>
              <w:keepNext/>
              <w:keepLines/>
              <w:tabs>
                <w:tab w:val="decimal" w:pos="295"/>
              </w:tabs>
              <w:spacing w:before="60" w:after="60"/>
              <w:jc w:val="center"/>
            </w:pPr>
            <w:r>
              <w:t>96</w:t>
            </w:r>
          </w:p>
        </w:tc>
      </w:tr>
      <w:tr w:rsidR="00EE61AC" w14:paraId="73976A32" w14:textId="77777777" w:rsidTr="006A1C46">
        <w:tc>
          <w:tcPr>
            <w:tcW w:w="1540" w:type="dxa"/>
            <w:vMerge/>
          </w:tcPr>
          <w:p w14:paraId="43A39112" w14:textId="4BAFA1D4" w:rsidR="00EE61AC" w:rsidRDefault="00EE61AC" w:rsidP="00EF3EA1">
            <w:pPr>
              <w:keepNext/>
              <w:keepLines/>
              <w:spacing w:before="60" w:after="60"/>
            </w:pPr>
          </w:p>
        </w:tc>
        <w:tc>
          <w:tcPr>
            <w:tcW w:w="1356" w:type="dxa"/>
            <w:vMerge/>
          </w:tcPr>
          <w:p w14:paraId="75013794" w14:textId="77777777" w:rsidR="00EE61AC" w:rsidRDefault="00EE61AC" w:rsidP="00EF3EA1">
            <w:pPr>
              <w:keepNext/>
              <w:keepLines/>
              <w:spacing w:before="60" w:after="60"/>
            </w:pPr>
          </w:p>
        </w:tc>
        <w:tc>
          <w:tcPr>
            <w:tcW w:w="1585" w:type="dxa"/>
          </w:tcPr>
          <w:p w14:paraId="4ABE1303" w14:textId="77777777" w:rsidR="00EE61AC" w:rsidRDefault="00EE61AC" w:rsidP="00EF3EA1">
            <w:pPr>
              <w:keepNext/>
              <w:keepLines/>
              <w:spacing w:before="60" w:after="60"/>
              <w:jc w:val="center"/>
            </w:pPr>
            <w:r>
              <w:t>Duck</w:t>
            </w:r>
          </w:p>
        </w:tc>
        <w:tc>
          <w:tcPr>
            <w:tcW w:w="1591" w:type="dxa"/>
          </w:tcPr>
          <w:p w14:paraId="78EC49CE" w14:textId="07607341" w:rsidR="00EE61AC" w:rsidRDefault="00EE61AC">
            <w:pPr>
              <w:keepNext/>
              <w:keepLines/>
              <w:spacing w:before="60" w:after="60"/>
              <w:jc w:val="center"/>
            </w:pPr>
            <w:r>
              <w:t>&lt;1</w:t>
            </w:r>
          </w:p>
        </w:tc>
        <w:tc>
          <w:tcPr>
            <w:tcW w:w="1591" w:type="dxa"/>
          </w:tcPr>
          <w:p w14:paraId="1BD85D5F" w14:textId="531A4EF4" w:rsidR="00EE61AC" w:rsidRDefault="00EE61AC">
            <w:pPr>
              <w:keepNext/>
              <w:keepLines/>
              <w:spacing w:before="60" w:after="60"/>
              <w:jc w:val="center"/>
            </w:pPr>
            <w:r>
              <w:t>&lt;1</w:t>
            </w:r>
          </w:p>
        </w:tc>
        <w:tc>
          <w:tcPr>
            <w:tcW w:w="1397" w:type="dxa"/>
          </w:tcPr>
          <w:p w14:paraId="5682D0F7" w14:textId="7395ECB8" w:rsidR="00EE61AC" w:rsidRDefault="00EE61AC" w:rsidP="006A1C46">
            <w:pPr>
              <w:keepNext/>
              <w:keepLines/>
              <w:tabs>
                <w:tab w:val="decimal" w:pos="295"/>
              </w:tabs>
              <w:spacing w:before="60" w:after="60"/>
              <w:jc w:val="center"/>
            </w:pPr>
            <w:r>
              <w:t>53</w:t>
            </w:r>
          </w:p>
        </w:tc>
      </w:tr>
      <w:tr w:rsidR="00EE61AC" w14:paraId="40177FA4" w14:textId="77777777" w:rsidTr="006A1C46">
        <w:tc>
          <w:tcPr>
            <w:tcW w:w="1540" w:type="dxa"/>
            <w:vMerge/>
          </w:tcPr>
          <w:p w14:paraId="12D1F189" w14:textId="7E8E6636" w:rsidR="00EE61AC" w:rsidRDefault="00EE61AC" w:rsidP="00EF3EA1">
            <w:pPr>
              <w:keepNext/>
              <w:keepLines/>
              <w:spacing w:before="60" w:after="60"/>
            </w:pPr>
          </w:p>
        </w:tc>
        <w:tc>
          <w:tcPr>
            <w:tcW w:w="1356" w:type="dxa"/>
            <w:vMerge/>
          </w:tcPr>
          <w:p w14:paraId="1B2BC181" w14:textId="77777777" w:rsidR="00EE61AC" w:rsidRDefault="00EE61AC" w:rsidP="00EF3EA1">
            <w:pPr>
              <w:keepNext/>
              <w:keepLines/>
              <w:spacing w:before="60" w:after="60"/>
            </w:pPr>
          </w:p>
        </w:tc>
        <w:tc>
          <w:tcPr>
            <w:tcW w:w="1585" w:type="dxa"/>
          </w:tcPr>
          <w:p w14:paraId="78AB3632" w14:textId="77777777" w:rsidR="00EE61AC" w:rsidRDefault="00EE61AC" w:rsidP="00EF3EA1">
            <w:pPr>
              <w:keepNext/>
              <w:keepLines/>
              <w:spacing w:before="60" w:after="60"/>
              <w:jc w:val="center"/>
            </w:pPr>
            <w:r>
              <w:t>Quail</w:t>
            </w:r>
          </w:p>
        </w:tc>
        <w:tc>
          <w:tcPr>
            <w:tcW w:w="1591" w:type="dxa"/>
          </w:tcPr>
          <w:p w14:paraId="5B4B0F2D" w14:textId="2F44832B" w:rsidR="00EE61AC" w:rsidRDefault="00EE61AC" w:rsidP="003A7F5A">
            <w:pPr>
              <w:keepNext/>
              <w:keepLines/>
              <w:spacing w:before="60" w:after="60"/>
              <w:jc w:val="center"/>
            </w:pPr>
            <w:r>
              <w:t>&lt;1</w:t>
            </w:r>
          </w:p>
        </w:tc>
        <w:tc>
          <w:tcPr>
            <w:tcW w:w="1591" w:type="dxa"/>
          </w:tcPr>
          <w:p w14:paraId="69922AA8" w14:textId="3C41BAED" w:rsidR="00EE61AC" w:rsidRDefault="00EE61AC" w:rsidP="00EF3EA1">
            <w:pPr>
              <w:keepNext/>
              <w:keepLines/>
              <w:spacing w:before="60" w:after="60"/>
              <w:jc w:val="center"/>
            </w:pPr>
            <w:r>
              <w:t>N/A</w:t>
            </w:r>
          </w:p>
        </w:tc>
        <w:tc>
          <w:tcPr>
            <w:tcW w:w="1397" w:type="dxa"/>
          </w:tcPr>
          <w:p w14:paraId="277B4BCB" w14:textId="2FF54CC7" w:rsidR="00EE61AC" w:rsidRDefault="00EE61AC" w:rsidP="006A1C46">
            <w:pPr>
              <w:keepNext/>
              <w:keepLines/>
              <w:tabs>
                <w:tab w:val="decimal" w:pos="295"/>
              </w:tabs>
              <w:spacing w:before="60" w:after="60"/>
              <w:jc w:val="center"/>
            </w:pPr>
            <w:r>
              <w:t>NA</w:t>
            </w:r>
          </w:p>
        </w:tc>
      </w:tr>
      <w:tr w:rsidR="00EE61AC" w14:paraId="77319294" w14:textId="77777777" w:rsidTr="006A1C46">
        <w:trPr>
          <w:trHeight w:val="369"/>
        </w:trPr>
        <w:tc>
          <w:tcPr>
            <w:tcW w:w="1540" w:type="dxa"/>
            <w:vMerge/>
          </w:tcPr>
          <w:p w14:paraId="21A9D6F6" w14:textId="7B8103DF" w:rsidR="00EE61AC" w:rsidRDefault="00EE61AC" w:rsidP="00EF3EA1">
            <w:pPr>
              <w:keepNext/>
              <w:keepLines/>
              <w:spacing w:before="60" w:after="60"/>
            </w:pPr>
          </w:p>
        </w:tc>
        <w:tc>
          <w:tcPr>
            <w:tcW w:w="1356" w:type="dxa"/>
            <w:vMerge/>
          </w:tcPr>
          <w:p w14:paraId="0BA85C09" w14:textId="77777777" w:rsidR="00EE61AC" w:rsidRDefault="00EE61AC" w:rsidP="00EF3EA1">
            <w:pPr>
              <w:keepNext/>
              <w:keepLines/>
              <w:spacing w:before="60" w:after="60"/>
            </w:pPr>
          </w:p>
        </w:tc>
        <w:tc>
          <w:tcPr>
            <w:tcW w:w="1585" w:type="dxa"/>
          </w:tcPr>
          <w:p w14:paraId="54DF6F61" w14:textId="61E0AF6F" w:rsidR="00EE61AC" w:rsidRDefault="00EE61AC" w:rsidP="00EF3EA1">
            <w:pPr>
              <w:keepNext/>
              <w:keepLines/>
              <w:spacing w:before="60" w:after="60"/>
              <w:jc w:val="center"/>
            </w:pPr>
            <w:r>
              <w:t>Turkey</w:t>
            </w:r>
          </w:p>
        </w:tc>
        <w:tc>
          <w:tcPr>
            <w:tcW w:w="1591" w:type="dxa"/>
          </w:tcPr>
          <w:p w14:paraId="1AC0B93A" w14:textId="169568F0" w:rsidR="00EE61AC" w:rsidRDefault="00EE61AC" w:rsidP="00EF3EA1">
            <w:pPr>
              <w:keepNext/>
              <w:keepLines/>
              <w:spacing w:before="60" w:after="60"/>
              <w:jc w:val="center"/>
            </w:pPr>
            <w:r>
              <w:t>1.7</w:t>
            </w:r>
          </w:p>
        </w:tc>
        <w:tc>
          <w:tcPr>
            <w:tcW w:w="1591" w:type="dxa"/>
          </w:tcPr>
          <w:p w14:paraId="6E8EA981" w14:textId="0760354A" w:rsidR="00EE61AC" w:rsidRDefault="00EE61AC" w:rsidP="00EF3EA1">
            <w:pPr>
              <w:keepNext/>
              <w:keepLines/>
              <w:spacing w:before="60" w:after="60"/>
              <w:jc w:val="center"/>
            </w:pPr>
            <w:r>
              <w:t>1</w:t>
            </w:r>
          </w:p>
        </w:tc>
        <w:tc>
          <w:tcPr>
            <w:tcW w:w="1397" w:type="dxa"/>
          </w:tcPr>
          <w:p w14:paraId="7209A5FB" w14:textId="5F57DA93" w:rsidR="00EE61AC" w:rsidRDefault="00EE61AC" w:rsidP="006A1C46">
            <w:pPr>
              <w:keepNext/>
              <w:keepLines/>
              <w:tabs>
                <w:tab w:val="decimal" w:pos="295"/>
              </w:tabs>
              <w:spacing w:before="60" w:after="60"/>
              <w:jc w:val="center"/>
            </w:pPr>
            <w:r>
              <w:t>50</w:t>
            </w:r>
          </w:p>
        </w:tc>
      </w:tr>
      <w:tr w:rsidR="00EE61AC" w14:paraId="499CCD15" w14:textId="77777777" w:rsidTr="006A1C46">
        <w:tc>
          <w:tcPr>
            <w:tcW w:w="1540" w:type="dxa"/>
            <w:vMerge w:val="restart"/>
          </w:tcPr>
          <w:p w14:paraId="608888B3" w14:textId="7E246C3B" w:rsidR="00EE61AC" w:rsidRPr="006A1C46" w:rsidRDefault="00EE61AC" w:rsidP="00ED6F98">
            <w:pPr>
              <w:keepNext/>
              <w:keepLines/>
              <w:spacing w:before="60" w:after="60"/>
              <w:rPr>
                <w:b/>
                <w:bCs/>
              </w:rPr>
            </w:pPr>
            <w:r>
              <w:t>New Zealand</w:t>
            </w:r>
          </w:p>
        </w:tc>
        <w:tc>
          <w:tcPr>
            <w:tcW w:w="1356" w:type="dxa"/>
            <w:vMerge w:val="restart"/>
          </w:tcPr>
          <w:p w14:paraId="70F117DC" w14:textId="419D5368" w:rsidR="00EE61AC" w:rsidRDefault="00EE61AC" w:rsidP="00ED6F98">
            <w:pPr>
              <w:keepNext/>
              <w:keepLines/>
              <w:spacing w:before="60" w:after="60"/>
            </w:pPr>
            <w:r>
              <w:t>5-14 years</w:t>
            </w:r>
            <w:r w:rsidRPr="0015469A">
              <w:rPr>
                <w:rFonts w:cs="Arial"/>
                <w:sz w:val="20"/>
                <w:szCs w:val="20"/>
                <w:vertAlign w:val="superscript"/>
              </w:rPr>
              <w:sym w:font="Wingdings 3" w:char="F073"/>
            </w:r>
          </w:p>
        </w:tc>
        <w:tc>
          <w:tcPr>
            <w:tcW w:w="1585" w:type="dxa"/>
          </w:tcPr>
          <w:p w14:paraId="6C2D5525" w14:textId="77777777" w:rsidR="00EE61AC" w:rsidRDefault="00EE61AC" w:rsidP="00EF3EA1">
            <w:pPr>
              <w:keepNext/>
              <w:keepLines/>
              <w:spacing w:before="60" w:after="60"/>
              <w:jc w:val="center"/>
            </w:pPr>
            <w:r>
              <w:t>Chicken</w:t>
            </w:r>
          </w:p>
        </w:tc>
        <w:tc>
          <w:tcPr>
            <w:tcW w:w="1591" w:type="dxa"/>
          </w:tcPr>
          <w:p w14:paraId="222860F5" w14:textId="28D6AB39" w:rsidR="00EE61AC" w:rsidRDefault="00EE61AC" w:rsidP="00EF3EA1">
            <w:pPr>
              <w:keepNext/>
              <w:keepLines/>
              <w:spacing w:before="60" w:after="60"/>
              <w:jc w:val="center"/>
            </w:pPr>
            <w:r>
              <w:t>41.1</w:t>
            </w:r>
          </w:p>
        </w:tc>
        <w:tc>
          <w:tcPr>
            <w:tcW w:w="1591" w:type="dxa"/>
          </w:tcPr>
          <w:p w14:paraId="021C5BDE" w14:textId="36C55ADB" w:rsidR="00EE61AC" w:rsidRDefault="00EE61AC" w:rsidP="00EF3EA1">
            <w:pPr>
              <w:keepNext/>
              <w:keepLines/>
              <w:spacing w:before="60" w:after="60"/>
              <w:jc w:val="center"/>
            </w:pPr>
            <w:r>
              <w:t>37</w:t>
            </w:r>
          </w:p>
        </w:tc>
        <w:tc>
          <w:tcPr>
            <w:tcW w:w="1397" w:type="dxa"/>
          </w:tcPr>
          <w:p w14:paraId="14FD045B" w14:textId="32C30441" w:rsidR="00EE61AC" w:rsidRDefault="00EE61AC" w:rsidP="006A1C46">
            <w:pPr>
              <w:keepNext/>
              <w:keepLines/>
              <w:tabs>
                <w:tab w:val="decimal" w:pos="295"/>
              </w:tabs>
              <w:spacing w:before="60" w:after="60"/>
              <w:jc w:val="center"/>
            </w:pPr>
            <w:r>
              <w:t>90</w:t>
            </w:r>
          </w:p>
        </w:tc>
      </w:tr>
      <w:tr w:rsidR="00EE61AC" w14:paraId="0DC47874" w14:textId="77777777" w:rsidTr="006A1C46">
        <w:tc>
          <w:tcPr>
            <w:tcW w:w="1540" w:type="dxa"/>
            <w:vMerge/>
          </w:tcPr>
          <w:p w14:paraId="1F748E0D" w14:textId="45C99045" w:rsidR="00EE61AC" w:rsidRDefault="00EE61AC" w:rsidP="00ED6F98">
            <w:pPr>
              <w:keepNext/>
              <w:keepLines/>
              <w:spacing w:before="60" w:after="60"/>
            </w:pPr>
          </w:p>
        </w:tc>
        <w:tc>
          <w:tcPr>
            <w:tcW w:w="1356" w:type="dxa"/>
            <w:vMerge/>
          </w:tcPr>
          <w:p w14:paraId="557A4005" w14:textId="40DE3E3B" w:rsidR="00EE61AC" w:rsidRDefault="00EE61AC" w:rsidP="00ED6F98">
            <w:pPr>
              <w:keepNext/>
              <w:keepLines/>
              <w:spacing w:before="60" w:after="60"/>
            </w:pPr>
          </w:p>
        </w:tc>
        <w:tc>
          <w:tcPr>
            <w:tcW w:w="1585" w:type="dxa"/>
          </w:tcPr>
          <w:p w14:paraId="4DF6DB9A" w14:textId="77777777" w:rsidR="00EE61AC" w:rsidRDefault="00EE61AC" w:rsidP="00EF3EA1">
            <w:pPr>
              <w:keepNext/>
              <w:keepLines/>
              <w:spacing w:before="60" w:after="60"/>
              <w:jc w:val="center"/>
            </w:pPr>
            <w:r>
              <w:t>Duck</w:t>
            </w:r>
          </w:p>
        </w:tc>
        <w:tc>
          <w:tcPr>
            <w:tcW w:w="1591" w:type="dxa"/>
          </w:tcPr>
          <w:p w14:paraId="12539058" w14:textId="694A5566" w:rsidR="00EE61AC" w:rsidRDefault="00EE61AC" w:rsidP="00EF3EA1">
            <w:pPr>
              <w:keepNext/>
              <w:keepLines/>
              <w:spacing w:before="60" w:after="60"/>
              <w:jc w:val="center"/>
            </w:pPr>
            <w:r>
              <w:t>&lt;1</w:t>
            </w:r>
          </w:p>
        </w:tc>
        <w:tc>
          <w:tcPr>
            <w:tcW w:w="1591" w:type="dxa"/>
          </w:tcPr>
          <w:p w14:paraId="2AD53AF0" w14:textId="1EF3EB36" w:rsidR="00EE61AC" w:rsidRDefault="00EE61AC" w:rsidP="00EF3EA1">
            <w:pPr>
              <w:keepNext/>
              <w:keepLines/>
              <w:spacing w:before="60" w:after="60"/>
              <w:jc w:val="center"/>
            </w:pPr>
            <w:r>
              <w:t>&lt;1</w:t>
            </w:r>
          </w:p>
        </w:tc>
        <w:tc>
          <w:tcPr>
            <w:tcW w:w="1397" w:type="dxa"/>
          </w:tcPr>
          <w:p w14:paraId="5142E127" w14:textId="6D26F0ED" w:rsidR="00EE61AC" w:rsidRDefault="00EE61AC" w:rsidP="006A1C46">
            <w:pPr>
              <w:keepNext/>
              <w:keepLines/>
              <w:tabs>
                <w:tab w:val="decimal" w:pos="295"/>
              </w:tabs>
              <w:spacing w:before="60" w:after="60"/>
              <w:jc w:val="center"/>
            </w:pPr>
            <w:r>
              <w:t>18</w:t>
            </w:r>
          </w:p>
        </w:tc>
      </w:tr>
      <w:tr w:rsidR="00EE61AC" w14:paraId="5E0602F4" w14:textId="77777777" w:rsidTr="006A1C46">
        <w:tc>
          <w:tcPr>
            <w:tcW w:w="1540" w:type="dxa"/>
            <w:vMerge/>
          </w:tcPr>
          <w:p w14:paraId="454DA11A" w14:textId="19D1A741" w:rsidR="00EE61AC" w:rsidRDefault="00EE61AC" w:rsidP="00ED6F98">
            <w:pPr>
              <w:keepNext/>
              <w:keepLines/>
              <w:spacing w:before="60" w:after="60"/>
            </w:pPr>
          </w:p>
        </w:tc>
        <w:tc>
          <w:tcPr>
            <w:tcW w:w="1356" w:type="dxa"/>
            <w:vMerge/>
          </w:tcPr>
          <w:p w14:paraId="4E2A4DAB" w14:textId="1B72CEE5" w:rsidR="00EE61AC" w:rsidRDefault="00EE61AC" w:rsidP="00ED6F98">
            <w:pPr>
              <w:keepNext/>
              <w:keepLines/>
              <w:spacing w:before="60" w:after="60"/>
            </w:pPr>
          </w:p>
        </w:tc>
        <w:tc>
          <w:tcPr>
            <w:tcW w:w="1585" w:type="dxa"/>
          </w:tcPr>
          <w:p w14:paraId="47F27030" w14:textId="17A0A171" w:rsidR="00EE61AC" w:rsidRDefault="00EE61AC" w:rsidP="00EF3EA1">
            <w:pPr>
              <w:keepNext/>
              <w:keepLines/>
              <w:spacing w:before="60" w:after="60"/>
              <w:jc w:val="center"/>
            </w:pPr>
            <w:r>
              <w:t>Turkey</w:t>
            </w:r>
          </w:p>
        </w:tc>
        <w:tc>
          <w:tcPr>
            <w:tcW w:w="1591" w:type="dxa"/>
          </w:tcPr>
          <w:p w14:paraId="3AC6BDD3" w14:textId="2B61EA7E" w:rsidR="00EE61AC" w:rsidRDefault="00EE61AC" w:rsidP="00EF3EA1">
            <w:pPr>
              <w:keepNext/>
              <w:keepLines/>
              <w:spacing w:before="60" w:after="60"/>
              <w:jc w:val="center"/>
            </w:pPr>
            <w:r>
              <w:t>1.5</w:t>
            </w:r>
          </w:p>
        </w:tc>
        <w:tc>
          <w:tcPr>
            <w:tcW w:w="1591" w:type="dxa"/>
          </w:tcPr>
          <w:p w14:paraId="756D2011" w14:textId="3EA3DC62" w:rsidR="00EE61AC" w:rsidRDefault="00EE61AC" w:rsidP="00EF3EA1">
            <w:pPr>
              <w:keepNext/>
              <w:keepLines/>
              <w:spacing w:before="60" w:after="60"/>
              <w:jc w:val="center"/>
            </w:pPr>
            <w:r>
              <w:t>N/A</w:t>
            </w:r>
          </w:p>
        </w:tc>
        <w:tc>
          <w:tcPr>
            <w:tcW w:w="1397" w:type="dxa"/>
          </w:tcPr>
          <w:p w14:paraId="767412E6" w14:textId="2F367122" w:rsidR="00EE61AC" w:rsidRDefault="00EE61AC" w:rsidP="006A1C46">
            <w:pPr>
              <w:keepNext/>
              <w:keepLines/>
              <w:tabs>
                <w:tab w:val="decimal" w:pos="295"/>
              </w:tabs>
              <w:spacing w:before="60" w:after="60"/>
              <w:jc w:val="center"/>
            </w:pPr>
            <w:r>
              <w:t>NA</w:t>
            </w:r>
          </w:p>
        </w:tc>
      </w:tr>
      <w:tr w:rsidR="00EE61AC" w14:paraId="5A8B4F86" w14:textId="77777777" w:rsidTr="006A1C46">
        <w:trPr>
          <w:trHeight w:val="249"/>
        </w:trPr>
        <w:tc>
          <w:tcPr>
            <w:tcW w:w="1540" w:type="dxa"/>
            <w:vMerge/>
          </w:tcPr>
          <w:p w14:paraId="730E5CE7" w14:textId="7517B920" w:rsidR="00EE61AC" w:rsidRDefault="00EE61AC" w:rsidP="00ED6F98">
            <w:pPr>
              <w:keepNext/>
              <w:keepLines/>
              <w:spacing w:before="60" w:after="60"/>
            </w:pPr>
          </w:p>
        </w:tc>
        <w:tc>
          <w:tcPr>
            <w:tcW w:w="1356" w:type="dxa"/>
            <w:vMerge/>
          </w:tcPr>
          <w:p w14:paraId="090EF9A4" w14:textId="005B4C0B" w:rsidR="00EE61AC" w:rsidRDefault="00EE61AC" w:rsidP="00ED6F98">
            <w:pPr>
              <w:keepNext/>
              <w:keepLines/>
              <w:spacing w:before="60" w:after="60"/>
            </w:pPr>
          </w:p>
        </w:tc>
        <w:tc>
          <w:tcPr>
            <w:tcW w:w="1585" w:type="dxa"/>
          </w:tcPr>
          <w:p w14:paraId="1E8BB576" w14:textId="68511347" w:rsidR="00EE61AC" w:rsidRDefault="00EE61AC" w:rsidP="00EF3EA1">
            <w:pPr>
              <w:keepNext/>
              <w:keepLines/>
              <w:spacing w:before="60" w:after="60"/>
              <w:jc w:val="center"/>
            </w:pPr>
            <w:r>
              <w:t>Ostrich</w:t>
            </w:r>
          </w:p>
        </w:tc>
        <w:tc>
          <w:tcPr>
            <w:tcW w:w="1591" w:type="dxa"/>
          </w:tcPr>
          <w:p w14:paraId="70BD4223" w14:textId="5CE84270" w:rsidR="00EE61AC" w:rsidRDefault="00EE61AC" w:rsidP="00EF3EA1">
            <w:pPr>
              <w:keepNext/>
              <w:keepLines/>
              <w:spacing w:before="60" w:after="60"/>
              <w:jc w:val="center"/>
            </w:pPr>
            <w:r>
              <w:t>&lt;1</w:t>
            </w:r>
          </w:p>
        </w:tc>
        <w:tc>
          <w:tcPr>
            <w:tcW w:w="1591" w:type="dxa"/>
          </w:tcPr>
          <w:p w14:paraId="279F237D" w14:textId="6D78F775" w:rsidR="00EE61AC" w:rsidRDefault="00EE61AC" w:rsidP="00EF3EA1">
            <w:pPr>
              <w:keepNext/>
              <w:keepLines/>
              <w:spacing w:before="60" w:after="60"/>
              <w:jc w:val="center"/>
            </w:pPr>
            <w:r>
              <w:t>&lt;1</w:t>
            </w:r>
          </w:p>
        </w:tc>
        <w:tc>
          <w:tcPr>
            <w:tcW w:w="1397" w:type="dxa"/>
          </w:tcPr>
          <w:p w14:paraId="1F21461B" w14:textId="1373EEB1" w:rsidR="00EE61AC" w:rsidRDefault="00EE61AC" w:rsidP="006A1C46">
            <w:pPr>
              <w:keepNext/>
              <w:keepLines/>
              <w:tabs>
                <w:tab w:val="decimal" w:pos="295"/>
              </w:tabs>
              <w:spacing w:before="60" w:after="60"/>
              <w:jc w:val="center"/>
            </w:pPr>
            <w:r>
              <w:t>3</w:t>
            </w:r>
          </w:p>
        </w:tc>
      </w:tr>
      <w:tr w:rsidR="00EE61AC" w14:paraId="34FE1ED3" w14:textId="77777777" w:rsidTr="006A1C46">
        <w:tc>
          <w:tcPr>
            <w:tcW w:w="1540" w:type="dxa"/>
            <w:vMerge/>
          </w:tcPr>
          <w:p w14:paraId="0C9D9920" w14:textId="57DAFB67" w:rsidR="00EE61AC" w:rsidRDefault="00EE61AC" w:rsidP="00ED6F98">
            <w:pPr>
              <w:keepNext/>
              <w:keepLines/>
              <w:spacing w:before="60" w:after="60"/>
            </w:pPr>
          </w:p>
        </w:tc>
        <w:tc>
          <w:tcPr>
            <w:tcW w:w="1356" w:type="dxa"/>
            <w:vMerge w:val="restart"/>
          </w:tcPr>
          <w:p w14:paraId="15080DCF" w14:textId="2DE073FA" w:rsidR="00EE61AC" w:rsidRDefault="00EE61AC" w:rsidP="00ED6F98">
            <w:pPr>
              <w:keepNext/>
              <w:keepLines/>
              <w:spacing w:before="60" w:after="60"/>
            </w:pPr>
            <w:r>
              <w:t>15 years and above</w:t>
            </w:r>
            <w:r w:rsidRPr="0015469A">
              <w:rPr>
                <w:rFonts w:cs="Arial"/>
                <w:sz w:val="20"/>
                <w:szCs w:val="20"/>
                <w:vertAlign w:val="superscript"/>
              </w:rPr>
              <w:sym w:font="Wingdings 3" w:char="F073"/>
            </w:r>
          </w:p>
        </w:tc>
        <w:tc>
          <w:tcPr>
            <w:tcW w:w="1585" w:type="dxa"/>
          </w:tcPr>
          <w:p w14:paraId="710685FA" w14:textId="57129BF5" w:rsidR="00EE61AC" w:rsidRDefault="00EE61AC" w:rsidP="00ED6F98">
            <w:pPr>
              <w:keepNext/>
              <w:keepLines/>
              <w:spacing w:before="60" w:after="60"/>
              <w:jc w:val="center"/>
            </w:pPr>
            <w:r>
              <w:t>Chicken</w:t>
            </w:r>
          </w:p>
        </w:tc>
        <w:tc>
          <w:tcPr>
            <w:tcW w:w="1591" w:type="dxa"/>
          </w:tcPr>
          <w:p w14:paraId="224EC879" w14:textId="76B23CBB" w:rsidR="00EE61AC" w:rsidRDefault="00EE61AC" w:rsidP="00731C92">
            <w:pPr>
              <w:keepNext/>
              <w:keepLines/>
              <w:spacing w:before="60" w:after="60"/>
              <w:jc w:val="center"/>
            </w:pPr>
            <w:r>
              <w:t>38.7</w:t>
            </w:r>
          </w:p>
        </w:tc>
        <w:tc>
          <w:tcPr>
            <w:tcW w:w="1591" w:type="dxa"/>
          </w:tcPr>
          <w:p w14:paraId="436D9F27" w14:textId="47B4773A" w:rsidR="00EE61AC" w:rsidRDefault="00EE61AC" w:rsidP="00ED6F98">
            <w:pPr>
              <w:keepNext/>
              <w:keepLines/>
              <w:spacing w:before="60" w:after="60"/>
              <w:jc w:val="center"/>
            </w:pPr>
            <w:r>
              <w:t>49</w:t>
            </w:r>
          </w:p>
        </w:tc>
        <w:tc>
          <w:tcPr>
            <w:tcW w:w="1397" w:type="dxa"/>
          </w:tcPr>
          <w:p w14:paraId="5F7F62CC" w14:textId="08302FAD" w:rsidR="00EE61AC" w:rsidRDefault="00EE61AC" w:rsidP="006A1C46">
            <w:pPr>
              <w:keepNext/>
              <w:keepLines/>
              <w:tabs>
                <w:tab w:val="decimal" w:pos="295"/>
              </w:tabs>
              <w:spacing w:before="60" w:after="60"/>
              <w:jc w:val="center"/>
            </w:pPr>
            <w:r>
              <w:t>127</w:t>
            </w:r>
          </w:p>
        </w:tc>
      </w:tr>
      <w:tr w:rsidR="00EE61AC" w14:paraId="5370E9CF" w14:textId="77777777" w:rsidTr="006A1C46">
        <w:tc>
          <w:tcPr>
            <w:tcW w:w="1540" w:type="dxa"/>
            <w:vMerge/>
          </w:tcPr>
          <w:p w14:paraId="13F16204" w14:textId="3545596A" w:rsidR="00EE61AC" w:rsidRDefault="00EE61AC" w:rsidP="00ED6F98">
            <w:pPr>
              <w:keepNext/>
              <w:keepLines/>
              <w:spacing w:before="60" w:after="60"/>
            </w:pPr>
          </w:p>
        </w:tc>
        <w:tc>
          <w:tcPr>
            <w:tcW w:w="1356" w:type="dxa"/>
            <w:vMerge/>
          </w:tcPr>
          <w:p w14:paraId="2E49F35E" w14:textId="0B644965" w:rsidR="00EE61AC" w:rsidRDefault="00EE61AC" w:rsidP="00ED6F98">
            <w:pPr>
              <w:keepNext/>
              <w:keepLines/>
              <w:spacing w:before="60" w:after="60"/>
            </w:pPr>
          </w:p>
        </w:tc>
        <w:tc>
          <w:tcPr>
            <w:tcW w:w="1585" w:type="dxa"/>
          </w:tcPr>
          <w:p w14:paraId="660A34AA" w14:textId="286477C7" w:rsidR="00EE61AC" w:rsidRDefault="00EE61AC" w:rsidP="00ED6F98">
            <w:pPr>
              <w:keepNext/>
              <w:keepLines/>
              <w:spacing w:before="60" w:after="60"/>
              <w:jc w:val="center"/>
            </w:pPr>
            <w:r>
              <w:t>Duck</w:t>
            </w:r>
          </w:p>
        </w:tc>
        <w:tc>
          <w:tcPr>
            <w:tcW w:w="1591" w:type="dxa"/>
          </w:tcPr>
          <w:p w14:paraId="30933D98" w14:textId="34081DC1" w:rsidR="00EE61AC" w:rsidRDefault="00EE61AC" w:rsidP="00ED6F98">
            <w:pPr>
              <w:keepNext/>
              <w:keepLines/>
              <w:spacing w:before="60" w:after="60"/>
              <w:jc w:val="center"/>
            </w:pPr>
            <w:r>
              <w:t>&lt;1</w:t>
            </w:r>
          </w:p>
        </w:tc>
        <w:tc>
          <w:tcPr>
            <w:tcW w:w="1591" w:type="dxa"/>
          </w:tcPr>
          <w:p w14:paraId="1BAEAFE9" w14:textId="6D019AB5" w:rsidR="00EE61AC" w:rsidRDefault="00EE61AC" w:rsidP="00ED6F98">
            <w:pPr>
              <w:keepNext/>
              <w:keepLines/>
              <w:spacing w:before="60" w:after="60"/>
              <w:jc w:val="center"/>
            </w:pPr>
            <w:r>
              <w:t>1</w:t>
            </w:r>
          </w:p>
        </w:tc>
        <w:tc>
          <w:tcPr>
            <w:tcW w:w="1397" w:type="dxa"/>
          </w:tcPr>
          <w:p w14:paraId="179F4042" w14:textId="45C01F58" w:rsidR="00EE61AC" w:rsidRDefault="00EE61AC" w:rsidP="006A1C46">
            <w:pPr>
              <w:keepNext/>
              <w:keepLines/>
              <w:tabs>
                <w:tab w:val="decimal" w:pos="295"/>
              </w:tabs>
              <w:spacing w:before="60" w:after="60"/>
              <w:jc w:val="center"/>
            </w:pPr>
            <w:r>
              <w:t>91</w:t>
            </w:r>
          </w:p>
        </w:tc>
      </w:tr>
      <w:tr w:rsidR="00EE61AC" w14:paraId="34C72EC0" w14:textId="77777777" w:rsidTr="006A1C46">
        <w:tc>
          <w:tcPr>
            <w:tcW w:w="1540" w:type="dxa"/>
            <w:vMerge/>
          </w:tcPr>
          <w:p w14:paraId="1DF4758C" w14:textId="77777777" w:rsidR="00EE61AC" w:rsidRDefault="00EE61AC" w:rsidP="00ED6F98">
            <w:pPr>
              <w:keepNext/>
              <w:keepLines/>
              <w:spacing w:before="60" w:after="60"/>
            </w:pPr>
          </w:p>
        </w:tc>
        <w:tc>
          <w:tcPr>
            <w:tcW w:w="1356" w:type="dxa"/>
            <w:vMerge/>
          </w:tcPr>
          <w:p w14:paraId="464E4810" w14:textId="77777777" w:rsidR="00EE61AC" w:rsidRDefault="00EE61AC" w:rsidP="00ED6F98">
            <w:pPr>
              <w:keepNext/>
              <w:keepLines/>
              <w:spacing w:before="60" w:after="60"/>
            </w:pPr>
          </w:p>
        </w:tc>
        <w:tc>
          <w:tcPr>
            <w:tcW w:w="1585" w:type="dxa"/>
          </w:tcPr>
          <w:p w14:paraId="442F5D3D" w14:textId="2F3F5711" w:rsidR="00EE61AC" w:rsidRDefault="00EE61AC" w:rsidP="00ED6F98">
            <w:pPr>
              <w:keepNext/>
              <w:keepLines/>
              <w:spacing w:before="60" w:after="60"/>
              <w:jc w:val="center"/>
            </w:pPr>
            <w:r>
              <w:t>Goose</w:t>
            </w:r>
          </w:p>
        </w:tc>
        <w:tc>
          <w:tcPr>
            <w:tcW w:w="1591" w:type="dxa"/>
          </w:tcPr>
          <w:p w14:paraId="6818B550" w14:textId="14E556AC" w:rsidR="00EE61AC" w:rsidRDefault="00EE61AC" w:rsidP="00ED6F98">
            <w:pPr>
              <w:keepNext/>
              <w:keepLines/>
              <w:spacing w:before="60" w:after="60"/>
              <w:jc w:val="center"/>
            </w:pPr>
            <w:r>
              <w:t>&lt;1</w:t>
            </w:r>
          </w:p>
        </w:tc>
        <w:tc>
          <w:tcPr>
            <w:tcW w:w="1591" w:type="dxa"/>
          </w:tcPr>
          <w:p w14:paraId="16F0BB32" w14:textId="25C2FE84" w:rsidR="00EE61AC" w:rsidRDefault="00EE61AC" w:rsidP="00ED6F98">
            <w:pPr>
              <w:keepNext/>
              <w:keepLines/>
              <w:spacing w:before="60" w:after="60"/>
              <w:jc w:val="center"/>
            </w:pPr>
            <w:r>
              <w:t>NA</w:t>
            </w:r>
          </w:p>
        </w:tc>
        <w:tc>
          <w:tcPr>
            <w:tcW w:w="1397" w:type="dxa"/>
          </w:tcPr>
          <w:p w14:paraId="2C4A2DAE" w14:textId="7F83DCA7" w:rsidR="00EE61AC" w:rsidRDefault="00EE61AC" w:rsidP="006A1C46">
            <w:pPr>
              <w:keepNext/>
              <w:keepLines/>
              <w:tabs>
                <w:tab w:val="decimal" w:pos="295"/>
              </w:tabs>
              <w:spacing w:before="60" w:after="60"/>
              <w:jc w:val="center"/>
            </w:pPr>
            <w:r>
              <w:t>NA</w:t>
            </w:r>
          </w:p>
        </w:tc>
      </w:tr>
      <w:tr w:rsidR="00EE61AC" w14:paraId="60CB0724" w14:textId="77777777" w:rsidTr="006A1C46">
        <w:tc>
          <w:tcPr>
            <w:tcW w:w="1540" w:type="dxa"/>
            <w:vMerge/>
          </w:tcPr>
          <w:p w14:paraId="0F2CC78D" w14:textId="3F5A72B4" w:rsidR="00EE61AC" w:rsidRDefault="00EE61AC" w:rsidP="00ED6F98">
            <w:pPr>
              <w:keepNext/>
              <w:keepLines/>
              <w:spacing w:before="60" w:after="60"/>
            </w:pPr>
          </w:p>
        </w:tc>
        <w:tc>
          <w:tcPr>
            <w:tcW w:w="1356" w:type="dxa"/>
            <w:vMerge/>
          </w:tcPr>
          <w:p w14:paraId="43F01A61" w14:textId="758FCD91" w:rsidR="00EE61AC" w:rsidRDefault="00EE61AC" w:rsidP="00ED6F98">
            <w:pPr>
              <w:keepNext/>
              <w:keepLines/>
              <w:spacing w:before="60" w:after="60"/>
            </w:pPr>
          </w:p>
        </w:tc>
        <w:tc>
          <w:tcPr>
            <w:tcW w:w="1585" w:type="dxa"/>
          </w:tcPr>
          <w:p w14:paraId="6D30D0E1" w14:textId="2945584B" w:rsidR="00EE61AC" w:rsidRDefault="00EE61AC" w:rsidP="00ED6F98">
            <w:pPr>
              <w:keepNext/>
              <w:keepLines/>
              <w:spacing w:before="60" w:after="60"/>
              <w:jc w:val="center"/>
            </w:pPr>
            <w:r>
              <w:t>Turkey</w:t>
            </w:r>
          </w:p>
        </w:tc>
        <w:tc>
          <w:tcPr>
            <w:tcW w:w="1591" w:type="dxa"/>
          </w:tcPr>
          <w:p w14:paraId="04CA392F" w14:textId="2EC0A211" w:rsidR="00EE61AC" w:rsidRDefault="00EE61AC" w:rsidP="00ED6F98">
            <w:pPr>
              <w:keepNext/>
              <w:keepLines/>
              <w:spacing w:before="60" w:after="60"/>
              <w:jc w:val="center"/>
            </w:pPr>
            <w:r>
              <w:t>2.7</w:t>
            </w:r>
          </w:p>
        </w:tc>
        <w:tc>
          <w:tcPr>
            <w:tcW w:w="1591" w:type="dxa"/>
          </w:tcPr>
          <w:p w14:paraId="5D0073D9" w14:textId="524DD7F3" w:rsidR="00EE61AC" w:rsidRDefault="00EE61AC" w:rsidP="00ED6F98">
            <w:pPr>
              <w:keepNext/>
              <w:keepLines/>
              <w:spacing w:before="60" w:after="60"/>
              <w:jc w:val="center"/>
            </w:pPr>
            <w:r>
              <w:t>1</w:t>
            </w:r>
          </w:p>
        </w:tc>
        <w:tc>
          <w:tcPr>
            <w:tcW w:w="1397" w:type="dxa"/>
          </w:tcPr>
          <w:p w14:paraId="75693960" w14:textId="4717EEC2" w:rsidR="00EE61AC" w:rsidRDefault="00EE61AC" w:rsidP="006A1C46">
            <w:pPr>
              <w:keepNext/>
              <w:keepLines/>
              <w:tabs>
                <w:tab w:val="decimal" w:pos="295"/>
              </w:tabs>
              <w:spacing w:before="60" w:after="60"/>
              <w:jc w:val="center"/>
            </w:pPr>
            <w:r>
              <w:t>37</w:t>
            </w:r>
          </w:p>
        </w:tc>
      </w:tr>
      <w:tr w:rsidR="00EE61AC" w14:paraId="6DBFE6A8" w14:textId="77777777" w:rsidTr="006A1C46">
        <w:trPr>
          <w:trHeight w:val="319"/>
        </w:trPr>
        <w:tc>
          <w:tcPr>
            <w:tcW w:w="1540" w:type="dxa"/>
            <w:vMerge/>
          </w:tcPr>
          <w:p w14:paraId="1E3D99A8" w14:textId="77777777" w:rsidR="00EE61AC" w:rsidRDefault="00EE61AC" w:rsidP="00ED6F98">
            <w:pPr>
              <w:keepNext/>
              <w:keepLines/>
              <w:spacing w:before="60" w:after="60"/>
            </w:pPr>
          </w:p>
        </w:tc>
        <w:tc>
          <w:tcPr>
            <w:tcW w:w="1356" w:type="dxa"/>
            <w:vMerge/>
          </w:tcPr>
          <w:p w14:paraId="3C3C961A" w14:textId="77777777" w:rsidR="00EE61AC" w:rsidRDefault="00EE61AC" w:rsidP="00ED6F98">
            <w:pPr>
              <w:keepNext/>
              <w:keepLines/>
              <w:spacing w:before="60" w:after="60"/>
            </w:pPr>
          </w:p>
        </w:tc>
        <w:tc>
          <w:tcPr>
            <w:tcW w:w="1585" w:type="dxa"/>
          </w:tcPr>
          <w:p w14:paraId="7B5735A3" w14:textId="3EC3104F" w:rsidR="00EE61AC" w:rsidRDefault="00EE61AC" w:rsidP="00ED6F98">
            <w:pPr>
              <w:keepNext/>
              <w:keepLines/>
              <w:spacing w:before="60" w:after="60"/>
              <w:jc w:val="center"/>
            </w:pPr>
            <w:r>
              <w:t>Mutton-bird</w:t>
            </w:r>
          </w:p>
        </w:tc>
        <w:tc>
          <w:tcPr>
            <w:tcW w:w="1591" w:type="dxa"/>
          </w:tcPr>
          <w:p w14:paraId="5BB1B862" w14:textId="0183AE92" w:rsidR="00EE61AC" w:rsidRDefault="00EE61AC" w:rsidP="00ED6F98">
            <w:pPr>
              <w:keepNext/>
              <w:keepLines/>
              <w:spacing w:before="60" w:after="60"/>
              <w:jc w:val="center"/>
            </w:pPr>
            <w:r>
              <w:t>&lt;1</w:t>
            </w:r>
          </w:p>
        </w:tc>
        <w:tc>
          <w:tcPr>
            <w:tcW w:w="1591" w:type="dxa"/>
          </w:tcPr>
          <w:p w14:paraId="4BFB5F58" w14:textId="0A326667" w:rsidR="00EE61AC" w:rsidRDefault="00EE61AC" w:rsidP="00ED6F98">
            <w:pPr>
              <w:keepNext/>
              <w:keepLines/>
              <w:spacing w:before="60" w:after="60"/>
              <w:jc w:val="center"/>
            </w:pPr>
            <w:r>
              <w:t>NA</w:t>
            </w:r>
          </w:p>
        </w:tc>
        <w:tc>
          <w:tcPr>
            <w:tcW w:w="1397" w:type="dxa"/>
          </w:tcPr>
          <w:p w14:paraId="05858159" w14:textId="29F67DA7" w:rsidR="00EE61AC" w:rsidRDefault="00EE61AC" w:rsidP="006A1C46">
            <w:pPr>
              <w:keepNext/>
              <w:keepLines/>
              <w:tabs>
                <w:tab w:val="decimal" w:pos="295"/>
              </w:tabs>
              <w:spacing w:before="60" w:after="60"/>
              <w:jc w:val="center"/>
            </w:pPr>
            <w:r>
              <w:t>NA</w:t>
            </w:r>
          </w:p>
        </w:tc>
      </w:tr>
    </w:tbl>
    <w:p w14:paraId="01BD2DF1" w14:textId="7147F877" w:rsidR="000242C8" w:rsidRPr="001F7442" w:rsidRDefault="000242C8" w:rsidP="000242C8">
      <w:pPr>
        <w:keepNext/>
        <w:keepLines/>
        <w:ind w:left="567" w:hanging="567"/>
        <w:rPr>
          <w:sz w:val="16"/>
          <w:szCs w:val="16"/>
        </w:rPr>
      </w:pPr>
      <w:r w:rsidRPr="001F7442">
        <w:rPr>
          <w:rFonts w:cs="Arial"/>
          <w:sz w:val="16"/>
          <w:szCs w:val="16"/>
        </w:rPr>
        <w:sym w:font="Wingdings" w:char="F074"/>
      </w:r>
      <w:r w:rsidRPr="001F7442">
        <w:rPr>
          <w:sz w:val="16"/>
          <w:szCs w:val="16"/>
        </w:rPr>
        <w:tab/>
      </w:r>
      <w:r w:rsidRPr="005575D5">
        <w:rPr>
          <w:sz w:val="16"/>
          <w:szCs w:val="16"/>
        </w:rPr>
        <w:t>Consumers as a % of total respondents</w:t>
      </w:r>
      <w:r>
        <w:rPr>
          <w:sz w:val="16"/>
          <w:szCs w:val="16"/>
        </w:rPr>
        <w:t xml:space="preserve">. A consumer is a </w:t>
      </w:r>
      <w:r w:rsidRPr="005575D5">
        <w:rPr>
          <w:sz w:val="16"/>
          <w:szCs w:val="16"/>
        </w:rPr>
        <w:t xml:space="preserve">respondent in the </w:t>
      </w:r>
      <w:r>
        <w:rPr>
          <w:sz w:val="16"/>
          <w:szCs w:val="16"/>
        </w:rPr>
        <w:t>national nutrition survey</w:t>
      </w:r>
      <w:r w:rsidRPr="005575D5">
        <w:rPr>
          <w:sz w:val="16"/>
          <w:szCs w:val="16"/>
        </w:rPr>
        <w:t xml:space="preserve"> who</w:t>
      </w:r>
      <w:r>
        <w:rPr>
          <w:sz w:val="16"/>
          <w:szCs w:val="16"/>
        </w:rPr>
        <w:t xml:space="preserve"> consumed poultry. A respondent is anyone in a national nutrition survey, irrespective of whether they consume the food or not. Number of respondents: Australia 2+ = </w:t>
      </w:r>
      <w:r w:rsidR="00B64666">
        <w:rPr>
          <w:sz w:val="16"/>
          <w:szCs w:val="16"/>
        </w:rPr>
        <w:t>7735</w:t>
      </w:r>
      <w:r>
        <w:rPr>
          <w:sz w:val="16"/>
          <w:szCs w:val="16"/>
        </w:rPr>
        <w:t xml:space="preserve">, New Zealand 5-14 years = </w:t>
      </w:r>
      <w:r w:rsidR="003A7F5A">
        <w:rPr>
          <w:sz w:val="16"/>
          <w:szCs w:val="16"/>
        </w:rPr>
        <w:t>3275</w:t>
      </w:r>
      <w:r>
        <w:rPr>
          <w:sz w:val="16"/>
          <w:szCs w:val="16"/>
        </w:rPr>
        <w:t xml:space="preserve"> and 15+ = </w:t>
      </w:r>
      <w:r w:rsidR="003A7F5A">
        <w:rPr>
          <w:sz w:val="16"/>
          <w:szCs w:val="16"/>
        </w:rPr>
        <w:t>4721</w:t>
      </w:r>
    </w:p>
    <w:p w14:paraId="519839E9" w14:textId="77777777" w:rsidR="000242C8" w:rsidRPr="001F034B" w:rsidRDefault="000242C8" w:rsidP="000242C8">
      <w:pPr>
        <w:keepNext/>
        <w:keepLines/>
        <w:rPr>
          <w:sz w:val="16"/>
          <w:szCs w:val="16"/>
        </w:rPr>
      </w:pPr>
      <w:r w:rsidRPr="001F034B">
        <w:rPr>
          <w:sz w:val="16"/>
          <w:szCs w:val="16"/>
        </w:rPr>
        <w:sym w:font="Wingdings" w:char="F076"/>
      </w:r>
      <w:r w:rsidRPr="001F034B">
        <w:rPr>
          <w:sz w:val="16"/>
          <w:szCs w:val="16"/>
        </w:rPr>
        <w:tab/>
        <w:t xml:space="preserve">Based on </w:t>
      </w:r>
      <w:r>
        <w:rPr>
          <w:sz w:val="16"/>
          <w:szCs w:val="16"/>
        </w:rPr>
        <w:t>consumption data from Day 1 and 2.</w:t>
      </w:r>
    </w:p>
    <w:p w14:paraId="57F284CD" w14:textId="60D9D763" w:rsidR="000242C8" w:rsidRDefault="000242C8" w:rsidP="000242C8">
      <w:pPr>
        <w:keepNext/>
        <w:keepLines/>
        <w:rPr>
          <w:sz w:val="16"/>
          <w:szCs w:val="16"/>
        </w:rPr>
      </w:pPr>
      <w:r w:rsidRPr="001F034B">
        <w:rPr>
          <w:sz w:val="16"/>
          <w:szCs w:val="16"/>
        </w:rPr>
        <w:sym w:font="Wingdings 3" w:char="F073"/>
      </w:r>
      <w:r w:rsidRPr="001F034B">
        <w:rPr>
          <w:sz w:val="16"/>
          <w:szCs w:val="16"/>
        </w:rPr>
        <w:tab/>
        <w:t>Based on</w:t>
      </w:r>
      <w:r>
        <w:rPr>
          <w:sz w:val="16"/>
          <w:szCs w:val="16"/>
        </w:rPr>
        <w:t xml:space="preserve"> consumption data from</w:t>
      </w:r>
      <w:r w:rsidRPr="001F034B">
        <w:rPr>
          <w:sz w:val="16"/>
          <w:szCs w:val="16"/>
        </w:rPr>
        <w:t xml:space="preserve"> Day 1 respondents only</w:t>
      </w:r>
      <w:r>
        <w:rPr>
          <w:sz w:val="16"/>
          <w:szCs w:val="16"/>
        </w:rPr>
        <w:t>.</w:t>
      </w:r>
    </w:p>
    <w:p w14:paraId="2028EAA7" w14:textId="39C46409" w:rsidR="003A7F5A" w:rsidRPr="00E009E2" w:rsidRDefault="003A7F5A" w:rsidP="000242C8">
      <w:pPr>
        <w:keepNext/>
        <w:keepLines/>
        <w:rPr>
          <w:highlight w:val="yellow"/>
        </w:rPr>
      </w:pPr>
      <w:r w:rsidRPr="0020084D">
        <w:rPr>
          <w:rFonts w:cs="Arial"/>
          <w:sz w:val="16"/>
          <w:szCs w:val="16"/>
        </w:rPr>
        <w:t xml:space="preserve">N/A means not applicable, low </w:t>
      </w:r>
      <w:r w:rsidR="00B85C9F">
        <w:rPr>
          <w:rFonts w:cs="Arial"/>
          <w:sz w:val="16"/>
          <w:szCs w:val="16"/>
        </w:rPr>
        <w:t xml:space="preserve">number of consumers therefore </w:t>
      </w:r>
      <w:r w:rsidRPr="0020084D">
        <w:rPr>
          <w:rFonts w:cs="Arial"/>
          <w:sz w:val="16"/>
          <w:szCs w:val="16"/>
        </w:rPr>
        <w:t xml:space="preserve">values </w:t>
      </w:r>
      <w:r w:rsidR="00B85C9F">
        <w:rPr>
          <w:rFonts w:cs="Arial"/>
          <w:sz w:val="16"/>
          <w:szCs w:val="16"/>
        </w:rPr>
        <w:t>are not</w:t>
      </w:r>
      <w:r w:rsidRPr="0020084D">
        <w:rPr>
          <w:rFonts w:cs="Arial"/>
          <w:sz w:val="16"/>
          <w:szCs w:val="16"/>
        </w:rPr>
        <w:t xml:space="preserve"> be reported.</w:t>
      </w:r>
    </w:p>
    <w:p w14:paraId="6600D618" w14:textId="77777777" w:rsidR="00ED6F98" w:rsidRDefault="00ED6F98" w:rsidP="000F53D4">
      <w:pPr>
        <w:rPr>
          <w:lang w:eastAsia="en-AU"/>
        </w:rPr>
      </w:pPr>
    </w:p>
    <w:p w14:paraId="487A3FC1" w14:textId="77777777" w:rsidR="00ED6F98" w:rsidRDefault="00ED6F98" w:rsidP="000F53D4">
      <w:pPr>
        <w:rPr>
          <w:lang w:eastAsia="en-AU"/>
        </w:rPr>
      </w:pPr>
    </w:p>
    <w:p w14:paraId="2F162154" w14:textId="72D4DD9C" w:rsidR="008B1928" w:rsidRPr="00D9398F" w:rsidRDefault="008B1928" w:rsidP="00D15757">
      <w:pPr>
        <w:pStyle w:val="Heading2"/>
      </w:pPr>
      <w:bookmarkStart w:id="443" w:name="_Toc92722957"/>
      <w:bookmarkStart w:id="444" w:name="_Toc93592344"/>
      <w:bookmarkStart w:id="445" w:name="_Toc93585355"/>
      <w:bookmarkStart w:id="446" w:name="_Toc97041650"/>
      <w:r>
        <w:t>A1.</w:t>
      </w:r>
      <w:r w:rsidR="00C721BD">
        <w:t>3</w:t>
      </w:r>
      <w:r>
        <w:tab/>
        <w:t>Food classes and uses</w:t>
      </w:r>
      <w:r w:rsidR="00930DC6">
        <w:t xml:space="preserve"> of propylene glycol</w:t>
      </w:r>
      <w:r>
        <w:t xml:space="preserve"> included in the dietary exposure assessment</w:t>
      </w:r>
      <w:bookmarkEnd w:id="443"/>
      <w:bookmarkEnd w:id="444"/>
      <w:bookmarkEnd w:id="445"/>
      <w:bookmarkEnd w:id="446"/>
    </w:p>
    <w:p w14:paraId="3A2D04EB" w14:textId="0769EFF2" w:rsidR="00200855" w:rsidRDefault="00891767" w:rsidP="000F53D4">
      <w:pPr>
        <w:rPr>
          <w:lang w:eastAsia="en-AU"/>
        </w:rPr>
      </w:pPr>
      <w:r>
        <w:rPr>
          <w:lang w:eastAsia="en-AU"/>
        </w:rPr>
        <w:t>The information provided by the food industry on the concentration of propylene glycol in food classes is confidential. Therefore only an indication of the food classes where information was obtained can be provided. This is shown in Table A1.</w:t>
      </w:r>
      <w:r w:rsidR="00CD298E">
        <w:rPr>
          <w:lang w:eastAsia="en-AU"/>
        </w:rPr>
        <w:t>2</w:t>
      </w:r>
      <w:r>
        <w:rPr>
          <w:lang w:eastAsia="en-AU"/>
        </w:rPr>
        <w:t xml:space="preserve">. </w:t>
      </w:r>
      <w:r w:rsidR="00257943">
        <w:rPr>
          <w:lang w:eastAsia="en-AU"/>
        </w:rPr>
        <w:t>T</w:t>
      </w:r>
      <w:r>
        <w:rPr>
          <w:lang w:eastAsia="en-AU"/>
        </w:rPr>
        <w:t>he table includes a</w:t>
      </w:r>
      <w:r w:rsidR="00C67549">
        <w:rPr>
          <w:lang w:eastAsia="en-AU"/>
        </w:rPr>
        <w:t>ll</w:t>
      </w:r>
      <w:r>
        <w:rPr>
          <w:lang w:eastAsia="en-AU"/>
        </w:rPr>
        <w:t xml:space="preserve"> food</w:t>
      </w:r>
      <w:r w:rsidR="00C67549">
        <w:rPr>
          <w:lang w:eastAsia="en-AU"/>
        </w:rPr>
        <w:t xml:space="preserve"> classes </w:t>
      </w:r>
      <w:r>
        <w:rPr>
          <w:lang w:eastAsia="en-AU"/>
        </w:rPr>
        <w:t>that</w:t>
      </w:r>
      <w:r w:rsidR="00C67549">
        <w:rPr>
          <w:lang w:eastAsia="en-AU"/>
        </w:rPr>
        <w:t xml:space="preserve"> have GMP permission in the Code</w:t>
      </w:r>
      <w:r>
        <w:rPr>
          <w:lang w:eastAsia="en-AU"/>
        </w:rPr>
        <w:t xml:space="preserve"> in Schedule 16 and those with MPLs in Schedule 15. As industry use data from Australia and New Zealand were not available for all food classes, GS1 data were used to identify food classes where propylene glycol was noted as being used in foods on the ingredient list. Where this was the case (as noted by a tick in the GS1 column in Table A1.</w:t>
      </w:r>
      <w:r w:rsidR="00CD298E">
        <w:rPr>
          <w:lang w:eastAsia="en-AU"/>
        </w:rPr>
        <w:t>2</w:t>
      </w:r>
      <w:r>
        <w:rPr>
          <w:lang w:eastAsia="en-AU"/>
        </w:rPr>
        <w:t>) and there were no Australian or New Zealand use levels available,</w:t>
      </w:r>
      <w:r w:rsidDel="00257943">
        <w:rPr>
          <w:lang w:eastAsia="en-AU"/>
        </w:rPr>
        <w:t xml:space="preserve"> </w:t>
      </w:r>
      <w:r>
        <w:rPr>
          <w:lang w:eastAsia="en-AU"/>
        </w:rPr>
        <w:t>international data were reviewed to determine if a concentration was available to use in the dietary exposure assessment. If one was available and used, a tick is included in the international data use column in Table A1.</w:t>
      </w:r>
      <w:r w:rsidR="00CD298E">
        <w:rPr>
          <w:lang w:eastAsia="en-AU"/>
        </w:rPr>
        <w:t>2</w:t>
      </w:r>
      <w:r>
        <w:rPr>
          <w:lang w:eastAsia="en-AU"/>
        </w:rPr>
        <w:t xml:space="preserve">. </w:t>
      </w:r>
      <w:r w:rsidR="001B06CE">
        <w:rPr>
          <w:lang w:eastAsia="en-AU"/>
        </w:rPr>
        <w:t>Where there are crosses in all three columns, a zero concentration was assumed for these food classes in the dietary exposure assessment.</w:t>
      </w:r>
    </w:p>
    <w:p w14:paraId="6BBCE994" w14:textId="77777777" w:rsidR="001B06CE" w:rsidRDefault="001B06CE" w:rsidP="000F53D4">
      <w:pPr>
        <w:rPr>
          <w:lang w:eastAsia="en-AU"/>
        </w:rPr>
      </w:pPr>
    </w:p>
    <w:p w14:paraId="2262CD5D" w14:textId="77777777" w:rsidR="001F4501" w:rsidRDefault="001F4501" w:rsidP="008B1928">
      <w:pPr>
        <w:pStyle w:val="FSTableTitle"/>
        <w:keepNext/>
        <w:keepLines/>
        <w:sectPr w:rsidR="001F4501" w:rsidSect="003C0B3A">
          <w:pgSz w:w="11906" w:h="16838"/>
          <w:pgMar w:top="1418" w:right="1418" w:bottom="1418" w:left="1418" w:header="709" w:footer="709" w:gutter="0"/>
          <w:cols w:space="708"/>
          <w:docGrid w:linePitch="360"/>
        </w:sectPr>
      </w:pPr>
    </w:p>
    <w:p w14:paraId="6D14568C" w14:textId="1FBCA06A" w:rsidR="008B1928" w:rsidRPr="00B748C3" w:rsidRDefault="008B1928" w:rsidP="008B1928">
      <w:pPr>
        <w:pStyle w:val="FSTableTitle"/>
        <w:keepNext/>
        <w:keepLines/>
      </w:pPr>
      <w:r>
        <w:lastRenderedPageBreak/>
        <w:t>Table A1.</w:t>
      </w:r>
      <w:r w:rsidR="00CD298E">
        <w:t>2</w:t>
      </w:r>
      <w:r w:rsidRPr="00B748C3">
        <w:t xml:space="preserve">: </w:t>
      </w:r>
      <w:r>
        <w:t xml:space="preserve">Food classes </w:t>
      </w:r>
      <w:r w:rsidR="00930DC6">
        <w:t xml:space="preserve">where different data sources were available </w:t>
      </w:r>
      <w:r>
        <w:t>and where concentration data were used in the dietary exposure assessment</w:t>
      </w:r>
      <w:r w:rsidRPr="00B748C3">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A1.3: Food classes where different data sources were available and where concentration data were used in the dietary exposure assessment "/>
        <w:tblDescription w:val="Food classes where different data sources were available and where concentration data were used in the dietary exposure assessment "/>
      </w:tblPr>
      <w:tblGrid>
        <w:gridCol w:w="1124"/>
        <w:gridCol w:w="3833"/>
        <w:gridCol w:w="1559"/>
        <w:gridCol w:w="1276"/>
        <w:gridCol w:w="1559"/>
      </w:tblGrid>
      <w:tr w:rsidR="001F4501" w:rsidRPr="005B3846" w14:paraId="64D9C883" w14:textId="462D6B8F" w:rsidTr="00F92FFF">
        <w:trPr>
          <w:trHeight w:val="610"/>
          <w:tblHeader/>
        </w:trPr>
        <w:tc>
          <w:tcPr>
            <w:tcW w:w="1124" w:type="dxa"/>
            <w:shd w:val="clear" w:color="auto" w:fill="auto"/>
            <w:vAlign w:val="bottom"/>
            <w:hideMark/>
          </w:tcPr>
          <w:p w14:paraId="3DA0BAFB" w14:textId="77777777" w:rsidR="00891767" w:rsidRPr="005B3846" w:rsidRDefault="00891767" w:rsidP="006A1C46">
            <w:pPr>
              <w:widowControl/>
              <w:rPr>
                <w:rFonts w:cs="Arial"/>
                <w:b/>
                <w:bCs/>
                <w:iCs/>
                <w:color w:val="000000"/>
                <w:sz w:val="20"/>
                <w:szCs w:val="20"/>
                <w:lang w:eastAsia="en-GB" w:bidi="ar-SA"/>
              </w:rPr>
            </w:pPr>
            <w:r w:rsidRPr="005B3846">
              <w:rPr>
                <w:rFonts w:cs="Arial"/>
                <w:b/>
                <w:bCs/>
                <w:iCs/>
                <w:color w:val="000000"/>
                <w:sz w:val="20"/>
                <w:szCs w:val="20"/>
                <w:lang w:eastAsia="en-GB" w:bidi="ar-SA"/>
              </w:rPr>
              <w:t>Food class number</w:t>
            </w:r>
          </w:p>
        </w:tc>
        <w:tc>
          <w:tcPr>
            <w:tcW w:w="3833" w:type="dxa"/>
            <w:shd w:val="clear" w:color="auto" w:fill="auto"/>
            <w:vAlign w:val="bottom"/>
            <w:hideMark/>
          </w:tcPr>
          <w:p w14:paraId="5A3208F2" w14:textId="58C333B8" w:rsidR="00891767" w:rsidRPr="005B3846" w:rsidRDefault="00891767" w:rsidP="006A1C46">
            <w:pPr>
              <w:widowControl/>
              <w:rPr>
                <w:rFonts w:cs="Arial"/>
                <w:b/>
                <w:bCs/>
                <w:iCs/>
                <w:color w:val="000000"/>
                <w:sz w:val="20"/>
                <w:szCs w:val="20"/>
                <w:lang w:eastAsia="en-GB" w:bidi="ar-SA"/>
              </w:rPr>
            </w:pPr>
            <w:r w:rsidRPr="005B3846">
              <w:rPr>
                <w:rFonts w:cs="Arial"/>
                <w:b/>
                <w:bCs/>
                <w:iCs/>
                <w:color w:val="000000"/>
                <w:sz w:val="20"/>
                <w:szCs w:val="20"/>
                <w:lang w:eastAsia="en-GB" w:bidi="ar-SA"/>
              </w:rPr>
              <w:t>Food class name</w:t>
            </w:r>
          </w:p>
        </w:tc>
        <w:tc>
          <w:tcPr>
            <w:tcW w:w="1559" w:type="dxa"/>
            <w:shd w:val="clear" w:color="auto" w:fill="auto"/>
            <w:vAlign w:val="bottom"/>
          </w:tcPr>
          <w:p w14:paraId="4C8E1CFB" w14:textId="76E82C3C" w:rsidR="00891767" w:rsidRPr="005B3846" w:rsidRDefault="00891767" w:rsidP="006A1C46">
            <w:pPr>
              <w:widowControl/>
              <w:jc w:val="center"/>
              <w:rPr>
                <w:rFonts w:cs="Arial"/>
                <w:b/>
                <w:bCs/>
                <w:iCs/>
                <w:color w:val="000000"/>
                <w:sz w:val="20"/>
                <w:szCs w:val="20"/>
                <w:lang w:eastAsia="en-GB" w:bidi="ar-SA"/>
              </w:rPr>
            </w:pPr>
            <w:r w:rsidRPr="005B3846">
              <w:rPr>
                <w:rFonts w:cs="Arial"/>
                <w:b/>
                <w:bCs/>
                <w:iCs/>
                <w:color w:val="000000"/>
                <w:sz w:val="20"/>
                <w:szCs w:val="20"/>
                <w:lang w:eastAsia="en-GB" w:bidi="ar-SA"/>
              </w:rPr>
              <w:t xml:space="preserve">Australia or New Zealand industry data </w:t>
            </w:r>
            <w:r>
              <w:rPr>
                <w:rFonts w:cs="Arial"/>
                <w:b/>
                <w:bCs/>
                <w:iCs/>
                <w:color w:val="000000"/>
                <w:sz w:val="20"/>
                <w:szCs w:val="20"/>
                <w:lang w:eastAsia="en-GB" w:bidi="ar-SA"/>
              </w:rPr>
              <w:t>provided</w:t>
            </w:r>
          </w:p>
        </w:tc>
        <w:tc>
          <w:tcPr>
            <w:tcW w:w="1276" w:type="dxa"/>
            <w:vAlign w:val="bottom"/>
          </w:tcPr>
          <w:p w14:paraId="26346B91" w14:textId="281D9A77" w:rsidR="00891767" w:rsidRDefault="00891767" w:rsidP="006A1C46">
            <w:pPr>
              <w:widowControl/>
              <w:jc w:val="center"/>
              <w:rPr>
                <w:rFonts w:cs="Arial"/>
                <w:b/>
                <w:bCs/>
                <w:iCs/>
                <w:color w:val="000000"/>
                <w:sz w:val="20"/>
                <w:szCs w:val="20"/>
                <w:lang w:eastAsia="en-GB" w:bidi="ar-SA"/>
              </w:rPr>
            </w:pPr>
            <w:r>
              <w:rPr>
                <w:rFonts w:cs="Arial"/>
                <w:b/>
                <w:bCs/>
                <w:iCs/>
                <w:color w:val="000000"/>
                <w:sz w:val="20"/>
                <w:szCs w:val="20"/>
                <w:lang w:eastAsia="en-GB" w:bidi="ar-SA"/>
              </w:rPr>
              <w:t>GS1 data indicated use</w:t>
            </w:r>
          </w:p>
        </w:tc>
        <w:tc>
          <w:tcPr>
            <w:tcW w:w="1559" w:type="dxa"/>
            <w:shd w:val="clear" w:color="auto" w:fill="auto"/>
            <w:vAlign w:val="bottom"/>
          </w:tcPr>
          <w:p w14:paraId="02FAA6B3" w14:textId="0F61638A" w:rsidR="00891767" w:rsidRPr="005B3846" w:rsidRDefault="00891767" w:rsidP="006A1C46">
            <w:pPr>
              <w:widowControl/>
              <w:jc w:val="center"/>
              <w:rPr>
                <w:rFonts w:cs="Arial"/>
                <w:b/>
                <w:bCs/>
                <w:iCs/>
                <w:color w:val="000000"/>
                <w:sz w:val="20"/>
                <w:szCs w:val="20"/>
                <w:lang w:eastAsia="en-GB" w:bidi="ar-SA"/>
              </w:rPr>
            </w:pPr>
            <w:r>
              <w:rPr>
                <w:rFonts w:cs="Arial"/>
                <w:b/>
                <w:bCs/>
                <w:iCs/>
                <w:color w:val="000000"/>
                <w:sz w:val="20"/>
                <w:szCs w:val="20"/>
                <w:lang w:eastAsia="en-GB" w:bidi="ar-SA"/>
              </w:rPr>
              <w:t>International*</w:t>
            </w:r>
            <w:r w:rsidRPr="005B3846">
              <w:rPr>
                <w:rFonts w:cs="Arial"/>
                <w:b/>
                <w:bCs/>
                <w:iCs/>
                <w:color w:val="000000"/>
                <w:sz w:val="20"/>
                <w:szCs w:val="20"/>
                <w:lang w:eastAsia="en-GB" w:bidi="ar-SA"/>
              </w:rPr>
              <w:t xml:space="preserve"> data used</w:t>
            </w:r>
            <w:r>
              <w:rPr>
                <w:rFonts w:cs="Arial"/>
                <w:b/>
                <w:bCs/>
                <w:iCs/>
                <w:color w:val="000000"/>
                <w:sz w:val="20"/>
                <w:szCs w:val="20"/>
                <w:lang w:eastAsia="en-GB" w:bidi="ar-SA"/>
              </w:rPr>
              <w:t xml:space="preserve"> in the ANZ+Int scenarios</w:t>
            </w:r>
          </w:p>
        </w:tc>
      </w:tr>
      <w:tr w:rsidR="001F4501" w:rsidRPr="005B3846" w14:paraId="185FA986" w14:textId="12CED274" w:rsidTr="00F92FFF">
        <w:tc>
          <w:tcPr>
            <w:tcW w:w="1124" w:type="dxa"/>
            <w:shd w:val="clear" w:color="auto" w:fill="auto"/>
            <w:noWrap/>
            <w:hideMark/>
          </w:tcPr>
          <w:p w14:paraId="11EE3F3C"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0</w:t>
            </w:r>
          </w:p>
        </w:tc>
        <w:tc>
          <w:tcPr>
            <w:tcW w:w="3833" w:type="dxa"/>
            <w:shd w:val="clear" w:color="auto" w:fill="auto"/>
            <w:hideMark/>
          </w:tcPr>
          <w:p w14:paraId="7BFC8BA7" w14:textId="5EED882C"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Preparati</w:t>
            </w:r>
            <w:r w:rsidR="006B1447">
              <w:rPr>
                <w:rFonts w:cs="Arial"/>
                <w:bCs/>
                <w:iCs/>
                <w:color w:val="000000"/>
                <w:sz w:val="20"/>
                <w:szCs w:val="20"/>
                <w:lang w:eastAsia="en-GB" w:bidi="ar-SA"/>
              </w:rPr>
              <w:t>ons of food additives</w:t>
            </w:r>
          </w:p>
        </w:tc>
        <w:tc>
          <w:tcPr>
            <w:tcW w:w="1559" w:type="dxa"/>
            <w:shd w:val="clear" w:color="auto" w:fill="auto"/>
          </w:tcPr>
          <w:p w14:paraId="228681FA" w14:textId="553A10DA" w:rsidR="00891767" w:rsidRPr="00891767" w:rsidRDefault="00891767" w:rsidP="00891767">
            <w:pPr>
              <w:widowControl/>
              <w:jc w:val="center"/>
              <w:rPr>
                <w:rFonts w:cs="Arial"/>
                <w:bCs/>
                <w:iCs/>
                <w:color w:val="000000"/>
                <w:sz w:val="24"/>
                <w:szCs w:val="20"/>
                <w:lang w:eastAsia="en-GB" w:bidi="ar-SA"/>
              </w:rPr>
            </w:pPr>
            <w:r w:rsidRPr="00891767">
              <w:rPr>
                <w:rFonts w:cs="Arial"/>
                <w:bCs/>
                <w:iCs/>
                <w:color w:val="000000"/>
                <w:sz w:val="24"/>
                <w:szCs w:val="20"/>
                <w:lang w:eastAsia="en-GB" w:bidi="ar-SA"/>
              </w:rPr>
              <w:sym w:font="Wingdings" w:char="F0FC"/>
            </w:r>
          </w:p>
        </w:tc>
        <w:tc>
          <w:tcPr>
            <w:tcW w:w="1276" w:type="dxa"/>
          </w:tcPr>
          <w:p w14:paraId="6F2C4269" w14:textId="12BB819A" w:rsidR="00891767" w:rsidRPr="00891767" w:rsidRDefault="00891767" w:rsidP="00891767">
            <w:pPr>
              <w:widowControl/>
              <w:jc w:val="center"/>
              <w:rPr>
                <w:rFonts w:cs="Arial"/>
                <w:bCs/>
                <w:iCs/>
                <w:color w:val="000000"/>
                <w:sz w:val="24"/>
                <w:szCs w:val="20"/>
                <w:lang w:eastAsia="en-GB" w:bidi="ar-SA"/>
              </w:rPr>
            </w:pPr>
            <w:r w:rsidRPr="00891767">
              <w:rPr>
                <w:rFonts w:cs="Arial"/>
                <w:bCs/>
                <w:iCs/>
                <w:color w:val="000000"/>
                <w:sz w:val="24"/>
                <w:szCs w:val="20"/>
                <w:lang w:eastAsia="en-GB" w:bidi="ar-SA"/>
              </w:rPr>
              <w:sym w:font="Wingdings" w:char="F0FC"/>
            </w:r>
          </w:p>
        </w:tc>
        <w:tc>
          <w:tcPr>
            <w:tcW w:w="1559" w:type="dxa"/>
            <w:shd w:val="clear" w:color="auto" w:fill="auto"/>
          </w:tcPr>
          <w:p w14:paraId="1D35147C" w14:textId="156C19F3" w:rsidR="00891767" w:rsidRPr="00891767" w:rsidRDefault="00891767" w:rsidP="00891767">
            <w:pPr>
              <w:widowControl/>
              <w:jc w:val="center"/>
              <w:rPr>
                <w:rFonts w:cs="Arial"/>
                <w:bCs/>
                <w:iCs/>
                <w:color w:val="000000"/>
                <w:sz w:val="24"/>
                <w:szCs w:val="20"/>
                <w:lang w:eastAsia="en-GB" w:bidi="ar-SA"/>
              </w:rPr>
            </w:pPr>
            <w:r w:rsidRPr="00891767">
              <w:rPr>
                <w:rFonts w:cs="Arial"/>
                <w:bCs/>
                <w:iCs/>
                <w:color w:val="000000"/>
                <w:sz w:val="24"/>
                <w:szCs w:val="20"/>
                <w:lang w:eastAsia="en-GB" w:bidi="ar-SA"/>
              </w:rPr>
              <w:sym w:font="Wingdings" w:char="F0FB"/>
            </w:r>
          </w:p>
        </w:tc>
      </w:tr>
      <w:tr w:rsidR="001F4501" w:rsidRPr="005B3846" w14:paraId="2217467A" w14:textId="2E5C2411" w:rsidTr="00F92FFF">
        <w:tc>
          <w:tcPr>
            <w:tcW w:w="1124" w:type="dxa"/>
            <w:shd w:val="clear" w:color="auto" w:fill="auto"/>
            <w:noWrap/>
            <w:hideMark/>
          </w:tcPr>
          <w:p w14:paraId="39302252"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1.1.1</w:t>
            </w:r>
          </w:p>
        </w:tc>
        <w:tc>
          <w:tcPr>
            <w:tcW w:w="3833" w:type="dxa"/>
            <w:shd w:val="clear" w:color="auto" w:fill="auto"/>
            <w:hideMark/>
          </w:tcPr>
          <w:p w14:paraId="06A17D1B"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Liquid milk (including buttermilk) (Only UHT goats milk)</w:t>
            </w:r>
          </w:p>
        </w:tc>
        <w:tc>
          <w:tcPr>
            <w:tcW w:w="1559" w:type="dxa"/>
            <w:shd w:val="clear" w:color="auto" w:fill="auto"/>
          </w:tcPr>
          <w:p w14:paraId="7C493C10" w14:textId="67F2B9BC"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13F09272" w14:textId="2BF893EE"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2092280D" w14:textId="7C84F67A"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5C1C45CC" w14:textId="5D7D3253" w:rsidTr="00F92FFF">
        <w:tc>
          <w:tcPr>
            <w:tcW w:w="1124" w:type="dxa"/>
            <w:shd w:val="clear" w:color="auto" w:fill="auto"/>
            <w:noWrap/>
            <w:hideMark/>
          </w:tcPr>
          <w:p w14:paraId="71F7824B"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1.1.2</w:t>
            </w:r>
          </w:p>
        </w:tc>
        <w:tc>
          <w:tcPr>
            <w:tcW w:w="3833" w:type="dxa"/>
            <w:shd w:val="clear" w:color="auto" w:fill="auto"/>
            <w:hideMark/>
          </w:tcPr>
          <w:p w14:paraId="3F4E7E7E"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Liquid milk products and flavoured liquid milk</w:t>
            </w:r>
          </w:p>
        </w:tc>
        <w:tc>
          <w:tcPr>
            <w:tcW w:w="1559" w:type="dxa"/>
            <w:shd w:val="clear" w:color="auto" w:fill="auto"/>
          </w:tcPr>
          <w:p w14:paraId="41577C5E" w14:textId="43A52A22"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71770568" w14:textId="7A4FDBC9" w:rsidR="00891767" w:rsidRPr="002446C7" w:rsidRDefault="00891767" w:rsidP="00891767">
            <w:pPr>
              <w:widowControl/>
              <w:jc w:val="center"/>
              <w:rPr>
                <w:rFonts w:cs="Arial"/>
                <w:bCs/>
                <w:iCs/>
                <w:color w:val="000000"/>
                <w:sz w:val="24"/>
                <w:szCs w:val="20"/>
                <w:lang w:eastAsia="en-GB" w:bidi="ar-SA"/>
              </w:rPr>
            </w:pPr>
            <w:r>
              <w:rPr>
                <w:rFonts w:cs="Arial"/>
                <w:bCs/>
                <w:iCs/>
                <w:color w:val="000000"/>
                <w:sz w:val="24"/>
                <w:szCs w:val="20"/>
                <w:lang w:eastAsia="en-GB" w:bidi="ar-SA"/>
              </w:rPr>
              <w:sym w:font="Wingdings" w:char="F0FB"/>
            </w:r>
          </w:p>
        </w:tc>
        <w:tc>
          <w:tcPr>
            <w:tcW w:w="1559" w:type="dxa"/>
            <w:shd w:val="clear" w:color="auto" w:fill="auto"/>
          </w:tcPr>
          <w:p w14:paraId="544AFEC2" w14:textId="3ECD9FC4"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0C79C545" w14:textId="5A1B47EF" w:rsidTr="00F92FFF">
        <w:tc>
          <w:tcPr>
            <w:tcW w:w="1124" w:type="dxa"/>
            <w:shd w:val="clear" w:color="auto" w:fill="auto"/>
            <w:noWrap/>
            <w:hideMark/>
          </w:tcPr>
          <w:p w14:paraId="449DEA77" w14:textId="1F0AC59E"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1.2.2</w:t>
            </w:r>
          </w:p>
        </w:tc>
        <w:tc>
          <w:tcPr>
            <w:tcW w:w="3833" w:type="dxa"/>
            <w:shd w:val="clear" w:color="auto" w:fill="auto"/>
            <w:hideMark/>
          </w:tcPr>
          <w:p w14:paraId="7938ACCC"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Fermented milk products and rennetted milk products</w:t>
            </w:r>
          </w:p>
        </w:tc>
        <w:tc>
          <w:tcPr>
            <w:tcW w:w="1559" w:type="dxa"/>
            <w:shd w:val="clear" w:color="auto" w:fill="auto"/>
          </w:tcPr>
          <w:p w14:paraId="0E49F896" w14:textId="271C2210"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5B92F390" w14:textId="64AFB56A"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46D24A50" w14:textId="5FBFC91B"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4BC0E66C" w14:textId="6C9206F6" w:rsidTr="00F92FFF">
        <w:tc>
          <w:tcPr>
            <w:tcW w:w="1124" w:type="dxa"/>
            <w:shd w:val="clear" w:color="auto" w:fill="auto"/>
            <w:noWrap/>
            <w:hideMark/>
          </w:tcPr>
          <w:p w14:paraId="36919240" w14:textId="5B74DEE1"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1.3</w:t>
            </w:r>
          </w:p>
        </w:tc>
        <w:tc>
          <w:tcPr>
            <w:tcW w:w="3833" w:type="dxa"/>
            <w:shd w:val="clear" w:color="auto" w:fill="auto"/>
            <w:hideMark/>
          </w:tcPr>
          <w:p w14:paraId="09A48535"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Condensed milk and evaporated milk</w:t>
            </w:r>
          </w:p>
        </w:tc>
        <w:tc>
          <w:tcPr>
            <w:tcW w:w="1559" w:type="dxa"/>
            <w:shd w:val="clear" w:color="auto" w:fill="auto"/>
          </w:tcPr>
          <w:p w14:paraId="07970192" w14:textId="5F5456F7"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4C32C722" w14:textId="43CF860A"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4724042C" w14:textId="1EA8C8F9"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3353C4AC" w14:textId="7B236A66" w:rsidTr="00F92FFF">
        <w:tc>
          <w:tcPr>
            <w:tcW w:w="1124" w:type="dxa"/>
            <w:shd w:val="clear" w:color="auto" w:fill="auto"/>
            <w:noWrap/>
            <w:hideMark/>
          </w:tcPr>
          <w:p w14:paraId="4254A04A" w14:textId="09C152BE"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1.4.1</w:t>
            </w:r>
          </w:p>
        </w:tc>
        <w:tc>
          <w:tcPr>
            <w:tcW w:w="3833" w:type="dxa"/>
            <w:shd w:val="clear" w:color="auto" w:fill="auto"/>
            <w:hideMark/>
          </w:tcPr>
          <w:p w14:paraId="439615AB"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Cream, reduced cream and light cream (Only UHT creams and creams receiving equivalent or greater heat treatments)</w:t>
            </w:r>
          </w:p>
        </w:tc>
        <w:tc>
          <w:tcPr>
            <w:tcW w:w="1559" w:type="dxa"/>
            <w:shd w:val="clear" w:color="auto" w:fill="auto"/>
          </w:tcPr>
          <w:p w14:paraId="6FCA1257" w14:textId="589E860D"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7C5138C3" w14:textId="0B560201"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362E8FEA" w14:textId="00B008E0"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5531E256" w14:textId="009044B0" w:rsidTr="00F92FFF">
        <w:tc>
          <w:tcPr>
            <w:tcW w:w="1124" w:type="dxa"/>
            <w:shd w:val="clear" w:color="auto" w:fill="auto"/>
            <w:noWrap/>
            <w:hideMark/>
          </w:tcPr>
          <w:p w14:paraId="2FACCAF5" w14:textId="77AA870C"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1.4.2</w:t>
            </w:r>
          </w:p>
        </w:tc>
        <w:tc>
          <w:tcPr>
            <w:tcW w:w="3833" w:type="dxa"/>
            <w:shd w:val="clear" w:color="auto" w:fill="auto"/>
            <w:hideMark/>
          </w:tcPr>
          <w:p w14:paraId="12F2F5FE"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Cream products (flavoured, whipped, thickened, sour cream etc)</w:t>
            </w:r>
          </w:p>
        </w:tc>
        <w:tc>
          <w:tcPr>
            <w:tcW w:w="1559" w:type="dxa"/>
            <w:shd w:val="clear" w:color="auto" w:fill="auto"/>
          </w:tcPr>
          <w:p w14:paraId="0DD3D4B6" w14:textId="54EA6B30"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226D8366" w14:textId="7D97A811"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12940FE1" w14:textId="6C9EC80D"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6A1171C6" w14:textId="31B35AE0" w:rsidTr="00F92FFF">
        <w:tc>
          <w:tcPr>
            <w:tcW w:w="1124" w:type="dxa"/>
            <w:shd w:val="clear" w:color="auto" w:fill="auto"/>
            <w:noWrap/>
            <w:hideMark/>
          </w:tcPr>
          <w:p w14:paraId="75C4CE89" w14:textId="791E0CEF"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1.5</w:t>
            </w:r>
          </w:p>
        </w:tc>
        <w:tc>
          <w:tcPr>
            <w:tcW w:w="3833" w:type="dxa"/>
            <w:shd w:val="clear" w:color="auto" w:fill="auto"/>
            <w:hideMark/>
          </w:tcPr>
          <w:p w14:paraId="1A34610C"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Dried milk, milk powder, cream powder</w:t>
            </w:r>
          </w:p>
        </w:tc>
        <w:tc>
          <w:tcPr>
            <w:tcW w:w="1559" w:type="dxa"/>
            <w:shd w:val="clear" w:color="auto" w:fill="auto"/>
          </w:tcPr>
          <w:p w14:paraId="667BC5D3" w14:textId="2DAB071B"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43494B86" w14:textId="3E178DDC"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35611FE5" w14:textId="535D7473"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51B5C3BB" w14:textId="6D288B6D" w:rsidTr="00F92FFF">
        <w:tc>
          <w:tcPr>
            <w:tcW w:w="1124" w:type="dxa"/>
            <w:shd w:val="clear" w:color="auto" w:fill="auto"/>
            <w:noWrap/>
            <w:hideMark/>
          </w:tcPr>
          <w:p w14:paraId="3A46B41D" w14:textId="6B250FF2"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1.6</w:t>
            </w:r>
          </w:p>
        </w:tc>
        <w:tc>
          <w:tcPr>
            <w:tcW w:w="3833" w:type="dxa"/>
            <w:shd w:val="clear" w:color="auto" w:fill="auto"/>
            <w:hideMark/>
          </w:tcPr>
          <w:p w14:paraId="457887B0"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Cheese and cheese products</w:t>
            </w:r>
          </w:p>
        </w:tc>
        <w:tc>
          <w:tcPr>
            <w:tcW w:w="1559" w:type="dxa"/>
            <w:shd w:val="clear" w:color="auto" w:fill="auto"/>
          </w:tcPr>
          <w:p w14:paraId="3BFA4BE5" w14:textId="73EE4E2C"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0833FBE2" w14:textId="28AA0A2A"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0C3E6BAF" w14:textId="5517AC25"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6458BB7C" w14:textId="03FA3614" w:rsidTr="00F92FFF">
        <w:tc>
          <w:tcPr>
            <w:tcW w:w="1124" w:type="dxa"/>
            <w:shd w:val="clear" w:color="auto" w:fill="auto"/>
            <w:noWrap/>
            <w:hideMark/>
          </w:tcPr>
          <w:p w14:paraId="5D20345E" w14:textId="0EB2DF81"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2.1</w:t>
            </w:r>
          </w:p>
        </w:tc>
        <w:tc>
          <w:tcPr>
            <w:tcW w:w="3833" w:type="dxa"/>
            <w:shd w:val="clear" w:color="auto" w:fill="auto"/>
            <w:hideMark/>
          </w:tcPr>
          <w:p w14:paraId="3785F302"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Edible oils essentially free of water</w:t>
            </w:r>
          </w:p>
        </w:tc>
        <w:tc>
          <w:tcPr>
            <w:tcW w:w="1559" w:type="dxa"/>
            <w:shd w:val="clear" w:color="auto" w:fill="auto"/>
          </w:tcPr>
          <w:p w14:paraId="28C86D0B" w14:textId="1B3C3BB9"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12C88817" w14:textId="3192A7DB"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2C0C0641" w14:textId="4EC5BBF5"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00460EB7" w14:textId="4C9D0B7A" w:rsidTr="00F92FFF">
        <w:tc>
          <w:tcPr>
            <w:tcW w:w="1124" w:type="dxa"/>
            <w:shd w:val="clear" w:color="auto" w:fill="auto"/>
            <w:noWrap/>
            <w:hideMark/>
          </w:tcPr>
          <w:p w14:paraId="3B1D7603" w14:textId="0F776131"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2.2.1.2</w:t>
            </w:r>
          </w:p>
        </w:tc>
        <w:tc>
          <w:tcPr>
            <w:tcW w:w="3833" w:type="dxa"/>
            <w:shd w:val="clear" w:color="auto" w:fill="auto"/>
            <w:hideMark/>
          </w:tcPr>
          <w:p w14:paraId="7445357E"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Butter products</w:t>
            </w:r>
          </w:p>
        </w:tc>
        <w:tc>
          <w:tcPr>
            <w:tcW w:w="1559" w:type="dxa"/>
            <w:shd w:val="clear" w:color="auto" w:fill="auto"/>
          </w:tcPr>
          <w:p w14:paraId="1E220BE6" w14:textId="00022822"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219120A2" w14:textId="623E47C9"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1B2F4A67" w14:textId="41CAF120"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27FF6E42" w14:textId="32FAF661" w:rsidTr="00F92FFF">
        <w:tc>
          <w:tcPr>
            <w:tcW w:w="1124" w:type="dxa"/>
            <w:shd w:val="clear" w:color="auto" w:fill="auto"/>
            <w:noWrap/>
            <w:hideMark/>
          </w:tcPr>
          <w:p w14:paraId="1AAF25ED" w14:textId="2BCC1A33"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2.2.1.3</w:t>
            </w:r>
          </w:p>
        </w:tc>
        <w:tc>
          <w:tcPr>
            <w:tcW w:w="3833" w:type="dxa"/>
            <w:shd w:val="clear" w:color="auto" w:fill="auto"/>
            <w:hideMark/>
          </w:tcPr>
          <w:p w14:paraId="4C4EA55A"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Margarine and similar products</w:t>
            </w:r>
          </w:p>
        </w:tc>
        <w:tc>
          <w:tcPr>
            <w:tcW w:w="1559" w:type="dxa"/>
            <w:shd w:val="clear" w:color="auto" w:fill="auto"/>
          </w:tcPr>
          <w:p w14:paraId="002A5502" w14:textId="17F349F6"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7C042907" w14:textId="0A54D1F3"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730BD536" w14:textId="08929FAB"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0AA3B476" w14:textId="1B7FC7DA" w:rsidTr="00F92FFF">
        <w:tc>
          <w:tcPr>
            <w:tcW w:w="1124" w:type="dxa"/>
            <w:shd w:val="clear" w:color="auto" w:fill="auto"/>
            <w:noWrap/>
            <w:hideMark/>
          </w:tcPr>
          <w:p w14:paraId="0D35A296" w14:textId="25E2CF8F"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2.2.2</w:t>
            </w:r>
          </w:p>
        </w:tc>
        <w:tc>
          <w:tcPr>
            <w:tcW w:w="3833" w:type="dxa"/>
            <w:shd w:val="clear" w:color="auto" w:fill="auto"/>
            <w:hideMark/>
          </w:tcPr>
          <w:p w14:paraId="5DAB0857"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Oil emulsions (&lt;80% oil)</w:t>
            </w:r>
          </w:p>
        </w:tc>
        <w:tc>
          <w:tcPr>
            <w:tcW w:w="1559" w:type="dxa"/>
            <w:shd w:val="clear" w:color="auto" w:fill="auto"/>
          </w:tcPr>
          <w:p w14:paraId="056BE61F" w14:textId="24F31975"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5AF14561" w14:textId="73070847"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1767F80C" w14:textId="6B594677"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B"/>
            </w:r>
          </w:p>
        </w:tc>
      </w:tr>
      <w:tr w:rsidR="001F4501" w:rsidRPr="005B3846" w14:paraId="6C624432" w14:textId="3E8F6D95" w:rsidTr="00F92FFF">
        <w:tc>
          <w:tcPr>
            <w:tcW w:w="1124" w:type="dxa"/>
            <w:shd w:val="clear" w:color="auto" w:fill="auto"/>
            <w:noWrap/>
            <w:hideMark/>
          </w:tcPr>
          <w:p w14:paraId="454ECD03" w14:textId="5B7D83CB"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3</w:t>
            </w:r>
          </w:p>
        </w:tc>
        <w:tc>
          <w:tcPr>
            <w:tcW w:w="3833" w:type="dxa"/>
            <w:shd w:val="clear" w:color="auto" w:fill="auto"/>
            <w:hideMark/>
          </w:tcPr>
          <w:p w14:paraId="7B1BC421"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Ice cream and edible ices</w:t>
            </w:r>
          </w:p>
        </w:tc>
        <w:tc>
          <w:tcPr>
            <w:tcW w:w="1559" w:type="dxa"/>
            <w:shd w:val="clear" w:color="auto" w:fill="auto"/>
          </w:tcPr>
          <w:p w14:paraId="7340103C" w14:textId="7C0EDFDF"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2E70351E" w14:textId="6FD5840D"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7BBBBD83" w14:textId="2615D3EF"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C"/>
            </w:r>
          </w:p>
        </w:tc>
      </w:tr>
      <w:tr w:rsidR="001F4501" w:rsidRPr="005B3846" w14:paraId="6B086EBE" w14:textId="19A193E7" w:rsidTr="00F92FFF">
        <w:tc>
          <w:tcPr>
            <w:tcW w:w="1124" w:type="dxa"/>
            <w:shd w:val="clear" w:color="auto" w:fill="auto"/>
            <w:noWrap/>
            <w:hideMark/>
          </w:tcPr>
          <w:p w14:paraId="10DF2AE0" w14:textId="5FBD82AF"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4.1.2.1</w:t>
            </w:r>
          </w:p>
        </w:tc>
        <w:tc>
          <w:tcPr>
            <w:tcW w:w="3833" w:type="dxa"/>
            <w:shd w:val="clear" w:color="auto" w:fill="auto"/>
            <w:hideMark/>
          </w:tcPr>
          <w:p w14:paraId="5C7C9ED4"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Citrus fruit</w:t>
            </w:r>
          </w:p>
        </w:tc>
        <w:tc>
          <w:tcPr>
            <w:tcW w:w="1559" w:type="dxa"/>
            <w:shd w:val="clear" w:color="auto" w:fill="auto"/>
          </w:tcPr>
          <w:p w14:paraId="33E6017C" w14:textId="305F211F"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57C1D8E6" w14:textId="6D37D517"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19D3BD0E" w14:textId="5CB646AA" w:rsidR="00891767" w:rsidRPr="00C94009" w:rsidRDefault="00891767" w:rsidP="00891767">
            <w:pPr>
              <w:widowControl/>
              <w:jc w:val="center"/>
              <w:rPr>
                <w:rFonts w:cs="Arial"/>
                <w:bCs/>
                <w:iCs/>
                <w:color w:val="000000"/>
                <w:sz w:val="24"/>
                <w:szCs w:val="20"/>
                <w:highlight w:val="yellow"/>
                <w:lang w:eastAsia="en-GB" w:bidi="ar-SA"/>
              </w:rPr>
            </w:pPr>
            <w:r w:rsidRPr="00682F41">
              <w:rPr>
                <w:rFonts w:cs="Arial"/>
                <w:bCs/>
                <w:iCs/>
                <w:color w:val="000000"/>
                <w:sz w:val="24"/>
                <w:szCs w:val="20"/>
                <w:lang w:eastAsia="en-GB" w:bidi="ar-SA"/>
              </w:rPr>
              <w:sym w:font="Wingdings" w:char="F0FB"/>
            </w:r>
          </w:p>
        </w:tc>
      </w:tr>
      <w:tr w:rsidR="001F4501" w:rsidRPr="005B3846" w14:paraId="695ED2C6" w14:textId="24FEE7C0" w:rsidTr="00F92FFF">
        <w:tc>
          <w:tcPr>
            <w:tcW w:w="1124" w:type="dxa"/>
            <w:shd w:val="clear" w:color="auto" w:fill="auto"/>
            <w:noWrap/>
            <w:hideMark/>
          </w:tcPr>
          <w:p w14:paraId="3D8D52C1" w14:textId="7A10EFC2"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4.1.3</w:t>
            </w:r>
          </w:p>
        </w:tc>
        <w:tc>
          <w:tcPr>
            <w:tcW w:w="3833" w:type="dxa"/>
            <w:shd w:val="clear" w:color="auto" w:fill="auto"/>
            <w:hideMark/>
          </w:tcPr>
          <w:p w14:paraId="71AC86F5"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Fruits and vegetables that are peeled, cut, or both peeled and cut</w:t>
            </w:r>
          </w:p>
        </w:tc>
        <w:tc>
          <w:tcPr>
            <w:tcW w:w="1559" w:type="dxa"/>
            <w:shd w:val="clear" w:color="auto" w:fill="auto"/>
          </w:tcPr>
          <w:p w14:paraId="02C264D6" w14:textId="08F89E25"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1F6D8F5E" w14:textId="11F6C2A1"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76A314B8" w14:textId="2B05FAA6" w:rsidR="00891767" w:rsidRPr="00C94009" w:rsidRDefault="00891767" w:rsidP="00891767">
            <w:pPr>
              <w:widowControl/>
              <w:jc w:val="center"/>
              <w:rPr>
                <w:rFonts w:cs="Arial"/>
                <w:bCs/>
                <w:iCs/>
                <w:color w:val="000000"/>
                <w:sz w:val="24"/>
                <w:szCs w:val="20"/>
                <w:highlight w:val="yellow"/>
                <w:lang w:eastAsia="en-GB" w:bidi="ar-SA"/>
              </w:rPr>
            </w:pPr>
            <w:r w:rsidRPr="00682F41">
              <w:rPr>
                <w:rFonts w:cs="Arial"/>
                <w:bCs/>
                <w:iCs/>
                <w:color w:val="000000"/>
                <w:sz w:val="24"/>
                <w:szCs w:val="20"/>
                <w:lang w:eastAsia="en-GB" w:bidi="ar-SA"/>
              </w:rPr>
              <w:sym w:font="Wingdings" w:char="F0FB"/>
            </w:r>
          </w:p>
        </w:tc>
      </w:tr>
      <w:tr w:rsidR="001F4501" w:rsidRPr="005B3846" w14:paraId="20FC131A" w14:textId="18D1F8B3" w:rsidTr="00F92FFF">
        <w:tc>
          <w:tcPr>
            <w:tcW w:w="1124" w:type="dxa"/>
            <w:shd w:val="clear" w:color="auto" w:fill="auto"/>
            <w:noWrap/>
            <w:hideMark/>
          </w:tcPr>
          <w:p w14:paraId="75C8F77A" w14:textId="7E5F0238"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4.3</w:t>
            </w:r>
          </w:p>
        </w:tc>
        <w:tc>
          <w:tcPr>
            <w:tcW w:w="3833" w:type="dxa"/>
            <w:shd w:val="clear" w:color="auto" w:fill="auto"/>
            <w:hideMark/>
          </w:tcPr>
          <w:p w14:paraId="39CB05B2"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Processed fruits and vegetables</w:t>
            </w:r>
          </w:p>
        </w:tc>
        <w:tc>
          <w:tcPr>
            <w:tcW w:w="1559" w:type="dxa"/>
            <w:shd w:val="clear" w:color="auto" w:fill="auto"/>
          </w:tcPr>
          <w:p w14:paraId="3CA6599A" w14:textId="51943E93" w:rsidR="00891767" w:rsidRPr="00682F41" w:rsidRDefault="00731C92"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084AC8C6" w14:textId="7A00BA5A" w:rsidR="00891767" w:rsidRPr="002446C7" w:rsidRDefault="00731C92"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54C83DEA" w14:textId="551E590A"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C"/>
            </w:r>
          </w:p>
        </w:tc>
      </w:tr>
      <w:tr w:rsidR="001F4501" w:rsidRPr="005B3846" w14:paraId="49865005" w14:textId="194EB760" w:rsidTr="00F92FFF">
        <w:tc>
          <w:tcPr>
            <w:tcW w:w="1124" w:type="dxa"/>
            <w:shd w:val="clear" w:color="auto" w:fill="auto"/>
            <w:noWrap/>
            <w:hideMark/>
          </w:tcPr>
          <w:p w14:paraId="01757ECD" w14:textId="447E51D1"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5.1</w:t>
            </w:r>
          </w:p>
        </w:tc>
        <w:tc>
          <w:tcPr>
            <w:tcW w:w="3833" w:type="dxa"/>
            <w:shd w:val="clear" w:color="auto" w:fill="auto"/>
            <w:hideMark/>
          </w:tcPr>
          <w:p w14:paraId="138E3459"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Chocolate and cocoa products</w:t>
            </w:r>
          </w:p>
        </w:tc>
        <w:tc>
          <w:tcPr>
            <w:tcW w:w="1559" w:type="dxa"/>
            <w:shd w:val="clear" w:color="auto" w:fill="auto"/>
          </w:tcPr>
          <w:p w14:paraId="517B04D0" w14:textId="749C0160"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6BA6B900" w14:textId="735B9FBB"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777473AB" w14:textId="574E2322" w:rsidR="00891767" w:rsidRPr="00C94009" w:rsidRDefault="00891767" w:rsidP="00891767">
            <w:pPr>
              <w:widowControl/>
              <w:jc w:val="center"/>
              <w:rPr>
                <w:rFonts w:cs="Arial"/>
                <w:bCs/>
                <w:iCs/>
                <w:color w:val="000000"/>
                <w:sz w:val="24"/>
                <w:szCs w:val="20"/>
                <w:highlight w:val="yellow"/>
                <w:lang w:eastAsia="en-GB" w:bidi="ar-SA"/>
              </w:rPr>
            </w:pPr>
            <w:r w:rsidRPr="00682F41">
              <w:rPr>
                <w:rFonts w:cs="Arial"/>
                <w:bCs/>
                <w:iCs/>
                <w:color w:val="000000"/>
                <w:sz w:val="24"/>
                <w:szCs w:val="20"/>
                <w:lang w:eastAsia="en-GB" w:bidi="ar-SA"/>
              </w:rPr>
              <w:sym w:font="Wingdings" w:char="F0FB"/>
            </w:r>
          </w:p>
        </w:tc>
      </w:tr>
      <w:tr w:rsidR="001F4501" w:rsidRPr="005B3846" w14:paraId="7BD948F0" w14:textId="58B0F897" w:rsidTr="00F92FFF">
        <w:tc>
          <w:tcPr>
            <w:tcW w:w="1124" w:type="dxa"/>
            <w:shd w:val="clear" w:color="auto" w:fill="auto"/>
            <w:noWrap/>
            <w:hideMark/>
          </w:tcPr>
          <w:p w14:paraId="40B8B50B" w14:textId="3F5499F9"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5.2</w:t>
            </w:r>
          </w:p>
        </w:tc>
        <w:tc>
          <w:tcPr>
            <w:tcW w:w="3833" w:type="dxa"/>
            <w:shd w:val="clear" w:color="auto" w:fill="auto"/>
            <w:hideMark/>
          </w:tcPr>
          <w:p w14:paraId="0906500D"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Sugar confectionery</w:t>
            </w:r>
          </w:p>
        </w:tc>
        <w:tc>
          <w:tcPr>
            <w:tcW w:w="1559" w:type="dxa"/>
            <w:shd w:val="clear" w:color="auto" w:fill="auto"/>
          </w:tcPr>
          <w:p w14:paraId="5239A929" w14:textId="217F80DC"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4CF1F365" w14:textId="1D0BB176"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091B6AB5" w14:textId="1BE8CC4A" w:rsidR="00891767" w:rsidRPr="00C94009" w:rsidRDefault="00891767" w:rsidP="00891767">
            <w:pPr>
              <w:widowControl/>
              <w:jc w:val="center"/>
              <w:rPr>
                <w:rFonts w:cs="Arial"/>
                <w:bCs/>
                <w:iCs/>
                <w:color w:val="000000"/>
                <w:sz w:val="24"/>
                <w:szCs w:val="20"/>
                <w:highlight w:val="yellow"/>
                <w:lang w:eastAsia="en-GB" w:bidi="ar-SA"/>
              </w:rPr>
            </w:pPr>
            <w:r w:rsidRPr="00682F41">
              <w:rPr>
                <w:rFonts w:cs="Arial"/>
                <w:bCs/>
                <w:iCs/>
                <w:color w:val="000000"/>
                <w:sz w:val="24"/>
                <w:szCs w:val="20"/>
                <w:lang w:eastAsia="en-GB" w:bidi="ar-SA"/>
              </w:rPr>
              <w:sym w:font="Wingdings" w:char="F0FB"/>
            </w:r>
          </w:p>
        </w:tc>
      </w:tr>
      <w:tr w:rsidR="001F4501" w:rsidRPr="005B3846" w14:paraId="2E56F474" w14:textId="7521B542" w:rsidTr="00F92FFF">
        <w:tc>
          <w:tcPr>
            <w:tcW w:w="1124" w:type="dxa"/>
            <w:shd w:val="clear" w:color="auto" w:fill="auto"/>
            <w:noWrap/>
            <w:hideMark/>
          </w:tcPr>
          <w:p w14:paraId="59D01F50" w14:textId="34DB847F"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5.4</w:t>
            </w:r>
          </w:p>
        </w:tc>
        <w:tc>
          <w:tcPr>
            <w:tcW w:w="3833" w:type="dxa"/>
            <w:shd w:val="clear" w:color="auto" w:fill="auto"/>
            <w:hideMark/>
          </w:tcPr>
          <w:p w14:paraId="204E3148"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Icings and frostings</w:t>
            </w:r>
          </w:p>
        </w:tc>
        <w:tc>
          <w:tcPr>
            <w:tcW w:w="1559" w:type="dxa"/>
            <w:shd w:val="clear" w:color="auto" w:fill="auto"/>
          </w:tcPr>
          <w:p w14:paraId="72C55C3D" w14:textId="7D273002"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6055A5F5" w14:textId="64A3BE54"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18707C22" w14:textId="3E911EC1" w:rsidR="00891767" w:rsidRPr="00C94009" w:rsidRDefault="00891767" w:rsidP="00891767">
            <w:pPr>
              <w:widowControl/>
              <w:jc w:val="center"/>
              <w:rPr>
                <w:rFonts w:cs="Arial"/>
                <w:bCs/>
                <w:iCs/>
                <w:color w:val="000000"/>
                <w:sz w:val="24"/>
                <w:szCs w:val="20"/>
                <w:highlight w:val="yellow"/>
                <w:lang w:eastAsia="en-GB" w:bidi="ar-SA"/>
              </w:rPr>
            </w:pPr>
            <w:r w:rsidRPr="00682F41">
              <w:rPr>
                <w:rFonts w:cs="Arial"/>
                <w:bCs/>
                <w:iCs/>
                <w:color w:val="000000"/>
                <w:sz w:val="24"/>
                <w:szCs w:val="20"/>
                <w:lang w:eastAsia="en-GB" w:bidi="ar-SA"/>
              </w:rPr>
              <w:sym w:font="Wingdings" w:char="F0FB"/>
            </w:r>
          </w:p>
        </w:tc>
      </w:tr>
      <w:tr w:rsidR="001F4501" w:rsidRPr="005B3846" w14:paraId="18F14A89" w14:textId="5051DC19" w:rsidTr="00F92FFF">
        <w:tc>
          <w:tcPr>
            <w:tcW w:w="1124" w:type="dxa"/>
            <w:shd w:val="clear" w:color="auto" w:fill="auto"/>
            <w:noWrap/>
            <w:hideMark/>
          </w:tcPr>
          <w:p w14:paraId="58ECC049" w14:textId="35C1E5CA"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6.3</w:t>
            </w:r>
          </w:p>
        </w:tc>
        <w:tc>
          <w:tcPr>
            <w:tcW w:w="3833" w:type="dxa"/>
            <w:shd w:val="clear" w:color="auto" w:fill="auto"/>
            <w:hideMark/>
          </w:tcPr>
          <w:p w14:paraId="0D998890"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Processed cereal and meal products</w:t>
            </w:r>
          </w:p>
        </w:tc>
        <w:tc>
          <w:tcPr>
            <w:tcW w:w="1559" w:type="dxa"/>
            <w:shd w:val="clear" w:color="auto" w:fill="auto"/>
          </w:tcPr>
          <w:p w14:paraId="5618C032" w14:textId="12857650"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04B18F63" w14:textId="4EB1FF63" w:rsidR="00891767" w:rsidRPr="00682F41" w:rsidRDefault="00B05B58"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559" w:type="dxa"/>
            <w:shd w:val="clear" w:color="auto" w:fill="auto"/>
          </w:tcPr>
          <w:p w14:paraId="0E922DBC" w14:textId="48732725" w:rsidR="00891767" w:rsidRPr="00C94009" w:rsidRDefault="00891767" w:rsidP="00891767">
            <w:pPr>
              <w:widowControl/>
              <w:jc w:val="center"/>
              <w:rPr>
                <w:rFonts w:cs="Arial"/>
                <w:bCs/>
                <w:iCs/>
                <w:color w:val="000000"/>
                <w:sz w:val="24"/>
                <w:szCs w:val="20"/>
                <w:highlight w:val="yellow"/>
                <w:lang w:eastAsia="en-GB" w:bidi="ar-SA"/>
              </w:rPr>
            </w:pPr>
            <w:r w:rsidRPr="00682F41">
              <w:rPr>
                <w:rFonts w:cs="Arial"/>
                <w:bCs/>
                <w:iCs/>
                <w:color w:val="000000"/>
                <w:sz w:val="24"/>
                <w:szCs w:val="20"/>
                <w:lang w:eastAsia="en-GB" w:bidi="ar-SA"/>
              </w:rPr>
              <w:sym w:font="Wingdings" w:char="F0FB"/>
            </w:r>
          </w:p>
        </w:tc>
      </w:tr>
      <w:tr w:rsidR="001F4501" w:rsidRPr="005B3846" w14:paraId="5A2BB0EA" w14:textId="0AA0D4B1" w:rsidTr="00F92FFF">
        <w:tc>
          <w:tcPr>
            <w:tcW w:w="1124" w:type="dxa"/>
            <w:shd w:val="clear" w:color="auto" w:fill="auto"/>
            <w:noWrap/>
            <w:hideMark/>
          </w:tcPr>
          <w:p w14:paraId="7BC516F3" w14:textId="3BCEF725"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6.4</w:t>
            </w:r>
          </w:p>
        </w:tc>
        <w:tc>
          <w:tcPr>
            <w:tcW w:w="3833" w:type="dxa"/>
            <w:shd w:val="clear" w:color="auto" w:fill="auto"/>
            <w:hideMark/>
          </w:tcPr>
          <w:p w14:paraId="530E566C"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Flour products (including noodles and pasta)</w:t>
            </w:r>
          </w:p>
        </w:tc>
        <w:tc>
          <w:tcPr>
            <w:tcW w:w="1559" w:type="dxa"/>
            <w:shd w:val="clear" w:color="auto" w:fill="auto"/>
          </w:tcPr>
          <w:p w14:paraId="681647AC" w14:textId="36998697"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03CDF90E" w14:textId="6477EB19"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39C8748A" w14:textId="4A218A93" w:rsidR="00891767" w:rsidRPr="00C94009" w:rsidRDefault="00891767" w:rsidP="00891767">
            <w:pPr>
              <w:widowControl/>
              <w:jc w:val="center"/>
              <w:rPr>
                <w:rFonts w:cs="Arial"/>
                <w:bCs/>
                <w:iCs/>
                <w:color w:val="000000"/>
                <w:sz w:val="24"/>
                <w:szCs w:val="20"/>
                <w:highlight w:val="yellow"/>
                <w:lang w:eastAsia="en-GB" w:bidi="ar-SA"/>
              </w:rPr>
            </w:pPr>
            <w:r w:rsidRPr="00682F41">
              <w:rPr>
                <w:rFonts w:cs="Arial"/>
                <w:bCs/>
                <w:iCs/>
                <w:color w:val="000000"/>
                <w:sz w:val="24"/>
                <w:szCs w:val="20"/>
                <w:lang w:eastAsia="en-GB" w:bidi="ar-SA"/>
              </w:rPr>
              <w:sym w:font="Wingdings" w:char="F0FB"/>
            </w:r>
          </w:p>
        </w:tc>
      </w:tr>
      <w:tr w:rsidR="001F4501" w:rsidRPr="005B3846" w14:paraId="30B6062B" w14:textId="4211B650" w:rsidTr="00F92FFF">
        <w:tc>
          <w:tcPr>
            <w:tcW w:w="1124" w:type="dxa"/>
            <w:shd w:val="clear" w:color="auto" w:fill="auto"/>
            <w:noWrap/>
            <w:hideMark/>
          </w:tcPr>
          <w:p w14:paraId="592EF898" w14:textId="229F1044"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7</w:t>
            </w:r>
          </w:p>
        </w:tc>
        <w:tc>
          <w:tcPr>
            <w:tcW w:w="3833" w:type="dxa"/>
            <w:shd w:val="clear" w:color="auto" w:fill="auto"/>
            <w:hideMark/>
          </w:tcPr>
          <w:p w14:paraId="7A03B529"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Breads and bakery products</w:t>
            </w:r>
          </w:p>
        </w:tc>
        <w:tc>
          <w:tcPr>
            <w:tcW w:w="1559" w:type="dxa"/>
            <w:shd w:val="clear" w:color="auto" w:fill="auto"/>
          </w:tcPr>
          <w:p w14:paraId="7B49CCD8" w14:textId="305D31F6"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70207C21" w14:textId="678310F2" w:rsidR="00891767" w:rsidRPr="002446C7"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59446A7C" w14:textId="2F4B203C" w:rsidR="00891767" w:rsidRPr="002446C7" w:rsidRDefault="00891767" w:rsidP="00891767">
            <w:pPr>
              <w:widowControl/>
              <w:jc w:val="center"/>
              <w:rPr>
                <w:rFonts w:cs="Arial"/>
                <w:bCs/>
                <w:iCs/>
                <w:color w:val="000000"/>
                <w:sz w:val="24"/>
                <w:szCs w:val="20"/>
                <w:lang w:eastAsia="en-GB" w:bidi="ar-SA"/>
              </w:rPr>
            </w:pPr>
            <w:r w:rsidRPr="002446C7">
              <w:rPr>
                <w:rFonts w:cs="Arial"/>
                <w:bCs/>
                <w:iCs/>
                <w:color w:val="000000"/>
                <w:sz w:val="24"/>
                <w:szCs w:val="20"/>
                <w:lang w:eastAsia="en-GB" w:bidi="ar-SA"/>
              </w:rPr>
              <w:sym w:font="Wingdings" w:char="F0FC"/>
            </w:r>
          </w:p>
        </w:tc>
      </w:tr>
      <w:tr w:rsidR="001F4501" w:rsidRPr="005B3846" w14:paraId="416EE496" w14:textId="4B58505A" w:rsidTr="00F92FFF">
        <w:tc>
          <w:tcPr>
            <w:tcW w:w="1124" w:type="dxa"/>
            <w:shd w:val="clear" w:color="auto" w:fill="auto"/>
            <w:noWrap/>
            <w:hideMark/>
          </w:tcPr>
          <w:p w14:paraId="52176168" w14:textId="435302F2"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8.2</w:t>
            </w:r>
          </w:p>
        </w:tc>
        <w:tc>
          <w:tcPr>
            <w:tcW w:w="3833" w:type="dxa"/>
            <w:shd w:val="clear" w:color="auto" w:fill="auto"/>
            <w:hideMark/>
          </w:tcPr>
          <w:p w14:paraId="6600BF0D"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Processed meat, poultry and game products in whole cuts or pieces</w:t>
            </w:r>
          </w:p>
        </w:tc>
        <w:tc>
          <w:tcPr>
            <w:tcW w:w="1559" w:type="dxa"/>
            <w:shd w:val="clear" w:color="auto" w:fill="auto"/>
          </w:tcPr>
          <w:p w14:paraId="45AE419F" w14:textId="32070401"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B"/>
            </w:r>
          </w:p>
        </w:tc>
        <w:tc>
          <w:tcPr>
            <w:tcW w:w="1276" w:type="dxa"/>
          </w:tcPr>
          <w:p w14:paraId="3317DDB2" w14:textId="2A2DFF37"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491839D1" w14:textId="698875B0" w:rsidR="00891767" w:rsidRPr="00C94009" w:rsidRDefault="00891767" w:rsidP="00891767">
            <w:pPr>
              <w:widowControl/>
              <w:jc w:val="center"/>
              <w:rPr>
                <w:rFonts w:cs="Arial"/>
                <w:bCs/>
                <w:iCs/>
                <w:color w:val="000000"/>
                <w:sz w:val="24"/>
                <w:szCs w:val="20"/>
                <w:highlight w:val="yellow"/>
                <w:lang w:eastAsia="en-GB" w:bidi="ar-SA"/>
              </w:rPr>
            </w:pPr>
            <w:r w:rsidRPr="00682F41">
              <w:rPr>
                <w:rFonts w:cs="Arial"/>
                <w:bCs/>
                <w:iCs/>
                <w:color w:val="000000"/>
                <w:sz w:val="24"/>
                <w:szCs w:val="20"/>
                <w:lang w:eastAsia="en-GB" w:bidi="ar-SA"/>
              </w:rPr>
              <w:sym w:font="Wingdings" w:char="F0FB"/>
            </w:r>
          </w:p>
        </w:tc>
      </w:tr>
      <w:tr w:rsidR="001F4501" w:rsidRPr="005B3846" w14:paraId="53A94EAF" w14:textId="798A0038" w:rsidTr="00F92FFF">
        <w:tc>
          <w:tcPr>
            <w:tcW w:w="1124" w:type="dxa"/>
            <w:shd w:val="clear" w:color="auto" w:fill="auto"/>
            <w:noWrap/>
            <w:hideMark/>
          </w:tcPr>
          <w:p w14:paraId="56442A47" w14:textId="5A031024"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8.3</w:t>
            </w:r>
          </w:p>
        </w:tc>
        <w:tc>
          <w:tcPr>
            <w:tcW w:w="3833" w:type="dxa"/>
            <w:shd w:val="clear" w:color="auto" w:fill="auto"/>
            <w:hideMark/>
          </w:tcPr>
          <w:p w14:paraId="1016D331"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Processed comminuted meat, poultry and game products, other than products listed in item 8.3.2</w:t>
            </w:r>
          </w:p>
        </w:tc>
        <w:tc>
          <w:tcPr>
            <w:tcW w:w="1559" w:type="dxa"/>
            <w:shd w:val="clear" w:color="auto" w:fill="auto"/>
          </w:tcPr>
          <w:p w14:paraId="56B0B9C5" w14:textId="7C8CD4BE"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5801E643" w14:textId="41A498A7" w:rsidR="00891767" w:rsidRPr="00044FB5"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54D39288" w14:textId="267E57FA" w:rsidR="00891767" w:rsidRPr="00C94009" w:rsidRDefault="00891767" w:rsidP="00891767">
            <w:pPr>
              <w:widowControl/>
              <w:jc w:val="center"/>
              <w:rPr>
                <w:rFonts w:cs="Arial"/>
                <w:bCs/>
                <w:iCs/>
                <w:color w:val="000000"/>
                <w:sz w:val="24"/>
                <w:szCs w:val="20"/>
                <w:highlight w:val="yellow"/>
                <w:lang w:eastAsia="en-GB" w:bidi="ar-SA"/>
              </w:rPr>
            </w:pPr>
            <w:r w:rsidRPr="00044FB5">
              <w:rPr>
                <w:rFonts w:cs="Arial"/>
                <w:bCs/>
                <w:iCs/>
                <w:color w:val="000000"/>
                <w:sz w:val="24"/>
                <w:szCs w:val="20"/>
                <w:lang w:eastAsia="en-GB" w:bidi="ar-SA"/>
              </w:rPr>
              <w:sym w:font="Wingdings" w:char="F0FB"/>
            </w:r>
          </w:p>
        </w:tc>
      </w:tr>
      <w:tr w:rsidR="001F4501" w:rsidRPr="005B3846" w14:paraId="5212428A" w14:textId="3064C539" w:rsidTr="00F92FFF">
        <w:tc>
          <w:tcPr>
            <w:tcW w:w="1124" w:type="dxa"/>
            <w:shd w:val="clear" w:color="auto" w:fill="auto"/>
            <w:noWrap/>
            <w:hideMark/>
          </w:tcPr>
          <w:p w14:paraId="213C8344" w14:textId="70CB879A"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8.3.2</w:t>
            </w:r>
          </w:p>
        </w:tc>
        <w:tc>
          <w:tcPr>
            <w:tcW w:w="3833" w:type="dxa"/>
            <w:shd w:val="clear" w:color="auto" w:fill="auto"/>
            <w:hideMark/>
          </w:tcPr>
          <w:p w14:paraId="29848C90"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Sausage and sausage meat containing raw, unprocessed meat</w:t>
            </w:r>
          </w:p>
        </w:tc>
        <w:tc>
          <w:tcPr>
            <w:tcW w:w="1559" w:type="dxa"/>
            <w:shd w:val="clear" w:color="auto" w:fill="auto"/>
          </w:tcPr>
          <w:p w14:paraId="5D114761" w14:textId="41CA6E8A"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041A201B" w14:textId="628116EF" w:rsidR="00891767" w:rsidRPr="00044FB5"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7AEC309F" w14:textId="49274F4D" w:rsidR="00891767" w:rsidRPr="00C94009" w:rsidRDefault="00891767" w:rsidP="00891767">
            <w:pPr>
              <w:widowControl/>
              <w:jc w:val="center"/>
              <w:rPr>
                <w:rFonts w:cs="Arial"/>
                <w:bCs/>
                <w:iCs/>
                <w:color w:val="000000"/>
                <w:sz w:val="24"/>
                <w:szCs w:val="20"/>
                <w:highlight w:val="yellow"/>
                <w:lang w:eastAsia="en-GB" w:bidi="ar-SA"/>
              </w:rPr>
            </w:pPr>
            <w:r w:rsidRPr="00044FB5">
              <w:rPr>
                <w:rFonts w:cs="Arial"/>
                <w:bCs/>
                <w:iCs/>
                <w:color w:val="000000"/>
                <w:sz w:val="24"/>
                <w:szCs w:val="20"/>
                <w:lang w:eastAsia="en-GB" w:bidi="ar-SA"/>
              </w:rPr>
              <w:sym w:font="Wingdings" w:char="F0FB"/>
            </w:r>
          </w:p>
        </w:tc>
      </w:tr>
      <w:tr w:rsidR="001F4501" w:rsidRPr="005B3846" w14:paraId="4B794D73" w14:textId="063154B4" w:rsidTr="00F92FFF">
        <w:tc>
          <w:tcPr>
            <w:tcW w:w="1124" w:type="dxa"/>
            <w:shd w:val="clear" w:color="auto" w:fill="auto"/>
            <w:noWrap/>
            <w:hideMark/>
          </w:tcPr>
          <w:p w14:paraId="218F8EDD" w14:textId="7EFC5B59"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8.4</w:t>
            </w:r>
          </w:p>
        </w:tc>
        <w:tc>
          <w:tcPr>
            <w:tcW w:w="3833" w:type="dxa"/>
            <w:shd w:val="clear" w:color="auto" w:fill="auto"/>
            <w:hideMark/>
          </w:tcPr>
          <w:p w14:paraId="1B6868E3"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Edible casings</w:t>
            </w:r>
          </w:p>
        </w:tc>
        <w:tc>
          <w:tcPr>
            <w:tcW w:w="1559" w:type="dxa"/>
            <w:shd w:val="clear" w:color="auto" w:fill="auto"/>
          </w:tcPr>
          <w:p w14:paraId="0F8C9393" w14:textId="75352AE2"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70B9D022" w14:textId="0D59A79E"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1F063057" w14:textId="72E906E1"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5F7D0507" w14:textId="0184BDE5" w:rsidTr="00F92FFF">
        <w:tc>
          <w:tcPr>
            <w:tcW w:w="1124" w:type="dxa"/>
            <w:shd w:val="clear" w:color="auto" w:fill="auto"/>
            <w:noWrap/>
            <w:hideMark/>
          </w:tcPr>
          <w:p w14:paraId="079D1870" w14:textId="6749E93A"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8.5</w:t>
            </w:r>
          </w:p>
        </w:tc>
        <w:tc>
          <w:tcPr>
            <w:tcW w:w="3833" w:type="dxa"/>
            <w:shd w:val="clear" w:color="auto" w:fill="auto"/>
            <w:hideMark/>
          </w:tcPr>
          <w:p w14:paraId="30BF2421"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Animal protein products</w:t>
            </w:r>
          </w:p>
        </w:tc>
        <w:tc>
          <w:tcPr>
            <w:tcW w:w="1559" w:type="dxa"/>
            <w:shd w:val="clear" w:color="auto" w:fill="auto"/>
          </w:tcPr>
          <w:p w14:paraId="2FD9DC9B" w14:textId="0E6A4BE4"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27AE98F8" w14:textId="4380153E"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53F0FF3F" w14:textId="5759B62C"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4540012E" w14:textId="70B45FAC" w:rsidTr="00F92FFF">
        <w:tc>
          <w:tcPr>
            <w:tcW w:w="1124" w:type="dxa"/>
            <w:shd w:val="clear" w:color="auto" w:fill="auto"/>
            <w:noWrap/>
            <w:hideMark/>
          </w:tcPr>
          <w:p w14:paraId="5A36C205" w14:textId="329C91F5"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9.2</w:t>
            </w:r>
          </w:p>
        </w:tc>
        <w:tc>
          <w:tcPr>
            <w:tcW w:w="3833" w:type="dxa"/>
            <w:shd w:val="clear" w:color="auto" w:fill="auto"/>
            <w:hideMark/>
          </w:tcPr>
          <w:p w14:paraId="01BE29EA"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Processed fish and fish products</w:t>
            </w:r>
          </w:p>
        </w:tc>
        <w:tc>
          <w:tcPr>
            <w:tcW w:w="1559" w:type="dxa"/>
            <w:shd w:val="clear" w:color="auto" w:fill="auto"/>
          </w:tcPr>
          <w:p w14:paraId="775A9F4A" w14:textId="474B2C9B"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0F7B48C8" w14:textId="23BBB1E2" w:rsidR="00891767" w:rsidRPr="00044FB5"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6A9DDD4F" w14:textId="3309868B" w:rsidR="00891767" w:rsidRPr="00C94009" w:rsidRDefault="00891767" w:rsidP="00891767">
            <w:pPr>
              <w:widowControl/>
              <w:jc w:val="center"/>
              <w:rPr>
                <w:rFonts w:cs="Arial"/>
                <w:bCs/>
                <w:iCs/>
                <w:color w:val="000000"/>
                <w:sz w:val="24"/>
                <w:szCs w:val="20"/>
                <w:highlight w:val="yellow"/>
                <w:lang w:eastAsia="en-GB" w:bidi="ar-SA"/>
              </w:rPr>
            </w:pPr>
            <w:r w:rsidRPr="00044FB5">
              <w:rPr>
                <w:rFonts w:cs="Arial"/>
                <w:bCs/>
                <w:iCs/>
                <w:color w:val="000000"/>
                <w:sz w:val="24"/>
                <w:szCs w:val="20"/>
                <w:lang w:eastAsia="en-GB" w:bidi="ar-SA"/>
              </w:rPr>
              <w:sym w:font="Wingdings" w:char="F0FB"/>
            </w:r>
          </w:p>
        </w:tc>
      </w:tr>
      <w:tr w:rsidR="001F4501" w:rsidRPr="005B3846" w14:paraId="7361FA37" w14:textId="0EE45EC7" w:rsidTr="00F92FFF">
        <w:tc>
          <w:tcPr>
            <w:tcW w:w="1124" w:type="dxa"/>
            <w:shd w:val="clear" w:color="auto" w:fill="auto"/>
            <w:noWrap/>
            <w:hideMark/>
          </w:tcPr>
          <w:p w14:paraId="437A279D" w14:textId="192C5F26"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9.3</w:t>
            </w:r>
          </w:p>
        </w:tc>
        <w:tc>
          <w:tcPr>
            <w:tcW w:w="3833" w:type="dxa"/>
            <w:shd w:val="clear" w:color="auto" w:fill="auto"/>
            <w:hideMark/>
          </w:tcPr>
          <w:p w14:paraId="404E8D13"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Semi preserved fish and fish products</w:t>
            </w:r>
          </w:p>
        </w:tc>
        <w:tc>
          <w:tcPr>
            <w:tcW w:w="1559" w:type="dxa"/>
            <w:shd w:val="clear" w:color="auto" w:fill="auto"/>
          </w:tcPr>
          <w:p w14:paraId="2086DFFB" w14:textId="772B90AF"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69F5B799" w14:textId="72A3F414"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714B5DFF" w14:textId="49CD745C"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6F706944" w14:textId="66738DE9" w:rsidTr="00F92FFF">
        <w:tc>
          <w:tcPr>
            <w:tcW w:w="1124" w:type="dxa"/>
            <w:shd w:val="clear" w:color="auto" w:fill="auto"/>
            <w:noWrap/>
            <w:hideMark/>
          </w:tcPr>
          <w:p w14:paraId="10C9167B" w14:textId="0A88E4E5"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9.4</w:t>
            </w:r>
          </w:p>
        </w:tc>
        <w:tc>
          <w:tcPr>
            <w:tcW w:w="3833" w:type="dxa"/>
            <w:shd w:val="clear" w:color="auto" w:fill="auto"/>
            <w:hideMark/>
          </w:tcPr>
          <w:p w14:paraId="0D7021F6"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Fully preserved fish including canned fish products</w:t>
            </w:r>
          </w:p>
        </w:tc>
        <w:tc>
          <w:tcPr>
            <w:tcW w:w="1559" w:type="dxa"/>
            <w:shd w:val="clear" w:color="auto" w:fill="auto"/>
          </w:tcPr>
          <w:p w14:paraId="21D39377" w14:textId="212C3715"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6DB81D59" w14:textId="16D7A053"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4CCCFF71" w14:textId="1A91FD88"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6DF4718F" w14:textId="24515C5F" w:rsidTr="00F92FFF">
        <w:tc>
          <w:tcPr>
            <w:tcW w:w="1124" w:type="dxa"/>
            <w:shd w:val="clear" w:color="auto" w:fill="auto"/>
            <w:noWrap/>
            <w:hideMark/>
          </w:tcPr>
          <w:p w14:paraId="46834007" w14:textId="06961A3D"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10.2</w:t>
            </w:r>
          </w:p>
        </w:tc>
        <w:tc>
          <w:tcPr>
            <w:tcW w:w="3833" w:type="dxa"/>
            <w:shd w:val="clear" w:color="auto" w:fill="auto"/>
            <w:hideMark/>
          </w:tcPr>
          <w:p w14:paraId="343C1CCB"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Liquid egg products</w:t>
            </w:r>
          </w:p>
        </w:tc>
        <w:tc>
          <w:tcPr>
            <w:tcW w:w="1559" w:type="dxa"/>
            <w:shd w:val="clear" w:color="auto" w:fill="auto"/>
          </w:tcPr>
          <w:p w14:paraId="01295FD5" w14:textId="6A211022"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545EACF7" w14:textId="692E49C5"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2B4E17D1" w14:textId="7B9D15EA"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4E444D61" w14:textId="52C1E509" w:rsidTr="00F92FFF">
        <w:tc>
          <w:tcPr>
            <w:tcW w:w="1124" w:type="dxa"/>
            <w:shd w:val="clear" w:color="auto" w:fill="auto"/>
            <w:noWrap/>
            <w:hideMark/>
          </w:tcPr>
          <w:p w14:paraId="55B56EFA" w14:textId="5234545E"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10.3</w:t>
            </w:r>
          </w:p>
        </w:tc>
        <w:tc>
          <w:tcPr>
            <w:tcW w:w="3833" w:type="dxa"/>
            <w:shd w:val="clear" w:color="auto" w:fill="auto"/>
            <w:hideMark/>
          </w:tcPr>
          <w:p w14:paraId="2C6F3DF8"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Frozen egg products</w:t>
            </w:r>
          </w:p>
        </w:tc>
        <w:tc>
          <w:tcPr>
            <w:tcW w:w="1559" w:type="dxa"/>
            <w:shd w:val="clear" w:color="auto" w:fill="auto"/>
          </w:tcPr>
          <w:p w14:paraId="42A92211" w14:textId="7FF05B04"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4068F328" w14:textId="2FD0FE8F"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6D8CD13F" w14:textId="692B625A"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414DAC29" w14:textId="73FD6601" w:rsidTr="00F92FFF">
        <w:tc>
          <w:tcPr>
            <w:tcW w:w="1124" w:type="dxa"/>
            <w:shd w:val="clear" w:color="auto" w:fill="auto"/>
            <w:noWrap/>
            <w:hideMark/>
          </w:tcPr>
          <w:p w14:paraId="2D5966DE" w14:textId="426B35BC"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10.4</w:t>
            </w:r>
          </w:p>
        </w:tc>
        <w:tc>
          <w:tcPr>
            <w:tcW w:w="3833" w:type="dxa"/>
            <w:shd w:val="clear" w:color="auto" w:fill="auto"/>
            <w:hideMark/>
          </w:tcPr>
          <w:p w14:paraId="59CC2A50"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Dried or heat coagulated egg products</w:t>
            </w:r>
          </w:p>
        </w:tc>
        <w:tc>
          <w:tcPr>
            <w:tcW w:w="1559" w:type="dxa"/>
            <w:shd w:val="clear" w:color="auto" w:fill="auto"/>
          </w:tcPr>
          <w:p w14:paraId="08802CD6" w14:textId="4234FDC1"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04653F77" w14:textId="7FC26E51"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3844C531" w14:textId="347EED60"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04EB2EE8" w14:textId="053FAB71" w:rsidTr="00F92FFF">
        <w:tc>
          <w:tcPr>
            <w:tcW w:w="1124" w:type="dxa"/>
            <w:shd w:val="clear" w:color="auto" w:fill="auto"/>
            <w:noWrap/>
            <w:hideMark/>
          </w:tcPr>
          <w:p w14:paraId="5BD2860C" w14:textId="2357E8DA"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11.1.1</w:t>
            </w:r>
          </w:p>
        </w:tc>
        <w:tc>
          <w:tcPr>
            <w:tcW w:w="3833" w:type="dxa"/>
            <w:shd w:val="clear" w:color="auto" w:fill="auto"/>
            <w:hideMark/>
          </w:tcPr>
          <w:p w14:paraId="366D5C71"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Rainbow sugar</w:t>
            </w:r>
          </w:p>
        </w:tc>
        <w:tc>
          <w:tcPr>
            <w:tcW w:w="1559" w:type="dxa"/>
            <w:shd w:val="clear" w:color="auto" w:fill="auto"/>
          </w:tcPr>
          <w:p w14:paraId="1C802BFA" w14:textId="2C4E46AC"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06520D83" w14:textId="610F065F"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7C23CFE3" w14:textId="7D6AD3F3"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5FBF2CFF" w14:textId="40EADD8F" w:rsidTr="00F92FFF">
        <w:tc>
          <w:tcPr>
            <w:tcW w:w="1124" w:type="dxa"/>
            <w:shd w:val="clear" w:color="auto" w:fill="auto"/>
            <w:noWrap/>
            <w:hideMark/>
          </w:tcPr>
          <w:p w14:paraId="4D731C13" w14:textId="7E9AEC19"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11.3.1</w:t>
            </w:r>
          </w:p>
        </w:tc>
        <w:tc>
          <w:tcPr>
            <w:tcW w:w="3833" w:type="dxa"/>
            <w:shd w:val="clear" w:color="auto" w:fill="auto"/>
            <w:hideMark/>
          </w:tcPr>
          <w:p w14:paraId="5408DBAB"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Dried honey</w:t>
            </w:r>
          </w:p>
        </w:tc>
        <w:tc>
          <w:tcPr>
            <w:tcW w:w="1559" w:type="dxa"/>
            <w:shd w:val="clear" w:color="auto" w:fill="auto"/>
          </w:tcPr>
          <w:p w14:paraId="72E015FF" w14:textId="3AF9335C"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6A891AF7" w14:textId="1874488D"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19B8C08A" w14:textId="6D90E409"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4EBC5C35" w14:textId="0A517164" w:rsidTr="00F92FFF">
        <w:tc>
          <w:tcPr>
            <w:tcW w:w="1124" w:type="dxa"/>
            <w:shd w:val="clear" w:color="auto" w:fill="auto"/>
            <w:noWrap/>
            <w:hideMark/>
          </w:tcPr>
          <w:p w14:paraId="442E1BB0" w14:textId="1C9F3EE2"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11.4</w:t>
            </w:r>
          </w:p>
        </w:tc>
        <w:tc>
          <w:tcPr>
            <w:tcW w:w="3833" w:type="dxa"/>
            <w:shd w:val="clear" w:color="auto" w:fill="auto"/>
            <w:hideMark/>
          </w:tcPr>
          <w:p w14:paraId="37E8FBBD"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Tabletop sweeteners</w:t>
            </w:r>
          </w:p>
        </w:tc>
        <w:tc>
          <w:tcPr>
            <w:tcW w:w="1559" w:type="dxa"/>
            <w:shd w:val="clear" w:color="auto" w:fill="auto"/>
          </w:tcPr>
          <w:p w14:paraId="000E6279" w14:textId="529D4A62"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234A7846" w14:textId="400FFB20"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42E46325" w14:textId="434AAFE3"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04651DEA" w14:textId="077D94F4" w:rsidTr="00F92FFF">
        <w:tc>
          <w:tcPr>
            <w:tcW w:w="1124" w:type="dxa"/>
            <w:shd w:val="clear" w:color="auto" w:fill="auto"/>
            <w:noWrap/>
            <w:hideMark/>
          </w:tcPr>
          <w:p w14:paraId="2B2A3599" w14:textId="70205ECE"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12.1.2</w:t>
            </w:r>
          </w:p>
        </w:tc>
        <w:tc>
          <w:tcPr>
            <w:tcW w:w="3833" w:type="dxa"/>
            <w:shd w:val="clear" w:color="auto" w:fill="auto"/>
            <w:hideMark/>
          </w:tcPr>
          <w:p w14:paraId="0D56E7FB"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Reduced sodium salt mixture</w:t>
            </w:r>
          </w:p>
        </w:tc>
        <w:tc>
          <w:tcPr>
            <w:tcW w:w="1559" w:type="dxa"/>
            <w:shd w:val="clear" w:color="auto" w:fill="auto"/>
          </w:tcPr>
          <w:p w14:paraId="5A0E40E7" w14:textId="2ACDC769"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6CE52E6F" w14:textId="4021D36A"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6FDCCB03" w14:textId="6D298521"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13EE5942" w14:textId="57369847" w:rsidTr="00F92FFF">
        <w:tc>
          <w:tcPr>
            <w:tcW w:w="1124" w:type="dxa"/>
            <w:shd w:val="clear" w:color="auto" w:fill="auto"/>
            <w:noWrap/>
            <w:hideMark/>
          </w:tcPr>
          <w:p w14:paraId="36395C2C" w14:textId="35CFF5F6"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12.1.3</w:t>
            </w:r>
          </w:p>
        </w:tc>
        <w:tc>
          <w:tcPr>
            <w:tcW w:w="3833" w:type="dxa"/>
            <w:shd w:val="clear" w:color="auto" w:fill="auto"/>
            <w:hideMark/>
          </w:tcPr>
          <w:p w14:paraId="5191C65F"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Salt substitute</w:t>
            </w:r>
          </w:p>
        </w:tc>
        <w:tc>
          <w:tcPr>
            <w:tcW w:w="1559" w:type="dxa"/>
            <w:shd w:val="clear" w:color="auto" w:fill="auto"/>
          </w:tcPr>
          <w:p w14:paraId="607401CD" w14:textId="45E658D6"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24FEE1CA" w14:textId="6CB86CB6"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5D7606C3" w14:textId="0B85BF0C"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2FB75768" w14:textId="75C0562D" w:rsidTr="00F92FFF">
        <w:tc>
          <w:tcPr>
            <w:tcW w:w="1124" w:type="dxa"/>
            <w:shd w:val="clear" w:color="auto" w:fill="auto"/>
            <w:noWrap/>
            <w:hideMark/>
          </w:tcPr>
          <w:p w14:paraId="39E2FA77" w14:textId="3820EE41"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12.5</w:t>
            </w:r>
          </w:p>
        </w:tc>
        <w:tc>
          <w:tcPr>
            <w:tcW w:w="3833" w:type="dxa"/>
            <w:shd w:val="clear" w:color="auto" w:fill="auto"/>
            <w:hideMark/>
          </w:tcPr>
          <w:p w14:paraId="53AF77A1"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Yeast and yeast products</w:t>
            </w:r>
          </w:p>
        </w:tc>
        <w:tc>
          <w:tcPr>
            <w:tcW w:w="1559" w:type="dxa"/>
            <w:shd w:val="clear" w:color="auto" w:fill="auto"/>
          </w:tcPr>
          <w:p w14:paraId="0D8D3182" w14:textId="4CCF4FB8"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5AA3D264" w14:textId="7A2F6ED6"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7CB10FC8" w14:textId="009476F2"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411CB4F5" w14:textId="40B0ADFF" w:rsidTr="00F92FFF">
        <w:tc>
          <w:tcPr>
            <w:tcW w:w="1124" w:type="dxa"/>
            <w:shd w:val="clear" w:color="auto" w:fill="auto"/>
            <w:noWrap/>
            <w:hideMark/>
          </w:tcPr>
          <w:p w14:paraId="27A0EC0D" w14:textId="48603D4D"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12.6</w:t>
            </w:r>
          </w:p>
        </w:tc>
        <w:tc>
          <w:tcPr>
            <w:tcW w:w="3833" w:type="dxa"/>
            <w:shd w:val="clear" w:color="auto" w:fill="auto"/>
            <w:hideMark/>
          </w:tcPr>
          <w:p w14:paraId="638C7C32"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Vegetable protein products</w:t>
            </w:r>
          </w:p>
        </w:tc>
        <w:tc>
          <w:tcPr>
            <w:tcW w:w="1559" w:type="dxa"/>
            <w:shd w:val="clear" w:color="auto" w:fill="auto"/>
          </w:tcPr>
          <w:p w14:paraId="1F858353" w14:textId="4476C4C5"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286463DA" w14:textId="08BBF72A"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600BD5FA" w14:textId="294DCAA8"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52D60A6B" w14:textId="0634F9CA" w:rsidTr="00F92FFF">
        <w:tc>
          <w:tcPr>
            <w:tcW w:w="1124" w:type="dxa"/>
            <w:shd w:val="clear" w:color="auto" w:fill="auto"/>
            <w:noWrap/>
            <w:hideMark/>
          </w:tcPr>
          <w:p w14:paraId="0556EC61" w14:textId="10DC8123"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13.3</w:t>
            </w:r>
          </w:p>
        </w:tc>
        <w:tc>
          <w:tcPr>
            <w:tcW w:w="3833" w:type="dxa"/>
            <w:shd w:val="clear" w:color="auto" w:fill="auto"/>
            <w:hideMark/>
          </w:tcPr>
          <w:p w14:paraId="72B702C0"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Formulated meal replacements and formulated supplementary foods</w:t>
            </w:r>
          </w:p>
        </w:tc>
        <w:tc>
          <w:tcPr>
            <w:tcW w:w="1559" w:type="dxa"/>
            <w:shd w:val="clear" w:color="auto" w:fill="auto"/>
          </w:tcPr>
          <w:p w14:paraId="71F184D2" w14:textId="04887E0F"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37C7481C" w14:textId="2E05BDA2"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59815CE8" w14:textId="18E5825F"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0CE38D39" w14:textId="6BC349CC" w:rsidTr="00F92FFF">
        <w:tc>
          <w:tcPr>
            <w:tcW w:w="1124" w:type="dxa"/>
            <w:shd w:val="clear" w:color="auto" w:fill="auto"/>
            <w:noWrap/>
            <w:hideMark/>
          </w:tcPr>
          <w:p w14:paraId="785A986A" w14:textId="77890A2D"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13.4</w:t>
            </w:r>
          </w:p>
        </w:tc>
        <w:tc>
          <w:tcPr>
            <w:tcW w:w="3833" w:type="dxa"/>
            <w:shd w:val="clear" w:color="auto" w:fill="auto"/>
            <w:hideMark/>
          </w:tcPr>
          <w:p w14:paraId="469609C7"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Formulated supplementary sports foods</w:t>
            </w:r>
          </w:p>
        </w:tc>
        <w:tc>
          <w:tcPr>
            <w:tcW w:w="1559" w:type="dxa"/>
            <w:shd w:val="clear" w:color="auto" w:fill="auto"/>
          </w:tcPr>
          <w:p w14:paraId="0501E718" w14:textId="0E6F14D0"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2A877375" w14:textId="2D48AC3F"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350B485B" w14:textId="2B3BA721"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154DEF81" w14:textId="68867024" w:rsidTr="00F92FFF">
        <w:tc>
          <w:tcPr>
            <w:tcW w:w="1124" w:type="dxa"/>
            <w:shd w:val="clear" w:color="auto" w:fill="auto"/>
            <w:noWrap/>
            <w:hideMark/>
          </w:tcPr>
          <w:p w14:paraId="10AD8619" w14:textId="427EC5C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13.5</w:t>
            </w:r>
          </w:p>
        </w:tc>
        <w:tc>
          <w:tcPr>
            <w:tcW w:w="3833" w:type="dxa"/>
            <w:shd w:val="clear" w:color="auto" w:fill="auto"/>
            <w:hideMark/>
          </w:tcPr>
          <w:p w14:paraId="6BFE1E02"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Food for special medical purposes</w:t>
            </w:r>
          </w:p>
        </w:tc>
        <w:tc>
          <w:tcPr>
            <w:tcW w:w="1559" w:type="dxa"/>
            <w:shd w:val="clear" w:color="auto" w:fill="auto"/>
          </w:tcPr>
          <w:p w14:paraId="0ED22405" w14:textId="6EB3C6B0"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53F5C22C" w14:textId="5804AFCC"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2EBC9FDF" w14:textId="4BFA149E"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2AB6613C" w14:textId="413C6A0B" w:rsidTr="00F92FFF">
        <w:tc>
          <w:tcPr>
            <w:tcW w:w="1124" w:type="dxa"/>
            <w:shd w:val="clear" w:color="auto" w:fill="auto"/>
            <w:noWrap/>
            <w:hideMark/>
          </w:tcPr>
          <w:p w14:paraId="69E9D1E5" w14:textId="10EEA935"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14.1.1.2</w:t>
            </w:r>
          </w:p>
        </w:tc>
        <w:tc>
          <w:tcPr>
            <w:tcW w:w="3833" w:type="dxa"/>
            <w:shd w:val="clear" w:color="auto" w:fill="auto"/>
            <w:hideMark/>
          </w:tcPr>
          <w:p w14:paraId="4A263A92"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Carbonated, mineralised and soda waters</w:t>
            </w:r>
          </w:p>
        </w:tc>
        <w:tc>
          <w:tcPr>
            <w:tcW w:w="1559" w:type="dxa"/>
            <w:shd w:val="clear" w:color="auto" w:fill="auto"/>
          </w:tcPr>
          <w:p w14:paraId="37A1E0F6" w14:textId="23AF4294"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2CDEFAED" w14:textId="46D906D1"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584002C0" w14:textId="50F6F342"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3995EC66" w14:textId="7C1DFFB8" w:rsidTr="00F92FFF">
        <w:tc>
          <w:tcPr>
            <w:tcW w:w="1124" w:type="dxa"/>
            <w:shd w:val="clear" w:color="auto" w:fill="auto"/>
            <w:noWrap/>
            <w:hideMark/>
          </w:tcPr>
          <w:p w14:paraId="6A2407BE" w14:textId="13458A53"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14.1.2.1</w:t>
            </w:r>
          </w:p>
        </w:tc>
        <w:tc>
          <w:tcPr>
            <w:tcW w:w="3833" w:type="dxa"/>
            <w:shd w:val="clear" w:color="auto" w:fill="auto"/>
            <w:hideMark/>
          </w:tcPr>
          <w:p w14:paraId="034A05F4"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Fruit and vegetable juices (For juice separated by other than mechanical means only)</w:t>
            </w:r>
          </w:p>
        </w:tc>
        <w:tc>
          <w:tcPr>
            <w:tcW w:w="1559" w:type="dxa"/>
            <w:shd w:val="clear" w:color="auto" w:fill="auto"/>
          </w:tcPr>
          <w:p w14:paraId="49D313C4" w14:textId="37D4F462"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2D08531F" w14:textId="0EE75460"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41AA33E7" w14:textId="033540EC"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744D3E86" w14:textId="3247C4FA" w:rsidTr="00F92FFF">
        <w:tc>
          <w:tcPr>
            <w:tcW w:w="1124" w:type="dxa"/>
            <w:shd w:val="clear" w:color="auto" w:fill="auto"/>
            <w:noWrap/>
            <w:hideMark/>
          </w:tcPr>
          <w:p w14:paraId="479AE9D5" w14:textId="54614F55"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14.1.2.2</w:t>
            </w:r>
          </w:p>
        </w:tc>
        <w:tc>
          <w:tcPr>
            <w:tcW w:w="3833" w:type="dxa"/>
            <w:shd w:val="clear" w:color="auto" w:fill="auto"/>
            <w:hideMark/>
          </w:tcPr>
          <w:p w14:paraId="1D0975FC"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Fruit and vegetable juice products</w:t>
            </w:r>
          </w:p>
        </w:tc>
        <w:tc>
          <w:tcPr>
            <w:tcW w:w="1559" w:type="dxa"/>
            <w:shd w:val="clear" w:color="auto" w:fill="auto"/>
          </w:tcPr>
          <w:p w14:paraId="0F0003B7" w14:textId="6F94040D"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7601C63C" w14:textId="5B9C8F2F"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0E9B3BAE" w14:textId="45D7771F"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79D03B77" w14:textId="714621C4" w:rsidTr="00F92FFF">
        <w:tc>
          <w:tcPr>
            <w:tcW w:w="1124" w:type="dxa"/>
            <w:shd w:val="clear" w:color="auto" w:fill="auto"/>
            <w:noWrap/>
            <w:hideMark/>
          </w:tcPr>
          <w:p w14:paraId="6AC05319" w14:textId="4B782CEF"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14.1.3</w:t>
            </w:r>
          </w:p>
        </w:tc>
        <w:tc>
          <w:tcPr>
            <w:tcW w:w="3833" w:type="dxa"/>
            <w:shd w:val="clear" w:color="auto" w:fill="auto"/>
            <w:hideMark/>
          </w:tcPr>
          <w:p w14:paraId="6F40E396"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Water based flavoured drinks</w:t>
            </w:r>
          </w:p>
        </w:tc>
        <w:tc>
          <w:tcPr>
            <w:tcW w:w="1559" w:type="dxa"/>
            <w:shd w:val="clear" w:color="auto" w:fill="auto"/>
          </w:tcPr>
          <w:p w14:paraId="2767D4D9" w14:textId="56C92D35"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1BA5FDB4" w14:textId="202DF3A4"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555D5D46" w14:textId="2F52EEF5"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7519831D" w14:textId="1A698C93" w:rsidTr="00F92FFF">
        <w:tc>
          <w:tcPr>
            <w:tcW w:w="1124" w:type="dxa"/>
            <w:shd w:val="clear" w:color="auto" w:fill="auto"/>
            <w:noWrap/>
            <w:hideMark/>
          </w:tcPr>
          <w:p w14:paraId="393990DC" w14:textId="34399BC6"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14.1.4</w:t>
            </w:r>
          </w:p>
        </w:tc>
        <w:tc>
          <w:tcPr>
            <w:tcW w:w="3833" w:type="dxa"/>
            <w:shd w:val="clear" w:color="auto" w:fill="auto"/>
            <w:hideMark/>
          </w:tcPr>
          <w:p w14:paraId="7077128C"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Formulated Beverages</w:t>
            </w:r>
          </w:p>
        </w:tc>
        <w:tc>
          <w:tcPr>
            <w:tcW w:w="1559" w:type="dxa"/>
            <w:shd w:val="clear" w:color="auto" w:fill="auto"/>
          </w:tcPr>
          <w:p w14:paraId="230F81C4" w14:textId="7A7B7089"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5DFA2A06" w14:textId="1DE88DD5"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24F20E40" w14:textId="476DE515"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223BC95A" w14:textId="537E8159" w:rsidTr="00F92FFF">
        <w:tc>
          <w:tcPr>
            <w:tcW w:w="1124" w:type="dxa"/>
            <w:shd w:val="clear" w:color="auto" w:fill="auto"/>
            <w:noWrap/>
            <w:hideMark/>
          </w:tcPr>
          <w:p w14:paraId="6EC7F5E1" w14:textId="3568B980"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14.1.5</w:t>
            </w:r>
          </w:p>
        </w:tc>
        <w:tc>
          <w:tcPr>
            <w:tcW w:w="3833" w:type="dxa"/>
            <w:shd w:val="clear" w:color="auto" w:fill="auto"/>
            <w:hideMark/>
          </w:tcPr>
          <w:p w14:paraId="0830ACCE"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Coffee, coffee substitutes, tea, herbal infusions and similar products</w:t>
            </w:r>
          </w:p>
        </w:tc>
        <w:tc>
          <w:tcPr>
            <w:tcW w:w="1559" w:type="dxa"/>
            <w:shd w:val="clear" w:color="auto" w:fill="auto"/>
          </w:tcPr>
          <w:p w14:paraId="4E621C3F" w14:textId="09CA5443"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540DCEEF" w14:textId="7D95E124"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24E28CAF" w14:textId="1932FC82"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6E857C31" w14:textId="45CECE61" w:rsidTr="00F92FFF">
        <w:tc>
          <w:tcPr>
            <w:tcW w:w="1124" w:type="dxa"/>
            <w:shd w:val="clear" w:color="auto" w:fill="auto"/>
            <w:noWrap/>
            <w:hideMark/>
          </w:tcPr>
          <w:p w14:paraId="53183B22" w14:textId="1AECA974"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14.2.3</w:t>
            </w:r>
          </w:p>
        </w:tc>
        <w:tc>
          <w:tcPr>
            <w:tcW w:w="3833" w:type="dxa"/>
            <w:shd w:val="clear" w:color="auto" w:fill="auto"/>
            <w:hideMark/>
          </w:tcPr>
          <w:p w14:paraId="63A1622A"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Wine based drinks and reduced alcohol wines</w:t>
            </w:r>
          </w:p>
        </w:tc>
        <w:tc>
          <w:tcPr>
            <w:tcW w:w="1559" w:type="dxa"/>
            <w:shd w:val="clear" w:color="auto" w:fill="auto"/>
          </w:tcPr>
          <w:p w14:paraId="413FC4CB" w14:textId="48B7ABCF"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53CB4D47" w14:textId="79EB2E31"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466D69ED" w14:textId="012717DE"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364AE79D" w14:textId="44CCD079" w:rsidTr="00F92FFF">
        <w:tc>
          <w:tcPr>
            <w:tcW w:w="1124" w:type="dxa"/>
            <w:shd w:val="clear" w:color="auto" w:fill="auto"/>
            <w:noWrap/>
            <w:hideMark/>
          </w:tcPr>
          <w:p w14:paraId="11FA4E80" w14:textId="0B0789A3"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14.2.4.1</w:t>
            </w:r>
          </w:p>
        </w:tc>
        <w:tc>
          <w:tcPr>
            <w:tcW w:w="3833" w:type="dxa"/>
            <w:shd w:val="clear" w:color="auto" w:fill="auto"/>
            <w:hideMark/>
          </w:tcPr>
          <w:p w14:paraId="4AA25127"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Fruit wine products and vegetable wine products</w:t>
            </w:r>
          </w:p>
        </w:tc>
        <w:tc>
          <w:tcPr>
            <w:tcW w:w="1559" w:type="dxa"/>
            <w:shd w:val="clear" w:color="auto" w:fill="auto"/>
          </w:tcPr>
          <w:p w14:paraId="5010180A" w14:textId="6F701552"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2ED8B650" w14:textId="4E58016A"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14770D6E" w14:textId="55EE379F"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4FAF5881" w14:textId="770FB7BC" w:rsidTr="00F92FFF">
        <w:tc>
          <w:tcPr>
            <w:tcW w:w="1124" w:type="dxa"/>
            <w:shd w:val="clear" w:color="auto" w:fill="auto"/>
            <w:noWrap/>
            <w:hideMark/>
          </w:tcPr>
          <w:p w14:paraId="72A443C7" w14:textId="1253BACA"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14.2.5</w:t>
            </w:r>
          </w:p>
        </w:tc>
        <w:tc>
          <w:tcPr>
            <w:tcW w:w="3833" w:type="dxa"/>
            <w:shd w:val="clear" w:color="auto" w:fill="auto"/>
            <w:hideMark/>
          </w:tcPr>
          <w:p w14:paraId="22C93004"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Spirits and liqueurs</w:t>
            </w:r>
          </w:p>
        </w:tc>
        <w:tc>
          <w:tcPr>
            <w:tcW w:w="1559" w:type="dxa"/>
            <w:shd w:val="clear" w:color="auto" w:fill="auto"/>
          </w:tcPr>
          <w:p w14:paraId="1B43D3B6" w14:textId="00671E5E"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1845DEF4" w14:textId="213B23D7"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141DA0D2" w14:textId="0E9C2BB8"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3569778E" w14:textId="429BA9EA" w:rsidTr="00F92FFF">
        <w:tc>
          <w:tcPr>
            <w:tcW w:w="1124" w:type="dxa"/>
            <w:shd w:val="clear" w:color="auto" w:fill="auto"/>
            <w:noWrap/>
            <w:hideMark/>
          </w:tcPr>
          <w:p w14:paraId="14E319E4" w14:textId="40EF21C0"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14.3</w:t>
            </w:r>
          </w:p>
        </w:tc>
        <w:tc>
          <w:tcPr>
            <w:tcW w:w="3833" w:type="dxa"/>
            <w:shd w:val="clear" w:color="auto" w:fill="auto"/>
            <w:hideMark/>
          </w:tcPr>
          <w:p w14:paraId="67650F2D"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Alcoholic beverages not included in item 14.2</w:t>
            </w:r>
          </w:p>
        </w:tc>
        <w:tc>
          <w:tcPr>
            <w:tcW w:w="1559" w:type="dxa"/>
            <w:shd w:val="clear" w:color="auto" w:fill="auto"/>
          </w:tcPr>
          <w:p w14:paraId="2B0418E6" w14:textId="114842D5" w:rsidR="00891767" w:rsidRPr="00682F41"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60810247" w14:textId="74DAAAE5" w:rsidR="00891767" w:rsidRPr="0088161A" w:rsidRDefault="00891767" w:rsidP="00891767">
            <w:pPr>
              <w:widowControl/>
              <w:jc w:val="center"/>
              <w:rPr>
                <w:rFonts w:cs="Arial"/>
                <w:bCs/>
                <w:iCs/>
                <w:color w:val="000000"/>
                <w:sz w:val="24"/>
                <w:szCs w:val="20"/>
                <w:lang w:eastAsia="en-GB" w:bidi="ar-SA"/>
              </w:rPr>
            </w:pPr>
            <w:r w:rsidRPr="0088161A">
              <w:rPr>
                <w:rFonts w:cs="Arial"/>
                <w:bCs/>
                <w:iCs/>
                <w:color w:val="000000"/>
                <w:sz w:val="24"/>
                <w:szCs w:val="20"/>
                <w:lang w:eastAsia="en-GB" w:bidi="ar-SA"/>
              </w:rPr>
              <w:sym w:font="Wingdings" w:char="F0FB"/>
            </w:r>
          </w:p>
        </w:tc>
        <w:tc>
          <w:tcPr>
            <w:tcW w:w="1559" w:type="dxa"/>
            <w:shd w:val="clear" w:color="auto" w:fill="auto"/>
          </w:tcPr>
          <w:p w14:paraId="573C0A71" w14:textId="2CF224F8" w:rsidR="00891767" w:rsidRPr="00C94009" w:rsidRDefault="00891767" w:rsidP="00891767">
            <w:pPr>
              <w:widowControl/>
              <w:jc w:val="center"/>
              <w:rPr>
                <w:rFonts w:cs="Arial"/>
                <w:bCs/>
                <w:iCs/>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10ED8546" w14:textId="425B1471" w:rsidTr="00F92FFF">
        <w:tc>
          <w:tcPr>
            <w:tcW w:w="1124" w:type="dxa"/>
            <w:shd w:val="clear" w:color="auto" w:fill="auto"/>
            <w:noWrap/>
            <w:hideMark/>
          </w:tcPr>
          <w:p w14:paraId="2A1C48A5" w14:textId="6B1D8C44"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20</w:t>
            </w:r>
          </w:p>
        </w:tc>
        <w:tc>
          <w:tcPr>
            <w:tcW w:w="3833" w:type="dxa"/>
            <w:shd w:val="clear" w:color="auto" w:fill="auto"/>
            <w:hideMark/>
          </w:tcPr>
          <w:p w14:paraId="1A1BB56A" w14:textId="7777777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Foods not included in items 0 to 14</w:t>
            </w:r>
          </w:p>
        </w:tc>
        <w:tc>
          <w:tcPr>
            <w:tcW w:w="1559" w:type="dxa"/>
            <w:shd w:val="clear" w:color="auto" w:fill="auto"/>
          </w:tcPr>
          <w:p w14:paraId="340B6452" w14:textId="0047DAC8" w:rsidR="00891767" w:rsidRPr="00682F41" w:rsidRDefault="00891767" w:rsidP="00891767">
            <w:pPr>
              <w:widowControl/>
              <w:jc w:val="center"/>
              <w:rPr>
                <w:rFonts w:cs="Arial"/>
                <w:bCs/>
                <w:iCs/>
                <w:color w:val="000000"/>
                <w:sz w:val="24"/>
                <w:szCs w:val="20"/>
                <w:lang w:eastAsia="en-GB" w:bidi="ar-SA"/>
              </w:rPr>
            </w:pPr>
          </w:p>
        </w:tc>
        <w:tc>
          <w:tcPr>
            <w:tcW w:w="1276" w:type="dxa"/>
          </w:tcPr>
          <w:p w14:paraId="3C26E041" w14:textId="77777777" w:rsidR="00891767" w:rsidRPr="00C94009" w:rsidRDefault="00891767" w:rsidP="00891767">
            <w:pPr>
              <w:widowControl/>
              <w:jc w:val="center"/>
              <w:rPr>
                <w:rFonts w:cs="Arial"/>
                <w:bCs/>
                <w:iCs/>
                <w:color w:val="000000"/>
                <w:sz w:val="24"/>
                <w:szCs w:val="20"/>
                <w:highlight w:val="yellow"/>
                <w:lang w:eastAsia="en-GB" w:bidi="ar-SA"/>
              </w:rPr>
            </w:pPr>
          </w:p>
        </w:tc>
        <w:tc>
          <w:tcPr>
            <w:tcW w:w="1559" w:type="dxa"/>
            <w:shd w:val="clear" w:color="auto" w:fill="auto"/>
          </w:tcPr>
          <w:p w14:paraId="34147C33" w14:textId="483BE0AB" w:rsidR="00891767" w:rsidRPr="00C94009" w:rsidRDefault="00891767" w:rsidP="00891767">
            <w:pPr>
              <w:widowControl/>
              <w:jc w:val="center"/>
              <w:rPr>
                <w:rFonts w:cs="Arial"/>
                <w:bCs/>
                <w:iCs/>
                <w:color w:val="000000"/>
                <w:sz w:val="24"/>
                <w:szCs w:val="20"/>
                <w:highlight w:val="yellow"/>
                <w:lang w:eastAsia="en-GB" w:bidi="ar-SA"/>
              </w:rPr>
            </w:pPr>
          </w:p>
        </w:tc>
      </w:tr>
      <w:tr w:rsidR="001F4501" w:rsidRPr="005B3846" w14:paraId="1417DAD7" w14:textId="403322BA" w:rsidTr="00F92FFF">
        <w:tc>
          <w:tcPr>
            <w:tcW w:w="1124" w:type="dxa"/>
            <w:shd w:val="clear" w:color="auto" w:fill="auto"/>
            <w:noWrap/>
            <w:hideMark/>
          </w:tcPr>
          <w:p w14:paraId="44E009E6" w14:textId="67D66517"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20</w:t>
            </w:r>
          </w:p>
        </w:tc>
        <w:tc>
          <w:tcPr>
            <w:tcW w:w="3833" w:type="dxa"/>
            <w:shd w:val="clear" w:color="auto" w:fill="auto"/>
            <w:vAlign w:val="bottom"/>
            <w:hideMark/>
          </w:tcPr>
          <w:p w14:paraId="61E88D40" w14:textId="77777777" w:rsidR="00891767" w:rsidRPr="002446C7" w:rsidRDefault="00891767" w:rsidP="00891767">
            <w:pPr>
              <w:widowControl/>
              <w:ind w:left="468"/>
              <w:rPr>
                <w:rFonts w:cs="Arial"/>
                <w:bCs/>
                <w:i/>
                <w:color w:val="000000"/>
                <w:sz w:val="20"/>
                <w:szCs w:val="20"/>
                <w:lang w:eastAsia="en-GB" w:bidi="ar-SA"/>
              </w:rPr>
            </w:pPr>
            <w:r w:rsidRPr="002446C7">
              <w:rPr>
                <w:rFonts w:cs="Arial"/>
                <w:bCs/>
                <w:i/>
                <w:color w:val="000000"/>
                <w:sz w:val="20"/>
                <w:szCs w:val="20"/>
                <w:lang w:eastAsia="en-GB" w:bidi="ar-SA"/>
              </w:rPr>
              <w:t>Pizza</w:t>
            </w:r>
          </w:p>
        </w:tc>
        <w:tc>
          <w:tcPr>
            <w:tcW w:w="1559" w:type="dxa"/>
            <w:shd w:val="clear" w:color="auto" w:fill="auto"/>
          </w:tcPr>
          <w:p w14:paraId="317FC224" w14:textId="6C697457" w:rsidR="00891767" w:rsidRPr="00682F41" w:rsidRDefault="00891767" w:rsidP="00891767">
            <w:pPr>
              <w:widowControl/>
              <w:jc w:val="center"/>
              <w:rPr>
                <w:rFonts w:cs="Arial"/>
                <w:b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5444E587" w14:textId="03DB1173" w:rsidR="00891767" w:rsidRPr="0088161A"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0D47BC84" w14:textId="2003FE71" w:rsidR="00891767" w:rsidRPr="00C94009" w:rsidRDefault="00891767" w:rsidP="00891767">
            <w:pPr>
              <w:widowControl/>
              <w:jc w:val="center"/>
              <w:rPr>
                <w:rFonts w:cs="Arial"/>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280E0E9C" w14:textId="5682083E" w:rsidTr="00F92FFF">
        <w:tc>
          <w:tcPr>
            <w:tcW w:w="1124" w:type="dxa"/>
            <w:shd w:val="clear" w:color="auto" w:fill="auto"/>
            <w:noWrap/>
            <w:hideMark/>
          </w:tcPr>
          <w:p w14:paraId="72331722" w14:textId="2EA99B46" w:rsidR="00891767" w:rsidRPr="00BA16B6" w:rsidRDefault="00891767" w:rsidP="00891767">
            <w:pPr>
              <w:widowControl/>
              <w:rPr>
                <w:rFonts w:cs="Arial"/>
                <w:bCs/>
                <w:iCs/>
                <w:color w:val="000000"/>
                <w:sz w:val="20"/>
                <w:szCs w:val="20"/>
                <w:lang w:eastAsia="en-GB" w:bidi="ar-SA"/>
              </w:rPr>
            </w:pPr>
            <w:r w:rsidRPr="00BA16B6">
              <w:rPr>
                <w:rFonts w:cs="Arial"/>
                <w:bCs/>
                <w:iCs/>
                <w:color w:val="000000"/>
                <w:sz w:val="20"/>
                <w:szCs w:val="20"/>
                <w:lang w:eastAsia="en-GB" w:bidi="ar-SA"/>
              </w:rPr>
              <w:t>20</w:t>
            </w:r>
          </w:p>
        </w:tc>
        <w:tc>
          <w:tcPr>
            <w:tcW w:w="3833" w:type="dxa"/>
            <w:shd w:val="clear" w:color="auto" w:fill="auto"/>
            <w:vAlign w:val="bottom"/>
            <w:hideMark/>
          </w:tcPr>
          <w:p w14:paraId="2D0B79ED" w14:textId="77777777" w:rsidR="00891767" w:rsidRPr="002446C7" w:rsidRDefault="00891767" w:rsidP="00891767">
            <w:pPr>
              <w:widowControl/>
              <w:ind w:left="468"/>
              <w:rPr>
                <w:rFonts w:cs="Arial"/>
                <w:bCs/>
                <w:i/>
                <w:color w:val="000000"/>
                <w:sz w:val="20"/>
                <w:szCs w:val="20"/>
                <w:lang w:eastAsia="en-GB" w:bidi="ar-SA"/>
              </w:rPr>
            </w:pPr>
            <w:r w:rsidRPr="002446C7">
              <w:rPr>
                <w:rFonts w:cs="Arial"/>
                <w:bCs/>
                <w:i/>
                <w:color w:val="000000"/>
                <w:sz w:val="20"/>
                <w:szCs w:val="20"/>
                <w:lang w:eastAsia="en-GB" w:bidi="ar-SA"/>
              </w:rPr>
              <w:t>Savoury based snacks (potato crisps, corn chips)</w:t>
            </w:r>
          </w:p>
        </w:tc>
        <w:tc>
          <w:tcPr>
            <w:tcW w:w="1559" w:type="dxa"/>
            <w:shd w:val="clear" w:color="auto" w:fill="auto"/>
          </w:tcPr>
          <w:p w14:paraId="2C513544" w14:textId="3F4DF711" w:rsidR="00891767" w:rsidRPr="00682F41" w:rsidRDefault="00891767" w:rsidP="00891767">
            <w:pPr>
              <w:widowControl/>
              <w:jc w:val="center"/>
              <w:rPr>
                <w:rFonts w:cs="Arial"/>
                <w:b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1965AF07" w14:textId="06391ECE"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42754613" w14:textId="4887B633" w:rsidR="00891767" w:rsidRPr="00C94009" w:rsidRDefault="00891767" w:rsidP="00891767">
            <w:pPr>
              <w:widowControl/>
              <w:jc w:val="center"/>
              <w:rPr>
                <w:rFonts w:cs="Arial"/>
                <w:color w:val="000000"/>
                <w:sz w:val="24"/>
                <w:szCs w:val="20"/>
                <w:highlight w:val="yellow"/>
                <w:lang w:eastAsia="en-GB" w:bidi="ar-SA"/>
              </w:rPr>
            </w:pPr>
            <w:r w:rsidRPr="00682F41">
              <w:rPr>
                <w:rFonts w:cs="Arial"/>
                <w:bCs/>
                <w:iCs/>
                <w:color w:val="000000"/>
                <w:sz w:val="24"/>
                <w:szCs w:val="20"/>
                <w:lang w:eastAsia="en-GB" w:bidi="ar-SA"/>
              </w:rPr>
              <w:sym w:font="Wingdings" w:char="F0FC"/>
            </w:r>
          </w:p>
        </w:tc>
      </w:tr>
      <w:tr w:rsidR="001F4501" w:rsidRPr="005B3846" w14:paraId="60F48D9E" w14:textId="4EBA8E10" w:rsidTr="00F92FFF">
        <w:tc>
          <w:tcPr>
            <w:tcW w:w="1124" w:type="dxa"/>
            <w:shd w:val="clear" w:color="auto" w:fill="auto"/>
            <w:noWrap/>
            <w:vAlign w:val="bottom"/>
            <w:hideMark/>
          </w:tcPr>
          <w:p w14:paraId="3E5349FE" w14:textId="57722688" w:rsidR="00891767" w:rsidRPr="00BA16B6" w:rsidRDefault="00891767" w:rsidP="00891767">
            <w:pPr>
              <w:widowControl/>
              <w:rPr>
                <w:rFonts w:cs="Arial"/>
                <w:bCs/>
                <w:color w:val="000000"/>
                <w:sz w:val="20"/>
                <w:szCs w:val="20"/>
                <w:lang w:eastAsia="en-GB" w:bidi="ar-SA"/>
              </w:rPr>
            </w:pPr>
            <w:r w:rsidRPr="00BA16B6">
              <w:rPr>
                <w:rFonts w:cs="Arial"/>
                <w:bCs/>
                <w:color w:val="000000"/>
                <w:sz w:val="20"/>
                <w:szCs w:val="20"/>
                <w:lang w:eastAsia="en-GB" w:bidi="ar-SA"/>
              </w:rPr>
              <w:t>20</w:t>
            </w:r>
          </w:p>
        </w:tc>
        <w:tc>
          <w:tcPr>
            <w:tcW w:w="3833" w:type="dxa"/>
            <w:shd w:val="clear" w:color="auto" w:fill="auto"/>
            <w:vAlign w:val="bottom"/>
            <w:hideMark/>
          </w:tcPr>
          <w:p w14:paraId="1C4A6E84" w14:textId="77777777" w:rsidR="00891767" w:rsidRPr="002446C7" w:rsidRDefault="00891767" w:rsidP="00891767">
            <w:pPr>
              <w:widowControl/>
              <w:ind w:left="468"/>
              <w:rPr>
                <w:rFonts w:cs="Arial"/>
                <w:bCs/>
                <w:i/>
                <w:color w:val="000000"/>
                <w:sz w:val="20"/>
                <w:szCs w:val="20"/>
                <w:lang w:eastAsia="en-GB" w:bidi="ar-SA"/>
              </w:rPr>
            </w:pPr>
            <w:r w:rsidRPr="002446C7">
              <w:rPr>
                <w:rFonts w:cs="Arial"/>
                <w:bCs/>
                <w:i/>
                <w:color w:val="000000"/>
                <w:sz w:val="20"/>
                <w:szCs w:val="20"/>
                <w:lang w:eastAsia="en-GB" w:bidi="ar-SA"/>
              </w:rPr>
              <w:t>Soup</w:t>
            </w:r>
          </w:p>
        </w:tc>
        <w:tc>
          <w:tcPr>
            <w:tcW w:w="1559" w:type="dxa"/>
            <w:shd w:val="clear" w:color="auto" w:fill="auto"/>
          </w:tcPr>
          <w:p w14:paraId="6E7E7E3D" w14:textId="71B41E8E" w:rsidR="00891767" w:rsidRPr="00682F41" w:rsidRDefault="00891767" w:rsidP="00891767">
            <w:pPr>
              <w:widowControl/>
              <w:jc w:val="center"/>
              <w:rPr>
                <w:rFonts w:cs="Arial"/>
                <w:b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3B6A0410" w14:textId="585F76E3"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05BDE486" w14:textId="3606BC13" w:rsidR="00891767" w:rsidRPr="00C94009" w:rsidRDefault="00891767" w:rsidP="00891767">
            <w:pPr>
              <w:widowControl/>
              <w:jc w:val="center"/>
              <w:rPr>
                <w:rFonts w:cs="Arial"/>
                <w:color w:val="000000"/>
                <w:sz w:val="24"/>
                <w:szCs w:val="20"/>
                <w:highlight w:val="yellow"/>
                <w:lang w:eastAsia="en-GB" w:bidi="ar-SA"/>
              </w:rPr>
            </w:pPr>
            <w:r w:rsidRPr="00682F41">
              <w:rPr>
                <w:rFonts w:cs="Arial"/>
                <w:bCs/>
                <w:iCs/>
                <w:color w:val="000000"/>
                <w:sz w:val="24"/>
                <w:szCs w:val="20"/>
                <w:lang w:eastAsia="en-GB" w:bidi="ar-SA"/>
              </w:rPr>
              <w:sym w:font="Wingdings" w:char="F0FC"/>
            </w:r>
          </w:p>
        </w:tc>
      </w:tr>
      <w:tr w:rsidR="001F4501" w:rsidRPr="005B3846" w14:paraId="302F3230" w14:textId="372638F8" w:rsidTr="00F92FFF">
        <w:tc>
          <w:tcPr>
            <w:tcW w:w="1124" w:type="dxa"/>
            <w:shd w:val="clear" w:color="auto" w:fill="auto"/>
            <w:noWrap/>
            <w:vAlign w:val="bottom"/>
            <w:hideMark/>
          </w:tcPr>
          <w:p w14:paraId="20E9D54B" w14:textId="116CA5E0" w:rsidR="00891767" w:rsidRPr="00BA16B6" w:rsidRDefault="00891767" w:rsidP="00891767">
            <w:pPr>
              <w:widowControl/>
              <w:rPr>
                <w:rFonts w:cs="Arial"/>
                <w:bCs/>
                <w:color w:val="000000"/>
                <w:sz w:val="20"/>
                <w:szCs w:val="20"/>
                <w:lang w:eastAsia="en-GB" w:bidi="ar-SA"/>
              </w:rPr>
            </w:pPr>
            <w:r w:rsidRPr="00BA16B6">
              <w:rPr>
                <w:rFonts w:cs="Arial"/>
                <w:bCs/>
                <w:color w:val="000000"/>
                <w:sz w:val="20"/>
                <w:szCs w:val="20"/>
                <w:lang w:eastAsia="en-GB" w:bidi="ar-SA"/>
              </w:rPr>
              <w:t>20</w:t>
            </w:r>
          </w:p>
        </w:tc>
        <w:tc>
          <w:tcPr>
            <w:tcW w:w="3833" w:type="dxa"/>
            <w:shd w:val="clear" w:color="auto" w:fill="auto"/>
            <w:vAlign w:val="bottom"/>
            <w:hideMark/>
          </w:tcPr>
          <w:p w14:paraId="45A8717E" w14:textId="77777777" w:rsidR="00891767" w:rsidRPr="002446C7" w:rsidRDefault="00891767" w:rsidP="00891767">
            <w:pPr>
              <w:widowControl/>
              <w:ind w:left="468"/>
              <w:rPr>
                <w:rFonts w:cs="Arial"/>
                <w:bCs/>
                <w:i/>
                <w:color w:val="000000"/>
                <w:sz w:val="20"/>
                <w:szCs w:val="20"/>
                <w:lang w:eastAsia="en-GB" w:bidi="ar-SA"/>
              </w:rPr>
            </w:pPr>
            <w:r w:rsidRPr="002446C7">
              <w:rPr>
                <w:rFonts w:cs="Arial"/>
                <w:bCs/>
                <w:i/>
                <w:color w:val="000000"/>
                <w:sz w:val="20"/>
                <w:szCs w:val="20"/>
                <w:lang w:eastAsia="en-GB" w:bidi="ar-SA"/>
              </w:rPr>
              <w:t>Sauces/toppings</w:t>
            </w:r>
          </w:p>
        </w:tc>
        <w:tc>
          <w:tcPr>
            <w:tcW w:w="1559" w:type="dxa"/>
            <w:shd w:val="clear" w:color="auto" w:fill="auto"/>
          </w:tcPr>
          <w:p w14:paraId="6A16C10B" w14:textId="12E7FC08" w:rsidR="00891767" w:rsidRPr="00682F41" w:rsidRDefault="00891767" w:rsidP="00891767">
            <w:pPr>
              <w:widowControl/>
              <w:jc w:val="center"/>
              <w:rPr>
                <w:rFonts w:cs="Arial"/>
                <w:bCs/>
                <w:color w:val="000000"/>
                <w:sz w:val="24"/>
                <w:szCs w:val="20"/>
                <w:lang w:eastAsia="en-GB" w:bidi="ar-SA"/>
              </w:rPr>
            </w:pPr>
            <w:r w:rsidRPr="00682F41">
              <w:rPr>
                <w:rFonts w:cs="Arial"/>
                <w:bCs/>
                <w:iCs/>
                <w:color w:val="000000"/>
                <w:sz w:val="24"/>
                <w:szCs w:val="20"/>
                <w:lang w:eastAsia="en-GB" w:bidi="ar-SA"/>
              </w:rPr>
              <w:sym w:font="Wingdings" w:char="F0FC"/>
            </w:r>
          </w:p>
        </w:tc>
        <w:tc>
          <w:tcPr>
            <w:tcW w:w="1276" w:type="dxa"/>
          </w:tcPr>
          <w:p w14:paraId="24B77504" w14:textId="6160C931" w:rsidR="00891767" w:rsidRPr="0088161A"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05F8ADC6" w14:textId="1707E3B6" w:rsidR="00891767" w:rsidRPr="00C94009" w:rsidRDefault="00891767" w:rsidP="00891767">
            <w:pPr>
              <w:widowControl/>
              <w:jc w:val="center"/>
              <w:rPr>
                <w:rFonts w:cs="Arial"/>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6C07DC0D" w14:textId="2A6345B9" w:rsidTr="00F92FFF">
        <w:tc>
          <w:tcPr>
            <w:tcW w:w="1124" w:type="dxa"/>
            <w:shd w:val="clear" w:color="auto" w:fill="auto"/>
            <w:noWrap/>
            <w:vAlign w:val="bottom"/>
            <w:hideMark/>
          </w:tcPr>
          <w:p w14:paraId="1DA52A31" w14:textId="070D852D" w:rsidR="00891767" w:rsidRPr="00BA16B6" w:rsidRDefault="00891767" w:rsidP="00891767">
            <w:pPr>
              <w:widowControl/>
              <w:rPr>
                <w:rFonts w:cs="Arial"/>
                <w:bCs/>
                <w:color w:val="000000"/>
                <w:sz w:val="20"/>
                <w:szCs w:val="20"/>
                <w:lang w:eastAsia="en-GB" w:bidi="ar-SA"/>
              </w:rPr>
            </w:pPr>
            <w:r w:rsidRPr="00BA16B6">
              <w:rPr>
                <w:rFonts w:cs="Arial"/>
                <w:bCs/>
                <w:color w:val="000000"/>
                <w:sz w:val="20"/>
                <w:szCs w:val="20"/>
                <w:lang w:eastAsia="en-GB" w:bidi="ar-SA"/>
              </w:rPr>
              <w:t>20</w:t>
            </w:r>
          </w:p>
        </w:tc>
        <w:tc>
          <w:tcPr>
            <w:tcW w:w="3833" w:type="dxa"/>
            <w:shd w:val="clear" w:color="auto" w:fill="auto"/>
            <w:vAlign w:val="bottom"/>
            <w:hideMark/>
          </w:tcPr>
          <w:p w14:paraId="6450499A" w14:textId="77777777" w:rsidR="00891767" w:rsidRPr="002446C7" w:rsidRDefault="00891767" w:rsidP="00891767">
            <w:pPr>
              <w:widowControl/>
              <w:ind w:left="468"/>
              <w:rPr>
                <w:rFonts w:cs="Arial"/>
                <w:bCs/>
                <w:i/>
                <w:color w:val="000000"/>
                <w:sz w:val="20"/>
                <w:szCs w:val="20"/>
                <w:lang w:eastAsia="en-GB" w:bidi="ar-SA"/>
              </w:rPr>
            </w:pPr>
            <w:r w:rsidRPr="002446C7">
              <w:rPr>
                <w:rFonts w:cs="Arial"/>
                <w:bCs/>
                <w:i/>
                <w:color w:val="000000"/>
                <w:sz w:val="20"/>
                <w:szCs w:val="20"/>
                <w:lang w:eastAsia="en-GB" w:bidi="ar-SA"/>
              </w:rPr>
              <w:t>Desserts</w:t>
            </w:r>
          </w:p>
        </w:tc>
        <w:tc>
          <w:tcPr>
            <w:tcW w:w="1559" w:type="dxa"/>
            <w:shd w:val="clear" w:color="auto" w:fill="auto"/>
          </w:tcPr>
          <w:p w14:paraId="772494CC" w14:textId="0D33BBCE" w:rsidR="00891767" w:rsidRPr="00682F41" w:rsidRDefault="00891767" w:rsidP="00891767">
            <w:pPr>
              <w:widowControl/>
              <w:jc w:val="center"/>
              <w:rPr>
                <w:rFonts w:cs="Arial"/>
                <w:b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0E7605A4" w14:textId="591337C3" w:rsidR="00891767" w:rsidRPr="00682F41"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516D5FFA" w14:textId="0D97AA89" w:rsidR="00891767" w:rsidRPr="00C94009" w:rsidRDefault="00891767" w:rsidP="00891767">
            <w:pPr>
              <w:widowControl/>
              <w:jc w:val="center"/>
              <w:rPr>
                <w:rFonts w:cs="Arial"/>
                <w:color w:val="000000"/>
                <w:sz w:val="24"/>
                <w:szCs w:val="20"/>
                <w:highlight w:val="yellow"/>
                <w:lang w:eastAsia="en-GB" w:bidi="ar-SA"/>
              </w:rPr>
            </w:pPr>
            <w:r w:rsidRPr="00682F41">
              <w:rPr>
                <w:rFonts w:cs="Arial"/>
                <w:bCs/>
                <w:iCs/>
                <w:color w:val="000000"/>
                <w:sz w:val="24"/>
                <w:szCs w:val="20"/>
                <w:lang w:eastAsia="en-GB" w:bidi="ar-SA"/>
              </w:rPr>
              <w:sym w:font="Wingdings" w:char="F0FC"/>
            </w:r>
          </w:p>
        </w:tc>
      </w:tr>
      <w:tr w:rsidR="001F4501" w:rsidRPr="005B3846" w14:paraId="193EEA64" w14:textId="37535CB3" w:rsidTr="00F92FFF">
        <w:tc>
          <w:tcPr>
            <w:tcW w:w="1124" w:type="dxa"/>
            <w:shd w:val="clear" w:color="auto" w:fill="auto"/>
            <w:noWrap/>
            <w:vAlign w:val="bottom"/>
            <w:hideMark/>
          </w:tcPr>
          <w:p w14:paraId="0491BD96" w14:textId="6AD36E33" w:rsidR="00891767" w:rsidRPr="005B3846" w:rsidRDefault="00891767" w:rsidP="00891767">
            <w:pPr>
              <w:widowControl/>
              <w:rPr>
                <w:rFonts w:cs="Arial"/>
                <w:bCs/>
                <w:color w:val="000000"/>
                <w:sz w:val="20"/>
                <w:szCs w:val="20"/>
                <w:lang w:eastAsia="en-GB" w:bidi="ar-SA"/>
              </w:rPr>
            </w:pPr>
            <w:r w:rsidRPr="005B3846">
              <w:rPr>
                <w:rFonts w:cs="Arial"/>
                <w:bCs/>
                <w:color w:val="000000"/>
                <w:sz w:val="20"/>
                <w:szCs w:val="20"/>
                <w:lang w:eastAsia="en-GB" w:bidi="ar-SA"/>
              </w:rPr>
              <w:t>20</w:t>
            </w:r>
          </w:p>
        </w:tc>
        <w:tc>
          <w:tcPr>
            <w:tcW w:w="3833" w:type="dxa"/>
            <w:shd w:val="clear" w:color="auto" w:fill="auto"/>
            <w:vAlign w:val="bottom"/>
            <w:hideMark/>
          </w:tcPr>
          <w:p w14:paraId="6622D578" w14:textId="77777777" w:rsidR="00891767" w:rsidRPr="002446C7" w:rsidRDefault="00891767" w:rsidP="00891767">
            <w:pPr>
              <w:widowControl/>
              <w:ind w:left="468"/>
              <w:rPr>
                <w:rFonts w:cs="Arial"/>
                <w:bCs/>
                <w:i/>
                <w:color w:val="000000"/>
                <w:sz w:val="20"/>
                <w:szCs w:val="20"/>
                <w:lang w:eastAsia="en-GB" w:bidi="ar-SA"/>
              </w:rPr>
            </w:pPr>
            <w:r w:rsidRPr="002446C7">
              <w:rPr>
                <w:rFonts w:cs="Arial"/>
                <w:bCs/>
                <w:i/>
                <w:color w:val="000000"/>
                <w:sz w:val="20"/>
                <w:szCs w:val="20"/>
                <w:lang w:eastAsia="en-GB" w:bidi="ar-SA"/>
              </w:rPr>
              <w:t>Dips</w:t>
            </w:r>
          </w:p>
        </w:tc>
        <w:tc>
          <w:tcPr>
            <w:tcW w:w="1559" w:type="dxa"/>
            <w:shd w:val="clear" w:color="auto" w:fill="auto"/>
          </w:tcPr>
          <w:p w14:paraId="61643C5A" w14:textId="3C08A342" w:rsidR="00891767" w:rsidRPr="00682F41" w:rsidRDefault="00891767" w:rsidP="00891767">
            <w:pPr>
              <w:widowControl/>
              <w:jc w:val="center"/>
              <w:rPr>
                <w:rFonts w:cs="Arial"/>
                <w:b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7D4AA175" w14:textId="514F214F" w:rsidR="00891767" w:rsidRPr="0088161A"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5D6C27C7" w14:textId="6CA47C8A" w:rsidR="00891767" w:rsidRPr="00C94009" w:rsidRDefault="00891767" w:rsidP="00891767">
            <w:pPr>
              <w:widowControl/>
              <w:jc w:val="center"/>
              <w:rPr>
                <w:rFonts w:cs="Arial"/>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6C4E224E" w14:textId="3C3063FE" w:rsidTr="00F92FFF">
        <w:tc>
          <w:tcPr>
            <w:tcW w:w="1124" w:type="dxa"/>
            <w:shd w:val="clear" w:color="auto" w:fill="auto"/>
            <w:noWrap/>
            <w:vAlign w:val="bottom"/>
            <w:hideMark/>
          </w:tcPr>
          <w:p w14:paraId="1DB2C3CA" w14:textId="041E66D7" w:rsidR="00891767" w:rsidRPr="005B3846" w:rsidRDefault="00891767" w:rsidP="00891767">
            <w:pPr>
              <w:widowControl/>
              <w:rPr>
                <w:rFonts w:cs="Arial"/>
                <w:bCs/>
                <w:color w:val="000000"/>
                <w:sz w:val="20"/>
                <w:szCs w:val="20"/>
                <w:lang w:eastAsia="en-GB" w:bidi="ar-SA"/>
              </w:rPr>
            </w:pPr>
            <w:r w:rsidRPr="005B3846">
              <w:rPr>
                <w:rFonts w:cs="Arial"/>
                <w:bCs/>
                <w:color w:val="000000"/>
                <w:sz w:val="20"/>
                <w:szCs w:val="20"/>
                <w:lang w:eastAsia="en-GB" w:bidi="ar-SA"/>
              </w:rPr>
              <w:t>20</w:t>
            </w:r>
          </w:p>
        </w:tc>
        <w:tc>
          <w:tcPr>
            <w:tcW w:w="3833" w:type="dxa"/>
            <w:shd w:val="clear" w:color="auto" w:fill="auto"/>
            <w:vAlign w:val="bottom"/>
            <w:hideMark/>
          </w:tcPr>
          <w:p w14:paraId="6E0DDE78" w14:textId="77777777" w:rsidR="00891767" w:rsidRPr="002446C7" w:rsidRDefault="00891767" w:rsidP="00891767">
            <w:pPr>
              <w:widowControl/>
              <w:ind w:left="468"/>
              <w:rPr>
                <w:rFonts w:cs="Arial"/>
                <w:bCs/>
                <w:i/>
                <w:color w:val="000000"/>
                <w:sz w:val="20"/>
                <w:szCs w:val="20"/>
                <w:lang w:eastAsia="en-GB" w:bidi="ar-SA"/>
              </w:rPr>
            </w:pPr>
            <w:r w:rsidRPr="002446C7">
              <w:rPr>
                <w:rFonts w:cs="Arial"/>
                <w:bCs/>
                <w:i/>
                <w:color w:val="000000"/>
                <w:sz w:val="20"/>
                <w:szCs w:val="20"/>
                <w:lang w:eastAsia="en-GB" w:bidi="ar-SA"/>
              </w:rPr>
              <w:t>Cereal based bars</w:t>
            </w:r>
          </w:p>
        </w:tc>
        <w:tc>
          <w:tcPr>
            <w:tcW w:w="1559" w:type="dxa"/>
            <w:shd w:val="clear" w:color="auto" w:fill="auto"/>
          </w:tcPr>
          <w:p w14:paraId="251C8361" w14:textId="3396492C" w:rsidR="00891767" w:rsidRPr="00682F41" w:rsidRDefault="00891767" w:rsidP="00891767">
            <w:pPr>
              <w:widowControl/>
              <w:jc w:val="center"/>
              <w:rPr>
                <w:rFonts w:cs="Arial"/>
                <w:bCs/>
                <w:color w:val="000000"/>
                <w:sz w:val="24"/>
                <w:szCs w:val="20"/>
                <w:lang w:eastAsia="en-GB" w:bidi="ar-SA"/>
              </w:rPr>
            </w:pPr>
            <w:r w:rsidRPr="0088161A">
              <w:rPr>
                <w:rFonts w:cs="Arial"/>
                <w:bCs/>
                <w:iCs/>
                <w:color w:val="000000"/>
                <w:sz w:val="24"/>
                <w:szCs w:val="20"/>
                <w:lang w:eastAsia="en-GB" w:bidi="ar-SA"/>
              </w:rPr>
              <w:sym w:font="Wingdings" w:char="F0FB"/>
            </w:r>
          </w:p>
        </w:tc>
        <w:tc>
          <w:tcPr>
            <w:tcW w:w="1276" w:type="dxa"/>
          </w:tcPr>
          <w:p w14:paraId="5A0A747F" w14:textId="63BDBBFF" w:rsidR="00891767" w:rsidRPr="0088161A" w:rsidRDefault="00891767" w:rsidP="00891767">
            <w:pPr>
              <w:widowControl/>
              <w:jc w:val="center"/>
              <w:rPr>
                <w:rFonts w:cs="Arial"/>
                <w:bCs/>
                <w:iCs/>
                <w:color w:val="000000"/>
                <w:sz w:val="24"/>
                <w:szCs w:val="20"/>
                <w:lang w:eastAsia="en-GB" w:bidi="ar-SA"/>
              </w:rPr>
            </w:pPr>
            <w:r w:rsidRPr="00682F41">
              <w:rPr>
                <w:rFonts w:cs="Arial"/>
                <w:bCs/>
                <w:iCs/>
                <w:color w:val="000000"/>
                <w:sz w:val="24"/>
                <w:szCs w:val="20"/>
                <w:lang w:eastAsia="en-GB" w:bidi="ar-SA"/>
              </w:rPr>
              <w:sym w:font="Wingdings" w:char="F0FC"/>
            </w:r>
          </w:p>
        </w:tc>
        <w:tc>
          <w:tcPr>
            <w:tcW w:w="1559" w:type="dxa"/>
            <w:shd w:val="clear" w:color="auto" w:fill="auto"/>
          </w:tcPr>
          <w:p w14:paraId="51E8D55D" w14:textId="6E6955B8" w:rsidR="00891767" w:rsidRPr="00C94009" w:rsidRDefault="00891767" w:rsidP="00891767">
            <w:pPr>
              <w:widowControl/>
              <w:jc w:val="center"/>
              <w:rPr>
                <w:rFonts w:cs="Arial"/>
                <w:color w:val="000000"/>
                <w:sz w:val="24"/>
                <w:szCs w:val="20"/>
                <w:highlight w:val="yellow"/>
                <w:lang w:eastAsia="en-GB" w:bidi="ar-SA"/>
              </w:rPr>
            </w:pPr>
            <w:r w:rsidRPr="0088161A">
              <w:rPr>
                <w:rFonts w:cs="Arial"/>
                <w:bCs/>
                <w:iCs/>
                <w:color w:val="000000"/>
                <w:sz w:val="24"/>
                <w:szCs w:val="20"/>
                <w:lang w:eastAsia="en-GB" w:bidi="ar-SA"/>
              </w:rPr>
              <w:sym w:font="Wingdings" w:char="F0FB"/>
            </w:r>
          </w:p>
        </w:tc>
      </w:tr>
      <w:tr w:rsidR="001F4501" w:rsidRPr="005B3846" w14:paraId="40BC38B8" w14:textId="69AAC85F" w:rsidTr="00F92FFF">
        <w:tc>
          <w:tcPr>
            <w:tcW w:w="1124" w:type="dxa"/>
            <w:shd w:val="clear" w:color="auto" w:fill="auto"/>
            <w:noWrap/>
            <w:vAlign w:val="bottom"/>
            <w:hideMark/>
          </w:tcPr>
          <w:p w14:paraId="0C86FC28" w14:textId="4CC49095" w:rsidR="00891767" w:rsidRPr="005B3846" w:rsidRDefault="00891767" w:rsidP="00891767">
            <w:pPr>
              <w:widowControl/>
              <w:rPr>
                <w:rFonts w:cs="Arial"/>
                <w:bCs/>
                <w:color w:val="000000"/>
                <w:sz w:val="20"/>
                <w:szCs w:val="20"/>
                <w:lang w:eastAsia="en-GB" w:bidi="ar-SA"/>
              </w:rPr>
            </w:pPr>
            <w:r w:rsidRPr="005B3846">
              <w:rPr>
                <w:rFonts w:cs="Arial"/>
                <w:bCs/>
                <w:color w:val="000000"/>
                <w:sz w:val="20"/>
                <w:szCs w:val="20"/>
                <w:lang w:eastAsia="en-GB" w:bidi="ar-SA"/>
              </w:rPr>
              <w:t>20</w:t>
            </w:r>
          </w:p>
        </w:tc>
        <w:tc>
          <w:tcPr>
            <w:tcW w:w="3833" w:type="dxa"/>
            <w:shd w:val="clear" w:color="auto" w:fill="auto"/>
            <w:vAlign w:val="bottom"/>
            <w:hideMark/>
          </w:tcPr>
          <w:p w14:paraId="31843AB6" w14:textId="77777777" w:rsidR="00891767" w:rsidRPr="001B06CE" w:rsidRDefault="00891767" w:rsidP="00891767">
            <w:pPr>
              <w:widowControl/>
              <w:ind w:left="468"/>
              <w:rPr>
                <w:rFonts w:cs="Arial"/>
                <w:bCs/>
                <w:color w:val="000000"/>
                <w:sz w:val="20"/>
                <w:szCs w:val="20"/>
                <w:highlight w:val="yellow"/>
                <w:lang w:eastAsia="en-GB" w:bidi="ar-SA"/>
              </w:rPr>
            </w:pPr>
            <w:r w:rsidRPr="007221A3">
              <w:rPr>
                <w:rFonts w:cs="Arial"/>
                <w:bCs/>
                <w:color w:val="000000"/>
                <w:sz w:val="20"/>
                <w:szCs w:val="20"/>
                <w:lang w:eastAsia="en-GB" w:bidi="ar-SA"/>
              </w:rPr>
              <w:t>Mixed meals</w:t>
            </w:r>
          </w:p>
        </w:tc>
        <w:tc>
          <w:tcPr>
            <w:tcW w:w="1559" w:type="dxa"/>
            <w:shd w:val="clear" w:color="auto" w:fill="auto"/>
          </w:tcPr>
          <w:p w14:paraId="38CD2A17" w14:textId="42D06979" w:rsidR="00891767" w:rsidRPr="00682F41" w:rsidRDefault="00891767" w:rsidP="00891767">
            <w:pPr>
              <w:widowControl/>
              <w:jc w:val="center"/>
              <w:rPr>
                <w:rFonts w:cs="Arial"/>
                <w:bCs/>
                <w:color w:val="000000"/>
                <w:sz w:val="24"/>
                <w:szCs w:val="20"/>
                <w:lang w:eastAsia="en-GB" w:bidi="ar-SA"/>
              </w:rPr>
            </w:pPr>
            <w:r w:rsidRPr="00682F41">
              <w:rPr>
                <w:rFonts w:cs="Arial"/>
                <w:bCs/>
                <w:color w:val="000000"/>
                <w:sz w:val="24"/>
                <w:szCs w:val="20"/>
                <w:lang w:eastAsia="en-GB" w:bidi="ar-SA"/>
              </w:rPr>
              <w:sym w:font="Wingdings" w:char="F0FB"/>
            </w:r>
          </w:p>
        </w:tc>
        <w:tc>
          <w:tcPr>
            <w:tcW w:w="1276" w:type="dxa"/>
          </w:tcPr>
          <w:p w14:paraId="2A1F3CEA" w14:textId="00E21FD9" w:rsidR="00891767" w:rsidRPr="002446C7" w:rsidRDefault="00891767" w:rsidP="00891767">
            <w:pPr>
              <w:widowControl/>
              <w:jc w:val="center"/>
              <w:rPr>
                <w:rFonts w:cs="Arial"/>
                <w:color w:val="000000"/>
                <w:sz w:val="24"/>
                <w:szCs w:val="20"/>
                <w:lang w:eastAsia="en-GB" w:bidi="ar-SA"/>
              </w:rPr>
            </w:pPr>
            <w:r w:rsidRPr="00682F41">
              <w:rPr>
                <w:rFonts w:cs="Arial"/>
                <w:color w:val="000000"/>
                <w:sz w:val="24"/>
                <w:szCs w:val="20"/>
                <w:lang w:eastAsia="en-GB" w:bidi="ar-SA"/>
              </w:rPr>
              <w:sym w:font="Wingdings" w:char="F0FB"/>
            </w:r>
          </w:p>
        </w:tc>
        <w:tc>
          <w:tcPr>
            <w:tcW w:w="1559" w:type="dxa"/>
            <w:shd w:val="clear" w:color="auto" w:fill="auto"/>
          </w:tcPr>
          <w:p w14:paraId="31D48342" w14:textId="7AFF2AF0" w:rsidR="00891767" w:rsidRPr="002446C7" w:rsidRDefault="00891767" w:rsidP="00891767">
            <w:pPr>
              <w:widowControl/>
              <w:jc w:val="center"/>
              <w:rPr>
                <w:rFonts w:cs="Arial"/>
                <w:color w:val="000000"/>
                <w:sz w:val="24"/>
                <w:szCs w:val="20"/>
                <w:lang w:eastAsia="en-GB" w:bidi="ar-SA"/>
              </w:rPr>
            </w:pPr>
            <w:r w:rsidRPr="002446C7">
              <w:rPr>
                <w:rFonts w:cs="Arial"/>
                <w:color w:val="000000"/>
                <w:sz w:val="24"/>
                <w:szCs w:val="20"/>
                <w:lang w:eastAsia="en-GB" w:bidi="ar-SA"/>
              </w:rPr>
              <w:sym w:font="Wingdings" w:char="F0FB"/>
            </w:r>
          </w:p>
        </w:tc>
      </w:tr>
    </w:tbl>
    <w:p w14:paraId="5E3B2E9A" w14:textId="4913485F" w:rsidR="008B1928" w:rsidRDefault="00930DC6" w:rsidP="000F53D4">
      <w:pPr>
        <w:rPr>
          <w:sz w:val="18"/>
          <w:lang w:eastAsia="en-AU"/>
        </w:rPr>
      </w:pPr>
      <w:r w:rsidRPr="00930DC6">
        <w:rPr>
          <w:sz w:val="18"/>
          <w:lang w:eastAsia="en-AU"/>
        </w:rPr>
        <w:t>* From EFSA, 2018.</w:t>
      </w:r>
    </w:p>
    <w:p w14:paraId="03CC3B82" w14:textId="77777777" w:rsidR="00921907" w:rsidRPr="00930DC6" w:rsidRDefault="00921907" w:rsidP="000F53D4">
      <w:pPr>
        <w:rPr>
          <w:sz w:val="18"/>
          <w:lang w:eastAsia="en-AU"/>
        </w:rPr>
      </w:pPr>
    </w:p>
    <w:p w14:paraId="4A7284BF" w14:textId="72778195" w:rsidR="000F53D4" w:rsidRPr="00D9398F" w:rsidRDefault="000F53D4" w:rsidP="00D15757">
      <w:pPr>
        <w:pStyle w:val="Heading2"/>
      </w:pPr>
      <w:bookmarkStart w:id="447" w:name="_Toc247509506"/>
      <w:bookmarkStart w:id="448" w:name="_Toc256582727"/>
      <w:bookmarkStart w:id="449" w:name="_Toc360028640"/>
      <w:bookmarkStart w:id="450" w:name="_Toc415041943"/>
      <w:bookmarkStart w:id="451" w:name="_Toc494292570"/>
      <w:bookmarkStart w:id="452" w:name="_Toc508119315"/>
      <w:bookmarkStart w:id="453" w:name="_Toc516668860"/>
      <w:bookmarkStart w:id="454" w:name="_Toc517709913"/>
      <w:bookmarkStart w:id="455" w:name="_Toc518388313"/>
      <w:bookmarkStart w:id="456" w:name="_Toc518655011"/>
      <w:bookmarkStart w:id="457" w:name="_Toc62657953"/>
      <w:bookmarkStart w:id="458" w:name="_Toc62739005"/>
      <w:bookmarkStart w:id="459" w:name="_Toc62743591"/>
      <w:bookmarkStart w:id="460" w:name="_Toc63330899"/>
      <w:bookmarkStart w:id="461" w:name="_Toc92722958"/>
      <w:bookmarkStart w:id="462" w:name="_Toc93592345"/>
      <w:bookmarkStart w:id="463" w:name="_Toc93585356"/>
      <w:bookmarkStart w:id="464" w:name="_Toc97041651"/>
      <w:r>
        <w:t>A1.</w:t>
      </w:r>
      <w:r w:rsidR="00891767">
        <w:t>4</w:t>
      </w:r>
      <w:r>
        <w:tab/>
      </w:r>
      <w:r w:rsidRPr="00D9398F">
        <w:t xml:space="preserve">Limitations of dietary </w:t>
      </w:r>
      <w:r w:rsidRPr="00CF3931">
        <w:t>exposure</w:t>
      </w:r>
      <w:r w:rsidRPr="00D9398F">
        <w:t xml:space="preserve"> assessments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265B66A2" w14:textId="77777777" w:rsidR="000F53D4" w:rsidRDefault="000F53D4" w:rsidP="000F53D4">
      <w:r w:rsidRPr="00BC485A">
        <w:t>Dietary exposure assessments based on 2011</w:t>
      </w:r>
      <w:r>
        <w:t>-12</w:t>
      </w:r>
      <w:r w:rsidRPr="00BC485A">
        <w:t> NNPAS, 2002 NZ</w:t>
      </w:r>
      <w:r>
        <w:t xml:space="preserve"> C</w:t>
      </w:r>
      <w:r w:rsidRPr="00BC485A">
        <w:t>NS and 2008 NZ</w:t>
      </w:r>
      <w:r>
        <w:t xml:space="preserve"> </w:t>
      </w:r>
      <w:r w:rsidRPr="00BC485A">
        <w:t>ANS food consumption data provide the best estimation of actual consumption of a food and the resulting estimated dietary exposure assessment for t</w:t>
      </w:r>
      <w:r>
        <w:t>he Australian population aged 2 </w:t>
      </w:r>
      <w:r w:rsidRPr="00BC485A">
        <w:t>years and above, as well as the New Zealand populations aged 5–14 yea</w:t>
      </w:r>
      <w:r>
        <w:t>rs and 15 </w:t>
      </w:r>
      <w:r w:rsidRPr="00BC485A">
        <w:t xml:space="preserve">years and above, respectively. However, it should be noted that NNS data do have limitations. Further details of the limitations relating to dietary exposure assessments undertaken by FSANZ are set out in the FSANZ document, </w:t>
      </w:r>
      <w:r w:rsidRPr="00BC485A">
        <w:rPr>
          <w:i/>
        </w:rPr>
        <w:t>Principles and Practices of Dietary Exposure Assessment for Food Regulatory Purposes</w:t>
      </w:r>
      <w:r w:rsidRPr="00BC485A">
        <w:t xml:space="preserve"> (FSANZ 2009)</w:t>
      </w:r>
      <w:r>
        <w:t>.</w:t>
      </w:r>
    </w:p>
    <w:p w14:paraId="4A4234D9" w14:textId="77777777" w:rsidR="00891767" w:rsidRPr="005F7323" w:rsidRDefault="00891767" w:rsidP="000F53D4">
      <w:pPr>
        <w:rPr>
          <w:lang w:bidi="ar-SA"/>
        </w:rPr>
      </w:pPr>
    </w:p>
    <w:sectPr w:rsidR="00891767" w:rsidRPr="005F7323" w:rsidSect="003C0B3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59207" w14:textId="77777777" w:rsidR="00A65698" w:rsidRDefault="00A65698">
      <w:r>
        <w:separator/>
      </w:r>
    </w:p>
  </w:endnote>
  <w:endnote w:type="continuationSeparator" w:id="0">
    <w:p w14:paraId="6FC4D7B9" w14:textId="77777777" w:rsidR="00A65698" w:rsidRDefault="00A65698">
      <w:r>
        <w:continuationSeparator/>
      </w:r>
    </w:p>
  </w:endnote>
  <w:endnote w:type="continuationNotice" w:id="1">
    <w:p w14:paraId="7CF6E7E4" w14:textId="77777777" w:rsidR="00A65698" w:rsidRDefault="00A65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1E6B" w14:textId="295D0248" w:rsidR="00A65698" w:rsidRDefault="00A65698" w:rsidP="00A778B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DEB9F7F" w14:textId="77777777" w:rsidR="00A65698" w:rsidRDefault="00A65698" w:rsidP="00153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2DAA" w14:textId="7FC3DECF" w:rsidR="00A65698" w:rsidRDefault="00A65698" w:rsidP="008D269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80D2A">
      <w:rPr>
        <w:rStyle w:val="PageNumber"/>
        <w:noProof/>
      </w:rPr>
      <w:t>i</w:t>
    </w:r>
    <w:r>
      <w:rPr>
        <w:rStyle w:val="PageNumber"/>
      </w:rPr>
      <w:fldChar w:fldCharType="end"/>
    </w:r>
  </w:p>
  <w:p w14:paraId="594DA5B4" w14:textId="77777777" w:rsidR="00A65698" w:rsidRDefault="00A65698" w:rsidP="00153B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9BC9" w14:textId="77777777" w:rsidR="00A65698" w:rsidRDefault="00A65698">
      <w:r>
        <w:separator/>
      </w:r>
    </w:p>
  </w:footnote>
  <w:footnote w:type="continuationSeparator" w:id="0">
    <w:p w14:paraId="14586B19" w14:textId="77777777" w:rsidR="00A65698" w:rsidRDefault="00A65698">
      <w:r>
        <w:continuationSeparator/>
      </w:r>
    </w:p>
  </w:footnote>
  <w:footnote w:type="continuationNotice" w:id="1">
    <w:p w14:paraId="7A5AFF9D" w14:textId="77777777" w:rsidR="00A65698" w:rsidRDefault="00A65698"/>
  </w:footnote>
  <w:footnote w:id="2">
    <w:p w14:paraId="0D09B35D" w14:textId="11FF2321" w:rsidR="00A65698" w:rsidRPr="009827E2" w:rsidRDefault="00A65698">
      <w:pPr>
        <w:pStyle w:val="FootnoteText"/>
        <w:rPr>
          <w:lang w:val="en-AU"/>
        </w:rPr>
      </w:pPr>
      <w:r>
        <w:rPr>
          <w:rStyle w:val="FootnoteReference"/>
        </w:rPr>
        <w:footnoteRef/>
      </w:r>
      <w:r>
        <w:t xml:space="preserve"> </w:t>
      </w:r>
      <w:r>
        <w:rPr>
          <w:lang w:val="en-AU"/>
        </w:rPr>
        <w:t>weight per volume</w:t>
      </w:r>
    </w:p>
  </w:footnote>
  <w:footnote w:id="3">
    <w:p w14:paraId="015320D3" w14:textId="41A61EAA" w:rsidR="00A65698" w:rsidRPr="009827E2" w:rsidRDefault="00A65698">
      <w:pPr>
        <w:pStyle w:val="FootnoteText"/>
        <w:rPr>
          <w:lang w:val="en-AU"/>
        </w:rPr>
      </w:pPr>
      <w:r>
        <w:rPr>
          <w:rStyle w:val="FootnoteReference"/>
        </w:rPr>
        <w:footnoteRef/>
      </w:r>
      <w:r>
        <w:t xml:space="preserve"> </w:t>
      </w:r>
      <w:r>
        <w:rPr>
          <w:lang w:val="en-AU"/>
        </w:rPr>
        <w:t>weight per volume</w:t>
      </w:r>
    </w:p>
  </w:footnote>
  <w:footnote w:id="4">
    <w:p w14:paraId="5FA14399" w14:textId="2EEB5BF4" w:rsidR="00A65698" w:rsidRPr="00157D1E" w:rsidRDefault="00A65698">
      <w:pPr>
        <w:pStyle w:val="FootnoteText"/>
        <w:rPr>
          <w:sz w:val="18"/>
          <w:szCs w:val="18"/>
          <w:lang w:val="en-AU"/>
        </w:rPr>
      </w:pPr>
      <w:r>
        <w:rPr>
          <w:rStyle w:val="FootnoteReference"/>
        </w:rPr>
        <w:footnoteRef/>
      </w:r>
      <w:r>
        <w:t xml:space="preserve"> </w:t>
      </w:r>
      <w:r w:rsidRPr="00157D1E">
        <w:rPr>
          <w:sz w:val="18"/>
          <w:szCs w:val="18"/>
        </w:rPr>
        <w:t>International Union of Pure and Applied Chemistry</w:t>
      </w:r>
    </w:p>
  </w:footnote>
  <w:footnote w:id="5">
    <w:p w14:paraId="5A3B77AD" w14:textId="2D49E678" w:rsidR="00A65698" w:rsidRPr="003F34E6" w:rsidRDefault="00A65698">
      <w:pPr>
        <w:pStyle w:val="FootnoteText"/>
        <w:rPr>
          <w:lang w:val="en-AU"/>
        </w:rPr>
      </w:pPr>
      <w:r w:rsidRPr="00157D1E">
        <w:rPr>
          <w:rStyle w:val="FootnoteReference"/>
          <w:sz w:val="18"/>
          <w:szCs w:val="18"/>
        </w:rPr>
        <w:footnoteRef/>
      </w:r>
      <w:r w:rsidRPr="00157D1E">
        <w:rPr>
          <w:sz w:val="18"/>
          <w:szCs w:val="18"/>
        </w:rPr>
        <w:t xml:space="preserve"> </w:t>
      </w:r>
      <w:r w:rsidRPr="00157D1E">
        <w:rPr>
          <w:sz w:val="18"/>
          <w:szCs w:val="18"/>
          <w:lang w:val="en-AU"/>
        </w:rPr>
        <w:t>Chemical Abstracts Service</w:t>
      </w:r>
    </w:p>
  </w:footnote>
  <w:footnote w:id="6">
    <w:p w14:paraId="49E0347A" w14:textId="12AEC479" w:rsidR="00A65698" w:rsidRPr="003E1538" w:rsidRDefault="00A65698">
      <w:pPr>
        <w:pStyle w:val="FootnoteText"/>
        <w:rPr>
          <w:lang w:val="en-AU"/>
        </w:rPr>
      </w:pPr>
      <w:r>
        <w:rPr>
          <w:rStyle w:val="FootnoteReference"/>
        </w:rPr>
        <w:footnoteRef/>
      </w:r>
      <w:r>
        <w:t xml:space="preserve"> </w:t>
      </w:r>
      <w:r w:rsidRPr="001F6D49">
        <w:rPr>
          <w:sz w:val="18"/>
          <w:szCs w:val="18"/>
        </w:rPr>
        <w:t>European Community number</w:t>
      </w:r>
    </w:p>
  </w:footnote>
  <w:footnote w:id="7">
    <w:p w14:paraId="2832469E" w14:textId="040F0649" w:rsidR="00A65698" w:rsidRPr="00322913" w:rsidRDefault="00A65698">
      <w:pPr>
        <w:pStyle w:val="FootnoteText"/>
        <w:rPr>
          <w:lang w:val="en-AU"/>
        </w:rPr>
      </w:pPr>
      <w:r>
        <w:rPr>
          <w:rStyle w:val="FootnoteReference"/>
        </w:rPr>
        <w:footnoteRef/>
      </w:r>
      <w:r>
        <w:t xml:space="preserve"> </w:t>
      </w:r>
      <w:hyperlink r:id="rId1" w:history="1">
        <w:r w:rsidRPr="00B52632">
          <w:rPr>
            <w:rStyle w:val="Hyperlink"/>
          </w:rPr>
          <w:t>https://foodregulation.gov.au/internet/fr/publishing.nsf/Content/aus-foodborne-illness-reduction-strategy-2018-2021-Jun-2018</w:t>
        </w:r>
      </w:hyperlink>
    </w:p>
  </w:footnote>
  <w:footnote w:id="8">
    <w:p w14:paraId="38E9C6D1" w14:textId="77777777" w:rsidR="00A65698" w:rsidRPr="004B2B78" w:rsidRDefault="00A65698" w:rsidP="00691261">
      <w:pPr>
        <w:pStyle w:val="FootnoteText"/>
        <w:rPr>
          <w:lang w:val="en-AU"/>
        </w:rPr>
      </w:pPr>
      <w:r>
        <w:rPr>
          <w:rStyle w:val="FootnoteReference"/>
        </w:rPr>
        <w:footnoteRef/>
      </w:r>
      <w:r>
        <w:t xml:space="preserve"> </w:t>
      </w:r>
      <w:r>
        <w:rPr>
          <w:lang w:val="en-AU"/>
        </w:rPr>
        <w:t xml:space="preserve">EU Regulation on Registration, Evaluation, Authorisation and Restriction of Chemicals. </w:t>
      </w:r>
    </w:p>
  </w:footnote>
  <w:footnote w:id="9">
    <w:p w14:paraId="30723ECB" w14:textId="77777777" w:rsidR="00A65698" w:rsidRPr="00814453" w:rsidRDefault="00A65698" w:rsidP="006F1F0A">
      <w:pPr>
        <w:pStyle w:val="FootnoteText"/>
      </w:pPr>
      <w:r w:rsidRPr="006C5B42">
        <w:rPr>
          <w:rStyle w:val="FootnoteReference"/>
          <w:sz w:val="16"/>
        </w:rPr>
        <w:footnoteRef/>
      </w:r>
      <w:r w:rsidRPr="006C5B42">
        <w:rPr>
          <w:sz w:val="16"/>
        </w:rPr>
        <w:t xml:space="preserve"> Harvest is FSANZ’s custom-built dietary modelling program that replaced the previous program, DIAMOND, which does the same calculations using a different software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60AA" w14:textId="5B3927AB" w:rsidR="00A65698" w:rsidRDefault="00A6569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CB1"/>
    <w:multiLevelType w:val="multilevel"/>
    <w:tmpl w:val="DA56B08C"/>
    <w:lvl w:ilvl="0">
      <w:start w:val="4"/>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A7FD3"/>
    <w:multiLevelType w:val="hybridMultilevel"/>
    <w:tmpl w:val="068A5E2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0910F2"/>
    <w:multiLevelType w:val="hybridMultilevel"/>
    <w:tmpl w:val="7B7A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10478"/>
    <w:multiLevelType w:val="hybridMultilevel"/>
    <w:tmpl w:val="25582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E572E"/>
    <w:multiLevelType w:val="multilevel"/>
    <w:tmpl w:val="39504086"/>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47D3C"/>
    <w:multiLevelType w:val="multilevel"/>
    <w:tmpl w:val="7CD4534A"/>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8ACC0"/>
    <w:multiLevelType w:val="hybridMultilevel"/>
    <w:tmpl w:val="1839152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6E21F8"/>
    <w:multiLevelType w:val="hybridMultilevel"/>
    <w:tmpl w:val="D848E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516AFB"/>
    <w:multiLevelType w:val="hybridMultilevel"/>
    <w:tmpl w:val="F602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71C05F9"/>
    <w:multiLevelType w:val="hybridMultilevel"/>
    <w:tmpl w:val="C57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00B89"/>
    <w:multiLevelType w:val="hybridMultilevel"/>
    <w:tmpl w:val="890E5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DBA68AB"/>
    <w:multiLevelType w:val="hybridMultilevel"/>
    <w:tmpl w:val="63541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5F227D"/>
    <w:multiLevelType w:val="hybridMultilevel"/>
    <w:tmpl w:val="A3F69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C427A2"/>
    <w:multiLevelType w:val="hybridMultilevel"/>
    <w:tmpl w:val="30241EBA"/>
    <w:lvl w:ilvl="0" w:tplc="336C042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702F4"/>
    <w:multiLevelType w:val="hybridMultilevel"/>
    <w:tmpl w:val="0E6476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955983"/>
    <w:multiLevelType w:val="hybridMultilevel"/>
    <w:tmpl w:val="9BD48D7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6B0C706D"/>
    <w:multiLevelType w:val="hybridMultilevel"/>
    <w:tmpl w:val="9092A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A86625"/>
    <w:multiLevelType w:val="hybridMultilevel"/>
    <w:tmpl w:val="D74644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77124C8A"/>
    <w:multiLevelType w:val="hybridMultilevel"/>
    <w:tmpl w:val="77AA11CE"/>
    <w:lvl w:ilvl="0" w:tplc="68A020F4">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F7202BB"/>
    <w:multiLevelType w:val="hybridMultilevel"/>
    <w:tmpl w:val="AC5487F0"/>
    <w:lvl w:ilvl="0" w:tplc="618228C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21"/>
  </w:num>
  <w:num w:numId="5">
    <w:abstractNumId w:val="22"/>
  </w:num>
  <w:num w:numId="6">
    <w:abstractNumId w:val="0"/>
  </w:num>
  <w:num w:numId="7">
    <w:abstractNumId w:val="16"/>
  </w:num>
  <w:num w:numId="8">
    <w:abstractNumId w:val="20"/>
  </w:num>
  <w:num w:numId="9">
    <w:abstractNumId w:val="6"/>
  </w:num>
  <w:num w:numId="10">
    <w:abstractNumId w:val="3"/>
  </w:num>
  <w:num w:numId="11">
    <w:abstractNumId w:val="5"/>
  </w:num>
  <w:num w:numId="12">
    <w:abstractNumId w:val="7"/>
  </w:num>
  <w:num w:numId="13">
    <w:abstractNumId w:val="12"/>
  </w:num>
  <w:num w:numId="14">
    <w:abstractNumId w:val="14"/>
  </w:num>
  <w:num w:numId="15">
    <w:abstractNumId w:val="10"/>
  </w:num>
  <w:num w:numId="16">
    <w:abstractNumId w:val="7"/>
  </w:num>
  <w:num w:numId="17">
    <w:abstractNumId w:val="19"/>
  </w:num>
  <w:num w:numId="18">
    <w:abstractNumId w:val="4"/>
  </w:num>
  <w:num w:numId="19">
    <w:abstractNumId w:val="17"/>
  </w:num>
  <w:num w:numId="20">
    <w:abstractNumId w:val="18"/>
  </w:num>
  <w:num w:numId="21">
    <w:abstractNumId w:val="1"/>
  </w:num>
  <w:num w:numId="22">
    <w:abstractNumId w:val="15"/>
  </w:num>
  <w:num w:numId="23">
    <w:abstractNumId w:val="13"/>
  </w:num>
  <w:num w:numId="24">
    <w:abstractNumId w:val="9"/>
  </w:num>
  <w:num w:numId="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19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E1"/>
    <w:rsid w:val="00000F08"/>
    <w:rsid w:val="00001CF2"/>
    <w:rsid w:val="0000247B"/>
    <w:rsid w:val="0000343C"/>
    <w:rsid w:val="0000469B"/>
    <w:rsid w:val="0000741D"/>
    <w:rsid w:val="00010890"/>
    <w:rsid w:val="0001185A"/>
    <w:rsid w:val="00012A48"/>
    <w:rsid w:val="00013497"/>
    <w:rsid w:val="000152FE"/>
    <w:rsid w:val="0001580F"/>
    <w:rsid w:val="000220E7"/>
    <w:rsid w:val="00022CB7"/>
    <w:rsid w:val="000238BD"/>
    <w:rsid w:val="00023B7D"/>
    <w:rsid w:val="000242C8"/>
    <w:rsid w:val="00024C2B"/>
    <w:rsid w:val="00025F8F"/>
    <w:rsid w:val="0002638B"/>
    <w:rsid w:val="00026BD5"/>
    <w:rsid w:val="00027DED"/>
    <w:rsid w:val="000306C1"/>
    <w:rsid w:val="00030B97"/>
    <w:rsid w:val="00032E1A"/>
    <w:rsid w:val="00033B42"/>
    <w:rsid w:val="00033B76"/>
    <w:rsid w:val="00033E15"/>
    <w:rsid w:val="00033F1D"/>
    <w:rsid w:val="00034936"/>
    <w:rsid w:val="0003499C"/>
    <w:rsid w:val="00035FF3"/>
    <w:rsid w:val="000375BD"/>
    <w:rsid w:val="00041E8D"/>
    <w:rsid w:val="0004214C"/>
    <w:rsid w:val="00042CFB"/>
    <w:rsid w:val="000458E6"/>
    <w:rsid w:val="000472B3"/>
    <w:rsid w:val="000472F0"/>
    <w:rsid w:val="00047D5D"/>
    <w:rsid w:val="0005004E"/>
    <w:rsid w:val="00050720"/>
    <w:rsid w:val="00051021"/>
    <w:rsid w:val="0005192E"/>
    <w:rsid w:val="00051D26"/>
    <w:rsid w:val="00051ED9"/>
    <w:rsid w:val="00052EA4"/>
    <w:rsid w:val="000537E5"/>
    <w:rsid w:val="000538EA"/>
    <w:rsid w:val="00053D66"/>
    <w:rsid w:val="00053E1A"/>
    <w:rsid w:val="00057181"/>
    <w:rsid w:val="000605CA"/>
    <w:rsid w:val="00061460"/>
    <w:rsid w:val="00061A9D"/>
    <w:rsid w:val="0006473A"/>
    <w:rsid w:val="00064B2D"/>
    <w:rsid w:val="00065F1F"/>
    <w:rsid w:val="00065FD2"/>
    <w:rsid w:val="00066049"/>
    <w:rsid w:val="000676D1"/>
    <w:rsid w:val="0007063D"/>
    <w:rsid w:val="000706B6"/>
    <w:rsid w:val="000713C4"/>
    <w:rsid w:val="00071566"/>
    <w:rsid w:val="0007172F"/>
    <w:rsid w:val="0007261D"/>
    <w:rsid w:val="0007265A"/>
    <w:rsid w:val="0007272C"/>
    <w:rsid w:val="00073AD8"/>
    <w:rsid w:val="00074387"/>
    <w:rsid w:val="000745C8"/>
    <w:rsid w:val="0007681F"/>
    <w:rsid w:val="00076D33"/>
    <w:rsid w:val="00077471"/>
    <w:rsid w:val="00077D7C"/>
    <w:rsid w:val="0008048F"/>
    <w:rsid w:val="0008115C"/>
    <w:rsid w:val="0008337E"/>
    <w:rsid w:val="000840CA"/>
    <w:rsid w:val="00084809"/>
    <w:rsid w:val="00087208"/>
    <w:rsid w:val="000875CB"/>
    <w:rsid w:val="00091981"/>
    <w:rsid w:val="00092CDA"/>
    <w:rsid w:val="0009388C"/>
    <w:rsid w:val="000955C2"/>
    <w:rsid w:val="00095971"/>
    <w:rsid w:val="000A0238"/>
    <w:rsid w:val="000A156C"/>
    <w:rsid w:val="000A257B"/>
    <w:rsid w:val="000A27E9"/>
    <w:rsid w:val="000A3723"/>
    <w:rsid w:val="000A3ACA"/>
    <w:rsid w:val="000A3D8B"/>
    <w:rsid w:val="000A447B"/>
    <w:rsid w:val="000A4DB3"/>
    <w:rsid w:val="000A5DF8"/>
    <w:rsid w:val="000A67BE"/>
    <w:rsid w:val="000A71EC"/>
    <w:rsid w:val="000A7EF2"/>
    <w:rsid w:val="000B0128"/>
    <w:rsid w:val="000B0783"/>
    <w:rsid w:val="000B08D5"/>
    <w:rsid w:val="000B3115"/>
    <w:rsid w:val="000B43B7"/>
    <w:rsid w:val="000B50D1"/>
    <w:rsid w:val="000B511F"/>
    <w:rsid w:val="000B54B9"/>
    <w:rsid w:val="000B6AF2"/>
    <w:rsid w:val="000B7653"/>
    <w:rsid w:val="000C0299"/>
    <w:rsid w:val="000C1179"/>
    <w:rsid w:val="000C3DDA"/>
    <w:rsid w:val="000C3F1B"/>
    <w:rsid w:val="000C48F2"/>
    <w:rsid w:val="000C4D24"/>
    <w:rsid w:val="000C621C"/>
    <w:rsid w:val="000C6AEC"/>
    <w:rsid w:val="000D15F4"/>
    <w:rsid w:val="000D2B47"/>
    <w:rsid w:val="000D31FF"/>
    <w:rsid w:val="000D623A"/>
    <w:rsid w:val="000D6FD4"/>
    <w:rsid w:val="000D75DE"/>
    <w:rsid w:val="000E0AE4"/>
    <w:rsid w:val="000E21C1"/>
    <w:rsid w:val="000E22D0"/>
    <w:rsid w:val="000E2669"/>
    <w:rsid w:val="000E3DBC"/>
    <w:rsid w:val="000E438E"/>
    <w:rsid w:val="000E4E06"/>
    <w:rsid w:val="000E5283"/>
    <w:rsid w:val="000E7E39"/>
    <w:rsid w:val="000F24F7"/>
    <w:rsid w:val="000F3C35"/>
    <w:rsid w:val="000F53D4"/>
    <w:rsid w:val="000F6A06"/>
    <w:rsid w:val="001003E9"/>
    <w:rsid w:val="001008DE"/>
    <w:rsid w:val="001017DF"/>
    <w:rsid w:val="0010227C"/>
    <w:rsid w:val="00102883"/>
    <w:rsid w:val="00103FA8"/>
    <w:rsid w:val="001043F8"/>
    <w:rsid w:val="00104D99"/>
    <w:rsid w:val="001070C6"/>
    <w:rsid w:val="0010732A"/>
    <w:rsid w:val="00110647"/>
    <w:rsid w:val="00110B8D"/>
    <w:rsid w:val="00112B4E"/>
    <w:rsid w:val="00112C52"/>
    <w:rsid w:val="00113CE3"/>
    <w:rsid w:val="00116D5D"/>
    <w:rsid w:val="00117522"/>
    <w:rsid w:val="00120B86"/>
    <w:rsid w:val="00123ADA"/>
    <w:rsid w:val="00124FE8"/>
    <w:rsid w:val="0012540A"/>
    <w:rsid w:val="00125550"/>
    <w:rsid w:val="00126342"/>
    <w:rsid w:val="00132917"/>
    <w:rsid w:val="00133BC9"/>
    <w:rsid w:val="00133EE5"/>
    <w:rsid w:val="001346C7"/>
    <w:rsid w:val="001366C4"/>
    <w:rsid w:val="00140957"/>
    <w:rsid w:val="00140A57"/>
    <w:rsid w:val="00142160"/>
    <w:rsid w:val="00142776"/>
    <w:rsid w:val="00142D0C"/>
    <w:rsid w:val="00142D87"/>
    <w:rsid w:val="00144782"/>
    <w:rsid w:val="00150325"/>
    <w:rsid w:val="001511FC"/>
    <w:rsid w:val="0015185C"/>
    <w:rsid w:val="00152059"/>
    <w:rsid w:val="0015249D"/>
    <w:rsid w:val="001526C8"/>
    <w:rsid w:val="001537C5"/>
    <w:rsid w:val="00153BA2"/>
    <w:rsid w:val="00153DF8"/>
    <w:rsid w:val="001542D8"/>
    <w:rsid w:val="00154461"/>
    <w:rsid w:val="00154873"/>
    <w:rsid w:val="001554CE"/>
    <w:rsid w:val="001557C0"/>
    <w:rsid w:val="00156743"/>
    <w:rsid w:val="0015749A"/>
    <w:rsid w:val="001574EF"/>
    <w:rsid w:val="00157D1E"/>
    <w:rsid w:val="00157D31"/>
    <w:rsid w:val="00160FB2"/>
    <w:rsid w:val="0016117E"/>
    <w:rsid w:val="00162264"/>
    <w:rsid w:val="001626DA"/>
    <w:rsid w:val="0016322D"/>
    <w:rsid w:val="00171552"/>
    <w:rsid w:val="001716A5"/>
    <w:rsid w:val="001719A1"/>
    <w:rsid w:val="0017280B"/>
    <w:rsid w:val="00172EB2"/>
    <w:rsid w:val="00172F34"/>
    <w:rsid w:val="00177243"/>
    <w:rsid w:val="00180C41"/>
    <w:rsid w:val="00180E4D"/>
    <w:rsid w:val="00180F30"/>
    <w:rsid w:val="00182893"/>
    <w:rsid w:val="00182C4C"/>
    <w:rsid w:val="00183865"/>
    <w:rsid w:val="00183E35"/>
    <w:rsid w:val="001845F6"/>
    <w:rsid w:val="00184770"/>
    <w:rsid w:val="0018600C"/>
    <w:rsid w:val="00187477"/>
    <w:rsid w:val="0019075C"/>
    <w:rsid w:val="00190B3A"/>
    <w:rsid w:val="001916E4"/>
    <w:rsid w:val="00191EFD"/>
    <w:rsid w:val="00192F95"/>
    <w:rsid w:val="001938A0"/>
    <w:rsid w:val="00194A66"/>
    <w:rsid w:val="00194D41"/>
    <w:rsid w:val="00195683"/>
    <w:rsid w:val="00196941"/>
    <w:rsid w:val="00197D82"/>
    <w:rsid w:val="00197D8D"/>
    <w:rsid w:val="001A038E"/>
    <w:rsid w:val="001A1A75"/>
    <w:rsid w:val="001A2DDA"/>
    <w:rsid w:val="001A55A0"/>
    <w:rsid w:val="001A6D67"/>
    <w:rsid w:val="001A7E9A"/>
    <w:rsid w:val="001B01CA"/>
    <w:rsid w:val="001B06CE"/>
    <w:rsid w:val="001B3359"/>
    <w:rsid w:val="001B4248"/>
    <w:rsid w:val="001C2119"/>
    <w:rsid w:val="001C27A3"/>
    <w:rsid w:val="001C3A52"/>
    <w:rsid w:val="001C4CE0"/>
    <w:rsid w:val="001C5295"/>
    <w:rsid w:val="001C5309"/>
    <w:rsid w:val="001C631A"/>
    <w:rsid w:val="001D1AFB"/>
    <w:rsid w:val="001D1E05"/>
    <w:rsid w:val="001D237B"/>
    <w:rsid w:val="001D23B6"/>
    <w:rsid w:val="001D3B42"/>
    <w:rsid w:val="001D3F3C"/>
    <w:rsid w:val="001D50BF"/>
    <w:rsid w:val="001D59AF"/>
    <w:rsid w:val="001D6044"/>
    <w:rsid w:val="001D6957"/>
    <w:rsid w:val="001D74EA"/>
    <w:rsid w:val="001E05EA"/>
    <w:rsid w:val="001E07CA"/>
    <w:rsid w:val="001E09FA"/>
    <w:rsid w:val="001E1035"/>
    <w:rsid w:val="001E6A51"/>
    <w:rsid w:val="001E75FF"/>
    <w:rsid w:val="001E779D"/>
    <w:rsid w:val="001F2DE7"/>
    <w:rsid w:val="001F3A37"/>
    <w:rsid w:val="001F4501"/>
    <w:rsid w:val="001F572F"/>
    <w:rsid w:val="001F5F60"/>
    <w:rsid w:val="001F6D49"/>
    <w:rsid w:val="00200855"/>
    <w:rsid w:val="0020180A"/>
    <w:rsid w:val="00202B57"/>
    <w:rsid w:val="00202E26"/>
    <w:rsid w:val="0020345B"/>
    <w:rsid w:val="00203540"/>
    <w:rsid w:val="00204279"/>
    <w:rsid w:val="002050B0"/>
    <w:rsid w:val="002055D7"/>
    <w:rsid w:val="00210363"/>
    <w:rsid w:val="00210C38"/>
    <w:rsid w:val="0021398E"/>
    <w:rsid w:val="00215357"/>
    <w:rsid w:val="0021612B"/>
    <w:rsid w:val="00217074"/>
    <w:rsid w:val="0022083A"/>
    <w:rsid w:val="00220954"/>
    <w:rsid w:val="0022101C"/>
    <w:rsid w:val="0022105A"/>
    <w:rsid w:val="00221361"/>
    <w:rsid w:val="002217F3"/>
    <w:rsid w:val="00221D07"/>
    <w:rsid w:val="00224451"/>
    <w:rsid w:val="0022703E"/>
    <w:rsid w:val="00227665"/>
    <w:rsid w:val="00227E4A"/>
    <w:rsid w:val="00231A32"/>
    <w:rsid w:val="00231C25"/>
    <w:rsid w:val="00233475"/>
    <w:rsid w:val="00233601"/>
    <w:rsid w:val="00233A84"/>
    <w:rsid w:val="00233C0E"/>
    <w:rsid w:val="002344EE"/>
    <w:rsid w:val="00236202"/>
    <w:rsid w:val="00236C12"/>
    <w:rsid w:val="0023728E"/>
    <w:rsid w:val="00237CE2"/>
    <w:rsid w:val="00241C77"/>
    <w:rsid w:val="002423BB"/>
    <w:rsid w:val="00242BED"/>
    <w:rsid w:val="00242C86"/>
    <w:rsid w:val="00242D4A"/>
    <w:rsid w:val="002442E9"/>
    <w:rsid w:val="0024446A"/>
    <w:rsid w:val="002446C7"/>
    <w:rsid w:val="0024582E"/>
    <w:rsid w:val="00245C56"/>
    <w:rsid w:val="00245DEF"/>
    <w:rsid w:val="00247311"/>
    <w:rsid w:val="00247C1D"/>
    <w:rsid w:val="00252B9E"/>
    <w:rsid w:val="00253AD9"/>
    <w:rsid w:val="002547EF"/>
    <w:rsid w:val="00255794"/>
    <w:rsid w:val="00256D65"/>
    <w:rsid w:val="00257943"/>
    <w:rsid w:val="00257F0A"/>
    <w:rsid w:val="0026013F"/>
    <w:rsid w:val="00261162"/>
    <w:rsid w:val="00262807"/>
    <w:rsid w:val="0026287B"/>
    <w:rsid w:val="00263570"/>
    <w:rsid w:val="00265E6C"/>
    <w:rsid w:val="002670E6"/>
    <w:rsid w:val="00271F00"/>
    <w:rsid w:val="00272EF4"/>
    <w:rsid w:val="00273A80"/>
    <w:rsid w:val="002755F8"/>
    <w:rsid w:val="002802DC"/>
    <w:rsid w:val="0028277A"/>
    <w:rsid w:val="00284B04"/>
    <w:rsid w:val="00284E86"/>
    <w:rsid w:val="00285B8E"/>
    <w:rsid w:val="00287D45"/>
    <w:rsid w:val="00287D67"/>
    <w:rsid w:val="00290BBF"/>
    <w:rsid w:val="0029204E"/>
    <w:rsid w:val="002923E5"/>
    <w:rsid w:val="00293D1B"/>
    <w:rsid w:val="00293F93"/>
    <w:rsid w:val="00294B33"/>
    <w:rsid w:val="00295752"/>
    <w:rsid w:val="00295882"/>
    <w:rsid w:val="00295983"/>
    <w:rsid w:val="0029631C"/>
    <w:rsid w:val="002A0194"/>
    <w:rsid w:val="002A18FA"/>
    <w:rsid w:val="002A3008"/>
    <w:rsid w:val="002A3314"/>
    <w:rsid w:val="002A34B4"/>
    <w:rsid w:val="002A3732"/>
    <w:rsid w:val="002A5413"/>
    <w:rsid w:val="002A5F8B"/>
    <w:rsid w:val="002A732C"/>
    <w:rsid w:val="002A78B2"/>
    <w:rsid w:val="002A7F6C"/>
    <w:rsid w:val="002B1076"/>
    <w:rsid w:val="002B15C1"/>
    <w:rsid w:val="002B23F9"/>
    <w:rsid w:val="002B2507"/>
    <w:rsid w:val="002B25F7"/>
    <w:rsid w:val="002B2EE3"/>
    <w:rsid w:val="002B426F"/>
    <w:rsid w:val="002B4DD3"/>
    <w:rsid w:val="002B6779"/>
    <w:rsid w:val="002C0069"/>
    <w:rsid w:val="002C0719"/>
    <w:rsid w:val="002C3B4D"/>
    <w:rsid w:val="002C3C28"/>
    <w:rsid w:val="002C40A8"/>
    <w:rsid w:val="002C5E1A"/>
    <w:rsid w:val="002C6428"/>
    <w:rsid w:val="002C6B02"/>
    <w:rsid w:val="002C6B90"/>
    <w:rsid w:val="002C76EE"/>
    <w:rsid w:val="002D01B3"/>
    <w:rsid w:val="002D0A12"/>
    <w:rsid w:val="002D162A"/>
    <w:rsid w:val="002D1E3C"/>
    <w:rsid w:val="002D2AC5"/>
    <w:rsid w:val="002D4AA4"/>
    <w:rsid w:val="002D4F83"/>
    <w:rsid w:val="002D528D"/>
    <w:rsid w:val="002D56D2"/>
    <w:rsid w:val="002D6809"/>
    <w:rsid w:val="002D6D49"/>
    <w:rsid w:val="002D7289"/>
    <w:rsid w:val="002E1DB4"/>
    <w:rsid w:val="002E2EB4"/>
    <w:rsid w:val="002E3AB6"/>
    <w:rsid w:val="002E4594"/>
    <w:rsid w:val="002E7E6A"/>
    <w:rsid w:val="002F0192"/>
    <w:rsid w:val="002F03B3"/>
    <w:rsid w:val="002F267E"/>
    <w:rsid w:val="002F3DAE"/>
    <w:rsid w:val="002F466B"/>
    <w:rsid w:val="002F4E37"/>
    <w:rsid w:val="002F5B99"/>
    <w:rsid w:val="002F6488"/>
    <w:rsid w:val="00300617"/>
    <w:rsid w:val="0030123C"/>
    <w:rsid w:val="00301D60"/>
    <w:rsid w:val="003021AE"/>
    <w:rsid w:val="003029DC"/>
    <w:rsid w:val="0030384A"/>
    <w:rsid w:val="00306F77"/>
    <w:rsid w:val="00307B18"/>
    <w:rsid w:val="003124B7"/>
    <w:rsid w:val="003124F7"/>
    <w:rsid w:val="0031341E"/>
    <w:rsid w:val="003153C2"/>
    <w:rsid w:val="00315672"/>
    <w:rsid w:val="00315D88"/>
    <w:rsid w:val="003161BF"/>
    <w:rsid w:val="003168B2"/>
    <w:rsid w:val="00317436"/>
    <w:rsid w:val="00317986"/>
    <w:rsid w:val="00320839"/>
    <w:rsid w:val="00320C2D"/>
    <w:rsid w:val="003213F9"/>
    <w:rsid w:val="00321553"/>
    <w:rsid w:val="00321DF6"/>
    <w:rsid w:val="00321E5B"/>
    <w:rsid w:val="0032225D"/>
    <w:rsid w:val="00322913"/>
    <w:rsid w:val="00322FC2"/>
    <w:rsid w:val="00323524"/>
    <w:rsid w:val="0032379A"/>
    <w:rsid w:val="003237C3"/>
    <w:rsid w:val="00323DBF"/>
    <w:rsid w:val="00326129"/>
    <w:rsid w:val="003266DE"/>
    <w:rsid w:val="00326D85"/>
    <w:rsid w:val="00327926"/>
    <w:rsid w:val="003279B7"/>
    <w:rsid w:val="003309A8"/>
    <w:rsid w:val="00332B12"/>
    <w:rsid w:val="00332F5B"/>
    <w:rsid w:val="003336B7"/>
    <w:rsid w:val="00335020"/>
    <w:rsid w:val="003361E3"/>
    <w:rsid w:val="00337A4F"/>
    <w:rsid w:val="00337EEB"/>
    <w:rsid w:val="00340EF1"/>
    <w:rsid w:val="0034186B"/>
    <w:rsid w:val="00343043"/>
    <w:rsid w:val="0034351B"/>
    <w:rsid w:val="003442DE"/>
    <w:rsid w:val="00344DC3"/>
    <w:rsid w:val="00347BAD"/>
    <w:rsid w:val="003502B0"/>
    <w:rsid w:val="00350783"/>
    <w:rsid w:val="0035155E"/>
    <w:rsid w:val="00351B07"/>
    <w:rsid w:val="00352529"/>
    <w:rsid w:val="00352CF2"/>
    <w:rsid w:val="0035328F"/>
    <w:rsid w:val="003572FC"/>
    <w:rsid w:val="00357516"/>
    <w:rsid w:val="00357B7C"/>
    <w:rsid w:val="00357FC8"/>
    <w:rsid w:val="00361C65"/>
    <w:rsid w:val="00362DE3"/>
    <w:rsid w:val="00364841"/>
    <w:rsid w:val="00364BFA"/>
    <w:rsid w:val="00365E5B"/>
    <w:rsid w:val="00370241"/>
    <w:rsid w:val="00370B7F"/>
    <w:rsid w:val="00371B29"/>
    <w:rsid w:val="00371D81"/>
    <w:rsid w:val="003737D6"/>
    <w:rsid w:val="00375BC0"/>
    <w:rsid w:val="0037656B"/>
    <w:rsid w:val="00376E79"/>
    <w:rsid w:val="00376E7A"/>
    <w:rsid w:val="00380677"/>
    <w:rsid w:val="00382BD9"/>
    <w:rsid w:val="00384F56"/>
    <w:rsid w:val="00385384"/>
    <w:rsid w:val="003855CD"/>
    <w:rsid w:val="003857BC"/>
    <w:rsid w:val="0038592B"/>
    <w:rsid w:val="00387966"/>
    <w:rsid w:val="00390B34"/>
    <w:rsid w:val="00391392"/>
    <w:rsid w:val="0039153F"/>
    <w:rsid w:val="00391769"/>
    <w:rsid w:val="00391931"/>
    <w:rsid w:val="00392C1E"/>
    <w:rsid w:val="003936A2"/>
    <w:rsid w:val="00394907"/>
    <w:rsid w:val="00394A53"/>
    <w:rsid w:val="003953E1"/>
    <w:rsid w:val="003956B3"/>
    <w:rsid w:val="0039693E"/>
    <w:rsid w:val="00397285"/>
    <w:rsid w:val="003A1B69"/>
    <w:rsid w:val="003A2367"/>
    <w:rsid w:val="003A2CFF"/>
    <w:rsid w:val="003A39B0"/>
    <w:rsid w:val="003A5DD8"/>
    <w:rsid w:val="003A68BE"/>
    <w:rsid w:val="003A71EB"/>
    <w:rsid w:val="003A7F5A"/>
    <w:rsid w:val="003B0185"/>
    <w:rsid w:val="003B1805"/>
    <w:rsid w:val="003B208B"/>
    <w:rsid w:val="003B2E59"/>
    <w:rsid w:val="003B3C9D"/>
    <w:rsid w:val="003B3CB9"/>
    <w:rsid w:val="003B6345"/>
    <w:rsid w:val="003B78E0"/>
    <w:rsid w:val="003C0B3A"/>
    <w:rsid w:val="003C21FA"/>
    <w:rsid w:val="003C2936"/>
    <w:rsid w:val="003C4969"/>
    <w:rsid w:val="003C4EF6"/>
    <w:rsid w:val="003C5DE3"/>
    <w:rsid w:val="003C633B"/>
    <w:rsid w:val="003D2797"/>
    <w:rsid w:val="003D7385"/>
    <w:rsid w:val="003E1538"/>
    <w:rsid w:val="003E2488"/>
    <w:rsid w:val="003E24C6"/>
    <w:rsid w:val="003E27EC"/>
    <w:rsid w:val="003E39B0"/>
    <w:rsid w:val="003E41D5"/>
    <w:rsid w:val="003E46BA"/>
    <w:rsid w:val="003E59BA"/>
    <w:rsid w:val="003E6238"/>
    <w:rsid w:val="003E7D22"/>
    <w:rsid w:val="003F0263"/>
    <w:rsid w:val="003F198F"/>
    <w:rsid w:val="003F201A"/>
    <w:rsid w:val="003F20F4"/>
    <w:rsid w:val="003F34E6"/>
    <w:rsid w:val="003F3A29"/>
    <w:rsid w:val="003F4E2C"/>
    <w:rsid w:val="003F5453"/>
    <w:rsid w:val="003F6712"/>
    <w:rsid w:val="003F74C1"/>
    <w:rsid w:val="003F7A76"/>
    <w:rsid w:val="003F7A86"/>
    <w:rsid w:val="003F7F87"/>
    <w:rsid w:val="004010B0"/>
    <w:rsid w:val="004011B1"/>
    <w:rsid w:val="00402168"/>
    <w:rsid w:val="004023AC"/>
    <w:rsid w:val="004035C4"/>
    <w:rsid w:val="00403FF1"/>
    <w:rsid w:val="00404616"/>
    <w:rsid w:val="00405B1A"/>
    <w:rsid w:val="00406581"/>
    <w:rsid w:val="00406EB7"/>
    <w:rsid w:val="004074F1"/>
    <w:rsid w:val="00410C76"/>
    <w:rsid w:val="00410CA5"/>
    <w:rsid w:val="0041156F"/>
    <w:rsid w:val="00411907"/>
    <w:rsid w:val="004120FA"/>
    <w:rsid w:val="004128A4"/>
    <w:rsid w:val="00413C67"/>
    <w:rsid w:val="00413CA8"/>
    <w:rsid w:val="004144DB"/>
    <w:rsid w:val="00414F25"/>
    <w:rsid w:val="004162B6"/>
    <w:rsid w:val="0041653F"/>
    <w:rsid w:val="0041735C"/>
    <w:rsid w:val="00417EE3"/>
    <w:rsid w:val="00420421"/>
    <w:rsid w:val="004207EB"/>
    <w:rsid w:val="004217C1"/>
    <w:rsid w:val="00421D3B"/>
    <w:rsid w:val="00422610"/>
    <w:rsid w:val="00422618"/>
    <w:rsid w:val="00423B5D"/>
    <w:rsid w:val="0042409F"/>
    <w:rsid w:val="00424B62"/>
    <w:rsid w:val="00425378"/>
    <w:rsid w:val="00425ED1"/>
    <w:rsid w:val="0042623A"/>
    <w:rsid w:val="00432571"/>
    <w:rsid w:val="00437276"/>
    <w:rsid w:val="00437DE3"/>
    <w:rsid w:val="0044072F"/>
    <w:rsid w:val="00443B18"/>
    <w:rsid w:val="0044506B"/>
    <w:rsid w:val="00446A1E"/>
    <w:rsid w:val="00447267"/>
    <w:rsid w:val="00450638"/>
    <w:rsid w:val="00451484"/>
    <w:rsid w:val="00453204"/>
    <w:rsid w:val="00454620"/>
    <w:rsid w:val="00454E65"/>
    <w:rsid w:val="00456954"/>
    <w:rsid w:val="00456B54"/>
    <w:rsid w:val="00457CA9"/>
    <w:rsid w:val="004612A2"/>
    <w:rsid w:val="00462A8F"/>
    <w:rsid w:val="00462EC9"/>
    <w:rsid w:val="00464643"/>
    <w:rsid w:val="00464963"/>
    <w:rsid w:val="00464C40"/>
    <w:rsid w:val="00467908"/>
    <w:rsid w:val="00471BBE"/>
    <w:rsid w:val="00472049"/>
    <w:rsid w:val="0047264F"/>
    <w:rsid w:val="00472E72"/>
    <w:rsid w:val="004749C7"/>
    <w:rsid w:val="00474CF5"/>
    <w:rsid w:val="004776DA"/>
    <w:rsid w:val="004801E0"/>
    <w:rsid w:val="0048067F"/>
    <w:rsid w:val="0048151D"/>
    <w:rsid w:val="00481E64"/>
    <w:rsid w:val="00486793"/>
    <w:rsid w:val="00486DF4"/>
    <w:rsid w:val="004872EE"/>
    <w:rsid w:val="0049475F"/>
    <w:rsid w:val="004979E8"/>
    <w:rsid w:val="004A2037"/>
    <w:rsid w:val="004A3EE7"/>
    <w:rsid w:val="004A48FD"/>
    <w:rsid w:val="004A6224"/>
    <w:rsid w:val="004A670D"/>
    <w:rsid w:val="004A6C76"/>
    <w:rsid w:val="004B06EB"/>
    <w:rsid w:val="004B2A09"/>
    <w:rsid w:val="004B2B78"/>
    <w:rsid w:val="004B33E3"/>
    <w:rsid w:val="004B3E77"/>
    <w:rsid w:val="004B48FE"/>
    <w:rsid w:val="004B6A5B"/>
    <w:rsid w:val="004B7A36"/>
    <w:rsid w:val="004C2C1E"/>
    <w:rsid w:val="004C2CE7"/>
    <w:rsid w:val="004C36DA"/>
    <w:rsid w:val="004C55E7"/>
    <w:rsid w:val="004C5CBC"/>
    <w:rsid w:val="004C7B5E"/>
    <w:rsid w:val="004C7F90"/>
    <w:rsid w:val="004D1AC9"/>
    <w:rsid w:val="004D1C4E"/>
    <w:rsid w:val="004D2E88"/>
    <w:rsid w:val="004D5E39"/>
    <w:rsid w:val="004E4A72"/>
    <w:rsid w:val="004E4F72"/>
    <w:rsid w:val="004E5E1D"/>
    <w:rsid w:val="004F3222"/>
    <w:rsid w:val="004F33EA"/>
    <w:rsid w:val="004F452C"/>
    <w:rsid w:val="004F4F98"/>
    <w:rsid w:val="004F69F6"/>
    <w:rsid w:val="004F79AC"/>
    <w:rsid w:val="005017CF"/>
    <w:rsid w:val="0050251B"/>
    <w:rsid w:val="00503FC2"/>
    <w:rsid w:val="005045C6"/>
    <w:rsid w:val="00505D43"/>
    <w:rsid w:val="005067B5"/>
    <w:rsid w:val="0050716B"/>
    <w:rsid w:val="00510782"/>
    <w:rsid w:val="0051080F"/>
    <w:rsid w:val="00512F40"/>
    <w:rsid w:val="00513434"/>
    <w:rsid w:val="0051502F"/>
    <w:rsid w:val="00516B15"/>
    <w:rsid w:val="00520072"/>
    <w:rsid w:val="005201AE"/>
    <w:rsid w:val="005207D8"/>
    <w:rsid w:val="00521343"/>
    <w:rsid w:val="00521868"/>
    <w:rsid w:val="00522DAA"/>
    <w:rsid w:val="005271E2"/>
    <w:rsid w:val="005273A0"/>
    <w:rsid w:val="00527C0F"/>
    <w:rsid w:val="00527C44"/>
    <w:rsid w:val="0053072B"/>
    <w:rsid w:val="005311D9"/>
    <w:rsid w:val="005333A5"/>
    <w:rsid w:val="00533574"/>
    <w:rsid w:val="005335BF"/>
    <w:rsid w:val="0053464E"/>
    <w:rsid w:val="0053473B"/>
    <w:rsid w:val="005347D2"/>
    <w:rsid w:val="0053611A"/>
    <w:rsid w:val="005369A0"/>
    <w:rsid w:val="0054012C"/>
    <w:rsid w:val="00540296"/>
    <w:rsid w:val="00540311"/>
    <w:rsid w:val="00540395"/>
    <w:rsid w:val="00540855"/>
    <w:rsid w:val="0054266F"/>
    <w:rsid w:val="0054272D"/>
    <w:rsid w:val="00542AC5"/>
    <w:rsid w:val="00545967"/>
    <w:rsid w:val="00545BA4"/>
    <w:rsid w:val="00545D92"/>
    <w:rsid w:val="00547E34"/>
    <w:rsid w:val="00550767"/>
    <w:rsid w:val="00551A68"/>
    <w:rsid w:val="00553969"/>
    <w:rsid w:val="00554E65"/>
    <w:rsid w:val="00554F83"/>
    <w:rsid w:val="00556709"/>
    <w:rsid w:val="00556C23"/>
    <w:rsid w:val="00561721"/>
    <w:rsid w:val="00561C62"/>
    <w:rsid w:val="00562917"/>
    <w:rsid w:val="00562EB2"/>
    <w:rsid w:val="00563B09"/>
    <w:rsid w:val="00564450"/>
    <w:rsid w:val="005668B3"/>
    <w:rsid w:val="00567882"/>
    <w:rsid w:val="0057037B"/>
    <w:rsid w:val="00570794"/>
    <w:rsid w:val="0057097A"/>
    <w:rsid w:val="00572C39"/>
    <w:rsid w:val="005738CD"/>
    <w:rsid w:val="00573CF7"/>
    <w:rsid w:val="005746BA"/>
    <w:rsid w:val="0057615C"/>
    <w:rsid w:val="00580A12"/>
    <w:rsid w:val="00580AE7"/>
    <w:rsid w:val="00580C9E"/>
    <w:rsid w:val="00580D22"/>
    <w:rsid w:val="0058265A"/>
    <w:rsid w:val="0058351C"/>
    <w:rsid w:val="00583DEE"/>
    <w:rsid w:val="005852E6"/>
    <w:rsid w:val="00586228"/>
    <w:rsid w:val="0059083D"/>
    <w:rsid w:val="00593352"/>
    <w:rsid w:val="00594A5B"/>
    <w:rsid w:val="00595168"/>
    <w:rsid w:val="0059748B"/>
    <w:rsid w:val="005A0849"/>
    <w:rsid w:val="005A1991"/>
    <w:rsid w:val="005A1C23"/>
    <w:rsid w:val="005A1D97"/>
    <w:rsid w:val="005A1E7A"/>
    <w:rsid w:val="005A2588"/>
    <w:rsid w:val="005A28AF"/>
    <w:rsid w:val="005A58F3"/>
    <w:rsid w:val="005A5969"/>
    <w:rsid w:val="005A5AC4"/>
    <w:rsid w:val="005A7078"/>
    <w:rsid w:val="005A7B28"/>
    <w:rsid w:val="005A7DBE"/>
    <w:rsid w:val="005A7E18"/>
    <w:rsid w:val="005B083C"/>
    <w:rsid w:val="005B173E"/>
    <w:rsid w:val="005B3846"/>
    <w:rsid w:val="005B405A"/>
    <w:rsid w:val="005B407A"/>
    <w:rsid w:val="005B51A9"/>
    <w:rsid w:val="005B6AF4"/>
    <w:rsid w:val="005B7A73"/>
    <w:rsid w:val="005C04CB"/>
    <w:rsid w:val="005C2AD2"/>
    <w:rsid w:val="005C3FB5"/>
    <w:rsid w:val="005C7F62"/>
    <w:rsid w:val="005D16AD"/>
    <w:rsid w:val="005D16CF"/>
    <w:rsid w:val="005D185C"/>
    <w:rsid w:val="005D2BE6"/>
    <w:rsid w:val="005D7196"/>
    <w:rsid w:val="005D72E1"/>
    <w:rsid w:val="005D759E"/>
    <w:rsid w:val="005D761E"/>
    <w:rsid w:val="005E050B"/>
    <w:rsid w:val="005E1092"/>
    <w:rsid w:val="005E47FD"/>
    <w:rsid w:val="005E4E1E"/>
    <w:rsid w:val="005E4EEF"/>
    <w:rsid w:val="005E5139"/>
    <w:rsid w:val="005E5240"/>
    <w:rsid w:val="005E54D3"/>
    <w:rsid w:val="005E56BC"/>
    <w:rsid w:val="005E6E16"/>
    <w:rsid w:val="005E6E61"/>
    <w:rsid w:val="005E7923"/>
    <w:rsid w:val="005E7C17"/>
    <w:rsid w:val="005F00DD"/>
    <w:rsid w:val="005F1475"/>
    <w:rsid w:val="005F1E69"/>
    <w:rsid w:val="005F2B18"/>
    <w:rsid w:val="005F2FA2"/>
    <w:rsid w:val="005F400E"/>
    <w:rsid w:val="005F597D"/>
    <w:rsid w:val="005F7323"/>
    <w:rsid w:val="005F7342"/>
    <w:rsid w:val="005F7A77"/>
    <w:rsid w:val="005F7D9F"/>
    <w:rsid w:val="00600630"/>
    <w:rsid w:val="00600F78"/>
    <w:rsid w:val="0060105E"/>
    <w:rsid w:val="00601F6C"/>
    <w:rsid w:val="00603008"/>
    <w:rsid w:val="00603A08"/>
    <w:rsid w:val="0060478F"/>
    <w:rsid w:val="00604AC4"/>
    <w:rsid w:val="00605144"/>
    <w:rsid w:val="006065A4"/>
    <w:rsid w:val="006079A9"/>
    <w:rsid w:val="00610A3C"/>
    <w:rsid w:val="0061119C"/>
    <w:rsid w:val="0061152D"/>
    <w:rsid w:val="0061237F"/>
    <w:rsid w:val="006125A0"/>
    <w:rsid w:val="0061260A"/>
    <w:rsid w:val="00612A77"/>
    <w:rsid w:val="00612AF3"/>
    <w:rsid w:val="00613020"/>
    <w:rsid w:val="0061321B"/>
    <w:rsid w:val="00613BD3"/>
    <w:rsid w:val="006168FD"/>
    <w:rsid w:val="00617C9F"/>
    <w:rsid w:val="0062071D"/>
    <w:rsid w:val="00620930"/>
    <w:rsid w:val="0062156B"/>
    <w:rsid w:val="00621BCC"/>
    <w:rsid w:val="00622BCC"/>
    <w:rsid w:val="00622D7D"/>
    <w:rsid w:val="006236C6"/>
    <w:rsid w:val="0062487E"/>
    <w:rsid w:val="00625ABD"/>
    <w:rsid w:val="006274AC"/>
    <w:rsid w:val="00627F48"/>
    <w:rsid w:val="0063056F"/>
    <w:rsid w:val="00630BAB"/>
    <w:rsid w:val="00630C23"/>
    <w:rsid w:val="00631544"/>
    <w:rsid w:val="0063232D"/>
    <w:rsid w:val="006324D0"/>
    <w:rsid w:val="00632577"/>
    <w:rsid w:val="006360D7"/>
    <w:rsid w:val="00636B1D"/>
    <w:rsid w:val="006460AB"/>
    <w:rsid w:val="00647115"/>
    <w:rsid w:val="006472AA"/>
    <w:rsid w:val="00650B51"/>
    <w:rsid w:val="00651C11"/>
    <w:rsid w:val="0065211B"/>
    <w:rsid w:val="00652F32"/>
    <w:rsid w:val="0065340D"/>
    <w:rsid w:val="00654707"/>
    <w:rsid w:val="006576CA"/>
    <w:rsid w:val="006603C1"/>
    <w:rsid w:val="00662525"/>
    <w:rsid w:val="00662F80"/>
    <w:rsid w:val="00663FCF"/>
    <w:rsid w:val="00665225"/>
    <w:rsid w:val="006652A2"/>
    <w:rsid w:val="006705DF"/>
    <w:rsid w:val="00670E81"/>
    <w:rsid w:val="00671766"/>
    <w:rsid w:val="00671BB1"/>
    <w:rsid w:val="00671F6A"/>
    <w:rsid w:val="00672034"/>
    <w:rsid w:val="00673149"/>
    <w:rsid w:val="00674293"/>
    <w:rsid w:val="00675D90"/>
    <w:rsid w:val="006761D0"/>
    <w:rsid w:val="006761D2"/>
    <w:rsid w:val="00680458"/>
    <w:rsid w:val="0068284B"/>
    <w:rsid w:val="00682DFA"/>
    <w:rsid w:val="00682F41"/>
    <w:rsid w:val="00683087"/>
    <w:rsid w:val="00684E59"/>
    <w:rsid w:val="00684FFF"/>
    <w:rsid w:val="00685419"/>
    <w:rsid w:val="00687798"/>
    <w:rsid w:val="00690206"/>
    <w:rsid w:val="0069090D"/>
    <w:rsid w:val="00691261"/>
    <w:rsid w:val="00691528"/>
    <w:rsid w:val="0069166A"/>
    <w:rsid w:val="00691848"/>
    <w:rsid w:val="00692D55"/>
    <w:rsid w:val="006937FF"/>
    <w:rsid w:val="00693900"/>
    <w:rsid w:val="006939E8"/>
    <w:rsid w:val="00693A00"/>
    <w:rsid w:val="0069444E"/>
    <w:rsid w:val="00696213"/>
    <w:rsid w:val="00697034"/>
    <w:rsid w:val="006974D8"/>
    <w:rsid w:val="006A03C8"/>
    <w:rsid w:val="006A189F"/>
    <w:rsid w:val="006A1A60"/>
    <w:rsid w:val="006A1C46"/>
    <w:rsid w:val="006A2CB3"/>
    <w:rsid w:val="006A3A7D"/>
    <w:rsid w:val="006A4182"/>
    <w:rsid w:val="006A48A7"/>
    <w:rsid w:val="006A5379"/>
    <w:rsid w:val="006A6199"/>
    <w:rsid w:val="006A65F8"/>
    <w:rsid w:val="006A6DFB"/>
    <w:rsid w:val="006A7F95"/>
    <w:rsid w:val="006B0007"/>
    <w:rsid w:val="006B0293"/>
    <w:rsid w:val="006B1447"/>
    <w:rsid w:val="006B4437"/>
    <w:rsid w:val="006B4BA1"/>
    <w:rsid w:val="006B5EBE"/>
    <w:rsid w:val="006B6A85"/>
    <w:rsid w:val="006B7C11"/>
    <w:rsid w:val="006C0735"/>
    <w:rsid w:val="006C0BD4"/>
    <w:rsid w:val="006C0D7A"/>
    <w:rsid w:val="006C20F7"/>
    <w:rsid w:val="006C3A5E"/>
    <w:rsid w:val="006C3E38"/>
    <w:rsid w:val="006C453B"/>
    <w:rsid w:val="006C4A2C"/>
    <w:rsid w:val="006C5B42"/>
    <w:rsid w:val="006C5CF5"/>
    <w:rsid w:val="006C6FDD"/>
    <w:rsid w:val="006D1668"/>
    <w:rsid w:val="006D1ED9"/>
    <w:rsid w:val="006D260A"/>
    <w:rsid w:val="006D2CE4"/>
    <w:rsid w:val="006D2DD2"/>
    <w:rsid w:val="006D4012"/>
    <w:rsid w:val="006D6B8E"/>
    <w:rsid w:val="006D6D39"/>
    <w:rsid w:val="006E2324"/>
    <w:rsid w:val="006E57A9"/>
    <w:rsid w:val="006E5F2A"/>
    <w:rsid w:val="006E7625"/>
    <w:rsid w:val="006F07AF"/>
    <w:rsid w:val="006F0D26"/>
    <w:rsid w:val="006F1F0A"/>
    <w:rsid w:val="006F2507"/>
    <w:rsid w:val="006F32C3"/>
    <w:rsid w:val="006F4A82"/>
    <w:rsid w:val="006F4EFA"/>
    <w:rsid w:val="006F62F3"/>
    <w:rsid w:val="006F6B60"/>
    <w:rsid w:val="00700794"/>
    <w:rsid w:val="0070373B"/>
    <w:rsid w:val="00705746"/>
    <w:rsid w:val="00705ACE"/>
    <w:rsid w:val="00706068"/>
    <w:rsid w:val="00706243"/>
    <w:rsid w:val="007066AE"/>
    <w:rsid w:val="007075D9"/>
    <w:rsid w:val="0070789B"/>
    <w:rsid w:val="00707B58"/>
    <w:rsid w:val="00710616"/>
    <w:rsid w:val="00713961"/>
    <w:rsid w:val="007144F2"/>
    <w:rsid w:val="00714FFE"/>
    <w:rsid w:val="007156B7"/>
    <w:rsid w:val="00716472"/>
    <w:rsid w:val="00717A56"/>
    <w:rsid w:val="007212F2"/>
    <w:rsid w:val="00721CF1"/>
    <w:rsid w:val="007221A3"/>
    <w:rsid w:val="0072231B"/>
    <w:rsid w:val="00723154"/>
    <w:rsid w:val="00724FA4"/>
    <w:rsid w:val="00725444"/>
    <w:rsid w:val="00725DA9"/>
    <w:rsid w:val="00726173"/>
    <w:rsid w:val="00726E82"/>
    <w:rsid w:val="0072733C"/>
    <w:rsid w:val="00727903"/>
    <w:rsid w:val="00730800"/>
    <w:rsid w:val="00731A47"/>
    <w:rsid w:val="00731AC1"/>
    <w:rsid w:val="00731C92"/>
    <w:rsid w:val="0073461A"/>
    <w:rsid w:val="007351D7"/>
    <w:rsid w:val="00735F3C"/>
    <w:rsid w:val="0073750F"/>
    <w:rsid w:val="00737E61"/>
    <w:rsid w:val="00740A9E"/>
    <w:rsid w:val="00741401"/>
    <w:rsid w:val="0074494B"/>
    <w:rsid w:val="00744FDE"/>
    <w:rsid w:val="00747095"/>
    <w:rsid w:val="00747D02"/>
    <w:rsid w:val="0075280C"/>
    <w:rsid w:val="0075297A"/>
    <w:rsid w:val="00752CB1"/>
    <w:rsid w:val="00753059"/>
    <w:rsid w:val="00755DEF"/>
    <w:rsid w:val="00757F3F"/>
    <w:rsid w:val="007602AA"/>
    <w:rsid w:val="00760783"/>
    <w:rsid w:val="00761CE4"/>
    <w:rsid w:val="00761D69"/>
    <w:rsid w:val="00762650"/>
    <w:rsid w:val="00764517"/>
    <w:rsid w:val="007650E1"/>
    <w:rsid w:val="007652EF"/>
    <w:rsid w:val="007671E1"/>
    <w:rsid w:val="007701F1"/>
    <w:rsid w:val="00772BDC"/>
    <w:rsid w:val="00773877"/>
    <w:rsid w:val="007739F7"/>
    <w:rsid w:val="007759EE"/>
    <w:rsid w:val="00777968"/>
    <w:rsid w:val="00777B98"/>
    <w:rsid w:val="00780792"/>
    <w:rsid w:val="00780DA6"/>
    <w:rsid w:val="00781A79"/>
    <w:rsid w:val="007833C3"/>
    <w:rsid w:val="00787231"/>
    <w:rsid w:val="00790CA4"/>
    <w:rsid w:val="00793A94"/>
    <w:rsid w:val="00793E2C"/>
    <w:rsid w:val="0079508E"/>
    <w:rsid w:val="00795986"/>
    <w:rsid w:val="0079599E"/>
    <w:rsid w:val="00795D70"/>
    <w:rsid w:val="00795E9C"/>
    <w:rsid w:val="00796562"/>
    <w:rsid w:val="00796ADD"/>
    <w:rsid w:val="00796E92"/>
    <w:rsid w:val="00797262"/>
    <w:rsid w:val="007A09DB"/>
    <w:rsid w:val="007A1548"/>
    <w:rsid w:val="007A19E1"/>
    <w:rsid w:val="007A1B49"/>
    <w:rsid w:val="007A201A"/>
    <w:rsid w:val="007A22AB"/>
    <w:rsid w:val="007A2F0B"/>
    <w:rsid w:val="007A44B4"/>
    <w:rsid w:val="007A5185"/>
    <w:rsid w:val="007A7A9B"/>
    <w:rsid w:val="007A7AA2"/>
    <w:rsid w:val="007A7AE0"/>
    <w:rsid w:val="007A7D3D"/>
    <w:rsid w:val="007B0298"/>
    <w:rsid w:val="007B0F62"/>
    <w:rsid w:val="007B225D"/>
    <w:rsid w:val="007B2B11"/>
    <w:rsid w:val="007B2F44"/>
    <w:rsid w:val="007B33C8"/>
    <w:rsid w:val="007B373F"/>
    <w:rsid w:val="007B442D"/>
    <w:rsid w:val="007B632C"/>
    <w:rsid w:val="007C0557"/>
    <w:rsid w:val="007C174F"/>
    <w:rsid w:val="007C1C64"/>
    <w:rsid w:val="007C1E7D"/>
    <w:rsid w:val="007C1FAE"/>
    <w:rsid w:val="007C41E0"/>
    <w:rsid w:val="007C631C"/>
    <w:rsid w:val="007C6A90"/>
    <w:rsid w:val="007D03EA"/>
    <w:rsid w:val="007D10E4"/>
    <w:rsid w:val="007D41EB"/>
    <w:rsid w:val="007D6996"/>
    <w:rsid w:val="007E0B41"/>
    <w:rsid w:val="007E246E"/>
    <w:rsid w:val="007E2996"/>
    <w:rsid w:val="007E392D"/>
    <w:rsid w:val="007E4747"/>
    <w:rsid w:val="007E48BC"/>
    <w:rsid w:val="007E5599"/>
    <w:rsid w:val="007E5C35"/>
    <w:rsid w:val="007E6619"/>
    <w:rsid w:val="007E7499"/>
    <w:rsid w:val="007E7548"/>
    <w:rsid w:val="007E79F7"/>
    <w:rsid w:val="007F3630"/>
    <w:rsid w:val="007F4A34"/>
    <w:rsid w:val="007F57A7"/>
    <w:rsid w:val="007F5DAF"/>
    <w:rsid w:val="007F616D"/>
    <w:rsid w:val="007F710D"/>
    <w:rsid w:val="007F739F"/>
    <w:rsid w:val="008008C5"/>
    <w:rsid w:val="00800929"/>
    <w:rsid w:val="00800D42"/>
    <w:rsid w:val="00801E0B"/>
    <w:rsid w:val="0080377C"/>
    <w:rsid w:val="008052C6"/>
    <w:rsid w:val="008056B9"/>
    <w:rsid w:val="00805C52"/>
    <w:rsid w:val="00807559"/>
    <w:rsid w:val="00807F16"/>
    <w:rsid w:val="008119A4"/>
    <w:rsid w:val="008123A2"/>
    <w:rsid w:val="00815A9C"/>
    <w:rsid w:val="008175A8"/>
    <w:rsid w:val="0081797C"/>
    <w:rsid w:val="00825A83"/>
    <w:rsid w:val="00825C21"/>
    <w:rsid w:val="0083012A"/>
    <w:rsid w:val="00830139"/>
    <w:rsid w:val="008305AC"/>
    <w:rsid w:val="008326B1"/>
    <w:rsid w:val="00833217"/>
    <w:rsid w:val="00833650"/>
    <w:rsid w:val="0083471B"/>
    <w:rsid w:val="008357D7"/>
    <w:rsid w:val="008371F9"/>
    <w:rsid w:val="008418EA"/>
    <w:rsid w:val="0084192D"/>
    <w:rsid w:val="00842A98"/>
    <w:rsid w:val="00842B3D"/>
    <w:rsid w:val="00843361"/>
    <w:rsid w:val="008450BC"/>
    <w:rsid w:val="008453A7"/>
    <w:rsid w:val="00845523"/>
    <w:rsid w:val="00845AD2"/>
    <w:rsid w:val="008465E3"/>
    <w:rsid w:val="008473DF"/>
    <w:rsid w:val="00847A0E"/>
    <w:rsid w:val="00847A95"/>
    <w:rsid w:val="0085042A"/>
    <w:rsid w:val="00851562"/>
    <w:rsid w:val="00851E79"/>
    <w:rsid w:val="0085334B"/>
    <w:rsid w:val="008535F3"/>
    <w:rsid w:val="00855451"/>
    <w:rsid w:val="00855B08"/>
    <w:rsid w:val="00855B28"/>
    <w:rsid w:val="00861434"/>
    <w:rsid w:val="00861ABC"/>
    <w:rsid w:val="00861C79"/>
    <w:rsid w:val="00861F2B"/>
    <w:rsid w:val="00862C5C"/>
    <w:rsid w:val="008630E3"/>
    <w:rsid w:val="0086319A"/>
    <w:rsid w:val="00863DFE"/>
    <w:rsid w:val="00863E31"/>
    <w:rsid w:val="008672A2"/>
    <w:rsid w:val="008678B0"/>
    <w:rsid w:val="00870214"/>
    <w:rsid w:val="008716CE"/>
    <w:rsid w:val="00872A01"/>
    <w:rsid w:val="00872E67"/>
    <w:rsid w:val="0087310B"/>
    <w:rsid w:val="008734C2"/>
    <w:rsid w:val="00873DE9"/>
    <w:rsid w:val="008750F7"/>
    <w:rsid w:val="0088019E"/>
    <w:rsid w:val="0088026F"/>
    <w:rsid w:val="008808FF"/>
    <w:rsid w:val="00880C5B"/>
    <w:rsid w:val="00880F38"/>
    <w:rsid w:val="008813A5"/>
    <w:rsid w:val="00881CC6"/>
    <w:rsid w:val="00881DBC"/>
    <w:rsid w:val="00882D92"/>
    <w:rsid w:val="00883D7C"/>
    <w:rsid w:val="00884B4F"/>
    <w:rsid w:val="008857CD"/>
    <w:rsid w:val="00885AE4"/>
    <w:rsid w:val="00885C51"/>
    <w:rsid w:val="00885D81"/>
    <w:rsid w:val="00885EB0"/>
    <w:rsid w:val="008862AF"/>
    <w:rsid w:val="00887EDC"/>
    <w:rsid w:val="008903B7"/>
    <w:rsid w:val="00890554"/>
    <w:rsid w:val="00890EF4"/>
    <w:rsid w:val="00891767"/>
    <w:rsid w:val="00891F4B"/>
    <w:rsid w:val="0089264A"/>
    <w:rsid w:val="00892AA5"/>
    <w:rsid w:val="00893B36"/>
    <w:rsid w:val="0089451F"/>
    <w:rsid w:val="00894559"/>
    <w:rsid w:val="00894AC0"/>
    <w:rsid w:val="008952A6"/>
    <w:rsid w:val="00895A95"/>
    <w:rsid w:val="00895FE4"/>
    <w:rsid w:val="00896B85"/>
    <w:rsid w:val="0089775E"/>
    <w:rsid w:val="008A10AB"/>
    <w:rsid w:val="008A1E71"/>
    <w:rsid w:val="008A22BE"/>
    <w:rsid w:val="008A5712"/>
    <w:rsid w:val="008A5864"/>
    <w:rsid w:val="008A6067"/>
    <w:rsid w:val="008A6FB8"/>
    <w:rsid w:val="008B1928"/>
    <w:rsid w:val="008B4A0D"/>
    <w:rsid w:val="008B539A"/>
    <w:rsid w:val="008B6CDB"/>
    <w:rsid w:val="008B770B"/>
    <w:rsid w:val="008B7A8A"/>
    <w:rsid w:val="008B7DC9"/>
    <w:rsid w:val="008C03CE"/>
    <w:rsid w:val="008C0DE2"/>
    <w:rsid w:val="008C1B36"/>
    <w:rsid w:val="008C5A9D"/>
    <w:rsid w:val="008C603D"/>
    <w:rsid w:val="008D06C6"/>
    <w:rsid w:val="008D2698"/>
    <w:rsid w:val="008D3444"/>
    <w:rsid w:val="008D45CC"/>
    <w:rsid w:val="008D592C"/>
    <w:rsid w:val="008E2200"/>
    <w:rsid w:val="008E42CB"/>
    <w:rsid w:val="008E46C3"/>
    <w:rsid w:val="008E51BF"/>
    <w:rsid w:val="008E6250"/>
    <w:rsid w:val="008E6291"/>
    <w:rsid w:val="008F0430"/>
    <w:rsid w:val="008F2264"/>
    <w:rsid w:val="008F233F"/>
    <w:rsid w:val="008F4B6B"/>
    <w:rsid w:val="008F4C18"/>
    <w:rsid w:val="008F71F6"/>
    <w:rsid w:val="008F721C"/>
    <w:rsid w:val="008F79A6"/>
    <w:rsid w:val="00901331"/>
    <w:rsid w:val="0090137A"/>
    <w:rsid w:val="00902AF6"/>
    <w:rsid w:val="00902F8D"/>
    <w:rsid w:val="00903668"/>
    <w:rsid w:val="00904862"/>
    <w:rsid w:val="00904CE2"/>
    <w:rsid w:val="009065FD"/>
    <w:rsid w:val="009069A6"/>
    <w:rsid w:val="00906AB2"/>
    <w:rsid w:val="00906CC3"/>
    <w:rsid w:val="009071F0"/>
    <w:rsid w:val="009076F5"/>
    <w:rsid w:val="00907F83"/>
    <w:rsid w:val="009100A0"/>
    <w:rsid w:val="009105BA"/>
    <w:rsid w:val="009107E0"/>
    <w:rsid w:val="00911D88"/>
    <w:rsid w:val="00911DCD"/>
    <w:rsid w:val="00912058"/>
    <w:rsid w:val="00912C30"/>
    <w:rsid w:val="0091429C"/>
    <w:rsid w:val="0091785B"/>
    <w:rsid w:val="00920249"/>
    <w:rsid w:val="0092048A"/>
    <w:rsid w:val="00920E1B"/>
    <w:rsid w:val="0092136C"/>
    <w:rsid w:val="00921907"/>
    <w:rsid w:val="00922085"/>
    <w:rsid w:val="00924652"/>
    <w:rsid w:val="00924847"/>
    <w:rsid w:val="00924B81"/>
    <w:rsid w:val="00924C80"/>
    <w:rsid w:val="009255AF"/>
    <w:rsid w:val="00925FD7"/>
    <w:rsid w:val="00926110"/>
    <w:rsid w:val="00927940"/>
    <w:rsid w:val="0093067F"/>
    <w:rsid w:val="00930DC6"/>
    <w:rsid w:val="00931899"/>
    <w:rsid w:val="00932618"/>
    <w:rsid w:val="00932F14"/>
    <w:rsid w:val="00933595"/>
    <w:rsid w:val="00934131"/>
    <w:rsid w:val="00940D85"/>
    <w:rsid w:val="00941A16"/>
    <w:rsid w:val="0094206C"/>
    <w:rsid w:val="0094247F"/>
    <w:rsid w:val="00942D60"/>
    <w:rsid w:val="009436AD"/>
    <w:rsid w:val="00944448"/>
    <w:rsid w:val="00945CD2"/>
    <w:rsid w:val="009503B3"/>
    <w:rsid w:val="00951055"/>
    <w:rsid w:val="0095268B"/>
    <w:rsid w:val="00954842"/>
    <w:rsid w:val="00955AAB"/>
    <w:rsid w:val="009568FD"/>
    <w:rsid w:val="009569DE"/>
    <w:rsid w:val="00956C9B"/>
    <w:rsid w:val="00956E66"/>
    <w:rsid w:val="009635B3"/>
    <w:rsid w:val="0096523B"/>
    <w:rsid w:val="00966EE3"/>
    <w:rsid w:val="009677D2"/>
    <w:rsid w:val="00971E50"/>
    <w:rsid w:val="00972D06"/>
    <w:rsid w:val="00972E80"/>
    <w:rsid w:val="00974417"/>
    <w:rsid w:val="00977504"/>
    <w:rsid w:val="00980354"/>
    <w:rsid w:val="00981C9F"/>
    <w:rsid w:val="00982561"/>
    <w:rsid w:val="00982631"/>
    <w:rsid w:val="009827E2"/>
    <w:rsid w:val="00983B7C"/>
    <w:rsid w:val="009852F9"/>
    <w:rsid w:val="00985B67"/>
    <w:rsid w:val="00985B8C"/>
    <w:rsid w:val="00987562"/>
    <w:rsid w:val="00987CE7"/>
    <w:rsid w:val="00990251"/>
    <w:rsid w:val="009915D9"/>
    <w:rsid w:val="00991751"/>
    <w:rsid w:val="009966D5"/>
    <w:rsid w:val="00997808"/>
    <w:rsid w:val="009A0DA0"/>
    <w:rsid w:val="009A142F"/>
    <w:rsid w:val="009A229D"/>
    <w:rsid w:val="009A22B0"/>
    <w:rsid w:val="009A27B1"/>
    <w:rsid w:val="009A2CDF"/>
    <w:rsid w:val="009A38A5"/>
    <w:rsid w:val="009A391C"/>
    <w:rsid w:val="009A3F1E"/>
    <w:rsid w:val="009A50F2"/>
    <w:rsid w:val="009A6D27"/>
    <w:rsid w:val="009B0953"/>
    <w:rsid w:val="009B1E68"/>
    <w:rsid w:val="009B2E62"/>
    <w:rsid w:val="009B3A24"/>
    <w:rsid w:val="009B4DFB"/>
    <w:rsid w:val="009B554C"/>
    <w:rsid w:val="009B725F"/>
    <w:rsid w:val="009B78BA"/>
    <w:rsid w:val="009C081A"/>
    <w:rsid w:val="009C0F6F"/>
    <w:rsid w:val="009C167B"/>
    <w:rsid w:val="009C40F6"/>
    <w:rsid w:val="009C450F"/>
    <w:rsid w:val="009C5547"/>
    <w:rsid w:val="009C56E9"/>
    <w:rsid w:val="009C5F85"/>
    <w:rsid w:val="009C61A9"/>
    <w:rsid w:val="009C622F"/>
    <w:rsid w:val="009C6C0F"/>
    <w:rsid w:val="009C7DAC"/>
    <w:rsid w:val="009D0B49"/>
    <w:rsid w:val="009D0E63"/>
    <w:rsid w:val="009D0FB2"/>
    <w:rsid w:val="009D45FE"/>
    <w:rsid w:val="009D5429"/>
    <w:rsid w:val="009E0A61"/>
    <w:rsid w:val="009E102F"/>
    <w:rsid w:val="009E17DE"/>
    <w:rsid w:val="009E3010"/>
    <w:rsid w:val="009E3649"/>
    <w:rsid w:val="009E391F"/>
    <w:rsid w:val="009E606D"/>
    <w:rsid w:val="009E68BF"/>
    <w:rsid w:val="009F007E"/>
    <w:rsid w:val="009F0ACA"/>
    <w:rsid w:val="009F198C"/>
    <w:rsid w:val="009F42AB"/>
    <w:rsid w:val="009F47E6"/>
    <w:rsid w:val="009F48DA"/>
    <w:rsid w:val="009F5D0E"/>
    <w:rsid w:val="009F6BA5"/>
    <w:rsid w:val="009F7065"/>
    <w:rsid w:val="00A022D7"/>
    <w:rsid w:val="00A04007"/>
    <w:rsid w:val="00A061EA"/>
    <w:rsid w:val="00A10A22"/>
    <w:rsid w:val="00A10CB9"/>
    <w:rsid w:val="00A1286A"/>
    <w:rsid w:val="00A12929"/>
    <w:rsid w:val="00A12F18"/>
    <w:rsid w:val="00A13469"/>
    <w:rsid w:val="00A174B4"/>
    <w:rsid w:val="00A174E3"/>
    <w:rsid w:val="00A21007"/>
    <w:rsid w:val="00A2191D"/>
    <w:rsid w:val="00A22207"/>
    <w:rsid w:val="00A22503"/>
    <w:rsid w:val="00A22F9B"/>
    <w:rsid w:val="00A237E6"/>
    <w:rsid w:val="00A23C5C"/>
    <w:rsid w:val="00A24AC2"/>
    <w:rsid w:val="00A25BB7"/>
    <w:rsid w:val="00A265B8"/>
    <w:rsid w:val="00A277CE"/>
    <w:rsid w:val="00A3027C"/>
    <w:rsid w:val="00A30350"/>
    <w:rsid w:val="00A306E6"/>
    <w:rsid w:val="00A31E5B"/>
    <w:rsid w:val="00A323DA"/>
    <w:rsid w:val="00A337AB"/>
    <w:rsid w:val="00A34C16"/>
    <w:rsid w:val="00A36B7A"/>
    <w:rsid w:val="00A37430"/>
    <w:rsid w:val="00A37483"/>
    <w:rsid w:val="00A4175D"/>
    <w:rsid w:val="00A41CDD"/>
    <w:rsid w:val="00A432CF"/>
    <w:rsid w:val="00A44364"/>
    <w:rsid w:val="00A465C6"/>
    <w:rsid w:val="00A46C22"/>
    <w:rsid w:val="00A50B76"/>
    <w:rsid w:val="00A50BA7"/>
    <w:rsid w:val="00A519F0"/>
    <w:rsid w:val="00A52585"/>
    <w:rsid w:val="00A52637"/>
    <w:rsid w:val="00A53837"/>
    <w:rsid w:val="00A53B92"/>
    <w:rsid w:val="00A55AAC"/>
    <w:rsid w:val="00A56DC7"/>
    <w:rsid w:val="00A571A8"/>
    <w:rsid w:val="00A62723"/>
    <w:rsid w:val="00A63137"/>
    <w:rsid w:val="00A64131"/>
    <w:rsid w:val="00A64769"/>
    <w:rsid w:val="00A65698"/>
    <w:rsid w:val="00A66FCE"/>
    <w:rsid w:val="00A67D6A"/>
    <w:rsid w:val="00A70E39"/>
    <w:rsid w:val="00A7184B"/>
    <w:rsid w:val="00A71C5A"/>
    <w:rsid w:val="00A72D79"/>
    <w:rsid w:val="00A74FD1"/>
    <w:rsid w:val="00A763AD"/>
    <w:rsid w:val="00A778BB"/>
    <w:rsid w:val="00A77BFA"/>
    <w:rsid w:val="00A80D2A"/>
    <w:rsid w:val="00A83763"/>
    <w:rsid w:val="00A84859"/>
    <w:rsid w:val="00A84A58"/>
    <w:rsid w:val="00A85C4C"/>
    <w:rsid w:val="00A85E99"/>
    <w:rsid w:val="00A86414"/>
    <w:rsid w:val="00A871E8"/>
    <w:rsid w:val="00A8774E"/>
    <w:rsid w:val="00A90692"/>
    <w:rsid w:val="00A93C33"/>
    <w:rsid w:val="00A960F0"/>
    <w:rsid w:val="00A97161"/>
    <w:rsid w:val="00AA096A"/>
    <w:rsid w:val="00AA130D"/>
    <w:rsid w:val="00AA161F"/>
    <w:rsid w:val="00AA2710"/>
    <w:rsid w:val="00AA2A73"/>
    <w:rsid w:val="00AA4A8E"/>
    <w:rsid w:val="00AB074B"/>
    <w:rsid w:val="00AB2D76"/>
    <w:rsid w:val="00AB3F8D"/>
    <w:rsid w:val="00AB5FD1"/>
    <w:rsid w:val="00AB66F1"/>
    <w:rsid w:val="00AB7340"/>
    <w:rsid w:val="00AC0DFD"/>
    <w:rsid w:val="00AC1DE3"/>
    <w:rsid w:val="00AC2337"/>
    <w:rsid w:val="00AC4146"/>
    <w:rsid w:val="00AD0265"/>
    <w:rsid w:val="00AD3266"/>
    <w:rsid w:val="00AD749B"/>
    <w:rsid w:val="00AD78C7"/>
    <w:rsid w:val="00AE0722"/>
    <w:rsid w:val="00AE0EE4"/>
    <w:rsid w:val="00AE12C5"/>
    <w:rsid w:val="00AE23CC"/>
    <w:rsid w:val="00AE279B"/>
    <w:rsid w:val="00AE537C"/>
    <w:rsid w:val="00AE6987"/>
    <w:rsid w:val="00AF03A2"/>
    <w:rsid w:val="00AF06CB"/>
    <w:rsid w:val="00AF06FC"/>
    <w:rsid w:val="00AF2C16"/>
    <w:rsid w:val="00AF3391"/>
    <w:rsid w:val="00AF387F"/>
    <w:rsid w:val="00AF3BBB"/>
    <w:rsid w:val="00AF3CCF"/>
    <w:rsid w:val="00AF44EC"/>
    <w:rsid w:val="00AF4982"/>
    <w:rsid w:val="00AF4C46"/>
    <w:rsid w:val="00AF5B9A"/>
    <w:rsid w:val="00AF68AE"/>
    <w:rsid w:val="00AF71E7"/>
    <w:rsid w:val="00B00E7F"/>
    <w:rsid w:val="00B027BC"/>
    <w:rsid w:val="00B029A4"/>
    <w:rsid w:val="00B02C65"/>
    <w:rsid w:val="00B03BAC"/>
    <w:rsid w:val="00B03DFC"/>
    <w:rsid w:val="00B04B5A"/>
    <w:rsid w:val="00B05B58"/>
    <w:rsid w:val="00B0675E"/>
    <w:rsid w:val="00B07C5C"/>
    <w:rsid w:val="00B12F1E"/>
    <w:rsid w:val="00B13872"/>
    <w:rsid w:val="00B17358"/>
    <w:rsid w:val="00B173DA"/>
    <w:rsid w:val="00B174BD"/>
    <w:rsid w:val="00B20C98"/>
    <w:rsid w:val="00B21B2C"/>
    <w:rsid w:val="00B21C88"/>
    <w:rsid w:val="00B21DCC"/>
    <w:rsid w:val="00B23271"/>
    <w:rsid w:val="00B23445"/>
    <w:rsid w:val="00B2414B"/>
    <w:rsid w:val="00B24E10"/>
    <w:rsid w:val="00B25F37"/>
    <w:rsid w:val="00B2671A"/>
    <w:rsid w:val="00B27F45"/>
    <w:rsid w:val="00B30B48"/>
    <w:rsid w:val="00B30C6E"/>
    <w:rsid w:val="00B31209"/>
    <w:rsid w:val="00B31969"/>
    <w:rsid w:val="00B36999"/>
    <w:rsid w:val="00B37BF0"/>
    <w:rsid w:val="00B40C32"/>
    <w:rsid w:val="00B44422"/>
    <w:rsid w:val="00B44BFB"/>
    <w:rsid w:val="00B46D03"/>
    <w:rsid w:val="00B46EA0"/>
    <w:rsid w:val="00B47D17"/>
    <w:rsid w:val="00B5309C"/>
    <w:rsid w:val="00B57188"/>
    <w:rsid w:val="00B573ED"/>
    <w:rsid w:val="00B57775"/>
    <w:rsid w:val="00B57B2D"/>
    <w:rsid w:val="00B606CC"/>
    <w:rsid w:val="00B62DC2"/>
    <w:rsid w:val="00B62ED3"/>
    <w:rsid w:val="00B63362"/>
    <w:rsid w:val="00B63EC9"/>
    <w:rsid w:val="00B64666"/>
    <w:rsid w:val="00B654BB"/>
    <w:rsid w:val="00B71062"/>
    <w:rsid w:val="00B71CB2"/>
    <w:rsid w:val="00B731D3"/>
    <w:rsid w:val="00B74E2A"/>
    <w:rsid w:val="00B753BF"/>
    <w:rsid w:val="00B77713"/>
    <w:rsid w:val="00B8081B"/>
    <w:rsid w:val="00B839A3"/>
    <w:rsid w:val="00B83F71"/>
    <w:rsid w:val="00B847A9"/>
    <w:rsid w:val="00B847F8"/>
    <w:rsid w:val="00B85C9F"/>
    <w:rsid w:val="00B902BD"/>
    <w:rsid w:val="00B91FD3"/>
    <w:rsid w:val="00B94C30"/>
    <w:rsid w:val="00B95AD8"/>
    <w:rsid w:val="00B9700C"/>
    <w:rsid w:val="00BA16B6"/>
    <w:rsid w:val="00BA1AC7"/>
    <w:rsid w:val="00BA242B"/>
    <w:rsid w:val="00BA24E2"/>
    <w:rsid w:val="00BA38D0"/>
    <w:rsid w:val="00BA5342"/>
    <w:rsid w:val="00BA58CC"/>
    <w:rsid w:val="00BA5A66"/>
    <w:rsid w:val="00BA6613"/>
    <w:rsid w:val="00BA6BBF"/>
    <w:rsid w:val="00BA7682"/>
    <w:rsid w:val="00BA77D6"/>
    <w:rsid w:val="00BB05E5"/>
    <w:rsid w:val="00BB13D5"/>
    <w:rsid w:val="00BB18FA"/>
    <w:rsid w:val="00BB1AAF"/>
    <w:rsid w:val="00BB2227"/>
    <w:rsid w:val="00BB222C"/>
    <w:rsid w:val="00BB46CE"/>
    <w:rsid w:val="00BB4D04"/>
    <w:rsid w:val="00BB5FA8"/>
    <w:rsid w:val="00BB67F0"/>
    <w:rsid w:val="00BC1124"/>
    <w:rsid w:val="00BC2510"/>
    <w:rsid w:val="00BC2A3D"/>
    <w:rsid w:val="00BC2CF4"/>
    <w:rsid w:val="00BC3DC0"/>
    <w:rsid w:val="00BC6D56"/>
    <w:rsid w:val="00BD0639"/>
    <w:rsid w:val="00BD12EC"/>
    <w:rsid w:val="00BD2464"/>
    <w:rsid w:val="00BD266F"/>
    <w:rsid w:val="00BD26ED"/>
    <w:rsid w:val="00BD2A39"/>
    <w:rsid w:val="00BD2E80"/>
    <w:rsid w:val="00BD3F4D"/>
    <w:rsid w:val="00BD47A2"/>
    <w:rsid w:val="00BD5085"/>
    <w:rsid w:val="00BD52E2"/>
    <w:rsid w:val="00BD6475"/>
    <w:rsid w:val="00BD675F"/>
    <w:rsid w:val="00BD728E"/>
    <w:rsid w:val="00BD7E14"/>
    <w:rsid w:val="00BE11B8"/>
    <w:rsid w:val="00BE164C"/>
    <w:rsid w:val="00BE1797"/>
    <w:rsid w:val="00BE287B"/>
    <w:rsid w:val="00BE394D"/>
    <w:rsid w:val="00BE4735"/>
    <w:rsid w:val="00BE4A74"/>
    <w:rsid w:val="00BE641B"/>
    <w:rsid w:val="00BF247E"/>
    <w:rsid w:val="00BF44EA"/>
    <w:rsid w:val="00BF4629"/>
    <w:rsid w:val="00BF4C4E"/>
    <w:rsid w:val="00BF5533"/>
    <w:rsid w:val="00BF58EF"/>
    <w:rsid w:val="00BF7286"/>
    <w:rsid w:val="00BF78E0"/>
    <w:rsid w:val="00BF7FF0"/>
    <w:rsid w:val="00C013C2"/>
    <w:rsid w:val="00C01596"/>
    <w:rsid w:val="00C01DDE"/>
    <w:rsid w:val="00C01FCC"/>
    <w:rsid w:val="00C02BD5"/>
    <w:rsid w:val="00C03E21"/>
    <w:rsid w:val="00C04683"/>
    <w:rsid w:val="00C04F5D"/>
    <w:rsid w:val="00C0542C"/>
    <w:rsid w:val="00C057F4"/>
    <w:rsid w:val="00C065A2"/>
    <w:rsid w:val="00C068FC"/>
    <w:rsid w:val="00C06A49"/>
    <w:rsid w:val="00C06FDD"/>
    <w:rsid w:val="00C07038"/>
    <w:rsid w:val="00C103D1"/>
    <w:rsid w:val="00C1170F"/>
    <w:rsid w:val="00C120F5"/>
    <w:rsid w:val="00C12502"/>
    <w:rsid w:val="00C12545"/>
    <w:rsid w:val="00C1499E"/>
    <w:rsid w:val="00C15431"/>
    <w:rsid w:val="00C16D4A"/>
    <w:rsid w:val="00C173B8"/>
    <w:rsid w:val="00C173EC"/>
    <w:rsid w:val="00C20603"/>
    <w:rsid w:val="00C209A0"/>
    <w:rsid w:val="00C21A61"/>
    <w:rsid w:val="00C21D0E"/>
    <w:rsid w:val="00C226A2"/>
    <w:rsid w:val="00C22895"/>
    <w:rsid w:val="00C22B52"/>
    <w:rsid w:val="00C23F94"/>
    <w:rsid w:val="00C247DA"/>
    <w:rsid w:val="00C24F72"/>
    <w:rsid w:val="00C26241"/>
    <w:rsid w:val="00C27DF2"/>
    <w:rsid w:val="00C316E0"/>
    <w:rsid w:val="00C32178"/>
    <w:rsid w:val="00C33323"/>
    <w:rsid w:val="00C34ED9"/>
    <w:rsid w:val="00C356E9"/>
    <w:rsid w:val="00C35A0E"/>
    <w:rsid w:val="00C36578"/>
    <w:rsid w:val="00C377FE"/>
    <w:rsid w:val="00C37810"/>
    <w:rsid w:val="00C37C89"/>
    <w:rsid w:val="00C37D15"/>
    <w:rsid w:val="00C40AA5"/>
    <w:rsid w:val="00C4382F"/>
    <w:rsid w:val="00C445A9"/>
    <w:rsid w:val="00C46C2B"/>
    <w:rsid w:val="00C46E19"/>
    <w:rsid w:val="00C46F70"/>
    <w:rsid w:val="00C476D0"/>
    <w:rsid w:val="00C47FD7"/>
    <w:rsid w:val="00C51783"/>
    <w:rsid w:val="00C51C7B"/>
    <w:rsid w:val="00C51FFE"/>
    <w:rsid w:val="00C52334"/>
    <w:rsid w:val="00C52984"/>
    <w:rsid w:val="00C529C8"/>
    <w:rsid w:val="00C54D08"/>
    <w:rsid w:val="00C54E7B"/>
    <w:rsid w:val="00C55940"/>
    <w:rsid w:val="00C57AD2"/>
    <w:rsid w:val="00C61AC1"/>
    <w:rsid w:val="00C62225"/>
    <w:rsid w:val="00C62ED4"/>
    <w:rsid w:val="00C62FB7"/>
    <w:rsid w:val="00C63DE8"/>
    <w:rsid w:val="00C63F71"/>
    <w:rsid w:val="00C640DF"/>
    <w:rsid w:val="00C646F4"/>
    <w:rsid w:val="00C65C1A"/>
    <w:rsid w:val="00C67549"/>
    <w:rsid w:val="00C70A1A"/>
    <w:rsid w:val="00C711B2"/>
    <w:rsid w:val="00C71929"/>
    <w:rsid w:val="00C71F55"/>
    <w:rsid w:val="00C721BD"/>
    <w:rsid w:val="00C735F0"/>
    <w:rsid w:val="00C7442B"/>
    <w:rsid w:val="00C75229"/>
    <w:rsid w:val="00C77B4A"/>
    <w:rsid w:val="00C77E95"/>
    <w:rsid w:val="00C8000E"/>
    <w:rsid w:val="00C80C01"/>
    <w:rsid w:val="00C80DD2"/>
    <w:rsid w:val="00C81DD2"/>
    <w:rsid w:val="00C821F8"/>
    <w:rsid w:val="00C836E3"/>
    <w:rsid w:val="00C83FC6"/>
    <w:rsid w:val="00C85A7B"/>
    <w:rsid w:val="00C86297"/>
    <w:rsid w:val="00C86577"/>
    <w:rsid w:val="00C87F72"/>
    <w:rsid w:val="00C90E31"/>
    <w:rsid w:val="00C916CB"/>
    <w:rsid w:val="00C92E07"/>
    <w:rsid w:val="00C931B6"/>
    <w:rsid w:val="00C94009"/>
    <w:rsid w:val="00C955C3"/>
    <w:rsid w:val="00C96814"/>
    <w:rsid w:val="00C96868"/>
    <w:rsid w:val="00C97433"/>
    <w:rsid w:val="00C97B0E"/>
    <w:rsid w:val="00C97B97"/>
    <w:rsid w:val="00CA0416"/>
    <w:rsid w:val="00CA0A71"/>
    <w:rsid w:val="00CA0E25"/>
    <w:rsid w:val="00CA56FB"/>
    <w:rsid w:val="00CA641D"/>
    <w:rsid w:val="00CA7128"/>
    <w:rsid w:val="00CA7CFA"/>
    <w:rsid w:val="00CB01DE"/>
    <w:rsid w:val="00CB54AA"/>
    <w:rsid w:val="00CB5542"/>
    <w:rsid w:val="00CB57BA"/>
    <w:rsid w:val="00CB5F84"/>
    <w:rsid w:val="00CC2A64"/>
    <w:rsid w:val="00CC2AB6"/>
    <w:rsid w:val="00CC3843"/>
    <w:rsid w:val="00CC3FBA"/>
    <w:rsid w:val="00CC5358"/>
    <w:rsid w:val="00CC560B"/>
    <w:rsid w:val="00CC6195"/>
    <w:rsid w:val="00CC64F4"/>
    <w:rsid w:val="00CC71EC"/>
    <w:rsid w:val="00CC731D"/>
    <w:rsid w:val="00CC75E2"/>
    <w:rsid w:val="00CD0F3B"/>
    <w:rsid w:val="00CD298E"/>
    <w:rsid w:val="00CD2A02"/>
    <w:rsid w:val="00CD46EB"/>
    <w:rsid w:val="00CD4885"/>
    <w:rsid w:val="00CD49E5"/>
    <w:rsid w:val="00CD6097"/>
    <w:rsid w:val="00CD69C9"/>
    <w:rsid w:val="00CD73FE"/>
    <w:rsid w:val="00CD7EBF"/>
    <w:rsid w:val="00CE013E"/>
    <w:rsid w:val="00CE0552"/>
    <w:rsid w:val="00CE1F16"/>
    <w:rsid w:val="00CE2D2C"/>
    <w:rsid w:val="00CE32F2"/>
    <w:rsid w:val="00CE34C0"/>
    <w:rsid w:val="00CE3556"/>
    <w:rsid w:val="00CE5752"/>
    <w:rsid w:val="00CE5FA1"/>
    <w:rsid w:val="00CE6044"/>
    <w:rsid w:val="00CF00FF"/>
    <w:rsid w:val="00CF073C"/>
    <w:rsid w:val="00CF1139"/>
    <w:rsid w:val="00CF14E3"/>
    <w:rsid w:val="00CF2EF6"/>
    <w:rsid w:val="00CF39FC"/>
    <w:rsid w:val="00CF4ABD"/>
    <w:rsid w:val="00CF5B07"/>
    <w:rsid w:val="00CF6109"/>
    <w:rsid w:val="00CF7530"/>
    <w:rsid w:val="00D005B3"/>
    <w:rsid w:val="00D0067A"/>
    <w:rsid w:val="00D0092F"/>
    <w:rsid w:val="00D00F01"/>
    <w:rsid w:val="00D01143"/>
    <w:rsid w:val="00D017D3"/>
    <w:rsid w:val="00D025AF"/>
    <w:rsid w:val="00D056F1"/>
    <w:rsid w:val="00D05D9F"/>
    <w:rsid w:val="00D06B51"/>
    <w:rsid w:val="00D07282"/>
    <w:rsid w:val="00D0749E"/>
    <w:rsid w:val="00D11171"/>
    <w:rsid w:val="00D12CA5"/>
    <w:rsid w:val="00D136BD"/>
    <w:rsid w:val="00D144C3"/>
    <w:rsid w:val="00D147A2"/>
    <w:rsid w:val="00D15757"/>
    <w:rsid w:val="00D159F5"/>
    <w:rsid w:val="00D163DA"/>
    <w:rsid w:val="00D17542"/>
    <w:rsid w:val="00D17D7A"/>
    <w:rsid w:val="00D202F0"/>
    <w:rsid w:val="00D20F94"/>
    <w:rsid w:val="00D21DCD"/>
    <w:rsid w:val="00D21F7D"/>
    <w:rsid w:val="00D22F3C"/>
    <w:rsid w:val="00D23DB6"/>
    <w:rsid w:val="00D26F48"/>
    <w:rsid w:val="00D30BAA"/>
    <w:rsid w:val="00D30DC4"/>
    <w:rsid w:val="00D31AEA"/>
    <w:rsid w:val="00D32591"/>
    <w:rsid w:val="00D34603"/>
    <w:rsid w:val="00D34F5B"/>
    <w:rsid w:val="00D34F60"/>
    <w:rsid w:val="00D35072"/>
    <w:rsid w:val="00D35612"/>
    <w:rsid w:val="00D359CB"/>
    <w:rsid w:val="00D35A51"/>
    <w:rsid w:val="00D35AA7"/>
    <w:rsid w:val="00D35C8D"/>
    <w:rsid w:val="00D36B5B"/>
    <w:rsid w:val="00D37CFB"/>
    <w:rsid w:val="00D41941"/>
    <w:rsid w:val="00D42794"/>
    <w:rsid w:val="00D427DB"/>
    <w:rsid w:val="00D43FE6"/>
    <w:rsid w:val="00D46469"/>
    <w:rsid w:val="00D464EA"/>
    <w:rsid w:val="00D46D98"/>
    <w:rsid w:val="00D47787"/>
    <w:rsid w:val="00D47840"/>
    <w:rsid w:val="00D506E4"/>
    <w:rsid w:val="00D5080B"/>
    <w:rsid w:val="00D51A95"/>
    <w:rsid w:val="00D53344"/>
    <w:rsid w:val="00D533AE"/>
    <w:rsid w:val="00D53943"/>
    <w:rsid w:val="00D543B5"/>
    <w:rsid w:val="00D551BE"/>
    <w:rsid w:val="00D56ABE"/>
    <w:rsid w:val="00D57B67"/>
    <w:rsid w:val="00D60568"/>
    <w:rsid w:val="00D61EE0"/>
    <w:rsid w:val="00D635CD"/>
    <w:rsid w:val="00D6481F"/>
    <w:rsid w:val="00D64C81"/>
    <w:rsid w:val="00D66C30"/>
    <w:rsid w:val="00D67FA0"/>
    <w:rsid w:val="00D704F7"/>
    <w:rsid w:val="00D708D7"/>
    <w:rsid w:val="00D70C7A"/>
    <w:rsid w:val="00D71CFE"/>
    <w:rsid w:val="00D72A92"/>
    <w:rsid w:val="00D776F5"/>
    <w:rsid w:val="00D77A5A"/>
    <w:rsid w:val="00D80D51"/>
    <w:rsid w:val="00D818E2"/>
    <w:rsid w:val="00D81D38"/>
    <w:rsid w:val="00D8455B"/>
    <w:rsid w:val="00D85397"/>
    <w:rsid w:val="00D85710"/>
    <w:rsid w:val="00D857FC"/>
    <w:rsid w:val="00D85E1D"/>
    <w:rsid w:val="00D8704A"/>
    <w:rsid w:val="00D870AD"/>
    <w:rsid w:val="00D87267"/>
    <w:rsid w:val="00D87D05"/>
    <w:rsid w:val="00D87DC0"/>
    <w:rsid w:val="00D87F48"/>
    <w:rsid w:val="00D91E9E"/>
    <w:rsid w:val="00D9360B"/>
    <w:rsid w:val="00D94005"/>
    <w:rsid w:val="00D94FF3"/>
    <w:rsid w:val="00D96205"/>
    <w:rsid w:val="00D9620E"/>
    <w:rsid w:val="00DA0016"/>
    <w:rsid w:val="00DA10A8"/>
    <w:rsid w:val="00DA15AF"/>
    <w:rsid w:val="00DA1A12"/>
    <w:rsid w:val="00DA1F7E"/>
    <w:rsid w:val="00DA2BB6"/>
    <w:rsid w:val="00DA2EDC"/>
    <w:rsid w:val="00DA36CE"/>
    <w:rsid w:val="00DA43D6"/>
    <w:rsid w:val="00DA4F50"/>
    <w:rsid w:val="00DA6BE2"/>
    <w:rsid w:val="00DA7BB1"/>
    <w:rsid w:val="00DB0834"/>
    <w:rsid w:val="00DB1AA7"/>
    <w:rsid w:val="00DB1CC1"/>
    <w:rsid w:val="00DB1E08"/>
    <w:rsid w:val="00DB23A4"/>
    <w:rsid w:val="00DB2973"/>
    <w:rsid w:val="00DB2AC0"/>
    <w:rsid w:val="00DB46B5"/>
    <w:rsid w:val="00DB7087"/>
    <w:rsid w:val="00DB749F"/>
    <w:rsid w:val="00DC04F5"/>
    <w:rsid w:val="00DC1B56"/>
    <w:rsid w:val="00DC2129"/>
    <w:rsid w:val="00DC27EC"/>
    <w:rsid w:val="00DC2ED2"/>
    <w:rsid w:val="00DC331D"/>
    <w:rsid w:val="00DC493C"/>
    <w:rsid w:val="00DC6570"/>
    <w:rsid w:val="00DC65A4"/>
    <w:rsid w:val="00DD0D44"/>
    <w:rsid w:val="00DD0E95"/>
    <w:rsid w:val="00DD3C5E"/>
    <w:rsid w:val="00DD5CD1"/>
    <w:rsid w:val="00DD6C96"/>
    <w:rsid w:val="00DD6ED6"/>
    <w:rsid w:val="00DE11B7"/>
    <w:rsid w:val="00DE2387"/>
    <w:rsid w:val="00DF0788"/>
    <w:rsid w:val="00DF0B01"/>
    <w:rsid w:val="00DF25C3"/>
    <w:rsid w:val="00DF2E7E"/>
    <w:rsid w:val="00DF3FF7"/>
    <w:rsid w:val="00DF74FF"/>
    <w:rsid w:val="00DF7F5E"/>
    <w:rsid w:val="00E00872"/>
    <w:rsid w:val="00E00E06"/>
    <w:rsid w:val="00E010C6"/>
    <w:rsid w:val="00E04062"/>
    <w:rsid w:val="00E063C6"/>
    <w:rsid w:val="00E066BA"/>
    <w:rsid w:val="00E06ED4"/>
    <w:rsid w:val="00E10CD2"/>
    <w:rsid w:val="00E10CF9"/>
    <w:rsid w:val="00E1177D"/>
    <w:rsid w:val="00E11F72"/>
    <w:rsid w:val="00E12C16"/>
    <w:rsid w:val="00E13B02"/>
    <w:rsid w:val="00E16526"/>
    <w:rsid w:val="00E17538"/>
    <w:rsid w:val="00E2003B"/>
    <w:rsid w:val="00E203C2"/>
    <w:rsid w:val="00E20C11"/>
    <w:rsid w:val="00E22655"/>
    <w:rsid w:val="00E22D29"/>
    <w:rsid w:val="00E23496"/>
    <w:rsid w:val="00E25F05"/>
    <w:rsid w:val="00E279D8"/>
    <w:rsid w:val="00E319B1"/>
    <w:rsid w:val="00E32987"/>
    <w:rsid w:val="00E36E89"/>
    <w:rsid w:val="00E40736"/>
    <w:rsid w:val="00E40D0B"/>
    <w:rsid w:val="00E41CAB"/>
    <w:rsid w:val="00E44E0D"/>
    <w:rsid w:val="00E465F3"/>
    <w:rsid w:val="00E51CFB"/>
    <w:rsid w:val="00E51EDE"/>
    <w:rsid w:val="00E52687"/>
    <w:rsid w:val="00E5333A"/>
    <w:rsid w:val="00E53567"/>
    <w:rsid w:val="00E5492F"/>
    <w:rsid w:val="00E54BE4"/>
    <w:rsid w:val="00E55870"/>
    <w:rsid w:val="00E55FAA"/>
    <w:rsid w:val="00E5662A"/>
    <w:rsid w:val="00E5774B"/>
    <w:rsid w:val="00E57DF7"/>
    <w:rsid w:val="00E61A58"/>
    <w:rsid w:val="00E62DEF"/>
    <w:rsid w:val="00E63777"/>
    <w:rsid w:val="00E63790"/>
    <w:rsid w:val="00E64679"/>
    <w:rsid w:val="00E66D5B"/>
    <w:rsid w:val="00E67152"/>
    <w:rsid w:val="00E677AD"/>
    <w:rsid w:val="00E67BD3"/>
    <w:rsid w:val="00E70A86"/>
    <w:rsid w:val="00E70CD0"/>
    <w:rsid w:val="00E7191B"/>
    <w:rsid w:val="00E71D9D"/>
    <w:rsid w:val="00E7304C"/>
    <w:rsid w:val="00E736E5"/>
    <w:rsid w:val="00E75EB8"/>
    <w:rsid w:val="00E7652E"/>
    <w:rsid w:val="00E777EC"/>
    <w:rsid w:val="00E80FCD"/>
    <w:rsid w:val="00E81810"/>
    <w:rsid w:val="00E818E2"/>
    <w:rsid w:val="00E82842"/>
    <w:rsid w:val="00E84075"/>
    <w:rsid w:val="00E848F6"/>
    <w:rsid w:val="00E84A19"/>
    <w:rsid w:val="00E870F3"/>
    <w:rsid w:val="00E90120"/>
    <w:rsid w:val="00E904E7"/>
    <w:rsid w:val="00E92047"/>
    <w:rsid w:val="00E9207E"/>
    <w:rsid w:val="00E926F3"/>
    <w:rsid w:val="00E939D4"/>
    <w:rsid w:val="00E94CA4"/>
    <w:rsid w:val="00E97E26"/>
    <w:rsid w:val="00E97F5D"/>
    <w:rsid w:val="00EA1258"/>
    <w:rsid w:val="00EA27DF"/>
    <w:rsid w:val="00EA4780"/>
    <w:rsid w:val="00EA7F2F"/>
    <w:rsid w:val="00EB01DD"/>
    <w:rsid w:val="00EB072D"/>
    <w:rsid w:val="00EB2F4E"/>
    <w:rsid w:val="00EB4EB5"/>
    <w:rsid w:val="00EB586A"/>
    <w:rsid w:val="00EC00DE"/>
    <w:rsid w:val="00EC07A6"/>
    <w:rsid w:val="00EC29AD"/>
    <w:rsid w:val="00EC2AE3"/>
    <w:rsid w:val="00EC30B4"/>
    <w:rsid w:val="00EC30E1"/>
    <w:rsid w:val="00EC34EE"/>
    <w:rsid w:val="00EC7222"/>
    <w:rsid w:val="00ED06A2"/>
    <w:rsid w:val="00ED0871"/>
    <w:rsid w:val="00ED172A"/>
    <w:rsid w:val="00ED3BD2"/>
    <w:rsid w:val="00ED5BD5"/>
    <w:rsid w:val="00ED5F4A"/>
    <w:rsid w:val="00ED6F98"/>
    <w:rsid w:val="00EE2C05"/>
    <w:rsid w:val="00EE3EE9"/>
    <w:rsid w:val="00EE4883"/>
    <w:rsid w:val="00EE4E75"/>
    <w:rsid w:val="00EE5EEC"/>
    <w:rsid w:val="00EE61AC"/>
    <w:rsid w:val="00EE6711"/>
    <w:rsid w:val="00EE770C"/>
    <w:rsid w:val="00EF057A"/>
    <w:rsid w:val="00EF0593"/>
    <w:rsid w:val="00EF3EA1"/>
    <w:rsid w:val="00EF5836"/>
    <w:rsid w:val="00EF5DE3"/>
    <w:rsid w:val="00EF6D66"/>
    <w:rsid w:val="00F017DD"/>
    <w:rsid w:val="00F02D25"/>
    <w:rsid w:val="00F02E9F"/>
    <w:rsid w:val="00F047B4"/>
    <w:rsid w:val="00F05F24"/>
    <w:rsid w:val="00F06F46"/>
    <w:rsid w:val="00F07092"/>
    <w:rsid w:val="00F070CE"/>
    <w:rsid w:val="00F11F6C"/>
    <w:rsid w:val="00F14BEC"/>
    <w:rsid w:val="00F152BA"/>
    <w:rsid w:val="00F17ED0"/>
    <w:rsid w:val="00F2099C"/>
    <w:rsid w:val="00F212F7"/>
    <w:rsid w:val="00F21342"/>
    <w:rsid w:val="00F225C5"/>
    <w:rsid w:val="00F23B1E"/>
    <w:rsid w:val="00F23C5B"/>
    <w:rsid w:val="00F255E8"/>
    <w:rsid w:val="00F2587A"/>
    <w:rsid w:val="00F25995"/>
    <w:rsid w:val="00F2627A"/>
    <w:rsid w:val="00F2767F"/>
    <w:rsid w:val="00F27865"/>
    <w:rsid w:val="00F27D8C"/>
    <w:rsid w:val="00F33D39"/>
    <w:rsid w:val="00F36F60"/>
    <w:rsid w:val="00F3715D"/>
    <w:rsid w:val="00F40CC8"/>
    <w:rsid w:val="00F4158B"/>
    <w:rsid w:val="00F420C8"/>
    <w:rsid w:val="00F42251"/>
    <w:rsid w:val="00F42A4C"/>
    <w:rsid w:val="00F42D60"/>
    <w:rsid w:val="00F47904"/>
    <w:rsid w:val="00F508A0"/>
    <w:rsid w:val="00F51DE5"/>
    <w:rsid w:val="00F5230E"/>
    <w:rsid w:val="00F53A3B"/>
    <w:rsid w:val="00F5755B"/>
    <w:rsid w:val="00F604DE"/>
    <w:rsid w:val="00F605BB"/>
    <w:rsid w:val="00F61894"/>
    <w:rsid w:val="00F63E96"/>
    <w:rsid w:val="00F644E3"/>
    <w:rsid w:val="00F654B1"/>
    <w:rsid w:val="00F66165"/>
    <w:rsid w:val="00F668A1"/>
    <w:rsid w:val="00F66C89"/>
    <w:rsid w:val="00F67D10"/>
    <w:rsid w:val="00F703E1"/>
    <w:rsid w:val="00F70E90"/>
    <w:rsid w:val="00F71DCE"/>
    <w:rsid w:val="00F72388"/>
    <w:rsid w:val="00F7486B"/>
    <w:rsid w:val="00F75B63"/>
    <w:rsid w:val="00F770CE"/>
    <w:rsid w:val="00F77399"/>
    <w:rsid w:val="00F81D78"/>
    <w:rsid w:val="00F8238C"/>
    <w:rsid w:val="00F82462"/>
    <w:rsid w:val="00F828F0"/>
    <w:rsid w:val="00F82EA4"/>
    <w:rsid w:val="00F83233"/>
    <w:rsid w:val="00F8483E"/>
    <w:rsid w:val="00F84899"/>
    <w:rsid w:val="00F865E5"/>
    <w:rsid w:val="00F86BFE"/>
    <w:rsid w:val="00F87AEF"/>
    <w:rsid w:val="00F87C06"/>
    <w:rsid w:val="00F91A4D"/>
    <w:rsid w:val="00F92B7C"/>
    <w:rsid w:val="00F92FFF"/>
    <w:rsid w:val="00F93100"/>
    <w:rsid w:val="00F93880"/>
    <w:rsid w:val="00F93C1B"/>
    <w:rsid w:val="00F964FD"/>
    <w:rsid w:val="00F97898"/>
    <w:rsid w:val="00FA01B2"/>
    <w:rsid w:val="00FA052F"/>
    <w:rsid w:val="00FA0E53"/>
    <w:rsid w:val="00FA1CCE"/>
    <w:rsid w:val="00FA226B"/>
    <w:rsid w:val="00FA2800"/>
    <w:rsid w:val="00FA3570"/>
    <w:rsid w:val="00FA3E6D"/>
    <w:rsid w:val="00FA53AF"/>
    <w:rsid w:val="00FA5623"/>
    <w:rsid w:val="00FA70D1"/>
    <w:rsid w:val="00FB0816"/>
    <w:rsid w:val="00FB1489"/>
    <w:rsid w:val="00FB1CCC"/>
    <w:rsid w:val="00FB20BC"/>
    <w:rsid w:val="00FB4D85"/>
    <w:rsid w:val="00FB5592"/>
    <w:rsid w:val="00FB6C12"/>
    <w:rsid w:val="00FB7512"/>
    <w:rsid w:val="00FB7E72"/>
    <w:rsid w:val="00FC402E"/>
    <w:rsid w:val="00FC615E"/>
    <w:rsid w:val="00FC6DCE"/>
    <w:rsid w:val="00FD0447"/>
    <w:rsid w:val="00FD1F04"/>
    <w:rsid w:val="00FD69D2"/>
    <w:rsid w:val="00FD7547"/>
    <w:rsid w:val="00FD7C52"/>
    <w:rsid w:val="00FE0155"/>
    <w:rsid w:val="00FE0E45"/>
    <w:rsid w:val="00FE181D"/>
    <w:rsid w:val="00FE20A5"/>
    <w:rsid w:val="00FE783A"/>
    <w:rsid w:val="00FF037D"/>
    <w:rsid w:val="00FF2B06"/>
    <w:rsid w:val="00FF2B76"/>
    <w:rsid w:val="00FF2F20"/>
    <w:rsid w:val="00FF378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o:shapelayout v:ext="edit">
      <o:idmap v:ext="edit" data="1"/>
    </o:shapelayout>
  </w:shapeDefaults>
  <w:decimalSymbol w:val="."/>
  <w:listSeparator w:val=","/>
  <w14:docId w14:val="192FCEFA"/>
  <w15:docId w15:val="{23C2B55F-ED1A-4398-A404-A9C96FAF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D15757"/>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81797C"/>
    <w:pPr>
      <w:keepNext/>
      <w:keepLines/>
      <w:spacing w:before="240" w:after="240"/>
      <w:outlineLvl w:val="2"/>
    </w:pPr>
    <w:rPr>
      <w:b/>
      <w:bCs/>
      <w:i/>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D1575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1797C"/>
    <w:rPr>
      <w:rFonts w:ascii="Arial" w:hAnsi="Arial"/>
      <w:b/>
      <w:bCs/>
      <w:i/>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D96205"/>
    <w:pPr>
      <w:tabs>
        <w:tab w:val="left" w:pos="440"/>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904CE2"/>
    <w:pPr>
      <w:tabs>
        <w:tab w:val="left" w:pos="880"/>
        <w:tab w:val="right" w:leader="dot" w:pos="9060"/>
      </w:tabs>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1D3F3C"/>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ind w:left="502" w:hanging="360"/>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SBulletlistChar">
    <w:name w:val="FSBullet list Char"/>
    <w:basedOn w:val="DefaultParagraphFont"/>
    <w:link w:val="FSBulletlist"/>
    <w:uiPriority w:val="5"/>
    <w:locked/>
    <w:rsid w:val="002C76EE"/>
  </w:style>
  <w:style w:type="paragraph" w:customStyle="1" w:styleId="FSBulletlist">
    <w:name w:val="FSBullet list"/>
    <w:basedOn w:val="ListParagraph"/>
    <w:link w:val="FSBulletlistChar"/>
    <w:uiPriority w:val="5"/>
    <w:qFormat/>
    <w:locked/>
    <w:rsid w:val="002C76EE"/>
    <w:pPr>
      <w:widowControl/>
      <w:numPr>
        <w:numId w:val="4"/>
      </w:numPr>
      <w:spacing w:after="240"/>
      <w:ind w:firstLine="0"/>
    </w:pPr>
    <w:rPr>
      <w:rFonts w:ascii="Calibri" w:hAnsi="Calibri"/>
      <w:sz w:val="20"/>
      <w:szCs w:val="20"/>
      <w:lang w:eastAsia="en-GB" w:bidi="ar-SA"/>
    </w:rPr>
  </w:style>
  <w:style w:type="table" w:styleId="GridTable4-Accent5">
    <w:name w:val="Grid Table 4 Accent 5"/>
    <w:basedOn w:val="TableNormal"/>
    <w:uiPriority w:val="49"/>
    <w:rsid w:val="002C76EE"/>
    <w:rPr>
      <w:color w:val="2E3037"/>
      <w:lang w:val="en-AU"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2C76EE"/>
    <w:pPr>
      <w:ind w:left="720"/>
      <w:contextualSpacing/>
    </w:pPr>
  </w:style>
  <w:style w:type="character" w:customStyle="1" w:styleId="FootnoteTextChar">
    <w:name w:val="Footnote Text Char"/>
    <w:aliases w:val="Footnotes Text Char,FSFootnotes Text Char,FSFootnote Text Char"/>
    <w:basedOn w:val="DefaultParagraphFont"/>
    <w:link w:val="FootnoteText"/>
    <w:rsid w:val="000F53D4"/>
    <w:rPr>
      <w:rFonts w:ascii="Arial" w:hAnsi="Arial"/>
      <w:lang w:eastAsia="en-US" w:bidi="en-US"/>
    </w:rPr>
  </w:style>
  <w:style w:type="paragraph" w:styleId="CommentSubject">
    <w:name w:val="annotation subject"/>
    <w:basedOn w:val="CommentText"/>
    <w:next w:val="CommentText"/>
    <w:link w:val="CommentSubjectChar"/>
    <w:semiHidden/>
    <w:unhideWhenUsed/>
    <w:rsid w:val="000F53D4"/>
    <w:rPr>
      <w:b/>
      <w:bCs/>
    </w:rPr>
  </w:style>
  <w:style w:type="character" w:customStyle="1" w:styleId="CommentSubjectChar">
    <w:name w:val="Comment Subject Char"/>
    <w:basedOn w:val="CommentTextChar"/>
    <w:link w:val="CommentSubject"/>
    <w:semiHidden/>
    <w:rsid w:val="000F53D4"/>
    <w:rPr>
      <w:rFonts w:ascii="Arial" w:hAnsi="Arial"/>
      <w:b/>
      <w:bCs/>
      <w:lang w:eastAsia="en-US" w:bidi="en-US"/>
    </w:rPr>
  </w:style>
  <w:style w:type="paragraph" w:customStyle="1" w:styleId="CitaviBibliographyEntry">
    <w:name w:val="Citavi Bibliography Entry"/>
    <w:basedOn w:val="Normal"/>
    <w:link w:val="CitaviBibliographyEntryChar"/>
    <w:rsid w:val="000F53D4"/>
    <w:pPr>
      <w:widowControl/>
      <w:tabs>
        <w:tab w:val="left" w:pos="397"/>
      </w:tabs>
      <w:ind w:left="397" w:hanging="397"/>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0F53D4"/>
    <w:rPr>
      <w:rFonts w:ascii="Arial" w:eastAsiaTheme="minorHAnsi" w:hAnsi="Arial" w:cstheme="minorBidi"/>
      <w:sz w:val="22"/>
      <w:szCs w:val="22"/>
      <w:lang w:eastAsia="en-US"/>
    </w:rPr>
  </w:style>
  <w:style w:type="paragraph" w:styleId="Caption">
    <w:name w:val="caption"/>
    <w:basedOn w:val="Normal"/>
    <w:next w:val="Normal"/>
    <w:unhideWhenUsed/>
    <w:rsid w:val="000F53D4"/>
    <w:pPr>
      <w:spacing w:after="200"/>
    </w:pPr>
    <w:rPr>
      <w:i/>
      <w:iCs/>
      <w:color w:val="1F497D" w:themeColor="text2"/>
      <w:sz w:val="18"/>
      <w:szCs w:val="18"/>
    </w:rPr>
  </w:style>
  <w:style w:type="table" w:customStyle="1" w:styleId="Table">
    <w:name w:val="Table"/>
    <w:basedOn w:val="TableNormal"/>
    <w:uiPriority w:val="99"/>
    <w:rsid w:val="00233C0E"/>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table" w:styleId="GridTable5Dark-Accent1">
    <w:name w:val="Grid Table 5 Dark Accent 1"/>
    <w:basedOn w:val="TableNormal"/>
    <w:uiPriority w:val="50"/>
    <w:rsid w:val="00FF2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22B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EB01DD"/>
    <w:rPr>
      <w:color w:val="808080"/>
    </w:rPr>
  </w:style>
  <w:style w:type="paragraph" w:customStyle="1" w:styleId="FSCaption">
    <w:name w:val="FSCaption"/>
    <w:basedOn w:val="Normal"/>
    <w:uiPriority w:val="9"/>
    <w:qFormat/>
    <w:locked/>
    <w:rsid w:val="00725444"/>
    <w:pPr>
      <w:keepNext/>
      <w:keepLines/>
      <w:widowControl/>
      <w:spacing w:before="120" w:after="240"/>
    </w:pPr>
    <w:rPr>
      <w:rFonts w:eastAsiaTheme="minorHAnsi" w:cs="Arial"/>
      <w:i/>
      <w:color w:val="2E3037"/>
      <w:sz w:val="16"/>
      <w:szCs w:val="16"/>
      <w:lang w:val="en-AU" w:bidi="ar-SA"/>
    </w:rPr>
  </w:style>
  <w:style w:type="paragraph" w:styleId="Revision">
    <w:name w:val="Revision"/>
    <w:hidden/>
    <w:uiPriority w:val="99"/>
    <w:semiHidden/>
    <w:rsid w:val="008B6CDB"/>
    <w:rPr>
      <w:rFonts w:ascii="Arial" w:hAnsi="Arial"/>
      <w:sz w:val="22"/>
      <w:szCs w:val="24"/>
      <w:lang w:eastAsia="en-US" w:bidi="en-US"/>
    </w:rPr>
  </w:style>
  <w:style w:type="paragraph" w:customStyle="1" w:styleId="Default">
    <w:name w:val="Default"/>
    <w:rsid w:val="00C1254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5884">
      <w:bodyDiv w:val="1"/>
      <w:marLeft w:val="0"/>
      <w:marRight w:val="0"/>
      <w:marTop w:val="0"/>
      <w:marBottom w:val="0"/>
      <w:divBdr>
        <w:top w:val="none" w:sz="0" w:space="0" w:color="auto"/>
        <w:left w:val="none" w:sz="0" w:space="0" w:color="auto"/>
        <w:bottom w:val="none" w:sz="0" w:space="0" w:color="auto"/>
        <w:right w:val="none" w:sz="0" w:space="0" w:color="auto"/>
      </w:divBdr>
    </w:div>
    <w:div w:id="247154010">
      <w:bodyDiv w:val="1"/>
      <w:marLeft w:val="0"/>
      <w:marRight w:val="0"/>
      <w:marTop w:val="0"/>
      <w:marBottom w:val="0"/>
      <w:divBdr>
        <w:top w:val="none" w:sz="0" w:space="0" w:color="auto"/>
        <w:left w:val="none" w:sz="0" w:space="0" w:color="auto"/>
        <w:bottom w:val="none" w:sz="0" w:space="0" w:color="auto"/>
        <w:right w:val="none" w:sz="0" w:space="0" w:color="auto"/>
      </w:divBdr>
    </w:div>
    <w:div w:id="338656463">
      <w:bodyDiv w:val="1"/>
      <w:marLeft w:val="0"/>
      <w:marRight w:val="0"/>
      <w:marTop w:val="0"/>
      <w:marBottom w:val="0"/>
      <w:divBdr>
        <w:top w:val="none" w:sz="0" w:space="0" w:color="auto"/>
        <w:left w:val="none" w:sz="0" w:space="0" w:color="auto"/>
        <w:bottom w:val="none" w:sz="0" w:space="0" w:color="auto"/>
        <w:right w:val="none" w:sz="0" w:space="0" w:color="auto"/>
      </w:divBdr>
      <w:divsChild>
        <w:div w:id="658311042">
          <w:marLeft w:val="0"/>
          <w:marRight w:val="0"/>
          <w:marTop w:val="0"/>
          <w:marBottom w:val="0"/>
          <w:divBdr>
            <w:top w:val="none" w:sz="0" w:space="0" w:color="auto"/>
            <w:left w:val="none" w:sz="0" w:space="0" w:color="auto"/>
            <w:bottom w:val="none" w:sz="0" w:space="0" w:color="auto"/>
            <w:right w:val="none" w:sz="0" w:space="0" w:color="auto"/>
          </w:divBdr>
          <w:divsChild>
            <w:div w:id="498810962">
              <w:marLeft w:val="0"/>
              <w:marRight w:val="0"/>
              <w:marTop w:val="0"/>
              <w:marBottom w:val="0"/>
              <w:divBdr>
                <w:top w:val="none" w:sz="0" w:space="0" w:color="auto"/>
                <w:left w:val="none" w:sz="0" w:space="0" w:color="auto"/>
                <w:bottom w:val="none" w:sz="0" w:space="0" w:color="auto"/>
                <w:right w:val="none" w:sz="0" w:space="0" w:color="auto"/>
              </w:divBdr>
              <w:divsChild>
                <w:div w:id="1175681627">
                  <w:marLeft w:val="0"/>
                  <w:marRight w:val="0"/>
                  <w:marTop w:val="0"/>
                  <w:marBottom w:val="0"/>
                  <w:divBdr>
                    <w:top w:val="none" w:sz="0" w:space="0" w:color="auto"/>
                    <w:left w:val="none" w:sz="0" w:space="0" w:color="auto"/>
                    <w:bottom w:val="none" w:sz="0" w:space="0" w:color="auto"/>
                    <w:right w:val="none" w:sz="0" w:space="0" w:color="auto"/>
                  </w:divBdr>
                  <w:divsChild>
                    <w:div w:id="1314527362">
                      <w:marLeft w:val="0"/>
                      <w:marRight w:val="0"/>
                      <w:marTop w:val="0"/>
                      <w:marBottom w:val="0"/>
                      <w:divBdr>
                        <w:top w:val="none" w:sz="0" w:space="0" w:color="auto"/>
                        <w:left w:val="none" w:sz="0" w:space="0" w:color="auto"/>
                        <w:bottom w:val="none" w:sz="0" w:space="0" w:color="auto"/>
                        <w:right w:val="none" w:sz="0" w:space="0" w:color="auto"/>
                      </w:divBdr>
                      <w:divsChild>
                        <w:div w:id="2146772613">
                          <w:marLeft w:val="0"/>
                          <w:marRight w:val="0"/>
                          <w:marTop w:val="0"/>
                          <w:marBottom w:val="0"/>
                          <w:divBdr>
                            <w:top w:val="none" w:sz="0" w:space="0" w:color="auto"/>
                            <w:left w:val="none" w:sz="0" w:space="0" w:color="auto"/>
                            <w:bottom w:val="none" w:sz="0" w:space="0" w:color="auto"/>
                            <w:right w:val="none" w:sz="0" w:space="0" w:color="auto"/>
                          </w:divBdr>
                          <w:divsChild>
                            <w:div w:id="1849757937">
                              <w:marLeft w:val="0"/>
                              <w:marRight w:val="0"/>
                              <w:marTop w:val="0"/>
                              <w:marBottom w:val="0"/>
                              <w:divBdr>
                                <w:top w:val="none" w:sz="0" w:space="0" w:color="auto"/>
                                <w:left w:val="none" w:sz="0" w:space="0" w:color="auto"/>
                                <w:bottom w:val="none" w:sz="0" w:space="0" w:color="auto"/>
                                <w:right w:val="none" w:sz="0" w:space="0" w:color="auto"/>
                              </w:divBdr>
                              <w:divsChild>
                                <w:div w:id="1666669153">
                                  <w:marLeft w:val="0"/>
                                  <w:marRight w:val="0"/>
                                  <w:marTop w:val="0"/>
                                  <w:marBottom w:val="0"/>
                                  <w:divBdr>
                                    <w:top w:val="none" w:sz="0" w:space="0" w:color="auto"/>
                                    <w:left w:val="none" w:sz="0" w:space="0" w:color="auto"/>
                                    <w:bottom w:val="none" w:sz="0" w:space="0" w:color="auto"/>
                                    <w:right w:val="none" w:sz="0" w:space="0" w:color="auto"/>
                                  </w:divBdr>
                                  <w:divsChild>
                                    <w:div w:id="391542598">
                                      <w:marLeft w:val="0"/>
                                      <w:marRight w:val="0"/>
                                      <w:marTop w:val="0"/>
                                      <w:marBottom w:val="0"/>
                                      <w:divBdr>
                                        <w:top w:val="none" w:sz="0" w:space="0" w:color="auto"/>
                                        <w:left w:val="none" w:sz="0" w:space="0" w:color="auto"/>
                                        <w:bottom w:val="none" w:sz="0" w:space="0" w:color="auto"/>
                                        <w:right w:val="none" w:sz="0" w:space="0" w:color="auto"/>
                                      </w:divBdr>
                                      <w:divsChild>
                                        <w:div w:id="1102533658">
                                          <w:marLeft w:val="0"/>
                                          <w:marRight w:val="0"/>
                                          <w:marTop w:val="0"/>
                                          <w:marBottom w:val="0"/>
                                          <w:divBdr>
                                            <w:top w:val="none" w:sz="0" w:space="0" w:color="auto"/>
                                            <w:left w:val="none" w:sz="0" w:space="0" w:color="auto"/>
                                            <w:bottom w:val="none" w:sz="0" w:space="0" w:color="auto"/>
                                            <w:right w:val="none" w:sz="0" w:space="0" w:color="auto"/>
                                          </w:divBdr>
                                          <w:divsChild>
                                            <w:div w:id="258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285686">
      <w:bodyDiv w:val="1"/>
      <w:marLeft w:val="0"/>
      <w:marRight w:val="0"/>
      <w:marTop w:val="0"/>
      <w:marBottom w:val="0"/>
      <w:divBdr>
        <w:top w:val="none" w:sz="0" w:space="0" w:color="auto"/>
        <w:left w:val="none" w:sz="0" w:space="0" w:color="auto"/>
        <w:bottom w:val="none" w:sz="0" w:space="0" w:color="auto"/>
        <w:right w:val="none" w:sz="0" w:space="0" w:color="auto"/>
      </w:divBdr>
      <w:divsChild>
        <w:div w:id="1033382272">
          <w:marLeft w:val="0"/>
          <w:marRight w:val="0"/>
          <w:marTop w:val="0"/>
          <w:marBottom w:val="0"/>
          <w:divBdr>
            <w:top w:val="none" w:sz="0" w:space="0" w:color="auto"/>
            <w:left w:val="none" w:sz="0" w:space="0" w:color="auto"/>
            <w:bottom w:val="none" w:sz="0" w:space="0" w:color="auto"/>
            <w:right w:val="none" w:sz="0" w:space="0" w:color="auto"/>
          </w:divBdr>
          <w:divsChild>
            <w:div w:id="1405495787">
              <w:marLeft w:val="0"/>
              <w:marRight w:val="0"/>
              <w:marTop w:val="0"/>
              <w:marBottom w:val="0"/>
              <w:divBdr>
                <w:top w:val="none" w:sz="0" w:space="0" w:color="auto"/>
                <w:left w:val="none" w:sz="0" w:space="0" w:color="auto"/>
                <w:bottom w:val="none" w:sz="0" w:space="0" w:color="auto"/>
                <w:right w:val="none" w:sz="0" w:space="0" w:color="auto"/>
              </w:divBdr>
              <w:divsChild>
                <w:div w:id="19131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1405">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86758498">
      <w:bodyDiv w:val="1"/>
      <w:marLeft w:val="0"/>
      <w:marRight w:val="0"/>
      <w:marTop w:val="0"/>
      <w:marBottom w:val="0"/>
      <w:divBdr>
        <w:top w:val="none" w:sz="0" w:space="0" w:color="auto"/>
        <w:left w:val="none" w:sz="0" w:space="0" w:color="auto"/>
        <w:bottom w:val="none" w:sz="0" w:space="0" w:color="auto"/>
        <w:right w:val="none" w:sz="0" w:space="0" w:color="auto"/>
      </w:divBdr>
    </w:div>
    <w:div w:id="819350514">
      <w:bodyDiv w:val="1"/>
      <w:marLeft w:val="0"/>
      <w:marRight w:val="0"/>
      <w:marTop w:val="0"/>
      <w:marBottom w:val="0"/>
      <w:divBdr>
        <w:top w:val="none" w:sz="0" w:space="0" w:color="auto"/>
        <w:left w:val="none" w:sz="0" w:space="0" w:color="auto"/>
        <w:bottom w:val="none" w:sz="0" w:space="0" w:color="auto"/>
        <w:right w:val="none" w:sz="0" w:space="0" w:color="auto"/>
      </w:divBdr>
    </w:div>
    <w:div w:id="823354830">
      <w:bodyDiv w:val="1"/>
      <w:marLeft w:val="0"/>
      <w:marRight w:val="0"/>
      <w:marTop w:val="0"/>
      <w:marBottom w:val="0"/>
      <w:divBdr>
        <w:top w:val="none" w:sz="0" w:space="0" w:color="auto"/>
        <w:left w:val="none" w:sz="0" w:space="0" w:color="auto"/>
        <w:bottom w:val="none" w:sz="0" w:space="0" w:color="auto"/>
        <w:right w:val="none" w:sz="0" w:space="0" w:color="auto"/>
      </w:divBdr>
    </w:div>
    <w:div w:id="913009515">
      <w:bodyDiv w:val="1"/>
      <w:marLeft w:val="0"/>
      <w:marRight w:val="0"/>
      <w:marTop w:val="0"/>
      <w:marBottom w:val="0"/>
      <w:divBdr>
        <w:top w:val="none" w:sz="0" w:space="0" w:color="auto"/>
        <w:left w:val="none" w:sz="0" w:space="0" w:color="auto"/>
        <w:bottom w:val="none" w:sz="0" w:space="0" w:color="auto"/>
        <w:right w:val="none" w:sz="0" w:space="0" w:color="auto"/>
      </w:divBdr>
    </w:div>
    <w:div w:id="955529599">
      <w:bodyDiv w:val="1"/>
      <w:marLeft w:val="0"/>
      <w:marRight w:val="0"/>
      <w:marTop w:val="0"/>
      <w:marBottom w:val="0"/>
      <w:divBdr>
        <w:top w:val="none" w:sz="0" w:space="0" w:color="auto"/>
        <w:left w:val="none" w:sz="0" w:space="0" w:color="auto"/>
        <w:bottom w:val="none" w:sz="0" w:space="0" w:color="auto"/>
        <w:right w:val="none" w:sz="0" w:space="0" w:color="auto"/>
      </w:divBdr>
    </w:div>
    <w:div w:id="984893697">
      <w:bodyDiv w:val="1"/>
      <w:marLeft w:val="0"/>
      <w:marRight w:val="0"/>
      <w:marTop w:val="0"/>
      <w:marBottom w:val="0"/>
      <w:divBdr>
        <w:top w:val="none" w:sz="0" w:space="0" w:color="auto"/>
        <w:left w:val="none" w:sz="0" w:space="0" w:color="auto"/>
        <w:bottom w:val="none" w:sz="0" w:space="0" w:color="auto"/>
        <w:right w:val="none" w:sz="0" w:space="0" w:color="auto"/>
      </w:divBdr>
      <w:divsChild>
        <w:div w:id="1311638867">
          <w:marLeft w:val="0"/>
          <w:marRight w:val="0"/>
          <w:marTop w:val="0"/>
          <w:marBottom w:val="0"/>
          <w:divBdr>
            <w:top w:val="none" w:sz="0" w:space="0" w:color="auto"/>
            <w:left w:val="none" w:sz="0" w:space="0" w:color="auto"/>
            <w:bottom w:val="none" w:sz="0" w:space="0" w:color="auto"/>
            <w:right w:val="none" w:sz="0" w:space="0" w:color="auto"/>
          </w:divBdr>
          <w:divsChild>
            <w:div w:id="253980815">
              <w:marLeft w:val="0"/>
              <w:marRight w:val="0"/>
              <w:marTop w:val="0"/>
              <w:marBottom w:val="0"/>
              <w:divBdr>
                <w:top w:val="none" w:sz="0" w:space="0" w:color="auto"/>
                <w:left w:val="none" w:sz="0" w:space="0" w:color="auto"/>
                <w:bottom w:val="none" w:sz="0" w:space="0" w:color="auto"/>
                <w:right w:val="none" w:sz="0" w:space="0" w:color="auto"/>
              </w:divBdr>
              <w:divsChild>
                <w:div w:id="16438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7646">
      <w:bodyDiv w:val="1"/>
      <w:marLeft w:val="0"/>
      <w:marRight w:val="0"/>
      <w:marTop w:val="0"/>
      <w:marBottom w:val="0"/>
      <w:divBdr>
        <w:top w:val="none" w:sz="0" w:space="0" w:color="auto"/>
        <w:left w:val="none" w:sz="0" w:space="0" w:color="auto"/>
        <w:bottom w:val="none" w:sz="0" w:space="0" w:color="auto"/>
        <w:right w:val="none" w:sz="0" w:space="0" w:color="auto"/>
      </w:divBdr>
    </w:div>
    <w:div w:id="1024089546">
      <w:bodyDiv w:val="1"/>
      <w:marLeft w:val="0"/>
      <w:marRight w:val="0"/>
      <w:marTop w:val="0"/>
      <w:marBottom w:val="0"/>
      <w:divBdr>
        <w:top w:val="none" w:sz="0" w:space="0" w:color="auto"/>
        <w:left w:val="none" w:sz="0" w:space="0" w:color="auto"/>
        <w:bottom w:val="none" w:sz="0" w:space="0" w:color="auto"/>
        <w:right w:val="none" w:sz="0" w:space="0" w:color="auto"/>
      </w:divBdr>
    </w:div>
    <w:div w:id="1057434670">
      <w:bodyDiv w:val="1"/>
      <w:marLeft w:val="0"/>
      <w:marRight w:val="0"/>
      <w:marTop w:val="0"/>
      <w:marBottom w:val="0"/>
      <w:divBdr>
        <w:top w:val="none" w:sz="0" w:space="0" w:color="auto"/>
        <w:left w:val="none" w:sz="0" w:space="0" w:color="auto"/>
        <w:bottom w:val="none" w:sz="0" w:space="0" w:color="auto"/>
        <w:right w:val="none" w:sz="0" w:space="0" w:color="auto"/>
      </w:divBdr>
    </w:div>
    <w:div w:id="1067342988">
      <w:bodyDiv w:val="1"/>
      <w:marLeft w:val="0"/>
      <w:marRight w:val="0"/>
      <w:marTop w:val="0"/>
      <w:marBottom w:val="0"/>
      <w:divBdr>
        <w:top w:val="none" w:sz="0" w:space="0" w:color="auto"/>
        <w:left w:val="none" w:sz="0" w:space="0" w:color="auto"/>
        <w:bottom w:val="none" w:sz="0" w:space="0" w:color="auto"/>
        <w:right w:val="none" w:sz="0" w:space="0" w:color="auto"/>
      </w:divBdr>
    </w:div>
    <w:div w:id="1143427105">
      <w:bodyDiv w:val="1"/>
      <w:marLeft w:val="0"/>
      <w:marRight w:val="0"/>
      <w:marTop w:val="0"/>
      <w:marBottom w:val="0"/>
      <w:divBdr>
        <w:top w:val="none" w:sz="0" w:space="0" w:color="auto"/>
        <w:left w:val="none" w:sz="0" w:space="0" w:color="auto"/>
        <w:bottom w:val="none" w:sz="0" w:space="0" w:color="auto"/>
        <w:right w:val="none" w:sz="0" w:space="0" w:color="auto"/>
      </w:divBdr>
    </w:div>
    <w:div w:id="1355960170">
      <w:bodyDiv w:val="1"/>
      <w:marLeft w:val="0"/>
      <w:marRight w:val="0"/>
      <w:marTop w:val="0"/>
      <w:marBottom w:val="0"/>
      <w:divBdr>
        <w:top w:val="none" w:sz="0" w:space="0" w:color="auto"/>
        <w:left w:val="none" w:sz="0" w:space="0" w:color="auto"/>
        <w:bottom w:val="none" w:sz="0" w:space="0" w:color="auto"/>
        <w:right w:val="none" w:sz="0" w:space="0" w:color="auto"/>
      </w:divBdr>
    </w:div>
    <w:div w:id="1386487384">
      <w:bodyDiv w:val="1"/>
      <w:marLeft w:val="0"/>
      <w:marRight w:val="0"/>
      <w:marTop w:val="0"/>
      <w:marBottom w:val="0"/>
      <w:divBdr>
        <w:top w:val="none" w:sz="0" w:space="0" w:color="auto"/>
        <w:left w:val="none" w:sz="0" w:space="0" w:color="auto"/>
        <w:bottom w:val="none" w:sz="0" w:space="0" w:color="auto"/>
        <w:right w:val="none" w:sz="0" w:space="0" w:color="auto"/>
      </w:divBdr>
    </w:div>
    <w:div w:id="155839811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9389200">
      <w:bodyDiv w:val="1"/>
      <w:marLeft w:val="0"/>
      <w:marRight w:val="0"/>
      <w:marTop w:val="0"/>
      <w:marBottom w:val="0"/>
      <w:divBdr>
        <w:top w:val="none" w:sz="0" w:space="0" w:color="auto"/>
        <w:left w:val="none" w:sz="0" w:space="0" w:color="auto"/>
        <w:bottom w:val="none" w:sz="0" w:space="0" w:color="auto"/>
        <w:right w:val="none" w:sz="0" w:space="0" w:color="auto"/>
      </w:divBdr>
    </w:div>
    <w:div w:id="1693804782">
      <w:bodyDiv w:val="1"/>
      <w:marLeft w:val="0"/>
      <w:marRight w:val="0"/>
      <w:marTop w:val="0"/>
      <w:marBottom w:val="0"/>
      <w:divBdr>
        <w:top w:val="none" w:sz="0" w:space="0" w:color="auto"/>
        <w:left w:val="none" w:sz="0" w:space="0" w:color="auto"/>
        <w:bottom w:val="none" w:sz="0" w:space="0" w:color="auto"/>
        <w:right w:val="none" w:sz="0" w:space="0" w:color="auto"/>
      </w:divBdr>
    </w:div>
    <w:div w:id="1924609695">
      <w:bodyDiv w:val="1"/>
      <w:marLeft w:val="0"/>
      <w:marRight w:val="0"/>
      <w:marTop w:val="0"/>
      <w:marBottom w:val="0"/>
      <w:divBdr>
        <w:top w:val="none" w:sz="0" w:space="0" w:color="auto"/>
        <w:left w:val="none" w:sz="0" w:space="0" w:color="auto"/>
        <w:bottom w:val="none" w:sz="0" w:space="0" w:color="auto"/>
        <w:right w:val="none" w:sz="0" w:space="0" w:color="auto"/>
      </w:divBdr>
    </w:div>
    <w:div w:id="2013990181">
      <w:bodyDiv w:val="1"/>
      <w:marLeft w:val="0"/>
      <w:marRight w:val="0"/>
      <w:marTop w:val="0"/>
      <w:marBottom w:val="0"/>
      <w:divBdr>
        <w:top w:val="none" w:sz="0" w:space="0" w:color="auto"/>
        <w:left w:val="none" w:sz="0" w:space="0" w:color="auto"/>
        <w:bottom w:val="none" w:sz="0" w:space="0" w:color="auto"/>
        <w:right w:val="none" w:sz="0" w:space="0" w:color="auto"/>
      </w:divBdr>
      <w:divsChild>
        <w:div w:id="593123974">
          <w:marLeft w:val="0"/>
          <w:marRight w:val="0"/>
          <w:marTop w:val="0"/>
          <w:marBottom w:val="0"/>
          <w:divBdr>
            <w:top w:val="none" w:sz="0" w:space="0" w:color="auto"/>
            <w:left w:val="none" w:sz="0" w:space="0" w:color="auto"/>
            <w:bottom w:val="none" w:sz="0" w:space="0" w:color="auto"/>
            <w:right w:val="none" w:sz="0" w:space="0" w:color="auto"/>
          </w:divBdr>
          <w:divsChild>
            <w:div w:id="656499610">
              <w:marLeft w:val="0"/>
              <w:marRight w:val="0"/>
              <w:marTop w:val="0"/>
              <w:marBottom w:val="0"/>
              <w:divBdr>
                <w:top w:val="none" w:sz="0" w:space="0" w:color="auto"/>
                <w:left w:val="none" w:sz="0" w:space="0" w:color="auto"/>
                <w:bottom w:val="none" w:sz="0" w:space="0" w:color="auto"/>
                <w:right w:val="none" w:sz="0" w:space="0" w:color="auto"/>
              </w:divBdr>
              <w:divsChild>
                <w:div w:id="12973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38655">
      <w:bodyDiv w:val="1"/>
      <w:marLeft w:val="0"/>
      <w:marRight w:val="0"/>
      <w:marTop w:val="0"/>
      <w:marBottom w:val="0"/>
      <w:divBdr>
        <w:top w:val="none" w:sz="0" w:space="0" w:color="auto"/>
        <w:left w:val="none" w:sz="0" w:space="0" w:color="auto"/>
        <w:bottom w:val="none" w:sz="0" w:space="0" w:color="auto"/>
        <w:right w:val="none" w:sz="0" w:space="0" w:color="auto"/>
      </w:divBdr>
    </w:div>
    <w:div w:id="21332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bs.gov.au/AUSSTATS/abs@.nsf/Latestproducts/4324.0.55.002Main%20Features652011-12?opendocument&amp;tabname=Summary&amp;prodno=4324.0.55.002&amp;issue=2011-12&amp;num=&amp;view=" TargetMode="External"/><Relationship Id="rId26" Type="http://schemas.openxmlformats.org/officeDocument/2006/relationships/hyperlink" Target="https://pubchem.ncbi.nlm.nih.gov/compound/Cetylpyridinium-chloride" TargetMode="External"/><Relationship Id="rId3" Type="http://schemas.openxmlformats.org/officeDocument/2006/relationships/customXml" Target="../customXml/item3.xml"/><Relationship Id="rId21" Type="http://schemas.openxmlformats.org/officeDocument/2006/relationships/hyperlink" Target="http://www.foodstandards.gov.au/code/proposals/Pages/proposalp282primaryp2442.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pubchem.ncbi.nlm.nih.gov/compound/Cetylpyridinium-chlori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hicken.org.au/chicken-cuts/" TargetMode="External"/><Relationship Id="rId29" Type="http://schemas.openxmlformats.org/officeDocument/2006/relationships/hyperlink" Target="https://admin-www.foodstandards.gov.au/science/exposure/documents/Principles%20_%20practices%20exposure%20assessment%20200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dmin-www.foodstandards.gov.au/science/exposure/Pages/protectinghighconsum4441.aspx" TargetMode="External"/><Relationship Id="rId32" Type="http://schemas.openxmlformats.org/officeDocument/2006/relationships/theme" Target="theme/theme1.xml"/><Relationship Id="rId28" Type="http://schemas.openxmlformats.org/officeDocument/2006/relationships/hyperlink" Target="https://admin-www.foodstandards.gov.au/science/riskanalysis/Pages/default.aspx" TargetMode="External"/><Relationship Id="rId15" Type="http://schemas.openxmlformats.org/officeDocument/2006/relationships/footer" Target="footer1.xml"/><Relationship Id="rId23" Type="http://schemas.openxmlformats.org/officeDocument/2006/relationships/hyperlink" Target="https://admin-www.foodstandards.gov.au/publications/Pages/Principles-and-Practices-of-Dietary.aspx" TargetMode="External"/><Relationship Id="rId10" Type="http://schemas.openxmlformats.org/officeDocument/2006/relationships/settings" Target="settings.xml"/><Relationship Id="rId19" Type="http://schemas.openxmlformats.org/officeDocument/2006/relationships/hyperlink" Target="http://www.abs.gov.au/AUSSTATS/abs@.nsf/Latestproducts/4324.0.55.002Main%20Features652011-12?opendocument&amp;tabname=Summary&amp;prodno=4324.0.55.002&amp;issue=2011-12&amp;num=&amp;view" TargetMode="External"/><Relationship Id="rId31" Type="http://schemas.openxmlformats.org/officeDocument/2006/relationships/fontTable" Target="fontTable.xml"/><Relationship Id="rId30" Type="http://schemas.openxmlformats.org/officeDocument/2006/relationships/hyperlink" Target="https://admin-www.foodstandards.gov.au/science/exposure/Pages/dietaryexposureandin4438.aspx"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admin-www.foodstandards.gov.au/publications/Pages/Principles-and-Practices-of-Dietary.aspx" TargetMode="External"/><Relationship Id="rId27" Type="http://schemas.openxmlformats.org/officeDocument/2006/relationships/hyperlink" Target="http://www.who.int/publications/i/item/978924151552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oodregulation.gov.au/internet/fr/publishing.nsf/Content/aus-foodborne-illness-reduction-strategy-2018-2021-Jun-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55AE1914BAA01349A3CFE516A148FD9C" ma:contentTypeVersion="23" ma:contentTypeDescription="Files created by FSANZ including letters, draft documents and ideas for FSANZ business." ma:contentTypeScope="" ma:versionID="51485aa7bdac4dc5332f3132c5c449da">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WYJEUTFRV6AA-1350506635-151</_dlc_DocId>
    <_dlc_DocIdUrl xmlns="7e329c68-5cbf-4e54-96e5-e53e71021bd2">
      <Url>http://fsanzapps/applications/A1215/_layouts/15/DocIdRedir.aspx?ID=WYJEUTFRV6AA-1350506635-151</Url>
      <Description>WYJEUTFRV6AA-1350506635-151</Description>
    </_dlc_DocIdUrl>
    <_dlc_DocIdPersistId xmlns="7e329c68-5cbf-4e54-96e5-e53e71021bd2">true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98347-D444-466F-AE94-ADDB22A5B43F}"/>
</file>

<file path=customXml/itemProps2.xml><?xml version="1.0" encoding="utf-8"?>
<ds:datastoreItem xmlns:ds="http://schemas.openxmlformats.org/officeDocument/2006/customXml" ds:itemID="{699DFE3D-AE03-4E82-A63E-5EA8AD847A29}"/>
</file>

<file path=customXml/itemProps3.xml><?xml version="1.0" encoding="utf-8"?>
<ds:datastoreItem xmlns:ds="http://schemas.openxmlformats.org/officeDocument/2006/customXml" ds:itemID="{F62C8D33-F9BA-489E-8826-C8E173E44CD8}"/>
</file>

<file path=customXml/itemProps4.xml><?xml version="1.0" encoding="utf-8"?>
<ds:datastoreItem xmlns:ds="http://schemas.openxmlformats.org/officeDocument/2006/customXml" ds:itemID="{1322AFC4-D3E8-4A48-A003-1F3059A41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298347-D444-466F-AE94-ADDB22A5B43F}">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7e329c68-5cbf-4e54-96e5-e53e71021bd2"/>
    <ds:schemaRef ds:uri="ec50576e-4a27-4780-a1e1-e59563bc70b8"/>
    <ds:schemaRef ds:uri="http://www.w3.org/XML/1998/namespace"/>
  </ds:schemaRefs>
</ds:datastoreItem>
</file>

<file path=customXml/itemProps6.xml><?xml version="1.0" encoding="utf-8"?>
<ds:datastoreItem xmlns:ds="http://schemas.openxmlformats.org/officeDocument/2006/customXml" ds:itemID="{0461D326-8BA9-405A-AEA3-5239D9A67921}"/>
</file>

<file path=customXml/itemProps7.xml><?xml version="1.0" encoding="utf-8"?>
<ds:datastoreItem xmlns:ds="http://schemas.openxmlformats.org/officeDocument/2006/customXml" ds:itemID="{C97E8ABB-5284-4F5D-B2F2-00CBA8E1665C}"/>
</file>

<file path=docProps/app.xml><?xml version="1.0" encoding="utf-8"?>
<Properties xmlns="http://schemas.openxmlformats.org/officeDocument/2006/extended-properties" xmlns:vt="http://schemas.openxmlformats.org/officeDocument/2006/docPropsVTypes">
  <Template>Report - Supporting document</Template>
  <TotalTime>1</TotalTime>
  <Pages>45</Pages>
  <Words>20644</Words>
  <Characters>117676</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138044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trevil</dc:creator>
  <cp:lastModifiedBy>Sally Ronaldson</cp:lastModifiedBy>
  <cp:revision>2</cp:revision>
  <cp:lastPrinted>2022-03-02T22:26:00Z</cp:lastPrinted>
  <dcterms:created xsi:type="dcterms:W3CDTF">2022-03-10T23:02:00Z</dcterms:created>
  <dcterms:modified xsi:type="dcterms:W3CDTF">2022-03-10T23:02:00Z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cf9cabd0-9610-40aa-9316-d5a1f2fb5cda</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f021e6c9-e5cd-4bef-9c91-c7cb025605f2</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RecordPoint_WorkflowType">
    <vt:lpwstr>ActiveSubmitStub</vt:lpwstr>
  </property>
  <property fmtid="{D5CDD505-2E9C-101B-9397-08002B2CF9AE}" pid="9" name="RecordPoint_ActiveItemUniqueId">
    <vt:lpwstr>{993798f5-5f65-4768-bd9a-a69350985d7e}</vt:lpwstr>
  </property>
  <property fmtid="{D5CDD505-2E9C-101B-9397-08002B2CF9AE}" pid="10" name="RecordPoint_ActiveItemWebId">
    <vt:lpwstr>{18941c75-2f11-4070-83a4-c64af5a0311c}</vt:lpwstr>
  </property>
  <property fmtid="{D5CDD505-2E9C-101B-9397-08002B2CF9AE}" pid="11" name="RecordPoint_ActiveItemSiteId">
    <vt:lpwstr>{dd95a578-5c6a-4f11-92f7-f95884d628d6}</vt:lpwstr>
  </property>
  <property fmtid="{D5CDD505-2E9C-101B-9397-08002B2CF9AE}" pid="12" name="RecordPoint_ActiveItemListId">
    <vt:lpwstr>{732670ae-6f64-4e5e-9b96-c7a4059c4b85}</vt:lpwstr>
  </property>
  <property fmtid="{D5CDD505-2E9C-101B-9397-08002B2CF9AE}" pid="13" name="RecordPoint_SubmissionCompleted">
    <vt:lpwstr>2022-01-20T07:00:37.7575104+11:00</vt:lpwstr>
  </property>
  <property fmtid="{D5CDD505-2E9C-101B-9397-08002B2CF9AE}" pid="14" name="RecordPoint_RecordNumberSubmitted">
    <vt:lpwstr>R0000195605</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