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317A" w14:textId="40BC9414" w:rsidR="0012388D" w:rsidRDefault="00772BDC" w:rsidP="00201653">
      <w:pPr>
        <w:rPr>
          <w:rFonts w:cs="Arial"/>
        </w:rPr>
      </w:pPr>
      <w:r>
        <w:rPr>
          <w:rFonts w:cs="Arial"/>
          <w:noProof/>
          <w:lang w:eastAsia="en-GB" w:bidi="ar-SA"/>
        </w:rPr>
        <w:drawing>
          <wp:inline distT="0" distB="0" distL="0" distR="0" wp14:anchorId="489C60EC" wp14:editId="1D89A426">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E05D888" w14:textId="77777777" w:rsidR="00A671E6" w:rsidRPr="00A671E6" w:rsidRDefault="00A671E6" w:rsidP="00A671E6">
      <w:pPr>
        <w:rPr>
          <w:color w:val="FF0000"/>
        </w:rPr>
      </w:pPr>
    </w:p>
    <w:p w14:paraId="3150B0A0" w14:textId="31EF1B36" w:rsidR="00A671E6" w:rsidRPr="008E63DC" w:rsidRDefault="008E63DC" w:rsidP="00A671E6">
      <w:pPr>
        <w:rPr>
          <w:b/>
          <w:sz w:val="28"/>
          <w:szCs w:val="28"/>
        </w:rPr>
      </w:pPr>
      <w:r w:rsidRPr="008E63DC">
        <w:rPr>
          <w:b/>
          <w:sz w:val="28"/>
          <w:szCs w:val="28"/>
        </w:rPr>
        <w:t>28 September 202</w:t>
      </w:r>
      <w:r w:rsidR="004E3E55">
        <w:rPr>
          <w:b/>
          <w:sz w:val="28"/>
          <w:szCs w:val="28"/>
        </w:rPr>
        <w:t>2</w:t>
      </w:r>
    </w:p>
    <w:p w14:paraId="7F94C516" w14:textId="26C22F3E" w:rsidR="00A671E6" w:rsidRPr="008E63DC" w:rsidRDefault="008E63DC" w:rsidP="00A671E6">
      <w:pPr>
        <w:rPr>
          <w:b/>
          <w:sz w:val="28"/>
          <w:szCs w:val="28"/>
        </w:rPr>
      </w:pPr>
      <w:r w:rsidRPr="008E63DC">
        <w:rPr>
          <w:b/>
          <w:sz w:val="28"/>
          <w:szCs w:val="28"/>
        </w:rPr>
        <w:t>215-22</w:t>
      </w:r>
    </w:p>
    <w:p w14:paraId="0959CA77" w14:textId="32F58876" w:rsidR="00A671E6" w:rsidRPr="00A671E6" w:rsidRDefault="00A671E6" w:rsidP="008E7276"/>
    <w:p w14:paraId="54B8F93E" w14:textId="6F30D817" w:rsidR="0012388D" w:rsidRPr="00577F57" w:rsidRDefault="00B425AA" w:rsidP="00B425AA">
      <w:pPr>
        <w:pStyle w:val="FSTitle"/>
        <w:rPr>
          <w:b/>
        </w:rPr>
      </w:pPr>
      <w:r w:rsidRPr="00577F57">
        <w:rPr>
          <w:b/>
        </w:rPr>
        <w:t>A</w:t>
      </w:r>
      <w:r w:rsidR="00DD265C" w:rsidRPr="00577F57">
        <w:rPr>
          <w:b/>
        </w:rPr>
        <w:t>pproval</w:t>
      </w:r>
      <w:r w:rsidRPr="00577F57">
        <w:rPr>
          <w:b/>
        </w:rPr>
        <w:t xml:space="preserve"> </w:t>
      </w:r>
      <w:r w:rsidR="00B77C18" w:rsidRPr="00577F57">
        <w:rPr>
          <w:b/>
        </w:rPr>
        <w:t>r</w:t>
      </w:r>
      <w:r w:rsidR="00DD265C" w:rsidRPr="00577F57">
        <w:rPr>
          <w:b/>
        </w:rPr>
        <w:t>eport</w:t>
      </w:r>
      <w:r w:rsidRPr="00577F57">
        <w:rPr>
          <w:b/>
        </w:rPr>
        <w:t xml:space="preserve"> – </w:t>
      </w:r>
      <w:r w:rsidR="00577F57" w:rsidRPr="00577F57">
        <w:rPr>
          <w:b/>
        </w:rPr>
        <w:t>Application A1239</w:t>
      </w:r>
    </w:p>
    <w:p w14:paraId="573E9A56" w14:textId="77777777" w:rsidR="003A7B84" w:rsidRPr="00CA5734" w:rsidRDefault="003A7B84" w:rsidP="00A671E6"/>
    <w:p w14:paraId="17B3B4C7" w14:textId="2A4E2FC3" w:rsidR="0012388D" w:rsidRPr="00577F57" w:rsidRDefault="00342331" w:rsidP="00B425AA">
      <w:pPr>
        <w:pStyle w:val="FSTitle"/>
      </w:pPr>
      <w:r w:rsidRPr="00577F57">
        <w:t xml:space="preserve">Food derived from EPA and DHA producing and herbicide-tolerant canola line </w:t>
      </w:r>
      <w:r w:rsidR="00577F57" w:rsidRPr="00577F57">
        <w:t>LBFLFK</w:t>
      </w:r>
    </w:p>
    <w:p w14:paraId="642B0078" w14:textId="77777777" w:rsidR="003A7B84" w:rsidRPr="00E327A6" w:rsidRDefault="003A7B84" w:rsidP="00871116">
      <w:pPr>
        <w:pBdr>
          <w:bottom w:val="single" w:sz="12" w:space="1" w:color="auto"/>
        </w:pBdr>
        <w:tabs>
          <w:tab w:val="left" w:pos="1140"/>
        </w:tabs>
        <w:rPr>
          <w:rFonts w:cs="Arial"/>
          <w:bCs/>
        </w:rPr>
      </w:pPr>
    </w:p>
    <w:p w14:paraId="2257A1E3" w14:textId="5694D570" w:rsidR="00CA5734" w:rsidRPr="00E05F18" w:rsidRDefault="000F3CFE" w:rsidP="00973581">
      <w:pPr>
        <w:spacing w:before="240" w:after="240"/>
      </w:pPr>
      <w:r>
        <w:t>Food Standards Australia New Zealand (FSANZ) has</w:t>
      </w:r>
      <w:r w:rsidR="00081B0A">
        <w:t xml:space="preserve"> assessed </w:t>
      </w:r>
      <w:r w:rsidR="00081B0A" w:rsidRPr="00577F57">
        <w:t xml:space="preserve">an </w:t>
      </w:r>
      <w:r w:rsidR="001811B6">
        <w:t xml:space="preserve">application </w:t>
      </w:r>
      <w:r w:rsidR="00577F57" w:rsidRPr="00425AAD">
        <w:t>made by BASF Australia Ltd seeking to amend the Australia New Zealand Food Standards Code</w:t>
      </w:r>
      <w:r w:rsidR="00425AAD">
        <w:t xml:space="preserve"> (the Code)</w:t>
      </w:r>
      <w:r w:rsidR="00577F57" w:rsidRPr="00425AAD">
        <w:t xml:space="preserve"> to permit the sale and use of food derived from a new food produced using gene technology: canola line LBFLFK. This canola line has been genetically modified to produce the omega-3 fatty acids (eicosapentaenoic acid (EPA) and docosahexaenoic acid (DHA)) in the seed, and </w:t>
      </w:r>
      <w:r w:rsidR="00577F57" w:rsidRPr="00E05F18">
        <w:t>for tolerance to imidazolinone herbicides.</w:t>
      </w:r>
    </w:p>
    <w:p w14:paraId="36B51CE8" w14:textId="0EF6CD38" w:rsidR="00CA5734" w:rsidRPr="00E05F18" w:rsidRDefault="00081B0A" w:rsidP="0040270B">
      <w:pPr>
        <w:spacing w:after="240"/>
      </w:pPr>
      <w:r w:rsidRPr="00E05F18">
        <w:t xml:space="preserve">On </w:t>
      </w:r>
      <w:r w:rsidR="00425AAD" w:rsidRPr="00E05F18">
        <w:t>27 May 2022</w:t>
      </w:r>
      <w:r w:rsidR="003A7B84" w:rsidRPr="00E05F18">
        <w:t>,</w:t>
      </w:r>
      <w:r w:rsidRPr="00E05F18">
        <w:t xml:space="preserve"> FSANZ sought </w:t>
      </w:r>
      <w:r w:rsidR="003A7B84" w:rsidRPr="00E05F18">
        <w:t xml:space="preserve">submissions </w:t>
      </w:r>
      <w:r w:rsidR="00A671E6" w:rsidRPr="00E05F18">
        <w:t xml:space="preserve">on </w:t>
      </w:r>
      <w:r w:rsidR="00F526BD" w:rsidRPr="00E05F18">
        <w:t xml:space="preserve">a draft </w:t>
      </w:r>
      <w:r w:rsidR="00425AAD" w:rsidRPr="00E05F18">
        <w:t xml:space="preserve">variation to Schedule 26 of the Code </w:t>
      </w:r>
      <w:r w:rsidR="003A7B84" w:rsidRPr="00E05F18">
        <w:t xml:space="preserve">and published an </w:t>
      </w:r>
      <w:r w:rsidR="00EC21DF" w:rsidRPr="00E05F18">
        <w:t>associated r</w:t>
      </w:r>
      <w:r w:rsidR="003A7B84" w:rsidRPr="00E05F18">
        <w:t>eport</w:t>
      </w:r>
      <w:r w:rsidRPr="00E05F18">
        <w:t>.</w:t>
      </w:r>
      <w:r w:rsidR="00F526BD" w:rsidRPr="00E05F18">
        <w:t xml:space="preserve"> FSANZ received </w:t>
      </w:r>
      <w:r w:rsidR="003B3D37" w:rsidRPr="00E05F18">
        <w:t>three</w:t>
      </w:r>
      <w:r w:rsidR="00F526BD" w:rsidRPr="00E05F18">
        <w:t xml:space="preserve"> submissions.</w:t>
      </w:r>
    </w:p>
    <w:p w14:paraId="19F32179" w14:textId="124E7364" w:rsidR="00CA5734" w:rsidRPr="00E05F18" w:rsidRDefault="00081B0A" w:rsidP="0040270B">
      <w:pPr>
        <w:spacing w:after="240"/>
      </w:pPr>
      <w:r w:rsidRPr="00E05F18">
        <w:t>FSANZ approved the draf</w:t>
      </w:r>
      <w:r w:rsidR="00425AAD" w:rsidRPr="00E05F18">
        <w:t>t</w:t>
      </w:r>
      <w:r w:rsidR="00E30092" w:rsidRPr="00E05F18">
        <w:t xml:space="preserve"> variation </w:t>
      </w:r>
      <w:r w:rsidR="0012388D" w:rsidRPr="00E05F18">
        <w:t xml:space="preserve">on </w:t>
      </w:r>
      <w:r w:rsidR="00E05F18" w:rsidRPr="00E05F18">
        <w:t>14 September 2022</w:t>
      </w:r>
      <w:r w:rsidRPr="00E05F18">
        <w:t xml:space="preserve"> </w:t>
      </w:r>
      <w:r w:rsidR="003A7B84" w:rsidRPr="00E05F18">
        <w:t xml:space="preserve">The </w:t>
      </w:r>
      <w:r w:rsidR="00167F09" w:rsidRPr="00E05F18">
        <w:rPr>
          <w:rFonts w:cs="Helvetica"/>
          <w:lang w:val="en-AU"/>
        </w:rPr>
        <w:t>Food Ministers’ Meeting</w:t>
      </w:r>
      <w:r w:rsidR="00C4253D" w:rsidRPr="00E05F18">
        <w:rPr>
          <w:rStyle w:val="FootnoteReference"/>
          <w:rFonts w:cs="Helvetica"/>
          <w:lang w:val="en-AU"/>
        </w:rPr>
        <w:footnoteReference w:id="2"/>
      </w:r>
      <w:r w:rsidR="00167F09" w:rsidRPr="00E05F18">
        <w:rPr>
          <w:rFonts w:cs="Helvetica"/>
          <w:lang w:val="en-AU"/>
        </w:rPr>
        <w:t xml:space="preserve"> was</w:t>
      </w:r>
      <w:r w:rsidR="003A7B84" w:rsidRPr="00E05F18">
        <w:t xml:space="preserve"> notified of FSANZ’s decision on </w:t>
      </w:r>
      <w:r w:rsidR="00E05F18" w:rsidRPr="00E05F18">
        <w:t>28 September 2022.</w:t>
      </w:r>
    </w:p>
    <w:p w14:paraId="07A3B8D4" w14:textId="3D5CF737" w:rsidR="00F526BD" w:rsidRDefault="003A7B84" w:rsidP="0040270B">
      <w:pPr>
        <w:spacing w:after="240"/>
      </w:pPr>
      <w:r>
        <w:t>This R</w:t>
      </w:r>
      <w:r w:rsidR="00B425AA">
        <w:t xml:space="preserve">eport is provided pursuant to </w:t>
      </w:r>
      <w:r w:rsidR="009A2699" w:rsidRPr="00425AAD">
        <w:t>paragraph</w:t>
      </w:r>
      <w:r w:rsidR="00081B0A" w:rsidRPr="00425AAD">
        <w:t xml:space="preserve"> 33(1)(b) </w:t>
      </w:r>
      <w:r w:rsidR="00081B0A">
        <w:t xml:space="preserve">of the </w:t>
      </w:r>
      <w:r w:rsidR="00081B0A" w:rsidRPr="0012388D">
        <w:rPr>
          <w:i/>
        </w:rPr>
        <w:t>Food Standards Australia New Zealand Act 1991</w:t>
      </w:r>
      <w:r w:rsidR="00081B0A">
        <w:t xml:space="preserve"> (the FSANZ Act).</w:t>
      </w:r>
    </w:p>
    <w:p w14:paraId="2EF644A7" w14:textId="77777777" w:rsidR="00EB6590" w:rsidRDefault="00EB6590" w:rsidP="00F526BD"/>
    <w:p w14:paraId="38B497E1" w14:textId="02611741"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669FBE06" w14:textId="13B94789" w:rsidR="00CE59AA" w:rsidRPr="0040270B" w:rsidRDefault="00D15A08" w:rsidP="0040270B">
      <w:pPr>
        <w:spacing w:after="240"/>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630950D" w14:textId="736E221B" w:rsidR="004849B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09221950" w:history="1">
        <w:r w:rsidR="004849B6" w:rsidRPr="001725DB">
          <w:rPr>
            <w:rStyle w:val="Hyperlink"/>
            <w:noProof/>
          </w:rPr>
          <w:t>Executive summary</w:t>
        </w:r>
        <w:r w:rsidR="004849B6">
          <w:rPr>
            <w:noProof/>
            <w:webHidden/>
          </w:rPr>
          <w:tab/>
        </w:r>
        <w:r w:rsidR="004849B6">
          <w:rPr>
            <w:noProof/>
            <w:webHidden/>
          </w:rPr>
          <w:fldChar w:fldCharType="begin"/>
        </w:r>
        <w:r w:rsidR="004849B6">
          <w:rPr>
            <w:noProof/>
            <w:webHidden/>
          </w:rPr>
          <w:instrText xml:space="preserve"> PAGEREF _Toc109221950 \h </w:instrText>
        </w:r>
        <w:r w:rsidR="004849B6">
          <w:rPr>
            <w:noProof/>
            <w:webHidden/>
          </w:rPr>
        </w:r>
        <w:r w:rsidR="004849B6">
          <w:rPr>
            <w:noProof/>
            <w:webHidden/>
          </w:rPr>
          <w:fldChar w:fldCharType="separate"/>
        </w:r>
        <w:r w:rsidR="00AB235A">
          <w:rPr>
            <w:noProof/>
            <w:webHidden/>
          </w:rPr>
          <w:t>2</w:t>
        </w:r>
        <w:r w:rsidR="004849B6">
          <w:rPr>
            <w:noProof/>
            <w:webHidden/>
          </w:rPr>
          <w:fldChar w:fldCharType="end"/>
        </w:r>
      </w:hyperlink>
    </w:p>
    <w:p w14:paraId="70D3083C" w14:textId="266113EA" w:rsidR="004849B6" w:rsidRDefault="00A570C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221951" w:history="1">
        <w:r w:rsidR="004849B6" w:rsidRPr="001725DB">
          <w:rPr>
            <w:rStyle w:val="Hyperlink"/>
            <w:noProof/>
          </w:rPr>
          <w:t>1</w:t>
        </w:r>
        <w:r w:rsidR="004849B6">
          <w:rPr>
            <w:rFonts w:eastAsiaTheme="minorEastAsia" w:cstheme="minorBidi"/>
            <w:b w:val="0"/>
            <w:bCs w:val="0"/>
            <w:caps w:val="0"/>
            <w:noProof/>
            <w:sz w:val="22"/>
            <w:szCs w:val="22"/>
            <w:lang w:eastAsia="en-GB" w:bidi="ar-SA"/>
          </w:rPr>
          <w:tab/>
        </w:r>
        <w:r w:rsidR="004849B6" w:rsidRPr="001725DB">
          <w:rPr>
            <w:rStyle w:val="Hyperlink"/>
            <w:noProof/>
          </w:rPr>
          <w:t>Introduction</w:t>
        </w:r>
        <w:r w:rsidR="004849B6">
          <w:rPr>
            <w:noProof/>
            <w:webHidden/>
          </w:rPr>
          <w:tab/>
        </w:r>
        <w:r w:rsidR="004849B6">
          <w:rPr>
            <w:noProof/>
            <w:webHidden/>
          </w:rPr>
          <w:fldChar w:fldCharType="begin"/>
        </w:r>
        <w:r w:rsidR="004849B6">
          <w:rPr>
            <w:noProof/>
            <w:webHidden/>
          </w:rPr>
          <w:instrText xml:space="preserve"> PAGEREF _Toc109221951 \h </w:instrText>
        </w:r>
        <w:r w:rsidR="004849B6">
          <w:rPr>
            <w:noProof/>
            <w:webHidden/>
          </w:rPr>
        </w:r>
        <w:r w:rsidR="004849B6">
          <w:rPr>
            <w:noProof/>
            <w:webHidden/>
          </w:rPr>
          <w:fldChar w:fldCharType="separate"/>
        </w:r>
        <w:r w:rsidR="00AB235A">
          <w:rPr>
            <w:noProof/>
            <w:webHidden/>
          </w:rPr>
          <w:t>3</w:t>
        </w:r>
        <w:r w:rsidR="004849B6">
          <w:rPr>
            <w:noProof/>
            <w:webHidden/>
          </w:rPr>
          <w:fldChar w:fldCharType="end"/>
        </w:r>
      </w:hyperlink>
    </w:p>
    <w:p w14:paraId="6AEFD0F1" w14:textId="0F010C81"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2" w:history="1">
        <w:r w:rsidR="004849B6" w:rsidRPr="001725DB">
          <w:rPr>
            <w:rStyle w:val="Hyperlink"/>
            <w:noProof/>
          </w:rPr>
          <w:t>1.1</w:t>
        </w:r>
        <w:r w:rsidR="004849B6">
          <w:rPr>
            <w:rFonts w:eastAsiaTheme="minorEastAsia" w:cstheme="minorBidi"/>
            <w:smallCaps w:val="0"/>
            <w:noProof/>
            <w:sz w:val="22"/>
            <w:szCs w:val="22"/>
            <w:lang w:eastAsia="en-GB" w:bidi="ar-SA"/>
          </w:rPr>
          <w:tab/>
        </w:r>
        <w:r w:rsidR="004849B6" w:rsidRPr="001725DB">
          <w:rPr>
            <w:rStyle w:val="Hyperlink"/>
            <w:noProof/>
          </w:rPr>
          <w:t>The applicant</w:t>
        </w:r>
        <w:r w:rsidR="004849B6">
          <w:rPr>
            <w:noProof/>
            <w:webHidden/>
          </w:rPr>
          <w:tab/>
        </w:r>
        <w:r w:rsidR="004849B6">
          <w:rPr>
            <w:noProof/>
            <w:webHidden/>
          </w:rPr>
          <w:fldChar w:fldCharType="begin"/>
        </w:r>
        <w:r w:rsidR="004849B6">
          <w:rPr>
            <w:noProof/>
            <w:webHidden/>
          </w:rPr>
          <w:instrText xml:space="preserve"> PAGEREF _Toc109221952 \h </w:instrText>
        </w:r>
        <w:r w:rsidR="004849B6">
          <w:rPr>
            <w:noProof/>
            <w:webHidden/>
          </w:rPr>
        </w:r>
        <w:r w:rsidR="004849B6">
          <w:rPr>
            <w:noProof/>
            <w:webHidden/>
          </w:rPr>
          <w:fldChar w:fldCharType="separate"/>
        </w:r>
        <w:r w:rsidR="00AB235A">
          <w:rPr>
            <w:noProof/>
            <w:webHidden/>
          </w:rPr>
          <w:t>3</w:t>
        </w:r>
        <w:r w:rsidR="004849B6">
          <w:rPr>
            <w:noProof/>
            <w:webHidden/>
          </w:rPr>
          <w:fldChar w:fldCharType="end"/>
        </w:r>
      </w:hyperlink>
    </w:p>
    <w:p w14:paraId="0D2FA42A" w14:textId="38DA6C6F"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3" w:history="1">
        <w:r w:rsidR="004849B6" w:rsidRPr="001725DB">
          <w:rPr>
            <w:rStyle w:val="Hyperlink"/>
            <w:noProof/>
          </w:rPr>
          <w:t>1.2</w:t>
        </w:r>
        <w:r w:rsidR="004849B6">
          <w:rPr>
            <w:rFonts w:eastAsiaTheme="minorEastAsia" w:cstheme="minorBidi"/>
            <w:smallCaps w:val="0"/>
            <w:noProof/>
            <w:sz w:val="22"/>
            <w:szCs w:val="22"/>
            <w:lang w:eastAsia="en-GB" w:bidi="ar-SA"/>
          </w:rPr>
          <w:tab/>
        </w:r>
        <w:r w:rsidR="004849B6" w:rsidRPr="001725DB">
          <w:rPr>
            <w:rStyle w:val="Hyperlink"/>
            <w:noProof/>
          </w:rPr>
          <w:t>The application</w:t>
        </w:r>
        <w:r w:rsidR="004849B6">
          <w:rPr>
            <w:noProof/>
            <w:webHidden/>
          </w:rPr>
          <w:tab/>
        </w:r>
        <w:r w:rsidR="004849B6">
          <w:rPr>
            <w:noProof/>
            <w:webHidden/>
          </w:rPr>
          <w:fldChar w:fldCharType="begin"/>
        </w:r>
        <w:r w:rsidR="004849B6">
          <w:rPr>
            <w:noProof/>
            <w:webHidden/>
          </w:rPr>
          <w:instrText xml:space="preserve"> PAGEREF _Toc109221953 \h </w:instrText>
        </w:r>
        <w:r w:rsidR="004849B6">
          <w:rPr>
            <w:noProof/>
            <w:webHidden/>
          </w:rPr>
        </w:r>
        <w:r w:rsidR="004849B6">
          <w:rPr>
            <w:noProof/>
            <w:webHidden/>
          </w:rPr>
          <w:fldChar w:fldCharType="separate"/>
        </w:r>
        <w:r w:rsidR="00AB235A">
          <w:rPr>
            <w:noProof/>
            <w:webHidden/>
          </w:rPr>
          <w:t>3</w:t>
        </w:r>
        <w:r w:rsidR="004849B6">
          <w:rPr>
            <w:noProof/>
            <w:webHidden/>
          </w:rPr>
          <w:fldChar w:fldCharType="end"/>
        </w:r>
      </w:hyperlink>
    </w:p>
    <w:p w14:paraId="77B9A769" w14:textId="4C440DC3"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4" w:history="1">
        <w:r w:rsidR="004849B6" w:rsidRPr="001725DB">
          <w:rPr>
            <w:rStyle w:val="Hyperlink"/>
            <w:noProof/>
          </w:rPr>
          <w:t>1.3</w:t>
        </w:r>
        <w:r w:rsidR="004849B6">
          <w:rPr>
            <w:rFonts w:eastAsiaTheme="minorEastAsia" w:cstheme="minorBidi"/>
            <w:smallCaps w:val="0"/>
            <w:noProof/>
            <w:sz w:val="22"/>
            <w:szCs w:val="22"/>
            <w:lang w:eastAsia="en-GB" w:bidi="ar-SA"/>
          </w:rPr>
          <w:tab/>
        </w:r>
        <w:r w:rsidR="004849B6" w:rsidRPr="001725DB">
          <w:rPr>
            <w:rStyle w:val="Hyperlink"/>
            <w:noProof/>
          </w:rPr>
          <w:t>The current Standard</w:t>
        </w:r>
        <w:r w:rsidR="004849B6">
          <w:rPr>
            <w:noProof/>
            <w:webHidden/>
          </w:rPr>
          <w:tab/>
        </w:r>
        <w:r w:rsidR="004849B6">
          <w:rPr>
            <w:noProof/>
            <w:webHidden/>
          </w:rPr>
          <w:fldChar w:fldCharType="begin"/>
        </w:r>
        <w:r w:rsidR="004849B6">
          <w:rPr>
            <w:noProof/>
            <w:webHidden/>
          </w:rPr>
          <w:instrText xml:space="preserve"> PAGEREF _Toc109221954 \h </w:instrText>
        </w:r>
        <w:r w:rsidR="004849B6">
          <w:rPr>
            <w:noProof/>
            <w:webHidden/>
          </w:rPr>
        </w:r>
        <w:r w:rsidR="004849B6">
          <w:rPr>
            <w:noProof/>
            <w:webHidden/>
          </w:rPr>
          <w:fldChar w:fldCharType="separate"/>
        </w:r>
        <w:r w:rsidR="00AB235A">
          <w:rPr>
            <w:noProof/>
            <w:webHidden/>
          </w:rPr>
          <w:t>3</w:t>
        </w:r>
        <w:r w:rsidR="004849B6">
          <w:rPr>
            <w:noProof/>
            <w:webHidden/>
          </w:rPr>
          <w:fldChar w:fldCharType="end"/>
        </w:r>
      </w:hyperlink>
    </w:p>
    <w:p w14:paraId="28586447" w14:textId="07E97D7E"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5" w:history="1">
        <w:r w:rsidR="004849B6" w:rsidRPr="001725DB">
          <w:rPr>
            <w:rStyle w:val="Hyperlink"/>
            <w:noProof/>
            <w:u w:color="FFFF00"/>
          </w:rPr>
          <w:t>1.4</w:t>
        </w:r>
        <w:r w:rsidR="004849B6">
          <w:rPr>
            <w:rFonts w:eastAsiaTheme="minorEastAsia" w:cstheme="minorBidi"/>
            <w:smallCaps w:val="0"/>
            <w:noProof/>
            <w:sz w:val="22"/>
            <w:szCs w:val="22"/>
            <w:lang w:eastAsia="en-GB" w:bidi="ar-SA"/>
          </w:rPr>
          <w:tab/>
        </w:r>
        <w:r w:rsidR="004849B6" w:rsidRPr="001725DB">
          <w:rPr>
            <w:rStyle w:val="Hyperlink"/>
            <w:noProof/>
            <w:u w:color="FFFF00"/>
          </w:rPr>
          <w:t>Reasons for accepting the application</w:t>
        </w:r>
        <w:r w:rsidR="004849B6">
          <w:rPr>
            <w:noProof/>
            <w:webHidden/>
          </w:rPr>
          <w:tab/>
        </w:r>
        <w:r w:rsidR="004849B6">
          <w:rPr>
            <w:noProof/>
            <w:webHidden/>
          </w:rPr>
          <w:fldChar w:fldCharType="begin"/>
        </w:r>
        <w:r w:rsidR="004849B6">
          <w:rPr>
            <w:noProof/>
            <w:webHidden/>
          </w:rPr>
          <w:instrText xml:space="preserve"> PAGEREF _Toc109221955 \h </w:instrText>
        </w:r>
        <w:r w:rsidR="004849B6">
          <w:rPr>
            <w:noProof/>
            <w:webHidden/>
          </w:rPr>
        </w:r>
        <w:r w:rsidR="004849B6">
          <w:rPr>
            <w:noProof/>
            <w:webHidden/>
          </w:rPr>
          <w:fldChar w:fldCharType="separate"/>
        </w:r>
        <w:r w:rsidR="00AB235A">
          <w:rPr>
            <w:noProof/>
            <w:webHidden/>
          </w:rPr>
          <w:t>4</w:t>
        </w:r>
        <w:r w:rsidR="004849B6">
          <w:rPr>
            <w:noProof/>
            <w:webHidden/>
          </w:rPr>
          <w:fldChar w:fldCharType="end"/>
        </w:r>
      </w:hyperlink>
    </w:p>
    <w:p w14:paraId="620BB874" w14:textId="01C51DDB"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6" w:history="1">
        <w:r w:rsidR="004849B6" w:rsidRPr="001725DB">
          <w:rPr>
            <w:rStyle w:val="Hyperlink"/>
            <w:noProof/>
          </w:rPr>
          <w:t>1.5</w:t>
        </w:r>
        <w:r w:rsidR="004849B6">
          <w:rPr>
            <w:rFonts w:eastAsiaTheme="minorEastAsia" w:cstheme="minorBidi"/>
            <w:smallCaps w:val="0"/>
            <w:noProof/>
            <w:sz w:val="22"/>
            <w:szCs w:val="22"/>
            <w:lang w:eastAsia="en-GB" w:bidi="ar-SA"/>
          </w:rPr>
          <w:tab/>
        </w:r>
        <w:r w:rsidR="004849B6" w:rsidRPr="001725DB">
          <w:rPr>
            <w:rStyle w:val="Hyperlink"/>
            <w:noProof/>
          </w:rPr>
          <w:t>Procedure for assessment</w:t>
        </w:r>
        <w:r w:rsidR="004849B6">
          <w:rPr>
            <w:noProof/>
            <w:webHidden/>
          </w:rPr>
          <w:tab/>
        </w:r>
        <w:r w:rsidR="004849B6">
          <w:rPr>
            <w:noProof/>
            <w:webHidden/>
          </w:rPr>
          <w:fldChar w:fldCharType="begin"/>
        </w:r>
        <w:r w:rsidR="004849B6">
          <w:rPr>
            <w:noProof/>
            <w:webHidden/>
          </w:rPr>
          <w:instrText xml:space="preserve"> PAGEREF _Toc109221956 \h </w:instrText>
        </w:r>
        <w:r w:rsidR="004849B6">
          <w:rPr>
            <w:noProof/>
            <w:webHidden/>
          </w:rPr>
        </w:r>
        <w:r w:rsidR="004849B6">
          <w:rPr>
            <w:noProof/>
            <w:webHidden/>
          </w:rPr>
          <w:fldChar w:fldCharType="separate"/>
        </w:r>
        <w:r w:rsidR="00AB235A">
          <w:rPr>
            <w:noProof/>
            <w:webHidden/>
          </w:rPr>
          <w:t>4</w:t>
        </w:r>
        <w:r w:rsidR="004849B6">
          <w:rPr>
            <w:noProof/>
            <w:webHidden/>
          </w:rPr>
          <w:fldChar w:fldCharType="end"/>
        </w:r>
      </w:hyperlink>
    </w:p>
    <w:p w14:paraId="76B030F9" w14:textId="48688D9E"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7" w:history="1">
        <w:r w:rsidR="004849B6" w:rsidRPr="001725DB">
          <w:rPr>
            <w:rStyle w:val="Hyperlink"/>
            <w:noProof/>
          </w:rPr>
          <w:t>1.6</w:t>
        </w:r>
        <w:r w:rsidR="004849B6">
          <w:rPr>
            <w:rFonts w:eastAsiaTheme="minorEastAsia" w:cstheme="minorBidi"/>
            <w:smallCaps w:val="0"/>
            <w:noProof/>
            <w:sz w:val="22"/>
            <w:szCs w:val="22"/>
            <w:lang w:eastAsia="en-GB" w:bidi="ar-SA"/>
          </w:rPr>
          <w:tab/>
        </w:r>
        <w:r w:rsidR="004849B6" w:rsidRPr="001725DB">
          <w:rPr>
            <w:rStyle w:val="Hyperlink"/>
            <w:noProof/>
          </w:rPr>
          <w:t>Decision</w:t>
        </w:r>
        <w:r w:rsidR="004849B6">
          <w:rPr>
            <w:noProof/>
            <w:webHidden/>
          </w:rPr>
          <w:tab/>
        </w:r>
        <w:r w:rsidR="004849B6">
          <w:rPr>
            <w:noProof/>
            <w:webHidden/>
          </w:rPr>
          <w:fldChar w:fldCharType="begin"/>
        </w:r>
        <w:r w:rsidR="004849B6">
          <w:rPr>
            <w:noProof/>
            <w:webHidden/>
          </w:rPr>
          <w:instrText xml:space="preserve"> PAGEREF _Toc109221957 \h </w:instrText>
        </w:r>
        <w:r w:rsidR="004849B6">
          <w:rPr>
            <w:noProof/>
            <w:webHidden/>
          </w:rPr>
        </w:r>
        <w:r w:rsidR="004849B6">
          <w:rPr>
            <w:noProof/>
            <w:webHidden/>
          </w:rPr>
          <w:fldChar w:fldCharType="separate"/>
        </w:r>
        <w:r w:rsidR="00AB235A">
          <w:rPr>
            <w:noProof/>
            <w:webHidden/>
          </w:rPr>
          <w:t>4</w:t>
        </w:r>
        <w:r w:rsidR="004849B6">
          <w:rPr>
            <w:noProof/>
            <w:webHidden/>
          </w:rPr>
          <w:fldChar w:fldCharType="end"/>
        </w:r>
      </w:hyperlink>
    </w:p>
    <w:p w14:paraId="6053C3CE" w14:textId="6765FCCC" w:rsidR="004849B6" w:rsidRDefault="00A570C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221958" w:history="1">
        <w:r w:rsidR="004849B6" w:rsidRPr="001725DB">
          <w:rPr>
            <w:rStyle w:val="Hyperlink"/>
            <w:noProof/>
          </w:rPr>
          <w:t>2</w:t>
        </w:r>
        <w:r w:rsidR="004849B6">
          <w:rPr>
            <w:rFonts w:eastAsiaTheme="minorEastAsia" w:cstheme="minorBidi"/>
            <w:b w:val="0"/>
            <w:bCs w:val="0"/>
            <w:caps w:val="0"/>
            <w:noProof/>
            <w:sz w:val="22"/>
            <w:szCs w:val="22"/>
            <w:lang w:eastAsia="en-GB" w:bidi="ar-SA"/>
          </w:rPr>
          <w:tab/>
        </w:r>
        <w:r w:rsidR="004849B6" w:rsidRPr="001725DB">
          <w:rPr>
            <w:rStyle w:val="Hyperlink"/>
            <w:noProof/>
          </w:rPr>
          <w:t xml:space="preserve">Summary </w:t>
        </w:r>
        <w:r w:rsidR="004849B6" w:rsidRPr="001725DB">
          <w:rPr>
            <w:rStyle w:val="Hyperlink"/>
            <w:noProof/>
            <w:u w:color="FFFF00"/>
          </w:rPr>
          <w:t>of</w:t>
        </w:r>
        <w:r w:rsidR="004849B6" w:rsidRPr="001725DB">
          <w:rPr>
            <w:rStyle w:val="Hyperlink"/>
            <w:noProof/>
          </w:rPr>
          <w:t xml:space="preserve"> the findings</w:t>
        </w:r>
        <w:r w:rsidR="004849B6">
          <w:rPr>
            <w:noProof/>
            <w:webHidden/>
          </w:rPr>
          <w:tab/>
        </w:r>
        <w:r w:rsidR="004849B6">
          <w:rPr>
            <w:noProof/>
            <w:webHidden/>
          </w:rPr>
          <w:fldChar w:fldCharType="begin"/>
        </w:r>
        <w:r w:rsidR="004849B6">
          <w:rPr>
            <w:noProof/>
            <w:webHidden/>
          </w:rPr>
          <w:instrText xml:space="preserve"> PAGEREF _Toc109221958 \h </w:instrText>
        </w:r>
        <w:r w:rsidR="004849B6">
          <w:rPr>
            <w:noProof/>
            <w:webHidden/>
          </w:rPr>
          <w:fldChar w:fldCharType="separate"/>
        </w:r>
        <w:r w:rsidR="00AB235A">
          <w:rPr>
            <w:b w:val="0"/>
            <w:bCs w:val="0"/>
            <w:noProof/>
            <w:webHidden/>
            <w:lang w:val="en-US"/>
          </w:rPr>
          <w:t>Error! Bookmark not defined.</w:t>
        </w:r>
        <w:r w:rsidR="004849B6">
          <w:rPr>
            <w:noProof/>
            <w:webHidden/>
          </w:rPr>
          <w:fldChar w:fldCharType="end"/>
        </w:r>
      </w:hyperlink>
    </w:p>
    <w:p w14:paraId="088B9FB7" w14:textId="6C567BA9"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59" w:history="1">
        <w:r w:rsidR="004849B6" w:rsidRPr="001725DB">
          <w:rPr>
            <w:rStyle w:val="Hyperlink"/>
            <w:noProof/>
          </w:rPr>
          <w:t>2.1</w:t>
        </w:r>
        <w:r w:rsidR="004849B6">
          <w:rPr>
            <w:rFonts w:eastAsiaTheme="minorEastAsia" w:cstheme="minorBidi"/>
            <w:smallCaps w:val="0"/>
            <w:noProof/>
            <w:sz w:val="22"/>
            <w:szCs w:val="22"/>
            <w:lang w:eastAsia="en-GB" w:bidi="ar-SA"/>
          </w:rPr>
          <w:tab/>
        </w:r>
        <w:r w:rsidR="004849B6" w:rsidRPr="001725DB">
          <w:rPr>
            <w:rStyle w:val="Hyperlink"/>
            <w:noProof/>
          </w:rPr>
          <w:t>Summary of issues raised in submissions</w:t>
        </w:r>
        <w:r w:rsidR="004849B6">
          <w:rPr>
            <w:noProof/>
            <w:webHidden/>
          </w:rPr>
          <w:tab/>
        </w:r>
        <w:r w:rsidR="004849B6">
          <w:rPr>
            <w:noProof/>
            <w:webHidden/>
          </w:rPr>
          <w:fldChar w:fldCharType="begin"/>
        </w:r>
        <w:r w:rsidR="004849B6">
          <w:rPr>
            <w:noProof/>
            <w:webHidden/>
          </w:rPr>
          <w:instrText xml:space="preserve"> PAGEREF _Toc109221959 \h </w:instrText>
        </w:r>
        <w:r w:rsidR="004849B6">
          <w:rPr>
            <w:noProof/>
            <w:webHidden/>
          </w:rPr>
        </w:r>
        <w:r w:rsidR="004849B6">
          <w:rPr>
            <w:noProof/>
            <w:webHidden/>
          </w:rPr>
          <w:fldChar w:fldCharType="separate"/>
        </w:r>
        <w:r w:rsidR="00AB235A">
          <w:rPr>
            <w:noProof/>
            <w:webHidden/>
          </w:rPr>
          <w:t>5</w:t>
        </w:r>
        <w:r w:rsidR="004849B6">
          <w:rPr>
            <w:noProof/>
            <w:webHidden/>
          </w:rPr>
          <w:fldChar w:fldCharType="end"/>
        </w:r>
      </w:hyperlink>
    </w:p>
    <w:p w14:paraId="6F7AD5D7" w14:textId="52320621"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60" w:history="1">
        <w:r w:rsidR="004849B6" w:rsidRPr="001725DB">
          <w:rPr>
            <w:rStyle w:val="Hyperlink"/>
            <w:noProof/>
          </w:rPr>
          <w:t>2.2</w:t>
        </w:r>
        <w:r w:rsidR="004849B6">
          <w:rPr>
            <w:rFonts w:eastAsiaTheme="minorEastAsia" w:cstheme="minorBidi"/>
            <w:smallCaps w:val="0"/>
            <w:noProof/>
            <w:sz w:val="22"/>
            <w:szCs w:val="22"/>
            <w:lang w:eastAsia="en-GB" w:bidi="ar-SA"/>
          </w:rPr>
          <w:tab/>
        </w:r>
        <w:r w:rsidR="004849B6" w:rsidRPr="001725DB">
          <w:rPr>
            <w:rStyle w:val="Hyperlink"/>
            <w:noProof/>
          </w:rPr>
          <w:t>Safety assessment</w:t>
        </w:r>
        <w:r w:rsidR="004849B6">
          <w:rPr>
            <w:noProof/>
            <w:webHidden/>
          </w:rPr>
          <w:tab/>
        </w:r>
        <w:r w:rsidR="004849B6">
          <w:rPr>
            <w:noProof/>
            <w:webHidden/>
          </w:rPr>
          <w:fldChar w:fldCharType="begin"/>
        </w:r>
        <w:r w:rsidR="004849B6">
          <w:rPr>
            <w:noProof/>
            <w:webHidden/>
          </w:rPr>
          <w:instrText xml:space="preserve"> PAGEREF _Toc109221960 \h </w:instrText>
        </w:r>
        <w:r w:rsidR="004849B6">
          <w:rPr>
            <w:noProof/>
            <w:webHidden/>
          </w:rPr>
        </w:r>
        <w:r w:rsidR="004849B6">
          <w:rPr>
            <w:noProof/>
            <w:webHidden/>
          </w:rPr>
          <w:fldChar w:fldCharType="separate"/>
        </w:r>
        <w:r w:rsidR="00AB235A">
          <w:rPr>
            <w:noProof/>
            <w:webHidden/>
          </w:rPr>
          <w:t>7</w:t>
        </w:r>
        <w:r w:rsidR="004849B6">
          <w:rPr>
            <w:noProof/>
            <w:webHidden/>
          </w:rPr>
          <w:fldChar w:fldCharType="end"/>
        </w:r>
      </w:hyperlink>
    </w:p>
    <w:p w14:paraId="566A994F" w14:textId="07FE1A3B"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61" w:history="1">
        <w:r w:rsidR="004849B6" w:rsidRPr="001725DB">
          <w:rPr>
            <w:rStyle w:val="Hyperlink"/>
            <w:noProof/>
          </w:rPr>
          <w:t>2.3</w:t>
        </w:r>
        <w:r w:rsidR="004849B6">
          <w:rPr>
            <w:rFonts w:eastAsiaTheme="minorEastAsia" w:cstheme="minorBidi"/>
            <w:smallCaps w:val="0"/>
            <w:noProof/>
            <w:sz w:val="22"/>
            <w:szCs w:val="22"/>
            <w:lang w:eastAsia="en-GB" w:bidi="ar-SA"/>
          </w:rPr>
          <w:tab/>
        </w:r>
        <w:r w:rsidR="004849B6" w:rsidRPr="001725DB">
          <w:rPr>
            <w:rStyle w:val="Hyperlink"/>
            <w:noProof/>
          </w:rPr>
          <w:t>Risk management</w:t>
        </w:r>
        <w:r w:rsidR="004849B6">
          <w:rPr>
            <w:noProof/>
            <w:webHidden/>
          </w:rPr>
          <w:tab/>
        </w:r>
        <w:r w:rsidR="004849B6">
          <w:rPr>
            <w:noProof/>
            <w:webHidden/>
          </w:rPr>
          <w:fldChar w:fldCharType="begin"/>
        </w:r>
        <w:r w:rsidR="004849B6">
          <w:rPr>
            <w:noProof/>
            <w:webHidden/>
          </w:rPr>
          <w:instrText xml:space="preserve"> PAGEREF _Toc109221961 \h </w:instrText>
        </w:r>
        <w:r w:rsidR="004849B6">
          <w:rPr>
            <w:noProof/>
            <w:webHidden/>
          </w:rPr>
        </w:r>
        <w:r w:rsidR="004849B6">
          <w:rPr>
            <w:noProof/>
            <w:webHidden/>
          </w:rPr>
          <w:fldChar w:fldCharType="separate"/>
        </w:r>
        <w:r w:rsidR="00AB235A">
          <w:rPr>
            <w:noProof/>
            <w:webHidden/>
          </w:rPr>
          <w:t>8</w:t>
        </w:r>
        <w:r w:rsidR="004849B6">
          <w:rPr>
            <w:noProof/>
            <w:webHidden/>
          </w:rPr>
          <w:fldChar w:fldCharType="end"/>
        </w:r>
      </w:hyperlink>
    </w:p>
    <w:p w14:paraId="52883D72" w14:textId="6CFF081D" w:rsidR="004849B6" w:rsidRDefault="00A570C1">
      <w:pPr>
        <w:pStyle w:val="TOC3"/>
        <w:tabs>
          <w:tab w:val="left" w:pos="1100"/>
          <w:tab w:val="right" w:leader="dot" w:pos="9060"/>
        </w:tabs>
        <w:rPr>
          <w:rFonts w:eastAsiaTheme="minorEastAsia" w:cstheme="minorBidi"/>
          <w:i w:val="0"/>
          <w:iCs w:val="0"/>
          <w:noProof/>
          <w:sz w:val="22"/>
          <w:szCs w:val="22"/>
          <w:lang w:eastAsia="en-GB" w:bidi="ar-SA"/>
        </w:rPr>
      </w:pPr>
      <w:hyperlink w:anchor="_Toc109221962" w:history="1">
        <w:r w:rsidR="004849B6" w:rsidRPr="001725DB">
          <w:rPr>
            <w:rStyle w:val="Hyperlink"/>
            <w:noProof/>
          </w:rPr>
          <w:t>2.3.1</w:t>
        </w:r>
        <w:r w:rsidR="004849B6">
          <w:rPr>
            <w:rFonts w:eastAsiaTheme="minorEastAsia" w:cstheme="minorBidi"/>
            <w:i w:val="0"/>
            <w:iCs w:val="0"/>
            <w:noProof/>
            <w:sz w:val="22"/>
            <w:szCs w:val="22"/>
            <w:lang w:eastAsia="en-GB" w:bidi="ar-SA"/>
          </w:rPr>
          <w:tab/>
        </w:r>
        <w:r w:rsidR="004849B6" w:rsidRPr="001725DB">
          <w:rPr>
            <w:rStyle w:val="Hyperlink"/>
            <w:noProof/>
          </w:rPr>
          <w:t>Regulatory approval</w:t>
        </w:r>
        <w:r w:rsidR="004849B6">
          <w:rPr>
            <w:noProof/>
            <w:webHidden/>
          </w:rPr>
          <w:tab/>
        </w:r>
        <w:r w:rsidR="004849B6">
          <w:rPr>
            <w:noProof/>
            <w:webHidden/>
          </w:rPr>
          <w:fldChar w:fldCharType="begin"/>
        </w:r>
        <w:r w:rsidR="004849B6">
          <w:rPr>
            <w:noProof/>
            <w:webHidden/>
          </w:rPr>
          <w:instrText xml:space="preserve"> PAGEREF _Toc109221962 \h </w:instrText>
        </w:r>
        <w:r w:rsidR="004849B6">
          <w:rPr>
            <w:noProof/>
            <w:webHidden/>
          </w:rPr>
        </w:r>
        <w:r w:rsidR="004849B6">
          <w:rPr>
            <w:noProof/>
            <w:webHidden/>
          </w:rPr>
          <w:fldChar w:fldCharType="separate"/>
        </w:r>
        <w:r w:rsidR="00AB235A">
          <w:rPr>
            <w:noProof/>
            <w:webHidden/>
          </w:rPr>
          <w:t>8</w:t>
        </w:r>
        <w:r w:rsidR="004849B6">
          <w:rPr>
            <w:noProof/>
            <w:webHidden/>
          </w:rPr>
          <w:fldChar w:fldCharType="end"/>
        </w:r>
      </w:hyperlink>
    </w:p>
    <w:p w14:paraId="4FAA1EC5" w14:textId="544D36CA" w:rsidR="004849B6" w:rsidRDefault="00A570C1">
      <w:pPr>
        <w:pStyle w:val="TOC3"/>
        <w:tabs>
          <w:tab w:val="left" w:pos="1320"/>
          <w:tab w:val="right" w:leader="dot" w:pos="9060"/>
        </w:tabs>
        <w:rPr>
          <w:rFonts w:eastAsiaTheme="minorEastAsia" w:cstheme="minorBidi"/>
          <w:i w:val="0"/>
          <w:iCs w:val="0"/>
          <w:noProof/>
          <w:sz w:val="22"/>
          <w:szCs w:val="22"/>
          <w:lang w:eastAsia="en-GB" w:bidi="ar-SA"/>
        </w:rPr>
      </w:pPr>
      <w:hyperlink w:anchor="_Toc109221963" w:history="1">
        <w:r w:rsidR="004849B6" w:rsidRPr="001725DB">
          <w:rPr>
            <w:rStyle w:val="Hyperlink"/>
            <w:noProof/>
          </w:rPr>
          <w:t xml:space="preserve">2.3.2 </w:t>
        </w:r>
        <w:r w:rsidR="004849B6">
          <w:rPr>
            <w:rFonts w:eastAsiaTheme="minorEastAsia" w:cstheme="minorBidi"/>
            <w:i w:val="0"/>
            <w:iCs w:val="0"/>
            <w:noProof/>
            <w:sz w:val="22"/>
            <w:szCs w:val="22"/>
            <w:lang w:eastAsia="en-GB" w:bidi="ar-SA"/>
          </w:rPr>
          <w:tab/>
        </w:r>
        <w:r w:rsidR="004849B6" w:rsidRPr="001725DB">
          <w:rPr>
            <w:rStyle w:val="Hyperlink"/>
            <w:noProof/>
          </w:rPr>
          <w:t>Labelling</w:t>
        </w:r>
        <w:r w:rsidR="004849B6">
          <w:rPr>
            <w:noProof/>
            <w:webHidden/>
          </w:rPr>
          <w:tab/>
        </w:r>
        <w:r w:rsidR="004849B6">
          <w:rPr>
            <w:noProof/>
            <w:webHidden/>
          </w:rPr>
          <w:fldChar w:fldCharType="begin"/>
        </w:r>
        <w:r w:rsidR="004849B6">
          <w:rPr>
            <w:noProof/>
            <w:webHidden/>
          </w:rPr>
          <w:instrText xml:space="preserve"> PAGEREF _Toc109221963 \h </w:instrText>
        </w:r>
        <w:r w:rsidR="004849B6">
          <w:rPr>
            <w:noProof/>
            <w:webHidden/>
          </w:rPr>
        </w:r>
        <w:r w:rsidR="004849B6">
          <w:rPr>
            <w:noProof/>
            <w:webHidden/>
          </w:rPr>
          <w:fldChar w:fldCharType="separate"/>
        </w:r>
        <w:r w:rsidR="00AB235A">
          <w:rPr>
            <w:noProof/>
            <w:webHidden/>
          </w:rPr>
          <w:t>9</w:t>
        </w:r>
        <w:r w:rsidR="004849B6">
          <w:rPr>
            <w:noProof/>
            <w:webHidden/>
          </w:rPr>
          <w:fldChar w:fldCharType="end"/>
        </w:r>
      </w:hyperlink>
    </w:p>
    <w:p w14:paraId="4C6B5C09" w14:textId="5CA31C32" w:rsidR="004849B6" w:rsidRDefault="00A570C1">
      <w:pPr>
        <w:pStyle w:val="TOC3"/>
        <w:tabs>
          <w:tab w:val="left" w:pos="1320"/>
          <w:tab w:val="right" w:leader="dot" w:pos="9060"/>
        </w:tabs>
        <w:rPr>
          <w:rFonts w:eastAsiaTheme="minorEastAsia" w:cstheme="minorBidi"/>
          <w:i w:val="0"/>
          <w:iCs w:val="0"/>
          <w:noProof/>
          <w:sz w:val="22"/>
          <w:szCs w:val="22"/>
          <w:lang w:eastAsia="en-GB" w:bidi="ar-SA"/>
        </w:rPr>
      </w:pPr>
      <w:hyperlink w:anchor="_Toc109221964" w:history="1">
        <w:r w:rsidR="004849B6" w:rsidRPr="001725DB">
          <w:rPr>
            <w:rStyle w:val="Hyperlink"/>
            <w:noProof/>
          </w:rPr>
          <w:t xml:space="preserve">2.3.3 </w:t>
        </w:r>
        <w:r w:rsidR="004849B6">
          <w:rPr>
            <w:rFonts w:eastAsiaTheme="minorEastAsia" w:cstheme="minorBidi"/>
            <w:i w:val="0"/>
            <w:iCs w:val="0"/>
            <w:noProof/>
            <w:sz w:val="22"/>
            <w:szCs w:val="22"/>
            <w:lang w:eastAsia="en-GB" w:bidi="ar-SA"/>
          </w:rPr>
          <w:tab/>
        </w:r>
        <w:r w:rsidR="004849B6" w:rsidRPr="001725DB">
          <w:rPr>
            <w:rStyle w:val="Hyperlink"/>
            <w:noProof/>
          </w:rPr>
          <w:t>Detection methodology</w:t>
        </w:r>
        <w:r w:rsidR="004849B6">
          <w:rPr>
            <w:noProof/>
            <w:webHidden/>
          </w:rPr>
          <w:tab/>
        </w:r>
        <w:r w:rsidR="004849B6">
          <w:rPr>
            <w:noProof/>
            <w:webHidden/>
          </w:rPr>
          <w:fldChar w:fldCharType="begin"/>
        </w:r>
        <w:r w:rsidR="004849B6">
          <w:rPr>
            <w:noProof/>
            <w:webHidden/>
          </w:rPr>
          <w:instrText xml:space="preserve"> PAGEREF _Toc109221964 \h </w:instrText>
        </w:r>
        <w:r w:rsidR="004849B6">
          <w:rPr>
            <w:noProof/>
            <w:webHidden/>
          </w:rPr>
        </w:r>
        <w:r w:rsidR="004849B6">
          <w:rPr>
            <w:noProof/>
            <w:webHidden/>
          </w:rPr>
          <w:fldChar w:fldCharType="separate"/>
        </w:r>
        <w:r w:rsidR="00AB235A">
          <w:rPr>
            <w:noProof/>
            <w:webHidden/>
          </w:rPr>
          <w:t>11</w:t>
        </w:r>
        <w:r w:rsidR="004849B6">
          <w:rPr>
            <w:noProof/>
            <w:webHidden/>
          </w:rPr>
          <w:fldChar w:fldCharType="end"/>
        </w:r>
      </w:hyperlink>
    </w:p>
    <w:p w14:paraId="4DB69165" w14:textId="0451B41D"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65" w:history="1">
        <w:r w:rsidR="004849B6" w:rsidRPr="001725DB">
          <w:rPr>
            <w:rStyle w:val="Hyperlink"/>
            <w:noProof/>
          </w:rPr>
          <w:t>2.4</w:t>
        </w:r>
        <w:r w:rsidR="004849B6">
          <w:rPr>
            <w:rFonts w:eastAsiaTheme="minorEastAsia" w:cstheme="minorBidi"/>
            <w:smallCaps w:val="0"/>
            <w:noProof/>
            <w:sz w:val="22"/>
            <w:szCs w:val="22"/>
            <w:lang w:eastAsia="en-GB" w:bidi="ar-SA"/>
          </w:rPr>
          <w:tab/>
        </w:r>
        <w:r w:rsidR="004849B6" w:rsidRPr="001725DB">
          <w:rPr>
            <w:rStyle w:val="Hyperlink"/>
            <w:noProof/>
          </w:rPr>
          <w:t>Risk communication</w:t>
        </w:r>
        <w:r w:rsidR="004849B6">
          <w:rPr>
            <w:noProof/>
            <w:webHidden/>
          </w:rPr>
          <w:tab/>
        </w:r>
        <w:r w:rsidR="004849B6">
          <w:rPr>
            <w:noProof/>
            <w:webHidden/>
          </w:rPr>
          <w:fldChar w:fldCharType="begin"/>
        </w:r>
        <w:r w:rsidR="004849B6">
          <w:rPr>
            <w:noProof/>
            <w:webHidden/>
          </w:rPr>
          <w:instrText xml:space="preserve"> PAGEREF _Toc109221965 \h </w:instrText>
        </w:r>
        <w:r w:rsidR="004849B6">
          <w:rPr>
            <w:noProof/>
            <w:webHidden/>
          </w:rPr>
        </w:r>
        <w:r w:rsidR="004849B6">
          <w:rPr>
            <w:noProof/>
            <w:webHidden/>
          </w:rPr>
          <w:fldChar w:fldCharType="separate"/>
        </w:r>
        <w:r w:rsidR="00AB235A">
          <w:rPr>
            <w:noProof/>
            <w:webHidden/>
          </w:rPr>
          <w:t>11</w:t>
        </w:r>
        <w:r w:rsidR="004849B6">
          <w:rPr>
            <w:noProof/>
            <w:webHidden/>
          </w:rPr>
          <w:fldChar w:fldCharType="end"/>
        </w:r>
      </w:hyperlink>
    </w:p>
    <w:p w14:paraId="6FF4BE82" w14:textId="7ABD6D00" w:rsidR="004849B6" w:rsidRDefault="00A570C1">
      <w:pPr>
        <w:pStyle w:val="TOC3"/>
        <w:tabs>
          <w:tab w:val="left" w:pos="1100"/>
          <w:tab w:val="right" w:leader="dot" w:pos="9060"/>
        </w:tabs>
        <w:rPr>
          <w:rFonts w:eastAsiaTheme="minorEastAsia" w:cstheme="minorBidi"/>
          <w:i w:val="0"/>
          <w:iCs w:val="0"/>
          <w:noProof/>
          <w:sz w:val="22"/>
          <w:szCs w:val="22"/>
          <w:lang w:eastAsia="en-GB" w:bidi="ar-SA"/>
        </w:rPr>
      </w:pPr>
      <w:hyperlink w:anchor="_Toc109221966" w:history="1">
        <w:r w:rsidR="004849B6" w:rsidRPr="001725DB">
          <w:rPr>
            <w:rStyle w:val="Hyperlink"/>
            <w:noProof/>
          </w:rPr>
          <w:t>2.4.1</w:t>
        </w:r>
        <w:r w:rsidR="004849B6">
          <w:rPr>
            <w:rFonts w:eastAsiaTheme="minorEastAsia" w:cstheme="minorBidi"/>
            <w:i w:val="0"/>
            <w:iCs w:val="0"/>
            <w:noProof/>
            <w:sz w:val="22"/>
            <w:szCs w:val="22"/>
            <w:lang w:eastAsia="en-GB" w:bidi="ar-SA"/>
          </w:rPr>
          <w:tab/>
        </w:r>
        <w:r w:rsidR="004849B6" w:rsidRPr="001725DB">
          <w:rPr>
            <w:rStyle w:val="Hyperlink"/>
            <w:noProof/>
          </w:rPr>
          <w:t>Consultation</w:t>
        </w:r>
        <w:r w:rsidR="004849B6">
          <w:rPr>
            <w:noProof/>
            <w:webHidden/>
          </w:rPr>
          <w:tab/>
        </w:r>
        <w:r w:rsidR="004849B6">
          <w:rPr>
            <w:noProof/>
            <w:webHidden/>
          </w:rPr>
          <w:fldChar w:fldCharType="begin"/>
        </w:r>
        <w:r w:rsidR="004849B6">
          <w:rPr>
            <w:noProof/>
            <w:webHidden/>
          </w:rPr>
          <w:instrText xml:space="preserve"> PAGEREF _Toc109221966 \h </w:instrText>
        </w:r>
        <w:r w:rsidR="004849B6">
          <w:rPr>
            <w:noProof/>
            <w:webHidden/>
          </w:rPr>
        </w:r>
        <w:r w:rsidR="004849B6">
          <w:rPr>
            <w:noProof/>
            <w:webHidden/>
          </w:rPr>
          <w:fldChar w:fldCharType="separate"/>
        </w:r>
        <w:r w:rsidR="00AB235A">
          <w:rPr>
            <w:noProof/>
            <w:webHidden/>
          </w:rPr>
          <w:t>11</w:t>
        </w:r>
        <w:r w:rsidR="004849B6">
          <w:rPr>
            <w:noProof/>
            <w:webHidden/>
          </w:rPr>
          <w:fldChar w:fldCharType="end"/>
        </w:r>
      </w:hyperlink>
    </w:p>
    <w:p w14:paraId="1B3D73DF" w14:textId="447D5028" w:rsidR="004849B6" w:rsidRDefault="00A570C1">
      <w:pPr>
        <w:pStyle w:val="TOC3"/>
        <w:tabs>
          <w:tab w:val="left" w:pos="1100"/>
          <w:tab w:val="right" w:leader="dot" w:pos="9060"/>
        </w:tabs>
        <w:rPr>
          <w:rFonts w:eastAsiaTheme="minorEastAsia" w:cstheme="minorBidi"/>
          <w:i w:val="0"/>
          <w:iCs w:val="0"/>
          <w:noProof/>
          <w:sz w:val="22"/>
          <w:szCs w:val="22"/>
          <w:lang w:eastAsia="en-GB" w:bidi="ar-SA"/>
        </w:rPr>
      </w:pPr>
      <w:hyperlink w:anchor="_Toc109221967" w:history="1">
        <w:r w:rsidR="004849B6" w:rsidRPr="001725DB">
          <w:rPr>
            <w:rStyle w:val="Hyperlink"/>
            <w:noProof/>
          </w:rPr>
          <w:t>2.4.2</w:t>
        </w:r>
        <w:r w:rsidR="004849B6">
          <w:rPr>
            <w:rFonts w:eastAsiaTheme="minorEastAsia" w:cstheme="minorBidi"/>
            <w:i w:val="0"/>
            <w:iCs w:val="0"/>
            <w:noProof/>
            <w:sz w:val="22"/>
            <w:szCs w:val="22"/>
            <w:lang w:eastAsia="en-GB" w:bidi="ar-SA"/>
          </w:rPr>
          <w:tab/>
        </w:r>
        <w:r w:rsidR="004849B6" w:rsidRPr="001725DB">
          <w:rPr>
            <w:rStyle w:val="Hyperlink"/>
            <w:noProof/>
          </w:rPr>
          <w:t>World Trade Organization</w:t>
        </w:r>
        <w:r w:rsidR="004849B6">
          <w:rPr>
            <w:noProof/>
            <w:webHidden/>
          </w:rPr>
          <w:tab/>
        </w:r>
        <w:r w:rsidR="004849B6">
          <w:rPr>
            <w:noProof/>
            <w:webHidden/>
          </w:rPr>
          <w:fldChar w:fldCharType="begin"/>
        </w:r>
        <w:r w:rsidR="004849B6">
          <w:rPr>
            <w:noProof/>
            <w:webHidden/>
          </w:rPr>
          <w:instrText xml:space="preserve"> PAGEREF _Toc109221967 \h </w:instrText>
        </w:r>
        <w:r w:rsidR="004849B6">
          <w:rPr>
            <w:noProof/>
            <w:webHidden/>
          </w:rPr>
          <w:fldChar w:fldCharType="separate"/>
        </w:r>
        <w:r w:rsidR="00AB235A">
          <w:rPr>
            <w:b/>
            <w:bCs/>
            <w:noProof/>
            <w:webHidden/>
            <w:lang w:val="en-US"/>
          </w:rPr>
          <w:t>Error! Bookmark not defined.</w:t>
        </w:r>
        <w:r w:rsidR="004849B6">
          <w:rPr>
            <w:noProof/>
            <w:webHidden/>
          </w:rPr>
          <w:fldChar w:fldCharType="end"/>
        </w:r>
      </w:hyperlink>
    </w:p>
    <w:p w14:paraId="1F92E231" w14:textId="3937C202" w:rsidR="004849B6" w:rsidRDefault="00A570C1">
      <w:pPr>
        <w:pStyle w:val="TOC2"/>
        <w:tabs>
          <w:tab w:val="left" w:pos="880"/>
          <w:tab w:val="right" w:leader="dot" w:pos="9060"/>
        </w:tabs>
        <w:rPr>
          <w:rFonts w:eastAsiaTheme="minorEastAsia" w:cstheme="minorBidi"/>
          <w:smallCaps w:val="0"/>
          <w:noProof/>
          <w:sz w:val="22"/>
          <w:szCs w:val="22"/>
          <w:lang w:eastAsia="en-GB" w:bidi="ar-SA"/>
        </w:rPr>
      </w:pPr>
      <w:hyperlink w:anchor="_Toc109221968" w:history="1">
        <w:r w:rsidR="004849B6" w:rsidRPr="001725DB">
          <w:rPr>
            <w:rStyle w:val="Hyperlink"/>
            <w:noProof/>
          </w:rPr>
          <w:t>2.5</w:t>
        </w:r>
        <w:r w:rsidR="004849B6">
          <w:rPr>
            <w:rFonts w:eastAsiaTheme="minorEastAsia" w:cstheme="minorBidi"/>
            <w:smallCaps w:val="0"/>
            <w:noProof/>
            <w:sz w:val="22"/>
            <w:szCs w:val="22"/>
            <w:lang w:eastAsia="en-GB" w:bidi="ar-SA"/>
          </w:rPr>
          <w:tab/>
        </w:r>
        <w:r w:rsidR="004849B6" w:rsidRPr="001725DB">
          <w:rPr>
            <w:rStyle w:val="Hyperlink"/>
            <w:noProof/>
          </w:rPr>
          <w:t>FSANZ Act assessment requirements</w:t>
        </w:r>
        <w:r w:rsidR="004849B6">
          <w:rPr>
            <w:noProof/>
            <w:webHidden/>
          </w:rPr>
          <w:tab/>
        </w:r>
        <w:r w:rsidR="004849B6">
          <w:rPr>
            <w:noProof/>
            <w:webHidden/>
          </w:rPr>
          <w:fldChar w:fldCharType="begin"/>
        </w:r>
        <w:r w:rsidR="004849B6">
          <w:rPr>
            <w:noProof/>
            <w:webHidden/>
          </w:rPr>
          <w:instrText xml:space="preserve"> PAGEREF _Toc109221968 \h </w:instrText>
        </w:r>
        <w:r w:rsidR="004849B6">
          <w:rPr>
            <w:noProof/>
            <w:webHidden/>
          </w:rPr>
        </w:r>
        <w:r w:rsidR="004849B6">
          <w:rPr>
            <w:noProof/>
            <w:webHidden/>
          </w:rPr>
          <w:fldChar w:fldCharType="separate"/>
        </w:r>
        <w:r w:rsidR="00AB235A">
          <w:rPr>
            <w:noProof/>
            <w:webHidden/>
          </w:rPr>
          <w:t>11</w:t>
        </w:r>
        <w:r w:rsidR="004849B6">
          <w:rPr>
            <w:noProof/>
            <w:webHidden/>
          </w:rPr>
          <w:fldChar w:fldCharType="end"/>
        </w:r>
      </w:hyperlink>
    </w:p>
    <w:p w14:paraId="60FC43C5" w14:textId="38E1DD17" w:rsidR="004849B6" w:rsidRDefault="00A570C1">
      <w:pPr>
        <w:pStyle w:val="TOC3"/>
        <w:tabs>
          <w:tab w:val="left" w:pos="1100"/>
          <w:tab w:val="right" w:leader="dot" w:pos="9060"/>
        </w:tabs>
        <w:rPr>
          <w:rFonts w:eastAsiaTheme="minorEastAsia" w:cstheme="minorBidi"/>
          <w:i w:val="0"/>
          <w:iCs w:val="0"/>
          <w:noProof/>
          <w:sz w:val="22"/>
          <w:szCs w:val="22"/>
          <w:lang w:eastAsia="en-GB" w:bidi="ar-SA"/>
        </w:rPr>
      </w:pPr>
      <w:hyperlink w:anchor="_Toc109221969" w:history="1">
        <w:r w:rsidR="004849B6" w:rsidRPr="001725DB">
          <w:rPr>
            <w:rStyle w:val="Hyperlink"/>
            <w:noProof/>
          </w:rPr>
          <w:t>2.5.1</w:t>
        </w:r>
        <w:r w:rsidR="004849B6">
          <w:rPr>
            <w:rFonts w:eastAsiaTheme="minorEastAsia" w:cstheme="minorBidi"/>
            <w:i w:val="0"/>
            <w:iCs w:val="0"/>
            <w:noProof/>
            <w:sz w:val="22"/>
            <w:szCs w:val="22"/>
            <w:lang w:eastAsia="en-GB" w:bidi="ar-SA"/>
          </w:rPr>
          <w:tab/>
        </w:r>
        <w:r w:rsidR="004849B6" w:rsidRPr="001725DB">
          <w:rPr>
            <w:rStyle w:val="Hyperlink"/>
            <w:noProof/>
          </w:rPr>
          <w:t>Section 29</w:t>
        </w:r>
        <w:r w:rsidR="004849B6">
          <w:rPr>
            <w:noProof/>
            <w:webHidden/>
          </w:rPr>
          <w:tab/>
        </w:r>
        <w:r w:rsidR="004849B6">
          <w:rPr>
            <w:noProof/>
            <w:webHidden/>
          </w:rPr>
          <w:fldChar w:fldCharType="begin"/>
        </w:r>
        <w:r w:rsidR="004849B6">
          <w:rPr>
            <w:noProof/>
            <w:webHidden/>
          </w:rPr>
          <w:instrText xml:space="preserve"> PAGEREF _Toc109221969 \h </w:instrText>
        </w:r>
        <w:r w:rsidR="004849B6">
          <w:rPr>
            <w:noProof/>
            <w:webHidden/>
          </w:rPr>
        </w:r>
        <w:r w:rsidR="004849B6">
          <w:rPr>
            <w:noProof/>
            <w:webHidden/>
          </w:rPr>
          <w:fldChar w:fldCharType="separate"/>
        </w:r>
        <w:r w:rsidR="00AB235A">
          <w:rPr>
            <w:noProof/>
            <w:webHidden/>
          </w:rPr>
          <w:t>11</w:t>
        </w:r>
        <w:r w:rsidR="004849B6">
          <w:rPr>
            <w:noProof/>
            <w:webHidden/>
          </w:rPr>
          <w:fldChar w:fldCharType="end"/>
        </w:r>
      </w:hyperlink>
    </w:p>
    <w:p w14:paraId="48C0D1D4" w14:textId="23D39E5C" w:rsidR="004849B6" w:rsidRDefault="00A570C1">
      <w:pPr>
        <w:pStyle w:val="TOC3"/>
        <w:tabs>
          <w:tab w:val="left" w:pos="1320"/>
          <w:tab w:val="right" w:leader="dot" w:pos="9060"/>
        </w:tabs>
        <w:rPr>
          <w:rFonts w:eastAsiaTheme="minorEastAsia" w:cstheme="minorBidi"/>
          <w:i w:val="0"/>
          <w:iCs w:val="0"/>
          <w:noProof/>
          <w:sz w:val="22"/>
          <w:szCs w:val="22"/>
          <w:lang w:eastAsia="en-GB" w:bidi="ar-SA"/>
        </w:rPr>
      </w:pPr>
      <w:hyperlink w:anchor="_Toc109221970" w:history="1">
        <w:r w:rsidR="004849B6" w:rsidRPr="001725DB">
          <w:rPr>
            <w:rStyle w:val="Hyperlink"/>
            <w:noProof/>
          </w:rPr>
          <w:t>2.5.2.</w:t>
        </w:r>
        <w:r w:rsidR="004849B6">
          <w:rPr>
            <w:rFonts w:eastAsiaTheme="minorEastAsia" w:cstheme="minorBidi"/>
            <w:i w:val="0"/>
            <w:iCs w:val="0"/>
            <w:noProof/>
            <w:sz w:val="22"/>
            <w:szCs w:val="22"/>
            <w:lang w:eastAsia="en-GB" w:bidi="ar-SA"/>
          </w:rPr>
          <w:tab/>
        </w:r>
        <w:r w:rsidR="004849B6" w:rsidRPr="001725DB">
          <w:rPr>
            <w:rStyle w:val="Hyperlink"/>
            <w:noProof/>
          </w:rPr>
          <w:t>Subsection 18(1)</w:t>
        </w:r>
        <w:r w:rsidR="004849B6">
          <w:rPr>
            <w:noProof/>
            <w:webHidden/>
          </w:rPr>
          <w:tab/>
        </w:r>
        <w:r w:rsidR="004849B6">
          <w:rPr>
            <w:noProof/>
            <w:webHidden/>
          </w:rPr>
          <w:fldChar w:fldCharType="begin"/>
        </w:r>
        <w:r w:rsidR="004849B6">
          <w:rPr>
            <w:noProof/>
            <w:webHidden/>
          </w:rPr>
          <w:instrText xml:space="preserve"> PAGEREF _Toc109221970 \h </w:instrText>
        </w:r>
        <w:r w:rsidR="004849B6">
          <w:rPr>
            <w:noProof/>
            <w:webHidden/>
          </w:rPr>
        </w:r>
        <w:r w:rsidR="004849B6">
          <w:rPr>
            <w:noProof/>
            <w:webHidden/>
          </w:rPr>
          <w:fldChar w:fldCharType="separate"/>
        </w:r>
        <w:r w:rsidR="00AB235A">
          <w:rPr>
            <w:noProof/>
            <w:webHidden/>
          </w:rPr>
          <w:t>13</w:t>
        </w:r>
        <w:r w:rsidR="004849B6">
          <w:rPr>
            <w:noProof/>
            <w:webHidden/>
          </w:rPr>
          <w:fldChar w:fldCharType="end"/>
        </w:r>
      </w:hyperlink>
    </w:p>
    <w:p w14:paraId="283E961F" w14:textId="259DEE34" w:rsidR="004849B6" w:rsidRDefault="00A570C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221971" w:history="1">
        <w:r w:rsidR="004849B6" w:rsidRPr="001725DB">
          <w:rPr>
            <w:rStyle w:val="Hyperlink"/>
            <w:noProof/>
          </w:rPr>
          <w:t>3</w:t>
        </w:r>
        <w:r w:rsidR="004849B6">
          <w:rPr>
            <w:rFonts w:eastAsiaTheme="minorEastAsia" w:cstheme="minorBidi"/>
            <w:b w:val="0"/>
            <w:bCs w:val="0"/>
            <w:caps w:val="0"/>
            <w:noProof/>
            <w:sz w:val="22"/>
            <w:szCs w:val="22"/>
            <w:lang w:eastAsia="en-GB" w:bidi="ar-SA"/>
          </w:rPr>
          <w:tab/>
        </w:r>
        <w:r w:rsidR="004849B6" w:rsidRPr="001725DB">
          <w:rPr>
            <w:rStyle w:val="Hyperlink"/>
            <w:noProof/>
          </w:rPr>
          <w:t>Draft variation</w:t>
        </w:r>
        <w:r w:rsidR="004849B6">
          <w:rPr>
            <w:noProof/>
            <w:webHidden/>
          </w:rPr>
          <w:tab/>
        </w:r>
        <w:r w:rsidR="004849B6">
          <w:rPr>
            <w:noProof/>
            <w:webHidden/>
          </w:rPr>
          <w:fldChar w:fldCharType="begin"/>
        </w:r>
        <w:r w:rsidR="004849B6">
          <w:rPr>
            <w:noProof/>
            <w:webHidden/>
          </w:rPr>
          <w:instrText xml:space="preserve"> PAGEREF _Toc109221971 \h </w:instrText>
        </w:r>
        <w:r w:rsidR="004849B6">
          <w:rPr>
            <w:noProof/>
            <w:webHidden/>
          </w:rPr>
        </w:r>
        <w:r w:rsidR="004849B6">
          <w:rPr>
            <w:noProof/>
            <w:webHidden/>
          </w:rPr>
          <w:fldChar w:fldCharType="separate"/>
        </w:r>
        <w:r w:rsidR="00AB235A">
          <w:rPr>
            <w:noProof/>
            <w:webHidden/>
          </w:rPr>
          <w:t>15</w:t>
        </w:r>
        <w:r w:rsidR="004849B6">
          <w:rPr>
            <w:noProof/>
            <w:webHidden/>
          </w:rPr>
          <w:fldChar w:fldCharType="end"/>
        </w:r>
      </w:hyperlink>
    </w:p>
    <w:p w14:paraId="0411F084" w14:textId="3565CD3A" w:rsidR="004849B6" w:rsidRDefault="00A570C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221972" w:history="1">
        <w:r w:rsidR="004849B6" w:rsidRPr="001725DB">
          <w:rPr>
            <w:rStyle w:val="Hyperlink"/>
            <w:noProof/>
          </w:rPr>
          <w:t>4</w:t>
        </w:r>
        <w:r w:rsidR="004849B6">
          <w:rPr>
            <w:rFonts w:eastAsiaTheme="minorEastAsia" w:cstheme="minorBidi"/>
            <w:b w:val="0"/>
            <w:bCs w:val="0"/>
            <w:caps w:val="0"/>
            <w:noProof/>
            <w:sz w:val="22"/>
            <w:szCs w:val="22"/>
            <w:lang w:eastAsia="en-GB" w:bidi="ar-SA"/>
          </w:rPr>
          <w:tab/>
        </w:r>
        <w:r w:rsidR="004849B6" w:rsidRPr="001725DB">
          <w:rPr>
            <w:rStyle w:val="Hyperlink"/>
            <w:noProof/>
          </w:rPr>
          <w:t>References</w:t>
        </w:r>
        <w:r w:rsidR="004849B6">
          <w:rPr>
            <w:noProof/>
            <w:webHidden/>
          </w:rPr>
          <w:tab/>
        </w:r>
        <w:r w:rsidR="004849B6">
          <w:rPr>
            <w:noProof/>
            <w:webHidden/>
          </w:rPr>
          <w:fldChar w:fldCharType="begin"/>
        </w:r>
        <w:r w:rsidR="004849B6">
          <w:rPr>
            <w:noProof/>
            <w:webHidden/>
          </w:rPr>
          <w:instrText xml:space="preserve"> PAGEREF _Toc109221972 \h </w:instrText>
        </w:r>
        <w:r w:rsidR="004849B6">
          <w:rPr>
            <w:noProof/>
            <w:webHidden/>
          </w:rPr>
        </w:r>
        <w:r w:rsidR="004849B6">
          <w:rPr>
            <w:noProof/>
            <w:webHidden/>
          </w:rPr>
          <w:fldChar w:fldCharType="separate"/>
        </w:r>
        <w:r w:rsidR="00AB235A">
          <w:rPr>
            <w:noProof/>
            <w:webHidden/>
          </w:rPr>
          <w:t>15</w:t>
        </w:r>
        <w:r w:rsidR="004849B6">
          <w:rPr>
            <w:noProof/>
            <w:webHidden/>
          </w:rPr>
          <w:fldChar w:fldCharType="end"/>
        </w:r>
      </w:hyperlink>
    </w:p>
    <w:p w14:paraId="2ACF885D" w14:textId="6C5E6366" w:rsidR="00A671E6" w:rsidRPr="0040270B" w:rsidRDefault="00B55714" w:rsidP="0040270B">
      <w:pPr>
        <w:spacing w:before="240"/>
      </w:pPr>
      <w:r w:rsidRPr="00346622">
        <w:rPr>
          <w:rFonts w:cs="Arial"/>
          <w:sz w:val="20"/>
          <w:szCs w:val="20"/>
        </w:rPr>
        <w:fldChar w:fldCharType="end"/>
      </w:r>
      <w:r w:rsidR="00A671E6" w:rsidRPr="000B427A">
        <w:rPr>
          <w:b/>
          <w:bCs/>
        </w:rPr>
        <w:t>S</w:t>
      </w:r>
      <w:r w:rsidR="007C22CB" w:rsidRPr="000B427A">
        <w:rPr>
          <w:b/>
          <w:bCs/>
        </w:rPr>
        <w:t>upporting</w:t>
      </w:r>
      <w:r w:rsidR="00224E3B" w:rsidRPr="000B427A">
        <w:rPr>
          <w:b/>
          <w:bCs/>
        </w:rPr>
        <w:t xml:space="preserve"> document</w:t>
      </w:r>
      <w:r w:rsidR="00A671E6" w:rsidRPr="000B427A">
        <w:rPr>
          <w:b/>
          <w:bCs/>
        </w:rPr>
        <w:t xml:space="preserve"> </w:t>
      </w:r>
    </w:p>
    <w:p w14:paraId="39D61B62" w14:textId="5B83469F" w:rsidR="007A53BF" w:rsidRPr="001811B6" w:rsidRDefault="007A53BF" w:rsidP="0040270B">
      <w:pPr>
        <w:spacing w:before="240"/>
        <w:rPr>
          <w:szCs w:val="22"/>
        </w:rPr>
      </w:pPr>
      <w:r w:rsidRPr="00425AAD">
        <w:rPr>
          <w:szCs w:val="22"/>
        </w:rPr>
        <w:t xml:space="preserve">The </w:t>
      </w:r>
      <w:r w:rsidRPr="004849B6">
        <w:rPr>
          <w:szCs w:val="22"/>
        </w:rPr>
        <w:t>following documents</w:t>
      </w:r>
      <w:r w:rsidR="004849B6">
        <w:rPr>
          <w:szCs w:val="22"/>
        </w:rPr>
        <w:t xml:space="preserve"> w</w:t>
      </w:r>
      <w:r w:rsidRPr="00425AAD">
        <w:rPr>
          <w:szCs w:val="22"/>
        </w:rPr>
        <w:t xml:space="preserve">hich </w:t>
      </w:r>
      <w:r>
        <w:rPr>
          <w:szCs w:val="22"/>
        </w:rPr>
        <w:t xml:space="preserve">informed the assessment of </w:t>
      </w:r>
      <w:r w:rsidRPr="00425AAD">
        <w:rPr>
          <w:szCs w:val="22"/>
        </w:rPr>
        <w:t xml:space="preserve">this </w:t>
      </w:r>
      <w:r w:rsidR="00425AAD" w:rsidRPr="00425AAD">
        <w:rPr>
          <w:szCs w:val="22"/>
        </w:rPr>
        <w:t>application</w:t>
      </w:r>
      <w:r w:rsidRPr="00425AAD">
        <w:rPr>
          <w:szCs w:val="22"/>
        </w:rPr>
        <w:t xml:space="preserve"> are </w:t>
      </w:r>
      <w:r w:rsidRPr="0089264A">
        <w:rPr>
          <w:szCs w:val="22"/>
        </w:rPr>
        <w:t xml:space="preserve">available on the </w:t>
      </w:r>
      <w:hyperlink r:id="rId20" w:history="1">
        <w:r w:rsidRPr="004849B6">
          <w:rPr>
            <w:rStyle w:val="Hyperlink"/>
            <w:szCs w:val="22"/>
          </w:rPr>
          <w:t>FSANZ website</w:t>
        </w:r>
      </w:hyperlink>
      <w:r w:rsidR="004849B6">
        <w:rPr>
          <w:rStyle w:val="FootnoteReference"/>
          <w:szCs w:val="22"/>
        </w:rPr>
        <w:footnoteReference w:id="3"/>
      </w:r>
      <w:r w:rsidR="00FF3E26">
        <w:rPr>
          <w:szCs w:val="22"/>
        </w:rPr>
        <w:t>:</w:t>
      </w:r>
    </w:p>
    <w:p w14:paraId="595DF421" w14:textId="77777777" w:rsidR="00425AAD" w:rsidRPr="00007AFB" w:rsidRDefault="00425AAD" w:rsidP="00425AAD">
      <w:pPr>
        <w:spacing w:before="240"/>
        <w:ind w:left="1134" w:hanging="1134"/>
        <w:rPr>
          <w:color w:val="000000" w:themeColor="text1"/>
        </w:rPr>
      </w:pPr>
      <w:r w:rsidRPr="00007AFB">
        <w:rPr>
          <w:color w:val="000000" w:themeColor="text1"/>
        </w:rPr>
        <w:t>SD1</w:t>
      </w:r>
      <w:r w:rsidRPr="00007AFB">
        <w:rPr>
          <w:color w:val="000000" w:themeColor="text1"/>
        </w:rPr>
        <w:tab/>
        <w:t xml:space="preserve">Safety </w:t>
      </w:r>
      <w:r>
        <w:rPr>
          <w:color w:val="000000" w:themeColor="text1"/>
        </w:rPr>
        <w:t>A</w:t>
      </w:r>
      <w:r w:rsidRPr="00007AFB">
        <w:rPr>
          <w:color w:val="000000" w:themeColor="text1"/>
        </w:rPr>
        <w:t xml:space="preserve">ssessment </w:t>
      </w:r>
      <w:r>
        <w:rPr>
          <w:color w:val="000000" w:themeColor="text1"/>
        </w:rPr>
        <w:t>R</w:t>
      </w:r>
      <w:r w:rsidRPr="00007AFB">
        <w:rPr>
          <w:color w:val="000000" w:themeColor="text1"/>
        </w:rPr>
        <w:t>eport</w:t>
      </w:r>
    </w:p>
    <w:p w14:paraId="046B85EF" w14:textId="77777777" w:rsidR="00425AAD" w:rsidRPr="00007AFB" w:rsidRDefault="00425AAD" w:rsidP="00425AAD">
      <w:pPr>
        <w:ind w:left="1134" w:hanging="1134"/>
        <w:rPr>
          <w:color w:val="000000" w:themeColor="text1"/>
        </w:rPr>
      </w:pPr>
      <w:r w:rsidRPr="00007AFB">
        <w:rPr>
          <w:color w:val="000000" w:themeColor="text1"/>
        </w:rPr>
        <w:t>SD2</w:t>
      </w:r>
      <w:r w:rsidRPr="00007AFB">
        <w:rPr>
          <w:color w:val="000000" w:themeColor="text1"/>
        </w:rPr>
        <w:tab/>
      </w:r>
      <w:r>
        <w:rPr>
          <w:color w:val="000000" w:themeColor="text1"/>
        </w:rPr>
        <w:t>Nutrition Risk Assessment Report</w:t>
      </w:r>
    </w:p>
    <w:p w14:paraId="5E4F32B9" w14:textId="77777777" w:rsidR="003C4969" w:rsidRPr="001811B6" w:rsidRDefault="00D15A08" w:rsidP="009A2699">
      <w:pPr>
        <w:spacing w:line="280" w:lineRule="exact"/>
        <w:ind w:left="851" w:hanging="851"/>
        <w:outlineLvl w:val="3"/>
        <w:rPr>
          <w:vanish/>
        </w:rPr>
      </w:pPr>
      <w:r w:rsidRPr="00CA5734">
        <w:br w:type="page"/>
      </w:r>
    </w:p>
    <w:p w14:paraId="1F59CC69" w14:textId="77777777" w:rsidR="007A53BF" w:rsidRDefault="007A53BF" w:rsidP="003E002E">
      <w:pPr>
        <w:pStyle w:val="Heading1"/>
        <w:spacing w:after="0"/>
      </w:pPr>
      <w:bookmarkStart w:id="0" w:name="_Toc286391001"/>
      <w:bookmarkStart w:id="1" w:name="_Toc300933414"/>
      <w:bookmarkStart w:id="2" w:name="_Toc370223463"/>
      <w:bookmarkStart w:id="3" w:name="_Toc109221950"/>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6E5B3A2F" w14:textId="55C8A951" w:rsidR="005B270A" w:rsidRDefault="30F466DE" w:rsidP="0040270B">
      <w:pPr>
        <w:spacing w:before="240"/>
      </w:pPr>
      <w:r>
        <w:t xml:space="preserve">Food Standards Australia New Zealand (FSANZ) received an application from BASF Australia Ltd </w:t>
      </w:r>
      <w:r w:rsidRPr="4DFADFFF">
        <w:rPr>
          <w:lang w:bidi="ar-SA"/>
        </w:rPr>
        <w:t xml:space="preserve">to amend the Australia New Zealand Food Standards Code (the Code) to permit the sale and use of food derived from a new food produced using gene technology (GM food): canola line LBFLFK. Canola line LBFLFK has been genetically modified to produce the omega-3 long-chain polyunsaturated fatty acids (LC-PUFAs) eicosapentaenoic acid (EPA) and docosahexaenoic acid (DHA) in the seed, and for tolerance to imidazolinone herbicides. The applicant has not requested permission to use </w:t>
      </w:r>
      <w:r w:rsidRPr="4DFADFFF">
        <w:rPr>
          <w:color w:val="000000" w:themeColor="text1"/>
        </w:rPr>
        <w:t>oil from canola line LBFLFK in infant formula products (i</w:t>
      </w:r>
      <w:r>
        <w:t>ncludes infant formula, follow-on formula and infant formula products for special dietary use).</w:t>
      </w:r>
    </w:p>
    <w:p w14:paraId="2006006C" w14:textId="42333772" w:rsidR="005B270A" w:rsidRDefault="005B270A" w:rsidP="0040270B">
      <w:pPr>
        <w:spacing w:before="240"/>
        <w:rPr>
          <w:lang w:bidi="ar-SA"/>
        </w:rPr>
      </w:pPr>
      <w:r w:rsidRPr="009A37CE">
        <w:rPr>
          <w:lang w:bidi="ar-SA"/>
        </w:rPr>
        <w:t xml:space="preserve">The primary objective of FSANZ in developing or varying a food regulatory measure, as stated in section 18 of the </w:t>
      </w:r>
      <w:r w:rsidRPr="009A37CE">
        <w:rPr>
          <w:i/>
          <w:lang w:bidi="ar-SA"/>
        </w:rPr>
        <w:t>Food Standards Australia New Zealand Act 1991</w:t>
      </w:r>
      <w:r w:rsidRPr="009A37CE">
        <w:rPr>
          <w:lang w:bidi="ar-SA"/>
        </w:rPr>
        <w:t xml:space="preserve"> (FSANZ Act), is the protection of public health and safety. Accordingly, the safety assessment is a central part of considering an application.</w:t>
      </w:r>
    </w:p>
    <w:p w14:paraId="31C80288" w14:textId="41DC1BEA" w:rsidR="005B270A" w:rsidRDefault="30F466DE" w:rsidP="0040270B">
      <w:pPr>
        <w:spacing w:before="240"/>
        <w:rPr>
          <w:lang w:bidi="ar-SA"/>
        </w:rPr>
      </w:pPr>
      <w:r w:rsidRPr="4DFADFFF">
        <w:rPr>
          <w:color w:val="000000" w:themeColor="text1"/>
          <w:lang w:bidi="ar-SA"/>
        </w:rPr>
        <w:t>The safety assessment of canola line LBFLFK</w:t>
      </w:r>
      <w:r w:rsidRPr="4DFADFFF">
        <w:rPr>
          <w:lang w:bidi="ar-SA"/>
        </w:rPr>
        <w:t xml:space="preserve"> </w:t>
      </w:r>
      <w:r w:rsidRPr="4DFADFFF">
        <w:rPr>
          <w:color w:val="000000" w:themeColor="text1"/>
          <w:lang w:bidi="ar-SA"/>
        </w:rPr>
        <w:t>is in Supporting Document 1 (SD1</w:t>
      </w:r>
      <w:r w:rsidRPr="4DFADFFF">
        <w:rPr>
          <w:lang w:bidi="ar-SA"/>
        </w:rPr>
        <w:t xml:space="preserve">) and the nutrition risk assessment in Supporting Document 2 (SD2). </w:t>
      </w:r>
      <w:r w:rsidRPr="4DFADFFF">
        <w:rPr>
          <w:color w:val="000000" w:themeColor="text1"/>
          <w:lang w:bidi="ar-SA"/>
        </w:rPr>
        <w:t xml:space="preserve">No potential public health and safety concerns have been identified. </w:t>
      </w:r>
      <w:r w:rsidRPr="4DFADFFF">
        <w:rPr>
          <w:lang w:bidi="ar-SA"/>
        </w:rPr>
        <w:t xml:space="preserve">Based on the data provided and other information, food derived from canola line LBFLFK is considered to be as safe for human consumption as food derived from conventional non-GM canola cultivars. </w:t>
      </w:r>
    </w:p>
    <w:p w14:paraId="1ACB49AD" w14:textId="634DD191" w:rsidR="005B270A" w:rsidRPr="001811B6" w:rsidRDefault="005B270A" w:rsidP="0040270B">
      <w:pPr>
        <w:spacing w:before="240"/>
        <w:rPr>
          <w:rFonts w:eastAsia="Calibri"/>
          <w:lang w:bidi="ar-SA"/>
        </w:rPr>
      </w:pPr>
      <w:r w:rsidRPr="009A37CE">
        <w:rPr>
          <w:lang w:bidi="ar-SA"/>
        </w:rPr>
        <w:t xml:space="preserve">Following assessment and the preparation of a draft variation, FSANZ </w:t>
      </w:r>
      <w:r w:rsidRPr="009A37CE">
        <w:rPr>
          <w:rFonts w:eastAsia="Calibri"/>
        </w:rPr>
        <w:t xml:space="preserve">called for submissions regarding the draft variation on </w:t>
      </w:r>
      <w:r>
        <w:rPr>
          <w:szCs w:val="20"/>
        </w:rPr>
        <w:t>27</w:t>
      </w:r>
      <w:r w:rsidRPr="009A37CE">
        <w:rPr>
          <w:szCs w:val="20"/>
        </w:rPr>
        <w:t xml:space="preserve"> </w:t>
      </w:r>
      <w:r>
        <w:rPr>
          <w:szCs w:val="20"/>
        </w:rPr>
        <w:t>May</w:t>
      </w:r>
      <w:r w:rsidRPr="009A37CE">
        <w:rPr>
          <w:szCs w:val="20"/>
        </w:rPr>
        <w:t xml:space="preserve"> </w:t>
      </w:r>
      <w:r>
        <w:rPr>
          <w:rFonts w:eastAsia="Calibri"/>
        </w:rPr>
        <w:t>2022</w:t>
      </w:r>
      <w:r w:rsidRPr="009A37CE">
        <w:rPr>
          <w:rFonts w:eastAsia="Calibri"/>
        </w:rPr>
        <w:t xml:space="preserve">. </w:t>
      </w:r>
      <w:r w:rsidR="003B3D37">
        <w:rPr>
          <w:rFonts w:eastAsia="Calibri"/>
        </w:rPr>
        <w:t>Three</w:t>
      </w:r>
      <w:r w:rsidRPr="000B3E01">
        <w:rPr>
          <w:rFonts w:eastAsia="Calibri"/>
        </w:rPr>
        <w:t xml:space="preserve"> </w:t>
      </w:r>
      <w:r w:rsidRPr="00693917">
        <w:rPr>
          <w:rFonts w:eastAsia="Calibri"/>
        </w:rPr>
        <w:t xml:space="preserve">submissions </w:t>
      </w:r>
      <w:r w:rsidRPr="009A37CE">
        <w:rPr>
          <w:rFonts w:eastAsia="Calibri"/>
        </w:rPr>
        <w:t>were received</w:t>
      </w:r>
      <w:r>
        <w:rPr>
          <w:rFonts w:eastAsia="Calibri"/>
        </w:rPr>
        <w:t>. FSANZ has had regard to</w:t>
      </w:r>
      <w:r w:rsidRPr="009A37CE">
        <w:rPr>
          <w:rFonts w:eastAsia="Calibri"/>
        </w:rPr>
        <w:t xml:space="preserve"> </w:t>
      </w:r>
      <w:r>
        <w:rPr>
          <w:rFonts w:eastAsia="Calibri"/>
        </w:rPr>
        <w:t>these</w:t>
      </w:r>
      <w:r w:rsidRPr="009A37CE">
        <w:rPr>
          <w:rFonts w:eastAsia="Calibri"/>
        </w:rPr>
        <w:t xml:space="preserve"> </w:t>
      </w:r>
      <w:r>
        <w:rPr>
          <w:rFonts w:eastAsia="Calibri"/>
        </w:rPr>
        <w:t>submissions</w:t>
      </w:r>
      <w:r w:rsidR="00EA62F4">
        <w:rPr>
          <w:rFonts w:eastAsia="Calibri"/>
        </w:rPr>
        <w:t xml:space="preserve"> and </w:t>
      </w:r>
      <w:r w:rsidR="00327A65">
        <w:rPr>
          <w:rFonts w:eastAsia="Calibri"/>
        </w:rPr>
        <w:t>addressed</w:t>
      </w:r>
      <w:r w:rsidR="00EA62F4">
        <w:rPr>
          <w:rFonts w:eastAsia="Calibri"/>
        </w:rPr>
        <w:t xml:space="preserve"> issues raised in those submissions</w:t>
      </w:r>
      <w:r>
        <w:rPr>
          <w:rFonts w:eastAsia="Calibri"/>
        </w:rPr>
        <w:t xml:space="preserve"> </w:t>
      </w:r>
      <w:r w:rsidRPr="00F078A0">
        <w:rPr>
          <w:rFonts w:eastAsia="Calibri"/>
        </w:rPr>
        <w:t>(see Section 2.1).</w:t>
      </w:r>
    </w:p>
    <w:p w14:paraId="2A488A4D" w14:textId="5A0A2DC4" w:rsidR="009308F2" w:rsidRDefault="30F466DE" w:rsidP="4DFADFFF">
      <w:pPr>
        <w:spacing w:before="240"/>
        <w:rPr>
          <w:lang w:val="en-AU"/>
        </w:rPr>
      </w:pPr>
      <w:r w:rsidRPr="4DFADFFF">
        <w:rPr>
          <w:lang w:bidi="ar-SA"/>
        </w:rPr>
        <w:t xml:space="preserve">For reasons summarised in this report and following its assessment, FSANZ has decided to approve the draft variation proposed </w:t>
      </w:r>
      <w:r w:rsidR="00FB550C">
        <w:rPr>
          <w:lang w:bidi="ar-SA"/>
        </w:rPr>
        <w:t xml:space="preserve">at the call for submissions </w:t>
      </w:r>
      <w:r w:rsidR="008D6223" w:rsidRPr="4DFADFFF">
        <w:rPr>
          <w:lang w:bidi="ar-SA"/>
        </w:rPr>
        <w:t>with</w:t>
      </w:r>
      <w:r w:rsidR="008D6223">
        <w:rPr>
          <w:lang w:bidi="ar-SA"/>
        </w:rPr>
        <w:t xml:space="preserve"> </w:t>
      </w:r>
      <w:r w:rsidR="000715A4">
        <w:rPr>
          <w:lang w:bidi="ar-SA"/>
        </w:rPr>
        <w:t>one</w:t>
      </w:r>
      <w:r w:rsidR="008D6223">
        <w:rPr>
          <w:lang w:bidi="ar-SA"/>
        </w:rPr>
        <w:t xml:space="preserve"> </w:t>
      </w:r>
      <w:r w:rsidR="000715A4">
        <w:rPr>
          <w:lang w:bidi="ar-SA"/>
        </w:rPr>
        <w:t>amendment to correct a typographical error</w:t>
      </w:r>
      <w:r w:rsidRPr="4DFADFFF">
        <w:rPr>
          <w:lang w:bidi="ar-SA"/>
        </w:rPr>
        <w:t>. The approved draft variation</w:t>
      </w:r>
      <w:r w:rsidR="00B57BF9">
        <w:rPr>
          <w:lang w:bidi="ar-SA"/>
        </w:rPr>
        <w:t xml:space="preserve"> will</w:t>
      </w:r>
      <w:r w:rsidRPr="4DFADFFF">
        <w:rPr>
          <w:lang w:bidi="ar-SA"/>
        </w:rPr>
        <w:t xml:space="preserve"> amend Schedule 26 </w:t>
      </w:r>
      <w:r>
        <w:t xml:space="preserve">of the </w:t>
      </w:r>
      <w:r w:rsidRPr="4DFADFFF">
        <w:rPr>
          <w:lang w:bidi="ar-SA"/>
        </w:rPr>
        <w:t>Code to include a new item 1(</w:t>
      </w:r>
      <w:proofErr w:type="spellStart"/>
      <w:r w:rsidRPr="4DFADFFF">
        <w:rPr>
          <w:lang w:bidi="ar-SA"/>
        </w:rPr>
        <w:t>i</w:t>
      </w:r>
      <w:proofErr w:type="spellEnd"/>
      <w:r w:rsidRPr="4DFADFFF">
        <w:rPr>
          <w:lang w:bidi="ar-SA"/>
        </w:rPr>
        <w:t xml:space="preserve">) in the table </w:t>
      </w:r>
      <w:r>
        <w:t xml:space="preserve">to subsection S26—3(4) containing a </w:t>
      </w:r>
      <w:r w:rsidRPr="4DFADFFF">
        <w:rPr>
          <w:lang w:bidi="ar-SA"/>
        </w:rPr>
        <w:t xml:space="preserve">reference to ‘EPA and DHA producing and herbicide-tolerant canola line LBFLFK’ to permit the sale and use of food derived from that canola line. The permission </w:t>
      </w:r>
      <w:r w:rsidR="000655B9">
        <w:rPr>
          <w:lang w:bidi="ar-SA"/>
        </w:rPr>
        <w:t>will be</w:t>
      </w:r>
      <w:r w:rsidR="000655B9" w:rsidRPr="4DFADFFF">
        <w:rPr>
          <w:lang w:bidi="ar-SA"/>
        </w:rPr>
        <w:t xml:space="preserve"> </w:t>
      </w:r>
      <w:r w:rsidRPr="4DFADFFF">
        <w:rPr>
          <w:lang w:bidi="ar-SA"/>
        </w:rPr>
        <w:t xml:space="preserve">subject to the </w:t>
      </w:r>
      <w:r w:rsidR="3A61C091" w:rsidRPr="4DFADFFF">
        <w:rPr>
          <w:lang w:bidi="ar-SA"/>
        </w:rPr>
        <w:t xml:space="preserve">following conditions: </w:t>
      </w:r>
    </w:p>
    <w:p w14:paraId="683CA9A2" w14:textId="6EEB730D" w:rsidR="009308F2" w:rsidRDefault="3A61C091" w:rsidP="008E7276">
      <w:pPr>
        <w:pStyle w:val="ListParagraph"/>
        <w:numPr>
          <w:ilvl w:val="0"/>
          <w:numId w:val="1"/>
        </w:numPr>
        <w:spacing w:before="240"/>
        <w:rPr>
          <w:rFonts w:eastAsia="Arial" w:cs="Arial"/>
          <w:szCs w:val="22"/>
          <w:lang w:bidi="ar-SA"/>
        </w:rPr>
      </w:pPr>
      <w:r w:rsidRPr="4DFADFFF">
        <w:rPr>
          <w:lang w:bidi="ar-SA"/>
        </w:rPr>
        <w:t xml:space="preserve">oil derived from EPA and DHA producing and herbicide-tolerant canola line LBFLFK must not be used as an ingredient in infant formula products, and </w:t>
      </w:r>
    </w:p>
    <w:p w14:paraId="2303151D" w14:textId="60218412" w:rsidR="009308F2" w:rsidRDefault="3A61C091" w:rsidP="008E7276">
      <w:pPr>
        <w:pStyle w:val="ListParagraph"/>
        <w:numPr>
          <w:ilvl w:val="0"/>
          <w:numId w:val="1"/>
        </w:numPr>
        <w:spacing w:before="240"/>
        <w:rPr>
          <w:szCs w:val="22"/>
          <w:lang w:bidi="ar-SA"/>
        </w:rPr>
      </w:pPr>
      <w:r w:rsidRPr="4DFADFFF">
        <w:rPr>
          <w:lang w:val="en-AU"/>
        </w:rPr>
        <w:t xml:space="preserve">the labelling for food derived from </w:t>
      </w:r>
      <w:r w:rsidRPr="4DFADFFF">
        <w:rPr>
          <w:rFonts w:eastAsia="Calibri" w:cs="Arial"/>
          <w:color w:val="000000" w:themeColor="text1"/>
          <w:lang w:val="en-AU" w:bidi="ar-SA"/>
        </w:rPr>
        <w:t xml:space="preserve">canola line LBFLFK </w:t>
      </w:r>
      <w:r w:rsidR="00575ED5">
        <w:rPr>
          <w:rFonts w:eastAsia="Calibri" w:cs="Arial"/>
          <w:color w:val="000000" w:themeColor="text1"/>
          <w:lang w:val="en-AU" w:bidi="ar-SA"/>
        </w:rPr>
        <w:t>will</w:t>
      </w:r>
      <w:r w:rsidRPr="4DFADFFF">
        <w:rPr>
          <w:rFonts w:eastAsia="Calibri" w:cs="Arial"/>
          <w:color w:val="000000" w:themeColor="text1"/>
          <w:lang w:val="en-AU" w:bidi="ar-SA"/>
        </w:rPr>
        <w:t xml:space="preserve"> have to </w:t>
      </w:r>
      <w:r>
        <w:t>comply with section 1.5.2—4</w:t>
      </w:r>
      <w:r w:rsidRPr="4DFADFFF">
        <w:rPr>
          <w:lang w:bidi="ar-SA"/>
        </w:rPr>
        <w:t>.</w:t>
      </w:r>
      <w:r w:rsidR="30F466DE" w:rsidRPr="4DFADFFF">
        <w:rPr>
          <w:lang w:bidi="ar-SA"/>
        </w:rPr>
        <w:t xml:space="preserve"> </w:t>
      </w:r>
    </w:p>
    <w:p w14:paraId="61FFADE9" w14:textId="1BBA4FE0" w:rsidR="009308F2" w:rsidRDefault="30F466DE" w:rsidP="4DFADFFF">
      <w:pPr>
        <w:spacing w:before="240"/>
        <w:rPr>
          <w:szCs w:val="22"/>
          <w:lang w:val="en-AU"/>
        </w:rPr>
      </w:pPr>
      <w:r w:rsidRPr="4DFADFFF">
        <w:rPr>
          <w:lang w:val="en-AU"/>
        </w:rPr>
        <w:t xml:space="preserve">The effect of the approved draft variation </w:t>
      </w:r>
      <w:r w:rsidR="00D113D4">
        <w:rPr>
          <w:lang w:val="en-AU"/>
        </w:rPr>
        <w:t>will be</w:t>
      </w:r>
      <w:r w:rsidR="00D113D4" w:rsidRPr="4DFADFFF">
        <w:rPr>
          <w:lang w:val="en-AU"/>
        </w:rPr>
        <w:t xml:space="preserve"> </w:t>
      </w:r>
      <w:r w:rsidRPr="4DFADFFF">
        <w:rPr>
          <w:lang w:val="en-AU"/>
        </w:rPr>
        <w:t xml:space="preserve">to permit </w:t>
      </w:r>
      <w:r>
        <w:t>the use and sale of food derived from this canola</w:t>
      </w:r>
      <w:r w:rsidRPr="4DFADFFF">
        <w:rPr>
          <w:lang w:bidi="ar-SA"/>
        </w:rPr>
        <w:t xml:space="preserve"> </w:t>
      </w:r>
      <w:r>
        <w:t>line</w:t>
      </w:r>
      <w:r w:rsidRPr="4DFADFFF">
        <w:rPr>
          <w:lang w:val="en-AU"/>
        </w:rPr>
        <w:t xml:space="preserve"> in accordance with the Code.</w:t>
      </w:r>
    </w:p>
    <w:p w14:paraId="4A32A2E2" w14:textId="5A253F71" w:rsidR="00C836FF" w:rsidRPr="005B270A" w:rsidRDefault="00C836FF" w:rsidP="005B270A">
      <w:pPr>
        <w:spacing w:after="240"/>
        <w:rPr>
          <w:lang w:val="en-AU"/>
        </w:rPr>
      </w:pPr>
      <w:r>
        <w:br w:type="page"/>
      </w:r>
    </w:p>
    <w:p w14:paraId="139F8668" w14:textId="77777777" w:rsidR="007A53BF" w:rsidRPr="007A53BF" w:rsidRDefault="007A53BF" w:rsidP="00441904">
      <w:pPr>
        <w:pStyle w:val="Heading1"/>
        <w:spacing w:after="0"/>
      </w:pPr>
      <w:bookmarkStart w:id="9" w:name="_Toc300933417"/>
      <w:bookmarkStart w:id="10" w:name="_Toc370223464"/>
      <w:bookmarkStart w:id="11" w:name="_Toc109221951"/>
      <w:r w:rsidRPr="007A53BF">
        <w:lastRenderedPageBreak/>
        <w:t>1</w:t>
      </w:r>
      <w:r w:rsidRPr="007A53BF">
        <w:tab/>
        <w:t>Introduction</w:t>
      </w:r>
      <w:bookmarkEnd w:id="9"/>
      <w:bookmarkEnd w:id="10"/>
      <w:bookmarkEnd w:id="11"/>
    </w:p>
    <w:p w14:paraId="69F3F023" w14:textId="5E6CFA2F" w:rsidR="007A53BF" w:rsidRDefault="00921E8B" w:rsidP="00441904">
      <w:pPr>
        <w:pStyle w:val="Heading2"/>
        <w:spacing w:after="0"/>
      </w:pPr>
      <w:bookmarkStart w:id="12" w:name="_Toc300761890"/>
      <w:bookmarkStart w:id="13" w:name="_Toc300933419"/>
      <w:bookmarkStart w:id="14" w:name="_Toc370223465"/>
      <w:bookmarkStart w:id="15" w:name="_Toc109221952"/>
      <w:r>
        <w:t>1.1</w:t>
      </w:r>
      <w:r>
        <w:tab/>
        <w:t>The a</w:t>
      </w:r>
      <w:r w:rsidR="007A53BF" w:rsidRPr="007A53BF">
        <w:t>pplicant</w:t>
      </w:r>
      <w:bookmarkEnd w:id="12"/>
      <w:bookmarkEnd w:id="13"/>
      <w:bookmarkEnd w:id="14"/>
      <w:bookmarkEnd w:id="15"/>
    </w:p>
    <w:p w14:paraId="05394C4D" w14:textId="5F8EE420" w:rsidR="00921E8B" w:rsidRPr="00E602A1" w:rsidRDefault="00921E8B" w:rsidP="0040270B">
      <w:pPr>
        <w:spacing w:before="240"/>
        <w:rPr>
          <w:color w:val="000000" w:themeColor="text1"/>
        </w:rPr>
      </w:pPr>
      <w:bookmarkStart w:id="16" w:name="_Toc300761891"/>
      <w:bookmarkStart w:id="17" w:name="_Toc300933420"/>
      <w:bookmarkStart w:id="18" w:name="_Toc370223466"/>
      <w:r w:rsidRPr="00E602A1">
        <w:rPr>
          <w:color w:val="000000" w:themeColor="text1"/>
        </w:rPr>
        <w:t>BASF</w:t>
      </w:r>
      <w:r>
        <w:rPr>
          <w:color w:val="000000" w:themeColor="text1"/>
        </w:rPr>
        <w:t xml:space="preserve"> Australia Ltd </w:t>
      </w:r>
      <w:r w:rsidRPr="00E602A1">
        <w:rPr>
          <w:color w:val="000000" w:themeColor="text1"/>
        </w:rPr>
        <w:t xml:space="preserve">is </w:t>
      </w:r>
      <w:r>
        <w:rPr>
          <w:color w:val="000000" w:themeColor="text1"/>
        </w:rPr>
        <w:t>part of the BASF Group and develops products for a range of industries including the agriculture sector.</w:t>
      </w:r>
    </w:p>
    <w:p w14:paraId="7C0A1E14" w14:textId="55677B42" w:rsidR="007A53BF" w:rsidRPr="007A53BF" w:rsidRDefault="007A53BF" w:rsidP="00CE59AA">
      <w:pPr>
        <w:pStyle w:val="Heading2"/>
      </w:pPr>
      <w:bookmarkStart w:id="19" w:name="_Toc109221953"/>
      <w:r w:rsidRPr="007A53BF">
        <w:t>1.2</w:t>
      </w:r>
      <w:r w:rsidRPr="007A53BF">
        <w:tab/>
        <w:t xml:space="preserve">The </w:t>
      </w:r>
      <w:bookmarkEnd w:id="16"/>
      <w:bookmarkEnd w:id="17"/>
      <w:bookmarkEnd w:id="18"/>
      <w:r w:rsidR="00921E8B" w:rsidRPr="00921E8B">
        <w:t>application</w:t>
      </w:r>
      <w:bookmarkEnd w:id="19"/>
    </w:p>
    <w:p w14:paraId="0657EEB6" w14:textId="2D777F13" w:rsidR="00921E8B" w:rsidRDefault="3B9C98B4" w:rsidP="00441904">
      <w:bookmarkStart w:id="20" w:name="_Toc300761892"/>
      <w:bookmarkStart w:id="21" w:name="_Toc300933421"/>
      <w:bookmarkStart w:id="22" w:name="_Toc370223467"/>
      <w:r>
        <w:t xml:space="preserve">Application A1239 was submitted on </w:t>
      </w:r>
      <w:r w:rsidRPr="4DFADFFF">
        <w:rPr>
          <w:lang w:bidi="ar-SA"/>
        </w:rPr>
        <w:t>24 September 2021</w:t>
      </w:r>
      <w:r>
        <w:t xml:space="preserve">. It seeks amendment to the Australia New Zealand Food Standards Code (the Code) to permit the sale and use of food derived from a new food </w:t>
      </w:r>
      <w:r w:rsidRPr="4DFADFFF">
        <w:rPr>
          <w:color w:val="000000" w:themeColor="text1"/>
        </w:rPr>
        <w:t xml:space="preserve">produced using gene technology (GM food): </w:t>
      </w:r>
      <w:bookmarkStart w:id="23" w:name="_Hlk99117831"/>
      <w:r w:rsidRPr="4DFADFFF">
        <w:rPr>
          <w:lang w:bidi="ar-SA"/>
        </w:rPr>
        <w:t>canola line LBFLFK</w:t>
      </w:r>
      <w:bookmarkEnd w:id="23"/>
      <w:r w:rsidRPr="4DFADFFF">
        <w:rPr>
          <w:lang w:bidi="ar-SA"/>
        </w:rPr>
        <w:t>. Canola line LBFLFK has been genetically modified to produce the omega-3 long-chain polyunsaturated fatty acids (LC-PUFAs) eicosapentaenoic acid (EPA) and docosahexaenoic acid (DHA) in the seed, and for tolerance to imidazolinone herbicides</w:t>
      </w:r>
      <w:r>
        <w:t xml:space="preserve">. </w:t>
      </w:r>
      <w:r w:rsidRPr="4DFADFFF">
        <w:rPr>
          <w:lang w:bidi="ar-SA"/>
        </w:rPr>
        <w:t xml:space="preserve">The applicant has not requested permission to use </w:t>
      </w:r>
      <w:r w:rsidRPr="4DFADFFF">
        <w:rPr>
          <w:color w:val="000000" w:themeColor="text1"/>
        </w:rPr>
        <w:t>oil from canola line LBFLFK in infant formula products (i</w:t>
      </w:r>
      <w:r>
        <w:t>ncluding infant formula, follow-on formula and infant formula products for special dietary use).</w:t>
      </w:r>
    </w:p>
    <w:p w14:paraId="0989DF39" w14:textId="5C52C149" w:rsidR="00441904" w:rsidRPr="00066D41" w:rsidRDefault="3B9C98B4" w:rsidP="0040270B">
      <w:pPr>
        <w:autoSpaceDE w:val="0"/>
        <w:autoSpaceDN w:val="0"/>
        <w:adjustRightInd w:val="0"/>
        <w:spacing w:before="240" w:after="240"/>
        <w:rPr>
          <w:lang w:bidi="ar-SA"/>
        </w:rPr>
      </w:pPr>
      <w:r>
        <w:t xml:space="preserve">Production of </w:t>
      </w:r>
      <w:r w:rsidRPr="4DFADFFF">
        <w:rPr>
          <w:lang w:bidi="ar-SA"/>
        </w:rPr>
        <w:t xml:space="preserve">omega-3 </w:t>
      </w:r>
      <w:r>
        <w:t>(</w:t>
      </w:r>
      <w:r w:rsidRPr="4DFADFFF">
        <w:rPr>
          <w:lang w:bidi="ar-SA"/>
        </w:rPr>
        <w:t>n-3) LC-PUFAs</w:t>
      </w:r>
      <w:r>
        <w:t xml:space="preserve"> in the seeds of canola line LBFLFK is conferred by the expression of 10 enzymes encoded by genes from microalgae, water moulds and moss</w:t>
      </w:r>
      <w:r w:rsidRPr="4DFADFFF">
        <w:rPr>
          <w:lang w:bidi="ar-SA"/>
        </w:rPr>
        <w:t xml:space="preserve">. </w:t>
      </w:r>
      <w:r w:rsidRPr="4DFADFFF">
        <w:rPr>
          <w:rFonts w:cs="Arial"/>
          <w:color w:val="000000" w:themeColor="text1"/>
        </w:rPr>
        <w:t>Tolerance to</w:t>
      </w:r>
      <w:r>
        <w:t xml:space="preserve"> </w:t>
      </w:r>
      <w:r w:rsidRPr="4DFADFFF">
        <w:rPr>
          <w:rFonts w:cs="Arial"/>
          <w:color w:val="000000" w:themeColor="text1"/>
        </w:rPr>
        <w:t xml:space="preserve">imidazolinone herbicides is achieved through expression of a modified form of the enzyme acetohydroxy acid synthase (AHAS), encoded by a modified </w:t>
      </w:r>
      <w:r w:rsidRPr="4DFADFFF">
        <w:rPr>
          <w:rFonts w:cs="Arial"/>
          <w:i/>
          <w:iCs/>
          <w:color w:val="000000" w:themeColor="text1"/>
        </w:rPr>
        <w:t>csr1-2</w:t>
      </w:r>
      <w:r w:rsidRPr="4DFADFFF">
        <w:rPr>
          <w:rFonts w:cs="Arial"/>
          <w:color w:val="000000" w:themeColor="text1"/>
        </w:rPr>
        <w:t xml:space="preserve"> gene from the plant </w:t>
      </w:r>
      <w:r w:rsidRPr="4DFADFFF">
        <w:rPr>
          <w:rFonts w:cs="Arial"/>
          <w:i/>
          <w:iCs/>
          <w:color w:val="000000" w:themeColor="text1"/>
        </w:rPr>
        <w:t>Arabidopsis thaliana.</w:t>
      </w:r>
      <w:r w:rsidRPr="4DFADFFF">
        <w:rPr>
          <w:rFonts w:cs="Arial"/>
          <w:color w:val="000000" w:themeColor="text1"/>
        </w:rPr>
        <w:t xml:space="preserve"> </w:t>
      </w:r>
      <w:r>
        <w:t>The AHAS protein has been previously assessed by FSANZ</w:t>
      </w:r>
      <w:r w:rsidR="7A417DE5">
        <w:t>.</w:t>
      </w:r>
    </w:p>
    <w:p w14:paraId="60368231" w14:textId="77777777" w:rsidR="00921E8B" w:rsidRPr="00247D8B" w:rsidRDefault="00921E8B" w:rsidP="00441904">
      <w:pPr>
        <w:rPr>
          <w:rFonts w:eastAsia="Batang" w:cs="Arial"/>
          <w:szCs w:val="22"/>
        </w:rPr>
      </w:pPr>
      <w:r>
        <w:t>Food derived from canola line</w:t>
      </w:r>
      <w:r w:rsidRPr="00F27F51">
        <w:t xml:space="preserve"> LBFLFK</w:t>
      </w:r>
      <w:r>
        <w:t xml:space="preserve"> may enter the Australian and New Zealand food supply as imported food products. </w:t>
      </w:r>
      <w:r>
        <w:rPr>
          <w:rFonts w:cs="Arial"/>
          <w:color w:val="000000" w:themeColor="text1"/>
          <w:szCs w:val="22"/>
        </w:rPr>
        <w:t>These may include canola oil, meal and protein isolate</w:t>
      </w:r>
      <w:r>
        <w:rPr>
          <w:rStyle w:val="FootnoteReference"/>
          <w:rFonts w:cs="Arial"/>
          <w:color w:val="000000" w:themeColor="text1"/>
          <w:szCs w:val="22"/>
        </w:rPr>
        <w:footnoteReference w:id="4"/>
      </w:r>
      <w:r>
        <w:rPr>
          <w:rFonts w:cs="Arial"/>
          <w:color w:val="000000" w:themeColor="text1"/>
          <w:szCs w:val="22"/>
        </w:rPr>
        <w:t xml:space="preserve"> or cooked whole seeds in bread products. V</w:t>
      </w:r>
      <w:r>
        <w:rPr>
          <w:lang w:bidi="ar-SA"/>
        </w:rPr>
        <w:t>iable seeds from canola</w:t>
      </w:r>
      <w:r w:rsidRPr="00F210D7">
        <w:rPr>
          <w:lang w:bidi="ar-SA"/>
        </w:rPr>
        <w:t xml:space="preserve"> line </w:t>
      </w:r>
      <w:r w:rsidRPr="00F27F51">
        <w:rPr>
          <w:lang w:bidi="ar-SA"/>
        </w:rPr>
        <w:t>LBFLFK</w:t>
      </w:r>
      <w:r>
        <w:rPr>
          <w:lang w:bidi="ar-SA"/>
        </w:rPr>
        <w:t xml:space="preserve"> would </w:t>
      </w:r>
      <w:r w:rsidRPr="00C43629">
        <w:rPr>
          <w:lang w:bidi="ar-SA"/>
        </w:rPr>
        <w:t xml:space="preserve">not be </w:t>
      </w:r>
      <w:r>
        <w:rPr>
          <w:lang w:bidi="ar-SA"/>
        </w:rPr>
        <w:t>permitted</w:t>
      </w:r>
      <w:r w:rsidRPr="00C43629">
        <w:rPr>
          <w:lang w:bidi="ar-SA"/>
        </w:rPr>
        <w:t xml:space="preserve"> </w:t>
      </w:r>
      <w:r>
        <w:rPr>
          <w:lang w:bidi="ar-SA"/>
        </w:rPr>
        <w:t xml:space="preserve">without prior assessment and </w:t>
      </w:r>
      <w:r w:rsidRPr="00A9021E">
        <w:rPr>
          <w:color w:val="000000" w:themeColor="text1"/>
        </w:rPr>
        <w:t>approval by the Gene Technology Regulator</w:t>
      </w:r>
      <w:r>
        <w:rPr>
          <w:color w:val="000000" w:themeColor="text1"/>
        </w:rPr>
        <w:t xml:space="preserve"> (GTR)</w:t>
      </w:r>
      <w:r>
        <w:rPr>
          <w:rStyle w:val="FootnoteReference"/>
          <w:color w:val="000000" w:themeColor="text1"/>
        </w:rPr>
        <w:footnoteReference w:id="5"/>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w:t>
      </w:r>
      <w:r>
        <w:rPr>
          <w:rStyle w:val="FootnoteReference"/>
          <w:color w:val="000000" w:themeColor="text1"/>
        </w:rPr>
        <w:footnoteReference w:id="6"/>
      </w:r>
      <w:r>
        <w:rPr>
          <w:color w:val="000000" w:themeColor="text1"/>
        </w:rPr>
        <w:t xml:space="preserve"> in New Zealand.</w:t>
      </w:r>
    </w:p>
    <w:p w14:paraId="0C8CCD9B" w14:textId="240075FB" w:rsidR="007A53BF" w:rsidRDefault="007A53BF" w:rsidP="00CE59AA">
      <w:pPr>
        <w:pStyle w:val="Heading2"/>
      </w:pPr>
      <w:bookmarkStart w:id="24" w:name="_Toc109221954"/>
      <w:r w:rsidRPr="007A53BF">
        <w:t>1.3</w:t>
      </w:r>
      <w:r w:rsidRPr="007A53BF">
        <w:tab/>
        <w:t>The current Standard</w:t>
      </w:r>
      <w:bookmarkEnd w:id="20"/>
      <w:bookmarkEnd w:id="21"/>
      <w:bookmarkEnd w:id="22"/>
      <w:bookmarkEnd w:id="24"/>
    </w:p>
    <w:p w14:paraId="3D41EEA0" w14:textId="77777777" w:rsidR="00441904" w:rsidRDefault="00921E8B" w:rsidP="00441904">
      <w:r w:rsidRPr="0060091E">
        <w:t>Pre-market approval is necessary before GM food</w:t>
      </w:r>
      <w:r>
        <w:t>s</w:t>
      </w:r>
      <w:r w:rsidRPr="0060091E">
        <w:t xml:space="preserve"> can enter the Australian and New Zealand food supply. GM foods are only approved after a comprehensive pre-market safety assessment. Standard 1.5.2 </w:t>
      </w:r>
      <w:r>
        <w:t xml:space="preserve">of the Code </w:t>
      </w:r>
      <w:r w:rsidRPr="0060091E">
        <w:t xml:space="preserve">sets out the </w:t>
      </w:r>
      <w:r>
        <w:t xml:space="preserve">permission and </w:t>
      </w:r>
      <w:r w:rsidRPr="0060091E">
        <w:t xml:space="preserve">conditions for </w:t>
      </w:r>
      <w:r>
        <w:t xml:space="preserve">the </w:t>
      </w:r>
      <w:r w:rsidRPr="0060091E">
        <w:t>sale of food that consists of, or has as an ingredient, a GM food. Foods that have been assessed and approved are listed in</w:t>
      </w:r>
      <w:r w:rsidRPr="008A6965">
        <w:rPr>
          <w:color w:val="00B050"/>
        </w:rPr>
        <w:t xml:space="preserve"> </w:t>
      </w:r>
      <w:r>
        <w:t>S</w:t>
      </w:r>
      <w:r w:rsidRPr="0060091E">
        <w:t>chedule 26 of the Code.</w:t>
      </w:r>
    </w:p>
    <w:p w14:paraId="189B0627" w14:textId="267DF300" w:rsidR="00441904" w:rsidRDefault="00921E8B" w:rsidP="0040270B">
      <w:pPr>
        <w:spacing w:before="240"/>
      </w:pPr>
      <w:r w:rsidRPr="0060091E">
        <w:t>Subject to the exceptions listed below, section 1.5.2—4 requires food to be labelled as ‘genetically modified’ where novel DNA and/or novel protein is present in the final food.</w:t>
      </w:r>
    </w:p>
    <w:p w14:paraId="30951C63" w14:textId="5B36C960" w:rsidR="00921E8B" w:rsidRDefault="00921E8B" w:rsidP="0040270B">
      <w:pPr>
        <w:spacing w:before="240"/>
      </w:pPr>
      <w:r>
        <w:t>Additionally, f</w:t>
      </w:r>
      <w:r w:rsidRPr="00734DE9">
        <w:t xml:space="preserve">oods listed in subsections S26—3(2), (2A) and (3) of Schedule 26 must also be labelled with the words ‘genetically modified’, as well as any other additional labelling required by the </w:t>
      </w:r>
      <w:r>
        <w:t>S</w:t>
      </w:r>
      <w:r w:rsidRPr="00734DE9">
        <w:t>chedule, regardless of the presence of novel DNA or novel protein in the foods.</w:t>
      </w:r>
      <w:r>
        <w:t xml:space="preserve"> These foods </w:t>
      </w:r>
      <w:r w:rsidRPr="00734DE9">
        <w:t>are considered to have an altered characteristic, such as an altered composition or nutritional profile</w:t>
      </w:r>
      <w:r>
        <w:t>,</w:t>
      </w:r>
      <w:r w:rsidRPr="00734DE9">
        <w:t xml:space="preserve"> when compared to the existing counterpart food that is not </w:t>
      </w:r>
      <w:r w:rsidRPr="00734DE9">
        <w:lastRenderedPageBreak/>
        <w:t>produced using gene technology.</w:t>
      </w:r>
    </w:p>
    <w:p w14:paraId="6E263F14" w14:textId="77777777" w:rsidR="007D7A72" w:rsidRDefault="007D7A72" w:rsidP="00441904"/>
    <w:p w14:paraId="636ED4C2" w14:textId="0218B04A" w:rsidR="00921E8B" w:rsidRPr="00734DE9" w:rsidRDefault="00921E8B" w:rsidP="00441904">
      <w:pPr>
        <w:rPr>
          <w:lang w:eastAsia="en-AU" w:bidi="ar-SA"/>
        </w:rPr>
      </w:pPr>
      <w:r w:rsidRPr="00734DE9">
        <w:t xml:space="preserve">The requirement </w:t>
      </w:r>
      <w:r>
        <w:t xml:space="preserve">to label as ‘genetically modified’ </w:t>
      </w:r>
      <w:r w:rsidRPr="00734DE9">
        <w:t>applies to foods for sale that consist of, or have as an ingredient (including food additives and processing aids</w:t>
      </w:r>
      <w:r>
        <w:t>)</w:t>
      </w:r>
      <w:r w:rsidRPr="00734DE9">
        <w:t xml:space="preserve">, food that is a </w:t>
      </w:r>
      <w:r w:rsidRPr="0083272F">
        <w:rPr>
          <w:i/>
        </w:rPr>
        <w:t>genetically modified food</w:t>
      </w:r>
      <w:r>
        <w:rPr>
          <w:rStyle w:val="FootnoteReference"/>
        </w:rPr>
        <w:footnoteReference w:id="7"/>
      </w:r>
      <w:r w:rsidRPr="00734DE9">
        <w:t xml:space="preserve">. </w:t>
      </w:r>
      <w:r w:rsidR="008E6504" w:rsidRPr="008E6504">
        <w:t>The requirements imposed by section 1.5.2—4 apply only to foods for sale prescribed by Divisions 2 to 4 of Standard 1.2.1.</w:t>
      </w:r>
    </w:p>
    <w:p w14:paraId="14E82EBB" w14:textId="1444DDF2" w:rsidR="00441904" w:rsidRPr="0060091E" w:rsidRDefault="00921E8B" w:rsidP="0040270B">
      <w:pPr>
        <w:widowControl/>
        <w:spacing w:before="240" w:after="240"/>
      </w:pPr>
      <w:r w:rsidRPr="0060091E">
        <w:t xml:space="preserve">The labelling requirement in section 1.5.2—4 does not apply if the genetically modified food: </w:t>
      </w:r>
    </w:p>
    <w:p w14:paraId="46FD55E5" w14:textId="77777777" w:rsidR="00921E8B" w:rsidRPr="0060091E" w:rsidRDefault="00921E8B" w:rsidP="00921E8B">
      <w:pPr>
        <w:pStyle w:val="FSBullet1"/>
        <w:numPr>
          <w:ilvl w:val="0"/>
          <w:numId w:val="6"/>
        </w:numPr>
      </w:pPr>
      <w:r w:rsidRPr="0060091E">
        <w:t xml:space="preserve">has been highly refined (other than food that </w:t>
      </w:r>
      <w:r>
        <w:t xml:space="preserve">is considered to have </w:t>
      </w:r>
      <w:r w:rsidRPr="0060091E">
        <w:t>an altered characteristic</w:t>
      </w:r>
      <w:r>
        <w:t xml:space="preserve"> as described above</w:t>
      </w:r>
      <w:r w:rsidRPr="0060091E">
        <w:t xml:space="preserve">), where the effect of the refining process is to remove novel DNA or novel protein; </w:t>
      </w:r>
    </w:p>
    <w:p w14:paraId="7FD5038F" w14:textId="77777777" w:rsidR="00921E8B" w:rsidRPr="0060091E" w:rsidRDefault="00921E8B" w:rsidP="00921E8B">
      <w:pPr>
        <w:pStyle w:val="FSBullet1"/>
        <w:numPr>
          <w:ilvl w:val="0"/>
          <w:numId w:val="6"/>
        </w:numPr>
      </w:pPr>
      <w:r w:rsidRPr="0060091E">
        <w:t xml:space="preserve">is a substance used as a processing aid or a food additive, where novel DNA or novel protein from the substance does not remain present in the final food; </w:t>
      </w:r>
    </w:p>
    <w:p w14:paraId="29F68F32" w14:textId="77777777" w:rsidR="00921E8B" w:rsidRPr="0060091E" w:rsidRDefault="00921E8B" w:rsidP="00921E8B">
      <w:pPr>
        <w:pStyle w:val="FSBullet1"/>
        <w:numPr>
          <w:ilvl w:val="0"/>
          <w:numId w:val="6"/>
        </w:numPr>
      </w:pPr>
      <w:r w:rsidRPr="0060091E">
        <w:t>is a flavouring substance present in the food in a concentration of no more than 1 g/kg (0.1%); or</w:t>
      </w:r>
    </w:p>
    <w:p w14:paraId="75ED5B38" w14:textId="77777777" w:rsidR="00441904" w:rsidRDefault="00921E8B" w:rsidP="00921E8B">
      <w:pPr>
        <w:pStyle w:val="FSBullet1"/>
        <w:numPr>
          <w:ilvl w:val="0"/>
          <w:numId w:val="6"/>
        </w:numPr>
      </w:pPr>
      <w:r w:rsidRPr="0060091E">
        <w:t>is unintentionally present in the food in an amount of no more than 10 g/kg (or 1%) of each ingredient.</w:t>
      </w:r>
    </w:p>
    <w:p w14:paraId="1CA830B8" w14:textId="1AC439C5" w:rsidR="00921E8B" w:rsidRDefault="3B9C98B4" w:rsidP="0040270B">
      <w:pPr>
        <w:widowControl/>
        <w:spacing w:before="240"/>
      </w:pPr>
      <w:r>
        <w:t>The above labelling requirement also does not apply if the food for sale is intended for immediate consumption, and is prepared and sold from food premises and vending vehicles including restaurants, take away outlets, caterers or self-catering institutions.</w:t>
      </w:r>
    </w:p>
    <w:p w14:paraId="7B61B26B" w14:textId="2A7F6DAC" w:rsidR="00921E8B" w:rsidRDefault="00921E8B" w:rsidP="0040270B">
      <w:pPr>
        <w:widowControl/>
        <w:spacing w:before="240"/>
      </w:pPr>
      <w:r w:rsidRPr="00834C74">
        <w:t xml:space="preserve">If the food for sale is </w:t>
      </w:r>
      <w:r>
        <w:t xml:space="preserve">a food </w:t>
      </w:r>
      <w:r w:rsidRPr="00834C74">
        <w:t>not required to bear a label</w:t>
      </w:r>
      <w:r>
        <w:t xml:space="preserve"> and is not in a package, the labelling information in section 1.5.2—4 </w:t>
      </w:r>
      <w:r w:rsidRPr="00834C74">
        <w:t>must accompany the food or be displayed in connection with the display of the food (in accordance with subsections 1.2.1—9(2) and (3)).</w:t>
      </w:r>
    </w:p>
    <w:p w14:paraId="40BAE571" w14:textId="59C7B467" w:rsidR="00921E8B" w:rsidRPr="00921E8B" w:rsidRDefault="00921E8B" w:rsidP="0040270B">
      <w:pPr>
        <w:spacing w:before="240" w:after="240"/>
        <w:rPr>
          <w:lang w:eastAsia="en-AU"/>
        </w:rPr>
      </w:pPr>
      <w:r w:rsidRPr="00834C74">
        <w:rPr>
          <w:lang w:eastAsia="en-AU"/>
        </w:rPr>
        <w:t>Subsection 1.1.1—10(8) states that food for sale must comply with all relevant labelling requirements imposed by the Code for that food.</w:t>
      </w:r>
    </w:p>
    <w:p w14:paraId="0C68E8E9" w14:textId="3AAEE627" w:rsidR="007A53BF" w:rsidRDefault="007A53BF" w:rsidP="00B12BBF">
      <w:pPr>
        <w:pStyle w:val="Heading2"/>
        <w:spacing w:after="0"/>
        <w:rPr>
          <w:u w:color="FFFF00"/>
        </w:rPr>
      </w:pPr>
      <w:bookmarkStart w:id="25" w:name="_Toc286391007"/>
      <w:bookmarkStart w:id="26" w:name="_Toc109221955"/>
      <w:bookmarkStart w:id="27" w:name="_Toc300933423"/>
      <w:bookmarkStart w:id="28" w:name="_Toc370223468"/>
      <w:bookmarkStart w:id="29" w:name="_Toc175381432"/>
      <w:r w:rsidRPr="007A53BF">
        <w:rPr>
          <w:u w:color="FFFF00"/>
        </w:rPr>
        <w:t>1.4</w:t>
      </w:r>
      <w:r w:rsidRPr="007A53BF">
        <w:rPr>
          <w:u w:color="FFFF00"/>
        </w:rPr>
        <w:tab/>
        <w:t xml:space="preserve">Reasons for </w:t>
      </w:r>
      <w:r w:rsidRPr="00921E8B">
        <w:rPr>
          <w:u w:color="FFFF00"/>
        </w:rPr>
        <w:t>accepting</w:t>
      </w:r>
      <w:r w:rsidR="00921E8B" w:rsidRPr="00921E8B">
        <w:rPr>
          <w:u w:color="FFFF00"/>
        </w:rPr>
        <w:t xml:space="preserve"> the</w:t>
      </w:r>
      <w:r w:rsidRPr="00921E8B">
        <w:rPr>
          <w:u w:color="FFFF00"/>
        </w:rPr>
        <w:t xml:space="preserve"> </w:t>
      </w:r>
      <w:r w:rsidR="00921E8B" w:rsidRPr="00921E8B">
        <w:rPr>
          <w:u w:color="FFFF00"/>
        </w:rPr>
        <w:t>a</w:t>
      </w:r>
      <w:r w:rsidRPr="00921E8B">
        <w:rPr>
          <w:u w:color="FFFF00"/>
        </w:rPr>
        <w:t>pplication</w:t>
      </w:r>
      <w:bookmarkEnd w:id="25"/>
      <w:bookmarkEnd w:id="26"/>
      <w:r w:rsidRPr="00921E8B">
        <w:rPr>
          <w:u w:color="FFFF00"/>
        </w:rPr>
        <w:t xml:space="preserve"> </w:t>
      </w:r>
      <w:bookmarkEnd w:id="27"/>
      <w:bookmarkEnd w:id="28"/>
    </w:p>
    <w:p w14:paraId="74B87201" w14:textId="7FF93F78" w:rsidR="00921E8B" w:rsidRPr="009554CC" w:rsidRDefault="00921E8B" w:rsidP="0040270B">
      <w:pPr>
        <w:spacing w:before="240"/>
      </w:pPr>
      <w:bookmarkStart w:id="30" w:name="_Toc370223469"/>
      <w:bookmarkEnd w:id="29"/>
      <w:r w:rsidRPr="009554CC">
        <w:t>The application was accepted for assessment because:</w:t>
      </w:r>
    </w:p>
    <w:p w14:paraId="62FA8420" w14:textId="77777777" w:rsidR="00921E8B" w:rsidRPr="009554CC" w:rsidRDefault="00921E8B" w:rsidP="00921E8B">
      <w:pPr>
        <w:pStyle w:val="FSBullet1"/>
        <w:numPr>
          <w:ilvl w:val="0"/>
          <w:numId w:val="8"/>
        </w:numPr>
        <w:ind w:left="567" w:hanging="567"/>
      </w:pPr>
      <w:r w:rsidRPr="009554CC">
        <w:t xml:space="preserve">it complied with the procedural requirements under subsection 22(2) of the </w:t>
      </w:r>
      <w:r>
        <w:rPr>
          <w:i/>
        </w:rPr>
        <w:t xml:space="preserve">Food Standards Australia New Zealand 1991 </w:t>
      </w:r>
      <w:r>
        <w:t>(</w:t>
      </w:r>
      <w:r w:rsidRPr="009554CC">
        <w:t>FSANZ Act</w:t>
      </w:r>
      <w:r>
        <w:t>);</w:t>
      </w:r>
    </w:p>
    <w:p w14:paraId="3FABB1E4" w14:textId="77777777" w:rsidR="00921E8B" w:rsidRPr="009554CC" w:rsidRDefault="00921E8B" w:rsidP="00921E8B">
      <w:pPr>
        <w:pStyle w:val="FSBullet1"/>
        <w:numPr>
          <w:ilvl w:val="0"/>
          <w:numId w:val="8"/>
        </w:numPr>
        <w:ind w:left="567" w:hanging="567"/>
      </w:pPr>
      <w:r w:rsidRPr="009554CC">
        <w:t>it related to a matter that warranted the variation of a food regulatory measure</w:t>
      </w:r>
      <w:r>
        <w:t>;</w:t>
      </w:r>
    </w:p>
    <w:p w14:paraId="6DB9EF76" w14:textId="59CBE62A" w:rsidR="00B12BBF" w:rsidRPr="00B12BBF" w:rsidRDefault="00921E8B" w:rsidP="0040270B">
      <w:pPr>
        <w:pStyle w:val="FSBullet1"/>
        <w:numPr>
          <w:ilvl w:val="0"/>
          <w:numId w:val="9"/>
        </w:numPr>
        <w:spacing w:after="240"/>
        <w:ind w:left="567" w:hanging="567"/>
      </w:pPr>
      <w:r w:rsidRPr="009554CC">
        <w:t xml:space="preserve">it was not so similar to a previous application for the variation of a food regulatory measure that it ought to be rejected. </w:t>
      </w:r>
    </w:p>
    <w:p w14:paraId="53D9F50B" w14:textId="77777777" w:rsidR="007A53BF" w:rsidRDefault="007A53BF" w:rsidP="00B12BBF">
      <w:pPr>
        <w:pStyle w:val="Heading2"/>
        <w:spacing w:before="0" w:after="0"/>
      </w:pPr>
      <w:bookmarkStart w:id="31" w:name="_Toc109221956"/>
      <w:r w:rsidRPr="007A53BF">
        <w:t>1.5</w:t>
      </w:r>
      <w:r w:rsidRPr="007A53BF">
        <w:tab/>
        <w:t>Procedure for assessment</w:t>
      </w:r>
      <w:bookmarkEnd w:id="30"/>
      <w:bookmarkEnd w:id="31"/>
    </w:p>
    <w:p w14:paraId="5C7734A3" w14:textId="7514F8D4" w:rsidR="00921E8B" w:rsidRPr="0040645B" w:rsidRDefault="00921E8B" w:rsidP="0040270B">
      <w:pPr>
        <w:spacing w:before="240"/>
      </w:pPr>
      <w:r w:rsidRPr="0040645B">
        <w:t>The application was assessed under the General Procedure.</w:t>
      </w:r>
    </w:p>
    <w:p w14:paraId="1FEBD353" w14:textId="77777777" w:rsidR="00422EC9" w:rsidRDefault="007A53BF" w:rsidP="00422EC9">
      <w:pPr>
        <w:pStyle w:val="Heading2"/>
      </w:pPr>
      <w:bookmarkStart w:id="32" w:name="_Toc109221957"/>
      <w:r>
        <w:t>1</w:t>
      </w:r>
      <w:r w:rsidR="00422EC9">
        <w:t>.6</w:t>
      </w:r>
      <w:r w:rsidR="00422EC9">
        <w:tab/>
      </w:r>
      <w:r w:rsidR="00422EC9" w:rsidRPr="00932F14">
        <w:t>Decision</w:t>
      </w:r>
      <w:bookmarkEnd w:id="32"/>
    </w:p>
    <w:p w14:paraId="3516D26C" w14:textId="044D72E4" w:rsidR="00401ADE" w:rsidRDefault="00422EC9" w:rsidP="00DD026E">
      <w:pPr>
        <w:spacing w:after="240"/>
      </w:pPr>
      <w:r w:rsidRPr="004838F8">
        <w:t xml:space="preserve">The draft </w:t>
      </w:r>
      <w:r w:rsidR="00DD026E" w:rsidRPr="004838F8">
        <w:t xml:space="preserve">variation </w:t>
      </w:r>
      <w:r w:rsidRPr="004838F8">
        <w:t xml:space="preserve">as proposed following assessment was approved </w:t>
      </w:r>
      <w:r w:rsidR="00D21977" w:rsidRPr="004838F8">
        <w:t>with one amendment to correct a typographical error</w:t>
      </w:r>
      <w:r w:rsidRPr="004838F8">
        <w:t>.</w:t>
      </w:r>
      <w:r w:rsidR="002C1A3B">
        <w:t xml:space="preserve"> </w:t>
      </w:r>
      <w:r>
        <w:t xml:space="preserve">The </w:t>
      </w:r>
      <w:r w:rsidR="002C1A3B">
        <w:t xml:space="preserve">approved </w:t>
      </w:r>
      <w:r>
        <w:t xml:space="preserve">draft </w:t>
      </w:r>
      <w:r w:rsidR="00DD026E" w:rsidRPr="00C23865">
        <w:t xml:space="preserve">variation takes effect on </w:t>
      </w:r>
      <w:r w:rsidR="00DD026E">
        <w:t xml:space="preserve">the date of </w:t>
      </w:r>
      <w:r w:rsidR="00DD026E" w:rsidRPr="00C23865">
        <w:lastRenderedPageBreak/>
        <w:t>g</w:t>
      </w:r>
      <w:r w:rsidR="00DD026E">
        <w:t>az</w:t>
      </w:r>
      <w:r w:rsidR="00DD026E" w:rsidRPr="00C23865">
        <w:t>ettal.</w:t>
      </w:r>
      <w:r w:rsidR="00DD026E">
        <w:t xml:space="preserve"> </w:t>
      </w:r>
      <w:r w:rsidR="00DD026E" w:rsidRPr="00C23865">
        <w:t>The approved draft variation is at Attachment A</w:t>
      </w:r>
      <w:r w:rsidR="00DD026E" w:rsidRPr="007C22CB">
        <w:t xml:space="preserve">. </w:t>
      </w:r>
    </w:p>
    <w:p w14:paraId="13A08DD6" w14:textId="12BBCEAD" w:rsidR="002C1A3B" w:rsidRPr="00DD026E"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DD026E">
        <w:t xml:space="preserve">. </w:t>
      </w:r>
    </w:p>
    <w:bookmarkEnd w:id="4"/>
    <w:bookmarkEnd w:id="5"/>
    <w:bookmarkEnd w:id="6"/>
    <w:bookmarkEnd w:id="7"/>
    <w:bookmarkEnd w:id="8"/>
    <w:p w14:paraId="443CF653" w14:textId="77777777" w:rsidR="0012388D" w:rsidRDefault="007A53BF" w:rsidP="00755F02">
      <w:pPr>
        <w:pStyle w:val="Heading1"/>
      </w:pPr>
      <w:r>
        <w:t>2</w:t>
      </w:r>
      <w:r w:rsidR="00AC428E">
        <w:tab/>
      </w:r>
      <w:r w:rsidR="00AF387F" w:rsidRPr="00CC560B">
        <w:t xml:space="preserve">Summary </w:t>
      </w:r>
      <w:r w:rsidR="00AF387F" w:rsidRPr="000B6AF2">
        <w:rPr>
          <w:u w:color="FFFF00"/>
        </w:rPr>
        <w:t>of</w:t>
      </w:r>
      <w:r w:rsidR="00AF387F" w:rsidRPr="00CC560B">
        <w:t xml:space="preserve"> the findings</w:t>
      </w:r>
    </w:p>
    <w:p w14:paraId="71C2B207" w14:textId="43D7F2CE" w:rsidR="007A53BF" w:rsidRPr="002C1A3B" w:rsidRDefault="007A53BF" w:rsidP="007A53BF">
      <w:pPr>
        <w:pStyle w:val="Heading2"/>
      </w:pPr>
      <w:bookmarkStart w:id="33" w:name="_Toc300933438"/>
      <w:bookmarkStart w:id="34" w:name="_Toc370223471"/>
      <w:bookmarkStart w:id="35" w:name="_Toc370225386"/>
      <w:bookmarkStart w:id="36" w:name="_Toc109221959"/>
      <w:bookmarkStart w:id="37" w:name="_Toc286391009"/>
      <w:bookmarkStart w:id="38" w:name="_Toc300933425"/>
      <w:bookmarkStart w:id="39" w:name="_Toc309291838"/>
      <w:bookmarkStart w:id="40" w:name="_Toc309385455"/>
      <w:bookmarkStart w:id="41" w:name="_Toc120358583"/>
      <w:bookmarkStart w:id="42" w:name="_Toc175381440"/>
      <w:r w:rsidRPr="002C1A3B">
        <w:t>2.1</w:t>
      </w:r>
      <w:r w:rsidRPr="002C1A3B">
        <w:tab/>
        <w:t xml:space="preserve">Summary of </w:t>
      </w:r>
      <w:r w:rsidR="0043246F">
        <w:t xml:space="preserve">issues </w:t>
      </w:r>
      <w:r w:rsidRPr="002C1A3B">
        <w:t xml:space="preserve">raised </w:t>
      </w:r>
      <w:bookmarkEnd w:id="33"/>
      <w:r w:rsidRPr="002C1A3B">
        <w:t>in submissions</w:t>
      </w:r>
      <w:bookmarkEnd w:id="34"/>
      <w:bookmarkEnd w:id="35"/>
      <w:bookmarkEnd w:id="36"/>
    </w:p>
    <w:p w14:paraId="15BB0388" w14:textId="14EE4443" w:rsidR="00DD026E" w:rsidRDefault="00DD026E" w:rsidP="00DD026E">
      <w:pPr>
        <w:spacing w:after="240"/>
        <w:rPr>
          <w:lang w:bidi="ar-SA"/>
        </w:rPr>
      </w:pPr>
      <w:r w:rsidRPr="00C655BA">
        <w:rPr>
          <w:lang w:bidi="ar-SA"/>
        </w:rPr>
        <w:t xml:space="preserve">FSANZ called for submissions on a proposed draft variation on </w:t>
      </w:r>
      <w:r>
        <w:rPr>
          <w:szCs w:val="20"/>
        </w:rPr>
        <w:t>27 May 2022. The consultation period was six weeks</w:t>
      </w:r>
      <w:r w:rsidRPr="00C655BA">
        <w:rPr>
          <w:lang w:bidi="ar-SA"/>
        </w:rPr>
        <w:t xml:space="preserve">. </w:t>
      </w:r>
    </w:p>
    <w:p w14:paraId="3EA04AE0" w14:textId="7E662B5A" w:rsidR="0043246F" w:rsidRDefault="00DD026E" w:rsidP="003B1FBA">
      <w:pPr>
        <w:spacing w:after="240"/>
        <w:rPr>
          <w:rStyle w:val="normaltextrun"/>
          <w:rFonts w:cs="Arial"/>
          <w:color w:val="000000"/>
          <w:szCs w:val="22"/>
          <w:shd w:val="clear" w:color="auto" w:fill="FFFFFF"/>
        </w:rPr>
      </w:pPr>
      <w:r w:rsidRPr="003B1FBA">
        <w:rPr>
          <w:szCs w:val="20"/>
        </w:rPr>
        <w:t xml:space="preserve">A total of </w:t>
      </w:r>
      <w:r w:rsidR="00516FD5" w:rsidRPr="003B1FBA">
        <w:rPr>
          <w:szCs w:val="20"/>
        </w:rPr>
        <w:t>three</w:t>
      </w:r>
      <w:r w:rsidRPr="003B1FBA">
        <w:rPr>
          <w:szCs w:val="20"/>
        </w:rPr>
        <w:t xml:space="preserve"> submissions were received.</w:t>
      </w:r>
      <w:r w:rsidR="00516FD5" w:rsidRPr="003B1FBA">
        <w:rPr>
          <w:szCs w:val="20"/>
        </w:rPr>
        <w:t xml:space="preserve"> </w:t>
      </w:r>
      <w:r w:rsidR="0043246F">
        <w:rPr>
          <w:rStyle w:val="normaltextrun"/>
          <w:rFonts w:cs="Arial"/>
          <w:color w:val="000000"/>
          <w:szCs w:val="22"/>
          <w:shd w:val="clear" w:color="auto" w:fill="FFFFFF"/>
        </w:rPr>
        <w:t>These were from:</w:t>
      </w:r>
    </w:p>
    <w:p w14:paraId="334DF4C1" w14:textId="77777777" w:rsidR="0043246F" w:rsidRDefault="0043246F" w:rsidP="0043246F">
      <w:pPr>
        <w:pStyle w:val="ListParagraph"/>
        <w:numPr>
          <w:ilvl w:val="0"/>
          <w:numId w:val="15"/>
        </w:numPr>
        <w:spacing w:after="240"/>
        <w:rPr>
          <w:szCs w:val="20"/>
        </w:rPr>
      </w:pPr>
      <w:r w:rsidRPr="0043246F">
        <w:rPr>
          <w:szCs w:val="20"/>
        </w:rPr>
        <w:t>Victorian Department of Health and the Victorian Department of Jobs, Precincts and Regions </w:t>
      </w:r>
    </w:p>
    <w:p w14:paraId="79C82D45" w14:textId="26A04716" w:rsidR="0043246F" w:rsidRDefault="0043246F" w:rsidP="0043246F">
      <w:pPr>
        <w:pStyle w:val="ListParagraph"/>
        <w:numPr>
          <w:ilvl w:val="0"/>
          <w:numId w:val="15"/>
        </w:numPr>
        <w:spacing w:after="240"/>
        <w:rPr>
          <w:szCs w:val="20"/>
        </w:rPr>
      </w:pPr>
      <w:r w:rsidRPr="0043246F">
        <w:rPr>
          <w:szCs w:val="20"/>
        </w:rPr>
        <w:t>New Zealand Food Safety (NZFS) </w:t>
      </w:r>
    </w:p>
    <w:p w14:paraId="6DD3DB40" w14:textId="3766A256" w:rsidR="0043246F" w:rsidRPr="0043246F" w:rsidRDefault="0043246F" w:rsidP="0043246F">
      <w:pPr>
        <w:pStyle w:val="ListParagraph"/>
        <w:numPr>
          <w:ilvl w:val="0"/>
          <w:numId w:val="15"/>
        </w:numPr>
        <w:spacing w:after="240"/>
        <w:rPr>
          <w:szCs w:val="20"/>
        </w:rPr>
      </w:pPr>
      <w:r w:rsidRPr="003B3D37">
        <w:rPr>
          <w:lang w:bidi="ar-SA"/>
        </w:rPr>
        <w:t>New Zealand Food &amp; Grocery Council (NZFGC)</w:t>
      </w:r>
      <w:r>
        <w:rPr>
          <w:lang w:bidi="ar-SA"/>
        </w:rPr>
        <w:t>.</w:t>
      </w:r>
    </w:p>
    <w:p w14:paraId="048AA8EE" w14:textId="02A9D3DD" w:rsidR="00BD3844" w:rsidRPr="0043246F" w:rsidRDefault="008E202F" w:rsidP="003B1FBA">
      <w:pPr>
        <w:spacing w:after="240"/>
        <w:rPr>
          <w:szCs w:val="20"/>
        </w:rPr>
      </w:pPr>
      <w:r>
        <w:rPr>
          <w:szCs w:val="20"/>
        </w:rPr>
        <w:t>N</w:t>
      </w:r>
      <w:r w:rsidR="0043246F">
        <w:rPr>
          <w:szCs w:val="20"/>
        </w:rPr>
        <w:t xml:space="preserve">o objections </w:t>
      </w:r>
      <w:r>
        <w:rPr>
          <w:szCs w:val="20"/>
        </w:rPr>
        <w:t xml:space="preserve">were raised </w:t>
      </w:r>
      <w:r w:rsidR="0043246F">
        <w:rPr>
          <w:szCs w:val="20"/>
        </w:rPr>
        <w:t xml:space="preserve">to the </w:t>
      </w:r>
      <w:r w:rsidR="0043246F">
        <w:rPr>
          <w:rStyle w:val="normaltextrun"/>
          <w:rFonts w:cs="Arial"/>
          <w:color w:val="000000"/>
          <w:szCs w:val="22"/>
          <w:shd w:val="clear" w:color="auto" w:fill="FFFFFF"/>
        </w:rPr>
        <w:t>proposed draft variation to Schedule 26.</w:t>
      </w:r>
    </w:p>
    <w:p w14:paraId="79D6E808" w14:textId="2F6DE5EF" w:rsidR="003B1FBA" w:rsidRPr="00BD3844" w:rsidRDefault="003B1FBA" w:rsidP="00BD3844">
      <w:pPr>
        <w:spacing w:after="240"/>
        <w:rPr>
          <w:szCs w:val="20"/>
        </w:rPr>
      </w:pPr>
      <w:r>
        <w:rPr>
          <w:lang w:bidi="ar-SA"/>
        </w:rPr>
        <w:t xml:space="preserve">In </w:t>
      </w:r>
      <w:r w:rsidR="008E202F">
        <w:rPr>
          <w:lang w:bidi="ar-SA"/>
        </w:rPr>
        <w:t xml:space="preserve">relation </w:t>
      </w:r>
      <w:r>
        <w:rPr>
          <w:lang w:bidi="ar-SA"/>
        </w:rPr>
        <w:t xml:space="preserve">to the nutrition risk assessment, NZFS stated their agreement with FSANZ </w:t>
      </w:r>
      <w:r w:rsidRPr="009D3B4E">
        <w:rPr>
          <w:lang w:bidi="ar-SA"/>
        </w:rPr>
        <w:t xml:space="preserve">that the baseline intake of </w:t>
      </w:r>
      <w:r>
        <w:rPr>
          <w:lang w:bidi="ar-SA"/>
        </w:rPr>
        <w:t>n-3</w:t>
      </w:r>
      <w:r w:rsidRPr="009D3B4E">
        <w:rPr>
          <w:lang w:bidi="ar-SA"/>
        </w:rPr>
        <w:t xml:space="preserve"> LC PUFAs in Australia can be used to approximate the corresponding intake in New Zealand</w:t>
      </w:r>
      <w:r>
        <w:rPr>
          <w:lang w:bidi="ar-SA"/>
        </w:rPr>
        <w:t xml:space="preserve">. </w:t>
      </w:r>
      <w:r w:rsidR="008E202F">
        <w:rPr>
          <w:lang w:bidi="ar-SA"/>
        </w:rPr>
        <w:t>N</w:t>
      </w:r>
      <w:r>
        <w:rPr>
          <w:lang w:bidi="ar-SA"/>
        </w:rPr>
        <w:t>o</w:t>
      </w:r>
      <w:r w:rsidRPr="009D3B4E">
        <w:rPr>
          <w:lang w:bidi="ar-SA"/>
        </w:rPr>
        <w:t xml:space="preserve"> dietary intake data</w:t>
      </w:r>
      <w:r w:rsidR="008E202F">
        <w:rPr>
          <w:lang w:bidi="ar-SA"/>
        </w:rPr>
        <w:t xml:space="preserve"> are</w:t>
      </w:r>
      <w:r w:rsidRPr="009D3B4E">
        <w:rPr>
          <w:lang w:bidi="ar-SA"/>
        </w:rPr>
        <w:t xml:space="preserve"> available for New Zealand fo</w:t>
      </w:r>
      <w:r>
        <w:rPr>
          <w:lang w:bidi="ar-SA"/>
        </w:rPr>
        <w:t>r individual n-3 LC PUFAs.</w:t>
      </w:r>
    </w:p>
    <w:p w14:paraId="1A86CB04" w14:textId="22D9646A" w:rsidR="00DD026E" w:rsidRDefault="003B1FBA" w:rsidP="0040270B">
      <w:pPr>
        <w:spacing w:after="240"/>
        <w:rPr>
          <w:lang w:bidi="ar-SA"/>
        </w:rPr>
      </w:pPr>
      <w:r>
        <w:rPr>
          <w:lang w:bidi="ar-SA"/>
        </w:rPr>
        <w:t xml:space="preserve">Responses to issues raised in submissions are provided </w:t>
      </w:r>
      <w:r w:rsidRPr="00807FDE">
        <w:rPr>
          <w:lang w:bidi="ar-SA"/>
        </w:rPr>
        <w:t xml:space="preserve">in Table 1. </w:t>
      </w:r>
    </w:p>
    <w:p w14:paraId="630E66A7" w14:textId="5008DF86" w:rsidR="007A53BF" w:rsidRPr="00B853D2" w:rsidRDefault="007A53BF" w:rsidP="0040270B">
      <w:pPr>
        <w:pStyle w:val="FSTableTitle"/>
        <w:spacing w:after="240"/>
      </w:pPr>
      <w:r>
        <w:t xml:space="preserve">Table 1: </w:t>
      </w:r>
      <w:r w:rsidR="00760FF6">
        <w:t xml:space="preserve">Summary of </w:t>
      </w:r>
      <w:r>
        <w:t>issues</w:t>
      </w:r>
      <w:r w:rsidR="00760FF6">
        <w:t xml:space="preserve"> / comments</w:t>
      </w:r>
      <w:r>
        <w:t xml:space="preserve"> </w:t>
      </w: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issues / comments "/>
      </w:tblPr>
      <w:tblGrid>
        <w:gridCol w:w="2542"/>
        <w:gridCol w:w="1416"/>
        <w:gridCol w:w="5082"/>
        <w:gridCol w:w="10"/>
      </w:tblGrid>
      <w:tr w:rsidR="007A53BF" w14:paraId="0C2664C0" w14:textId="77777777" w:rsidTr="005E66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3A84EEBC" w14:textId="77777777" w:rsidR="007A53BF" w:rsidRPr="008C4E76" w:rsidRDefault="007A53BF" w:rsidP="008C4E76">
            <w:pPr>
              <w:pStyle w:val="FSTableHeading"/>
              <w:rPr>
                <w:b/>
              </w:rPr>
            </w:pPr>
            <w:r w:rsidRPr="008C4E76">
              <w:rPr>
                <w:b/>
              </w:rPr>
              <w:t>Issue</w:t>
            </w:r>
          </w:p>
        </w:tc>
        <w:tc>
          <w:tcPr>
            <w:tcW w:w="1417" w:type="dxa"/>
          </w:tcPr>
          <w:p w14:paraId="18C76283"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5096" w:type="dxa"/>
            <w:gridSpan w:val="2"/>
          </w:tcPr>
          <w:p w14:paraId="341B089E" w14:textId="5183F1EF" w:rsidR="001D43F6" w:rsidRPr="008C4E76" w:rsidRDefault="007A53BF" w:rsidP="0043246F">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14:paraId="20A0E2D7" w14:textId="77777777" w:rsidTr="005E66A9">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Borders>
              <w:top w:val="single" w:sz="8" w:space="0" w:color="B3CC82"/>
              <w:bottom w:val="single" w:sz="4" w:space="0" w:color="auto"/>
              <w:right w:val="single" w:sz="4" w:space="0" w:color="auto"/>
            </w:tcBorders>
          </w:tcPr>
          <w:p w14:paraId="37F3DAF0" w14:textId="26DA8FE5" w:rsidR="007A53BF" w:rsidRPr="00D447CB" w:rsidRDefault="5C6C278C" w:rsidP="009D3B4E">
            <w:pPr>
              <w:spacing w:after="240"/>
              <w:rPr>
                <w:sz w:val="20"/>
                <w:szCs w:val="20"/>
              </w:rPr>
            </w:pPr>
            <w:r w:rsidRPr="4DFADFFF">
              <w:rPr>
                <w:b w:val="0"/>
                <w:bCs w:val="0"/>
                <w:sz w:val="20"/>
                <w:szCs w:val="20"/>
              </w:rPr>
              <w:t>As the absorption and uptake of n-3 LC-PUFAs is influence</w:t>
            </w:r>
            <w:r w:rsidR="59E3647D" w:rsidRPr="4DFADFFF">
              <w:rPr>
                <w:b w:val="0"/>
                <w:bCs w:val="0"/>
                <w:sz w:val="20"/>
                <w:szCs w:val="20"/>
              </w:rPr>
              <w:t>d</w:t>
            </w:r>
            <w:r w:rsidRPr="4DFADFFF">
              <w:rPr>
                <w:b w:val="0"/>
                <w:bCs w:val="0"/>
                <w:sz w:val="20"/>
                <w:szCs w:val="20"/>
              </w:rPr>
              <w:t xml:space="preserve"> by multiple factors, </w:t>
            </w:r>
            <w:r w:rsidR="6F99118C" w:rsidRPr="4DFADFFF">
              <w:rPr>
                <w:b w:val="0"/>
                <w:bCs w:val="0"/>
                <w:sz w:val="20"/>
                <w:szCs w:val="20"/>
              </w:rPr>
              <w:t xml:space="preserve">including total fat content and the </w:t>
            </w:r>
            <w:r w:rsidRPr="4DFADFFF">
              <w:rPr>
                <w:b w:val="0"/>
                <w:bCs w:val="0"/>
                <w:sz w:val="20"/>
                <w:szCs w:val="20"/>
              </w:rPr>
              <w:t>presence</w:t>
            </w:r>
            <w:r w:rsidR="6F99118C" w:rsidRPr="4DFADFFF">
              <w:rPr>
                <w:b w:val="0"/>
                <w:bCs w:val="0"/>
                <w:sz w:val="20"/>
                <w:szCs w:val="20"/>
              </w:rPr>
              <w:t xml:space="preserve"> of inhibitory </w:t>
            </w:r>
            <w:r w:rsidRPr="4DFADFFF">
              <w:rPr>
                <w:b w:val="0"/>
                <w:bCs w:val="0"/>
                <w:sz w:val="20"/>
                <w:szCs w:val="20"/>
              </w:rPr>
              <w:t xml:space="preserve">substances </w:t>
            </w:r>
            <w:r w:rsidR="59E3647D" w:rsidRPr="4DFADFFF">
              <w:rPr>
                <w:b w:val="0"/>
                <w:bCs w:val="0"/>
                <w:sz w:val="20"/>
                <w:szCs w:val="20"/>
              </w:rPr>
              <w:t>in</w:t>
            </w:r>
            <w:r w:rsidRPr="4DFADFFF">
              <w:rPr>
                <w:b w:val="0"/>
                <w:bCs w:val="0"/>
                <w:sz w:val="20"/>
                <w:szCs w:val="20"/>
              </w:rPr>
              <w:t xml:space="preserve"> foods, it is important to evaluate the</w:t>
            </w:r>
            <w:r w:rsidR="00512597" w:rsidRPr="4DFADFFF">
              <w:rPr>
                <w:b w:val="0"/>
                <w:bCs w:val="0"/>
                <w:sz w:val="20"/>
                <w:szCs w:val="20"/>
              </w:rPr>
              <w:t xml:space="preserve"> availability </w:t>
            </w:r>
            <w:r w:rsidRPr="4DFADFFF">
              <w:rPr>
                <w:b w:val="0"/>
                <w:bCs w:val="0"/>
                <w:sz w:val="20"/>
                <w:szCs w:val="20"/>
              </w:rPr>
              <w:t xml:space="preserve">in LBFLFK oil in more depth. </w:t>
            </w:r>
          </w:p>
        </w:tc>
        <w:tc>
          <w:tcPr>
            <w:tcW w:w="1417" w:type="dxa"/>
            <w:tcBorders>
              <w:top w:val="single" w:sz="8" w:space="0" w:color="B3CC82"/>
              <w:left w:val="single" w:sz="4" w:space="0" w:color="auto"/>
              <w:bottom w:val="single" w:sz="4" w:space="0" w:color="auto"/>
              <w:right w:val="single" w:sz="4" w:space="0" w:color="auto"/>
            </w:tcBorders>
          </w:tcPr>
          <w:p w14:paraId="21230414" w14:textId="715ABDF0" w:rsidR="007A53BF" w:rsidRPr="00D447CB" w:rsidRDefault="00DD026E" w:rsidP="00DD026E">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D447CB">
              <w:rPr>
                <w:color w:val="000000" w:themeColor="text1"/>
                <w:sz w:val="20"/>
                <w:szCs w:val="20"/>
                <w:lang w:bidi="ar-SA"/>
              </w:rPr>
              <w:t>Victorian Department of Health and the Victorian Department of Jobs, Precincts and Regions</w:t>
            </w:r>
          </w:p>
        </w:tc>
        <w:tc>
          <w:tcPr>
            <w:tcW w:w="5096" w:type="dxa"/>
            <w:tcBorders>
              <w:left w:val="single" w:sz="4" w:space="0" w:color="auto"/>
              <w:bottom w:val="single" w:sz="4" w:space="0" w:color="auto"/>
            </w:tcBorders>
          </w:tcPr>
          <w:p w14:paraId="57603367" w14:textId="29CF17D0" w:rsidR="007A53BF" w:rsidRPr="00D447CB" w:rsidRDefault="59E3647D" w:rsidP="002401C0">
            <w:pPr>
              <w:pStyle w:val="FSTableText"/>
              <w:cnfStyle w:val="000000100000" w:firstRow="0" w:lastRow="0" w:firstColumn="0" w:lastColumn="0" w:oddVBand="0" w:evenVBand="0" w:oddHBand="1" w:evenHBand="0" w:firstRowFirstColumn="0" w:firstRowLastColumn="0" w:lastRowFirstColumn="0" w:lastRowLastColumn="0"/>
            </w:pPr>
            <w:r>
              <w:t xml:space="preserve">The </w:t>
            </w:r>
            <w:r w:rsidR="722F9C9C">
              <w:t xml:space="preserve">bioavailability of </w:t>
            </w:r>
            <w:r>
              <w:t>nutrients in general is influenced by multiple factors. As fo</w:t>
            </w:r>
            <w:r w:rsidR="0D8542C0">
              <w:t xml:space="preserve">r other vegetable oils, </w:t>
            </w:r>
            <w:r w:rsidR="564F4C49">
              <w:t xml:space="preserve">normal dietary </w:t>
            </w:r>
            <w:r>
              <w:t>consumption of LBFLFK oil will be predominantly from mixed foods of wide-ranging nutrient composition. Therefore, in a total dietary context, the composition of LBFLFK oil</w:t>
            </w:r>
            <w:r w:rsidR="520CD44F">
              <w:t xml:space="preserve"> itself</w:t>
            </w:r>
            <w:r>
              <w:t xml:space="preserve"> would be expected to have a minor impact on n-3 LC-PUFA </w:t>
            </w:r>
            <w:r w:rsidR="722F9C9C">
              <w:t>bio</w:t>
            </w:r>
            <w:r>
              <w:t>availability from LBFLFK oil.</w:t>
            </w:r>
          </w:p>
        </w:tc>
      </w:tr>
      <w:tr w:rsidR="00BD3844" w14:paraId="443B5516" w14:textId="77777777" w:rsidTr="005E66A9">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4" w:space="0" w:color="auto"/>
            </w:tcBorders>
          </w:tcPr>
          <w:p w14:paraId="14C31C4E" w14:textId="7B1B975D" w:rsidR="00BD3844" w:rsidRPr="00D447CB" w:rsidRDefault="00BD3844" w:rsidP="00BD3844">
            <w:pPr>
              <w:spacing w:after="240"/>
              <w:rPr>
                <w:b w:val="0"/>
                <w:bCs w:val="0"/>
                <w:sz w:val="20"/>
                <w:szCs w:val="20"/>
              </w:rPr>
            </w:pPr>
            <w:r w:rsidRPr="00D447CB">
              <w:rPr>
                <w:b w:val="0"/>
                <w:bCs w:val="0"/>
                <w:sz w:val="20"/>
                <w:szCs w:val="20"/>
              </w:rPr>
              <w:t>No analysis was provided of whether the insertion points disrupted any known functional genes within the canola genome</w:t>
            </w:r>
          </w:p>
        </w:tc>
        <w:tc>
          <w:tcPr>
            <w:tcW w:w="0" w:type="dxa"/>
            <w:tcBorders>
              <w:left w:val="single" w:sz="4" w:space="0" w:color="auto"/>
              <w:bottom w:val="single" w:sz="4" w:space="0" w:color="auto"/>
              <w:right w:val="single" w:sz="4" w:space="0" w:color="auto"/>
            </w:tcBorders>
          </w:tcPr>
          <w:p w14:paraId="1C21A312" w14:textId="22C7A80C" w:rsidR="00BD3844" w:rsidRPr="00D447CB" w:rsidRDefault="00BD3844" w:rsidP="00BD3844">
            <w:pPr>
              <w:spacing w:after="240"/>
              <w:cnfStyle w:val="000000010000" w:firstRow="0" w:lastRow="0" w:firstColumn="0" w:lastColumn="0" w:oddVBand="0" w:evenVBand="0" w:oddHBand="0" w:evenHBand="1" w:firstRowFirstColumn="0" w:firstRowLastColumn="0" w:lastRowFirstColumn="0" w:lastRowLastColumn="0"/>
              <w:rPr>
                <w:color w:val="000000" w:themeColor="text1"/>
                <w:sz w:val="20"/>
                <w:szCs w:val="20"/>
                <w:lang w:bidi="ar-SA"/>
              </w:rPr>
            </w:pPr>
            <w:r w:rsidRPr="00D447CB">
              <w:rPr>
                <w:sz w:val="20"/>
                <w:szCs w:val="20"/>
              </w:rPr>
              <w:t>NZFS</w:t>
            </w:r>
          </w:p>
        </w:tc>
        <w:tc>
          <w:tcPr>
            <w:tcW w:w="0" w:type="dxa"/>
            <w:tcBorders>
              <w:left w:val="single" w:sz="4" w:space="0" w:color="auto"/>
            </w:tcBorders>
          </w:tcPr>
          <w:p w14:paraId="11AE1496" w14:textId="357B1F73" w:rsidR="00977E90" w:rsidRDefault="00977E90" w:rsidP="0040270B">
            <w:pPr>
              <w:spacing w:after="24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Information about the chromosome integration sites for the two T-DNA inserts was provided by the applicant and evaluated by </w:t>
            </w:r>
            <w:r w:rsidR="00D75ECF" w:rsidRPr="00D447CB">
              <w:rPr>
                <w:rFonts w:eastAsia="Arial" w:cs="Arial"/>
                <w:sz w:val="20"/>
                <w:szCs w:val="20"/>
              </w:rPr>
              <w:t xml:space="preserve">FSANZ </w:t>
            </w:r>
            <w:r>
              <w:rPr>
                <w:rFonts w:eastAsia="Arial" w:cs="Arial"/>
                <w:sz w:val="20"/>
                <w:szCs w:val="20"/>
              </w:rPr>
              <w:t>as part of the safety assessment</w:t>
            </w:r>
            <w:r w:rsidR="00D75ECF" w:rsidRPr="00D447CB">
              <w:rPr>
                <w:rFonts w:eastAsia="Arial" w:cs="Arial"/>
                <w:sz w:val="20"/>
                <w:szCs w:val="20"/>
              </w:rPr>
              <w:t xml:space="preserve">. </w:t>
            </w:r>
            <w:r>
              <w:rPr>
                <w:rFonts w:eastAsia="Arial" w:cs="Arial"/>
                <w:sz w:val="20"/>
                <w:szCs w:val="20"/>
              </w:rPr>
              <w:t>S</w:t>
            </w:r>
            <w:r w:rsidR="00D75ECF" w:rsidRPr="00D447CB">
              <w:rPr>
                <w:rFonts w:eastAsia="Arial" w:cs="Arial"/>
                <w:sz w:val="20"/>
                <w:szCs w:val="20"/>
              </w:rPr>
              <w:t>ee Section 3.4.3 of the SD1.</w:t>
            </w:r>
            <w:r>
              <w:rPr>
                <w:rFonts w:eastAsia="Arial" w:cs="Arial"/>
                <w:sz w:val="20"/>
                <w:szCs w:val="20"/>
              </w:rPr>
              <w:t xml:space="preserve"> </w:t>
            </w:r>
          </w:p>
          <w:p w14:paraId="4F724057" w14:textId="5EDF1D61" w:rsidR="00D41E6F" w:rsidRDefault="00D41E6F" w:rsidP="0040270B">
            <w:pPr>
              <w:spacing w:after="24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D41E6F">
              <w:rPr>
                <w:rFonts w:eastAsia="Arial" w:cs="Arial"/>
                <w:sz w:val="20"/>
                <w:szCs w:val="20"/>
              </w:rPr>
              <w:t xml:space="preserve">The genetic modification process typically involves the random insertion of DNA into the genome and may sometimes disrupt an endogenous gene. The integration process is also often accompanied by </w:t>
            </w:r>
            <w:r w:rsidR="00DA7447">
              <w:rPr>
                <w:rFonts w:eastAsia="Arial" w:cs="Arial"/>
                <w:sz w:val="20"/>
                <w:szCs w:val="20"/>
              </w:rPr>
              <w:t>genome</w:t>
            </w:r>
            <w:r>
              <w:rPr>
                <w:rFonts w:eastAsia="Arial" w:cs="Arial"/>
                <w:sz w:val="20"/>
                <w:szCs w:val="20"/>
              </w:rPr>
              <w:t xml:space="preserve"> </w:t>
            </w:r>
            <w:r w:rsidRPr="00D41E6F">
              <w:rPr>
                <w:rFonts w:eastAsia="Arial" w:cs="Arial"/>
                <w:sz w:val="20"/>
                <w:szCs w:val="20"/>
              </w:rPr>
              <w:t xml:space="preserve">changes (i.e. insertions, deletions, and/or rearrangements) at the site of integration. </w:t>
            </w:r>
          </w:p>
          <w:p w14:paraId="4BE81DD5" w14:textId="361742B6" w:rsidR="00F4235B" w:rsidRPr="00D447CB" w:rsidRDefault="00977E90">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FSANZ does not require that information be provided </w:t>
            </w:r>
            <w:r>
              <w:rPr>
                <w:rFonts w:eastAsia="Arial" w:cs="Arial"/>
                <w:sz w:val="20"/>
                <w:szCs w:val="20"/>
              </w:rPr>
              <w:lastRenderedPageBreak/>
              <w:t>about whether any known functional genes have been disrupted by the insertion</w:t>
            </w:r>
            <w:r w:rsidR="00F02F0B">
              <w:rPr>
                <w:rFonts w:eastAsia="Arial" w:cs="Arial"/>
                <w:sz w:val="20"/>
                <w:szCs w:val="20"/>
              </w:rPr>
              <w:t xml:space="preserve"> for the following reasons:</w:t>
            </w:r>
            <w:r>
              <w:rPr>
                <w:rFonts w:eastAsia="Arial" w:cs="Arial"/>
                <w:sz w:val="20"/>
                <w:szCs w:val="20"/>
              </w:rPr>
              <w:t xml:space="preserve"> </w:t>
            </w:r>
          </w:p>
          <w:p w14:paraId="55EA3771" w14:textId="289845FD" w:rsidR="00F02F0B" w:rsidRDefault="00D41E6F" w:rsidP="00D41E6F">
            <w:pPr>
              <w:pStyle w:val="ListParagraph"/>
              <w:numPr>
                <w:ilvl w:val="0"/>
                <w:numId w:val="18"/>
              </w:numPr>
              <w:spacing w:after="24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G</w:t>
            </w:r>
            <w:r w:rsidR="2D3C6BA6" w:rsidRPr="4DFADFFF">
              <w:rPr>
                <w:rFonts w:eastAsia="Arial" w:cs="Arial"/>
                <w:sz w:val="20"/>
                <w:szCs w:val="20"/>
              </w:rPr>
              <w:t>enome changes</w:t>
            </w:r>
            <w:r>
              <w:rPr>
                <w:rFonts w:eastAsia="Arial" w:cs="Arial"/>
                <w:sz w:val="20"/>
                <w:szCs w:val="20"/>
              </w:rPr>
              <w:t xml:space="preserve"> </w:t>
            </w:r>
            <w:r w:rsidR="2D3C6BA6" w:rsidRPr="4DFADFFF">
              <w:rPr>
                <w:rFonts w:eastAsia="Arial" w:cs="Arial"/>
                <w:sz w:val="20"/>
                <w:szCs w:val="20"/>
              </w:rPr>
              <w:t xml:space="preserve">are </w:t>
            </w:r>
            <w:r w:rsidR="7BF3AFBA" w:rsidRPr="4DFADFFF">
              <w:rPr>
                <w:rFonts w:eastAsia="Arial" w:cs="Arial"/>
                <w:sz w:val="20"/>
                <w:szCs w:val="20"/>
              </w:rPr>
              <w:t xml:space="preserve">not specific to </w:t>
            </w:r>
            <w:r w:rsidR="52F02E2F" w:rsidRPr="4DFADFFF">
              <w:rPr>
                <w:rFonts w:eastAsia="Arial" w:cs="Arial"/>
                <w:sz w:val="20"/>
                <w:szCs w:val="20"/>
              </w:rPr>
              <w:t xml:space="preserve">genetic modification </w:t>
            </w:r>
            <w:r w:rsidR="2D3C6BA6" w:rsidRPr="4DFADFFF">
              <w:rPr>
                <w:rFonts w:eastAsia="Arial" w:cs="Arial"/>
                <w:sz w:val="20"/>
                <w:szCs w:val="20"/>
              </w:rPr>
              <w:t xml:space="preserve">and can </w:t>
            </w:r>
            <w:r w:rsidR="7BF3AFBA" w:rsidRPr="4DFADFFF">
              <w:rPr>
                <w:rFonts w:eastAsia="Arial" w:cs="Arial"/>
                <w:sz w:val="20"/>
                <w:szCs w:val="20"/>
              </w:rPr>
              <w:t xml:space="preserve">also occur </w:t>
            </w:r>
            <w:r w:rsidR="52F02E2F" w:rsidRPr="4DFADFFF">
              <w:rPr>
                <w:rFonts w:eastAsia="Arial" w:cs="Arial"/>
                <w:sz w:val="20"/>
                <w:szCs w:val="20"/>
              </w:rPr>
              <w:t xml:space="preserve">spontaneously </w:t>
            </w:r>
            <w:r w:rsidR="2D3C6BA6" w:rsidRPr="4DFADFFF">
              <w:rPr>
                <w:rFonts w:eastAsia="Arial" w:cs="Arial"/>
                <w:sz w:val="20"/>
                <w:szCs w:val="20"/>
              </w:rPr>
              <w:t xml:space="preserve">or </w:t>
            </w:r>
            <w:r w:rsidR="52F02E2F" w:rsidRPr="4DFADFFF">
              <w:rPr>
                <w:rFonts w:eastAsia="Arial" w:cs="Arial"/>
                <w:sz w:val="20"/>
                <w:szCs w:val="20"/>
              </w:rPr>
              <w:t xml:space="preserve">as a result of </w:t>
            </w:r>
            <w:r w:rsidR="7BF3AFBA" w:rsidRPr="4DFADFFF">
              <w:rPr>
                <w:rFonts w:eastAsia="Arial" w:cs="Arial"/>
                <w:sz w:val="20"/>
                <w:szCs w:val="20"/>
              </w:rPr>
              <w:t>conventional breeding</w:t>
            </w:r>
            <w:r w:rsidR="2935D457" w:rsidRPr="4DFADFFF">
              <w:rPr>
                <w:rFonts w:eastAsia="Arial" w:cs="Arial"/>
                <w:sz w:val="20"/>
                <w:szCs w:val="20"/>
              </w:rPr>
              <w:t xml:space="preserve"> (S</w:t>
            </w:r>
            <w:r w:rsidR="1744ED6E" w:rsidRPr="4DFADFFF">
              <w:rPr>
                <w:rFonts w:eastAsia="Arial" w:cs="Arial"/>
                <w:sz w:val="20"/>
                <w:szCs w:val="20"/>
              </w:rPr>
              <w:t>chnell et al 2015)</w:t>
            </w:r>
            <w:r w:rsidR="7BF3AFBA" w:rsidRPr="4DFADFFF">
              <w:rPr>
                <w:rFonts w:eastAsia="Arial" w:cs="Arial"/>
                <w:sz w:val="20"/>
                <w:szCs w:val="20"/>
              </w:rPr>
              <w:t xml:space="preserve">. </w:t>
            </w:r>
          </w:p>
          <w:p w14:paraId="060EA750" w14:textId="1EEFFFBE" w:rsidR="00BD3844" w:rsidRDefault="7BF3AFBA" w:rsidP="00D41E6F">
            <w:pPr>
              <w:pStyle w:val="ListParagraph"/>
              <w:numPr>
                <w:ilvl w:val="0"/>
                <w:numId w:val="18"/>
              </w:numPr>
              <w:spacing w:after="24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4DFADFFF">
              <w:rPr>
                <w:rFonts w:eastAsia="Arial" w:cs="Arial"/>
                <w:sz w:val="20"/>
                <w:szCs w:val="20"/>
              </w:rPr>
              <w:t xml:space="preserve">Accumulated evidence and regulatory experience over the last 25 years </w:t>
            </w:r>
            <w:r w:rsidR="007902E9">
              <w:rPr>
                <w:rFonts w:eastAsia="Arial" w:cs="Arial"/>
                <w:sz w:val="20"/>
                <w:szCs w:val="20"/>
              </w:rPr>
              <w:t>indicate</w:t>
            </w:r>
            <w:r w:rsidRPr="4DFADFFF">
              <w:rPr>
                <w:rFonts w:eastAsia="Arial" w:cs="Arial"/>
                <w:sz w:val="20"/>
                <w:szCs w:val="20"/>
              </w:rPr>
              <w:t xml:space="preserve"> </w:t>
            </w:r>
            <w:r w:rsidR="2D3C6BA6" w:rsidRPr="4DFADFFF">
              <w:rPr>
                <w:rFonts w:eastAsia="Arial" w:cs="Arial"/>
                <w:sz w:val="20"/>
                <w:szCs w:val="20"/>
              </w:rPr>
              <w:t xml:space="preserve">such changes are </w:t>
            </w:r>
            <w:r w:rsidR="7ABE67CF" w:rsidRPr="4DFADFFF">
              <w:rPr>
                <w:rFonts w:eastAsia="Arial" w:cs="Arial"/>
                <w:sz w:val="20"/>
                <w:szCs w:val="20"/>
              </w:rPr>
              <w:t>un</w:t>
            </w:r>
            <w:r w:rsidR="2D3C6BA6" w:rsidRPr="4DFADFFF">
              <w:rPr>
                <w:rFonts w:eastAsia="Arial" w:cs="Arial"/>
                <w:sz w:val="20"/>
                <w:szCs w:val="20"/>
              </w:rPr>
              <w:t xml:space="preserve">likely to be </w:t>
            </w:r>
            <w:r w:rsidR="7ABE67CF" w:rsidRPr="4DFADFFF">
              <w:rPr>
                <w:rFonts w:eastAsia="Arial" w:cs="Arial"/>
                <w:sz w:val="20"/>
                <w:szCs w:val="20"/>
              </w:rPr>
              <w:t>of consequence for human health</w:t>
            </w:r>
            <w:r w:rsidR="1CA8A450" w:rsidRPr="4DFADFFF">
              <w:rPr>
                <w:rFonts w:eastAsia="Arial" w:cs="Arial"/>
                <w:sz w:val="20"/>
                <w:szCs w:val="20"/>
              </w:rPr>
              <w:t>.</w:t>
            </w:r>
          </w:p>
          <w:p w14:paraId="5179AEFF" w14:textId="34EE1A0A" w:rsidR="00BD3844" w:rsidRPr="00D447CB" w:rsidRDefault="00F02F0B" w:rsidP="008E7276">
            <w:pPr>
              <w:spacing w:after="240"/>
              <w:cnfStyle w:val="000000010000" w:firstRow="0" w:lastRow="0" w:firstColumn="0" w:lastColumn="0" w:oddVBand="0" w:evenVBand="0" w:oddHBand="0" w:evenHBand="1" w:firstRowFirstColumn="0" w:firstRowLastColumn="0" w:lastRowFirstColumn="0" w:lastRowLastColumn="0"/>
            </w:pPr>
            <w:r>
              <w:rPr>
                <w:rFonts w:eastAsia="Arial" w:cs="Arial"/>
                <w:sz w:val="20"/>
                <w:szCs w:val="20"/>
              </w:rPr>
              <w:t xml:space="preserve">The compositional analysis (Section 5 of the SD1) determines if, as a result of the genetic modification, any unexpected changes to the composition of the food have occurred. </w:t>
            </w:r>
            <w:r w:rsidR="00591EFA">
              <w:rPr>
                <w:rFonts w:eastAsia="Arial" w:cs="Arial"/>
                <w:sz w:val="20"/>
                <w:szCs w:val="20"/>
              </w:rPr>
              <w:t xml:space="preserve">In the case of </w:t>
            </w:r>
            <w:r w:rsidR="00591EFA" w:rsidRPr="00D447CB">
              <w:rPr>
                <w:rFonts w:eastAsia="Arial" w:cs="Arial"/>
                <w:sz w:val="20"/>
                <w:szCs w:val="20"/>
              </w:rPr>
              <w:t>canola line LBFLFK</w:t>
            </w:r>
            <w:r w:rsidR="00591EFA">
              <w:rPr>
                <w:rFonts w:eastAsia="Arial" w:cs="Arial"/>
                <w:sz w:val="20"/>
                <w:szCs w:val="20"/>
              </w:rPr>
              <w:t xml:space="preserve">, FSANZ notes </w:t>
            </w:r>
            <w:r w:rsidR="00F659D7" w:rsidRPr="00D447CB">
              <w:rPr>
                <w:rFonts w:eastAsia="Arial" w:cs="Arial"/>
                <w:sz w:val="20"/>
                <w:szCs w:val="20"/>
              </w:rPr>
              <w:t>the c</w:t>
            </w:r>
            <w:r w:rsidR="7259A097" w:rsidRPr="00D447CB">
              <w:rPr>
                <w:rFonts w:eastAsia="Arial" w:cs="Arial"/>
                <w:sz w:val="20"/>
                <w:szCs w:val="20"/>
              </w:rPr>
              <w:t xml:space="preserve">ompositional analysis </w:t>
            </w:r>
            <w:r w:rsidR="00591EFA">
              <w:rPr>
                <w:rFonts w:eastAsia="Arial" w:cs="Arial"/>
                <w:sz w:val="20"/>
                <w:szCs w:val="20"/>
              </w:rPr>
              <w:t xml:space="preserve">did not indicate any unintended changes in food composition of significance to human health. </w:t>
            </w:r>
          </w:p>
        </w:tc>
      </w:tr>
      <w:tr w:rsidR="00BD3844" w14:paraId="3C798618" w14:textId="77777777" w:rsidTr="005E66A9">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4" w:space="0" w:color="auto"/>
            </w:tcBorders>
          </w:tcPr>
          <w:p w14:paraId="572B2593" w14:textId="24E09B50" w:rsidR="00BD3844" w:rsidRPr="00D447CB" w:rsidRDefault="00BD3844" w:rsidP="00BD3844">
            <w:pPr>
              <w:spacing w:after="240"/>
              <w:rPr>
                <w:sz w:val="20"/>
                <w:szCs w:val="20"/>
              </w:rPr>
            </w:pPr>
            <w:r w:rsidRPr="00D447CB">
              <w:rPr>
                <w:b w:val="0"/>
                <w:bCs w:val="0"/>
                <w:sz w:val="20"/>
                <w:szCs w:val="20"/>
              </w:rPr>
              <w:lastRenderedPageBreak/>
              <w:t xml:space="preserve">The approach to report the mean intakes of n-3 LC PUFAs for consumers of canola oil and compare this to the </w:t>
            </w:r>
            <w:r w:rsidR="00A6035E" w:rsidRPr="00D447CB">
              <w:rPr>
                <w:b w:val="0"/>
                <w:bCs w:val="0"/>
                <w:sz w:val="20"/>
                <w:szCs w:val="20"/>
              </w:rPr>
              <w:t>upper level (</w:t>
            </w:r>
            <w:r w:rsidRPr="00D447CB">
              <w:rPr>
                <w:b w:val="0"/>
                <w:bCs w:val="0"/>
                <w:sz w:val="20"/>
                <w:szCs w:val="20"/>
              </w:rPr>
              <w:t>UL</w:t>
            </w:r>
            <w:r w:rsidR="00A6035E" w:rsidRPr="00D447CB">
              <w:rPr>
                <w:b w:val="0"/>
                <w:bCs w:val="0"/>
                <w:sz w:val="20"/>
                <w:szCs w:val="20"/>
              </w:rPr>
              <w:t>)</w:t>
            </w:r>
            <w:r w:rsidRPr="00D447CB">
              <w:rPr>
                <w:b w:val="0"/>
                <w:bCs w:val="0"/>
                <w:sz w:val="20"/>
                <w:szCs w:val="20"/>
              </w:rPr>
              <w:t xml:space="preserve"> does not appear to be consistent with FSANZ’s documented principles for dietary exposure assessment to assess nutrients, or their approach to identify and ‘protect high consumers’. Further clarification as to why this approach was taken is requested.</w:t>
            </w:r>
          </w:p>
        </w:tc>
        <w:tc>
          <w:tcPr>
            <w:tcW w:w="0" w:type="dxa"/>
            <w:tcBorders>
              <w:left w:val="single" w:sz="4" w:space="0" w:color="auto"/>
              <w:bottom w:val="single" w:sz="4" w:space="0" w:color="auto"/>
              <w:right w:val="single" w:sz="4" w:space="0" w:color="auto"/>
            </w:tcBorders>
          </w:tcPr>
          <w:p w14:paraId="2D4D5F94" w14:textId="47E11F7D" w:rsidR="00BD3844" w:rsidRPr="00D447CB" w:rsidRDefault="00BD3844" w:rsidP="00BD3844">
            <w:pPr>
              <w:pStyle w:val="FSTableText"/>
              <w:cnfStyle w:val="000000100000" w:firstRow="0" w:lastRow="0" w:firstColumn="0" w:lastColumn="0" w:oddVBand="0" w:evenVBand="0" w:oddHBand="1" w:evenHBand="0" w:firstRowFirstColumn="0" w:firstRowLastColumn="0" w:lastRowFirstColumn="0" w:lastRowLastColumn="0"/>
            </w:pPr>
            <w:r w:rsidRPr="00D447CB">
              <w:t>NZFS</w:t>
            </w:r>
          </w:p>
        </w:tc>
        <w:tc>
          <w:tcPr>
            <w:tcW w:w="0" w:type="dxa"/>
            <w:tcBorders>
              <w:left w:val="single" w:sz="4" w:space="0" w:color="auto"/>
            </w:tcBorders>
          </w:tcPr>
          <w:p w14:paraId="5F7EF6C1" w14:textId="6A956C6C" w:rsidR="009C7917" w:rsidRDefault="28098E46" w:rsidP="00BD3844">
            <w:pPr>
              <w:pStyle w:val="FSTableText"/>
              <w:cnfStyle w:val="000000100000" w:firstRow="0" w:lastRow="0" w:firstColumn="0" w:lastColumn="0" w:oddVBand="0" w:evenVBand="0" w:oddHBand="1" w:evenHBand="0" w:firstRowFirstColumn="0" w:firstRowLastColumn="0" w:lastRowFirstColumn="0" w:lastRowLastColumn="0"/>
            </w:pPr>
            <w:r>
              <w:t>The</w:t>
            </w:r>
            <w:r w:rsidR="6D38F6D3">
              <w:t xml:space="preserve"> approach taken for the</w:t>
            </w:r>
            <w:r>
              <w:t xml:space="preserve"> </w:t>
            </w:r>
            <w:r w:rsidR="48238489">
              <w:t xml:space="preserve">dietary intake assessment </w:t>
            </w:r>
            <w:r>
              <w:t xml:space="preserve">assumed two ‘worst case’ scenarios: I) </w:t>
            </w:r>
            <w:r w:rsidR="2FAC7E47">
              <w:t>A</w:t>
            </w:r>
            <w:r w:rsidR="48238489">
              <w:t>ll</w:t>
            </w:r>
            <w:r>
              <w:t xml:space="preserve"> the canola oil</w:t>
            </w:r>
            <w:r w:rsidR="1A5B0E7D">
              <w:t xml:space="preserve"> consumed in the diet is</w:t>
            </w:r>
            <w:r>
              <w:t xml:space="preserve"> replaced by LFBLFK canola oil and II) All canola oil plus 30% of all unspecified oil </w:t>
            </w:r>
            <w:r w:rsidR="1A5B0E7D">
              <w:t xml:space="preserve">are </w:t>
            </w:r>
            <w:r>
              <w:t xml:space="preserve">replaced by LFBLFK canola oil. Both of these scenarios are ‘overestimating’ the consumption of </w:t>
            </w:r>
            <w:r w:rsidR="1A5B0E7D">
              <w:t xml:space="preserve">the </w:t>
            </w:r>
            <w:r>
              <w:t>particular canola mentioned by applicant</w:t>
            </w:r>
            <w:r w:rsidR="6D38F6D3">
              <w:t xml:space="preserve"> therefore capturing consumers who would eat a large proportion of their oil consumption as LBFLFK oil</w:t>
            </w:r>
            <w:r w:rsidR="1A5B0E7D">
              <w:t xml:space="preserve">. </w:t>
            </w:r>
            <w:r w:rsidR="72D8043A">
              <w:t>The m</w:t>
            </w:r>
            <w:r w:rsidR="1A5B0E7D">
              <w:t>ean</w:t>
            </w:r>
            <w:r w:rsidR="5B5731CD">
              <w:t xml:space="preserve"> oil consumption amounts and mean</w:t>
            </w:r>
            <w:r w:rsidR="1A5B0E7D">
              <w:t xml:space="preserve"> </w:t>
            </w:r>
            <w:r w:rsidR="5B5731CD">
              <w:t>n</w:t>
            </w:r>
            <w:r w:rsidR="21288B13">
              <w:t>-</w:t>
            </w:r>
            <w:r w:rsidR="5B5731CD">
              <w:t>3 LC</w:t>
            </w:r>
            <w:r w:rsidR="21288B13">
              <w:t xml:space="preserve"> </w:t>
            </w:r>
            <w:r w:rsidR="5B5731CD">
              <w:t xml:space="preserve">PUFA </w:t>
            </w:r>
            <w:r w:rsidR="1A5B0E7D">
              <w:t>intakes were</w:t>
            </w:r>
            <w:r>
              <w:t xml:space="preserve"> </w:t>
            </w:r>
            <w:r w:rsidR="72D8043A">
              <w:t>considered by FSANZ to be representative of longer</w:t>
            </w:r>
            <w:r w:rsidR="2BF90759">
              <w:t>-</w:t>
            </w:r>
            <w:r w:rsidR="72D8043A">
              <w:t>term chronic intakes, therefore</w:t>
            </w:r>
            <w:r w:rsidR="1A5B0E7D">
              <w:t xml:space="preserve"> </w:t>
            </w:r>
            <w:r>
              <w:t xml:space="preserve">FSANZ did not report </w:t>
            </w:r>
            <w:r w:rsidR="1A5B0E7D">
              <w:t>90</w:t>
            </w:r>
            <w:r w:rsidR="1A5B0E7D" w:rsidRPr="005E66A9">
              <w:rPr>
                <w:vertAlign w:val="superscript"/>
              </w:rPr>
              <w:t>th</w:t>
            </w:r>
            <w:r w:rsidR="1A5B0E7D">
              <w:t>/</w:t>
            </w:r>
            <w:r>
              <w:t>95</w:t>
            </w:r>
            <w:r w:rsidRPr="005E66A9">
              <w:rPr>
                <w:vertAlign w:val="superscript"/>
              </w:rPr>
              <w:t>th</w:t>
            </w:r>
            <w:r w:rsidR="0D8CAC60">
              <w:t xml:space="preserve"> </w:t>
            </w:r>
            <w:r>
              <w:t xml:space="preserve">percentile values. </w:t>
            </w:r>
            <w:r w:rsidR="6D38F6D3">
              <w:t>In addition, t</w:t>
            </w:r>
            <w:r w:rsidR="37E5C874">
              <w:t>his approach was taken so that t</w:t>
            </w:r>
            <w:r w:rsidR="21288B13">
              <w:t xml:space="preserve">he methodology used for this application was consistent with our previous evaluation for A1143 DHA canola NS-B50027-4. </w:t>
            </w:r>
          </w:p>
          <w:p w14:paraId="37C11337" w14:textId="77777777" w:rsidR="00E564E0" w:rsidRDefault="00E564E0" w:rsidP="005D2B03">
            <w:pPr>
              <w:pStyle w:val="FSTableText"/>
              <w:cnfStyle w:val="000000100000" w:firstRow="0" w:lastRow="0" w:firstColumn="0" w:lastColumn="0" w:oddVBand="0" w:evenVBand="0" w:oddHBand="1" w:evenHBand="0" w:firstRowFirstColumn="0" w:firstRowLastColumn="0" w:lastRowFirstColumn="0" w:lastRowLastColumn="0"/>
            </w:pPr>
          </w:p>
          <w:p w14:paraId="0C588F2E" w14:textId="23F69B0C" w:rsidR="00BD3844" w:rsidRPr="00D447CB" w:rsidRDefault="009C7917" w:rsidP="005D2B03">
            <w:pPr>
              <w:pStyle w:val="FSTableText"/>
              <w:cnfStyle w:val="000000100000" w:firstRow="0" w:lastRow="0" w:firstColumn="0" w:lastColumn="0" w:oddVBand="0" w:evenVBand="0" w:oddHBand="1" w:evenHBand="0" w:firstRowFirstColumn="0" w:firstRowLastColumn="0" w:lastRowFirstColumn="0" w:lastRowLastColumn="0"/>
            </w:pPr>
            <w:r>
              <w:t xml:space="preserve">In order to </w:t>
            </w:r>
            <w:r w:rsidR="001D351B">
              <w:t>assess</w:t>
            </w:r>
            <w:r>
              <w:t xml:space="preserve"> high consumers</w:t>
            </w:r>
            <w:r w:rsidR="00CC5099">
              <w:t xml:space="preserve"> of n-3 LC PUFA</w:t>
            </w:r>
            <w:r>
              <w:t xml:space="preserve">, FSANZ has reviewed the baseline intakes of n-3 LC PUFA (ABS 2015). </w:t>
            </w:r>
            <w:r w:rsidR="00A02BDB">
              <w:t>The highest 95</w:t>
            </w:r>
            <w:r w:rsidR="00A02BDB" w:rsidRPr="522E0339">
              <w:rPr>
                <w:vertAlign w:val="superscript"/>
              </w:rPr>
              <w:t>th</w:t>
            </w:r>
            <w:r w:rsidR="00A02BDB">
              <w:t xml:space="preserve"> percentile </w:t>
            </w:r>
            <w:r w:rsidR="00270FDD">
              <w:t xml:space="preserve">usual </w:t>
            </w:r>
            <w:r w:rsidR="00A02BDB">
              <w:t xml:space="preserve">intake across all age/sex groups (of 558 mg/day) is 18.6% of the UL of 3000 mg/day; and there was 0% of the </w:t>
            </w:r>
            <w:r w:rsidR="007223B1">
              <w:t xml:space="preserve">Australian </w:t>
            </w:r>
            <w:r w:rsidR="00A02BDB">
              <w:t xml:space="preserve">population exceeding the UL. </w:t>
            </w:r>
            <w:r w:rsidR="247E6521" w:rsidRPr="00D447CB">
              <w:t>FSANZ</w:t>
            </w:r>
            <w:r w:rsidR="0086372C" w:rsidRPr="00D447CB">
              <w:t xml:space="preserve"> had</w:t>
            </w:r>
            <w:r w:rsidR="0088275B">
              <w:t xml:space="preserve"> also</w:t>
            </w:r>
            <w:r w:rsidR="00BD3844" w:rsidRPr="00D447CB">
              <w:t xml:space="preserve"> determined the </w:t>
            </w:r>
            <w:r w:rsidR="007223B1">
              <w:t>n-3 LC PUFA</w:t>
            </w:r>
            <w:r w:rsidR="0086372C" w:rsidRPr="00D447CB">
              <w:t xml:space="preserve"> intakes </w:t>
            </w:r>
            <w:r w:rsidR="007223B1">
              <w:t xml:space="preserve">for high consumers </w:t>
            </w:r>
            <w:r w:rsidR="00CC5099">
              <w:t xml:space="preserve">of oil </w:t>
            </w:r>
            <w:r w:rsidR="007223B1">
              <w:t>(</w:t>
            </w:r>
            <w:r w:rsidR="00416381">
              <w:t xml:space="preserve">using the </w:t>
            </w:r>
            <w:r w:rsidR="007223B1">
              <w:t>90</w:t>
            </w:r>
            <w:r w:rsidR="007223B1" w:rsidRPr="522E0339">
              <w:rPr>
                <w:vertAlign w:val="superscript"/>
              </w:rPr>
              <w:t>th</w:t>
            </w:r>
            <w:r w:rsidR="007223B1">
              <w:t xml:space="preserve"> percentile two day average consumption of oil and mean baseline n-3 LC PUFA intakes) </w:t>
            </w:r>
            <w:r w:rsidR="0086372C" w:rsidRPr="00D447CB">
              <w:t>for both scenarios</w:t>
            </w:r>
            <w:r w:rsidR="00BD3844" w:rsidRPr="00D447CB">
              <w:t xml:space="preserve"> and </w:t>
            </w:r>
            <w:r w:rsidR="53D611C2" w:rsidRPr="00D447CB">
              <w:t>th</w:t>
            </w:r>
            <w:r w:rsidR="1D3D9237" w:rsidRPr="00D447CB">
              <w:t>ese</w:t>
            </w:r>
            <w:r w:rsidR="00A6035E" w:rsidRPr="00D447CB">
              <w:t xml:space="preserve"> were</w:t>
            </w:r>
            <w:r w:rsidR="00BD3844" w:rsidRPr="00D447CB" w:rsidDel="00A6035E">
              <w:t xml:space="preserve"> </w:t>
            </w:r>
            <w:r w:rsidR="00BD3844" w:rsidRPr="00D447CB">
              <w:t>well within UL value</w:t>
            </w:r>
            <w:r w:rsidR="003B0009" w:rsidRPr="00D447CB">
              <w:t xml:space="preserve"> (up to </w:t>
            </w:r>
            <w:r w:rsidR="79D99867" w:rsidRPr="00D447CB">
              <w:t>45</w:t>
            </w:r>
            <w:r w:rsidR="00DC6024">
              <w:t>% UL</w:t>
            </w:r>
            <w:r w:rsidR="003B0009" w:rsidRPr="00D447CB">
              <w:t xml:space="preserve"> across all population groups assessed</w:t>
            </w:r>
            <w:r w:rsidR="79D99867" w:rsidRPr="00D447CB">
              <w:t xml:space="preserve"> in scenario 1 </w:t>
            </w:r>
            <w:r w:rsidR="007223B1">
              <w:t>and up to 60% UL for scenario</w:t>
            </w:r>
            <w:r w:rsidR="00D85F76">
              <w:t> </w:t>
            </w:r>
            <w:r w:rsidR="007223B1">
              <w:t>2</w:t>
            </w:r>
            <w:r w:rsidR="003B0009" w:rsidRPr="00D447CB">
              <w:t>)</w:t>
            </w:r>
            <w:r w:rsidR="00BD3844" w:rsidRPr="00D447CB">
              <w:t xml:space="preserve">. </w:t>
            </w:r>
            <w:r w:rsidR="00651051">
              <w:t xml:space="preserve">FSANZ </w:t>
            </w:r>
            <w:r w:rsidR="001D351B">
              <w:t xml:space="preserve">therefore </w:t>
            </w:r>
            <w:r w:rsidR="00651051">
              <w:t xml:space="preserve">concludes that there </w:t>
            </w:r>
            <w:r w:rsidR="001D351B">
              <w:t xml:space="preserve">are no public health and safety concerns for </w:t>
            </w:r>
            <w:r w:rsidR="00651051">
              <w:t>high cons</w:t>
            </w:r>
            <w:r w:rsidR="001D351B">
              <w:t>umers.</w:t>
            </w:r>
            <w:r w:rsidR="00BD3844" w:rsidRPr="00D447CB">
              <w:t xml:space="preserve"> </w:t>
            </w:r>
          </w:p>
        </w:tc>
      </w:tr>
      <w:tr w:rsidR="00BD3844" w14:paraId="21D60BCC" w14:textId="77777777" w:rsidTr="005E66A9">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4" w:space="0" w:color="auto"/>
            </w:tcBorders>
          </w:tcPr>
          <w:p w14:paraId="1D1A0AE8" w14:textId="1A4DC86A" w:rsidR="00BD3844" w:rsidRPr="00D447CB" w:rsidRDefault="00BD3844" w:rsidP="00E67439">
            <w:pPr>
              <w:spacing w:after="240"/>
              <w:rPr>
                <w:sz w:val="20"/>
                <w:szCs w:val="20"/>
              </w:rPr>
            </w:pPr>
            <w:r w:rsidRPr="00D447CB">
              <w:rPr>
                <w:b w:val="0"/>
                <w:bCs w:val="0"/>
                <w:sz w:val="20"/>
                <w:szCs w:val="20"/>
              </w:rPr>
              <w:t xml:space="preserve">Section 2.2.3.3 of the CFS document currently states that “Oil from the canola line LBFLFK may meet the requirements for making a nutrition content </w:t>
            </w:r>
            <w:r w:rsidRPr="00D447CB">
              <w:rPr>
                <w:b w:val="0"/>
                <w:bCs w:val="0"/>
                <w:sz w:val="20"/>
                <w:szCs w:val="20"/>
              </w:rPr>
              <w:lastRenderedPageBreak/>
              <w:t>claim or health claim…”. NZFS suggests that this sentence is amended to specify “Products containing oil from the canola line LBFLFK…”.</w:t>
            </w:r>
          </w:p>
        </w:tc>
        <w:tc>
          <w:tcPr>
            <w:tcW w:w="0" w:type="dxa"/>
            <w:tcBorders>
              <w:left w:val="single" w:sz="4" w:space="0" w:color="auto"/>
              <w:bottom w:val="single" w:sz="4" w:space="0" w:color="auto"/>
              <w:right w:val="single" w:sz="4" w:space="0" w:color="auto"/>
            </w:tcBorders>
          </w:tcPr>
          <w:p w14:paraId="0B212500" w14:textId="7EB4B908" w:rsidR="00BD3844" w:rsidRPr="00D447CB" w:rsidRDefault="00BD3844" w:rsidP="00BD3844">
            <w:pPr>
              <w:pStyle w:val="FSTableText"/>
              <w:cnfStyle w:val="000000010000" w:firstRow="0" w:lastRow="0" w:firstColumn="0" w:lastColumn="0" w:oddVBand="0" w:evenVBand="0" w:oddHBand="0" w:evenHBand="1" w:firstRowFirstColumn="0" w:firstRowLastColumn="0" w:lastRowFirstColumn="0" w:lastRowLastColumn="0"/>
            </w:pPr>
            <w:r w:rsidRPr="00D447CB">
              <w:lastRenderedPageBreak/>
              <w:t>NZFS</w:t>
            </w:r>
          </w:p>
        </w:tc>
        <w:tc>
          <w:tcPr>
            <w:tcW w:w="0" w:type="dxa"/>
            <w:tcBorders>
              <w:left w:val="single" w:sz="4" w:space="0" w:color="auto"/>
              <w:bottom w:val="single" w:sz="4" w:space="0" w:color="auto"/>
            </w:tcBorders>
          </w:tcPr>
          <w:p w14:paraId="3573BC53" w14:textId="6572A591" w:rsidR="00492364" w:rsidRPr="00D447CB" w:rsidRDefault="006008D1" w:rsidP="00BD3844">
            <w:pPr>
              <w:pStyle w:val="FSTableText"/>
              <w:cnfStyle w:val="000000010000" w:firstRow="0" w:lastRow="0" w:firstColumn="0" w:lastColumn="0" w:oddVBand="0" w:evenVBand="0" w:oddHBand="0" w:evenHBand="1" w:firstRowFirstColumn="0" w:firstRowLastColumn="0" w:lastRowFirstColumn="0" w:lastRowLastColumn="0"/>
            </w:pPr>
            <w:r w:rsidRPr="00D447CB">
              <w:t>FSANZ agrees</w:t>
            </w:r>
            <w:r w:rsidR="001814F3" w:rsidRPr="00D447CB">
              <w:t xml:space="preserve"> that some products containing canola line LBFLFK as an ingredient may meet the requirements for making a nutrition content o</w:t>
            </w:r>
            <w:r w:rsidR="00492364" w:rsidRPr="00D447CB">
              <w:t>r</w:t>
            </w:r>
            <w:r w:rsidR="001814F3" w:rsidRPr="00D447CB">
              <w:t xml:space="preserve"> health claim in relation to their omega-3 FA content or polyunsaturated FA content</w:t>
            </w:r>
            <w:r w:rsidRPr="00D447CB">
              <w:t xml:space="preserve">. </w:t>
            </w:r>
          </w:p>
          <w:p w14:paraId="119525C1" w14:textId="0885C2B9" w:rsidR="00BD3844" w:rsidRPr="00D447CB" w:rsidRDefault="006008D1" w:rsidP="0040270B">
            <w:pPr>
              <w:pStyle w:val="FSTableText"/>
              <w:spacing w:before="240"/>
              <w:cnfStyle w:val="000000010000" w:firstRow="0" w:lastRow="0" w:firstColumn="0" w:lastColumn="0" w:oddVBand="0" w:evenVBand="0" w:oddHBand="0" w:evenHBand="1" w:firstRowFirstColumn="0" w:firstRowLastColumn="0" w:lastRowFirstColumn="0" w:lastRowLastColumn="0"/>
            </w:pPr>
            <w:r w:rsidRPr="00D447CB">
              <w:lastRenderedPageBreak/>
              <w:t>For clarity we have updated text in section 2.</w:t>
            </w:r>
            <w:r w:rsidR="00AA7912" w:rsidRPr="00D447CB">
              <w:t>3</w:t>
            </w:r>
            <w:r w:rsidRPr="00D447CB">
              <w:t>.</w:t>
            </w:r>
            <w:r w:rsidR="00AA7912" w:rsidRPr="00D447CB">
              <w:t>2</w:t>
            </w:r>
            <w:r w:rsidRPr="00D447CB">
              <w:t>.3.</w:t>
            </w:r>
          </w:p>
        </w:tc>
      </w:tr>
      <w:tr w:rsidR="00BD3844" w14:paraId="2A26D744" w14:textId="77777777" w:rsidTr="005E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6B12BA07" w14:textId="2C993470" w:rsidR="00BD3844" w:rsidRPr="00D447CB" w:rsidRDefault="00BD3844" w:rsidP="00BD3844">
            <w:pPr>
              <w:spacing w:after="240"/>
              <w:rPr>
                <w:b w:val="0"/>
                <w:bCs w:val="0"/>
                <w:sz w:val="20"/>
                <w:szCs w:val="20"/>
              </w:rPr>
            </w:pPr>
            <w:r w:rsidRPr="00D447CB">
              <w:rPr>
                <w:b w:val="0"/>
                <w:bCs w:val="0"/>
                <w:sz w:val="20"/>
                <w:szCs w:val="20"/>
              </w:rPr>
              <w:lastRenderedPageBreak/>
              <w:t>This application appears to be appropriate for collaboration with Health Canada, especially on their respective risk assessments.</w:t>
            </w:r>
          </w:p>
        </w:tc>
        <w:tc>
          <w:tcPr>
            <w:tcW w:w="1417" w:type="dxa"/>
            <w:tcBorders>
              <w:left w:val="single" w:sz="4" w:space="0" w:color="auto"/>
              <w:right w:val="single" w:sz="4" w:space="0" w:color="auto"/>
            </w:tcBorders>
          </w:tcPr>
          <w:p w14:paraId="48778BDD" w14:textId="0E6A1F93" w:rsidR="00BD3844" w:rsidRPr="00D447CB" w:rsidRDefault="00BD3844" w:rsidP="00BD3844">
            <w:pPr>
              <w:pStyle w:val="FSTableText"/>
              <w:cnfStyle w:val="000000100000" w:firstRow="0" w:lastRow="0" w:firstColumn="0" w:lastColumn="0" w:oddVBand="0" w:evenVBand="0" w:oddHBand="1" w:evenHBand="0" w:firstRowFirstColumn="0" w:firstRowLastColumn="0" w:lastRowFirstColumn="0" w:lastRowLastColumn="0"/>
            </w:pPr>
            <w:r w:rsidRPr="00D447CB">
              <w:t>NZFGC</w:t>
            </w:r>
          </w:p>
        </w:tc>
        <w:tc>
          <w:tcPr>
            <w:tcW w:w="5096" w:type="dxa"/>
            <w:gridSpan w:val="2"/>
            <w:tcBorders>
              <w:left w:val="single" w:sz="4" w:space="0" w:color="auto"/>
            </w:tcBorders>
          </w:tcPr>
          <w:p w14:paraId="3DFF4E8A" w14:textId="21E1997D" w:rsidR="00BD3844" w:rsidRPr="00D447CB" w:rsidRDefault="00BD3844" w:rsidP="00BD3844">
            <w:pPr>
              <w:spacing w:after="240"/>
              <w:cnfStyle w:val="000000100000" w:firstRow="0" w:lastRow="0" w:firstColumn="0" w:lastColumn="0" w:oddVBand="0" w:evenVBand="0" w:oddHBand="1" w:evenHBand="0" w:firstRowFirstColumn="0" w:firstRowLastColumn="0" w:lastRowFirstColumn="0" w:lastRowLastColumn="0"/>
              <w:rPr>
                <w:bCs/>
                <w:sz w:val="20"/>
                <w:szCs w:val="20"/>
              </w:rPr>
            </w:pPr>
            <w:r w:rsidRPr="00D447CB">
              <w:rPr>
                <w:bCs/>
                <w:sz w:val="20"/>
                <w:szCs w:val="20"/>
              </w:rPr>
              <w:t xml:space="preserve">Application A1239 did not fit the </w:t>
            </w:r>
            <w:r w:rsidR="006238A8">
              <w:rPr>
                <w:bCs/>
                <w:sz w:val="20"/>
                <w:szCs w:val="20"/>
              </w:rPr>
              <w:t>agreed</w:t>
            </w:r>
            <w:r w:rsidR="006238A8" w:rsidRPr="00D447CB">
              <w:rPr>
                <w:bCs/>
                <w:sz w:val="20"/>
                <w:szCs w:val="20"/>
              </w:rPr>
              <w:t xml:space="preserve"> </w:t>
            </w:r>
            <w:r w:rsidRPr="00D447CB">
              <w:rPr>
                <w:bCs/>
                <w:sz w:val="20"/>
                <w:szCs w:val="20"/>
              </w:rPr>
              <w:t xml:space="preserve">criteria for safety assessment sharing as Health Canada had already finalised its process some time before FSANZ received the application. </w:t>
            </w:r>
          </w:p>
          <w:p w14:paraId="0674CF5D" w14:textId="0A77DD94" w:rsidR="00BD3844" w:rsidRPr="00D447CB" w:rsidRDefault="00BD3844" w:rsidP="00BD3844">
            <w:pPr>
              <w:spacing w:after="240"/>
              <w:cnfStyle w:val="000000100000" w:firstRow="0" w:lastRow="0" w:firstColumn="0" w:lastColumn="0" w:oddVBand="0" w:evenVBand="0" w:oddHBand="1" w:evenHBand="0" w:firstRowFirstColumn="0" w:firstRowLastColumn="0" w:lastRowFirstColumn="0" w:lastRowLastColumn="0"/>
              <w:rPr>
                <w:bCs/>
                <w:sz w:val="20"/>
                <w:szCs w:val="20"/>
              </w:rPr>
            </w:pPr>
            <w:r w:rsidRPr="00D447CB">
              <w:rPr>
                <w:bCs/>
                <w:sz w:val="20"/>
                <w:szCs w:val="20"/>
              </w:rPr>
              <w:t>To trigger a shared assessment process a</w:t>
            </w:r>
            <w:r w:rsidR="007A5C81">
              <w:rPr>
                <w:bCs/>
                <w:sz w:val="20"/>
                <w:szCs w:val="20"/>
              </w:rPr>
              <w:t xml:space="preserve"> product developer</w:t>
            </w:r>
            <w:r w:rsidR="007A5C81" w:rsidRPr="00D447CB">
              <w:rPr>
                <w:bCs/>
                <w:sz w:val="20"/>
                <w:szCs w:val="20"/>
              </w:rPr>
              <w:t xml:space="preserve"> </w:t>
            </w:r>
            <w:r w:rsidRPr="00D447CB">
              <w:rPr>
                <w:bCs/>
                <w:sz w:val="20"/>
                <w:szCs w:val="20"/>
              </w:rPr>
              <w:t xml:space="preserve">must </w:t>
            </w:r>
            <w:r w:rsidR="007A5C81">
              <w:rPr>
                <w:bCs/>
                <w:sz w:val="20"/>
                <w:szCs w:val="20"/>
              </w:rPr>
              <w:t xml:space="preserve">first consult with </w:t>
            </w:r>
            <w:r w:rsidRPr="00D447CB">
              <w:rPr>
                <w:bCs/>
                <w:sz w:val="20"/>
                <w:szCs w:val="20"/>
              </w:rPr>
              <w:t xml:space="preserve">both FSANZ and Health </w:t>
            </w:r>
            <w:r w:rsidR="006238A8">
              <w:rPr>
                <w:bCs/>
                <w:sz w:val="20"/>
                <w:szCs w:val="20"/>
              </w:rPr>
              <w:t xml:space="preserve">Canada </w:t>
            </w:r>
            <w:r w:rsidRPr="00D447CB">
              <w:rPr>
                <w:bCs/>
                <w:sz w:val="20"/>
                <w:szCs w:val="20"/>
              </w:rPr>
              <w:t xml:space="preserve">before submitting to either agency. This is because </w:t>
            </w:r>
            <w:r w:rsidR="006238A8">
              <w:rPr>
                <w:bCs/>
                <w:sz w:val="20"/>
                <w:szCs w:val="20"/>
              </w:rPr>
              <w:t xml:space="preserve">a </w:t>
            </w:r>
            <w:r w:rsidRPr="00D447CB">
              <w:rPr>
                <w:bCs/>
                <w:sz w:val="20"/>
                <w:szCs w:val="20"/>
              </w:rPr>
              <w:t xml:space="preserve">slightly different </w:t>
            </w:r>
            <w:r w:rsidR="006238A8">
              <w:rPr>
                <w:bCs/>
                <w:sz w:val="20"/>
                <w:szCs w:val="20"/>
              </w:rPr>
              <w:t xml:space="preserve">administrative </w:t>
            </w:r>
            <w:r w:rsidRPr="00D447CB">
              <w:rPr>
                <w:bCs/>
                <w:sz w:val="20"/>
                <w:szCs w:val="20"/>
              </w:rPr>
              <w:t xml:space="preserve">process </w:t>
            </w:r>
            <w:r w:rsidR="006238A8">
              <w:rPr>
                <w:bCs/>
                <w:sz w:val="20"/>
                <w:szCs w:val="20"/>
              </w:rPr>
              <w:t>is required in the case</w:t>
            </w:r>
            <w:r w:rsidR="006238A8" w:rsidRPr="00D447CB">
              <w:rPr>
                <w:bCs/>
                <w:sz w:val="20"/>
                <w:szCs w:val="20"/>
              </w:rPr>
              <w:t xml:space="preserve"> </w:t>
            </w:r>
            <w:r w:rsidR="006238A8">
              <w:rPr>
                <w:bCs/>
                <w:sz w:val="20"/>
                <w:szCs w:val="20"/>
              </w:rPr>
              <w:t>of a shared safety assessment, and cannot be initiated retrospectively</w:t>
            </w:r>
            <w:r w:rsidRPr="00D447CB">
              <w:rPr>
                <w:bCs/>
                <w:sz w:val="20"/>
                <w:szCs w:val="20"/>
              </w:rPr>
              <w:t xml:space="preserve">. </w:t>
            </w:r>
          </w:p>
          <w:p w14:paraId="2D3D77BA" w14:textId="056FC9B1" w:rsidR="00BD3844" w:rsidRPr="00D447CB" w:rsidRDefault="00BD3844" w:rsidP="00BD3844">
            <w:pPr>
              <w:pStyle w:val="FSTableText"/>
              <w:cnfStyle w:val="000000100000" w:firstRow="0" w:lastRow="0" w:firstColumn="0" w:lastColumn="0" w:oddVBand="0" w:evenVBand="0" w:oddHBand="1" w:evenHBand="0" w:firstRowFirstColumn="0" w:firstRowLastColumn="0" w:lastRowFirstColumn="0" w:lastRowLastColumn="0"/>
            </w:pPr>
            <w:r w:rsidRPr="00D447CB">
              <w:rPr>
                <w:bCs/>
              </w:rPr>
              <w:t xml:space="preserve">Further information on GM food safety assessment sharing can be found on the </w:t>
            </w:r>
            <w:hyperlink r:id="rId21" w:history="1">
              <w:r w:rsidRPr="00D447CB">
                <w:rPr>
                  <w:rStyle w:val="Hyperlink"/>
                  <w:bCs/>
                </w:rPr>
                <w:t>FSANZ website</w:t>
              </w:r>
            </w:hyperlink>
            <w:r w:rsidRPr="00D447CB">
              <w:rPr>
                <w:rStyle w:val="FootnoteReference"/>
                <w:bCs/>
              </w:rPr>
              <w:footnoteReference w:id="8"/>
            </w:r>
            <w:r w:rsidRPr="00D447CB">
              <w:rPr>
                <w:bCs/>
              </w:rPr>
              <w:t>.</w:t>
            </w:r>
          </w:p>
        </w:tc>
      </w:tr>
    </w:tbl>
    <w:p w14:paraId="2B8F4ACE" w14:textId="77777777" w:rsidR="007A53BF" w:rsidRPr="00115872" w:rsidRDefault="007A53BF" w:rsidP="007A53BF"/>
    <w:p w14:paraId="29B27993" w14:textId="0D0E8CFB" w:rsidR="002C1A3B" w:rsidRPr="00932F14" w:rsidRDefault="002C1A3B" w:rsidP="002C1A3B">
      <w:pPr>
        <w:pStyle w:val="Heading2"/>
      </w:pPr>
      <w:bookmarkStart w:id="43" w:name="_Toc370223472"/>
      <w:bookmarkStart w:id="44" w:name="_Toc370225387"/>
      <w:bookmarkStart w:id="45" w:name="_Toc109221960"/>
      <w:bookmarkStart w:id="46" w:name="_Toc309291812"/>
      <w:bookmarkStart w:id="47" w:name="_Toc175381442"/>
      <w:bookmarkEnd w:id="37"/>
      <w:bookmarkEnd w:id="38"/>
      <w:bookmarkEnd w:id="39"/>
      <w:bookmarkEnd w:id="40"/>
      <w:bookmarkEnd w:id="41"/>
      <w:bookmarkEnd w:id="42"/>
      <w:r>
        <w:t>2.2</w:t>
      </w:r>
      <w:r>
        <w:tab/>
      </w:r>
      <w:r w:rsidR="00137BCC">
        <w:t>Safety</w:t>
      </w:r>
      <w:r w:rsidRPr="00932F14">
        <w:t xml:space="preserve"> </w:t>
      </w:r>
      <w:r>
        <w:t>a</w:t>
      </w:r>
      <w:r w:rsidRPr="00932F14">
        <w:t>ssessment</w:t>
      </w:r>
      <w:bookmarkEnd w:id="43"/>
      <w:bookmarkEnd w:id="44"/>
      <w:bookmarkEnd w:id="45"/>
      <w:r w:rsidRPr="00932F14">
        <w:t xml:space="preserve"> </w:t>
      </w:r>
    </w:p>
    <w:p w14:paraId="7676FB4F" w14:textId="77777777" w:rsidR="00AB1786" w:rsidRDefault="00AB1786" w:rsidP="00AB1786">
      <w:pPr>
        <w:pStyle w:val="FSHeading"/>
        <w:spacing w:after="240"/>
        <w:ind w:left="0" w:firstLine="0"/>
        <w:rPr>
          <w:b w:val="0"/>
          <w:color w:val="000000" w:themeColor="text1"/>
        </w:rPr>
      </w:pPr>
      <w:r w:rsidRPr="00AA35A1">
        <w:rPr>
          <w:b w:val="0"/>
          <w:color w:val="000000" w:themeColor="text1"/>
        </w:rPr>
        <w:t>The safety assessment of canola line LBFLFK is provided in Supporting Document 1 (SD1) and included the following key elements:</w:t>
      </w:r>
    </w:p>
    <w:p w14:paraId="4D940B85" w14:textId="77777777" w:rsidR="00AB1786" w:rsidRPr="000E5C8F" w:rsidRDefault="00AB1786" w:rsidP="00AB1786">
      <w:pPr>
        <w:pStyle w:val="FSBullet1"/>
        <w:numPr>
          <w:ilvl w:val="0"/>
          <w:numId w:val="11"/>
        </w:numPr>
        <w:rPr>
          <w:color w:val="000000" w:themeColor="text1"/>
        </w:rPr>
      </w:pPr>
      <w:r w:rsidRPr="000E5C8F">
        <w:rPr>
          <w:color w:val="000000" w:themeColor="text1"/>
        </w:rPr>
        <w:t xml:space="preserve">a characterisation of the transferred gene material, its origin, function and stability in the canola genome; </w:t>
      </w:r>
    </w:p>
    <w:p w14:paraId="438AD70A" w14:textId="77777777" w:rsidR="00AB1786" w:rsidRDefault="00AB1786" w:rsidP="00AB1786">
      <w:pPr>
        <w:pStyle w:val="FSBullet1"/>
        <w:numPr>
          <w:ilvl w:val="0"/>
          <w:numId w:val="11"/>
        </w:numPr>
        <w:rPr>
          <w:color w:val="000000" w:themeColor="text1"/>
        </w:rPr>
      </w:pPr>
      <w:r w:rsidRPr="000E5C8F">
        <w:rPr>
          <w:color w:val="000000" w:themeColor="text1"/>
        </w:rPr>
        <w:t xml:space="preserve">characterisation of novel nucleic acids and protein in the whole food; </w:t>
      </w:r>
    </w:p>
    <w:p w14:paraId="40687FC9" w14:textId="77777777" w:rsidR="00AB1786" w:rsidRDefault="00AB1786" w:rsidP="00AB1786">
      <w:pPr>
        <w:pStyle w:val="FSBullet1"/>
        <w:numPr>
          <w:ilvl w:val="0"/>
          <w:numId w:val="11"/>
        </w:numPr>
        <w:rPr>
          <w:color w:val="000000" w:themeColor="text1"/>
        </w:rPr>
      </w:pPr>
      <w:r w:rsidRPr="000E5C8F">
        <w:rPr>
          <w:color w:val="000000" w:themeColor="text1"/>
        </w:rPr>
        <w:t xml:space="preserve">detailed compositional analyses; </w:t>
      </w:r>
    </w:p>
    <w:p w14:paraId="03FB241B" w14:textId="77777777" w:rsidR="00AB1786" w:rsidRDefault="00AB1786" w:rsidP="00AB1786">
      <w:pPr>
        <w:pStyle w:val="FSBullet1"/>
        <w:numPr>
          <w:ilvl w:val="0"/>
          <w:numId w:val="11"/>
        </w:numPr>
        <w:rPr>
          <w:color w:val="000000" w:themeColor="text1"/>
        </w:rPr>
      </w:pPr>
      <w:r w:rsidRPr="000E5C8F">
        <w:rPr>
          <w:color w:val="000000" w:themeColor="text1"/>
        </w:rPr>
        <w:t xml:space="preserve">evaluation of intended and unintended changes; and </w:t>
      </w:r>
    </w:p>
    <w:p w14:paraId="54A4CA5E" w14:textId="77777777" w:rsidR="00AB1786" w:rsidRPr="000E5C8F" w:rsidRDefault="00AB1786" w:rsidP="00AB1786">
      <w:pPr>
        <w:pStyle w:val="FSBullet1"/>
        <w:numPr>
          <w:ilvl w:val="0"/>
          <w:numId w:val="11"/>
        </w:numPr>
        <w:spacing w:after="240"/>
        <w:rPr>
          <w:color w:val="000000" w:themeColor="text1"/>
        </w:rPr>
      </w:pPr>
      <w:r w:rsidRPr="000E5C8F">
        <w:rPr>
          <w:color w:val="000000" w:themeColor="text1"/>
        </w:rPr>
        <w:t>assessment of the potential for any newly expressed protein to be either allergenic or toxic in humans.</w:t>
      </w:r>
    </w:p>
    <w:p w14:paraId="50F45895" w14:textId="4E7F9A86" w:rsidR="00AB1786" w:rsidRDefault="00AB1786" w:rsidP="00AB1786">
      <w:pPr>
        <w:pStyle w:val="FSHeading"/>
        <w:ind w:left="0" w:firstLine="0"/>
        <w:rPr>
          <w:b w:val="0"/>
          <w:color w:val="000000" w:themeColor="text1"/>
        </w:rPr>
      </w:pPr>
      <w:r>
        <w:rPr>
          <w:b w:val="0"/>
          <w:color w:val="000000" w:themeColor="text1"/>
        </w:rPr>
        <w:t>The nutrition risk assessment is provided in Supporting Document 2 (SD2) and is comprised of a hazard assessment and a dietary intake assessment.</w:t>
      </w:r>
      <w:r w:rsidR="00801085" w:rsidRPr="00801085">
        <w:t xml:space="preserve"> </w:t>
      </w:r>
      <w:r w:rsidR="00801085" w:rsidRPr="00801085">
        <w:rPr>
          <w:b w:val="0"/>
          <w:color w:val="000000" w:themeColor="text1"/>
        </w:rPr>
        <w:t>The nutrition risk assessment focus</w:t>
      </w:r>
      <w:r w:rsidR="00801085">
        <w:rPr>
          <w:b w:val="0"/>
          <w:color w:val="000000" w:themeColor="text1"/>
        </w:rPr>
        <w:t>s</w:t>
      </w:r>
      <w:r w:rsidR="00801085" w:rsidRPr="00801085">
        <w:rPr>
          <w:b w:val="0"/>
          <w:color w:val="000000" w:themeColor="text1"/>
        </w:rPr>
        <w:t>e</w:t>
      </w:r>
      <w:r w:rsidR="00801085">
        <w:rPr>
          <w:b w:val="0"/>
          <w:color w:val="000000" w:themeColor="text1"/>
        </w:rPr>
        <w:t>d</w:t>
      </w:r>
      <w:r w:rsidR="00801085" w:rsidRPr="00801085">
        <w:rPr>
          <w:b w:val="0"/>
          <w:color w:val="000000" w:themeColor="text1"/>
        </w:rPr>
        <w:t xml:space="preserve"> on oil as it is the primary product derived </w:t>
      </w:r>
      <w:r w:rsidR="00801085">
        <w:rPr>
          <w:b w:val="0"/>
          <w:color w:val="000000" w:themeColor="text1"/>
        </w:rPr>
        <w:t xml:space="preserve">from </w:t>
      </w:r>
      <w:r w:rsidR="00801085" w:rsidRPr="00801085">
        <w:rPr>
          <w:b w:val="0"/>
          <w:color w:val="000000" w:themeColor="text1"/>
        </w:rPr>
        <w:t>canola</w:t>
      </w:r>
      <w:r w:rsidR="00E22E81">
        <w:rPr>
          <w:b w:val="0"/>
          <w:color w:val="000000" w:themeColor="text1"/>
        </w:rPr>
        <w:t xml:space="preserve"> </w:t>
      </w:r>
      <w:r w:rsidR="00BE02E8">
        <w:rPr>
          <w:b w:val="0"/>
          <w:color w:val="000000" w:themeColor="text1"/>
        </w:rPr>
        <w:t>intended for human consumption</w:t>
      </w:r>
      <w:r w:rsidR="00E22E81">
        <w:rPr>
          <w:b w:val="0"/>
          <w:color w:val="000000" w:themeColor="text1"/>
        </w:rPr>
        <w:t xml:space="preserve"> and n-3 LC-PUFA</w:t>
      </w:r>
      <w:r w:rsidR="00BE02E8">
        <w:rPr>
          <w:b w:val="0"/>
          <w:color w:val="000000" w:themeColor="text1"/>
        </w:rPr>
        <w:t>s</w:t>
      </w:r>
      <w:r w:rsidR="00E22E81">
        <w:rPr>
          <w:b w:val="0"/>
          <w:color w:val="000000" w:themeColor="text1"/>
        </w:rPr>
        <w:t xml:space="preserve"> </w:t>
      </w:r>
      <w:r w:rsidR="00BE02E8">
        <w:rPr>
          <w:b w:val="0"/>
          <w:color w:val="000000" w:themeColor="text1"/>
        </w:rPr>
        <w:t>partition</w:t>
      </w:r>
      <w:r w:rsidR="00E22E81">
        <w:rPr>
          <w:b w:val="0"/>
          <w:color w:val="000000" w:themeColor="text1"/>
        </w:rPr>
        <w:t xml:space="preserve"> to </w:t>
      </w:r>
      <w:r w:rsidR="00BE02E8">
        <w:rPr>
          <w:b w:val="0"/>
          <w:color w:val="000000" w:themeColor="text1"/>
        </w:rPr>
        <w:t xml:space="preserve">the </w:t>
      </w:r>
      <w:r w:rsidR="00E22E81">
        <w:rPr>
          <w:b w:val="0"/>
          <w:color w:val="000000" w:themeColor="text1"/>
        </w:rPr>
        <w:t xml:space="preserve">oil </w:t>
      </w:r>
      <w:r w:rsidR="00BE02E8">
        <w:rPr>
          <w:b w:val="0"/>
          <w:color w:val="000000" w:themeColor="text1"/>
        </w:rPr>
        <w:t xml:space="preserve">fraction </w:t>
      </w:r>
      <w:r w:rsidR="00E22E81">
        <w:rPr>
          <w:b w:val="0"/>
          <w:color w:val="000000" w:themeColor="text1"/>
        </w:rPr>
        <w:t xml:space="preserve">during </w:t>
      </w:r>
      <w:r w:rsidR="00BE02E8">
        <w:rPr>
          <w:b w:val="0"/>
          <w:color w:val="000000" w:themeColor="text1"/>
        </w:rPr>
        <w:t xml:space="preserve">the </w:t>
      </w:r>
      <w:r w:rsidR="00E22E81">
        <w:rPr>
          <w:b w:val="0"/>
          <w:color w:val="000000" w:themeColor="text1"/>
        </w:rPr>
        <w:t xml:space="preserve">seed </w:t>
      </w:r>
      <w:r w:rsidR="00BE02E8">
        <w:rPr>
          <w:b w:val="0"/>
          <w:color w:val="000000" w:themeColor="text1"/>
        </w:rPr>
        <w:t xml:space="preserve">refining </w:t>
      </w:r>
      <w:r w:rsidR="00E22E81">
        <w:rPr>
          <w:b w:val="0"/>
          <w:color w:val="000000" w:themeColor="text1"/>
        </w:rPr>
        <w:t>proces</w:t>
      </w:r>
      <w:r w:rsidR="00BE02E8">
        <w:rPr>
          <w:b w:val="0"/>
          <w:color w:val="000000" w:themeColor="text1"/>
        </w:rPr>
        <w:t>s</w:t>
      </w:r>
      <w:r w:rsidR="00801085">
        <w:rPr>
          <w:b w:val="0"/>
          <w:color w:val="000000" w:themeColor="text1"/>
        </w:rPr>
        <w:t>.</w:t>
      </w:r>
    </w:p>
    <w:p w14:paraId="557B70A2" w14:textId="77777777" w:rsidR="00046883" w:rsidRDefault="00046883" w:rsidP="00AB1786">
      <w:pPr>
        <w:pStyle w:val="FSHeading"/>
        <w:ind w:left="0" w:firstLine="0"/>
        <w:rPr>
          <w:b w:val="0"/>
          <w:color w:val="000000" w:themeColor="text1"/>
        </w:rPr>
      </w:pPr>
    </w:p>
    <w:p w14:paraId="0DF3D5B9" w14:textId="77777777" w:rsidR="00046883" w:rsidRDefault="00046883" w:rsidP="00046883">
      <w:pPr>
        <w:pStyle w:val="FSBullet1"/>
        <w:numPr>
          <w:ilvl w:val="0"/>
          <w:numId w:val="0"/>
        </w:numPr>
        <w:rPr>
          <w:color w:val="000000" w:themeColor="text1"/>
        </w:rPr>
      </w:pPr>
      <w:r>
        <w:rPr>
          <w:color w:val="000000" w:themeColor="text1"/>
        </w:rPr>
        <w:t xml:space="preserve">The </w:t>
      </w:r>
      <w:r w:rsidRPr="00972B32">
        <w:rPr>
          <w:color w:val="000000" w:themeColor="text1"/>
        </w:rPr>
        <w:t xml:space="preserve">hazard assessment </w:t>
      </w:r>
      <w:r w:rsidRPr="00E820C2">
        <w:t>consider</w:t>
      </w:r>
      <w:r>
        <w:t>ed</w:t>
      </w:r>
      <w:r w:rsidRPr="00E820C2">
        <w:t xml:space="preserve"> potential</w:t>
      </w:r>
      <w:r w:rsidRPr="00633236">
        <w:t xml:space="preserve"> adverse effects associated with </w:t>
      </w:r>
      <w:r>
        <w:t xml:space="preserve">n-3 LC-PUFA </w:t>
      </w:r>
      <w:r w:rsidRPr="00633236">
        <w:t>intake, and information o</w:t>
      </w:r>
      <w:r>
        <w:t>n the Upper Level of Intake</w:t>
      </w:r>
      <w:r w:rsidRPr="00633236">
        <w:t xml:space="preserve"> </w:t>
      </w:r>
      <w:r>
        <w:t xml:space="preserve">(UL) of n-3 LC-PUFA, defined as the </w:t>
      </w:r>
      <w:r w:rsidRPr="00065FBE">
        <w:t xml:space="preserve">sum of </w:t>
      </w:r>
      <w:r>
        <w:rPr>
          <w:color w:val="000000" w:themeColor="text1"/>
        </w:rPr>
        <w:t xml:space="preserve">EPA, </w:t>
      </w:r>
      <w:proofErr w:type="spellStart"/>
      <w:r>
        <w:rPr>
          <w:color w:val="000000" w:themeColor="text1"/>
        </w:rPr>
        <w:t>docosapentaenoic</w:t>
      </w:r>
      <w:proofErr w:type="spellEnd"/>
      <w:r>
        <w:rPr>
          <w:color w:val="000000" w:themeColor="text1"/>
        </w:rPr>
        <w:t xml:space="preserve"> acid (DPA)</w:t>
      </w:r>
      <w:r>
        <w:rPr>
          <w:rStyle w:val="FootnoteReference"/>
          <w:color w:val="000000" w:themeColor="text1"/>
        </w:rPr>
        <w:footnoteReference w:id="9"/>
      </w:r>
      <w:r w:rsidRPr="00C177EF">
        <w:rPr>
          <w:color w:val="000000" w:themeColor="text1"/>
        </w:rPr>
        <w:t xml:space="preserve"> and DHA</w:t>
      </w:r>
      <w:r>
        <w:rPr>
          <w:color w:val="000000" w:themeColor="text1"/>
        </w:rPr>
        <w:t>.</w:t>
      </w:r>
    </w:p>
    <w:p w14:paraId="5E5AC7B0" w14:textId="77777777" w:rsidR="00046883" w:rsidRPr="000E5C8F" w:rsidRDefault="00046883" w:rsidP="00046883"/>
    <w:p w14:paraId="5D7C853F" w14:textId="7FEFCC96" w:rsidR="00046883" w:rsidRPr="00046883" w:rsidRDefault="00046883" w:rsidP="00046883">
      <w:pPr>
        <w:pStyle w:val="FSBullet1"/>
        <w:numPr>
          <w:ilvl w:val="0"/>
          <w:numId w:val="0"/>
        </w:numPr>
        <w:spacing w:after="240"/>
        <w:rPr>
          <w:color w:val="000000" w:themeColor="text1"/>
        </w:rPr>
      </w:pPr>
      <w:r>
        <w:rPr>
          <w:color w:val="000000" w:themeColor="text1"/>
        </w:rPr>
        <w:t xml:space="preserve">The </w:t>
      </w:r>
      <w:r w:rsidRPr="00C177EF">
        <w:rPr>
          <w:color w:val="000000" w:themeColor="text1"/>
        </w:rPr>
        <w:t>dietary intake assessment considered the usual intake of n-3 LC-PUFA from the current food supply (baseline intake) in Australia and New Zealand and two scenarios to account for potentia</w:t>
      </w:r>
      <w:r>
        <w:rPr>
          <w:color w:val="000000" w:themeColor="text1"/>
        </w:rPr>
        <w:t>l additional intake of EPA, DPA</w:t>
      </w:r>
      <w:r w:rsidRPr="00C177EF">
        <w:rPr>
          <w:color w:val="000000" w:themeColor="text1"/>
        </w:rPr>
        <w:t xml:space="preserve"> and DHA due to the introduction of oil from canola </w:t>
      </w:r>
      <w:r w:rsidRPr="00C177EF">
        <w:rPr>
          <w:color w:val="000000" w:themeColor="text1"/>
        </w:rPr>
        <w:lastRenderedPageBreak/>
        <w:t xml:space="preserve">line LBFLFK. </w:t>
      </w:r>
      <w:r w:rsidR="00647543">
        <w:rPr>
          <w:color w:val="000000" w:themeColor="text1"/>
        </w:rPr>
        <w:t>This assessment captured consumption of the oil as is and the use of the oil in mixed foods.</w:t>
      </w:r>
    </w:p>
    <w:p w14:paraId="15DEA7FF" w14:textId="51CF6248" w:rsidR="00AB1786" w:rsidRDefault="00AB1786" w:rsidP="0040270B">
      <w:pPr>
        <w:widowControl/>
        <w:spacing w:before="240" w:after="240"/>
      </w:pPr>
      <w:r w:rsidRPr="00C84411">
        <w:t xml:space="preserve">In conducting the </w:t>
      </w:r>
      <w:r>
        <w:t xml:space="preserve">safety and nutrition risk </w:t>
      </w:r>
      <w:r w:rsidRPr="00C84411">
        <w:t xml:space="preserve">assessment, FSANZ considered information from a variety of sources including, but not limited to, a data package provided by the applicant (application and study reports), the scientific literature and other applications. </w:t>
      </w:r>
    </w:p>
    <w:p w14:paraId="1A184417" w14:textId="77777777" w:rsidR="009F7D39" w:rsidRDefault="009F7D39" w:rsidP="009F7D39">
      <w:pPr>
        <w:widowControl/>
        <w:spacing w:after="240"/>
        <w:rPr>
          <w:color w:val="000000" w:themeColor="text1"/>
        </w:rPr>
      </w:pPr>
      <w:r>
        <w:rPr>
          <w:color w:val="000000" w:themeColor="text1"/>
        </w:rPr>
        <w:t>No potential public health and safety concerns were identified by the safety assessment of canola line LBFLFK, which found:</w:t>
      </w:r>
    </w:p>
    <w:p w14:paraId="2FF8F089" w14:textId="77777777" w:rsidR="009F7D39" w:rsidRPr="004E0995" w:rsidRDefault="009F7D39" w:rsidP="009F7D39">
      <w:pPr>
        <w:pStyle w:val="ListParagraph"/>
        <w:widowControl/>
        <w:numPr>
          <w:ilvl w:val="0"/>
          <w:numId w:val="12"/>
        </w:numPr>
        <w:rPr>
          <w:color w:val="000000" w:themeColor="text1"/>
        </w:rPr>
      </w:pPr>
      <w:r>
        <w:t>the introduced DNA is as described and stably inherited across generations;</w:t>
      </w:r>
    </w:p>
    <w:p w14:paraId="7C308ADD" w14:textId="77777777" w:rsidR="009F7D39" w:rsidRDefault="009F7D39" w:rsidP="009F7D39">
      <w:pPr>
        <w:pStyle w:val="ListParagraph"/>
        <w:widowControl/>
        <w:numPr>
          <w:ilvl w:val="0"/>
          <w:numId w:val="12"/>
        </w:numPr>
        <w:rPr>
          <w:color w:val="000000" w:themeColor="text1"/>
        </w:rPr>
      </w:pPr>
      <w:r>
        <w:rPr>
          <w:color w:val="000000" w:themeColor="text1"/>
        </w:rPr>
        <w:t xml:space="preserve">the new proteins are expressed at low levels in the canola and are unlikely to be either toxic or allergenic; </w:t>
      </w:r>
    </w:p>
    <w:p w14:paraId="0B142EF8" w14:textId="14BC7EE1" w:rsidR="009F7D39" w:rsidRPr="009F7D39" w:rsidRDefault="009F7D39" w:rsidP="009F7D39">
      <w:pPr>
        <w:pStyle w:val="ListParagraph"/>
        <w:widowControl/>
        <w:numPr>
          <w:ilvl w:val="0"/>
          <w:numId w:val="12"/>
        </w:numPr>
        <w:rPr>
          <w:color w:val="000000" w:themeColor="text1"/>
        </w:rPr>
      </w:pPr>
      <w:r>
        <w:rPr>
          <w:lang w:eastAsia="en-AU" w:bidi="ar-SA"/>
        </w:rPr>
        <w:t xml:space="preserve">apart from the intended change to the FA profile </w:t>
      </w:r>
      <w:r w:rsidRPr="004E0995">
        <w:rPr>
          <w:rFonts w:cs="Arial"/>
          <w:color w:val="000000" w:themeColor="text1"/>
          <w:szCs w:val="22"/>
        </w:rPr>
        <w:t xml:space="preserve">and a </w:t>
      </w:r>
      <w:r>
        <w:rPr>
          <w:rFonts w:cs="Arial"/>
          <w:color w:val="000000" w:themeColor="text1"/>
          <w:szCs w:val="22"/>
        </w:rPr>
        <w:t>slightly higher content of</w:t>
      </w:r>
      <w:r w:rsidRPr="004E0995">
        <w:rPr>
          <w:rFonts w:cs="Arial"/>
          <w:color w:val="000000" w:themeColor="text1"/>
          <w:szCs w:val="22"/>
        </w:rPr>
        <w:t xml:space="preserve"> </w:t>
      </w:r>
      <w:r w:rsidRPr="00534DC0">
        <w:rPr>
          <w:rFonts w:cs="Arial"/>
          <w:color w:val="000000" w:themeColor="text1"/>
          <w:szCs w:val="22"/>
        </w:rPr>
        <w:t>TFAs</w:t>
      </w:r>
      <w:r>
        <w:rPr>
          <w:rFonts w:cs="Arial"/>
          <w:color w:val="000000" w:themeColor="text1"/>
          <w:szCs w:val="22"/>
        </w:rPr>
        <w:t xml:space="preserve"> in seed and crude oil</w:t>
      </w:r>
      <w:r w:rsidRPr="004E0995">
        <w:rPr>
          <w:rFonts w:cs="Arial"/>
          <w:color w:val="000000" w:themeColor="text1"/>
          <w:szCs w:val="22"/>
        </w:rPr>
        <w:t xml:space="preserve">, canola </w:t>
      </w:r>
      <w:r>
        <w:rPr>
          <w:rFonts w:cs="Arial"/>
          <w:color w:val="000000" w:themeColor="text1"/>
          <w:szCs w:val="22"/>
        </w:rPr>
        <w:t xml:space="preserve">line </w:t>
      </w:r>
      <w:r w:rsidRPr="004E0995">
        <w:rPr>
          <w:rFonts w:cs="Arial"/>
          <w:color w:val="000000" w:themeColor="text1"/>
          <w:szCs w:val="22"/>
        </w:rPr>
        <w:t>LBFLFK is otherwise compositionally equivalent to conventional canola varieties</w:t>
      </w:r>
      <w:r>
        <w:rPr>
          <w:color w:val="000000" w:themeColor="text1"/>
        </w:rPr>
        <w:t>.</w:t>
      </w:r>
      <w:r w:rsidRPr="004E0995">
        <w:rPr>
          <w:color w:val="000000" w:themeColor="text1"/>
        </w:rPr>
        <w:t xml:space="preserve"> </w:t>
      </w:r>
    </w:p>
    <w:p w14:paraId="66BBDE08" w14:textId="03C3660F" w:rsidR="00AB1786" w:rsidRDefault="00AB1786" w:rsidP="00AB1786">
      <w:pPr>
        <w:spacing w:before="240" w:after="240"/>
      </w:pPr>
      <w:r w:rsidRPr="00C84411">
        <w:t>The assessment of canola line LBFLFK was restricted to human food sa</w:t>
      </w:r>
      <w:r>
        <w:t>fety and nutritional issues. This</w:t>
      </w:r>
      <w:r w:rsidRPr="00C84411">
        <w:t xml:space="preserve"> assessment </w:t>
      </w:r>
      <w:r>
        <w:t>therefore does not</w:t>
      </w:r>
      <w:r w:rsidRPr="00C84411">
        <w:t xml:space="preserve"> address any risks to the environment that may occur as </w:t>
      </w:r>
      <w:r>
        <w:t>a</w:t>
      </w:r>
      <w:r w:rsidRPr="00C84411">
        <w:t xml:space="preserve"> result of growing canola line LBFLFK, or any risks to animals that may consume feed derived from canola line LBFLFK.</w:t>
      </w:r>
      <w:r w:rsidRPr="002C4E19">
        <w:t xml:space="preserve"> </w:t>
      </w:r>
      <w:r>
        <w:t xml:space="preserve">Permission to cultivate </w:t>
      </w:r>
      <w:r w:rsidRPr="00C84411">
        <w:t xml:space="preserve">canola line LBFLFK </w:t>
      </w:r>
      <w:r>
        <w:t>or to import viable seeds</w:t>
      </w:r>
      <w:r w:rsidRPr="00E827B2">
        <w:t xml:space="preserve"> in</w:t>
      </w:r>
      <w:r>
        <w:t>to</w:t>
      </w:r>
      <w:r w:rsidRPr="00E827B2">
        <w:t xml:space="preserve"> Australia or New Zealand would require separate regulatory assessment and approval by the </w:t>
      </w:r>
      <w:r>
        <w:t>GTR</w:t>
      </w:r>
      <w:r w:rsidRPr="00E827B2">
        <w:t xml:space="preserve"> in Australia and by the EPA in New Zealand.</w:t>
      </w:r>
    </w:p>
    <w:p w14:paraId="17BEFD61" w14:textId="614A591C" w:rsidR="00280370" w:rsidRDefault="00280370" w:rsidP="00280370">
      <w:pPr>
        <w:spacing w:after="240"/>
      </w:pPr>
      <w:r>
        <w:t xml:space="preserve">No nutrition issues were identified with the FA composition, and the bioavailability of EPA, DPA and DHA from triglycerides in </w:t>
      </w:r>
      <w:r w:rsidRPr="00B553EF">
        <w:t>LBFLFK oil</w:t>
      </w:r>
      <w:r>
        <w:t xml:space="preserve"> and fish oil is expected to be similar. The hazard assessment concluded </w:t>
      </w:r>
      <w:r>
        <w:rPr>
          <w:color w:val="000000" w:themeColor="text1"/>
          <w:lang w:bidi="ar-SA"/>
        </w:rPr>
        <w:t xml:space="preserve">that the </w:t>
      </w:r>
      <w:r w:rsidRPr="008C1A15">
        <w:rPr>
          <w:color w:val="000000" w:themeColor="text1"/>
          <w:lang w:bidi="ar-SA"/>
        </w:rPr>
        <w:t xml:space="preserve">n-3 LC-PUFA </w:t>
      </w:r>
      <w:r w:rsidRPr="00C177EF">
        <w:t xml:space="preserve">UL of 3 g/day is sufficiently health protective and appropriate for use in risk characterisation. </w:t>
      </w:r>
      <w:r w:rsidRPr="00B92A2F">
        <w:t xml:space="preserve">The dietary intake estimates for all population groups </w:t>
      </w:r>
      <w:r>
        <w:t xml:space="preserve">assessed </w:t>
      </w:r>
      <w:r w:rsidRPr="00B92A2F">
        <w:t>in both Australia and New</w:t>
      </w:r>
      <w:r>
        <w:t xml:space="preserve"> Zealand were below the UL of 3 </w:t>
      </w:r>
      <w:r w:rsidRPr="00B92A2F">
        <w:t xml:space="preserve">g/day. It is therefore concluded that consumption of </w:t>
      </w:r>
      <w:r>
        <w:t xml:space="preserve">oil from canola line </w:t>
      </w:r>
      <w:r w:rsidRPr="00B92A2F">
        <w:t xml:space="preserve">LBFLFK will not pose a nutritional </w:t>
      </w:r>
      <w:r>
        <w:t>risk</w:t>
      </w:r>
      <w:r w:rsidRPr="00B92A2F">
        <w:t xml:space="preserve"> to the Australian and New Zealand populations.</w:t>
      </w:r>
    </w:p>
    <w:p w14:paraId="19AE1F7A" w14:textId="69ACDD9E" w:rsidR="00AB1786" w:rsidRPr="00AB1786" w:rsidRDefault="00AB1786" w:rsidP="00AB1786">
      <w:pPr>
        <w:spacing w:after="240"/>
      </w:pPr>
      <w:r w:rsidRPr="00E827B2">
        <w:t xml:space="preserve">Based on the data provided in the present application and other available information, food derived from </w:t>
      </w:r>
      <w:r w:rsidRPr="00C84411">
        <w:t>canola line LBFLFK</w:t>
      </w:r>
      <w:r>
        <w:t xml:space="preserve"> </w:t>
      </w:r>
      <w:r w:rsidRPr="00E827B2">
        <w:t xml:space="preserve">is considered to be as safe for human consumption as food derived from non-GM </w:t>
      </w:r>
      <w:r>
        <w:t>canola</w:t>
      </w:r>
      <w:r w:rsidRPr="00E827B2">
        <w:t xml:space="preserve"> cultivars.</w:t>
      </w:r>
    </w:p>
    <w:p w14:paraId="68C97AC9" w14:textId="77777777" w:rsidR="002C1A3B" w:rsidRPr="00932F14" w:rsidRDefault="002C1A3B" w:rsidP="002C1A3B">
      <w:pPr>
        <w:pStyle w:val="Heading2"/>
      </w:pPr>
      <w:bookmarkStart w:id="48" w:name="_Toc370223473"/>
      <w:bookmarkStart w:id="49" w:name="_Toc370225388"/>
      <w:bookmarkStart w:id="50" w:name="_Toc109221961"/>
      <w:bookmarkStart w:id="51" w:name="_Toc175381450"/>
      <w:bookmarkEnd w:id="46"/>
      <w:bookmarkEnd w:id="47"/>
      <w:r>
        <w:t>2.3</w:t>
      </w:r>
      <w:r>
        <w:tab/>
        <w:t>Risk management</w:t>
      </w:r>
      <w:bookmarkEnd w:id="48"/>
      <w:bookmarkEnd w:id="49"/>
      <w:bookmarkEnd w:id="50"/>
    </w:p>
    <w:p w14:paraId="0D740A4D" w14:textId="19C6E29C" w:rsidR="00AB1786" w:rsidRDefault="00AB1786" w:rsidP="00AB1786">
      <w:bookmarkStart w:id="52" w:name="_Toc309291814"/>
      <w:bookmarkStart w:id="53" w:name="_Toc370225389"/>
      <w:bookmarkStart w:id="54" w:name="_Toc286391012"/>
      <w:bookmarkEnd w:id="51"/>
      <w:r w:rsidRPr="0032486B">
        <w:rPr>
          <w:lang w:bidi="ar-SA"/>
        </w:rPr>
        <w:t xml:space="preserve">On the basis of </w:t>
      </w:r>
      <w:r w:rsidRPr="0032486B">
        <w:t>the findings of the risk assessment,</w:t>
      </w:r>
      <w:r>
        <w:t xml:space="preserve"> </w:t>
      </w:r>
      <w:r w:rsidRPr="00CE2FFE">
        <w:t xml:space="preserve">FSANZ considered a number of risk management </w:t>
      </w:r>
      <w:r>
        <w:t xml:space="preserve">responses to matters relating to </w:t>
      </w:r>
      <w:r w:rsidRPr="00CE2FFE">
        <w:t xml:space="preserve">foods derived from </w:t>
      </w:r>
      <w:r>
        <w:t>canola line</w:t>
      </w:r>
      <w:r w:rsidRPr="00F27F51">
        <w:t xml:space="preserve"> LBFLFK</w:t>
      </w:r>
      <w:r w:rsidRPr="00CE2FFE">
        <w:t xml:space="preserve"> sold in Australia and New Zealand</w:t>
      </w:r>
      <w:r>
        <w:t>.</w:t>
      </w:r>
    </w:p>
    <w:p w14:paraId="5F2F4A0B" w14:textId="2ABD15E6" w:rsidR="00AB1786" w:rsidRPr="00FB4A53" w:rsidRDefault="00AB1786" w:rsidP="00AB1786">
      <w:pPr>
        <w:pStyle w:val="Heading3"/>
      </w:pPr>
      <w:bookmarkStart w:id="55" w:name="_Toc103774498"/>
      <w:bookmarkStart w:id="56" w:name="_Toc103776745"/>
      <w:bookmarkStart w:id="57" w:name="_Toc109221962"/>
      <w:r>
        <w:t>2</w:t>
      </w:r>
      <w:r w:rsidR="00EA1DF5">
        <w:t>.3</w:t>
      </w:r>
      <w:r w:rsidRPr="00FB4A53">
        <w:t>.1</w:t>
      </w:r>
      <w:r w:rsidRPr="00FB4A53">
        <w:tab/>
        <w:t>Regulatory approval</w:t>
      </w:r>
      <w:bookmarkEnd w:id="55"/>
      <w:bookmarkEnd w:id="56"/>
      <w:bookmarkEnd w:id="57"/>
    </w:p>
    <w:p w14:paraId="34387B9D" w14:textId="77E52124" w:rsidR="00AB1786" w:rsidRDefault="00AB1786" w:rsidP="00AB1786">
      <w:pPr>
        <w:spacing w:after="240"/>
      </w:pPr>
      <w:r>
        <w:t xml:space="preserve">Canola line </w:t>
      </w:r>
      <w:r w:rsidRPr="004C5505">
        <w:t>LBFLFK</w:t>
      </w:r>
      <w:r>
        <w:t xml:space="preserve"> </w:t>
      </w:r>
      <w:r w:rsidRPr="00FB4A53">
        <w:t xml:space="preserve">is a </w:t>
      </w:r>
      <w:r>
        <w:t xml:space="preserve">GM </w:t>
      </w:r>
      <w:r w:rsidRPr="00FB4A53">
        <w:t xml:space="preserve">food for Code purposes as it is </w:t>
      </w:r>
      <w:r w:rsidRPr="00FE3002">
        <w:t xml:space="preserve">developed </w:t>
      </w:r>
      <w:r w:rsidRPr="00FB4A53">
        <w:t>from ‘an organism that has been modified using gene technology’</w:t>
      </w:r>
      <w:r>
        <w:t>.</w:t>
      </w:r>
      <w:r w:rsidRPr="00FB4A53">
        <w:t xml:space="preserve"> </w:t>
      </w:r>
      <w:r>
        <w:t xml:space="preserve">The approved draft variation </w:t>
      </w:r>
      <w:r w:rsidRPr="00FB4A53">
        <w:t>list</w:t>
      </w:r>
      <w:r>
        <w:t>s</w:t>
      </w:r>
      <w:r w:rsidRPr="00FB4A53">
        <w:t xml:space="preserve"> </w:t>
      </w:r>
      <w:r>
        <w:t>canola line</w:t>
      </w:r>
      <w:r w:rsidRPr="004C5505">
        <w:t xml:space="preserve"> LBFLFK</w:t>
      </w:r>
      <w:r>
        <w:t xml:space="preserve"> </w:t>
      </w:r>
      <w:r w:rsidRPr="00FB4A53">
        <w:t>in the table to subsection S26—3(4).</w:t>
      </w:r>
      <w:r w:rsidRPr="003120D0">
        <w:t xml:space="preserve"> </w:t>
      </w:r>
      <w:r>
        <w:t>Following gazettal, this</w:t>
      </w:r>
      <w:r w:rsidRPr="00E827B2">
        <w:t xml:space="preserve"> </w:t>
      </w:r>
      <w:r w:rsidRPr="00FB4A53">
        <w:t>w</w:t>
      </w:r>
      <w:r>
        <w:t>ill</w:t>
      </w:r>
      <w:r w:rsidRPr="00FB4A53">
        <w:t xml:space="preserve"> provide permission for </w:t>
      </w:r>
      <w:r>
        <w:t xml:space="preserve">the sale and use of </w:t>
      </w:r>
      <w:r w:rsidRPr="00FB4A53">
        <w:t xml:space="preserve">food </w:t>
      </w:r>
      <w:r>
        <w:t xml:space="preserve">derived from canola line </w:t>
      </w:r>
      <w:r w:rsidRPr="004C5505">
        <w:t xml:space="preserve">LBFLFK </w:t>
      </w:r>
      <w:r w:rsidRPr="00FB4A53">
        <w:t>as a</w:t>
      </w:r>
      <w:r>
        <w:t xml:space="preserve"> GM</w:t>
      </w:r>
      <w:r w:rsidRPr="00FB4A53">
        <w:t xml:space="preserve"> food</w:t>
      </w:r>
      <w:r>
        <w:t xml:space="preserve"> in accordance with the Code.</w:t>
      </w:r>
    </w:p>
    <w:p w14:paraId="75EAF3EC" w14:textId="637BF060" w:rsidR="00AB1786" w:rsidRDefault="6F99118C" w:rsidP="00AB1786">
      <w:pPr>
        <w:rPr>
          <w:lang w:eastAsia="en-AU" w:bidi="ar-SA"/>
        </w:rPr>
      </w:pPr>
      <w:r w:rsidRPr="4DFADFFF">
        <w:rPr>
          <w:lang w:eastAsia="en-AU" w:bidi="ar-SA"/>
        </w:rPr>
        <w:t xml:space="preserve">The applicant </w:t>
      </w:r>
      <w:r w:rsidR="2DC28105" w:rsidRPr="4DFADFFF">
        <w:rPr>
          <w:lang w:eastAsia="en-AU" w:bidi="ar-SA"/>
        </w:rPr>
        <w:t>did not seek</w:t>
      </w:r>
      <w:r w:rsidRPr="4DFADFFF">
        <w:rPr>
          <w:lang w:eastAsia="en-AU" w:bidi="ar-SA"/>
        </w:rPr>
        <w:t xml:space="preserve"> permission for food derived from </w:t>
      </w:r>
      <w:r w:rsidRPr="4DFADFFF">
        <w:rPr>
          <w:lang w:bidi="ar-SA"/>
        </w:rPr>
        <w:t xml:space="preserve">canola line LBFLFK </w:t>
      </w:r>
      <w:r w:rsidRPr="4DFADFFF">
        <w:rPr>
          <w:lang w:eastAsia="en-AU" w:bidi="ar-SA"/>
        </w:rPr>
        <w:t xml:space="preserve">to be used as an ingredient in infant formula products and </w:t>
      </w:r>
      <w:r>
        <w:t>the application did not include specific data on its safety in the infant population</w:t>
      </w:r>
      <w:r w:rsidRPr="4DFADFFF">
        <w:rPr>
          <w:lang w:eastAsia="en-AU" w:bidi="ar-SA"/>
        </w:rPr>
        <w:t xml:space="preserve">. Additionally, based on composition information available </w:t>
      </w:r>
      <w:r w:rsidRPr="4DFADFFF">
        <w:rPr>
          <w:lang w:eastAsia="en-AU" w:bidi="ar-SA"/>
        </w:rPr>
        <w:lastRenderedPageBreak/>
        <w:t xml:space="preserve">under SD2, Table 1 </w:t>
      </w:r>
      <w:r w:rsidRPr="4DFADFFF">
        <w:rPr>
          <w:i/>
          <w:iCs/>
          <w:lang w:eastAsia="en-AU" w:bidi="ar-SA"/>
        </w:rPr>
        <w:t>Levels of EPA, DPA and DHA (as % of total FAs) in LBFLFK oil, conventional canola oils and fish oils</w:t>
      </w:r>
      <w:r w:rsidRPr="4DFADFFF">
        <w:rPr>
          <w:lang w:eastAsia="en-AU" w:bidi="ar-SA"/>
        </w:rPr>
        <w:t xml:space="preserve">, oil from </w:t>
      </w:r>
      <w:r w:rsidRPr="4DFADFFF">
        <w:rPr>
          <w:lang w:bidi="ar-SA"/>
        </w:rPr>
        <w:t xml:space="preserve">canola line LBFLFK </w:t>
      </w:r>
      <w:r w:rsidRPr="4DFADFFF">
        <w:rPr>
          <w:lang w:eastAsia="en-AU" w:bidi="ar-SA"/>
        </w:rPr>
        <w:t xml:space="preserve">does not meet the Code requirements relating to the use of </w:t>
      </w:r>
      <w:r w:rsidRPr="4DFADFFF">
        <w:rPr>
          <w:color w:val="000000" w:themeColor="text1"/>
          <w:lang w:bidi="ar-SA"/>
        </w:rPr>
        <w:t xml:space="preserve">LC-PUFA </w:t>
      </w:r>
      <w:r w:rsidRPr="4DFADFFF">
        <w:rPr>
          <w:lang w:eastAsia="en-AU" w:bidi="ar-SA"/>
        </w:rPr>
        <w:t xml:space="preserve">in infant formula products. Specifically, oil derived from </w:t>
      </w:r>
      <w:r w:rsidRPr="4DFADFFF">
        <w:rPr>
          <w:lang w:bidi="ar-SA"/>
        </w:rPr>
        <w:t>canola line LBFLFK</w:t>
      </w:r>
      <w:r w:rsidRPr="4DFADFFF">
        <w:rPr>
          <w:lang w:eastAsia="en-AU" w:bidi="ar-SA"/>
        </w:rPr>
        <w:t xml:space="preserve"> does not comply with paragraph 2.9.1—11(1)(d) (as it contains more EPA than DHA) and section S29—8 (as total FA content from the n-3 LC-PUFAs is more than 1% total FAs). </w:t>
      </w:r>
    </w:p>
    <w:p w14:paraId="01A41A9C" w14:textId="25FE1768" w:rsidR="00AB1786" w:rsidRPr="006572C9" w:rsidRDefault="0000637F" w:rsidP="0040270B">
      <w:pPr>
        <w:spacing w:before="240"/>
        <w:rPr>
          <w:szCs w:val="22"/>
          <w:lang w:bidi="ar-SA"/>
        </w:rPr>
      </w:pPr>
      <w:r>
        <w:rPr>
          <w:lang w:eastAsia="en-AU" w:bidi="ar-SA"/>
        </w:rPr>
        <w:t xml:space="preserve">The approved amendment is therefore specific to the population </w:t>
      </w:r>
      <w:r w:rsidR="004304BA">
        <w:rPr>
          <w:lang w:eastAsia="en-AU" w:bidi="ar-SA"/>
        </w:rPr>
        <w:t>group assessed</w:t>
      </w:r>
      <w:r w:rsidR="00F17038">
        <w:rPr>
          <w:lang w:eastAsia="en-AU" w:bidi="ar-SA"/>
        </w:rPr>
        <w:t xml:space="preserve">, and is not approved for use </w:t>
      </w:r>
      <w:r w:rsidR="00D16B98">
        <w:rPr>
          <w:lang w:eastAsia="en-AU" w:bidi="ar-SA"/>
        </w:rPr>
        <w:t xml:space="preserve">as an ingredient </w:t>
      </w:r>
      <w:r w:rsidR="00363B98">
        <w:rPr>
          <w:lang w:eastAsia="en-AU" w:bidi="ar-SA"/>
        </w:rPr>
        <w:t>in</w:t>
      </w:r>
      <w:r w:rsidR="00D16B98">
        <w:rPr>
          <w:lang w:eastAsia="en-AU" w:bidi="ar-SA"/>
        </w:rPr>
        <w:t xml:space="preserve"> infant formula products</w:t>
      </w:r>
      <w:r w:rsidR="00F14464">
        <w:t>. This</w:t>
      </w:r>
      <w:r w:rsidR="00AB1786">
        <w:t xml:space="preserve"> is consistent with the permission under S26—3 for </w:t>
      </w:r>
      <w:r w:rsidR="00AB1786" w:rsidRPr="00B9043B">
        <w:t>oil derived from</w:t>
      </w:r>
      <w:r w:rsidR="00AB1786">
        <w:t xml:space="preserve"> DHA </w:t>
      </w:r>
      <w:r w:rsidR="00AB1786" w:rsidRPr="00C54E1D">
        <w:t>canola line NS-B50027-4</w:t>
      </w:r>
      <w:r w:rsidR="00AB1786">
        <w:t>.</w:t>
      </w:r>
    </w:p>
    <w:p w14:paraId="0F9D8F38" w14:textId="1701B52C" w:rsidR="00AB1786" w:rsidRPr="0060091E" w:rsidRDefault="00EA1DF5" w:rsidP="00AB1786">
      <w:pPr>
        <w:pStyle w:val="Heading3"/>
      </w:pPr>
      <w:bookmarkStart w:id="58" w:name="_Toc89078025"/>
      <w:bookmarkStart w:id="59" w:name="_Toc103774499"/>
      <w:bookmarkStart w:id="60" w:name="_Toc103776746"/>
      <w:bookmarkStart w:id="61" w:name="_Toc109221963"/>
      <w:r>
        <w:t>2.3</w:t>
      </w:r>
      <w:r w:rsidR="00AB1786" w:rsidRPr="0060091E">
        <w:t>.</w:t>
      </w:r>
      <w:r>
        <w:t>2</w:t>
      </w:r>
      <w:r w:rsidR="00AB1786" w:rsidRPr="0060091E">
        <w:t xml:space="preserve"> </w:t>
      </w:r>
      <w:r w:rsidR="00AB1786" w:rsidRPr="0060091E">
        <w:tab/>
        <w:t>Labelling</w:t>
      </w:r>
      <w:bookmarkEnd w:id="58"/>
      <w:bookmarkEnd w:id="59"/>
      <w:bookmarkEnd w:id="60"/>
      <w:bookmarkEnd w:id="61"/>
    </w:p>
    <w:p w14:paraId="2A8C01D5" w14:textId="6F58D3E2" w:rsidR="00AB1786" w:rsidRDefault="00EA1DF5" w:rsidP="00AB1786">
      <w:pPr>
        <w:pStyle w:val="Heading4"/>
      </w:pPr>
      <w:r>
        <w:t>2.3.2</w:t>
      </w:r>
      <w:r w:rsidR="00AB1786">
        <w:t>.1</w:t>
      </w:r>
      <w:r w:rsidR="00AB1786">
        <w:tab/>
        <w:t>Requirement to be labelled as ‘genetically modified’</w:t>
      </w:r>
    </w:p>
    <w:p w14:paraId="59453BE0" w14:textId="56DE6B30" w:rsidR="000D642E" w:rsidRPr="0060091E" w:rsidRDefault="000D642E" w:rsidP="000D642E">
      <w:pPr>
        <w:spacing w:after="240"/>
        <w:rPr>
          <w:szCs w:val="22"/>
        </w:rPr>
      </w:pPr>
      <w:r w:rsidRPr="0060091E">
        <w:t xml:space="preserve">In accordance </w:t>
      </w:r>
      <w:r w:rsidRPr="0060091E">
        <w:rPr>
          <w:szCs w:val="22"/>
        </w:rPr>
        <w:t xml:space="preserve">with the labelling provisions in Standard 1.5.2 (see </w:t>
      </w:r>
      <w:r>
        <w:rPr>
          <w:szCs w:val="22"/>
        </w:rPr>
        <w:t>S</w:t>
      </w:r>
      <w:r w:rsidRPr="0060091E">
        <w:rPr>
          <w:szCs w:val="22"/>
        </w:rPr>
        <w:t xml:space="preserve">ection 1.3 of this </w:t>
      </w:r>
      <w:r>
        <w:rPr>
          <w:szCs w:val="22"/>
        </w:rPr>
        <w:t>r</w:t>
      </w:r>
      <w:r w:rsidRPr="0060091E">
        <w:rPr>
          <w:szCs w:val="22"/>
        </w:rPr>
        <w:t xml:space="preserve">eport), food for sale derived from </w:t>
      </w:r>
      <w:r>
        <w:rPr>
          <w:szCs w:val="22"/>
        </w:rPr>
        <w:t xml:space="preserve">a GM food, such as </w:t>
      </w:r>
      <w:r w:rsidRPr="00172AA9">
        <w:t>canola line LBFLFK</w:t>
      </w:r>
      <w:r>
        <w:rPr>
          <w:lang w:bidi="ar-SA"/>
        </w:rPr>
        <w:t>,</w:t>
      </w:r>
      <w:r w:rsidRPr="0060091E">
        <w:rPr>
          <w:color w:val="FF0000"/>
          <w:szCs w:val="22"/>
        </w:rPr>
        <w:t xml:space="preserve"> </w:t>
      </w:r>
      <w:r w:rsidR="00AE5594">
        <w:rPr>
          <w:szCs w:val="22"/>
        </w:rPr>
        <w:t>will be</w:t>
      </w:r>
      <w:r w:rsidR="00AE5594" w:rsidRPr="0060091E">
        <w:rPr>
          <w:szCs w:val="22"/>
        </w:rPr>
        <w:t xml:space="preserve"> </w:t>
      </w:r>
      <w:r w:rsidRPr="0060091E">
        <w:rPr>
          <w:szCs w:val="22"/>
        </w:rPr>
        <w:t>required to be labelled as ‘genetically modified’ if (among other things) the GM food:</w:t>
      </w:r>
    </w:p>
    <w:p w14:paraId="5016E561" w14:textId="77777777" w:rsidR="000D642E" w:rsidRPr="0060091E" w:rsidRDefault="000D642E" w:rsidP="000D642E">
      <w:pPr>
        <w:pStyle w:val="ListParagraph"/>
        <w:widowControl/>
        <w:numPr>
          <w:ilvl w:val="0"/>
          <w:numId w:val="12"/>
        </w:numPr>
      </w:pPr>
      <w:r w:rsidRPr="0060091E">
        <w:t>contains novel DNA or novel protein; or</w:t>
      </w:r>
    </w:p>
    <w:p w14:paraId="196A8E63" w14:textId="77777777" w:rsidR="000D642E" w:rsidRPr="00E0162A" w:rsidRDefault="000D642E" w:rsidP="000D642E">
      <w:pPr>
        <w:pStyle w:val="FSBullet1"/>
        <w:numPr>
          <w:ilvl w:val="0"/>
          <w:numId w:val="11"/>
        </w:numPr>
        <w:spacing w:after="240"/>
        <w:rPr>
          <w:color w:val="000000" w:themeColor="text1"/>
        </w:rPr>
      </w:pPr>
      <w:r w:rsidRPr="00E0162A">
        <w:rPr>
          <w:color w:val="000000" w:themeColor="text1"/>
        </w:rPr>
        <w:t>is listed in subsection</w:t>
      </w:r>
      <w:r w:rsidRPr="00E0162A" w:rsidDel="004C340F">
        <w:rPr>
          <w:color w:val="000000" w:themeColor="text1"/>
        </w:rPr>
        <w:t>s</w:t>
      </w:r>
      <w:r w:rsidRPr="00E0162A">
        <w:rPr>
          <w:color w:val="000000" w:themeColor="text1"/>
        </w:rPr>
        <w:t xml:space="preserve"> S26—3(2), 2(A) or (3) of Schedule 26 as being subject to the condition that the labelling must comply with section 1.5.2—4 of Standard 1.5.2 (such food has altered characteristics). </w:t>
      </w:r>
    </w:p>
    <w:p w14:paraId="27E51EC5" w14:textId="77777777" w:rsidR="000D642E" w:rsidRDefault="000D642E" w:rsidP="000D642E">
      <w:pPr>
        <w:spacing w:after="240"/>
        <w:rPr>
          <w:rFonts w:cs="Arial"/>
        </w:rPr>
      </w:pPr>
      <w:r>
        <w:rPr>
          <w:rFonts w:cs="Arial"/>
        </w:rPr>
        <w:t>As noted in Section 2.1 of this report, f</w:t>
      </w:r>
      <w:r w:rsidRPr="00D831E5">
        <w:rPr>
          <w:rFonts w:cs="Arial"/>
        </w:rPr>
        <w:t>ood derived from canola line LBFLFK</w:t>
      </w:r>
      <w:r>
        <w:rPr>
          <w:rFonts w:cs="Arial"/>
        </w:rPr>
        <w:t xml:space="preserve"> including </w:t>
      </w:r>
      <w:r w:rsidRPr="00D831E5">
        <w:rPr>
          <w:rFonts w:cs="Arial"/>
        </w:rPr>
        <w:t>canola oil, meal</w:t>
      </w:r>
      <w:r w:rsidDel="00A13DA7">
        <w:rPr>
          <w:rFonts w:cs="Arial"/>
        </w:rPr>
        <w:t xml:space="preserve"> and </w:t>
      </w:r>
      <w:r w:rsidRPr="00D831E5">
        <w:rPr>
          <w:rFonts w:cs="Arial"/>
        </w:rPr>
        <w:t>protein isolate</w:t>
      </w:r>
      <w:r>
        <w:rPr>
          <w:rFonts w:cs="Arial"/>
        </w:rPr>
        <w:t xml:space="preserve"> or cooked </w:t>
      </w:r>
      <w:r w:rsidRPr="00D831E5">
        <w:rPr>
          <w:rFonts w:cs="Arial"/>
        </w:rPr>
        <w:t>whole seeds in bread products may enter the Australian and New Zealand food supply as imported food products.</w:t>
      </w:r>
    </w:p>
    <w:p w14:paraId="1BDA24E4" w14:textId="36B46B42" w:rsidR="000D642E" w:rsidRDefault="42AB45E8" w:rsidP="000D642E">
      <w:pPr>
        <w:spacing w:after="240"/>
        <w:rPr>
          <w:rFonts w:cs="Arial"/>
        </w:rPr>
      </w:pPr>
      <w:r w:rsidRPr="4DFADFFF">
        <w:rPr>
          <w:rFonts w:cs="Arial"/>
        </w:rPr>
        <w:t>FSANZ has determined that whole seeds from canola line LBFLFK contain novel DNA, novel protein and an altered nutritional profile that is outside the compositional variation found in existing counterpart food. As such, whole canola seeds and food products containing whole canola seeds as an ingredient (e.g. bread products) will require the mandatory statement ‘genetically modified’ on the label of a package of food. Where products are not required to bear a label and are not packaged (e.g. ‘fresh’ bread that is made and consumed on the premises from which it is sold), the mandatory statement will need to accompany the food or be displayed in connection with the display of the food.</w:t>
      </w:r>
    </w:p>
    <w:p w14:paraId="1AC5F095" w14:textId="4E35509D" w:rsidR="000D642E" w:rsidRDefault="000D642E" w:rsidP="000D642E">
      <w:pPr>
        <w:spacing w:after="240"/>
        <w:rPr>
          <w:rFonts w:cs="Arial"/>
        </w:rPr>
      </w:pPr>
      <w:r>
        <w:rPr>
          <w:rFonts w:cs="Arial"/>
        </w:rPr>
        <w:t>Highly refined canola oil is the major product intended for human consumption. Canola oil is unlikely to contain novel DNA or novel protein</w:t>
      </w:r>
      <w:r w:rsidRPr="009047A9">
        <w:rPr>
          <w:rFonts w:cs="Arial"/>
        </w:rPr>
        <w:t xml:space="preserve"> </w:t>
      </w:r>
      <w:r>
        <w:rPr>
          <w:rFonts w:cs="Arial"/>
        </w:rPr>
        <w:t xml:space="preserve">due to the refining process used to extract the oil from the seed. The product will, however, have a nutritional profile that differs from canola oil derived from conventional (non-GM) canola. </w:t>
      </w:r>
      <w:r w:rsidR="002C119B">
        <w:rPr>
          <w:rFonts w:cs="Arial"/>
        </w:rPr>
        <w:t>Consequently, t</w:t>
      </w:r>
      <w:r w:rsidR="00B545F3">
        <w:rPr>
          <w:rFonts w:cs="Arial"/>
        </w:rPr>
        <w:t>he approved draft variation</w:t>
      </w:r>
      <w:r w:rsidRPr="00912720">
        <w:rPr>
          <w:rFonts w:cs="Arial"/>
        </w:rPr>
        <w:t xml:space="preserve"> list</w:t>
      </w:r>
      <w:r w:rsidR="007A2454">
        <w:rPr>
          <w:rFonts w:cs="Arial"/>
        </w:rPr>
        <w:t>s</w:t>
      </w:r>
      <w:r w:rsidRPr="00912720">
        <w:rPr>
          <w:rFonts w:cs="Arial"/>
        </w:rPr>
        <w:t xml:space="preserve"> food derived from </w:t>
      </w:r>
      <w:r w:rsidRPr="0057488E">
        <w:rPr>
          <w:rFonts w:cs="Arial"/>
        </w:rPr>
        <w:t xml:space="preserve">canola line LBFLFK </w:t>
      </w:r>
      <w:r w:rsidRPr="00912720">
        <w:rPr>
          <w:rFonts w:cs="Arial"/>
        </w:rPr>
        <w:t>in subsection S26—3(2) of Schedule 26</w:t>
      </w:r>
      <w:r>
        <w:rPr>
          <w:rFonts w:cs="Arial"/>
        </w:rPr>
        <w:t xml:space="preserve"> which will require </w:t>
      </w:r>
      <w:r w:rsidR="005C372D">
        <w:rPr>
          <w:rFonts w:cs="Arial"/>
        </w:rPr>
        <w:t xml:space="preserve">that </w:t>
      </w:r>
      <w:r>
        <w:rPr>
          <w:rFonts w:cs="Arial"/>
        </w:rPr>
        <w:t xml:space="preserve">food to be labelled with the mandatory ‘genetically modified’ statement irrespective of the presence of novel DNA or novel protein. </w:t>
      </w:r>
    </w:p>
    <w:p w14:paraId="36AB4EFC" w14:textId="47C4295F" w:rsidR="000D642E" w:rsidRDefault="000D642E" w:rsidP="000D642E">
      <w:pPr>
        <w:spacing w:after="240"/>
        <w:rPr>
          <w:rFonts w:cs="Arial"/>
          <w:color w:val="000000" w:themeColor="text1"/>
          <w:szCs w:val="22"/>
        </w:rPr>
      </w:pPr>
      <w:r>
        <w:rPr>
          <w:rFonts w:cs="Arial"/>
        </w:rPr>
        <w:t xml:space="preserve">Canola meal is a by-product of seed oil extraction. The extraction process means the nutritional profile of meal </w:t>
      </w:r>
      <w:r w:rsidRPr="00912720">
        <w:rPr>
          <w:rFonts w:cs="Arial"/>
        </w:rPr>
        <w:t xml:space="preserve">from </w:t>
      </w:r>
      <w:r w:rsidRPr="0057488E">
        <w:rPr>
          <w:rFonts w:cs="Arial"/>
        </w:rPr>
        <w:t xml:space="preserve">canola line LBFLFK </w:t>
      </w:r>
      <w:r w:rsidR="000D1672">
        <w:rPr>
          <w:rFonts w:cs="Arial"/>
        </w:rPr>
        <w:t>would be comparable to</w:t>
      </w:r>
      <w:r>
        <w:rPr>
          <w:rFonts w:cs="Arial"/>
        </w:rPr>
        <w:t xml:space="preserve"> meal from conventional (non-GM) canola</w:t>
      </w:r>
      <w:r w:rsidR="00DA4431">
        <w:rPr>
          <w:rFonts w:cs="Arial"/>
        </w:rPr>
        <w:t xml:space="preserve"> (</w:t>
      </w:r>
      <w:r w:rsidR="00D41E6F">
        <w:rPr>
          <w:rFonts w:cs="Arial"/>
        </w:rPr>
        <w:t>S</w:t>
      </w:r>
      <w:r w:rsidR="00DA4431">
        <w:rPr>
          <w:rFonts w:cs="Arial"/>
        </w:rPr>
        <w:t>ection</w:t>
      </w:r>
      <w:r w:rsidR="008F0493">
        <w:rPr>
          <w:rFonts w:cs="Arial"/>
        </w:rPr>
        <w:t xml:space="preserve"> 5.</w:t>
      </w:r>
      <w:r w:rsidR="008F277A">
        <w:rPr>
          <w:rFonts w:cs="Arial"/>
        </w:rPr>
        <w:t>2</w:t>
      </w:r>
      <w:r w:rsidR="008F0493">
        <w:rPr>
          <w:rFonts w:cs="Arial"/>
        </w:rPr>
        <w:t>.2</w:t>
      </w:r>
      <w:r w:rsidR="00DA4431">
        <w:rPr>
          <w:rFonts w:cs="Arial"/>
        </w:rPr>
        <w:t xml:space="preserve"> of </w:t>
      </w:r>
      <w:r w:rsidR="008F277A">
        <w:rPr>
          <w:rFonts w:cs="Arial"/>
        </w:rPr>
        <w:t xml:space="preserve">the </w:t>
      </w:r>
      <w:r w:rsidR="00DA4431">
        <w:rPr>
          <w:rFonts w:cs="Arial"/>
        </w:rPr>
        <w:t>SD1)</w:t>
      </w:r>
      <w:r>
        <w:rPr>
          <w:rFonts w:cs="Arial"/>
        </w:rPr>
        <w:t xml:space="preserve">. </w:t>
      </w:r>
      <w:r w:rsidR="00C5139B" w:rsidRPr="00C5139B">
        <w:rPr>
          <w:rFonts w:cs="Arial"/>
        </w:rPr>
        <w:t>However, novel DNA and novel protein will be present. The effect of the approved draft variation will be that meal and food products containing canola meal from canola line LBFLFK as an ingredient that are intended for human consumption will require the mandatory labelling statement in accordance with the Code</w:t>
      </w:r>
      <w:r w:rsidR="00C5139B">
        <w:rPr>
          <w:rFonts w:cs="Arial"/>
        </w:rPr>
        <w:t>.</w:t>
      </w:r>
      <w:r>
        <w:rPr>
          <w:rFonts w:cs="Arial"/>
        </w:rPr>
        <w:t xml:space="preserve"> The mandatory ‘genetically modified’ statement will also apply to p</w:t>
      </w:r>
      <w:r>
        <w:rPr>
          <w:rFonts w:cs="Arial"/>
          <w:color w:val="000000" w:themeColor="text1"/>
          <w:szCs w:val="22"/>
        </w:rPr>
        <w:t>rotein isolate derived from the canola meal.</w:t>
      </w:r>
    </w:p>
    <w:p w14:paraId="5A80986E" w14:textId="77777777" w:rsidR="0025139A" w:rsidRPr="00B3579E" w:rsidRDefault="0025139A" w:rsidP="0025139A">
      <w:pPr>
        <w:rPr>
          <w:rFonts w:cs="Arial"/>
          <w:lang w:val="en-AU"/>
        </w:rPr>
      </w:pPr>
      <w:r w:rsidRPr="0025139A">
        <w:rPr>
          <w:rFonts w:cs="Arial"/>
          <w:lang w:val="en-AU"/>
        </w:rPr>
        <w:lastRenderedPageBreak/>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the ‘genetically modified’ statement must be in conjunction with the name of the GM food (subsection 1.5.2—4(2)) and it may be included in the statement of ingredients for the food for sale (subsection 1.5.2—4(3)).</w:t>
      </w:r>
    </w:p>
    <w:p w14:paraId="42622E31" w14:textId="77777777" w:rsidR="004D398B" w:rsidRDefault="004D398B" w:rsidP="000D642E">
      <w:pPr>
        <w:spacing w:after="240"/>
        <w:rPr>
          <w:rFonts w:cs="Arial"/>
        </w:rPr>
      </w:pPr>
    </w:p>
    <w:p w14:paraId="269234AC" w14:textId="7344FC10" w:rsidR="00AB1786" w:rsidRDefault="00EA1DF5" w:rsidP="00AB1786">
      <w:pPr>
        <w:pStyle w:val="Heading4"/>
      </w:pPr>
      <w:r>
        <w:t>2.3</w:t>
      </w:r>
      <w:r w:rsidR="00AB1786" w:rsidRPr="00BF5C5A">
        <w:t>.</w:t>
      </w:r>
      <w:r>
        <w:t>2</w:t>
      </w:r>
      <w:r w:rsidR="00AB1786" w:rsidRPr="00BF5C5A">
        <w:t>.2</w:t>
      </w:r>
      <w:r w:rsidR="00AB1786" w:rsidRPr="00BF5C5A">
        <w:tab/>
        <w:t>Need for additional labelling requirements</w:t>
      </w:r>
    </w:p>
    <w:p w14:paraId="29C90EC1" w14:textId="77777777" w:rsidR="000D642E" w:rsidRDefault="000D642E" w:rsidP="000D642E">
      <w:pPr>
        <w:spacing w:after="240"/>
        <w:rPr>
          <w:rFonts w:cs="Arial"/>
        </w:rPr>
      </w:pPr>
      <w:r>
        <w:rPr>
          <w:rFonts w:cs="Arial"/>
        </w:rPr>
        <w:t xml:space="preserve">FSANZ has also considered whether additional labelling (i.e. in addition to the mandatory ‘genetically modified’ statement described above) is required to alert consumers to the nature of the altered characteristics in foods derived from canola </w:t>
      </w:r>
      <w:r w:rsidRPr="008A05A5">
        <w:rPr>
          <w:rFonts w:cs="Arial"/>
        </w:rPr>
        <w:t xml:space="preserve">line LBFLFK </w:t>
      </w:r>
      <w:r>
        <w:rPr>
          <w:rFonts w:cs="Arial"/>
        </w:rPr>
        <w:t xml:space="preserve">when compared to non-GM canola products. </w:t>
      </w:r>
    </w:p>
    <w:p w14:paraId="2147C94C" w14:textId="77777777" w:rsidR="000D642E" w:rsidRDefault="000D642E" w:rsidP="000D642E">
      <w:pPr>
        <w:spacing w:after="240"/>
        <w:rPr>
          <w:rFonts w:cs="Arial"/>
        </w:rPr>
      </w:pPr>
      <w:r>
        <w:rPr>
          <w:rFonts w:cs="Arial"/>
        </w:rPr>
        <w:t xml:space="preserve">Whole seeds and oil and </w:t>
      </w:r>
      <w:bookmarkStart w:id="62" w:name="_Hlk99542479"/>
      <w:r>
        <w:rPr>
          <w:rFonts w:cs="Arial"/>
        </w:rPr>
        <w:t xml:space="preserve">from </w:t>
      </w:r>
      <w:bookmarkStart w:id="63" w:name="_Hlk101959703"/>
      <w:r w:rsidRPr="0057488E">
        <w:rPr>
          <w:rFonts w:cs="Arial"/>
        </w:rPr>
        <w:t xml:space="preserve">canola line LBFLFK </w:t>
      </w:r>
      <w:bookmarkEnd w:id="62"/>
      <w:bookmarkEnd w:id="63"/>
      <w:r>
        <w:rPr>
          <w:rFonts w:cs="Arial"/>
        </w:rPr>
        <w:t>will contain</w:t>
      </w:r>
      <w:r w:rsidRPr="005E2ADC">
        <w:rPr>
          <w:rFonts w:cs="Arial"/>
        </w:rPr>
        <w:t xml:space="preserve"> </w:t>
      </w:r>
      <w:r>
        <w:rPr>
          <w:rFonts w:cs="Arial"/>
        </w:rPr>
        <w:t xml:space="preserve">an altered FA profile. </w:t>
      </w:r>
      <w:r w:rsidRPr="00912720">
        <w:rPr>
          <w:rFonts w:cs="Arial"/>
        </w:rPr>
        <w:t>However,</w:t>
      </w:r>
      <w:r w:rsidRPr="00214A5E">
        <w:t xml:space="preserve"> </w:t>
      </w:r>
      <w:r w:rsidRPr="00214A5E">
        <w:rPr>
          <w:rFonts w:cs="Arial"/>
        </w:rPr>
        <w:t>similar to previous assessments (e.g. A1143 DHA Canola</w:t>
      </w:r>
      <w:r>
        <w:rPr>
          <w:rFonts w:cs="Arial"/>
        </w:rPr>
        <w:t>),</w:t>
      </w:r>
      <w:r w:rsidRPr="00214A5E">
        <w:rPr>
          <w:rFonts w:cs="Arial"/>
        </w:rPr>
        <w:t xml:space="preserve"> </w:t>
      </w:r>
      <w:r w:rsidRPr="009473E5">
        <w:rPr>
          <w:rFonts w:cs="Arial"/>
        </w:rPr>
        <w:t>FSANZ is not proposing additional mandatory labelling for the following reasons:</w:t>
      </w:r>
    </w:p>
    <w:p w14:paraId="5A023183" w14:textId="77777777" w:rsidR="000D642E" w:rsidRDefault="000D642E" w:rsidP="000D642E">
      <w:pPr>
        <w:pStyle w:val="FSBullet1"/>
        <w:numPr>
          <w:ilvl w:val="0"/>
          <w:numId w:val="6"/>
        </w:numPr>
      </w:pPr>
      <w:r w:rsidRPr="00AE5BAC">
        <w:t xml:space="preserve">The canola has been genetically modified to contain the n-3 LC-PUFA’s EPA and DHA, although other omega 3 </w:t>
      </w:r>
      <w:r>
        <w:t>FA</w:t>
      </w:r>
      <w:r w:rsidRPr="00AE5BAC">
        <w:t>s are also present.</w:t>
      </w:r>
      <w:r>
        <w:t xml:space="preserve"> </w:t>
      </w:r>
      <w:r w:rsidRPr="00063FCB">
        <w:t xml:space="preserve">FSANZ notes that consumers are more likely to have a better understanding of the general terms ‘omega-3’ </w:t>
      </w:r>
      <w:r>
        <w:t xml:space="preserve">and ‘polyunsaturated fats’ </w:t>
      </w:r>
      <w:r w:rsidRPr="00063FCB">
        <w:t xml:space="preserve">than to have an understanding of the </w:t>
      </w:r>
      <w:r>
        <w:t>specific FA</w:t>
      </w:r>
      <w:r w:rsidRPr="00063FCB">
        <w:t xml:space="preserve">s. As such, mandatory labelling that refers to specific </w:t>
      </w:r>
      <w:r>
        <w:t>FA</w:t>
      </w:r>
      <w:r w:rsidRPr="00063FCB">
        <w:t xml:space="preserve">s, such as </w:t>
      </w:r>
      <w:r>
        <w:t>EP</w:t>
      </w:r>
      <w:r w:rsidRPr="00063FCB">
        <w:t>A, could be confusing to consumers.</w:t>
      </w:r>
    </w:p>
    <w:p w14:paraId="213264AE" w14:textId="09943825" w:rsidR="000D642E" w:rsidRPr="004E6D52" w:rsidRDefault="000D642E" w:rsidP="000D642E">
      <w:pPr>
        <w:pStyle w:val="FSBullet1"/>
        <w:numPr>
          <w:ilvl w:val="0"/>
          <w:numId w:val="6"/>
        </w:numPr>
      </w:pPr>
      <w:r w:rsidRPr="004E6D52">
        <w:t xml:space="preserve">A mandatory statement to the effect that the food has been genetically modified to contain </w:t>
      </w:r>
      <w:r>
        <w:t>EPA</w:t>
      </w:r>
      <w:r w:rsidRPr="004E6D52">
        <w:t xml:space="preserve"> </w:t>
      </w:r>
      <w:r>
        <w:t xml:space="preserve">and DHA </w:t>
      </w:r>
      <w:r w:rsidRPr="004E6D52">
        <w:t xml:space="preserve">as omega-3 </w:t>
      </w:r>
      <w:r>
        <w:t>FAs</w:t>
      </w:r>
      <w:r w:rsidRPr="004E6D52">
        <w:t xml:space="preserve"> would be inconsistent with existing omega-3 claim conditions in section S4—3 of Schedule 4 (Nutrition, health and related claims). Section S4—3 includes the claim condition that a serving of the food carrying an omega-3 nutrition claim must contain minimum amounts of ALA or EPA and DHA, whereas a mandatory labelling statement for oil </w:t>
      </w:r>
      <w:r w:rsidRPr="00F7536C">
        <w:t xml:space="preserve">from canola line LBFLFK </w:t>
      </w:r>
      <w:r w:rsidR="00183844">
        <w:t xml:space="preserve">would </w:t>
      </w:r>
      <w:r w:rsidRPr="004E6D52">
        <w:t xml:space="preserve">simply inform consumers of the presence of omega-3 </w:t>
      </w:r>
      <w:r>
        <w:t>FA</w:t>
      </w:r>
      <w:r w:rsidRPr="004E6D52">
        <w:t>s, irrespective of the amount in the food or ingredient.</w:t>
      </w:r>
    </w:p>
    <w:p w14:paraId="254D24E1" w14:textId="77777777" w:rsidR="000D642E" w:rsidRDefault="000D642E" w:rsidP="000D642E">
      <w:pPr>
        <w:pStyle w:val="FSBullet1"/>
        <w:numPr>
          <w:ilvl w:val="0"/>
          <w:numId w:val="6"/>
        </w:numPr>
      </w:pPr>
      <w:r w:rsidRPr="00945294">
        <w:t xml:space="preserve">A mandatory statement could also imply that the food contributes a nutritionally significant amount of </w:t>
      </w:r>
      <w:r>
        <w:t>n-3 LC PUFAs</w:t>
      </w:r>
      <w:r w:rsidRPr="00945294">
        <w:t xml:space="preserve">, when the actual amount may be negligible (for example, when oil from </w:t>
      </w:r>
      <w:r w:rsidRPr="00F7536C">
        <w:t xml:space="preserve">canola line LBFLFK </w:t>
      </w:r>
      <w:r w:rsidRPr="00945294">
        <w:t>is used as a minor ingredient in food). In addition, consumers could assume</w:t>
      </w:r>
      <w:r>
        <w:t>,</w:t>
      </w:r>
      <w:r w:rsidRPr="00945294">
        <w:t xml:space="preserve"> inappropriately</w:t>
      </w:r>
      <w:r>
        <w:t>,</w:t>
      </w:r>
      <w:r w:rsidRPr="00945294">
        <w:t xml:space="preserve"> that </w:t>
      </w:r>
      <w:r>
        <w:t xml:space="preserve">it </w:t>
      </w:r>
      <w:r w:rsidRPr="00945294">
        <w:t xml:space="preserve">provides an equivalent amount of </w:t>
      </w:r>
      <w:r>
        <w:t>n-3 LC PUFAs</w:t>
      </w:r>
      <w:r w:rsidRPr="00945294">
        <w:t xml:space="preserve"> derived from fish.</w:t>
      </w:r>
    </w:p>
    <w:p w14:paraId="26CA27DF" w14:textId="4F4A7538" w:rsidR="00AB1786" w:rsidRDefault="00AB1786" w:rsidP="00AB1786">
      <w:pPr>
        <w:pStyle w:val="Heading4"/>
      </w:pPr>
      <w:bookmarkStart w:id="64" w:name="_Hlk102137196"/>
      <w:r w:rsidRPr="00BF5C5A">
        <w:t>2.</w:t>
      </w:r>
      <w:r w:rsidR="00EA1DF5">
        <w:t>3.2</w:t>
      </w:r>
      <w:r>
        <w:t>.3</w:t>
      </w:r>
      <w:bookmarkEnd w:id="64"/>
      <w:r>
        <w:tab/>
      </w:r>
      <w:r w:rsidRPr="00BF5C5A">
        <w:t>Voluntary representations made about food</w:t>
      </w:r>
    </w:p>
    <w:p w14:paraId="1CD38B63" w14:textId="4A105E8B" w:rsidR="000D642E" w:rsidRDefault="42AB45E8" w:rsidP="000D642E">
      <w:pPr>
        <w:spacing w:after="240"/>
        <w:rPr>
          <w:rFonts w:cs="Arial"/>
        </w:rPr>
      </w:pPr>
      <w:r w:rsidRPr="4DFADFFF">
        <w:rPr>
          <w:rFonts w:cs="Arial"/>
        </w:rPr>
        <w:t xml:space="preserve">Based on the nutrition assessment (see SD2), FSANZ has concluded that oil from canola line LBFLFK has the potential to be used as a source of omega-3 FAs. Oil from canola line LBFLFK and food products containing oil from the canola line LBFLFK as an ingredient may meet the requirements for making a nutrition content or health claim in relation to their omega-3 FA content or polyunsaturated FA content. The conditions for making such claims are set out in Schedule 4. Other nutrition content and health claim requirements are set out in Standard 1.2.7 (Nutrition, health and related claims). The onus is on the supplier to determine whether their food product meets these conditions and requirements before making a nutrition content or health claim. </w:t>
      </w:r>
    </w:p>
    <w:p w14:paraId="7A97219D" w14:textId="226526A8" w:rsidR="000D642E" w:rsidRDefault="000D642E" w:rsidP="000D642E">
      <w:r>
        <w:rPr>
          <w:rFonts w:cs="Arial"/>
          <w:color w:val="000000" w:themeColor="text1"/>
          <w:szCs w:val="22"/>
          <w:lang w:val="en"/>
        </w:rPr>
        <w:t>R</w:t>
      </w:r>
      <w:r w:rsidRPr="001D4331">
        <w:rPr>
          <w:rFonts w:cs="Arial"/>
          <w:color w:val="000000" w:themeColor="text1"/>
          <w:szCs w:val="22"/>
          <w:lang w:val="en"/>
        </w:rPr>
        <w:t xml:space="preserve">epresentations made about a food derived from </w:t>
      </w:r>
      <w:r w:rsidRPr="0057488E">
        <w:rPr>
          <w:rFonts w:cs="Arial"/>
          <w:color w:val="000000" w:themeColor="text1"/>
          <w:szCs w:val="22"/>
          <w:lang w:val="en"/>
        </w:rPr>
        <w:t xml:space="preserve">canola line LBFLFK </w:t>
      </w:r>
      <w:r w:rsidR="004C51C7" w:rsidRPr="001D4331">
        <w:rPr>
          <w:rFonts w:cs="Arial"/>
          <w:color w:val="000000" w:themeColor="text1"/>
          <w:szCs w:val="22"/>
          <w:lang w:val="en"/>
        </w:rPr>
        <w:t>w</w:t>
      </w:r>
      <w:r w:rsidR="004C51C7">
        <w:rPr>
          <w:rFonts w:cs="Arial"/>
          <w:color w:val="000000" w:themeColor="text1"/>
          <w:szCs w:val="22"/>
          <w:lang w:val="en"/>
        </w:rPr>
        <w:t>ill</w:t>
      </w:r>
      <w:r w:rsidR="004C51C7" w:rsidRPr="001D4331">
        <w:rPr>
          <w:rFonts w:cs="Arial"/>
          <w:color w:val="000000" w:themeColor="text1"/>
          <w:szCs w:val="22"/>
          <w:lang w:val="en"/>
        </w:rPr>
        <w:t xml:space="preserve"> </w:t>
      </w:r>
      <w:r w:rsidRPr="001D4331">
        <w:rPr>
          <w:rFonts w:cs="Arial"/>
          <w:color w:val="000000" w:themeColor="text1"/>
          <w:szCs w:val="22"/>
          <w:lang w:val="en"/>
        </w:rPr>
        <w:t xml:space="preserve">also be subject to other Australian and New Zealand </w:t>
      </w:r>
      <w:r>
        <w:rPr>
          <w:rFonts w:cs="Arial"/>
          <w:color w:val="000000" w:themeColor="text1"/>
          <w:szCs w:val="22"/>
          <w:lang w:val="en"/>
        </w:rPr>
        <w:t xml:space="preserve">consumer and fair trading </w:t>
      </w:r>
      <w:r w:rsidRPr="001D4331">
        <w:rPr>
          <w:rFonts w:cs="Arial"/>
          <w:color w:val="000000" w:themeColor="text1"/>
          <w:szCs w:val="22"/>
          <w:lang w:val="en"/>
        </w:rPr>
        <w:t xml:space="preserve">laws designed to prevent </w:t>
      </w:r>
      <w:r w:rsidRPr="001D4331">
        <w:rPr>
          <w:rFonts w:cs="Arial"/>
          <w:color w:val="000000" w:themeColor="text1"/>
          <w:szCs w:val="22"/>
          <w:lang w:val="en"/>
        </w:rPr>
        <w:lastRenderedPageBreak/>
        <w:t>misleading or deceptive conduct, including in relation to food.</w:t>
      </w:r>
      <w:r w:rsidRPr="00E66D32">
        <w:rPr>
          <w:rFonts w:cs="Arial"/>
          <w:color w:val="000000" w:themeColor="text1"/>
          <w:szCs w:val="22"/>
          <w:lang w:val="en"/>
        </w:rPr>
        <w:t xml:space="preserve"> </w:t>
      </w:r>
    </w:p>
    <w:p w14:paraId="2AA125FE" w14:textId="361B3C14" w:rsidR="00AB1786" w:rsidRPr="00A853AB" w:rsidRDefault="00EA1DF5" w:rsidP="00AB1786">
      <w:pPr>
        <w:pStyle w:val="Heading3"/>
      </w:pPr>
      <w:bookmarkStart w:id="65" w:name="_Toc55915850"/>
      <w:bookmarkStart w:id="66" w:name="_Toc89078026"/>
      <w:bookmarkStart w:id="67" w:name="_Toc103774500"/>
      <w:bookmarkStart w:id="68" w:name="_Toc103776747"/>
      <w:bookmarkStart w:id="69" w:name="_Toc109221964"/>
      <w:r>
        <w:t>2.3</w:t>
      </w:r>
      <w:r w:rsidR="00AB1786" w:rsidRPr="00A853AB">
        <w:t>.</w:t>
      </w:r>
      <w:r>
        <w:t>3</w:t>
      </w:r>
      <w:r w:rsidR="00AB1786" w:rsidRPr="00A853AB">
        <w:t xml:space="preserve"> </w:t>
      </w:r>
      <w:r w:rsidR="00AB1786" w:rsidRPr="00A853AB">
        <w:tab/>
        <w:t>Detection methodology</w:t>
      </w:r>
      <w:bookmarkEnd w:id="65"/>
      <w:bookmarkEnd w:id="66"/>
      <w:bookmarkEnd w:id="67"/>
      <w:bookmarkEnd w:id="68"/>
      <w:bookmarkEnd w:id="69"/>
    </w:p>
    <w:p w14:paraId="033B4563" w14:textId="77777777" w:rsidR="00AB1786" w:rsidRPr="006B1393" w:rsidRDefault="00AB1786" w:rsidP="00AB1786">
      <w:pPr>
        <w:spacing w:after="240"/>
      </w:pPr>
      <w:r w:rsidRPr="006B1393">
        <w:t>An Expert Advisory Group (EAG)</w:t>
      </w:r>
      <w:r>
        <w:t xml:space="preserve"> comprising</w:t>
      </w:r>
      <w:r w:rsidRPr="006B1393">
        <w:t xml:space="preserve"> laboratory personnel and representatives of Australian and New Zealand jurisdictions was formed by the Food Regulation Standing Committee’s Implementation Sub-Committee</w:t>
      </w:r>
      <w:r w:rsidRPr="006B1393">
        <w:rPr>
          <w:rStyle w:val="FootnoteReference"/>
        </w:rPr>
        <w:footnoteReference w:id="10"/>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13E19EB7" w14:textId="77777777" w:rsidR="00AB1786" w:rsidRDefault="00AB1786" w:rsidP="00AB1786">
      <w:pPr>
        <w:spacing w:after="240"/>
      </w:pPr>
      <w:r w:rsidRPr="006B1393">
        <w:t xml:space="preserve">The EAG indicated that for GM </w:t>
      </w:r>
      <w:r>
        <w:t>a</w:t>
      </w:r>
      <w:r w:rsidRPr="006B1393">
        <w:t xml:space="preserve">pplications, the full DNA sequence of the insert and adjacent genomic DNA are sufficient data for analytical purposes. Using this information, any </w:t>
      </w:r>
      <w:r w:rsidRPr="0060091E">
        <w:t>DNA analytical laboratory would have the capability to develop a PCR</w:t>
      </w:r>
      <w:r>
        <w:rPr>
          <w:rStyle w:val="FootnoteReference"/>
        </w:rPr>
        <w:footnoteReference w:id="11"/>
      </w:r>
      <w:r w:rsidRPr="0060091E">
        <w:t xml:space="preserve">-based detection method. This sequence information was supplied by the </w:t>
      </w:r>
      <w:r w:rsidRPr="00D5207A">
        <w:t xml:space="preserve">applicant for </w:t>
      </w:r>
      <w:r>
        <w:t>A1239</w:t>
      </w:r>
      <w:r w:rsidRPr="00D5207A">
        <w:t>.</w:t>
      </w:r>
    </w:p>
    <w:p w14:paraId="6632E7B6" w14:textId="7B29CC33" w:rsidR="002C1A3B" w:rsidRPr="008C301D" w:rsidRDefault="002C1A3B" w:rsidP="002C1A3B">
      <w:pPr>
        <w:pStyle w:val="Heading2"/>
      </w:pPr>
      <w:bookmarkStart w:id="70" w:name="_Toc109221965"/>
      <w:r>
        <w:t>2</w:t>
      </w:r>
      <w:r w:rsidRPr="008C301D">
        <w:t>.</w:t>
      </w:r>
      <w:r>
        <w:t>4</w:t>
      </w:r>
      <w:r w:rsidRPr="008C301D">
        <w:tab/>
        <w:t>Risk communication</w:t>
      </w:r>
      <w:bookmarkEnd w:id="52"/>
      <w:bookmarkEnd w:id="53"/>
      <w:bookmarkEnd w:id="70"/>
    </w:p>
    <w:p w14:paraId="49F02854" w14:textId="77777777" w:rsidR="002C1A3B" w:rsidRPr="00AD08A3" w:rsidRDefault="002C1A3B" w:rsidP="002C1A3B">
      <w:pPr>
        <w:pStyle w:val="Heading3"/>
      </w:pPr>
      <w:bookmarkStart w:id="71" w:name="_Toc300933437"/>
      <w:bookmarkStart w:id="72" w:name="_Toc370223475"/>
      <w:bookmarkStart w:id="73" w:name="_Toc370225390"/>
      <w:bookmarkStart w:id="74" w:name="_Toc109221966"/>
      <w:r w:rsidRPr="00AD08A3">
        <w:t>2.4.1</w:t>
      </w:r>
      <w:r w:rsidRPr="00AD08A3">
        <w:tab/>
        <w:t>Consultation</w:t>
      </w:r>
      <w:bookmarkEnd w:id="71"/>
      <w:bookmarkEnd w:id="72"/>
      <w:bookmarkEnd w:id="73"/>
      <w:bookmarkEnd w:id="74"/>
    </w:p>
    <w:p w14:paraId="1D47F7FC" w14:textId="77777777" w:rsidR="002C1A3B" w:rsidRPr="00A670A7" w:rsidRDefault="002C1A3B" w:rsidP="00EA1DF5">
      <w:pPr>
        <w:spacing w:after="240"/>
        <w:rPr>
          <w:szCs w:val="22"/>
        </w:rPr>
      </w:pPr>
      <w:r w:rsidRPr="00A670A7">
        <w:rPr>
          <w:szCs w:val="22"/>
        </w:rPr>
        <w:t xml:space="preserve">Consultation is a key part of FSANZ’s standards development process. </w:t>
      </w:r>
    </w:p>
    <w:p w14:paraId="7503D40D" w14:textId="0B4FA604" w:rsidR="00EA1DF5" w:rsidRPr="00EA1DF5" w:rsidRDefault="00EA1DF5" w:rsidP="00EA1DF5">
      <w:pPr>
        <w:spacing w:after="240"/>
        <w:rPr>
          <w:lang w:bidi="ar-SA"/>
        </w:rPr>
      </w:pPr>
      <w:r w:rsidRPr="00756A52">
        <w:rPr>
          <w:lang w:bidi="ar-SA"/>
        </w:rPr>
        <w:t xml:space="preserve">The process by which FSANZ considers standards matters is open, accountable, consultative and transparent. Public submissions are </w:t>
      </w:r>
      <w:r>
        <w:rPr>
          <w:lang w:bidi="ar-SA"/>
        </w:rPr>
        <w:t>requested</w:t>
      </w:r>
      <w:r w:rsidRPr="00756A52">
        <w:rPr>
          <w:lang w:bidi="ar-SA"/>
        </w:rPr>
        <w:t xml:space="preserve"> to obtain the views of interested p</w:t>
      </w:r>
      <w:r>
        <w:rPr>
          <w:lang w:bidi="ar-SA"/>
        </w:rPr>
        <w:t>arties on issues raised by the a</w:t>
      </w:r>
      <w:r w:rsidRPr="00756A52">
        <w:rPr>
          <w:lang w:bidi="ar-SA"/>
        </w:rPr>
        <w:t>pplication and the impacts of regulatory options.</w:t>
      </w:r>
    </w:p>
    <w:p w14:paraId="2EEAF9C6" w14:textId="05B26C7A" w:rsidR="00EA1DF5" w:rsidRPr="00756A52" w:rsidRDefault="00EA1DF5" w:rsidP="00EA1DF5">
      <w:pPr>
        <w:spacing w:after="240"/>
        <w:rPr>
          <w:lang w:bidi="ar-SA"/>
        </w:rPr>
      </w:pPr>
      <w:r w:rsidRPr="00756A52">
        <w:rPr>
          <w:szCs w:val="22"/>
        </w:rPr>
        <w:t xml:space="preserve">Public submissions were invited on a draft variation which was released for public comment between </w:t>
      </w:r>
      <w:r w:rsidR="00C062B6">
        <w:rPr>
          <w:szCs w:val="22"/>
        </w:rPr>
        <w:t>27</w:t>
      </w:r>
      <w:r>
        <w:rPr>
          <w:szCs w:val="22"/>
        </w:rPr>
        <w:t xml:space="preserve"> </w:t>
      </w:r>
      <w:r w:rsidR="00C062B6">
        <w:rPr>
          <w:szCs w:val="22"/>
        </w:rPr>
        <w:t>May</w:t>
      </w:r>
      <w:r w:rsidR="001D30A8">
        <w:rPr>
          <w:szCs w:val="22"/>
        </w:rPr>
        <w:t xml:space="preserve"> 2022</w:t>
      </w:r>
      <w:r>
        <w:rPr>
          <w:szCs w:val="22"/>
        </w:rPr>
        <w:t xml:space="preserve"> </w:t>
      </w:r>
      <w:r w:rsidRPr="00756A52">
        <w:rPr>
          <w:szCs w:val="22"/>
        </w:rPr>
        <w:t>and</w:t>
      </w:r>
      <w:r>
        <w:rPr>
          <w:szCs w:val="22"/>
        </w:rPr>
        <w:t xml:space="preserve"> </w:t>
      </w:r>
      <w:r w:rsidR="00C062B6">
        <w:rPr>
          <w:szCs w:val="22"/>
        </w:rPr>
        <w:t>8</w:t>
      </w:r>
      <w:r w:rsidRPr="000C6192">
        <w:rPr>
          <w:szCs w:val="22"/>
        </w:rPr>
        <w:t xml:space="preserve"> </w:t>
      </w:r>
      <w:r w:rsidR="00C062B6">
        <w:rPr>
          <w:szCs w:val="22"/>
        </w:rPr>
        <w:t>July</w:t>
      </w:r>
      <w:r>
        <w:rPr>
          <w:szCs w:val="22"/>
        </w:rPr>
        <w:t xml:space="preserve"> 2022</w:t>
      </w:r>
      <w:r w:rsidRPr="00756A52">
        <w:rPr>
          <w:szCs w:val="22"/>
        </w:rPr>
        <w:t xml:space="preserve">. </w:t>
      </w:r>
      <w:r w:rsidRPr="00756A52">
        <w:rPr>
          <w:lang w:bidi="ar-SA"/>
        </w:rPr>
        <w:t xml:space="preserve">The call for submissions was notified via the </w:t>
      </w:r>
      <w:r>
        <w:rPr>
          <w:lang w:bidi="ar-SA"/>
        </w:rPr>
        <w:t xml:space="preserve">FSANZ </w:t>
      </w:r>
      <w:r w:rsidRPr="00756A52">
        <w:rPr>
          <w:lang w:bidi="ar-SA"/>
        </w:rPr>
        <w:t>Notification Circular, media release</w:t>
      </w:r>
      <w:r>
        <w:rPr>
          <w:lang w:bidi="ar-SA"/>
        </w:rPr>
        <w:t xml:space="preserve">, </w:t>
      </w:r>
      <w:r w:rsidRPr="00756A52">
        <w:rPr>
          <w:lang w:bidi="ar-SA"/>
        </w:rPr>
        <w:t xml:space="preserve">FSANZ’s social media tools and Food Standards News. Subscribers and interested parties were also notified. </w:t>
      </w:r>
    </w:p>
    <w:p w14:paraId="077CEEEF" w14:textId="7107D3A8" w:rsidR="00EA1DF5" w:rsidRPr="009D23D5" w:rsidRDefault="2DC28105" w:rsidP="00EA1DF5">
      <w:pPr>
        <w:spacing w:after="240"/>
      </w:pPr>
      <w:r>
        <w:t>FSANZ acknowledges the time taken by individuals and organisations to make submissions on this application. Every submission was considered as part of the decision making process by FSANZ. All comments are valued and contribute to the rigour of our assessment.</w:t>
      </w:r>
    </w:p>
    <w:p w14:paraId="091F9C5E" w14:textId="3260ADBB" w:rsidR="002C1A3B" w:rsidRPr="00AD08A3" w:rsidRDefault="00AD08A3" w:rsidP="002C1A3B">
      <w:pPr>
        <w:rPr>
          <w:lang w:bidi="ar-SA"/>
        </w:rPr>
      </w:pPr>
      <w:r w:rsidRPr="00756A52">
        <w:rPr>
          <w:lang w:bidi="ar-SA"/>
        </w:rPr>
        <w:t xml:space="preserve">Documents relating to Application </w:t>
      </w:r>
      <w:r w:rsidR="00326111">
        <w:rPr>
          <w:lang w:bidi="ar-SA"/>
        </w:rPr>
        <w:t>A1239</w:t>
      </w:r>
      <w:r w:rsidRPr="00756A52">
        <w:rPr>
          <w:lang w:bidi="ar-SA"/>
        </w:rPr>
        <w:t xml:space="preserve">, including submissions received, are available on the </w:t>
      </w:r>
      <w:hyperlink r:id="rId22" w:history="1">
        <w:r w:rsidRPr="00326111">
          <w:rPr>
            <w:rStyle w:val="Hyperlink"/>
            <w:szCs w:val="22"/>
          </w:rPr>
          <w:t>FSANZ website</w:t>
        </w:r>
      </w:hyperlink>
      <w:r>
        <w:rPr>
          <w:rStyle w:val="FootnoteReference"/>
          <w:szCs w:val="22"/>
        </w:rPr>
        <w:footnoteReference w:id="12"/>
      </w:r>
      <w:r w:rsidRPr="00756A52">
        <w:rPr>
          <w:lang w:bidi="ar-SA"/>
        </w:rPr>
        <w:t>.</w:t>
      </w:r>
    </w:p>
    <w:p w14:paraId="4B7B9E59" w14:textId="77777777" w:rsidR="002C1A3B" w:rsidRDefault="002C1A3B" w:rsidP="002C1A3B">
      <w:pPr>
        <w:pStyle w:val="Heading2"/>
      </w:pPr>
      <w:bookmarkStart w:id="75" w:name="_Toc370223477"/>
      <w:bookmarkStart w:id="76" w:name="_Toc370225392"/>
      <w:bookmarkStart w:id="77" w:name="_Toc109221968"/>
      <w:bookmarkStart w:id="78" w:name="_Toc309291816"/>
      <w:bookmarkStart w:id="79" w:name="_Toc300933448"/>
      <w:bookmarkStart w:id="80" w:name="_Toc300933577"/>
      <w:bookmarkStart w:id="81" w:name="_Toc301535601"/>
      <w:bookmarkStart w:id="82" w:name="_Toc309385464"/>
      <w:bookmarkStart w:id="83" w:name="_Toc175381456"/>
      <w:bookmarkEnd w:id="54"/>
      <w:r w:rsidRPr="002C1A3B">
        <w:t>2.5</w:t>
      </w:r>
      <w:r w:rsidRPr="002C1A3B">
        <w:tab/>
        <w:t>FSANZ Act assessment requirements</w:t>
      </w:r>
      <w:bookmarkEnd w:id="75"/>
      <w:bookmarkEnd w:id="76"/>
      <w:bookmarkEnd w:id="77"/>
    </w:p>
    <w:p w14:paraId="0D37C1A5" w14:textId="0FB60658" w:rsidR="00233781" w:rsidRPr="00233781" w:rsidRDefault="00233781" w:rsidP="00233781">
      <w:r w:rsidRPr="00914030">
        <w:t xml:space="preserve">When </w:t>
      </w:r>
      <w:r w:rsidRPr="00CB4871">
        <w:t xml:space="preserve">assessing this </w:t>
      </w:r>
      <w:r>
        <w:t>a</w:t>
      </w:r>
      <w:r w:rsidRPr="00CB4871">
        <w:t xml:space="preserve">pplication and the subsequent development of a food regulatory measure, FSANZ </w:t>
      </w:r>
      <w:r>
        <w:t xml:space="preserve">has </w:t>
      </w:r>
      <w:r w:rsidRPr="00CB4871">
        <w:t xml:space="preserve">had regard to the </w:t>
      </w:r>
      <w:r w:rsidRPr="00CB4871" w:rsidDel="00932F14">
        <w:t xml:space="preserve">following </w:t>
      </w:r>
      <w:r w:rsidRPr="00CB4871">
        <w:t xml:space="preserve">matters in section 29 of the </w:t>
      </w:r>
      <w:r w:rsidRPr="00914030">
        <w:t>FSANZ Act:</w:t>
      </w:r>
    </w:p>
    <w:p w14:paraId="6076981E" w14:textId="36C86F61" w:rsidR="002C1A3B" w:rsidRPr="002C1A3B" w:rsidRDefault="002C1A3B" w:rsidP="002C1A3B">
      <w:pPr>
        <w:pStyle w:val="Heading3"/>
      </w:pPr>
      <w:bookmarkStart w:id="84" w:name="_Toc370223478"/>
      <w:bookmarkStart w:id="85" w:name="_Toc370225393"/>
      <w:bookmarkStart w:id="86" w:name="_Toc109221969"/>
      <w:bookmarkEnd w:id="78"/>
      <w:bookmarkEnd w:id="79"/>
      <w:bookmarkEnd w:id="80"/>
      <w:bookmarkEnd w:id="81"/>
      <w:bookmarkEnd w:id="82"/>
      <w:r w:rsidRPr="002C1A3B">
        <w:t>2.5.1</w:t>
      </w:r>
      <w:r w:rsidRPr="002C1A3B">
        <w:tab/>
        <w:t xml:space="preserve">Section </w:t>
      </w:r>
      <w:r w:rsidRPr="00233781">
        <w:t>29</w:t>
      </w:r>
      <w:bookmarkEnd w:id="84"/>
      <w:bookmarkEnd w:id="85"/>
      <w:bookmarkEnd w:id="86"/>
    </w:p>
    <w:p w14:paraId="40B6A44B"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3A0256E" w14:textId="77777777" w:rsidR="001C4CA8" w:rsidRPr="00534DC0" w:rsidRDefault="001C4CA8" w:rsidP="001C4CA8">
      <w:pPr>
        <w:rPr>
          <w:szCs w:val="20"/>
          <w:lang w:bidi="ar-SA"/>
        </w:rPr>
      </w:pPr>
      <w:r>
        <w:t xml:space="preserve">The Office of Best Practice Regulation (OBPR) granted FSANZ a standing exemption from the requirement to develop a Regulatory Impact Statement for applications relating to </w:t>
      </w:r>
      <w:r>
        <w:lastRenderedPageBreak/>
        <w:t>permitting GM foods (OBPR correspondence dated 24 November 2010, reference 12065). This standing exemption was provided as permitting new GM foods is deregulatory as their use will be voluntary if the application concerned is approved. This standing exemption relates to the introduction of a food to the food supply that has been determined to be safe.</w:t>
      </w:r>
    </w:p>
    <w:p w14:paraId="41C8C035" w14:textId="77777777" w:rsidR="001C4CA8" w:rsidRDefault="001C4CA8" w:rsidP="001C4CA8">
      <w:pPr>
        <w:spacing w:before="240"/>
        <w:rPr>
          <w:lang w:val="en-AU"/>
        </w:rPr>
      </w:pPr>
      <w:r>
        <w:rPr>
          <w:lang w:val="en-AU"/>
        </w:rPr>
        <w:t xml:space="preserve">FSANZ, however, gave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4D828386" w14:textId="77777777" w:rsidR="001C4CA8" w:rsidRPr="0060091E" w:rsidRDefault="001C4CA8" w:rsidP="001C4CA8">
      <w:pPr>
        <w:spacing w:before="240"/>
        <w:rPr>
          <w:lang w:val="en-AU"/>
        </w:rPr>
      </w:pPr>
      <w:r>
        <w:rPr>
          <w:lang w:val="en-AU"/>
        </w:rPr>
        <w:t xml:space="preserve">The purpose of FSANZ’s consideration was to determine if the community, government, and industry as a whole is likely to benefit, on balance, from a move from the status quo (where the status quo was </w:t>
      </w:r>
      <w:r w:rsidRPr="0060091E">
        <w:rPr>
          <w:lang w:val="en-AU"/>
        </w:rPr>
        <w:t xml:space="preserve">rejecting the application). </w:t>
      </w:r>
      <w:r w:rsidRPr="0060091E">
        <w:rPr>
          <w:szCs w:val="22"/>
        </w:rPr>
        <w:t xml:space="preserve">This analysis considers permitting the sale and use of </w:t>
      </w:r>
      <w:r>
        <w:rPr>
          <w:szCs w:val="22"/>
        </w:rPr>
        <w:t>food derived from canola line LBFLFK</w:t>
      </w:r>
      <w:r w:rsidRPr="0060091E">
        <w:rPr>
          <w:szCs w:val="22"/>
        </w:rPr>
        <w:t>.</w:t>
      </w:r>
    </w:p>
    <w:p w14:paraId="22FC9674" w14:textId="77777777" w:rsidR="001C4CA8" w:rsidRPr="0060091E" w:rsidRDefault="001C4CA8" w:rsidP="001C4CA8">
      <w:pPr>
        <w:spacing w:before="240" w:after="240"/>
        <w:rPr>
          <w:lang w:val="en-AU"/>
        </w:rPr>
      </w:pPr>
      <w:r w:rsidRPr="0060091E">
        <w:rPr>
          <w:lang w:val="en-AU"/>
        </w:rPr>
        <w:t>The consideration of the costs and benefits in this section is not intended to be an exhaustive, quantitative economic analysis of the proposed measures. In fact, most of the e</w:t>
      </w:r>
      <w:r>
        <w:rPr>
          <w:lang w:val="en-AU"/>
        </w:rPr>
        <w:t>ffects that were considered could n</w:t>
      </w:r>
      <w:r w:rsidRPr="0060091E">
        <w:rPr>
          <w:lang w:val="en-AU"/>
        </w:rPr>
        <w:t xml:space="preserve">ot easily be assigned a dollar value. </w:t>
      </w:r>
      <w:r w:rsidRPr="0060091E">
        <w:rPr>
          <w:szCs w:val="22"/>
        </w:rPr>
        <w:t>Rather, the assessment seeks to highlight the likely positives and negatives of moving away from the status quo by permitting the sale</w:t>
      </w:r>
      <w:r>
        <w:rPr>
          <w:szCs w:val="22"/>
        </w:rPr>
        <w:t xml:space="preserve"> and use</w:t>
      </w:r>
      <w:r w:rsidRPr="0060091E">
        <w:rPr>
          <w:szCs w:val="22"/>
        </w:rPr>
        <w:t xml:space="preserve"> of food derived </w:t>
      </w:r>
      <w:r>
        <w:rPr>
          <w:lang w:bidi="ar-SA"/>
        </w:rPr>
        <w:t xml:space="preserve">from </w:t>
      </w:r>
      <w:r>
        <w:rPr>
          <w:szCs w:val="22"/>
        </w:rPr>
        <w:t>canola line LBFLFK</w:t>
      </w:r>
      <w:r w:rsidRPr="0060091E">
        <w:rPr>
          <w:szCs w:val="22"/>
        </w:rPr>
        <w:t>.</w:t>
      </w:r>
      <w:r w:rsidRPr="001404BA">
        <w:t xml:space="preserve"> </w:t>
      </w:r>
      <w:r w:rsidRPr="00BC7738">
        <w:rPr>
          <w:szCs w:val="22"/>
        </w:rPr>
        <w:t>It is out-of-scope for this consideration to comment on the costs or benefits of using this ingredient for agricultural feed, including feeding to farmed fish.</w:t>
      </w:r>
      <w:r w:rsidRPr="0060091E">
        <w:rPr>
          <w:szCs w:val="22"/>
        </w:rPr>
        <w:t xml:space="preserve"> </w:t>
      </w:r>
    </w:p>
    <w:p w14:paraId="4F24B3C3" w14:textId="77777777" w:rsidR="001C4CA8" w:rsidRPr="002D4493" w:rsidRDefault="001C4CA8" w:rsidP="001C4CA8">
      <w:pPr>
        <w:keepNext/>
        <w:keepLines/>
        <w:spacing w:after="240"/>
        <w:rPr>
          <w:i/>
          <w:iCs/>
          <w:lang w:val="en-AU"/>
        </w:rPr>
      </w:pPr>
      <w:r w:rsidRPr="0060091E">
        <w:rPr>
          <w:i/>
          <w:iCs/>
          <w:lang w:val="en-AU"/>
        </w:rPr>
        <w:t xml:space="preserve">Costs and benefits of permitting </w:t>
      </w:r>
      <w:r w:rsidRPr="00BC7738">
        <w:rPr>
          <w:i/>
          <w:iCs/>
          <w:lang w:val="en-AU"/>
        </w:rPr>
        <w:t xml:space="preserve">the sale </w:t>
      </w:r>
      <w:r>
        <w:rPr>
          <w:i/>
          <w:iCs/>
          <w:lang w:val="en-AU"/>
        </w:rPr>
        <w:t xml:space="preserve">and use </w:t>
      </w:r>
      <w:r w:rsidRPr="00BC7738">
        <w:rPr>
          <w:i/>
          <w:iCs/>
          <w:lang w:val="en-AU"/>
        </w:rPr>
        <w:t xml:space="preserve">of food derived from </w:t>
      </w:r>
      <w:r>
        <w:rPr>
          <w:i/>
          <w:iCs/>
          <w:lang w:val="en-AU"/>
        </w:rPr>
        <w:t>c</w:t>
      </w:r>
      <w:r w:rsidRPr="00BC7738">
        <w:rPr>
          <w:i/>
          <w:iCs/>
          <w:lang w:val="en-AU"/>
        </w:rPr>
        <w:t xml:space="preserve">anola </w:t>
      </w:r>
      <w:r w:rsidRPr="002D4493">
        <w:rPr>
          <w:i/>
          <w:iCs/>
          <w:lang w:val="en-AU"/>
        </w:rPr>
        <w:t xml:space="preserve">line LBFLFK </w:t>
      </w:r>
    </w:p>
    <w:p w14:paraId="4E110E97" w14:textId="0A06E920" w:rsidR="001C4CA8" w:rsidRPr="002D4493" w:rsidRDefault="00084BA6" w:rsidP="001C4CA8">
      <w:pPr>
        <w:keepNext/>
        <w:keepLines/>
        <w:spacing w:after="240"/>
        <w:rPr>
          <w:szCs w:val="22"/>
        </w:rPr>
      </w:pPr>
      <w:r>
        <w:rPr>
          <w:szCs w:val="22"/>
        </w:rPr>
        <w:t>T</w:t>
      </w:r>
      <w:r w:rsidR="001C4CA8" w:rsidRPr="002D4493">
        <w:rPr>
          <w:szCs w:val="22"/>
        </w:rPr>
        <w:t>he sale and use of foods</w:t>
      </w:r>
      <w:r w:rsidR="001C4CA8" w:rsidRPr="002D4493" w:rsidDel="006158E7">
        <w:rPr>
          <w:szCs w:val="22"/>
        </w:rPr>
        <w:t xml:space="preserve"> </w:t>
      </w:r>
      <w:r w:rsidR="001C4CA8" w:rsidRPr="002D4493">
        <w:rPr>
          <w:szCs w:val="22"/>
        </w:rPr>
        <w:t xml:space="preserve">derived from canola line LBFLFK would be permitted under the Code, allowing broader market access and increased choice in raw materials. </w:t>
      </w:r>
      <w:r w:rsidR="0094565B" w:rsidRPr="00E77E55">
        <w:t>Food derived from canola line LBFLFK will have to comply with mandatory labelling requirements in accordance with the Code – this would assist consumers wishing to</w:t>
      </w:r>
      <w:r w:rsidR="0094565B">
        <w:t xml:space="preserve"> avoid these products to do so.</w:t>
      </w:r>
      <w:r w:rsidR="0094565B" w:rsidRPr="00E77E55">
        <w:t xml:space="preserve">   </w:t>
      </w:r>
    </w:p>
    <w:p w14:paraId="7F698D05" w14:textId="77777777" w:rsidR="001C4CA8" w:rsidRDefault="001C4CA8" w:rsidP="001C4CA8">
      <w:pPr>
        <w:spacing w:after="240"/>
        <w:rPr>
          <w:szCs w:val="22"/>
        </w:rPr>
      </w:pPr>
      <w:r w:rsidRPr="002D4493">
        <w:rPr>
          <w:szCs w:val="22"/>
        </w:rPr>
        <w:t xml:space="preserve">Due to the voluntary nature of the permission, manufacturers and retailers would only engage with foods derived from </w:t>
      </w:r>
      <w:r>
        <w:rPr>
          <w:szCs w:val="22"/>
        </w:rPr>
        <w:t>c</w:t>
      </w:r>
      <w:r w:rsidRPr="002D4493">
        <w:rPr>
          <w:szCs w:val="22"/>
        </w:rPr>
        <w:t xml:space="preserve">anola </w:t>
      </w:r>
      <w:r>
        <w:rPr>
          <w:szCs w:val="22"/>
        </w:rPr>
        <w:t>line</w:t>
      </w:r>
      <w:r w:rsidRPr="002D4493">
        <w:rPr>
          <w:szCs w:val="22"/>
        </w:rPr>
        <w:t xml:space="preserve"> L</w:t>
      </w:r>
      <w:r>
        <w:rPr>
          <w:szCs w:val="22"/>
        </w:rPr>
        <w:t>BFLFK</w:t>
      </w:r>
      <w:r w:rsidRPr="0060091E">
        <w:rPr>
          <w:szCs w:val="22"/>
        </w:rPr>
        <w:t>, where they believe a net benefit exists for them. Part of any cost savings to industry may be passed</w:t>
      </w:r>
      <w:r w:rsidRPr="00983D78">
        <w:rPr>
          <w:szCs w:val="22"/>
        </w:rPr>
        <w:t xml:space="preserve"> onto consumers.</w:t>
      </w:r>
    </w:p>
    <w:p w14:paraId="0F53F4AD" w14:textId="77777777" w:rsidR="001C4CA8" w:rsidRPr="00983D78" w:rsidRDefault="001C4CA8" w:rsidP="001C4CA8">
      <w:pPr>
        <w:spacing w:after="240"/>
        <w:rPr>
          <w:szCs w:val="22"/>
        </w:rPr>
      </w:pPr>
      <w:r>
        <w:rPr>
          <w:szCs w:val="22"/>
        </w:rPr>
        <w:t>Consumers may also benefit from a greater choice of sources of omega-3 fatty acids.</w:t>
      </w:r>
    </w:p>
    <w:p w14:paraId="22DE4E11" w14:textId="77777777" w:rsidR="001C4CA8" w:rsidRDefault="001C4CA8" w:rsidP="001C4CA8">
      <w:pPr>
        <w:spacing w:after="240"/>
      </w:pPr>
      <w:r w:rsidRPr="00983D78">
        <w:t>There may be small and likely inconsequential costs of monitoring an extra GM food ingredient for regulators to ensure compliance with labelling requirements.</w:t>
      </w:r>
    </w:p>
    <w:p w14:paraId="4565A503" w14:textId="77777777" w:rsidR="001C4CA8" w:rsidRDefault="001C4CA8" w:rsidP="001C4CA8">
      <w:pPr>
        <w:pStyle w:val="FSFigureTitle"/>
        <w:spacing w:after="240"/>
      </w:pPr>
      <w:r>
        <w:t>Conclusions from cost benefit considerations</w:t>
      </w:r>
    </w:p>
    <w:p w14:paraId="67783ED3" w14:textId="2A662D2F" w:rsidR="001C4CA8" w:rsidRPr="002B0FC7" w:rsidRDefault="001C4CA8" w:rsidP="001C4CA8">
      <w:r>
        <w:t xml:space="preserve">FSANZ’s assessment </w:t>
      </w:r>
      <w:r w:rsidR="00FE2BD9">
        <w:t>remains</w:t>
      </w:r>
      <w:r w:rsidR="00FE2BD9" w:rsidRPr="00983D78">
        <w:t xml:space="preserve"> </w:t>
      </w:r>
      <w:r w:rsidRPr="00983D78">
        <w:t xml:space="preserve">that the </w:t>
      </w:r>
      <w:r w:rsidRPr="0060091E">
        <w:t xml:space="preserve">direct and indirect benefits that would arise from permitting </w:t>
      </w:r>
      <w:r w:rsidRPr="0060091E">
        <w:rPr>
          <w:szCs w:val="22"/>
        </w:rPr>
        <w:t>the sale</w:t>
      </w:r>
      <w:r>
        <w:rPr>
          <w:szCs w:val="22"/>
        </w:rPr>
        <w:t xml:space="preserve"> and use</w:t>
      </w:r>
      <w:r w:rsidRPr="0060091E">
        <w:rPr>
          <w:szCs w:val="22"/>
        </w:rPr>
        <w:t xml:space="preserve"> of food derived from</w:t>
      </w:r>
      <w:r>
        <w:rPr>
          <w:szCs w:val="22"/>
        </w:rPr>
        <w:t xml:space="preserve"> canola line LBFLFK</w:t>
      </w:r>
      <w:r w:rsidRPr="0060091E">
        <w:rPr>
          <w:szCs w:val="22"/>
        </w:rPr>
        <w:t xml:space="preserve">, </w:t>
      </w:r>
      <w:r w:rsidRPr="0060091E">
        <w:t>most</w:t>
      </w:r>
      <w:r w:rsidRPr="00983D78">
        <w:t xml:space="preserve"> likely outweigh the associated costs.</w:t>
      </w:r>
    </w:p>
    <w:p w14:paraId="59B8174E" w14:textId="77777777" w:rsidR="002C1A3B" w:rsidRPr="002C1A3B" w:rsidRDefault="002C1A3B" w:rsidP="002C1A3B">
      <w:pPr>
        <w:pStyle w:val="Heading4"/>
      </w:pPr>
      <w:r w:rsidRPr="002C1A3B">
        <w:t>2.5.1.2</w:t>
      </w:r>
      <w:r w:rsidRPr="002C1A3B">
        <w:tab/>
        <w:t>Other measures</w:t>
      </w:r>
    </w:p>
    <w:p w14:paraId="4F960685" w14:textId="77777777" w:rsidR="00FE2BD9" w:rsidRPr="0031619F" w:rsidRDefault="00FE2BD9" w:rsidP="00FE2BD9">
      <w:r w:rsidRPr="002C1A3B">
        <w:t>There are no other measures (whether available to FSANZ or not) that would be more cost-effective</w:t>
      </w:r>
      <w:r>
        <w:t xml:space="preserve"> than </w:t>
      </w:r>
      <w:r w:rsidRPr="0060091E">
        <w:t>varying Schedule 26 as a result of applicatio</w:t>
      </w:r>
      <w:r>
        <w:t>n A1239</w:t>
      </w:r>
      <w:r w:rsidRPr="0060091E">
        <w:t>.</w:t>
      </w:r>
    </w:p>
    <w:p w14:paraId="1D99A305" w14:textId="77777777" w:rsidR="002C1A3B" w:rsidRPr="002C1A3B" w:rsidRDefault="002C1A3B" w:rsidP="002C1A3B">
      <w:pPr>
        <w:pStyle w:val="Heading4"/>
      </w:pPr>
      <w:r w:rsidRPr="002C1A3B">
        <w:lastRenderedPageBreak/>
        <w:t>2.5.1.3</w:t>
      </w:r>
      <w:r w:rsidRPr="002C1A3B">
        <w:tab/>
        <w:t>Any relevant New Zealand standards</w:t>
      </w:r>
    </w:p>
    <w:p w14:paraId="649B8579" w14:textId="77777777" w:rsidR="007A4015" w:rsidRDefault="007A4015" w:rsidP="007A4015">
      <w:pPr>
        <w:rPr>
          <w:lang w:bidi="ar-SA"/>
        </w:rPr>
      </w:pPr>
      <w:r w:rsidRPr="004A5AFF">
        <w:rPr>
          <w:lang w:bidi="ar-SA"/>
        </w:rPr>
        <w:t xml:space="preserve">The relevant standards apply in both Australia and New Zealand. </w:t>
      </w:r>
      <w:r>
        <w:rPr>
          <w:lang w:bidi="ar-SA"/>
        </w:rPr>
        <w:t>There are no relevant New Zealand only Standards.</w:t>
      </w:r>
    </w:p>
    <w:p w14:paraId="36668C86" w14:textId="77777777" w:rsidR="002C1A3B" w:rsidRPr="002C1A3B" w:rsidRDefault="002C1A3B" w:rsidP="002C1A3B">
      <w:pPr>
        <w:pStyle w:val="Heading4"/>
      </w:pPr>
      <w:r w:rsidRPr="002C1A3B">
        <w:t>2.5.1.4</w:t>
      </w:r>
      <w:r w:rsidRPr="002C1A3B">
        <w:tab/>
        <w:t>Any other relevant matters</w:t>
      </w:r>
    </w:p>
    <w:p w14:paraId="631362D0" w14:textId="77777777" w:rsidR="007A4015" w:rsidRPr="0060091E" w:rsidRDefault="007A4015" w:rsidP="007A4015">
      <w:pPr>
        <w:spacing w:after="240"/>
      </w:pPr>
      <w:bookmarkStart w:id="87" w:name="_Toc370223479"/>
      <w:bookmarkStart w:id="88" w:name="_Toc370225394"/>
      <w:bookmarkStart w:id="89" w:name="_Toc300761897"/>
      <w:bookmarkStart w:id="90" w:name="_Toc300933440"/>
      <w:r w:rsidRPr="0060091E">
        <w:t xml:space="preserve">The applicant has submitted applications for regulatory approval of </w:t>
      </w:r>
      <w:r>
        <w:t>canola</w:t>
      </w:r>
      <w:r w:rsidRPr="00F210D7">
        <w:rPr>
          <w:lang w:bidi="ar-SA"/>
        </w:rPr>
        <w:t xml:space="preserve"> line </w:t>
      </w:r>
      <w:r>
        <w:rPr>
          <w:lang w:bidi="ar-SA"/>
        </w:rPr>
        <w:t>LBFLFK</w:t>
      </w:r>
      <w:r w:rsidRPr="001404BA">
        <w:t xml:space="preserve"> </w:t>
      </w:r>
      <w:r w:rsidRPr="0060091E">
        <w:t xml:space="preserve">to a number of other countries, listed in Table </w:t>
      </w:r>
      <w:r>
        <w:t>2</w:t>
      </w:r>
      <w:r w:rsidRPr="0060091E">
        <w:t>.</w:t>
      </w:r>
    </w:p>
    <w:p w14:paraId="79C2BBB9" w14:textId="77777777" w:rsidR="007A4015" w:rsidRPr="00514644" w:rsidRDefault="007A4015" w:rsidP="007A4015">
      <w:pPr>
        <w:spacing w:after="240"/>
      </w:pPr>
      <w:r w:rsidRPr="00514644">
        <w:t xml:space="preserve">Cultivation </w:t>
      </w:r>
      <w:r>
        <w:t xml:space="preserve">(environmental release) </w:t>
      </w:r>
      <w:r w:rsidRPr="00514644">
        <w:t xml:space="preserve">in Australia or New Zealand would require independent assessment and approval by the </w:t>
      </w:r>
      <w:r>
        <w:t>GTR</w:t>
      </w:r>
      <w:r w:rsidRPr="00514644">
        <w:t xml:space="preserve"> and N</w:t>
      </w:r>
      <w:r>
        <w:t>ew Zealand</w:t>
      </w:r>
      <w:r w:rsidRPr="00514644">
        <w:t xml:space="preserve"> EPA, respectively.</w:t>
      </w:r>
    </w:p>
    <w:p w14:paraId="3EA89334" w14:textId="77777777" w:rsidR="007A4015" w:rsidRPr="00032F13" w:rsidRDefault="007A4015" w:rsidP="007A4015">
      <w:pPr>
        <w:keepNext/>
        <w:keepLines/>
        <w:rPr>
          <w:b/>
          <w:bCs/>
          <w:lang w:val="en-AU"/>
        </w:rPr>
      </w:pPr>
      <w:r w:rsidRPr="0060091E">
        <w:rPr>
          <w:b/>
          <w:bCs/>
          <w:lang w:val="en-AU"/>
        </w:rPr>
        <w:t xml:space="preserve">Table </w:t>
      </w:r>
      <w:r>
        <w:rPr>
          <w:b/>
          <w:bCs/>
          <w:lang w:val="en-AU"/>
        </w:rPr>
        <w:t>2</w:t>
      </w:r>
      <w:r w:rsidRPr="0060091E">
        <w:rPr>
          <w:b/>
          <w:bCs/>
          <w:lang w:val="en-AU"/>
        </w:rPr>
        <w:t xml:space="preserve">: List of countries to whom applications for regulatory approval of </w:t>
      </w:r>
      <w:r>
        <w:rPr>
          <w:b/>
        </w:rPr>
        <w:t>canola</w:t>
      </w:r>
      <w:r w:rsidRPr="00D5207A">
        <w:rPr>
          <w:b/>
          <w:lang w:bidi="ar-SA"/>
        </w:rPr>
        <w:t xml:space="preserve"> lin</w:t>
      </w:r>
      <w:r>
        <w:rPr>
          <w:b/>
          <w:lang w:bidi="ar-SA"/>
        </w:rPr>
        <w:t>e LBFLFK</w:t>
      </w:r>
      <w:r w:rsidRPr="0031619F">
        <w:rPr>
          <w:b/>
          <w:bCs/>
          <w:lang w:val="en-AU"/>
        </w:rPr>
        <w:t xml:space="preserve"> </w:t>
      </w:r>
      <w:r w:rsidRPr="00032F13">
        <w:rPr>
          <w:b/>
          <w:bCs/>
          <w:lang w:val="en-AU"/>
        </w:rPr>
        <w:t>have been submitted</w:t>
      </w:r>
    </w:p>
    <w:tbl>
      <w:tblPr>
        <w:tblStyle w:val="TableGrid"/>
        <w:tblpPr w:leftFromText="180" w:rightFromText="180" w:vertAnchor="text" w:tblpY="123"/>
        <w:tblW w:w="0" w:type="auto"/>
        <w:tblLook w:val="04A0" w:firstRow="1" w:lastRow="0" w:firstColumn="1" w:lastColumn="0" w:noHBand="0" w:noVBand="1"/>
        <w:tblCaption w:val="Table 2"/>
        <w:tblDescription w:val="List of countries to whom applications for regulatory approval of DP23211 have been submitted"/>
      </w:tblPr>
      <w:tblGrid>
        <w:gridCol w:w="1118"/>
        <w:gridCol w:w="3624"/>
        <w:gridCol w:w="1916"/>
        <w:gridCol w:w="1701"/>
      </w:tblGrid>
      <w:tr w:rsidR="007A4015" w:rsidRPr="00006762" w14:paraId="527F03B0" w14:textId="77777777" w:rsidTr="003B1FBA">
        <w:trPr>
          <w:trHeight w:val="699"/>
          <w:tblHeader/>
        </w:trPr>
        <w:tc>
          <w:tcPr>
            <w:tcW w:w="1118" w:type="dxa"/>
            <w:shd w:val="clear" w:color="auto" w:fill="9BBB59" w:themeFill="accent3"/>
            <w:vAlign w:val="center"/>
          </w:tcPr>
          <w:p w14:paraId="64241A6A" w14:textId="77777777" w:rsidR="007A4015" w:rsidRPr="00032F13" w:rsidRDefault="007A4015" w:rsidP="003B1FBA">
            <w:pPr>
              <w:pStyle w:val="FSTableHeading"/>
              <w:keepNext/>
              <w:keepLines/>
            </w:pPr>
            <w:r w:rsidRPr="00032F13">
              <w:t>Country</w:t>
            </w:r>
          </w:p>
        </w:tc>
        <w:tc>
          <w:tcPr>
            <w:tcW w:w="3624" w:type="dxa"/>
            <w:shd w:val="clear" w:color="auto" w:fill="9BBB59" w:themeFill="accent3"/>
            <w:vAlign w:val="center"/>
          </w:tcPr>
          <w:p w14:paraId="58163D42" w14:textId="77777777" w:rsidR="007A4015" w:rsidRPr="00032F13" w:rsidRDefault="007A4015" w:rsidP="003B1FBA">
            <w:pPr>
              <w:pStyle w:val="FSTableHeading"/>
              <w:keepNext/>
              <w:keepLines/>
            </w:pPr>
            <w:r w:rsidRPr="00032F13">
              <w:t>Agency</w:t>
            </w:r>
          </w:p>
        </w:tc>
        <w:tc>
          <w:tcPr>
            <w:tcW w:w="1916" w:type="dxa"/>
            <w:shd w:val="clear" w:color="auto" w:fill="9BBB59" w:themeFill="accent3"/>
            <w:vAlign w:val="center"/>
          </w:tcPr>
          <w:p w14:paraId="6838E444" w14:textId="77777777" w:rsidR="007A4015" w:rsidRPr="00032F13" w:rsidRDefault="007A4015" w:rsidP="003B1FBA">
            <w:pPr>
              <w:pStyle w:val="FSTableHeading"/>
              <w:keepNext/>
              <w:keepLines/>
            </w:pPr>
            <w:r w:rsidRPr="00032F13">
              <w:rPr>
                <w:bCs/>
              </w:rPr>
              <w:t>Type of approval sought</w:t>
            </w:r>
          </w:p>
        </w:tc>
        <w:tc>
          <w:tcPr>
            <w:tcW w:w="1701" w:type="dxa"/>
            <w:shd w:val="clear" w:color="auto" w:fill="9BBB59" w:themeFill="accent3"/>
            <w:vAlign w:val="center"/>
          </w:tcPr>
          <w:p w14:paraId="6999F5FE" w14:textId="77777777" w:rsidR="007A4015" w:rsidRPr="00032F13" w:rsidRDefault="007A4015" w:rsidP="003B1FBA">
            <w:pPr>
              <w:pStyle w:val="FSTableHeading"/>
              <w:keepNext/>
              <w:keepLines/>
            </w:pPr>
            <w:r w:rsidRPr="00032F13">
              <w:t>Status</w:t>
            </w:r>
          </w:p>
        </w:tc>
      </w:tr>
      <w:tr w:rsidR="007A4015" w:rsidRPr="00006762" w14:paraId="4D870E0E" w14:textId="77777777" w:rsidTr="003B1FBA">
        <w:trPr>
          <w:trHeight w:val="416"/>
        </w:trPr>
        <w:tc>
          <w:tcPr>
            <w:tcW w:w="1118" w:type="dxa"/>
            <w:vMerge w:val="restart"/>
            <w:vAlign w:val="center"/>
          </w:tcPr>
          <w:p w14:paraId="6DBD5EC9" w14:textId="77777777" w:rsidR="007A4015" w:rsidRPr="00032F13" w:rsidRDefault="007A4015" w:rsidP="003B1FBA">
            <w:pPr>
              <w:pStyle w:val="FSTableText"/>
              <w:keepNext/>
              <w:keepLines/>
              <w:jc w:val="center"/>
              <w:rPr>
                <w:sz w:val="16"/>
              </w:rPr>
            </w:pPr>
            <w:r>
              <w:rPr>
                <w:sz w:val="16"/>
              </w:rPr>
              <w:t>Canada</w:t>
            </w:r>
          </w:p>
        </w:tc>
        <w:tc>
          <w:tcPr>
            <w:tcW w:w="3624" w:type="dxa"/>
            <w:vAlign w:val="center"/>
          </w:tcPr>
          <w:p w14:paraId="14EA3BC9" w14:textId="77777777" w:rsidR="007A4015" w:rsidRPr="00032F13" w:rsidRDefault="007A4015" w:rsidP="003B1FBA">
            <w:pPr>
              <w:pStyle w:val="FSTableText"/>
              <w:keepNext/>
              <w:keepLines/>
              <w:jc w:val="center"/>
              <w:rPr>
                <w:sz w:val="16"/>
              </w:rPr>
            </w:pPr>
            <w:r>
              <w:rPr>
                <w:sz w:val="16"/>
              </w:rPr>
              <w:t>Canadian Food Inspection Agency (CFIA)</w:t>
            </w:r>
          </w:p>
        </w:tc>
        <w:tc>
          <w:tcPr>
            <w:tcW w:w="1916" w:type="dxa"/>
            <w:vAlign w:val="center"/>
          </w:tcPr>
          <w:p w14:paraId="79043DBF" w14:textId="77777777" w:rsidR="007A4015" w:rsidRPr="00032F13" w:rsidRDefault="007A4015" w:rsidP="003B1FBA">
            <w:pPr>
              <w:pStyle w:val="FSTableText"/>
              <w:keepNext/>
              <w:keepLines/>
              <w:jc w:val="center"/>
              <w:rPr>
                <w:sz w:val="16"/>
              </w:rPr>
            </w:pPr>
            <w:r>
              <w:rPr>
                <w:sz w:val="16"/>
              </w:rPr>
              <w:t>Environmental release, food &amp; feed</w:t>
            </w:r>
          </w:p>
        </w:tc>
        <w:tc>
          <w:tcPr>
            <w:tcW w:w="1701" w:type="dxa"/>
            <w:vAlign w:val="center"/>
          </w:tcPr>
          <w:p w14:paraId="32C1BD47" w14:textId="77777777" w:rsidR="007A4015" w:rsidRPr="00032F13" w:rsidRDefault="007A4015" w:rsidP="003B1FBA">
            <w:pPr>
              <w:pStyle w:val="FSTableText"/>
              <w:keepNext/>
              <w:keepLines/>
              <w:jc w:val="center"/>
              <w:rPr>
                <w:sz w:val="16"/>
              </w:rPr>
            </w:pPr>
            <w:r>
              <w:rPr>
                <w:sz w:val="16"/>
              </w:rPr>
              <w:t>Approved</w:t>
            </w:r>
          </w:p>
        </w:tc>
      </w:tr>
      <w:tr w:rsidR="007A4015" w:rsidRPr="00006762" w14:paraId="04EFF7AC" w14:textId="77777777" w:rsidTr="003B1FBA">
        <w:trPr>
          <w:trHeight w:val="416"/>
        </w:trPr>
        <w:tc>
          <w:tcPr>
            <w:tcW w:w="1118" w:type="dxa"/>
            <w:vMerge/>
            <w:vAlign w:val="center"/>
          </w:tcPr>
          <w:p w14:paraId="513310F1" w14:textId="77777777" w:rsidR="007A4015" w:rsidRPr="00DC1FBF" w:rsidRDefault="007A4015" w:rsidP="003B1FBA">
            <w:pPr>
              <w:pStyle w:val="FSTableText"/>
              <w:keepNext/>
              <w:keepLines/>
              <w:jc w:val="center"/>
              <w:rPr>
                <w:sz w:val="16"/>
              </w:rPr>
            </w:pPr>
          </w:p>
        </w:tc>
        <w:tc>
          <w:tcPr>
            <w:tcW w:w="3624" w:type="dxa"/>
            <w:vAlign w:val="center"/>
          </w:tcPr>
          <w:p w14:paraId="2F1DCFEF" w14:textId="77777777" w:rsidR="007A4015" w:rsidRPr="00DC1FBF" w:rsidRDefault="007A4015" w:rsidP="003B1FBA">
            <w:pPr>
              <w:pStyle w:val="FSTableText"/>
              <w:keepNext/>
              <w:keepLines/>
              <w:jc w:val="center"/>
              <w:rPr>
                <w:sz w:val="16"/>
              </w:rPr>
            </w:pPr>
            <w:r>
              <w:rPr>
                <w:sz w:val="16"/>
              </w:rPr>
              <w:t>Health Canada</w:t>
            </w:r>
          </w:p>
        </w:tc>
        <w:tc>
          <w:tcPr>
            <w:tcW w:w="1916" w:type="dxa"/>
            <w:vAlign w:val="center"/>
          </w:tcPr>
          <w:p w14:paraId="25BECA42" w14:textId="77777777" w:rsidR="007A4015" w:rsidRDefault="007A4015" w:rsidP="003B1FBA">
            <w:pPr>
              <w:pStyle w:val="FSTableText"/>
              <w:keepNext/>
              <w:keepLines/>
              <w:jc w:val="center"/>
              <w:rPr>
                <w:sz w:val="16"/>
              </w:rPr>
            </w:pPr>
            <w:r>
              <w:rPr>
                <w:sz w:val="16"/>
              </w:rPr>
              <w:t>Food</w:t>
            </w:r>
          </w:p>
        </w:tc>
        <w:tc>
          <w:tcPr>
            <w:tcW w:w="1701" w:type="dxa"/>
            <w:vAlign w:val="center"/>
          </w:tcPr>
          <w:p w14:paraId="236215ED" w14:textId="77777777" w:rsidR="007A4015" w:rsidRDefault="007A4015" w:rsidP="003B1FBA">
            <w:pPr>
              <w:pStyle w:val="FSTableText"/>
              <w:keepNext/>
              <w:keepLines/>
              <w:jc w:val="center"/>
              <w:rPr>
                <w:sz w:val="16"/>
              </w:rPr>
            </w:pPr>
            <w:r>
              <w:rPr>
                <w:sz w:val="16"/>
              </w:rPr>
              <w:t>Approved</w:t>
            </w:r>
          </w:p>
        </w:tc>
      </w:tr>
      <w:tr w:rsidR="007A4015" w:rsidRPr="00006762" w14:paraId="7723F644" w14:textId="77777777" w:rsidTr="003B1FBA">
        <w:trPr>
          <w:trHeight w:val="416"/>
        </w:trPr>
        <w:tc>
          <w:tcPr>
            <w:tcW w:w="1118" w:type="dxa"/>
            <w:vAlign w:val="center"/>
          </w:tcPr>
          <w:p w14:paraId="04FD3B68" w14:textId="77777777" w:rsidR="007A4015" w:rsidRPr="00DC1FBF" w:rsidRDefault="007A4015" w:rsidP="003B1FBA">
            <w:pPr>
              <w:pStyle w:val="FSTableText"/>
              <w:keepNext/>
              <w:keepLines/>
              <w:jc w:val="center"/>
              <w:rPr>
                <w:sz w:val="16"/>
              </w:rPr>
            </w:pPr>
            <w:r>
              <w:rPr>
                <w:sz w:val="16"/>
              </w:rPr>
              <w:t>China</w:t>
            </w:r>
          </w:p>
        </w:tc>
        <w:tc>
          <w:tcPr>
            <w:tcW w:w="3624" w:type="dxa"/>
            <w:vAlign w:val="center"/>
          </w:tcPr>
          <w:p w14:paraId="01DCC7EC" w14:textId="77777777" w:rsidR="007A4015" w:rsidRDefault="007A4015" w:rsidP="003B1FBA">
            <w:pPr>
              <w:pStyle w:val="FSTableText"/>
              <w:keepNext/>
              <w:keepLines/>
              <w:jc w:val="center"/>
              <w:rPr>
                <w:sz w:val="16"/>
              </w:rPr>
            </w:pPr>
            <w:r>
              <w:rPr>
                <w:sz w:val="16"/>
              </w:rPr>
              <w:t>Ministry of Agriculture and Rural Affairs (MARA)</w:t>
            </w:r>
          </w:p>
        </w:tc>
        <w:tc>
          <w:tcPr>
            <w:tcW w:w="1916" w:type="dxa"/>
            <w:vAlign w:val="center"/>
          </w:tcPr>
          <w:p w14:paraId="0DEE529F" w14:textId="77777777" w:rsidR="007A4015" w:rsidRDefault="007A4015" w:rsidP="003B1FBA">
            <w:pPr>
              <w:pStyle w:val="FSTableText"/>
              <w:keepNext/>
              <w:keepLines/>
              <w:jc w:val="center"/>
              <w:rPr>
                <w:sz w:val="16"/>
              </w:rPr>
            </w:pPr>
            <w:r w:rsidRPr="00E96856">
              <w:rPr>
                <w:sz w:val="16"/>
              </w:rPr>
              <w:t>Food &amp; feed</w:t>
            </w:r>
          </w:p>
        </w:tc>
        <w:tc>
          <w:tcPr>
            <w:tcW w:w="1701" w:type="dxa"/>
            <w:vAlign w:val="center"/>
          </w:tcPr>
          <w:p w14:paraId="0AE465D9" w14:textId="77777777" w:rsidR="007A4015" w:rsidRDefault="007A4015" w:rsidP="003B1FBA">
            <w:pPr>
              <w:pStyle w:val="FSTableText"/>
              <w:keepNext/>
              <w:keepLines/>
              <w:jc w:val="center"/>
              <w:rPr>
                <w:sz w:val="16"/>
              </w:rPr>
            </w:pPr>
            <w:r>
              <w:rPr>
                <w:sz w:val="16"/>
              </w:rPr>
              <w:t>Submitted</w:t>
            </w:r>
          </w:p>
        </w:tc>
      </w:tr>
      <w:tr w:rsidR="007A4015" w:rsidRPr="00006762" w14:paraId="1C0A7E3C" w14:textId="77777777" w:rsidTr="003B1FBA">
        <w:trPr>
          <w:trHeight w:val="416"/>
        </w:trPr>
        <w:tc>
          <w:tcPr>
            <w:tcW w:w="1118" w:type="dxa"/>
            <w:vAlign w:val="center"/>
          </w:tcPr>
          <w:p w14:paraId="39AB9700" w14:textId="77777777" w:rsidR="007A4015" w:rsidRPr="00DC1FBF" w:rsidRDefault="007A4015" w:rsidP="003B1FBA">
            <w:pPr>
              <w:pStyle w:val="FSTableText"/>
              <w:keepNext/>
              <w:keepLines/>
              <w:jc w:val="center"/>
              <w:rPr>
                <w:sz w:val="16"/>
              </w:rPr>
            </w:pPr>
            <w:r>
              <w:rPr>
                <w:sz w:val="16"/>
              </w:rPr>
              <w:t>EU</w:t>
            </w:r>
          </w:p>
        </w:tc>
        <w:tc>
          <w:tcPr>
            <w:tcW w:w="3624" w:type="dxa"/>
            <w:vAlign w:val="center"/>
          </w:tcPr>
          <w:p w14:paraId="06CC9E11" w14:textId="77777777" w:rsidR="007A4015" w:rsidRPr="00DC1FBF" w:rsidRDefault="007A4015" w:rsidP="003B1FBA">
            <w:pPr>
              <w:pStyle w:val="FSTableText"/>
              <w:keepNext/>
              <w:keepLines/>
              <w:jc w:val="center"/>
              <w:rPr>
                <w:sz w:val="16"/>
              </w:rPr>
            </w:pPr>
            <w:r>
              <w:rPr>
                <w:sz w:val="16"/>
              </w:rPr>
              <w:t>European Food Safety Authority (EFSA)</w:t>
            </w:r>
          </w:p>
        </w:tc>
        <w:tc>
          <w:tcPr>
            <w:tcW w:w="1916" w:type="dxa"/>
            <w:vAlign w:val="center"/>
          </w:tcPr>
          <w:p w14:paraId="72D89517" w14:textId="77777777" w:rsidR="007A4015" w:rsidRDefault="007A4015" w:rsidP="003B1FBA">
            <w:pPr>
              <w:pStyle w:val="FSTableText"/>
              <w:keepNext/>
              <w:keepLines/>
              <w:jc w:val="center"/>
              <w:rPr>
                <w:sz w:val="16"/>
              </w:rPr>
            </w:pPr>
            <w:r>
              <w:rPr>
                <w:sz w:val="16"/>
              </w:rPr>
              <w:t>Food &amp; feed</w:t>
            </w:r>
          </w:p>
        </w:tc>
        <w:tc>
          <w:tcPr>
            <w:tcW w:w="1701" w:type="dxa"/>
            <w:vAlign w:val="center"/>
          </w:tcPr>
          <w:p w14:paraId="79DC85EB" w14:textId="77777777" w:rsidR="007A4015" w:rsidRDefault="007A4015" w:rsidP="003B1FBA">
            <w:pPr>
              <w:pStyle w:val="FSTableText"/>
              <w:keepNext/>
              <w:keepLines/>
              <w:jc w:val="center"/>
              <w:rPr>
                <w:sz w:val="16"/>
              </w:rPr>
            </w:pPr>
            <w:r>
              <w:rPr>
                <w:sz w:val="16"/>
              </w:rPr>
              <w:t>Submitted</w:t>
            </w:r>
          </w:p>
        </w:tc>
      </w:tr>
      <w:tr w:rsidR="007A4015" w:rsidRPr="00006762" w14:paraId="35D5FF3F" w14:textId="77777777" w:rsidTr="003B1FBA">
        <w:trPr>
          <w:trHeight w:val="416"/>
        </w:trPr>
        <w:tc>
          <w:tcPr>
            <w:tcW w:w="1118" w:type="dxa"/>
            <w:vAlign w:val="center"/>
          </w:tcPr>
          <w:p w14:paraId="599992FF" w14:textId="77777777" w:rsidR="007A4015" w:rsidRDefault="007A4015" w:rsidP="003B1FBA">
            <w:pPr>
              <w:pStyle w:val="FSTableText"/>
              <w:keepNext/>
              <w:keepLines/>
              <w:jc w:val="center"/>
              <w:rPr>
                <w:sz w:val="16"/>
              </w:rPr>
            </w:pPr>
            <w:r>
              <w:rPr>
                <w:sz w:val="16"/>
              </w:rPr>
              <w:t xml:space="preserve"> Indonesia</w:t>
            </w:r>
          </w:p>
        </w:tc>
        <w:tc>
          <w:tcPr>
            <w:tcW w:w="3624" w:type="dxa"/>
            <w:vAlign w:val="center"/>
          </w:tcPr>
          <w:p w14:paraId="73A91A40" w14:textId="77777777" w:rsidR="007A4015" w:rsidRDefault="007A4015" w:rsidP="003B1FBA">
            <w:pPr>
              <w:pStyle w:val="FSTableText"/>
              <w:keepNext/>
              <w:keepLines/>
              <w:jc w:val="center"/>
              <w:rPr>
                <w:sz w:val="16"/>
              </w:rPr>
            </w:pPr>
            <w:r>
              <w:rPr>
                <w:sz w:val="16"/>
              </w:rPr>
              <w:t>National Agency of Drug and Food Control (NADFC)</w:t>
            </w:r>
          </w:p>
        </w:tc>
        <w:tc>
          <w:tcPr>
            <w:tcW w:w="1916" w:type="dxa"/>
            <w:vAlign w:val="center"/>
          </w:tcPr>
          <w:p w14:paraId="3960EC62" w14:textId="77777777" w:rsidR="007A4015" w:rsidRDefault="007A4015" w:rsidP="003B1FBA">
            <w:pPr>
              <w:pStyle w:val="FSTableText"/>
              <w:keepNext/>
              <w:keepLines/>
              <w:jc w:val="center"/>
              <w:rPr>
                <w:sz w:val="16"/>
              </w:rPr>
            </w:pPr>
            <w:r>
              <w:rPr>
                <w:sz w:val="16"/>
              </w:rPr>
              <w:t>Food</w:t>
            </w:r>
          </w:p>
        </w:tc>
        <w:tc>
          <w:tcPr>
            <w:tcW w:w="1701" w:type="dxa"/>
            <w:vAlign w:val="center"/>
          </w:tcPr>
          <w:p w14:paraId="56592B11" w14:textId="77777777" w:rsidR="007A4015" w:rsidRDefault="007A4015" w:rsidP="003B1FBA">
            <w:pPr>
              <w:pStyle w:val="FSTableText"/>
              <w:keepNext/>
              <w:keepLines/>
              <w:jc w:val="center"/>
              <w:rPr>
                <w:sz w:val="16"/>
              </w:rPr>
            </w:pPr>
            <w:r>
              <w:rPr>
                <w:sz w:val="16"/>
              </w:rPr>
              <w:t>Submitted</w:t>
            </w:r>
          </w:p>
        </w:tc>
      </w:tr>
      <w:tr w:rsidR="007A4015" w:rsidRPr="00006762" w14:paraId="06236A11" w14:textId="77777777" w:rsidTr="003B1FBA">
        <w:trPr>
          <w:trHeight w:val="416"/>
        </w:trPr>
        <w:tc>
          <w:tcPr>
            <w:tcW w:w="1118" w:type="dxa"/>
            <w:vMerge w:val="restart"/>
            <w:vAlign w:val="center"/>
          </w:tcPr>
          <w:p w14:paraId="6DADE615" w14:textId="77777777" w:rsidR="007A4015" w:rsidRDefault="007A4015" w:rsidP="003B1FBA">
            <w:pPr>
              <w:pStyle w:val="FSTableText"/>
              <w:keepNext/>
              <w:keepLines/>
              <w:jc w:val="center"/>
              <w:rPr>
                <w:sz w:val="16"/>
              </w:rPr>
            </w:pPr>
            <w:r>
              <w:rPr>
                <w:sz w:val="16"/>
              </w:rPr>
              <w:t>Japan</w:t>
            </w:r>
          </w:p>
        </w:tc>
        <w:tc>
          <w:tcPr>
            <w:tcW w:w="3624" w:type="dxa"/>
            <w:vAlign w:val="center"/>
          </w:tcPr>
          <w:p w14:paraId="4360976F" w14:textId="77777777" w:rsidR="007A4015" w:rsidRDefault="007A4015" w:rsidP="003B1FBA">
            <w:pPr>
              <w:pStyle w:val="FSTableText"/>
              <w:keepNext/>
              <w:keepLines/>
              <w:jc w:val="center"/>
              <w:rPr>
                <w:sz w:val="16"/>
              </w:rPr>
            </w:pPr>
            <w:r>
              <w:rPr>
                <w:sz w:val="16"/>
              </w:rPr>
              <w:t>Ministry of Health, Labour and Welfare (MHLW)</w:t>
            </w:r>
          </w:p>
        </w:tc>
        <w:tc>
          <w:tcPr>
            <w:tcW w:w="1916" w:type="dxa"/>
            <w:vAlign w:val="center"/>
          </w:tcPr>
          <w:p w14:paraId="6B9E5510" w14:textId="77777777" w:rsidR="007A4015" w:rsidRDefault="007A4015" w:rsidP="003B1FBA">
            <w:pPr>
              <w:pStyle w:val="FSTableText"/>
              <w:keepNext/>
              <w:keepLines/>
              <w:jc w:val="center"/>
              <w:rPr>
                <w:sz w:val="16"/>
              </w:rPr>
            </w:pPr>
            <w:r>
              <w:rPr>
                <w:sz w:val="16"/>
              </w:rPr>
              <w:t>Food</w:t>
            </w:r>
          </w:p>
        </w:tc>
        <w:tc>
          <w:tcPr>
            <w:tcW w:w="1701" w:type="dxa"/>
            <w:vAlign w:val="center"/>
          </w:tcPr>
          <w:p w14:paraId="34323B8D" w14:textId="77777777" w:rsidR="007A4015" w:rsidRDefault="007A4015" w:rsidP="003B1FBA">
            <w:pPr>
              <w:pStyle w:val="FSTableText"/>
              <w:keepNext/>
              <w:keepLines/>
              <w:jc w:val="center"/>
              <w:rPr>
                <w:sz w:val="16"/>
              </w:rPr>
            </w:pPr>
            <w:r>
              <w:rPr>
                <w:sz w:val="16"/>
              </w:rPr>
              <w:t>Submitted</w:t>
            </w:r>
          </w:p>
        </w:tc>
      </w:tr>
      <w:tr w:rsidR="007A4015" w:rsidRPr="00006762" w14:paraId="34E8E5D1" w14:textId="77777777" w:rsidTr="003B1FBA">
        <w:trPr>
          <w:trHeight w:val="416"/>
        </w:trPr>
        <w:tc>
          <w:tcPr>
            <w:tcW w:w="1118" w:type="dxa"/>
            <w:vMerge/>
            <w:vAlign w:val="center"/>
          </w:tcPr>
          <w:p w14:paraId="17A8B97D" w14:textId="77777777" w:rsidR="007A4015" w:rsidRDefault="007A4015" w:rsidP="003B1FBA">
            <w:pPr>
              <w:pStyle w:val="FSTableText"/>
              <w:keepNext/>
              <w:keepLines/>
              <w:jc w:val="center"/>
              <w:rPr>
                <w:sz w:val="16"/>
              </w:rPr>
            </w:pPr>
          </w:p>
        </w:tc>
        <w:tc>
          <w:tcPr>
            <w:tcW w:w="3624" w:type="dxa"/>
            <w:vAlign w:val="center"/>
          </w:tcPr>
          <w:p w14:paraId="3EE0A370" w14:textId="77777777" w:rsidR="007A4015" w:rsidRDefault="007A4015" w:rsidP="003B1FBA">
            <w:pPr>
              <w:pStyle w:val="FSTableText"/>
              <w:keepNext/>
              <w:keepLines/>
              <w:jc w:val="center"/>
              <w:rPr>
                <w:sz w:val="16"/>
              </w:rPr>
            </w:pPr>
            <w:r>
              <w:rPr>
                <w:sz w:val="16"/>
              </w:rPr>
              <w:t>Ministry of Agriculture, Forestry and Fisheries (MAFF)</w:t>
            </w:r>
          </w:p>
        </w:tc>
        <w:tc>
          <w:tcPr>
            <w:tcW w:w="1916" w:type="dxa"/>
            <w:vAlign w:val="center"/>
          </w:tcPr>
          <w:p w14:paraId="4AEACDEA" w14:textId="77777777" w:rsidR="007A4015" w:rsidRDefault="007A4015" w:rsidP="003B1FBA">
            <w:pPr>
              <w:pStyle w:val="FSTableText"/>
              <w:keepNext/>
              <w:keepLines/>
              <w:jc w:val="center"/>
              <w:rPr>
                <w:sz w:val="16"/>
              </w:rPr>
            </w:pPr>
            <w:r>
              <w:rPr>
                <w:sz w:val="16"/>
              </w:rPr>
              <w:t>Feed</w:t>
            </w:r>
          </w:p>
        </w:tc>
        <w:tc>
          <w:tcPr>
            <w:tcW w:w="1701" w:type="dxa"/>
            <w:vAlign w:val="center"/>
          </w:tcPr>
          <w:p w14:paraId="2CEA55C3" w14:textId="77777777" w:rsidR="007A4015" w:rsidRDefault="007A4015" w:rsidP="003B1FBA">
            <w:pPr>
              <w:pStyle w:val="FSTableText"/>
              <w:keepNext/>
              <w:keepLines/>
              <w:jc w:val="center"/>
              <w:rPr>
                <w:sz w:val="16"/>
              </w:rPr>
            </w:pPr>
            <w:r>
              <w:rPr>
                <w:sz w:val="16"/>
              </w:rPr>
              <w:t>Submitted</w:t>
            </w:r>
          </w:p>
        </w:tc>
      </w:tr>
      <w:tr w:rsidR="007A4015" w:rsidRPr="00006762" w14:paraId="6856FB8C" w14:textId="77777777" w:rsidTr="003B1FBA">
        <w:trPr>
          <w:trHeight w:val="416"/>
        </w:trPr>
        <w:tc>
          <w:tcPr>
            <w:tcW w:w="1118" w:type="dxa"/>
            <w:vAlign w:val="center"/>
          </w:tcPr>
          <w:p w14:paraId="65C563CE" w14:textId="77777777" w:rsidR="007A4015" w:rsidRDefault="007A4015" w:rsidP="003B1FBA">
            <w:pPr>
              <w:pStyle w:val="FSTableText"/>
              <w:keepNext/>
              <w:keepLines/>
              <w:jc w:val="center"/>
              <w:rPr>
                <w:sz w:val="16"/>
              </w:rPr>
            </w:pPr>
            <w:r>
              <w:rPr>
                <w:sz w:val="16"/>
              </w:rPr>
              <w:t>Mexico</w:t>
            </w:r>
          </w:p>
        </w:tc>
        <w:tc>
          <w:tcPr>
            <w:tcW w:w="3624" w:type="dxa"/>
            <w:vAlign w:val="center"/>
          </w:tcPr>
          <w:p w14:paraId="6092D0B7" w14:textId="77777777" w:rsidR="007A4015" w:rsidRDefault="007A4015" w:rsidP="003B1FBA">
            <w:pPr>
              <w:pStyle w:val="FSTableText"/>
              <w:keepNext/>
              <w:keepLines/>
              <w:jc w:val="center"/>
              <w:rPr>
                <w:sz w:val="16"/>
              </w:rPr>
            </w:pPr>
            <w:proofErr w:type="spellStart"/>
            <w:r w:rsidRPr="00CE2632">
              <w:rPr>
                <w:sz w:val="16"/>
              </w:rPr>
              <w:t>Comisión</w:t>
            </w:r>
            <w:proofErr w:type="spellEnd"/>
            <w:r w:rsidRPr="00CE2632">
              <w:rPr>
                <w:sz w:val="16"/>
              </w:rPr>
              <w:t xml:space="preserve"> Federal para la </w:t>
            </w:r>
            <w:proofErr w:type="spellStart"/>
            <w:r w:rsidRPr="00CE2632">
              <w:rPr>
                <w:sz w:val="16"/>
              </w:rPr>
              <w:t>Protección</w:t>
            </w:r>
            <w:proofErr w:type="spellEnd"/>
            <w:r w:rsidRPr="00CE2632">
              <w:rPr>
                <w:sz w:val="16"/>
              </w:rPr>
              <w:t xml:space="preserve"> contra </w:t>
            </w:r>
            <w:proofErr w:type="spellStart"/>
            <w:r w:rsidRPr="00CE2632">
              <w:rPr>
                <w:sz w:val="16"/>
              </w:rPr>
              <w:t>Riesgos</w:t>
            </w:r>
            <w:proofErr w:type="spellEnd"/>
            <w:r w:rsidRPr="00CE2632">
              <w:rPr>
                <w:sz w:val="16"/>
              </w:rPr>
              <w:t xml:space="preserve"> </w:t>
            </w:r>
            <w:proofErr w:type="spellStart"/>
            <w:r w:rsidRPr="00CE2632">
              <w:rPr>
                <w:sz w:val="16"/>
              </w:rPr>
              <w:t>Sanitarios</w:t>
            </w:r>
            <w:proofErr w:type="spellEnd"/>
            <w:r w:rsidRPr="00CE2632">
              <w:rPr>
                <w:sz w:val="16"/>
              </w:rPr>
              <w:t xml:space="preserve"> </w:t>
            </w:r>
            <w:r>
              <w:rPr>
                <w:sz w:val="16"/>
              </w:rPr>
              <w:t>(COFEPRIS)</w:t>
            </w:r>
          </w:p>
        </w:tc>
        <w:tc>
          <w:tcPr>
            <w:tcW w:w="1916" w:type="dxa"/>
            <w:vAlign w:val="center"/>
          </w:tcPr>
          <w:p w14:paraId="7B5DF87C" w14:textId="77777777" w:rsidR="007A4015" w:rsidRDefault="007A4015" w:rsidP="003B1FBA">
            <w:pPr>
              <w:pStyle w:val="FSTableText"/>
              <w:keepNext/>
              <w:keepLines/>
              <w:jc w:val="center"/>
              <w:rPr>
                <w:sz w:val="16"/>
              </w:rPr>
            </w:pPr>
            <w:r w:rsidRPr="00E96856">
              <w:rPr>
                <w:sz w:val="16"/>
              </w:rPr>
              <w:t>Food &amp; feed</w:t>
            </w:r>
          </w:p>
        </w:tc>
        <w:tc>
          <w:tcPr>
            <w:tcW w:w="1701" w:type="dxa"/>
            <w:vAlign w:val="center"/>
          </w:tcPr>
          <w:p w14:paraId="5F129E7D" w14:textId="77777777" w:rsidR="007A4015" w:rsidRDefault="007A4015" w:rsidP="003B1FBA">
            <w:pPr>
              <w:pStyle w:val="FSTableText"/>
              <w:keepNext/>
              <w:keepLines/>
              <w:jc w:val="center"/>
              <w:rPr>
                <w:sz w:val="16"/>
              </w:rPr>
            </w:pPr>
            <w:r>
              <w:rPr>
                <w:sz w:val="16"/>
              </w:rPr>
              <w:t>Submitted</w:t>
            </w:r>
          </w:p>
        </w:tc>
      </w:tr>
      <w:tr w:rsidR="007A4015" w:rsidRPr="00006762" w14:paraId="6BC504C5" w14:textId="77777777" w:rsidTr="003B1FBA">
        <w:trPr>
          <w:trHeight w:val="416"/>
        </w:trPr>
        <w:tc>
          <w:tcPr>
            <w:tcW w:w="1118" w:type="dxa"/>
            <w:vMerge w:val="restart"/>
            <w:vAlign w:val="center"/>
          </w:tcPr>
          <w:p w14:paraId="6BFD1767" w14:textId="77777777" w:rsidR="007A4015" w:rsidRDefault="007A4015" w:rsidP="003B1FBA">
            <w:pPr>
              <w:pStyle w:val="FSTableText"/>
              <w:keepNext/>
              <w:keepLines/>
              <w:jc w:val="center"/>
              <w:rPr>
                <w:sz w:val="16"/>
              </w:rPr>
            </w:pPr>
            <w:r>
              <w:rPr>
                <w:sz w:val="16"/>
              </w:rPr>
              <w:t>Republic of Korea</w:t>
            </w:r>
          </w:p>
        </w:tc>
        <w:tc>
          <w:tcPr>
            <w:tcW w:w="3624" w:type="dxa"/>
            <w:vAlign w:val="center"/>
          </w:tcPr>
          <w:p w14:paraId="6777B9AF" w14:textId="77777777" w:rsidR="007A4015" w:rsidRDefault="007A4015" w:rsidP="003B1FBA">
            <w:pPr>
              <w:pStyle w:val="FSTableText"/>
              <w:keepNext/>
              <w:keepLines/>
              <w:jc w:val="center"/>
              <w:rPr>
                <w:sz w:val="16"/>
              </w:rPr>
            </w:pPr>
            <w:r>
              <w:rPr>
                <w:sz w:val="16"/>
              </w:rPr>
              <w:t xml:space="preserve"> Ministry of Food and Drug Safety (MFDS)</w:t>
            </w:r>
          </w:p>
        </w:tc>
        <w:tc>
          <w:tcPr>
            <w:tcW w:w="1916" w:type="dxa"/>
            <w:vAlign w:val="center"/>
          </w:tcPr>
          <w:p w14:paraId="771B64BC" w14:textId="77777777" w:rsidR="007A4015" w:rsidRDefault="007A4015" w:rsidP="003B1FBA">
            <w:pPr>
              <w:pStyle w:val="FSTableText"/>
              <w:keepNext/>
              <w:keepLines/>
              <w:jc w:val="center"/>
              <w:rPr>
                <w:sz w:val="16"/>
              </w:rPr>
            </w:pPr>
            <w:r>
              <w:rPr>
                <w:sz w:val="16"/>
              </w:rPr>
              <w:t>Food</w:t>
            </w:r>
          </w:p>
        </w:tc>
        <w:tc>
          <w:tcPr>
            <w:tcW w:w="1701" w:type="dxa"/>
            <w:vAlign w:val="center"/>
          </w:tcPr>
          <w:p w14:paraId="70F46B4B" w14:textId="77777777" w:rsidR="007A4015" w:rsidRDefault="007A4015" w:rsidP="003B1FBA">
            <w:pPr>
              <w:pStyle w:val="FSTableText"/>
              <w:keepNext/>
              <w:keepLines/>
              <w:jc w:val="center"/>
              <w:rPr>
                <w:sz w:val="16"/>
              </w:rPr>
            </w:pPr>
            <w:r w:rsidRPr="007C7749">
              <w:rPr>
                <w:sz w:val="16"/>
              </w:rPr>
              <w:t>Submitted</w:t>
            </w:r>
          </w:p>
        </w:tc>
      </w:tr>
      <w:tr w:rsidR="007A4015" w:rsidRPr="00006762" w14:paraId="1AC037C7" w14:textId="77777777" w:rsidTr="009538D0">
        <w:trPr>
          <w:trHeight w:val="411"/>
        </w:trPr>
        <w:tc>
          <w:tcPr>
            <w:tcW w:w="1118" w:type="dxa"/>
            <w:vMerge/>
            <w:vAlign w:val="center"/>
          </w:tcPr>
          <w:p w14:paraId="0054E265" w14:textId="77777777" w:rsidR="007A4015" w:rsidRDefault="007A4015" w:rsidP="003B1FBA">
            <w:pPr>
              <w:pStyle w:val="FSTableText"/>
              <w:keepNext/>
              <w:keepLines/>
              <w:jc w:val="center"/>
              <w:rPr>
                <w:sz w:val="16"/>
              </w:rPr>
            </w:pPr>
          </w:p>
        </w:tc>
        <w:tc>
          <w:tcPr>
            <w:tcW w:w="3624" w:type="dxa"/>
            <w:vAlign w:val="center"/>
          </w:tcPr>
          <w:p w14:paraId="537DF4A9" w14:textId="77777777" w:rsidR="007A4015" w:rsidRDefault="007A4015" w:rsidP="003B1FBA">
            <w:pPr>
              <w:pStyle w:val="FSTableText"/>
              <w:keepNext/>
              <w:keepLines/>
              <w:jc w:val="center"/>
              <w:rPr>
                <w:sz w:val="16"/>
              </w:rPr>
            </w:pPr>
            <w:r>
              <w:rPr>
                <w:sz w:val="16"/>
              </w:rPr>
              <w:t>Rural Development Administration (RDA)</w:t>
            </w:r>
            <w:r w:rsidRPr="00DC1FBF">
              <w:rPr>
                <w:sz w:val="16"/>
              </w:rPr>
              <w:t xml:space="preserve"> </w:t>
            </w:r>
          </w:p>
        </w:tc>
        <w:tc>
          <w:tcPr>
            <w:tcW w:w="1916" w:type="dxa"/>
            <w:vAlign w:val="center"/>
          </w:tcPr>
          <w:p w14:paraId="221FEB89" w14:textId="77777777" w:rsidR="007A4015" w:rsidRDefault="007A4015" w:rsidP="003B1FBA">
            <w:pPr>
              <w:pStyle w:val="FSTableText"/>
              <w:keepNext/>
              <w:keepLines/>
              <w:jc w:val="center"/>
              <w:rPr>
                <w:sz w:val="16"/>
              </w:rPr>
            </w:pPr>
            <w:r>
              <w:rPr>
                <w:sz w:val="16"/>
              </w:rPr>
              <w:t>Feed</w:t>
            </w:r>
          </w:p>
        </w:tc>
        <w:tc>
          <w:tcPr>
            <w:tcW w:w="1701" w:type="dxa"/>
            <w:vAlign w:val="center"/>
          </w:tcPr>
          <w:p w14:paraId="3D9BBD76" w14:textId="77777777" w:rsidR="007A4015" w:rsidRDefault="007A4015" w:rsidP="003B1FBA">
            <w:pPr>
              <w:pStyle w:val="FSTableText"/>
              <w:keepNext/>
              <w:keepLines/>
              <w:jc w:val="center"/>
              <w:rPr>
                <w:sz w:val="16"/>
              </w:rPr>
            </w:pPr>
            <w:r w:rsidRPr="007C7749">
              <w:rPr>
                <w:sz w:val="16"/>
              </w:rPr>
              <w:t>Submitted</w:t>
            </w:r>
          </w:p>
        </w:tc>
      </w:tr>
      <w:tr w:rsidR="007A4015" w:rsidRPr="00006762" w14:paraId="7194D66F" w14:textId="77777777" w:rsidTr="003B1FBA">
        <w:trPr>
          <w:trHeight w:val="140"/>
        </w:trPr>
        <w:tc>
          <w:tcPr>
            <w:tcW w:w="1118" w:type="dxa"/>
            <w:vMerge w:val="restart"/>
            <w:vAlign w:val="center"/>
          </w:tcPr>
          <w:p w14:paraId="5B2893F3" w14:textId="77777777" w:rsidR="007A4015" w:rsidRDefault="007A4015" w:rsidP="003B1FBA">
            <w:pPr>
              <w:pStyle w:val="FSTableText"/>
              <w:keepNext/>
              <w:keepLines/>
              <w:jc w:val="center"/>
              <w:rPr>
                <w:sz w:val="16"/>
              </w:rPr>
            </w:pPr>
            <w:r w:rsidRPr="00DC1FBF">
              <w:rPr>
                <w:sz w:val="16"/>
              </w:rPr>
              <w:t>United States</w:t>
            </w:r>
          </w:p>
        </w:tc>
        <w:tc>
          <w:tcPr>
            <w:tcW w:w="3624" w:type="dxa"/>
            <w:vAlign w:val="center"/>
          </w:tcPr>
          <w:p w14:paraId="3EC0B622" w14:textId="77777777" w:rsidR="007A4015" w:rsidRPr="00DC1FBF" w:rsidRDefault="007A4015" w:rsidP="003B1FBA">
            <w:pPr>
              <w:pStyle w:val="FSTableText"/>
              <w:keepNext/>
              <w:keepLines/>
              <w:jc w:val="center"/>
              <w:rPr>
                <w:sz w:val="16"/>
              </w:rPr>
            </w:pPr>
            <w:r w:rsidRPr="00DC1FBF">
              <w:rPr>
                <w:sz w:val="16"/>
              </w:rPr>
              <w:t>United States Department of</w:t>
            </w:r>
          </w:p>
          <w:p w14:paraId="0217FC90" w14:textId="77777777" w:rsidR="007A4015" w:rsidRDefault="007A4015" w:rsidP="003B1FBA">
            <w:pPr>
              <w:pStyle w:val="FSTableText"/>
              <w:keepNext/>
              <w:keepLines/>
              <w:jc w:val="center"/>
            </w:pPr>
            <w:r w:rsidRPr="00DC1FBF">
              <w:rPr>
                <w:sz w:val="16"/>
              </w:rPr>
              <w:t>Agriculture (USDA)</w:t>
            </w:r>
          </w:p>
        </w:tc>
        <w:tc>
          <w:tcPr>
            <w:tcW w:w="1916" w:type="dxa"/>
            <w:vAlign w:val="center"/>
          </w:tcPr>
          <w:p w14:paraId="6D40DB5B" w14:textId="77777777" w:rsidR="007A4015" w:rsidRDefault="007A4015" w:rsidP="003B1FBA">
            <w:pPr>
              <w:pStyle w:val="FSTableText"/>
              <w:keepNext/>
              <w:keepLines/>
              <w:jc w:val="center"/>
            </w:pPr>
            <w:r>
              <w:rPr>
                <w:sz w:val="16"/>
              </w:rPr>
              <w:t>Environment</w:t>
            </w:r>
          </w:p>
        </w:tc>
        <w:tc>
          <w:tcPr>
            <w:tcW w:w="1701" w:type="dxa"/>
            <w:vAlign w:val="center"/>
          </w:tcPr>
          <w:p w14:paraId="6C2C10FE" w14:textId="77777777" w:rsidR="007A4015" w:rsidRDefault="007A4015" w:rsidP="003B1FBA">
            <w:pPr>
              <w:pStyle w:val="FSTableText"/>
              <w:keepNext/>
              <w:keepLines/>
              <w:jc w:val="center"/>
            </w:pPr>
            <w:r>
              <w:rPr>
                <w:sz w:val="16"/>
              </w:rPr>
              <w:t>Approved</w:t>
            </w:r>
          </w:p>
        </w:tc>
      </w:tr>
      <w:tr w:rsidR="007A4015" w:rsidRPr="00006762" w14:paraId="7698EA03" w14:textId="77777777" w:rsidTr="003B1FBA">
        <w:trPr>
          <w:trHeight w:val="140"/>
        </w:trPr>
        <w:tc>
          <w:tcPr>
            <w:tcW w:w="1118" w:type="dxa"/>
            <w:vMerge/>
            <w:vAlign w:val="center"/>
          </w:tcPr>
          <w:p w14:paraId="75F34B65" w14:textId="77777777" w:rsidR="007A4015" w:rsidRDefault="007A4015" w:rsidP="003B1FBA">
            <w:pPr>
              <w:pStyle w:val="FSTableText"/>
              <w:keepNext/>
              <w:keepLines/>
              <w:jc w:val="center"/>
              <w:rPr>
                <w:sz w:val="16"/>
              </w:rPr>
            </w:pPr>
          </w:p>
        </w:tc>
        <w:tc>
          <w:tcPr>
            <w:tcW w:w="3624" w:type="dxa"/>
            <w:vAlign w:val="center"/>
          </w:tcPr>
          <w:p w14:paraId="11A05143" w14:textId="77777777" w:rsidR="007A4015" w:rsidRPr="00DC1FBF" w:rsidRDefault="007A4015" w:rsidP="003B1FBA">
            <w:pPr>
              <w:pStyle w:val="FSTableText"/>
              <w:keepNext/>
              <w:keepLines/>
              <w:jc w:val="center"/>
              <w:rPr>
                <w:sz w:val="16"/>
              </w:rPr>
            </w:pPr>
            <w:r w:rsidRPr="00DC1FBF">
              <w:rPr>
                <w:sz w:val="16"/>
              </w:rPr>
              <w:t xml:space="preserve"> Food and Drug Administration</w:t>
            </w:r>
          </w:p>
          <w:p w14:paraId="4E5A3CA6" w14:textId="77777777" w:rsidR="007A4015" w:rsidRDefault="007A4015" w:rsidP="003B1FBA">
            <w:pPr>
              <w:pStyle w:val="FSTableText"/>
              <w:keepNext/>
              <w:keepLines/>
              <w:jc w:val="center"/>
            </w:pPr>
            <w:r w:rsidRPr="00DC1FBF">
              <w:rPr>
                <w:sz w:val="16"/>
              </w:rPr>
              <w:t>(FDA)</w:t>
            </w:r>
          </w:p>
        </w:tc>
        <w:tc>
          <w:tcPr>
            <w:tcW w:w="1916" w:type="dxa"/>
            <w:vAlign w:val="center"/>
          </w:tcPr>
          <w:p w14:paraId="76D586D1" w14:textId="77777777" w:rsidR="007A4015" w:rsidRDefault="007A4015" w:rsidP="003B1FBA">
            <w:pPr>
              <w:pStyle w:val="FSTableText"/>
              <w:keepNext/>
              <w:keepLines/>
              <w:jc w:val="center"/>
            </w:pPr>
            <w:r>
              <w:rPr>
                <w:sz w:val="16"/>
              </w:rPr>
              <w:t>Food &amp; feed</w:t>
            </w:r>
          </w:p>
        </w:tc>
        <w:tc>
          <w:tcPr>
            <w:tcW w:w="1701" w:type="dxa"/>
            <w:vAlign w:val="center"/>
          </w:tcPr>
          <w:p w14:paraId="78A1E9F2" w14:textId="77777777" w:rsidR="007A4015" w:rsidRDefault="007A4015" w:rsidP="003B1FBA">
            <w:pPr>
              <w:pStyle w:val="FSTableText"/>
              <w:keepNext/>
              <w:keepLines/>
              <w:jc w:val="center"/>
            </w:pPr>
            <w:r>
              <w:rPr>
                <w:sz w:val="16"/>
              </w:rPr>
              <w:t>Approved</w:t>
            </w:r>
          </w:p>
        </w:tc>
      </w:tr>
    </w:tbl>
    <w:p w14:paraId="63567417" w14:textId="77777777" w:rsidR="007A4015" w:rsidRDefault="007A4015" w:rsidP="007A4015">
      <w:pPr>
        <w:spacing w:before="240" w:after="240"/>
      </w:pPr>
      <w:r>
        <w:t>Other relevant matters are considered below</w:t>
      </w:r>
      <w:r>
        <w:rPr>
          <w:lang w:bidi="ar-SA"/>
        </w:rPr>
        <w:t>.</w:t>
      </w:r>
      <w:r>
        <w:t xml:space="preserve"> </w:t>
      </w:r>
    </w:p>
    <w:p w14:paraId="367A9342" w14:textId="77777777" w:rsidR="002C1A3B" w:rsidRPr="002C1A3B" w:rsidRDefault="002C1A3B" w:rsidP="002C1A3B">
      <w:pPr>
        <w:pStyle w:val="Heading3"/>
      </w:pPr>
      <w:bookmarkStart w:id="91" w:name="_Toc109221970"/>
      <w:r w:rsidRPr="002C1A3B">
        <w:t>2.5.2.</w:t>
      </w:r>
      <w:r w:rsidRPr="002C1A3B">
        <w:tab/>
        <w:t>Subsection 18(1)</w:t>
      </w:r>
      <w:bookmarkEnd w:id="87"/>
      <w:bookmarkEnd w:id="88"/>
      <w:bookmarkEnd w:id="91"/>
      <w:r w:rsidRPr="002C1A3B">
        <w:t xml:space="preserve"> </w:t>
      </w:r>
      <w:bookmarkEnd w:id="89"/>
      <w:bookmarkEnd w:id="90"/>
    </w:p>
    <w:p w14:paraId="17701ED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35B41F2" w14:textId="77777777" w:rsidR="002C1A3B" w:rsidRPr="002C1A3B" w:rsidRDefault="002C1A3B" w:rsidP="002C1A3B">
      <w:pPr>
        <w:pStyle w:val="Heading4"/>
        <w:rPr>
          <w:lang w:eastAsia="en-AU"/>
        </w:rPr>
      </w:pPr>
      <w:bookmarkStart w:id="92" w:name="_Toc297029117"/>
      <w:bookmarkStart w:id="93" w:name="_Toc300761898"/>
      <w:bookmarkStart w:id="94" w:name="_Toc300933441"/>
      <w:r w:rsidRPr="002C1A3B">
        <w:rPr>
          <w:lang w:eastAsia="en-AU"/>
        </w:rPr>
        <w:t>2.5.2.1</w:t>
      </w:r>
      <w:r w:rsidRPr="002C1A3B">
        <w:rPr>
          <w:lang w:eastAsia="en-AU"/>
        </w:rPr>
        <w:tab/>
        <w:t>Protection of public health and safety</w:t>
      </w:r>
      <w:bookmarkEnd w:id="92"/>
      <w:bookmarkEnd w:id="93"/>
      <w:bookmarkEnd w:id="94"/>
    </w:p>
    <w:p w14:paraId="01DD09EF" w14:textId="77777777" w:rsidR="003126F7" w:rsidRDefault="003126F7" w:rsidP="003126F7">
      <w:bookmarkStart w:id="95" w:name="_Toc300761899"/>
      <w:bookmarkStart w:id="96" w:name="_Toc300933442"/>
      <w:r>
        <w:t xml:space="preserve">FSANZ’s assessment did not identify any </w:t>
      </w:r>
      <w:r w:rsidRPr="00D330AA">
        <w:t>public health and safety concerns</w:t>
      </w:r>
      <w:r>
        <w:t xml:space="preserve"> with food derived from </w:t>
      </w:r>
      <w:r w:rsidRPr="00997E02">
        <w:rPr>
          <w:szCs w:val="22"/>
        </w:rPr>
        <w:t>canola line LBFLFK</w:t>
      </w:r>
      <w:r>
        <w:rPr>
          <w:szCs w:val="22"/>
        </w:rPr>
        <w:t>.</w:t>
      </w:r>
      <w:r>
        <w:t xml:space="preserve">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204418">
        <w:rPr>
          <w:lang w:bidi="ar-SA"/>
        </w:rPr>
        <w:t xml:space="preserve">food derived from </w:t>
      </w:r>
      <w:r w:rsidRPr="00997E02">
        <w:rPr>
          <w:lang w:bidi="ar-SA"/>
        </w:rPr>
        <w:t xml:space="preserve">canola line LBFLFK </w:t>
      </w:r>
      <w:r w:rsidRPr="00204418">
        <w:rPr>
          <w:lang w:bidi="ar-SA"/>
        </w:rPr>
        <w:t>is considered to be as safe for human consumption as food derived from con</w:t>
      </w:r>
      <w:r>
        <w:rPr>
          <w:lang w:bidi="ar-SA"/>
        </w:rPr>
        <w:t xml:space="preserve">ventional non-GM canola cultivars. FSANZ’s nutritional risk assessment concluded that </w:t>
      </w:r>
      <w:r w:rsidRPr="00B92A2F">
        <w:lastRenderedPageBreak/>
        <w:t xml:space="preserve">consumption of </w:t>
      </w:r>
      <w:r>
        <w:t xml:space="preserve">oil from canola line </w:t>
      </w:r>
      <w:r w:rsidRPr="00B92A2F">
        <w:t xml:space="preserve">LBFLFK will not pose a nutritional </w:t>
      </w:r>
      <w:r>
        <w:t xml:space="preserve">risk </w:t>
      </w:r>
      <w:r w:rsidRPr="00B92A2F">
        <w:t>to the Australian and New Zealand populations</w:t>
      </w:r>
      <w:r>
        <w:t>.</w:t>
      </w:r>
    </w:p>
    <w:p w14:paraId="048B2B77"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5"/>
      <w:bookmarkEnd w:id="96"/>
    </w:p>
    <w:p w14:paraId="238FDC0B" w14:textId="5BC5494C" w:rsidR="00795053" w:rsidRPr="0060091E" w:rsidRDefault="00795053" w:rsidP="00795053">
      <w:bookmarkStart w:id="97" w:name="_Toc300761900"/>
      <w:bookmarkStart w:id="98" w:name="_Toc300933443"/>
      <w:r>
        <w:t>E</w:t>
      </w:r>
      <w:r w:rsidRPr="0060091E">
        <w:t xml:space="preserve">xisting labelling requirements for GM food will apply to food derived from </w:t>
      </w:r>
      <w:r w:rsidRPr="00997E02">
        <w:t xml:space="preserve">canola line LBFLFK </w:t>
      </w:r>
      <w:r w:rsidRPr="0060091E">
        <w:t>in accordance with the Code</w:t>
      </w:r>
      <w:r>
        <w:t xml:space="preserve"> to enable informed consumer choice</w:t>
      </w:r>
      <w:r w:rsidR="007F3FD0">
        <w:t xml:space="preserve"> (see Section 2.3</w:t>
      </w:r>
      <w:r w:rsidRPr="0060091E">
        <w:t>.</w:t>
      </w:r>
      <w:r w:rsidR="007F3FD0">
        <w:t>2</w:t>
      </w:r>
      <w:r>
        <w:t xml:space="preserve"> of this report</w:t>
      </w:r>
      <w:r w:rsidRPr="0060091E">
        <w:t>).</w:t>
      </w:r>
    </w:p>
    <w:p w14:paraId="62509DFA"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7"/>
      <w:bookmarkEnd w:id="98"/>
    </w:p>
    <w:p w14:paraId="3E705EF3" w14:textId="02A3C55A" w:rsidR="007F3FD0" w:rsidRDefault="007F3FD0" w:rsidP="007F3FD0">
      <w:bookmarkStart w:id="99" w:name="_Toc300761901"/>
      <w:bookmarkStart w:id="100" w:name="_Toc300933444"/>
      <w:bookmarkStart w:id="101" w:name="_Toc370223480"/>
      <w:bookmarkStart w:id="102" w:name="_Toc370225395"/>
      <w:r w:rsidRPr="00D330AA">
        <w:t xml:space="preserve">The provision of </w:t>
      </w:r>
      <w:r>
        <w:t xml:space="preserve">DNA sequence information </w:t>
      </w:r>
      <w:r w:rsidRPr="00D330AA">
        <w:t>by the applicant (as described in Section 2.</w:t>
      </w:r>
      <w:r w:rsidR="00E46F77">
        <w:t>3.3</w:t>
      </w:r>
      <w:r>
        <w:t xml:space="preserve"> of this report</w:t>
      </w:r>
      <w:r w:rsidRPr="00D330AA">
        <w:t>) addresses this objective.</w:t>
      </w:r>
    </w:p>
    <w:p w14:paraId="4E19A7B4"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9"/>
      <w:bookmarkEnd w:id="100"/>
      <w:r w:rsidRPr="002C1A3B">
        <w:rPr>
          <w:b/>
          <w:bCs/>
          <w:lang w:eastAsia="en-AU" w:bidi="ar-SA"/>
        </w:rPr>
        <w:t>considerations</w:t>
      </w:r>
      <w:bookmarkEnd w:id="101"/>
      <w:bookmarkEnd w:id="102"/>
    </w:p>
    <w:p w14:paraId="3BC780B2" w14:textId="462AE05A" w:rsidR="002C1A3B" w:rsidRPr="002C1A3B" w:rsidRDefault="002C1A3B" w:rsidP="0040270B">
      <w:pPr>
        <w:spacing w:after="240"/>
        <w:rPr>
          <w:rFonts w:cs="Arial"/>
        </w:rPr>
      </w:pPr>
      <w:r w:rsidRPr="002C1A3B">
        <w:rPr>
          <w:rFonts w:cs="Arial"/>
        </w:rPr>
        <w:t>FSANZ has also had regard to:</w:t>
      </w:r>
    </w:p>
    <w:p w14:paraId="0D332F2E" w14:textId="4C718A43" w:rsidR="002C1A3B" w:rsidRPr="0085022E" w:rsidRDefault="002C1A3B" w:rsidP="002C1A3B">
      <w:pPr>
        <w:pStyle w:val="FSBullet1"/>
        <w:rPr>
          <w:b/>
        </w:rPr>
      </w:pPr>
      <w:r w:rsidRPr="002C1A3B">
        <w:rPr>
          <w:b/>
        </w:rPr>
        <w:t>the need for standards to be based on risk analysis using the best available scientific evidence</w:t>
      </w:r>
    </w:p>
    <w:p w14:paraId="12519A5A" w14:textId="0D482A7E" w:rsidR="002C1A3B" w:rsidRPr="002C1A3B" w:rsidRDefault="0085022E" w:rsidP="0085022E">
      <w:pPr>
        <w:spacing w:before="240" w:after="240"/>
        <w:rPr>
          <w:lang w:bidi="ar-SA"/>
        </w:rPr>
      </w:pPr>
      <w:r w:rsidRPr="00D330AA">
        <w:t xml:space="preserve">FSANZ’s approach to the safety assessment of all GM foods applies concepts and principles outlined in the Codex Principles for the Risk Analysis of Foods derived from Biotechnology (Codex, 2009). Based on these principles, the risk analysis undertaken </w:t>
      </w:r>
      <w:r w:rsidR="00023CB4">
        <w:t xml:space="preserve">by FSANZ </w:t>
      </w:r>
      <w:r w:rsidRPr="00D330AA">
        <w:t xml:space="preserve">for </w:t>
      </w:r>
      <w:r w:rsidRPr="00997E02">
        <w:t xml:space="preserve">canola line LBFLFK </w:t>
      </w:r>
      <w:r w:rsidRPr="00AB6918">
        <w:t>used the best</w:t>
      </w:r>
      <w:r>
        <w:t xml:space="preserve"> scientific evidence available. </w:t>
      </w:r>
      <w:r w:rsidRPr="00AB6918">
        <w:t xml:space="preserve">The applicant submitted a comprehensive dossier of quality-assured raw </w:t>
      </w:r>
      <w:r w:rsidRPr="00D330AA">
        <w:t xml:space="preserve">experimental data. In addition to the information supplied by the applicant, other available resource material including published scientific literature and general technical information was used </w:t>
      </w:r>
      <w:r w:rsidR="00F32D1F">
        <w:t xml:space="preserve">by FSANZ </w:t>
      </w:r>
      <w:r w:rsidRPr="00D330AA">
        <w:t>in the safety assessment.</w:t>
      </w:r>
    </w:p>
    <w:p w14:paraId="609F9F71" w14:textId="1A8FF778" w:rsidR="002C1A3B" w:rsidRPr="0040270B" w:rsidRDefault="002C1A3B" w:rsidP="0040270B">
      <w:pPr>
        <w:pStyle w:val="FSBullet1"/>
        <w:spacing w:after="240"/>
        <w:rPr>
          <w:b/>
        </w:rPr>
      </w:pPr>
      <w:r w:rsidRPr="002C1A3B">
        <w:rPr>
          <w:b/>
        </w:rPr>
        <w:t>the promotion of consistency between domestic and international food standards</w:t>
      </w:r>
    </w:p>
    <w:p w14:paraId="3CA2FF3C" w14:textId="4F8F3B4F" w:rsidR="002C1A3B" w:rsidRPr="002C1A3B" w:rsidRDefault="00834CDF" w:rsidP="0040270B">
      <w:pPr>
        <w:pStyle w:val="FSBullet1"/>
        <w:numPr>
          <w:ilvl w:val="0"/>
          <w:numId w:val="0"/>
        </w:numPr>
        <w:spacing w:after="240"/>
      </w:pPr>
      <w:r w:rsidRPr="0060091E">
        <w:t>This is not a consideration as there are no relevant international standards.</w:t>
      </w:r>
    </w:p>
    <w:p w14:paraId="542677F0" w14:textId="77777777" w:rsidR="002C1A3B" w:rsidRPr="002C1A3B" w:rsidRDefault="002C1A3B" w:rsidP="002C1A3B">
      <w:pPr>
        <w:pStyle w:val="FSBullet1"/>
        <w:rPr>
          <w:b/>
        </w:rPr>
      </w:pPr>
      <w:r w:rsidRPr="002C1A3B">
        <w:rPr>
          <w:b/>
        </w:rPr>
        <w:t>the desirability of an efficient and internationally competitive food industry</w:t>
      </w:r>
    </w:p>
    <w:p w14:paraId="5545E249" w14:textId="1E41E973" w:rsidR="00321737" w:rsidRPr="00032F13" w:rsidRDefault="00321737" w:rsidP="00321737">
      <w:pPr>
        <w:spacing w:before="240" w:after="240"/>
      </w:pPr>
      <w:r w:rsidRPr="0060091E">
        <w:t>The inclusion of GM foods in the food supply, providing there are no safety concerns, allows for innovation by developers and a widening of the technolo</w:t>
      </w:r>
      <w:r>
        <w:t xml:space="preserve">gical base for </w:t>
      </w:r>
      <w:r w:rsidRPr="00997E02">
        <w:rPr>
          <w:color w:val="000000" w:themeColor="text1"/>
        </w:rPr>
        <w:t>producing foods. Canola line LBFLFK is a new food crop designed to</w:t>
      </w:r>
      <w:r w:rsidRPr="00997E02">
        <w:rPr>
          <w:i/>
          <w:color w:val="000000" w:themeColor="text1"/>
        </w:rPr>
        <w:t xml:space="preserve"> </w:t>
      </w:r>
      <w:r w:rsidRPr="00997E02">
        <w:rPr>
          <w:color w:val="000000" w:themeColor="text1"/>
        </w:rPr>
        <w:t xml:space="preserve">provide </w:t>
      </w:r>
      <w:r>
        <w:rPr>
          <w:color w:val="000000" w:themeColor="text1"/>
        </w:rPr>
        <w:t>consumers with more options for dietary n-3 LC-PUFAs.</w:t>
      </w:r>
    </w:p>
    <w:p w14:paraId="4E57B97D" w14:textId="77777777" w:rsidR="002C1A3B" w:rsidRPr="002C1A3B" w:rsidRDefault="002C1A3B" w:rsidP="002C1A3B">
      <w:pPr>
        <w:pStyle w:val="FSBullet1"/>
        <w:rPr>
          <w:b/>
        </w:rPr>
      </w:pPr>
      <w:r w:rsidRPr="002C1A3B">
        <w:rPr>
          <w:b/>
        </w:rPr>
        <w:t>the promotion of fair trading in food</w:t>
      </w:r>
    </w:p>
    <w:p w14:paraId="7F3C388B" w14:textId="55B838B5" w:rsidR="002C1A3B" w:rsidRPr="002C1A3B" w:rsidRDefault="00321737" w:rsidP="00321737">
      <w:pPr>
        <w:spacing w:before="240" w:after="240"/>
        <w:rPr>
          <w:lang w:bidi="ar-SA"/>
        </w:rPr>
      </w:pPr>
      <w:r w:rsidRPr="009F126E">
        <w:t>Issues related to consumer information and safety are considered in Sections 2.2 and 2.3 of this report above.</w:t>
      </w:r>
    </w:p>
    <w:p w14:paraId="44521C37" w14:textId="0C0D1D5B" w:rsidR="002C1A3B" w:rsidRPr="002C1A3B" w:rsidRDefault="002C1A3B" w:rsidP="002C1A3B">
      <w:pPr>
        <w:pStyle w:val="FSBullet1"/>
        <w:rPr>
          <w:b/>
        </w:rPr>
      </w:pPr>
      <w:r w:rsidRPr="002C1A3B">
        <w:rPr>
          <w:b/>
        </w:rPr>
        <w:t xml:space="preserve">any written policy guidelines formulated by the </w:t>
      </w:r>
      <w:r w:rsidR="00167F09">
        <w:rPr>
          <w:b/>
        </w:rPr>
        <w:t>Food Ministers’ Meeting</w:t>
      </w:r>
      <w:r w:rsidR="00AD669F">
        <w:rPr>
          <w:rStyle w:val="FootnoteReference"/>
          <w:b/>
        </w:rPr>
        <w:footnoteReference w:id="13"/>
      </w:r>
    </w:p>
    <w:p w14:paraId="2CCD7D74" w14:textId="460A9652" w:rsidR="00AD669F" w:rsidRDefault="00AD669F" w:rsidP="00AD669F">
      <w:pPr>
        <w:spacing w:before="240" w:after="240"/>
      </w:pPr>
      <w:r w:rsidRPr="009D5747">
        <w:t>No specific policy guidelines have been developed.</w:t>
      </w:r>
    </w:p>
    <w:p w14:paraId="4E954887" w14:textId="3BDE0741" w:rsidR="0012388D" w:rsidRPr="005C23CB" w:rsidRDefault="002C1A3B" w:rsidP="00AD669F">
      <w:pPr>
        <w:pStyle w:val="Heading1"/>
      </w:pPr>
      <w:bookmarkStart w:id="103" w:name="_Toc109221971"/>
      <w:r w:rsidRPr="005C23CB">
        <w:lastRenderedPageBreak/>
        <w:t>3</w:t>
      </w:r>
      <w:r w:rsidR="00453646" w:rsidRPr="005C23CB">
        <w:tab/>
      </w:r>
      <w:bookmarkEnd w:id="83"/>
      <w:r w:rsidR="00AD669F" w:rsidRPr="005C23CB">
        <w:t>Draft variation</w:t>
      </w:r>
      <w:bookmarkEnd w:id="103"/>
    </w:p>
    <w:p w14:paraId="54C2203E" w14:textId="77777777" w:rsidR="00C67C36" w:rsidRPr="001E1FAB" w:rsidRDefault="00C67C36" w:rsidP="00C67C36">
      <w:pPr>
        <w:spacing w:after="240"/>
        <w:rPr>
          <w:color w:val="000000" w:themeColor="text1"/>
        </w:rPr>
      </w:pPr>
      <w:bookmarkStart w:id="104" w:name="_Toc300761917"/>
      <w:bookmarkStart w:id="105" w:name="_Toc300933449"/>
      <w:bookmarkStart w:id="106" w:name="_Toc11735643"/>
      <w:bookmarkStart w:id="107" w:name="_Toc29883130"/>
      <w:bookmarkStart w:id="108" w:name="_Toc41906817"/>
      <w:bookmarkStart w:id="109" w:name="_Toc41907564"/>
      <w:bookmarkStart w:id="110" w:name="_Toc43112360"/>
      <w:r w:rsidRPr="001E1FAB">
        <w:rPr>
          <w:color w:val="000000" w:themeColor="text1"/>
        </w:rPr>
        <w:t xml:space="preserve">The </w:t>
      </w:r>
      <w:r>
        <w:rPr>
          <w:color w:val="000000" w:themeColor="text1"/>
        </w:rPr>
        <w:t xml:space="preserve">approved </w:t>
      </w:r>
      <w:r w:rsidRPr="001E1FAB">
        <w:rPr>
          <w:color w:val="000000" w:themeColor="text1"/>
        </w:rPr>
        <w:t>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the date of </w:t>
      </w:r>
      <w:r w:rsidRPr="00C17224">
        <w:t>gazettal.</w:t>
      </w:r>
    </w:p>
    <w:p w14:paraId="365BBED2" w14:textId="77777777" w:rsidR="00C67C36" w:rsidRPr="005D3141" w:rsidRDefault="00C67C36" w:rsidP="00C67C36">
      <w:pPr>
        <w:spacing w:after="240"/>
        <w:rPr>
          <w:u w:val="single"/>
        </w:rPr>
      </w:pPr>
      <w:r>
        <w:t>An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bookmarkEnd w:id="104"/>
      <w:bookmarkEnd w:id="105"/>
    </w:p>
    <w:p w14:paraId="027125CB" w14:textId="302377F3" w:rsidR="001122EC" w:rsidRPr="00C67C36" w:rsidRDefault="00C67C36" w:rsidP="001122EC">
      <w:pPr>
        <w:pStyle w:val="Heading1"/>
      </w:pPr>
      <w:bookmarkStart w:id="111" w:name="_Toc109221972"/>
      <w:r w:rsidRPr="00C67C36">
        <w:t>4</w:t>
      </w:r>
      <w:r w:rsidR="001122EC" w:rsidRPr="00C67C36">
        <w:tab/>
        <w:t>R</w:t>
      </w:r>
      <w:r w:rsidR="000B427A" w:rsidRPr="00C67C36">
        <w:t>eferences</w:t>
      </w:r>
      <w:bookmarkEnd w:id="111"/>
    </w:p>
    <w:p w14:paraId="3900BB5A" w14:textId="04D6DE91" w:rsidR="009C7917" w:rsidRPr="009C7917" w:rsidRDefault="009C7917" w:rsidP="00C67C36">
      <w:pPr>
        <w:spacing w:after="120"/>
        <w:rPr>
          <w:sz w:val="20"/>
          <w:szCs w:val="20"/>
          <w:lang w:bidi="ar-SA"/>
        </w:rPr>
      </w:pPr>
      <w:r w:rsidRPr="009C7917">
        <w:rPr>
          <w:sz w:val="20"/>
          <w:szCs w:val="20"/>
          <w:lang w:bidi="ar-SA"/>
        </w:rPr>
        <w:t xml:space="preserve">Australian Bureau of Statistics (2015) Australian Health Survey: Usual Nutrient intakes, 2011-12 – Australia. Table 8.1 Usual daily intake of long-chain omega 3 fatty acids from foods. </w:t>
      </w:r>
      <w:hyperlink r:id="rId23" w:history="1">
        <w:r w:rsidRPr="522E0339">
          <w:rPr>
            <w:rStyle w:val="Hyperlink"/>
            <w:sz w:val="20"/>
            <w:szCs w:val="20"/>
          </w:rPr>
          <w:t>Australian Health Survey: Usual Nutrient Intakes, 2011-12 financial year | Australian Bureau of Statistics (abs.gov.au)</w:t>
        </w:r>
      </w:hyperlink>
      <w:r>
        <w:rPr>
          <w:sz w:val="20"/>
          <w:szCs w:val="20"/>
        </w:rPr>
        <w:t xml:space="preserve"> </w:t>
      </w:r>
    </w:p>
    <w:p w14:paraId="26DEF3E2" w14:textId="77777777" w:rsidR="001404BA" w:rsidRDefault="00C67C36" w:rsidP="00C67C36">
      <w:pPr>
        <w:spacing w:after="120"/>
        <w:rPr>
          <w:rStyle w:val="Hyperlink"/>
          <w:sz w:val="20"/>
          <w:szCs w:val="22"/>
          <w:lang w:bidi="ar-SA"/>
        </w:rPr>
      </w:pPr>
      <w:r w:rsidRPr="00006762">
        <w:rPr>
          <w:sz w:val="20"/>
          <w:szCs w:val="22"/>
          <w:lang w:bidi="ar-SA"/>
        </w:rPr>
        <w:t xml:space="preserve">Codex (2009) Principles for the risk analysis of foods derived from modern biotechnology. CAC/GL 44-2003. Codex Alimentarius Commission, Rome. </w:t>
      </w:r>
      <w:hyperlink r:id="rId24" w:history="1">
        <w:r w:rsidRPr="00006762">
          <w:rPr>
            <w:rStyle w:val="Hyperlink"/>
            <w:sz w:val="20"/>
            <w:szCs w:val="22"/>
            <w:lang w:bidi="ar-SA"/>
          </w:rPr>
          <w:t>http://www.fao.org/3/a1554e/a1554e00.htm</w:t>
        </w:r>
      </w:hyperlink>
    </w:p>
    <w:p w14:paraId="61AC861E" w14:textId="68D74E2D" w:rsidR="00975122" w:rsidRPr="007F0B99" w:rsidRDefault="00975122" w:rsidP="00C67C36">
      <w:pPr>
        <w:spacing w:after="120"/>
        <w:rPr>
          <w:rStyle w:val="Hyperlink"/>
          <w:color w:val="000000" w:themeColor="text1"/>
          <w:sz w:val="20"/>
          <w:szCs w:val="22"/>
          <w:u w:val="none"/>
          <w:lang w:bidi="ar-SA"/>
        </w:rPr>
      </w:pPr>
      <w:r w:rsidRPr="007F0B99">
        <w:rPr>
          <w:rStyle w:val="Hyperlink"/>
          <w:color w:val="000000" w:themeColor="text1"/>
          <w:sz w:val="20"/>
          <w:szCs w:val="22"/>
          <w:u w:val="none"/>
          <w:lang w:bidi="ar-SA"/>
        </w:rPr>
        <w:t xml:space="preserve">Schnell J, Steele M, Bean J, </w:t>
      </w:r>
      <w:proofErr w:type="spellStart"/>
      <w:r w:rsidRPr="007F0B99">
        <w:rPr>
          <w:rStyle w:val="Hyperlink"/>
          <w:color w:val="000000" w:themeColor="text1"/>
          <w:sz w:val="20"/>
          <w:szCs w:val="22"/>
          <w:u w:val="none"/>
          <w:lang w:bidi="ar-SA"/>
        </w:rPr>
        <w:t>Neuspiel</w:t>
      </w:r>
      <w:proofErr w:type="spellEnd"/>
      <w:r w:rsidRPr="007F0B99">
        <w:rPr>
          <w:rStyle w:val="Hyperlink"/>
          <w:color w:val="000000" w:themeColor="text1"/>
          <w:sz w:val="20"/>
          <w:szCs w:val="22"/>
          <w:u w:val="none"/>
          <w:lang w:bidi="ar-SA"/>
        </w:rPr>
        <w:t xml:space="preserve"> M, Girard C, </w:t>
      </w:r>
      <w:proofErr w:type="spellStart"/>
      <w:r w:rsidRPr="007F0B99">
        <w:rPr>
          <w:rStyle w:val="Hyperlink"/>
          <w:color w:val="000000" w:themeColor="text1"/>
          <w:sz w:val="20"/>
          <w:szCs w:val="22"/>
          <w:u w:val="none"/>
          <w:lang w:bidi="ar-SA"/>
        </w:rPr>
        <w:t>Dormann</w:t>
      </w:r>
      <w:proofErr w:type="spellEnd"/>
      <w:r w:rsidRPr="007F0B99">
        <w:rPr>
          <w:rStyle w:val="Hyperlink"/>
          <w:color w:val="000000" w:themeColor="text1"/>
          <w:sz w:val="20"/>
          <w:szCs w:val="22"/>
          <w:u w:val="none"/>
          <w:lang w:bidi="ar-SA"/>
        </w:rPr>
        <w:t xml:space="preserve"> N, Pearson C, </w:t>
      </w:r>
      <w:proofErr w:type="spellStart"/>
      <w:r w:rsidRPr="007F0B99">
        <w:rPr>
          <w:rStyle w:val="Hyperlink"/>
          <w:color w:val="000000" w:themeColor="text1"/>
          <w:sz w:val="20"/>
          <w:szCs w:val="22"/>
          <w:u w:val="none"/>
          <w:lang w:bidi="ar-SA"/>
        </w:rPr>
        <w:t>Savoie</w:t>
      </w:r>
      <w:proofErr w:type="spellEnd"/>
      <w:r w:rsidRPr="007F0B99">
        <w:rPr>
          <w:rStyle w:val="Hyperlink"/>
          <w:color w:val="000000" w:themeColor="text1"/>
          <w:sz w:val="20"/>
          <w:szCs w:val="22"/>
          <w:u w:val="none"/>
          <w:lang w:bidi="ar-SA"/>
        </w:rPr>
        <w:t xml:space="preserve"> A, </w:t>
      </w:r>
      <w:proofErr w:type="spellStart"/>
      <w:r w:rsidRPr="007F0B99">
        <w:rPr>
          <w:rStyle w:val="Hyperlink"/>
          <w:color w:val="000000" w:themeColor="text1"/>
          <w:sz w:val="20"/>
          <w:szCs w:val="22"/>
          <w:u w:val="none"/>
          <w:lang w:bidi="ar-SA"/>
        </w:rPr>
        <w:t>Bourbonnière</w:t>
      </w:r>
      <w:proofErr w:type="spellEnd"/>
      <w:r w:rsidRPr="007F0B99">
        <w:rPr>
          <w:rStyle w:val="Hyperlink"/>
          <w:color w:val="000000" w:themeColor="text1"/>
          <w:sz w:val="20"/>
          <w:szCs w:val="22"/>
          <w:u w:val="none"/>
          <w:lang w:bidi="ar-SA"/>
        </w:rPr>
        <w:t xml:space="preserve"> L, Macdonald P (2015) A comparative analysis of insertional effects in genetically engineered plants: considerations for pre-market assessments. Transgenic Res. 24(1):1-17</w:t>
      </w:r>
    </w:p>
    <w:p w14:paraId="0AE00CF1" w14:textId="5C1962A9" w:rsidR="006C22A7" w:rsidRPr="0040270B" w:rsidRDefault="00D15A08" w:rsidP="0040270B">
      <w:pPr>
        <w:spacing w:before="240" w:after="240"/>
        <w:rPr>
          <w:b/>
          <w:sz w:val="28"/>
          <w:szCs w:val="28"/>
        </w:rPr>
      </w:pPr>
      <w:r w:rsidRPr="006C22A7">
        <w:rPr>
          <w:b/>
          <w:sz w:val="28"/>
          <w:szCs w:val="28"/>
        </w:rPr>
        <w:t>A</w:t>
      </w:r>
      <w:bookmarkEnd w:id="106"/>
      <w:bookmarkEnd w:id="107"/>
      <w:bookmarkEnd w:id="108"/>
      <w:bookmarkEnd w:id="109"/>
      <w:bookmarkEnd w:id="110"/>
      <w:r w:rsidR="00B21055">
        <w:rPr>
          <w:b/>
          <w:sz w:val="28"/>
          <w:szCs w:val="28"/>
        </w:rPr>
        <w:t>ttachments</w:t>
      </w:r>
    </w:p>
    <w:p w14:paraId="505D309F" w14:textId="03F31D5A"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92306">
        <w:t>Australia New Zealand Food Standards Code</w:t>
      </w:r>
      <w:r w:rsidR="005E06C0" w:rsidRPr="00892306">
        <w:t xml:space="preserve"> </w:t>
      </w:r>
    </w:p>
    <w:p w14:paraId="0E89C2C7" w14:textId="21BB64D4" w:rsidR="00892306" w:rsidRDefault="00456BD5" w:rsidP="0040270B">
      <w:pPr>
        <w:ind w:left="567" w:hanging="567"/>
      </w:pPr>
      <w:r w:rsidRPr="00456BD5">
        <w:t>B</w:t>
      </w:r>
      <w:r w:rsidR="00755F02" w:rsidRPr="00456BD5">
        <w:t>.</w:t>
      </w:r>
      <w:r w:rsidR="00755F02" w:rsidRPr="00456BD5">
        <w:tab/>
      </w:r>
      <w:r w:rsidR="00534EDD">
        <w:t xml:space="preserve">Explanatory Statement </w:t>
      </w:r>
      <w:bookmarkStart w:id="112" w:name="_Toc29883131"/>
      <w:bookmarkStart w:id="113" w:name="_Toc41906818"/>
      <w:bookmarkStart w:id="114" w:name="_Toc41907565"/>
      <w:bookmarkStart w:id="115" w:name="_Toc120358596"/>
      <w:bookmarkStart w:id="116" w:name="_Toc175381458"/>
      <w:bookmarkStart w:id="117" w:name="_Toc11735644"/>
      <w:bookmarkStart w:id="118" w:name="_Toc98765672"/>
      <w:bookmarkStart w:id="119" w:name="_Toc120358598"/>
      <w:bookmarkStart w:id="120" w:name="_Toc175381460"/>
    </w:p>
    <w:p w14:paraId="5B85695B" w14:textId="219F030E" w:rsidR="00892306" w:rsidRDefault="00892306">
      <w:pPr>
        <w:widowControl/>
      </w:pPr>
      <w:r>
        <w:br w:type="page"/>
      </w:r>
    </w:p>
    <w:p w14:paraId="210EFC6E" w14:textId="4EACFA7F" w:rsidR="00486E3B" w:rsidRPr="00795D86" w:rsidRDefault="19619A44" w:rsidP="4DFADFFF">
      <w:pPr>
        <w:rPr>
          <w:b/>
          <w:bCs/>
          <w:i/>
          <w:iCs/>
          <w:sz w:val="28"/>
          <w:szCs w:val="28"/>
          <w:lang w:bidi="ar-SA"/>
        </w:rPr>
      </w:pPr>
      <w:r w:rsidRPr="4DFADFFF">
        <w:rPr>
          <w:b/>
          <w:bCs/>
          <w:sz w:val="28"/>
          <w:szCs w:val="28"/>
        </w:rPr>
        <w:lastRenderedPageBreak/>
        <w:t xml:space="preserve">Attachment </w:t>
      </w:r>
      <w:bookmarkEnd w:id="112"/>
      <w:bookmarkEnd w:id="113"/>
      <w:bookmarkEnd w:id="114"/>
      <w:bookmarkEnd w:id="115"/>
      <w:bookmarkEnd w:id="116"/>
      <w:r w:rsidRPr="4DFADFFF">
        <w:rPr>
          <w:b/>
          <w:bCs/>
          <w:sz w:val="28"/>
          <w:szCs w:val="28"/>
        </w:rPr>
        <w:t>A</w:t>
      </w:r>
      <w:bookmarkStart w:id="121" w:name="_Toc120358597"/>
      <w:bookmarkStart w:id="122" w:name="_Toc175381459"/>
      <w:bookmarkEnd w:id="117"/>
      <w:r w:rsidRPr="4DFADFFF">
        <w:rPr>
          <w:b/>
          <w:bCs/>
          <w:sz w:val="28"/>
          <w:szCs w:val="28"/>
        </w:rPr>
        <w:t xml:space="preserve"> –</w:t>
      </w:r>
      <w:bookmarkEnd w:id="121"/>
      <w:bookmarkEnd w:id="122"/>
      <w:r w:rsidRPr="4DFADFFF">
        <w:rPr>
          <w:b/>
          <w:bCs/>
          <w:sz w:val="28"/>
          <w:szCs w:val="28"/>
        </w:rPr>
        <w:t xml:space="preserve"> Approved draft variation to the </w:t>
      </w:r>
      <w:r w:rsidRPr="4DFADFFF">
        <w:rPr>
          <w:b/>
          <w:bCs/>
          <w:i/>
          <w:iCs/>
          <w:sz w:val="28"/>
          <w:szCs w:val="28"/>
        </w:rPr>
        <w:t>Australia New Zealand Food Standards Code</w:t>
      </w:r>
      <w:bookmarkEnd w:id="118"/>
    </w:p>
    <w:p w14:paraId="56F6BD29" w14:textId="77777777" w:rsidR="00486E3B" w:rsidRPr="002A4310" w:rsidRDefault="00486E3B" w:rsidP="00486E3B">
      <w:pPr>
        <w:rPr>
          <w:lang w:bidi="ar-SA"/>
        </w:rPr>
      </w:pPr>
    </w:p>
    <w:p w14:paraId="52C3A662" w14:textId="77777777" w:rsidR="00486E3B" w:rsidRPr="002A4310" w:rsidRDefault="00486E3B" w:rsidP="00486E3B">
      <w:pPr>
        <w:rPr>
          <w:noProof/>
          <w:sz w:val="20"/>
          <w:lang w:val="en-AU" w:eastAsia="en-AU"/>
        </w:rPr>
      </w:pPr>
      <w:r w:rsidRPr="002A4310">
        <w:rPr>
          <w:noProof/>
          <w:sz w:val="20"/>
          <w:lang w:eastAsia="en-GB" w:bidi="ar-SA"/>
        </w:rPr>
        <w:drawing>
          <wp:inline distT="0" distB="0" distL="0" distR="0" wp14:anchorId="04095BB9" wp14:editId="76108439">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D2EB4C" w14:textId="77777777" w:rsidR="00486E3B" w:rsidRPr="002A4310" w:rsidRDefault="00486E3B" w:rsidP="00486E3B">
      <w:pPr>
        <w:widowControl/>
        <w:pBdr>
          <w:bottom w:val="single" w:sz="4" w:space="1" w:color="auto"/>
        </w:pBdr>
        <w:jc w:val="center"/>
        <w:rPr>
          <w:rFonts w:eastAsiaTheme="minorHAnsi" w:cstheme="minorBidi"/>
          <w:sz w:val="20"/>
          <w:lang w:eastAsia="en-GB"/>
        </w:rPr>
      </w:pPr>
    </w:p>
    <w:p w14:paraId="54999973" w14:textId="77777777" w:rsidR="00486E3B" w:rsidRPr="002A4310" w:rsidRDefault="00486E3B" w:rsidP="00486E3B">
      <w:pPr>
        <w:pBdr>
          <w:bottom w:val="single" w:sz="4" w:space="1" w:color="auto"/>
        </w:pBdr>
        <w:rPr>
          <w:b/>
          <w:sz w:val="20"/>
        </w:rPr>
      </w:pPr>
      <w:r w:rsidRPr="002A4310">
        <w:rPr>
          <w:rFonts w:cs="Arial"/>
          <w:b/>
          <w:sz w:val="20"/>
        </w:rPr>
        <w:t xml:space="preserve">Food Standards (Application </w:t>
      </w:r>
      <w:r>
        <w:rPr>
          <w:b/>
          <w:sz w:val="20"/>
        </w:rPr>
        <w:t>A1239</w:t>
      </w:r>
      <w:r w:rsidRPr="00D5207A">
        <w:rPr>
          <w:b/>
          <w:sz w:val="20"/>
        </w:rPr>
        <w:t xml:space="preserve"> </w:t>
      </w:r>
      <w:r w:rsidRPr="00D5207A">
        <w:rPr>
          <w:b/>
          <w:sz w:val="20"/>
          <w:szCs w:val="20"/>
        </w:rPr>
        <w:t xml:space="preserve">– Food derived from </w:t>
      </w:r>
      <w:r>
        <w:rPr>
          <w:b/>
          <w:sz w:val="20"/>
          <w:szCs w:val="20"/>
        </w:rPr>
        <w:t>EPA and DHA producing and herbicide-tolerant canola</w:t>
      </w:r>
      <w:r w:rsidRPr="00D5207A">
        <w:rPr>
          <w:b/>
          <w:sz w:val="20"/>
          <w:szCs w:val="20"/>
        </w:rPr>
        <w:t xml:space="preserve"> line </w:t>
      </w:r>
      <w:r>
        <w:rPr>
          <w:b/>
          <w:sz w:val="20"/>
          <w:szCs w:val="20"/>
        </w:rPr>
        <w:t>LBFLFK)</w:t>
      </w:r>
      <w:r w:rsidRPr="00D5207A">
        <w:rPr>
          <w:b/>
          <w:sz w:val="20"/>
        </w:rPr>
        <w:t xml:space="preserve"> </w:t>
      </w:r>
      <w:r w:rsidRPr="002A4310">
        <w:rPr>
          <w:b/>
          <w:sz w:val="20"/>
        </w:rPr>
        <w:t>Variation</w:t>
      </w:r>
    </w:p>
    <w:p w14:paraId="23A0BEA0" w14:textId="77777777" w:rsidR="00486E3B" w:rsidRPr="002A4310" w:rsidRDefault="00486E3B" w:rsidP="00486E3B">
      <w:pPr>
        <w:pBdr>
          <w:bottom w:val="single" w:sz="4" w:space="1" w:color="auto"/>
        </w:pBdr>
        <w:rPr>
          <w:b/>
          <w:color w:val="FF0000"/>
          <w:sz w:val="20"/>
        </w:rPr>
      </w:pPr>
    </w:p>
    <w:p w14:paraId="68BDBE8A" w14:textId="77777777" w:rsidR="00486E3B" w:rsidRPr="002A4310" w:rsidRDefault="00486E3B" w:rsidP="00486E3B">
      <w:pPr>
        <w:rPr>
          <w:color w:val="FF0000"/>
          <w:sz w:val="20"/>
        </w:rPr>
      </w:pPr>
    </w:p>
    <w:p w14:paraId="524399BC" w14:textId="77777777" w:rsidR="00486E3B" w:rsidRPr="00462FB4" w:rsidRDefault="00486E3B" w:rsidP="00486E3B">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066DA6D4" w14:textId="77777777" w:rsidR="00486E3B" w:rsidRPr="00462FB4" w:rsidRDefault="00486E3B" w:rsidP="00486E3B">
      <w:pPr>
        <w:rPr>
          <w:sz w:val="20"/>
        </w:rPr>
      </w:pPr>
    </w:p>
    <w:p w14:paraId="37A5CB36" w14:textId="77777777" w:rsidR="00486E3B" w:rsidRPr="002A4310" w:rsidRDefault="00486E3B" w:rsidP="00486E3B">
      <w:pPr>
        <w:rPr>
          <w:color w:val="FF0000"/>
          <w:sz w:val="20"/>
        </w:rPr>
      </w:pPr>
      <w:r w:rsidRPr="00462FB4">
        <w:rPr>
          <w:sz w:val="20"/>
        </w:rPr>
        <w:t xml:space="preserve">Dated </w:t>
      </w:r>
      <w:r w:rsidRPr="002A4310">
        <w:rPr>
          <w:color w:val="FF0000"/>
          <w:sz w:val="20"/>
        </w:rPr>
        <w:t>[To be completed by the delegate]</w:t>
      </w:r>
    </w:p>
    <w:p w14:paraId="6E71B94C" w14:textId="77777777" w:rsidR="00486E3B" w:rsidRPr="002A4310" w:rsidRDefault="00486E3B" w:rsidP="00486E3B">
      <w:pPr>
        <w:rPr>
          <w:color w:val="FF0000"/>
          <w:sz w:val="20"/>
        </w:rPr>
      </w:pPr>
    </w:p>
    <w:p w14:paraId="1BDE7AEB" w14:textId="77777777" w:rsidR="00486E3B" w:rsidRPr="002A4310" w:rsidRDefault="00486E3B" w:rsidP="00486E3B">
      <w:pPr>
        <w:rPr>
          <w:color w:val="FF0000"/>
          <w:sz w:val="20"/>
        </w:rPr>
      </w:pPr>
    </w:p>
    <w:p w14:paraId="411E48D6" w14:textId="77777777" w:rsidR="00486E3B" w:rsidRPr="002A4310" w:rsidRDefault="00486E3B" w:rsidP="00486E3B">
      <w:pPr>
        <w:rPr>
          <w:color w:val="FF0000"/>
          <w:sz w:val="20"/>
        </w:rPr>
      </w:pPr>
    </w:p>
    <w:p w14:paraId="41DD0DD0" w14:textId="77777777" w:rsidR="00486E3B" w:rsidRPr="002A4310" w:rsidRDefault="00486E3B" w:rsidP="00486E3B">
      <w:pPr>
        <w:rPr>
          <w:color w:val="FF0000"/>
          <w:sz w:val="20"/>
        </w:rPr>
      </w:pPr>
    </w:p>
    <w:p w14:paraId="5867B6C2" w14:textId="77777777" w:rsidR="00486E3B" w:rsidRPr="00462FB4" w:rsidRDefault="00486E3B" w:rsidP="00486E3B">
      <w:pPr>
        <w:rPr>
          <w:sz w:val="20"/>
        </w:rPr>
      </w:pPr>
    </w:p>
    <w:p w14:paraId="1DDB1449" w14:textId="77777777" w:rsidR="00486E3B" w:rsidRPr="00462FB4" w:rsidRDefault="00486E3B" w:rsidP="00486E3B">
      <w:pPr>
        <w:rPr>
          <w:sz w:val="20"/>
        </w:rPr>
      </w:pPr>
      <w:r>
        <w:rPr>
          <w:sz w:val="20"/>
        </w:rPr>
        <w:t>Christel Leemhuis</w:t>
      </w:r>
    </w:p>
    <w:p w14:paraId="78A5E5E5" w14:textId="77777777" w:rsidR="00486E3B" w:rsidRPr="00462FB4" w:rsidRDefault="00486E3B" w:rsidP="00486E3B">
      <w:pPr>
        <w:rPr>
          <w:sz w:val="20"/>
        </w:rPr>
      </w:pPr>
      <w:r w:rsidRPr="00462FB4">
        <w:rPr>
          <w:sz w:val="20"/>
        </w:rPr>
        <w:t>Delegate of the Board of Food Standards Australia New Zealand</w:t>
      </w:r>
    </w:p>
    <w:p w14:paraId="0F7176EF" w14:textId="77777777" w:rsidR="00486E3B" w:rsidRPr="002A4310" w:rsidRDefault="00486E3B" w:rsidP="00486E3B">
      <w:pPr>
        <w:rPr>
          <w:color w:val="FF0000"/>
          <w:sz w:val="20"/>
        </w:rPr>
      </w:pPr>
    </w:p>
    <w:p w14:paraId="0EEC624E" w14:textId="77777777" w:rsidR="00486E3B" w:rsidRPr="002A4310" w:rsidRDefault="00486E3B" w:rsidP="00486E3B">
      <w:pPr>
        <w:rPr>
          <w:color w:val="FF0000"/>
          <w:sz w:val="20"/>
        </w:rPr>
      </w:pPr>
    </w:p>
    <w:p w14:paraId="1D83F5A6" w14:textId="77777777" w:rsidR="00486E3B" w:rsidRPr="002A4310" w:rsidRDefault="00486E3B" w:rsidP="00486E3B">
      <w:pPr>
        <w:rPr>
          <w:color w:val="FF0000"/>
          <w:sz w:val="20"/>
        </w:rPr>
      </w:pPr>
    </w:p>
    <w:p w14:paraId="6A739454" w14:textId="77777777" w:rsidR="00486E3B" w:rsidRPr="002A4310" w:rsidRDefault="00486E3B" w:rsidP="00486E3B">
      <w:pPr>
        <w:rPr>
          <w:color w:val="FF0000"/>
          <w:sz w:val="20"/>
        </w:rPr>
      </w:pPr>
    </w:p>
    <w:p w14:paraId="6F0E4F1A" w14:textId="77777777" w:rsidR="00486E3B" w:rsidRPr="002A4310" w:rsidRDefault="00486E3B" w:rsidP="00486E3B">
      <w:pPr>
        <w:rPr>
          <w:color w:val="FF0000"/>
          <w:sz w:val="20"/>
        </w:rPr>
      </w:pPr>
    </w:p>
    <w:p w14:paraId="12FD8A90" w14:textId="77777777" w:rsidR="00486E3B" w:rsidRPr="00C72AEF" w:rsidRDefault="00486E3B" w:rsidP="00486E3B">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23B9825E" w14:textId="77777777" w:rsidR="00486E3B" w:rsidRPr="00C72AEF" w:rsidRDefault="00486E3B" w:rsidP="00486E3B">
      <w:pPr>
        <w:pBdr>
          <w:top w:val="single" w:sz="6" w:space="0" w:color="auto"/>
          <w:left w:val="single" w:sz="6" w:space="0" w:color="auto"/>
          <w:bottom w:val="single" w:sz="6" w:space="0" w:color="auto"/>
          <w:right w:val="single" w:sz="6" w:space="0" w:color="auto"/>
        </w:pBdr>
        <w:rPr>
          <w:sz w:val="20"/>
          <w:lang w:val="en-AU"/>
        </w:rPr>
      </w:pPr>
    </w:p>
    <w:p w14:paraId="1ECB11A3" w14:textId="77777777" w:rsidR="00486E3B" w:rsidRPr="00C72AEF" w:rsidRDefault="00486E3B" w:rsidP="00486E3B">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6F706A9C" w14:textId="77777777" w:rsidR="00486E3B" w:rsidRPr="002A4310" w:rsidRDefault="00486E3B" w:rsidP="00486E3B">
      <w:pPr>
        <w:rPr>
          <w:color w:val="FF0000"/>
        </w:rPr>
      </w:pPr>
    </w:p>
    <w:p w14:paraId="46B6DF0E" w14:textId="77777777" w:rsidR="00486E3B" w:rsidRPr="002A4310" w:rsidRDefault="00486E3B" w:rsidP="00486E3B">
      <w:pPr>
        <w:rPr>
          <w:color w:val="FF0000"/>
        </w:rPr>
      </w:pPr>
      <w:r w:rsidRPr="002A4310">
        <w:rPr>
          <w:color w:val="FF0000"/>
        </w:rPr>
        <w:br w:type="page"/>
      </w:r>
    </w:p>
    <w:p w14:paraId="7097E3A4" w14:textId="77777777" w:rsidR="00486E3B" w:rsidRPr="002A4310" w:rsidRDefault="00486E3B" w:rsidP="00486E3B">
      <w:pPr>
        <w:pStyle w:val="FSCDraftingitemheading"/>
      </w:pPr>
      <w:r w:rsidRPr="002A4310">
        <w:lastRenderedPageBreak/>
        <w:t>1</w:t>
      </w:r>
      <w:r w:rsidRPr="002A4310">
        <w:tab/>
        <w:t>Name</w:t>
      </w:r>
    </w:p>
    <w:p w14:paraId="0E04F654" w14:textId="77777777" w:rsidR="00486E3B" w:rsidRPr="002A4310" w:rsidRDefault="00486E3B" w:rsidP="00486E3B">
      <w:pPr>
        <w:pStyle w:val="FSCDraftingitem"/>
      </w:pPr>
      <w:r w:rsidRPr="002A4310">
        <w:t xml:space="preserve">This instrument is the </w:t>
      </w:r>
      <w:r w:rsidRPr="002A4310">
        <w:rPr>
          <w:i/>
        </w:rPr>
        <w:t>Food Standards (</w:t>
      </w:r>
      <w:r w:rsidRPr="00D5207A">
        <w:rPr>
          <w:i/>
        </w:rPr>
        <w:t xml:space="preserve">Application </w:t>
      </w:r>
      <w:r>
        <w:rPr>
          <w:i/>
        </w:rPr>
        <w:t>A1239</w:t>
      </w:r>
      <w:r w:rsidRPr="00D5207A">
        <w:rPr>
          <w:i/>
        </w:rPr>
        <w:t xml:space="preserve"> – </w:t>
      </w:r>
      <w:r>
        <w:rPr>
          <w:i/>
        </w:rPr>
        <w:t xml:space="preserve">Food derived from EPA and </w:t>
      </w:r>
      <w:r w:rsidRPr="00430C69">
        <w:rPr>
          <w:i/>
        </w:rPr>
        <w:t>DHA</w:t>
      </w:r>
      <w:r>
        <w:rPr>
          <w:i/>
        </w:rPr>
        <w:t xml:space="preserve"> producing</w:t>
      </w:r>
      <w:r w:rsidRPr="00430C69">
        <w:rPr>
          <w:i/>
        </w:rPr>
        <w:t xml:space="preserve"> and herbicide-tolerant canola line LBFLFK</w:t>
      </w:r>
      <w:r w:rsidRPr="00D5207A">
        <w:rPr>
          <w:i/>
        </w:rPr>
        <w:t>) Variation</w:t>
      </w:r>
      <w:r w:rsidRPr="002A4310">
        <w:t>.</w:t>
      </w:r>
    </w:p>
    <w:p w14:paraId="6F6AAFC8" w14:textId="77777777" w:rsidR="00486E3B" w:rsidRPr="002A4310" w:rsidRDefault="00486E3B" w:rsidP="00486E3B">
      <w:pPr>
        <w:pStyle w:val="FSCDraftingitemheading"/>
      </w:pPr>
      <w:r w:rsidRPr="002A4310">
        <w:t>2</w:t>
      </w:r>
      <w:r w:rsidRPr="002A4310">
        <w:tab/>
        <w:t xml:space="preserve">Variation to a Standard in the </w:t>
      </w:r>
      <w:r w:rsidRPr="002A4310">
        <w:rPr>
          <w:i/>
        </w:rPr>
        <w:t>Australia New Zealand Food Standards Code</w:t>
      </w:r>
    </w:p>
    <w:p w14:paraId="6AE67F7E" w14:textId="77777777" w:rsidR="00486E3B" w:rsidRPr="002A4310" w:rsidRDefault="00486E3B" w:rsidP="00486E3B">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27B5FE16" w14:textId="77777777" w:rsidR="00486E3B" w:rsidRPr="002A4310" w:rsidRDefault="00486E3B" w:rsidP="00486E3B">
      <w:pPr>
        <w:pStyle w:val="FSCDraftingitemheading"/>
      </w:pPr>
      <w:r w:rsidRPr="002A4310">
        <w:t>3</w:t>
      </w:r>
      <w:r w:rsidRPr="002A4310">
        <w:tab/>
        <w:t>Commencement</w:t>
      </w:r>
    </w:p>
    <w:p w14:paraId="0BE14878" w14:textId="77777777" w:rsidR="00486E3B" w:rsidRPr="002A4310" w:rsidRDefault="00486E3B" w:rsidP="00486E3B">
      <w:pPr>
        <w:pStyle w:val="FSCDraftingitem"/>
      </w:pPr>
      <w:r w:rsidRPr="002A4310">
        <w:t>The variation commences on the date of gazettal.</w:t>
      </w:r>
    </w:p>
    <w:p w14:paraId="5CA5D917" w14:textId="77777777" w:rsidR="00486E3B" w:rsidRPr="002A4310" w:rsidRDefault="00486E3B" w:rsidP="00486E3B">
      <w:pPr>
        <w:pStyle w:val="FSCDraftingitemheading"/>
        <w:jc w:val="center"/>
      </w:pPr>
      <w:r w:rsidRPr="002A4310">
        <w:t>Schedule</w:t>
      </w:r>
    </w:p>
    <w:p w14:paraId="61863BB8" w14:textId="77777777" w:rsidR="00486E3B" w:rsidRDefault="00486E3B" w:rsidP="00486E3B">
      <w:pPr>
        <w:pStyle w:val="FSCDraftingitemheading"/>
      </w:pPr>
      <w:r>
        <w:rPr>
          <w:lang w:eastAsia="en-AU"/>
        </w:rPr>
        <w:t>Schedule 26—Food produced using gene technology</w:t>
      </w:r>
    </w:p>
    <w:p w14:paraId="75ADDF0D" w14:textId="77777777" w:rsidR="00486E3B" w:rsidRDefault="00486E3B" w:rsidP="00486E3B">
      <w:pPr>
        <w:pStyle w:val="FSCDraftingitemheading"/>
      </w:pPr>
      <w:r>
        <w:t>[1</w:t>
      </w:r>
      <w:r w:rsidRPr="002A4310">
        <w:t>]</w:t>
      </w:r>
      <w:r w:rsidRPr="002A4310">
        <w:tab/>
      </w:r>
      <w:r>
        <w:rPr>
          <w:lang w:eastAsia="en-AU"/>
        </w:rPr>
        <w:t>Subsection S26—3(2)</w:t>
      </w:r>
    </w:p>
    <w:p w14:paraId="2A52F46E" w14:textId="77777777" w:rsidR="00486E3B" w:rsidRDefault="00486E3B" w:rsidP="00486E3B">
      <w:pPr>
        <w:pStyle w:val="FSCDraftingitem"/>
      </w:pPr>
      <w:r>
        <w:tab/>
        <w:t xml:space="preserve">Repeal the subsection </w:t>
      </w:r>
      <w:r w:rsidRPr="00A23210">
        <w:t>(not including the note)</w:t>
      </w:r>
      <w:r>
        <w:t>, substitute</w:t>
      </w:r>
    </w:p>
    <w:p w14:paraId="4B77D96E" w14:textId="77777777" w:rsidR="00486E3B" w:rsidRPr="00051E51" w:rsidRDefault="00486E3B" w:rsidP="00486E3B">
      <w:pPr>
        <w:pStyle w:val="FSCtMain"/>
      </w:pPr>
      <w:r>
        <w:tab/>
        <w:t>(2)</w:t>
      </w:r>
      <w:r>
        <w:tab/>
      </w:r>
      <w:r w:rsidRPr="00051E51">
        <w:rPr>
          <w:szCs w:val="20"/>
        </w:rPr>
        <w:t>Items 1(g), 1(</w:t>
      </w:r>
      <w:proofErr w:type="spellStart"/>
      <w:r w:rsidRPr="00051E51">
        <w:rPr>
          <w:szCs w:val="20"/>
        </w:rPr>
        <w:t>i</w:t>
      </w:r>
      <w:proofErr w:type="spellEnd"/>
      <w:r w:rsidRPr="00051E51">
        <w:rPr>
          <w:szCs w:val="20"/>
        </w:rPr>
        <w:t>), 2(m), 7(e), (g) and (h), and 9(a) of the table to subsection (4) are subject to the condition that their labelling must comply with section 1.5.2—4.</w:t>
      </w:r>
    </w:p>
    <w:p w14:paraId="4FDD3703" w14:textId="77777777" w:rsidR="00486E3B" w:rsidRDefault="00486E3B" w:rsidP="00486E3B">
      <w:pPr>
        <w:pStyle w:val="FSCDraftingitem"/>
        <w:rPr>
          <w:b/>
        </w:rPr>
      </w:pPr>
    </w:p>
    <w:p w14:paraId="74945710" w14:textId="77777777" w:rsidR="00486E3B" w:rsidRDefault="00486E3B" w:rsidP="00486E3B">
      <w:pPr>
        <w:pStyle w:val="FSCDraftingitemheading"/>
      </w:pPr>
      <w:r>
        <w:t>[2</w:t>
      </w:r>
      <w:r w:rsidRPr="002A4310">
        <w:t>]</w:t>
      </w:r>
      <w:r w:rsidRPr="002A4310">
        <w:tab/>
      </w:r>
      <w:r>
        <w:rPr>
          <w:rFonts w:cs="Arial"/>
          <w:bCs/>
          <w:lang w:eastAsia="en-AU"/>
        </w:rPr>
        <w:t>Subsection S26—3(4)</w:t>
      </w:r>
      <w:r>
        <w:t xml:space="preserve"> (table item 1, column headed “</w:t>
      </w:r>
      <w:r w:rsidRPr="00F71270">
        <w:rPr>
          <w:i/>
        </w:rPr>
        <w:t>Food derived from:</w:t>
      </w:r>
      <w:r>
        <w:t>”)</w:t>
      </w:r>
    </w:p>
    <w:p w14:paraId="79DCED01" w14:textId="77777777" w:rsidR="00486E3B" w:rsidRDefault="00486E3B" w:rsidP="00486E3B">
      <w:pPr>
        <w:pStyle w:val="FSCDraftingitem"/>
      </w:pPr>
      <w:r>
        <w:tab/>
        <w:t>Add:</w:t>
      </w:r>
    </w:p>
    <w:tbl>
      <w:tblPr>
        <w:tblStyle w:val="TableGrid"/>
        <w:tblW w:w="9072"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1322"/>
        <w:gridCol w:w="7750"/>
      </w:tblGrid>
      <w:tr w:rsidR="00486E3B" w:rsidRPr="00D9775B" w14:paraId="76009A68" w14:textId="77777777" w:rsidTr="1BA0C876">
        <w:trPr>
          <w:cantSplit/>
        </w:trPr>
        <w:tc>
          <w:tcPr>
            <w:tcW w:w="1190" w:type="dxa"/>
            <w:tcBorders>
              <w:bottom w:val="none" w:sz="4" w:space="0" w:color="auto"/>
            </w:tcBorders>
          </w:tcPr>
          <w:p w14:paraId="2B7D4AA8" w14:textId="77777777" w:rsidR="00486E3B" w:rsidRPr="00D9775B" w:rsidRDefault="00486E3B" w:rsidP="003B1FBA">
            <w:pPr>
              <w:pStyle w:val="FSCtblMain"/>
              <w:rPr>
                <w:b/>
              </w:rPr>
            </w:pPr>
          </w:p>
        </w:tc>
        <w:tc>
          <w:tcPr>
            <w:tcW w:w="6979" w:type="dxa"/>
            <w:tcBorders>
              <w:bottom w:val="none" w:sz="4" w:space="0" w:color="auto"/>
            </w:tcBorders>
          </w:tcPr>
          <w:p w14:paraId="00A5DC49" w14:textId="77777777" w:rsidR="00486E3B" w:rsidRPr="00D9775B" w:rsidRDefault="00486E3B" w:rsidP="003B1FBA">
            <w:pPr>
              <w:pStyle w:val="FSCtblPara"/>
            </w:pPr>
            <w:r>
              <w:t>(</w:t>
            </w:r>
            <w:proofErr w:type="spellStart"/>
            <w:r>
              <w:t>i</w:t>
            </w:r>
            <w:proofErr w:type="spellEnd"/>
            <w:r>
              <w:t xml:space="preserve">) </w:t>
            </w:r>
            <w:r>
              <w:tab/>
              <w:t>EPA and DHA producing and herbicide-tolerant canola line LBFLFK, subject to the condition that oil derived from EPA and DHA producing and herbicide-tolerant canola line LBFLFK must not be used as an ingredient in infant formula products (see subsection (2))</w:t>
            </w:r>
          </w:p>
        </w:tc>
      </w:tr>
    </w:tbl>
    <w:p w14:paraId="10308956" w14:textId="77777777" w:rsidR="00486E3B" w:rsidRPr="00221088" w:rsidRDefault="00486E3B" w:rsidP="00486E3B">
      <w:pPr>
        <w:pStyle w:val="FSCDraftingitem"/>
        <w:rPr>
          <w:b/>
        </w:rPr>
      </w:pPr>
    </w:p>
    <w:p w14:paraId="31116982" w14:textId="77777777" w:rsidR="00486E3B" w:rsidRDefault="00486E3B" w:rsidP="00486E3B">
      <w:pPr>
        <w:rPr>
          <w:lang w:val="en-AU" w:eastAsia="en-GB" w:bidi="ar-SA"/>
        </w:rPr>
      </w:pPr>
      <w:r w:rsidRPr="00932F14">
        <w:br w:type="page"/>
      </w:r>
    </w:p>
    <w:p w14:paraId="67637028" w14:textId="415CD2C7" w:rsidR="00CE0BFA" w:rsidRPr="005722A6" w:rsidRDefault="00CE0BFA" w:rsidP="00486E3B">
      <w:pPr>
        <w:spacing w:after="240"/>
        <w:rPr>
          <w:color w:val="FF0000"/>
        </w:rPr>
      </w:pPr>
    </w:p>
    <w:p w14:paraId="46092558" w14:textId="61C7F140" w:rsidR="00456BD5" w:rsidRPr="00486E3B" w:rsidRDefault="005E06C0" w:rsidP="00C34577">
      <w:pPr>
        <w:spacing w:after="240"/>
        <w:ind w:left="567" w:hanging="567"/>
        <w:rPr>
          <w:b/>
          <w:sz w:val="28"/>
          <w:szCs w:val="28"/>
        </w:rPr>
      </w:pPr>
      <w:r w:rsidRPr="00486E3B">
        <w:rPr>
          <w:b/>
          <w:sz w:val="28"/>
          <w:szCs w:val="28"/>
        </w:rPr>
        <w:t xml:space="preserve">Attachment B – </w:t>
      </w:r>
      <w:r w:rsidR="00456BD5" w:rsidRPr="00486E3B">
        <w:rPr>
          <w:b/>
          <w:sz w:val="28"/>
          <w:szCs w:val="28"/>
        </w:rPr>
        <w:t>Explanatory Statement</w:t>
      </w:r>
    </w:p>
    <w:p w14:paraId="67EA7449"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87C1420" w14:textId="77777777" w:rsidR="00456BD5" w:rsidRDefault="00456BD5" w:rsidP="00456BD5">
      <w:pPr>
        <w:rPr>
          <w:lang w:val="en-AU" w:eastAsia="en-GB" w:bidi="ar-SA"/>
        </w:rPr>
      </w:pPr>
    </w:p>
    <w:p w14:paraId="3B1CCFEA"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B611800" w14:textId="77777777" w:rsidR="00456BD5" w:rsidRPr="00D13E34" w:rsidRDefault="00456BD5" w:rsidP="00456BD5">
      <w:pPr>
        <w:widowControl/>
        <w:autoSpaceDE w:val="0"/>
        <w:autoSpaceDN w:val="0"/>
        <w:adjustRightInd w:val="0"/>
        <w:rPr>
          <w:rFonts w:eastAsia="Calibri" w:cs="Arial"/>
          <w:bCs/>
          <w:szCs w:val="22"/>
          <w:lang w:val="en-AU" w:bidi="ar-SA"/>
        </w:rPr>
      </w:pPr>
    </w:p>
    <w:p w14:paraId="36E2A998" w14:textId="77777777" w:rsidR="00456BD5" w:rsidRPr="00E059AC" w:rsidRDefault="00456BD5" w:rsidP="00456BD5">
      <w:pPr>
        <w:widowControl/>
        <w:autoSpaceDE w:val="0"/>
        <w:autoSpaceDN w:val="0"/>
        <w:adjustRightInd w:val="0"/>
        <w:rPr>
          <w:rFonts w:eastAsia="Calibri" w:cs="Arial"/>
          <w:bCs/>
          <w:szCs w:val="22"/>
          <w:lang w:val="en-AU" w:bidi="ar-SA"/>
        </w:rPr>
      </w:pPr>
      <w:r w:rsidRPr="00E059A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090EDC8" w14:textId="77777777" w:rsidR="00456BD5" w:rsidRPr="000576EB" w:rsidRDefault="00456BD5" w:rsidP="00456BD5">
      <w:pPr>
        <w:widowControl/>
        <w:autoSpaceDE w:val="0"/>
        <w:autoSpaceDN w:val="0"/>
        <w:adjustRightInd w:val="0"/>
        <w:rPr>
          <w:rFonts w:eastAsia="Calibri" w:cs="Arial"/>
          <w:bCs/>
          <w:color w:val="FF0000"/>
          <w:szCs w:val="22"/>
          <w:lang w:val="en-AU" w:bidi="ar-SA"/>
        </w:rPr>
      </w:pPr>
    </w:p>
    <w:p w14:paraId="42FEE906" w14:textId="655D25F3" w:rsidR="00456BD5" w:rsidRDefault="0C81DC34" w:rsidP="4DFADFFF">
      <w:pPr>
        <w:widowControl/>
        <w:autoSpaceDE w:val="0"/>
        <w:autoSpaceDN w:val="0"/>
        <w:adjustRightInd w:val="0"/>
        <w:rPr>
          <w:rFonts w:eastAsia="Calibri" w:cs="Arial"/>
          <w:color w:val="FF0000"/>
          <w:lang w:val="en-AU" w:bidi="ar-SA"/>
        </w:rPr>
      </w:pPr>
      <w:r w:rsidRPr="4DFADFFF">
        <w:rPr>
          <w:rFonts w:eastAsia="Calibri" w:cs="Arial"/>
          <w:color w:val="000000" w:themeColor="text1"/>
          <w:lang w:val="en-AU" w:bidi="ar-SA"/>
        </w:rPr>
        <w:t xml:space="preserve">The Authority accepted Application A1239 which </w:t>
      </w:r>
      <w:r w:rsidR="006C6638">
        <w:rPr>
          <w:rFonts w:eastAsia="Calibri" w:cs="Arial"/>
          <w:color w:val="000000" w:themeColor="text1"/>
          <w:lang w:val="en-AU" w:bidi="ar-SA"/>
        </w:rPr>
        <w:t>sought</w:t>
      </w:r>
      <w:r w:rsidR="006C6638" w:rsidRPr="4DFADFFF">
        <w:rPr>
          <w:rFonts w:eastAsia="Calibri" w:cs="Arial"/>
          <w:color w:val="000000" w:themeColor="text1"/>
          <w:lang w:val="en-AU" w:bidi="ar-SA"/>
        </w:rPr>
        <w:t xml:space="preserve"> </w:t>
      </w:r>
      <w:r w:rsidRPr="4DFADFFF">
        <w:rPr>
          <w:rFonts w:eastAsia="Calibri" w:cs="Arial"/>
          <w:color w:val="000000" w:themeColor="text1"/>
          <w:lang w:val="en-AU" w:bidi="ar-SA"/>
        </w:rPr>
        <w:t>to amend the Code to permit the sale and use of food derived from a new food produced using gene technology (GM food) – canola line LBFLFK. Canola line LBFLFK has been genetically modified to produce the omega-3 long-chain polyunsaturated fatty acids - eicosapentaenoic acid (EPA) and docosahexaenoi</w:t>
      </w:r>
      <w:r w:rsidRPr="4DFADFFF">
        <w:rPr>
          <w:rFonts w:eastAsia="Calibri" w:cs="Arial"/>
          <w:lang w:val="en-AU" w:bidi="ar-SA"/>
        </w:rPr>
        <w:t xml:space="preserve">c acid (DHA) - and for tolerance to imidazolinone herbicides. </w:t>
      </w:r>
      <w:r w:rsidR="29D4A009" w:rsidRPr="4DFADFFF">
        <w:rPr>
          <w:rFonts w:eastAsia="Calibri" w:cs="Arial"/>
          <w:lang w:val="en-AU" w:bidi="ar-SA"/>
        </w:rPr>
        <w:t xml:space="preserve">The Authority considered the Application in accordance with Division 1 of Part 3 and has approved a draft </w:t>
      </w:r>
      <w:r w:rsidR="6150DA66" w:rsidRPr="4DFADFFF">
        <w:rPr>
          <w:rFonts w:eastAsia="Calibri" w:cs="Arial"/>
          <w:lang w:val="en-AU" w:bidi="ar-SA"/>
        </w:rPr>
        <w:t>variation</w:t>
      </w:r>
      <w:r w:rsidR="29D4A009" w:rsidRPr="4DFADFFF">
        <w:rPr>
          <w:rFonts w:eastAsia="Calibri" w:cs="Arial"/>
          <w:lang w:val="en-AU" w:bidi="ar-SA"/>
        </w:rPr>
        <w:t xml:space="preserve">. </w:t>
      </w:r>
    </w:p>
    <w:p w14:paraId="483E5D13" w14:textId="77777777" w:rsidR="00456BD5" w:rsidRDefault="00456BD5" w:rsidP="00456BD5">
      <w:pPr>
        <w:widowControl/>
        <w:autoSpaceDE w:val="0"/>
        <w:autoSpaceDN w:val="0"/>
        <w:adjustRightInd w:val="0"/>
        <w:rPr>
          <w:rFonts w:eastAsia="Calibri" w:cs="Arial"/>
          <w:bCs/>
          <w:color w:val="FF0000"/>
          <w:szCs w:val="22"/>
          <w:lang w:val="en-AU" w:bidi="ar-SA"/>
        </w:rPr>
      </w:pPr>
    </w:p>
    <w:p w14:paraId="792F6D11" w14:textId="79B0E2F5" w:rsidR="008A789E"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00B74582">
        <w:rPr>
          <w:rFonts w:cs="Helvetica"/>
          <w:lang w:val="en-AU"/>
        </w:rPr>
        <w:t xml:space="preserve"> </w:t>
      </w:r>
      <w:r w:rsidR="00B74582" w:rsidRPr="00124E4B">
        <w:rPr>
          <w:rFonts w:eastAsia="Calibri" w:cs="Arial"/>
          <w:bCs/>
          <w:szCs w:val="22"/>
          <w:lang w:val="en-AU" w:bidi="ar-SA"/>
        </w:rPr>
        <w:t>(</w:t>
      </w:r>
      <w:r w:rsidR="00A705FC">
        <w:rPr>
          <w:rFonts w:eastAsia="Calibri" w:cs="Arial"/>
          <w:bCs/>
          <w:szCs w:val="22"/>
          <w:lang w:val="en-AU" w:bidi="ar-SA"/>
        </w:rPr>
        <w:t>FMM</w:t>
      </w:r>
      <w:r w:rsidR="00B74582">
        <w:rPr>
          <w:rFonts w:eastAsia="Calibri" w:cs="Arial"/>
          <w:bCs/>
          <w:szCs w:val="22"/>
          <w:lang w:val="en-AU" w:bidi="ar-SA"/>
        </w:rPr>
        <w:t>)</w:t>
      </w:r>
      <w:r w:rsidR="00B74582">
        <w:rPr>
          <w:rStyle w:val="FootnoteReference"/>
          <w:rFonts w:eastAsia="Calibri" w:cs="Arial"/>
          <w:bCs/>
          <w:szCs w:val="22"/>
          <w:lang w:val="en-AU" w:bidi="ar-SA"/>
        </w:rPr>
        <w:footnoteReference w:id="1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0517B89" w14:textId="4E0950BA" w:rsidR="00456BD5" w:rsidRDefault="00456BD5" w:rsidP="00456BD5">
      <w:pPr>
        <w:rPr>
          <w:lang w:val="en-AU" w:eastAsia="en-GB" w:bidi="ar-SA"/>
        </w:rPr>
      </w:pPr>
    </w:p>
    <w:p w14:paraId="00FD1E8D"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0989AA5E" w14:textId="77777777" w:rsidR="00941150" w:rsidRDefault="00941150" w:rsidP="00456BD5">
      <w:pPr>
        <w:rPr>
          <w:b/>
          <w:lang w:val="en-AU" w:eastAsia="en-GB" w:bidi="ar-SA"/>
        </w:rPr>
      </w:pPr>
    </w:p>
    <w:p w14:paraId="015992E6"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6" w:history="1">
        <w:r w:rsidRPr="00D00473">
          <w:rPr>
            <w:rFonts w:cs="Arial"/>
            <w:color w:val="3333FF"/>
            <w:u w:val="single"/>
          </w:rPr>
          <w:t>www.legislation.gov.au</w:t>
        </w:r>
      </w:hyperlink>
      <w:r w:rsidRPr="00D00473">
        <w:rPr>
          <w:rFonts w:cs="Arial"/>
        </w:rPr>
        <w:t>).</w:t>
      </w:r>
    </w:p>
    <w:p w14:paraId="646529C0" w14:textId="77777777" w:rsidR="00941150" w:rsidRPr="00D00473" w:rsidRDefault="00941150" w:rsidP="00941150">
      <w:pPr>
        <w:rPr>
          <w:rFonts w:cs="Arial"/>
        </w:rPr>
      </w:pPr>
    </w:p>
    <w:p w14:paraId="17FFA90C"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604E31D" w14:textId="77777777" w:rsidR="00941150" w:rsidRPr="00FB45C7" w:rsidRDefault="00941150" w:rsidP="00941150">
      <w:pPr>
        <w:rPr>
          <w:rFonts w:cs="Arial"/>
          <w:color w:val="0000CC"/>
        </w:rPr>
      </w:pPr>
    </w:p>
    <w:p w14:paraId="44899A63" w14:textId="247670D4"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lastRenderedPageBreak/>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DF4B369" w14:textId="77777777" w:rsidR="00941150" w:rsidRDefault="00941150" w:rsidP="00456BD5">
      <w:pPr>
        <w:rPr>
          <w:b/>
          <w:lang w:val="en-AU" w:eastAsia="en-GB" w:bidi="ar-SA"/>
        </w:rPr>
      </w:pPr>
    </w:p>
    <w:p w14:paraId="5F93AF1D" w14:textId="77777777" w:rsidR="00456BD5" w:rsidRDefault="00941150" w:rsidP="00456BD5">
      <w:pPr>
        <w:rPr>
          <w:b/>
          <w:lang w:val="en-AU" w:eastAsia="en-GB" w:bidi="ar-SA"/>
        </w:rPr>
      </w:pPr>
      <w:r>
        <w:rPr>
          <w:b/>
          <w:lang w:val="en-AU" w:eastAsia="en-GB" w:bidi="ar-SA"/>
        </w:rPr>
        <w:t>3.</w:t>
      </w:r>
      <w:r>
        <w:rPr>
          <w:b/>
          <w:lang w:val="en-AU" w:eastAsia="en-GB" w:bidi="ar-SA"/>
        </w:rPr>
        <w:tab/>
      </w:r>
      <w:r w:rsidR="00456BD5">
        <w:rPr>
          <w:b/>
          <w:lang w:val="en-AU" w:eastAsia="en-GB" w:bidi="ar-SA"/>
        </w:rPr>
        <w:t xml:space="preserve">Purpose </w:t>
      </w:r>
    </w:p>
    <w:p w14:paraId="3FB1E1FF" w14:textId="77777777" w:rsidR="00456BD5" w:rsidRDefault="00456BD5" w:rsidP="00456BD5">
      <w:pPr>
        <w:rPr>
          <w:lang w:val="en-AU" w:eastAsia="en-GB" w:bidi="ar-SA"/>
        </w:rPr>
      </w:pPr>
    </w:p>
    <w:p w14:paraId="06C570FB" w14:textId="61D89822" w:rsidR="007E0E05" w:rsidRDefault="7A567D4B" w:rsidP="007E0E05">
      <w:pPr>
        <w:rPr>
          <w:lang w:val="en-AU" w:eastAsia="en-GB" w:bidi="ar-SA"/>
        </w:rPr>
      </w:pPr>
      <w:r w:rsidRPr="4DFADFFF">
        <w:rPr>
          <w:lang w:val="en-AU" w:eastAsia="en-GB" w:bidi="ar-SA"/>
        </w:rPr>
        <w:t>The purpose of the approved draft variation is to amend Schedule 26 of the Code to permit the sale and use of food derived from a new GM food - canola line LBFLFK, in accordance with the Code. Canola line LBFLFK has been genetically modified to produce the omega-3 long-chain polyunsaturated fatty acids - EPA and DHA</w:t>
      </w:r>
      <w:r w:rsidR="00E73FB4">
        <w:rPr>
          <w:lang w:val="en-AU" w:eastAsia="en-GB" w:bidi="ar-SA"/>
        </w:rPr>
        <w:t>;</w:t>
      </w:r>
      <w:r w:rsidRPr="4DFADFFF">
        <w:rPr>
          <w:lang w:val="en-AU" w:eastAsia="en-GB" w:bidi="ar-SA"/>
        </w:rPr>
        <w:t xml:space="preserve"> and for tolerance to imidazolinone herbicides.</w:t>
      </w:r>
    </w:p>
    <w:p w14:paraId="5F8C0681" w14:textId="77777777" w:rsidR="007E0E05" w:rsidRDefault="007E0E05" w:rsidP="007E0E05">
      <w:pPr>
        <w:rPr>
          <w:lang w:val="en-AU" w:eastAsia="en-GB" w:bidi="ar-SA"/>
        </w:rPr>
      </w:pPr>
    </w:p>
    <w:p w14:paraId="19E25AFB" w14:textId="53782870" w:rsidR="007E0E05" w:rsidRDefault="007E0E05" w:rsidP="007E0E05">
      <w:pPr>
        <w:rPr>
          <w:lang w:val="en-AU" w:eastAsia="en-GB" w:bidi="ar-SA"/>
        </w:rPr>
      </w:pPr>
      <w:r>
        <w:rPr>
          <w:lang w:val="en-AU" w:eastAsia="en-GB" w:bidi="ar-SA"/>
        </w:rPr>
        <w:t xml:space="preserve">This permission </w:t>
      </w:r>
      <w:r w:rsidR="00F63E1E">
        <w:rPr>
          <w:lang w:val="en-AU" w:eastAsia="en-GB" w:bidi="ar-SA"/>
        </w:rPr>
        <w:t>is</w:t>
      </w:r>
      <w:r>
        <w:rPr>
          <w:lang w:val="en-AU" w:eastAsia="en-GB" w:bidi="ar-SA"/>
        </w:rPr>
        <w:t xml:space="preserve"> subject to the following conditions:</w:t>
      </w:r>
    </w:p>
    <w:p w14:paraId="1BC91A0A" w14:textId="77777777" w:rsidR="007E0E05" w:rsidRDefault="007E0E05" w:rsidP="007E0E05">
      <w:pPr>
        <w:rPr>
          <w:lang w:val="en-AU" w:eastAsia="en-GB" w:bidi="ar-SA"/>
        </w:rPr>
      </w:pPr>
    </w:p>
    <w:p w14:paraId="0CF8B6B8" w14:textId="77777777" w:rsidR="007E0E05" w:rsidRDefault="007E0E05" w:rsidP="007E0E05">
      <w:pPr>
        <w:pStyle w:val="ListParagraph"/>
        <w:numPr>
          <w:ilvl w:val="0"/>
          <w:numId w:val="11"/>
        </w:numPr>
      </w:pPr>
      <w:r w:rsidRPr="00B45B02">
        <w:rPr>
          <w:lang w:val="en-AU" w:eastAsia="en-GB" w:bidi="ar-SA"/>
        </w:rPr>
        <w:t xml:space="preserve">oil derived from canola line LBFLFK must not be used as an ingredient in </w:t>
      </w:r>
      <w:r w:rsidRPr="00D96A9A">
        <w:t>infant formula products</w:t>
      </w:r>
      <w:r>
        <w:t>; and</w:t>
      </w:r>
    </w:p>
    <w:p w14:paraId="3C867674" w14:textId="4C1E7776" w:rsidR="007E0E05" w:rsidRPr="00B45B02" w:rsidRDefault="007E0E05" w:rsidP="007E0E05">
      <w:pPr>
        <w:pStyle w:val="ListParagraph"/>
        <w:numPr>
          <w:ilvl w:val="0"/>
          <w:numId w:val="11"/>
        </w:numPr>
        <w:rPr>
          <w:lang w:val="en-AU" w:eastAsia="en-GB" w:bidi="ar-SA"/>
        </w:rPr>
      </w:pPr>
      <w:r w:rsidRPr="00B45B02">
        <w:rPr>
          <w:lang w:val="en-AU"/>
        </w:rPr>
        <w:t xml:space="preserve">the labelling for food derived from </w:t>
      </w:r>
      <w:r w:rsidRPr="00B45B02">
        <w:rPr>
          <w:rFonts w:eastAsia="Calibri" w:cs="Arial"/>
          <w:bCs/>
          <w:color w:val="000000" w:themeColor="text1"/>
          <w:szCs w:val="22"/>
          <w:lang w:val="en-AU" w:bidi="ar-SA"/>
        </w:rPr>
        <w:t xml:space="preserve">canola line LBFLFK </w:t>
      </w:r>
      <w:r w:rsidR="009538D0">
        <w:rPr>
          <w:rFonts w:eastAsia="Calibri" w:cs="Arial"/>
          <w:bCs/>
          <w:color w:val="000000" w:themeColor="text1"/>
          <w:szCs w:val="22"/>
          <w:lang w:val="en-AU" w:bidi="ar-SA"/>
        </w:rPr>
        <w:t>must</w:t>
      </w:r>
      <w:r w:rsidRPr="00B45B02">
        <w:rPr>
          <w:rFonts w:eastAsia="Calibri" w:cs="Arial"/>
          <w:bCs/>
          <w:color w:val="000000" w:themeColor="text1"/>
          <w:szCs w:val="22"/>
          <w:lang w:val="en-AU" w:bidi="ar-SA"/>
        </w:rPr>
        <w:t xml:space="preserve"> </w:t>
      </w:r>
      <w:r w:rsidRPr="00B45B02">
        <w:rPr>
          <w:szCs w:val="20"/>
        </w:rPr>
        <w:t>comply with section 1.5.2—4</w:t>
      </w:r>
      <w:r>
        <w:t>.</w:t>
      </w:r>
    </w:p>
    <w:p w14:paraId="46D2677B" w14:textId="77777777" w:rsidR="00456BD5" w:rsidRDefault="00456BD5" w:rsidP="00456BD5">
      <w:pPr>
        <w:rPr>
          <w:lang w:val="en-AU" w:eastAsia="en-GB" w:bidi="ar-SA"/>
        </w:rPr>
      </w:pPr>
    </w:p>
    <w:p w14:paraId="10D8C3EF"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086409A0" w14:textId="05415828" w:rsidR="00456BD5" w:rsidRPr="005609D0" w:rsidRDefault="005609D0" w:rsidP="005609D0">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The </w:t>
      </w:r>
      <w:r>
        <w:rPr>
          <w:rFonts w:eastAsia="Calibri" w:cs="Arial"/>
          <w:bCs/>
          <w:szCs w:val="22"/>
          <w:lang w:val="en-AU" w:bidi="ar-SA"/>
        </w:rPr>
        <w:t xml:space="preserve">approved draft </w:t>
      </w:r>
      <w:r w:rsidRPr="00C72AEF">
        <w:rPr>
          <w:rFonts w:eastAsia="Calibri" w:cs="Arial"/>
          <w:bCs/>
          <w:szCs w:val="22"/>
          <w:lang w:val="en-AU" w:bidi="ar-SA"/>
        </w:rPr>
        <w:t>variation do</w:t>
      </w:r>
      <w:r>
        <w:rPr>
          <w:rFonts w:eastAsia="Calibri" w:cs="Arial"/>
          <w:bCs/>
          <w:szCs w:val="22"/>
          <w:lang w:val="en-AU" w:bidi="ar-SA"/>
        </w:rPr>
        <w:t>es</w:t>
      </w:r>
      <w:r w:rsidRPr="00C72AEF">
        <w:rPr>
          <w:rFonts w:eastAsia="Calibri" w:cs="Arial"/>
          <w:bCs/>
          <w:szCs w:val="22"/>
          <w:lang w:val="en-AU" w:bidi="ar-SA"/>
        </w:rPr>
        <w:t xml:space="preserve"> not incorporate any documents by reference.</w:t>
      </w:r>
    </w:p>
    <w:p w14:paraId="00D206FC"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62DDF24C" w14:textId="1A14A77A" w:rsidR="00D277E3" w:rsidRDefault="00D277E3" w:rsidP="00D277E3">
      <w:pPr>
        <w:spacing w:before="240" w:after="240"/>
        <w:rPr>
          <w:szCs w:val="22"/>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 xml:space="preserve">pplication </w:t>
      </w:r>
      <w:r>
        <w:rPr>
          <w:rFonts w:eastAsia="Calibri" w:cs="Arial"/>
          <w:bCs/>
          <w:szCs w:val="22"/>
          <w:lang w:val="en-AU" w:bidi="ar-SA"/>
        </w:rPr>
        <w:t>A1239</w:t>
      </w:r>
      <w:r w:rsidRPr="00C72AEF">
        <w:rPr>
          <w:rFonts w:eastAsia="Calibri" w:cs="Arial"/>
          <w:szCs w:val="22"/>
          <w:lang w:val="en-AU" w:bidi="ar-SA"/>
        </w:rPr>
        <w:t xml:space="preserve"> </w:t>
      </w:r>
      <w:r>
        <w:rPr>
          <w:szCs w:val="22"/>
        </w:rPr>
        <w:t>included</w:t>
      </w:r>
      <w:r w:rsidRPr="00C72AEF">
        <w:rPr>
          <w:szCs w:val="22"/>
        </w:rPr>
        <w:t xml:space="preserve"> one round of public consultation following an assessment and the preparation of a draft </w:t>
      </w:r>
      <w:r w:rsidRPr="000E7C1F">
        <w:rPr>
          <w:szCs w:val="22"/>
        </w:rPr>
        <w:t xml:space="preserve">variation and associated assessment summary. The consultation period, including a call for submissions on the assessment and the </w:t>
      </w:r>
      <w:r>
        <w:rPr>
          <w:szCs w:val="22"/>
        </w:rPr>
        <w:t xml:space="preserve">draft variation, </w:t>
      </w:r>
      <w:r w:rsidR="003C2633">
        <w:rPr>
          <w:szCs w:val="22"/>
        </w:rPr>
        <w:t>was</w:t>
      </w:r>
      <w:r>
        <w:rPr>
          <w:szCs w:val="22"/>
        </w:rPr>
        <w:t xml:space="preserve"> for </w:t>
      </w:r>
      <w:r w:rsidRPr="0038578E">
        <w:rPr>
          <w:szCs w:val="22"/>
        </w:rPr>
        <w:t>six-week</w:t>
      </w:r>
      <w:r>
        <w:rPr>
          <w:szCs w:val="22"/>
        </w:rPr>
        <w:t>s</w:t>
      </w:r>
      <w:r w:rsidRPr="0038578E">
        <w:rPr>
          <w:szCs w:val="22"/>
        </w:rPr>
        <w:t>.</w:t>
      </w:r>
    </w:p>
    <w:p w14:paraId="77A5408C" w14:textId="77777777" w:rsidR="00D277E3" w:rsidRDefault="00D277E3" w:rsidP="00D277E3">
      <w:r>
        <w:t xml:space="preserve">The Office of Best Practice Regulation (OBPR) granted FSANZ a standing exemption from the requirement to develop a Regulatory Impact Statement for </w:t>
      </w:r>
      <w:r w:rsidRPr="00F25A92">
        <w:t>applications relating to permitting GM foods</w:t>
      </w:r>
      <w:r w:rsidRPr="00F25A92" w:rsidDel="00F25A92">
        <w:t xml:space="preserve"> </w:t>
      </w:r>
      <w:r>
        <w:t xml:space="preserve">(OBPR correspondence dated 24 November 2010, reference 12065). This standing exemption was provided as permitting a new GM food is deregulatory as using the food will be voluntary if the application concerned is approved. This standing exemption relates to the introduction of a food to the food supply that has been determined to be safe. </w:t>
      </w:r>
    </w:p>
    <w:p w14:paraId="17C11A63" w14:textId="0F2435E0" w:rsidR="00456BD5" w:rsidRDefault="00456BD5" w:rsidP="00456BD5">
      <w:pPr>
        <w:rPr>
          <w:color w:val="FF0000"/>
          <w:lang w:val="en-AU" w:eastAsia="en-GB" w:bidi="ar-SA"/>
        </w:rPr>
      </w:pPr>
    </w:p>
    <w:p w14:paraId="661E0854"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2932597B" w14:textId="77777777" w:rsidR="00456BD5" w:rsidRDefault="00456BD5" w:rsidP="00456BD5">
      <w:pPr>
        <w:rPr>
          <w:rFonts w:eastAsiaTheme="minorHAnsi"/>
          <w:lang w:val="en-AU" w:bidi="ar-SA"/>
        </w:rPr>
      </w:pPr>
    </w:p>
    <w:p w14:paraId="0B9F8ACB"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029C4FB0" w14:textId="77777777" w:rsidR="00456BD5" w:rsidRDefault="00456BD5" w:rsidP="00456BD5">
      <w:pPr>
        <w:rPr>
          <w:rFonts w:eastAsiaTheme="minorHAnsi"/>
          <w:lang w:val="en-AU" w:bidi="ar-SA"/>
        </w:rPr>
      </w:pPr>
    </w:p>
    <w:p w14:paraId="41A9C06B"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2847AC88" w14:textId="77777777" w:rsidR="00456BD5" w:rsidRPr="00432A42" w:rsidRDefault="00456BD5" w:rsidP="00456BD5">
      <w:pPr>
        <w:rPr>
          <w:b/>
        </w:rPr>
      </w:pPr>
    </w:p>
    <w:p w14:paraId="061F5DB9" w14:textId="28E17C91" w:rsidR="00BF2CD0" w:rsidRDefault="00BF2CD0" w:rsidP="00BF2CD0">
      <w:r w:rsidRPr="00030702">
        <w:rPr>
          <w:b/>
        </w:rPr>
        <w:t>Item [1]</w:t>
      </w:r>
      <w:r w:rsidRPr="00F71270">
        <w:t xml:space="preserve"> </w:t>
      </w:r>
      <w:r>
        <w:t xml:space="preserve">of the Schedule to the draft variation </w:t>
      </w:r>
      <w:r w:rsidRPr="00F71270">
        <w:t>amend</w:t>
      </w:r>
      <w:r w:rsidR="0052097C">
        <w:t>s</w:t>
      </w:r>
      <w:r w:rsidRPr="00F71270">
        <w:t xml:space="preserve"> Schedule 26 by </w:t>
      </w:r>
      <w:r>
        <w:t>repealing s</w:t>
      </w:r>
      <w:r w:rsidRPr="00C8456B">
        <w:t>ubsection S26—3(2)</w:t>
      </w:r>
      <w:r>
        <w:t xml:space="preserve"> (not including the Note to the subsection), and substituting with a new s</w:t>
      </w:r>
      <w:r w:rsidRPr="00C8456B">
        <w:t>ubsection S26—3(2)</w:t>
      </w:r>
      <w:r>
        <w:t>.</w:t>
      </w:r>
    </w:p>
    <w:p w14:paraId="7C5B475D" w14:textId="77777777" w:rsidR="00BF2CD0" w:rsidRDefault="00BF2CD0" w:rsidP="00BF2CD0"/>
    <w:p w14:paraId="54CDADB9" w14:textId="77777777" w:rsidR="00BF2CD0" w:rsidRDefault="00BF2CD0" w:rsidP="00BF2CD0">
      <w:r>
        <w:lastRenderedPageBreak/>
        <w:t>S</w:t>
      </w:r>
      <w:r w:rsidRPr="00C8456B">
        <w:t>ubsection S26—3(2)</w:t>
      </w:r>
      <w:r>
        <w:t xml:space="preserve"> currently lists certain items and their corresponding paragraphs from </w:t>
      </w:r>
      <w:r w:rsidRPr="00051E51">
        <w:rPr>
          <w:szCs w:val="20"/>
        </w:rPr>
        <w:t xml:space="preserve">the table to subsection </w:t>
      </w:r>
      <w:r w:rsidRPr="00C8456B">
        <w:t>S26—3</w:t>
      </w:r>
      <w:r w:rsidRPr="00051E51">
        <w:rPr>
          <w:szCs w:val="20"/>
        </w:rPr>
        <w:t>(4)</w:t>
      </w:r>
      <w:r>
        <w:rPr>
          <w:szCs w:val="20"/>
        </w:rPr>
        <w:t xml:space="preserve">. </w:t>
      </w:r>
      <w:r>
        <w:t xml:space="preserve">The table </w:t>
      </w:r>
      <w:r w:rsidRPr="001C0CE8">
        <w:t>to subsection S26—3(4) lists permitted GM food of plant origin</w:t>
      </w:r>
      <w:r>
        <w:t xml:space="preserve"> in relation to particular commodities. The items and their corresponding paragraphs listed in s</w:t>
      </w:r>
      <w:r w:rsidRPr="00C8456B">
        <w:t>ubsection S26—3(2</w:t>
      </w:r>
      <w:r>
        <w:t xml:space="preserve">) relate to those </w:t>
      </w:r>
      <w:r w:rsidRPr="001C0CE8">
        <w:t>permitted GM food of plant origin</w:t>
      </w:r>
      <w:r>
        <w:t xml:space="preserve"> whose labelling </w:t>
      </w:r>
      <w:r w:rsidRPr="00051E51">
        <w:rPr>
          <w:szCs w:val="20"/>
        </w:rPr>
        <w:t>must comply with section 1.5.2—4.</w:t>
      </w:r>
    </w:p>
    <w:p w14:paraId="718E849F" w14:textId="77777777" w:rsidR="00BF2CD0" w:rsidRDefault="00BF2CD0" w:rsidP="00BF2CD0"/>
    <w:p w14:paraId="0382AF9E" w14:textId="707DCA9B" w:rsidR="00BF2CD0" w:rsidRDefault="00B276CF" w:rsidP="00BF2CD0">
      <w:pPr>
        <w:spacing w:after="240"/>
      </w:pPr>
      <w:r>
        <w:t>The</w:t>
      </w:r>
      <w:r w:rsidR="00BF2CD0">
        <w:t xml:space="preserve"> new s</w:t>
      </w:r>
      <w:r w:rsidR="00BF2CD0" w:rsidRPr="00C8456B">
        <w:t>ubsection S26—3(2</w:t>
      </w:r>
      <w:r w:rsidR="00BF2CD0">
        <w:t>) include</w:t>
      </w:r>
      <w:r w:rsidR="002B2518">
        <w:t>s</w:t>
      </w:r>
      <w:r w:rsidR="00BF2CD0">
        <w:t xml:space="preserve"> a refere</w:t>
      </w:r>
      <w:r w:rsidR="00DC6AFB">
        <w:t>nce to</w:t>
      </w:r>
      <w:r w:rsidR="00BF2CD0" w:rsidRPr="00F71270">
        <w:t xml:space="preserve"> new item 1(</w:t>
      </w:r>
      <w:proofErr w:type="spellStart"/>
      <w:r w:rsidR="00BF2CD0" w:rsidRPr="00F71270">
        <w:t>i</w:t>
      </w:r>
      <w:proofErr w:type="spellEnd"/>
      <w:r w:rsidR="00BF2CD0" w:rsidRPr="00F71270">
        <w:t xml:space="preserve">) </w:t>
      </w:r>
      <w:r w:rsidR="00BF2CD0">
        <w:t xml:space="preserve">in that list (see </w:t>
      </w:r>
      <w:r w:rsidR="00BF2CD0" w:rsidRPr="00146C00">
        <w:rPr>
          <w:b/>
        </w:rPr>
        <w:t>item [2]</w:t>
      </w:r>
      <w:r w:rsidR="00BF2CD0">
        <w:t xml:space="preserve"> below regarding new paragraph </w:t>
      </w:r>
      <w:r w:rsidR="00BF2CD0" w:rsidRPr="00D96A9A">
        <w:t>(</w:t>
      </w:r>
      <w:proofErr w:type="spellStart"/>
      <w:r w:rsidR="00BF2CD0" w:rsidRPr="00D96A9A">
        <w:t>i</w:t>
      </w:r>
      <w:proofErr w:type="spellEnd"/>
      <w:r w:rsidR="00BF2CD0" w:rsidRPr="00D96A9A">
        <w:t>)</w:t>
      </w:r>
      <w:r w:rsidR="00BF2CD0">
        <w:t xml:space="preserve"> of item 1 in the table </w:t>
      </w:r>
      <w:r w:rsidR="00BF2CD0" w:rsidRPr="00051E51">
        <w:rPr>
          <w:szCs w:val="20"/>
        </w:rPr>
        <w:t xml:space="preserve">to subsection </w:t>
      </w:r>
      <w:r w:rsidR="00BF2CD0" w:rsidRPr="00C8456B">
        <w:t>S26—3</w:t>
      </w:r>
      <w:r w:rsidR="00BF2CD0" w:rsidRPr="00051E51">
        <w:rPr>
          <w:szCs w:val="20"/>
        </w:rPr>
        <w:t>(4)</w:t>
      </w:r>
      <w:r w:rsidR="00BF2CD0">
        <w:t>).</w:t>
      </w:r>
    </w:p>
    <w:p w14:paraId="4797EA95" w14:textId="12F3381A" w:rsidR="00BF2CD0" w:rsidRDefault="00BF2CD0" w:rsidP="00BF2CD0">
      <w:pPr>
        <w:rPr>
          <w:szCs w:val="20"/>
        </w:rPr>
      </w:pPr>
      <w:r w:rsidRPr="00030702">
        <w:rPr>
          <w:b/>
        </w:rPr>
        <w:t>Item [2]</w:t>
      </w:r>
      <w:r>
        <w:t xml:space="preserve"> of the Schedule to the draft variation </w:t>
      </w:r>
      <w:r w:rsidRPr="00D96A9A">
        <w:t>amend</w:t>
      </w:r>
      <w:r w:rsidR="008D1057">
        <w:t>s</w:t>
      </w:r>
      <w:r w:rsidRPr="00D96A9A">
        <w:t xml:space="preserve"> Schedule 26 by </w:t>
      </w:r>
      <w:r>
        <w:t>adding new paragraph (</w:t>
      </w:r>
      <w:proofErr w:type="spellStart"/>
      <w:r>
        <w:t>i</w:t>
      </w:r>
      <w:proofErr w:type="spellEnd"/>
      <w:r>
        <w:t>) into the column headed ‘</w:t>
      </w:r>
      <w:r w:rsidRPr="00146C00">
        <w:rPr>
          <w:i/>
        </w:rPr>
        <w:t>Food derived from:</w:t>
      </w:r>
      <w:r>
        <w:t xml:space="preserve">’ for item 1 of the </w:t>
      </w:r>
      <w:r w:rsidRPr="00051E51">
        <w:rPr>
          <w:szCs w:val="20"/>
        </w:rPr>
        <w:t xml:space="preserve">table to subsection </w:t>
      </w:r>
      <w:r w:rsidRPr="00C8456B">
        <w:t>S26—3</w:t>
      </w:r>
      <w:r w:rsidRPr="00051E51">
        <w:rPr>
          <w:szCs w:val="20"/>
        </w:rPr>
        <w:t>(4)</w:t>
      </w:r>
      <w:r>
        <w:rPr>
          <w:szCs w:val="20"/>
        </w:rPr>
        <w:t>.</w:t>
      </w:r>
    </w:p>
    <w:p w14:paraId="2A0F3A16" w14:textId="77777777" w:rsidR="00BF2CD0" w:rsidRDefault="00BF2CD0" w:rsidP="00BF2CD0"/>
    <w:p w14:paraId="25341D4F" w14:textId="77777777" w:rsidR="00BF2CD0" w:rsidRDefault="00BF2CD0" w:rsidP="00BF2CD0">
      <w:r>
        <w:t xml:space="preserve">As stated above, the table to subsection S26—3(4) </w:t>
      </w:r>
      <w:r w:rsidRPr="00D371C7">
        <w:t>list</w:t>
      </w:r>
      <w:r>
        <w:t>s</w:t>
      </w:r>
      <w:r w:rsidRPr="00D371C7">
        <w:t xml:space="preserve"> permitted </w:t>
      </w:r>
      <w:r>
        <w:t xml:space="preserve">GM </w:t>
      </w:r>
      <w:r w:rsidRPr="00D371C7">
        <w:t>food</w:t>
      </w:r>
      <w:r>
        <w:t xml:space="preserve"> of plant origin and item 1 of the table relates to the commodity ‘Canola’.</w:t>
      </w:r>
    </w:p>
    <w:p w14:paraId="5B5525D5" w14:textId="77777777" w:rsidR="00BF2CD0" w:rsidRPr="00F71270" w:rsidRDefault="00BF2CD0" w:rsidP="00BF2CD0"/>
    <w:p w14:paraId="6C9936D1" w14:textId="3EEB2B27" w:rsidR="00BF2CD0" w:rsidRPr="008E3379" w:rsidRDefault="008D1057" w:rsidP="00BF2CD0">
      <w:r>
        <w:t>The</w:t>
      </w:r>
      <w:r w:rsidR="00BF2CD0" w:rsidRPr="008E3379">
        <w:t xml:space="preserve"> new paragraph (</w:t>
      </w:r>
      <w:proofErr w:type="spellStart"/>
      <w:r w:rsidR="00BF2CD0" w:rsidRPr="008E3379">
        <w:t>i</w:t>
      </w:r>
      <w:proofErr w:type="spellEnd"/>
      <w:r w:rsidR="00BF2CD0" w:rsidRPr="008E3379">
        <w:t>) consist</w:t>
      </w:r>
      <w:r w:rsidR="00240EBA">
        <w:t>s</w:t>
      </w:r>
      <w:r w:rsidR="00BF2CD0" w:rsidRPr="008E3379">
        <w:t xml:space="preserve"> of the following:</w:t>
      </w:r>
    </w:p>
    <w:p w14:paraId="4CD8D2FB" w14:textId="77777777" w:rsidR="00BF2CD0" w:rsidRDefault="00BF2CD0" w:rsidP="00BF2CD0">
      <w:pPr>
        <w:rPr>
          <w:color w:val="FF0000"/>
        </w:rPr>
      </w:pPr>
    </w:p>
    <w:p w14:paraId="3522C61E" w14:textId="77777777" w:rsidR="00BF2CD0" w:rsidRPr="00F71270" w:rsidRDefault="00BF2CD0" w:rsidP="00BF2CD0">
      <w:pPr>
        <w:ind w:left="567"/>
        <w:rPr>
          <w:color w:val="FF0000"/>
        </w:rPr>
      </w:pPr>
      <w:r>
        <w:t>‘</w:t>
      </w:r>
      <w:r w:rsidRPr="00F71270">
        <w:t>(</w:t>
      </w:r>
      <w:proofErr w:type="spellStart"/>
      <w:r w:rsidRPr="00F71270">
        <w:t>i</w:t>
      </w:r>
      <w:proofErr w:type="spellEnd"/>
      <w:r w:rsidRPr="00F71270">
        <w:t xml:space="preserve">) </w:t>
      </w:r>
      <w:r w:rsidRPr="00F71270">
        <w:tab/>
        <w:t>EPA</w:t>
      </w:r>
      <w:r>
        <w:t xml:space="preserve"> and </w:t>
      </w:r>
      <w:r w:rsidRPr="00F71270">
        <w:t xml:space="preserve">DHA </w:t>
      </w:r>
      <w:r>
        <w:t xml:space="preserve">producing </w:t>
      </w:r>
      <w:r w:rsidRPr="00F71270">
        <w:t>and herbicide-tolerant canola line LBFLFK, subject to the condition that oil derived from EPA</w:t>
      </w:r>
      <w:r>
        <w:t xml:space="preserve"> and </w:t>
      </w:r>
      <w:r w:rsidRPr="00F71270">
        <w:t>DHA</w:t>
      </w:r>
      <w:r>
        <w:t xml:space="preserve"> producing</w:t>
      </w:r>
      <w:r w:rsidRPr="00F71270">
        <w:t xml:space="preserve"> and herbicide-tolerant canola line LBFLFK must not be used as an ingredient in infant formula products (see subsection (2))</w:t>
      </w:r>
      <w:r>
        <w:t xml:space="preserve">’.  </w:t>
      </w:r>
    </w:p>
    <w:p w14:paraId="12174C0F" w14:textId="77777777" w:rsidR="00BF2CD0" w:rsidRDefault="00BF2CD0" w:rsidP="00BF2CD0">
      <w:pPr>
        <w:spacing w:before="240" w:after="240"/>
      </w:pPr>
      <w:r>
        <w:t xml:space="preserve">Canola line </w:t>
      </w:r>
      <w:r w:rsidRPr="002073E6">
        <w:t>LBFLFK</w:t>
      </w:r>
      <w:r>
        <w:t xml:space="preserve"> </w:t>
      </w:r>
      <w:r w:rsidRPr="00E70DD7">
        <w:t>has been genetically modified to produce the omega-3 long-chain polyunsaturated fatty acids</w:t>
      </w:r>
      <w:r>
        <w:t xml:space="preserve"> -</w:t>
      </w:r>
      <w:r w:rsidRPr="00E70DD7">
        <w:t xml:space="preserve"> EPA and DHA</w:t>
      </w:r>
      <w:r>
        <w:t>;</w:t>
      </w:r>
      <w:r w:rsidRPr="00E70DD7">
        <w:t xml:space="preserve"> and for tolerance to imidazolinone herbicides.</w:t>
      </w:r>
    </w:p>
    <w:p w14:paraId="22CDA927" w14:textId="38DF5317" w:rsidR="00BF2CD0" w:rsidRDefault="00BF2CD0" w:rsidP="00BF2CD0">
      <w:pPr>
        <w:spacing w:before="240" w:after="240"/>
      </w:pPr>
      <w:r>
        <w:t xml:space="preserve">The permission for the sale and use of </w:t>
      </w:r>
      <w:r w:rsidRPr="00E70DD7">
        <w:rPr>
          <w:lang w:val="en-AU"/>
        </w:rPr>
        <w:t>food derived from</w:t>
      </w:r>
      <w:r>
        <w:rPr>
          <w:lang w:val="en-AU"/>
        </w:rPr>
        <w:t xml:space="preserve"> </w:t>
      </w:r>
      <w:r w:rsidRPr="00077DD6">
        <w:rPr>
          <w:rFonts w:eastAsia="Calibri" w:cs="Arial"/>
          <w:bCs/>
          <w:color w:val="000000" w:themeColor="text1"/>
          <w:szCs w:val="22"/>
          <w:lang w:val="en-AU" w:bidi="ar-SA"/>
        </w:rPr>
        <w:t xml:space="preserve">canola line </w:t>
      </w:r>
      <w:r>
        <w:rPr>
          <w:rFonts w:eastAsia="Calibri" w:cs="Arial"/>
          <w:bCs/>
          <w:color w:val="000000" w:themeColor="text1"/>
          <w:szCs w:val="22"/>
          <w:lang w:val="en-AU" w:bidi="ar-SA"/>
        </w:rPr>
        <w:t>LBFLFK</w:t>
      </w:r>
      <w:r>
        <w:t xml:space="preserve"> </w:t>
      </w:r>
      <w:r w:rsidR="00160883">
        <w:t xml:space="preserve">is </w:t>
      </w:r>
      <w:r>
        <w:t>subject to the following conditions:</w:t>
      </w:r>
    </w:p>
    <w:p w14:paraId="46DEFE81" w14:textId="77777777" w:rsidR="00BF2CD0" w:rsidRDefault="00BF2CD0" w:rsidP="00BF2CD0">
      <w:pPr>
        <w:pStyle w:val="ListParagraph"/>
        <w:numPr>
          <w:ilvl w:val="0"/>
          <w:numId w:val="11"/>
        </w:numPr>
        <w:spacing w:before="240" w:after="240"/>
      </w:pPr>
      <w:r w:rsidRPr="000525AE">
        <w:rPr>
          <w:lang w:val="en-AU"/>
        </w:rPr>
        <w:t xml:space="preserve">oil derived from this canola line </w:t>
      </w:r>
      <w:r w:rsidRPr="00D96A9A">
        <w:t>must not be used as an ingredient in infant formula products</w:t>
      </w:r>
      <w:r>
        <w:t>; and</w:t>
      </w:r>
    </w:p>
    <w:p w14:paraId="73D683AF" w14:textId="4781ACF0" w:rsidR="00BF2CD0" w:rsidRDefault="00BF2CD0" w:rsidP="00BF2CD0">
      <w:pPr>
        <w:pStyle w:val="ListParagraph"/>
        <w:numPr>
          <w:ilvl w:val="0"/>
          <w:numId w:val="11"/>
        </w:numPr>
        <w:spacing w:before="240" w:after="240"/>
      </w:pPr>
      <w:r w:rsidRPr="000525AE">
        <w:rPr>
          <w:lang w:val="en-AU"/>
        </w:rPr>
        <w:t xml:space="preserve">the labelling for food derived from </w:t>
      </w:r>
      <w:r w:rsidRPr="000525AE">
        <w:rPr>
          <w:rFonts w:eastAsia="Calibri" w:cs="Arial"/>
          <w:bCs/>
          <w:color w:val="000000" w:themeColor="text1"/>
          <w:szCs w:val="22"/>
          <w:lang w:val="en-AU" w:bidi="ar-SA"/>
        </w:rPr>
        <w:t xml:space="preserve">canola line LBFLFK </w:t>
      </w:r>
      <w:r w:rsidR="00065939">
        <w:rPr>
          <w:rFonts w:eastAsia="Calibri" w:cs="Arial"/>
          <w:bCs/>
          <w:color w:val="000000" w:themeColor="text1"/>
          <w:szCs w:val="22"/>
          <w:lang w:val="en-AU" w:bidi="ar-SA"/>
        </w:rPr>
        <w:t xml:space="preserve">must </w:t>
      </w:r>
      <w:r w:rsidRPr="000525AE">
        <w:rPr>
          <w:szCs w:val="20"/>
        </w:rPr>
        <w:t xml:space="preserve">comply with section 1.5.2—4 (see </w:t>
      </w:r>
      <w:r w:rsidRPr="000525AE">
        <w:rPr>
          <w:b/>
          <w:szCs w:val="20"/>
        </w:rPr>
        <w:t xml:space="preserve">item [1] </w:t>
      </w:r>
      <w:r w:rsidRPr="000525AE">
        <w:rPr>
          <w:szCs w:val="20"/>
        </w:rPr>
        <w:t>above).</w:t>
      </w:r>
      <w:r w:rsidRPr="000525AE">
        <w:rPr>
          <w:rFonts w:eastAsia="Calibri" w:cs="Arial"/>
          <w:bCs/>
          <w:color w:val="000000" w:themeColor="text1"/>
          <w:szCs w:val="22"/>
          <w:lang w:val="en-AU" w:bidi="ar-SA"/>
        </w:rPr>
        <w:t xml:space="preserve"> </w:t>
      </w:r>
    </w:p>
    <w:p w14:paraId="16A11465" w14:textId="20C34BFB" w:rsidR="0012388D" w:rsidRPr="004A6237" w:rsidRDefault="004A6237" w:rsidP="004A6237">
      <w:pPr>
        <w:spacing w:before="240" w:after="240"/>
        <w:rPr>
          <w:lang w:val="en-AU"/>
        </w:rPr>
      </w:pPr>
      <w:r>
        <w:rPr>
          <w:lang w:val="en-AU"/>
        </w:rPr>
        <w:t>T</w:t>
      </w:r>
      <w:r w:rsidRPr="00C72AEF">
        <w:rPr>
          <w:lang w:val="en-AU"/>
        </w:rPr>
        <w:t>he effect of the</w:t>
      </w:r>
      <w:r>
        <w:rPr>
          <w:lang w:val="en-AU"/>
        </w:rPr>
        <w:t xml:space="preserve"> </w:t>
      </w:r>
      <w:r w:rsidRPr="00C72AEF">
        <w:rPr>
          <w:lang w:val="en-AU"/>
        </w:rPr>
        <w:t xml:space="preserve">variation </w:t>
      </w:r>
      <w:r>
        <w:rPr>
          <w:lang w:val="en-AU"/>
        </w:rPr>
        <w:t xml:space="preserve">is to </w:t>
      </w:r>
      <w:r w:rsidR="00BF2CD0">
        <w:rPr>
          <w:lang w:val="en-AU"/>
        </w:rPr>
        <w:t xml:space="preserve">permit </w:t>
      </w:r>
      <w:r w:rsidR="00BF2CD0" w:rsidRPr="00E70DD7">
        <w:rPr>
          <w:lang w:val="en-AU"/>
        </w:rPr>
        <w:t>the sale and use of food derived from</w:t>
      </w:r>
      <w:r w:rsidR="00BF2CD0">
        <w:rPr>
          <w:lang w:val="en-AU"/>
        </w:rPr>
        <w:t xml:space="preserve"> </w:t>
      </w:r>
      <w:r w:rsidR="00BF2CD0" w:rsidRPr="00077DD6">
        <w:rPr>
          <w:rFonts w:eastAsia="Calibri" w:cs="Arial"/>
          <w:bCs/>
          <w:color w:val="000000" w:themeColor="text1"/>
          <w:szCs w:val="22"/>
          <w:lang w:val="en-AU" w:bidi="ar-SA"/>
        </w:rPr>
        <w:t xml:space="preserve">canola line </w:t>
      </w:r>
      <w:r w:rsidR="00BF2CD0">
        <w:rPr>
          <w:rFonts w:eastAsia="Calibri" w:cs="Arial"/>
          <w:bCs/>
          <w:color w:val="000000" w:themeColor="text1"/>
          <w:szCs w:val="22"/>
          <w:lang w:val="en-AU" w:bidi="ar-SA"/>
        </w:rPr>
        <w:t>LBFLFK in accordance with the Code.</w:t>
      </w:r>
      <w:bookmarkEnd w:id="119"/>
      <w:bookmarkEnd w:id="120"/>
    </w:p>
    <w:sectPr w:rsidR="0012388D" w:rsidRPr="004A6237"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8157" w14:textId="77777777" w:rsidR="00A570C1" w:rsidRDefault="00A570C1">
      <w:r>
        <w:separator/>
      </w:r>
    </w:p>
    <w:p w14:paraId="1B2C931E" w14:textId="77777777" w:rsidR="00A570C1" w:rsidRDefault="00A570C1"/>
  </w:endnote>
  <w:endnote w:type="continuationSeparator" w:id="0">
    <w:p w14:paraId="68B19087" w14:textId="77777777" w:rsidR="00A570C1" w:rsidRDefault="00A570C1">
      <w:r>
        <w:continuationSeparator/>
      </w:r>
    </w:p>
    <w:p w14:paraId="7F028326" w14:textId="77777777" w:rsidR="00A570C1" w:rsidRDefault="00A570C1"/>
  </w:endnote>
  <w:endnote w:type="continuationNotice" w:id="1">
    <w:p w14:paraId="08EDB84D" w14:textId="77777777" w:rsidR="00A570C1" w:rsidRDefault="00A57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2889" w14:textId="77777777" w:rsidR="00973581" w:rsidRPr="00973581" w:rsidRDefault="00973581" w:rsidP="00973581">
    <w:pPr>
      <w:framePr w:wrap="around" w:vAnchor="text" w:hAnchor="margin" w:xAlign="center" w:y="1"/>
      <w:spacing w:before="240" w:after="240"/>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38C4B146" w14:textId="07C4D90E" w:rsidR="00BF782F" w:rsidRDefault="00973581" w:rsidP="00973581">
    <w:pPr>
      <w:pStyle w:val="Footer"/>
      <w:framePr w:wrap="around" w:vAnchor="text" w:hAnchor="margin" w:xAlign="center" w:y="1"/>
      <w:jc w:val="center"/>
      <w:rPr>
        <w:rStyle w:val="PageNumber"/>
      </w:rPr>
    </w:pPr>
    <w:r w:rsidRPr="00973581">
      <w:rPr>
        <w:rFonts w:ascii="Calibri" w:hAnsi="Calibri" w:cs="Calibri"/>
        <w:b/>
        <w:color w:val="F00000"/>
        <w:sz w:val="24"/>
      </w:rPr>
      <w:t>OFFICIAL</w:t>
    </w:r>
    <w:r>
      <w:t xml:space="preserve"> </w:t>
    </w:r>
    <w:r>
      <w:fldChar w:fldCharType="end"/>
    </w:r>
    <w:r w:rsidR="00BF782F">
      <w:rPr>
        <w:rStyle w:val="PageNumber"/>
      </w:rPr>
      <w:fldChar w:fldCharType="begin"/>
    </w:r>
    <w:r w:rsidR="00BF782F">
      <w:rPr>
        <w:rStyle w:val="PageNumber"/>
      </w:rPr>
      <w:instrText xml:space="preserve">PAGE  </w:instrText>
    </w:r>
    <w:r w:rsidR="00BF782F">
      <w:rPr>
        <w:rStyle w:val="PageNumber"/>
      </w:rPr>
      <w:fldChar w:fldCharType="end"/>
    </w:r>
  </w:p>
  <w:p w14:paraId="6CD1A816" w14:textId="77777777" w:rsidR="00BF782F" w:rsidRDefault="00BF782F" w:rsidP="0097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9F81" w14:textId="77777777" w:rsidR="00973581" w:rsidRPr="00973581" w:rsidRDefault="00973581" w:rsidP="00973581">
    <w:pPr>
      <w:spacing w:before="240" w:after="240"/>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D04FDEF" w14:textId="58EA7722" w:rsidR="00973581" w:rsidRDefault="00973581" w:rsidP="00973581">
    <w:pPr>
      <w:pStyle w:val="Footer"/>
      <w:jc w:val="center"/>
    </w:pPr>
    <w:r>
      <w:fldChar w:fldCharType="end"/>
    </w:r>
  </w:p>
  <w:sdt>
    <w:sdtPr>
      <w:id w:val="-640497913"/>
      <w:docPartObj>
        <w:docPartGallery w:val="Page Numbers (Bottom of Page)"/>
        <w:docPartUnique/>
      </w:docPartObj>
    </w:sdtPr>
    <w:sdtEndPr>
      <w:rPr>
        <w:noProof/>
      </w:rPr>
    </w:sdtEndPr>
    <w:sdtContent>
      <w:p w14:paraId="34047FBE" w14:textId="07798C38" w:rsidR="00BF782F" w:rsidRDefault="00BF782F" w:rsidP="00A671E6">
        <w:pPr>
          <w:pStyle w:val="Footer"/>
          <w:jc w:val="center"/>
        </w:pPr>
        <w:r>
          <w:fldChar w:fldCharType="begin"/>
        </w:r>
        <w:r>
          <w:instrText xml:space="preserve"> PAGE   \* MERGEFORMAT </w:instrText>
        </w:r>
        <w:r>
          <w:fldChar w:fldCharType="separate"/>
        </w:r>
        <w:r w:rsidR="009538D0">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CC9B" w14:textId="77777777" w:rsidR="00973581" w:rsidRPr="00973581" w:rsidRDefault="00973581" w:rsidP="00973581">
    <w:pPr>
      <w:spacing w:before="240" w:after="240"/>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0C36940" w14:textId="22DA2C41" w:rsidR="00BF782F" w:rsidRPr="00973581" w:rsidRDefault="00973581" w:rsidP="00973581">
    <w:pPr>
      <w:pStyle w:val="Footer"/>
      <w:jc w:val="center"/>
    </w:pPr>
    <w:r w:rsidRPr="00973581">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7747" w14:textId="77777777" w:rsidR="00A570C1" w:rsidRDefault="00A570C1">
      <w:r>
        <w:separator/>
      </w:r>
    </w:p>
  </w:footnote>
  <w:footnote w:type="continuationSeparator" w:id="0">
    <w:p w14:paraId="005EC41D" w14:textId="77777777" w:rsidR="00A570C1" w:rsidRDefault="00A570C1">
      <w:r>
        <w:continuationSeparator/>
      </w:r>
    </w:p>
  </w:footnote>
  <w:footnote w:type="continuationNotice" w:id="1">
    <w:p w14:paraId="76619668" w14:textId="77777777" w:rsidR="00A570C1" w:rsidRDefault="00A570C1"/>
  </w:footnote>
  <w:footnote w:id="2">
    <w:p w14:paraId="4E21C524" w14:textId="77777777" w:rsidR="00BF782F" w:rsidRPr="00C4253D" w:rsidRDefault="00BF782F">
      <w:pPr>
        <w:pStyle w:val="FootnoteText"/>
        <w:rPr>
          <w:lang w:val="en-AU"/>
        </w:rPr>
      </w:pPr>
      <w:r>
        <w:rPr>
          <w:rStyle w:val="FootnoteReference"/>
        </w:rPr>
        <w:footnoteRef/>
      </w:r>
      <w:r>
        <w:t xml:space="preserve"> </w:t>
      </w:r>
      <w:r>
        <w:rPr>
          <w:lang w:val="en-AU"/>
        </w:rPr>
        <w:t>Formerly referred to as the Australia and New Zealand Ministerial Forum on Food Regulation</w:t>
      </w:r>
    </w:p>
  </w:footnote>
  <w:footnote w:id="3">
    <w:p w14:paraId="70C04440" w14:textId="77777777" w:rsidR="00BF782F" w:rsidRPr="00425AAD" w:rsidRDefault="00BF782F" w:rsidP="004849B6">
      <w:pPr>
        <w:pStyle w:val="FootnoteText"/>
      </w:pPr>
      <w:r>
        <w:rPr>
          <w:rStyle w:val="FootnoteReference"/>
        </w:rPr>
        <w:footnoteRef/>
      </w:r>
      <w:r>
        <w:t xml:space="preserve"> </w:t>
      </w:r>
      <w:hyperlink r:id="rId1" w:history="1">
        <w:r w:rsidRPr="007C1425">
          <w:rPr>
            <w:rStyle w:val="Hyperlink"/>
          </w:rPr>
          <w:t>https://www.foodstandards.gov.au/code/applications/Pages/A1239---Food-derived-from-EPA-and-DHA-producing-and-herbicide-tolerant-canola-line-LBFLFK-.aspx</w:t>
        </w:r>
      </w:hyperlink>
    </w:p>
  </w:footnote>
  <w:footnote w:id="4">
    <w:p w14:paraId="262D6918" w14:textId="77777777" w:rsidR="00BF782F" w:rsidRPr="00041B82" w:rsidRDefault="00BF782F" w:rsidP="00921E8B">
      <w:pPr>
        <w:pStyle w:val="FootnoteText"/>
        <w:rPr>
          <w:lang w:val="en-AU"/>
        </w:rPr>
      </w:pPr>
      <w:r>
        <w:rPr>
          <w:rStyle w:val="FootnoteReference"/>
        </w:rPr>
        <w:footnoteRef/>
      </w:r>
      <w:r>
        <w:t xml:space="preserve"> </w:t>
      </w:r>
      <w:r w:rsidRPr="000263A6">
        <w:rPr>
          <w:sz w:val="18"/>
          <w:szCs w:val="18"/>
        </w:rPr>
        <w:t xml:space="preserve">Protein isolate </w:t>
      </w:r>
      <w:r w:rsidRPr="000263A6">
        <w:rPr>
          <w:rFonts w:cs="Arial"/>
          <w:color w:val="000000" w:themeColor="text1"/>
          <w:sz w:val="18"/>
          <w:szCs w:val="18"/>
        </w:rPr>
        <w:t>from canola meal was recently approved as a new food ingredient in Australia and New Zealand under Application A1175</w:t>
      </w:r>
      <w:r>
        <w:rPr>
          <w:rFonts w:cs="Arial"/>
          <w:color w:val="000000" w:themeColor="text1"/>
          <w:sz w:val="18"/>
          <w:szCs w:val="18"/>
        </w:rPr>
        <w:t>.</w:t>
      </w:r>
    </w:p>
  </w:footnote>
  <w:footnote w:id="5">
    <w:p w14:paraId="372588A6" w14:textId="77777777" w:rsidR="00BF782F" w:rsidRPr="005C5485" w:rsidRDefault="00BF782F" w:rsidP="00921E8B">
      <w:pPr>
        <w:pStyle w:val="FootnoteText"/>
        <w:rPr>
          <w:lang w:val="en-AU"/>
        </w:rPr>
      </w:pPr>
      <w:r>
        <w:rPr>
          <w:rStyle w:val="FootnoteReference"/>
        </w:rPr>
        <w:footnoteRef/>
      </w:r>
      <w:r>
        <w:t xml:space="preserve"> </w:t>
      </w:r>
      <w:r w:rsidRPr="005C5485">
        <w:rPr>
          <w:rFonts w:cs="Arial"/>
          <w:color w:val="222222"/>
          <w:sz w:val="18"/>
          <w:shd w:val="clear" w:color="auto" w:fill="FFFFFF"/>
        </w:rPr>
        <w:t>The Office of the Gene Technology Regulator (OGTR) provides administrative support to the Gene Technology Regulator in the performance of functions under the </w:t>
      </w:r>
      <w:r w:rsidRPr="005C5485">
        <w:rPr>
          <w:rStyle w:val="Emphasis"/>
          <w:rFonts w:cs="Arial"/>
          <w:color w:val="222222"/>
          <w:sz w:val="18"/>
          <w:shd w:val="clear" w:color="auto" w:fill="FFFFFF"/>
        </w:rPr>
        <w:t>Gene Technology Act 2000.</w:t>
      </w:r>
    </w:p>
  </w:footnote>
  <w:footnote w:id="6">
    <w:p w14:paraId="35F8145C" w14:textId="77777777" w:rsidR="00BF782F" w:rsidRPr="00755E53" w:rsidRDefault="00BF782F" w:rsidP="00921E8B">
      <w:pPr>
        <w:pStyle w:val="FootnoteText"/>
        <w:rPr>
          <w:lang w:val="en-AU"/>
        </w:rPr>
      </w:pPr>
      <w:r>
        <w:rPr>
          <w:rStyle w:val="FootnoteReference"/>
        </w:rPr>
        <w:footnoteRef/>
      </w:r>
      <w:r>
        <w:t xml:space="preserve"> </w:t>
      </w:r>
      <w:r w:rsidRPr="00755E53">
        <w:rPr>
          <w:sz w:val="18"/>
          <w:lang w:val="en-AU"/>
        </w:rPr>
        <w:t xml:space="preserve">The EPA implements and enforces the </w:t>
      </w:r>
      <w:r w:rsidRPr="00755E53">
        <w:rPr>
          <w:i/>
          <w:sz w:val="18"/>
          <w:lang w:val="en-AU"/>
        </w:rPr>
        <w:t>Hazardous Substances and New Organisms</w:t>
      </w:r>
      <w:r>
        <w:rPr>
          <w:sz w:val="18"/>
          <w:lang w:val="en-AU"/>
        </w:rPr>
        <w:t xml:space="preserve"> (HSNO) </w:t>
      </w:r>
      <w:r w:rsidRPr="00755E53">
        <w:rPr>
          <w:i/>
          <w:sz w:val="18"/>
          <w:lang w:val="en-AU"/>
        </w:rPr>
        <w:t>Act 1996.</w:t>
      </w:r>
    </w:p>
  </w:footnote>
  <w:footnote w:id="7">
    <w:p w14:paraId="1407BB18" w14:textId="77777777" w:rsidR="00BF782F" w:rsidRDefault="00BF782F" w:rsidP="00921E8B">
      <w:pPr>
        <w:pStyle w:val="FootnoteText"/>
        <w:rPr>
          <w:sz w:val="18"/>
          <w:szCs w:val="18"/>
        </w:rPr>
      </w:pPr>
      <w:r>
        <w:rPr>
          <w:rStyle w:val="FootnoteReference"/>
        </w:rPr>
        <w:footnoteRef/>
      </w:r>
      <w:r>
        <w:t xml:space="preserve"> </w:t>
      </w:r>
      <w:r w:rsidRPr="00E57724">
        <w:rPr>
          <w:sz w:val="18"/>
          <w:szCs w:val="18"/>
        </w:rPr>
        <w:t>S</w:t>
      </w:r>
      <w:r>
        <w:rPr>
          <w:sz w:val="18"/>
          <w:szCs w:val="18"/>
        </w:rPr>
        <w:t>ubs</w:t>
      </w:r>
      <w:r w:rsidRPr="00E57724">
        <w:rPr>
          <w:sz w:val="18"/>
          <w:szCs w:val="18"/>
        </w:rPr>
        <w:t xml:space="preserve">ection 1.5.2—4(5) defines </w:t>
      </w:r>
      <w:r w:rsidRPr="00E57724">
        <w:rPr>
          <w:b/>
          <w:i/>
          <w:sz w:val="18"/>
          <w:szCs w:val="18"/>
        </w:rPr>
        <w:t>genetically modified food</w:t>
      </w:r>
      <w:r w:rsidRPr="00E57724">
        <w:rPr>
          <w:sz w:val="18"/>
          <w:szCs w:val="18"/>
        </w:rPr>
        <w:t xml:space="preserve"> to mean a *food produced using gene technology that</w:t>
      </w:r>
      <w:r>
        <w:rPr>
          <w:sz w:val="18"/>
          <w:szCs w:val="18"/>
        </w:rPr>
        <w:t xml:space="preserve"> </w:t>
      </w:r>
    </w:p>
    <w:p w14:paraId="07A1507A" w14:textId="77777777" w:rsidR="00BF782F" w:rsidRDefault="00BF782F" w:rsidP="00921E8B">
      <w:pPr>
        <w:pStyle w:val="FootnoteText"/>
        <w:numPr>
          <w:ilvl w:val="0"/>
          <w:numId w:val="7"/>
        </w:numPr>
        <w:rPr>
          <w:sz w:val="18"/>
          <w:szCs w:val="18"/>
        </w:rPr>
      </w:pPr>
      <w:r w:rsidRPr="00E57724">
        <w:rPr>
          <w:sz w:val="18"/>
          <w:szCs w:val="18"/>
        </w:rPr>
        <w:t>contains novel DNA or novel protein; or</w:t>
      </w:r>
    </w:p>
    <w:p w14:paraId="568B6A14" w14:textId="202321D1" w:rsidR="00BF782F" w:rsidRPr="0040270B" w:rsidRDefault="00BF782F" w:rsidP="00921E8B">
      <w:pPr>
        <w:pStyle w:val="FootnoteText"/>
        <w:numPr>
          <w:ilvl w:val="0"/>
          <w:numId w:val="7"/>
        </w:numPr>
        <w:rPr>
          <w:iCs/>
          <w:sz w:val="18"/>
          <w:szCs w:val="18"/>
        </w:rPr>
      </w:pPr>
      <w:r w:rsidRPr="00E57724">
        <w:rPr>
          <w:iCs/>
          <w:sz w:val="18"/>
          <w:szCs w:val="18"/>
        </w:rPr>
        <w:t>is listed in Section S26—3 as subject to the condition that its labelling must comply with this section (</w:t>
      </w:r>
      <w:r w:rsidRPr="00E57724">
        <w:rPr>
          <w:i/>
          <w:iCs/>
          <w:sz w:val="18"/>
          <w:szCs w:val="18"/>
        </w:rPr>
        <w:t>that being section 1.5.2—4</w:t>
      </w:r>
      <w:r w:rsidRPr="00E57724">
        <w:rPr>
          <w:iCs/>
          <w:sz w:val="18"/>
          <w:szCs w:val="18"/>
        </w:rPr>
        <w:t>).</w:t>
      </w:r>
    </w:p>
  </w:footnote>
  <w:footnote w:id="8">
    <w:p w14:paraId="299C01B3" w14:textId="77777777" w:rsidR="00BF782F" w:rsidRPr="004F7F04" w:rsidRDefault="00BF782F">
      <w:pPr>
        <w:pStyle w:val="FootnoteText"/>
      </w:pPr>
      <w:r>
        <w:rPr>
          <w:rStyle w:val="FootnoteReference"/>
        </w:rPr>
        <w:footnoteRef/>
      </w:r>
      <w:r>
        <w:t xml:space="preserve"> </w:t>
      </w:r>
      <w:hyperlink r:id="rId2" w:history="1">
        <w:r w:rsidRPr="007C1425">
          <w:rPr>
            <w:rStyle w:val="Hyperlink"/>
          </w:rPr>
          <w:t>https://www.foodstandards.gov.au/science/international/Pages/GM--food-safety-assessment-sharing.aspx</w:t>
        </w:r>
      </w:hyperlink>
    </w:p>
  </w:footnote>
  <w:footnote w:id="9">
    <w:p w14:paraId="5F8A2706" w14:textId="77777777" w:rsidR="00BF782F" w:rsidRPr="000E7C1F" w:rsidRDefault="00BF782F" w:rsidP="00046883">
      <w:pPr>
        <w:pStyle w:val="FootnoteText"/>
        <w:rPr>
          <w:lang w:val="en-AU"/>
        </w:rPr>
      </w:pPr>
      <w:r>
        <w:rPr>
          <w:rStyle w:val="FootnoteReference"/>
        </w:rPr>
        <w:footnoteRef/>
      </w:r>
      <w:r>
        <w:t xml:space="preserve"> </w:t>
      </w:r>
      <w:r w:rsidRPr="00436F87">
        <w:t>DPA is the metabolic intermediate between EPA and DHA.</w:t>
      </w:r>
    </w:p>
  </w:footnote>
  <w:footnote w:id="10">
    <w:p w14:paraId="51928B5A" w14:textId="77777777" w:rsidR="00BF782F" w:rsidRDefault="00BF782F" w:rsidP="00AB1786">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11">
    <w:p w14:paraId="7DF8E75D" w14:textId="77777777" w:rsidR="00BF782F" w:rsidRPr="005D0D5A" w:rsidRDefault="00BF782F" w:rsidP="00AB1786">
      <w:pPr>
        <w:pStyle w:val="FootnoteText"/>
        <w:rPr>
          <w:lang w:val="en-AU"/>
        </w:rPr>
      </w:pPr>
      <w:r>
        <w:rPr>
          <w:rStyle w:val="FootnoteReference"/>
        </w:rPr>
        <w:footnoteRef/>
      </w:r>
      <w:r>
        <w:t xml:space="preserve"> </w:t>
      </w:r>
      <w:r w:rsidRPr="005D0D5A">
        <w:rPr>
          <w:sz w:val="18"/>
          <w:szCs w:val="18"/>
          <w:lang w:val="en-AU"/>
        </w:rPr>
        <w:t>polymerase chain reaction</w:t>
      </w:r>
    </w:p>
  </w:footnote>
  <w:footnote w:id="12">
    <w:p w14:paraId="3521F526" w14:textId="53A01E74" w:rsidR="00BF782F" w:rsidRPr="00CF5871" w:rsidRDefault="00BF782F" w:rsidP="00AD08A3">
      <w:pPr>
        <w:pStyle w:val="FootnoteText"/>
      </w:pPr>
      <w:r>
        <w:rPr>
          <w:rStyle w:val="FootnoteReference"/>
        </w:rPr>
        <w:footnoteRef/>
      </w:r>
      <w:r>
        <w:t xml:space="preserve"> </w:t>
      </w:r>
      <w:hyperlink r:id="rId3" w:history="1">
        <w:r w:rsidRPr="007C1425">
          <w:rPr>
            <w:rStyle w:val="Hyperlink"/>
          </w:rPr>
          <w:t>https://www.foodstandards.gov.au/code/applications/Pages/A1239---Food-derived-from-EPA-and-DHA-producing-and-herbicide-tolerant-canola-line-LBFLFK-.aspx</w:t>
        </w:r>
      </w:hyperlink>
    </w:p>
  </w:footnote>
  <w:footnote w:id="13">
    <w:p w14:paraId="6E2BDF4F" w14:textId="77777777" w:rsidR="00BF782F" w:rsidRPr="00032F13" w:rsidRDefault="00BF782F" w:rsidP="00AD669F">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 w:id="14">
    <w:p w14:paraId="4A4658A5" w14:textId="63208F7E" w:rsidR="00BF782F" w:rsidRPr="007A1E0C" w:rsidRDefault="00BF782F" w:rsidP="00B74582">
      <w:pPr>
        <w:pStyle w:val="FootnoteText"/>
        <w:rPr>
          <w:lang w:val="en-AU"/>
        </w:rPr>
      </w:pPr>
      <w:r>
        <w:rPr>
          <w:rStyle w:val="FootnoteReference"/>
        </w:rPr>
        <w:footnoteRef/>
      </w:r>
      <w:r>
        <w:t xml:space="preserve"> This was </w:t>
      </w:r>
      <w:r w:rsidRPr="00124E4B">
        <w:rPr>
          <w:rFonts w:eastAsia="Calibri" w:cs="Arial"/>
          <w:bCs/>
          <w:szCs w:val="22"/>
          <w:lang w:val="en-AU" w:bidi="ar-SA"/>
        </w:rPr>
        <w:t>formerly the Australia and New Zealand Minist</w:t>
      </w:r>
      <w:r>
        <w:rPr>
          <w:rFonts w:eastAsia="Calibri" w:cs="Arial"/>
          <w:bCs/>
          <w:szCs w:val="22"/>
          <w:lang w:val="en-AU" w:bidi="ar-SA"/>
        </w:rPr>
        <w:t>erial Forum on Food Regulation.</w:t>
      </w:r>
      <w:r w:rsidRPr="005C41EB">
        <w:t xml:space="preserve"> 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1A4" w14:textId="77777777" w:rsidR="00973581" w:rsidRPr="00973581" w:rsidRDefault="00973581" w:rsidP="00973581">
    <w:pPr>
      <w:spacing w:before="240" w:after="240"/>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973581">
      <w:rPr>
        <w:rFonts w:ascii="Calibri" w:hAnsi="Calibri" w:cs="Calibri"/>
        <w:b/>
        <w:color w:val="F00000"/>
        <w:sz w:val="24"/>
      </w:rPr>
      <w:t>OFFICIAL</w:t>
    </w:r>
  </w:p>
  <w:p w14:paraId="64A81179" w14:textId="02359253" w:rsidR="00BF782F" w:rsidRPr="00973581" w:rsidRDefault="00973581" w:rsidP="00973581">
    <w:pPr>
      <w:pStyle w:val="Header"/>
      <w:jc w:val="center"/>
    </w:pPr>
    <w:r w:rsidRPr="00973581">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2E99" w14:textId="446B1A53" w:rsidR="00BF782F" w:rsidRPr="00973581" w:rsidRDefault="00973581" w:rsidP="008E63DC">
    <w:pPr>
      <w:spacing w:before="240" w:after="240"/>
    </w:pPr>
    <w:fldSimple w:instr=" DOCPROPERTY bjHeaderBothDocProperty \* MERGEFORMAT " w:fldLock="1">
      <w:r w:rsidRPr="00973581">
        <w:rPr>
          <w:rFonts w:ascii="Calibri" w:hAnsi="Calibri" w:cs="Calibri"/>
          <w:b/>
          <w:color w:val="F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D8B4" w14:textId="77777777" w:rsidR="00973581" w:rsidRPr="00973581" w:rsidRDefault="00973581" w:rsidP="00973581">
    <w:pPr>
      <w:spacing w:before="240" w:after="240"/>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973581">
      <w:rPr>
        <w:rFonts w:ascii="Calibri" w:hAnsi="Calibri" w:cs="Calibri"/>
        <w:b/>
        <w:color w:val="F00000"/>
        <w:sz w:val="24"/>
      </w:rPr>
      <w:t>OFFICIAL</w:t>
    </w:r>
  </w:p>
  <w:p w14:paraId="5863B3F0" w14:textId="4958350D" w:rsidR="00973581" w:rsidRDefault="00973581" w:rsidP="00973581">
    <w:pPr>
      <w:pStyle w:val="Header"/>
      <w:jc w:val="center"/>
      <w:rPr>
        <w:b/>
        <w:bCs/>
      </w:rPr>
    </w:pPr>
    <w:r w:rsidRPr="00973581">
      <w:rPr>
        <w:rFonts w:ascii="Calibri" w:hAnsi="Calibri" w:cs="Calibri"/>
        <w:b/>
        <w:color w:val="F00000"/>
        <w:sz w:val="24"/>
      </w:rPr>
      <w:t xml:space="preserve"> </w:t>
    </w:r>
    <w:r>
      <w:fldChar w:fldCharType="end"/>
    </w:r>
  </w:p>
  <w:p w14:paraId="0D10D3AB" w14:textId="2EB45D15" w:rsidR="00BF782F" w:rsidRDefault="00BF782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1E1185A"/>
    <w:multiLevelType w:val="multilevel"/>
    <w:tmpl w:val="BC04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DB697B"/>
    <w:multiLevelType w:val="hybridMultilevel"/>
    <w:tmpl w:val="CF10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6871B8E0"/>
    <w:multiLevelType w:val="hybridMultilevel"/>
    <w:tmpl w:val="C38ED8F4"/>
    <w:lvl w:ilvl="0" w:tplc="BB6257C0">
      <w:start w:val="1"/>
      <w:numFmt w:val="bullet"/>
      <w:lvlText w:val=""/>
      <w:lvlJc w:val="left"/>
      <w:pPr>
        <w:ind w:left="720" w:hanging="360"/>
      </w:pPr>
      <w:rPr>
        <w:rFonts w:ascii="Symbol" w:hAnsi="Symbol" w:hint="default"/>
      </w:rPr>
    </w:lvl>
    <w:lvl w:ilvl="1" w:tplc="D13EB6CC">
      <w:start w:val="1"/>
      <w:numFmt w:val="bullet"/>
      <w:lvlText w:val="o"/>
      <w:lvlJc w:val="left"/>
      <w:pPr>
        <w:ind w:left="1440" w:hanging="360"/>
      </w:pPr>
      <w:rPr>
        <w:rFonts w:ascii="Courier New" w:hAnsi="Courier New" w:hint="default"/>
      </w:rPr>
    </w:lvl>
    <w:lvl w:ilvl="2" w:tplc="3324457A">
      <w:start w:val="1"/>
      <w:numFmt w:val="bullet"/>
      <w:lvlText w:val=""/>
      <w:lvlJc w:val="left"/>
      <w:pPr>
        <w:ind w:left="2160" w:hanging="360"/>
      </w:pPr>
      <w:rPr>
        <w:rFonts w:ascii="Wingdings" w:hAnsi="Wingdings" w:hint="default"/>
      </w:rPr>
    </w:lvl>
    <w:lvl w:ilvl="3" w:tplc="CE2AAFEE">
      <w:start w:val="1"/>
      <w:numFmt w:val="bullet"/>
      <w:lvlText w:val=""/>
      <w:lvlJc w:val="left"/>
      <w:pPr>
        <w:ind w:left="2880" w:hanging="360"/>
      </w:pPr>
      <w:rPr>
        <w:rFonts w:ascii="Symbol" w:hAnsi="Symbol" w:hint="default"/>
      </w:rPr>
    </w:lvl>
    <w:lvl w:ilvl="4" w:tplc="AF2A80C4">
      <w:start w:val="1"/>
      <w:numFmt w:val="bullet"/>
      <w:lvlText w:val="o"/>
      <w:lvlJc w:val="left"/>
      <w:pPr>
        <w:ind w:left="3600" w:hanging="360"/>
      </w:pPr>
      <w:rPr>
        <w:rFonts w:ascii="Courier New" w:hAnsi="Courier New" w:hint="default"/>
      </w:rPr>
    </w:lvl>
    <w:lvl w:ilvl="5" w:tplc="5CB8629E">
      <w:start w:val="1"/>
      <w:numFmt w:val="bullet"/>
      <w:lvlText w:val=""/>
      <w:lvlJc w:val="left"/>
      <w:pPr>
        <w:ind w:left="4320" w:hanging="360"/>
      </w:pPr>
      <w:rPr>
        <w:rFonts w:ascii="Wingdings" w:hAnsi="Wingdings" w:hint="default"/>
      </w:rPr>
    </w:lvl>
    <w:lvl w:ilvl="6" w:tplc="9B349EB2">
      <w:start w:val="1"/>
      <w:numFmt w:val="bullet"/>
      <w:lvlText w:val=""/>
      <w:lvlJc w:val="left"/>
      <w:pPr>
        <w:ind w:left="5040" w:hanging="360"/>
      </w:pPr>
      <w:rPr>
        <w:rFonts w:ascii="Symbol" w:hAnsi="Symbol" w:hint="default"/>
      </w:rPr>
    </w:lvl>
    <w:lvl w:ilvl="7" w:tplc="BA8ADFD6">
      <w:start w:val="1"/>
      <w:numFmt w:val="bullet"/>
      <w:lvlText w:val="o"/>
      <w:lvlJc w:val="left"/>
      <w:pPr>
        <w:ind w:left="5760" w:hanging="360"/>
      </w:pPr>
      <w:rPr>
        <w:rFonts w:ascii="Courier New" w:hAnsi="Courier New" w:hint="default"/>
      </w:rPr>
    </w:lvl>
    <w:lvl w:ilvl="8" w:tplc="A6521CA0">
      <w:start w:val="1"/>
      <w:numFmt w:val="bullet"/>
      <w:lvlText w:val=""/>
      <w:lvlJc w:val="left"/>
      <w:pPr>
        <w:ind w:left="6480" w:hanging="360"/>
      </w:pPr>
      <w:rPr>
        <w:rFonts w:ascii="Wingdings" w:hAnsi="Wingdings" w:hint="default"/>
      </w:rPr>
    </w:lvl>
  </w:abstractNum>
  <w:abstractNum w:abstractNumId="13" w15:restartNumberingAfterBreak="0">
    <w:nsid w:val="6F501F5C"/>
    <w:multiLevelType w:val="hybridMultilevel"/>
    <w:tmpl w:val="63EC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B6E06"/>
    <w:multiLevelType w:val="hybridMultilevel"/>
    <w:tmpl w:val="7ADA63F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74C50501"/>
    <w:multiLevelType w:val="hybridMultilevel"/>
    <w:tmpl w:val="66F6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C337B"/>
    <w:multiLevelType w:val="hybridMultilevel"/>
    <w:tmpl w:val="8848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F351B7"/>
    <w:multiLevelType w:val="hybridMultilevel"/>
    <w:tmpl w:val="3D9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56089">
    <w:abstractNumId w:val="12"/>
  </w:num>
  <w:num w:numId="2" w16cid:durableId="17032843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392209">
    <w:abstractNumId w:val="5"/>
  </w:num>
  <w:num w:numId="4" w16cid:durableId="987902100">
    <w:abstractNumId w:val="2"/>
  </w:num>
  <w:num w:numId="5" w16cid:durableId="751589695">
    <w:abstractNumId w:val="6"/>
  </w:num>
  <w:num w:numId="6" w16cid:durableId="1168180625">
    <w:abstractNumId w:val="9"/>
  </w:num>
  <w:num w:numId="7" w16cid:durableId="1187059984">
    <w:abstractNumId w:val="1"/>
  </w:num>
  <w:num w:numId="8" w16cid:durableId="151141842">
    <w:abstractNumId w:val="4"/>
  </w:num>
  <w:num w:numId="9" w16cid:durableId="1055161203">
    <w:abstractNumId w:val="7"/>
  </w:num>
  <w:num w:numId="10" w16cid:durableId="440222968">
    <w:abstractNumId w:val="14"/>
  </w:num>
  <w:num w:numId="11" w16cid:durableId="1834179457">
    <w:abstractNumId w:val="13"/>
  </w:num>
  <w:num w:numId="12" w16cid:durableId="1694961646">
    <w:abstractNumId w:val="17"/>
  </w:num>
  <w:num w:numId="13" w16cid:durableId="984898410">
    <w:abstractNumId w:val="11"/>
  </w:num>
  <w:num w:numId="14" w16cid:durableId="1016928356">
    <w:abstractNumId w:val="3"/>
  </w:num>
  <w:num w:numId="15" w16cid:durableId="220215035">
    <w:abstractNumId w:val="10"/>
  </w:num>
  <w:num w:numId="16" w16cid:durableId="1393964522">
    <w:abstractNumId w:val="0"/>
  </w:num>
  <w:num w:numId="17" w16cid:durableId="1162502477">
    <w:abstractNumId w:val="16"/>
  </w:num>
  <w:num w:numId="18" w16cid:durableId="78400908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C5"/>
    <w:rsid w:val="00001FC4"/>
    <w:rsid w:val="0000247B"/>
    <w:rsid w:val="0000469B"/>
    <w:rsid w:val="0000637F"/>
    <w:rsid w:val="00010E79"/>
    <w:rsid w:val="00011187"/>
    <w:rsid w:val="00012999"/>
    <w:rsid w:val="00014E34"/>
    <w:rsid w:val="00016FA4"/>
    <w:rsid w:val="00017D9D"/>
    <w:rsid w:val="00023CB4"/>
    <w:rsid w:val="00025FCE"/>
    <w:rsid w:val="00026FB7"/>
    <w:rsid w:val="000332AE"/>
    <w:rsid w:val="00034E25"/>
    <w:rsid w:val="00035FF3"/>
    <w:rsid w:val="000415FB"/>
    <w:rsid w:val="000418F0"/>
    <w:rsid w:val="00041A84"/>
    <w:rsid w:val="00046883"/>
    <w:rsid w:val="00051021"/>
    <w:rsid w:val="000524F0"/>
    <w:rsid w:val="00052D54"/>
    <w:rsid w:val="000576EB"/>
    <w:rsid w:val="00057928"/>
    <w:rsid w:val="00061713"/>
    <w:rsid w:val="000647E8"/>
    <w:rsid w:val="00064B2D"/>
    <w:rsid w:val="000655B9"/>
    <w:rsid w:val="00065939"/>
    <w:rsid w:val="00065F1F"/>
    <w:rsid w:val="000665A4"/>
    <w:rsid w:val="00066E7B"/>
    <w:rsid w:val="00067CAE"/>
    <w:rsid w:val="00071100"/>
    <w:rsid w:val="000715A4"/>
    <w:rsid w:val="00076D33"/>
    <w:rsid w:val="00076D3B"/>
    <w:rsid w:val="00077859"/>
    <w:rsid w:val="00077AEA"/>
    <w:rsid w:val="00081B0A"/>
    <w:rsid w:val="00082841"/>
    <w:rsid w:val="00084BA6"/>
    <w:rsid w:val="00090910"/>
    <w:rsid w:val="00092B03"/>
    <w:rsid w:val="00093334"/>
    <w:rsid w:val="00094287"/>
    <w:rsid w:val="00095293"/>
    <w:rsid w:val="000A0E8D"/>
    <w:rsid w:val="000A3D8B"/>
    <w:rsid w:val="000A4D82"/>
    <w:rsid w:val="000B097A"/>
    <w:rsid w:val="000B15D8"/>
    <w:rsid w:val="000B427A"/>
    <w:rsid w:val="000B6AF2"/>
    <w:rsid w:val="000C0361"/>
    <w:rsid w:val="000C54AF"/>
    <w:rsid w:val="000C6CD0"/>
    <w:rsid w:val="000C6EBB"/>
    <w:rsid w:val="000C6F96"/>
    <w:rsid w:val="000D02A2"/>
    <w:rsid w:val="000D1672"/>
    <w:rsid w:val="000D4C08"/>
    <w:rsid w:val="000D584D"/>
    <w:rsid w:val="000D642E"/>
    <w:rsid w:val="000D6EA5"/>
    <w:rsid w:val="000D6FD4"/>
    <w:rsid w:val="000D7B1C"/>
    <w:rsid w:val="000E0AE4"/>
    <w:rsid w:val="000E1EA4"/>
    <w:rsid w:val="000E3DBC"/>
    <w:rsid w:val="000E662F"/>
    <w:rsid w:val="000F3CFE"/>
    <w:rsid w:val="000F6568"/>
    <w:rsid w:val="000F7DE8"/>
    <w:rsid w:val="00101ED0"/>
    <w:rsid w:val="00102819"/>
    <w:rsid w:val="00104544"/>
    <w:rsid w:val="0010778D"/>
    <w:rsid w:val="001117FF"/>
    <w:rsid w:val="001122EC"/>
    <w:rsid w:val="001139FF"/>
    <w:rsid w:val="00115872"/>
    <w:rsid w:val="0011631A"/>
    <w:rsid w:val="00122F93"/>
    <w:rsid w:val="0012388D"/>
    <w:rsid w:val="001264BD"/>
    <w:rsid w:val="00126CCC"/>
    <w:rsid w:val="001368A2"/>
    <w:rsid w:val="00136B57"/>
    <w:rsid w:val="00137BCC"/>
    <w:rsid w:val="001404BA"/>
    <w:rsid w:val="0014433A"/>
    <w:rsid w:val="00145FE2"/>
    <w:rsid w:val="00146926"/>
    <w:rsid w:val="00147446"/>
    <w:rsid w:val="00147636"/>
    <w:rsid w:val="00150B54"/>
    <w:rsid w:val="0015187A"/>
    <w:rsid w:val="00152626"/>
    <w:rsid w:val="00160445"/>
    <w:rsid w:val="00160883"/>
    <w:rsid w:val="001665DF"/>
    <w:rsid w:val="00167DD8"/>
    <w:rsid w:val="00167F09"/>
    <w:rsid w:val="00170019"/>
    <w:rsid w:val="001716E1"/>
    <w:rsid w:val="0017249F"/>
    <w:rsid w:val="00177F42"/>
    <w:rsid w:val="001811B6"/>
    <w:rsid w:val="001814F3"/>
    <w:rsid w:val="001825B4"/>
    <w:rsid w:val="001826A6"/>
    <w:rsid w:val="00182C4C"/>
    <w:rsid w:val="00183844"/>
    <w:rsid w:val="0018553C"/>
    <w:rsid w:val="00187875"/>
    <w:rsid w:val="001878C5"/>
    <w:rsid w:val="00187E03"/>
    <w:rsid w:val="00191E0E"/>
    <w:rsid w:val="00191E1F"/>
    <w:rsid w:val="0019399D"/>
    <w:rsid w:val="00197536"/>
    <w:rsid w:val="00197D8D"/>
    <w:rsid w:val="001A047A"/>
    <w:rsid w:val="001A0F8E"/>
    <w:rsid w:val="001A1A75"/>
    <w:rsid w:val="001A7E9A"/>
    <w:rsid w:val="001C1102"/>
    <w:rsid w:val="001C1BBB"/>
    <w:rsid w:val="001C27A3"/>
    <w:rsid w:val="001C4CA8"/>
    <w:rsid w:val="001C5EE2"/>
    <w:rsid w:val="001D2DCD"/>
    <w:rsid w:val="001D30A8"/>
    <w:rsid w:val="001D351B"/>
    <w:rsid w:val="001D43F6"/>
    <w:rsid w:val="001E09FA"/>
    <w:rsid w:val="001F04F1"/>
    <w:rsid w:val="001F7F63"/>
    <w:rsid w:val="00201653"/>
    <w:rsid w:val="0020204F"/>
    <w:rsid w:val="00202A6F"/>
    <w:rsid w:val="00214B84"/>
    <w:rsid w:val="00216547"/>
    <w:rsid w:val="00216ABE"/>
    <w:rsid w:val="0022197C"/>
    <w:rsid w:val="00221D07"/>
    <w:rsid w:val="002228FA"/>
    <w:rsid w:val="00223140"/>
    <w:rsid w:val="002234FD"/>
    <w:rsid w:val="00224E3B"/>
    <w:rsid w:val="00227E4A"/>
    <w:rsid w:val="00233781"/>
    <w:rsid w:val="002401C0"/>
    <w:rsid w:val="00240EBA"/>
    <w:rsid w:val="002421C1"/>
    <w:rsid w:val="00247567"/>
    <w:rsid w:val="00250197"/>
    <w:rsid w:val="00250621"/>
    <w:rsid w:val="00250FD2"/>
    <w:rsid w:val="0025139A"/>
    <w:rsid w:val="0025217E"/>
    <w:rsid w:val="00252C1F"/>
    <w:rsid w:val="0026387E"/>
    <w:rsid w:val="002709F4"/>
    <w:rsid w:val="00270FDD"/>
    <w:rsid w:val="002745F2"/>
    <w:rsid w:val="002758A0"/>
    <w:rsid w:val="00280370"/>
    <w:rsid w:val="00284CAA"/>
    <w:rsid w:val="00285DDA"/>
    <w:rsid w:val="0029204E"/>
    <w:rsid w:val="00292B9B"/>
    <w:rsid w:val="002A0194"/>
    <w:rsid w:val="002A5F8B"/>
    <w:rsid w:val="002A66B6"/>
    <w:rsid w:val="002A7AC4"/>
    <w:rsid w:val="002A7F6C"/>
    <w:rsid w:val="002B0071"/>
    <w:rsid w:val="002B2518"/>
    <w:rsid w:val="002B5472"/>
    <w:rsid w:val="002C119B"/>
    <w:rsid w:val="002C1A3B"/>
    <w:rsid w:val="002C2D8F"/>
    <w:rsid w:val="002C7575"/>
    <w:rsid w:val="002C799C"/>
    <w:rsid w:val="002D12A5"/>
    <w:rsid w:val="002D3A06"/>
    <w:rsid w:val="002E16D5"/>
    <w:rsid w:val="002E1820"/>
    <w:rsid w:val="002E7483"/>
    <w:rsid w:val="002F028D"/>
    <w:rsid w:val="002F0CDF"/>
    <w:rsid w:val="002F3530"/>
    <w:rsid w:val="002F35EA"/>
    <w:rsid w:val="002F42F4"/>
    <w:rsid w:val="002F58E0"/>
    <w:rsid w:val="002F6488"/>
    <w:rsid w:val="00300E77"/>
    <w:rsid w:val="00304335"/>
    <w:rsid w:val="00305C54"/>
    <w:rsid w:val="0031016C"/>
    <w:rsid w:val="003112E8"/>
    <w:rsid w:val="003126F7"/>
    <w:rsid w:val="0031426B"/>
    <w:rsid w:val="003213F9"/>
    <w:rsid w:val="00321737"/>
    <w:rsid w:val="003238B2"/>
    <w:rsid w:val="00323AB6"/>
    <w:rsid w:val="00323DBF"/>
    <w:rsid w:val="00326111"/>
    <w:rsid w:val="003269DB"/>
    <w:rsid w:val="00327867"/>
    <w:rsid w:val="00327A65"/>
    <w:rsid w:val="00331808"/>
    <w:rsid w:val="00332B12"/>
    <w:rsid w:val="003345A4"/>
    <w:rsid w:val="0033502B"/>
    <w:rsid w:val="00337CBC"/>
    <w:rsid w:val="00342331"/>
    <w:rsid w:val="003428FC"/>
    <w:rsid w:val="0034462B"/>
    <w:rsid w:val="00346622"/>
    <w:rsid w:val="00347D90"/>
    <w:rsid w:val="003507DB"/>
    <w:rsid w:val="00351146"/>
    <w:rsid w:val="003517F1"/>
    <w:rsid w:val="00351B07"/>
    <w:rsid w:val="003558A2"/>
    <w:rsid w:val="00363B98"/>
    <w:rsid w:val="0036454A"/>
    <w:rsid w:val="0036533D"/>
    <w:rsid w:val="003712E1"/>
    <w:rsid w:val="00371B29"/>
    <w:rsid w:val="00373A55"/>
    <w:rsid w:val="0037407D"/>
    <w:rsid w:val="00374097"/>
    <w:rsid w:val="0037548D"/>
    <w:rsid w:val="003766F8"/>
    <w:rsid w:val="00377E6D"/>
    <w:rsid w:val="00380106"/>
    <w:rsid w:val="003801BE"/>
    <w:rsid w:val="003814F0"/>
    <w:rsid w:val="00381E07"/>
    <w:rsid w:val="00384F12"/>
    <w:rsid w:val="00385788"/>
    <w:rsid w:val="00386E86"/>
    <w:rsid w:val="00386F8F"/>
    <w:rsid w:val="00390FE6"/>
    <w:rsid w:val="003912B7"/>
    <w:rsid w:val="0039137E"/>
    <w:rsid w:val="00391769"/>
    <w:rsid w:val="00393190"/>
    <w:rsid w:val="003953E1"/>
    <w:rsid w:val="003956B3"/>
    <w:rsid w:val="003A0A4D"/>
    <w:rsid w:val="003A3D30"/>
    <w:rsid w:val="003A5691"/>
    <w:rsid w:val="003A68BE"/>
    <w:rsid w:val="003A7B84"/>
    <w:rsid w:val="003B0009"/>
    <w:rsid w:val="003B1FBA"/>
    <w:rsid w:val="003B2884"/>
    <w:rsid w:val="003B3D37"/>
    <w:rsid w:val="003B6A50"/>
    <w:rsid w:val="003C2633"/>
    <w:rsid w:val="003C4969"/>
    <w:rsid w:val="003C639D"/>
    <w:rsid w:val="003C77E6"/>
    <w:rsid w:val="003D2CDC"/>
    <w:rsid w:val="003D4745"/>
    <w:rsid w:val="003D53AF"/>
    <w:rsid w:val="003E002E"/>
    <w:rsid w:val="003E41D5"/>
    <w:rsid w:val="003E46BA"/>
    <w:rsid w:val="003F74C1"/>
    <w:rsid w:val="00401ADE"/>
    <w:rsid w:val="0040270B"/>
    <w:rsid w:val="00405B1A"/>
    <w:rsid w:val="00405F21"/>
    <w:rsid w:val="00406277"/>
    <w:rsid w:val="00407991"/>
    <w:rsid w:val="0041078D"/>
    <w:rsid w:val="00410C76"/>
    <w:rsid w:val="00411907"/>
    <w:rsid w:val="004132C6"/>
    <w:rsid w:val="00415311"/>
    <w:rsid w:val="00416381"/>
    <w:rsid w:val="00416F1E"/>
    <w:rsid w:val="00417EE3"/>
    <w:rsid w:val="004207EB"/>
    <w:rsid w:val="00421730"/>
    <w:rsid w:val="00422EC9"/>
    <w:rsid w:val="00423AC7"/>
    <w:rsid w:val="00425AAD"/>
    <w:rsid w:val="004304BA"/>
    <w:rsid w:val="0043246F"/>
    <w:rsid w:val="00432A42"/>
    <w:rsid w:val="00433CFB"/>
    <w:rsid w:val="00436BB5"/>
    <w:rsid w:val="00437276"/>
    <w:rsid w:val="00440B7E"/>
    <w:rsid w:val="004415C2"/>
    <w:rsid w:val="00441904"/>
    <w:rsid w:val="00453646"/>
    <w:rsid w:val="004559D1"/>
    <w:rsid w:val="00456B54"/>
    <w:rsid w:val="00456BD5"/>
    <w:rsid w:val="00456F89"/>
    <w:rsid w:val="004615E3"/>
    <w:rsid w:val="004634DB"/>
    <w:rsid w:val="00464643"/>
    <w:rsid w:val="00470322"/>
    <w:rsid w:val="00474DD7"/>
    <w:rsid w:val="004838F8"/>
    <w:rsid w:val="004849B6"/>
    <w:rsid w:val="00486793"/>
    <w:rsid w:val="00486C66"/>
    <w:rsid w:val="00486E3B"/>
    <w:rsid w:val="004872B7"/>
    <w:rsid w:val="00487A8D"/>
    <w:rsid w:val="004900D7"/>
    <w:rsid w:val="00491DD3"/>
    <w:rsid w:val="00492364"/>
    <w:rsid w:val="00492756"/>
    <w:rsid w:val="00494A3F"/>
    <w:rsid w:val="004A2037"/>
    <w:rsid w:val="004A3498"/>
    <w:rsid w:val="004A6237"/>
    <w:rsid w:val="004A793C"/>
    <w:rsid w:val="004B047B"/>
    <w:rsid w:val="004B4CDC"/>
    <w:rsid w:val="004B50C8"/>
    <w:rsid w:val="004B74AA"/>
    <w:rsid w:val="004C40F4"/>
    <w:rsid w:val="004C4994"/>
    <w:rsid w:val="004C51C7"/>
    <w:rsid w:val="004D0800"/>
    <w:rsid w:val="004D121E"/>
    <w:rsid w:val="004D1B1C"/>
    <w:rsid w:val="004D398B"/>
    <w:rsid w:val="004E0A99"/>
    <w:rsid w:val="004E1990"/>
    <w:rsid w:val="004E3E55"/>
    <w:rsid w:val="004F07C1"/>
    <w:rsid w:val="004F377C"/>
    <w:rsid w:val="004F4F98"/>
    <w:rsid w:val="004F69F6"/>
    <w:rsid w:val="004F79AC"/>
    <w:rsid w:val="004F7F04"/>
    <w:rsid w:val="0050623C"/>
    <w:rsid w:val="00506E9B"/>
    <w:rsid w:val="00507899"/>
    <w:rsid w:val="00512597"/>
    <w:rsid w:val="005125E3"/>
    <w:rsid w:val="00513688"/>
    <w:rsid w:val="00516FD5"/>
    <w:rsid w:val="005207D8"/>
    <w:rsid w:val="0052097C"/>
    <w:rsid w:val="00522CEC"/>
    <w:rsid w:val="00523930"/>
    <w:rsid w:val="005244F1"/>
    <w:rsid w:val="00530577"/>
    <w:rsid w:val="005330B9"/>
    <w:rsid w:val="005338F0"/>
    <w:rsid w:val="00534EDD"/>
    <w:rsid w:val="00537CDC"/>
    <w:rsid w:val="00541DE4"/>
    <w:rsid w:val="0054617A"/>
    <w:rsid w:val="00554A3E"/>
    <w:rsid w:val="005550AD"/>
    <w:rsid w:val="005565AE"/>
    <w:rsid w:val="00556C24"/>
    <w:rsid w:val="00560185"/>
    <w:rsid w:val="005609D0"/>
    <w:rsid w:val="00562917"/>
    <w:rsid w:val="005662BE"/>
    <w:rsid w:val="005669BA"/>
    <w:rsid w:val="00570C48"/>
    <w:rsid w:val="00571B8C"/>
    <w:rsid w:val="00575ED5"/>
    <w:rsid w:val="00577F57"/>
    <w:rsid w:val="00580DDF"/>
    <w:rsid w:val="005811B7"/>
    <w:rsid w:val="0058288F"/>
    <w:rsid w:val="0058295D"/>
    <w:rsid w:val="00583F7A"/>
    <w:rsid w:val="00586228"/>
    <w:rsid w:val="0059063D"/>
    <w:rsid w:val="00591EFA"/>
    <w:rsid w:val="00592026"/>
    <w:rsid w:val="005946D3"/>
    <w:rsid w:val="005975DD"/>
    <w:rsid w:val="00597631"/>
    <w:rsid w:val="005A1AC0"/>
    <w:rsid w:val="005A228C"/>
    <w:rsid w:val="005A56C5"/>
    <w:rsid w:val="005A572E"/>
    <w:rsid w:val="005B084E"/>
    <w:rsid w:val="005B08C1"/>
    <w:rsid w:val="005B1497"/>
    <w:rsid w:val="005B270A"/>
    <w:rsid w:val="005B5924"/>
    <w:rsid w:val="005B6AF4"/>
    <w:rsid w:val="005C04CB"/>
    <w:rsid w:val="005C0A81"/>
    <w:rsid w:val="005C11FB"/>
    <w:rsid w:val="005C1FEA"/>
    <w:rsid w:val="005C23CB"/>
    <w:rsid w:val="005C2435"/>
    <w:rsid w:val="005C372D"/>
    <w:rsid w:val="005D16AD"/>
    <w:rsid w:val="005D2016"/>
    <w:rsid w:val="005D2B03"/>
    <w:rsid w:val="005D6CA4"/>
    <w:rsid w:val="005D72E1"/>
    <w:rsid w:val="005E06C0"/>
    <w:rsid w:val="005E2ADC"/>
    <w:rsid w:val="005E4D6A"/>
    <w:rsid w:val="005E58D3"/>
    <w:rsid w:val="005E6160"/>
    <w:rsid w:val="005E66A9"/>
    <w:rsid w:val="005E6E16"/>
    <w:rsid w:val="005F0CF0"/>
    <w:rsid w:val="005F317F"/>
    <w:rsid w:val="005F32F1"/>
    <w:rsid w:val="005F400E"/>
    <w:rsid w:val="005F7342"/>
    <w:rsid w:val="006008D1"/>
    <w:rsid w:val="006009DC"/>
    <w:rsid w:val="00610166"/>
    <w:rsid w:val="00610A3C"/>
    <w:rsid w:val="006138D7"/>
    <w:rsid w:val="00615E83"/>
    <w:rsid w:val="00615F83"/>
    <w:rsid w:val="00616017"/>
    <w:rsid w:val="00617888"/>
    <w:rsid w:val="006231E0"/>
    <w:rsid w:val="006238A8"/>
    <w:rsid w:val="00627F48"/>
    <w:rsid w:val="006309DD"/>
    <w:rsid w:val="006343C7"/>
    <w:rsid w:val="0063455F"/>
    <w:rsid w:val="0063458C"/>
    <w:rsid w:val="00634A93"/>
    <w:rsid w:val="00635814"/>
    <w:rsid w:val="00636325"/>
    <w:rsid w:val="00645F21"/>
    <w:rsid w:val="00647543"/>
    <w:rsid w:val="00651051"/>
    <w:rsid w:val="00651CF1"/>
    <w:rsid w:val="00652DE8"/>
    <w:rsid w:val="00654C0B"/>
    <w:rsid w:val="006572C9"/>
    <w:rsid w:val="00661A58"/>
    <w:rsid w:val="00663FCF"/>
    <w:rsid w:val="006652A2"/>
    <w:rsid w:val="006705DD"/>
    <w:rsid w:val="00677358"/>
    <w:rsid w:val="00683071"/>
    <w:rsid w:val="00687459"/>
    <w:rsid w:val="006877DB"/>
    <w:rsid w:val="00692490"/>
    <w:rsid w:val="006969CC"/>
    <w:rsid w:val="00696A15"/>
    <w:rsid w:val="006A106B"/>
    <w:rsid w:val="006A48A7"/>
    <w:rsid w:val="006A5D40"/>
    <w:rsid w:val="006B126B"/>
    <w:rsid w:val="006B7A8D"/>
    <w:rsid w:val="006C116D"/>
    <w:rsid w:val="006C1A7A"/>
    <w:rsid w:val="006C22A7"/>
    <w:rsid w:val="006C5CF5"/>
    <w:rsid w:val="006C6638"/>
    <w:rsid w:val="006D33FF"/>
    <w:rsid w:val="006D371D"/>
    <w:rsid w:val="006D3A7C"/>
    <w:rsid w:val="006E10A1"/>
    <w:rsid w:val="006E3216"/>
    <w:rsid w:val="006E40C6"/>
    <w:rsid w:val="006F42DF"/>
    <w:rsid w:val="006F4A82"/>
    <w:rsid w:val="00701CCA"/>
    <w:rsid w:val="007037A6"/>
    <w:rsid w:val="007041A2"/>
    <w:rsid w:val="00710882"/>
    <w:rsid w:val="00710C37"/>
    <w:rsid w:val="007223B1"/>
    <w:rsid w:val="00724FA4"/>
    <w:rsid w:val="00730800"/>
    <w:rsid w:val="007339C9"/>
    <w:rsid w:val="00735015"/>
    <w:rsid w:val="0074241F"/>
    <w:rsid w:val="00744A1C"/>
    <w:rsid w:val="00746271"/>
    <w:rsid w:val="007470A8"/>
    <w:rsid w:val="00751223"/>
    <w:rsid w:val="00752FD3"/>
    <w:rsid w:val="00753A31"/>
    <w:rsid w:val="0075550E"/>
    <w:rsid w:val="00755F02"/>
    <w:rsid w:val="007601BE"/>
    <w:rsid w:val="007602AA"/>
    <w:rsid w:val="00760836"/>
    <w:rsid w:val="00760FF6"/>
    <w:rsid w:val="00761A29"/>
    <w:rsid w:val="00763BE3"/>
    <w:rsid w:val="00764638"/>
    <w:rsid w:val="007652EF"/>
    <w:rsid w:val="00765DE1"/>
    <w:rsid w:val="00772BDC"/>
    <w:rsid w:val="00777437"/>
    <w:rsid w:val="007776B4"/>
    <w:rsid w:val="00777DC2"/>
    <w:rsid w:val="00780792"/>
    <w:rsid w:val="0078309E"/>
    <w:rsid w:val="007902E9"/>
    <w:rsid w:val="00790C3A"/>
    <w:rsid w:val="00793F9E"/>
    <w:rsid w:val="00795053"/>
    <w:rsid w:val="00795D86"/>
    <w:rsid w:val="0079680C"/>
    <w:rsid w:val="00796F5A"/>
    <w:rsid w:val="00797D69"/>
    <w:rsid w:val="007A2454"/>
    <w:rsid w:val="007A2A0C"/>
    <w:rsid w:val="007A4015"/>
    <w:rsid w:val="007A44B4"/>
    <w:rsid w:val="007A53BF"/>
    <w:rsid w:val="007A5C81"/>
    <w:rsid w:val="007A6DCB"/>
    <w:rsid w:val="007A7D3D"/>
    <w:rsid w:val="007B1D0E"/>
    <w:rsid w:val="007B225D"/>
    <w:rsid w:val="007B37B3"/>
    <w:rsid w:val="007B4D35"/>
    <w:rsid w:val="007B6D4D"/>
    <w:rsid w:val="007B7AC3"/>
    <w:rsid w:val="007C1C64"/>
    <w:rsid w:val="007C22CB"/>
    <w:rsid w:val="007D0189"/>
    <w:rsid w:val="007D71F9"/>
    <w:rsid w:val="007D7A72"/>
    <w:rsid w:val="007E0E05"/>
    <w:rsid w:val="007E48BC"/>
    <w:rsid w:val="007E49AC"/>
    <w:rsid w:val="007E6C68"/>
    <w:rsid w:val="007E79F7"/>
    <w:rsid w:val="007F0B99"/>
    <w:rsid w:val="007F264D"/>
    <w:rsid w:val="007F3630"/>
    <w:rsid w:val="007F3FD0"/>
    <w:rsid w:val="007F5658"/>
    <w:rsid w:val="007F7BF7"/>
    <w:rsid w:val="008004FC"/>
    <w:rsid w:val="00801085"/>
    <w:rsid w:val="00805944"/>
    <w:rsid w:val="00807559"/>
    <w:rsid w:val="0081263E"/>
    <w:rsid w:val="00813464"/>
    <w:rsid w:val="00816F8C"/>
    <w:rsid w:val="00831154"/>
    <w:rsid w:val="008322D7"/>
    <w:rsid w:val="008323A1"/>
    <w:rsid w:val="00834CDF"/>
    <w:rsid w:val="00835CA5"/>
    <w:rsid w:val="00841BBB"/>
    <w:rsid w:val="00841D59"/>
    <w:rsid w:val="008450B2"/>
    <w:rsid w:val="008450BC"/>
    <w:rsid w:val="00846CEC"/>
    <w:rsid w:val="00847066"/>
    <w:rsid w:val="0085022E"/>
    <w:rsid w:val="00850B09"/>
    <w:rsid w:val="0085290A"/>
    <w:rsid w:val="00852BC2"/>
    <w:rsid w:val="0085334B"/>
    <w:rsid w:val="008537BA"/>
    <w:rsid w:val="00856712"/>
    <w:rsid w:val="00860808"/>
    <w:rsid w:val="00860F50"/>
    <w:rsid w:val="00861C13"/>
    <w:rsid w:val="00861D7C"/>
    <w:rsid w:val="00861E9F"/>
    <w:rsid w:val="00862349"/>
    <w:rsid w:val="00862B89"/>
    <w:rsid w:val="0086372C"/>
    <w:rsid w:val="0086571E"/>
    <w:rsid w:val="00870214"/>
    <w:rsid w:val="00871116"/>
    <w:rsid w:val="00871913"/>
    <w:rsid w:val="00872BE9"/>
    <w:rsid w:val="00875122"/>
    <w:rsid w:val="0088275B"/>
    <w:rsid w:val="00885C51"/>
    <w:rsid w:val="00892306"/>
    <w:rsid w:val="00892E28"/>
    <w:rsid w:val="00895BAE"/>
    <w:rsid w:val="00896B85"/>
    <w:rsid w:val="008A0D3A"/>
    <w:rsid w:val="008A243D"/>
    <w:rsid w:val="008A789E"/>
    <w:rsid w:val="008B193E"/>
    <w:rsid w:val="008B34C2"/>
    <w:rsid w:val="008B771D"/>
    <w:rsid w:val="008C4E76"/>
    <w:rsid w:val="008C68C1"/>
    <w:rsid w:val="008D06C6"/>
    <w:rsid w:val="008D1057"/>
    <w:rsid w:val="008D329E"/>
    <w:rsid w:val="008D5E9D"/>
    <w:rsid w:val="008D6223"/>
    <w:rsid w:val="008E05A1"/>
    <w:rsid w:val="008E202F"/>
    <w:rsid w:val="008E3AF2"/>
    <w:rsid w:val="008E6250"/>
    <w:rsid w:val="008E63DC"/>
    <w:rsid w:val="008E6504"/>
    <w:rsid w:val="008E7276"/>
    <w:rsid w:val="008E7A84"/>
    <w:rsid w:val="008F0493"/>
    <w:rsid w:val="008F277A"/>
    <w:rsid w:val="008F3E86"/>
    <w:rsid w:val="008F6139"/>
    <w:rsid w:val="008F7679"/>
    <w:rsid w:val="0090165B"/>
    <w:rsid w:val="00914608"/>
    <w:rsid w:val="00917C6F"/>
    <w:rsid w:val="00920249"/>
    <w:rsid w:val="00921E8B"/>
    <w:rsid w:val="009253C4"/>
    <w:rsid w:val="00926D1E"/>
    <w:rsid w:val="00926E28"/>
    <w:rsid w:val="009308E9"/>
    <w:rsid w:val="009308F2"/>
    <w:rsid w:val="00932F14"/>
    <w:rsid w:val="00933B64"/>
    <w:rsid w:val="00934BC1"/>
    <w:rsid w:val="00935924"/>
    <w:rsid w:val="00937F82"/>
    <w:rsid w:val="00941150"/>
    <w:rsid w:val="0094247F"/>
    <w:rsid w:val="009424B5"/>
    <w:rsid w:val="00942D60"/>
    <w:rsid w:val="00943202"/>
    <w:rsid w:val="0094358A"/>
    <w:rsid w:val="0094565B"/>
    <w:rsid w:val="009460FA"/>
    <w:rsid w:val="00947534"/>
    <w:rsid w:val="009478A1"/>
    <w:rsid w:val="00951FD3"/>
    <w:rsid w:val="009538D0"/>
    <w:rsid w:val="00954B2C"/>
    <w:rsid w:val="009568A7"/>
    <w:rsid w:val="0095718A"/>
    <w:rsid w:val="00964B1A"/>
    <w:rsid w:val="0096523B"/>
    <w:rsid w:val="00970A1D"/>
    <w:rsid w:val="00972D06"/>
    <w:rsid w:val="00973581"/>
    <w:rsid w:val="00975122"/>
    <w:rsid w:val="00975AF2"/>
    <w:rsid w:val="00977C32"/>
    <w:rsid w:val="00977CF4"/>
    <w:rsid w:val="00977E90"/>
    <w:rsid w:val="00982F75"/>
    <w:rsid w:val="00982FC7"/>
    <w:rsid w:val="00992A11"/>
    <w:rsid w:val="0099323D"/>
    <w:rsid w:val="00995FE2"/>
    <w:rsid w:val="0099623A"/>
    <w:rsid w:val="009A1242"/>
    <w:rsid w:val="009A175D"/>
    <w:rsid w:val="009A2699"/>
    <w:rsid w:val="009A2DC9"/>
    <w:rsid w:val="009A391C"/>
    <w:rsid w:val="009A48DF"/>
    <w:rsid w:val="009B5341"/>
    <w:rsid w:val="009B7F67"/>
    <w:rsid w:val="009C0F1B"/>
    <w:rsid w:val="009C7917"/>
    <w:rsid w:val="009D26EE"/>
    <w:rsid w:val="009D3B4E"/>
    <w:rsid w:val="009E0A61"/>
    <w:rsid w:val="009E290F"/>
    <w:rsid w:val="009E3010"/>
    <w:rsid w:val="009E46F5"/>
    <w:rsid w:val="009E6523"/>
    <w:rsid w:val="009F126E"/>
    <w:rsid w:val="009F50E1"/>
    <w:rsid w:val="009F6C13"/>
    <w:rsid w:val="009F7065"/>
    <w:rsid w:val="009F7D39"/>
    <w:rsid w:val="00A02BDB"/>
    <w:rsid w:val="00A135BF"/>
    <w:rsid w:val="00A147BB"/>
    <w:rsid w:val="00A23A1B"/>
    <w:rsid w:val="00A2449C"/>
    <w:rsid w:val="00A24F78"/>
    <w:rsid w:val="00A318EB"/>
    <w:rsid w:val="00A33CCA"/>
    <w:rsid w:val="00A3569B"/>
    <w:rsid w:val="00A44E74"/>
    <w:rsid w:val="00A53826"/>
    <w:rsid w:val="00A551B9"/>
    <w:rsid w:val="00A56DC7"/>
    <w:rsid w:val="00A570C1"/>
    <w:rsid w:val="00A6035E"/>
    <w:rsid w:val="00A66FDD"/>
    <w:rsid w:val="00A671E6"/>
    <w:rsid w:val="00A672B6"/>
    <w:rsid w:val="00A705FC"/>
    <w:rsid w:val="00A709E5"/>
    <w:rsid w:val="00A70C2B"/>
    <w:rsid w:val="00A74FD1"/>
    <w:rsid w:val="00A8310C"/>
    <w:rsid w:val="00A84A58"/>
    <w:rsid w:val="00A929A9"/>
    <w:rsid w:val="00A93344"/>
    <w:rsid w:val="00A93F6C"/>
    <w:rsid w:val="00A94300"/>
    <w:rsid w:val="00A96594"/>
    <w:rsid w:val="00A96752"/>
    <w:rsid w:val="00AA311C"/>
    <w:rsid w:val="00AA41BA"/>
    <w:rsid w:val="00AA6D0D"/>
    <w:rsid w:val="00AA6FA3"/>
    <w:rsid w:val="00AA7912"/>
    <w:rsid w:val="00AB1786"/>
    <w:rsid w:val="00AB235A"/>
    <w:rsid w:val="00AB5E1E"/>
    <w:rsid w:val="00AC18F4"/>
    <w:rsid w:val="00AC428E"/>
    <w:rsid w:val="00AC713D"/>
    <w:rsid w:val="00AD08A3"/>
    <w:rsid w:val="00AD344F"/>
    <w:rsid w:val="00AD669F"/>
    <w:rsid w:val="00AE166F"/>
    <w:rsid w:val="00AE4FFD"/>
    <w:rsid w:val="00AE5594"/>
    <w:rsid w:val="00AE7F91"/>
    <w:rsid w:val="00AF24FA"/>
    <w:rsid w:val="00AF2989"/>
    <w:rsid w:val="00AF387F"/>
    <w:rsid w:val="00AF397D"/>
    <w:rsid w:val="00AF6584"/>
    <w:rsid w:val="00AF669F"/>
    <w:rsid w:val="00AF6817"/>
    <w:rsid w:val="00B00E7F"/>
    <w:rsid w:val="00B12BBF"/>
    <w:rsid w:val="00B1523E"/>
    <w:rsid w:val="00B162CE"/>
    <w:rsid w:val="00B166F5"/>
    <w:rsid w:val="00B17112"/>
    <w:rsid w:val="00B21055"/>
    <w:rsid w:val="00B21DCC"/>
    <w:rsid w:val="00B25F37"/>
    <w:rsid w:val="00B276CF"/>
    <w:rsid w:val="00B33E3F"/>
    <w:rsid w:val="00B35C0B"/>
    <w:rsid w:val="00B370C9"/>
    <w:rsid w:val="00B37158"/>
    <w:rsid w:val="00B4144F"/>
    <w:rsid w:val="00B425AA"/>
    <w:rsid w:val="00B44422"/>
    <w:rsid w:val="00B45EA9"/>
    <w:rsid w:val="00B45F1E"/>
    <w:rsid w:val="00B46EA0"/>
    <w:rsid w:val="00B53CBC"/>
    <w:rsid w:val="00B545F3"/>
    <w:rsid w:val="00B546A9"/>
    <w:rsid w:val="00B55714"/>
    <w:rsid w:val="00B5593B"/>
    <w:rsid w:val="00B57BF9"/>
    <w:rsid w:val="00B57E8F"/>
    <w:rsid w:val="00B6002E"/>
    <w:rsid w:val="00B634A2"/>
    <w:rsid w:val="00B63BBA"/>
    <w:rsid w:val="00B66176"/>
    <w:rsid w:val="00B731D3"/>
    <w:rsid w:val="00B74490"/>
    <w:rsid w:val="00B74582"/>
    <w:rsid w:val="00B746FF"/>
    <w:rsid w:val="00B75B57"/>
    <w:rsid w:val="00B7662F"/>
    <w:rsid w:val="00B77C18"/>
    <w:rsid w:val="00B811B3"/>
    <w:rsid w:val="00B839A3"/>
    <w:rsid w:val="00B83A1F"/>
    <w:rsid w:val="00B902BD"/>
    <w:rsid w:val="00B92501"/>
    <w:rsid w:val="00B95550"/>
    <w:rsid w:val="00BA1009"/>
    <w:rsid w:val="00BA2E96"/>
    <w:rsid w:val="00BA6D1A"/>
    <w:rsid w:val="00BB0EC9"/>
    <w:rsid w:val="00BB4A19"/>
    <w:rsid w:val="00BC35A6"/>
    <w:rsid w:val="00BC7B37"/>
    <w:rsid w:val="00BD03D4"/>
    <w:rsid w:val="00BD2A39"/>
    <w:rsid w:val="00BD2E80"/>
    <w:rsid w:val="00BD3844"/>
    <w:rsid w:val="00BD49FF"/>
    <w:rsid w:val="00BD4B64"/>
    <w:rsid w:val="00BD5D5D"/>
    <w:rsid w:val="00BD72A1"/>
    <w:rsid w:val="00BD77E1"/>
    <w:rsid w:val="00BE02E8"/>
    <w:rsid w:val="00BE10C4"/>
    <w:rsid w:val="00BE11B8"/>
    <w:rsid w:val="00BE2AAD"/>
    <w:rsid w:val="00BF2CD0"/>
    <w:rsid w:val="00BF43D0"/>
    <w:rsid w:val="00BF45A3"/>
    <w:rsid w:val="00BF782F"/>
    <w:rsid w:val="00BF7FF0"/>
    <w:rsid w:val="00C062B6"/>
    <w:rsid w:val="00C11AEA"/>
    <w:rsid w:val="00C12502"/>
    <w:rsid w:val="00C135E2"/>
    <w:rsid w:val="00C169D5"/>
    <w:rsid w:val="00C17CF8"/>
    <w:rsid w:val="00C2000F"/>
    <w:rsid w:val="00C26B3B"/>
    <w:rsid w:val="00C34577"/>
    <w:rsid w:val="00C35C8B"/>
    <w:rsid w:val="00C407BF"/>
    <w:rsid w:val="00C40AA5"/>
    <w:rsid w:val="00C4253D"/>
    <w:rsid w:val="00C44A7D"/>
    <w:rsid w:val="00C45F97"/>
    <w:rsid w:val="00C46F70"/>
    <w:rsid w:val="00C476D0"/>
    <w:rsid w:val="00C5139B"/>
    <w:rsid w:val="00C57A2F"/>
    <w:rsid w:val="00C63FAC"/>
    <w:rsid w:val="00C6434A"/>
    <w:rsid w:val="00C64555"/>
    <w:rsid w:val="00C64FDB"/>
    <w:rsid w:val="00C67583"/>
    <w:rsid w:val="00C67C36"/>
    <w:rsid w:val="00C72592"/>
    <w:rsid w:val="00C74398"/>
    <w:rsid w:val="00C755F8"/>
    <w:rsid w:val="00C75853"/>
    <w:rsid w:val="00C80A1C"/>
    <w:rsid w:val="00C830B9"/>
    <w:rsid w:val="00C836E3"/>
    <w:rsid w:val="00C836FF"/>
    <w:rsid w:val="00C850DB"/>
    <w:rsid w:val="00C854DC"/>
    <w:rsid w:val="00C85DA9"/>
    <w:rsid w:val="00C86577"/>
    <w:rsid w:val="00C87FD8"/>
    <w:rsid w:val="00C90B3A"/>
    <w:rsid w:val="00C91750"/>
    <w:rsid w:val="00C91C02"/>
    <w:rsid w:val="00C92452"/>
    <w:rsid w:val="00C92E07"/>
    <w:rsid w:val="00C9321B"/>
    <w:rsid w:val="00C95691"/>
    <w:rsid w:val="00C96868"/>
    <w:rsid w:val="00CA0416"/>
    <w:rsid w:val="00CA4C99"/>
    <w:rsid w:val="00CA5734"/>
    <w:rsid w:val="00CA5D5A"/>
    <w:rsid w:val="00CB115C"/>
    <w:rsid w:val="00CB74D2"/>
    <w:rsid w:val="00CC285E"/>
    <w:rsid w:val="00CC3764"/>
    <w:rsid w:val="00CC3A35"/>
    <w:rsid w:val="00CC5099"/>
    <w:rsid w:val="00CC5468"/>
    <w:rsid w:val="00CC560B"/>
    <w:rsid w:val="00CC75E2"/>
    <w:rsid w:val="00CD3329"/>
    <w:rsid w:val="00CD46EB"/>
    <w:rsid w:val="00CD53BB"/>
    <w:rsid w:val="00CD7EBF"/>
    <w:rsid w:val="00CE0BFA"/>
    <w:rsid w:val="00CE0D1A"/>
    <w:rsid w:val="00CE59AA"/>
    <w:rsid w:val="00CE7431"/>
    <w:rsid w:val="00CE7EB3"/>
    <w:rsid w:val="00CF0E86"/>
    <w:rsid w:val="00CF2E94"/>
    <w:rsid w:val="00CF486F"/>
    <w:rsid w:val="00D00DFA"/>
    <w:rsid w:val="00D025B2"/>
    <w:rsid w:val="00D056F1"/>
    <w:rsid w:val="00D06616"/>
    <w:rsid w:val="00D0706E"/>
    <w:rsid w:val="00D113D4"/>
    <w:rsid w:val="00D144D7"/>
    <w:rsid w:val="00D14659"/>
    <w:rsid w:val="00D15A08"/>
    <w:rsid w:val="00D16B98"/>
    <w:rsid w:val="00D21977"/>
    <w:rsid w:val="00D23DB6"/>
    <w:rsid w:val="00D24A83"/>
    <w:rsid w:val="00D277E3"/>
    <w:rsid w:val="00D36B76"/>
    <w:rsid w:val="00D37C73"/>
    <w:rsid w:val="00D41E6F"/>
    <w:rsid w:val="00D436C1"/>
    <w:rsid w:val="00D43E41"/>
    <w:rsid w:val="00D447CB"/>
    <w:rsid w:val="00D46B09"/>
    <w:rsid w:val="00D47936"/>
    <w:rsid w:val="00D51A95"/>
    <w:rsid w:val="00D5424A"/>
    <w:rsid w:val="00D5594D"/>
    <w:rsid w:val="00D60568"/>
    <w:rsid w:val="00D70C7A"/>
    <w:rsid w:val="00D72A29"/>
    <w:rsid w:val="00D755C9"/>
    <w:rsid w:val="00D75ECF"/>
    <w:rsid w:val="00D807F0"/>
    <w:rsid w:val="00D80944"/>
    <w:rsid w:val="00D834E5"/>
    <w:rsid w:val="00D83F75"/>
    <w:rsid w:val="00D85F76"/>
    <w:rsid w:val="00D920DD"/>
    <w:rsid w:val="00D92997"/>
    <w:rsid w:val="00D92DBD"/>
    <w:rsid w:val="00D93992"/>
    <w:rsid w:val="00D957D7"/>
    <w:rsid w:val="00D96C9C"/>
    <w:rsid w:val="00DA1025"/>
    <w:rsid w:val="00DA10A8"/>
    <w:rsid w:val="00DA4431"/>
    <w:rsid w:val="00DA5284"/>
    <w:rsid w:val="00DA629F"/>
    <w:rsid w:val="00DA7447"/>
    <w:rsid w:val="00DB123A"/>
    <w:rsid w:val="00DB1E08"/>
    <w:rsid w:val="00DB2973"/>
    <w:rsid w:val="00DB61C2"/>
    <w:rsid w:val="00DC0FBA"/>
    <w:rsid w:val="00DC1B56"/>
    <w:rsid w:val="00DC20CC"/>
    <w:rsid w:val="00DC2129"/>
    <w:rsid w:val="00DC37B1"/>
    <w:rsid w:val="00DC6024"/>
    <w:rsid w:val="00DC6570"/>
    <w:rsid w:val="00DC6AFB"/>
    <w:rsid w:val="00DD026E"/>
    <w:rsid w:val="00DD0BA1"/>
    <w:rsid w:val="00DD265C"/>
    <w:rsid w:val="00DD3703"/>
    <w:rsid w:val="00DE490E"/>
    <w:rsid w:val="00DE5528"/>
    <w:rsid w:val="00DF07C9"/>
    <w:rsid w:val="00DF25C3"/>
    <w:rsid w:val="00DF4AB0"/>
    <w:rsid w:val="00DF5CFF"/>
    <w:rsid w:val="00DF6FF1"/>
    <w:rsid w:val="00DF72BB"/>
    <w:rsid w:val="00E03429"/>
    <w:rsid w:val="00E04062"/>
    <w:rsid w:val="00E059AC"/>
    <w:rsid w:val="00E05F18"/>
    <w:rsid w:val="00E06286"/>
    <w:rsid w:val="00E063C6"/>
    <w:rsid w:val="00E1101D"/>
    <w:rsid w:val="00E2003B"/>
    <w:rsid w:val="00E22E81"/>
    <w:rsid w:val="00E259FD"/>
    <w:rsid w:val="00E26887"/>
    <w:rsid w:val="00E279D8"/>
    <w:rsid w:val="00E30092"/>
    <w:rsid w:val="00E30351"/>
    <w:rsid w:val="00E30BB1"/>
    <w:rsid w:val="00E319B1"/>
    <w:rsid w:val="00E327A6"/>
    <w:rsid w:val="00E35B00"/>
    <w:rsid w:val="00E3684F"/>
    <w:rsid w:val="00E44FB8"/>
    <w:rsid w:val="00E46CDE"/>
    <w:rsid w:val="00E46ED0"/>
    <w:rsid w:val="00E46F77"/>
    <w:rsid w:val="00E47D3B"/>
    <w:rsid w:val="00E50CB6"/>
    <w:rsid w:val="00E5492F"/>
    <w:rsid w:val="00E552F9"/>
    <w:rsid w:val="00E564E0"/>
    <w:rsid w:val="00E572B1"/>
    <w:rsid w:val="00E5782C"/>
    <w:rsid w:val="00E6369A"/>
    <w:rsid w:val="00E67439"/>
    <w:rsid w:val="00E70A86"/>
    <w:rsid w:val="00E73E50"/>
    <w:rsid w:val="00E73FB4"/>
    <w:rsid w:val="00E75219"/>
    <w:rsid w:val="00E7665C"/>
    <w:rsid w:val="00E777EC"/>
    <w:rsid w:val="00E77E55"/>
    <w:rsid w:val="00E80FCD"/>
    <w:rsid w:val="00E92E6F"/>
    <w:rsid w:val="00EA1DF5"/>
    <w:rsid w:val="00EA2226"/>
    <w:rsid w:val="00EA2E5E"/>
    <w:rsid w:val="00EA4BBD"/>
    <w:rsid w:val="00EA62F4"/>
    <w:rsid w:val="00EA7DB0"/>
    <w:rsid w:val="00EA7F2F"/>
    <w:rsid w:val="00EB1F85"/>
    <w:rsid w:val="00EB2B39"/>
    <w:rsid w:val="00EB3E0E"/>
    <w:rsid w:val="00EB576F"/>
    <w:rsid w:val="00EB6590"/>
    <w:rsid w:val="00EC00DE"/>
    <w:rsid w:val="00EC13F3"/>
    <w:rsid w:val="00EC21DF"/>
    <w:rsid w:val="00EC30E1"/>
    <w:rsid w:val="00EC3436"/>
    <w:rsid w:val="00EC3B70"/>
    <w:rsid w:val="00EC66BB"/>
    <w:rsid w:val="00EC6DF8"/>
    <w:rsid w:val="00ED172A"/>
    <w:rsid w:val="00ED2E92"/>
    <w:rsid w:val="00EE01DC"/>
    <w:rsid w:val="00EE24FC"/>
    <w:rsid w:val="00EF05C7"/>
    <w:rsid w:val="00EF2E71"/>
    <w:rsid w:val="00EF5391"/>
    <w:rsid w:val="00EF6937"/>
    <w:rsid w:val="00EF764A"/>
    <w:rsid w:val="00F02F0B"/>
    <w:rsid w:val="00F06708"/>
    <w:rsid w:val="00F068A3"/>
    <w:rsid w:val="00F07C6D"/>
    <w:rsid w:val="00F14464"/>
    <w:rsid w:val="00F14AB3"/>
    <w:rsid w:val="00F14BEC"/>
    <w:rsid w:val="00F17038"/>
    <w:rsid w:val="00F224B7"/>
    <w:rsid w:val="00F225C5"/>
    <w:rsid w:val="00F2587A"/>
    <w:rsid w:val="00F32D1F"/>
    <w:rsid w:val="00F33470"/>
    <w:rsid w:val="00F34E02"/>
    <w:rsid w:val="00F3715D"/>
    <w:rsid w:val="00F37A10"/>
    <w:rsid w:val="00F420C8"/>
    <w:rsid w:val="00F4235B"/>
    <w:rsid w:val="00F4282B"/>
    <w:rsid w:val="00F42A4C"/>
    <w:rsid w:val="00F526BD"/>
    <w:rsid w:val="00F62308"/>
    <w:rsid w:val="00F634A1"/>
    <w:rsid w:val="00F63E1E"/>
    <w:rsid w:val="00F659D7"/>
    <w:rsid w:val="00F662B9"/>
    <w:rsid w:val="00F66C0B"/>
    <w:rsid w:val="00F71973"/>
    <w:rsid w:val="00F761C2"/>
    <w:rsid w:val="00F8455A"/>
    <w:rsid w:val="00F87F64"/>
    <w:rsid w:val="00F9362F"/>
    <w:rsid w:val="00F961BE"/>
    <w:rsid w:val="00F97242"/>
    <w:rsid w:val="00FA707B"/>
    <w:rsid w:val="00FA7C7E"/>
    <w:rsid w:val="00FB31FE"/>
    <w:rsid w:val="00FB550C"/>
    <w:rsid w:val="00FB5C9B"/>
    <w:rsid w:val="00FB7512"/>
    <w:rsid w:val="00FB7BA0"/>
    <w:rsid w:val="00FC1037"/>
    <w:rsid w:val="00FC7E90"/>
    <w:rsid w:val="00FD0724"/>
    <w:rsid w:val="00FD332B"/>
    <w:rsid w:val="00FD505B"/>
    <w:rsid w:val="00FD738D"/>
    <w:rsid w:val="00FD7547"/>
    <w:rsid w:val="00FE287B"/>
    <w:rsid w:val="00FE2BB8"/>
    <w:rsid w:val="00FE2BD9"/>
    <w:rsid w:val="00FE3CAC"/>
    <w:rsid w:val="00FE4BE4"/>
    <w:rsid w:val="00FE653A"/>
    <w:rsid w:val="00FE6B50"/>
    <w:rsid w:val="00FF1B03"/>
    <w:rsid w:val="00FF22EA"/>
    <w:rsid w:val="00FF2CE7"/>
    <w:rsid w:val="00FF3E26"/>
    <w:rsid w:val="00FF530C"/>
    <w:rsid w:val="00FF5F5C"/>
    <w:rsid w:val="026FB728"/>
    <w:rsid w:val="06490423"/>
    <w:rsid w:val="0C81DC34"/>
    <w:rsid w:val="0CA8B128"/>
    <w:rsid w:val="0D8542C0"/>
    <w:rsid w:val="0D8CAC60"/>
    <w:rsid w:val="0F615E8B"/>
    <w:rsid w:val="0FA19D33"/>
    <w:rsid w:val="157AA2C3"/>
    <w:rsid w:val="1653FFB7"/>
    <w:rsid w:val="1744ED6E"/>
    <w:rsid w:val="177B55D6"/>
    <w:rsid w:val="181DABE3"/>
    <w:rsid w:val="18CD0A11"/>
    <w:rsid w:val="18EE394A"/>
    <w:rsid w:val="19619A44"/>
    <w:rsid w:val="1A1B9156"/>
    <w:rsid w:val="1A2A7837"/>
    <w:rsid w:val="1A5B0E7D"/>
    <w:rsid w:val="1A99CE3B"/>
    <w:rsid w:val="1BA0C876"/>
    <w:rsid w:val="1C134647"/>
    <w:rsid w:val="1C24811E"/>
    <w:rsid w:val="1CA8A450"/>
    <w:rsid w:val="1D3D9237"/>
    <w:rsid w:val="1D43D7F4"/>
    <w:rsid w:val="1D533218"/>
    <w:rsid w:val="1E6AAF81"/>
    <w:rsid w:val="1F237054"/>
    <w:rsid w:val="20F7F241"/>
    <w:rsid w:val="20FFDFC7"/>
    <w:rsid w:val="21288B13"/>
    <w:rsid w:val="22DFB9AA"/>
    <w:rsid w:val="247E6521"/>
    <w:rsid w:val="25BA288D"/>
    <w:rsid w:val="28098E46"/>
    <w:rsid w:val="2935D457"/>
    <w:rsid w:val="29D4A009"/>
    <w:rsid w:val="29D6F0CE"/>
    <w:rsid w:val="2BF90759"/>
    <w:rsid w:val="2C4402E1"/>
    <w:rsid w:val="2D3C6BA6"/>
    <w:rsid w:val="2DC28105"/>
    <w:rsid w:val="2EAEDBC7"/>
    <w:rsid w:val="2EDB55BA"/>
    <w:rsid w:val="2F162F44"/>
    <w:rsid w:val="2F76833C"/>
    <w:rsid w:val="2FAC7E47"/>
    <w:rsid w:val="3037FAB5"/>
    <w:rsid w:val="30BAEE1A"/>
    <w:rsid w:val="30F466DE"/>
    <w:rsid w:val="3364AAB7"/>
    <w:rsid w:val="35FE22D4"/>
    <w:rsid w:val="36345E06"/>
    <w:rsid w:val="36AAE6ED"/>
    <w:rsid w:val="36BC21C4"/>
    <w:rsid w:val="370648EE"/>
    <w:rsid w:val="37E5C874"/>
    <w:rsid w:val="385FDFAB"/>
    <w:rsid w:val="38690FA3"/>
    <w:rsid w:val="3A4E71BA"/>
    <w:rsid w:val="3A61C091"/>
    <w:rsid w:val="3A894CF3"/>
    <w:rsid w:val="3AF9F0FF"/>
    <w:rsid w:val="3B7A8BEB"/>
    <w:rsid w:val="3B9C98B4"/>
    <w:rsid w:val="3FCD6222"/>
    <w:rsid w:val="42AB45E8"/>
    <w:rsid w:val="430502E4"/>
    <w:rsid w:val="44A0D345"/>
    <w:rsid w:val="44AE9035"/>
    <w:rsid w:val="46C8F83D"/>
    <w:rsid w:val="47F24ACD"/>
    <w:rsid w:val="48238489"/>
    <w:rsid w:val="49F8AB79"/>
    <w:rsid w:val="4A864860"/>
    <w:rsid w:val="4CDC5531"/>
    <w:rsid w:val="4DBDE922"/>
    <w:rsid w:val="4DE19EEC"/>
    <w:rsid w:val="4DF5BF98"/>
    <w:rsid w:val="4DFADFFF"/>
    <w:rsid w:val="520CD44F"/>
    <w:rsid w:val="522E0339"/>
    <w:rsid w:val="5268DCC3"/>
    <w:rsid w:val="52F02E2F"/>
    <w:rsid w:val="53D611C2"/>
    <w:rsid w:val="5468FCE4"/>
    <w:rsid w:val="549350B2"/>
    <w:rsid w:val="54CE3EB9"/>
    <w:rsid w:val="5621F9EC"/>
    <w:rsid w:val="564F4C49"/>
    <w:rsid w:val="59E3647D"/>
    <w:rsid w:val="5AB44EE9"/>
    <w:rsid w:val="5B5731CD"/>
    <w:rsid w:val="5B5B5823"/>
    <w:rsid w:val="5C6C278C"/>
    <w:rsid w:val="5D9B5582"/>
    <w:rsid w:val="5F1878E3"/>
    <w:rsid w:val="5F2EAF9C"/>
    <w:rsid w:val="60F55A2F"/>
    <w:rsid w:val="6150DA66"/>
    <w:rsid w:val="616098E3"/>
    <w:rsid w:val="620F3843"/>
    <w:rsid w:val="62E340E7"/>
    <w:rsid w:val="65596F70"/>
    <w:rsid w:val="655EF512"/>
    <w:rsid w:val="6742C858"/>
    <w:rsid w:val="67CC9904"/>
    <w:rsid w:val="681034C6"/>
    <w:rsid w:val="6D38F6D3"/>
    <w:rsid w:val="6E96EC87"/>
    <w:rsid w:val="6F99118C"/>
    <w:rsid w:val="722F9C9C"/>
    <w:rsid w:val="7259A097"/>
    <w:rsid w:val="72D8043A"/>
    <w:rsid w:val="72ED58F3"/>
    <w:rsid w:val="730AAEF2"/>
    <w:rsid w:val="753BFA56"/>
    <w:rsid w:val="76D7CAB7"/>
    <w:rsid w:val="778A6592"/>
    <w:rsid w:val="79D99867"/>
    <w:rsid w:val="7A417DE5"/>
    <w:rsid w:val="7A567D4B"/>
    <w:rsid w:val="7ABE67CF"/>
    <w:rsid w:val="7B1D9EF3"/>
    <w:rsid w:val="7BF3AFBA"/>
    <w:rsid w:val="7CDDE0CC"/>
    <w:rsid w:val="7D83A80E"/>
    <w:rsid w:val="7DDD58B6"/>
    <w:rsid w:val="7FF1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96E70"/>
  <w15:docId w15:val="{5A050AE7-50E3-40CC-BA01-C47FE78F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3"/>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
      </w:numPr>
    </w:pPr>
    <w:rPr>
      <w:rFonts w:eastAsia="Calibri"/>
      <w:szCs w:val="22"/>
      <w:lang w:bidi="ar-SA"/>
    </w:rPr>
  </w:style>
  <w:style w:type="paragraph" w:customStyle="1" w:styleId="FSBullet3">
    <w:name w:val="FSBullet 3"/>
    <w:basedOn w:val="Normal"/>
    <w:qFormat/>
    <w:rsid w:val="0015187A"/>
    <w:pPr>
      <w:keepNext/>
      <w:widowControl/>
      <w:numPr>
        <w:numId w:val="5"/>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uiPriority w:val="99"/>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styleId="Emphasis">
    <w:name w:val="Emphasis"/>
    <w:basedOn w:val="DefaultParagraphFont"/>
    <w:uiPriority w:val="20"/>
    <w:qFormat/>
    <w:rsid w:val="00921E8B"/>
    <w:rPr>
      <w:i/>
      <w:iCs/>
    </w:rPr>
  </w:style>
  <w:style w:type="paragraph" w:styleId="ListParagraph">
    <w:name w:val="List Paragraph"/>
    <w:basedOn w:val="Normal"/>
    <w:uiPriority w:val="34"/>
    <w:qFormat/>
    <w:rsid w:val="00DD026E"/>
    <w:pPr>
      <w:ind w:left="720"/>
      <w:contextualSpacing/>
    </w:pPr>
  </w:style>
  <w:style w:type="character" w:customStyle="1" w:styleId="normaltextrun">
    <w:name w:val="normaltextrun"/>
    <w:basedOn w:val="DefaultParagraphFont"/>
    <w:rsid w:val="00E30BB1"/>
  </w:style>
  <w:style w:type="paragraph" w:customStyle="1" w:styleId="FSHeading">
    <w:name w:val="FS Heading"/>
    <w:basedOn w:val="Normal"/>
    <w:link w:val="FSHeadingChar"/>
    <w:qFormat/>
    <w:rsid w:val="00AB1786"/>
    <w:pPr>
      <w:ind w:left="851" w:hanging="851"/>
    </w:pPr>
    <w:rPr>
      <w:rFonts w:eastAsia="Calibri"/>
      <w:b/>
      <w:szCs w:val="22"/>
      <w:lang w:bidi="ar-SA"/>
    </w:rPr>
  </w:style>
  <w:style w:type="character" w:customStyle="1" w:styleId="FSHeadingChar">
    <w:name w:val="FS Heading Char"/>
    <w:link w:val="FSHeading"/>
    <w:rsid w:val="00AB1786"/>
    <w:rPr>
      <w:rFonts w:ascii="Arial" w:eastAsia="Calibri" w:hAnsi="Arial"/>
      <w:b/>
      <w:sz w:val="22"/>
      <w:szCs w:val="22"/>
      <w:lang w:eastAsia="en-US"/>
    </w:rPr>
  </w:style>
  <w:style w:type="table" w:styleId="PlainTable2">
    <w:name w:val="Plain Table 2"/>
    <w:basedOn w:val="TableNormal"/>
    <w:uiPriority w:val="42"/>
    <w:rsid w:val="00CE0B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86F8F"/>
    <w:pPr>
      <w:widowControl/>
      <w:spacing w:before="100" w:beforeAutospacing="1" w:after="100" w:afterAutospacing="1"/>
    </w:pPr>
    <w:rPr>
      <w:rFonts w:ascii="Times New Roman" w:hAnsi="Times New Roman"/>
      <w:sz w:val="24"/>
      <w:lang w:eastAsia="en-GB" w:bidi="ar-SA"/>
    </w:rPr>
  </w:style>
  <w:style w:type="paragraph" w:customStyle="1" w:styleId="paragraph">
    <w:name w:val="paragraph"/>
    <w:basedOn w:val="Normal"/>
    <w:rsid w:val="0043246F"/>
    <w:pPr>
      <w:widowControl/>
      <w:spacing w:before="100" w:beforeAutospacing="1" w:after="100" w:afterAutospacing="1"/>
    </w:pPr>
    <w:rPr>
      <w:rFonts w:ascii="Times New Roman" w:hAnsi="Times New Roman"/>
      <w:sz w:val="24"/>
      <w:lang w:eastAsia="en-GB" w:bidi="ar-SA"/>
    </w:rPr>
  </w:style>
  <w:style w:type="character" w:customStyle="1" w:styleId="eop">
    <w:name w:val="eop"/>
    <w:basedOn w:val="DefaultParagraphFont"/>
    <w:rsid w:val="0043246F"/>
  </w:style>
  <w:style w:type="paragraph" w:customStyle="1" w:styleId="FooterFPHFF-15072022-20530PM">
    <w:name w:val="FooterFPHFF-15072022-20530 PM"/>
    <w:rsid w:val="005669BA"/>
    <w:pPr>
      <w:widowControl w:val="0"/>
    </w:pPr>
    <w:rPr>
      <w:rFonts w:ascii="Arial" w:hAnsi="Arial"/>
      <w:sz w:val="22"/>
      <w:szCs w:val="24"/>
      <w:lang w:eastAsia="en-US" w:bidi="en-US"/>
    </w:rPr>
  </w:style>
  <w:style w:type="paragraph" w:customStyle="1" w:styleId="FooterFPHFF-21072022-111533AM">
    <w:name w:val="FooterFPHFF-21072022-111533 AM"/>
    <w:rsid w:val="00201653"/>
    <w:rPr>
      <w:rFonts w:ascii="Arial" w:eastAsiaTheme="minorHAnsi" w:hAnsi="Arial" w:cstheme="minorBidi"/>
      <w:sz w:val="22"/>
      <w:szCs w:val="22"/>
      <w:lang w:eastAsia="en-US"/>
    </w:rPr>
  </w:style>
  <w:style w:type="paragraph" w:customStyle="1" w:styleId="HeaderEPHFF-22072022-92041AM">
    <w:name w:val="HeaderEPHFF-22072022-92041 AM"/>
    <w:rsid w:val="00201653"/>
    <w:pPr>
      <w:widowControl w:val="0"/>
    </w:pPr>
    <w:rPr>
      <w:rFonts w:ascii="Arial" w:hAnsi="Arial"/>
      <w:sz w:val="22"/>
      <w:szCs w:val="24"/>
      <w:lang w:eastAsia="en-US" w:bidi="en-US"/>
    </w:rPr>
  </w:style>
  <w:style w:type="paragraph" w:customStyle="1" w:styleId="FooterPPHFF-25072022-112358AM">
    <w:name w:val="FooterPPHFF-25072022-112358 AM"/>
    <w:rsid w:val="0033502B"/>
    <w:pPr>
      <w:widowControl w:val="0"/>
    </w:pPr>
    <w:rPr>
      <w:rFonts w:ascii="Arial" w:hAnsi="Arial"/>
      <w:sz w:val="22"/>
      <w:szCs w:val="24"/>
      <w:lang w:eastAsia="en-US" w:bidi="en-US"/>
    </w:rPr>
  </w:style>
  <w:style w:type="paragraph" w:customStyle="1" w:styleId="FooterPPHFF-25072022-42322PM">
    <w:name w:val="FooterPPHFF-25072022-42322 PM"/>
    <w:rsid w:val="008E7276"/>
    <w:rPr>
      <w:rFonts w:ascii="Arial" w:eastAsiaTheme="minorHAnsi" w:hAnsi="Arial" w:cstheme="minorBidi"/>
      <w:sz w:val="22"/>
      <w:szCs w:val="22"/>
      <w:lang w:eastAsia="en-US"/>
    </w:rPr>
  </w:style>
  <w:style w:type="paragraph" w:customStyle="1" w:styleId="HeaderFPHFF-27072022-33516PM">
    <w:name w:val="HeaderFPHFF-27072022-33516 PM"/>
    <w:rsid w:val="008E7276"/>
    <w:pPr>
      <w:widowControl w:val="0"/>
    </w:pPr>
    <w:rPr>
      <w:rFonts w:ascii="Arial" w:hAnsi="Arial"/>
      <w:sz w:val="22"/>
      <w:szCs w:val="24"/>
      <w:lang w:eastAsia="en-US" w:bidi="en-US"/>
    </w:rPr>
  </w:style>
  <w:style w:type="paragraph" w:customStyle="1" w:styleId="HeaderPPHFF-25072022-42918PM">
    <w:name w:val="HeaderPPHFF-25072022-42918 PM"/>
    <w:rsid w:val="00FB550C"/>
    <w:rPr>
      <w:rFonts w:ascii="Arial" w:hAnsi="Arial"/>
      <w:lang w:eastAsia="en-US"/>
    </w:rPr>
  </w:style>
  <w:style w:type="paragraph" w:customStyle="1" w:styleId="FooterFPHFF-25072022-42918PM">
    <w:name w:val="FooterFPHFF-25072022-42918 PM"/>
    <w:rsid w:val="00FB550C"/>
    <w:rPr>
      <w:rFonts w:ascii="Arial" w:hAnsi="Arial"/>
      <w:lang w:eastAsia="en-US"/>
    </w:rPr>
  </w:style>
  <w:style w:type="paragraph" w:customStyle="1" w:styleId="HeaderPPHFF-1082022-120049PM">
    <w:name w:val="HeaderPPHFF-1082022-120049 PM"/>
    <w:rsid w:val="005F317F"/>
    <w:pPr>
      <w:widowControl w:val="0"/>
    </w:pPr>
    <w:rPr>
      <w:rFonts w:ascii="Arial" w:hAnsi="Arial"/>
      <w:lang w:eastAsia="en-US" w:bidi="en-US"/>
    </w:rPr>
  </w:style>
  <w:style w:type="paragraph" w:customStyle="1" w:styleId="FooterFPHFF-1082022-120049PM">
    <w:name w:val="FooterFPHFF-1082022-120049 PM"/>
    <w:rsid w:val="005F317F"/>
    <w:pPr>
      <w:widowControl w:val="0"/>
    </w:pPr>
    <w:rPr>
      <w:rFonts w:ascii="Arial" w:hAnsi="Arial"/>
      <w:lang w:eastAsia="en-US" w:bidi="en-US"/>
    </w:rPr>
  </w:style>
  <w:style w:type="paragraph" w:customStyle="1" w:styleId="FooterPPHFF-1082022-112344AM">
    <w:name w:val="FooterPPHFF-1082022-112344 AM"/>
    <w:rsid w:val="00AE166F"/>
    <w:pPr>
      <w:widowControl w:val="0"/>
    </w:pPr>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99494841">
      <w:bodyDiv w:val="1"/>
      <w:marLeft w:val="0"/>
      <w:marRight w:val="0"/>
      <w:marTop w:val="0"/>
      <w:marBottom w:val="0"/>
      <w:divBdr>
        <w:top w:val="none" w:sz="0" w:space="0" w:color="auto"/>
        <w:left w:val="none" w:sz="0" w:space="0" w:color="auto"/>
        <w:bottom w:val="none" w:sz="0" w:space="0" w:color="auto"/>
        <w:right w:val="none" w:sz="0" w:space="0" w:color="auto"/>
      </w:divBdr>
    </w:div>
    <w:div w:id="1679499545">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608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s://www.foodstandards.gov.au/science/international/Pages/GM--food-safety-assessment-sharing.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39---Food-derived-from-EPA-and-DHA-producing-and-herbicide-tolerant-canola-line-LBFLFK-.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ao.org/3/a1554e/a1554e00.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bs.gov.au/statistics/health/health-conditions-and-risks/australian-health-survey-usual-nutrient-intakes/latest-releas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oodstandards.gov.au/code/applications/Pages/A1239---Food-derived-from-EPA-and-DHA-producing-and-herbicide-tolerant-canola-line-LBFLFK-.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de/applications/Pages/A1239---Food-derived-from-EPA-and-DHA-producing-and-herbicide-tolerant-canola-line-LBFLFK-.aspx" TargetMode="External"/><Relationship Id="rId2" Type="http://schemas.openxmlformats.org/officeDocument/2006/relationships/hyperlink" Target="https://www.foodstandards.gov.au/science/international/Pages/GM--food-safety-assessment-sharing.aspx" TargetMode="External"/><Relationship Id="rId1" Type="http://schemas.openxmlformats.org/officeDocument/2006/relationships/hyperlink" Target="https://www.foodstandards.gov.au/code/applications/Pages/A1239---Food-derived-from-EPA-and-DHA-producing-and-herbicide-tolerant-canola-line-LBFLF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FEE22CE0-865B-452E-AA77-B99BA8760B5B}"/>
</file>

<file path=customXml/itemProps2.xml><?xml version="1.0" encoding="utf-8"?>
<ds:datastoreItem xmlns:ds="http://schemas.openxmlformats.org/officeDocument/2006/customXml" ds:itemID="{6A38C4D7-DE86-4D9F-9CD5-941F11DDE34A}"/>
</file>

<file path=customXml/itemProps3.xml><?xml version="1.0" encoding="utf-8"?>
<ds:datastoreItem xmlns:ds="http://schemas.openxmlformats.org/officeDocument/2006/customXml" ds:itemID="{1781E1A5-8E8E-4B25-8BC6-35A228B6FA77}"/>
</file>

<file path=customXml/itemProps4.xml><?xml version="1.0" encoding="utf-8"?>
<ds:datastoreItem xmlns:ds="http://schemas.openxmlformats.org/officeDocument/2006/customXml" ds:itemID="{39941A47-97F9-455E-AE4E-79736B369A98}">
  <ds:schemaRefs>
    <ds:schemaRef ds:uri="Microsoft.SharePoint.Taxonomy.ContentTypeSync"/>
  </ds:schemaRefs>
</ds:datastoreItem>
</file>

<file path=customXml/itemProps5.xml><?xml version="1.0" encoding="utf-8"?>
<ds:datastoreItem xmlns:ds="http://schemas.openxmlformats.org/officeDocument/2006/customXml" ds:itemID="{AFB1E338-FCA5-4D02-8D55-759F9927FA32}"/>
</file>

<file path=customXml/itemProps6.xml><?xml version="1.0" encoding="utf-8"?>
<ds:datastoreItem xmlns:ds="http://schemas.openxmlformats.org/officeDocument/2006/customXml" ds:itemID="{7B1D8DEF-DF65-4645-911D-771FB00FDD15}"/>
</file>

<file path=docProps/app.xml><?xml version="1.0" encoding="utf-8"?>
<Properties xmlns="http://schemas.openxmlformats.org/officeDocument/2006/extended-properties" xmlns:vt="http://schemas.openxmlformats.org/officeDocument/2006/docPropsVTypes">
  <Template>Normal</Template>
  <TotalTime>0</TotalTime>
  <Pages>21</Pages>
  <Words>7492</Words>
  <Characters>42711</Characters>
  <Application>Microsoft Office Word</Application>
  <DocSecurity>0</DocSecurity>
  <Lines>355</Lines>
  <Paragraphs>100</Paragraphs>
  <ScaleCrop>false</ScaleCrop>
  <Company>ANZFA</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joseps</dc:creator>
  <cp:keywords/>
  <cp:lastModifiedBy>Tailee Vecchi</cp:lastModifiedBy>
  <cp:revision>2</cp:revision>
  <cp:lastPrinted>2022-09-23T01:18:00Z</cp:lastPrinted>
  <dcterms:created xsi:type="dcterms:W3CDTF">2022-09-23T01:19:00Z</dcterms:created>
  <dcterms:modified xsi:type="dcterms:W3CDTF">2022-09-23T01:19:00Z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2;#Evaluation|43cb9915-dbd2-4e45-b39d-7bc5c58c72da</vt:lpwstr>
  </property>
  <property fmtid="{D5CDD505-2E9C-101B-9397-08002B2CF9AE}" pid="19" name="Access">
    <vt:lpwstr/>
  </property>
  <property fmtid="{D5CDD505-2E9C-101B-9397-08002B2CF9AE}" pid="20" name="Classification">
    <vt:lpwstr>1;#OFFICIAL|3776503d-ed4e-4d70-8dfd-8e17b238523b</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y fmtid="{D5CDD505-2E9C-101B-9397-08002B2CF9AE}" pid="27" name="bjClsUserRVM">
    <vt:lpwstr>[]</vt:lpwstr>
  </property>
</Properties>
</file>