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21B109BD" wp14:editId="1FCF5794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B83F9F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230" w:rsidRPr="009D4307" w:rsidRDefault="00EA6230" w:rsidP="00EA6230">
            <w:pPr>
              <w:pStyle w:val="FSCtitle1"/>
              <w:rPr>
                <w:color w:val="FF0000"/>
              </w:rPr>
            </w:pPr>
            <w:r w:rsidRPr="00C90C7D">
              <w:t xml:space="preserve">No. </w:t>
            </w:r>
            <w:r w:rsidRPr="00AB2E78">
              <w:t xml:space="preserve">FSC </w:t>
            </w:r>
            <w:r w:rsidR="009D4307" w:rsidRPr="00810996">
              <w:t>9</w:t>
            </w:r>
            <w:r w:rsidR="009D4307">
              <w:t>4</w:t>
            </w:r>
            <w:r w:rsidR="009D4307" w:rsidRPr="00810996">
              <w:t>,</w:t>
            </w:r>
            <w:r w:rsidR="009D4307" w:rsidRPr="00AB2E78">
              <w:t xml:space="preserve"> Thursday,</w:t>
            </w:r>
            <w:r w:rsidR="009D4307" w:rsidRPr="000357AF">
              <w:rPr>
                <w:color w:val="FF0000"/>
              </w:rPr>
              <w:t xml:space="preserve"> </w:t>
            </w:r>
            <w:r w:rsidR="00A605DA">
              <w:t>15</w:t>
            </w:r>
            <w:bookmarkStart w:id="0" w:name="_GoBack"/>
            <w:bookmarkEnd w:id="0"/>
            <w:r w:rsidR="009D4307" w:rsidRPr="0083710C">
              <w:t xml:space="preserve"> January 2015</w:t>
            </w:r>
          </w:p>
          <w:p w:rsidR="00B83F9F" w:rsidRPr="00C90C7D" w:rsidRDefault="00B83F9F" w:rsidP="001F4122">
            <w:pPr>
              <w:rPr>
                <w:sz w:val="18"/>
              </w:rPr>
            </w:pPr>
            <w:r w:rsidRPr="00C90C7D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B83F9F" w:rsidRDefault="00B83F9F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9D4307" w:rsidRPr="00C90C7D" w:rsidRDefault="009D4307" w:rsidP="009D4307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AMENDMENT NO.</w:t>
      </w:r>
      <w:proofErr w:type="gramEnd"/>
      <w:r>
        <w:rPr>
          <w:b/>
          <w:bCs/>
          <w:sz w:val="32"/>
          <w:szCs w:val="32"/>
        </w:rPr>
        <w:t xml:space="preserve"> 152</w:t>
      </w:r>
    </w:p>
    <w:p w:rsidR="009D4307" w:rsidRPr="00C90C7D" w:rsidRDefault="009D4307" w:rsidP="009D4307">
      <w:pPr>
        <w:jc w:val="center"/>
      </w:pPr>
      <w:r w:rsidRPr="00C90C7D">
        <w:t>The following instruments are separate instruments in the Federal Register of Legislative Instruments and are known collectively in the Food Standards Gazette as Amendment No. 1</w:t>
      </w:r>
      <w:r>
        <w:t>52</w:t>
      </w:r>
      <w:r w:rsidRPr="00C90C7D">
        <w:t>.</w:t>
      </w:r>
    </w:p>
    <w:p w:rsidR="009D4307" w:rsidRPr="00C90C7D" w:rsidRDefault="009D4307" w:rsidP="009D4307">
      <w:pPr>
        <w:jc w:val="center"/>
        <w:rPr>
          <w:b/>
          <w:bCs/>
          <w:sz w:val="32"/>
          <w:szCs w:val="32"/>
        </w:rPr>
      </w:pPr>
    </w:p>
    <w:p w:rsidR="009D4307" w:rsidRPr="00C90C7D" w:rsidRDefault="009D4307" w:rsidP="009D4307">
      <w:pPr>
        <w:jc w:val="center"/>
        <w:rPr>
          <w:b/>
          <w:bCs/>
          <w:sz w:val="32"/>
          <w:szCs w:val="32"/>
        </w:rPr>
      </w:pPr>
      <w:r w:rsidRPr="00C90C7D">
        <w:rPr>
          <w:b/>
          <w:bCs/>
          <w:sz w:val="32"/>
          <w:szCs w:val="32"/>
        </w:rPr>
        <w:t>TABLE OF CONTENTS</w:t>
      </w:r>
    </w:p>
    <w:p w:rsidR="009D4307" w:rsidRPr="00C90C7D" w:rsidRDefault="009D4307" w:rsidP="009D4307">
      <w:pPr>
        <w:jc w:val="center"/>
        <w:rPr>
          <w:b/>
          <w:bCs/>
          <w:sz w:val="32"/>
          <w:szCs w:val="32"/>
        </w:rPr>
      </w:pPr>
    </w:p>
    <w:p w:rsidR="009D4307" w:rsidRDefault="009D4307" w:rsidP="009D4307">
      <w:pPr>
        <w:rPr>
          <w:b/>
        </w:rPr>
      </w:pPr>
      <w:r w:rsidRPr="006153A1">
        <w:rPr>
          <w:b/>
        </w:rPr>
        <w:t>Food Standards (</w:t>
      </w:r>
      <w:r w:rsidRPr="00F618DF">
        <w:rPr>
          <w:b/>
        </w:rPr>
        <w:t xml:space="preserve">Proposal </w:t>
      </w:r>
      <w:r>
        <w:rPr>
          <w:b/>
        </w:rPr>
        <w:t>P1029</w:t>
      </w:r>
      <w:r w:rsidRPr="00F618DF">
        <w:rPr>
          <w:b/>
        </w:rPr>
        <w:t xml:space="preserve"> </w:t>
      </w:r>
      <w:r w:rsidRPr="00A32232">
        <w:rPr>
          <w:b/>
        </w:rPr>
        <w:t xml:space="preserve">– </w:t>
      </w:r>
      <w:r>
        <w:rPr>
          <w:b/>
        </w:rPr>
        <w:t>Maximum Level for Tutin in Honey)</w:t>
      </w:r>
      <w:r w:rsidRPr="00C0014E">
        <w:rPr>
          <w:b/>
        </w:rPr>
        <w:t xml:space="preserve"> Variation</w:t>
      </w:r>
    </w:p>
    <w:p w:rsidR="001E3222" w:rsidRPr="00AE4C87" w:rsidRDefault="001E3222" w:rsidP="001E3222"/>
    <w:p w:rsidR="001E3222" w:rsidRPr="00AE4C87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Default="00DA2689" w:rsidP="00DA2689">
      <w:pPr>
        <w:tabs>
          <w:tab w:val="clear" w:pos="851"/>
          <w:tab w:val="left" w:pos="5700"/>
        </w:tabs>
      </w:pPr>
      <w:r>
        <w:tab/>
      </w:r>
    </w:p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9D4307" w:rsidRDefault="009D4307" w:rsidP="001E3222"/>
    <w:p w:rsidR="009D4307" w:rsidRDefault="009D4307" w:rsidP="001E3222"/>
    <w:p w:rsidR="009D4307" w:rsidRDefault="009D4307" w:rsidP="001E3222"/>
    <w:p w:rsidR="007F28E0" w:rsidRDefault="007F28E0" w:rsidP="001E3222"/>
    <w:p w:rsidR="00083BC4" w:rsidRDefault="00083BC4" w:rsidP="001E3222"/>
    <w:p w:rsidR="00083BC4" w:rsidRDefault="00083BC4" w:rsidP="001E3222"/>
    <w:p w:rsidR="007F28E0" w:rsidRDefault="007F28E0" w:rsidP="001E3222"/>
    <w:p w:rsidR="007F28E0" w:rsidRDefault="007F28E0" w:rsidP="001E3222"/>
    <w:p w:rsidR="001E3222" w:rsidRPr="001E3222" w:rsidRDefault="001E3222" w:rsidP="001E3222"/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9D4307">
        <w:rPr>
          <w:sz w:val="16"/>
          <w:szCs w:val="16"/>
        </w:rPr>
        <w:t>a 2015</w:t>
      </w:r>
    </w:p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:rsidR="00161FA0" w:rsidRDefault="00161FA0" w:rsidP="00161FA0">
      <w:pPr>
        <w:rPr>
          <w:sz w:val="16"/>
        </w:rPr>
      </w:pPr>
      <w:r>
        <w:rPr>
          <w:sz w:val="16"/>
        </w:rPr>
        <w:br w:type="page"/>
      </w:r>
    </w:p>
    <w:p w:rsidR="00EA6230" w:rsidRPr="00477611" w:rsidRDefault="00EA6230" w:rsidP="00EA6230">
      <w:pPr>
        <w:rPr>
          <w:noProof/>
          <w:szCs w:val="24"/>
          <w:lang w:eastAsia="en-AU" w:bidi="en-US"/>
        </w:rPr>
      </w:pPr>
      <w:r w:rsidRPr="00477611">
        <w:rPr>
          <w:noProof/>
          <w:szCs w:val="24"/>
          <w:lang w:eastAsia="en-GB"/>
        </w:rPr>
        <w:lastRenderedPageBreak/>
        <w:drawing>
          <wp:inline distT="0" distB="0" distL="0" distR="0" wp14:anchorId="00B38D95" wp14:editId="034B3D9D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30" w:rsidRPr="00477611" w:rsidRDefault="00EA6230" w:rsidP="00EA6230">
      <w:pPr>
        <w:tabs>
          <w:tab w:val="clear" w:pos="851"/>
        </w:tabs>
        <w:rPr>
          <w:noProof/>
          <w:szCs w:val="24"/>
          <w:lang w:eastAsia="en-AU" w:bidi="en-US"/>
        </w:rPr>
      </w:pPr>
    </w:p>
    <w:p w:rsidR="009D4307" w:rsidRPr="009D4307" w:rsidRDefault="009D4307" w:rsidP="009D4307">
      <w:pPr>
        <w:pBdr>
          <w:bottom w:val="single" w:sz="4" w:space="1" w:color="auto"/>
        </w:pBdr>
        <w:rPr>
          <w:b/>
        </w:rPr>
      </w:pPr>
      <w:r w:rsidRPr="009D4307">
        <w:rPr>
          <w:b/>
        </w:rPr>
        <w:t>Food Standards (Proposal P1029 – Maximum Level for Tutin in Honey) Variation</w:t>
      </w:r>
    </w:p>
    <w:p w:rsidR="009D4307" w:rsidRPr="009D4307" w:rsidRDefault="009D4307" w:rsidP="009D4307">
      <w:pPr>
        <w:pBdr>
          <w:bottom w:val="single" w:sz="4" w:space="1" w:color="auto"/>
        </w:pBdr>
        <w:rPr>
          <w:b/>
        </w:rPr>
      </w:pPr>
    </w:p>
    <w:p w:rsidR="009D4307" w:rsidRPr="009D4307" w:rsidRDefault="009D4307" w:rsidP="009D4307"/>
    <w:p w:rsidR="009D4307" w:rsidRPr="009D4307" w:rsidRDefault="009D4307" w:rsidP="009D4307">
      <w:r w:rsidRPr="009D4307">
        <w:t xml:space="preserve">The Board of Food Standards Australia New Zealand gives notice of the making of this variation under section 92 of the </w:t>
      </w:r>
      <w:r w:rsidRPr="009D4307">
        <w:rPr>
          <w:i/>
        </w:rPr>
        <w:t>Food Standards Australia New Zealand Act 1991</w:t>
      </w:r>
      <w:r w:rsidRPr="009D4307">
        <w:t>.  The Standard commences on the date specified in clause 3 of this variation.</w:t>
      </w:r>
    </w:p>
    <w:p w:rsidR="009D4307" w:rsidRPr="009D4307" w:rsidRDefault="009D4307" w:rsidP="009D4307"/>
    <w:p w:rsidR="009D4307" w:rsidRPr="009D4307" w:rsidRDefault="009D4307" w:rsidP="009D4307">
      <w:r w:rsidRPr="009D4307">
        <w:t xml:space="preserve">Dated </w:t>
      </w:r>
      <w:r w:rsidR="0083710C" w:rsidRPr="0083710C">
        <w:t>12</w:t>
      </w:r>
      <w:r w:rsidRPr="0083710C">
        <w:t xml:space="preserve"> </w:t>
      </w:r>
      <w:r w:rsidRPr="009D4307">
        <w:t>January 2015</w:t>
      </w:r>
    </w:p>
    <w:p w:rsidR="009D4307" w:rsidRPr="009D4307" w:rsidRDefault="009D4307" w:rsidP="009D4307"/>
    <w:p w:rsidR="009D4307" w:rsidRPr="009D4307" w:rsidRDefault="0083710C" w:rsidP="009D4307">
      <w:r>
        <w:rPr>
          <w:noProof/>
          <w:lang w:eastAsia="en-GB"/>
        </w:rPr>
        <w:drawing>
          <wp:inline distT="0" distB="0" distL="0" distR="0" wp14:anchorId="404F7758">
            <wp:extent cx="1853565" cy="743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4307" w:rsidRPr="009D4307" w:rsidRDefault="009D4307" w:rsidP="009D4307"/>
    <w:p w:rsidR="009D4307" w:rsidRPr="0083710C" w:rsidRDefault="006541E5" w:rsidP="009D4307">
      <w:r w:rsidRPr="0083710C">
        <w:t xml:space="preserve">Acting </w:t>
      </w:r>
      <w:r w:rsidR="009D4307" w:rsidRPr="0083710C">
        <w:t>Standards Management Officer</w:t>
      </w:r>
    </w:p>
    <w:p w:rsidR="009D4307" w:rsidRPr="009D4307" w:rsidRDefault="009D4307" w:rsidP="009D4307">
      <w:r w:rsidRPr="009D4307">
        <w:t>Delegate of the Board of Food Standards Australia New Zealand</w:t>
      </w:r>
    </w:p>
    <w:p w:rsidR="009D4307" w:rsidRPr="009D4307" w:rsidRDefault="009D4307" w:rsidP="009D4307"/>
    <w:p w:rsidR="009D4307" w:rsidRPr="009D4307" w:rsidRDefault="009D4307" w:rsidP="009D4307"/>
    <w:p w:rsidR="009D4307" w:rsidRPr="009D4307" w:rsidRDefault="009D4307" w:rsidP="009D4307"/>
    <w:p w:rsidR="009D4307" w:rsidRPr="009D4307" w:rsidRDefault="009D4307" w:rsidP="009D4307"/>
    <w:p w:rsidR="009D4307" w:rsidRPr="009D4307" w:rsidRDefault="009D4307" w:rsidP="009D4307"/>
    <w:p w:rsidR="009D4307" w:rsidRPr="009D4307" w:rsidRDefault="009D4307" w:rsidP="009D43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9D4307">
        <w:rPr>
          <w:b/>
          <w:lang w:val="en-AU"/>
        </w:rPr>
        <w:t xml:space="preserve">Note:  </w:t>
      </w:r>
    </w:p>
    <w:p w:rsidR="009D4307" w:rsidRPr="009D4307" w:rsidRDefault="009D4307" w:rsidP="009D43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:rsidR="009D4307" w:rsidRPr="009D4307" w:rsidRDefault="009D4307" w:rsidP="009D43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9D4307">
        <w:rPr>
          <w:lang w:val="en-AU"/>
        </w:rPr>
        <w:t xml:space="preserve">This variation will be published in the Commonwealth of Australia Gazette No. FSC 94 on </w:t>
      </w:r>
      <w:r w:rsidRPr="0083710C">
        <w:rPr>
          <w:lang w:val="en-AU"/>
        </w:rPr>
        <w:t>15 January 2015.</w:t>
      </w:r>
      <w:r w:rsidRPr="009D4307">
        <w:rPr>
          <w:lang w:val="en-AU"/>
        </w:rPr>
        <w:t xml:space="preserve"> This means that this date is the gazettal date for the purposes of clause 3 of the variation. </w:t>
      </w:r>
    </w:p>
    <w:p w:rsidR="009D4307" w:rsidRPr="009D4307" w:rsidRDefault="009D4307" w:rsidP="009D4307"/>
    <w:p w:rsidR="009D4307" w:rsidRPr="009D4307" w:rsidRDefault="009D4307" w:rsidP="009D4307">
      <w:pPr>
        <w:widowControl/>
      </w:pPr>
      <w:r w:rsidRPr="009D4307">
        <w:br w:type="page"/>
      </w:r>
    </w:p>
    <w:p w:rsidR="009D4307" w:rsidRPr="009D4307" w:rsidRDefault="009D4307" w:rsidP="009D4307">
      <w:pPr>
        <w:keepNext/>
        <w:rPr>
          <w:b/>
          <w:lang w:bidi="en-US"/>
        </w:rPr>
      </w:pPr>
      <w:r w:rsidRPr="009D4307">
        <w:rPr>
          <w:b/>
          <w:lang w:bidi="en-US"/>
        </w:rPr>
        <w:lastRenderedPageBreak/>
        <w:t>1</w:t>
      </w:r>
      <w:r w:rsidRPr="009D4307">
        <w:rPr>
          <w:b/>
          <w:lang w:bidi="en-US"/>
        </w:rPr>
        <w:tab/>
        <w:t>Name</w:t>
      </w:r>
    </w:p>
    <w:p w:rsidR="009D4307" w:rsidRPr="009D4307" w:rsidRDefault="009D4307" w:rsidP="009D4307"/>
    <w:p w:rsidR="009D4307" w:rsidRPr="009D4307" w:rsidRDefault="009D4307" w:rsidP="009D4307">
      <w:r w:rsidRPr="009D4307">
        <w:t xml:space="preserve">This instrument is the </w:t>
      </w:r>
      <w:r w:rsidRPr="009D4307">
        <w:rPr>
          <w:i/>
        </w:rPr>
        <w:t>Food Standards (Proposal P1029 – Maximum Level for Tutin in Honey) Variation</w:t>
      </w:r>
      <w:r w:rsidRPr="009D4307">
        <w:t>.</w:t>
      </w:r>
    </w:p>
    <w:p w:rsidR="009D4307" w:rsidRPr="009D4307" w:rsidRDefault="009D4307" w:rsidP="009D4307"/>
    <w:p w:rsidR="009D4307" w:rsidRPr="009D4307" w:rsidRDefault="009D4307" w:rsidP="009D4307">
      <w:pPr>
        <w:keepNext/>
        <w:tabs>
          <w:tab w:val="clear" w:pos="851"/>
        </w:tabs>
        <w:ind w:left="851" w:hanging="851"/>
        <w:rPr>
          <w:b/>
          <w:lang w:bidi="en-US"/>
        </w:rPr>
      </w:pPr>
      <w:r w:rsidRPr="009D4307">
        <w:rPr>
          <w:b/>
          <w:lang w:bidi="en-US"/>
        </w:rPr>
        <w:t>2</w:t>
      </w:r>
      <w:r w:rsidRPr="009D4307">
        <w:rPr>
          <w:b/>
          <w:lang w:bidi="en-US"/>
        </w:rPr>
        <w:tab/>
        <w:t xml:space="preserve">Variation to Standards in the </w:t>
      </w:r>
      <w:r w:rsidRPr="009D4307">
        <w:rPr>
          <w:b/>
          <w:i/>
          <w:lang w:bidi="en-US"/>
        </w:rPr>
        <w:t>Australia New Zealand Food Standards Code</w:t>
      </w:r>
    </w:p>
    <w:p w:rsidR="009D4307" w:rsidRPr="009D4307" w:rsidRDefault="009D4307" w:rsidP="009D4307"/>
    <w:p w:rsidR="009D4307" w:rsidRPr="009D4307" w:rsidRDefault="009D4307" w:rsidP="009D4307">
      <w:r w:rsidRPr="009D4307">
        <w:t xml:space="preserve">The Schedule varies Standards in the </w:t>
      </w:r>
      <w:r w:rsidRPr="009D4307">
        <w:rPr>
          <w:i/>
        </w:rPr>
        <w:t>Australia New Zealand Food Standards Code</w:t>
      </w:r>
      <w:r w:rsidRPr="009D4307">
        <w:t>.</w:t>
      </w:r>
    </w:p>
    <w:p w:rsidR="009D4307" w:rsidRPr="009D4307" w:rsidRDefault="009D4307" w:rsidP="009D4307"/>
    <w:p w:rsidR="009D4307" w:rsidRPr="009D4307" w:rsidRDefault="009D4307" w:rsidP="009D4307">
      <w:pPr>
        <w:keepNext/>
        <w:rPr>
          <w:b/>
          <w:lang w:bidi="en-US"/>
        </w:rPr>
      </w:pPr>
      <w:r w:rsidRPr="009D4307">
        <w:rPr>
          <w:b/>
          <w:lang w:bidi="en-US"/>
        </w:rPr>
        <w:t>3</w:t>
      </w:r>
      <w:r w:rsidRPr="009D4307">
        <w:rPr>
          <w:b/>
          <w:lang w:bidi="en-US"/>
        </w:rPr>
        <w:tab/>
        <w:t>Commencement</w:t>
      </w:r>
    </w:p>
    <w:p w:rsidR="009D4307" w:rsidRPr="009D4307" w:rsidRDefault="009D4307" w:rsidP="009D4307"/>
    <w:p w:rsidR="009D4307" w:rsidRPr="009D4307" w:rsidRDefault="009D4307" w:rsidP="009D4307">
      <w:pPr>
        <w:rPr>
          <w:rFonts w:eastAsia="Calibri" w:cs="Arial"/>
          <w:sz w:val="22"/>
          <w:szCs w:val="22"/>
        </w:rPr>
      </w:pPr>
      <w:r w:rsidRPr="009D4307">
        <w:t>The variation commences on</w:t>
      </w:r>
      <w:r w:rsidRPr="009D4307">
        <w:rPr>
          <w:rFonts w:eastAsia="Calibri" w:cs="Arial"/>
          <w:sz w:val="22"/>
          <w:szCs w:val="22"/>
        </w:rPr>
        <w:t xml:space="preserve"> </w:t>
      </w:r>
      <w:r w:rsidRPr="009D4307">
        <w:rPr>
          <w:rFonts w:eastAsia="Calibri"/>
        </w:rPr>
        <w:t>the date of gazettal.</w:t>
      </w:r>
    </w:p>
    <w:p w:rsidR="009D4307" w:rsidRPr="009D4307" w:rsidRDefault="009D4307" w:rsidP="009D4307">
      <w:pPr>
        <w:jc w:val="center"/>
        <w:rPr>
          <w:b/>
          <w:caps/>
        </w:rPr>
      </w:pPr>
    </w:p>
    <w:p w:rsidR="009D4307" w:rsidRPr="009D4307" w:rsidRDefault="009D4307" w:rsidP="009D4307">
      <w:pPr>
        <w:jc w:val="center"/>
        <w:rPr>
          <w:b/>
          <w:caps/>
        </w:rPr>
      </w:pPr>
      <w:r w:rsidRPr="009D4307">
        <w:rPr>
          <w:b/>
          <w:caps/>
        </w:rPr>
        <w:t>SCHEDULE</w:t>
      </w:r>
    </w:p>
    <w:p w:rsidR="009D4307" w:rsidRPr="009D4307" w:rsidRDefault="009D4307" w:rsidP="009D4307">
      <w:pPr>
        <w:widowControl/>
      </w:pPr>
    </w:p>
    <w:p w:rsidR="009D4307" w:rsidRPr="009D4307" w:rsidRDefault="009D4307" w:rsidP="009D4307">
      <w:r w:rsidRPr="009D4307">
        <w:rPr>
          <w:b/>
        </w:rPr>
        <w:t>[1]</w:t>
      </w:r>
      <w:r w:rsidRPr="009D4307">
        <w:rPr>
          <w:b/>
        </w:rPr>
        <w:tab/>
        <w:t>Standard 1.4.1</w:t>
      </w:r>
      <w:r w:rsidRPr="009D4307">
        <w:t xml:space="preserve"> is varied by</w:t>
      </w:r>
    </w:p>
    <w:p w:rsidR="009D4307" w:rsidRPr="009D4307" w:rsidRDefault="009D4307" w:rsidP="009D4307">
      <w:pPr>
        <w:widowControl/>
      </w:pPr>
    </w:p>
    <w:p w:rsidR="009D4307" w:rsidRPr="009D4307" w:rsidRDefault="009D4307" w:rsidP="009D4307">
      <w:pPr>
        <w:widowControl/>
      </w:pPr>
      <w:r w:rsidRPr="009D4307">
        <w:t>[1.1]</w:t>
      </w:r>
      <w:r w:rsidRPr="009D4307">
        <w:tab/>
        <w:t>inserting in subclause 5(1) in alphabetical order</w:t>
      </w:r>
    </w:p>
    <w:p w:rsidR="009D4307" w:rsidRPr="009D4307" w:rsidRDefault="009D4307" w:rsidP="009D4307">
      <w:pPr>
        <w:ind w:hanging="11"/>
      </w:pPr>
    </w:p>
    <w:p w:rsidR="009D4307" w:rsidRPr="009D4307" w:rsidRDefault="009D4307" w:rsidP="009D4307">
      <w:pPr>
        <w:ind w:left="1701" w:hanging="851"/>
      </w:pPr>
      <w:r w:rsidRPr="009D4307">
        <w:t>“</w:t>
      </w:r>
      <w:proofErr w:type="gramStart"/>
      <w:r w:rsidRPr="009D4307">
        <w:rPr>
          <w:b/>
        </w:rPr>
        <w:t>honey</w:t>
      </w:r>
      <w:proofErr w:type="gramEnd"/>
      <w:r w:rsidRPr="009D4307">
        <w:t xml:space="preserve"> includes comb honey.”</w:t>
      </w:r>
    </w:p>
    <w:p w:rsidR="009D4307" w:rsidRPr="009D4307" w:rsidRDefault="009D4307" w:rsidP="009D4307">
      <w:pPr>
        <w:ind w:hanging="11"/>
      </w:pPr>
    </w:p>
    <w:p w:rsidR="009D4307" w:rsidRPr="009D4307" w:rsidRDefault="009D4307" w:rsidP="009D4307">
      <w:pPr>
        <w:widowControl/>
      </w:pPr>
      <w:r w:rsidRPr="009D4307">
        <w:t>[1.2]</w:t>
      </w:r>
      <w:r w:rsidRPr="009D4307">
        <w:tab/>
        <w:t>omitting subclause 5(5), and substituting</w:t>
      </w:r>
    </w:p>
    <w:p w:rsidR="009D4307" w:rsidRPr="009D4307" w:rsidRDefault="009D4307" w:rsidP="009D4307">
      <w:pPr>
        <w:ind w:hanging="11"/>
      </w:pPr>
    </w:p>
    <w:p w:rsidR="009D4307" w:rsidRPr="009D4307" w:rsidRDefault="009D4307" w:rsidP="009D4307">
      <w:pPr>
        <w:widowControl/>
      </w:pPr>
      <w:r w:rsidRPr="009D4307">
        <w:t>“(5)</w:t>
      </w:r>
      <w:r w:rsidRPr="009D4307">
        <w:tab/>
        <w:t>Subclause 1(2) of Standard 1.1.1 does not apply to honey for the purposes of the Table to clause 5.</w:t>
      </w:r>
    </w:p>
    <w:p w:rsidR="009D4307" w:rsidRPr="009D4307" w:rsidRDefault="009D4307" w:rsidP="009D4307">
      <w:pPr>
        <w:ind w:hanging="11"/>
      </w:pPr>
    </w:p>
    <w:p w:rsidR="009D4307" w:rsidRPr="009D4307" w:rsidRDefault="009D4307" w:rsidP="009D4307">
      <w:pPr>
        <w:widowControl/>
      </w:pPr>
      <w:r w:rsidRPr="009D4307">
        <w:t>(6)</w:t>
      </w:r>
      <w:r w:rsidRPr="009D4307">
        <w:tab/>
        <w:t>Notwithstanding subclauses 5(2) and (3), honey that was packaged for retail sale before the commencement of the Food Standards (Proposal P1029 – Maximum Level for Tutin in Honey) Variation is taken to comply with this clause if the product otherwise complied with the Code before that variation commenced.”</w:t>
      </w:r>
    </w:p>
    <w:p w:rsidR="009D4307" w:rsidRPr="009D4307" w:rsidRDefault="009D4307" w:rsidP="009D4307">
      <w:pPr>
        <w:ind w:hanging="11"/>
      </w:pPr>
    </w:p>
    <w:p w:rsidR="009D4307" w:rsidRPr="009D4307" w:rsidRDefault="009D4307" w:rsidP="009D4307">
      <w:pPr>
        <w:widowControl/>
      </w:pPr>
      <w:r w:rsidRPr="009D4307">
        <w:t>[1.3]</w:t>
      </w:r>
      <w:r w:rsidRPr="009D4307">
        <w:tab/>
        <w:t>omitting from the Table to clause 5</w:t>
      </w:r>
    </w:p>
    <w:p w:rsidR="009D4307" w:rsidRPr="009D4307" w:rsidRDefault="009D4307" w:rsidP="009D4307"/>
    <w:p w:rsidR="009D4307" w:rsidRPr="009D4307" w:rsidRDefault="009D4307" w:rsidP="009D4307">
      <w:r w:rsidRPr="009D4307">
        <w:t>“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9D4307" w:rsidRPr="009D4307" w:rsidTr="00F64824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rPr>
                <w:bCs/>
                <w:sz w:val="18"/>
              </w:rPr>
            </w:pPr>
            <w:r w:rsidRPr="009D4307">
              <w:rPr>
                <w:bCs/>
                <w:sz w:val="18"/>
              </w:rPr>
              <w:t>Tutin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rPr>
                <w:bCs/>
                <w:sz w:val="18"/>
              </w:rPr>
            </w:pPr>
            <w:r w:rsidRPr="009D4307">
              <w:rPr>
                <w:bCs/>
                <w:sz w:val="18"/>
              </w:rPr>
              <w:t>Tutin in honey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jc w:val="center"/>
              <w:rPr>
                <w:bCs/>
                <w:sz w:val="18"/>
              </w:rPr>
            </w:pPr>
            <w:r w:rsidRPr="009D4307">
              <w:rPr>
                <w:bCs/>
                <w:sz w:val="18"/>
              </w:rPr>
              <w:t>2</w:t>
            </w:r>
          </w:p>
        </w:tc>
      </w:tr>
      <w:tr w:rsidR="009D4307" w:rsidRPr="009D4307" w:rsidTr="00F64824">
        <w:trPr>
          <w:cantSplit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rPr>
                <w:bCs/>
                <w:sz w:val="18"/>
              </w:rPr>
            </w:pPr>
            <w:r w:rsidRPr="009D4307">
              <w:rPr>
                <w:bCs/>
                <w:sz w:val="18"/>
              </w:rPr>
              <w:t>Tutin in comb honey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jc w:val="center"/>
              <w:rPr>
                <w:bCs/>
                <w:sz w:val="18"/>
              </w:rPr>
            </w:pPr>
            <w:r w:rsidRPr="009D4307">
              <w:rPr>
                <w:bCs/>
                <w:sz w:val="18"/>
              </w:rPr>
              <w:t>0.1</w:t>
            </w:r>
          </w:p>
        </w:tc>
      </w:tr>
      <w:tr w:rsidR="009D4307" w:rsidRPr="009D4307" w:rsidTr="00F64824">
        <w:trPr>
          <w:cantSplit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rPr>
                <w:bCs/>
                <w:sz w:val="18"/>
              </w:rPr>
            </w:pPr>
          </w:p>
        </w:tc>
      </w:tr>
    </w:tbl>
    <w:p w:rsidR="009D4307" w:rsidRPr="009D4307" w:rsidRDefault="009D4307" w:rsidP="009D4307">
      <w:pPr>
        <w:jc w:val="right"/>
        <w:rPr>
          <w:rFonts w:cs="Arial"/>
        </w:rPr>
      </w:pPr>
      <w:r w:rsidRPr="009D4307">
        <w:rPr>
          <w:rFonts w:cs="Arial"/>
        </w:rPr>
        <w:t>”</w:t>
      </w:r>
    </w:p>
    <w:p w:rsidR="009D4307" w:rsidRPr="009D4307" w:rsidRDefault="009D4307" w:rsidP="009D4307">
      <w:pPr>
        <w:rPr>
          <w:b/>
        </w:rPr>
      </w:pPr>
    </w:p>
    <w:p w:rsidR="009D4307" w:rsidRPr="009D4307" w:rsidRDefault="009D4307" w:rsidP="009D4307">
      <w:pPr>
        <w:widowControl/>
      </w:pPr>
      <w:proofErr w:type="gramStart"/>
      <w:r w:rsidRPr="009D4307">
        <w:t>and</w:t>
      </w:r>
      <w:proofErr w:type="gramEnd"/>
      <w:r w:rsidRPr="009D4307">
        <w:t xml:space="preserve"> substituting</w:t>
      </w:r>
    </w:p>
    <w:p w:rsidR="009D4307" w:rsidRPr="009D4307" w:rsidRDefault="009D4307" w:rsidP="009D4307"/>
    <w:p w:rsidR="009D4307" w:rsidRPr="009D4307" w:rsidRDefault="009D4307" w:rsidP="009D4307">
      <w:r w:rsidRPr="009D4307">
        <w:t>“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9D4307" w:rsidRPr="009D4307" w:rsidTr="00F64824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rPr>
                <w:bCs/>
                <w:sz w:val="18"/>
              </w:rPr>
            </w:pPr>
            <w:r w:rsidRPr="009D4307">
              <w:rPr>
                <w:bCs/>
                <w:sz w:val="18"/>
              </w:rPr>
              <w:t>Tutin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rPr>
                <w:bCs/>
                <w:sz w:val="18"/>
              </w:rPr>
            </w:pPr>
            <w:r w:rsidRPr="009D4307">
              <w:rPr>
                <w:bCs/>
                <w:sz w:val="18"/>
              </w:rPr>
              <w:t>Honey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jc w:val="center"/>
              <w:rPr>
                <w:bCs/>
                <w:sz w:val="18"/>
              </w:rPr>
            </w:pPr>
            <w:r w:rsidRPr="009D4307">
              <w:rPr>
                <w:bCs/>
                <w:sz w:val="18"/>
              </w:rPr>
              <w:t>0.7</w:t>
            </w:r>
          </w:p>
        </w:tc>
      </w:tr>
      <w:tr w:rsidR="009D4307" w:rsidRPr="009D4307" w:rsidTr="00F64824">
        <w:trPr>
          <w:cantSplit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07" w:rsidRPr="009D4307" w:rsidRDefault="009D4307" w:rsidP="009D4307">
            <w:pPr>
              <w:ind w:left="142" w:hanging="142"/>
              <w:jc w:val="center"/>
              <w:rPr>
                <w:bCs/>
                <w:sz w:val="18"/>
              </w:rPr>
            </w:pPr>
          </w:p>
        </w:tc>
      </w:tr>
    </w:tbl>
    <w:p w:rsidR="009D4307" w:rsidRPr="009D4307" w:rsidRDefault="009D4307" w:rsidP="009D4307">
      <w:pPr>
        <w:jc w:val="right"/>
        <w:rPr>
          <w:lang w:eastAsia="en-GB"/>
        </w:rPr>
      </w:pPr>
      <w:r w:rsidRPr="009D4307">
        <w:t>”</w:t>
      </w:r>
    </w:p>
    <w:p w:rsidR="009D4307" w:rsidRPr="009D4307" w:rsidRDefault="009D4307" w:rsidP="009D4307">
      <w:pPr>
        <w:rPr>
          <w:lang w:eastAsia="en-GB"/>
        </w:rPr>
      </w:pPr>
    </w:p>
    <w:p w:rsidR="009D4307" w:rsidRPr="009D4307" w:rsidRDefault="009D4307" w:rsidP="009D4307">
      <w:pPr>
        <w:widowControl/>
        <w:rPr>
          <w:lang w:eastAsia="en-GB"/>
        </w:rPr>
      </w:pPr>
      <w:r w:rsidRPr="009D4307">
        <w:rPr>
          <w:lang w:eastAsia="en-GB"/>
        </w:rPr>
        <w:t>[1.4]</w:t>
      </w:r>
      <w:r w:rsidRPr="009D4307">
        <w:rPr>
          <w:lang w:eastAsia="en-GB"/>
        </w:rPr>
        <w:tab/>
        <w:t>inserting after the Table to clause 5</w:t>
      </w:r>
    </w:p>
    <w:p w:rsidR="009D4307" w:rsidRPr="009D4307" w:rsidRDefault="009D4307" w:rsidP="009D4307">
      <w:pPr>
        <w:widowControl/>
        <w:rPr>
          <w:lang w:eastAsia="en-GB"/>
        </w:rPr>
      </w:pPr>
    </w:p>
    <w:p w:rsidR="009D4307" w:rsidRPr="009D4307" w:rsidRDefault="009D4307" w:rsidP="009D4307">
      <w:pPr>
        <w:widowControl/>
        <w:rPr>
          <w:lang w:eastAsia="en-GB"/>
        </w:rPr>
      </w:pPr>
      <w:r w:rsidRPr="009D4307">
        <w:rPr>
          <w:lang w:eastAsia="en-GB"/>
        </w:rPr>
        <w:t>“</w:t>
      </w:r>
    </w:p>
    <w:p w:rsidR="009D4307" w:rsidRPr="009D4307" w:rsidRDefault="009D4307" w:rsidP="009D43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</w:rPr>
      </w:pPr>
      <w:r w:rsidRPr="009D4307">
        <w:rPr>
          <w:b/>
        </w:rPr>
        <w:t>Editorial note:</w:t>
      </w:r>
    </w:p>
    <w:p w:rsidR="009D4307" w:rsidRPr="009D4307" w:rsidRDefault="009D4307" w:rsidP="009D43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</w:rPr>
      </w:pPr>
    </w:p>
    <w:p w:rsidR="009D4307" w:rsidRPr="009D4307" w:rsidRDefault="009D4307" w:rsidP="009D43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eastAsia="en-GB"/>
        </w:rPr>
      </w:pPr>
      <w:r w:rsidRPr="009D4307">
        <w:rPr>
          <w:lang w:eastAsia="en-GB"/>
        </w:rPr>
        <w:t xml:space="preserve">The New Zealand </w:t>
      </w:r>
      <w:r w:rsidRPr="009D4307">
        <w:rPr>
          <w:i/>
        </w:rPr>
        <w:t>Food (Tutin in Honey) Standard 2010</w:t>
      </w:r>
      <w:r w:rsidRPr="009D4307">
        <w:t xml:space="preserve"> also regulates beekeepers, packers and exporters of honey in New Zealand. It provides options </w:t>
      </w:r>
      <w:r w:rsidRPr="009D4307">
        <w:rPr>
          <w:rFonts w:cs="Arial"/>
        </w:rPr>
        <w:t>for demonstrating compliance with the maximum level for tutin in honey set by clause 5 of Standard 1.4.1.</w:t>
      </w:r>
    </w:p>
    <w:p w:rsidR="009D4307" w:rsidRPr="009D4307" w:rsidRDefault="009D4307" w:rsidP="009D4307">
      <w:pPr>
        <w:jc w:val="right"/>
        <w:rPr>
          <w:lang w:eastAsia="en-GB"/>
        </w:rPr>
      </w:pPr>
      <w:r w:rsidRPr="009D4307">
        <w:t>”</w:t>
      </w:r>
    </w:p>
    <w:p w:rsidR="009D4307" w:rsidRPr="009D4307" w:rsidRDefault="009D4307" w:rsidP="009D4307">
      <w:pPr>
        <w:widowControl/>
        <w:jc w:val="right"/>
        <w:rPr>
          <w:lang w:eastAsia="en-GB"/>
        </w:rPr>
      </w:pPr>
    </w:p>
    <w:p w:rsidR="009D4307" w:rsidRPr="009D4307" w:rsidRDefault="009D4307" w:rsidP="009D4307">
      <w:r w:rsidRPr="009D4307">
        <w:t>[</w:t>
      </w:r>
      <w:r w:rsidRPr="009D4307">
        <w:rPr>
          <w:b/>
        </w:rPr>
        <w:t>2]</w:t>
      </w:r>
      <w:r w:rsidRPr="009D4307">
        <w:rPr>
          <w:b/>
        </w:rPr>
        <w:tab/>
        <w:t>Standard 1.4.4</w:t>
      </w:r>
      <w:r w:rsidRPr="009D4307">
        <w:t xml:space="preserve"> is varied by omitting the Editorial Note after clause 1, and substituting</w:t>
      </w:r>
    </w:p>
    <w:p w:rsidR="009D4307" w:rsidRPr="009D4307" w:rsidRDefault="009D4307" w:rsidP="009D4307">
      <w:pPr>
        <w:widowControl/>
        <w:jc w:val="both"/>
      </w:pPr>
    </w:p>
    <w:p w:rsidR="009D4307" w:rsidRPr="009D4307" w:rsidRDefault="009D4307" w:rsidP="009D4307">
      <w:pPr>
        <w:widowControl/>
        <w:rPr>
          <w:lang w:eastAsia="en-GB"/>
        </w:rPr>
      </w:pPr>
      <w:r w:rsidRPr="009D4307">
        <w:rPr>
          <w:lang w:eastAsia="en-GB"/>
        </w:rPr>
        <w:br w:type="page"/>
      </w:r>
    </w:p>
    <w:p w:rsidR="009D4307" w:rsidRPr="009D4307" w:rsidRDefault="009D4307" w:rsidP="009D4307">
      <w:pPr>
        <w:widowControl/>
        <w:rPr>
          <w:lang w:eastAsia="en-GB"/>
        </w:rPr>
      </w:pPr>
      <w:r w:rsidRPr="009D4307">
        <w:rPr>
          <w:lang w:eastAsia="en-GB"/>
        </w:rPr>
        <w:lastRenderedPageBreak/>
        <w:t>“</w:t>
      </w:r>
    </w:p>
    <w:p w:rsidR="009D4307" w:rsidRPr="009D4307" w:rsidRDefault="009D4307" w:rsidP="009D43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</w:rPr>
      </w:pPr>
      <w:r w:rsidRPr="009D4307">
        <w:rPr>
          <w:b/>
        </w:rPr>
        <w:t>Editorial note:</w:t>
      </w:r>
    </w:p>
    <w:p w:rsidR="009D4307" w:rsidRPr="009D4307" w:rsidRDefault="009D4307" w:rsidP="009D43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</w:rPr>
      </w:pPr>
    </w:p>
    <w:p w:rsidR="009D4307" w:rsidRPr="009D4307" w:rsidRDefault="009D4307" w:rsidP="009D43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</w:pPr>
      <w:r w:rsidRPr="009D4307">
        <w:t>Subclause (1) is not intended to prohibit the natural presence of plants and fungi in food; or the unintentional addition of plants and fungi to food that occur within the bounds of recognised acceptable Good Agricultural Practice or Good Manufacturing Practice.  If a public health and safety concern is identified because of the presence of such substances, they will be addressed through the setting of a limit on these substances in final food products</w:t>
      </w:r>
      <w:r w:rsidRPr="009D4307">
        <w:rPr>
          <w:rFonts w:cs="Arial"/>
        </w:rPr>
        <w:t>. Standard 1.4.1 establishes maximum limits for some natural toxicants in food.</w:t>
      </w:r>
    </w:p>
    <w:p w:rsidR="009D4307" w:rsidRPr="009D4307" w:rsidRDefault="009D4307" w:rsidP="009D4307">
      <w:pPr>
        <w:jc w:val="right"/>
        <w:rPr>
          <w:lang w:eastAsia="en-GB"/>
        </w:rPr>
      </w:pPr>
      <w:r w:rsidRPr="009D4307">
        <w:t>”</w:t>
      </w:r>
    </w:p>
    <w:p w:rsidR="009D4307" w:rsidRPr="009D4307" w:rsidRDefault="009D4307" w:rsidP="009D4307"/>
    <w:sectPr w:rsidR="009D4307" w:rsidRPr="009D4307" w:rsidSect="001E3222">
      <w:footerReference w:type="default" r:id="rId12"/>
      <w:type w:val="continuous"/>
      <w:pgSz w:w="11900" w:h="16840" w:code="9"/>
      <w:pgMar w:top="1418" w:right="1418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73" w:rsidRDefault="00844F73">
      <w:r>
        <w:separator/>
      </w:r>
    </w:p>
    <w:p w:rsidR="00844F73" w:rsidRDefault="00844F73"/>
  </w:endnote>
  <w:endnote w:type="continuationSeparator" w:id="0">
    <w:p w:rsidR="00844F73" w:rsidRDefault="00844F73">
      <w:r>
        <w:continuationSeparator/>
      </w:r>
    </w:p>
    <w:p w:rsidR="00844F73" w:rsidRDefault="0084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73" w:rsidRPr="009D4E32" w:rsidRDefault="00844F73" w:rsidP="009D4E32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 w:rsidR="00A605DA">
      <w:rPr>
        <w:noProof/>
      </w:rPr>
      <w:t>4</w:t>
    </w:r>
    <w:r w:rsidRPr="009D4E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73" w:rsidRDefault="00844F73">
      <w:r>
        <w:separator/>
      </w:r>
    </w:p>
    <w:p w:rsidR="00844F73" w:rsidRDefault="00844F73"/>
  </w:footnote>
  <w:footnote w:type="continuationSeparator" w:id="0">
    <w:p w:rsidR="00844F73" w:rsidRDefault="00844F73">
      <w:r>
        <w:continuationSeparator/>
      </w:r>
    </w:p>
    <w:p w:rsidR="00844F73" w:rsidRDefault="00844F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B7CC8"/>
    <w:multiLevelType w:val="multilevel"/>
    <w:tmpl w:val="B950A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78511C"/>
    <w:multiLevelType w:val="hybridMultilevel"/>
    <w:tmpl w:val="06FEA0B2"/>
    <w:lvl w:ilvl="0" w:tplc="F9EA314E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35C87B8C"/>
    <w:multiLevelType w:val="hybridMultilevel"/>
    <w:tmpl w:val="C3FE607C"/>
    <w:lvl w:ilvl="0" w:tplc="0642748C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32C1D"/>
    <w:multiLevelType w:val="hybridMultilevel"/>
    <w:tmpl w:val="5B7610CC"/>
    <w:lvl w:ilvl="0" w:tplc="4A94980A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CB520D"/>
    <w:multiLevelType w:val="hybridMultilevel"/>
    <w:tmpl w:val="E5DE0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D084E"/>
    <w:multiLevelType w:val="hybridMultilevel"/>
    <w:tmpl w:val="F80EC6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54945"/>
    <w:multiLevelType w:val="hybridMultilevel"/>
    <w:tmpl w:val="1BFA972E"/>
    <w:lvl w:ilvl="0" w:tplc="47F04936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61C333A4"/>
    <w:multiLevelType w:val="hybridMultilevel"/>
    <w:tmpl w:val="B270F9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6B57EA"/>
    <w:multiLevelType w:val="hybridMultilevel"/>
    <w:tmpl w:val="1D688492"/>
    <w:lvl w:ilvl="0" w:tplc="0C0A5AFE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6B6F626F"/>
    <w:multiLevelType w:val="hybridMultilevel"/>
    <w:tmpl w:val="3D207BFA"/>
    <w:lvl w:ilvl="0" w:tplc="0122ECF0">
      <w:start w:val="2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>
    <w:nsid w:val="6F7E0620"/>
    <w:multiLevelType w:val="hybridMultilevel"/>
    <w:tmpl w:val="636C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>
    <w:nsid w:val="7B2D3BA2"/>
    <w:multiLevelType w:val="hybridMultilevel"/>
    <w:tmpl w:val="1396B0B2"/>
    <w:lvl w:ilvl="0" w:tplc="86EA4A48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7B7469A8"/>
    <w:multiLevelType w:val="hybridMultilevel"/>
    <w:tmpl w:val="FBD6D332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22"/>
  </w:num>
  <w:num w:numId="9">
    <w:abstractNumId w:val="11"/>
  </w:num>
  <w:num w:numId="10">
    <w:abstractNumId w:val="16"/>
  </w:num>
  <w:num w:numId="11">
    <w:abstractNumId w:val="21"/>
  </w:num>
  <w:num w:numId="12">
    <w:abstractNumId w:val="6"/>
  </w:num>
  <w:num w:numId="13">
    <w:abstractNumId w:val="17"/>
  </w:num>
  <w:num w:numId="14">
    <w:abstractNumId w:val="3"/>
  </w:num>
  <w:num w:numId="15">
    <w:abstractNumId w:val="15"/>
  </w:num>
  <w:num w:numId="16">
    <w:abstractNumId w:val="4"/>
  </w:num>
  <w:num w:numId="17">
    <w:abstractNumId w:val="19"/>
  </w:num>
  <w:num w:numId="18">
    <w:abstractNumId w:val="13"/>
  </w:num>
  <w:num w:numId="19">
    <w:abstractNumId w:val="18"/>
  </w:num>
  <w:num w:numId="20">
    <w:abstractNumId w:val="20"/>
  </w:num>
  <w:num w:numId="21">
    <w:abstractNumId w:val="8"/>
  </w:num>
  <w:num w:numId="22">
    <w:abstractNumId w:val="12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41E5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3710C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9440A"/>
    <w:rsid w:val="00996330"/>
    <w:rsid w:val="009A3626"/>
    <w:rsid w:val="009B681C"/>
    <w:rsid w:val="009B6ADE"/>
    <w:rsid w:val="009C74C3"/>
    <w:rsid w:val="009D326A"/>
    <w:rsid w:val="009D4307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5DA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63DE"/>
    <w:rsid w:val="00C21D6C"/>
    <w:rsid w:val="00C24254"/>
    <w:rsid w:val="00C243B0"/>
    <w:rsid w:val="00C24C42"/>
    <w:rsid w:val="00C40ECF"/>
    <w:rsid w:val="00C45ACC"/>
    <w:rsid w:val="00C47EFE"/>
    <w:rsid w:val="00C47F49"/>
    <w:rsid w:val="00C5022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3F49BD-CA68-454B-B4DA-374DA50A4E6C}"/>
</file>

<file path=customXml/itemProps2.xml><?xml version="1.0" encoding="utf-8"?>
<ds:datastoreItem xmlns:ds="http://schemas.openxmlformats.org/officeDocument/2006/customXml" ds:itemID="{9A2DFC73-D466-4935-AC57-0BB3A5616A25}"/>
</file>

<file path=customXml/itemProps3.xml><?xml version="1.0" encoding="utf-8"?>
<ds:datastoreItem xmlns:ds="http://schemas.openxmlformats.org/officeDocument/2006/customXml" ds:itemID="{AB63CFFD-5A11-4770-BAFF-5B7A5CAC7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568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3735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Gazette-152</dc:title>
  <dc:creator>humphc</dc:creator>
  <cp:lastModifiedBy>seamoc</cp:lastModifiedBy>
  <cp:revision>28</cp:revision>
  <cp:lastPrinted>2014-05-12T03:35:00Z</cp:lastPrinted>
  <dcterms:created xsi:type="dcterms:W3CDTF">2011-09-02T07:13:00Z</dcterms:created>
  <dcterms:modified xsi:type="dcterms:W3CDTF">2015-01-13T04:06:00Z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