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96D7513" wp14:editId="67311DB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DC2727" w:rsidRDefault="00A671E6" w:rsidP="00A671E6"/>
    <w:p w:rsidR="00DC2727" w:rsidRDefault="00DC2727" w:rsidP="00DC2727">
      <w:pPr>
        <w:rPr>
          <w:b/>
          <w:sz w:val="28"/>
          <w:szCs w:val="28"/>
        </w:rPr>
      </w:pPr>
      <w:r>
        <w:rPr>
          <w:b/>
          <w:sz w:val="28"/>
          <w:szCs w:val="28"/>
        </w:rPr>
        <w:t>27 May 2014</w:t>
      </w:r>
    </w:p>
    <w:p w:rsidR="00DC2727" w:rsidRDefault="00DC2727" w:rsidP="00DC2727">
      <w:pPr>
        <w:rPr>
          <w:b/>
          <w:sz w:val="28"/>
          <w:szCs w:val="28"/>
        </w:rPr>
      </w:pPr>
      <w:r>
        <w:rPr>
          <w:b/>
          <w:sz w:val="28"/>
          <w:szCs w:val="28"/>
        </w:rPr>
        <w:t>[09–14]</w:t>
      </w:r>
    </w:p>
    <w:p w:rsidR="00A671E6" w:rsidRPr="00A671E6" w:rsidRDefault="00A671E6" w:rsidP="00A671E6"/>
    <w:p w:rsidR="0012388D" w:rsidRPr="000B427A" w:rsidRDefault="00B425AA" w:rsidP="00B425AA">
      <w:pPr>
        <w:pStyle w:val="FSTitle"/>
      </w:pPr>
      <w:r w:rsidRPr="00CA5734">
        <w:t>A</w:t>
      </w:r>
      <w:r w:rsidR="00DD265C">
        <w:t>pproval</w:t>
      </w:r>
      <w:r w:rsidRPr="00CA5734">
        <w:t xml:space="preserve"> R</w:t>
      </w:r>
      <w:r w:rsidR="00DD265C" w:rsidRPr="00CA5734">
        <w:t>eport</w:t>
      </w:r>
      <w:r w:rsidRPr="000B427A">
        <w:t xml:space="preserve"> –</w:t>
      </w:r>
      <w:r w:rsidR="00A741EA">
        <w:t xml:space="preserve"> </w:t>
      </w:r>
      <w:r w:rsidR="00CA5734" w:rsidRPr="00A741EA">
        <w:t>P</w:t>
      </w:r>
      <w:r w:rsidR="00DD265C" w:rsidRPr="00A741EA">
        <w:t>roposal</w:t>
      </w:r>
      <w:r w:rsidR="00CA5734" w:rsidRPr="00A741EA">
        <w:t xml:space="preserve"> P</w:t>
      </w:r>
      <w:r w:rsidR="00A741EA" w:rsidRPr="00A741EA">
        <w:t>1014</w:t>
      </w:r>
    </w:p>
    <w:p w:rsidR="003A7B84" w:rsidRPr="00CA5734" w:rsidRDefault="003A7B84" w:rsidP="00A671E6"/>
    <w:p w:rsidR="0012388D" w:rsidRPr="00A741EA" w:rsidRDefault="00A741EA" w:rsidP="00B425AA">
      <w:pPr>
        <w:pStyle w:val="FSTitle"/>
      </w:pPr>
      <w:r w:rsidRPr="00A741EA">
        <w:t>Primary Production &amp; Processing Standard for Meat &amp; Meat Products</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Pr="0052582B" w:rsidRDefault="000F3CFE" w:rsidP="00CA5734">
      <w:r w:rsidRPr="0052582B">
        <w:t>Food Standards Australia New Zealand (FSANZ) has</w:t>
      </w:r>
      <w:r w:rsidR="00081B0A" w:rsidRPr="0052582B">
        <w:t xml:space="preserve"> assessed </w:t>
      </w:r>
      <w:r w:rsidR="00CA5734" w:rsidRPr="0052582B">
        <w:t>a proposal</w:t>
      </w:r>
      <w:r w:rsidR="00081B0A" w:rsidRPr="0052582B">
        <w:t xml:space="preserve"> </w:t>
      </w:r>
      <w:r w:rsidR="00682841">
        <w:t xml:space="preserve">it </w:t>
      </w:r>
      <w:r w:rsidR="003A7B84" w:rsidRPr="0052582B">
        <w:t>prepared</w:t>
      </w:r>
      <w:r w:rsidR="00682841">
        <w:t xml:space="preserve"> </w:t>
      </w:r>
      <w:r w:rsidR="00CA5734" w:rsidRPr="0052582B">
        <w:t>to</w:t>
      </w:r>
      <w:r w:rsidR="00081B0A" w:rsidRPr="0052582B">
        <w:t xml:space="preserve"> </w:t>
      </w:r>
      <w:r w:rsidR="00A741EA" w:rsidRPr="0052582B">
        <w:t xml:space="preserve">examine food safety management in the primary production and processing stages of the meat supply chain. </w:t>
      </w:r>
    </w:p>
    <w:p w:rsidR="00CA5734" w:rsidRPr="0052582B" w:rsidRDefault="00CA5734" w:rsidP="00CA5734"/>
    <w:p w:rsidR="00081B0A" w:rsidRPr="0052582B" w:rsidRDefault="00081B0A" w:rsidP="00CA5734">
      <w:r w:rsidRPr="0052582B">
        <w:t xml:space="preserve">On </w:t>
      </w:r>
      <w:r w:rsidR="00A741EA" w:rsidRPr="0052582B">
        <w:t>8 October 2013</w:t>
      </w:r>
      <w:r w:rsidR="003A7B84" w:rsidRPr="0052582B">
        <w:t>,</w:t>
      </w:r>
      <w:r w:rsidRPr="0052582B">
        <w:t xml:space="preserve"> FSANZ sought </w:t>
      </w:r>
      <w:r w:rsidR="003A7B84" w:rsidRPr="0052582B">
        <w:t xml:space="preserve">submissions </w:t>
      </w:r>
      <w:r w:rsidR="00A671E6" w:rsidRPr="0052582B">
        <w:t xml:space="preserve">on </w:t>
      </w:r>
      <w:r w:rsidR="00F526BD" w:rsidRPr="0052582B">
        <w:t xml:space="preserve">a draft </w:t>
      </w:r>
      <w:r w:rsidR="00E30092" w:rsidRPr="0052582B">
        <w:t xml:space="preserve">variation </w:t>
      </w:r>
      <w:r w:rsidR="0052582B" w:rsidRPr="0052582B">
        <w:t xml:space="preserve">to </w:t>
      </w:r>
      <w:r w:rsidR="00272785">
        <w:t>the Australia</w:t>
      </w:r>
      <w:r w:rsidR="00C37AE9">
        <w:t>-</w:t>
      </w:r>
      <w:r w:rsidR="00272785">
        <w:t xml:space="preserve">only </w:t>
      </w:r>
      <w:r w:rsidR="0052582B" w:rsidRPr="0052582B">
        <w:t>Standard</w:t>
      </w:r>
      <w:r w:rsidR="00C33D3C">
        <w:t>s</w:t>
      </w:r>
      <w:r w:rsidR="0052582B" w:rsidRPr="0052582B">
        <w:t xml:space="preserve"> </w:t>
      </w:r>
      <w:r w:rsidR="00C33D3C">
        <w:t xml:space="preserve">1.6.2 – Processing Requirements and </w:t>
      </w:r>
      <w:r w:rsidR="0052582B" w:rsidRPr="0052582B">
        <w:t xml:space="preserve">4.2.3 – Primary Production and Processing Standard for Meat </w:t>
      </w:r>
      <w:r w:rsidR="003A7B84" w:rsidRPr="0052582B">
        <w:t xml:space="preserve">and published an </w:t>
      </w:r>
      <w:r w:rsidR="00EC21DF" w:rsidRPr="0052582B">
        <w:t>associated r</w:t>
      </w:r>
      <w:r w:rsidR="003A7B84" w:rsidRPr="0052582B">
        <w:t>eport</w:t>
      </w:r>
      <w:r w:rsidRPr="0052582B">
        <w:t>.</w:t>
      </w:r>
      <w:r w:rsidR="00F526BD" w:rsidRPr="0052582B">
        <w:t xml:space="preserve"> FSANZ received </w:t>
      </w:r>
      <w:r w:rsidR="0052582B" w:rsidRPr="0052582B">
        <w:t>11</w:t>
      </w:r>
      <w:r w:rsidR="00F526BD" w:rsidRPr="0052582B">
        <w:t xml:space="preserve"> submissions.</w:t>
      </w:r>
    </w:p>
    <w:p w:rsidR="00CA5734" w:rsidRDefault="00CA5734" w:rsidP="00CA5734"/>
    <w:p w:rsidR="00DC2727" w:rsidRPr="00DC2727" w:rsidRDefault="00081B0A" w:rsidP="00CA5734">
      <w:r w:rsidRPr="00DC2727">
        <w:t xml:space="preserve">FSANZ approved the draft </w:t>
      </w:r>
      <w:r w:rsidR="00E30092" w:rsidRPr="00DC2727">
        <w:t>variation</w:t>
      </w:r>
      <w:r w:rsidR="00DC2727" w:rsidRPr="00DC2727">
        <w:t>s</w:t>
      </w:r>
      <w:r w:rsidR="003A7B84" w:rsidRPr="00DC2727">
        <w:t xml:space="preserve"> </w:t>
      </w:r>
      <w:r w:rsidR="0012388D" w:rsidRPr="00DC2727">
        <w:t xml:space="preserve">on </w:t>
      </w:r>
      <w:r w:rsidR="00DC2727" w:rsidRPr="00DC2727">
        <w:t>14 May 2014</w:t>
      </w:r>
      <w:r w:rsidRPr="00DC2727">
        <w:t xml:space="preserve">. </w:t>
      </w:r>
      <w:r w:rsidR="003A7B84" w:rsidRPr="00DC2727">
        <w:t xml:space="preserve">The </w:t>
      </w:r>
      <w:r w:rsidR="00861C13" w:rsidRPr="00DC2727">
        <w:rPr>
          <w:rFonts w:cs="Arial"/>
        </w:rPr>
        <w:t>COAG Legislative and Governance Forum on Food Regulation</w:t>
      </w:r>
      <w:r w:rsidR="00861C13" w:rsidRPr="00DC2727">
        <w:rPr>
          <w:rStyle w:val="FootnoteReference"/>
          <w:rFonts w:cs="Arial"/>
        </w:rPr>
        <w:footnoteReference w:id="1"/>
      </w:r>
      <w:r w:rsidR="00861C13" w:rsidRPr="00DC2727">
        <w:rPr>
          <w:rFonts w:cs="Arial"/>
        </w:rPr>
        <w:t xml:space="preserve"> (F</w:t>
      </w:r>
      <w:r w:rsidR="00014E34" w:rsidRPr="00DC2727">
        <w:rPr>
          <w:rFonts w:cs="Arial"/>
        </w:rPr>
        <w:t>orum</w:t>
      </w:r>
      <w:r w:rsidR="00861C13" w:rsidRPr="00DC2727">
        <w:rPr>
          <w:rFonts w:cs="Arial"/>
        </w:rPr>
        <w:t>)</w:t>
      </w:r>
      <w:r w:rsidR="003A7B84" w:rsidRPr="00DC2727">
        <w:t xml:space="preserve"> was notified of FSANZ’s decision on </w:t>
      </w:r>
    </w:p>
    <w:p w:rsidR="00081B0A" w:rsidRPr="00DC2727" w:rsidRDefault="00DC2727" w:rsidP="00CA5734">
      <w:r w:rsidRPr="00DC2727">
        <w:t>26 May 2014</w:t>
      </w:r>
      <w:r w:rsidR="003A7B84" w:rsidRPr="00DC2727">
        <w:t>.</w:t>
      </w:r>
    </w:p>
    <w:p w:rsidR="00CA5734" w:rsidRDefault="00CA5734" w:rsidP="00CA5734"/>
    <w:p w:rsidR="00081B0A" w:rsidRPr="0052582B" w:rsidRDefault="003A7B84" w:rsidP="00CA5734">
      <w:r w:rsidRPr="0052582B">
        <w:t>This R</w:t>
      </w:r>
      <w:r w:rsidR="00B425AA" w:rsidRPr="0052582B">
        <w:t xml:space="preserve">eport is provided pursuant to </w:t>
      </w:r>
      <w:r w:rsidR="009A2699" w:rsidRPr="0052582B">
        <w:t>paragraph</w:t>
      </w:r>
      <w:r w:rsidR="00081B0A" w:rsidRPr="0052582B">
        <w:t xml:space="preserve"> </w:t>
      </w:r>
      <w:r w:rsidR="00F33470" w:rsidRPr="0052582B">
        <w:t>63(1)(b)</w:t>
      </w:r>
      <w:r w:rsidR="00081B0A" w:rsidRPr="0052582B">
        <w:t xml:space="preserve"> of the </w:t>
      </w:r>
      <w:r w:rsidR="00081B0A" w:rsidRPr="0052582B">
        <w:rPr>
          <w:i/>
        </w:rPr>
        <w:t>Food Standards Australia New Zealand Act 1991</w:t>
      </w:r>
      <w:r w:rsidR="00081B0A" w:rsidRPr="0052582B">
        <w:t xml:space="preserve"> (the FSANZ Act).</w:t>
      </w:r>
    </w:p>
    <w:p w:rsidR="00F526BD" w:rsidRPr="0052582B" w:rsidRDefault="00F526BD" w:rsidP="00A671E6"/>
    <w:p w:rsidR="00EB6590" w:rsidRDefault="00EB6590" w:rsidP="00F526BD"/>
    <w:p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CE59AA" w:rsidRDefault="00CE59AA" w:rsidP="00CE59AA">
      <w:pPr>
        <w:rPr>
          <w:rFonts w:cs="Arial"/>
        </w:rPr>
      </w:pPr>
    </w:p>
    <w:p w:rsidR="005D6AAF" w:rsidRPr="005D6AAF"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5D6AAF">
        <w:rPr>
          <w:rFonts w:ascii="Arial" w:hAnsi="Arial" w:cs="Arial"/>
          <w:b w:val="0"/>
          <w:bCs w:val="0"/>
          <w:caps w:val="0"/>
          <w:smallCaps/>
          <w:sz w:val="28"/>
          <w:szCs w:val="28"/>
        </w:rPr>
        <w:fldChar w:fldCharType="begin"/>
      </w:r>
      <w:r w:rsidRPr="005D6AAF">
        <w:rPr>
          <w:rFonts w:ascii="Arial" w:hAnsi="Arial" w:cs="Arial"/>
          <w:sz w:val="28"/>
          <w:szCs w:val="28"/>
        </w:rPr>
        <w:instrText xml:space="preserve"> TOC \h \z \t "Heading 1,1,Heading 2,2,Heading 3,3" </w:instrText>
      </w:r>
      <w:r w:rsidRPr="005D6AAF">
        <w:rPr>
          <w:rFonts w:ascii="Arial" w:hAnsi="Arial" w:cs="Arial"/>
          <w:b w:val="0"/>
          <w:bCs w:val="0"/>
          <w:caps w:val="0"/>
          <w:smallCaps/>
          <w:sz w:val="28"/>
          <w:szCs w:val="28"/>
        </w:rPr>
        <w:fldChar w:fldCharType="separate"/>
      </w:r>
      <w:hyperlink w:anchor="_Toc387850945" w:history="1">
        <w:r w:rsidR="005D6AAF" w:rsidRPr="005D6AAF">
          <w:rPr>
            <w:rStyle w:val="Hyperlink"/>
            <w:rFonts w:ascii="Arial" w:hAnsi="Arial" w:cs="Arial"/>
            <w:noProof/>
          </w:rPr>
          <w:t>Executive summary</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_Toc387850945 \h </w:instrText>
        </w:r>
        <w:r w:rsidR="005D6AAF" w:rsidRPr="005D6AAF">
          <w:rPr>
            <w:rFonts w:ascii="Arial" w:hAnsi="Arial" w:cs="Arial"/>
            <w:noProof/>
            <w:webHidden/>
          </w:rPr>
        </w:r>
        <w:r w:rsidR="005D6AAF" w:rsidRPr="005D6AAF">
          <w:rPr>
            <w:rFonts w:ascii="Arial" w:hAnsi="Arial" w:cs="Arial"/>
            <w:noProof/>
            <w:webHidden/>
          </w:rPr>
          <w:fldChar w:fldCharType="separate"/>
        </w:r>
        <w:r w:rsidR="00E116B8">
          <w:rPr>
            <w:rFonts w:ascii="Arial" w:hAnsi="Arial" w:cs="Arial"/>
            <w:noProof/>
            <w:webHidden/>
          </w:rPr>
          <w:t>2</w:t>
        </w:r>
        <w:r w:rsidR="005D6AAF" w:rsidRPr="005D6AAF">
          <w:rPr>
            <w:rFonts w:ascii="Arial" w:hAnsi="Arial" w:cs="Arial"/>
            <w:noProof/>
            <w:webHidden/>
          </w:rPr>
          <w:fldChar w:fldCharType="end"/>
        </w:r>
      </w:hyperlink>
    </w:p>
    <w:p w:rsidR="005D6AAF" w:rsidRPr="005D6AAF" w:rsidRDefault="00E116B8">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87850946" w:history="1">
        <w:r w:rsidR="005D6AAF" w:rsidRPr="005D6AAF">
          <w:rPr>
            <w:rStyle w:val="Hyperlink"/>
            <w:rFonts w:ascii="Arial" w:hAnsi="Arial" w:cs="Arial"/>
            <w:noProof/>
          </w:rPr>
          <w:t>1</w:t>
        </w:r>
        <w:r w:rsidR="005D6AAF" w:rsidRPr="005D6AAF">
          <w:rPr>
            <w:rFonts w:ascii="Arial" w:eastAsiaTheme="minorEastAsia" w:hAnsi="Arial" w:cs="Arial"/>
            <w:b w:val="0"/>
            <w:bCs w:val="0"/>
            <w:caps w:val="0"/>
            <w:noProof/>
            <w:sz w:val="22"/>
            <w:szCs w:val="22"/>
            <w:lang w:eastAsia="en-GB" w:bidi="ar-SA"/>
          </w:rPr>
          <w:tab/>
        </w:r>
        <w:r w:rsidR="005D6AAF" w:rsidRPr="005D6AAF">
          <w:rPr>
            <w:rStyle w:val="Hyperlink"/>
            <w:rFonts w:ascii="Arial" w:hAnsi="Arial" w:cs="Arial"/>
            <w:noProof/>
          </w:rPr>
          <w:t>Introduction</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_Toc387850946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3</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47" w:history="1">
        <w:r w:rsidR="005D6AAF" w:rsidRPr="005D6AAF">
          <w:rPr>
            <w:rStyle w:val="Hyperlink"/>
            <w:rFonts w:ascii="Arial" w:hAnsi="Arial" w:cs="Arial"/>
            <w:noProof/>
          </w:rPr>
          <w:t>1.1</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The Proposal</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_Toc387850947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3</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48" w:history="1">
        <w:r w:rsidR="005D6AAF" w:rsidRPr="005D6AAF">
          <w:rPr>
            <w:rStyle w:val="Hyperlink"/>
            <w:rFonts w:ascii="Arial" w:hAnsi="Arial" w:cs="Arial"/>
            <w:noProof/>
          </w:rPr>
          <w:t>1.2</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The current Standard</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_Toc387850948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3</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49" w:history="1">
        <w:r w:rsidR="005D6AAF" w:rsidRPr="005D6AAF">
          <w:rPr>
            <w:rStyle w:val="Hyperlink"/>
            <w:rFonts w:ascii="Arial" w:hAnsi="Arial" w:cs="Arial"/>
            <w:noProof/>
            <w:u w:color="FFFF00"/>
          </w:rPr>
          <w:t>1.3</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u w:color="FFFF00"/>
          </w:rPr>
          <w:t xml:space="preserve">Reasons for </w:t>
        </w:r>
        <w:r w:rsidR="005D6AAF" w:rsidRPr="005D6AAF">
          <w:rPr>
            <w:rStyle w:val="Hyperlink"/>
            <w:rFonts w:ascii="Arial" w:hAnsi="Arial" w:cs="Arial"/>
            <w:noProof/>
          </w:rPr>
          <w:t>preparing Proposal</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_Toc387850949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4</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0" w:history="1">
        <w:r w:rsidR="005D6AAF" w:rsidRPr="005D6AAF">
          <w:rPr>
            <w:rStyle w:val="Hyperlink"/>
            <w:rFonts w:ascii="Arial" w:hAnsi="Arial" w:cs="Arial"/>
            <w:noProof/>
          </w:rPr>
          <w:t>1.4</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Procedure for assessment</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_Toc387850950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4</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1" w:history="1">
        <w:r w:rsidR="005D6AAF" w:rsidRPr="005D6AAF">
          <w:rPr>
            <w:rStyle w:val="Hyperlink"/>
            <w:rFonts w:ascii="Arial" w:hAnsi="Arial" w:cs="Arial"/>
            <w:noProof/>
          </w:rPr>
          <w:t>1.5</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Decision</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_Toc387850951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4</w:t>
        </w:r>
        <w:r w:rsidR="005D6AAF" w:rsidRPr="005D6AAF">
          <w:rPr>
            <w:rFonts w:ascii="Arial" w:hAnsi="Arial" w:cs="Arial"/>
            <w:noProof/>
            <w:webHidden/>
          </w:rPr>
          <w:fldChar w:fldCharType="end"/>
        </w:r>
      </w:hyperlink>
    </w:p>
    <w:p w:rsidR="005D6AAF" w:rsidRPr="005D6AAF" w:rsidRDefault="00E116B8">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87850952" w:history="1">
        <w:r w:rsidR="005D6AAF" w:rsidRPr="005D6AAF">
          <w:rPr>
            <w:rStyle w:val="Hyperlink"/>
            <w:rFonts w:ascii="Arial" w:hAnsi="Arial" w:cs="Arial"/>
            <w:noProof/>
          </w:rPr>
          <w:t>2</w:t>
        </w:r>
        <w:r w:rsidR="005D6AAF" w:rsidRPr="005D6AAF">
          <w:rPr>
            <w:rFonts w:ascii="Arial" w:eastAsiaTheme="minorEastAsia" w:hAnsi="Arial" w:cs="Arial"/>
            <w:b w:val="0"/>
            <w:bCs w:val="0"/>
            <w:caps w:val="0"/>
            <w:noProof/>
            <w:sz w:val="22"/>
            <w:szCs w:val="22"/>
            <w:lang w:eastAsia="en-GB" w:bidi="ar-SA"/>
          </w:rPr>
          <w:tab/>
        </w:r>
        <w:r w:rsidR="005D6AAF" w:rsidRPr="005D6AAF">
          <w:rPr>
            <w:rStyle w:val="Hyperlink"/>
            <w:rFonts w:ascii="Arial" w:hAnsi="Arial" w:cs="Arial"/>
            <w:noProof/>
          </w:rPr>
          <w:t xml:space="preserve">Summary </w:t>
        </w:r>
        <w:r w:rsidR="005D6AAF" w:rsidRPr="005D6AAF">
          <w:rPr>
            <w:rStyle w:val="Hyperlink"/>
            <w:rFonts w:ascii="Arial" w:hAnsi="Arial" w:cs="Arial"/>
            <w:noProof/>
            <w:u w:color="FFFF00"/>
          </w:rPr>
          <w:t>of</w:t>
        </w:r>
        <w:r w:rsidR="005D6AAF" w:rsidRPr="005D6AAF">
          <w:rPr>
            <w:rStyle w:val="Hyperlink"/>
            <w:rFonts w:ascii="Arial" w:hAnsi="Arial" w:cs="Arial"/>
            <w:noProof/>
          </w:rPr>
          <w:t xml:space="preserve"> the findings</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_Toc387850952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5</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3" w:history="1">
        <w:r w:rsidR="005D6AAF" w:rsidRPr="005D6AAF">
          <w:rPr>
            <w:rStyle w:val="Hyperlink"/>
            <w:rFonts w:ascii="Arial" w:hAnsi="Arial" w:cs="Arial"/>
            <w:noProof/>
          </w:rPr>
          <w:t>2.1</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Summary of issues raised in submissions</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_Toc387850953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5</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4" w:history="1">
        <w:r w:rsidR="005D6AAF" w:rsidRPr="005D6AAF">
          <w:rPr>
            <w:rStyle w:val="Hyperlink"/>
            <w:rFonts w:ascii="Arial" w:hAnsi="Arial" w:cs="Arial"/>
            <w:noProof/>
          </w:rPr>
          <w:t>2.2</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Risk assessment</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_Toc387850954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9</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5" w:history="1">
        <w:r w:rsidR="005D6AAF" w:rsidRPr="005D6AAF">
          <w:rPr>
            <w:rStyle w:val="Hyperlink"/>
            <w:rFonts w:ascii="Arial" w:hAnsi="Arial" w:cs="Arial"/>
            <w:noProof/>
          </w:rPr>
          <w:t>2.3</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Risk management</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_Toc387850955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10</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6" w:history="1">
        <w:r w:rsidR="005D6AAF" w:rsidRPr="005D6AAF">
          <w:rPr>
            <w:rStyle w:val="Hyperlink"/>
            <w:rFonts w:ascii="Arial" w:hAnsi="Arial" w:cs="Arial"/>
            <w:noProof/>
          </w:rPr>
          <w:t>2.4</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Risk communication</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_Toc387850956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10</w:t>
        </w:r>
        <w:r w:rsidR="005D6AAF" w:rsidRPr="005D6AAF">
          <w:rPr>
            <w:rFonts w:ascii="Arial" w:hAnsi="Arial" w:cs="Arial"/>
            <w:noProof/>
            <w:webHidden/>
          </w:rPr>
          <w:fldChar w:fldCharType="end"/>
        </w:r>
      </w:hyperlink>
    </w:p>
    <w:p w:rsidR="005D6AAF" w:rsidRPr="005D6AAF" w:rsidRDefault="00E116B8">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87850957" w:history="1">
        <w:r w:rsidR="005D6AAF" w:rsidRPr="005D6AAF">
          <w:rPr>
            <w:rStyle w:val="Hyperlink"/>
            <w:rFonts w:ascii="Arial" w:hAnsi="Arial" w:cs="Arial"/>
            <w:noProof/>
          </w:rPr>
          <w:t>2.4.1</w:t>
        </w:r>
        <w:r w:rsidR="005D6AAF" w:rsidRPr="005D6AAF">
          <w:rPr>
            <w:rFonts w:ascii="Arial" w:eastAsiaTheme="minorEastAsia" w:hAnsi="Arial" w:cs="Arial"/>
            <w:i w:val="0"/>
            <w:iCs w:val="0"/>
            <w:noProof/>
            <w:sz w:val="22"/>
            <w:szCs w:val="22"/>
            <w:lang w:eastAsia="en-GB" w:bidi="ar-SA"/>
          </w:rPr>
          <w:tab/>
        </w:r>
        <w:r w:rsidR="005D6AAF" w:rsidRPr="005D6AAF">
          <w:rPr>
            <w:rStyle w:val="Hyperlink"/>
            <w:rFonts w:ascii="Arial" w:hAnsi="Arial" w:cs="Arial"/>
            <w:noProof/>
          </w:rPr>
          <w:t>Consultation</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_Toc387850957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10</w:t>
        </w:r>
        <w:r w:rsidR="005D6AAF" w:rsidRPr="005D6AAF">
          <w:rPr>
            <w:rFonts w:ascii="Arial" w:hAnsi="Arial" w:cs="Arial"/>
            <w:noProof/>
            <w:webHidden/>
          </w:rPr>
          <w:fldChar w:fldCharType="end"/>
        </w:r>
      </w:hyperlink>
    </w:p>
    <w:p w:rsidR="005D6AAF" w:rsidRPr="005D6AAF" w:rsidRDefault="00E116B8">
      <w:pPr>
        <w:pStyle w:val="TOC2"/>
        <w:tabs>
          <w:tab w:val="left" w:pos="880"/>
          <w:tab w:val="right" w:leader="dot" w:pos="9016"/>
        </w:tabs>
        <w:rPr>
          <w:rFonts w:ascii="Arial" w:eastAsiaTheme="minorEastAsia" w:hAnsi="Arial" w:cs="Arial"/>
          <w:smallCaps w:val="0"/>
          <w:noProof/>
          <w:sz w:val="22"/>
          <w:szCs w:val="22"/>
          <w:lang w:eastAsia="en-GB" w:bidi="ar-SA"/>
        </w:rPr>
      </w:pPr>
      <w:hyperlink w:anchor="_Toc387850958" w:history="1">
        <w:r w:rsidR="005D6AAF" w:rsidRPr="005D6AAF">
          <w:rPr>
            <w:rStyle w:val="Hyperlink"/>
            <w:rFonts w:ascii="Arial" w:hAnsi="Arial" w:cs="Arial"/>
            <w:noProof/>
          </w:rPr>
          <w:t>2.5</w:t>
        </w:r>
        <w:r w:rsidR="005D6AAF" w:rsidRPr="005D6AAF">
          <w:rPr>
            <w:rFonts w:ascii="Arial" w:eastAsiaTheme="minorEastAsia" w:hAnsi="Arial" w:cs="Arial"/>
            <w:smallCaps w:val="0"/>
            <w:noProof/>
            <w:sz w:val="22"/>
            <w:szCs w:val="22"/>
            <w:lang w:eastAsia="en-GB" w:bidi="ar-SA"/>
          </w:rPr>
          <w:tab/>
        </w:r>
        <w:r w:rsidR="005D6AAF" w:rsidRPr="005D6AAF">
          <w:rPr>
            <w:rStyle w:val="Hyperlink"/>
            <w:rFonts w:ascii="Arial" w:hAnsi="Arial" w:cs="Arial"/>
            <w:noProof/>
          </w:rPr>
          <w:t>FSANZ Act assessment requirements</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_Toc387850958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11</w:t>
        </w:r>
        <w:r w:rsidR="005D6AAF" w:rsidRPr="005D6AAF">
          <w:rPr>
            <w:rFonts w:ascii="Arial" w:hAnsi="Arial" w:cs="Arial"/>
            <w:noProof/>
            <w:webHidden/>
          </w:rPr>
          <w:fldChar w:fldCharType="end"/>
        </w:r>
      </w:hyperlink>
    </w:p>
    <w:p w:rsidR="005D6AAF" w:rsidRPr="005D6AAF" w:rsidRDefault="00E116B8">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87850959" w:history="1">
        <w:r w:rsidR="005D6AAF" w:rsidRPr="005D6AAF">
          <w:rPr>
            <w:rStyle w:val="Hyperlink"/>
            <w:rFonts w:ascii="Arial" w:hAnsi="Arial" w:cs="Arial"/>
            <w:noProof/>
          </w:rPr>
          <w:t>2.5.1</w:t>
        </w:r>
        <w:r w:rsidR="005D6AAF" w:rsidRPr="005D6AAF">
          <w:rPr>
            <w:rFonts w:ascii="Arial" w:eastAsiaTheme="minorEastAsia" w:hAnsi="Arial" w:cs="Arial"/>
            <w:i w:val="0"/>
            <w:iCs w:val="0"/>
            <w:noProof/>
            <w:sz w:val="22"/>
            <w:szCs w:val="22"/>
            <w:lang w:eastAsia="en-GB" w:bidi="ar-SA"/>
          </w:rPr>
          <w:tab/>
        </w:r>
        <w:r w:rsidR="005D6AAF" w:rsidRPr="005D6AAF">
          <w:rPr>
            <w:rStyle w:val="Hyperlink"/>
            <w:rFonts w:ascii="Arial" w:hAnsi="Arial" w:cs="Arial"/>
            <w:noProof/>
          </w:rPr>
          <w:t>Section 59</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_Toc387850959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11</w:t>
        </w:r>
        <w:r w:rsidR="005D6AAF" w:rsidRPr="005D6AAF">
          <w:rPr>
            <w:rFonts w:ascii="Arial" w:hAnsi="Arial" w:cs="Arial"/>
            <w:noProof/>
            <w:webHidden/>
          </w:rPr>
          <w:fldChar w:fldCharType="end"/>
        </w:r>
      </w:hyperlink>
    </w:p>
    <w:p w:rsidR="005D6AAF" w:rsidRPr="005D6AAF" w:rsidRDefault="00E116B8">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387850960" w:history="1">
        <w:r w:rsidR="005D6AAF" w:rsidRPr="005D6AAF">
          <w:rPr>
            <w:rStyle w:val="Hyperlink"/>
            <w:rFonts w:ascii="Arial" w:hAnsi="Arial" w:cs="Arial"/>
            <w:noProof/>
          </w:rPr>
          <w:t>2.5.2.</w:t>
        </w:r>
        <w:r w:rsidR="005D6AAF" w:rsidRPr="005D6AAF">
          <w:rPr>
            <w:rFonts w:ascii="Arial" w:eastAsiaTheme="minorEastAsia" w:hAnsi="Arial" w:cs="Arial"/>
            <w:i w:val="0"/>
            <w:iCs w:val="0"/>
            <w:noProof/>
            <w:sz w:val="22"/>
            <w:szCs w:val="22"/>
            <w:lang w:eastAsia="en-GB" w:bidi="ar-SA"/>
          </w:rPr>
          <w:tab/>
        </w:r>
        <w:r w:rsidR="005D6AAF" w:rsidRPr="005D6AAF">
          <w:rPr>
            <w:rStyle w:val="Hyperlink"/>
            <w:rFonts w:ascii="Arial" w:hAnsi="Arial" w:cs="Arial"/>
            <w:noProof/>
          </w:rPr>
          <w:t>Subsection 18(1)</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_Toc387850960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12</w:t>
        </w:r>
        <w:r w:rsidR="005D6AAF" w:rsidRPr="005D6AAF">
          <w:rPr>
            <w:rFonts w:ascii="Arial" w:hAnsi="Arial" w:cs="Arial"/>
            <w:noProof/>
            <w:webHidden/>
          </w:rPr>
          <w:fldChar w:fldCharType="end"/>
        </w:r>
      </w:hyperlink>
    </w:p>
    <w:p w:rsidR="005D6AAF" w:rsidRPr="005D6AAF" w:rsidRDefault="00E116B8">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87850961" w:history="1">
        <w:r w:rsidR="005D6AAF" w:rsidRPr="005D6AAF">
          <w:rPr>
            <w:rStyle w:val="Hyperlink"/>
            <w:rFonts w:ascii="Arial" w:hAnsi="Arial" w:cs="Arial"/>
            <w:noProof/>
          </w:rPr>
          <w:t>3</w:t>
        </w:r>
        <w:r w:rsidR="005D6AAF" w:rsidRPr="005D6AAF">
          <w:rPr>
            <w:rFonts w:ascii="Arial" w:eastAsiaTheme="minorEastAsia" w:hAnsi="Arial" w:cs="Arial"/>
            <w:b w:val="0"/>
            <w:bCs w:val="0"/>
            <w:caps w:val="0"/>
            <w:noProof/>
            <w:sz w:val="22"/>
            <w:szCs w:val="22"/>
            <w:lang w:eastAsia="en-GB" w:bidi="ar-SA"/>
          </w:rPr>
          <w:tab/>
        </w:r>
        <w:r w:rsidR="005D6AAF" w:rsidRPr="005D6AAF">
          <w:rPr>
            <w:rStyle w:val="Hyperlink"/>
            <w:rFonts w:ascii="Arial" w:hAnsi="Arial" w:cs="Arial"/>
            <w:noProof/>
          </w:rPr>
          <w:t>Implementation</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_Toc387850961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13</w:t>
        </w:r>
        <w:r w:rsidR="005D6AAF" w:rsidRPr="005D6AAF">
          <w:rPr>
            <w:rFonts w:ascii="Arial" w:hAnsi="Arial" w:cs="Arial"/>
            <w:noProof/>
            <w:webHidden/>
          </w:rPr>
          <w:fldChar w:fldCharType="end"/>
        </w:r>
      </w:hyperlink>
    </w:p>
    <w:p w:rsidR="005D6AAF" w:rsidRPr="005D6AAF" w:rsidRDefault="00E116B8">
      <w:pPr>
        <w:pStyle w:val="TOC2"/>
        <w:tabs>
          <w:tab w:val="right" w:leader="dot" w:pos="9016"/>
        </w:tabs>
        <w:rPr>
          <w:rFonts w:ascii="Arial" w:eastAsiaTheme="minorEastAsia" w:hAnsi="Arial" w:cs="Arial"/>
          <w:smallCaps w:val="0"/>
          <w:noProof/>
          <w:sz w:val="22"/>
          <w:szCs w:val="22"/>
          <w:lang w:eastAsia="en-GB" w:bidi="ar-SA"/>
        </w:rPr>
      </w:pPr>
      <w:hyperlink w:anchor="_Toc387850962" w:history="1">
        <w:r w:rsidR="005D6AAF" w:rsidRPr="005D6AAF">
          <w:rPr>
            <w:rStyle w:val="Hyperlink"/>
            <w:rFonts w:ascii="Arial" w:hAnsi="Arial" w:cs="Arial"/>
            <w:noProof/>
          </w:rPr>
          <w:t xml:space="preserve">Attachment A – Approved draft variation to the </w:t>
        </w:r>
        <w:r w:rsidR="005D6AAF" w:rsidRPr="005D6AAF">
          <w:rPr>
            <w:rStyle w:val="Hyperlink"/>
            <w:rFonts w:ascii="Arial" w:hAnsi="Arial" w:cs="Arial"/>
            <w:i/>
            <w:noProof/>
          </w:rPr>
          <w:t>Australia New Zealand Food Standards Code</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_Toc387850962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14</w:t>
        </w:r>
        <w:r w:rsidR="005D6AAF" w:rsidRPr="005D6AAF">
          <w:rPr>
            <w:rFonts w:ascii="Arial" w:hAnsi="Arial" w:cs="Arial"/>
            <w:noProof/>
            <w:webHidden/>
          </w:rPr>
          <w:fldChar w:fldCharType="end"/>
        </w:r>
      </w:hyperlink>
    </w:p>
    <w:p w:rsidR="005D6AAF" w:rsidRPr="005D6AAF" w:rsidRDefault="00E116B8">
      <w:pPr>
        <w:pStyle w:val="TOC2"/>
        <w:tabs>
          <w:tab w:val="right" w:leader="dot" w:pos="9016"/>
        </w:tabs>
        <w:rPr>
          <w:rFonts w:ascii="Arial" w:eastAsiaTheme="minorEastAsia" w:hAnsi="Arial" w:cs="Arial"/>
          <w:smallCaps w:val="0"/>
          <w:noProof/>
          <w:sz w:val="22"/>
          <w:szCs w:val="22"/>
          <w:lang w:eastAsia="en-GB" w:bidi="ar-SA"/>
        </w:rPr>
      </w:pPr>
      <w:hyperlink w:anchor="_Toc387850963" w:history="1">
        <w:r w:rsidR="005D6AAF" w:rsidRPr="005D6AAF">
          <w:rPr>
            <w:rStyle w:val="Hyperlink"/>
            <w:rFonts w:ascii="Arial" w:hAnsi="Arial" w:cs="Arial"/>
            <w:noProof/>
          </w:rPr>
          <w:t>Attachment B – Explanatory Statement</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_Toc387850963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17</w:t>
        </w:r>
        <w:r w:rsidR="005D6AAF" w:rsidRPr="005D6AAF">
          <w:rPr>
            <w:rFonts w:ascii="Arial" w:hAnsi="Arial" w:cs="Arial"/>
            <w:noProof/>
            <w:webHidden/>
          </w:rPr>
          <w:fldChar w:fldCharType="end"/>
        </w:r>
      </w:hyperlink>
    </w:p>
    <w:p w:rsidR="005D6AAF" w:rsidRPr="005D6AAF" w:rsidRDefault="00E116B8">
      <w:pPr>
        <w:pStyle w:val="TOC2"/>
        <w:tabs>
          <w:tab w:val="right" w:leader="dot" w:pos="9016"/>
        </w:tabs>
        <w:rPr>
          <w:rFonts w:ascii="Arial" w:eastAsiaTheme="minorEastAsia" w:hAnsi="Arial" w:cs="Arial"/>
          <w:smallCaps w:val="0"/>
          <w:noProof/>
          <w:sz w:val="22"/>
          <w:szCs w:val="22"/>
          <w:lang w:eastAsia="en-GB" w:bidi="ar-SA"/>
        </w:rPr>
      </w:pPr>
      <w:hyperlink w:anchor="_Toc387850964" w:history="1">
        <w:r w:rsidR="005D6AAF" w:rsidRPr="005D6AAF">
          <w:rPr>
            <w:rStyle w:val="Hyperlink"/>
            <w:rFonts w:ascii="Arial" w:hAnsi="Arial" w:cs="Arial"/>
            <w:noProof/>
          </w:rPr>
          <w:t xml:space="preserve">Attachment C – Draft variation to the </w:t>
        </w:r>
        <w:r w:rsidR="005D6AAF" w:rsidRPr="005D6AAF">
          <w:rPr>
            <w:rStyle w:val="Hyperlink"/>
            <w:rFonts w:ascii="Arial" w:hAnsi="Arial" w:cs="Arial"/>
            <w:i/>
            <w:noProof/>
          </w:rPr>
          <w:t xml:space="preserve">Australia New Zealand Food Standards Code </w:t>
        </w:r>
        <w:r w:rsidR="005D6AAF" w:rsidRPr="005D6AAF">
          <w:rPr>
            <w:rStyle w:val="Hyperlink"/>
            <w:rFonts w:ascii="Arial" w:hAnsi="Arial" w:cs="Arial"/>
            <w:noProof/>
          </w:rPr>
          <w:t>in March 2015 following P1025</w:t>
        </w:r>
        <w:r w:rsidR="005D6AAF" w:rsidRPr="005D6AAF">
          <w:rPr>
            <w:rFonts w:ascii="Arial" w:hAnsi="Arial" w:cs="Arial"/>
            <w:noProof/>
            <w:webHidden/>
          </w:rPr>
          <w:tab/>
        </w:r>
        <w:r w:rsidR="005D6AAF" w:rsidRPr="005D6AAF">
          <w:rPr>
            <w:rFonts w:ascii="Arial" w:hAnsi="Arial" w:cs="Arial"/>
            <w:noProof/>
            <w:webHidden/>
          </w:rPr>
          <w:fldChar w:fldCharType="begin"/>
        </w:r>
        <w:r w:rsidR="005D6AAF" w:rsidRPr="005D6AAF">
          <w:rPr>
            <w:rFonts w:ascii="Arial" w:hAnsi="Arial" w:cs="Arial"/>
            <w:noProof/>
            <w:webHidden/>
          </w:rPr>
          <w:instrText xml:space="preserve"> PAGEREF _Toc387850964 \h </w:instrText>
        </w:r>
        <w:r w:rsidR="005D6AAF" w:rsidRPr="005D6AAF">
          <w:rPr>
            <w:rFonts w:ascii="Arial" w:hAnsi="Arial" w:cs="Arial"/>
            <w:noProof/>
            <w:webHidden/>
          </w:rPr>
        </w:r>
        <w:r w:rsidR="005D6AAF" w:rsidRPr="005D6AAF">
          <w:rPr>
            <w:rFonts w:ascii="Arial" w:hAnsi="Arial" w:cs="Arial"/>
            <w:noProof/>
            <w:webHidden/>
          </w:rPr>
          <w:fldChar w:fldCharType="separate"/>
        </w:r>
        <w:r>
          <w:rPr>
            <w:rFonts w:ascii="Arial" w:hAnsi="Arial" w:cs="Arial"/>
            <w:noProof/>
            <w:webHidden/>
          </w:rPr>
          <w:t>20</w:t>
        </w:r>
        <w:r w:rsidR="005D6AAF" w:rsidRPr="005D6AAF">
          <w:rPr>
            <w:rFonts w:ascii="Arial" w:hAnsi="Arial" w:cs="Arial"/>
            <w:noProof/>
            <w:webHidden/>
          </w:rPr>
          <w:fldChar w:fldCharType="end"/>
        </w:r>
      </w:hyperlink>
    </w:p>
    <w:p w:rsidR="0012388D" w:rsidRPr="003F4CDE" w:rsidRDefault="00B55714" w:rsidP="00C91C02">
      <w:pPr>
        <w:rPr>
          <w:rFonts w:cs="Arial"/>
          <w:smallCaps/>
          <w:sz w:val="20"/>
        </w:rPr>
      </w:pPr>
      <w:r w:rsidRPr="005D6AAF">
        <w:rPr>
          <w:rFonts w:cs="Arial"/>
        </w:rPr>
        <w:fldChar w:fldCharType="end"/>
      </w:r>
      <w:r w:rsidR="003F4CDE" w:rsidRPr="003F4CDE">
        <w:rPr>
          <w:rFonts w:cs="Arial"/>
        </w:rPr>
        <w:t xml:space="preserve"> </w:t>
      </w:r>
      <w:r w:rsidR="003F4CDE" w:rsidRPr="003F4CDE">
        <w:rPr>
          <w:rFonts w:cs="Arial"/>
          <w:sz w:val="20"/>
        </w:rPr>
        <w:t xml:space="preserve">   </w:t>
      </w:r>
      <w:r w:rsidR="003F4CDE" w:rsidRPr="003F4CDE">
        <w:rPr>
          <w:rFonts w:cs="Arial"/>
          <w:smallCaps/>
          <w:sz w:val="20"/>
        </w:rPr>
        <w:t>Attachment D – Regulation Impact Statement (see separate document)</w:t>
      </w:r>
    </w:p>
    <w:p w:rsidR="00CB56E8" w:rsidRPr="003F4CDE" w:rsidRDefault="00CB56E8" w:rsidP="00C91C02">
      <w:pPr>
        <w:rPr>
          <w:rFonts w:cs="Arial"/>
          <w:smallCaps/>
        </w:rPr>
      </w:pPr>
    </w:p>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rsidR="00A671E6" w:rsidRPr="0089264A" w:rsidRDefault="00A671E6" w:rsidP="00A671E6">
      <w:pPr>
        <w:rPr>
          <w:szCs w:val="22"/>
        </w:rPr>
      </w:pPr>
    </w:p>
    <w:p w:rsidR="00B37ED2" w:rsidRPr="00B37ED2" w:rsidRDefault="007A53BF" w:rsidP="00B37ED2">
      <w:pPr>
        <w:rPr>
          <w:color w:val="FF0000"/>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8B40B6">
        <w:rPr>
          <w:szCs w:val="22"/>
        </w:rPr>
        <w:t>Proposal are</w:t>
      </w:r>
      <w:r w:rsidRPr="0089264A">
        <w:rPr>
          <w:szCs w:val="22"/>
        </w:rPr>
        <w:t xml:space="preserve"> available on the FSANZ website at</w:t>
      </w:r>
      <w:r w:rsidRPr="0089264A">
        <w:rPr>
          <w:color w:val="FF0000"/>
          <w:szCs w:val="22"/>
        </w:rPr>
        <w:t xml:space="preserve"> </w:t>
      </w:r>
      <w:hyperlink r:id="rId16" w:history="1">
        <w:r w:rsidR="00B37ED2" w:rsidRPr="00B37ED2">
          <w:rPr>
            <w:color w:val="3333FF"/>
            <w:szCs w:val="22"/>
            <w:u w:val="single"/>
          </w:rPr>
          <w:t>http://www.foodstandards.gov.au/code/proposals/Pages/proposalp1014primary5331.aspx</w:t>
        </w:r>
      </w:hyperlink>
      <w:r w:rsidR="00B37ED2" w:rsidRPr="00B37ED2">
        <w:rPr>
          <w:szCs w:val="22"/>
        </w:rPr>
        <w:t xml:space="preserve">  </w:t>
      </w:r>
    </w:p>
    <w:p w:rsidR="00CB56E8" w:rsidRPr="00CB56E8" w:rsidRDefault="00CB56E8" w:rsidP="00CB56E8">
      <w:pPr>
        <w:rPr>
          <w:szCs w:val="22"/>
        </w:rPr>
      </w:pPr>
    </w:p>
    <w:p w:rsidR="00B37ED2" w:rsidRPr="00040D56" w:rsidRDefault="00B37ED2" w:rsidP="00040D56">
      <w:pPr>
        <w:ind w:left="1134" w:hanging="1134"/>
      </w:pPr>
      <w:r w:rsidRPr="00040D56">
        <w:t>SD1</w:t>
      </w:r>
      <w:r w:rsidRPr="00040D56">
        <w:tab/>
        <w:t xml:space="preserve">Membership of Meat Advisory Committees </w:t>
      </w:r>
    </w:p>
    <w:p w:rsidR="00B37ED2" w:rsidRPr="00040D56" w:rsidRDefault="00B37ED2" w:rsidP="00040D56">
      <w:pPr>
        <w:ind w:left="1134" w:hanging="1134"/>
      </w:pPr>
      <w:r w:rsidRPr="00040D56">
        <w:t>SD2</w:t>
      </w:r>
      <w:r w:rsidRPr="00040D56">
        <w:tab/>
        <w:t>Assessment of Microbiological Hazards Associated with the Four Main Meat Species</w:t>
      </w:r>
      <w:r w:rsidR="00E32864" w:rsidRPr="00040D56">
        <w:t xml:space="preserve"> (at Approval)</w:t>
      </w:r>
    </w:p>
    <w:p w:rsidR="00B37ED2" w:rsidRPr="00040D56" w:rsidRDefault="00B37ED2" w:rsidP="00040D56">
      <w:pPr>
        <w:ind w:left="1134" w:hanging="1134"/>
      </w:pPr>
      <w:r w:rsidRPr="00040D56">
        <w:t>SD3</w:t>
      </w:r>
      <w:r w:rsidRPr="00040D56">
        <w:tab/>
        <w:t>Assessment of the Microbiological Hazards Associated with the Minor and Wild Game Meat Species</w:t>
      </w:r>
    </w:p>
    <w:p w:rsidR="00B37ED2" w:rsidRPr="00040D56" w:rsidRDefault="00B37ED2" w:rsidP="00040D56">
      <w:pPr>
        <w:ind w:left="1134" w:hanging="1134"/>
      </w:pPr>
      <w:r w:rsidRPr="00040D56">
        <w:t>SD4</w:t>
      </w:r>
      <w:r w:rsidRPr="00040D56">
        <w:tab/>
        <w:t>A Chemical Risk Profile of Meat and Meat Products</w:t>
      </w:r>
    </w:p>
    <w:p w:rsidR="00B37ED2" w:rsidRPr="00040D56" w:rsidRDefault="00B37ED2" w:rsidP="00040D56">
      <w:pPr>
        <w:ind w:left="1134" w:hanging="1134"/>
      </w:pPr>
      <w:r w:rsidRPr="00040D56">
        <w:t>SD5</w:t>
      </w:r>
      <w:r w:rsidRPr="00040D56">
        <w:tab/>
        <w:t>Food Safety Management in the Meat Industry</w:t>
      </w:r>
    </w:p>
    <w:p w:rsidR="007A53BF" w:rsidRPr="00040D56" w:rsidRDefault="00B37ED2" w:rsidP="00040D56">
      <w:pPr>
        <w:ind w:left="1134" w:hanging="1134"/>
      </w:pPr>
      <w:r w:rsidRPr="00040D56">
        <w:t>SD7</w:t>
      </w:r>
      <w:r w:rsidRPr="00040D56">
        <w:tab/>
        <w:t>Compliance Plan for the Primary Production and Processing Standard for Meat and Meat Products</w:t>
      </w:r>
    </w:p>
    <w:p w:rsidR="00040D56" w:rsidRDefault="00040D56" w:rsidP="00040D56"/>
    <w:p w:rsidR="00512131" w:rsidRDefault="00512131" w:rsidP="00040D56">
      <w:r>
        <w:t xml:space="preserve">There have been no changes to </w:t>
      </w:r>
      <w:r w:rsidR="00E32864">
        <w:t>SD1, SD3</w:t>
      </w:r>
      <w:r>
        <w:t>, SD4, SD5 and SD7 following the second round of consultation.</w:t>
      </w:r>
    </w:p>
    <w:p w:rsidR="00B3390C" w:rsidRDefault="00B3390C" w:rsidP="00040D56"/>
    <w:p w:rsidR="00272785" w:rsidRDefault="00512131" w:rsidP="00040D56">
      <w:r>
        <w:t xml:space="preserve">SD6 is superseded by Attachment </w:t>
      </w:r>
      <w:r w:rsidR="00CB56E8">
        <w:t>D</w:t>
      </w:r>
      <w:r w:rsidR="00135895">
        <w:t xml:space="preserve"> (Regulation Impact Statement)</w:t>
      </w:r>
      <w:r>
        <w:t xml:space="preserve"> to this </w:t>
      </w:r>
      <w:r w:rsidR="00135895">
        <w:t>R</w:t>
      </w:r>
      <w:r>
        <w:t>eport.</w:t>
      </w:r>
    </w:p>
    <w:p w:rsidR="003C4969" w:rsidRPr="00CB56E8" w:rsidRDefault="00D15A08" w:rsidP="00CB56E8">
      <w:pPr>
        <w:rPr>
          <w:szCs w:val="22"/>
        </w:rPr>
      </w:pPr>
      <w:r w:rsidRPr="00CA5734">
        <w:br w:type="page"/>
      </w:r>
    </w:p>
    <w:p w:rsidR="007A53BF" w:rsidRPr="007A53BF" w:rsidRDefault="007A53BF" w:rsidP="00CE59AA">
      <w:pPr>
        <w:pStyle w:val="Heading1"/>
      </w:pPr>
      <w:bookmarkStart w:id="1" w:name="_Toc286391001"/>
      <w:bookmarkStart w:id="2" w:name="_Toc300933414"/>
      <w:bookmarkStart w:id="3" w:name="_Toc370223463"/>
      <w:bookmarkStart w:id="4" w:name="_Toc387850945"/>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rsidR="00E46D61" w:rsidRPr="006F4B95" w:rsidRDefault="0093272D" w:rsidP="00E46D61">
      <w:pPr>
        <w:pStyle w:val="Header"/>
        <w:tabs>
          <w:tab w:val="left" w:pos="332"/>
          <w:tab w:val="left" w:pos="5192"/>
          <w:tab w:val="right" w:pos="8280"/>
        </w:tabs>
      </w:pPr>
      <w:r w:rsidRPr="00BD0492">
        <w:rPr>
          <w:rFonts w:cs="Arial"/>
          <w:szCs w:val="22"/>
          <w:lang w:val="en-US" w:eastAsia="en-GB" w:bidi="ar-SA"/>
        </w:rPr>
        <w:t xml:space="preserve">Food Standards Australia New Zealand (FSANZ) </w:t>
      </w:r>
      <w:r w:rsidR="005E7DB7">
        <w:rPr>
          <w:rFonts w:cs="Arial"/>
          <w:szCs w:val="22"/>
          <w:lang w:val="en-US" w:eastAsia="en-GB" w:bidi="ar-SA"/>
        </w:rPr>
        <w:t xml:space="preserve">has </w:t>
      </w:r>
      <w:r w:rsidR="00E46D61">
        <w:rPr>
          <w:rFonts w:cs="Arial"/>
        </w:rPr>
        <w:t xml:space="preserve">examined food safety management in the primary production and processing stages of the meat supply. </w:t>
      </w:r>
      <w:r w:rsidR="00E46D61">
        <w:t xml:space="preserve">During the first round of consultation, FSANZ </w:t>
      </w:r>
      <w:r w:rsidR="005E7DB7">
        <w:t xml:space="preserve">commenced </w:t>
      </w:r>
      <w:r w:rsidR="00E46D61">
        <w:t xml:space="preserve">the work under two proposals, </w:t>
      </w:r>
      <w:r w:rsidR="005F3EB8">
        <w:t xml:space="preserve">Proposal </w:t>
      </w:r>
      <w:r w:rsidR="00E46D61">
        <w:t xml:space="preserve">P1005 (covering cattle, sheep, goats, pigs) and </w:t>
      </w:r>
      <w:r w:rsidR="005F3EB8">
        <w:t xml:space="preserve">Proposal </w:t>
      </w:r>
      <w:r w:rsidR="00E46D61">
        <w:t xml:space="preserve">P1014 (covering other animals and wild game). </w:t>
      </w:r>
      <w:r w:rsidR="00E46D61" w:rsidRPr="00E46D61">
        <w:t>These two Proposals</w:t>
      </w:r>
      <w:r w:rsidR="00135895">
        <w:t xml:space="preserve"> were</w:t>
      </w:r>
      <w:r w:rsidR="00E46D61" w:rsidRPr="00E46D61">
        <w:t xml:space="preserve"> </w:t>
      </w:r>
      <w:r w:rsidR="005E7DB7">
        <w:t xml:space="preserve">subsequently </w:t>
      </w:r>
      <w:r w:rsidR="00E46D61" w:rsidRPr="00E46D61">
        <w:t>consolidated into one Proposal, P1014.</w:t>
      </w:r>
      <w:r w:rsidR="00E46D61">
        <w:t xml:space="preserve"> P1014 also considered rendered products for human consumption and natural casings. </w:t>
      </w:r>
    </w:p>
    <w:p w:rsidR="0093272D" w:rsidRPr="0093272D" w:rsidRDefault="0093272D" w:rsidP="0093272D">
      <w:pPr>
        <w:widowControl/>
        <w:shd w:val="clear" w:color="auto" w:fill="FFFFFF"/>
        <w:rPr>
          <w:rFonts w:ascii="Verdana" w:hAnsi="Verdana"/>
          <w:color w:val="676767"/>
          <w:szCs w:val="22"/>
          <w:lang w:val="en-US" w:eastAsia="en-GB" w:bidi="ar-SA"/>
        </w:rPr>
      </w:pPr>
      <w:r w:rsidRPr="0093272D">
        <w:rPr>
          <w:rFonts w:ascii="Verdana" w:hAnsi="Verdana"/>
          <w:color w:val="676767"/>
          <w:szCs w:val="22"/>
          <w:lang w:val="en-US" w:eastAsia="en-GB" w:bidi="ar-SA"/>
        </w:rPr>
        <w:t> </w:t>
      </w:r>
    </w:p>
    <w:p w:rsidR="00E46D61" w:rsidRPr="008D3722" w:rsidRDefault="00E46D61" w:rsidP="00E46D61">
      <w:r w:rsidRPr="008D3722">
        <w:t xml:space="preserve">The Proposal was assessed under the </w:t>
      </w:r>
      <w:r>
        <w:t>M</w:t>
      </w:r>
      <w:r w:rsidRPr="008D3722">
        <w:t>ajor Procedure.</w:t>
      </w:r>
    </w:p>
    <w:p w:rsidR="00E46D61" w:rsidRDefault="00E46D61" w:rsidP="00E46D61"/>
    <w:p w:rsidR="00E21323" w:rsidRDefault="00E21323" w:rsidP="00E21323">
      <w:pPr>
        <w:autoSpaceDE w:val="0"/>
        <w:autoSpaceDN w:val="0"/>
        <w:adjustRightInd w:val="0"/>
      </w:pPr>
      <w:r w:rsidRPr="00A52912">
        <w:t xml:space="preserve">The current </w:t>
      </w:r>
      <w:r w:rsidR="00135895">
        <w:t>Australia</w:t>
      </w:r>
      <w:r w:rsidR="00C37AE9">
        <w:t>-</w:t>
      </w:r>
      <w:r w:rsidR="00135895">
        <w:t>only p</w:t>
      </w:r>
      <w:r w:rsidRPr="00A52912">
        <w:t xml:space="preserve">roduction and </w:t>
      </w:r>
      <w:r w:rsidR="00135895">
        <w:t>p</w:t>
      </w:r>
      <w:r w:rsidRPr="00A52912">
        <w:t xml:space="preserve">rocessing Standard for </w:t>
      </w:r>
      <w:r w:rsidR="00135895">
        <w:t>m</w:t>
      </w:r>
      <w:r w:rsidRPr="00A52912">
        <w:t xml:space="preserve">eat </w:t>
      </w:r>
      <w:r>
        <w:t xml:space="preserve">in the </w:t>
      </w:r>
      <w:r w:rsidRPr="00FE0CF7">
        <w:rPr>
          <w:i/>
        </w:rPr>
        <w:t xml:space="preserve">Australia </w:t>
      </w:r>
      <w:r>
        <w:rPr>
          <w:i/>
        </w:rPr>
        <w:t>N</w:t>
      </w:r>
      <w:r w:rsidRPr="00FE0CF7">
        <w:rPr>
          <w:i/>
        </w:rPr>
        <w:t>ew Zealand Food Standard Code</w:t>
      </w:r>
      <w:r>
        <w:t xml:space="preserve"> (the Code), </w:t>
      </w:r>
      <w:r w:rsidRPr="00A52912">
        <w:t>4.2.3</w:t>
      </w:r>
      <w:r>
        <w:t xml:space="preserve">, </w:t>
      </w:r>
      <w:r w:rsidRPr="00A52912">
        <w:t>includes requirements for producing ready-to-eat meat only and does not include primary production requirements.</w:t>
      </w:r>
      <w:r w:rsidR="00F636E0">
        <w:t xml:space="preserve"> Standard 1.6.2 </w:t>
      </w:r>
      <w:r w:rsidR="00F874E7">
        <w:t>(</w:t>
      </w:r>
      <w:r w:rsidR="00C37AE9">
        <w:t xml:space="preserve">another </w:t>
      </w:r>
      <w:r w:rsidR="00F874E7">
        <w:t>Australia</w:t>
      </w:r>
      <w:r w:rsidR="00C37AE9">
        <w:t>-</w:t>
      </w:r>
      <w:r w:rsidR="00F874E7">
        <w:t>only standard) contains requirements relevant to the processing of crocodile</w:t>
      </w:r>
      <w:r w:rsidR="006B2FD5">
        <w:t xml:space="preserve"> meat</w:t>
      </w:r>
      <w:r w:rsidR="00F874E7">
        <w:t xml:space="preserve">. </w:t>
      </w:r>
    </w:p>
    <w:p w:rsidR="00E21323" w:rsidRDefault="00E21323" w:rsidP="00E21323">
      <w:pPr>
        <w:autoSpaceDE w:val="0"/>
        <w:autoSpaceDN w:val="0"/>
        <w:adjustRightInd w:val="0"/>
      </w:pPr>
    </w:p>
    <w:p w:rsidR="00E21323" w:rsidRPr="00746E8D" w:rsidRDefault="00E46D61" w:rsidP="00AB598E">
      <w:pPr>
        <w:rPr>
          <w:rFonts w:ascii="Helvetica" w:hAnsi="Helvetica" w:cs="Helvetica"/>
          <w:szCs w:val="22"/>
          <w:lang w:eastAsia="en-GB"/>
        </w:rPr>
      </w:pPr>
      <w:r>
        <w:t>FSANZ has approved a</w:t>
      </w:r>
      <w:r w:rsidRPr="00E46D61">
        <w:t xml:space="preserve"> </w:t>
      </w:r>
      <w:r>
        <w:t>draft variation to Standard 4.2.3</w:t>
      </w:r>
      <w:r w:rsidRPr="00E46D61">
        <w:t xml:space="preserve"> </w:t>
      </w:r>
      <w:r w:rsidR="00E21323">
        <w:t>to</w:t>
      </w:r>
      <w:r>
        <w:t xml:space="preserve"> include requirements on primary producers in relation to </w:t>
      </w:r>
      <w:r w:rsidRPr="000527E5">
        <w:rPr>
          <w:szCs w:val="22"/>
        </w:rPr>
        <w:t xml:space="preserve">traceability and managing inputs and waste. </w:t>
      </w:r>
      <w:r w:rsidR="00E21323" w:rsidRPr="00746E8D">
        <w:rPr>
          <w:rFonts w:cs="Arial"/>
          <w:szCs w:val="22"/>
        </w:rPr>
        <w:t xml:space="preserve">These primary production requirements do not apply to wild game animals. An editorial note has been included </w:t>
      </w:r>
      <w:r w:rsidR="00E21323" w:rsidRPr="00746E8D">
        <w:rPr>
          <w:rFonts w:eastAsia="Calibri"/>
        </w:rPr>
        <w:t xml:space="preserve">to explain that </w:t>
      </w:r>
      <w:r w:rsidR="00E21323" w:rsidRPr="00746E8D">
        <w:rPr>
          <w:rFonts w:cs="Arial"/>
        </w:rPr>
        <w:t xml:space="preserve">state and territory laws require people involved in </w:t>
      </w:r>
      <w:r w:rsidR="00E21323" w:rsidRPr="00746E8D">
        <w:rPr>
          <w:rFonts w:cs="Arial"/>
          <w:lang w:val="en-AU"/>
        </w:rPr>
        <w:t xml:space="preserve">the slaughter and processing of animals for human consumption to comply with the </w:t>
      </w:r>
      <w:r w:rsidR="00E21323">
        <w:rPr>
          <w:rFonts w:cs="Arial"/>
          <w:lang w:val="en-AU"/>
        </w:rPr>
        <w:t xml:space="preserve">existing </w:t>
      </w:r>
      <w:r w:rsidR="00E21323" w:rsidRPr="00746E8D">
        <w:rPr>
          <w:rFonts w:cs="Arial"/>
          <w:lang w:val="en-AU"/>
        </w:rPr>
        <w:t xml:space="preserve">Australian Standards. </w:t>
      </w:r>
      <w:r w:rsidR="00F874E7">
        <w:rPr>
          <w:rFonts w:cs="Arial"/>
          <w:lang w:val="en-AU"/>
        </w:rPr>
        <w:t>FSANZ has also approved a consequential amendment to Standard 1.6.2 to delete the processing requirements for crocodile meat as these are addresse</w:t>
      </w:r>
      <w:r w:rsidR="0011694E">
        <w:rPr>
          <w:rFonts w:cs="Arial"/>
          <w:lang w:val="en-AU"/>
        </w:rPr>
        <w:t>d</w:t>
      </w:r>
      <w:r w:rsidR="00F874E7">
        <w:rPr>
          <w:rFonts w:cs="Arial"/>
          <w:lang w:val="en-AU"/>
        </w:rPr>
        <w:t xml:space="preserve"> under current Australian Standards. </w:t>
      </w:r>
    </w:p>
    <w:p w:rsidR="00E21323" w:rsidRPr="00746E8D" w:rsidRDefault="00E21323" w:rsidP="00E21323"/>
    <w:p w:rsidR="00E21323" w:rsidRDefault="00E21323" w:rsidP="00E21323">
      <w:pPr>
        <w:rPr>
          <w:rFonts w:eastAsia="Calibri"/>
        </w:rPr>
      </w:pPr>
      <w:r w:rsidRPr="001D6412">
        <w:rPr>
          <w:rFonts w:eastAsia="Calibri"/>
        </w:rPr>
        <w:t xml:space="preserve">Primary </w:t>
      </w:r>
      <w:r w:rsidR="00135895">
        <w:rPr>
          <w:rFonts w:eastAsia="Calibri"/>
        </w:rPr>
        <w:t>p</w:t>
      </w:r>
      <w:r w:rsidRPr="001D6412">
        <w:rPr>
          <w:rFonts w:eastAsia="Calibri"/>
        </w:rPr>
        <w:t xml:space="preserve">roduction </w:t>
      </w:r>
      <w:r>
        <w:rPr>
          <w:rFonts w:eastAsia="Calibri"/>
        </w:rPr>
        <w:t>and</w:t>
      </w:r>
      <w:r w:rsidRPr="001D6412">
        <w:rPr>
          <w:rFonts w:eastAsia="Calibri"/>
        </w:rPr>
        <w:t xml:space="preserve"> </w:t>
      </w:r>
      <w:r w:rsidR="00135895">
        <w:rPr>
          <w:rFonts w:eastAsia="Calibri"/>
        </w:rPr>
        <w:t>p</w:t>
      </w:r>
      <w:r w:rsidRPr="001D6412">
        <w:rPr>
          <w:rFonts w:eastAsia="Calibri"/>
        </w:rPr>
        <w:t xml:space="preserve">rocessing </w:t>
      </w:r>
      <w:r w:rsidR="00135895">
        <w:rPr>
          <w:rFonts w:eastAsia="Calibri"/>
        </w:rPr>
        <w:t>s</w:t>
      </w:r>
      <w:r w:rsidRPr="001D6412">
        <w:rPr>
          <w:rFonts w:eastAsia="Calibri"/>
        </w:rPr>
        <w:t>tandards do not apply in New Zealand.</w:t>
      </w:r>
    </w:p>
    <w:p w:rsidR="00E21323" w:rsidRDefault="00E21323" w:rsidP="00E21323">
      <w:pPr>
        <w:rPr>
          <w:rFonts w:eastAsia="Calibri"/>
        </w:rPr>
      </w:pPr>
    </w:p>
    <w:p w:rsidR="00E21323" w:rsidRDefault="00E21323" w:rsidP="00E21323">
      <w:r>
        <w:t>Currently</w:t>
      </w:r>
      <w:r w:rsidR="005E7DB7">
        <w:t>,</w:t>
      </w:r>
      <w:r>
        <w:t xml:space="preserve"> </w:t>
      </w:r>
      <w:r w:rsidR="00AB5846">
        <w:t xml:space="preserve">food-specific </w:t>
      </w:r>
      <w:r>
        <w:t xml:space="preserve">regulatory powers in the meat sector are limited to processing environments only. The draft variation to Standard 4.2.3 </w:t>
      </w:r>
      <w:r w:rsidR="006B2FD5">
        <w:t>enables</w:t>
      </w:r>
      <w:r>
        <w:t xml:space="preserve"> food safety regulators to investigate through the entire meat supply chain, should a food safety incident arise.</w:t>
      </w:r>
      <w:r w:rsidR="00AB5846">
        <w:t xml:space="preserve"> </w:t>
      </w:r>
      <w:r w:rsidR="006B2FD5">
        <w:t>S</w:t>
      </w:r>
      <w:r w:rsidR="00C37AE9">
        <w:t>t</w:t>
      </w:r>
      <w:r w:rsidR="006B2FD5">
        <w:t xml:space="preserve">ate and territory legislation includes offences related to failure to comply with a requirement of the Code. The inclusion of these requirements provides a basis for appropriate enforcement action that is currently unavailable. </w:t>
      </w:r>
    </w:p>
    <w:p w:rsidR="00E21323" w:rsidRDefault="00E21323" w:rsidP="00E21323">
      <w:pPr>
        <w:rPr>
          <w:szCs w:val="22"/>
        </w:rPr>
      </w:pPr>
    </w:p>
    <w:p w:rsidR="00E21323" w:rsidRDefault="00E21323" w:rsidP="00E21323">
      <w:pPr>
        <w:rPr>
          <w:rFonts w:cs="Arial"/>
        </w:rPr>
      </w:pPr>
      <w:r>
        <w:rPr>
          <w:rFonts w:cs="Arial"/>
        </w:rPr>
        <w:t xml:space="preserve">Stakeholder submissions </w:t>
      </w:r>
      <w:r w:rsidR="008C3722">
        <w:rPr>
          <w:rFonts w:cs="Arial"/>
        </w:rPr>
        <w:t>generally</w:t>
      </w:r>
      <w:r>
        <w:rPr>
          <w:rFonts w:cs="Arial"/>
        </w:rPr>
        <w:t>:</w:t>
      </w:r>
    </w:p>
    <w:p w:rsidR="00AB5846" w:rsidRDefault="00AB5846" w:rsidP="00AB5846">
      <w:pPr>
        <w:pStyle w:val="FSBullet"/>
        <w:ind w:firstLine="0"/>
      </w:pPr>
    </w:p>
    <w:p w:rsidR="00FC0120" w:rsidRDefault="00FC0120" w:rsidP="00FC0120">
      <w:pPr>
        <w:pStyle w:val="FSBullet1"/>
      </w:pPr>
      <w:r>
        <w:t xml:space="preserve">supported regulatory requirements for primary production </w:t>
      </w:r>
    </w:p>
    <w:p w:rsidR="00FC0120" w:rsidRDefault="00FC0120" w:rsidP="00FC0120">
      <w:pPr>
        <w:pStyle w:val="FSBullet1"/>
      </w:pPr>
      <w:r>
        <w:t>identified the opportunity to improve the system through integrating producer and processor requirements into the one document</w:t>
      </w:r>
    </w:p>
    <w:p w:rsidR="00FC0120" w:rsidRPr="009A314A" w:rsidRDefault="00FC0120" w:rsidP="00FC0120">
      <w:pPr>
        <w:pStyle w:val="FSBullet1"/>
      </w:pPr>
      <w:r>
        <w:t xml:space="preserve">supported the making of a </w:t>
      </w:r>
      <w:r w:rsidRPr="009A314A">
        <w:rPr>
          <w:bCs/>
        </w:rPr>
        <w:t xml:space="preserve">standard </w:t>
      </w:r>
      <w:r>
        <w:rPr>
          <w:bCs/>
        </w:rPr>
        <w:t>that restates</w:t>
      </w:r>
      <w:r w:rsidRPr="009A314A">
        <w:rPr>
          <w:bCs/>
        </w:rPr>
        <w:t xml:space="preserve"> the obligations that </w:t>
      </w:r>
      <w:r>
        <w:rPr>
          <w:bCs/>
        </w:rPr>
        <w:t>producers</w:t>
      </w:r>
      <w:r w:rsidRPr="009A314A">
        <w:rPr>
          <w:bCs/>
        </w:rPr>
        <w:t xml:space="preserve"> supplying animals for slaughter for human consumption must </w:t>
      </w:r>
      <w:r>
        <w:rPr>
          <w:bCs/>
        </w:rPr>
        <w:t>currently</w:t>
      </w:r>
      <w:r w:rsidRPr="009A314A">
        <w:rPr>
          <w:bCs/>
        </w:rPr>
        <w:t xml:space="preserve"> meet (e.g.</w:t>
      </w:r>
      <w:r>
        <w:rPr>
          <w:bCs/>
        </w:rPr>
        <w:t xml:space="preserve"> managing inputs, traceability)</w:t>
      </w:r>
    </w:p>
    <w:p w:rsidR="00FC0120" w:rsidRDefault="00FC0120" w:rsidP="00FC0120">
      <w:pPr>
        <w:pStyle w:val="FSBullet1"/>
      </w:pPr>
      <w:r>
        <w:t>highlighted the importance of implementing a standard that would impose little or no new costs on producers</w:t>
      </w:r>
    </w:p>
    <w:p w:rsidR="00E21323" w:rsidRDefault="00E21323" w:rsidP="00E21323">
      <w:pPr>
        <w:rPr>
          <w:lang w:bidi="ar-SA"/>
        </w:rPr>
      </w:pPr>
    </w:p>
    <w:p w:rsidR="005F3EB8" w:rsidRDefault="00E21323" w:rsidP="00AB5846">
      <w:r w:rsidRPr="00F1477A">
        <w:t xml:space="preserve">Overall, stakeholder comments supported the draft variation to Standard 4.2.3 to </w:t>
      </w:r>
      <w:r w:rsidR="006B6AAF">
        <w:t>articulate the</w:t>
      </w:r>
      <w:r w:rsidRPr="00F1477A">
        <w:t xml:space="preserve"> requirements on primary producers in relation to traceability and managing inputs and waste. </w:t>
      </w:r>
      <w:r w:rsidRPr="00E21323">
        <w:rPr>
          <w:lang w:val="en-AU"/>
        </w:rPr>
        <w:t>These changes will not alter the regulatory costs for the vast majority of farmers or substantially reduce risks as the meat industry is already managing risk well</w:t>
      </w:r>
      <w:r w:rsidR="00AB5846">
        <w:rPr>
          <w:lang w:val="en-AU"/>
        </w:rPr>
        <w:t xml:space="preserve"> through a combination of existing state and territory laws and industry production assurance programs</w:t>
      </w:r>
      <w:r>
        <w:rPr>
          <w:lang w:val="en-AU"/>
        </w:rPr>
        <w:t>.</w:t>
      </w:r>
      <w:r w:rsidRPr="00F1477A">
        <w:t xml:space="preserve"> </w:t>
      </w:r>
    </w:p>
    <w:p w:rsidR="00DC2727" w:rsidRDefault="00DC2727" w:rsidP="00AB5846">
      <w:r>
        <w:br w:type="page"/>
      </w:r>
    </w:p>
    <w:p w:rsidR="007A53BF" w:rsidRPr="007A53BF" w:rsidRDefault="007A53BF" w:rsidP="00CE59AA">
      <w:pPr>
        <w:pStyle w:val="Heading1"/>
      </w:pPr>
      <w:bookmarkStart w:id="10" w:name="_Toc300933417"/>
      <w:bookmarkStart w:id="11" w:name="_Toc370223464"/>
      <w:bookmarkStart w:id="12" w:name="_Toc387850946"/>
      <w:r w:rsidRPr="007A53BF">
        <w:lastRenderedPageBreak/>
        <w:t>1</w:t>
      </w:r>
      <w:r w:rsidRPr="007A53BF">
        <w:tab/>
        <w:t>Introduction</w:t>
      </w:r>
      <w:bookmarkEnd w:id="10"/>
      <w:bookmarkEnd w:id="11"/>
      <w:bookmarkEnd w:id="12"/>
    </w:p>
    <w:p w:rsidR="007A53BF" w:rsidRPr="0052582B" w:rsidRDefault="007A53BF" w:rsidP="00CE59AA">
      <w:pPr>
        <w:pStyle w:val="Heading2"/>
      </w:pPr>
      <w:bookmarkStart w:id="13" w:name="_Toc300761891"/>
      <w:bookmarkStart w:id="14" w:name="_Toc300933420"/>
      <w:bookmarkStart w:id="15" w:name="_Toc370223466"/>
      <w:bookmarkStart w:id="16" w:name="_Toc387850947"/>
      <w:r w:rsidRPr="007A53BF">
        <w:t>1.</w:t>
      </w:r>
      <w:r w:rsidR="008358E3">
        <w:t>1</w:t>
      </w:r>
      <w:r w:rsidRPr="007A53BF">
        <w:tab/>
      </w:r>
      <w:r w:rsidRPr="0052582B">
        <w:t xml:space="preserve">The </w:t>
      </w:r>
      <w:bookmarkEnd w:id="13"/>
      <w:r w:rsidRPr="0052582B">
        <w:t>Proposal</w:t>
      </w:r>
      <w:bookmarkEnd w:id="14"/>
      <w:bookmarkEnd w:id="15"/>
      <w:bookmarkEnd w:id="16"/>
    </w:p>
    <w:p w:rsidR="00033701" w:rsidRPr="0093272D" w:rsidRDefault="00436652" w:rsidP="00033701">
      <w:pPr>
        <w:rPr>
          <w:rFonts w:ascii="Verdana" w:hAnsi="Verdana"/>
          <w:lang w:val="en-US" w:eastAsia="en-GB" w:bidi="ar-SA"/>
        </w:rPr>
      </w:pPr>
      <w:r w:rsidRPr="00436652">
        <w:rPr>
          <w:rFonts w:eastAsia="Calibri" w:cs="Arial"/>
          <w:szCs w:val="22"/>
          <w:lang w:eastAsia="en-GB" w:bidi="ar-SA"/>
        </w:rPr>
        <w:t xml:space="preserve">At the request of the </w:t>
      </w:r>
      <w:r w:rsidR="002C674F">
        <w:rPr>
          <w:rFonts w:eastAsia="Calibri" w:cs="Arial"/>
          <w:szCs w:val="22"/>
          <w:lang w:val="en" w:eastAsia="en-GB" w:bidi="ar-SA"/>
        </w:rPr>
        <w:t>C</w:t>
      </w:r>
      <w:r w:rsidR="002C674F" w:rsidRPr="00436652">
        <w:rPr>
          <w:rFonts w:eastAsia="Calibri" w:cs="Arial"/>
          <w:szCs w:val="22"/>
          <w:lang w:val="en" w:eastAsia="en-GB" w:bidi="ar-SA"/>
        </w:rPr>
        <w:t>ouncil</w:t>
      </w:r>
      <w:r w:rsidRPr="00436652">
        <w:rPr>
          <w:rFonts w:eastAsia="Calibri" w:cs="Arial"/>
          <w:szCs w:val="22"/>
          <w:lang w:val="en" w:eastAsia="en-GB" w:bidi="ar-SA"/>
        </w:rPr>
        <w:t xml:space="preserve"> of Australian Governments (COAG) Legislative and Governance Forum</w:t>
      </w:r>
      <w:r w:rsidRPr="00436652">
        <w:rPr>
          <w:rFonts w:eastAsia="Calibri" w:cs="Arial"/>
          <w:szCs w:val="22"/>
          <w:lang w:eastAsia="en-GB" w:bidi="ar-SA"/>
        </w:rPr>
        <w:t xml:space="preserve"> on Food Regulation</w:t>
      </w:r>
      <w:r w:rsidRPr="00436652">
        <w:rPr>
          <w:rFonts w:eastAsia="Calibri" w:cs="Arial"/>
          <w:szCs w:val="22"/>
          <w:vertAlign w:val="superscript"/>
          <w:lang w:eastAsia="en-GB" w:bidi="ar-SA"/>
        </w:rPr>
        <w:footnoteReference w:id="2"/>
      </w:r>
      <w:r w:rsidRPr="00436652">
        <w:rPr>
          <w:rFonts w:eastAsia="Calibri" w:cs="Arial"/>
          <w:szCs w:val="22"/>
          <w:lang w:eastAsia="en-GB" w:bidi="ar-SA"/>
        </w:rPr>
        <w:t>, Food Standards Australia New Zealand (FSANZ) is considering food safety throughout all parts of the food supply chain for all industry sectors</w:t>
      </w:r>
      <w:r w:rsidR="00135895">
        <w:rPr>
          <w:rFonts w:eastAsia="Calibri" w:cs="Arial"/>
          <w:szCs w:val="22"/>
          <w:lang w:eastAsia="en-GB" w:bidi="ar-SA"/>
        </w:rPr>
        <w:t xml:space="preserve"> in Australia</w:t>
      </w:r>
      <w:r w:rsidRPr="00436652">
        <w:rPr>
          <w:rFonts w:eastAsia="Calibri" w:cs="Arial"/>
          <w:szCs w:val="22"/>
          <w:lang w:eastAsia="en-GB" w:bidi="ar-SA"/>
        </w:rPr>
        <w:t xml:space="preserve">. </w:t>
      </w:r>
      <w:r w:rsidR="00682841">
        <w:rPr>
          <w:rFonts w:eastAsia="Calibri" w:cs="Arial"/>
          <w:szCs w:val="22"/>
          <w:lang w:eastAsia="en-GB" w:bidi="ar-SA"/>
        </w:rPr>
        <w:t>In this context, and in</w:t>
      </w:r>
      <w:r w:rsidRPr="00436652">
        <w:rPr>
          <w:rFonts w:eastAsia="Calibri" w:cs="Arial"/>
          <w:szCs w:val="22"/>
          <w:lang w:eastAsia="en-GB" w:bidi="ar-SA"/>
        </w:rPr>
        <w:t xml:space="preserve"> accordance with the </w:t>
      </w:r>
      <w:r w:rsidR="00272785" w:rsidRPr="00F874E7">
        <w:rPr>
          <w:rFonts w:eastAsia="Calibri" w:cs="Arial"/>
          <w:i/>
          <w:szCs w:val="22"/>
          <w:lang w:eastAsia="en-GB" w:bidi="ar-SA"/>
        </w:rPr>
        <w:t>Overarching Policy Guideline on Primary Production and Processing Standards</w:t>
      </w:r>
      <w:r w:rsidRPr="00436652">
        <w:rPr>
          <w:rFonts w:eastAsia="Calibri" w:cs="Arial"/>
          <w:szCs w:val="22"/>
          <w:lang w:eastAsia="en-GB" w:bidi="ar-SA"/>
        </w:rPr>
        <w:t xml:space="preserve"> (Ministerial Guideline)</w:t>
      </w:r>
      <w:r w:rsidRPr="00436652">
        <w:rPr>
          <w:rFonts w:eastAsia="Calibri" w:cs="Arial"/>
          <w:szCs w:val="22"/>
          <w:vertAlign w:val="superscript"/>
          <w:lang w:eastAsia="en-GB" w:bidi="ar-SA"/>
        </w:rPr>
        <w:footnoteReference w:id="3"/>
      </w:r>
      <w:r w:rsidRPr="00436652">
        <w:rPr>
          <w:rFonts w:eastAsia="Calibri" w:cs="Arial"/>
          <w:szCs w:val="22"/>
          <w:lang w:eastAsia="en-GB" w:bidi="ar-SA"/>
        </w:rPr>
        <w:t xml:space="preserve">, FSANZ has examined food safety management in the primary production and processing stages of the meat supply chain. </w:t>
      </w:r>
      <w:r>
        <w:rPr>
          <w:rFonts w:eastAsia="Calibri" w:cs="Arial"/>
          <w:szCs w:val="22"/>
          <w:lang w:eastAsia="en-GB" w:bidi="ar-SA"/>
        </w:rPr>
        <w:t>Primary production and processing standards</w:t>
      </w:r>
      <w:r w:rsidR="00033701" w:rsidRPr="0093272D">
        <w:rPr>
          <w:lang w:val="en-US" w:eastAsia="en-GB" w:bidi="ar-SA"/>
        </w:rPr>
        <w:t xml:space="preserve"> (which only apply in Australia) aim to strengthen food safety and traceability throughout the food supply chain from paddock to plate.</w:t>
      </w:r>
    </w:p>
    <w:p w:rsidR="00033701" w:rsidRDefault="00033701" w:rsidP="0052582B">
      <w:pPr>
        <w:pStyle w:val="Header"/>
        <w:tabs>
          <w:tab w:val="left" w:pos="332"/>
          <w:tab w:val="left" w:pos="5192"/>
          <w:tab w:val="right" w:pos="8280"/>
        </w:tabs>
        <w:rPr>
          <w:rFonts w:cs="Arial"/>
        </w:rPr>
      </w:pPr>
    </w:p>
    <w:p w:rsidR="007A53BF" w:rsidRPr="006F4B95" w:rsidRDefault="0052582B" w:rsidP="006F4B95">
      <w:pPr>
        <w:pStyle w:val="Header"/>
        <w:tabs>
          <w:tab w:val="left" w:pos="332"/>
          <w:tab w:val="left" w:pos="5192"/>
          <w:tab w:val="right" w:pos="8280"/>
        </w:tabs>
      </w:pPr>
      <w:r>
        <w:t xml:space="preserve">During the first round of consultation, FSANZ progressed the work under two separate proposals, </w:t>
      </w:r>
      <w:r w:rsidR="006D48E6">
        <w:t xml:space="preserve">Proposal </w:t>
      </w:r>
      <w:r>
        <w:t xml:space="preserve">P1005 (covering cattle, sheep, goats, pigs) and </w:t>
      </w:r>
      <w:r w:rsidR="006D48E6">
        <w:t xml:space="preserve">Proposal </w:t>
      </w:r>
      <w:r>
        <w:t>P1014 (covering other animals and wild game). These two Proposals were consolidated into the one Proposal, P1014</w:t>
      </w:r>
      <w:r w:rsidR="00682841">
        <w:t>,</w:t>
      </w:r>
      <w:r>
        <w:t xml:space="preserve"> for the second round of public consultation. P1014 </w:t>
      </w:r>
      <w:r w:rsidR="0093272D">
        <w:t>also considered</w:t>
      </w:r>
      <w:r>
        <w:t xml:space="preserve"> rendered products for human consumption and natural casings</w:t>
      </w:r>
      <w:r w:rsidR="0093272D">
        <w:t xml:space="preserve">. </w:t>
      </w:r>
    </w:p>
    <w:p w:rsidR="007A53BF" w:rsidRPr="007A53BF" w:rsidRDefault="007A53BF" w:rsidP="00CE59AA">
      <w:pPr>
        <w:pStyle w:val="Heading2"/>
      </w:pPr>
      <w:bookmarkStart w:id="17" w:name="_Toc300761892"/>
      <w:bookmarkStart w:id="18" w:name="_Toc300933421"/>
      <w:bookmarkStart w:id="19" w:name="_Toc370223467"/>
      <w:bookmarkStart w:id="20" w:name="_Toc387850948"/>
      <w:r w:rsidRPr="007A53BF">
        <w:t>1.</w:t>
      </w:r>
      <w:r w:rsidR="008358E3">
        <w:t>2</w:t>
      </w:r>
      <w:r w:rsidRPr="007A53BF">
        <w:tab/>
        <w:t>The current Standard</w:t>
      </w:r>
      <w:bookmarkEnd w:id="17"/>
      <w:bookmarkEnd w:id="18"/>
      <w:bookmarkEnd w:id="19"/>
      <w:bookmarkEnd w:id="20"/>
    </w:p>
    <w:p w:rsidR="00F874E7" w:rsidRDefault="00B37ED2" w:rsidP="00F874E7">
      <w:pPr>
        <w:autoSpaceDE w:val="0"/>
        <w:autoSpaceDN w:val="0"/>
        <w:adjustRightInd w:val="0"/>
      </w:pPr>
      <w:r w:rsidRPr="00A52912">
        <w:t xml:space="preserve">The current </w:t>
      </w:r>
      <w:r w:rsidR="00135895">
        <w:t>Australia</w:t>
      </w:r>
      <w:r w:rsidR="00C37AE9">
        <w:t>-</w:t>
      </w:r>
      <w:r w:rsidR="00135895">
        <w:t>only p</w:t>
      </w:r>
      <w:r w:rsidRPr="00A52912">
        <w:t xml:space="preserve">roduction and </w:t>
      </w:r>
      <w:r w:rsidR="00135895">
        <w:t>p</w:t>
      </w:r>
      <w:r w:rsidRPr="00A52912">
        <w:t xml:space="preserve">rocessing Standard for </w:t>
      </w:r>
      <w:r w:rsidR="00135895">
        <w:t>m</w:t>
      </w:r>
      <w:r w:rsidRPr="00A52912">
        <w:t xml:space="preserve">eat </w:t>
      </w:r>
      <w:r>
        <w:t xml:space="preserve">in the </w:t>
      </w:r>
      <w:r w:rsidRPr="00FE0CF7">
        <w:rPr>
          <w:i/>
        </w:rPr>
        <w:t xml:space="preserve">Australia </w:t>
      </w:r>
      <w:r>
        <w:rPr>
          <w:i/>
        </w:rPr>
        <w:t>N</w:t>
      </w:r>
      <w:r w:rsidRPr="00FE0CF7">
        <w:rPr>
          <w:i/>
        </w:rPr>
        <w:t>ew Zealand Food Standard Code</w:t>
      </w:r>
      <w:r>
        <w:t xml:space="preserve"> (the Code), </w:t>
      </w:r>
      <w:r w:rsidRPr="00A52912">
        <w:t>4.2.3</w:t>
      </w:r>
      <w:r>
        <w:t xml:space="preserve">, </w:t>
      </w:r>
      <w:r w:rsidRPr="00A52912">
        <w:t xml:space="preserve">includes requirements for producing ready-to-eat meat only and does not include primary production requirements. </w:t>
      </w:r>
      <w:r w:rsidR="00F874E7">
        <w:t>Standard 1.6.2 (</w:t>
      </w:r>
      <w:r w:rsidR="00C37AE9">
        <w:t xml:space="preserve">another </w:t>
      </w:r>
      <w:r w:rsidR="00F874E7">
        <w:t>Australia</w:t>
      </w:r>
      <w:r w:rsidR="00C37AE9">
        <w:t>-</w:t>
      </w:r>
      <w:r w:rsidR="00F874E7">
        <w:t xml:space="preserve">only standard) contains requirements relevant to the processing of crocodiles. </w:t>
      </w:r>
    </w:p>
    <w:p w:rsidR="00C37AE9" w:rsidRDefault="00C37AE9" w:rsidP="00F874E7">
      <w:pPr>
        <w:autoSpaceDE w:val="0"/>
        <w:autoSpaceDN w:val="0"/>
        <w:adjustRightInd w:val="0"/>
      </w:pPr>
    </w:p>
    <w:p w:rsidR="00695EC0" w:rsidRDefault="00695EC0" w:rsidP="00695EC0">
      <w:pPr>
        <w:rPr>
          <w:rFonts w:cs="Arial"/>
          <w:color w:val="000000"/>
          <w:szCs w:val="22"/>
        </w:rPr>
      </w:pPr>
      <w:r>
        <w:rPr>
          <w:lang w:val="en"/>
        </w:rPr>
        <w:t xml:space="preserve">The safety of meat and meat products in Australia is currently implemented through reference to Australian Standards </w:t>
      </w:r>
      <w:r>
        <w:t>under various state and territory Acts and Regulations</w:t>
      </w:r>
      <w:r>
        <w:rPr>
          <w:lang w:val="en"/>
        </w:rPr>
        <w:t>.</w:t>
      </w:r>
      <w:r w:rsidRPr="003A72F6">
        <w:rPr>
          <w:rFonts w:cs="Arial"/>
          <w:color w:val="000000"/>
          <w:szCs w:val="22"/>
        </w:rPr>
        <w:t xml:space="preserve"> </w:t>
      </w:r>
    </w:p>
    <w:p w:rsidR="00695EC0" w:rsidRDefault="00695EC0" w:rsidP="00695EC0"/>
    <w:p w:rsidR="00695EC0" w:rsidRDefault="00695EC0" w:rsidP="00695EC0">
      <w:pPr>
        <w:widowControl/>
        <w:autoSpaceDE w:val="0"/>
        <w:autoSpaceDN w:val="0"/>
        <w:adjustRightInd w:val="0"/>
        <w:rPr>
          <w:rFonts w:cs="Arial"/>
          <w:szCs w:val="22"/>
        </w:rPr>
      </w:pPr>
      <w:r>
        <w:t>The Code currently does not contain requirements that address hazards and traceability during primary production</w:t>
      </w:r>
      <w:r>
        <w:rPr>
          <w:rStyle w:val="FootnoteReference"/>
        </w:rPr>
        <w:footnoteReference w:id="4"/>
      </w:r>
      <w:r>
        <w:t xml:space="preserve"> for the major and minor meat species</w:t>
      </w:r>
      <w:r w:rsidRPr="008B52D8">
        <w:rPr>
          <w:szCs w:val="22"/>
        </w:rPr>
        <w:t>.</w:t>
      </w:r>
      <w:r w:rsidRPr="008C4970">
        <w:t xml:space="preserve"> </w:t>
      </w:r>
      <w:r>
        <w:t>Managing inputs, such as the use of agricultural and veterinary chemicals (including in feed and water) and animal/property identification are, however, controlled under various state and territory Acts and Regulations</w:t>
      </w:r>
      <w:r w:rsidR="00682841">
        <w:t xml:space="preserve"> and supported, in a number </w:t>
      </w:r>
      <w:r w:rsidR="006B6AAF">
        <w:t xml:space="preserve">of </w:t>
      </w:r>
      <w:r w:rsidR="00682841">
        <w:t>cases, by sector-specific production assurance programs</w:t>
      </w:r>
      <w:r>
        <w:t>.</w:t>
      </w:r>
    </w:p>
    <w:p w:rsidR="00695EC0" w:rsidRDefault="00695EC0" w:rsidP="00695EC0">
      <w:pPr>
        <w:rPr>
          <w:rFonts w:cs="Arial"/>
          <w:szCs w:val="22"/>
        </w:rPr>
      </w:pPr>
    </w:p>
    <w:p w:rsidR="00695EC0" w:rsidRPr="00695EC0" w:rsidRDefault="00695EC0" w:rsidP="00695EC0">
      <w:pPr>
        <w:rPr>
          <w:rFonts w:cs="Arial"/>
          <w:szCs w:val="22"/>
        </w:rPr>
      </w:pPr>
      <w:r w:rsidRPr="00695EC0">
        <w:rPr>
          <w:lang w:val="en"/>
        </w:rPr>
        <w:t xml:space="preserve">The </w:t>
      </w:r>
      <w:r>
        <w:rPr>
          <w:lang w:val="en"/>
        </w:rPr>
        <w:t>processing</w:t>
      </w:r>
      <w:r w:rsidRPr="00695EC0">
        <w:rPr>
          <w:lang w:val="en"/>
        </w:rPr>
        <w:t xml:space="preserve"> of meat and meat products in Australia is currently implemented through reference to Australian Standards</w:t>
      </w:r>
      <w:r w:rsidRPr="00695EC0">
        <w:rPr>
          <w:rFonts w:eastAsia="Calibri"/>
          <w:i/>
        </w:rPr>
        <w:t xml:space="preserve">. </w:t>
      </w:r>
      <w:r w:rsidRPr="00695EC0">
        <w:rPr>
          <w:rFonts w:cs="Arial"/>
          <w:szCs w:val="22"/>
        </w:rPr>
        <w:t>All states and territories have legislation that require businesses operating abattoirs/meat slaughtering facilities to be licensed or accredited and to operate in accordance with approved systems to manage meat safety and suitability. The processing of the major and minor meat species is covered by the following Australian Standards:</w:t>
      </w:r>
    </w:p>
    <w:p w:rsidR="00695EC0" w:rsidRPr="00695EC0" w:rsidRDefault="00695EC0" w:rsidP="00695EC0">
      <w:pPr>
        <w:rPr>
          <w:rFonts w:cs="Arial"/>
          <w:szCs w:val="22"/>
        </w:rPr>
      </w:pPr>
    </w:p>
    <w:p w:rsidR="00695EC0" w:rsidRPr="00695EC0" w:rsidRDefault="00695EC0" w:rsidP="00744533">
      <w:pPr>
        <w:widowControl/>
        <w:ind w:left="1701" w:hanging="1701"/>
        <w:rPr>
          <w:rFonts w:cs="Arial"/>
          <w:lang w:bidi="ar-SA"/>
        </w:rPr>
      </w:pPr>
      <w:r w:rsidRPr="00695EC0">
        <w:rPr>
          <w:rFonts w:cs="Arial"/>
          <w:lang w:bidi="ar-SA"/>
        </w:rPr>
        <w:t>AS 4696</w:t>
      </w:r>
      <w:r>
        <w:rPr>
          <w:rFonts w:cs="Arial"/>
          <w:lang w:bidi="ar-SA"/>
        </w:rPr>
        <w:t xml:space="preserve"> </w:t>
      </w:r>
      <w:r w:rsidR="00B37ED2">
        <w:rPr>
          <w:rFonts w:cs="Arial"/>
          <w:lang w:bidi="ar-SA"/>
        </w:rPr>
        <w:t>–</w:t>
      </w:r>
      <w:r>
        <w:rPr>
          <w:rFonts w:cs="Arial"/>
          <w:lang w:bidi="ar-SA"/>
        </w:rPr>
        <w:t xml:space="preserve"> </w:t>
      </w:r>
      <w:r w:rsidRPr="00695EC0">
        <w:rPr>
          <w:rFonts w:cs="Arial"/>
          <w:lang w:bidi="ar-SA"/>
        </w:rPr>
        <w:t>2007</w:t>
      </w:r>
      <w:r w:rsidR="00B37ED2">
        <w:rPr>
          <w:rFonts w:cs="Arial"/>
          <w:lang w:bidi="ar-SA"/>
        </w:rPr>
        <w:tab/>
      </w:r>
      <w:r w:rsidRPr="00695EC0">
        <w:rPr>
          <w:rFonts w:cs="Arial"/>
          <w:lang w:bidi="ar-SA"/>
        </w:rPr>
        <w:t xml:space="preserve"> </w:t>
      </w:r>
      <w:r w:rsidRPr="00695EC0">
        <w:rPr>
          <w:rFonts w:cs="Arial"/>
          <w:i/>
          <w:lang w:bidi="ar-SA"/>
        </w:rPr>
        <w:t>Hygienic Production and Transportatio</w:t>
      </w:r>
      <w:r>
        <w:rPr>
          <w:rFonts w:cs="Arial"/>
          <w:i/>
          <w:lang w:bidi="ar-SA"/>
        </w:rPr>
        <w:t>n of Meat and Meat Products for</w:t>
      </w:r>
      <w:r w:rsidR="00744533">
        <w:rPr>
          <w:rFonts w:cs="Arial"/>
          <w:i/>
          <w:lang w:bidi="ar-SA"/>
        </w:rPr>
        <w:t xml:space="preserve"> </w:t>
      </w:r>
      <w:r w:rsidRPr="00695EC0">
        <w:rPr>
          <w:rFonts w:cs="Arial"/>
          <w:i/>
          <w:lang w:bidi="ar-SA"/>
        </w:rPr>
        <w:t>Human Consumption</w:t>
      </w:r>
      <w:r w:rsidRPr="00695EC0">
        <w:rPr>
          <w:rFonts w:cs="Arial"/>
          <w:lang w:bidi="ar-SA"/>
        </w:rPr>
        <w:t xml:space="preserve"> </w:t>
      </w:r>
    </w:p>
    <w:p w:rsidR="00DC2727" w:rsidRDefault="00695EC0" w:rsidP="00744533">
      <w:pPr>
        <w:widowControl/>
        <w:ind w:left="1701" w:hanging="1701"/>
        <w:rPr>
          <w:rFonts w:eastAsia="Calibri" w:cs="Arial"/>
          <w:i/>
          <w:lang w:bidi="ar-SA"/>
        </w:rPr>
      </w:pPr>
      <w:r w:rsidRPr="00695EC0">
        <w:rPr>
          <w:rFonts w:eastAsia="Calibri" w:cs="Arial"/>
          <w:lang w:bidi="ar-SA"/>
        </w:rPr>
        <w:t>AS 4466</w:t>
      </w:r>
      <w:r>
        <w:rPr>
          <w:rFonts w:eastAsia="Calibri" w:cs="Arial"/>
          <w:lang w:bidi="ar-SA"/>
        </w:rPr>
        <w:t xml:space="preserve"> </w:t>
      </w:r>
      <w:r w:rsidR="00B37ED2">
        <w:rPr>
          <w:rFonts w:eastAsia="Calibri" w:cs="Arial"/>
          <w:lang w:bidi="ar-SA"/>
        </w:rPr>
        <w:t>–</w:t>
      </w:r>
      <w:r>
        <w:rPr>
          <w:rFonts w:eastAsia="Calibri" w:cs="Arial"/>
          <w:lang w:bidi="ar-SA"/>
        </w:rPr>
        <w:t xml:space="preserve"> </w:t>
      </w:r>
      <w:r w:rsidRPr="00695EC0">
        <w:rPr>
          <w:rFonts w:eastAsia="Calibri" w:cs="Arial"/>
          <w:lang w:bidi="ar-SA"/>
        </w:rPr>
        <w:t>1998</w:t>
      </w:r>
      <w:r w:rsidR="00B37ED2">
        <w:rPr>
          <w:rFonts w:eastAsia="Calibri" w:cs="Arial"/>
          <w:lang w:bidi="ar-SA"/>
        </w:rPr>
        <w:tab/>
      </w:r>
      <w:r w:rsidRPr="00695EC0">
        <w:rPr>
          <w:rFonts w:eastAsia="Calibri" w:cs="Arial"/>
          <w:lang w:bidi="ar-SA"/>
        </w:rPr>
        <w:t xml:space="preserve"> </w:t>
      </w:r>
      <w:r w:rsidRPr="00695EC0">
        <w:rPr>
          <w:rFonts w:eastAsia="Calibri" w:cs="Arial"/>
          <w:i/>
          <w:lang w:bidi="ar-SA"/>
        </w:rPr>
        <w:t>Hygienic Production of Rabbit Meat for Human Consumption</w:t>
      </w:r>
      <w:r w:rsidR="00DC2727">
        <w:rPr>
          <w:rFonts w:eastAsia="Calibri" w:cs="Arial"/>
          <w:i/>
          <w:lang w:bidi="ar-SA"/>
        </w:rPr>
        <w:br w:type="page"/>
      </w:r>
    </w:p>
    <w:p w:rsidR="00695EC0" w:rsidRPr="00695EC0" w:rsidRDefault="00695EC0" w:rsidP="00744533">
      <w:pPr>
        <w:widowControl/>
        <w:ind w:left="1701" w:hanging="1701"/>
        <w:rPr>
          <w:rFonts w:cs="Arial"/>
          <w:lang w:bidi="ar-SA"/>
        </w:rPr>
      </w:pPr>
      <w:r>
        <w:rPr>
          <w:rFonts w:eastAsia="Calibri" w:cs="Arial"/>
          <w:lang w:bidi="ar-SA"/>
        </w:rPr>
        <w:lastRenderedPageBreak/>
        <w:t xml:space="preserve">AS 4467 </w:t>
      </w:r>
      <w:r w:rsidR="00B37ED2">
        <w:rPr>
          <w:rFonts w:eastAsia="Calibri" w:cs="Arial"/>
          <w:lang w:bidi="ar-SA"/>
        </w:rPr>
        <w:t>–</w:t>
      </w:r>
      <w:r>
        <w:rPr>
          <w:rFonts w:eastAsia="Calibri" w:cs="Arial"/>
          <w:lang w:bidi="ar-SA"/>
        </w:rPr>
        <w:t xml:space="preserve"> </w:t>
      </w:r>
      <w:r w:rsidRPr="00695EC0">
        <w:rPr>
          <w:rFonts w:eastAsia="Calibri" w:cs="Arial"/>
          <w:lang w:bidi="ar-SA"/>
        </w:rPr>
        <w:t>1998</w:t>
      </w:r>
      <w:r w:rsidR="00B37ED2">
        <w:rPr>
          <w:rFonts w:eastAsia="Calibri" w:cs="Arial"/>
          <w:lang w:bidi="ar-SA"/>
        </w:rPr>
        <w:tab/>
      </w:r>
      <w:r w:rsidRPr="00695EC0">
        <w:rPr>
          <w:rFonts w:eastAsia="Calibri" w:cs="Arial"/>
          <w:lang w:bidi="ar-SA"/>
        </w:rPr>
        <w:t xml:space="preserve"> </w:t>
      </w:r>
      <w:r w:rsidRPr="00695EC0">
        <w:rPr>
          <w:rFonts w:eastAsia="Calibri" w:cs="Arial"/>
          <w:i/>
          <w:lang w:bidi="ar-SA"/>
        </w:rPr>
        <w:t>Hygienic Production of</w:t>
      </w:r>
      <w:r w:rsidRPr="00695EC0">
        <w:rPr>
          <w:rFonts w:eastAsia="Calibri" w:cs="Arial"/>
          <w:b/>
          <w:i/>
          <w:lang w:bidi="ar-SA"/>
        </w:rPr>
        <w:t xml:space="preserve"> </w:t>
      </w:r>
      <w:r w:rsidRPr="00695EC0">
        <w:rPr>
          <w:rFonts w:eastAsia="Calibri" w:cs="Arial"/>
          <w:i/>
          <w:lang w:bidi="ar-SA"/>
        </w:rPr>
        <w:t>Crocodile Meat for Human Consumption</w:t>
      </w:r>
    </w:p>
    <w:p w:rsidR="00695EC0" w:rsidRPr="00695EC0" w:rsidRDefault="00695EC0" w:rsidP="00744533">
      <w:pPr>
        <w:widowControl/>
        <w:ind w:left="1701" w:hanging="1701"/>
        <w:rPr>
          <w:rFonts w:eastAsia="Calibri" w:cs="Arial"/>
          <w:lang w:bidi="ar-SA"/>
        </w:rPr>
      </w:pPr>
      <w:r w:rsidRPr="00695EC0">
        <w:rPr>
          <w:rFonts w:eastAsia="Calibri" w:cs="Arial"/>
          <w:lang w:bidi="ar-SA"/>
        </w:rPr>
        <w:t xml:space="preserve">AS </w:t>
      </w:r>
      <w:r>
        <w:rPr>
          <w:rFonts w:eastAsia="Calibri" w:cs="Arial"/>
          <w:lang w:bidi="ar-SA"/>
        </w:rPr>
        <w:t xml:space="preserve">5010 </w:t>
      </w:r>
      <w:r w:rsidR="00B37ED2">
        <w:rPr>
          <w:rFonts w:eastAsia="Calibri" w:cs="Arial"/>
          <w:lang w:bidi="ar-SA"/>
        </w:rPr>
        <w:t>–</w:t>
      </w:r>
      <w:r>
        <w:rPr>
          <w:rFonts w:eastAsia="Calibri" w:cs="Arial"/>
          <w:lang w:bidi="ar-SA"/>
        </w:rPr>
        <w:t xml:space="preserve"> </w:t>
      </w:r>
      <w:r w:rsidRPr="00695EC0">
        <w:rPr>
          <w:rFonts w:eastAsia="Calibri" w:cs="Arial"/>
          <w:lang w:bidi="ar-SA"/>
        </w:rPr>
        <w:t>2001</w:t>
      </w:r>
      <w:r w:rsidR="00B37ED2">
        <w:rPr>
          <w:rFonts w:eastAsia="Calibri" w:cs="Arial"/>
          <w:lang w:bidi="ar-SA"/>
        </w:rPr>
        <w:tab/>
      </w:r>
      <w:r w:rsidRPr="00695EC0">
        <w:rPr>
          <w:rFonts w:eastAsia="Calibri" w:cs="Arial"/>
          <w:lang w:bidi="ar-SA"/>
        </w:rPr>
        <w:t xml:space="preserve"> </w:t>
      </w:r>
      <w:r w:rsidRPr="00695EC0">
        <w:rPr>
          <w:rFonts w:eastAsia="Calibri" w:cs="Arial"/>
          <w:i/>
          <w:lang w:bidi="ar-SA"/>
        </w:rPr>
        <w:t>Hygienic Production of Ratite Meat for Human Consumption</w:t>
      </w:r>
    </w:p>
    <w:p w:rsidR="00D544B7" w:rsidRDefault="00D544B7" w:rsidP="002036DD">
      <w:pPr>
        <w:widowControl/>
        <w:autoSpaceDE w:val="0"/>
        <w:autoSpaceDN w:val="0"/>
        <w:adjustRightInd w:val="0"/>
        <w:rPr>
          <w:rFonts w:cs="Arial"/>
          <w:szCs w:val="22"/>
          <w:lang w:eastAsia="en-GB" w:bidi="ar-SA"/>
        </w:rPr>
      </w:pPr>
    </w:p>
    <w:p w:rsidR="007A53BF" w:rsidRPr="007A53BF" w:rsidRDefault="00695EC0" w:rsidP="002036DD">
      <w:pPr>
        <w:widowControl/>
        <w:autoSpaceDE w:val="0"/>
        <w:autoSpaceDN w:val="0"/>
        <w:adjustRightInd w:val="0"/>
        <w:rPr>
          <w:color w:val="00B050"/>
        </w:rPr>
      </w:pPr>
      <w:r w:rsidRPr="00695EC0">
        <w:rPr>
          <w:rFonts w:cs="Arial"/>
          <w:szCs w:val="22"/>
          <w:lang w:eastAsia="en-GB" w:bidi="ar-SA"/>
        </w:rPr>
        <w:t>The harvesting and primary processing of wild game animals is addressed by a specific Australian Standard</w:t>
      </w:r>
      <w:r w:rsidR="00753D02">
        <w:rPr>
          <w:rFonts w:cs="Arial"/>
          <w:szCs w:val="22"/>
          <w:lang w:eastAsia="en-GB" w:bidi="ar-SA"/>
        </w:rPr>
        <w:t xml:space="preserve">, </w:t>
      </w:r>
      <w:r w:rsidRPr="00695EC0">
        <w:rPr>
          <w:rFonts w:eastAsia="Calibri" w:cs="Arial"/>
        </w:rPr>
        <w:t xml:space="preserve">AS 4464-2007 </w:t>
      </w:r>
      <w:r w:rsidRPr="00695EC0">
        <w:rPr>
          <w:rFonts w:eastAsia="Calibri" w:cs="Arial"/>
          <w:i/>
        </w:rPr>
        <w:t>Hygienic Production of Wild Game Meat for Human Consumption</w:t>
      </w:r>
      <w:r w:rsidR="00753D02">
        <w:rPr>
          <w:rFonts w:eastAsia="Calibri" w:cs="Arial"/>
        </w:rPr>
        <w:t xml:space="preserve">, and covers </w:t>
      </w:r>
      <w:r w:rsidRPr="00695EC0">
        <w:rPr>
          <w:szCs w:val="22"/>
        </w:rPr>
        <w:t>the harvesting</w:t>
      </w:r>
      <w:r w:rsidR="00753D02">
        <w:rPr>
          <w:rStyle w:val="FootnoteReference"/>
          <w:szCs w:val="22"/>
        </w:rPr>
        <w:footnoteReference w:id="5"/>
      </w:r>
      <w:r w:rsidRPr="00695EC0">
        <w:rPr>
          <w:szCs w:val="22"/>
        </w:rPr>
        <w:t xml:space="preserve"> of wild game animals and holding of carcases at field depots</w:t>
      </w:r>
      <w:r w:rsidR="00753D02">
        <w:rPr>
          <w:szCs w:val="22"/>
        </w:rPr>
        <w:t>.</w:t>
      </w:r>
    </w:p>
    <w:p w:rsidR="007A53BF" w:rsidRPr="008D3722" w:rsidRDefault="007A53BF" w:rsidP="00CE59AA">
      <w:pPr>
        <w:pStyle w:val="Heading2"/>
        <w:rPr>
          <w:u w:color="FFFF00"/>
        </w:rPr>
      </w:pPr>
      <w:bookmarkStart w:id="21" w:name="_Toc286391007"/>
      <w:bookmarkStart w:id="22" w:name="_Toc300933423"/>
      <w:bookmarkStart w:id="23" w:name="_Toc370223468"/>
      <w:bookmarkStart w:id="24" w:name="_Toc387850949"/>
      <w:bookmarkStart w:id="25" w:name="_Toc175381432"/>
      <w:r w:rsidRPr="007A53BF">
        <w:rPr>
          <w:u w:color="FFFF00"/>
        </w:rPr>
        <w:t>1.</w:t>
      </w:r>
      <w:r w:rsidR="008358E3">
        <w:rPr>
          <w:u w:color="FFFF00"/>
        </w:rPr>
        <w:t>3</w:t>
      </w:r>
      <w:r w:rsidRPr="007A53BF">
        <w:rPr>
          <w:u w:color="FFFF00"/>
        </w:rPr>
        <w:tab/>
        <w:t xml:space="preserve">Reasons for </w:t>
      </w:r>
      <w:bookmarkEnd w:id="21"/>
      <w:bookmarkEnd w:id="22"/>
      <w:r w:rsidRPr="008D3722">
        <w:t>preparing Proposal</w:t>
      </w:r>
      <w:bookmarkEnd w:id="23"/>
      <w:bookmarkEnd w:id="24"/>
    </w:p>
    <w:bookmarkEnd w:id="25"/>
    <w:p w:rsidR="006D48E6" w:rsidRDefault="006D48E6" w:rsidP="006D48E6">
      <w:r>
        <w:rPr>
          <w:lang w:val="en"/>
        </w:rPr>
        <w:t xml:space="preserve">The Inter-Governmental Food Regulation Agreement seeks to have a national “whole of chain” approach to food safety regulation i.e. responsibility for food safety is shared between producer and processor with corrective actions applied at the appropriate point in the supply chain. The Proposal was prepared to address this gap </w:t>
      </w:r>
      <w:r>
        <w:t xml:space="preserve">in statutory powers in a nationally consistent manner, without requiring each jurisdiction to amend its own Food Act to provide this coverage. Primary </w:t>
      </w:r>
      <w:r w:rsidR="00135895">
        <w:t>p</w:t>
      </w:r>
      <w:r>
        <w:t xml:space="preserve">roduction and </w:t>
      </w:r>
      <w:r w:rsidR="00135895">
        <w:t>p</w:t>
      </w:r>
      <w:r>
        <w:t>rocessing Standards have been introduced into seafood, egg, poultry, dairy and seed sprouts industries, providing powers to food regulators to investigate appropriate food safety matters in primary production and processing as they arise.</w:t>
      </w:r>
    </w:p>
    <w:p w:rsidR="006D48E6" w:rsidRDefault="006D48E6" w:rsidP="006D48E6"/>
    <w:p w:rsidR="001F19BD" w:rsidRDefault="001F19BD" w:rsidP="001F19BD">
      <w:r>
        <w:t>One of the principal limitations of current food safety regulatory arrangements in states and territories is the inability to investigate food safety issues in the primary production sector without activating emergency powers</w:t>
      </w:r>
      <w:r w:rsidRPr="006B2FD5">
        <w:t>. Currently</w:t>
      </w:r>
      <w:r w:rsidR="00682841" w:rsidRPr="006B2FD5">
        <w:t>,</w:t>
      </w:r>
      <w:r w:rsidRPr="006B2FD5">
        <w:t xml:space="preserve"> </w:t>
      </w:r>
      <w:r w:rsidR="006B2FD5">
        <w:t xml:space="preserve">food-specific </w:t>
      </w:r>
      <w:r w:rsidRPr="006B2FD5">
        <w:t>regulatory powers in the meat sector are limited to processing environments only. There have been incidents over the years where events have occurred in the meat supply</w:t>
      </w:r>
      <w:r>
        <w:t xml:space="preserve"> chain that have been traced back to primary production environments. Only </w:t>
      </w:r>
      <w:r w:rsidR="006D48E6">
        <w:t xml:space="preserve">for </w:t>
      </w:r>
      <w:r>
        <w:t>those incidents</w:t>
      </w:r>
      <w:r w:rsidR="00682841">
        <w:t xml:space="preserve"> where </w:t>
      </w:r>
      <w:r>
        <w:t xml:space="preserve">emergency powers have </w:t>
      </w:r>
      <w:r w:rsidR="00682841">
        <w:t>been activated have</w:t>
      </w:r>
      <w:r>
        <w:t xml:space="preserve"> state and territory regulators </w:t>
      </w:r>
      <w:r w:rsidR="00682841">
        <w:t xml:space="preserve">been able </w:t>
      </w:r>
      <w:r>
        <w:t>to investigate</w:t>
      </w:r>
      <w:r w:rsidR="002D5141">
        <w:t xml:space="preserve"> e.g. nitrofurans in pork</w:t>
      </w:r>
      <w:r>
        <w:t xml:space="preserve">. </w:t>
      </w:r>
      <w:r w:rsidR="00682841">
        <w:t>T</w:t>
      </w:r>
      <w:r>
        <w:t xml:space="preserve">he burden of proof required of a regulator to activate such powers </w:t>
      </w:r>
      <w:r w:rsidR="00E32D24">
        <w:t xml:space="preserve">may result in delays in investigation and response. </w:t>
      </w:r>
      <w:r>
        <w:t xml:space="preserve">It </w:t>
      </w:r>
      <w:r w:rsidR="00625A90">
        <w:t xml:space="preserve">would be </w:t>
      </w:r>
      <w:r>
        <w:t xml:space="preserve">more </w:t>
      </w:r>
      <w:r w:rsidR="00625A90">
        <w:t xml:space="preserve">effective and efficient </w:t>
      </w:r>
      <w:r>
        <w:t xml:space="preserve">to </w:t>
      </w:r>
      <w:r w:rsidR="00625A90">
        <w:t>have a national mechanism (i</w:t>
      </w:r>
      <w:r w:rsidR="00135895">
        <w:t>.</w:t>
      </w:r>
      <w:r w:rsidR="00625A90">
        <w:t xml:space="preserve">e. </w:t>
      </w:r>
      <w:r w:rsidR="00135895">
        <w:t xml:space="preserve">a </w:t>
      </w:r>
      <w:r w:rsidR="00625A90">
        <w:t xml:space="preserve">standard) in place that </w:t>
      </w:r>
      <w:r w:rsidR="00D544B7">
        <w:t>em</w:t>
      </w:r>
      <w:r w:rsidR="00625A90">
        <w:t>power</w:t>
      </w:r>
      <w:r w:rsidR="00D544B7">
        <w:t>s</w:t>
      </w:r>
      <w:r>
        <w:t xml:space="preserve"> food safety regulators to investigate food safety issues in primary production </w:t>
      </w:r>
      <w:r w:rsidR="00625A90">
        <w:t xml:space="preserve">as and </w:t>
      </w:r>
      <w:r>
        <w:t>when necessary</w:t>
      </w:r>
      <w:r w:rsidR="00D544B7">
        <w:t>, without recourse to emergency powers</w:t>
      </w:r>
      <w:r>
        <w:t>.</w:t>
      </w:r>
    </w:p>
    <w:p w:rsidR="007A53BF" w:rsidRPr="007A53BF" w:rsidRDefault="007A53BF" w:rsidP="00CE59AA">
      <w:pPr>
        <w:pStyle w:val="Heading2"/>
      </w:pPr>
      <w:bookmarkStart w:id="26" w:name="_Toc370223469"/>
      <w:bookmarkStart w:id="27" w:name="_Toc387850950"/>
      <w:r w:rsidRPr="007A53BF">
        <w:t>1.</w:t>
      </w:r>
      <w:r w:rsidR="008358E3">
        <w:t>4</w:t>
      </w:r>
      <w:r w:rsidRPr="007A53BF">
        <w:tab/>
        <w:t>Procedure for assessment</w:t>
      </w:r>
      <w:bookmarkEnd w:id="26"/>
      <w:bookmarkEnd w:id="27"/>
    </w:p>
    <w:p w:rsidR="00AF397D" w:rsidRPr="008D3722" w:rsidRDefault="00AF397D" w:rsidP="00AF397D">
      <w:r w:rsidRPr="008D3722">
        <w:t xml:space="preserve">The Proposal was assessed under the </w:t>
      </w:r>
      <w:r w:rsidR="00E46D61">
        <w:t>M</w:t>
      </w:r>
      <w:r w:rsidR="008D3722" w:rsidRPr="008D3722">
        <w:t>a</w:t>
      </w:r>
      <w:r w:rsidRPr="008D3722">
        <w:t>jor Procedure.</w:t>
      </w:r>
    </w:p>
    <w:p w:rsidR="00422EC9" w:rsidRDefault="007A53BF" w:rsidP="00422EC9">
      <w:pPr>
        <w:pStyle w:val="Heading2"/>
      </w:pPr>
      <w:bookmarkStart w:id="28" w:name="_Toc387850951"/>
      <w:r>
        <w:t>1</w:t>
      </w:r>
      <w:r w:rsidR="008358E3">
        <w:t>.5</w:t>
      </w:r>
      <w:r w:rsidR="00422EC9">
        <w:tab/>
      </w:r>
      <w:r w:rsidR="00422EC9" w:rsidRPr="00932F14">
        <w:t>Decision</w:t>
      </w:r>
      <w:bookmarkEnd w:id="28"/>
    </w:p>
    <w:p w:rsidR="002C1A3B" w:rsidRPr="008D3722" w:rsidRDefault="00422EC9" w:rsidP="002C1A3B">
      <w:r w:rsidRPr="008D3722">
        <w:t xml:space="preserve">The draft </w:t>
      </w:r>
      <w:r w:rsidR="00E30092" w:rsidRPr="008D3722">
        <w:t xml:space="preserve">variation </w:t>
      </w:r>
      <w:r w:rsidRPr="008D3722">
        <w:t>as proposed following assessment was approved without change</w:t>
      </w:r>
      <w:r w:rsidR="008D3722" w:rsidRPr="008D3722">
        <w:t xml:space="preserve">. </w:t>
      </w:r>
      <w:r w:rsidR="002C1A3B" w:rsidRPr="008D3722">
        <w:t xml:space="preserve">The variation takes effect </w:t>
      </w:r>
      <w:r w:rsidR="008D3722" w:rsidRPr="008D3722">
        <w:t>12 months after the date of gazettal.</w:t>
      </w:r>
    </w:p>
    <w:p w:rsidR="00135895" w:rsidRDefault="00135895" w:rsidP="002C1A3B"/>
    <w:p w:rsidR="002C1A3B" w:rsidRDefault="00422EC9" w:rsidP="002C1A3B">
      <w:r w:rsidRPr="008D3722">
        <w:t xml:space="preserve">The </w:t>
      </w:r>
      <w:r w:rsidR="002C1A3B" w:rsidRPr="008D3722">
        <w:t xml:space="preserve">approved </w:t>
      </w:r>
      <w:r w:rsidRPr="008D3722">
        <w:t xml:space="preserve">draft </w:t>
      </w:r>
      <w:r w:rsidR="00E30092" w:rsidRPr="008D3722">
        <w:t>variation</w:t>
      </w:r>
      <w:r w:rsidRPr="008D3722">
        <w:t xml:space="preserve"> is at Attachment A. </w:t>
      </w:r>
      <w:r w:rsidR="000A0E8D" w:rsidRPr="008D3722">
        <w:t>The</w:t>
      </w:r>
      <w:r w:rsidR="002C1A3B" w:rsidRPr="008D3722">
        <w:t xml:space="preserve"> explanatory statement is at Attachment B. An explanatory statement is required to accompany an instrument if it is lodged on the Federal Register of Legislative Instruments. </w:t>
      </w:r>
    </w:p>
    <w:p w:rsidR="00DC2727" w:rsidRDefault="00DC2727" w:rsidP="002C1A3B">
      <w:r>
        <w:br w:type="page"/>
      </w:r>
    </w:p>
    <w:p w:rsidR="0012388D" w:rsidRDefault="007A53BF" w:rsidP="00B37ED2">
      <w:pPr>
        <w:pStyle w:val="Heading1"/>
        <w:ind w:left="0" w:firstLine="0"/>
      </w:pPr>
      <w:bookmarkStart w:id="29" w:name="_Toc387850952"/>
      <w:bookmarkStart w:id="30" w:name="_Toc11735630"/>
      <w:bookmarkStart w:id="31" w:name="_Toc29883114"/>
      <w:bookmarkStart w:id="32" w:name="_Toc41906801"/>
      <w:bookmarkStart w:id="33" w:name="_Toc41907548"/>
      <w:bookmarkStart w:id="34" w:name="_Toc120358578"/>
      <w:bookmarkStart w:id="35"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29"/>
    </w:p>
    <w:p w:rsidR="000527E5" w:rsidRDefault="007A53BF" w:rsidP="00922754">
      <w:pPr>
        <w:pStyle w:val="Heading2"/>
      </w:pPr>
      <w:bookmarkStart w:id="36" w:name="_Toc300933438"/>
      <w:bookmarkStart w:id="37" w:name="_Toc370223471"/>
      <w:bookmarkStart w:id="38" w:name="_Toc370225386"/>
      <w:bookmarkStart w:id="39" w:name="_Toc387850953"/>
      <w:bookmarkStart w:id="40" w:name="_Toc286391009"/>
      <w:bookmarkStart w:id="41" w:name="_Toc300933425"/>
      <w:bookmarkStart w:id="42" w:name="_Toc309291838"/>
      <w:bookmarkStart w:id="43" w:name="_Toc309385455"/>
      <w:bookmarkStart w:id="44" w:name="_Toc120358583"/>
      <w:bookmarkStart w:id="45" w:name="_Toc175381440"/>
      <w:r w:rsidRPr="002C1A3B">
        <w:t>2.1</w:t>
      </w:r>
      <w:r w:rsidRPr="002C1A3B">
        <w:tab/>
        <w:t xml:space="preserve">Summary of issues raised </w:t>
      </w:r>
      <w:bookmarkEnd w:id="36"/>
      <w:r w:rsidRPr="002C1A3B">
        <w:t>in submissions</w:t>
      </w:r>
      <w:bookmarkEnd w:id="37"/>
      <w:bookmarkEnd w:id="38"/>
      <w:bookmarkEnd w:id="39"/>
    </w:p>
    <w:p w:rsidR="000527E5" w:rsidRDefault="00321060" w:rsidP="002D5141">
      <w:pPr>
        <w:rPr>
          <w:szCs w:val="22"/>
        </w:rPr>
      </w:pPr>
      <w:r>
        <w:t xml:space="preserve">The majority of submissions </w:t>
      </w:r>
      <w:r w:rsidR="00922754">
        <w:t>(nine</w:t>
      </w:r>
      <w:r w:rsidR="00B37ED2">
        <w:t xml:space="preserve"> of the </w:t>
      </w:r>
      <w:r w:rsidR="00135895">
        <w:t xml:space="preserve">11 </w:t>
      </w:r>
      <w:r w:rsidR="00B37ED2">
        <w:t>submissions received</w:t>
      </w:r>
      <w:r w:rsidR="00922754">
        <w:t xml:space="preserve">) </w:t>
      </w:r>
      <w:r>
        <w:t>supported the draft variation to Standard</w:t>
      </w:r>
      <w:r w:rsidR="009B6EC2">
        <w:t>s</w:t>
      </w:r>
      <w:r>
        <w:t xml:space="preserve"> 4.2.3 </w:t>
      </w:r>
      <w:r w:rsidR="009B6EC2">
        <w:t>and 1.6.2.</w:t>
      </w:r>
      <w:r w:rsidRPr="000527E5">
        <w:rPr>
          <w:szCs w:val="22"/>
        </w:rPr>
        <w:t xml:space="preserve"> </w:t>
      </w:r>
    </w:p>
    <w:p w:rsidR="000527E5" w:rsidRDefault="000527E5" w:rsidP="002D5141">
      <w:pPr>
        <w:rPr>
          <w:szCs w:val="22"/>
        </w:rPr>
      </w:pPr>
    </w:p>
    <w:p w:rsidR="005A4D08" w:rsidRDefault="005A4D08" w:rsidP="005A4D08">
      <w:pPr>
        <w:rPr>
          <w:rFonts w:cs="Arial"/>
        </w:rPr>
      </w:pPr>
      <w:r>
        <w:rPr>
          <w:rFonts w:cs="Arial"/>
        </w:rPr>
        <w:t>Stakeholder</w:t>
      </w:r>
      <w:r w:rsidR="00ED24B4">
        <w:rPr>
          <w:rFonts w:cs="Arial"/>
        </w:rPr>
        <w:t>s generally</w:t>
      </w:r>
      <w:r>
        <w:rPr>
          <w:rFonts w:cs="Arial"/>
        </w:rPr>
        <w:t>:</w:t>
      </w:r>
    </w:p>
    <w:p w:rsidR="005A4D08" w:rsidRDefault="005A4D08" w:rsidP="005A4D08">
      <w:pPr>
        <w:pStyle w:val="FSBullet"/>
        <w:ind w:firstLine="0"/>
      </w:pPr>
    </w:p>
    <w:p w:rsidR="00FC0120" w:rsidRDefault="005A4D08" w:rsidP="005A4D08">
      <w:pPr>
        <w:pStyle w:val="FSBullet1"/>
      </w:pPr>
      <w:r>
        <w:t>support</w:t>
      </w:r>
      <w:r w:rsidR="00ED24B4">
        <w:t>ed</w:t>
      </w:r>
      <w:r>
        <w:t xml:space="preserve"> regulatory requirements for primary production </w:t>
      </w:r>
    </w:p>
    <w:p w:rsidR="005A4D08" w:rsidRDefault="00ED24B4" w:rsidP="005A4D08">
      <w:pPr>
        <w:pStyle w:val="FSBullet1"/>
      </w:pPr>
      <w:r>
        <w:t xml:space="preserve">identified </w:t>
      </w:r>
      <w:r w:rsidR="005A4D08">
        <w:t>the opportunity to improve the system</w:t>
      </w:r>
      <w:r>
        <w:t xml:space="preserve"> </w:t>
      </w:r>
      <w:r w:rsidR="004D5759">
        <w:t xml:space="preserve">through </w:t>
      </w:r>
      <w:r w:rsidR="005A4D08">
        <w:t>integrating producer and processor</w:t>
      </w:r>
      <w:r w:rsidR="00C17553">
        <w:t xml:space="preserve"> requirements into the one document</w:t>
      </w:r>
    </w:p>
    <w:p w:rsidR="005A4D08" w:rsidRPr="009A314A" w:rsidRDefault="005A4D08" w:rsidP="005A4D08">
      <w:pPr>
        <w:pStyle w:val="FSBullet1"/>
      </w:pPr>
      <w:r>
        <w:t>support</w:t>
      </w:r>
      <w:r w:rsidR="00ED24B4">
        <w:t>ed</w:t>
      </w:r>
      <w:r>
        <w:t xml:space="preserve"> the </w:t>
      </w:r>
      <w:r w:rsidR="000C1407">
        <w:t xml:space="preserve">making of a </w:t>
      </w:r>
      <w:r w:rsidRPr="009A314A">
        <w:rPr>
          <w:bCs/>
        </w:rPr>
        <w:t xml:space="preserve">standard </w:t>
      </w:r>
      <w:r w:rsidR="000C1407">
        <w:rPr>
          <w:bCs/>
        </w:rPr>
        <w:t>that restates</w:t>
      </w:r>
      <w:r w:rsidR="000C1407" w:rsidRPr="009A314A">
        <w:rPr>
          <w:bCs/>
        </w:rPr>
        <w:t xml:space="preserve"> </w:t>
      </w:r>
      <w:r w:rsidRPr="009A314A">
        <w:rPr>
          <w:bCs/>
        </w:rPr>
        <w:t xml:space="preserve">the obligations that </w:t>
      </w:r>
      <w:r w:rsidR="006B6AAF">
        <w:rPr>
          <w:bCs/>
        </w:rPr>
        <w:t>producers</w:t>
      </w:r>
      <w:r w:rsidRPr="009A314A">
        <w:rPr>
          <w:bCs/>
        </w:rPr>
        <w:t xml:space="preserve"> supplying animals for slaughter for human consumption must </w:t>
      </w:r>
      <w:r w:rsidR="000C1407">
        <w:rPr>
          <w:bCs/>
        </w:rPr>
        <w:t>currently</w:t>
      </w:r>
      <w:r w:rsidRPr="009A314A">
        <w:rPr>
          <w:bCs/>
        </w:rPr>
        <w:t xml:space="preserve"> meet (e.g.</w:t>
      </w:r>
      <w:r>
        <w:rPr>
          <w:bCs/>
        </w:rPr>
        <w:t xml:space="preserve"> managing inputs, traceability)</w:t>
      </w:r>
    </w:p>
    <w:p w:rsidR="005A4D08" w:rsidRDefault="00FC0120" w:rsidP="005A4D08">
      <w:pPr>
        <w:pStyle w:val="FSBullet1"/>
      </w:pPr>
      <w:r>
        <w:t>highlighted</w:t>
      </w:r>
      <w:r w:rsidR="000C1407">
        <w:t xml:space="preserve"> </w:t>
      </w:r>
      <w:r w:rsidR="005A4D08">
        <w:t xml:space="preserve">the importance </w:t>
      </w:r>
      <w:r w:rsidR="00ED24B4">
        <w:t xml:space="preserve">of implementing a </w:t>
      </w:r>
      <w:r w:rsidR="005A4D08">
        <w:t xml:space="preserve">standard </w:t>
      </w:r>
      <w:r w:rsidR="00ED24B4">
        <w:t xml:space="preserve">that </w:t>
      </w:r>
      <w:r w:rsidR="005A4D08">
        <w:t xml:space="preserve">would impose little or no new costs on </w:t>
      </w:r>
      <w:r w:rsidR="006B6AAF">
        <w:t>producers</w:t>
      </w:r>
    </w:p>
    <w:p w:rsidR="005A4D08" w:rsidRDefault="005A4D08" w:rsidP="005A4D08">
      <w:pPr>
        <w:pStyle w:val="FSBullet"/>
        <w:ind w:left="0" w:firstLine="0"/>
      </w:pPr>
    </w:p>
    <w:p w:rsidR="000527E5" w:rsidRPr="00E32D24" w:rsidRDefault="005A4D08" w:rsidP="005A4D08">
      <w:pPr>
        <w:pStyle w:val="FSBullet"/>
        <w:ind w:left="0" w:firstLine="0"/>
        <w:rPr>
          <w:szCs w:val="22"/>
        </w:rPr>
      </w:pPr>
      <w:r>
        <w:t xml:space="preserve">The consultation process also indicated there </w:t>
      </w:r>
      <w:r w:rsidR="00135895">
        <w:t>wa</w:t>
      </w:r>
      <w:r>
        <w:t xml:space="preserve">s little support for maintaining the status quo (Option1). </w:t>
      </w:r>
      <w:r w:rsidR="00321060" w:rsidRPr="000527E5">
        <w:rPr>
          <w:szCs w:val="22"/>
        </w:rPr>
        <w:t>One submission (</w:t>
      </w:r>
      <w:r w:rsidR="00ED24B4">
        <w:rPr>
          <w:szCs w:val="22"/>
        </w:rPr>
        <w:t xml:space="preserve">from </w:t>
      </w:r>
      <w:r w:rsidR="00321060" w:rsidRPr="000527E5">
        <w:rPr>
          <w:szCs w:val="22"/>
        </w:rPr>
        <w:t xml:space="preserve">the Victorian </w:t>
      </w:r>
      <w:r w:rsidR="000527E5" w:rsidRPr="000527E5">
        <w:rPr>
          <w:szCs w:val="22"/>
        </w:rPr>
        <w:t xml:space="preserve">Department of Environment and Primary Industries and </w:t>
      </w:r>
      <w:r w:rsidR="00ED24B4">
        <w:rPr>
          <w:szCs w:val="22"/>
        </w:rPr>
        <w:t xml:space="preserve">the Victorian Department of </w:t>
      </w:r>
      <w:r w:rsidR="000527E5" w:rsidRPr="000527E5">
        <w:rPr>
          <w:szCs w:val="22"/>
        </w:rPr>
        <w:t xml:space="preserve">Health) did not support </w:t>
      </w:r>
      <w:r w:rsidR="00ED24B4">
        <w:rPr>
          <w:szCs w:val="22"/>
        </w:rPr>
        <w:t xml:space="preserve">the </w:t>
      </w:r>
      <w:r w:rsidR="00135895">
        <w:rPr>
          <w:szCs w:val="22"/>
        </w:rPr>
        <w:t xml:space="preserve">draft variation </w:t>
      </w:r>
      <w:r w:rsidR="000527E5" w:rsidRPr="000527E5">
        <w:rPr>
          <w:szCs w:val="22"/>
        </w:rPr>
        <w:t xml:space="preserve">and questioned </w:t>
      </w:r>
      <w:r w:rsidR="00135895">
        <w:rPr>
          <w:szCs w:val="22"/>
        </w:rPr>
        <w:t>its</w:t>
      </w:r>
      <w:r w:rsidR="00135895" w:rsidRPr="000527E5">
        <w:rPr>
          <w:szCs w:val="22"/>
        </w:rPr>
        <w:t xml:space="preserve"> </w:t>
      </w:r>
      <w:r w:rsidR="000527E5" w:rsidRPr="000527E5">
        <w:rPr>
          <w:szCs w:val="22"/>
        </w:rPr>
        <w:t>value</w:t>
      </w:r>
      <w:r w:rsidR="000C1407">
        <w:rPr>
          <w:szCs w:val="22"/>
        </w:rPr>
        <w:t>, because</w:t>
      </w:r>
      <w:r w:rsidR="000527E5" w:rsidRPr="000527E5">
        <w:rPr>
          <w:szCs w:val="22"/>
        </w:rPr>
        <w:t xml:space="preserve"> </w:t>
      </w:r>
      <w:r w:rsidR="000C1407">
        <w:rPr>
          <w:szCs w:val="22"/>
        </w:rPr>
        <w:t>it does not impose</w:t>
      </w:r>
      <w:r w:rsidR="000527E5" w:rsidRPr="000527E5">
        <w:rPr>
          <w:szCs w:val="22"/>
        </w:rPr>
        <w:t xml:space="preserve"> legal obligations on processors</w:t>
      </w:r>
      <w:r w:rsidR="00135895">
        <w:rPr>
          <w:szCs w:val="22"/>
        </w:rPr>
        <w:t>. The Departments</w:t>
      </w:r>
      <w:r w:rsidR="000527E5" w:rsidRPr="000527E5">
        <w:rPr>
          <w:szCs w:val="22"/>
        </w:rPr>
        <w:t xml:space="preserve"> considered that the introduction of on-farm requirements would deliver little, if any</w:t>
      </w:r>
      <w:r w:rsidR="00135895">
        <w:rPr>
          <w:szCs w:val="22"/>
        </w:rPr>
        <w:t>,</w:t>
      </w:r>
      <w:r w:rsidR="000527E5" w:rsidRPr="000527E5">
        <w:rPr>
          <w:szCs w:val="22"/>
        </w:rPr>
        <w:t xml:space="preserve"> </w:t>
      </w:r>
      <w:r w:rsidR="000C1407" w:rsidRPr="000527E5">
        <w:rPr>
          <w:szCs w:val="22"/>
        </w:rPr>
        <w:t>improve</w:t>
      </w:r>
      <w:r w:rsidR="000C1407">
        <w:rPr>
          <w:szCs w:val="22"/>
        </w:rPr>
        <w:t>ment of</w:t>
      </w:r>
      <w:r w:rsidR="000C1407" w:rsidRPr="000527E5">
        <w:rPr>
          <w:szCs w:val="22"/>
        </w:rPr>
        <w:t xml:space="preserve"> </w:t>
      </w:r>
      <w:r w:rsidR="000527E5" w:rsidRPr="000527E5">
        <w:rPr>
          <w:szCs w:val="22"/>
        </w:rPr>
        <w:t xml:space="preserve">food safety outcomes. </w:t>
      </w:r>
      <w:r w:rsidR="00E32D24">
        <w:rPr>
          <w:szCs w:val="22"/>
        </w:rPr>
        <w:t>However</w:t>
      </w:r>
      <w:r w:rsidR="00C37AE9">
        <w:rPr>
          <w:szCs w:val="22"/>
        </w:rPr>
        <w:t>,</w:t>
      </w:r>
      <w:r w:rsidR="00E32D24">
        <w:rPr>
          <w:szCs w:val="22"/>
        </w:rPr>
        <w:t xml:space="preserve"> </w:t>
      </w:r>
      <w:r w:rsidR="000527E5" w:rsidRPr="00E32D24">
        <w:rPr>
          <w:szCs w:val="22"/>
        </w:rPr>
        <w:t xml:space="preserve">incidents still occur, and </w:t>
      </w:r>
      <w:r w:rsidR="00C37AE9">
        <w:rPr>
          <w:szCs w:val="22"/>
        </w:rPr>
        <w:t xml:space="preserve">could be expected to </w:t>
      </w:r>
      <w:r w:rsidR="000527E5" w:rsidRPr="00E32D24">
        <w:rPr>
          <w:szCs w:val="22"/>
        </w:rPr>
        <w:t xml:space="preserve">occur in future, which warrant follow up </w:t>
      </w:r>
      <w:r w:rsidR="00ED24B4" w:rsidRPr="00E32D24">
        <w:rPr>
          <w:szCs w:val="22"/>
        </w:rPr>
        <w:t>at</w:t>
      </w:r>
      <w:r w:rsidR="000527E5" w:rsidRPr="00E32D24">
        <w:rPr>
          <w:szCs w:val="22"/>
        </w:rPr>
        <w:t xml:space="preserve"> the primary production level. </w:t>
      </w:r>
      <w:r w:rsidR="00135895" w:rsidRPr="00E32D24">
        <w:rPr>
          <w:szCs w:val="22"/>
        </w:rPr>
        <w:t xml:space="preserve">In the event of an incident, </w:t>
      </w:r>
      <w:r w:rsidR="00E32D24">
        <w:rPr>
          <w:szCs w:val="22"/>
        </w:rPr>
        <w:t xml:space="preserve">there is </w:t>
      </w:r>
      <w:r w:rsidR="000527E5" w:rsidRPr="00E32D24">
        <w:rPr>
          <w:szCs w:val="22"/>
        </w:rPr>
        <w:t xml:space="preserve">a jurisdictional gap </w:t>
      </w:r>
      <w:r w:rsidR="00135895" w:rsidRPr="00E32D24">
        <w:rPr>
          <w:szCs w:val="22"/>
        </w:rPr>
        <w:t xml:space="preserve">at the primary production level </w:t>
      </w:r>
      <w:r w:rsidR="000527E5" w:rsidRPr="00E32D24">
        <w:rPr>
          <w:szCs w:val="22"/>
        </w:rPr>
        <w:t xml:space="preserve">in </w:t>
      </w:r>
      <w:r w:rsidR="00ED24B4" w:rsidRPr="00E32D24">
        <w:rPr>
          <w:szCs w:val="22"/>
        </w:rPr>
        <w:t>f</w:t>
      </w:r>
      <w:r w:rsidR="000527E5" w:rsidRPr="00E32D24">
        <w:rPr>
          <w:szCs w:val="22"/>
        </w:rPr>
        <w:t xml:space="preserve">ood regulatory coverage </w:t>
      </w:r>
      <w:r w:rsidR="00ED24B4" w:rsidRPr="00E32D24">
        <w:rPr>
          <w:szCs w:val="22"/>
        </w:rPr>
        <w:t>for</w:t>
      </w:r>
      <w:r w:rsidR="000527E5" w:rsidRPr="00E32D24">
        <w:rPr>
          <w:szCs w:val="22"/>
        </w:rPr>
        <w:t xml:space="preserve"> agencies with public health functions </w:t>
      </w:r>
      <w:r w:rsidR="00ED24B4" w:rsidRPr="00E32D24">
        <w:rPr>
          <w:szCs w:val="22"/>
        </w:rPr>
        <w:t xml:space="preserve">operating </w:t>
      </w:r>
      <w:r w:rsidR="000527E5" w:rsidRPr="00E32D24">
        <w:rPr>
          <w:szCs w:val="22"/>
        </w:rPr>
        <w:t>under the Food Act</w:t>
      </w:r>
      <w:r w:rsidR="000C1407" w:rsidRPr="00E32D24">
        <w:rPr>
          <w:szCs w:val="22"/>
        </w:rPr>
        <w:t>s</w:t>
      </w:r>
      <w:r w:rsidR="000527E5" w:rsidRPr="00E32D24">
        <w:rPr>
          <w:szCs w:val="22"/>
        </w:rPr>
        <w:t xml:space="preserve">. Further issues raised in this submission are included in Table 1. </w:t>
      </w:r>
    </w:p>
    <w:p w:rsidR="000527E5" w:rsidRPr="00E32D24" w:rsidRDefault="000527E5" w:rsidP="002D5141">
      <w:pPr>
        <w:rPr>
          <w:szCs w:val="22"/>
        </w:rPr>
      </w:pPr>
    </w:p>
    <w:p w:rsidR="00922754" w:rsidRDefault="00922754" w:rsidP="002D5141">
      <w:pPr>
        <w:rPr>
          <w:szCs w:val="22"/>
        </w:rPr>
      </w:pPr>
      <w:r w:rsidRPr="00E32D24">
        <w:rPr>
          <w:szCs w:val="22"/>
        </w:rPr>
        <w:t xml:space="preserve">The remaining submission raised the issue of halal labelling of meat products which </w:t>
      </w:r>
      <w:r w:rsidR="00883FA4" w:rsidRPr="00E32D24">
        <w:rPr>
          <w:szCs w:val="22"/>
        </w:rPr>
        <w:t>wa</w:t>
      </w:r>
      <w:r w:rsidRPr="00E32D24">
        <w:rPr>
          <w:szCs w:val="22"/>
        </w:rPr>
        <w:t>s not relevant to this Proposal.</w:t>
      </w:r>
    </w:p>
    <w:p w:rsidR="002D5141" w:rsidRDefault="002D5141" w:rsidP="007A53BF">
      <w:pPr>
        <w:pStyle w:val="FSTableTitle"/>
      </w:pPr>
    </w:p>
    <w:p w:rsidR="002D5141" w:rsidRDefault="002D5141" w:rsidP="007A53BF">
      <w:pPr>
        <w:pStyle w:val="FSTableTitle"/>
      </w:pPr>
    </w:p>
    <w:p w:rsidR="008068F7" w:rsidRDefault="008068F7" w:rsidP="007A53BF">
      <w:pPr>
        <w:pStyle w:val="FSTableTitle"/>
        <w:sectPr w:rsidR="008068F7" w:rsidSect="005A572E">
          <w:pgSz w:w="11906" w:h="16838" w:code="9"/>
          <w:pgMar w:top="1440" w:right="1440" w:bottom="1440" w:left="1440" w:header="709" w:footer="709" w:gutter="0"/>
          <w:pgNumType w:start="1"/>
          <w:cols w:space="708"/>
          <w:docGrid w:linePitch="360"/>
        </w:sectPr>
      </w:pPr>
    </w:p>
    <w:p w:rsidR="007A53BF" w:rsidRDefault="007A53BF" w:rsidP="007A53BF">
      <w:pPr>
        <w:pStyle w:val="FSTableTitle"/>
      </w:pPr>
      <w:r>
        <w:lastRenderedPageBreak/>
        <w:t xml:space="preserve">Table 1: Summary of issues </w:t>
      </w:r>
    </w:p>
    <w:p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974"/>
        <w:gridCol w:w="6946"/>
      </w:tblGrid>
      <w:tr w:rsidR="007A53BF" w:rsidTr="000B79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7A53BF" w:rsidRDefault="007A53BF" w:rsidP="007A53BF">
            <w:pPr>
              <w:spacing w:after="240"/>
            </w:pPr>
            <w:r>
              <w:t>Issue</w:t>
            </w:r>
          </w:p>
        </w:tc>
        <w:tc>
          <w:tcPr>
            <w:tcW w:w="3974" w:type="dxa"/>
            <w:tcBorders>
              <w:top w:val="none" w:sz="0" w:space="0" w:color="auto"/>
              <w:left w:val="none" w:sz="0" w:space="0" w:color="auto"/>
              <w:bottom w:val="none" w:sz="0" w:space="0" w:color="auto"/>
              <w:right w:val="none" w:sz="0" w:space="0" w:color="auto"/>
            </w:tcBorders>
          </w:tcPr>
          <w:p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946" w:type="dxa"/>
            <w:tcBorders>
              <w:top w:val="none" w:sz="0" w:space="0" w:color="auto"/>
              <w:left w:val="none" w:sz="0" w:space="0" w:color="auto"/>
              <w:bottom w:val="none" w:sz="0" w:space="0" w:color="auto"/>
              <w:right w:val="none" w:sz="0" w:space="0" w:color="auto"/>
            </w:tcBorders>
          </w:tcPr>
          <w:p w:rsidR="001D43F6" w:rsidRDefault="007A53BF" w:rsidP="00BC4D44">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w:t>
            </w:r>
          </w:p>
        </w:tc>
      </w:tr>
      <w:tr w:rsidR="007A53BF" w:rsidTr="000B79E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CD23DA" w:rsidRPr="00321060" w:rsidRDefault="00BC4D44" w:rsidP="00CD23DA">
            <w:pPr>
              <w:ind w:left="113" w:hanging="113"/>
              <w:rPr>
                <w:sz w:val="20"/>
                <w:szCs w:val="20"/>
              </w:rPr>
            </w:pPr>
            <w:r>
              <w:t xml:space="preserve"> </w:t>
            </w:r>
            <w:r w:rsidR="00CD23DA" w:rsidRPr="00321060">
              <w:rPr>
                <w:sz w:val="20"/>
                <w:szCs w:val="20"/>
              </w:rPr>
              <w:t>D</w:t>
            </w:r>
            <w:r w:rsidRPr="00321060">
              <w:rPr>
                <w:sz w:val="20"/>
                <w:szCs w:val="20"/>
              </w:rPr>
              <w:t xml:space="preserve">efinition of </w:t>
            </w:r>
            <w:r w:rsidR="00CD23DA" w:rsidRPr="00321060">
              <w:rPr>
                <w:sz w:val="20"/>
                <w:szCs w:val="20"/>
              </w:rPr>
              <w:t xml:space="preserve">“meat” and </w:t>
            </w:r>
            <w:r w:rsidRPr="00321060">
              <w:rPr>
                <w:sz w:val="20"/>
                <w:szCs w:val="20"/>
              </w:rPr>
              <w:t>“meat product”</w:t>
            </w:r>
            <w:r w:rsidR="00CD23DA" w:rsidRPr="00321060">
              <w:rPr>
                <w:sz w:val="20"/>
                <w:szCs w:val="20"/>
              </w:rPr>
              <w:t>.</w:t>
            </w:r>
          </w:p>
          <w:p w:rsidR="007A53BF" w:rsidRPr="00321060" w:rsidRDefault="007A53BF" w:rsidP="00CD23DA">
            <w:pPr>
              <w:ind w:left="113" w:hanging="113"/>
              <w:rPr>
                <w:sz w:val="20"/>
                <w:szCs w:val="20"/>
              </w:rPr>
            </w:pPr>
          </w:p>
          <w:p w:rsidR="00CD23DA" w:rsidRPr="000778D6" w:rsidRDefault="00CD23DA" w:rsidP="00CD23DA">
            <w:pPr>
              <w:ind w:left="113" w:hanging="113"/>
              <w:rPr>
                <w:sz w:val="20"/>
              </w:rPr>
            </w:pPr>
          </w:p>
        </w:tc>
        <w:tc>
          <w:tcPr>
            <w:tcW w:w="3974" w:type="dxa"/>
            <w:tcBorders>
              <w:left w:val="none" w:sz="0" w:space="0" w:color="auto"/>
              <w:right w:val="none" w:sz="0" w:space="0" w:color="auto"/>
            </w:tcBorders>
          </w:tcPr>
          <w:p w:rsidR="007A53BF" w:rsidRPr="00321060" w:rsidRDefault="00CD23DA" w:rsidP="00CD23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321060">
              <w:rPr>
                <w:sz w:val="20"/>
                <w:szCs w:val="20"/>
              </w:rPr>
              <w:t xml:space="preserve">A submission noted that the proposed variation to Standard 4.2.3 introduces a definition of “meat product” and a definition of “meat” that is different to that in Standard 2.2.1. </w:t>
            </w:r>
          </w:p>
        </w:tc>
        <w:tc>
          <w:tcPr>
            <w:tcW w:w="6946" w:type="dxa"/>
            <w:tcBorders>
              <w:left w:val="none" w:sz="0" w:space="0" w:color="auto"/>
            </w:tcBorders>
          </w:tcPr>
          <w:p w:rsidR="008C22E2" w:rsidRPr="00321060" w:rsidRDefault="00C37AE9" w:rsidP="00DC2727">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008C22E2" w:rsidRPr="00321060">
              <w:rPr>
                <w:sz w:val="20"/>
                <w:szCs w:val="20"/>
              </w:rPr>
              <w:t>efinition</w:t>
            </w:r>
            <w:r>
              <w:rPr>
                <w:sz w:val="20"/>
                <w:szCs w:val="20"/>
              </w:rPr>
              <w:t>s</w:t>
            </w:r>
            <w:r w:rsidR="008C22E2" w:rsidRPr="00321060">
              <w:rPr>
                <w:sz w:val="20"/>
                <w:szCs w:val="20"/>
              </w:rPr>
              <w:t xml:space="preserve"> of </w:t>
            </w:r>
            <w:r>
              <w:rPr>
                <w:sz w:val="20"/>
                <w:szCs w:val="20"/>
              </w:rPr>
              <w:t>“</w:t>
            </w:r>
            <w:r w:rsidR="00DF5F0A">
              <w:rPr>
                <w:sz w:val="20"/>
                <w:szCs w:val="20"/>
              </w:rPr>
              <w:t>meat</w:t>
            </w:r>
            <w:r>
              <w:rPr>
                <w:sz w:val="20"/>
                <w:szCs w:val="20"/>
              </w:rPr>
              <w:t>”</w:t>
            </w:r>
            <w:r w:rsidR="00DF5F0A">
              <w:rPr>
                <w:sz w:val="20"/>
                <w:szCs w:val="20"/>
              </w:rPr>
              <w:t xml:space="preserve"> and </w:t>
            </w:r>
            <w:r>
              <w:rPr>
                <w:sz w:val="20"/>
                <w:szCs w:val="20"/>
              </w:rPr>
              <w:t>“</w:t>
            </w:r>
            <w:r w:rsidR="008C22E2" w:rsidRPr="00321060">
              <w:rPr>
                <w:sz w:val="20"/>
                <w:szCs w:val="20"/>
              </w:rPr>
              <w:t>meat product</w:t>
            </w:r>
            <w:r>
              <w:rPr>
                <w:sz w:val="20"/>
                <w:szCs w:val="20"/>
              </w:rPr>
              <w:t>”</w:t>
            </w:r>
            <w:r w:rsidR="008C22E2" w:rsidRPr="00321060">
              <w:rPr>
                <w:sz w:val="20"/>
                <w:szCs w:val="20"/>
              </w:rPr>
              <w:t xml:space="preserve"> </w:t>
            </w:r>
            <w:r w:rsidR="00DF5F0A">
              <w:rPr>
                <w:sz w:val="20"/>
                <w:szCs w:val="20"/>
              </w:rPr>
              <w:t>were</w:t>
            </w:r>
            <w:r w:rsidR="00DF5F0A" w:rsidRPr="00321060">
              <w:rPr>
                <w:sz w:val="20"/>
                <w:szCs w:val="20"/>
              </w:rPr>
              <w:t xml:space="preserve"> </w:t>
            </w:r>
            <w:r w:rsidR="008C22E2" w:rsidRPr="00321060">
              <w:rPr>
                <w:sz w:val="20"/>
                <w:szCs w:val="20"/>
              </w:rPr>
              <w:t xml:space="preserve">included in Standard 4.2.3 to clarify the scope of </w:t>
            </w:r>
            <w:r w:rsidR="00DF5F0A">
              <w:rPr>
                <w:sz w:val="20"/>
                <w:szCs w:val="20"/>
              </w:rPr>
              <w:t>that particular</w:t>
            </w:r>
            <w:r w:rsidR="00DF5F0A" w:rsidRPr="00321060">
              <w:rPr>
                <w:sz w:val="20"/>
                <w:szCs w:val="20"/>
              </w:rPr>
              <w:t xml:space="preserve"> </w:t>
            </w:r>
            <w:r w:rsidR="008C22E2" w:rsidRPr="00321060">
              <w:rPr>
                <w:sz w:val="20"/>
                <w:szCs w:val="20"/>
              </w:rPr>
              <w:t xml:space="preserve">Standard and provide consistency with the </w:t>
            </w:r>
            <w:r w:rsidR="00C17553">
              <w:rPr>
                <w:sz w:val="20"/>
                <w:szCs w:val="20"/>
              </w:rPr>
              <w:t>c</w:t>
            </w:r>
            <w:r w:rsidR="008C22E2" w:rsidRPr="00321060">
              <w:rPr>
                <w:sz w:val="20"/>
                <w:szCs w:val="20"/>
              </w:rPr>
              <w:t>urrent Australian Standards for meat processing.</w:t>
            </w:r>
            <w:r w:rsidR="00DF5F0A">
              <w:rPr>
                <w:sz w:val="20"/>
                <w:szCs w:val="20"/>
              </w:rPr>
              <w:t xml:space="preserve"> The definitions in </w:t>
            </w:r>
            <w:r w:rsidR="00DF5F0A" w:rsidRPr="00321060">
              <w:rPr>
                <w:sz w:val="20"/>
                <w:szCs w:val="20"/>
              </w:rPr>
              <w:t>Standard 4.2.3</w:t>
            </w:r>
            <w:r w:rsidR="00DF5F0A">
              <w:rPr>
                <w:sz w:val="20"/>
                <w:szCs w:val="20"/>
              </w:rPr>
              <w:t xml:space="preserve"> do not apply to </w:t>
            </w:r>
            <w:r w:rsidR="00DF5F0A" w:rsidRPr="00321060">
              <w:rPr>
                <w:sz w:val="20"/>
                <w:szCs w:val="20"/>
              </w:rPr>
              <w:t>Standard 2.2.1</w:t>
            </w:r>
            <w:r w:rsidR="00DF5F0A">
              <w:rPr>
                <w:sz w:val="20"/>
                <w:szCs w:val="20"/>
              </w:rPr>
              <w:t>.</w:t>
            </w:r>
          </w:p>
          <w:p w:rsidR="000B79E5" w:rsidRDefault="000B79E5" w:rsidP="004B2797">
            <w:pPr>
              <w:cnfStyle w:val="000000100000" w:firstRow="0" w:lastRow="0" w:firstColumn="0" w:lastColumn="0" w:oddVBand="0" w:evenVBand="0" w:oddHBand="1" w:evenHBand="0" w:firstRowFirstColumn="0" w:firstRowLastColumn="0" w:lastRowFirstColumn="0" w:lastRowLastColumn="0"/>
              <w:rPr>
                <w:sz w:val="20"/>
                <w:szCs w:val="20"/>
              </w:rPr>
            </w:pPr>
          </w:p>
          <w:p w:rsidR="004B2797" w:rsidRDefault="004B2797" w:rsidP="00E32D24">
            <w:pPr>
              <w:ind w:left="113"/>
              <w:cnfStyle w:val="000000100000" w:firstRow="0" w:lastRow="0" w:firstColumn="0" w:lastColumn="0" w:oddVBand="0" w:evenVBand="0" w:oddHBand="1" w:evenHBand="0" w:firstRowFirstColumn="0" w:firstRowLastColumn="0" w:lastRowFirstColumn="0" w:lastRowLastColumn="0"/>
              <w:rPr>
                <w:sz w:val="20"/>
                <w:szCs w:val="20"/>
              </w:rPr>
            </w:pPr>
            <w:r w:rsidRPr="00321060">
              <w:rPr>
                <w:sz w:val="20"/>
                <w:szCs w:val="20"/>
              </w:rPr>
              <w:t>Clause 1 of Standard 2.2.1 provides that the term ‘meat’</w:t>
            </w:r>
            <w:r w:rsidR="00C17553">
              <w:rPr>
                <w:sz w:val="20"/>
                <w:szCs w:val="20"/>
              </w:rPr>
              <w:t>,</w:t>
            </w:r>
            <w:r w:rsidRPr="00321060">
              <w:rPr>
                <w:sz w:val="20"/>
                <w:szCs w:val="20"/>
              </w:rPr>
              <w:t xml:space="preserve"> as used in that Standard</w:t>
            </w:r>
            <w:r w:rsidR="00C17553">
              <w:rPr>
                <w:sz w:val="20"/>
                <w:szCs w:val="20"/>
              </w:rPr>
              <w:t>,</w:t>
            </w:r>
            <w:r w:rsidRPr="00321060">
              <w:rPr>
                <w:sz w:val="20"/>
                <w:szCs w:val="20"/>
              </w:rPr>
              <w:t xml:space="preserve"> means “the whole or part of the carcass of”:</w:t>
            </w:r>
          </w:p>
          <w:p w:rsidR="00993BC9" w:rsidRPr="00321060" w:rsidRDefault="00993BC9" w:rsidP="00E32D24">
            <w:pPr>
              <w:cnfStyle w:val="000000100000" w:firstRow="0" w:lastRow="0" w:firstColumn="0" w:lastColumn="0" w:oddVBand="0" w:evenVBand="0" w:oddHBand="1" w:evenHBand="0" w:firstRowFirstColumn="0" w:firstRowLastColumn="0" w:lastRowFirstColumn="0" w:lastRowLastColumn="0"/>
              <w:rPr>
                <w:sz w:val="20"/>
                <w:szCs w:val="20"/>
              </w:rPr>
            </w:pPr>
          </w:p>
          <w:p w:rsidR="004B2797" w:rsidRPr="00321060" w:rsidRDefault="004B2797" w:rsidP="001A391B">
            <w:pPr>
              <w:pStyle w:val="ListParagraph"/>
              <w:numPr>
                <w:ilvl w:val="0"/>
                <w:numId w:val="6"/>
              </w:numPr>
              <w:spacing w:after="240"/>
              <w:ind w:left="567" w:hanging="567"/>
              <w:contextualSpacing/>
              <w:cnfStyle w:val="000000100000" w:firstRow="0" w:lastRow="0" w:firstColumn="0" w:lastColumn="0" w:oddVBand="0" w:evenVBand="0" w:oddHBand="1" w:evenHBand="0" w:firstRowFirstColumn="0" w:firstRowLastColumn="0" w:lastRowFirstColumn="0" w:lastRowLastColumn="0"/>
              <w:rPr>
                <w:sz w:val="20"/>
                <w:szCs w:val="20"/>
              </w:rPr>
            </w:pPr>
            <w:r w:rsidRPr="00321060">
              <w:rPr>
                <w:sz w:val="20"/>
                <w:szCs w:val="20"/>
              </w:rPr>
              <w:t xml:space="preserve">any of the following animals slaughtered other than in a wild state: buffalo, camel, cattle, deer, goat, hare, pig, poultry, rabbit or sheep: </w:t>
            </w:r>
          </w:p>
          <w:p w:rsidR="004B2797" w:rsidRPr="00321060" w:rsidRDefault="004B2797" w:rsidP="001A391B">
            <w:pPr>
              <w:pStyle w:val="ListParagraph"/>
              <w:numPr>
                <w:ilvl w:val="0"/>
                <w:numId w:val="6"/>
              </w:numPr>
              <w:ind w:left="567" w:hanging="567"/>
              <w:contextualSpacing/>
              <w:cnfStyle w:val="000000100000" w:firstRow="0" w:lastRow="0" w:firstColumn="0" w:lastColumn="0" w:oddVBand="0" w:evenVBand="0" w:oddHBand="1" w:evenHBand="0" w:firstRowFirstColumn="0" w:firstRowLastColumn="0" w:lastRowFirstColumn="0" w:lastRowLastColumn="0"/>
              <w:rPr>
                <w:sz w:val="20"/>
                <w:szCs w:val="20"/>
              </w:rPr>
            </w:pPr>
            <w:r w:rsidRPr="00321060">
              <w:rPr>
                <w:i/>
                <w:sz w:val="20"/>
                <w:szCs w:val="20"/>
              </w:rPr>
              <w:t>any other animal</w:t>
            </w:r>
            <w:r w:rsidRPr="00321060">
              <w:rPr>
                <w:sz w:val="20"/>
                <w:szCs w:val="20"/>
              </w:rPr>
              <w:t xml:space="preserve"> </w:t>
            </w:r>
            <w:r w:rsidRPr="00321060">
              <w:rPr>
                <w:sz w:val="20"/>
                <w:szCs w:val="20"/>
                <w:u w:val="single"/>
              </w:rPr>
              <w:t>t</w:t>
            </w:r>
            <w:r w:rsidRPr="00321060">
              <w:rPr>
                <w:sz w:val="20"/>
                <w:szCs w:val="20"/>
              </w:rPr>
              <w:t>hat is permitted for human consumption under a law of a State, Territory or New Zealand. (emphasis added)</w:t>
            </w:r>
          </w:p>
          <w:p w:rsidR="00DF5F0A" w:rsidRDefault="00DF5F0A" w:rsidP="004B2797">
            <w:pPr>
              <w:cnfStyle w:val="000000100000" w:firstRow="0" w:lastRow="0" w:firstColumn="0" w:lastColumn="0" w:oddVBand="0" w:evenVBand="0" w:oddHBand="1" w:evenHBand="0" w:firstRowFirstColumn="0" w:firstRowLastColumn="0" w:lastRowFirstColumn="0" w:lastRowLastColumn="0"/>
              <w:rPr>
                <w:rFonts w:cs="Arial"/>
                <w:sz w:val="20"/>
                <w:szCs w:val="20"/>
              </w:rPr>
            </w:pPr>
          </w:p>
          <w:p w:rsidR="004B2797" w:rsidRPr="00321060" w:rsidRDefault="004B2797" w:rsidP="004B2797">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21060">
              <w:rPr>
                <w:rFonts w:cs="Arial"/>
                <w:sz w:val="20"/>
                <w:szCs w:val="20"/>
              </w:rPr>
              <w:t>The above definition would also include</w:t>
            </w:r>
            <w:r w:rsidR="001B1811" w:rsidRPr="00321060">
              <w:rPr>
                <w:rFonts w:cs="Arial"/>
                <w:sz w:val="20"/>
                <w:szCs w:val="20"/>
              </w:rPr>
              <w:t xml:space="preserve"> the animals covered under the definition of ‘meat’ in Standard 4.2.3</w:t>
            </w:r>
            <w:r w:rsidRPr="00321060">
              <w:rPr>
                <w:rFonts w:cs="Arial"/>
                <w:sz w:val="20"/>
                <w:szCs w:val="20"/>
              </w:rPr>
              <w:t>:</w:t>
            </w:r>
          </w:p>
          <w:p w:rsidR="004B2797" w:rsidRPr="00321060" w:rsidRDefault="004B2797" w:rsidP="001A391B">
            <w:pPr>
              <w:pStyle w:val="ListParagraph"/>
              <w:numPr>
                <w:ilvl w:val="0"/>
                <w:numId w:val="7"/>
              </w:numPr>
              <w:ind w:left="567" w:hanging="567"/>
              <w:contextualSpacing/>
              <w:cnfStyle w:val="000000100000" w:firstRow="0" w:lastRow="0" w:firstColumn="0" w:lastColumn="0" w:oddVBand="0" w:evenVBand="0" w:oddHBand="1" w:evenHBand="0" w:firstRowFirstColumn="0" w:firstRowLastColumn="0" w:lastRowFirstColumn="0" w:lastRowLastColumn="0"/>
              <w:rPr>
                <w:color w:val="1F497D"/>
                <w:sz w:val="20"/>
                <w:szCs w:val="20"/>
                <w:u w:val="single"/>
              </w:rPr>
            </w:pPr>
            <w:r w:rsidRPr="00321060">
              <w:rPr>
                <w:rFonts w:cs="Arial"/>
                <w:sz w:val="20"/>
                <w:szCs w:val="20"/>
              </w:rPr>
              <w:t xml:space="preserve">animals covered under P1014 (e.g. </w:t>
            </w:r>
            <w:r w:rsidRPr="00321060">
              <w:rPr>
                <w:rFonts w:eastAsia="Calibri" w:cs="Arial"/>
                <w:sz w:val="20"/>
                <w:szCs w:val="20"/>
              </w:rPr>
              <w:t>deer, camel, buffalo, emu, ostrich, crocodile, rabbit horse)</w:t>
            </w:r>
          </w:p>
          <w:p w:rsidR="007A53BF" w:rsidRPr="000B79E5" w:rsidRDefault="004B2797" w:rsidP="000B79E5">
            <w:pPr>
              <w:pStyle w:val="ListParagraph"/>
              <w:numPr>
                <w:ilvl w:val="0"/>
                <w:numId w:val="7"/>
              </w:numPr>
              <w:ind w:left="567" w:hanging="567"/>
              <w:contextualSpacing/>
              <w:cnfStyle w:val="000000100000" w:firstRow="0" w:lastRow="0" w:firstColumn="0" w:lastColumn="0" w:oddVBand="0" w:evenVBand="0" w:oddHBand="1" w:evenHBand="0" w:firstRowFirstColumn="0" w:firstRowLastColumn="0" w:lastRowFirstColumn="0" w:lastRowLastColumn="0"/>
              <w:rPr>
                <w:szCs w:val="22"/>
              </w:rPr>
            </w:pPr>
            <w:r w:rsidRPr="00321060">
              <w:rPr>
                <w:rFonts w:eastAsia="Calibri" w:cs="Arial"/>
                <w:sz w:val="20"/>
                <w:szCs w:val="20"/>
              </w:rPr>
              <w:t xml:space="preserve">wild game </w:t>
            </w:r>
            <w:r w:rsidRPr="00321060">
              <w:rPr>
                <w:sz w:val="20"/>
                <w:szCs w:val="20"/>
                <w:u w:val="single"/>
              </w:rPr>
              <w:t>t</w:t>
            </w:r>
            <w:r w:rsidRPr="00321060">
              <w:rPr>
                <w:sz w:val="20"/>
                <w:szCs w:val="20"/>
              </w:rPr>
              <w:t>hat is permitted for human consumption under and in accordance with a law of a state</w:t>
            </w:r>
            <w:r w:rsidR="001B1811" w:rsidRPr="00321060">
              <w:rPr>
                <w:sz w:val="20"/>
                <w:szCs w:val="20"/>
              </w:rPr>
              <w:t>/</w:t>
            </w:r>
            <w:r w:rsidRPr="00321060">
              <w:rPr>
                <w:sz w:val="20"/>
                <w:szCs w:val="20"/>
              </w:rPr>
              <w:t>territory</w:t>
            </w:r>
            <w:r w:rsidR="001B1811">
              <w:t>.</w:t>
            </w:r>
          </w:p>
          <w:p w:rsidR="000B79E5" w:rsidRPr="001B1811" w:rsidRDefault="000B79E5" w:rsidP="000B79E5">
            <w:pPr>
              <w:pStyle w:val="ListParagraph"/>
              <w:contextualSpacing/>
              <w:cnfStyle w:val="000000100000" w:firstRow="0" w:lastRow="0" w:firstColumn="0" w:lastColumn="0" w:oddVBand="0" w:evenVBand="0" w:oddHBand="1" w:evenHBand="0" w:firstRowFirstColumn="0" w:firstRowLastColumn="0" w:lastRowFirstColumn="0" w:lastRowLastColumn="0"/>
              <w:rPr>
                <w:szCs w:val="22"/>
              </w:rPr>
            </w:pPr>
          </w:p>
        </w:tc>
      </w:tr>
      <w:tr w:rsidR="007A53BF" w:rsidTr="000B79E5">
        <w:trPr>
          <w:cnfStyle w:val="000000010000" w:firstRow="0" w:lastRow="0" w:firstColumn="0" w:lastColumn="0" w:oddVBand="0" w:evenVBand="0" w:oddHBand="0" w:evenHBand="1" w:firstRowFirstColumn="0" w:firstRowLastColumn="0" w:lastRowFirstColumn="0" w:lastRowLastColumn="0"/>
          <w:cantSplit/>
          <w:trHeight w:val="633"/>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321060" w:rsidRPr="000778D6" w:rsidRDefault="005219F0" w:rsidP="005219F0">
            <w:pPr>
              <w:ind w:left="113" w:hanging="113"/>
              <w:rPr>
                <w:sz w:val="20"/>
              </w:rPr>
            </w:pPr>
            <w:r>
              <w:rPr>
                <w:sz w:val="20"/>
              </w:rPr>
              <w:t>Introduction of requirements</w:t>
            </w:r>
            <w:r w:rsidR="00993BC9">
              <w:rPr>
                <w:sz w:val="20"/>
              </w:rPr>
              <w:t xml:space="preserve"> </w:t>
            </w:r>
            <w:r>
              <w:rPr>
                <w:sz w:val="20"/>
              </w:rPr>
              <w:t>for primary production</w:t>
            </w:r>
          </w:p>
        </w:tc>
        <w:tc>
          <w:tcPr>
            <w:tcW w:w="3974" w:type="dxa"/>
            <w:tcBorders>
              <w:left w:val="none" w:sz="0" w:space="0" w:color="auto"/>
              <w:right w:val="none" w:sz="0" w:space="0" w:color="auto"/>
            </w:tcBorders>
          </w:tcPr>
          <w:p w:rsidR="007A53BF" w:rsidRPr="000778D6" w:rsidRDefault="005242A0" w:rsidP="004B0361">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A submi</w:t>
            </w:r>
            <w:r w:rsidR="000B79E5">
              <w:rPr>
                <w:sz w:val="20"/>
              </w:rPr>
              <w:t xml:space="preserve">tter raised that </w:t>
            </w:r>
            <w:r w:rsidR="0082016C">
              <w:rPr>
                <w:sz w:val="20"/>
              </w:rPr>
              <w:t>existing obligations</w:t>
            </w:r>
            <w:r w:rsidR="004B0361">
              <w:rPr>
                <w:sz w:val="20"/>
              </w:rPr>
              <w:t xml:space="preserve"> on farmers to provide information on National Vendor Declarations are sufficient. </w:t>
            </w:r>
          </w:p>
        </w:tc>
        <w:tc>
          <w:tcPr>
            <w:tcW w:w="6946" w:type="dxa"/>
            <w:tcBorders>
              <w:left w:val="none" w:sz="0" w:space="0" w:color="auto"/>
            </w:tcBorders>
          </w:tcPr>
          <w:p w:rsidR="00993BC9" w:rsidRPr="00E32D24" w:rsidRDefault="00457AD9" w:rsidP="00DC2727">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E32D24">
              <w:rPr>
                <w:sz w:val="20"/>
                <w:szCs w:val="20"/>
              </w:rPr>
              <w:t xml:space="preserve">It is established industry practice for meat </w:t>
            </w:r>
            <w:r w:rsidR="00C37AE9">
              <w:rPr>
                <w:sz w:val="20"/>
                <w:szCs w:val="20"/>
              </w:rPr>
              <w:t xml:space="preserve">primary </w:t>
            </w:r>
            <w:r w:rsidRPr="00E32D24">
              <w:rPr>
                <w:sz w:val="20"/>
                <w:szCs w:val="20"/>
              </w:rPr>
              <w:t xml:space="preserve">producers to provide declarations of evidence to meat processors on animals provided for processing regarding acceptability, e.g. withholding periods followed for any agricultural/veterinary chemicals administered to animals so that unacceptable levels of contaminants do not occur in the resultant meat.  </w:t>
            </w:r>
            <w:r w:rsidR="000000F9" w:rsidRPr="000000F9">
              <w:rPr>
                <w:sz w:val="20"/>
                <w:szCs w:val="20"/>
              </w:rPr>
              <w:t>However</w:t>
            </w:r>
            <w:r w:rsidR="007E2BFC">
              <w:rPr>
                <w:sz w:val="20"/>
                <w:szCs w:val="20"/>
              </w:rPr>
              <w:t>,</w:t>
            </w:r>
            <w:r w:rsidR="000000F9" w:rsidRPr="000000F9">
              <w:rPr>
                <w:sz w:val="20"/>
                <w:szCs w:val="20"/>
              </w:rPr>
              <w:t xml:space="preserve"> there </w:t>
            </w:r>
            <w:r w:rsidR="007E2BFC">
              <w:rPr>
                <w:sz w:val="20"/>
                <w:szCs w:val="20"/>
              </w:rPr>
              <w:t xml:space="preserve">are no </w:t>
            </w:r>
            <w:r w:rsidR="000000F9" w:rsidRPr="000000F9">
              <w:rPr>
                <w:sz w:val="20"/>
                <w:szCs w:val="20"/>
                <w:lang w:val="en"/>
              </w:rPr>
              <w:t>obligations on producers in food safety legislation</w:t>
            </w:r>
            <w:r w:rsidR="007E2BFC">
              <w:rPr>
                <w:sz w:val="20"/>
                <w:szCs w:val="20"/>
                <w:lang w:val="en"/>
              </w:rPr>
              <w:t>.</w:t>
            </w:r>
          </w:p>
          <w:p w:rsidR="00993BC9" w:rsidRPr="00E32D24" w:rsidRDefault="00993BC9" w:rsidP="00DC2727">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0B79E5" w:rsidRPr="00E32D24" w:rsidRDefault="007E2BFC" w:rsidP="00DC2727">
            <w:pPr>
              <w:ind w:left="113" w:hanging="113"/>
              <w:cnfStyle w:val="000000010000" w:firstRow="0" w:lastRow="0" w:firstColumn="0" w:lastColumn="0" w:oddVBand="0" w:evenVBand="0" w:oddHBand="0" w:evenHBand="1" w:firstRowFirstColumn="0" w:firstRowLastColumn="0" w:lastRowFirstColumn="0" w:lastRowLastColumn="0"/>
              <w:rPr>
                <w:sz w:val="20"/>
                <w:szCs w:val="20"/>
                <w:highlight w:val="darkYellow"/>
              </w:rPr>
            </w:pPr>
            <w:r>
              <w:rPr>
                <w:sz w:val="20"/>
                <w:szCs w:val="20"/>
              </w:rPr>
              <w:t>R</w:t>
            </w:r>
            <w:r w:rsidR="00457AD9" w:rsidRPr="00E32D24">
              <w:rPr>
                <w:sz w:val="20"/>
                <w:szCs w:val="20"/>
              </w:rPr>
              <w:t xml:space="preserve">egulators do not have statutory powers to investigate arrangements implemented by meat producers to substantiate statements made on such declarations should meat processors be concerned with animals received. </w:t>
            </w:r>
          </w:p>
        </w:tc>
      </w:tr>
      <w:tr w:rsidR="007A53BF" w:rsidTr="00B673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bottom w:val="single" w:sz="4" w:space="0" w:color="auto"/>
              <w:right w:val="none" w:sz="0" w:space="0" w:color="auto"/>
            </w:tcBorders>
          </w:tcPr>
          <w:p w:rsidR="007A53BF" w:rsidRPr="000778D6" w:rsidRDefault="000527E5" w:rsidP="00077859">
            <w:pPr>
              <w:ind w:left="113" w:hanging="113"/>
              <w:rPr>
                <w:sz w:val="20"/>
              </w:rPr>
            </w:pPr>
            <w:r>
              <w:rPr>
                <w:sz w:val="20"/>
              </w:rPr>
              <w:lastRenderedPageBreak/>
              <w:t>Implications for meat exports</w:t>
            </w:r>
          </w:p>
        </w:tc>
        <w:tc>
          <w:tcPr>
            <w:tcW w:w="3974" w:type="dxa"/>
            <w:tcBorders>
              <w:left w:val="none" w:sz="0" w:space="0" w:color="auto"/>
              <w:bottom w:val="single" w:sz="4" w:space="0" w:color="auto"/>
              <w:right w:val="none" w:sz="0" w:space="0" w:color="auto"/>
            </w:tcBorders>
          </w:tcPr>
          <w:p w:rsidR="007A53BF" w:rsidRPr="000778D6" w:rsidRDefault="000527E5" w:rsidP="000B79E5">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 xml:space="preserve">A submitter questioned whether </w:t>
            </w:r>
            <w:r w:rsidR="000B79E5">
              <w:rPr>
                <w:sz w:val="20"/>
              </w:rPr>
              <w:t xml:space="preserve">the absence of legal requirements on processors in Standard 4.2.3 (i.e. duplicating the existing regulatory processing requirements embodied in Australian Standards) </w:t>
            </w:r>
            <w:r>
              <w:rPr>
                <w:sz w:val="20"/>
              </w:rPr>
              <w:t>would have implications for exporting meat.</w:t>
            </w:r>
          </w:p>
        </w:tc>
        <w:tc>
          <w:tcPr>
            <w:tcW w:w="6946" w:type="dxa"/>
            <w:tcBorders>
              <w:left w:val="none" w:sz="0" w:space="0" w:color="auto"/>
            </w:tcBorders>
          </w:tcPr>
          <w:p w:rsidR="00DF5F0A" w:rsidRDefault="005219F0" w:rsidP="00DC2727">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5219F0">
              <w:rPr>
                <w:sz w:val="20"/>
                <w:szCs w:val="20"/>
                <w:lang w:val="en"/>
              </w:rPr>
              <w:t>The safety of meat and meat products in Australia is currently implemented through reference to Australian Standards</w:t>
            </w:r>
            <w:r w:rsidRPr="005219F0">
              <w:rPr>
                <w:rFonts w:eastAsia="Calibri"/>
                <w:i/>
                <w:sz w:val="20"/>
                <w:szCs w:val="20"/>
              </w:rPr>
              <w:t xml:space="preserve">. </w:t>
            </w:r>
            <w:r w:rsidRPr="005219F0">
              <w:rPr>
                <w:rFonts w:cs="Arial"/>
                <w:sz w:val="20"/>
                <w:szCs w:val="20"/>
              </w:rPr>
              <w:t xml:space="preserve">All states and territories have legislation that requires businesses operating abattoirs/meat slaughtering facilities to be licensed or accredited and to operate in accordance with approved systems to manage meat safety and suitability. </w:t>
            </w:r>
            <w:r w:rsidR="00DF5F0A">
              <w:rPr>
                <w:rFonts w:cs="Arial"/>
                <w:sz w:val="20"/>
                <w:szCs w:val="20"/>
              </w:rPr>
              <w:t xml:space="preserve">The latter refer to Australian Standards. </w:t>
            </w:r>
          </w:p>
          <w:p w:rsidR="00DF5F0A" w:rsidRDefault="00DF5F0A" w:rsidP="00DC2727">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rsidR="007A53BF" w:rsidRDefault="005219F0" w:rsidP="00DC2727">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rFonts w:cs="Arial"/>
                <w:sz w:val="20"/>
                <w:szCs w:val="20"/>
              </w:rPr>
              <w:t>T</w:t>
            </w:r>
            <w:r w:rsidRPr="005219F0">
              <w:rPr>
                <w:sz w:val="20"/>
                <w:szCs w:val="20"/>
              </w:rPr>
              <w:t xml:space="preserve">he Department of Agriculture, </w:t>
            </w:r>
            <w:r w:rsidR="007E2BFC">
              <w:rPr>
                <w:sz w:val="20"/>
                <w:szCs w:val="20"/>
              </w:rPr>
              <w:t xml:space="preserve">which is </w:t>
            </w:r>
            <w:r w:rsidRPr="005219F0">
              <w:rPr>
                <w:sz w:val="20"/>
                <w:szCs w:val="20"/>
              </w:rPr>
              <w:t xml:space="preserve">responsible for the export and import of meat products, provided a submission supporting the variation to Standard 4.2.3.  </w:t>
            </w:r>
          </w:p>
          <w:p w:rsidR="000B79E5" w:rsidRPr="005219F0" w:rsidRDefault="000B79E5" w:rsidP="00DC2727">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tc>
      </w:tr>
      <w:tr w:rsidR="00457AD9" w:rsidTr="00B673D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457AD9" w:rsidRDefault="00457AD9" w:rsidP="00077859">
            <w:pPr>
              <w:ind w:left="113" w:hanging="113"/>
              <w:rPr>
                <w:sz w:val="20"/>
              </w:rPr>
            </w:pPr>
            <w:r>
              <w:rPr>
                <w:sz w:val="20"/>
              </w:rPr>
              <w:t>Responding to food safety</w:t>
            </w:r>
            <w:r w:rsidR="00993BC9">
              <w:rPr>
                <w:sz w:val="20"/>
              </w:rPr>
              <w:t xml:space="preserve"> </w:t>
            </w:r>
            <w:r>
              <w:rPr>
                <w:sz w:val="20"/>
              </w:rPr>
              <w:t>incidents</w:t>
            </w:r>
          </w:p>
        </w:tc>
        <w:tc>
          <w:tcPr>
            <w:tcW w:w="3974" w:type="dxa"/>
            <w:tcBorders>
              <w:left w:val="single" w:sz="4" w:space="0" w:color="auto"/>
              <w:right w:val="single" w:sz="4" w:space="0" w:color="auto"/>
            </w:tcBorders>
          </w:tcPr>
          <w:p w:rsidR="00457AD9" w:rsidRDefault="00457AD9" w:rsidP="00922754">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A submitter qu</w:t>
            </w:r>
            <w:r w:rsidR="00436652">
              <w:rPr>
                <w:sz w:val="20"/>
              </w:rPr>
              <w:t xml:space="preserve">estioned whether there was any </w:t>
            </w:r>
            <w:r>
              <w:rPr>
                <w:sz w:val="20"/>
              </w:rPr>
              <w:t>gap in existing arrangements for responding to food safety incidents.</w:t>
            </w:r>
          </w:p>
        </w:tc>
        <w:tc>
          <w:tcPr>
            <w:tcW w:w="6946" w:type="dxa"/>
            <w:tcBorders>
              <w:left w:val="single" w:sz="4" w:space="0" w:color="auto"/>
            </w:tcBorders>
          </w:tcPr>
          <w:p w:rsidR="00457AD9" w:rsidRDefault="00457AD9" w:rsidP="00DC2727">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457AD9">
              <w:rPr>
                <w:sz w:val="20"/>
                <w:szCs w:val="20"/>
              </w:rPr>
              <w:t xml:space="preserve">There have been incidents over the years where events have occurred in the meat supply </w:t>
            </w:r>
            <w:r w:rsidR="000B79E5" w:rsidRPr="00457AD9">
              <w:rPr>
                <w:sz w:val="20"/>
                <w:szCs w:val="20"/>
              </w:rPr>
              <w:t>chain that have</w:t>
            </w:r>
            <w:r w:rsidRPr="00457AD9">
              <w:rPr>
                <w:sz w:val="20"/>
                <w:szCs w:val="20"/>
              </w:rPr>
              <w:t xml:space="preserve"> been traced back to primary production </w:t>
            </w:r>
            <w:r w:rsidRPr="00C17553">
              <w:rPr>
                <w:sz w:val="20"/>
                <w:szCs w:val="20"/>
              </w:rPr>
              <w:t xml:space="preserve">environments. </w:t>
            </w:r>
            <w:r w:rsidR="000B79E5" w:rsidRPr="00C17553">
              <w:rPr>
                <w:sz w:val="20"/>
                <w:szCs w:val="20"/>
              </w:rPr>
              <w:t>Information provided by state and territory meat regulators advise</w:t>
            </w:r>
            <w:r w:rsidR="00C17553" w:rsidRPr="00D527C3">
              <w:rPr>
                <w:sz w:val="20"/>
                <w:szCs w:val="20"/>
              </w:rPr>
              <w:t xml:space="preserve"> </w:t>
            </w:r>
            <w:r w:rsidR="00C17553">
              <w:rPr>
                <w:sz w:val="20"/>
                <w:szCs w:val="20"/>
              </w:rPr>
              <w:t>that o</w:t>
            </w:r>
            <w:r w:rsidR="00C17553" w:rsidRPr="00D527C3">
              <w:rPr>
                <w:sz w:val="20"/>
                <w:szCs w:val="20"/>
              </w:rPr>
              <w:t>nly for those incidents where emergency powers have been activated have state and territory regulators been able to investigate</w:t>
            </w:r>
            <w:r w:rsidRPr="00C17553">
              <w:rPr>
                <w:sz w:val="20"/>
                <w:szCs w:val="20"/>
              </w:rPr>
              <w:t xml:space="preserve"> those incidents. These include nitrofurans in pork and nicarbazins in poultry feed. These incidents related to inputs provided to meat animals in primary production environments and caused significant threat to established export markets. Regulators were not able to investigate</w:t>
            </w:r>
            <w:r w:rsidRPr="00457AD9">
              <w:rPr>
                <w:sz w:val="20"/>
                <w:szCs w:val="20"/>
              </w:rPr>
              <w:t xml:space="preserve"> these matters until routine testing results from export markets revealed positive detections.</w:t>
            </w:r>
            <w:r>
              <w:rPr>
                <w:sz w:val="20"/>
                <w:szCs w:val="20"/>
              </w:rPr>
              <w:t xml:space="preserve"> </w:t>
            </w:r>
            <w:r w:rsidRPr="00457AD9">
              <w:rPr>
                <w:sz w:val="20"/>
                <w:szCs w:val="20"/>
              </w:rPr>
              <w:t>Standard 4.2.3 will provide state and territory regulators with the ability to investigate primary production food safety matters with a view to facilitating industry compliance on an educative basis</w:t>
            </w:r>
            <w:r>
              <w:rPr>
                <w:sz w:val="20"/>
                <w:szCs w:val="20"/>
              </w:rPr>
              <w:t>.</w:t>
            </w:r>
          </w:p>
          <w:p w:rsidR="000B79E5" w:rsidRPr="00457AD9" w:rsidRDefault="000B79E5" w:rsidP="00DC2727">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tc>
      </w:tr>
      <w:tr w:rsidR="00921EC0" w:rsidTr="00B673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921EC0" w:rsidRDefault="00921EC0" w:rsidP="00077859">
            <w:pPr>
              <w:ind w:left="113" w:hanging="113"/>
              <w:rPr>
                <w:sz w:val="20"/>
              </w:rPr>
            </w:pPr>
            <w:r>
              <w:rPr>
                <w:sz w:val="20"/>
              </w:rPr>
              <w:lastRenderedPageBreak/>
              <w:t>Regulation Impact Statement</w:t>
            </w:r>
            <w:r w:rsidR="00993BC9">
              <w:rPr>
                <w:sz w:val="20"/>
              </w:rPr>
              <w:t xml:space="preserve"> </w:t>
            </w:r>
            <w:r>
              <w:rPr>
                <w:sz w:val="20"/>
              </w:rPr>
              <w:t>(RIS)</w:t>
            </w:r>
          </w:p>
        </w:tc>
        <w:tc>
          <w:tcPr>
            <w:tcW w:w="3974" w:type="dxa"/>
            <w:tcBorders>
              <w:left w:val="single" w:sz="4" w:space="0" w:color="auto"/>
              <w:right w:val="single" w:sz="4" w:space="0" w:color="auto"/>
            </w:tcBorders>
          </w:tcPr>
          <w:p w:rsidR="009D28AD" w:rsidRDefault="00921EC0" w:rsidP="00922754">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 xml:space="preserve">A </w:t>
            </w:r>
            <w:r w:rsidR="00C33D3C">
              <w:rPr>
                <w:sz w:val="20"/>
              </w:rPr>
              <w:t>submitter stated that</w:t>
            </w:r>
            <w:r>
              <w:rPr>
                <w:sz w:val="20"/>
              </w:rPr>
              <w:t xml:space="preserve"> the RIS</w:t>
            </w:r>
            <w:r w:rsidR="009D28AD">
              <w:rPr>
                <w:sz w:val="20"/>
              </w:rPr>
              <w:t>:</w:t>
            </w:r>
          </w:p>
          <w:p w:rsidR="00993BC9" w:rsidRPr="00883FA4" w:rsidRDefault="00993BC9" w:rsidP="00922754">
            <w:pPr>
              <w:ind w:left="113" w:hanging="113"/>
              <w:cnfStyle w:val="000000100000" w:firstRow="0" w:lastRow="0" w:firstColumn="0" w:lastColumn="0" w:oddVBand="0" w:evenVBand="0" w:oddHBand="1" w:evenHBand="0" w:firstRowFirstColumn="0" w:firstRowLastColumn="0" w:lastRowFirstColumn="0" w:lastRowLastColumn="0"/>
              <w:rPr>
                <w:sz w:val="20"/>
                <w:szCs w:val="18"/>
              </w:rPr>
            </w:pPr>
          </w:p>
          <w:p w:rsidR="00921EC0" w:rsidRPr="00883FA4" w:rsidRDefault="00921EC0" w:rsidP="009D28AD">
            <w:pPr>
              <w:pStyle w:val="FSBullet1"/>
              <w:cnfStyle w:val="000000100000" w:firstRow="0" w:lastRow="0" w:firstColumn="0" w:lastColumn="0" w:oddVBand="0" w:evenVBand="0" w:oddHBand="1" w:evenHBand="0" w:firstRowFirstColumn="0" w:firstRowLastColumn="0" w:lastRowFirstColumn="0" w:lastRowLastColumn="0"/>
              <w:rPr>
                <w:sz w:val="20"/>
                <w:szCs w:val="18"/>
              </w:rPr>
            </w:pPr>
            <w:r w:rsidRPr="00883FA4">
              <w:rPr>
                <w:sz w:val="20"/>
                <w:szCs w:val="18"/>
              </w:rPr>
              <w:t xml:space="preserve">is </w:t>
            </w:r>
            <w:r w:rsidR="00F71AE6" w:rsidRPr="00883FA4">
              <w:rPr>
                <w:sz w:val="20"/>
                <w:szCs w:val="18"/>
              </w:rPr>
              <w:t>not</w:t>
            </w:r>
            <w:r w:rsidR="009D28AD" w:rsidRPr="00883FA4">
              <w:rPr>
                <w:sz w:val="20"/>
                <w:szCs w:val="18"/>
              </w:rPr>
              <w:t xml:space="preserve"> </w:t>
            </w:r>
            <w:r w:rsidR="00F71AE6" w:rsidRPr="00883FA4">
              <w:rPr>
                <w:sz w:val="20"/>
                <w:szCs w:val="18"/>
              </w:rPr>
              <w:t>based on evidence of a food safety risk</w:t>
            </w:r>
          </w:p>
          <w:p w:rsidR="009D28AD" w:rsidRPr="009B6EC2" w:rsidRDefault="009D28AD" w:rsidP="009D28AD">
            <w:pPr>
              <w:cnfStyle w:val="000000100000" w:firstRow="0" w:lastRow="0" w:firstColumn="0" w:lastColumn="0" w:oddVBand="0" w:evenVBand="0" w:oddHBand="1" w:evenHBand="0" w:firstRowFirstColumn="0" w:firstRowLastColumn="0" w:lastRowFirstColumn="0" w:lastRowLastColumn="0"/>
              <w:rPr>
                <w:sz w:val="20"/>
                <w:szCs w:val="18"/>
                <w:lang w:bidi="ar-SA"/>
              </w:rPr>
            </w:pPr>
          </w:p>
          <w:p w:rsidR="009D28AD" w:rsidRPr="009B6EC2" w:rsidRDefault="009D28AD" w:rsidP="009D28AD">
            <w:pPr>
              <w:cnfStyle w:val="000000100000" w:firstRow="0" w:lastRow="0" w:firstColumn="0" w:lastColumn="0" w:oddVBand="0" w:evenVBand="0" w:oddHBand="1" w:evenHBand="0" w:firstRowFirstColumn="0" w:firstRowLastColumn="0" w:lastRowFirstColumn="0" w:lastRowLastColumn="0"/>
              <w:rPr>
                <w:sz w:val="20"/>
                <w:szCs w:val="18"/>
                <w:lang w:bidi="ar-SA"/>
              </w:rPr>
            </w:pPr>
          </w:p>
          <w:p w:rsidR="009D28AD" w:rsidRPr="009B6EC2" w:rsidRDefault="009D28AD" w:rsidP="009D28AD">
            <w:pPr>
              <w:cnfStyle w:val="000000100000" w:firstRow="0" w:lastRow="0" w:firstColumn="0" w:lastColumn="0" w:oddVBand="0" w:evenVBand="0" w:oddHBand="1" w:evenHBand="0" w:firstRowFirstColumn="0" w:firstRowLastColumn="0" w:lastRowFirstColumn="0" w:lastRowLastColumn="0"/>
              <w:rPr>
                <w:sz w:val="20"/>
                <w:szCs w:val="18"/>
                <w:lang w:bidi="ar-SA"/>
              </w:rPr>
            </w:pPr>
          </w:p>
          <w:p w:rsidR="009D28AD" w:rsidRPr="009B6EC2" w:rsidRDefault="009D28AD" w:rsidP="009D28AD">
            <w:pPr>
              <w:cnfStyle w:val="000000100000" w:firstRow="0" w:lastRow="0" w:firstColumn="0" w:lastColumn="0" w:oddVBand="0" w:evenVBand="0" w:oddHBand="1" w:evenHBand="0" w:firstRowFirstColumn="0" w:firstRowLastColumn="0" w:lastRowFirstColumn="0" w:lastRowLastColumn="0"/>
              <w:rPr>
                <w:sz w:val="20"/>
                <w:szCs w:val="18"/>
                <w:lang w:bidi="ar-SA"/>
              </w:rPr>
            </w:pPr>
          </w:p>
          <w:p w:rsidR="00AB598E" w:rsidRDefault="00AB598E" w:rsidP="00AB598E">
            <w:pPr>
              <w:pStyle w:val="FSBullet1"/>
              <w:numPr>
                <w:ilvl w:val="0"/>
                <w:numId w:val="0"/>
              </w:numPr>
              <w:ind w:left="567"/>
              <w:cnfStyle w:val="000000100000" w:firstRow="0" w:lastRow="0" w:firstColumn="0" w:lastColumn="0" w:oddVBand="0" w:evenVBand="0" w:oddHBand="1" w:evenHBand="0" w:firstRowFirstColumn="0" w:firstRowLastColumn="0" w:lastRowFirstColumn="0" w:lastRowLastColumn="0"/>
              <w:rPr>
                <w:sz w:val="20"/>
                <w:szCs w:val="20"/>
              </w:rPr>
            </w:pPr>
          </w:p>
          <w:p w:rsidR="00AB598E" w:rsidRDefault="00AB598E" w:rsidP="00AB598E">
            <w:pPr>
              <w:pStyle w:val="FSBullet1"/>
              <w:numPr>
                <w:ilvl w:val="0"/>
                <w:numId w:val="0"/>
              </w:numPr>
              <w:ind w:left="567"/>
              <w:cnfStyle w:val="000000100000" w:firstRow="0" w:lastRow="0" w:firstColumn="0" w:lastColumn="0" w:oddVBand="0" w:evenVBand="0" w:oddHBand="1" w:evenHBand="0" w:firstRowFirstColumn="0" w:firstRowLastColumn="0" w:lastRowFirstColumn="0" w:lastRowLastColumn="0"/>
              <w:rPr>
                <w:sz w:val="20"/>
                <w:szCs w:val="20"/>
              </w:rPr>
            </w:pPr>
          </w:p>
          <w:p w:rsidR="009D28AD" w:rsidRPr="009D28AD" w:rsidRDefault="009D28AD" w:rsidP="009D28AD">
            <w:pPr>
              <w:pStyle w:val="FSBullet1"/>
              <w:cnfStyle w:val="000000100000" w:firstRow="0" w:lastRow="0" w:firstColumn="0" w:lastColumn="0" w:oddVBand="0" w:evenVBand="0" w:oddHBand="1" w:evenHBand="0" w:firstRowFirstColumn="0" w:firstRowLastColumn="0" w:lastRowFirstColumn="0" w:lastRowLastColumn="0"/>
              <w:rPr>
                <w:sz w:val="20"/>
                <w:szCs w:val="20"/>
              </w:rPr>
            </w:pPr>
            <w:r w:rsidRPr="009D28AD">
              <w:rPr>
                <w:sz w:val="20"/>
                <w:szCs w:val="20"/>
              </w:rPr>
              <w:t xml:space="preserve">includes </w:t>
            </w:r>
            <w:r w:rsidR="00B37ED2">
              <w:rPr>
                <w:sz w:val="20"/>
                <w:szCs w:val="20"/>
              </w:rPr>
              <w:t>non-</w:t>
            </w:r>
            <w:r w:rsidRPr="009D28AD">
              <w:rPr>
                <w:sz w:val="20"/>
                <w:szCs w:val="20"/>
              </w:rPr>
              <w:t>validated nor internationally agreed theoretical costs (“averting costs” and “macroeconomic costs”)</w:t>
            </w:r>
          </w:p>
          <w:p w:rsidR="009D28AD" w:rsidRPr="009D28AD" w:rsidRDefault="009D28AD" w:rsidP="009D28AD">
            <w:pPr>
              <w:cnfStyle w:val="000000100000" w:firstRow="0" w:lastRow="0" w:firstColumn="0" w:lastColumn="0" w:oddVBand="0" w:evenVBand="0" w:oddHBand="1" w:evenHBand="0" w:firstRowFirstColumn="0" w:firstRowLastColumn="0" w:lastRowFirstColumn="0" w:lastRowLastColumn="0"/>
              <w:rPr>
                <w:lang w:bidi="ar-SA"/>
              </w:rPr>
            </w:pPr>
          </w:p>
        </w:tc>
        <w:tc>
          <w:tcPr>
            <w:tcW w:w="6946" w:type="dxa"/>
            <w:tcBorders>
              <w:left w:val="single" w:sz="4" w:space="0" w:color="auto"/>
            </w:tcBorders>
          </w:tcPr>
          <w:p w:rsidR="00921EC0" w:rsidRDefault="00F71AE6" w:rsidP="00DC2727">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F71AE6">
              <w:rPr>
                <w:rFonts w:cs="Arial"/>
                <w:sz w:val="20"/>
                <w:szCs w:val="20"/>
                <w:lang w:eastAsia="en-GB"/>
              </w:rPr>
              <w:t>FSANZ’s evaluation of the hazards and current management practices in Australia indicate</w:t>
            </w:r>
            <w:r w:rsidR="003239C3">
              <w:rPr>
                <w:rFonts w:cs="Arial"/>
                <w:sz w:val="20"/>
                <w:szCs w:val="20"/>
                <w:lang w:eastAsia="en-GB"/>
              </w:rPr>
              <w:t>s</w:t>
            </w:r>
            <w:r w:rsidRPr="00F71AE6">
              <w:rPr>
                <w:rFonts w:cs="Arial"/>
                <w:sz w:val="20"/>
                <w:szCs w:val="20"/>
                <w:lang w:eastAsia="en-GB"/>
              </w:rPr>
              <w:t xml:space="preserve"> there are no identified unmanaged food safety risks for the meat sectors</w:t>
            </w:r>
            <w:r>
              <w:rPr>
                <w:rFonts w:cs="Arial"/>
                <w:sz w:val="20"/>
                <w:szCs w:val="20"/>
                <w:lang w:eastAsia="en-GB"/>
              </w:rPr>
              <w:t xml:space="preserve">. </w:t>
            </w:r>
            <w:r w:rsidRPr="00F71AE6">
              <w:rPr>
                <w:rFonts w:cs="Arial"/>
                <w:sz w:val="20"/>
                <w:szCs w:val="20"/>
                <w:lang w:eastAsia="en-GB"/>
              </w:rPr>
              <w:t xml:space="preserve">The </w:t>
            </w:r>
            <w:r w:rsidR="00BF7AD7">
              <w:rPr>
                <w:rFonts w:cs="Arial"/>
                <w:sz w:val="20"/>
                <w:szCs w:val="20"/>
                <w:lang w:eastAsia="en-GB"/>
              </w:rPr>
              <w:t xml:space="preserve">main regulatory </w:t>
            </w:r>
            <w:r w:rsidRPr="00F71AE6">
              <w:rPr>
                <w:rFonts w:cs="Arial"/>
                <w:sz w:val="20"/>
                <w:szCs w:val="20"/>
                <w:lang w:eastAsia="en-GB"/>
              </w:rPr>
              <w:t xml:space="preserve">problem being addressed is </w:t>
            </w:r>
            <w:r w:rsidRPr="00F71AE6">
              <w:rPr>
                <w:sz w:val="20"/>
                <w:szCs w:val="20"/>
              </w:rPr>
              <w:t xml:space="preserve">the inability to investigate food safety issues in the primary production sector without activating emergency powers </w:t>
            </w:r>
            <w:r>
              <w:rPr>
                <w:sz w:val="20"/>
                <w:szCs w:val="20"/>
              </w:rPr>
              <w:t xml:space="preserve">and the consequential extensive government resources required to </w:t>
            </w:r>
            <w:r w:rsidR="00F20D06">
              <w:rPr>
                <w:sz w:val="20"/>
                <w:szCs w:val="20"/>
              </w:rPr>
              <w:t>establish the</w:t>
            </w:r>
            <w:r>
              <w:rPr>
                <w:sz w:val="20"/>
                <w:szCs w:val="20"/>
              </w:rPr>
              <w:t xml:space="preserve"> burden of proof under these existing powers and subsequent </w:t>
            </w:r>
            <w:r w:rsidRPr="00F71AE6">
              <w:rPr>
                <w:sz w:val="20"/>
                <w:szCs w:val="20"/>
              </w:rPr>
              <w:t xml:space="preserve">cost to both industry and government. </w:t>
            </w:r>
            <w:r w:rsidR="00BF7AD7">
              <w:rPr>
                <w:sz w:val="20"/>
                <w:szCs w:val="20"/>
              </w:rPr>
              <w:t xml:space="preserve">Lack of visibility of food safety requirements for meat </w:t>
            </w:r>
            <w:r w:rsidR="007E2BFC">
              <w:rPr>
                <w:sz w:val="20"/>
                <w:szCs w:val="20"/>
              </w:rPr>
              <w:t xml:space="preserve">primary </w:t>
            </w:r>
            <w:r w:rsidR="00BF7AD7">
              <w:rPr>
                <w:sz w:val="20"/>
                <w:szCs w:val="20"/>
              </w:rPr>
              <w:t xml:space="preserve">producers is the other matter </w:t>
            </w:r>
            <w:r w:rsidR="007E2BFC">
              <w:rPr>
                <w:sz w:val="20"/>
                <w:szCs w:val="20"/>
              </w:rPr>
              <w:t>that is</w:t>
            </w:r>
            <w:r w:rsidR="00BF7AD7">
              <w:rPr>
                <w:sz w:val="20"/>
                <w:szCs w:val="20"/>
              </w:rPr>
              <w:t xml:space="preserve"> being addressed.</w:t>
            </w:r>
          </w:p>
          <w:p w:rsidR="009D28AD" w:rsidRDefault="009D28AD" w:rsidP="00DC2727">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rsidR="00F20D06" w:rsidRPr="00F20D06" w:rsidRDefault="00F20D06" w:rsidP="00DC2727">
            <w:pPr>
              <w:ind w:left="113" w:hanging="113"/>
              <w:cnfStyle w:val="000000100000" w:firstRow="0" w:lastRow="0" w:firstColumn="0" w:lastColumn="0" w:oddVBand="0" w:evenVBand="0" w:oddHBand="1" w:evenHBand="0" w:firstRowFirstColumn="0" w:firstRowLastColumn="0" w:lastRowFirstColumn="0" w:lastRowLastColumn="0"/>
              <w:rPr>
                <w:rFonts w:eastAsia="Calibri"/>
                <w:sz w:val="20"/>
                <w:szCs w:val="20"/>
                <w:lang w:eastAsia="en-GB" w:bidi="ar-SA"/>
              </w:rPr>
            </w:pPr>
            <w:r w:rsidRPr="00F20D06">
              <w:rPr>
                <w:rFonts w:eastAsia="Calibri" w:cs="Arial"/>
                <w:sz w:val="20"/>
                <w:szCs w:val="20"/>
                <w:lang w:eastAsia="en-GB" w:bidi="ar-SA"/>
              </w:rPr>
              <w:t xml:space="preserve">While providing qualitative information, submissions provided little by way of empirical evidence on the </w:t>
            </w:r>
            <w:r w:rsidR="0057253B">
              <w:rPr>
                <w:rFonts w:eastAsia="Calibri" w:cs="Arial"/>
                <w:sz w:val="20"/>
                <w:szCs w:val="20"/>
                <w:lang w:eastAsia="en-GB" w:bidi="ar-SA"/>
              </w:rPr>
              <w:t>impact</w:t>
            </w:r>
            <w:r w:rsidRPr="00F20D06">
              <w:rPr>
                <w:rFonts w:eastAsia="Calibri" w:cs="Arial"/>
                <w:sz w:val="20"/>
                <w:szCs w:val="20"/>
                <w:lang w:eastAsia="en-GB" w:bidi="ar-SA"/>
              </w:rPr>
              <w:t xml:space="preserve"> of the variation to Standard</w:t>
            </w:r>
            <w:r w:rsidR="008C3722">
              <w:rPr>
                <w:rFonts w:eastAsia="Calibri" w:cs="Arial"/>
                <w:sz w:val="20"/>
                <w:szCs w:val="20"/>
                <w:lang w:eastAsia="en-GB" w:bidi="ar-SA"/>
              </w:rPr>
              <w:t>s</w:t>
            </w:r>
            <w:r w:rsidRPr="00F20D06">
              <w:rPr>
                <w:rFonts w:eastAsia="Calibri" w:cs="Arial"/>
                <w:sz w:val="20"/>
                <w:szCs w:val="20"/>
                <w:lang w:eastAsia="en-GB" w:bidi="ar-SA"/>
              </w:rPr>
              <w:t xml:space="preserve"> 4.2.3</w:t>
            </w:r>
            <w:r w:rsidR="008C3722">
              <w:rPr>
                <w:rFonts w:eastAsia="Calibri" w:cs="Arial"/>
                <w:sz w:val="20"/>
                <w:szCs w:val="20"/>
                <w:lang w:eastAsia="en-GB" w:bidi="ar-SA"/>
              </w:rPr>
              <w:t xml:space="preserve"> and 1.6.2</w:t>
            </w:r>
            <w:r w:rsidRPr="00F20D06">
              <w:rPr>
                <w:rFonts w:eastAsia="Calibri" w:cs="Arial"/>
                <w:sz w:val="20"/>
                <w:szCs w:val="20"/>
                <w:lang w:eastAsia="en-GB" w:bidi="ar-SA"/>
              </w:rPr>
              <w:t xml:space="preserve">. </w:t>
            </w:r>
            <w:r w:rsidRPr="00F20D06">
              <w:rPr>
                <w:rFonts w:eastAsia="Calibri"/>
                <w:sz w:val="20"/>
                <w:szCs w:val="20"/>
                <w:lang w:eastAsia="en-GB" w:bidi="ar-SA"/>
              </w:rPr>
              <w:t xml:space="preserve">Due to this, and the inherent limitations of data and difficulties in quantifying the specific costs and benefits of the proposed standard, the </w:t>
            </w:r>
            <w:r w:rsidR="00DF5F0A">
              <w:rPr>
                <w:rFonts w:eastAsia="Calibri"/>
                <w:sz w:val="20"/>
                <w:szCs w:val="20"/>
                <w:lang w:eastAsia="en-GB" w:bidi="ar-SA"/>
              </w:rPr>
              <w:t xml:space="preserve">specific </w:t>
            </w:r>
            <w:r w:rsidRPr="00F20D06">
              <w:rPr>
                <w:rFonts w:eastAsia="Calibri"/>
                <w:sz w:val="20"/>
                <w:szCs w:val="20"/>
                <w:lang w:eastAsia="en-GB" w:bidi="ar-SA"/>
              </w:rPr>
              <w:t xml:space="preserve">overall impact of the variation to </w:t>
            </w:r>
            <w:r w:rsidR="008C3722">
              <w:rPr>
                <w:rFonts w:eastAsia="Calibri"/>
                <w:sz w:val="20"/>
                <w:szCs w:val="20"/>
                <w:lang w:eastAsia="en-GB" w:bidi="ar-SA"/>
              </w:rPr>
              <w:t xml:space="preserve">the two </w:t>
            </w:r>
            <w:r w:rsidRPr="00F20D06">
              <w:rPr>
                <w:rFonts w:eastAsia="Calibri"/>
                <w:sz w:val="20"/>
                <w:szCs w:val="20"/>
                <w:lang w:eastAsia="en-GB" w:bidi="ar-SA"/>
              </w:rPr>
              <w:t>Standard</w:t>
            </w:r>
            <w:r w:rsidR="008C3722">
              <w:rPr>
                <w:rFonts w:eastAsia="Calibri"/>
                <w:sz w:val="20"/>
                <w:szCs w:val="20"/>
                <w:lang w:eastAsia="en-GB" w:bidi="ar-SA"/>
              </w:rPr>
              <w:t>s</w:t>
            </w:r>
            <w:r w:rsidRPr="00F20D06">
              <w:rPr>
                <w:rFonts w:eastAsia="Calibri"/>
                <w:sz w:val="20"/>
                <w:szCs w:val="20"/>
                <w:lang w:eastAsia="en-GB" w:bidi="ar-SA"/>
              </w:rPr>
              <w:t xml:space="preserve"> has not been quantified. However, the potential costs and benefits of the variation </w:t>
            </w:r>
            <w:r w:rsidR="004F5CDC" w:rsidRPr="00F20D06">
              <w:rPr>
                <w:rFonts w:eastAsia="Calibri"/>
                <w:sz w:val="20"/>
                <w:szCs w:val="20"/>
                <w:lang w:eastAsia="en-GB" w:bidi="ar-SA"/>
              </w:rPr>
              <w:t>ha</w:t>
            </w:r>
            <w:r w:rsidR="004F5CDC">
              <w:rPr>
                <w:rFonts w:eastAsia="Calibri"/>
                <w:sz w:val="20"/>
                <w:szCs w:val="20"/>
                <w:lang w:eastAsia="en-GB" w:bidi="ar-SA"/>
              </w:rPr>
              <w:t>ve</w:t>
            </w:r>
            <w:r w:rsidR="004F5CDC" w:rsidRPr="00F20D06">
              <w:rPr>
                <w:rFonts w:eastAsia="Calibri"/>
                <w:sz w:val="20"/>
                <w:szCs w:val="20"/>
                <w:lang w:eastAsia="en-GB" w:bidi="ar-SA"/>
              </w:rPr>
              <w:t xml:space="preserve"> </w:t>
            </w:r>
            <w:r w:rsidRPr="00F20D06">
              <w:rPr>
                <w:rFonts w:eastAsia="Calibri"/>
                <w:sz w:val="20"/>
                <w:szCs w:val="20"/>
                <w:lang w:eastAsia="en-GB" w:bidi="ar-SA"/>
              </w:rPr>
              <w:t xml:space="preserve">been </w:t>
            </w:r>
            <w:r w:rsidR="00DF5F0A">
              <w:rPr>
                <w:rFonts w:eastAsia="Calibri"/>
                <w:sz w:val="20"/>
                <w:szCs w:val="20"/>
                <w:lang w:eastAsia="en-GB" w:bidi="ar-SA"/>
              </w:rPr>
              <w:t>identified and weighed</w:t>
            </w:r>
            <w:r w:rsidR="00DF5F0A" w:rsidRPr="00F20D06">
              <w:rPr>
                <w:rFonts w:eastAsia="Calibri"/>
                <w:sz w:val="20"/>
                <w:szCs w:val="20"/>
                <w:lang w:eastAsia="en-GB" w:bidi="ar-SA"/>
              </w:rPr>
              <w:t xml:space="preserve"> </w:t>
            </w:r>
            <w:r w:rsidRPr="00F20D06">
              <w:rPr>
                <w:rFonts w:eastAsia="Calibri"/>
                <w:sz w:val="20"/>
                <w:szCs w:val="20"/>
                <w:lang w:eastAsia="en-GB" w:bidi="ar-SA"/>
              </w:rPr>
              <w:t xml:space="preserve">in this RIS. </w:t>
            </w:r>
          </w:p>
          <w:p w:rsidR="009D28AD" w:rsidRPr="00F71AE6" w:rsidRDefault="009D28AD" w:rsidP="00F71AE6">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tc>
      </w:tr>
    </w:tbl>
    <w:p w:rsidR="007A53BF" w:rsidRDefault="007A53BF" w:rsidP="007A53BF">
      <w:pPr>
        <w:rPr>
          <w:color w:val="00B050"/>
        </w:rPr>
      </w:pPr>
    </w:p>
    <w:p w:rsidR="008068F7" w:rsidRPr="007D7D8E" w:rsidRDefault="008068F7" w:rsidP="007A53BF">
      <w:pPr>
        <w:sectPr w:rsidR="008068F7" w:rsidRPr="007D7D8E" w:rsidSect="00A747E9">
          <w:pgSz w:w="16838" w:h="11906" w:orient="landscape" w:code="9"/>
          <w:pgMar w:top="1440" w:right="1440" w:bottom="1440" w:left="1440" w:header="709" w:footer="709" w:gutter="0"/>
          <w:cols w:space="708"/>
          <w:docGrid w:linePitch="360"/>
        </w:sectPr>
      </w:pPr>
    </w:p>
    <w:p w:rsidR="002C1A3B" w:rsidRPr="00932F14" w:rsidRDefault="002C1A3B" w:rsidP="002C1A3B">
      <w:pPr>
        <w:pStyle w:val="Heading2"/>
      </w:pPr>
      <w:bookmarkStart w:id="46" w:name="_Toc370223472"/>
      <w:bookmarkStart w:id="47" w:name="_Toc370225387"/>
      <w:bookmarkStart w:id="48" w:name="_Toc387850954"/>
      <w:bookmarkStart w:id="49" w:name="_Toc309291812"/>
      <w:bookmarkStart w:id="50" w:name="_Toc175381442"/>
      <w:bookmarkEnd w:id="40"/>
      <w:bookmarkEnd w:id="41"/>
      <w:bookmarkEnd w:id="42"/>
      <w:bookmarkEnd w:id="43"/>
      <w:bookmarkEnd w:id="44"/>
      <w:bookmarkEnd w:id="45"/>
      <w:r>
        <w:lastRenderedPageBreak/>
        <w:t>2.2</w:t>
      </w:r>
      <w:r>
        <w:tab/>
      </w:r>
      <w:r w:rsidRPr="00932F14">
        <w:t xml:space="preserve">Risk </w:t>
      </w:r>
      <w:r>
        <w:t>a</w:t>
      </w:r>
      <w:r w:rsidRPr="00932F14">
        <w:t>ssessment</w:t>
      </w:r>
      <w:bookmarkEnd w:id="46"/>
      <w:bookmarkEnd w:id="47"/>
      <w:bookmarkEnd w:id="48"/>
      <w:r w:rsidRPr="00932F14">
        <w:t xml:space="preserve"> </w:t>
      </w:r>
    </w:p>
    <w:p w:rsidR="00EB16EF" w:rsidRPr="003F79B2" w:rsidRDefault="00EB16EF" w:rsidP="00EB16EF">
      <w:pPr>
        <w:rPr>
          <w:szCs w:val="20"/>
        </w:rPr>
      </w:pPr>
      <w:r w:rsidRPr="003F79B2">
        <w:rPr>
          <w:rFonts w:cs="Arial"/>
          <w:szCs w:val="22"/>
        </w:rPr>
        <w:t xml:space="preserve">FSANZ investigated hazards (microbiological and chemical), production and processing risk factors (including control measures) and any foodborne illness associated with the production and consumption of meat </w:t>
      </w:r>
      <w:r>
        <w:rPr>
          <w:rFonts w:cs="Arial"/>
          <w:szCs w:val="22"/>
        </w:rPr>
        <w:t xml:space="preserve">from major and minor meat species and wild game. </w:t>
      </w:r>
    </w:p>
    <w:p w:rsidR="00EB16EF" w:rsidRDefault="00EB16EF" w:rsidP="00EB16EF">
      <w:pPr>
        <w:rPr>
          <w:rFonts w:cs="Arial"/>
          <w:szCs w:val="22"/>
          <w:lang w:val="en-AU"/>
        </w:rPr>
      </w:pPr>
    </w:p>
    <w:p w:rsidR="00EB16EF" w:rsidRPr="003F79B2" w:rsidRDefault="00EB16EF" w:rsidP="00EB16EF">
      <w:pPr>
        <w:rPr>
          <w:rFonts w:cs="Arial"/>
          <w:szCs w:val="22"/>
          <w:lang w:val="en-AU"/>
        </w:rPr>
      </w:pPr>
      <w:r w:rsidRPr="003F79B2">
        <w:rPr>
          <w:rFonts w:cs="Arial"/>
          <w:szCs w:val="22"/>
          <w:lang w:val="en-AU"/>
        </w:rPr>
        <w:t xml:space="preserve">The key findings </w:t>
      </w:r>
      <w:r>
        <w:rPr>
          <w:rFonts w:cs="Arial"/>
          <w:szCs w:val="22"/>
          <w:lang w:val="en-AU"/>
        </w:rPr>
        <w:t xml:space="preserve">from the assessment of the major meat species </w:t>
      </w:r>
      <w:r w:rsidRPr="003F79B2">
        <w:rPr>
          <w:rFonts w:cs="Arial"/>
          <w:szCs w:val="22"/>
          <w:lang w:val="en-AU"/>
        </w:rPr>
        <w:t xml:space="preserve">(cattle, sheep, goats and pig) </w:t>
      </w:r>
      <w:r>
        <w:rPr>
          <w:rFonts w:cs="Arial"/>
          <w:szCs w:val="22"/>
          <w:lang w:val="en-AU"/>
        </w:rPr>
        <w:t>we</w:t>
      </w:r>
      <w:r w:rsidRPr="003F79B2">
        <w:rPr>
          <w:rFonts w:cs="Arial"/>
          <w:szCs w:val="22"/>
          <w:lang w:val="en-AU"/>
        </w:rPr>
        <w:t>re</w:t>
      </w:r>
      <w:r>
        <w:rPr>
          <w:rFonts w:cs="Arial"/>
          <w:szCs w:val="22"/>
          <w:lang w:val="en-AU"/>
        </w:rPr>
        <w:t xml:space="preserve"> that</w:t>
      </w:r>
      <w:r w:rsidRPr="003F79B2">
        <w:rPr>
          <w:rFonts w:cs="Arial"/>
          <w:szCs w:val="22"/>
          <w:lang w:val="en-AU"/>
        </w:rPr>
        <w:t>:</w:t>
      </w:r>
    </w:p>
    <w:p w:rsidR="00EB16EF" w:rsidRPr="003F79B2" w:rsidRDefault="00EB16EF" w:rsidP="00EB16EF">
      <w:pPr>
        <w:ind w:left="567"/>
        <w:contextualSpacing/>
        <w:rPr>
          <w:szCs w:val="20"/>
          <w:lang w:val="en-AU"/>
        </w:rPr>
      </w:pPr>
    </w:p>
    <w:p w:rsidR="00EB16EF" w:rsidRPr="003F79B2" w:rsidRDefault="00F20D06" w:rsidP="00B3525D">
      <w:pPr>
        <w:pStyle w:val="FSBullet1"/>
        <w:rPr>
          <w:lang w:val="en-AU"/>
        </w:rPr>
      </w:pPr>
      <w:r>
        <w:rPr>
          <w:lang w:val="en-AU"/>
        </w:rPr>
        <w:t>e</w:t>
      </w:r>
      <w:r w:rsidR="00EB16EF" w:rsidRPr="003F79B2">
        <w:rPr>
          <w:lang w:val="en-AU"/>
        </w:rPr>
        <w:t>vidence suggests that Australian meat from these species has a low microbial load and general</w:t>
      </w:r>
      <w:r>
        <w:rPr>
          <w:lang w:val="en-AU"/>
        </w:rPr>
        <w:t>ly low prevalence of pathogens</w:t>
      </w:r>
    </w:p>
    <w:p w:rsidR="00EB16EF" w:rsidRDefault="00F20D06" w:rsidP="00B3525D">
      <w:pPr>
        <w:pStyle w:val="FSBullet1"/>
        <w:rPr>
          <w:szCs w:val="22"/>
          <w:lang w:val="en-AU"/>
        </w:rPr>
      </w:pPr>
      <w:r>
        <w:rPr>
          <w:lang w:val="en-AU"/>
        </w:rPr>
        <w:t>a</w:t>
      </w:r>
      <w:r w:rsidR="00EB16EF" w:rsidRPr="003F79B2">
        <w:rPr>
          <w:lang w:val="en-AU"/>
        </w:rPr>
        <w:t xml:space="preserve"> lack of epidemiological evidence available suggests the likelihood of </w:t>
      </w:r>
      <w:r w:rsidR="00647AF7">
        <w:rPr>
          <w:lang w:val="en-AU"/>
        </w:rPr>
        <w:t>potential</w:t>
      </w:r>
      <w:r w:rsidR="00647AF7" w:rsidRPr="003F79B2">
        <w:rPr>
          <w:lang w:val="en-AU"/>
        </w:rPr>
        <w:t xml:space="preserve"> </w:t>
      </w:r>
      <w:r w:rsidR="00EB16EF" w:rsidRPr="003F79B2">
        <w:rPr>
          <w:lang w:val="en-AU"/>
        </w:rPr>
        <w:t>hazards causing illness from con</w:t>
      </w:r>
      <w:r>
        <w:rPr>
          <w:lang w:val="en-AU"/>
        </w:rPr>
        <w:t>sumption of meat is quite low</w:t>
      </w:r>
      <w:r w:rsidR="00EB16EF" w:rsidRPr="003F79B2">
        <w:rPr>
          <w:szCs w:val="22"/>
          <w:lang w:val="en-AU"/>
        </w:rPr>
        <w:t xml:space="preserve"> </w:t>
      </w:r>
    </w:p>
    <w:p w:rsidR="00647AF7" w:rsidRPr="00647AF7" w:rsidRDefault="00647AF7" w:rsidP="00096F4B">
      <w:pPr>
        <w:pStyle w:val="FSBullet1"/>
        <w:rPr>
          <w:lang w:val="en-AU"/>
        </w:rPr>
      </w:pPr>
      <w:r>
        <w:rPr>
          <w:lang w:val="en-AU"/>
        </w:rPr>
        <w:t>during the animal production phase</w:t>
      </w:r>
      <w:r w:rsidR="007E2BFC">
        <w:rPr>
          <w:lang w:val="en-AU"/>
        </w:rPr>
        <w:t>,</w:t>
      </w:r>
      <w:r>
        <w:rPr>
          <w:lang w:val="en-AU"/>
        </w:rPr>
        <w:t xml:space="preserve"> there are a number of steps at which control may be applied</w:t>
      </w:r>
    </w:p>
    <w:p w:rsidR="00EB16EF" w:rsidRPr="003F79B2" w:rsidRDefault="007E2BFC" w:rsidP="00B3525D">
      <w:pPr>
        <w:pStyle w:val="FSBullet1"/>
        <w:rPr>
          <w:lang w:val="en-AU"/>
        </w:rPr>
      </w:pPr>
      <w:r>
        <w:rPr>
          <w:lang w:val="en-AU"/>
        </w:rPr>
        <w:t xml:space="preserve">the above </w:t>
      </w:r>
      <w:r w:rsidR="00F20D06">
        <w:rPr>
          <w:lang w:val="en-AU"/>
        </w:rPr>
        <w:t>f</w:t>
      </w:r>
      <w:r w:rsidR="00EB16EF" w:rsidRPr="003F79B2">
        <w:rPr>
          <w:lang w:val="en-AU"/>
        </w:rPr>
        <w:t xml:space="preserve">indings are consistent with the existing significant body of evidence suggesting meat </w:t>
      </w:r>
      <w:r w:rsidR="003B65D5">
        <w:rPr>
          <w:lang w:val="en-AU"/>
        </w:rPr>
        <w:t xml:space="preserve">processed under existing conditions </w:t>
      </w:r>
      <w:r w:rsidR="00EB16EF" w:rsidRPr="003F79B2">
        <w:rPr>
          <w:lang w:val="en-AU"/>
        </w:rPr>
        <w:t>prese</w:t>
      </w:r>
      <w:r w:rsidR="00F20D06">
        <w:rPr>
          <w:lang w:val="en-AU"/>
        </w:rPr>
        <w:t>nts a low risk to public health</w:t>
      </w:r>
      <w:r w:rsidR="000759E2">
        <w:rPr>
          <w:lang w:val="en-AU"/>
        </w:rPr>
        <w:t>.</w:t>
      </w:r>
    </w:p>
    <w:p w:rsidR="00EB16EF" w:rsidRPr="003F79B2" w:rsidRDefault="00EB16EF" w:rsidP="00EB16EF">
      <w:pPr>
        <w:rPr>
          <w:rFonts w:cs="Arial"/>
          <w:szCs w:val="22"/>
        </w:rPr>
      </w:pPr>
    </w:p>
    <w:p w:rsidR="00EB16EF" w:rsidRPr="003F79B2" w:rsidRDefault="00EB16EF" w:rsidP="00EB16EF">
      <w:pPr>
        <w:rPr>
          <w:rFonts w:cs="Arial"/>
          <w:szCs w:val="22"/>
        </w:rPr>
      </w:pPr>
      <w:r>
        <w:rPr>
          <w:rFonts w:cs="Arial"/>
          <w:szCs w:val="22"/>
        </w:rPr>
        <w:t xml:space="preserve">In regard to the minor meat species and wild game, FSANZ </w:t>
      </w:r>
      <w:r w:rsidRPr="003F79B2">
        <w:rPr>
          <w:rFonts w:cs="Arial"/>
          <w:szCs w:val="22"/>
        </w:rPr>
        <w:t>evaluate</w:t>
      </w:r>
      <w:r>
        <w:rPr>
          <w:rFonts w:cs="Arial"/>
          <w:szCs w:val="22"/>
        </w:rPr>
        <w:t>d</w:t>
      </w:r>
      <w:r w:rsidR="004D5759">
        <w:rPr>
          <w:rFonts w:cs="Arial"/>
          <w:szCs w:val="22"/>
        </w:rPr>
        <w:t xml:space="preserve"> </w:t>
      </w:r>
      <w:r w:rsidR="004D5759" w:rsidRPr="00551C66">
        <w:rPr>
          <w:rFonts w:cs="Arial"/>
          <w:szCs w:val="22"/>
        </w:rPr>
        <w:t xml:space="preserve">whether </w:t>
      </w:r>
      <w:r w:rsidR="004D5759">
        <w:rPr>
          <w:rFonts w:cs="Arial"/>
          <w:szCs w:val="22"/>
        </w:rPr>
        <w:t>there were any risk factors in p</w:t>
      </w:r>
      <w:r w:rsidR="004D5759" w:rsidRPr="00551C66">
        <w:rPr>
          <w:rFonts w:cs="Arial"/>
          <w:szCs w:val="22"/>
        </w:rPr>
        <w:t xml:space="preserve">roduction and processing </w:t>
      </w:r>
      <w:r w:rsidR="004D5759">
        <w:rPr>
          <w:rFonts w:cs="Arial"/>
          <w:szCs w:val="22"/>
        </w:rPr>
        <w:t xml:space="preserve">not </w:t>
      </w:r>
      <w:r w:rsidR="004D5759" w:rsidRPr="00551C66">
        <w:rPr>
          <w:rFonts w:cs="Arial"/>
          <w:szCs w:val="22"/>
        </w:rPr>
        <w:t xml:space="preserve">identified in SD2. </w:t>
      </w:r>
      <w:r w:rsidRPr="003F79B2">
        <w:rPr>
          <w:rFonts w:cs="Arial"/>
          <w:szCs w:val="22"/>
        </w:rPr>
        <w:t xml:space="preserve">Key findings </w:t>
      </w:r>
      <w:r>
        <w:rPr>
          <w:rFonts w:cs="Arial"/>
          <w:szCs w:val="22"/>
        </w:rPr>
        <w:t>were that</w:t>
      </w:r>
      <w:r w:rsidRPr="003F79B2">
        <w:rPr>
          <w:rFonts w:cs="Arial"/>
          <w:szCs w:val="22"/>
        </w:rPr>
        <w:t>:</w:t>
      </w:r>
    </w:p>
    <w:p w:rsidR="00EB16EF" w:rsidRPr="003F79B2" w:rsidRDefault="00EB16EF" w:rsidP="00EB16EF">
      <w:pPr>
        <w:rPr>
          <w:rFonts w:cs="Arial"/>
          <w:szCs w:val="22"/>
        </w:rPr>
      </w:pPr>
    </w:p>
    <w:p w:rsidR="00883FA4" w:rsidRDefault="00F20D06" w:rsidP="00883FA4">
      <w:pPr>
        <w:pStyle w:val="FSBullet1"/>
        <w:rPr>
          <w:lang w:val="en-AU"/>
        </w:rPr>
      </w:pPr>
      <w:r>
        <w:rPr>
          <w:lang w:val="en-AU"/>
        </w:rPr>
        <w:t>l</w:t>
      </w:r>
      <w:r w:rsidR="00EB16EF" w:rsidRPr="003F79B2">
        <w:rPr>
          <w:lang w:val="en-AU"/>
        </w:rPr>
        <w:t xml:space="preserve">imited published data are available on the type, prevalence and levels of microorganisms present on animals before slaughter, or on carcasses </w:t>
      </w:r>
      <w:r w:rsidR="00EB16EF" w:rsidRPr="003F79B2">
        <w:rPr>
          <w:lang w:val="en-AU"/>
        </w:rPr>
        <w:br/>
        <w:t>post-processing. This was particularly evident</w:t>
      </w:r>
      <w:r>
        <w:rPr>
          <w:lang w:val="en-AU"/>
        </w:rPr>
        <w:t xml:space="preserve"> in the Australian context</w:t>
      </w:r>
      <w:r w:rsidR="00883FA4">
        <w:rPr>
          <w:lang w:val="en-AU"/>
        </w:rPr>
        <w:t>.</w:t>
      </w:r>
    </w:p>
    <w:p w:rsidR="00883FA4" w:rsidRPr="00883FA4" w:rsidRDefault="00883FA4" w:rsidP="009B6EC2">
      <w:pPr>
        <w:rPr>
          <w:lang w:val="en-AU"/>
        </w:rPr>
      </w:pPr>
    </w:p>
    <w:p w:rsidR="00EB16EF" w:rsidRDefault="00F20D06" w:rsidP="00B3525D">
      <w:pPr>
        <w:pStyle w:val="FSBullet1"/>
        <w:rPr>
          <w:lang w:val="en-AU"/>
        </w:rPr>
      </w:pPr>
      <w:r>
        <w:rPr>
          <w:lang w:val="en-AU"/>
        </w:rPr>
        <w:t>l</w:t>
      </w:r>
      <w:r w:rsidR="00EB16EF" w:rsidRPr="003F79B2">
        <w:rPr>
          <w:lang w:val="en-AU"/>
        </w:rPr>
        <w:t>ittle published evidence exists, either domestically or internationally, that foodborne illness is associated with consumption of meat f</w:t>
      </w:r>
      <w:r>
        <w:rPr>
          <w:lang w:val="en-AU"/>
        </w:rPr>
        <w:t>rom minor and wild game species</w:t>
      </w:r>
      <w:r w:rsidR="00EB16EF" w:rsidRPr="003F79B2">
        <w:rPr>
          <w:lang w:val="en-AU"/>
        </w:rPr>
        <w:t xml:space="preserve"> </w:t>
      </w:r>
    </w:p>
    <w:p w:rsidR="00883FA4" w:rsidRPr="00883FA4" w:rsidRDefault="00883FA4" w:rsidP="009B6EC2">
      <w:pPr>
        <w:rPr>
          <w:lang w:val="en-AU"/>
        </w:rPr>
      </w:pPr>
    </w:p>
    <w:p w:rsidR="00EB16EF" w:rsidRDefault="00F20D06" w:rsidP="00B3525D">
      <w:pPr>
        <w:pStyle w:val="FSBullet1"/>
        <w:rPr>
          <w:lang w:val="en-AU"/>
        </w:rPr>
      </w:pPr>
      <w:r>
        <w:rPr>
          <w:lang w:val="en-AU"/>
        </w:rPr>
        <w:t>n</w:t>
      </w:r>
      <w:r w:rsidR="00EB16EF" w:rsidRPr="003F79B2">
        <w:rPr>
          <w:lang w:val="en-AU"/>
        </w:rPr>
        <w:t xml:space="preserve">o substantial differences exist in the production and processing risk factors for minor and wild game meats compared to </w:t>
      </w:r>
      <w:r>
        <w:rPr>
          <w:lang w:val="en-AU"/>
        </w:rPr>
        <w:t>those of the major meat species</w:t>
      </w:r>
      <w:r w:rsidR="00EB16EF" w:rsidRPr="003F79B2">
        <w:rPr>
          <w:lang w:val="en-AU"/>
        </w:rPr>
        <w:t xml:space="preserve"> </w:t>
      </w:r>
    </w:p>
    <w:p w:rsidR="00883FA4" w:rsidRPr="00883FA4" w:rsidRDefault="00883FA4" w:rsidP="009B6EC2">
      <w:pPr>
        <w:rPr>
          <w:lang w:val="en-AU"/>
        </w:rPr>
      </w:pPr>
    </w:p>
    <w:p w:rsidR="00EB16EF" w:rsidRPr="003F79B2" w:rsidRDefault="00F20D06" w:rsidP="00B3525D">
      <w:pPr>
        <w:pStyle w:val="FSBullet1"/>
        <w:rPr>
          <w:lang w:val="en-AU"/>
        </w:rPr>
      </w:pPr>
      <w:r>
        <w:rPr>
          <w:lang w:val="en-AU"/>
        </w:rPr>
        <w:t>m</w:t>
      </w:r>
      <w:r w:rsidR="00EB16EF" w:rsidRPr="003F79B2">
        <w:rPr>
          <w:lang w:val="en-AU"/>
        </w:rPr>
        <w:t>icrobiological hazards associated with minor and wild game species are consistent with those identified for other meat animals commonly consumed in Australia and are controlled by curren</w:t>
      </w:r>
      <w:r>
        <w:rPr>
          <w:lang w:val="en-AU"/>
        </w:rPr>
        <w:t>t meat processing requirements</w:t>
      </w:r>
      <w:r w:rsidR="000759E2">
        <w:rPr>
          <w:lang w:val="en-AU"/>
        </w:rPr>
        <w:t>.</w:t>
      </w:r>
    </w:p>
    <w:p w:rsidR="00EB16EF" w:rsidRPr="003F79B2" w:rsidRDefault="00EB16EF" w:rsidP="00EB16EF">
      <w:pPr>
        <w:rPr>
          <w:rFonts w:cs="Arial"/>
          <w:szCs w:val="22"/>
        </w:rPr>
      </w:pPr>
    </w:p>
    <w:p w:rsidR="00EB16EF" w:rsidRPr="003F79B2" w:rsidRDefault="00EB16EF" w:rsidP="00EB16EF">
      <w:pPr>
        <w:rPr>
          <w:szCs w:val="20"/>
        </w:rPr>
      </w:pPr>
      <w:r w:rsidRPr="003F79B2">
        <w:rPr>
          <w:szCs w:val="20"/>
        </w:rPr>
        <w:t xml:space="preserve">The key findings from </w:t>
      </w:r>
      <w:r>
        <w:rPr>
          <w:szCs w:val="20"/>
        </w:rPr>
        <w:t>the chemical risk profile were that</w:t>
      </w:r>
      <w:r w:rsidRPr="003F79B2">
        <w:rPr>
          <w:szCs w:val="20"/>
        </w:rPr>
        <w:t>:</w:t>
      </w:r>
    </w:p>
    <w:p w:rsidR="00EB16EF" w:rsidRPr="003F79B2" w:rsidRDefault="00EB16EF" w:rsidP="00EB16EF">
      <w:pPr>
        <w:rPr>
          <w:szCs w:val="20"/>
        </w:rPr>
      </w:pPr>
    </w:p>
    <w:p w:rsidR="00EB16EF" w:rsidRDefault="00F20D06" w:rsidP="00B3525D">
      <w:pPr>
        <w:pStyle w:val="FSBullet1"/>
        <w:rPr>
          <w:lang w:val="en-AU"/>
        </w:rPr>
      </w:pPr>
      <w:r>
        <w:rPr>
          <w:lang w:val="en-AU"/>
        </w:rPr>
        <w:t>e</w:t>
      </w:r>
      <w:r w:rsidR="00EB16EF" w:rsidRPr="003F79B2">
        <w:rPr>
          <w:lang w:val="en-AU"/>
        </w:rPr>
        <w:t>xtensive regulatory and non-regulatory measures are in place along the meat industry primary production chain resulting in minimal public health and safety concerns regarding the use or presence of chemi</w:t>
      </w:r>
      <w:r>
        <w:rPr>
          <w:lang w:val="en-AU"/>
        </w:rPr>
        <w:t>cals in meat and meat products</w:t>
      </w:r>
      <w:r w:rsidR="00EB16EF" w:rsidRPr="003F79B2">
        <w:rPr>
          <w:lang w:val="en-AU"/>
        </w:rPr>
        <w:t xml:space="preserve"> </w:t>
      </w:r>
    </w:p>
    <w:p w:rsidR="00883FA4" w:rsidRPr="00883FA4" w:rsidRDefault="00883FA4" w:rsidP="009B6EC2">
      <w:pPr>
        <w:rPr>
          <w:lang w:val="en-AU"/>
        </w:rPr>
      </w:pPr>
    </w:p>
    <w:p w:rsidR="00EB16EF" w:rsidRDefault="00F20D06" w:rsidP="00B3525D">
      <w:pPr>
        <w:pStyle w:val="FSBullet1"/>
        <w:rPr>
          <w:lang w:val="en-AU"/>
        </w:rPr>
      </w:pPr>
      <w:r>
        <w:rPr>
          <w:lang w:val="en-AU"/>
        </w:rPr>
        <w:t>e</w:t>
      </w:r>
      <w:r w:rsidR="00EB16EF" w:rsidRPr="003F79B2">
        <w:rPr>
          <w:lang w:val="en-AU"/>
        </w:rPr>
        <w:t xml:space="preserve">xtensive monitoring of chemical residues in meat over many years has demonstrated a high level of </w:t>
      </w:r>
      <w:r>
        <w:rPr>
          <w:lang w:val="en-AU"/>
        </w:rPr>
        <w:t>compliance with the regulations</w:t>
      </w:r>
    </w:p>
    <w:p w:rsidR="00883FA4" w:rsidRPr="00883FA4" w:rsidRDefault="00883FA4" w:rsidP="009B6EC2">
      <w:pPr>
        <w:rPr>
          <w:lang w:val="en-AU"/>
        </w:rPr>
      </w:pPr>
    </w:p>
    <w:p w:rsidR="00F20D06" w:rsidRPr="00F20D06" w:rsidRDefault="00F20D06" w:rsidP="00993BC9">
      <w:pPr>
        <w:pStyle w:val="FSBullet1"/>
      </w:pPr>
      <w:r w:rsidRPr="00F20D06">
        <w:t>continuation of the current management practices, particularly monitoring programs for chemicals along the primary production chain, will ensure that the meat industry continues to maintain a high standard of public health and safety</w:t>
      </w:r>
    </w:p>
    <w:p w:rsidR="00EB16EF" w:rsidRPr="003F79B2" w:rsidRDefault="00EB16EF" w:rsidP="00EB16EF">
      <w:pPr>
        <w:rPr>
          <w:szCs w:val="20"/>
        </w:rPr>
      </w:pPr>
    </w:p>
    <w:p w:rsidR="00883FA4" w:rsidRDefault="00EB16EF" w:rsidP="00EB16EF">
      <w:pPr>
        <w:rPr>
          <w:rFonts w:cs="Arial"/>
          <w:szCs w:val="22"/>
          <w:lang w:eastAsia="en-GB"/>
        </w:rPr>
      </w:pPr>
      <w:r w:rsidRPr="003F79B2">
        <w:rPr>
          <w:rFonts w:cs="Arial"/>
          <w:szCs w:val="22"/>
          <w:lang w:eastAsia="en-GB"/>
        </w:rPr>
        <w:t>FSANZ’s evaluation of the hazards and current management practices in Australia indicate</w:t>
      </w:r>
      <w:r w:rsidR="000759E2">
        <w:rPr>
          <w:rFonts w:cs="Arial"/>
          <w:szCs w:val="22"/>
          <w:lang w:eastAsia="en-GB"/>
        </w:rPr>
        <w:t>s</w:t>
      </w:r>
      <w:r w:rsidRPr="003F79B2">
        <w:rPr>
          <w:rFonts w:cs="Arial"/>
          <w:szCs w:val="22"/>
          <w:lang w:eastAsia="en-GB"/>
        </w:rPr>
        <w:t xml:space="preserve"> there are no identified unmanaged food safety risks for the meat sectors.</w:t>
      </w:r>
      <w:r>
        <w:rPr>
          <w:rFonts w:cs="Arial"/>
          <w:szCs w:val="22"/>
          <w:lang w:eastAsia="en-GB"/>
        </w:rPr>
        <w:t xml:space="preserve"> Further detail is available in </w:t>
      </w:r>
      <w:r w:rsidR="00993BC9">
        <w:rPr>
          <w:rFonts w:cs="Arial"/>
          <w:szCs w:val="22"/>
          <w:lang w:eastAsia="en-GB"/>
        </w:rPr>
        <w:t>SD</w:t>
      </w:r>
      <w:r>
        <w:rPr>
          <w:rFonts w:cs="Arial"/>
          <w:szCs w:val="22"/>
          <w:lang w:eastAsia="en-GB"/>
        </w:rPr>
        <w:t>s 2</w:t>
      </w:r>
      <w:r w:rsidR="00883FA4">
        <w:rPr>
          <w:rFonts w:cs="Arial"/>
          <w:szCs w:val="22"/>
          <w:lang w:eastAsia="en-GB"/>
        </w:rPr>
        <w:t>–</w:t>
      </w:r>
      <w:r>
        <w:rPr>
          <w:rFonts w:cs="Arial"/>
          <w:szCs w:val="22"/>
          <w:lang w:eastAsia="en-GB"/>
        </w:rPr>
        <w:t>4.</w:t>
      </w:r>
      <w:r w:rsidR="00883FA4">
        <w:rPr>
          <w:rFonts w:cs="Arial"/>
          <w:szCs w:val="22"/>
          <w:lang w:eastAsia="en-GB"/>
        </w:rPr>
        <w:br w:type="page"/>
      </w:r>
    </w:p>
    <w:p w:rsidR="002C1A3B" w:rsidRPr="00932F14" w:rsidRDefault="002C1A3B" w:rsidP="002C1A3B">
      <w:pPr>
        <w:pStyle w:val="Heading2"/>
      </w:pPr>
      <w:bookmarkStart w:id="51" w:name="_Toc370223473"/>
      <w:bookmarkStart w:id="52" w:name="_Toc370225388"/>
      <w:bookmarkStart w:id="53" w:name="_Toc387850955"/>
      <w:bookmarkStart w:id="54" w:name="_Toc175381450"/>
      <w:bookmarkEnd w:id="49"/>
      <w:bookmarkEnd w:id="50"/>
      <w:r>
        <w:lastRenderedPageBreak/>
        <w:t>2.3</w:t>
      </w:r>
      <w:r>
        <w:tab/>
        <w:t>Risk management</w:t>
      </w:r>
      <w:bookmarkEnd w:id="51"/>
      <w:bookmarkEnd w:id="52"/>
      <w:bookmarkEnd w:id="53"/>
    </w:p>
    <w:p w:rsidR="00746E8D" w:rsidRPr="00107AEF" w:rsidRDefault="00746E8D" w:rsidP="00107AEF">
      <w:pPr>
        <w:widowControl/>
        <w:rPr>
          <w:rFonts w:cs="Arial"/>
          <w:lang w:bidi="ar-SA"/>
        </w:rPr>
      </w:pPr>
      <w:r>
        <w:rPr>
          <w:rFonts w:eastAsia="Calibri"/>
        </w:rPr>
        <w:t xml:space="preserve">Following consideration of the assessment findings, the cost-benefit analysis and the </w:t>
      </w:r>
      <w:r w:rsidRPr="00746E8D">
        <w:rPr>
          <w:rFonts w:eastAsia="Calibri"/>
        </w:rPr>
        <w:t>issues raised during consultation</w:t>
      </w:r>
      <w:r>
        <w:rPr>
          <w:rFonts w:eastAsia="Calibri"/>
        </w:rPr>
        <w:t>, FSANZ has approved the</w:t>
      </w:r>
      <w:r w:rsidRPr="00746E8D">
        <w:rPr>
          <w:rFonts w:eastAsia="Calibri"/>
        </w:rPr>
        <w:t xml:space="preserve"> draft variation </w:t>
      </w:r>
      <w:r>
        <w:rPr>
          <w:rFonts w:eastAsia="Calibri"/>
        </w:rPr>
        <w:t>to Standard 4.2.3 to include</w:t>
      </w:r>
      <w:r w:rsidRPr="00746E8D">
        <w:rPr>
          <w:rFonts w:eastAsia="Calibri"/>
        </w:rPr>
        <w:t xml:space="preserve"> primary production requirements for </w:t>
      </w:r>
      <w:r w:rsidRPr="00746E8D">
        <w:rPr>
          <w:rFonts w:cs="Arial"/>
          <w:szCs w:val="22"/>
        </w:rPr>
        <w:t xml:space="preserve">traceability, inputs and management of waste for the major and minor meat species e.g. cattle, sheep, goats, pigs, buffalo, camels, alpacas, llamas, deer, horses, donkeys, rabbits, crocodiles, ostrich and emu. These primary production requirements do not apply to wild game animals. An editorial note has been included </w:t>
      </w:r>
      <w:r w:rsidRPr="00746E8D">
        <w:rPr>
          <w:rFonts w:eastAsia="Calibri"/>
        </w:rPr>
        <w:t xml:space="preserve">to explain that </w:t>
      </w:r>
      <w:r w:rsidRPr="00746E8D">
        <w:rPr>
          <w:rFonts w:cs="Arial"/>
        </w:rPr>
        <w:t xml:space="preserve">state and territory laws require people involved in </w:t>
      </w:r>
      <w:r w:rsidRPr="00746E8D">
        <w:rPr>
          <w:rFonts w:cs="Arial"/>
          <w:lang w:val="en-AU"/>
        </w:rPr>
        <w:t xml:space="preserve">the slaughter and processing of animals for human consumption, to comply with the </w:t>
      </w:r>
      <w:r w:rsidR="002B38BA">
        <w:rPr>
          <w:rFonts w:cs="Arial"/>
          <w:lang w:val="en-AU"/>
        </w:rPr>
        <w:t xml:space="preserve">existing </w:t>
      </w:r>
      <w:r w:rsidRPr="00746E8D">
        <w:rPr>
          <w:rFonts w:cs="Arial"/>
          <w:lang w:val="en-AU"/>
        </w:rPr>
        <w:t xml:space="preserve">Australian Standards. </w:t>
      </w:r>
      <w:r w:rsidR="004F5CDC">
        <w:rPr>
          <w:rFonts w:cs="Arial"/>
          <w:lang w:val="en-AU"/>
        </w:rPr>
        <w:t>The</w:t>
      </w:r>
      <w:r w:rsidR="0011694E">
        <w:rPr>
          <w:rFonts w:cs="Arial"/>
          <w:lang w:val="en-AU"/>
        </w:rPr>
        <w:t xml:space="preserve"> processing requirements for crocodile </w:t>
      </w:r>
      <w:r w:rsidR="00107AEF">
        <w:rPr>
          <w:rFonts w:cs="Arial"/>
          <w:lang w:val="en-AU"/>
        </w:rPr>
        <w:t xml:space="preserve">meat </w:t>
      </w:r>
      <w:r w:rsidR="0011694E">
        <w:rPr>
          <w:rFonts w:cs="Arial"/>
          <w:lang w:val="en-AU"/>
        </w:rPr>
        <w:t xml:space="preserve">in Standard 1.6.2 (clause 6) </w:t>
      </w:r>
      <w:r w:rsidR="00107AEF">
        <w:rPr>
          <w:rFonts w:cs="Arial"/>
          <w:lang w:val="en-AU"/>
        </w:rPr>
        <w:t xml:space="preserve">have been deleted as these are included in the existing </w:t>
      </w:r>
      <w:r w:rsidR="00107AEF">
        <w:rPr>
          <w:rFonts w:eastAsia="Calibri" w:cs="Arial"/>
          <w:lang w:bidi="ar-SA"/>
        </w:rPr>
        <w:t xml:space="preserve">Australian Standard for the </w:t>
      </w:r>
      <w:r w:rsidR="00107AEF" w:rsidRPr="00695EC0">
        <w:rPr>
          <w:rFonts w:eastAsia="Calibri" w:cs="Arial"/>
          <w:i/>
          <w:lang w:bidi="ar-SA"/>
        </w:rPr>
        <w:t>Hygienic Production of</w:t>
      </w:r>
      <w:r w:rsidR="00107AEF" w:rsidRPr="00695EC0">
        <w:rPr>
          <w:rFonts w:eastAsia="Calibri" w:cs="Arial"/>
          <w:b/>
          <w:i/>
          <w:lang w:bidi="ar-SA"/>
        </w:rPr>
        <w:t xml:space="preserve"> </w:t>
      </w:r>
      <w:r w:rsidR="00107AEF" w:rsidRPr="00695EC0">
        <w:rPr>
          <w:rFonts w:eastAsia="Calibri" w:cs="Arial"/>
          <w:i/>
          <w:lang w:bidi="ar-SA"/>
        </w:rPr>
        <w:t>Crocodile Meat for Human Consumption</w:t>
      </w:r>
      <w:r w:rsidR="00107AEF">
        <w:rPr>
          <w:rFonts w:eastAsia="Calibri" w:cs="Arial"/>
          <w:lang w:bidi="ar-SA"/>
        </w:rPr>
        <w:t xml:space="preserve">. </w:t>
      </w:r>
      <w:r w:rsidR="00107AEF">
        <w:rPr>
          <w:rFonts w:eastAsia="Calibri" w:cs="Arial"/>
          <w:i/>
          <w:lang w:bidi="ar-SA"/>
        </w:rPr>
        <w:t xml:space="preserve"> </w:t>
      </w:r>
      <w:r w:rsidR="003353D3" w:rsidRPr="00B574E7">
        <w:rPr>
          <w:rFonts w:cs="Arial"/>
          <w:szCs w:val="22"/>
        </w:rPr>
        <w:t>FSANZ acknowledge</w:t>
      </w:r>
      <w:r w:rsidR="003353D3">
        <w:rPr>
          <w:rFonts w:cs="Arial"/>
          <w:szCs w:val="22"/>
        </w:rPr>
        <w:t>s</w:t>
      </w:r>
      <w:r w:rsidR="003353D3" w:rsidRPr="00B574E7">
        <w:rPr>
          <w:rFonts w:cs="Arial"/>
          <w:szCs w:val="22"/>
        </w:rPr>
        <w:t xml:space="preserve"> the role the Australian Standards for processing have played in ensuring </w:t>
      </w:r>
      <w:r w:rsidR="003353D3">
        <w:rPr>
          <w:rFonts w:cs="Arial"/>
          <w:szCs w:val="22"/>
        </w:rPr>
        <w:t>the safety of meat in Australia. Consequently</w:t>
      </w:r>
      <w:r w:rsidR="00CE1F2E">
        <w:rPr>
          <w:rFonts w:cs="Arial"/>
          <w:szCs w:val="22"/>
        </w:rPr>
        <w:t>,</w:t>
      </w:r>
      <w:r w:rsidR="003353D3">
        <w:rPr>
          <w:rFonts w:cs="Arial"/>
          <w:szCs w:val="22"/>
        </w:rPr>
        <w:t xml:space="preserve"> </w:t>
      </w:r>
      <w:r w:rsidR="003353D3" w:rsidRPr="00B574E7">
        <w:rPr>
          <w:rFonts w:cs="Arial"/>
          <w:szCs w:val="22"/>
        </w:rPr>
        <w:t>the</w:t>
      </w:r>
      <w:r w:rsidR="003353D3" w:rsidRPr="00B574E7">
        <w:rPr>
          <w:rFonts w:cs="Arial"/>
          <w:bCs/>
          <w:iCs/>
          <w:szCs w:val="22"/>
        </w:rPr>
        <w:t xml:space="preserve"> food safety elements in the Australian Standards do not need to be </w:t>
      </w:r>
      <w:r w:rsidR="003353D3">
        <w:rPr>
          <w:bCs/>
          <w:iCs/>
          <w:szCs w:val="22"/>
        </w:rPr>
        <w:t xml:space="preserve">duplicated or incorporated into Standard 4.2.3 as </w:t>
      </w:r>
      <w:r w:rsidR="004F5CDC">
        <w:rPr>
          <w:bCs/>
          <w:iCs/>
          <w:szCs w:val="22"/>
        </w:rPr>
        <w:t>the standards</w:t>
      </w:r>
      <w:r w:rsidR="003353D3">
        <w:rPr>
          <w:rFonts w:cs="Arial"/>
          <w:bCs/>
          <w:iCs/>
          <w:szCs w:val="22"/>
        </w:rPr>
        <w:t xml:space="preserve"> (including the</w:t>
      </w:r>
      <w:r w:rsidR="004F5CDC">
        <w:rPr>
          <w:rFonts w:cs="Arial"/>
          <w:bCs/>
          <w:iCs/>
          <w:szCs w:val="22"/>
        </w:rPr>
        <w:t>ir</w:t>
      </w:r>
      <w:r w:rsidR="003353D3">
        <w:rPr>
          <w:rFonts w:cs="Arial"/>
          <w:bCs/>
          <w:iCs/>
          <w:szCs w:val="22"/>
        </w:rPr>
        <w:t xml:space="preserve"> animal welfare provisions) </w:t>
      </w:r>
      <w:r w:rsidR="003353D3" w:rsidRPr="00B574E7">
        <w:rPr>
          <w:rFonts w:cs="Arial"/>
          <w:bCs/>
          <w:iCs/>
          <w:szCs w:val="22"/>
        </w:rPr>
        <w:t xml:space="preserve">will be retained </w:t>
      </w:r>
      <w:r w:rsidR="008C3722">
        <w:rPr>
          <w:rFonts w:cs="Arial"/>
          <w:bCs/>
          <w:iCs/>
          <w:szCs w:val="22"/>
        </w:rPr>
        <w:t xml:space="preserve">and applied </w:t>
      </w:r>
      <w:r w:rsidR="003353D3" w:rsidRPr="00B574E7">
        <w:rPr>
          <w:rFonts w:cs="Arial"/>
          <w:bCs/>
          <w:iCs/>
          <w:szCs w:val="22"/>
        </w:rPr>
        <w:t xml:space="preserve">under </w:t>
      </w:r>
      <w:r w:rsidR="003353D3">
        <w:rPr>
          <w:rFonts w:cs="Arial"/>
          <w:bCs/>
          <w:iCs/>
          <w:szCs w:val="22"/>
        </w:rPr>
        <w:t>s</w:t>
      </w:r>
      <w:r w:rsidR="003353D3" w:rsidRPr="00B574E7">
        <w:rPr>
          <w:rFonts w:cs="Arial"/>
          <w:bCs/>
          <w:iCs/>
          <w:szCs w:val="22"/>
        </w:rPr>
        <w:t xml:space="preserve">tate and </w:t>
      </w:r>
      <w:r w:rsidR="003353D3">
        <w:rPr>
          <w:rFonts w:cs="Arial"/>
          <w:bCs/>
          <w:iCs/>
          <w:szCs w:val="22"/>
        </w:rPr>
        <w:t>t</w:t>
      </w:r>
      <w:r w:rsidR="003353D3" w:rsidRPr="00B574E7">
        <w:rPr>
          <w:rFonts w:cs="Arial"/>
          <w:bCs/>
          <w:iCs/>
          <w:szCs w:val="22"/>
        </w:rPr>
        <w:t>erritory legislation.</w:t>
      </w:r>
    </w:p>
    <w:p w:rsidR="00746E8D" w:rsidRPr="00746E8D" w:rsidRDefault="00746E8D" w:rsidP="00746E8D"/>
    <w:p w:rsidR="0011694E" w:rsidRDefault="002B38BA" w:rsidP="003353D3">
      <w:r>
        <w:t>The draft variation to Standard 4.2.3 provides food safety regulators with the legislative power to investigate throughout the entire meat supply chain, should a food safety incident arise</w:t>
      </w:r>
      <w:r w:rsidR="00E21323">
        <w:t>.</w:t>
      </w:r>
      <w:r w:rsidR="0011694E">
        <w:t xml:space="preserve"> </w:t>
      </w:r>
    </w:p>
    <w:p w:rsidR="000759E2" w:rsidRDefault="002C1A3B" w:rsidP="004D5759">
      <w:pPr>
        <w:pStyle w:val="Heading2"/>
      </w:pPr>
      <w:bookmarkStart w:id="55" w:name="_Toc309291814"/>
      <w:bookmarkStart w:id="56" w:name="_Toc370225389"/>
      <w:bookmarkStart w:id="57" w:name="_Toc387850956"/>
      <w:bookmarkStart w:id="58" w:name="_Toc286391012"/>
      <w:bookmarkEnd w:id="54"/>
      <w:r>
        <w:t>2</w:t>
      </w:r>
      <w:r w:rsidRPr="008C301D">
        <w:t>.</w:t>
      </w:r>
      <w:r>
        <w:t>4</w:t>
      </w:r>
      <w:r w:rsidRPr="008C301D">
        <w:tab/>
        <w:t>Risk communication</w:t>
      </w:r>
      <w:bookmarkEnd w:id="55"/>
      <w:bookmarkEnd w:id="56"/>
      <w:bookmarkEnd w:id="57"/>
    </w:p>
    <w:p w:rsidR="000759E2" w:rsidRPr="00883FA4" w:rsidRDefault="000759E2" w:rsidP="001024E4">
      <w:bookmarkStart w:id="59" w:name="_Toc11735640"/>
      <w:bookmarkStart w:id="60" w:name="_Toc29883125"/>
      <w:bookmarkStart w:id="61" w:name="_Toc41906812"/>
      <w:bookmarkStart w:id="62" w:name="_Toc41907559"/>
      <w:bookmarkStart w:id="63" w:name="_Toc120358593"/>
      <w:bookmarkStart w:id="64" w:name="_Toc175381452"/>
      <w:r w:rsidRPr="000759E2">
        <w:rPr>
          <w:lang w:val="en-AU"/>
        </w:rPr>
        <w:t xml:space="preserve">FSANZ developed and applied a basic communication strategy to this Application. </w:t>
      </w:r>
      <w:r>
        <w:rPr>
          <w:lang w:val="en-AU"/>
        </w:rPr>
        <w:t>All calls for submissions are</w:t>
      </w:r>
      <w:r w:rsidRPr="000759E2">
        <w:rPr>
          <w:lang w:val="en-AU"/>
        </w:rPr>
        <w:t xml:space="preserve"> notified </w:t>
      </w:r>
      <w:r>
        <w:rPr>
          <w:lang w:val="en-AU"/>
        </w:rPr>
        <w:t>through</w:t>
      </w:r>
      <w:r w:rsidRPr="000759E2">
        <w:rPr>
          <w:lang w:val="en-AU"/>
        </w:rPr>
        <w:t xml:space="preserve"> the FSANZ Notification Circular, media release and through FSANZ’s social media tools and the Food Standards News</w:t>
      </w:r>
      <w:r w:rsidRPr="00883FA4">
        <w:t xml:space="preserve">. </w:t>
      </w:r>
    </w:p>
    <w:p w:rsidR="00883FA4" w:rsidRDefault="00883FA4" w:rsidP="00883FA4"/>
    <w:p w:rsidR="000759E2" w:rsidRDefault="000759E2" w:rsidP="000759E2">
      <w:pPr>
        <w:rPr>
          <w:color w:val="000000" w:themeColor="text1"/>
        </w:rPr>
      </w:pPr>
      <w:r w:rsidRPr="0049224C">
        <w:rPr>
          <w:color w:val="000000" w:themeColor="text1"/>
        </w:rPr>
        <w:t>The process by which FSANZ considers standard development matters is open, accountable, consultative and tran</w:t>
      </w:r>
      <w:r>
        <w:rPr>
          <w:color w:val="000000" w:themeColor="text1"/>
        </w:rPr>
        <w:t xml:space="preserve">sparent. Public submissions </w:t>
      </w:r>
      <w:r w:rsidR="00883FA4">
        <w:rPr>
          <w:color w:val="000000" w:themeColor="text1"/>
        </w:rPr>
        <w:t xml:space="preserve">are </w:t>
      </w:r>
      <w:r w:rsidRPr="0049224C">
        <w:rPr>
          <w:color w:val="000000" w:themeColor="text1"/>
        </w:rPr>
        <w:t xml:space="preserve">called to obtain the views of interested parties on issues raised by the </w:t>
      </w:r>
      <w:r w:rsidR="00883FA4">
        <w:rPr>
          <w:color w:val="000000" w:themeColor="text1"/>
        </w:rPr>
        <w:t>proposal</w:t>
      </w:r>
      <w:r w:rsidR="00883FA4" w:rsidRPr="0049224C">
        <w:rPr>
          <w:color w:val="000000" w:themeColor="text1"/>
        </w:rPr>
        <w:t xml:space="preserve"> </w:t>
      </w:r>
      <w:r w:rsidRPr="0049224C">
        <w:rPr>
          <w:color w:val="000000" w:themeColor="text1"/>
        </w:rPr>
        <w:t xml:space="preserve">and the impacts of </w:t>
      </w:r>
      <w:r w:rsidR="00883FA4">
        <w:rPr>
          <w:color w:val="000000" w:themeColor="text1"/>
        </w:rPr>
        <w:t xml:space="preserve">proposed </w:t>
      </w:r>
      <w:r w:rsidRPr="0049224C">
        <w:rPr>
          <w:color w:val="000000" w:themeColor="text1"/>
        </w:rPr>
        <w:t>options.</w:t>
      </w:r>
    </w:p>
    <w:p w:rsidR="002C1A3B" w:rsidRPr="001A391B" w:rsidRDefault="002C1A3B" w:rsidP="001024E4">
      <w:pPr>
        <w:pStyle w:val="Heading3"/>
      </w:pPr>
      <w:bookmarkStart w:id="65" w:name="_Toc300933437"/>
      <w:bookmarkStart w:id="66" w:name="_Toc370223475"/>
      <w:bookmarkStart w:id="67" w:name="_Toc370225390"/>
      <w:bookmarkStart w:id="68" w:name="_Toc387850957"/>
      <w:bookmarkEnd w:id="59"/>
      <w:bookmarkEnd w:id="60"/>
      <w:bookmarkEnd w:id="61"/>
      <w:bookmarkEnd w:id="62"/>
      <w:bookmarkEnd w:id="63"/>
      <w:bookmarkEnd w:id="64"/>
      <w:r w:rsidRPr="001A391B">
        <w:t>2.4.1</w:t>
      </w:r>
      <w:r w:rsidRPr="001A391B">
        <w:tab/>
        <w:t>Consultation</w:t>
      </w:r>
      <w:bookmarkEnd w:id="65"/>
      <w:bookmarkEnd w:id="66"/>
      <w:bookmarkEnd w:id="67"/>
      <w:bookmarkEnd w:id="68"/>
    </w:p>
    <w:p w:rsidR="009425FE" w:rsidRDefault="002C1A3B" w:rsidP="005A4D08">
      <w:pPr>
        <w:rPr>
          <w:rFonts w:cs="Arial"/>
          <w:lang w:eastAsia="en-GB"/>
        </w:rPr>
      </w:pPr>
      <w:r w:rsidRPr="001A391B">
        <w:rPr>
          <w:szCs w:val="22"/>
        </w:rPr>
        <w:t xml:space="preserve">Consultation is a key part of FSANZ’s standards development process. </w:t>
      </w:r>
      <w:r w:rsidR="005A4D08" w:rsidRPr="005A4D08">
        <w:rPr>
          <w:rFonts w:cs="Arial"/>
          <w:lang w:eastAsia="en-GB"/>
        </w:rPr>
        <w:t xml:space="preserve">The FSANZ process has been consultative and transparent, and sought to engage with the industry </w:t>
      </w:r>
      <w:r w:rsidR="00BF7AD7">
        <w:rPr>
          <w:rFonts w:cs="Arial"/>
          <w:lang w:eastAsia="en-GB"/>
        </w:rPr>
        <w:t xml:space="preserve">sectors </w:t>
      </w:r>
      <w:r w:rsidR="005A4D08" w:rsidRPr="005A4D08">
        <w:rPr>
          <w:rFonts w:cs="Arial"/>
          <w:lang w:eastAsia="en-GB"/>
        </w:rPr>
        <w:t xml:space="preserve">concerned, state and territory government agencies and consumers from the commencement of this Proposal. </w:t>
      </w:r>
    </w:p>
    <w:p w:rsidR="009425FE" w:rsidRDefault="009425FE" w:rsidP="005A4D08">
      <w:pPr>
        <w:rPr>
          <w:rFonts w:cs="Arial"/>
          <w:lang w:eastAsia="en-GB"/>
        </w:rPr>
      </w:pPr>
    </w:p>
    <w:p w:rsidR="005A4D08" w:rsidRPr="005A4D08" w:rsidRDefault="005A4D08" w:rsidP="005A4D08">
      <w:pPr>
        <w:rPr>
          <w:rFonts w:eastAsia="Calibri"/>
          <w:szCs w:val="22"/>
          <w:lang w:eastAsia="en-GB" w:bidi="ar-SA"/>
        </w:rPr>
      </w:pPr>
      <w:r w:rsidRPr="005A4D08">
        <w:rPr>
          <w:rFonts w:cs="Arial"/>
          <w:lang w:eastAsia="en-GB"/>
        </w:rPr>
        <w:t>FSANZ u</w:t>
      </w:r>
      <w:r w:rsidR="009425FE">
        <w:rPr>
          <w:rFonts w:cs="Arial"/>
          <w:lang w:eastAsia="en-GB"/>
        </w:rPr>
        <w:t>sed p</w:t>
      </w:r>
      <w:r w:rsidRPr="005A4D08">
        <w:rPr>
          <w:rFonts w:cs="Arial"/>
          <w:lang w:eastAsia="en-GB"/>
        </w:rPr>
        <w:t>ublic and targeted consultation throughout the development of the variation to Standard</w:t>
      </w:r>
      <w:r w:rsidR="00C33D3C">
        <w:rPr>
          <w:rFonts w:cs="Arial"/>
          <w:lang w:eastAsia="en-GB"/>
        </w:rPr>
        <w:t xml:space="preserve">s 1.6.2 and </w:t>
      </w:r>
      <w:r w:rsidRPr="005A4D08">
        <w:rPr>
          <w:rFonts w:cs="Arial"/>
          <w:lang w:eastAsia="en-GB"/>
        </w:rPr>
        <w:t xml:space="preserve">4.2.3 to identify and understand </w:t>
      </w:r>
      <w:r w:rsidRPr="005A4D08">
        <w:rPr>
          <w:rFonts w:eastAsia="Calibri"/>
          <w:szCs w:val="22"/>
          <w:lang w:eastAsia="en-GB" w:bidi="ar-SA"/>
        </w:rPr>
        <w:t xml:space="preserve">potential problems and in developing better regulation. </w:t>
      </w:r>
    </w:p>
    <w:p w:rsidR="002C1A3B" w:rsidRPr="001A391B" w:rsidRDefault="002C1A3B" w:rsidP="002C1A3B"/>
    <w:p w:rsidR="001A391B" w:rsidRPr="001A391B" w:rsidRDefault="002C1A3B" w:rsidP="001A391B">
      <w:r w:rsidRPr="001A391B">
        <w:rPr>
          <w:szCs w:val="22"/>
        </w:rPr>
        <w:t xml:space="preserve">FSANZ acknowledges the time taken by individuals and organisations to make submissions on this Proposal. </w:t>
      </w:r>
      <w:r w:rsidR="001A391B" w:rsidRPr="001A391B">
        <w:t>The</w:t>
      </w:r>
      <w:r w:rsidR="00883FA4">
        <w:t xml:space="preserve"> </w:t>
      </w:r>
      <w:r w:rsidR="001A391B" w:rsidRPr="001A391B">
        <w:t xml:space="preserve">call for submissions </w:t>
      </w:r>
      <w:r w:rsidR="00883FA4">
        <w:t xml:space="preserve">on a draft variation to the Code </w:t>
      </w:r>
      <w:r w:rsidR="001A391B" w:rsidRPr="001A391B">
        <w:t xml:space="preserve">was from 8 October 2013 to 3 December 2013 and </w:t>
      </w:r>
      <w:r w:rsidR="00883FA4">
        <w:t>11</w:t>
      </w:r>
      <w:r w:rsidR="00883FA4" w:rsidRPr="001A391B">
        <w:t xml:space="preserve"> </w:t>
      </w:r>
      <w:r w:rsidR="001A391B" w:rsidRPr="001A391B">
        <w:t xml:space="preserve">submissions were received. </w:t>
      </w:r>
      <w:r w:rsidR="00883FA4" w:rsidRPr="002C1A3B">
        <w:rPr>
          <w:szCs w:val="22"/>
        </w:rPr>
        <w:t xml:space="preserve">Every submission </w:t>
      </w:r>
      <w:r w:rsidR="00883FA4">
        <w:rPr>
          <w:szCs w:val="22"/>
        </w:rPr>
        <w:t>was considered</w:t>
      </w:r>
      <w:r w:rsidR="00883FA4" w:rsidRPr="002C1A3B">
        <w:rPr>
          <w:szCs w:val="22"/>
        </w:rPr>
        <w:t xml:space="preserve"> by </w:t>
      </w:r>
      <w:r w:rsidR="00883FA4">
        <w:rPr>
          <w:szCs w:val="22"/>
        </w:rPr>
        <w:t xml:space="preserve">the </w:t>
      </w:r>
      <w:r w:rsidR="00883FA4" w:rsidRPr="002C1A3B">
        <w:rPr>
          <w:szCs w:val="22"/>
        </w:rPr>
        <w:t xml:space="preserve">FSANZ </w:t>
      </w:r>
      <w:r w:rsidR="00883FA4">
        <w:rPr>
          <w:szCs w:val="22"/>
        </w:rPr>
        <w:t>Board</w:t>
      </w:r>
      <w:r w:rsidR="00883FA4" w:rsidRPr="002C1A3B">
        <w:rPr>
          <w:szCs w:val="22"/>
        </w:rPr>
        <w:t xml:space="preserve">. </w:t>
      </w:r>
      <w:r w:rsidR="00883FA4">
        <w:rPr>
          <w:szCs w:val="22"/>
        </w:rPr>
        <w:t>A</w:t>
      </w:r>
      <w:r w:rsidR="00883FA4" w:rsidRPr="002C1A3B">
        <w:rPr>
          <w:szCs w:val="22"/>
        </w:rPr>
        <w:t xml:space="preserve">ll comments are valued and contribute to the rigour of our assessment. </w:t>
      </w:r>
      <w:r w:rsidR="001A391B" w:rsidRPr="001A391B">
        <w:rPr>
          <w:szCs w:val="22"/>
        </w:rPr>
        <w:t>Where relevant, the submissions and responses have been discussed in the body of this report and a summary of all the submissions and the response to these submissions is provided in Table</w:t>
      </w:r>
      <w:r w:rsidR="001A391B" w:rsidRPr="001A391B">
        <w:t xml:space="preserve"> 1. </w:t>
      </w:r>
    </w:p>
    <w:p w:rsidR="001A391B" w:rsidRPr="001A391B" w:rsidRDefault="001A391B" w:rsidP="002C1A3B">
      <w:pPr>
        <w:rPr>
          <w:szCs w:val="22"/>
        </w:rPr>
      </w:pPr>
    </w:p>
    <w:p w:rsidR="009B6EC2" w:rsidRDefault="00F20D06" w:rsidP="002E2F17">
      <w:pPr>
        <w:ind w:right="-472"/>
      </w:pPr>
      <w:r w:rsidRPr="0028097E">
        <w:t xml:space="preserve">FSANZ </w:t>
      </w:r>
      <w:r w:rsidR="00657459">
        <w:t xml:space="preserve">also </w:t>
      </w:r>
      <w:r>
        <w:t xml:space="preserve">undertook </w:t>
      </w:r>
      <w:r w:rsidRPr="0028097E">
        <w:t xml:space="preserve">a number of industry visits to better understand the current production and processing practices for the animals being assessed and to identify any specific issues with this Proposal particularly for the minor meat species and wild game industries. </w:t>
      </w:r>
    </w:p>
    <w:p w:rsidR="00DC2727" w:rsidRDefault="00DC2727" w:rsidP="002C1A3B">
      <w:pPr>
        <w:rPr>
          <w:szCs w:val="22"/>
        </w:rPr>
      </w:pPr>
      <w:r>
        <w:rPr>
          <w:szCs w:val="22"/>
        </w:rPr>
        <w:br w:type="page"/>
      </w:r>
    </w:p>
    <w:p w:rsidR="00922754" w:rsidRDefault="002C1A3B" w:rsidP="002C1A3B">
      <w:pPr>
        <w:rPr>
          <w:rFonts w:eastAsia="Calibri"/>
        </w:rPr>
      </w:pPr>
      <w:r w:rsidRPr="00922754">
        <w:rPr>
          <w:szCs w:val="22"/>
        </w:rPr>
        <w:lastRenderedPageBreak/>
        <w:t xml:space="preserve">FSANZ also acknowledges the expertise of members of the </w:t>
      </w:r>
      <w:r w:rsidR="00922754" w:rsidRPr="00922754">
        <w:rPr>
          <w:rFonts w:eastAsia="Calibri"/>
        </w:rPr>
        <w:t xml:space="preserve">Meat Standard </w:t>
      </w:r>
      <w:r w:rsidR="00922754" w:rsidRPr="00B53BAE">
        <w:rPr>
          <w:rFonts w:eastAsia="Calibri"/>
        </w:rPr>
        <w:t>Development Committee and the Minor Meat Species and Wild Game Working Group</w:t>
      </w:r>
      <w:r w:rsidR="00922754">
        <w:rPr>
          <w:rFonts w:eastAsia="Calibri"/>
        </w:rPr>
        <w:t>.</w:t>
      </w:r>
    </w:p>
    <w:p w:rsidR="002C1A3B" w:rsidRPr="002C1A3B" w:rsidRDefault="002C1A3B" w:rsidP="002C1A3B">
      <w:pPr>
        <w:pStyle w:val="Heading2"/>
      </w:pPr>
      <w:bookmarkStart w:id="69" w:name="_Toc370223477"/>
      <w:bookmarkStart w:id="70" w:name="_Toc370225392"/>
      <w:bookmarkStart w:id="71" w:name="_Toc387850958"/>
      <w:bookmarkStart w:id="72" w:name="_Toc309291816"/>
      <w:bookmarkStart w:id="73" w:name="_Toc300933448"/>
      <w:bookmarkStart w:id="74" w:name="_Toc300933577"/>
      <w:bookmarkStart w:id="75" w:name="_Toc301535601"/>
      <w:bookmarkStart w:id="76" w:name="_Toc309385464"/>
      <w:bookmarkStart w:id="77" w:name="_Toc175381456"/>
      <w:bookmarkEnd w:id="30"/>
      <w:bookmarkEnd w:id="31"/>
      <w:bookmarkEnd w:id="32"/>
      <w:bookmarkEnd w:id="33"/>
      <w:bookmarkEnd w:id="34"/>
      <w:bookmarkEnd w:id="35"/>
      <w:bookmarkEnd w:id="58"/>
      <w:r w:rsidRPr="002C1A3B">
        <w:t>2.5</w:t>
      </w:r>
      <w:r w:rsidRPr="002C1A3B">
        <w:tab/>
        <w:t>FSANZ Act assessment requirements</w:t>
      </w:r>
      <w:bookmarkEnd w:id="69"/>
      <w:bookmarkEnd w:id="70"/>
      <w:bookmarkEnd w:id="71"/>
    </w:p>
    <w:p w:rsidR="002C1A3B" w:rsidRPr="00A747E9" w:rsidRDefault="002C1A3B" w:rsidP="002C1A3B">
      <w:pPr>
        <w:pStyle w:val="Heading3"/>
      </w:pPr>
      <w:bookmarkStart w:id="78" w:name="_Toc370223478"/>
      <w:bookmarkStart w:id="79" w:name="_Toc370225393"/>
      <w:bookmarkStart w:id="80" w:name="_Toc387850959"/>
      <w:bookmarkEnd w:id="72"/>
      <w:bookmarkEnd w:id="73"/>
      <w:bookmarkEnd w:id="74"/>
      <w:bookmarkEnd w:id="75"/>
      <w:bookmarkEnd w:id="76"/>
      <w:r w:rsidRPr="002C1A3B">
        <w:t>2.5.1</w:t>
      </w:r>
      <w:r w:rsidRPr="002C1A3B">
        <w:tab/>
        <w:t xml:space="preserve">Section </w:t>
      </w:r>
      <w:r w:rsidRPr="00A747E9">
        <w:t>59</w:t>
      </w:r>
      <w:bookmarkEnd w:id="78"/>
      <w:bookmarkEnd w:id="79"/>
      <w:bookmarkEnd w:id="80"/>
    </w:p>
    <w:p w:rsidR="002C1A3B" w:rsidRPr="002C1A3B" w:rsidRDefault="002C1A3B" w:rsidP="002C1A3B">
      <w:pPr>
        <w:pStyle w:val="Heading4"/>
      </w:pPr>
      <w:r w:rsidRPr="002C1A3B">
        <w:t>2.5.1.1</w:t>
      </w:r>
      <w:r w:rsidRPr="002C1A3B">
        <w:tab/>
        <w:t>Cost benefit analysis</w:t>
      </w:r>
    </w:p>
    <w:p w:rsidR="002D7AEA" w:rsidRPr="006146B9" w:rsidRDefault="002D7AEA" w:rsidP="002D7AEA">
      <w:r w:rsidRPr="00F1477A">
        <w:rPr>
          <w:lang w:val="en-AU"/>
        </w:rPr>
        <w:t>Th</w:t>
      </w:r>
      <w:r>
        <w:rPr>
          <w:lang w:val="en-AU"/>
        </w:rPr>
        <w:t>e</w:t>
      </w:r>
      <w:r w:rsidRPr="00F1477A">
        <w:rPr>
          <w:lang w:val="en-AU"/>
        </w:rPr>
        <w:t xml:space="preserve"> RIS examines </w:t>
      </w:r>
      <w:r w:rsidRPr="00F1477A">
        <w:t xml:space="preserve">the </w:t>
      </w:r>
      <w:r w:rsidR="00FF4908">
        <w:t>effects</w:t>
      </w:r>
      <w:r w:rsidR="00FF4908" w:rsidRPr="00F1477A">
        <w:t xml:space="preserve"> </w:t>
      </w:r>
      <w:r w:rsidRPr="00F1477A">
        <w:t>of amending Standard 4.2.3 to include primary</w:t>
      </w:r>
      <w:r w:rsidRPr="00F1477A">
        <w:rPr>
          <w:rFonts w:cs="Arial"/>
        </w:rPr>
        <w:t xml:space="preserve"> production requirements for traceability, inputs and management of waste for the major and minor meat species e.g. cattle, sheep, goats, pigs, buffalo, camels, alpacas, llamas, deer, horses, donkeys, rabbits, crocodiles, ostrich and emu</w:t>
      </w:r>
      <w:r w:rsidRPr="00271736">
        <w:rPr>
          <w:rFonts w:cs="Arial"/>
        </w:rPr>
        <w:t xml:space="preserve">. </w:t>
      </w:r>
    </w:p>
    <w:p w:rsidR="000000F9" w:rsidRDefault="000000F9" w:rsidP="000000F9"/>
    <w:p w:rsidR="000000F9" w:rsidRDefault="000000F9" w:rsidP="000000F9">
      <w:r>
        <w:t xml:space="preserve">Currently, food-specific regulatory powers in the meat sector are limited to processing environments only. The draft variation to Standard 4.2.3 enables food safety regulators to investigate through the entire meat supply chain, should a </w:t>
      </w:r>
      <w:r w:rsidR="003162A6">
        <w:t xml:space="preserve">potential </w:t>
      </w:r>
      <w:r>
        <w:t>food safety incident arise. S</w:t>
      </w:r>
      <w:r w:rsidR="003162A6">
        <w:t>ta</w:t>
      </w:r>
      <w:r w:rsidR="00040D56">
        <w:t>t</w:t>
      </w:r>
      <w:r>
        <w:t>e and territory legislation includes offences related to failure to comply with a requirement of the Code. The inclusion of these requirements provides a basis for appropriate enforcement action that is currently unavailable</w:t>
      </w:r>
      <w:r w:rsidR="003162A6">
        <w:t xml:space="preserve"> without recourse to the use of Food Act emergency powers</w:t>
      </w:r>
      <w:r>
        <w:t xml:space="preserve">. </w:t>
      </w:r>
    </w:p>
    <w:p w:rsidR="002D7AEA" w:rsidRPr="00F1477A" w:rsidRDefault="002D7AEA" w:rsidP="002D7AEA">
      <w:pPr>
        <w:rPr>
          <w:lang w:val="en-AU"/>
        </w:rPr>
      </w:pPr>
    </w:p>
    <w:p w:rsidR="002D7AEA" w:rsidRDefault="002D7AEA" w:rsidP="002D7AEA">
      <w:pPr>
        <w:rPr>
          <w:lang w:val="en-AU"/>
        </w:rPr>
      </w:pPr>
      <w:r w:rsidRPr="00F1477A">
        <w:rPr>
          <w:lang w:val="en-AU"/>
        </w:rPr>
        <w:t>Considerable consultation with key stakeholders on these options has been undertaken by FSANZ</w:t>
      </w:r>
      <w:r w:rsidR="00FF4908">
        <w:rPr>
          <w:lang w:val="en-AU"/>
        </w:rPr>
        <w:t xml:space="preserve">. Formal submissions were received addressing the RIS and direct </w:t>
      </w:r>
      <w:r w:rsidRPr="00F1477A">
        <w:rPr>
          <w:lang w:val="en-AU"/>
        </w:rPr>
        <w:t xml:space="preserve">consultation </w:t>
      </w:r>
      <w:r w:rsidR="00FF4908">
        <w:rPr>
          <w:lang w:val="en-AU"/>
        </w:rPr>
        <w:t xml:space="preserve">was undertaken </w:t>
      </w:r>
      <w:r w:rsidRPr="00F1477A">
        <w:rPr>
          <w:lang w:val="en-AU"/>
        </w:rPr>
        <w:t>with industry, state and territory regulatory agencies</w:t>
      </w:r>
      <w:r w:rsidR="00FF4908">
        <w:rPr>
          <w:lang w:val="en-AU"/>
        </w:rPr>
        <w:t xml:space="preserve"> and </w:t>
      </w:r>
      <w:r w:rsidRPr="00F1477A">
        <w:rPr>
          <w:lang w:val="en-AU"/>
        </w:rPr>
        <w:t>the Department of Agriculture. No alternative options were identified. The results of these consultations are reflected in th</w:t>
      </w:r>
      <w:r>
        <w:rPr>
          <w:lang w:val="en-AU"/>
        </w:rPr>
        <w:t>e</w:t>
      </w:r>
      <w:r w:rsidRPr="00F1477A">
        <w:rPr>
          <w:lang w:val="en-AU"/>
        </w:rPr>
        <w:t xml:space="preserve"> Decision RIS</w:t>
      </w:r>
      <w:r>
        <w:rPr>
          <w:lang w:val="en-AU"/>
        </w:rPr>
        <w:t xml:space="preserve"> (Attachment </w:t>
      </w:r>
      <w:r w:rsidR="00CB56E8">
        <w:rPr>
          <w:lang w:val="en-AU"/>
        </w:rPr>
        <w:t>D</w:t>
      </w:r>
      <w:r>
        <w:rPr>
          <w:lang w:val="en-AU"/>
        </w:rPr>
        <w:t>)</w:t>
      </w:r>
      <w:r w:rsidRPr="00F1477A">
        <w:rPr>
          <w:lang w:val="en-AU"/>
        </w:rPr>
        <w:t>.</w:t>
      </w:r>
    </w:p>
    <w:p w:rsidR="002D7AEA" w:rsidRPr="00F1477A" w:rsidRDefault="002D7AEA" w:rsidP="002D7AEA">
      <w:pPr>
        <w:rPr>
          <w:lang w:val="en-AU"/>
        </w:rPr>
      </w:pPr>
    </w:p>
    <w:p w:rsidR="002D7AEA" w:rsidRDefault="002D7AEA" w:rsidP="002D7AEA">
      <w:r w:rsidRPr="00F1477A">
        <w:rPr>
          <w:rFonts w:cs="Arial"/>
        </w:rPr>
        <w:t xml:space="preserve">While providing qualitative information, submissions provided little by way of empirical evidence on the </w:t>
      </w:r>
      <w:r w:rsidR="0057253B">
        <w:rPr>
          <w:rFonts w:cs="Arial"/>
        </w:rPr>
        <w:t>impact</w:t>
      </w:r>
      <w:r w:rsidRPr="00F1477A">
        <w:rPr>
          <w:rFonts w:cs="Arial"/>
        </w:rPr>
        <w:t xml:space="preserve"> of the variation to Standard 4.2.3. </w:t>
      </w:r>
      <w:r w:rsidRPr="00F1477A">
        <w:t>Due to this, and the inherent limitations of data and difficulties in quantifying the specific costs and benefits of the proposed standard, the</w:t>
      </w:r>
      <w:r w:rsidR="00865C33">
        <w:t xml:space="preserve"> specific</w:t>
      </w:r>
      <w:r w:rsidRPr="00F1477A">
        <w:t xml:space="preserve"> overall impact of the variation to Standard</w:t>
      </w:r>
      <w:r w:rsidR="00C33D3C">
        <w:t xml:space="preserve"> </w:t>
      </w:r>
      <w:r w:rsidR="003D029A">
        <w:t>4.2.3 has not been quantified.</w:t>
      </w:r>
    </w:p>
    <w:p w:rsidR="002D7AEA" w:rsidRDefault="002D7AEA" w:rsidP="002D7AEA"/>
    <w:p w:rsidR="00650056" w:rsidRDefault="006A520B" w:rsidP="00650056">
      <w:pPr>
        <w:rPr>
          <w:rFonts w:cs="Arial"/>
        </w:rPr>
      </w:pPr>
      <w:r>
        <w:rPr>
          <w:rFonts w:cs="Arial"/>
        </w:rPr>
        <w:t>However, i</w:t>
      </w:r>
      <w:r w:rsidR="00650056" w:rsidRPr="00650056">
        <w:rPr>
          <w:rFonts w:cs="Arial"/>
        </w:rPr>
        <w:t xml:space="preserve">t has been concluded that on the balance of probabilities a net benefit most likely exists in proceeding with </w:t>
      </w:r>
      <w:r w:rsidR="00650056">
        <w:rPr>
          <w:rFonts w:cs="Arial"/>
        </w:rPr>
        <w:t>the draft variation. T</w:t>
      </w:r>
      <w:r w:rsidR="00650056" w:rsidRPr="00650056">
        <w:rPr>
          <w:rFonts w:cs="Arial"/>
        </w:rPr>
        <w:t>his conclusion has principally been reached as a result of the fact that no or little cost will be incurred by industry as a result of this legislative change.  This is because virtually all industry members are already in compliance with industry schemes which means they will already be in compliance wi</w:t>
      </w:r>
      <w:r w:rsidR="007740FB">
        <w:rPr>
          <w:rFonts w:cs="Arial"/>
        </w:rPr>
        <w:t>th the proposed new regulation.</w:t>
      </w:r>
      <w:r w:rsidR="00650056" w:rsidRPr="00650056">
        <w:rPr>
          <w:rFonts w:cs="Arial"/>
        </w:rPr>
        <w:t xml:space="preserve"> However, the standard will provide regulators with a clearer and less qualified legislative basis to mitigate risks or more quickly manage </w:t>
      </w:r>
      <w:r w:rsidR="003162A6">
        <w:rPr>
          <w:rFonts w:cs="Arial"/>
        </w:rPr>
        <w:t xml:space="preserve">food safety </w:t>
      </w:r>
      <w:r w:rsidR="00650056" w:rsidRPr="00650056">
        <w:rPr>
          <w:rFonts w:cs="Arial"/>
        </w:rPr>
        <w:t>incidents on a needs basis potentially avoiding significant costs for consumers and industry.  It may also allow more targeted regulatory action to be taken in some instances that will be less costly to industry.</w:t>
      </w:r>
      <w:r w:rsidR="00650056">
        <w:rPr>
          <w:rFonts w:cs="Arial"/>
        </w:rPr>
        <w:t xml:space="preserve"> </w:t>
      </w:r>
    </w:p>
    <w:p w:rsidR="00650056" w:rsidRDefault="00650056" w:rsidP="00650056">
      <w:pPr>
        <w:rPr>
          <w:szCs w:val="22"/>
        </w:rPr>
      </w:pPr>
    </w:p>
    <w:p w:rsidR="00DC2727" w:rsidRDefault="00650056" w:rsidP="00650056">
      <w:pPr>
        <w:rPr>
          <w:rFonts w:cs="Arial"/>
        </w:rPr>
      </w:pPr>
      <w:r>
        <w:rPr>
          <w:rFonts w:cs="Arial"/>
        </w:rPr>
        <w:t xml:space="preserve">The current set of regulatory and voluntary measures largely serve to manage risks well, however </w:t>
      </w:r>
      <w:r w:rsidR="00DF085D">
        <w:rPr>
          <w:rFonts w:cs="Arial"/>
        </w:rPr>
        <w:t>present legislation may cause a</w:t>
      </w:r>
      <w:r>
        <w:rPr>
          <w:rFonts w:cs="Arial"/>
        </w:rPr>
        <w:t xml:space="preserve"> ‘timing gap’ which </w:t>
      </w:r>
      <w:r w:rsidR="00DF085D">
        <w:rPr>
          <w:rFonts w:cs="Arial"/>
        </w:rPr>
        <w:t xml:space="preserve">could </w:t>
      </w:r>
      <w:r>
        <w:rPr>
          <w:rFonts w:cs="Arial"/>
        </w:rPr>
        <w:t xml:space="preserve">result in food enforcement agencies </w:t>
      </w:r>
      <w:r w:rsidR="00DF085D">
        <w:rPr>
          <w:rFonts w:cs="Arial"/>
        </w:rPr>
        <w:t>delaying</w:t>
      </w:r>
      <w:r>
        <w:rPr>
          <w:rFonts w:cs="Arial"/>
        </w:rPr>
        <w:t xml:space="preserve"> go</w:t>
      </w:r>
      <w:r w:rsidR="00DF085D">
        <w:rPr>
          <w:rFonts w:cs="Arial"/>
        </w:rPr>
        <w:t>ing</w:t>
      </w:r>
      <w:r>
        <w:rPr>
          <w:rFonts w:cs="Arial"/>
        </w:rPr>
        <w:t xml:space="preserve"> on</w:t>
      </w:r>
      <w:r w:rsidR="00271736">
        <w:rPr>
          <w:rFonts w:cs="Arial"/>
        </w:rPr>
        <w:t>-</w:t>
      </w:r>
      <w:r>
        <w:rPr>
          <w:rFonts w:cs="Arial"/>
        </w:rPr>
        <w:t>farm to investigate identified or potential food safety risks</w:t>
      </w:r>
      <w:r w:rsidR="00DF085D">
        <w:rPr>
          <w:rFonts w:cs="Arial"/>
        </w:rPr>
        <w:t xml:space="preserve"> unless</w:t>
      </w:r>
      <w:r>
        <w:rPr>
          <w:rFonts w:cs="Arial"/>
        </w:rPr>
        <w:t xml:space="preserve"> the</w:t>
      </w:r>
      <w:r w:rsidR="00DF085D">
        <w:rPr>
          <w:rFonts w:cs="Arial"/>
        </w:rPr>
        <w:t>y have the</w:t>
      </w:r>
      <w:r>
        <w:rPr>
          <w:rFonts w:cs="Arial"/>
        </w:rPr>
        <w:t xml:space="preserve"> voluntary agreement of producers or the</w:t>
      </w:r>
      <w:r w:rsidR="00DF085D">
        <w:rPr>
          <w:rFonts w:cs="Arial"/>
        </w:rPr>
        <w:t>re is sufficient evidence</w:t>
      </w:r>
      <w:r>
        <w:rPr>
          <w:rFonts w:cs="Arial"/>
        </w:rPr>
        <w:t xml:space="preserve"> to trigger their Food Act emergency powers.</w:t>
      </w:r>
      <w:r w:rsidR="00DF085D">
        <w:rPr>
          <w:rFonts w:cs="Arial"/>
        </w:rPr>
        <w:t xml:space="preserve"> Such a delay could result in more people becoming unnecessarily sick and additional costs to industry.</w:t>
      </w:r>
      <w:r>
        <w:rPr>
          <w:rFonts w:cs="Arial"/>
        </w:rPr>
        <w:t xml:space="preserve"> While Australia has not had a large scale, severe outbreak of meat related </w:t>
      </w:r>
      <w:r w:rsidR="003162A6">
        <w:rPr>
          <w:rFonts w:cs="Arial"/>
        </w:rPr>
        <w:t>foodborne</w:t>
      </w:r>
      <w:r>
        <w:rPr>
          <w:rFonts w:cs="Arial"/>
        </w:rPr>
        <w:t xml:space="preserve"> illness with an on-farm origin in recent times, outbreaks of this kind have been experienced in other western countries and it is important that Australia has the regulatory and other arrangements in place to enable an outbreak to be traced and managed as quickly as possible. </w:t>
      </w:r>
      <w:r w:rsidR="00DC2727">
        <w:rPr>
          <w:rFonts w:cs="Arial"/>
        </w:rPr>
        <w:br w:type="page"/>
      </w:r>
    </w:p>
    <w:p w:rsidR="00650056" w:rsidRDefault="00650056" w:rsidP="00650056">
      <w:pPr>
        <w:rPr>
          <w:rFonts w:cs="Arial"/>
        </w:rPr>
      </w:pPr>
      <w:r>
        <w:rPr>
          <w:rFonts w:cs="Arial"/>
        </w:rPr>
        <w:lastRenderedPageBreak/>
        <w:t>Therefore, i</w:t>
      </w:r>
      <w:r w:rsidRPr="00714F86">
        <w:rPr>
          <w:rFonts w:cs="Arial"/>
        </w:rPr>
        <w:t xml:space="preserve">f a large scale outbreak were to occur, the benefits of this regulation </w:t>
      </w:r>
      <w:r>
        <w:rPr>
          <w:rFonts w:cs="Arial"/>
        </w:rPr>
        <w:t>may</w:t>
      </w:r>
      <w:r w:rsidRPr="00714F86">
        <w:rPr>
          <w:rFonts w:cs="Arial"/>
        </w:rPr>
        <w:t xml:space="preserve"> greatly outweigh the costs</w:t>
      </w:r>
      <w:r w:rsidR="002608FF">
        <w:rPr>
          <w:rFonts w:cs="Arial"/>
        </w:rPr>
        <w:t>. However</w:t>
      </w:r>
      <w:r w:rsidR="00271736">
        <w:rPr>
          <w:rFonts w:cs="Arial"/>
        </w:rPr>
        <w:t>,</w:t>
      </w:r>
      <w:r w:rsidR="00596249">
        <w:rPr>
          <w:rFonts w:cs="Arial"/>
        </w:rPr>
        <w:t xml:space="preserve"> </w:t>
      </w:r>
      <w:r w:rsidRPr="00714F86">
        <w:rPr>
          <w:rFonts w:cs="Arial"/>
        </w:rPr>
        <w:t>in the absence of any outbreaks</w:t>
      </w:r>
      <w:r w:rsidR="002608FF">
        <w:rPr>
          <w:rFonts w:cs="Arial"/>
        </w:rPr>
        <w:t>,</w:t>
      </w:r>
      <w:r w:rsidRPr="00714F86">
        <w:rPr>
          <w:rFonts w:cs="Arial"/>
        </w:rPr>
        <w:t xml:space="preserve"> </w:t>
      </w:r>
      <w:r w:rsidR="002608FF">
        <w:rPr>
          <w:rFonts w:cs="Arial"/>
        </w:rPr>
        <w:t xml:space="preserve">while </w:t>
      </w:r>
      <w:r w:rsidRPr="00714F86">
        <w:rPr>
          <w:rFonts w:cs="Arial"/>
        </w:rPr>
        <w:t>the costs are minimal</w:t>
      </w:r>
      <w:r w:rsidR="002608FF">
        <w:rPr>
          <w:rFonts w:cs="Arial"/>
        </w:rPr>
        <w:t xml:space="preserve">, </w:t>
      </w:r>
      <w:r w:rsidRPr="00714F86">
        <w:rPr>
          <w:rFonts w:cs="Arial"/>
        </w:rPr>
        <w:t xml:space="preserve">the benefits may also be small. </w:t>
      </w:r>
    </w:p>
    <w:p w:rsidR="00650056" w:rsidRDefault="00650056" w:rsidP="002D7AEA"/>
    <w:p w:rsidR="002D7AEA" w:rsidRDefault="002D7AEA" w:rsidP="002D7AEA">
      <w:r w:rsidRPr="00F1477A">
        <w:t xml:space="preserve">Overall, stakeholder comments supported the draft variation to Standard 4.2.3 to include requirements on primary producers in relation to traceability and managing inputs and waste. </w:t>
      </w:r>
    </w:p>
    <w:p w:rsidR="002C1A3B" w:rsidRPr="002C1A3B" w:rsidRDefault="002C1A3B" w:rsidP="00E21323">
      <w:pPr>
        <w:pStyle w:val="Heading4"/>
        <w:ind w:left="0" w:firstLine="0"/>
      </w:pPr>
      <w:r w:rsidRPr="002C1A3B">
        <w:t>2.5.1.2</w:t>
      </w:r>
      <w:r w:rsidRPr="002C1A3B">
        <w:tab/>
        <w:t>Other measures</w:t>
      </w:r>
    </w:p>
    <w:p w:rsidR="002C1A3B" w:rsidRPr="00CB56E8" w:rsidRDefault="002C1A3B" w:rsidP="002C1A3B">
      <w:r w:rsidRPr="002C1A3B">
        <w:t xml:space="preserve">There are no other measures (whether available to FSANZ or not) that would be more cost-effective than a food regulatory measure developed or varied as a result of the </w:t>
      </w:r>
      <w:r w:rsidRPr="008E2ACD">
        <w:t>Proposal.</w:t>
      </w:r>
      <w:r w:rsidR="00A747E9" w:rsidRPr="00CB56E8">
        <w:t xml:space="preserve"> </w:t>
      </w:r>
    </w:p>
    <w:p w:rsidR="002C1A3B" w:rsidRPr="002C1A3B" w:rsidRDefault="002C1A3B" w:rsidP="002C1A3B">
      <w:pPr>
        <w:pStyle w:val="Heading4"/>
      </w:pPr>
      <w:r w:rsidRPr="002C1A3B">
        <w:t>2.5.1.3</w:t>
      </w:r>
      <w:r w:rsidRPr="002C1A3B">
        <w:tab/>
        <w:t>Any relevant New Zealand standards</w:t>
      </w:r>
    </w:p>
    <w:p w:rsidR="00A747E9" w:rsidRPr="001D6412" w:rsidRDefault="00A747E9" w:rsidP="00A747E9">
      <w:pPr>
        <w:ind w:left="567" w:hanging="567"/>
        <w:rPr>
          <w:rFonts w:eastAsia="Calibri"/>
        </w:rPr>
      </w:pPr>
      <w:r w:rsidRPr="001D6412">
        <w:rPr>
          <w:rFonts w:eastAsia="Calibri"/>
        </w:rPr>
        <w:t xml:space="preserve">Primary </w:t>
      </w:r>
      <w:r w:rsidR="002E2F17">
        <w:rPr>
          <w:rFonts w:eastAsia="Calibri"/>
        </w:rPr>
        <w:t>p</w:t>
      </w:r>
      <w:r w:rsidRPr="001D6412">
        <w:rPr>
          <w:rFonts w:eastAsia="Calibri"/>
        </w:rPr>
        <w:t xml:space="preserve">roduction </w:t>
      </w:r>
      <w:r>
        <w:rPr>
          <w:rFonts w:eastAsia="Calibri"/>
        </w:rPr>
        <w:t>and</w:t>
      </w:r>
      <w:r w:rsidRPr="001D6412">
        <w:rPr>
          <w:rFonts w:eastAsia="Calibri"/>
        </w:rPr>
        <w:t xml:space="preserve"> </w:t>
      </w:r>
      <w:r w:rsidR="002E2F17">
        <w:rPr>
          <w:rFonts w:eastAsia="Calibri"/>
        </w:rPr>
        <w:t>p</w:t>
      </w:r>
      <w:r w:rsidRPr="001D6412">
        <w:rPr>
          <w:rFonts w:eastAsia="Calibri"/>
        </w:rPr>
        <w:t xml:space="preserve">rocessing </w:t>
      </w:r>
      <w:r w:rsidR="002E2F17">
        <w:rPr>
          <w:rFonts w:eastAsia="Calibri"/>
        </w:rPr>
        <w:t>s</w:t>
      </w:r>
      <w:r w:rsidRPr="001D6412">
        <w:rPr>
          <w:rFonts w:eastAsia="Calibri"/>
        </w:rPr>
        <w:t>tandards do not apply in New Zealand.</w:t>
      </w:r>
    </w:p>
    <w:p w:rsidR="002C1A3B" w:rsidRPr="002C1A3B" w:rsidRDefault="002C1A3B" w:rsidP="002C1A3B">
      <w:pPr>
        <w:pStyle w:val="Heading4"/>
      </w:pPr>
      <w:r w:rsidRPr="002C1A3B">
        <w:t>2.5.1.4</w:t>
      </w:r>
      <w:r w:rsidRPr="002C1A3B">
        <w:tab/>
        <w:t>Any other relevant matters</w:t>
      </w:r>
    </w:p>
    <w:p w:rsidR="002C1A3B" w:rsidRPr="002C1A3B" w:rsidRDefault="009B6EC2" w:rsidP="002C1A3B">
      <w:pPr>
        <w:rPr>
          <w:lang w:bidi="ar-SA"/>
        </w:rPr>
      </w:pPr>
      <w:r>
        <w:t>The Cattle Council of Australia provided a late submission supporting the draft variation on the basis that it did not impose any additional obligations on primary producers.</w:t>
      </w:r>
      <w:r w:rsidRPr="002C1A3B">
        <w:rPr>
          <w:lang w:bidi="ar-SA"/>
        </w:rPr>
        <w:t xml:space="preserve"> </w:t>
      </w:r>
    </w:p>
    <w:p w:rsidR="002C1A3B" w:rsidRPr="002C1A3B" w:rsidRDefault="002C1A3B" w:rsidP="002C1A3B">
      <w:pPr>
        <w:pStyle w:val="Heading3"/>
      </w:pPr>
      <w:bookmarkStart w:id="81" w:name="_Toc370223479"/>
      <w:bookmarkStart w:id="82" w:name="_Toc370225394"/>
      <w:bookmarkStart w:id="83" w:name="_Toc387850960"/>
      <w:bookmarkStart w:id="84" w:name="_Toc300761897"/>
      <w:bookmarkStart w:id="85" w:name="_Toc300933440"/>
      <w:r w:rsidRPr="002C1A3B">
        <w:t>2.5.2.</w:t>
      </w:r>
      <w:r w:rsidRPr="002C1A3B">
        <w:tab/>
        <w:t>Subsection 18(1)</w:t>
      </w:r>
      <w:bookmarkEnd w:id="81"/>
      <w:bookmarkEnd w:id="82"/>
      <w:bookmarkEnd w:id="83"/>
      <w:r w:rsidRPr="002C1A3B">
        <w:t xml:space="preserve"> </w:t>
      </w:r>
      <w:bookmarkEnd w:id="84"/>
      <w:bookmarkEnd w:id="85"/>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rsidR="002C1A3B" w:rsidRPr="002C1A3B" w:rsidRDefault="002C1A3B" w:rsidP="002C1A3B">
      <w:pPr>
        <w:pStyle w:val="Heading4"/>
        <w:rPr>
          <w:lang w:eastAsia="en-AU"/>
        </w:rPr>
      </w:pPr>
      <w:bookmarkStart w:id="86" w:name="_Toc297029117"/>
      <w:bookmarkStart w:id="87" w:name="_Toc300761898"/>
      <w:bookmarkStart w:id="88" w:name="_Toc300933441"/>
      <w:r w:rsidRPr="002C1A3B">
        <w:rPr>
          <w:lang w:eastAsia="en-AU"/>
        </w:rPr>
        <w:t>2.5.2.1</w:t>
      </w:r>
      <w:r w:rsidRPr="002C1A3B">
        <w:rPr>
          <w:lang w:eastAsia="en-AU"/>
        </w:rPr>
        <w:tab/>
        <w:t>Protection of public health and safety</w:t>
      </w:r>
      <w:bookmarkEnd w:id="86"/>
      <w:bookmarkEnd w:id="87"/>
      <w:bookmarkEnd w:id="88"/>
    </w:p>
    <w:p w:rsidR="00C07588" w:rsidRPr="00C07588" w:rsidRDefault="008C3722" w:rsidP="00C07588">
      <w:pPr>
        <w:rPr>
          <w:rFonts w:cs="Arial"/>
          <w:szCs w:val="22"/>
        </w:rPr>
      </w:pPr>
      <w:r>
        <w:rPr>
          <w:rFonts w:cs="Arial"/>
          <w:szCs w:val="22"/>
        </w:rPr>
        <w:t>FSANZ remains satisfied that</w:t>
      </w:r>
      <w:r w:rsidR="00C07588">
        <w:rPr>
          <w:rFonts w:cs="Arial"/>
          <w:szCs w:val="22"/>
        </w:rPr>
        <w:t xml:space="preserve"> </w:t>
      </w:r>
      <w:r w:rsidRPr="00C07588">
        <w:rPr>
          <w:rFonts w:cs="Arial"/>
          <w:szCs w:val="22"/>
        </w:rPr>
        <w:t>current meat processing requirements</w:t>
      </w:r>
      <w:r>
        <w:rPr>
          <w:rFonts w:cs="Arial"/>
          <w:szCs w:val="22"/>
        </w:rPr>
        <w:t xml:space="preserve"> control </w:t>
      </w:r>
      <w:r w:rsidR="00C07588">
        <w:rPr>
          <w:rFonts w:cs="Arial"/>
          <w:szCs w:val="22"/>
        </w:rPr>
        <w:t>mi</w:t>
      </w:r>
      <w:r w:rsidR="00C07588" w:rsidRPr="00C07588">
        <w:rPr>
          <w:rFonts w:cs="Arial"/>
          <w:szCs w:val="22"/>
        </w:rPr>
        <w:t>crobiological and chemical hazards associated with major and minor meat species and wild game species</w:t>
      </w:r>
      <w:r>
        <w:rPr>
          <w:rFonts w:cs="Arial"/>
          <w:szCs w:val="22"/>
        </w:rPr>
        <w:t>. FSANZ is unaware of any evidence to suggest the contrary.</w:t>
      </w:r>
      <w:r w:rsidR="004F5CDC">
        <w:rPr>
          <w:rFonts w:cs="Arial"/>
          <w:szCs w:val="22"/>
        </w:rPr>
        <w:t xml:space="preserve"> </w:t>
      </w:r>
      <w:r w:rsidR="00DB5078" w:rsidRPr="00AB598E">
        <w:rPr>
          <w:rStyle w:val="CommentReference"/>
          <w:sz w:val="22"/>
          <w:szCs w:val="22"/>
        </w:rPr>
        <w:t>Further</w:t>
      </w:r>
      <w:r w:rsidR="00DB5078">
        <w:rPr>
          <w:rStyle w:val="CommentReference"/>
        </w:rPr>
        <w:t xml:space="preserve">, </w:t>
      </w:r>
      <w:r w:rsidR="00DB5078" w:rsidRPr="00AB598E">
        <w:rPr>
          <w:rStyle w:val="CommentReference"/>
          <w:sz w:val="22"/>
          <w:szCs w:val="22"/>
        </w:rPr>
        <w:t>i</w:t>
      </w:r>
      <w:r w:rsidR="003C38D2" w:rsidRPr="00DB5078">
        <w:rPr>
          <w:rFonts w:cs="Arial"/>
          <w:szCs w:val="22"/>
        </w:rPr>
        <w:t>nclusion</w:t>
      </w:r>
      <w:r w:rsidR="003C38D2">
        <w:rPr>
          <w:rFonts w:cs="Arial"/>
          <w:szCs w:val="22"/>
        </w:rPr>
        <w:t xml:space="preserve"> of food safety obligations for meat primary producers in a national standard </w:t>
      </w:r>
      <w:r w:rsidR="00865C33">
        <w:rPr>
          <w:rFonts w:cs="Arial"/>
          <w:szCs w:val="22"/>
        </w:rPr>
        <w:t xml:space="preserve">will remove an identified regulatory gap and </w:t>
      </w:r>
      <w:r w:rsidR="003C38D2">
        <w:rPr>
          <w:rFonts w:cs="Arial"/>
          <w:szCs w:val="22"/>
        </w:rPr>
        <w:t>may lead to a minor further improvement in public health and safety from an already high base.</w:t>
      </w:r>
    </w:p>
    <w:p w:rsidR="002C1A3B" w:rsidRPr="002C1A3B" w:rsidRDefault="002C1A3B" w:rsidP="002C1A3B">
      <w:pPr>
        <w:pStyle w:val="Heading4"/>
        <w:rPr>
          <w:lang w:eastAsia="en-AU"/>
        </w:rPr>
      </w:pPr>
      <w:bookmarkStart w:id="89" w:name="_Toc300761899"/>
      <w:bookmarkStart w:id="90" w:name="_Toc300933442"/>
      <w:r w:rsidRPr="002C1A3B">
        <w:rPr>
          <w:lang w:eastAsia="en-AU"/>
        </w:rPr>
        <w:t>2.5.2.2</w:t>
      </w:r>
      <w:r w:rsidRPr="002C1A3B">
        <w:rPr>
          <w:lang w:eastAsia="en-AU"/>
        </w:rPr>
        <w:tab/>
        <w:t>The provision of adequate information relating to food to enable consumers to make informed choices</w:t>
      </w:r>
      <w:bookmarkEnd w:id="89"/>
      <w:bookmarkEnd w:id="90"/>
    </w:p>
    <w:p w:rsidR="00C07588" w:rsidRPr="006146B9" w:rsidRDefault="00C07588" w:rsidP="00C07588">
      <w:r w:rsidRPr="00C07588">
        <w:t xml:space="preserve">The provision of adequate information relating to food to enable consumers to make informed choices </w:t>
      </w:r>
      <w:r>
        <w:t>was</w:t>
      </w:r>
      <w:r w:rsidRPr="00C07588">
        <w:t xml:space="preserve"> not relevant to the assessment of P1014.</w:t>
      </w:r>
    </w:p>
    <w:p w:rsidR="002C1A3B" w:rsidRPr="002C1A3B" w:rsidRDefault="002C1A3B" w:rsidP="002C1A3B">
      <w:pPr>
        <w:pStyle w:val="Heading4"/>
        <w:rPr>
          <w:lang w:eastAsia="en-AU"/>
        </w:rPr>
      </w:pPr>
      <w:bookmarkStart w:id="91" w:name="_Toc300761900"/>
      <w:bookmarkStart w:id="92" w:name="_Toc300933443"/>
      <w:r w:rsidRPr="002C1A3B">
        <w:rPr>
          <w:lang w:eastAsia="en-AU"/>
        </w:rPr>
        <w:t>2.5.2.3</w:t>
      </w:r>
      <w:r w:rsidRPr="002C1A3B">
        <w:rPr>
          <w:lang w:eastAsia="en-AU"/>
        </w:rPr>
        <w:tab/>
        <w:t>The prevention of misleading or deceptive conduct</w:t>
      </w:r>
      <w:bookmarkEnd w:id="91"/>
      <w:bookmarkEnd w:id="92"/>
    </w:p>
    <w:p w:rsidR="00C07588" w:rsidRPr="00C07588" w:rsidRDefault="00C07588" w:rsidP="00C07588">
      <w:pPr>
        <w:rPr>
          <w:lang w:eastAsia="en-AU" w:bidi="ar-SA"/>
        </w:rPr>
      </w:pPr>
      <w:r w:rsidRPr="00C07588">
        <w:rPr>
          <w:lang w:eastAsia="en-AU" w:bidi="ar-SA"/>
        </w:rPr>
        <w:t xml:space="preserve">The prevention of misleading or deceptive conduct </w:t>
      </w:r>
      <w:r>
        <w:rPr>
          <w:lang w:eastAsia="en-AU" w:bidi="ar-SA"/>
        </w:rPr>
        <w:t>was</w:t>
      </w:r>
      <w:r w:rsidRPr="00C07588">
        <w:rPr>
          <w:lang w:eastAsia="en-AU" w:bidi="ar-SA"/>
        </w:rPr>
        <w:t xml:space="preserve"> not relevant to the assessment of P1014.</w:t>
      </w:r>
    </w:p>
    <w:p w:rsidR="002C1A3B" w:rsidRPr="002C1A3B" w:rsidRDefault="002C1A3B" w:rsidP="002C1A3B">
      <w:pPr>
        <w:keepNext/>
        <w:spacing w:before="240" w:after="240"/>
        <w:ind w:left="851" w:hanging="851"/>
        <w:outlineLvl w:val="2"/>
        <w:rPr>
          <w:b/>
          <w:bCs/>
          <w:lang w:eastAsia="en-AU" w:bidi="ar-SA"/>
        </w:rPr>
      </w:pPr>
      <w:bookmarkStart w:id="93" w:name="_Toc300761901"/>
      <w:bookmarkStart w:id="94" w:name="_Toc300933444"/>
      <w:bookmarkStart w:id="95" w:name="_Toc370223480"/>
      <w:bookmarkStart w:id="96" w:name="_Toc370225395"/>
      <w:r w:rsidRPr="002C1A3B">
        <w:rPr>
          <w:b/>
          <w:bCs/>
          <w:lang w:eastAsia="en-AU" w:bidi="ar-SA"/>
        </w:rPr>
        <w:t>2.5.3</w:t>
      </w:r>
      <w:r w:rsidRPr="002C1A3B">
        <w:rPr>
          <w:b/>
          <w:bCs/>
          <w:lang w:eastAsia="en-AU" w:bidi="ar-SA"/>
        </w:rPr>
        <w:tab/>
        <w:t xml:space="preserve">Subsection 18(2) </w:t>
      </w:r>
      <w:bookmarkEnd w:id="93"/>
      <w:bookmarkEnd w:id="94"/>
      <w:r w:rsidRPr="002C1A3B">
        <w:rPr>
          <w:b/>
          <w:bCs/>
          <w:lang w:eastAsia="en-AU" w:bidi="ar-SA"/>
        </w:rPr>
        <w:t>considerations</w:t>
      </w:r>
      <w:bookmarkEnd w:id="95"/>
      <w:bookmarkEnd w:id="96"/>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2C1A3B">
      <w:pPr>
        <w:pStyle w:val="FSBullet1"/>
        <w:rPr>
          <w:b/>
        </w:rPr>
      </w:pPr>
      <w:r w:rsidRPr="002C1A3B">
        <w:rPr>
          <w:b/>
        </w:rPr>
        <w:t>the need for standards to be based on risk analysis using the best available scientific evidence</w:t>
      </w:r>
    </w:p>
    <w:p w:rsidR="002C1A3B" w:rsidRPr="002C1A3B" w:rsidRDefault="002C1A3B" w:rsidP="002C1A3B">
      <w:pPr>
        <w:rPr>
          <w:lang w:bidi="ar-SA"/>
        </w:rPr>
      </w:pPr>
    </w:p>
    <w:p w:rsidR="00C07588" w:rsidRPr="00C07588" w:rsidRDefault="00C07588" w:rsidP="00C07588">
      <w:r w:rsidRPr="00C07588">
        <w:t xml:space="preserve">FSANZ’s risk analysis relied on the best available scientific evidence. See the supporting </w:t>
      </w:r>
      <w:r w:rsidRPr="00C07588">
        <w:rPr>
          <w:lang w:bidi="ar-SA"/>
        </w:rPr>
        <w:t>documents.</w:t>
      </w:r>
    </w:p>
    <w:p w:rsidR="00DC2727" w:rsidRDefault="00DC2727" w:rsidP="002C1A3B">
      <w:pPr>
        <w:rPr>
          <w:lang w:bidi="ar-SA"/>
        </w:rPr>
      </w:pPr>
      <w:r>
        <w:rPr>
          <w:lang w:bidi="ar-SA"/>
        </w:rPr>
        <w:br w:type="page"/>
      </w:r>
    </w:p>
    <w:p w:rsidR="002C1A3B" w:rsidRPr="002C1A3B" w:rsidRDefault="002C1A3B" w:rsidP="002C1A3B">
      <w:pPr>
        <w:pStyle w:val="FSBullet1"/>
        <w:rPr>
          <w:b/>
        </w:rPr>
      </w:pPr>
      <w:r w:rsidRPr="002C1A3B">
        <w:rPr>
          <w:b/>
        </w:rPr>
        <w:lastRenderedPageBreak/>
        <w:t>the promotion of consistency between domestic and international food standards</w:t>
      </w:r>
    </w:p>
    <w:p w:rsidR="002C1A3B" w:rsidRPr="002C1A3B" w:rsidRDefault="002C1A3B" w:rsidP="002C1A3B">
      <w:pPr>
        <w:rPr>
          <w:lang w:bidi="ar-SA"/>
        </w:rPr>
      </w:pPr>
    </w:p>
    <w:p w:rsidR="00C07588" w:rsidRPr="00C07588" w:rsidRDefault="00C07588" w:rsidP="00C07588">
      <w:pPr>
        <w:rPr>
          <w:iCs/>
        </w:rPr>
      </w:pPr>
      <w:r w:rsidRPr="002D404C">
        <w:rPr>
          <w:rFonts w:cs="Arial"/>
        </w:rPr>
        <w:t xml:space="preserve">There are relevant international standards. </w:t>
      </w:r>
      <w:r w:rsidR="00DB5078">
        <w:rPr>
          <w:rFonts w:cs="Arial"/>
        </w:rPr>
        <w:t>T</w:t>
      </w:r>
      <w:r w:rsidRPr="002D404C">
        <w:rPr>
          <w:rFonts w:cs="Arial"/>
        </w:rPr>
        <w:t xml:space="preserve">he </w:t>
      </w:r>
      <w:r w:rsidR="002D404C" w:rsidRPr="002D404C">
        <w:rPr>
          <w:rFonts w:cs="Arial"/>
        </w:rPr>
        <w:t>draft variation</w:t>
      </w:r>
      <w:r w:rsidR="009B6EC2">
        <w:rPr>
          <w:rFonts w:cs="Arial"/>
        </w:rPr>
        <w:t>s</w:t>
      </w:r>
      <w:r w:rsidR="00DB5078">
        <w:rPr>
          <w:rFonts w:cs="Arial"/>
        </w:rPr>
        <w:t xml:space="preserve"> </w:t>
      </w:r>
      <w:r w:rsidR="00C33D3C">
        <w:rPr>
          <w:rFonts w:cs="Arial"/>
        </w:rPr>
        <w:t>are</w:t>
      </w:r>
      <w:r w:rsidR="00C33D3C" w:rsidRPr="002D404C">
        <w:rPr>
          <w:rFonts w:cs="Arial"/>
        </w:rPr>
        <w:t xml:space="preserve"> </w:t>
      </w:r>
      <w:r w:rsidRPr="002D404C">
        <w:rPr>
          <w:rFonts w:cs="Arial"/>
        </w:rPr>
        <w:t xml:space="preserve">consistent with the principles of meat hygiene applying to primary production articulated in the </w:t>
      </w:r>
      <w:r w:rsidRPr="002D404C">
        <w:rPr>
          <w:rFonts w:cs="Arial"/>
          <w:i/>
        </w:rPr>
        <w:t>Codex Code of Hygienic Practice for Meat</w:t>
      </w:r>
      <w:r w:rsidRPr="002D404C">
        <w:rPr>
          <w:rFonts w:cs="Arial"/>
        </w:rPr>
        <w:t xml:space="preserve"> (CAC/RCP 58-2005)</w:t>
      </w:r>
      <w:r w:rsidR="000000F9">
        <w:rPr>
          <w:rFonts w:cs="Arial"/>
        </w:rPr>
        <w:t xml:space="preserve">. </w:t>
      </w:r>
      <w:r w:rsidRPr="002D404C">
        <w:rPr>
          <w:rFonts w:cs="Arial"/>
        </w:rPr>
        <w:t>Therefore</w:t>
      </w:r>
      <w:r w:rsidR="003C38D2">
        <w:rPr>
          <w:rFonts w:cs="Arial"/>
        </w:rPr>
        <w:t>,</w:t>
      </w:r>
      <w:r w:rsidRPr="002D404C">
        <w:rPr>
          <w:rFonts w:cs="Arial"/>
        </w:rPr>
        <w:t xml:space="preserve"> </w:t>
      </w:r>
      <w:r w:rsidR="00DB5078">
        <w:rPr>
          <w:rFonts w:cs="Arial"/>
        </w:rPr>
        <w:t>the draft variation</w:t>
      </w:r>
      <w:r w:rsidR="00DB5078" w:rsidRPr="002D404C">
        <w:rPr>
          <w:rFonts w:cs="Arial"/>
        </w:rPr>
        <w:t xml:space="preserve"> </w:t>
      </w:r>
      <w:r w:rsidRPr="002D404C">
        <w:rPr>
          <w:rFonts w:cs="Arial"/>
        </w:rPr>
        <w:t>is unlikely to have a significant effect on international trade.</w:t>
      </w:r>
      <w:r w:rsidRPr="00C07588">
        <w:rPr>
          <w:rFonts w:cs="Arial"/>
        </w:rPr>
        <w:t xml:space="preserve"> </w:t>
      </w:r>
    </w:p>
    <w:p w:rsidR="002C1A3B" w:rsidRPr="002C1A3B" w:rsidRDefault="002C1A3B" w:rsidP="002C1A3B">
      <w:pPr>
        <w:rPr>
          <w:lang w:bidi="ar-SA"/>
        </w:rPr>
      </w:pPr>
    </w:p>
    <w:p w:rsidR="002C1A3B" w:rsidRPr="002C1A3B" w:rsidRDefault="002C1A3B" w:rsidP="002C1A3B">
      <w:pPr>
        <w:pStyle w:val="FSBullet1"/>
        <w:rPr>
          <w:b/>
        </w:rPr>
      </w:pPr>
      <w:r w:rsidRPr="002C1A3B">
        <w:rPr>
          <w:b/>
        </w:rPr>
        <w:t>the desirability of an efficient and internationally competitive food industry</w:t>
      </w:r>
    </w:p>
    <w:p w:rsidR="002C1A3B" w:rsidRPr="002C1A3B" w:rsidRDefault="002C1A3B" w:rsidP="002C1A3B">
      <w:pPr>
        <w:rPr>
          <w:lang w:bidi="ar-SA"/>
        </w:rPr>
      </w:pPr>
    </w:p>
    <w:p w:rsidR="002D404C" w:rsidRPr="002D404C" w:rsidRDefault="002D404C" w:rsidP="002D404C">
      <w:pPr>
        <w:pStyle w:val="FSTableText"/>
        <w:rPr>
          <w:sz w:val="22"/>
          <w:szCs w:val="22"/>
          <w:lang w:eastAsia="en-GB"/>
        </w:rPr>
      </w:pPr>
      <w:r w:rsidRPr="002D404C">
        <w:rPr>
          <w:sz w:val="22"/>
          <w:szCs w:val="22"/>
        </w:rPr>
        <w:t>The draft variation to Standard</w:t>
      </w:r>
      <w:r w:rsidR="00C33D3C">
        <w:rPr>
          <w:sz w:val="22"/>
          <w:szCs w:val="22"/>
        </w:rPr>
        <w:t xml:space="preserve"> </w:t>
      </w:r>
      <w:r w:rsidRPr="002D404C">
        <w:rPr>
          <w:sz w:val="22"/>
          <w:szCs w:val="22"/>
        </w:rPr>
        <w:t>4.2.3 enable</w:t>
      </w:r>
      <w:r w:rsidR="00271736">
        <w:rPr>
          <w:sz w:val="22"/>
          <w:szCs w:val="22"/>
        </w:rPr>
        <w:t>s</w:t>
      </w:r>
      <w:r w:rsidRPr="002D404C">
        <w:rPr>
          <w:sz w:val="22"/>
          <w:szCs w:val="22"/>
        </w:rPr>
        <w:t xml:space="preserve"> management of hazards through the entire meat supply chain thereby integrating the producer and processor </w:t>
      </w:r>
      <w:r w:rsidR="003C38D2">
        <w:rPr>
          <w:sz w:val="22"/>
          <w:szCs w:val="22"/>
        </w:rPr>
        <w:t xml:space="preserve">requirements </w:t>
      </w:r>
      <w:r w:rsidRPr="002D404C">
        <w:rPr>
          <w:sz w:val="22"/>
          <w:szCs w:val="22"/>
        </w:rPr>
        <w:t>to provide a</w:t>
      </w:r>
      <w:r w:rsidRPr="002D404C">
        <w:rPr>
          <w:sz w:val="22"/>
          <w:szCs w:val="22"/>
          <w:lang w:val="en"/>
        </w:rPr>
        <w:t xml:space="preserve"> national “whole of chain” approach to food safety regulation</w:t>
      </w:r>
      <w:r w:rsidR="003C38D2">
        <w:rPr>
          <w:sz w:val="22"/>
          <w:szCs w:val="22"/>
          <w:lang w:val="en"/>
        </w:rPr>
        <w:t xml:space="preserve"> that is clearly visible to the market</w:t>
      </w:r>
      <w:r w:rsidRPr="002D404C">
        <w:rPr>
          <w:sz w:val="22"/>
          <w:szCs w:val="22"/>
          <w:lang w:val="en"/>
        </w:rPr>
        <w:t xml:space="preserve">. </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fair trading in food</w:t>
      </w:r>
    </w:p>
    <w:p w:rsidR="002C1A3B" w:rsidRPr="002C1A3B" w:rsidRDefault="002C1A3B" w:rsidP="002C1A3B">
      <w:pPr>
        <w:rPr>
          <w:lang w:bidi="ar-SA"/>
        </w:rPr>
      </w:pPr>
    </w:p>
    <w:p w:rsidR="002C1A3B" w:rsidRPr="002D404C" w:rsidRDefault="002D404C" w:rsidP="002C1A3B">
      <w:r w:rsidRPr="002D404C">
        <w:t>This was not applicable to P1014.</w:t>
      </w:r>
    </w:p>
    <w:p w:rsidR="002C1A3B" w:rsidRPr="002D404C" w:rsidRDefault="002C1A3B" w:rsidP="002C1A3B">
      <w:pPr>
        <w:rPr>
          <w:lang w:bidi="ar-SA"/>
        </w:rPr>
      </w:pPr>
    </w:p>
    <w:p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6"/>
      </w:r>
      <w:r w:rsidRPr="002C1A3B">
        <w:rPr>
          <w:b/>
        </w:rPr>
        <w:t>.</w:t>
      </w:r>
    </w:p>
    <w:p w:rsidR="002C1A3B" w:rsidRPr="002C1A3B" w:rsidRDefault="002C1A3B" w:rsidP="002C1A3B">
      <w:pPr>
        <w:rPr>
          <w:lang w:bidi="ar-SA"/>
        </w:rPr>
      </w:pPr>
    </w:p>
    <w:p w:rsidR="002D404C" w:rsidRPr="002D404C" w:rsidRDefault="002D404C" w:rsidP="002D404C">
      <w:pPr>
        <w:autoSpaceDE w:val="0"/>
        <w:autoSpaceDN w:val="0"/>
        <w:adjustRightInd w:val="0"/>
        <w:rPr>
          <w:rFonts w:cs="Arial"/>
          <w:szCs w:val="22"/>
          <w:lang w:eastAsia="en-GB"/>
        </w:rPr>
      </w:pPr>
      <w:r>
        <w:t>The draft variation</w:t>
      </w:r>
      <w:r w:rsidR="009B6EC2">
        <w:t xml:space="preserve">s </w:t>
      </w:r>
      <w:r w:rsidR="00C33D3C">
        <w:rPr>
          <w:rFonts w:cs="Arial"/>
          <w:szCs w:val="22"/>
        </w:rPr>
        <w:t>are</w:t>
      </w:r>
      <w:r w:rsidR="00C33D3C" w:rsidRPr="002D404C">
        <w:rPr>
          <w:rFonts w:cs="Arial"/>
          <w:szCs w:val="22"/>
        </w:rPr>
        <w:t xml:space="preserve"> </w:t>
      </w:r>
      <w:r w:rsidRPr="002D404C">
        <w:rPr>
          <w:rFonts w:cs="Arial"/>
          <w:szCs w:val="22"/>
        </w:rPr>
        <w:t xml:space="preserve">consistent with the </w:t>
      </w:r>
      <w:r w:rsidR="000000F9" w:rsidRPr="00F874E7">
        <w:rPr>
          <w:rFonts w:eastAsia="Calibri" w:cs="Arial"/>
          <w:i/>
          <w:szCs w:val="22"/>
          <w:lang w:eastAsia="en-GB" w:bidi="ar-SA"/>
        </w:rPr>
        <w:t>Overarching Policy Guideline on Primary Production and Processing Standards</w:t>
      </w:r>
      <w:r w:rsidR="000000F9">
        <w:rPr>
          <w:rFonts w:cs="Arial"/>
          <w:szCs w:val="22"/>
        </w:rPr>
        <w:t xml:space="preserve"> </w:t>
      </w:r>
      <w:r w:rsidRPr="002D404C">
        <w:rPr>
          <w:rFonts w:cs="Arial"/>
          <w:szCs w:val="22"/>
        </w:rPr>
        <w:t xml:space="preserve">principles that standards </w:t>
      </w:r>
      <w:r w:rsidRPr="002D404C">
        <w:rPr>
          <w:rFonts w:cs="Arial"/>
          <w:szCs w:val="22"/>
          <w:lang w:eastAsia="en-GB"/>
        </w:rPr>
        <w:t>address food safety across the entire food chain where appropriate and deliver a consistent regulatory approach across the primary production and processing standards.</w:t>
      </w:r>
    </w:p>
    <w:p w:rsidR="0012388D" w:rsidRPr="002D404C" w:rsidRDefault="002D404C" w:rsidP="002C1A3B">
      <w:pPr>
        <w:pStyle w:val="Heading1"/>
      </w:pPr>
      <w:bookmarkStart w:id="97" w:name="_Toc11735642"/>
      <w:bookmarkStart w:id="98" w:name="_Toc29883129"/>
      <w:bookmarkStart w:id="99" w:name="_Toc41906816"/>
      <w:bookmarkStart w:id="100" w:name="_Toc41907563"/>
      <w:bookmarkStart w:id="101" w:name="_Toc120358595"/>
      <w:bookmarkStart w:id="102" w:name="_Toc175381457"/>
      <w:bookmarkStart w:id="103" w:name="_Toc387850961"/>
      <w:bookmarkEnd w:id="77"/>
      <w:r>
        <w:t>3</w:t>
      </w:r>
      <w:r w:rsidR="00453646" w:rsidRPr="002D404C">
        <w:tab/>
      </w:r>
      <w:r w:rsidR="003C4969" w:rsidRPr="002D404C">
        <w:t>Implementation</w:t>
      </w:r>
      <w:bookmarkEnd w:id="97"/>
      <w:bookmarkEnd w:id="98"/>
      <w:bookmarkEnd w:id="99"/>
      <w:bookmarkEnd w:id="100"/>
      <w:bookmarkEnd w:id="101"/>
      <w:bookmarkEnd w:id="102"/>
      <w:bookmarkEnd w:id="103"/>
    </w:p>
    <w:p w:rsidR="002D404C" w:rsidRPr="00A32BA9" w:rsidRDefault="002D404C" w:rsidP="002D404C">
      <w:pPr>
        <w:pStyle w:val="Clause"/>
        <w:rPr>
          <w:rFonts w:cs="Arial"/>
          <w:sz w:val="22"/>
          <w:szCs w:val="22"/>
        </w:rPr>
      </w:pPr>
      <w:r>
        <w:rPr>
          <w:rFonts w:cs="Arial"/>
          <w:sz w:val="22"/>
          <w:szCs w:val="22"/>
        </w:rPr>
        <w:t xml:space="preserve">The </w:t>
      </w:r>
      <w:r w:rsidR="00A747E9">
        <w:rPr>
          <w:rFonts w:cs="Arial"/>
          <w:sz w:val="22"/>
          <w:szCs w:val="22"/>
        </w:rPr>
        <w:t>variation</w:t>
      </w:r>
      <w:r w:rsidR="00C33D3C">
        <w:rPr>
          <w:rFonts w:cs="Arial"/>
          <w:sz w:val="22"/>
          <w:szCs w:val="22"/>
        </w:rPr>
        <w:t>s</w:t>
      </w:r>
      <w:r w:rsidR="00A747E9">
        <w:rPr>
          <w:rFonts w:cs="Arial"/>
          <w:sz w:val="22"/>
          <w:szCs w:val="22"/>
        </w:rPr>
        <w:t xml:space="preserve"> to Standard</w:t>
      </w:r>
      <w:r w:rsidR="00C33D3C">
        <w:rPr>
          <w:rFonts w:cs="Arial"/>
          <w:sz w:val="22"/>
          <w:szCs w:val="22"/>
        </w:rPr>
        <w:t>s</w:t>
      </w:r>
      <w:r w:rsidR="00A747E9">
        <w:rPr>
          <w:rFonts w:cs="Arial"/>
          <w:sz w:val="22"/>
          <w:szCs w:val="22"/>
        </w:rPr>
        <w:t xml:space="preserve"> </w:t>
      </w:r>
      <w:r w:rsidR="00C33D3C">
        <w:rPr>
          <w:rFonts w:cs="Arial"/>
          <w:sz w:val="22"/>
          <w:szCs w:val="22"/>
        </w:rPr>
        <w:t xml:space="preserve">1.6.2 and </w:t>
      </w:r>
      <w:r w:rsidR="00A747E9">
        <w:rPr>
          <w:rFonts w:cs="Arial"/>
          <w:sz w:val="22"/>
          <w:szCs w:val="22"/>
        </w:rPr>
        <w:t>4.2.3</w:t>
      </w:r>
      <w:r w:rsidR="00A747E9" w:rsidRPr="00A32BA9">
        <w:rPr>
          <w:rFonts w:cs="Arial"/>
          <w:sz w:val="22"/>
          <w:szCs w:val="22"/>
        </w:rPr>
        <w:t xml:space="preserve"> come</w:t>
      </w:r>
      <w:r w:rsidRPr="00A32BA9">
        <w:rPr>
          <w:rFonts w:cs="Arial"/>
          <w:sz w:val="22"/>
          <w:szCs w:val="22"/>
        </w:rPr>
        <w:t xml:space="preserve"> into effect twelve months after the date of gazettal.</w:t>
      </w:r>
    </w:p>
    <w:p w:rsidR="002D404C" w:rsidRPr="00A32BA9" w:rsidRDefault="002D404C" w:rsidP="002D404C">
      <w:pPr>
        <w:pStyle w:val="Clause"/>
        <w:rPr>
          <w:rFonts w:cs="Arial"/>
          <w:sz w:val="22"/>
          <w:szCs w:val="22"/>
        </w:rPr>
      </w:pPr>
    </w:p>
    <w:p w:rsidR="00A747E9" w:rsidRPr="003F79B2" w:rsidRDefault="002D404C" w:rsidP="00A747E9">
      <w:pPr>
        <w:rPr>
          <w:rFonts w:cs="Arial"/>
          <w:szCs w:val="22"/>
          <w:lang w:eastAsia="en-GB"/>
        </w:rPr>
      </w:pPr>
      <w:r w:rsidRPr="00A32BA9">
        <w:rPr>
          <w:rFonts w:cs="Arial"/>
          <w:szCs w:val="22"/>
        </w:rPr>
        <w:t xml:space="preserve">State and </w:t>
      </w:r>
      <w:r>
        <w:rPr>
          <w:rFonts w:cs="Arial"/>
          <w:szCs w:val="22"/>
        </w:rPr>
        <w:t>t</w:t>
      </w:r>
      <w:r w:rsidRPr="00A32BA9">
        <w:rPr>
          <w:rFonts w:cs="Arial"/>
          <w:szCs w:val="22"/>
        </w:rPr>
        <w:t xml:space="preserve">erritory regulatory agencies and the </w:t>
      </w:r>
      <w:r w:rsidR="00FF4908">
        <w:rPr>
          <w:rFonts w:cs="Arial"/>
          <w:szCs w:val="22"/>
        </w:rPr>
        <w:t xml:space="preserve">Commonwealth </w:t>
      </w:r>
      <w:r w:rsidRPr="00A32BA9">
        <w:rPr>
          <w:rFonts w:cs="Arial"/>
          <w:szCs w:val="22"/>
        </w:rPr>
        <w:t xml:space="preserve">Department of Agriculture are responsible for implementing the </w:t>
      </w:r>
      <w:r w:rsidR="002E2F17">
        <w:rPr>
          <w:rFonts w:cs="Arial"/>
          <w:szCs w:val="22"/>
        </w:rPr>
        <w:t>variation</w:t>
      </w:r>
      <w:r w:rsidRPr="00A32BA9">
        <w:rPr>
          <w:rFonts w:cs="Arial"/>
          <w:szCs w:val="22"/>
        </w:rPr>
        <w:t>. The Meat Implementation Working Group, a national working group with membership from these agencies</w:t>
      </w:r>
      <w:r>
        <w:rPr>
          <w:rFonts w:cs="Arial"/>
          <w:szCs w:val="22"/>
        </w:rPr>
        <w:t>,</w:t>
      </w:r>
      <w:r w:rsidRPr="00A32BA9">
        <w:rPr>
          <w:rFonts w:cs="Arial"/>
          <w:szCs w:val="22"/>
        </w:rPr>
        <w:t xml:space="preserve"> ha</w:t>
      </w:r>
      <w:r>
        <w:rPr>
          <w:rFonts w:cs="Arial"/>
          <w:szCs w:val="22"/>
        </w:rPr>
        <w:t>s</w:t>
      </w:r>
      <w:r w:rsidRPr="00A32BA9">
        <w:rPr>
          <w:rFonts w:cs="Arial"/>
          <w:szCs w:val="22"/>
        </w:rPr>
        <w:t xml:space="preserve"> developed a national compliance plan for the draft variation</w:t>
      </w:r>
      <w:r w:rsidR="00C33D3C">
        <w:rPr>
          <w:rFonts w:cs="Arial"/>
          <w:szCs w:val="22"/>
        </w:rPr>
        <w:t>s</w:t>
      </w:r>
      <w:r w:rsidRPr="00A32BA9">
        <w:rPr>
          <w:rFonts w:cs="Arial"/>
          <w:szCs w:val="22"/>
        </w:rPr>
        <w:t xml:space="preserve"> to Standard</w:t>
      </w:r>
      <w:r w:rsidR="00C33D3C">
        <w:rPr>
          <w:rFonts w:cs="Arial"/>
          <w:szCs w:val="22"/>
        </w:rPr>
        <w:t xml:space="preserve">s 1.6.2 and </w:t>
      </w:r>
      <w:r w:rsidRPr="00A32BA9">
        <w:rPr>
          <w:rFonts w:cs="Arial"/>
          <w:szCs w:val="22"/>
        </w:rPr>
        <w:t xml:space="preserve">4.2.3. The key principle underpinning the compliance arrangements is that if businesses are currently complying with existing legal requirements, and continue to do so, they will comply with the future meat standard. </w:t>
      </w:r>
      <w:r>
        <w:rPr>
          <w:rFonts w:cs="Arial"/>
          <w:szCs w:val="22"/>
        </w:rPr>
        <w:t xml:space="preserve">The </w:t>
      </w:r>
      <w:r w:rsidR="00A747E9">
        <w:rPr>
          <w:rFonts w:cs="Arial"/>
          <w:szCs w:val="22"/>
        </w:rPr>
        <w:t xml:space="preserve">full </w:t>
      </w:r>
      <w:r>
        <w:rPr>
          <w:rFonts w:cs="Arial"/>
          <w:szCs w:val="22"/>
        </w:rPr>
        <w:t xml:space="preserve">compliance plan is </w:t>
      </w:r>
      <w:r w:rsidR="00A747E9">
        <w:rPr>
          <w:rFonts w:cs="Arial"/>
          <w:szCs w:val="22"/>
        </w:rPr>
        <w:t xml:space="preserve">available </w:t>
      </w:r>
      <w:r w:rsidR="00A747E9">
        <w:rPr>
          <w:rFonts w:cs="Arial"/>
          <w:szCs w:val="22"/>
          <w:lang w:eastAsia="en-GB"/>
        </w:rPr>
        <w:t>in S</w:t>
      </w:r>
      <w:r w:rsidR="00993BC9">
        <w:rPr>
          <w:rFonts w:cs="Arial"/>
          <w:szCs w:val="22"/>
          <w:lang w:eastAsia="en-GB"/>
        </w:rPr>
        <w:t>D</w:t>
      </w:r>
      <w:r w:rsidR="00A747E9">
        <w:rPr>
          <w:rFonts w:cs="Arial"/>
          <w:szCs w:val="22"/>
          <w:lang w:eastAsia="en-GB"/>
        </w:rPr>
        <w:t>7.</w:t>
      </w:r>
    </w:p>
    <w:p w:rsidR="0012388D" w:rsidRDefault="00D15A08" w:rsidP="006C22A7">
      <w:pPr>
        <w:spacing w:before="240"/>
        <w:rPr>
          <w:b/>
          <w:sz w:val="28"/>
          <w:szCs w:val="28"/>
        </w:rPr>
      </w:pPr>
      <w:bookmarkStart w:id="104" w:name="_Toc11735643"/>
      <w:bookmarkStart w:id="105" w:name="_Toc29883130"/>
      <w:bookmarkStart w:id="106" w:name="_Toc41906817"/>
      <w:bookmarkStart w:id="107" w:name="_Toc41907564"/>
      <w:bookmarkStart w:id="108" w:name="_Toc43112360"/>
      <w:r w:rsidRPr="006C22A7">
        <w:rPr>
          <w:b/>
          <w:sz w:val="28"/>
          <w:szCs w:val="28"/>
        </w:rPr>
        <w:t>A</w:t>
      </w:r>
      <w:bookmarkEnd w:id="104"/>
      <w:bookmarkEnd w:id="105"/>
      <w:bookmarkEnd w:id="106"/>
      <w:bookmarkEnd w:id="107"/>
      <w:bookmarkEnd w:id="108"/>
      <w:r w:rsidR="00B21055">
        <w:rPr>
          <w:b/>
          <w:sz w:val="28"/>
          <w:szCs w:val="28"/>
        </w:rPr>
        <w:t>ttachments</w:t>
      </w:r>
    </w:p>
    <w:p w:rsidR="00596249" w:rsidRDefault="00596249" w:rsidP="009A2699">
      <w:pPr>
        <w:ind w:left="567" w:hanging="567"/>
      </w:pPr>
    </w:p>
    <w:p w:rsidR="0012388D" w:rsidRDefault="00755F02" w:rsidP="00DC2727">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DC2727">
      <w:pPr>
        <w:ind w:left="567" w:hanging="567"/>
      </w:pPr>
      <w:r>
        <w:t>B.</w:t>
      </w:r>
      <w:r>
        <w:tab/>
        <w:t>Explanatory Statement</w:t>
      </w:r>
    </w:p>
    <w:p w:rsidR="00CB56E8" w:rsidRPr="00ED00BB" w:rsidRDefault="00CB56E8" w:rsidP="00DC2727">
      <w:pPr>
        <w:ind w:left="567" w:hanging="567"/>
      </w:pPr>
      <w:r>
        <w:t xml:space="preserve">C. </w:t>
      </w:r>
      <w:r>
        <w:tab/>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p>
    <w:p w:rsidR="003C4969" w:rsidRDefault="00CB56E8" w:rsidP="00DC2727">
      <w:pPr>
        <w:ind w:left="567" w:hanging="567"/>
      </w:pPr>
      <w:r>
        <w:t>D</w:t>
      </w:r>
      <w:r w:rsidR="006C22A7" w:rsidRPr="00ED00BB">
        <w:t>.</w:t>
      </w:r>
      <w:r w:rsidR="006C22A7" w:rsidRPr="00ED00BB">
        <w:tab/>
      </w:r>
      <w:r w:rsidR="00381064">
        <w:t xml:space="preserve">Decision </w:t>
      </w:r>
      <w:r w:rsidR="00795D86" w:rsidRPr="00ED00BB">
        <w:t>Regulat</w:t>
      </w:r>
      <w:r w:rsidR="0063455F" w:rsidRPr="00ED00BB">
        <w:t>ion</w:t>
      </w:r>
      <w:r w:rsidR="00795D86" w:rsidRPr="00ED00BB">
        <w:t xml:space="preserve"> I</w:t>
      </w:r>
      <w:r w:rsidR="00410C76" w:rsidRPr="00ED00BB">
        <w:t>mpact Statement</w:t>
      </w:r>
      <w:r w:rsidR="000F4918">
        <w:t xml:space="preserve"> </w:t>
      </w:r>
      <w:r w:rsidR="003F4CDE">
        <w:t>(separate document)</w:t>
      </w:r>
    </w:p>
    <w:p w:rsidR="0012388D" w:rsidRDefault="003C4969" w:rsidP="007D0189">
      <w:pPr>
        <w:pStyle w:val="Heading2"/>
        <w:ind w:left="0" w:firstLine="0"/>
        <w:rPr>
          <w:i/>
        </w:rPr>
      </w:pPr>
      <w:r w:rsidRPr="00932F14">
        <w:br w:type="page"/>
      </w:r>
      <w:bookmarkStart w:id="109" w:name="_Toc29883131"/>
      <w:bookmarkStart w:id="110" w:name="_Toc41906818"/>
      <w:bookmarkStart w:id="111" w:name="_Toc41907565"/>
      <w:bookmarkStart w:id="112" w:name="_Toc120358596"/>
      <w:bookmarkStart w:id="113" w:name="_Toc175381458"/>
      <w:bookmarkStart w:id="114" w:name="_Toc11735644"/>
      <w:bookmarkStart w:id="115" w:name="_Toc387850962"/>
      <w:r w:rsidRPr="00932F14">
        <w:lastRenderedPageBreak/>
        <w:t xml:space="preserve">Attachment </w:t>
      </w:r>
      <w:bookmarkEnd w:id="109"/>
      <w:bookmarkEnd w:id="110"/>
      <w:bookmarkEnd w:id="111"/>
      <w:bookmarkEnd w:id="112"/>
      <w:bookmarkEnd w:id="113"/>
      <w:r w:rsidR="00456B54">
        <w:t>A</w:t>
      </w:r>
      <w:bookmarkStart w:id="116" w:name="_Toc120358597"/>
      <w:bookmarkStart w:id="117" w:name="_Toc175381459"/>
      <w:bookmarkEnd w:id="114"/>
      <w:r w:rsidR="00755F02">
        <w:t xml:space="preserve"> – </w:t>
      </w:r>
      <w:r w:rsidR="009A2699">
        <w:t>Approved</w:t>
      </w:r>
      <w:r w:rsidRPr="00932F14">
        <w:t xml:space="preserve"> </w:t>
      </w:r>
      <w:r w:rsidR="00E47D3B">
        <w:t xml:space="preserve">draft </w:t>
      </w:r>
      <w:r w:rsidRPr="00932F14">
        <w:t>variation to the</w:t>
      </w:r>
      <w:r w:rsidRPr="00755F02">
        <w:t xml:space="preserve"> </w:t>
      </w:r>
      <w:r w:rsidR="00D15A08" w:rsidRPr="00795D86">
        <w:rPr>
          <w:i/>
        </w:rPr>
        <w:t>Australia New Zealand Food Standards Code</w:t>
      </w:r>
      <w:bookmarkEnd w:id="116"/>
      <w:bookmarkEnd w:id="117"/>
      <w:bookmarkEnd w:id="115"/>
    </w:p>
    <w:p w:rsidR="004A5D93" w:rsidRPr="00C0014E" w:rsidRDefault="004A5D93" w:rsidP="004A5D93">
      <w:pPr>
        <w:rPr>
          <w:noProof/>
          <w:sz w:val="20"/>
          <w:lang w:val="en-AU" w:eastAsia="en-AU"/>
        </w:rPr>
      </w:pPr>
      <w:bookmarkStart w:id="118" w:name="_Toc286391017"/>
      <w:bookmarkStart w:id="119" w:name="_Toc300933453"/>
      <w:r w:rsidRPr="00C0014E">
        <w:rPr>
          <w:noProof/>
          <w:sz w:val="20"/>
          <w:lang w:eastAsia="en-GB" w:bidi="ar-SA"/>
        </w:rPr>
        <w:drawing>
          <wp:inline distT="0" distB="0" distL="0" distR="0" wp14:anchorId="624DB7B7" wp14:editId="5A8DD73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A5D93" w:rsidRPr="006153A1" w:rsidRDefault="004A5D93" w:rsidP="004A5D93">
      <w:pPr>
        <w:pStyle w:val="Title"/>
        <w:pBdr>
          <w:bottom w:val="single" w:sz="4" w:space="1" w:color="auto"/>
        </w:pBdr>
        <w:rPr>
          <w:b w:val="0"/>
          <w:bCs w:val="0"/>
          <w:szCs w:val="20"/>
        </w:rPr>
      </w:pPr>
    </w:p>
    <w:p w:rsidR="004A5D93" w:rsidRDefault="004A5D93" w:rsidP="004A5D93">
      <w:pPr>
        <w:pBdr>
          <w:bottom w:val="single" w:sz="4" w:space="1" w:color="auto"/>
        </w:pBdr>
        <w:rPr>
          <w:b/>
          <w:sz w:val="20"/>
        </w:rPr>
      </w:pPr>
      <w:r w:rsidRPr="006153A1">
        <w:rPr>
          <w:b/>
          <w:sz w:val="20"/>
        </w:rPr>
        <w:t>Food Standards (</w:t>
      </w:r>
      <w:r w:rsidRPr="00F618DF">
        <w:rPr>
          <w:b/>
          <w:sz w:val="20"/>
        </w:rPr>
        <w:t xml:space="preserve">Proposal </w:t>
      </w:r>
      <w:r>
        <w:rPr>
          <w:b/>
          <w:sz w:val="20"/>
        </w:rPr>
        <w:t xml:space="preserve">P1014 </w:t>
      </w:r>
      <w:r w:rsidRPr="00A32232">
        <w:rPr>
          <w:b/>
          <w:sz w:val="20"/>
        </w:rPr>
        <w:t>–</w:t>
      </w:r>
      <w:r>
        <w:rPr>
          <w:b/>
          <w:sz w:val="20"/>
        </w:rPr>
        <w:t xml:space="preserve"> </w:t>
      </w:r>
      <w:r w:rsidRPr="0048557F">
        <w:rPr>
          <w:b/>
          <w:sz w:val="20"/>
        </w:rPr>
        <w:t xml:space="preserve">Primary Production </w:t>
      </w:r>
      <w:r w:rsidR="00993BC9">
        <w:rPr>
          <w:b/>
          <w:sz w:val="20"/>
        </w:rPr>
        <w:t>&amp;</w:t>
      </w:r>
      <w:r w:rsidR="00993BC9" w:rsidRPr="0048557F">
        <w:rPr>
          <w:b/>
          <w:sz w:val="20"/>
        </w:rPr>
        <w:t xml:space="preserve"> </w:t>
      </w:r>
      <w:r w:rsidRPr="0048557F">
        <w:rPr>
          <w:b/>
          <w:sz w:val="20"/>
        </w:rPr>
        <w:t xml:space="preserve">Processing Standard for Meat </w:t>
      </w:r>
      <w:r w:rsidR="00993BC9">
        <w:rPr>
          <w:b/>
          <w:sz w:val="20"/>
        </w:rPr>
        <w:t>&amp;</w:t>
      </w:r>
      <w:r w:rsidR="00993BC9" w:rsidRPr="0048557F">
        <w:rPr>
          <w:b/>
          <w:sz w:val="20"/>
        </w:rPr>
        <w:t xml:space="preserve"> </w:t>
      </w:r>
      <w:r w:rsidRPr="0048557F">
        <w:rPr>
          <w:b/>
          <w:sz w:val="20"/>
        </w:rPr>
        <w:t>Meat Products</w:t>
      </w:r>
      <w:r>
        <w:rPr>
          <w:b/>
          <w:sz w:val="20"/>
        </w:rPr>
        <w:t>)</w:t>
      </w:r>
      <w:r w:rsidRPr="00C0014E">
        <w:rPr>
          <w:b/>
          <w:sz w:val="20"/>
        </w:rPr>
        <w:t xml:space="preserve"> Variation</w:t>
      </w:r>
    </w:p>
    <w:p w:rsidR="004A5D93" w:rsidRPr="00C0014E" w:rsidRDefault="004A5D93" w:rsidP="004A5D93">
      <w:pPr>
        <w:pBdr>
          <w:bottom w:val="single" w:sz="4" w:space="1" w:color="auto"/>
        </w:pBdr>
        <w:rPr>
          <w:b/>
          <w:sz w:val="20"/>
        </w:rPr>
      </w:pPr>
    </w:p>
    <w:p w:rsidR="004A5D93" w:rsidRPr="008F2616" w:rsidRDefault="004A5D93" w:rsidP="004A5D93">
      <w:pPr>
        <w:rPr>
          <w:sz w:val="20"/>
        </w:rPr>
      </w:pPr>
    </w:p>
    <w:p w:rsidR="004A5D93" w:rsidRPr="008F2616" w:rsidRDefault="004A5D93" w:rsidP="004A5D9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4A5D93" w:rsidRPr="008F2616" w:rsidRDefault="004A5D93" w:rsidP="004A5D93">
      <w:pPr>
        <w:rPr>
          <w:sz w:val="20"/>
        </w:rPr>
      </w:pPr>
    </w:p>
    <w:p w:rsidR="004A5D93" w:rsidRPr="008F2616" w:rsidRDefault="004A5D93" w:rsidP="004A5D93">
      <w:pPr>
        <w:rPr>
          <w:sz w:val="20"/>
        </w:rPr>
      </w:pPr>
      <w:r w:rsidRPr="008F2616">
        <w:rPr>
          <w:sz w:val="20"/>
        </w:rPr>
        <w:t xml:space="preserve">Dated </w:t>
      </w:r>
      <w:r>
        <w:rPr>
          <w:sz w:val="20"/>
        </w:rPr>
        <w:t>[To be completed by Standards Management Officer]</w:t>
      </w:r>
    </w:p>
    <w:p w:rsidR="004A5D93" w:rsidRPr="008F2616" w:rsidRDefault="004A5D93" w:rsidP="004A5D93">
      <w:pPr>
        <w:rPr>
          <w:sz w:val="20"/>
        </w:rPr>
      </w:pPr>
    </w:p>
    <w:p w:rsidR="004A5D93" w:rsidRDefault="004A5D93" w:rsidP="004A5D93">
      <w:pPr>
        <w:rPr>
          <w:sz w:val="20"/>
        </w:rPr>
      </w:pPr>
    </w:p>
    <w:p w:rsidR="004A5D93" w:rsidRDefault="004A5D93" w:rsidP="004A5D93">
      <w:pPr>
        <w:rPr>
          <w:sz w:val="20"/>
        </w:rPr>
      </w:pPr>
    </w:p>
    <w:p w:rsidR="004A5D93" w:rsidRPr="008F2616" w:rsidRDefault="004A5D93" w:rsidP="004A5D93">
      <w:pPr>
        <w:rPr>
          <w:sz w:val="20"/>
        </w:rPr>
      </w:pPr>
    </w:p>
    <w:p w:rsidR="004A5D93" w:rsidRPr="008F2616" w:rsidRDefault="004A5D93" w:rsidP="004A5D93">
      <w:pPr>
        <w:rPr>
          <w:sz w:val="20"/>
        </w:rPr>
      </w:pPr>
    </w:p>
    <w:p w:rsidR="004A5D93" w:rsidRPr="008F2616" w:rsidRDefault="004A5D93" w:rsidP="004A5D93">
      <w:pPr>
        <w:rPr>
          <w:sz w:val="20"/>
        </w:rPr>
      </w:pPr>
      <w:r w:rsidRPr="008F2616">
        <w:rPr>
          <w:sz w:val="20"/>
        </w:rPr>
        <w:t>Standards Management Officer</w:t>
      </w:r>
    </w:p>
    <w:p w:rsidR="004A5D93" w:rsidRPr="008F2616" w:rsidRDefault="004A5D93" w:rsidP="004A5D93">
      <w:pPr>
        <w:rPr>
          <w:sz w:val="20"/>
        </w:rPr>
      </w:pPr>
      <w:r w:rsidRPr="008F2616">
        <w:rPr>
          <w:sz w:val="20"/>
        </w:rPr>
        <w:t>Delegate of the Board of Food Standards Australia New Zealand</w:t>
      </w:r>
    </w:p>
    <w:p w:rsidR="004A5D93" w:rsidRDefault="004A5D93" w:rsidP="004A5D93">
      <w:pPr>
        <w:rPr>
          <w:sz w:val="20"/>
        </w:rPr>
      </w:pPr>
    </w:p>
    <w:p w:rsidR="004A5D93" w:rsidRDefault="004A5D93" w:rsidP="004A5D93">
      <w:pPr>
        <w:rPr>
          <w:sz w:val="20"/>
        </w:rPr>
      </w:pPr>
    </w:p>
    <w:p w:rsidR="004A5D93" w:rsidRDefault="004A5D93" w:rsidP="004A5D93">
      <w:pPr>
        <w:rPr>
          <w:sz w:val="20"/>
        </w:rPr>
      </w:pPr>
    </w:p>
    <w:p w:rsidR="004A5D93" w:rsidRDefault="004A5D93" w:rsidP="004A5D93">
      <w:pPr>
        <w:rPr>
          <w:sz w:val="20"/>
        </w:rPr>
      </w:pPr>
    </w:p>
    <w:p w:rsidR="004A5D93" w:rsidRDefault="004A5D93" w:rsidP="004A5D93">
      <w:pPr>
        <w:rPr>
          <w:sz w:val="20"/>
        </w:rPr>
      </w:pPr>
    </w:p>
    <w:p w:rsidR="004A5D93" w:rsidRPr="00574DE1" w:rsidRDefault="004A5D93" w:rsidP="004A5D93">
      <w:pPr>
        <w:pStyle w:val="EditorialNoteLine1"/>
        <w:rPr>
          <w:lang w:val="en-AU"/>
        </w:rPr>
      </w:pPr>
      <w:r w:rsidRPr="00574DE1">
        <w:rPr>
          <w:lang w:val="en-AU"/>
        </w:rPr>
        <w:t xml:space="preserve">Note:  </w:t>
      </w:r>
    </w:p>
    <w:p w:rsidR="004A5D93" w:rsidRPr="00574DE1" w:rsidRDefault="004A5D93" w:rsidP="004A5D93">
      <w:pPr>
        <w:pStyle w:val="EditorialNotetext"/>
        <w:rPr>
          <w:lang w:val="en-AU"/>
        </w:rPr>
      </w:pPr>
    </w:p>
    <w:p w:rsidR="004A5D93" w:rsidRDefault="004A5D93" w:rsidP="004A5D93">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rsidR="004A5D93" w:rsidRDefault="004A5D93" w:rsidP="004A5D93">
      <w:pPr>
        <w:rPr>
          <w:sz w:val="20"/>
        </w:rPr>
      </w:pPr>
    </w:p>
    <w:p w:rsidR="004A5D93" w:rsidRDefault="004A5D93" w:rsidP="004A5D93">
      <w:pPr>
        <w:widowControl/>
        <w:rPr>
          <w:sz w:val="20"/>
        </w:rPr>
      </w:pPr>
      <w:r>
        <w:rPr>
          <w:sz w:val="20"/>
        </w:rPr>
        <w:br w:type="page"/>
      </w:r>
    </w:p>
    <w:p w:rsidR="004A5D93" w:rsidRDefault="004A5D93" w:rsidP="004A5D93">
      <w:pPr>
        <w:pStyle w:val="Clauseheading"/>
      </w:pPr>
      <w:r>
        <w:lastRenderedPageBreak/>
        <w:t>1</w:t>
      </w:r>
      <w:r>
        <w:tab/>
        <w:t>Name</w:t>
      </w:r>
    </w:p>
    <w:p w:rsidR="004A5D93" w:rsidRDefault="004A5D93" w:rsidP="004A5D93">
      <w:pPr>
        <w:pStyle w:val="Clause"/>
      </w:pPr>
    </w:p>
    <w:p w:rsidR="004A5D93" w:rsidRPr="00F618DF" w:rsidRDefault="004A5D93" w:rsidP="004A5D93">
      <w:pPr>
        <w:pStyle w:val="Clause"/>
      </w:pPr>
      <w:r w:rsidRPr="00DB170D">
        <w:t xml:space="preserve">This instrument is the </w:t>
      </w:r>
      <w:r w:rsidRPr="003B167D">
        <w:rPr>
          <w:i/>
        </w:rPr>
        <w:t>Food Standards (Proposal P10</w:t>
      </w:r>
      <w:r>
        <w:rPr>
          <w:i/>
        </w:rPr>
        <w:t>14</w:t>
      </w:r>
      <w:r w:rsidRPr="003B167D">
        <w:rPr>
          <w:i/>
        </w:rPr>
        <w:t xml:space="preserve"> – Primary Production </w:t>
      </w:r>
      <w:r w:rsidR="00A33358">
        <w:rPr>
          <w:i/>
        </w:rPr>
        <w:t>&amp;</w:t>
      </w:r>
      <w:r w:rsidR="00A33358" w:rsidRPr="003B167D">
        <w:rPr>
          <w:i/>
        </w:rPr>
        <w:t xml:space="preserve"> </w:t>
      </w:r>
      <w:r w:rsidRPr="003B167D">
        <w:rPr>
          <w:i/>
        </w:rPr>
        <w:t xml:space="preserve">Processing Standard for Meat </w:t>
      </w:r>
      <w:r w:rsidR="00A33358">
        <w:rPr>
          <w:i/>
        </w:rPr>
        <w:t>&amp;</w:t>
      </w:r>
      <w:r w:rsidR="00A33358" w:rsidRPr="003B167D">
        <w:rPr>
          <w:i/>
        </w:rPr>
        <w:t xml:space="preserve"> </w:t>
      </w:r>
      <w:r w:rsidRPr="003B167D">
        <w:rPr>
          <w:i/>
        </w:rPr>
        <w:t>Meat Products) Variation</w:t>
      </w:r>
      <w:r w:rsidRPr="00F618DF">
        <w:t>.</w:t>
      </w:r>
    </w:p>
    <w:p w:rsidR="004A5D93" w:rsidRDefault="004A5D93" w:rsidP="004A5D93">
      <w:pPr>
        <w:pStyle w:val="Clause"/>
      </w:pPr>
    </w:p>
    <w:p w:rsidR="004A5D93" w:rsidRPr="0036244B" w:rsidRDefault="004A5D93" w:rsidP="004A5D93">
      <w:pPr>
        <w:pStyle w:val="Clauseheading"/>
        <w:tabs>
          <w:tab w:val="clear" w:pos="851"/>
        </w:tabs>
        <w:ind w:left="851" w:hanging="851"/>
      </w:pPr>
      <w:r w:rsidRPr="0036244B">
        <w:t>2</w:t>
      </w:r>
      <w:r w:rsidRPr="0036244B">
        <w:tab/>
      </w:r>
      <w:r>
        <w:t>V</w:t>
      </w:r>
      <w:r w:rsidRPr="0036244B">
        <w:t xml:space="preserve">ariation to Standards in the </w:t>
      </w:r>
      <w:r w:rsidRPr="0072638F">
        <w:rPr>
          <w:i/>
        </w:rPr>
        <w:t>Australia New Zealand Food Standards Code</w:t>
      </w:r>
    </w:p>
    <w:p w:rsidR="004A5D93" w:rsidRDefault="004A5D93" w:rsidP="004A5D93">
      <w:pPr>
        <w:pStyle w:val="Clause"/>
      </w:pPr>
    </w:p>
    <w:p w:rsidR="004A5D93" w:rsidRDefault="004A5D93" w:rsidP="004A5D93">
      <w:pPr>
        <w:pStyle w:val="Clause"/>
      </w:pPr>
      <w:r>
        <w:t xml:space="preserve">The Schedule varies the Standards in the </w:t>
      </w:r>
      <w:r w:rsidRPr="00FF1C11">
        <w:rPr>
          <w:i/>
        </w:rPr>
        <w:t>Australia New Zealand Food Standards Code</w:t>
      </w:r>
      <w:r>
        <w:t>.</w:t>
      </w:r>
    </w:p>
    <w:p w:rsidR="004A5D93" w:rsidRDefault="004A5D93" w:rsidP="004A5D93">
      <w:pPr>
        <w:rPr>
          <w:sz w:val="20"/>
        </w:rPr>
      </w:pPr>
    </w:p>
    <w:p w:rsidR="004A5D93" w:rsidRDefault="004A5D93" w:rsidP="004A5D93">
      <w:pPr>
        <w:pStyle w:val="Clauseheading"/>
      </w:pPr>
      <w:r>
        <w:t>3</w:t>
      </w:r>
      <w:r>
        <w:tab/>
        <w:t>Commencement</w:t>
      </w:r>
    </w:p>
    <w:p w:rsidR="004A5D93" w:rsidRDefault="004A5D93" w:rsidP="004A5D93">
      <w:pPr>
        <w:pStyle w:val="Clause"/>
      </w:pPr>
    </w:p>
    <w:p w:rsidR="004A5D93" w:rsidRDefault="004A5D93" w:rsidP="004A5D93">
      <w:pPr>
        <w:pStyle w:val="Clause"/>
      </w:pPr>
      <w:r>
        <w:t>The variation commenc</w:t>
      </w:r>
      <w:r w:rsidRPr="000055C4">
        <w:t>e</w:t>
      </w:r>
      <w:r>
        <w:t>s</w:t>
      </w:r>
      <w:r w:rsidRPr="000055C4">
        <w:t xml:space="preserve"> </w:t>
      </w:r>
      <w:r w:rsidRPr="001C090E">
        <w:rPr>
          <w:rFonts w:eastAsia="Calibri" w:cs="Arial"/>
          <w:szCs w:val="22"/>
        </w:rPr>
        <w:t xml:space="preserve">on </w:t>
      </w:r>
      <w:r>
        <w:rPr>
          <w:rFonts w:eastAsia="Calibri" w:cs="Arial"/>
          <w:szCs w:val="22"/>
        </w:rPr>
        <w:t xml:space="preserve">a date 12 months after the date of </w:t>
      </w:r>
      <w:r w:rsidRPr="001C090E">
        <w:rPr>
          <w:rFonts w:eastAsia="Calibri" w:cs="Arial"/>
          <w:szCs w:val="22"/>
        </w:rPr>
        <w:t>gazettal</w:t>
      </w:r>
      <w:r>
        <w:t>.</w:t>
      </w:r>
    </w:p>
    <w:p w:rsidR="004A5D93" w:rsidRDefault="004A5D93" w:rsidP="004A5D93">
      <w:pPr>
        <w:pStyle w:val="ScheduleHeading"/>
      </w:pPr>
    </w:p>
    <w:p w:rsidR="004A5D93" w:rsidRDefault="004A5D93" w:rsidP="004A5D93">
      <w:pPr>
        <w:pStyle w:val="ScheduleHeading"/>
      </w:pPr>
      <w:r>
        <w:t>SCHEDULE</w:t>
      </w:r>
    </w:p>
    <w:p w:rsidR="004A5D93" w:rsidRPr="0036244B" w:rsidRDefault="004A5D93" w:rsidP="004A5D93">
      <w:pPr>
        <w:widowControl/>
        <w:rPr>
          <w:sz w:val="20"/>
        </w:rPr>
      </w:pPr>
    </w:p>
    <w:p w:rsidR="004A5D93" w:rsidRPr="000F00AE" w:rsidRDefault="00A33358" w:rsidP="00B3525D">
      <w:pPr>
        <w:pStyle w:val="Clause"/>
      </w:pPr>
      <w:r w:rsidRPr="00B3525D">
        <w:rPr>
          <w:b/>
        </w:rPr>
        <w:t>[</w:t>
      </w:r>
      <w:r w:rsidR="004A5D93" w:rsidRPr="00B3525D">
        <w:rPr>
          <w:b/>
        </w:rPr>
        <w:t>1</w:t>
      </w:r>
      <w:r w:rsidRPr="00B3525D">
        <w:rPr>
          <w:b/>
        </w:rPr>
        <w:t>]</w:t>
      </w:r>
      <w:r w:rsidR="004A5D93" w:rsidRPr="000F00AE">
        <w:tab/>
      </w:r>
      <w:r w:rsidR="004A5D93" w:rsidRPr="000F00AE">
        <w:rPr>
          <w:b/>
        </w:rPr>
        <w:t xml:space="preserve">Standard 1.6.2 </w:t>
      </w:r>
      <w:r w:rsidR="004A5D93">
        <w:t>is varied by omitting clause</w:t>
      </w:r>
      <w:r w:rsidR="004A5D93" w:rsidRPr="000F00AE">
        <w:t xml:space="preserve"> 6</w:t>
      </w:r>
      <w:r w:rsidR="00DB5078">
        <w:t xml:space="preserve"> and the Editorial Note to clause 6</w:t>
      </w:r>
    </w:p>
    <w:p w:rsidR="004A5D93" w:rsidRPr="000F00AE" w:rsidRDefault="004A5D93" w:rsidP="00B3525D">
      <w:pPr>
        <w:pStyle w:val="Clause"/>
      </w:pPr>
    </w:p>
    <w:p w:rsidR="004A5D93" w:rsidRPr="003B167D" w:rsidRDefault="00A33358" w:rsidP="00B3525D">
      <w:pPr>
        <w:pStyle w:val="Clause"/>
      </w:pPr>
      <w:r w:rsidRPr="00BD0492">
        <w:rPr>
          <w:b/>
        </w:rPr>
        <w:t>[</w:t>
      </w:r>
      <w:r w:rsidR="004A5D93" w:rsidRPr="00BD0492">
        <w:rPr>
          <w:b/>
        </w:rPr>
        <w:t>2</w:t>
      </w:r>
      <w:r w:rsidRPr="00BD0492">
        <w:rPr>
          <w:b/>
        </w:rPr>
        <w:t>]</w:t>
      </w:r>
      <w:r w:rsidR="004A5D93" w:rsidRPr="00BD0492">
        <w:rPr>
          <w:b/>
        </w:rPr>
        <w:tab/>
        <w:t>Standard 4.2.3</w:t>
      </w:r>
      <w:r w:rsidR="004A5D93" w:rsidRPr="00401721">
        <w:t xml:space="preserve"> is varied by</w:t>
      </w:r>
      <w:r w:rsidR="004A5D93">
        <w:t xml:space="preserve"> </w:t>
      </w:r>
    </w:p>
    <w:p w:rsidR="004A5D93" w:rsidRPr="003B167D" w:rsidRDefault="004A5D93" w:rsidP="004A5D93">
      <w:pPr>
        <w:widowControl/>
        <w:rPr>
          <w:sz w:val="20"/>
        </w:rPr>
      </w:pPr>
    </w:p>
    <w:p w:rsidR="004A5D93" w:rsidRPr="00401721" w:rsidRDefault="004A5D93" w:rsidP="00B3525D">
      <w:pPr>
        <w:pStyle w:val="Clause"/>
      </w:pPr>
      <w:r>
        <w:t>[2</w:t>
      </w:r>
      <w:r w:rsidRPr="000F00AE">
        <w:t>.1]</w:t>
      </w:r>
      <w:r w:rsidRPr="000F00AE">
        <w:tab/>
      </w:r>
      <w:r w:rsidRPr="00401721">
        <w:t xml:space="preserve">omitting Divisions 1 and 2 </w:t>
      </w:r>
      <w:r w:rsidR="00A33358">
        <w:t xml:space="preserve">and </w:t>
      </w:r>
      <w:r w:rsidRPr="00401721">
        <w:t>substituting</w:t>
      </w:r>
    </w:p>
    <w:p w:rsidR="004A5D93" w:rsidRDefault="004A5D93" w:rsidP="004A5D93">
      <w:pPr>
        <w:pStyle w:val="Clauseheading"/>
      </w:pPr>
    </w:p>
    <w:p w:rsidR="004A5D93" w:rsidRPr="00B3525D" w:rsidRDefault="004A5D93" w:rsidP="004A5D93">
      <w:pPr>
        <w:pStyle w:val="DivisionHeading"/>
        <w:jc w:val="left"/>
        <w:rPr>
          <w:sz w:val="20"/>
        </w:rPr>
      </w:pPr>
      <w:r w:rsidRPr="00A33358">
        <w:rPr>
          <w:b w:val="0"/>
          <w:sz w:val="20"/>
        </w:rPr>
        <w:t>“</w:t>
      </w:r>
    </w:p>
    <w:p w:rsidR="004A5D93" w:rsidRPr="0048557F" w:rsidRDefault="004A5D93" w:rsidP="004A5D93">
      <w:pPr>
        <w:pStyle w:val="DivisionHeading"/>
      </w:pPr>
      <w:r>
        <w:t>Division 1</w:t>
      </w:r>
      <w:r w:rsidRPr="0048557F">
        <w:t xml:space="preserve"> – </w:t>
      </w:r>
      <w:r>
        <w:t>Preliminary</w:t>
      </w:r>
    </w:p>
    <w:p w:rsidR="004A5D93" w:rsidRDefault="004A5D93" w:rsidP="004A5D93">
      <w:pPr>
        <w:pStyle w:val="Clauseheading"/>
      </w:pPr>
    </w:p>
    <w:p w:rsidR="004A5D93" w:rsidRPr="003B167D" w:rsidRDefault="004A5D93" w:rsidP="004A5D93">
      <w:pPr>
        <w:pStyle w:val="Clauseheading"/>
      </w:pPr>
      <w:r w:rsidRPr="003B167D">
        <w:t xml:space="preserve">1 </w:t>
      </w:r>
      <w:r w:rsidRPr="003B167D">
        <w:tab/>
        <w:t>Interpretation</w:t>
      </w:r>
    </w:p>
    <w:p w:rsidR="004A5D93" w:rsidRPr="0048557F" w:rsidRDefault="004A5D93" w:rsidP="004A5D93">
      <w:pPr>
        <w:rPr>
          <w:sz w:val="20"/>
        </w:rPr>
      </w:pPr>
    </w:p>
    <w:p w:rsidR="004A5D93" w:rsidRPr="0048557F" w:rsidRDefault="004A5D93" w:rsidP="004A5D93">
      <w:pPr>
        <w:pStyle w:val="Clause"/>
      </w:pPr>
      <w:r>
        <w:t>(1)</w:t>
      </w:r>
      <w:r>
        <w:tab/>
      </w:r>
      <w:r w:rsidRPr="0048557F">
        <w:t>In this Standard –</w:t>
      </w:r>
    </w:p>
    <w:p w:rsidR="004A5D93" w:rsidRPr="0048557F" w:rsidRDefault="004A5D93" w:rsidP="004A5D93">
      <w:pPr>
        <w:rPr>
          <w:sz w:val="20"/>
        </w:rPr>
      </w:pPr>
    </w:p>
    <w:p w:rsidR="004A5D93" w:rsidRDefault="004A5D93" w:rsidP="004A5D93">
      <w:pPr>
        <w:pStyle w:val="Definition"/>
      </w:pPr>
      <w:r w:rsidRPr="0048557F">
        <w:rPr>
          <w:b/>
        </w:rPr>
        <w:t>meat product</w:t>
      </w:r>
      <w:r w:rsidRPr="0048557F">
        <w:t xml:space="preserve"> means a food containing no less than 300</w:t>
      </w:r>
      <w:r>
        <w:t xml:space="preserve"> </w:t>
      </w:r>
      <w:r w:rsidRPr="0048557F">
        <w:t>g/kg of meat.</w:t>
      </w:r>
    </w:p>
    <w:p w:rsidR="004A5D93" w:rsidRPr="003B167D" w:rsidRDefault="004A5D93" w:rsidP="004A5D93">
      <w:pPr>
        <w:rPr>
          <w:sz w:val="20"/>
        </w:rPr>
      </w:pPr>
    </w:p>
    <w:p w:rsidR="004A5D93" w:rsidRPr="003B167D" w:rsidRDefault="004A5D93" w:rsidP="00B3525D">
      <w:pPr>
        <w:pStyle w:val="Subclause"/>
      </w:pPr>
      <w:r w:rsidRPr="003C383C">
        <w:t>(2)</w:t>
      </w:r>
      <w:r w:rsidRPr="003C383C">
        <w:tab/>
        <w:t>Unless the contrary intention appears, the definitions in Chapter 3 of this Code apply for the purposes of this Standard.</w:t>
      </w:r>
    </w:p>
    <w:p w:rsidR="004A5D93" w:rsidRPr="0048557F" w:rsidRDefault="004A5D93" w:rsidP="004A5D93">
      <w:pPr>
        <w:rPr>
          <w:sz w:val="20"/>
        </w:rPr>
      </w:pPr>
    </w:p>
    <w:p w:rsidR="004A5D93" w:rsidRDefault="004A5D93" w:rsidP="004A5D93">
      <w:pPr>
        <w:pStyle w:val="DivisionHeading"/>
      </w:pPr>
      <w:r w:rsidRPr="0048557F">
        <w:t>Division 2 – Primary production of meat</w:t>
      </w:r>
    </w:p>
    <w:p w:rsidR="004A5D93" w:rsidRPr="0048557F" w:rsidRDefault="004A5D93" w:rsidP="004A5D93">
      <w:pPr>
        <w:rPr>
          <w:sz w:val="20"/>
        </w:rPr>
      </w:pPr>
    </w:p>
    <w:p w:rsidR="004A5D93" w:rsidRDefault="004A5D93" w:rsidP="004A5D93">
      <w:pPr>
        <w:pStyle w:val="Clauseheading"/>
      </w:pPr>
      <w:r>
        <w:t>2</w:t>
      </w:r>
      <w:r w:rsidRPr="0048557F">
        <w:tab/>
      </w:r>
      <w:r>
        <w:t>Definitions</w:t>
      </w:r>
    </w:p>
    <w:p w:rsidR="004A5D93" w:rsidRDefault="004A5D93" w:rsidP="004A5D93">
      <w:pPr>
        <w:pStyle w:val="Clauseheading"/>
      </w:pPr>
    </w:p>
    <w:p w:rsidR="004A5D93" w:rsidRPr="00F65518" w:rsidRDefault="004A5D93" w:rsidP="004A5D93">
      <w:pPr>
        <w:pStyle w:val="Clauseheading"/>
        <w:rPr>
          <w:b w:val="0"/>
        </w:rPr>
      </w:pPr>
      <w:r w:rsidRPr="00F65518">
        <w:rPr>
          <w:b w:val="0"/>
        </w:rPr>
        <w:t>In this Division</w:t>
      </w:r>
      <w:r>
        <w:rPr>
          <w:b w:val="0"/>
        </w:rPr>
        <w:t xml:space="preserve"> –</w:t>
      </w:r>
    </w:p>
    <w:p w:rsidR="004A5D93" w:rsidRPr="00E94918" w:rsidRDefault="004A5D93" w:rsidP="004A5D93">
      <w:pPr>
        <w:rPr>
          <w:sz w:val="20"/>
        </w:rPr>
      </w:pPr>
    </w:p>
    <w:p w:rsidR="004A5D93" w:rsidRDefault="004A5D93" w:rsidP="004A5D93">
      <w:pPr>
        <w:pStyle w:val="Definition"/>
      </w:pPr>
      <w:r w:rsidRPr="0048557F" w:rsidDel="00A87273">
        <w:rPr>
          <w:b/>
        </w:rPr>
        <w:t xml:space="preserve">meat </w:t>
      </w:r>
      <w:r w:rsidRPr="0048557F" w:rsidDel="00A87273">
        <w:t>means any part of a slaughtered animal for human consumption.</w:t>
      </w:r>
    </w:p>
    <w:p w:rsidR="004A5D93" w:rsidRDefault="004A5D93" w:rsidP="004A5D93">
      <w:pPr>
        <w:pStyle w:val="Definition"/>
        <w:rPr>
          <w:b/>
          <w:bCs/>
        </w:rPr>
      </w:pPr>
    </w:p>
    <w:p w:rsidR="004A5D93" w:rsidRPr="00F65518" w:rsidRDefault="004A5D93" w:rsidP="004A5D93">
      <w:pPr>
        <w:pStyle w:val="Definition"/>
        <w:rPr>
          <w:b/>
        </w:rPr>
      </w:pPr>
      <w:r w:rsidRPr="0048557F">
        <w:rPr>
          <w:b/>
          <w:bCs/>
        </w:rPr>
        <w:t xml:space="preserve">meat producer </w:t>
      </w:r>
      <w:r w:rsidRPr="0048557F">
        <w:rPr>
          <w:bCs/>
        </w:rPr>
        <w:t xml:space="preserve">means a business, enterprise or activity that involves </w:t>
      </w:r>
      <w:r>
        <w:rPr>
          <w:bCs/>
        </w:rPr>
        <w:t xml:space="preserve">the </w:t>
      </w:r>
      <w:r w:rsidRPr="0048557F">
        <w:rPr>
          <w:bCs/>
        </w:rPr>
        <w:t>growing, supply or transportation of animals for human consumption</w:t>
      </w:r>
      <w:r>
        <w:rPr>
          <w:bCs/>
        </w:rPr>
        <w:t>.</w:t>
      </w:r>
    </w:p>
    <w:p w:rsidR="004A5D93" w:rsidRPr="003B167D" w:rsidRDefault="004A5D93" w:rsidP="004A5D93">
      <w:pPr>
        <w:pStyle w:val="Definition"/>
        <w:ind w:left="0" w:firstLine="0"/>
        <w:rPr>
          <w:b/>
        </w:rPr>
      </w:pPr>
    </w:p>
    <w:p w:rsidR="004A5D93" w:rsidRPr="0048557F" w:rsidRDefault="004A5D93" w:rsidP="004A5D93">
      <w:pPr>
        <w:pStyle w:val="Clauseheading"/>
      </w:pPr>
      <w:r>
        <w:t>2A</w:t>
      </w:r>
      <w:r w:rsidRPr="0048557F">
        <w:tab/>
        <w:t xml:space="preserve">Animals covered by this </w:t>
      </w:r>
      <w:r>
        <w:t>Division</w:t>
      </w:r>
    </w:p>
    <w:p w:rsidR="004A5D93" w:rsidRPr="0048557F" w:rsidRDefault="004A5D93" w:rsidP="004A5D93">
      <w:pPr>
        <w:pStyle w:val="Subclause"/>
      </w:pPr>
    </w:p>
    <w:p w:rsidR="004A5D93" w:rsidRPr="000F00AE" w:rsidRDefault="004A5D93" w:rsidP="004A5D93">
      <w:pPr>
        <w:pStyle w:val="Subclause"/>
      </w:pPr>
      <w:r w:rsidRPr="000F00AE">
        <w:t>(1)</w:t>
      </w:r>
      <w:r w:rsidRPr="000F00AE">
        <w:tab/>
        <w:t xml:space="preserve">In this </w:t>
      </w:r>
      <w:r>
        <w:t>Division</w:t>
      </w:r>
      <w:r w:rsidRPr="000F00AE">
        <w:t xml:space="preserve">, a reference to an animal means an animal of a species listed in Column 2 of the Table. </w:t>
      </w:r>
    </w:p>
    <w:p w:rsidR="004A5D93" w:rsidRPr="000F00AE" w:rsidRDefault="004A5D93" w:rsidP="004A5D93">
      <w:pPr>
        <w:pStyle w:val="Subclause"/>
      </w:pPr>
    </w:p>
    <w:p w:rsidR="004A5D93" w:rsidRDefault="004A5D93" w:rsidP="004A5D93">
      <w:pPr>
        <w:pStyle w:val="Subclause"/>
      </w:pPr>
      <w:r w:rsidRPr="000F00AE">
        <w:t>(2)</w:t>
      </w:r>
      <w:r w:rsidRPr="000F00AE">
        <w:tab/>
        <w:t>However, a reference to an animal does not include an animal of a species listed in Column 2 of the Table if that animal was slaughtered in the wild.</w:t>
      </w:r>
    </w:p>
    <w:p w:rsidR="004A5D93" w:rsidRDefault="004A5D93" w:rsidP="004A5D93">
      <w:pPr>
        <w:pStyle w:val="TableHeading"/>
      </w:pPr>
    </w:p>
    <w:p w:rsidR="004A5D93" w:rsidRPr="0048557F" w:rsidRDefault="004A5D93" w:rsidP="004A5D93">
      <w:pPr>
        <w:pStyle w:val="TableHeading"/>
      </w:pPr>
      <w:r w:rsidRPr="0048557F">
        <w:t xml:space="preserve">Table to </w:t>
      </w:r>
      <w:r>
        <w:t>c</w:t>
      </w:r>
      <w:r w:rsidRPr="0048557F">
        <w:t>lause</w:t>
      </w:r>
      <w:r w:rsidR="001B0865">
        <w:t xml:space="preserve"> 2A</w:t>
      </w:r>
    </w:p>
    <w:p w:rsidR="004A5D93" w:rsidRPr="0048557F" w:rsidRDefault="004A5D93" w:rsidP="004A5D93">
      <w:pPr>
        <w:rPr>
          <w:sz w:val="20"/>
        </w:rPr>
      </w:pPr>
    </w:p>
    <w:tbl>
      <w:tblPr>
        <w:tblStyle w:val="TableGrid"/>
        <w:tblW w:w="0" w:type="auto"/>
        <w:jc w:val="center"/>
        <w:tblLook w:val="04A0" w:firstRow="1" w:lastRow="0" w:firstColumn="1" w:lastColumn="0" w:noHBand="0" w:noVBand="1"/>
      </w:tblPr>
      <w:tblGrid>
        <w:gridCol w:w="1050"/>
        <w:gridCol w:w="1838"/>
      </w:tblGrid>
      <w:tr w:rsidR="004A5D93" w:rsidRPr="0048557F" w:rsidTr="004A5D93">
        <w:trPr>
          <w:trHeight w:val="330"/>
          <w:jc w:val="center"/>
        </w:trPr>
        <w:tc>
          <w:tcPr>
            <w:tcW w:w="1050" w:type="dxa"/>
          </w:tcPr>
          <w:p w:rsidR="004A5D93" w:rsidRPr="0048557F" w:rsidRDefault="004A5D93" w:rsidP="004A5D93">
            <w:pPr>
              <w:pStyle w:val="Table1"/>
            </w:pPr>
            <w:r w:rsidRPr="0048557F">
              <w:t>Column 1</w:t>
            </w:r>
          </w:p>
        </w:tc>
        <w:tc>
          <w:tcPr>
            <w:tcW w:w="1838" w:type="dxa"/>
          </w:tcPr>
          <w:p w:rsidR="004A5D93" w:rsidRPr="0048557F" w:rsidRDefault="004A5D93" w:rsidP="004A5D93">
            <w:pPr>
              <w:pStyle w:val="Table1"/>
            </w:pPr>
            <w:r w:rsidRPr="0048557F">
              <w:t>Column 2</w:t>
            </w:r>
          </w:p>
        </w:tc>
      </w:tr>
      <w:tr w:rsidR="004A5D93" w:rsidRPr="0048557F" w:rsidTr="004A5D93">
        <w:trPr>
          <w:trHeight w:val="330"/>
          <w:jc w:val="center"/>
        </w:trPr>
        <w:tc>
          <w:tcPr>
            <w:tcW w:w="1050" w:type="dxa"/>
          </w:tcPr>
          <w:p w:rsidR="004A5D93" w:rsidRPr="0048557F" w:rsidRDefault="004A5D93" w:rsidP="004A5D93">
            <w:pPr>
              <w:pStyle w:val="Table1"/>
            </w:pPr>
            <w:r w:rsidRPr="0048557F">
              <w:t>Item</w:t>
            </w:r>
          </w:p>
        </w:tc>
        <w:tc>
          <w:tcPr>
            <w:tcW w:w="1838" w:type="dxa"/>
          </w:tcPr>
          <w:p w:rsidR="004A5D93" w:rsidRPr="0048557F" w:rsidRDefault="004A5D93" w:rsidP="004A5D93">
            <w:pPr>
              <w:pStyle w:val="Table1"/>
            </w:pPr>
            <w:r w:rsidRPr="0048557F">
              <w:t>Species</w:t>
            </w:r>
          </w:p>
        </w:tc>
      </w:tr>
      <w:tr w:rsidR="004A5D93" w:rsidRPr="0048557F" w:rsidTr="004A5D93">
        <w:trPr>
          <w:jc w:val="center"/>
        </w:trPr>
        <w:tc>
          <w:tcPr>
            <w:tcW w:w="1050" w:type="dxa"/>
          </w:tcPr>
          <w:p w:rsidR="004A5D93" w:rsidRPr="00130F68" w:rsidRDefault="004A5D93" w:rsidP="004A5D93">
            <w:pPr>
              <w:pStyle w:val="Table2"/>
            </w:pPr>
            <w:r w:rsidRPr="00130F68">
              <w:t>1</w:t>
            </w:r>
          </w:p>
        </w:tc>
        <w:tc>
          <w:tcPr>
            <w:tcW w:w="1838" w:type="dxa"/>
          </w:tcPr>
          <w:p w:rsidR="004A5D93" w:rsidRPr="00130F68" w:rsidRDefault="004A5D93" w:rsidP="004A5D93">
            <w:pPr>
              <w:pStyle w:val="Table2"/>
            </w:pPr>
            <w:r w:rsidRPr="00130F68">
              <w:t>Bovine</w:t>
            </w:r>
          </w:p>
        </w:tc>
      </w:tr>
      <w:tr w:rsidR="004A5D93" w:rsidRPr="0048557F" w:rsidTr="004A5D93">
        <w:trPr>
          <w:jc w:val="center"/>
        </w:trPr>
        <w:tc>
          <w:tcPr>
            <w:tcW w:w="1050" w:type="dxa"/>
          </w:tcPr>
          <w:p w:rsidR="004A5D93" w:rsidRPr="00130F68" w:rsidRDefault="004A5D93" w:rsidP="004A5D93">
            <w:pPr>
              <w:pStyle w:val="Table2"/>
            </w:pPr>
            <w:r w:rsidRPr="00130F68">
              <w:t>2</w:t>
            </w:r>
          </w:p>
        </w:tc>
        <w:tc>
          <w:tcPr>
            <w:tcW w:w="1838" w:type="dxa"/>
          </w:tcPr>
          <w:p w:rsidR="004A5D93" w:rsidRPr="00130F68" w:rsidRDefault="004A5D93" w:rsidP="004A5D93">
            <w:pPr>
              <w:pStyle w:val="Table2"/>
            </w:pPr>
            <w:r w:rsidRPr="00130F68">
              <w:t>Caprine</w:t>
            </w:r>
          </w:p>
        </w:tc>
      </w:tr>
      <w:tr w:rsidR="004A5D93" w:rsidRPr="0048557F" w:rsidTr="004A5D93">
        <w:trPr>
          <w:jc w:val="center"/>
        </w:trPr>
        <w:tc>
          <w:tcPr>
            <w:tcW w:w="1050" w:type="dxa"/>
          </w:tcPr>
          <w:p w:rsidR="004A5D93" w:rsidRPr="00130F68" w:rsidRDefault="004A5D93" w:rsidP="004A5D93">
            <w:pPr>
              <w:pStyle w:val="Table2"/>
            </w:pPr>
            <w:r w:rsidRPr="00130F68">
              <w:t>3</w:t>
            </w:r>
          </w:p>
        </w:tc>
        <w:tc>
          <w:tcPr>
            <w:tcW w:w="1838" w:type="dxa"/>
          </w:tcPr>
          <w:p w:rsidR="004A5D93" w:rsidRPr="00130F68" w:rsidRDefault="004A5D93" w:rsidP="004A5D93">
            <w:pPr>
              <w:pStyle w:val="Table2"/>
            </w:pPr>
            <w:r w:rsidRPr="00130F68">
              <w:t>Ovine</w:t>
            </w:r>
          </w:p>
        </w:tc>
      </w:tr>
      <w:tr w:rsidR="004A5D93" w:rsidRPr="0048557F" w:rsidTr="004A5D93">
        <w:trPr>
          <w:jc w:val="center"/>
        </w:trPr>
        <w:tc>
          <w:tcPr>
            <w:tcW w:w="1050" w:type="dxa"/>
          </w:tcPr>
          <w:p w:rsidR="004A5D93" w:rsidRPr="00130F68" w:rsidRDefault="004A5D93" w:rsidP="004A5D93">
            <w:pPr>
              <w:pStyle w:val="Table2"/>
            </w:pPr>
            <w:r w:rsidRPr="00130F68">
              <w:lastRenderedPageBreak/>
              <w:t>4</w:t>
            </w:r>
          </w:p>
        </w:tc>
        <w:tc>
          <w:tcPr>
            <w:tcW w:w="1838" w:type="dxa"/>
          </w:tcPr>
          <w:p w:rsidR="004A5D93" w:rsidRPr="00130F68" w:rsidRDefault="004A5D93" w:rsidP="004A5D93">
            <w:pPr>
              <w:pStyle w:val="Table2"/>
            </w:pPr>
            <w:r w:rsidRPr="00130F68">
              <w:t>Porcine</w:t>
            </w:r>
          </w:p>
        </w:tc>
      </w:tr>
      <w:tr w:rsidR="004A5D93" w:rsidRPr="0048557F" w:rsidTr="004A5D93">
        <w:trPr>
          <w:jc w:val="center"/>
        </w:trPr>
        <w:tc>
          <w:tcPr>
            <w:tcW w:w="1050" w:type="dxa"/>
          </w:tcPr>
          <w:p w:rsidR="004A5D93" w:rsidRPr="00130F68" w:rsidRDefault="004A5D93" w:rsidP="004A5D93">
            <w:pPr>
              <w:pStyle w:val="Table2"/>
            </w:pPr>
            <w:r w:rsidRPr="00130F68">
              <w:t>5</w:t>
            </w:r>
          </w:p>
        </w:tc>
        <w:tc>
          <w:tcPr>
            <w:tcW w:w="1838" w:type="dxa"/>
          </w:tcPr>
          <w:p w:rsidR="004A5D93" w:rsidRPr="00130F68" w:rsidRDefault="004A5D93" w:rsidP="004A5D93">
            <w:pPr>
              <w:pStyle w:val="Table2"/>
            </w:pPr>
            <w:r w:rsidRPr="00130F68">
              <w:t>Bubaline</w:t>
            </w:r>
          </w:p>
        </w:tc>
      </w:tr>
      <w:tr w:rsidR="004A5D93" w:rsidRPr="0048557F" w:rsidTr="004A5D93">
        <w:trPr>
          <w:jc w:val="center"/>
        </w:trPr>
        <w:tc>
          <w:tcPr>
            <w:tcW w:w="1050" w:type="dxa"/>
          </w:tcPr>
          <w:p w:rsidR="004A5D93" w:rsidRPr="00130F68" w:rsidRDefault="004A5D93" w:rsidP="004A5D93">
            <w:pPr>
              <w:pStyle w:val="Table2"/>
            </w:pPr>
            <w:r w:rsidRPr="00130F68">
              <w:t>6</w:t>
            </w:r>
          </w:p>
        </w:tc>
        <w:tc>
          <w:tcPr>
            <w:tcW w:w="1838" w:type="dxa"/>
          </w:tcPr>
          <w:p w:rsidR="004A5D93" w:rsidRPr="00130F68" w:rsidRDefault="004A5D93" w:rsidP="004A5D93">
            <w:pPr>
              <w:pStyle w:val="Table2"/>
            </w:pPr>
            <w:r w:rsidRPr="00130F68">
              <w:t>Camelidae</w:t>
            </w:r>
          </w:p>
        </w:tc>
      </w:tr>
      <w:tr w:rsidR="004A5D93" w:rsidRPr="0048557F" w:rsidTr="004A5D93">
        <w:trPr>
          <w:jc w:val="center"/>
        </w:trPr>
        <w:tc>
          <w:tcPr>
            <w:tcW w:w="1050" w:type="dxa"/>
          </w:tcPr>
          <w:p w:rsidR="004A5D93" w:rsidRPr="00130F68" w:rsidRDefault="004A5D93" w:rsidP="004A5D93">
            <w:pPr>
              <w:pStyle w:val="Table2"/>
            </w:pPr>
            <w:r w:rsidRPr="00130F68">
              <w:t>7</w:t>
            </w:r>
          </w:p>
        </w:tc>
        <w:tc>
          <w:tcPr>
            <w:tcW w:w="1838" w:type="dxa"/>
          </w:tcPr>
          <w:p w:rsidR="004A5D93" w:rsidRPr="00130F68" w:rsidRDefault="004A5D93" w:rsidP="004A5D93">
            <w:pPr>
              <w:pStyle w:val="Table2"/>
            </w:pPr>
            <w:r w:rsidRPr="00130F68">
              <w:t>Cervidae</w:t>
            </w:r>
          </w:p>
        </w:tc>
      </w:tr>
      <w:tr w:rsidR="004A5D93" w:rsidRPr="0048557F" w:rsidTr="004A5D93">
        <w:trPr>
          <w:jc w:val="center"/>
        </w:trPr>
        <w:tc>
          <w:tcPr>
            <w:tcW w:w="1050" w:type="dxa"/>
          </w:tcPr>
          <w:p w:rsidR="004A5D93" w:rsidRPr="00130F68" w:rsidRDefault="004A5D93" w:rsidP="004A5D93">
            <w:pPr>
              <w:pStyle w:val="Table2"/>
            </w:pPr>
            <w:r w:rsidRPr="00130F68">
              <w:t>8</w:t>
            </w:r>
          </w:p>
        </w:tc>
        <w:tc>
          <w:tcPr>
            <w:tcW w:w="1838" w:type="dxa"/>
          </w:tcPr>
          <w:p w:rsidR="004A5D93" w:rsidRPr="00130F68" w:rsidRDefault="004A5D93" w:rsidP="004A5D93">
            <w:pPr>
              <w:pStyle w:val="Table2"/>
            </w:pPr>
            <w:r w:rsidRPr="00130F68">
              <w:t>Crocodylidae</w:t>
            </w:r>
          </w:p>
        </w:tc>
      </w:tr>
      <w:tr w:rsidR="004A5D93" w:rsidRPr="0048557F" w:rsidTr="004A5D93">
        <w:trPr>
          <w:jc w:val="center"/>
        </w:trPr>
        <w:tc>
          <w:tcPr>
            <w:tcW w:w="1050" w:type="dxa"/>
          </w:tcPr>
          <w:p w:rsidR="004A5D93" w:rsidRPr="00130F68" w:rsidRDefault="004A5D93" w:rsidP="004A5D93">
            <w:pPr>
              <w:pStyle w:val="Table2"/>
            </w:pPr>
            <w:r w:rsidRPr="00130F68">
              <w:t>9</w:t>
            </w:r>
          </w:p>
        </w:tc>
        <w:tc>
          <w:tcPr>
            <w:tcW w:w="1838" w:type="dxa"/>
          </w:tcPr>
          <w:p w:rsidR="004A5D93" w:rsidRPr="00130F68" w:rsidRDefault="004A5D93" w:rsidP="004A5D93">
            <w:pPr>
              <w:pStyle w:val="Table2"/>
            </w:pPr>
            <w:r w:rsidRPr="00130F68">
              <w:t>Lagomorph</w:t>
            </w:r>
          </w:p>
        </w:tc>
      </w:tr>
      <w:tr w:rsidR="004A5D93" w:rsidRPr="0048557F" w:rsidTr="004A5D93">
        <w:trPr>
          <w:jc w:val="center"/>
        </w:trPr>
        <w:tc>
          <w:tcPr>
            <w:tcW w:w="1050" w:type="dxa"/>
          </w:tcPr>
          <w:p w:rsidR="004A5D93" w:rsidRPr="00130F68" w:rsidRDefault="004A5D93" w:rsidP="004A5D93">
            <w:pPr>
              <w:pStyle w:val="Table2"/>
            </w:pPr>
            <w:r w:rsidRPr="00130F68">
              <w:t>10</w:t>
            </w:r>
          </w:p>
        </w:tc>
        <w:tc>
          <w:tcPr>
            <w:tcW w:w="1838" w:type="dxa"/>
          </w:tcPr>
          <w:p w:rsidR="004A5D93" w:rsidRPr="00130F68" w:rsidRDefault="004A5D93" w:rsidP="004A5D93">
            <w:pPr>
              <w:pStyle w:val="Table2"/>
            </w:pPr>
            <w:r w:rsidRPr="00130F68">
              <w:t>Ratite</w:t>
            </w:r>
          </w:p>
        </w:tc>
      </w:tr>
      <w:tr w:rsidR="004A5D93" w:rsidRPr="0048557F" w:rsidTr="004A5D93">
        <w:trPr>
          <w:jc w:val="center"/>
        </w:trPr>
        <w:tc>
          <w:tcPr>
            <w:tcW w:w="1050" w:type="dxa"/>
          </w:tcPr>
          <w:p w:rsidR="004A5D93" w:rsidRPr="00130F68" w:rsidRDefault="004A5D93" w:rsidP="004A5D93">
            <w:pPr>
              <w:pStyle w:val="Table2"/>
            </w:pPr>
            <w:r w:rsidRPr="00130F68">
              <w:t>11</w:t>
            </w:r>
          </w:p>
        </w:tc>
        <w:tc>
          <w:tcPr>
            <w:tcW w:w="1838" w:type="dxa"/>
          </w:tcPr>
          <w:p w:rsidR="004A5D93" w:rsidRPr="00130F68" w:rsidRDefault="004A5D93" w:rsidP="004A5D93">
            <w:pPr>
              <w:pStyle w:val="Table2"/>
            </w:pPr>
            <w:r w:rsidRPr="00130F68">
              <w:t>Soliped</w:t>
            </w:r>
          </w:p>
        </w:tc>
      </w:tr>
    </w:tbl>
    <w:p w:rsidR="004A5D93" w:rsidRPr="00916ED6" w:rsidRDefault="004A5D93" w:rsidP="004A5D93">
      <w:pPr>
        <w:rPr>
          <w:sz w:val="20"/>
          <w:szCs w:val="20"/>
        </w:rPr>
      </w:pPr>
    </w:p>
    <w:p w:rsidR="004A5D93" w:rsidRPr="00916ED6" w:rsidRDefault="004A5D93" w:rsidP="004A5D93">
      <w:pPr>
        <w:pStyle w:val="Clauseheading"/>
      </w:pPr>
      <w:r w:rsidRPr="00916ED6">
        <w:t>2B</w:t>
      </w:r>
      <w:r w:rsidRPr="00916ED6">
        <w:tab/>
        <w:t>Application of Division to retail sale activities</w:t>
      </w:r>
    </w:p>
    <w:p w:rsidR="004A5D93" w:rsidRPr="00916ED6" w:rsidRDefault="004A5D93" w:rsidP="004A5D93">
      <w:pPr>
        <w:rPr>
          <w:sz w:val="20"/>
          <w:szCs w:val="20"/>
        </w:rPr>
      </w:pPr>
    </w:p>
    <w:p w:rsidR="004A5D93" w:rsidRPr="00916ED6" w:rsidRDefault="004A5D93" w:rsidP="004A5D93">
      <w:pPr>
        <w:pStyle w:val="Clause"/>
      </w:pPr>
      <w:r w:rsidRPr="00916ED6">
        <w:t>This Division does not apply to the retail sale activities of a meat producer.</w:t>
      </w:r>
    </w:p>
    <w:p w:rsidR="004A5D93" w:rsidRPr="00916ED6" w:rsidRDefault="004A5D93" w:rsidP="004A5D93">
      <w:pPr>
        <w:pStyle w:val="Clauseheading"/>
      </w:pPr>
    </w:p>
    <w:p w:rsidR="004A5D93" w:rsidRPr="00916ED6" w:rsidRDefault="004A5D93" w:rsidP="004A5D93">
      <w:pPr>
        <w:pStyle w:val="Clauseheading"/>
      </w:pPr>
      <w:r w:rsidRPr="00916ED6">
        <w:t>2C</w:t>
      </w:r>
      <w:r w:rsidRPr="00916ED6">
        <w:tab/>
        <w:t>Inputs</w:t>
      </w:r>
    </w:p>
    <w:p w:rsidR="004A5D93" w:rsidRPr="00916ED6" w:rsidRDefault="004A5D93" w:rsidP="004A5D93">
      <w:pPr>
        <w:pStyle w:val="Clause"/>
      </w:pPr>
    </w:p>
    <w:p w:rsidR="004A5D93" w:rsidRPr="00916ED6" w:rsidRDefault="004A5D93" w:rsidP="004A5D93">
      <w:pPr>
        <w:pStyle w:val="Clause"/>
      </w:pPr>
      <w:r w:rsidRPr="00916ED6">
        <w:t xml:space="preserve">A meat producer must take all reasonable measures to ensure that inputs do not adversely affect the safety or suitability of meat or meat products.  </w:t>
      </w:r>
    </w:p>
    <w:p w:rsidR="004A5D93" w:rsidRPr="00916ED6" w:rsidRDefault="004A5D93" w:rsidP="004A5D93">
      <w:pPr>
        <w:rPr>
          <w:sz w:val="20"/>
          <w:szCs w:val="20"/>
        </w:rPr>
      </w:pPr>
    </w:p>
    <w:p w:rsidR="004A5D93" w:rsidRPr="00916ED6" w:rsidRDefault="004A5D93" w:rsidP="004A5D93">
      <w:pPr>
        <w:pStyle w:val="Clauseheading"/>
      </w:pPr>
      <w:r w:rsidRPr="00916ED6">
        <w:t>2D</w:t>
      </w:r>
      <w:r w:rsidRPr="00916ED6">
        <w:tab/>
        <w:t>Waste disposal</w:t>
      </w:r>
    </w:p>
    <w:p w:rsidR="004A5D93" w:rsidRPr="00916ED6" w:rsidRDefault="004A5D93" w:rsidP="004A5D93">
      <w:pPr>
        <w:rPr>
          <w:sz w:val="20"/>
          <w:szCs w:val="20"/>
        </w:rPr>
      </w:pPr>
    </w:p>
    <w:p w:rsidR="004A5D93" w:rsidRPr="00916ED6" w:rsidRDefault="004A5D93" w:rsidP="004A5D93">
      <w:pPr>
        <w:pStyle w:val="Clause"/>
      </w:pPr>
      <w:r w:rsidRPr="00916ED6">
        <w:t>A meat producer must store, handle and dispose of waste in a manner that will not adversely affect the safety or suitability of meat or meat products.</w:t>
      </w:r>
    </w:p>
    <w:p w:rsidR="004A5D93" w:rsidRPr="00916ED6" w:rsidRDefault="004A5D93" w:rsidP="004A5D93">
      <w:pPr>
        <w:rPr>
          <w:sz w:val="20"/>
          <w:szCs w:val="20"/>
        </w:rPr>
      </w:pPr>
    </w:p>
    <w:p w:rsidR="004A5D93" w:rsidRPr="00916ED6" w:rsidRDefault="004A5D93" w:rsidP="004A5D93">
      <w:pPr>
        <w:pStyle w:val="Clauseheading"/>
      </w:pPr>
      <w:r w:rsidRPr="00916ED6">
        <w:t>2E</w:t>
      </w:r>
      <w:r w:rsidRPr="00916ED6">
        <w:tab/>
        <w:t>Traceability</w:t>
      </w:r>
    </w:p>
    <w:p w:rsidR="004A5D93" w:rsidRPr="00916ED6" w:rsidRDefault="004A5D93" w:rsidP="004A5D93">
      <w:pPr>
        <w:rPr>
          <w:sz w:val="20"/>
          <w:szCs w:val="20"/>
        </w:rPr>
      </w:pPr>
    </w:p>
    <w:p w:rsidR="004A5D93" w:rsidRPr="00916ED6" w:rsidRDefault="004A5D93" w:rsidP="004A5D93">
      <w:pPr>
        <w:pStyle w:val="Clause"/>
      </w:pPr>
      <w:r w:rsidRPr="00916ED6">
        <w:t>A meat producer must have a system to identify the persons –</w:t>
      </w:r>
    </w:p>
    <w:p w:rsidR="004A5D93" w:rsidRPr="00916ED6" w:rsidRDefault="004A5D93" w:rsidP="004A5D93">
      <w:pPr>
        <w:rPr>
          <w:sz w:val="20"/>
          <w:szCs w:val="20"/>
        </w:rPr>
      </w:pPr>
    </w:p>
    <w:p w:rsidR="004A5D93" w:rsidRPr="00916ED6" w:rsidRDefault="004A5D93" w:rsidP="004A5D93">
      <w:pPr>
        <w:pStyle w:val="Paragraph"/>
      </w:pPr>
      <w:r w:rsidRPr="00916ED6">
        <w:t>(a)</w:t>
      </w:r>
      <w:r w:rsidRPr="00916ED6">
        <w:tab/>
        <w:t>from whom animals were received; and</w:t>
      </w:r>
    </w:p>
    <w:p w:rsidR="004A5D93" w:rsidRPr="00916ED6" w:rsidRDefault="004A5D93" w:rsidP="004A5D93">
      <w:pPr>
        <w:pStyle w:val="Paragraph"/>
      </w:pPr>
      <w:r w:rsidRPr="00916ED6">
        <w:t>(b)</w:t>
      </w:r>
      <w:r w:rsidRPr="00916ED6">
        <w:tab/>
        <w:t>to whom animals were supplied.</w:t>
      </w:r>
    </w:p>
    <w:p w:rsidR="004A5D93" w:rsidRDefault="004A5D93" w:rsidP="004A5D93"/>
    <w:p w:rsidR="004A5D93" w:rsidRPr="00CC38AE" w:rsidRDefault="004A5D93" w:rsidP="004A5D93">
      <w:pPr>
        <w:pStyle w:val="EditorialNotetext"/>
        <w:rPr>
          <w:b/>
        </w:rPr>
      </w:pPr>
      <w:r w:rsidRPr="00CC38AE">
        <w:rPr>
          <w:b/>
        </w:rPr>
        <w:t>Editorial Note:</w:t>
      </w:r>
    </w:p>
    <w:p w:rsidR="004A5D93" w:rsidRDefault="004A5D93" w:rsidP="004A5D93">
      <w:pPr>
        <w:pStyle w:val="EditorialNotetext"/>
      </w:pPr>
    </w:p>
    <w:p w:rsidR="004A5D93" w:rsidRDefault="004A5D93" w:rsidP="004A5D93">
      <w:pPr>
        <w:pStyle w:val="EditorialNotetext"/>
      </w:pPr>
      <w:r w:rsidRPr="000F00AE">
        <w:rPr>
          <w:rFonts w:cs="Arial"/>
          <w:lang w:val="en-AU"/>
        </w:rPr>
        <w:t xml:space="preserve">State and Territory laws govern the slaughter and processing of animals for human consumption, including </w:t>
      </w:r>
      <w:r>
        <w:rPr>
          <w:rFonts w:cs="Arial"/>
          <w:lang w:val="en-AU"/>
        </w:rPr>
        <w:t xml:space="preserve">of animals in the wild, and </w:t>
      </w:r>
      <w:r w:rsidRPr="000F00AE">
        <w:rPr>
          <w:rFonts w:cs="Arial"/>
          <w:lang w:val="en-AU"/>
        </w:rPr>
        <w:t>the preparation, packing, transportation or storage of meat or meat products. These laws require persons involved in such activities to comply with the following Australian Standards</w:t>
      </w:r>
      <w:r w:rsidRPr="000F00AE">
        <w:t>:</w:t>
      </w:r>
    </w:p>
    <w:p w:rsidR="004A5D93" w:rsidRPr="000F00AE" w:rsidRDefault="004A5D93" w:rsidP="004A5D93">
      <w:pPr>
        <w:pStyle w:val="EditorialNotetext"/>
      </w:pPr>
    </w:p>
    <w:p w:rsidR="004A5D93" w:rsidRPr="000F00AE" w:rsidRDefault="004A5D93" w:rsidP="004A5D93">
      <w:pPr>
        <w:pStyle w:val="EditorialNotetext"/>
        <w:tabs>
          <w:tab w:val="clear" w:pos="851"/>
          <w:tab w:val="left" w:pos="284"/>
        </w:tabs>
      </w:pPr>
      <w:r>
        <w:rPr>
          <w:rFonts w:cs="Arial"/>
        </w:rPr>
        <w:t>AS 4464:2007 --</w:t>
      </w:r>
      <w:r w:rsidRPr="000F00AE">
        <w:rPr>
          <w:rFonts w:cs="Arial"/>
        </w:rPr>
        <w:t xml:space="preserve"> </w:t>
      </w:r>
      <w:r w:rsidRPr="000F00AE">
        <w:rPr>
          <w:rFonts w:cs="Arial"/>
          <w:i/>
        </w:rPr>
        <w:t>Hygienic Production of Wild Game Meat for Human Consumption</w:t>
      </w:r>
    </w:p>
    <w:p w:rsidR="004A5D93" w:rsidRDefault="004A5D93" w:rsidP="004A5D93">
      <w:pPr>
        <w:pStyle w:val="EditorialNotetext"/>
        <w:ind w:left="284" w:hanging="284"/>
        <w:rPr>
          <w:rFonts w:cs="Arial"/>
          <w:i/>
        </w:rPr>
      </w:pPr>
      <w:r>
        <w:rPr>
          <w:rFonts w:cs="Arial"/>
        </w:rPr>
        <w:t xml:space="preserve">AS 4466:1998 -- </w:t>
      </w:r>
      <w:r w:rsidRPr="00F73DBD">
        <w:rPr>
          <w:rFonts w:cs="Arial"/>
          <w:i/>
        </w:rPr>
        <w:t>Hygienic Production of Rabbit Meat for Human Consumption</w:t>
      </w:r>
    </w:p>
    <w:p w:rsidR="004A5D93" w:rsidRPr="000E7B40" w:rsidRDefault="004A5D93" w:rsidP="004A5D93">
      <w:pPr>
        <w:pStyle w:val="EditorialNotetext"/>
        <w:ind w:left="284" w:hanging="284"/>
        <w:rPr>
          <w:rFonts w:cs="Arial"/>
          <w:i/>
        </w:rPr>
      </w:pPr>
      <w:r>
        <w:rPr>
          <w:rFonts w:cs="Arial"/>
        </w:rPr>
        <w:t>AS 4467:</w:t>
      </w:r>
      <w:r w:rsidRPr="006E222A">
        <w:rPr>
          <w:rFonts w:cs="Arial"/>
        </w:rPr>
        <w:t>1998 -</w:t>
      </w:r>
      <w:r>
        <w:rPr>
          <w:rFonts w:cs="Arial"/>
        </w:rPr>
        <w:t xml:space="preserve">- </w:t>
      </w:r>
      <w:r w:rsidRPr="006E222A">
        <w:rPr>
          <w:rFonts w:cs="Arial"/>
          <w:i/>
        </w:rPr>
        <w:t>Hygienic Production of</w:t>
      </w:r>
      <w:r w:rsidRPr="006E222A">
        <w:rPr>
          <w:rFonts w:cs="Arial"/>
          <w:b/>
          <w:i/>
        </w:rPr>
        <w:t xml:space="preserve"> </w:t>
      </w:r>
      <w:r w:rsidRPr="006E222A">
        <w:rPr>
          <w:rFonts w:cs="Arial"/>
          <w:i/>
        </w:rPr>
        <w:t>Crocodile Meat for Human Consumption</w:t>
      </w:r>
    </w:p>
    <w:p w:rsidR="004A5D93" w:rsidRDefault="004A5D93" w:rsidP="00B3525D">
      <w:pPr>
        <w:pStyle w:val="EditorialNotetext"/>
        <w:rPr>
          <w:rFonts w:cs="Arial"/>
          <w:i/>
        </w:rPr>
      </w:pPr>
      <w:r>
        <w:rPr>
          <w:rFonts w:cs="Arial"/>
        </w:rPr>
        <w:t xml:space="preserve">AS </w:t>
      </w:r>
      <w:r w:rsidRPr="00F73DBD">
        <w:rPr>
          <w:rFonts w:cs="Arial"/>
        </w:rPr>
        <w:t>4696:</w:t>
      </w:r>
      <w:r>
        <w:rPr>
          <w:rFonts w:cs="Arial"/>
        </w:rPr>
        <w:t xml:space="preserve"> </w:t>
      </w:r>
      <w:r w:rsidRPr="00F73DBD">
        <w:rPr>
          <w:rFonts w:cs="Arial"/>
        </w:rPr>
        <w:t xml:space="preserve">2007 </w:t>
      </w:r>
      <w:r w:rsidR="00A33358" w:rsidRPr="006E222A">
        <w:rPr>
          <w:rFonts w:cs="Arial"/>
        </w:rPr>
        <w:t>-</w:t>
      </w:r>
      <w:r w:rsidR="00A33358">
        <w:rPr>
          <w:rFonts w:cs="Arial"/>
        </w:rPr>
        <w:t>-</w:t>
      </w:r>
      <w:r>
        <w:rPr>
          <w:rFonts w:cs="Arial"/>
        </w:rPr>
        <w:t xml:space="preserve"> </w:t>
      </w:r>
      <w:r w:rsidRPr="00F73DBD">
        <w:rPr>
          <w:rFonts w:cs="Arial"/>
          <w:i/>
        </w:rPr>
        <w:t>Hygienic Production and Transportation of Meat and Mea</w:t>
      </w:r>
      <w:r>
        <w:rPr>
          <w:rFonts w:cs="Arial"/>
          <w:i/>
        </w:rPr>
        <w:t>t Products for Human Consumption</w:t>
      </w:r>
    </w:p>
    <w:p w:rsidR="004A5D93" w:rsidRDefault="004A5D93" w:rsidP="004A5D93">
      <w:pPr>
        <w:pStyle w:val="EditorialNotetext"/>
        <w:ind w:left="284" w:hanging="284"/>
        <w:rPr>
          <w:rFonts w:cs="Arial"/>
        </w:rPr>
      </w:pPr>
      <w:r>
        <w:rPr>
          <w:rFonts w:cs="Arial"/>
        </w:rPr>
        <w:t xml:space="preserve">AS 5008: </w:t>
      </w:r>
      <w:r w:rsidRPr="0033378E">
        <w:rPr>
          <w:rFonts w:cs="Arial"/>
        </w:rPr>
        <w:t xml:space="preserve">2007 </w:t>
      </w:r>
      <w:r>
        <w:rPr>
          <w:rFonts w:cs="Arial"/>
        </w:rPr>
        <w:t xml:space="preserve">-- </w:t>
      </w:r>
      <w:r>
        <w:rPr>
          <w:rFonts w:cs="Arial"/>
          <w:i/>
        </w:rPr>
        <w:t xml:space="preserve">Hygienic rendering </w:t>
      </w:r>
      <w:r w:rsidRPr="000E7B40">
        <w:rPr>
          <w:rFonts w:cs="Arial"/>
          <w:i/>
        </w:rPr>
        <w:t>of animal products</w:t>
      </w:r>
    </w:p>
    <w:p w:rsidR="004A5D93" w:rsidRPr="000E7B40" w:rsidRDefault="004A5D93" w:rsidP="004A5D93">
      <w:pPr>
        <w:pStyle w:val="EditorialNotetext"/>
        <w:ind w:left="284" w:hanging="284"/>
        <w:rPr>
          <w:rFonts w:cs="Arial"/>
          <w:i/>
        </w:rPr>
      </w:pPr>
      <w:r>
        <w:rPr>
          <w:rFonts w:cs="Arial"/>
        </w:rPr>
        <w:t xml:space="preserve">AS </w:t>
      </w:r>
      <w:r w:rsidRPr="006E222A">
        <w:rPr>
          <w:rFonts w:cs="Arial"/>
        </w:rPr>
        <w:t>5010:</w:t>
      </w:r>
      <w:r>
        <w:rPr>
          <w:rFonts w:cs="Arial"/>
        </w:rPr>
        <w:t xml:space="preserve"> </w:t>
      </w:r>
      <w:r w:rsidRPr="006E222A">
        <w:rPr>
          <w:rFonts w:cs="Arial"/>
        </w:rPr>
        <w:t>2001 -</w:t>
      </w:r>
      <w:r>
        <w:rPr>
          <w:rFonts w:cs="Arial"/>
        </w:rPr>
        <w:t>-</w:t>
      </w:r>
      <w:r w:rsidRPr="006E222A">
        <w:rPr>
          <w:rFonts w:cs="Arial"/>
        </w:rPr>
        <w:t xml:space="preserve"> </w:t>
      </w:r>
      <w:r w:rsidRPr="006E222A">
        <w:rPr>
          <w:rFonts w:cs="Arial"/>
          <w:i/>
        </w:rPr>
        <w:t>Hygienic Production of Ratite Meat for Human Consumption</w:t>
      </w:r>
    </w:p>
    <w:p w:rsidR="004A5D93" w:rsidRDefault="004A5D93" w:rsidP="004A5D93">
      <w:pPr>
        <w:pStyle w:val="EditorialNotetext"/>
        <w:ind w:left="284" w:hanging="284"/>
      </w:pPr>
      <w:r>
        <w:rPr>
          <w:rFonts w:cs="Arial"/>
        </w:rPr>
        <w:t xml:space="preserve">AS 5011: </w:t>
      </w:r>
      <w:r w:rsidRPr="0033378E">
        <w:rPr>
          <w:rFonts w:cs="Arial"/>
        </w:rPr>
        <w:t xml:space="preserve">2011 </w:t>
      </w:r>
      <w:r>
        <w:rPr>
          <w:rFonts w:cs="Arial"/>
        </w:rPr>
        <w:t xml:space="preserve">-- </w:t>
      </w:r>
      <w:r>
        <w:rPr>
          <w:rFonts w:cs="Arial"/>
          <w:i/>
        </w:rPr>
        <w:t>H</w:t>
      </w:r>
      <w:r w:rsidRPr="000E7B40">
        <w:rPr>
          <w:rFonts w:cs="Arial"/>
          <w:i/>
        </w:rPr>
        <w:t>ygienic productions of natural casings for human consumption</w:t>
      </w:r>
      <w:r>
        <w:t>.</w:t>
      </w:r>
    </w:p>
    <w:p w:rsidR="004A5D93" w:rsidRPr="0027542C" w:rsidRDefault="004A5D93" w:rsidP="004A5D93">
      <w:pPr>
        <w:pStyle w:val="ListParagraph"/>
        <w:tabs>
          <w:tab w:val="left" w:pos="851"/>
        </w:tabs>
        <w:ind w:left="0"/>
        <w:jc w:val="right"/>
        <w:rPr>
          <w:color w:val="FF0000"/>
          <w:sz w:val="20"/>
          <w:szCs w:val="20"/>
        </w:rPr>
      </w:pPr>
      <w:r>
        <w:t>”</w:t>
      </w:r>
    </w:p>
    <w:p w:rsidR="004A5D93" w:rsidRDefault="004A5D93" w:rsidP="004A5D93"/>
    <w:p w:rsidR="004A5D93" w:rsidRDefault="004A5D93" w:rsidP="004A5D93">
      <w:pPr>
        <w:pStyle w:val="Subclause"/>
        <w:rPr>
          <w:iCs/>
        </w:rPr>
      </w:pPr>
      <w:r>
        <w:t>[2</w:t>
      </w:r>
      <w:r w:rsidRPr="00401721">
        <w:t>.2]</w:t>
      </w:r>
      <w:r w:rsidRPr="00401721">
        <w:tab/>
        <w:t>updating the Table of Provisions</w:t>
      </w:r>
      <w:r w:rsidRPr="00401721">
        <w:rPr>
          <w:iCs/>
        </w:rPr>
        <w:t xml:space="preserve"> to reflect these variations.</w:t>
      </w:r>
    </w:p>
    <w:p w:rsidR="004A5D93" w:rsidRDefault="004A5D93" w:rsidP="004A5D93">
      <w:r>
        <w:br w:type="page"/>
      </w:r>
    </w:p>
    <w:p w:rsidR="004A5D93" w:rsidRDefault="004A5D93" w:rsidP="004A5D93">
      <w:pPr>
        <w:pStyle w:val="Heading2"/>
      </w:pPr>
      <w:bookmarkStart w:id="120" w:name="_Toc320631367"/>
      <w:bookmarkStart w:id="121" w:name="_Toc365904144"/>
      <w:bookmarkStart w:id="122" w:name="_Toc387850963"/>
      <w:r w:rsidRPr="00932F14">
        <w:lastRenderedPageBreak/>
        <w:t xml:space="preserve">Attachment </w:t>
      </w:r>
      <w:r>
        <w:t>B –</w:t>
      </w:r>
      <w:r w:rsidR="008F3F16">
        <w:t xml:space="preserve"> </w:t>
      </w:r>
      <w:r>
        <w:t>Explanatory Statement</w:t>
      </w:r>
      <w:bookmarkEnd w:id="120"/>
      <w:bookmarkEnd w:id="121"/>
      <w:bookmarkEnd w:id="122"/>
    </w:p>
    <w:p w:rsidR="004A5D93" w:rsidRPr="000576EB" w:rsidRDefault="004A5D93" w:rsidP="004A5D93">
      <w:pPr>
        <w:rPr>
          <w:b/>
          <w:lang w:val="en-AU" w:eastAsia="en-GB" w:bidi="ar-SA"/>
        </w:rPr>
      </w:pPr>
      <w:r w:rsidRPr="000576EB">
        <w:rPr>
          <w:b/>
          <w:lang w:val="en-AU" w:eastAsia="en-GB" w:bidi="ar-SA"/>
        </w:rPr>
        <w:t>1.</w:t>
      </w:r>
      <w:r w:rsidRPr="000576EB">
        <w:rPr>
          <w:b/>
          <w:lang w:val="en-AU" w:eastAsia="en-GB" w:bidi="ar-SA"/>
        </w:rPr>
        <w:tab/>
        <w:t>Authority</w:t>
      </w:r>
    </w:p>
    <w:p w:rsidR="004A5D93" w:rsidRDefault="004A5D93" w:rsidP="004A5D93">
      <w:pPr>
        <w:rPr>
          <w:lang w:val="en-AU" w:eastAsia="en-GB" w:bidi="ar-SA"/>
        </w:rPr>
      </w:pPr>
    </w:p>
    <w:p w:rsidR="004A5D93" w:rsidRPr="00AF4B09" w:rsidRDefault="004A5D93" w:rsidP="004A5D93">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Section 13 of the </w:t>
      </w:r>
      <w:r w:rsidRPr="00AF4B09">
        <w:rPr>
          <w:rFonts w:eastAsia="Calibri" w:cs="Arial"/>
          <w:bCs/>
          <w:i/>
          <w:szCs w:val="22"/>
          <w:lang w:val="en-AU" w:bidi="ar-SA"/>
        </w:rPr>
        <w:t>Food Standards Australia New Zealand Act 1991</w:t>
      </w:r>
      <w:r w:rsidRPr="00AF4B09">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AF4B09">
        <w:rPr>
          <w:rFonts w:eastAsia="Calibri" w:cs="Arial"/>
          <w:bCs/>
          <w:i/>
          <w:szCs w:val="22"/>
          <w:lang w:val="en-AU" w:bidi="ar-SA"/>
        </w:rPr>
        <w:t>Australia New Zealand Food Standards Code</w:t>
      </w:r>
      <w:r w:rsidRPr="00AF4B09">
        <w:rPr>
          <w:rFonts w:eastAsia="Calibri" w:cs="Arial"/>
          <w:bCs/>
          <w:szCs w:val="22"/>
          <w:lang w:val="en-AU" w:bidi="ar-SA"/>
        </w:rPr>
        <w:t xml:space="preserve"> (the Code).</w:t>
      </w:r>
    </w:p>
    <w:p w:rsidR="004A5D93" w:rsidRPr="00AF4B09" w:rsidRDefault="004A5D93" w:rsidP="004A5D93">
      <w:pPr>
        <w:widowControl/>
        <w:autoSpaceDE w:val="0"/>
        <w:autoSpaceDN w:val="0"/>
        <w:adjustRightInd w:val="0"/>
        <w:rPr>
          <w:rFonts w:eastAsia="Calibri" w:cs="Arial"/>
          <w:bCs/>
          <w:szCs w:val="22"/>
          <w:lang w:val="en-AU" w:bidi="ar-SA"/>
        </w:rPr>
      </w:pPr>
    </w:p>
    <w:p w:rsidR="004A5D93" w:rsidRPr="00AF4B09" w:rsidRDefault="004A5D93" w:rsidP="004A5D93">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4A5D93" w:rsidRPr="00AF4B09" w:rsidRDefault="004A5D93" w:rsidP="004A5D93">
      <w:pPr>
        <w:widowControl/>
        <w:autoSpaceDE w:val="0"/>
        <w:autoSpaceDN w:val="0"/>
        <w:adjustRightInd w:val="0"/>
        <w:rPr>
          <w:rFonts w:eastAsia="Calibri" w:cs="Arial"/>
          <w:bCs/>
          <w:szCs w:val="22"/>
          <w:lang w:val="en-AU" w:bidi="ar-SA"/>
        </w:rPr>
      </w:pPr>
    </w:p>
    <w:p w:rsidR="004A5D93" w:rsidRDefault="004A5D93" w:rsidP="004A5D93">
      <w:pPr>
        <w:pStyle w:val="Bullet"/>
        <w:numPr>
          <w:ilvl w:val="0"/>
          <w:numId w:val="0"/>
        </w:numPr>
        <w:rPr>
          <w:rFonts w:ascii="Arial" w:hAnsi="Arial" w:cs="Arial"/>
          <w:sz w:val="22"/>
          <w:szCs w:val="22"/>
        </w:rPr>
      </w:pPr>
      <w:r w:rsidRPr="00AF4B09">
        <w:rPr>
          <w:rFonts w:ascii="Arial" w:eastAsia="Calibri" w:hAnsi="Arial" w:cs="Arial"/>
          <w:bCs/>
          <w:sz w:val="22"/>
          <w:szCs w:val="22"/>
          <w:lang w:val="en-AU"/>
        </w:rPr>
        <w:t>FSANZ prepared Proposal P1014 to devel</w:t>
      </w:r>
      <w:r>
        <w:rPr>
          <w:rFonts w:ascii="Arial" w:eastAsia="Calibri" w:hAnsi="Arial" w:cs="Arial"/>
          <w:bCs/>
          <w:sz w:val="22"/>
          <w:szCs w:val="22"/>
          <w:lang w:val="en-AU"/>
        </w:rPr>
        <w:t>o</w:t>
      </w:r>
      <w:r w:rsidRPr="00AF4B09">
        <w:rPr>
          <w:rFonts w:ascii="Arial" w:eastAsia="Calibri" w:hAnsi="Arial" w:cs="Arial"/>
          <w:bCs/>
          <w:sz w:val="22"/>
          <w:szCs w:val="22"/>
          <w:lang w:val="en-AU"/>
        </w:rPr>
        <w:t xml:space="preserve">p </w:t>
      </w:r>
      <w:r w:rsidRPr="00AF4B09">
        <w:rPr>
          <w:rFonts w:ascii="Arial" w:hAnsi="Arial" w:cs="Arial"/>
          <w:sz w:val="22"/>
          <w:szCs w:val="22"/>
        </w:rPr>
        <w:t>an Australia</w:t>
      </w:r>
      <w:r w:rsidR="00271736">
        <w:rPr>
          <w:rFonts w:ascii="Arial" w:hAnsi="Arial" w:cs="Arial"/>
          <w:sz w:val="22"/>
          <w:szCs w:val="22"/>
        </w:rPr>
        <w:t>-</w:t>
      </w:r>
      <w:r w:rsidRPr="00AF4B09">
        <w:rPr>
          <w:rFonts w:ascii="Arial" w:hAnsi="Arial" w:cs="Arial"/>
          <w:sz w:val="22"/>
          <w:szCs w:val="22"/>
        </w:rPr>
        <w:t xml:space="preserve">only primary production and processing standard for meat and meat products from minor species and wild game to provide a nationally consistent approach to the management of meat safety. The development of a standard for the farmed major species (cattle, sheep, pigs and goats) undertaken under Proposal P1005, has been incorporated into P1014. </w:t>
      </w:r>
    </w:p>
    <w:p w:rsidR="004A5D93" w:rsidRDefault="004A5D93" w:rsidP="004A5D93">
      <w:pPr>
        <w:pStyle w:val="Bullet"/>
        <w:numPr>
          <w:ilvl w:val="0"/>
          <w:numId w:val="0"/>
        </w:numPr>
        <w:rPr>
          <w:rFonts w:ascii="Arial" w:hAnsi="Arial" w:cs="Arial"/>
          <w:sz w:val="22"/>
          <w:szCs w:val="22"/>
        </w:rPr>
      </w:pPr>
    </w:p>
    <w:p w:rsidR="004A5D93" w:rsidRDefault="004A5D93" w:rsidP="004A5D93">
      <w:pPr>
        <w:pStyle w:val="Bullet"/>
        <w:numPr>
          <w:ilvl w:val="0"/>
          <w:numId w:val="0"/>
        </w:numPr>
        <w:rPr>
          <w:rFonts w:ascii="Arial" w:eastAsia="Calibri" w:hAnsi="Arial" w:cs="Arial"/>
          <w:bCs/>
          <w:sz w:val="22"/>
          <w:szCs w:val="22"/>
          <w:lang w:val="en-AU"/>
        </w:rPr>
      </w:pPr>
      <w:r w:rsidRPr="00AF4B09">
        <w:rPr>
          <w:rFonts w:ascii="Arial" w:eastAsia="Calibri" w:hAnsi="Arial" w:cs="Arial"/>
          <w:bCs/>
          <w:sz w:val="22"/>
          <w:szCs w:val="22"/>
          <w:lang w:val="en-AU"/>
        </w:rPr>
        <w:t xml:space="preserve">The Authority considered the Proposal in accordance with Division 2 of Part 3 and has approved a draft Standard. </w:t>
      </w:r>
    </w:p>
    <w:p w:rsidR="002D5711" w:rsidRDefault="002D5711" w:rsidP="004A5D93">
      <w:pPr>
        <w:pStyle w:val="Bullet"/>
        <w:numPr>
          <w:ilvl w:val="0"/>
          <w:numId w:val="0"/>
        </w:numPr>
        <w:rPr>
          <w:rFonts w:ascii="Arial" w:eastAsia="Calibri" w:hAnsi="Arial" w:cs="Arial"/>
          <w:bCs/>
          <w:sz w:val="22"/>
          <w:szCs w:val="22"/>
          <w:lang w:val="en-AU"/>
        </w:rPr>
      </w:pPr>
    </w:p>
    <w:p w:rsidR="002D5711" w:rsidRPr="00D13E34" w:rsidRDefault="002D5711" w:rsidP="002D5711">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Arial"/>
        </w:rPr>
        <w:t>COAG Legislative and Governance Forum on Food Regulation</w:t>
      </w:r>
      <w:r>
        <w:rPr>
          <w:rStyle w:val="FootnoteReference"/>
          <w:rFonts w:cs="Arial"/>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2D5711" w:rsidRPr="00D13E34" w:rsidRDefault="002D5711" w:rsidP="002D5711">
      <w:pPr>
        <w:widowControl/>
        <w:autoSpaceDE w:val="0"/>
        <w:autoSpaceDN w:val="0"/>
        <w:adjustRightInd w:val="0"/>
        <w:rPr>
          <w:rFonts w:eastAsia="Calibri" w:cs="Arial"/>
          <w:bCs/>
          <w:szCs w:val="22"/>
          <w:lang w:val="en-AU" w:bidi="ar-SA"/>
        </w:rPr>
      </w:pPr>
    </w:p>
    <w:p w:rsidR="002D5711" w:rsidRDefault="002D5711" w:rsidP="002D5711">
      <w:pPr>
        <w:widowControl/>
        <w:autoSpaceDE w:val="0"/>
        <w:autoSpaceDN w:val="0"/>
        <w:adjustRightInd w:val="0"/>
        <w:rPr>
          <w:lang w:val="en-AU" w:eastAsia="en-GB"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4A5D93" w:rsidRPr="00AF4B09" w:rsidRDefault="004A5D93" w:rsidP="004A5D93">
      <w:pPr>
        <w:widowControl/>
        <w:autoSpaceDE w:val="0"/>
        <w:autoSpaceDN w:val="0"/>
        <w:adjustRightInd w:val="0"/>
        <w:rPr>
          <w:rFonts w:eastAsia="Calibri" w:cs="Arial"/>
          <w:bCs/>
          <w:szCs w:val="22"/>
          <w:lang w:val="en-AU" w:bidi="ar-SA"/>
        </w:rPr>
      </w:pPr>
    </w:p>
    <w:p w:rsidR="004A5D93" w:rsidRPr="00AF4B09" w:rsidRDefault="004A5D93" w:rsidP="004A5D93">
      <w:pPr>
        <w:rPr>
          <w:b/>
          <w:lang w:val="en-AU" w:eastAsia="en-GB" w:bidi="ar-SA"/>
        </w:rPr>
      </w:pPr>
      <w:r w:rsidRPr="00AF4B09">
        <w:rPr>
          <w:b/>
          <w:lang w:val="en-AU" w:eastAsia="en-GB" w:bidi="ar-SA"/>
        </w:rPr>
        <w:t>2.</w:t>
      </w:r>
      <w:r w:rsidRPr="00AF4B09">
        <w:rPr>
          <w:b/>
          <w:lang w:val="en-AU" w:eastAsia="en-GB" w:bidi="ar-SA"/>
        </w:rPr>
        <w:tab/>
        <w:t xml:space="preserve">Purpose </w:t>
      </w:r>
    </w:p>
    <w:p w:rsidR="004A5D93" w:rsidRPr="00AF4B09" w:rsidRDefault="004A5D93" w:rsidP="004A5D93">
      <w:pPr>
        <w:rPr>
          <w:lang w:val="en-AU" w:eastAsia="en-GB" w:bidi="ar-SA"/>
        </w:rPr>
      </w:pPr>
    </w:p>
    <w:p w:rsidR="004A5D93" w:rsidRDefault="004A5D93" w:rsidP="004A5D93">
      <w:pPr>
        <w:rPr>
          <w:lang w:val="en-AU" w:eastAsia="en-GB"/>
        </w:rPr>
      </w:pPr>
      <w:r>
        <w:rPr>
          <w:lang w:val="en-AU" w:eastAsia="en-GB"/>
        </w:rPr>
        <w:t xml:space="preserve">The Authority developed Standard 4.2.3 </w:t>
      </w:r>
      <w:r>
        <w:rPr>
          <w:rFonts w:cs="Arial"/>
          <w:szCs w:val="22"/>
        </w:rPr>
        <w:t>to ensure food safety is addressed throughout all parts of the meat supply chain (i.e. from paddock to plate). Currently</w:t>
      </w:r>
      <w:r w:rsidR="00271736">
        <w:rPr>
          <w:rFonts w:cs="Arial"/>
          <w:szCs w:val="22"/>
        </w:rPr>
        <w:t>,</w:t>
      </w:r>
      <w:r>
        <w:rPr>
          <w:rFonts w:cs="Arial"/>
          <w:szCs w:val="22"/>
        </w:rPr>
        <w:t xml:space="preserve"> regulatory food safety measures are only applied to the processing of meat and meat products. Variations have now been developed to amend </w:t>
      </w:r>
      <w:r w:rsidRPr="00AF4B09">
        <w:rPr>
          <w:rFonts w:cs="Arial"/>
          <w:szCs w:val="22"/>
        </w:rPr>
        <w:t>Standard 4.2.</w:t>
      </w:r>
      <w:r>
        <w:rPr>
          <w:rFonts w:cs="Arial"/>
          <w:szCs w:val="22"/>
        </w:rPr>
        <w:t>3</w:t>
      </w:r>
      <w:r w:rsidRPr="00AF4B09">
        <w:rPr>
          <w:rFonts w:cs="Arial"/>
          <w:szCs w:val="22"/>
        </w:rPr>
        <w:t xml:space="preserve"> to include obligations on primary producers </w:t>
      </w:r>
      <w:r>
        <w:rPr>
          <w:rFonts w:cs="Arial"/>
          <w:szCs w:val="22"/>
        </w:rPr>
        <w:t>in relation to</w:t>
      </w:r>
      <w:r w:rsidRPr="00AF4B09">
        <w:rPr>
          <w:rFonts w:cs="Arial"/>
          <w:szCs w:val="22"/>
        </w:rPr>
        <w:t xml:space="preserve"> traceability and managing inputs and waste</w:t>
      </w:r>
      <w:r>
        <w:rPr>
          <w:rFonts w:cs="Arial"/>
          <w:szCs w:val="22"/>
        </w:rPr>
        <w:t>.</w:t>
      </w:r>
      <w:r w:rsidR="0011694E">
        <w:rPr>
          <w:rFonts w:cs="Arial"/>
          <w:szCs w:val="22"/>
        </w:rPr>
        <w:t xml:space="preserve"> </w:t>
      </w:r>
      <w:r w:rsidR="00F0671E">
        <w:rPr>
          <w:rFonts w:cs="Arial"/>
          <w:szCs w:val="22"/>
        </w:rPr>
        <w:t xml:space="preserve">A consequential amendment has been made to Standard 1.6.2 to delete the processing requirements for crocodile meat as these are covered in an existing Australian Standard for processing.  </w:t>
      </w:r>
    </w:p>
    <w:p w:rsidR="004A5D93" w:rsidRPr="00AF4B09" w:rsidRDefault="004A5D93" w:rsidP="004A5D93">
      <w:pPr>
        <w:rPr>
          <w:lang w:val="en-AU" w:eastAsia="en-GB" w:bidi="ar-SA"/>
        </w:rPr>
      </w:pPr>
    </w:p>
    <w:p w:rsidR="004A5D93" w:rsidRPr="00AF4B09" w:rsidRDefault="004A5D93" w:rsidP="004A5D93">
      <w:pPr>
        <w:rPr>
          <w:b/>
          <w:lang w:val="en-AU" w:eastAsia="en-GB" w:bidi="ar-SA"/>
        </w:rPr>
      </w:pPr>
      <w:r w:rsidRPr="00AF4B09">
        <w:rPr>
          <w:b/>
          <w:lang w:val="en-AU" w:eastAsia="en-GB" w:bidi="ar-SA"/>
        </w:rPr>
        <w:t>3.</w:t>
      </w:r>
      <w:r w:rsidRPr="00AF4B09">
        <w:rPr>
          <w:b/>
          <w:lang w:val="en-AU" w:eastAsia="en-GB" w:bidi="ar-SA"/>
        </w:rPr>
        <w:tab/>
        <w:t>Documents incorporated by reference</w:t>
      </w:r>
    </w:p>
    <w:p w:rsidR="004A5D93" w:rsidRPr="00AF4B09" w:rsidRDefault="004A5D93" w:rsidP="004A5D93">
      <w:pPr>
        <w:rPr>
          <w:lang w:val="en-AU" w:eastAsia="en-GB" w:bidi="ar-SA"/>
        </w:rPr>
      </w:pPr>
    </w:p>
    <w:p w:rsidR="004A5D93" w:rsidRPr="00AF4B09" w:rsidRDefault="004A5D93" w:rsidP="004A5D93">
      <w:pPr>
        <w:widowControl/>
        <w:autoSpaceDE w:val="0"/>
        <w:autoSpaceDN w:val="0"/>
        <w:adjustRightInd w:val="0"/>
        <w:rPr>
          <w:rFonts w:eastAsia="Calibri" w:cs="Arial"/>
          <w:bCs/>
          <w:szCs w:val="22"/>
          <w:lang w:val="en-AU" w:bidi="ar-SA"/>
        </w:rPr>
      </w:pPr>
      <w:r w:rsidRPr="00AF4B09">
        <w:rPr>
          <w:rFonts w:eastAsia="Calibri" w:cs="Arial"/>
          <w:bCs/>
          <w:szCs w:val="22"/>
          <w:lang w:val="en-AU" w:bidi="ar-SA"/>
        </w:rPr>
        <w:t>The variations to food regulatory measures do not incorporate any documents by reference.</w:t>
      </w:r>
    </w:p>
    <w:p w:rsidR="004A5D93" w:rsidRPr="00AF4B09" w:rsidRDefault="004A5D93" w:rsidP="004A5D93">
      <w:pPr>
        <w:rPr>
          <w:lang w:val="en-AU" w:eastAsia="en-GB" w:bidi="ar-SA"/>
        </w:rPr>
      </w:pPr>
    </w:p>
    <w:p w:rsidR="004A5D93" w:rsidRPr="00AF4B09" w:rsidRDefault="004A5D93" w:rsidP="004A5D93">
      <w:pPr>
        <w:rPr>
          <w:b/>
          <w:lang w:val="en-AU" w:eastAsia="en-GB" w:bidi="ar-SA"/>
        </w:rPr>
      </w:pPr>
      <w:r w:rsidRPr="00AF4B09">
        <w:rPr>
          <w:b/>
          <w:lang w:val="en-AU" w:eastAsia="en-GB" w:bidi="ar-SA"/>
        </w:rPr>
        <w:t>4.</w:t>
      </w:r>
      <w:r w:rsidRPr="00AF4B09">
        <w:rPr>
          <w:b/>
          <w:lang w:val="en-AU" w:eastAsia="en-GB" w:bidi="ar-SA"/>
        </w:rPr>
        <w:tab/>
        <w:t>Consultation</w:t>
      </w:r>
    </w:p>
    <w:p w:rsidR="004A5D93" w:rsidRPr="00AF4B09" w:rsidRDefault="004A5D93" w:rsidP="004A5D93">
      <w:pPr>
        <w:rPr>
          <w:lang w:val="en-AU" w:eastAsia="en-GB" w:bidi="ar-SA"/>
        </w:rPr>
      </w:pPr>
    </w:p>
    <w:p w:rsidR="004A5D93" w:rsidRPr="00AF4B09" w:rsidRDefault="004A5D93" w:rsidP="004A5D93">
      <w:pPr>
        <w:rPr>
          <w:lang w:val="en-AU"/>
        </w:rPr>
      </w:pPr>
      <w:r w:rsidRPr="00AF4B09">
        <w:rPr>
          <w:szCs w:val="22"/>
        </w:rPr>
        <w:t xml:space="preserve">In accordance with the procedure in Division 2 of Part 3 of the FSANZ Act, </w:t>
      </w:r>
      <w:r w:rsidRPr="00AF4B09">
        <w:rPr>
          <w:rFonts w:eastAsia="Calibri" w:cs="Arial"/>
          <w:bCs/>
          <w:szCs w:val="22"/>
          <w:lang w:val="en-AU" w:bidi="ar-SA"/>
        </w:rPr>
        <w:t>the Authority</w:t>
      </w:r>
      <w:r w:rsidRPr="00AF4B09">
        <w:rPr>
          <w:szCs w:val="22"/>
        </w:rPr>
        <w:t>’s consideration of Proposal P1014 include</w:t>
      </w:r>
      <w:r w:rsidR="002E2F17">
        <w:rPr>
          <w:szCs w:val="22"/>
        </w:rPr>
        <w:t>d</w:t>
      </w:r>
      <w:r w:rsidRPr="00AF4B09">
        <w:rPr>
          <w:szCs w:val="22"/>
        </w:rPr>
        <w:t xml:space="preserve"> two rounds of public comment following an assessment and the preparation of a draft Standard and associated reports. </w:t>
      </w:r>
    </w:p>
    <w:p w:rsidR="003F4CDE" w:rsidRDefault="003F4CDE" w:rsidP="004A5D93">
      <w:r>
        <w:br w:type="page"/>
      </w:r>
    </w:p>
    <w:p w:rsidR="004A5D93" w:rsidRDefault="004A5D93" w:rsidP="004A5D93">
      <w:pPr>
        <w:widowControl/>
        <w:autoSpaceDE w:val="0"/>
        <w:autoSpaceDN w:val="0"/>
        <w:adjustRightInd w:val="0"/>
      </w:pPr>
      <w:r w:rsidRPr="00AF4B09">
        <w:lastRenderedPageBreak/>
        <w:t xml:space="preserve">A Standard Development Committee (SDC) was established with representatives from the industry sector, </w:t>
      </w:r>
      <w:r>
        <w:t xml:space="preserve">the Department of Agriculture, </w:t>
      </w:r>
      <w:r w:rsidRPr="00AF4B09">
        <w:t xml:space="preserve">the relevant State and Territory government agencies and consumer organisations to provide ongoing advice to </w:t>
      </w:r>
      <w:r w:rsidRPr="00AF4B09">
        <w:rPr>
          <w:rFonts w:eastAsia="Calibri" w:cs="Arial"/>
          <w:bCs/>
          <w:szCs w:val="22"/>
          <w:lang w:val="en-AU" w:bidi="ar-SA"/>
        </w:rPr>
        <w:t>the Authority</w:t>
      </w:r>
      <w:r w:rsidRPr="00AF4B09">
        <w:t xml:space="preserve"> throughout the standard development process. The SDC contributed a broad spectrum of knowledge and expertise covering industry, government, research and consumers. A Working Group was also established with representatives from the relevant </w:t>
      </w:r>
      <w:r>
        <w:t xml:space="preserve">minor meat species and wild game </w:t>
      </w:r>
      <w:r w:rsidRPr="00AF4B09">
        <w:t xml:space="preserve">industry sectors and State and Territory government agencies to provide ongoing advice to </w:t>
      </w:r>
      <w:r w:rsidRPr="00AF4B09">
        <w:rPr>
          <w:rFonts w:eastAsia="Calibri" w:cs="Arial"/>
          <w:bCs/>
          <w:szCs w:val="22"/>
          <w:lang w:val="en-AU" w:bidi="ar-SA"/>
        </w:rPr>
        <w:t>the Authority</w:t>
      </w:r>
      <w:r w:rsidRPr="00AF4B09">
        <w:t xml:space="preserve"> throughout the standard development process.</w:t>
      </w:r>
    </w:p>
    <w:p w:rsidR="004A5D93" w:rsidRDefault="004A5D93" w:rsidP="004A5D93">
      <w:pPr>
        <w:widowControl/>
        <w:rPr>
          <w:rFonts w:eastAsiaTheme="minorHAnsi" w:cs="Arial"/>
          <w:b/>
          <w:bCs/>
          <w:szCs w:val="22"/>
          <w:lang w:val="en-AU" w:bidi="ar-SA"/>
        </w:rPr>
      </w:pPr>
    </w:p>
    <w:p w:rsidR="004A5D93" w:rsidRDefault="004A5D93" w:rsidP="004A5D9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4A5D93" w:rsidRDefault="004A5D93" w:rsidP="004A5D93">
      <w:pPr>
        <w:rPr>
          <w:rFonts w:eastAsiaTheme="minorHAnsi"/>
          <w:lang w:val="en-AU" w:bidi="ar-SA"/>
        </w:rPr>
      </w:pPr>
    </w:p>
    <w:p w:rsidR="004A5D93" w:rsidRDefault="004A5D93" w:rsidP="004A5D9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4A5D93" w:rsidRDefault="004A5D93" w:rsidP="004A5D93">
      <w:pPr>
        <w:rPr>
          <w:rFonts w:eastAsiaTheme="minorHAnsi"/>
          <w:lang w:val="en-AU" w:bidi="ar-SA"/>
        </w:rPr>
      </w:pPr>
    </w:p>
    <w:p w:rsidR="004A5D93" w:rsidRDefault="004A5D93" w:rsidP="004A5D93">
      <w:pPr>
        <w:rPr>
          <w:b/>
          <w:lang w:val="en-AU" w:eastAsia="en-GB" w:bidi="ar-SA"/>
        </w:rPr>
      </w:pPr>
      <w:r w:rsidRPr="00700239">
        <w:rPr>
          <w:b/>
        </w:rPr>
        <w:t>6.</w:t>
      </w:r>
      <w:r w:rsidRPr="00700239">
        <w:rPr>
          <w:b/>
        </w:rPr>
        <w:tab/>
      </w:r>
      <w:r w:rsidRPr="00700239">
        <w:rPr>
          <w:b/>
          <w:lang w:val="en-AU" w:eastAsia="en-GB" w:bidi="ar-SA"/>
        </w:rPr>
        <w:t>Variation</w:t>
      </w:r>
      <w:r w:rsidR="002E2F17">
        <w:rPr>
          <w:b/>
          <w:lang w:val="en-AU" w:eastAsia="en-GB" w:bidi="ar-SA"/>
        </w:rPr>
        <w:t>s</w:t>
      </w:r>
    </w:p>
    <w:p w:rsidR="004A5D93" w:rsidRDefault="004A5D93" w:rsidP="004A5D93">
      <w:pPr>
        <w:rPr>
          <w:b/>
          <w:lang w:val="en-AU" w:eastAsia="en-GB" w:bidi="ar-SA"/>
        </w:rPr>
      </w:pPr>
    </w:p>
    <w:p w:rsidR="004A5D93" w:rsidRDefault="004A5D93" w:rsidP="004A5D93">
      <w:pPr>
        <w:rPr>
          <w:b/>
          <w:i/>
          <w:lang w:val="en-AU" w:eastAsia="en-GB" w:bidi="ar-SA"/>
        </w:rPr>
      </w:pPr>
      <w:r w:rsidRPr="0046137E">
        <w:rPr>
          <w:b/>
          <w:i/>
          <w:lang w:val="en-AU" w:eastAsia="en-GB" w:bidi="ar-SA"/>
        </w:rPr>
        <w:t>6.1</w:t>
      </w:r>
      <w:r w:rsidRPr="0046137E">
        <w:rPr>
          <w:b/>
          <w:i/>
          <w:lang w:val="en-AU" w:eastAsia="en-GB" w:bidi="ar-SA"/>
        </w:rPr>
        <w:tab/>
        <w:t>Standard 1.6.2.</w:t>
      </w:r>
    </w:p>
    <w:p w:rsidR="004A5D93" w:rsidRDefault="004A5D93" w:rsidP="004A5D93">
      <w:pPr>
        <w:rPr>
          <w:b/>
        </w:rPr>
      </w:pPr>
    </w:p>
    <w:p w:rsidR="00F0671E" w:rsidRPr="00695EC0" w:rsidRDefault="004A5D93" w:rsidP="00F0671E">
      <w:pPr>
        <w:widowControl/>
        <w:rPr>
          <w:rFonts w:cs="Arial"/>
          <w:lang w:bidi="ar-SA"/>
        </w:rPr>
      </w:pPr>
      <w:r w:rsidRPr="005562FA">
        <w:t xml:space="preserve">Item [1] omits clause 6 </w:t>
      </w:r>
      <w:r w:rsidR="00C376B3">
        <w:t xml:space="preserve">and the Editorial Note relating to that clause </w:t>
      </w:r>
      <w:r w:rsidRPr="005562FA">
        <w:t xml:space="preserve">from Standard 1.6.2. </w:t>
      </w:r>
    </w:p>
    <w:p w:rsidR="00F0671E" w:rsidRPr="00695EC0" w:rsidRDefault="00F0671E" w:rsidP="00F0671E">
      <w:pPr>
        <w:widowControl/>
        <w:rPr>
          <w:rFonts w:cs="Arial"/>
          <w:lang w:bidi="ar-SA"/>
        </w:rPr>
      </w:pPr>
    </w:p>
    <w:p w:rsidR="004A5D93" w:rsidRPr="0046137E" w:rsidRDefault="004A5D93" w:rsidP="004A5D93">
      <w:pPr>
        <w:rPr>
          <w:b/>
          <w:i/>
        </w:rPr>
      </w:pPr>
      <w:r w:rsidRPr="0046137E">
        <w:rPr>
          <w:b/>
          <w:i/>
        </w:rPr>
        <w:t>6.2</w:t>
      </w:r>
      <w:r w:rsidRPr="0046137E">
        <w:rPr>
          <w:b/>
          <w:i/>
        </w:rPr>
        <w:tab/>
        <w:t>Standard 4.2.3</w:t>
      </w:r>
    </w:p>
    <w:p w:rsidR="004A5D93" w:rsidRDefault="004A5D93" w:rsidP="004A5D93">
      <w:pPr>
        <w:rPr>
          <w:b/>
        </w:rPr>
      </w:pPr>
    </w:p>
    <w:p w:rsidR="004A5D93" w:rsidRPr="005562FA" w:rsidRDefault="004A5D93" w:rsidP="004A5D93">
      <w:pPr>
        <w:rPr>
          <w:szCs w:val="22"/>
        </w:rPr>
      </w:pPr>
      <w:r w:rsidRPr="005562FA">
        <w:rPr>
          <w:szCs w:val="22"/>
        </w:rPr>
        <w:t>Item [2] varies Standard 4.2.3 by omitting Divisions 1 and 2 and replacing them with a new Division 1 and 2.</w:t>
      </w:r>
    </w:p>
    <w:p w:rsidR="004A5D93" w:rsidRPr="001C39FF" w:rsidRDefault="004A5D93" w:rsidP="004A5D93">
      <w:pPr>
        <w:rPr>
          <w:szCs w:val="22"/>
          <w:u w:val="single"/>
        </w:rPr>
      </w:pPr>
    </w:p>
    <w:p w:rsidR="004A5D93" w:rsidRPr="0011694E" w:rsidRDefault="004A5D93" w:rsidP="004A5D93">
      <w:pPr>
        <w:rPr>
          <w:i/>
          <w:szCs w:val="22"/>
        </w:rPr>
      </w:pPr>
      <w:r w:rsidRPr="0011694E">
        <w:rPr>
          <w:i/>
          <w:szCs w:val="22"/>
        </w:rPr>
        <w:t>Division 1</w:t>
      </w:r>
    </w:p>
    <w:p w:rsidR="004A5D93" w:rsidRPr="0046137E" w:rsidRDefault="004A5D93" w:rsidP="004A5D93">
      <w:pPr>
        <w:rPr>
          <w:szCs w:val="22"/>
          <w:u w:val="single"/>
        </w:rPr>
      </w:pPr>
    </w:p>
    <w:p w:rsidR="004A5D93" w:rsidRDefault="004A5D93" w:rsidP="004A5D93">
      <w:pPr>
        <w:autoSpaceDE w:val="0"/>
        <w:autoSpaceDN w:val="0"/>
        <w:adjustRightInd w:val="0"/>
        <w:rPr>
          <w:rFonts w:eastAsia="Calibri" w:cs="Arial"/>
          <w:szCs w:val="22"/>
        </w:rPr>
      </w:pPr>
      <w:r w:rsidRPr="001C39FF">
        <w:rPr>
          <w:rFonts w:eastAsia="Calibri" w:cs="Arial"/>
          <w:bCs/>
          <w:szCs w:val="22"/>
        </w:rPr>
        <w:t xml:space="preserve">Clause 1 </w:t>
      </w:r>
      <w:r>
        <w:rPr>
          <w:rFonts w:eastAsia="Calibri" w:cs="Arial"/>
          <w:szCs w:val="22"/>
        </w:rPr>
        <w:t>defines the term</w:t>
      </w:r>
      <w:r w:rsidRPr="001C39FF">
        <w:rPr>
          <w:rFonts w:eastAsia="Calibri" w:cs="Arial"/>
          <w:szCs w:val="22"/>
        </w:rPr>
        <w:t xml:space="preserve"> </w:t>
      </w:r>
      <w:r>
        <w:rPr>
          <w:rFonts w:eastAsia="Calibri" w:cs="Arial"/>
          <w:szCs w:val="22"/>
        </w:rPr>
        <w:t>‘meat product’ for the purposes of</w:t>
      </w:r>
      <w:r w:rsidRPr="001C39FF">
        <w:rPr>
          <w:rFonts w:eastAsia="Calibri" w:cs="Arial"/>
          <w:szCs w:val="22"/>
        </w:rPr>
        <w:t xml:space="preserve"> Standard</w:t>
      </w:r>
      <w:r>
        <w:rPr>
          <w:rFonts w:eastAsia="Calibri" w:cs="Arial"/>
          <w:szCs w:val="22"/>
        </w:rPr>
        <w:t xml:space="preserve"> 4.2.3. The clause also provides that the definitions in Chapter 3 of the Code apply to the Standard subject to any contrary intention.</w:t>
      </w:r>
    </w:p>
    <w:p w:rsidR="004A5D93" w:rsidRPr="001C39FF" w:rsidRDefault="004A5D93" w:rsidP="004A5D93">
      <w:pPr>
        <w:rPr>
          <w:i/>
          <w:szCs w:val="22"/>
        </w:rPr>
      </w:pPr>
    </w:p>
    <w:p w:rsidR="004A5D93" w:rsidRPr="0011694E" w:rsidRDefault="004A5D93" w:rsidP="004A5D93">
      <w:pPr>
        <w:rPr>
          <w:rFonts w:eastAsia="Calibri" w:cs="Arial"/>
          <w:i/>
          <w:szCs w:val="22"/>
        </w:rPr>
      </w:pPr>
      <w:r w:rsidRPr="0011694E">
        <w:rPr>
          <w:rFonts w:eastAsia="Calibri" w:cs="Arial"/>
          <w:i/>
          <w:szCs w:val="22"/>
        </w:rPr>
        <w:t>Division 2</w:t>
      </w:r>
    </w:p>
    <w:p w:rsidR="004A5D93" w:rsidRDefault="004A5D93" w:rsidP="004A5D93">
      <w:pPr>
        <w:rPr>
          <w:rFonts w:eastAsia="Calibri" w:cs="Arial"/>
          <w:i/>
          <w:szCs w:val="22"/>
        </w:rPr>
      </w:pPr>
    </w:p>
    <w:p w:rsidR="004A5D93" w:rsidRDefault="004A5D93" w:rsidP="004A5D93">
      <w:pPr>
        <w:autoSpaceDE w:val="0"/>
        <w:autoSpaceDN w:val="0"/>
        <w:adjustRightInd w:val="0"/>
        <w:rPr>
          <w:rFonts w:eastAsia="Calibri" w:cs="Arial"/>
          <w:bCs/>
          <w:szCs w:val="22"/>
        </w:rPr>
      </w:pPr>
      <w:r>
        <w:rPr>
          <w:rFonts w:eastAsia="Calibri" w:cs="Arial"/>
          <w:bCs/>
          <w:szCs w:val="22"/>
        </w:rPr>
        <w:t xml:space="preserve">Clause 2 </w:t>
      </w:r>
      <w:r>
        <w:rPr>
          <w:rFonts w:eastAsia="Calibri" w:cs="Arial"/>
          <w:szCs w:val="22"/>
        </w:rPr>
        <w:t>defines the following terms</w:t>
      </w:r>
      <w:r w:rsidRPr="001C39FF">
        <w:rPr>
          <w:rFonts w:eastAsia="Calibri" w:cs="Arial"/>
          <w:szCs w:val="22"/>
        </w:rPr>
        <w:t xml:space="preserve"> </w:t>
      </w:r>
      <w:r>
        <w:rPr>
          <w:rFonts w:eastAsia="Calibri" w:cs="Arial"/>
          <w:szCs w:val="22"/>
        </w:rPr>
        <w:t>for the purposes of</w:t>
      </w:r>
      <w:r w:rsidRPr="001C39FF">
        <w:rPr>
          <w:rFonts w:eastAsia="Calibri" w:cs="Arial"/>
          <w:szCs w:val="22"/>
        </w:rPr>
        <w:t xml:space="preserve"> </w:t>
      </w:r>
      <w:r>
        <w:rPr>
          <w:rFonts w:eastAsia="Calibri" w:cs="Arial"/>
          <w:szCs w:val="22"/>
        </w:rPr>
        <w:t xml:space="preserve">Division 2 of </w:t>
      </w:r>
      <w:r w:rsidRPr="001C39FF">
        <w:rPr>
          <w:rFonts w:eastAsia="Calibri" w:cs="Arial"/>
          <w:szCs w:val="22"/>
        </w:rPr>
        <w:t>Standard</w:t>
      </w:r>
      <w:r>
        <w:rPr>
          <w:rFonts w:eastAsia="Calibri" w:cs="Arial"/>
          <w:szCs w:val="22"/>
        </w:rPr>
        <w:t xml:space="preserve"> 4.2.3: meat;</w:t>
      </w:r>
      <w:r w:rsidRPr="001C39FF">
        <w:rPr>
          <w:rFonts w:eastAsia="Calibri" w:cs="Arial"/>
          <w:szCs w:val="22"/>
        </w:rPr>
        <w:t xml:space="preserve"> and meat producer</w:t>
      </w:r>
      <w:r w:rsidRPr="001C39FF">
        <w:rPr>
          <w:rFonts w:eastAsia="Calibri" w:cs="Arial"/>
          <w:bCs/>
          <w:szCs w:val="22"/>
        </w:rPr>
        <w:t xml:space="preserve"> </w:t>
      </w:r>
    </w:p>
    <w:p w:rsidR="004A5D93" w:rsidRDefault="004A5D93" w:rsidP="004A5D93">
      <w:pPr>
        <w:autoSpaceDE w:val="0"/>
        <w:autoSpaceDN w:val="0"/>
        <w:adjustRightInd w:val="0"/>
        <w:rPr>
          <w:rFonts w:eastAsia="Calibri" w:cs="Arial"/>
          <w:bCs/>
          <w:szCs w:val="22"/>
        </w:rPr>
      </w:pPr>
    </w:p>
    <w:p w:rsidR="004A5D93" w:rsidRDefault="004A5D93" w:rsidP="004A5D93">
      <w:pPr>
        <w:autoSpaceDE w:val="0"/>
        <w:autoSpaceDN w:val="0"/>
        <w:adjustRightInd w:val="0"/>
        <w:rPr>
          <w:szCs w:val="22"/>
        </w:rPr>
      </w:pPr>
      <w:r>
        <w:rPr>
          <w:rFonts w:eastAsia="Calibri" w:cs="Arial"/>
          <w:bCs/>
          <w:szCs w:val="22"/>
        </w:rPr>
        <w:t>Clause 2</w:t>
      </w:r>
      <w:r w:rsidRPr="001C39FF">
        <w:rPr>
          <w:rFonts w:eastAsia="Calibri" w:cs="Arial"/>
          <w:bCs/>
          <w:szCs w:val="22"/>
        </w:rPr>
        <w:t xml:space="preserve"> </w:t>
      </w:r>
      <w:r>
        <w:rPr>
          <w:rFonts w:eastAsia="Calibri" w:cs="Arial"/>
          <w:szCs w:val="22"/>
        </w:rPr>
        <w:t xml:space="preserve">defines the term ‘meat producer’ to mean </w:t>
      </w:r>
      <w:r w:rsidRPr="0048557F">
        <w:rPr>
          <w:bCs/>
        </w:rPr>
        <w:t xml:space="preserve">a business, enterprise or activity that involves </w:t>
      </w:r>
      <w:r>
        <w:rPr>
          <w:bCs/>
        </w:rPr>
        <w:t xml:space="preserve">the </w:t>
      </w:r>
      <w:r w:rsidRPr="0048557F">
        <w:rPr>
          <w:bCs/>
        </w:rPr>
        <w:t>growing, supply or transportation of animals for human consumption</w:t>
      </w:r>
      <w:r>
        <w:rPr>
          <w:bCs/>
        </w:rPr>
        <w:t xml:space="preserve">. This definition is </w:t>
      </w:r>
      <w:r w:rsidRPr="001C39FF">
        <w:rPr>
          <w:szCs w:val="22"/>
        </w:rPr>
        <w:t xml:space="preserve">intended to </w:t>
      </w:r>
      <w:r>
        <w:rPr>
          <w:szCs w:val="22"/>
        </w:rPr>
        <w:t xml:space="preserve">encompass </w:t>
      </w:r>
      <w:r>
        <w:rPr>
          <w:bCs/>
        </w:rPr>
        <w:t>businesses, enterprises and activities</w:t>
      </w:r>
      <w:r w:rsidRPr="0048557F">
        <w:rPr>
          <w:bCs/>
        </w:rPr>
        <w:t xml:space="preserve"> </w:t>
      </w:r>
      <w:r>
        <w:rPr>
          <w:bCs/>
        </w:rPr>
        <w:t xml:space="preserve">involved: in </w:t>
      </w:r>
      <w:r w:rsidRPr="001C39FF">
        <w:rPr>
          <w:szCs w:val="22"/>
        </w:rPr>
        <w:t>the rearing of animals for human consumption</w:t>
      </w:r>
      <w:r>
        <w:rPr>
          <w:szCs w:val="22"/>
        </w:rPr>
        <w:t>; the operation of feedlots and</w:t>
      </w:r>
      <w:r w:rsidRPr="001C39FF">
        <w:rPr>
          <w:szCs w:val="22"/>
        </w:rPr>
        <w:t xml:space="preserve"> sale</w:t>
      </w:r>
      <w:r>
        <w:rPr>
          <w:szCs w:val="22"/>
        </w:rPr>
        <w:t xml:space="preserve"> yards for such animals; and the transportation of such animals </w:t>
      </w:r>
      <w:r w:rsidRPr="001C39FF">
        <w:rPr>
          <w:szCs w:val="22"/>
        </w:rPr>
        <w:t xml:space="preserve">to </w:t>
      </w:r>
      <w:r>
        <w:rPr>
          <w:szCs w:val="22"/>
        </w:rPr>
        <w:t xml:space="preserve">and from </w:t>
      </w:r>
      <w:r w:rsidRPr="001C39FF">
        <w:rPr>
          <w:szCs w:val="22"/>
        </w:rPr>
        <w:t>sale</w:t>
      </w:r>
      <w:r>
        <w:rPr>
          <w:szCs w:val="22"/>
        </w:rPr>
        <w:t xml:space="preserve"> </w:t>
      </w:r>
      <w:r w:rsidRPr="001C39FF">
        <w:rPr>
          <w:szCs w:val="22"/>
        </w:rPr>
        <w:t xml:space="preserve">yards, between properties, </w:t>
      </w:r>
      <w:r>
        <w:rPr>
          <w:szCs w:val="22"/>
        </w:rPr>
        <w:t>or</w:t>
      </w:r>
      <w:r w:rsidRPr="001C39FF">
        <w:rPr>
          <w:szCs w:val="22"/>
        </w:rPr>
        <w:t xml:space="preserve"> to </w:t>
      </w:r>
      <w:r>
        <w:rPr>
          <w:szCs w:val="22"/>
        </w:rPr>
        <w:t>an</w:t>
      </w:r>
      <w:r w:rsidRPr="001C39FF">
        <w:rPr>
          <w:szCs w:val="22"/>
        </w:rPr>
        <w:t xml:space="preserve"> a</w:t>
      </w:r>
      <w:r>
        <w:rPr>
          <w:szCs w:val="22"/>
        </w:rPr>
        <w:t>battoir</w:t>
      </w:r>
      <w:r w:rsidRPr="001C39FF">
        <w:rPr>
          <w:szCs w:val="22"/>
        </w:rPr>
        <w:t>.</w:t>
      </w:r>
      <w:r>
        <w:rPr>
          <w:szCs w:val="22"/>
        </w:rPr>
        <w:t xml:space="preserve"> This definition of ‘meat producer’ </w:t>
      </w:r>
      <w:r>
        <w:t>applies only to Division 2 of Standard 4.2.3.</w:t>
      </w:r>
    </w:p>
    <w:p w:rsidR="004A5D93" w:rsidRDefault="004A5D93" w:rsidP="004A5D93">
      <w:pPr>
        <w:autoSpaceDE w:val="0"/>
        <w:autoSpaceDN w:val="0"/>
        <w:adjustRightInd w:val="0"/>
        <w:rPr>
          <w:szCs w:val="22"/>
        </w:rPr>
      </w:pPr>
    </w:p>
    <w:p w:rsidR="004A5D93" w:rsidRDefault="004A5D93" w:rsidP="004A5D93">
      <w:pPr>
        <w:autoSpaceDE w:val="0"/>
        <w:autoSpaceDN w:val="0"/>
        <w:adjustRightInd w:val="0"/>
        <w:rPr>
          <w:rFonts w:eastAsia="Calibri" w:cs="Arial"/>
          <w:szCs w:val="22"/>
        </w:rPr>
      </w:pPr>
      <w:r>
        <w:rPr>
          <w:rFonts w:eastAsia="Calibri" w:cs="Arial"/>
          <w:bCs/>
          <w:szCs w:val="22"/>
        </w:rPr>
        <w:t xml:space="preserve">Clause 2 also </w:t>
      </w:r>
      <w:r>
        <w:rPr>
          <w:rFonts w:eastAsia="Calibri" w:cs="Arial"/>
          <w:szCs w:val="22"/>
        </w:rPr>
        <w:t xml:space="preserve">defines the term ‘meat’ to mean </w:t>
      </w:r>
      <w:r w:rsidRPr="0048557F" w:rsidDel="00A87273">
        <w:t>any part of a slaughtered animal for human consumption</w:t>
      </w:r>
      <w:r>
        <w:t xml:space="preserve">. This </w:t>
      </w:r>
      <w:r>
        <w:rPr>
          <w:szCs w:val="22"/>
        </w:rPr>
        <w:t xml:space="preserve">definition </w:t>
      </w:r>
      <w:r>
        <w:t>applies only to Division 2 of Standard 4.2.3.</w:t>
      </w:r>
    </w:p>
    <w:p w:rsidR="004A5D93" w:rsidRDefault="004A5D93" w:rsidP="004A5D93">
      <w:pPr>
        <w:autoSpaceDE w:val="0"/>
        <w:autoSpaceDN w:val="0"/>
        <w:adjustRightInd w:val="0"/>
        <w:rPr>
          <w:rFonts w:eastAsia="Calibri" w:cs="Arial"/>
          <w:szCs w:val="22"/>
        </w:rPr>
      </w:pPr>
    </w:p>
    <w:p w:rsidR="004A5D93" w:rsidRPr="001C39FF" w:rsidRDefault="004A5D93" w:rsidP="004A5D93">
      <w:pPr>
        <w:autoSpaceDE w:val="0"/>
        <w:autoSpaceDN w:val="0"/>
        <w:adjustRightInd w:val="0"/>
        <w:rPr>
          <w:szCs w:val="22"/>
        </w:rPr>
      </w:pPr>
      <w:r w:rsidRPr="001C39FF">
        <w:rPr>
          <w:rFonts w:eastAsia="Calibri" w:cs="Arial"/>
          <w:szCs w:val="22"/>
        </w:rPr>
        <w:t>Clause 2</w:t>
      </w:r>
      <w:r>
        <w:rPr>
          <w:rFonts w:eastAsia="Calibri" w:cs="Arial"/>
          <w:szCs w:val="22"/>
        </w:rPr>
        <w:t>A</w:t>
      </w:r>
      <w:r w:rsidRPr="001C39FF">
        <w:rPr>
          <w:rFonts w:eastAsia="Calibri" w:cs="Arial"/>
          <w:szCs w:val="22"/>
        </w:rPr>
        <w:t xml:space="preserve"> provides that </w:t>
      </w:r>
      <w:r>
        <w:rPr>
          <w:rFonts w:eastAsia="Calibri" w:cs="Arial"/>
          <w:szCs w:val="22"/>
        </w:rPr>
        <w:t xml:space="preserve">a </w:t>
      </w:r>
      <w:r w:rsidRPr="000F00AE">
        <w:t xml:space="preserve">reference to an animal </w:t>
      </w:r>
      <w:r>
        <w:t xml:space="preserve">in Division 2 of Standard 4.2.3 is only to </w:t>
      </w:r>
      <w:r w:rsidRPr="000F00AE">
        <w:t xml:space="preserve">an animal of a species </w:t>
      </w:r>
      <w:r>
        <w:t xml:space="preserve">that is </w:t>
      </w:r>
      <w:r w:rsidRPr="000F00AE">
        <w:t>listed in Column 2 of the Table</w:t>
      </w:r>
      <w:r>
        <w:t xml:space="preserve"> in that clause and which is not slaughtered in the wild. The clause’s restriction relating to animals slaughtered in the wild does not to apply Division 3 of Standard 4.2.3 and to producers of ready-to-eat meats subject to that Division.</w:t>
      </w:r>
    </w:p>
    <w:p w:rsidR="004A5D93" w:rsidRDefault="004A5D93" w:rsidP="004A5D93">
      <w:pPr>
        <w:autoSpaceDE w:val="0"/>
        <w:autoSpaceDN w:val="0"/>
        <w:adjustRightInd w:val="0"/>
        <w:rPr>
          <w:rFonts w:eastAsia="Calibri" w:cs="Arial"/>
          <w:szCs w:val="22"/>
        </w:rPr>
      </w:pPr>
    </w:p>
    <w:p w:rsidR="003F4CDE" w:rsidRDefault="004A5D93">
      <w:pPr>
        <w:rPr>
          <w:rFonts w:eastAsia="Calibri" w:cs="Arial"/>
          <w:szCs w:val="22"/>
        </w:rPr>
      </w:pPr>
      <w:r>
        <w:rPr>
          <w:rFonts w:eastAsia="Calibri" w:cs="Arial"/>
          <w:szCs w:val="22"/>
        </w:rPr>
        <w:t>Clause 2B</w:t>
      </w:r>
      <w:r w:rsidRPr="001C39FF">
        <w:rPr>
          <w:rFonts w:eastAsia="Calibri" w:cs="Arial"/>
          <w:szCs w:val="22"/>
        </w:rPr>
        <w:t xml:space="preserve"> </w:t>
      </w:r>
      <w:r>
        <w:rPr>
          <w:rFonts w:eastAsia="Calibri" w:cs="Arial"/>
          <w:szCs w:val="22"/>
        </w:rPr>
        <w:t xml:space="preserve">provides that </w:t>
      </w:r>
      <w:r>
        <w:t xml:space="preserve">Division 2 of Standard 4.2.3 </w:t>
      </w:r>
      <w:r w:rsidRPr="001C39FF">
        <w:rPr>
          <w:rFonts w:eastAsia="Calibri" w:cs="Arial"/>
          <w:szCs w:val="22"/>
        </w:rPr>
        <w:t>does not apply to retail sale activities of a meat producer. These activities are covered by Chapter 3 of the Code</w:t>
      </w:r>
      <w:r>
        <w:rPr>
          <w:rFonts w:eastAsia="Calibri" w:cs="Arial"/>
          <w:szCs w:val="22"/>
        </w:rPr>
        <w:t>.</w:t>
      </w:r>
      <w:r w:rsidR="003F4CDE">
        <w:rPr>
          <w:rFonts w:eastAsia="Calibri" w:cs="Arial"/>
          <w:szCs w:val="22"/>
        </w:rPr>
        <w:br w:type="page"/>
      </w:r>
    </w:p>
    <w:p w:rsidR="004A5D93" w:rsidRDefault="004A5D93" w:rsidP="004A5D93">
      <w:pPr>
        <w:rPr>
          <w:rFonts w:eastAsia="Calibri" w:cs="Arial"/>
          <w:szCs w:val="22"/>
        </w:rPr>
      </w:pPr>
      <w:r w:rsidRPr="00B810B0">
        <w:lastRenderedPageBreak/>
        <w:t>Clause 2</w:t>
      </w:r>
      <w:r>
        <w:t>C</w:t>
      </w:r>
      <w:r w:rsidRPr="00B810B0">
        <w:t xml:space="preserve"> requires a</w:t>
      </w:r>
      <w:r>
        <w:rPr>
          <w:b/>
        </w:rPr>
        <w:t xml:space="preserve"> </w:t>
      </w:r>
      <w:r w:rsidRPr="0048557F">
        <w:t xml:space="preserve">meat producer </w:t>
      </w:r>
      <w:r>
        <w:t>to</w:t>
      </w:r>
      <w:r w:rsidRPr="0048557F">
        <w:t xml:space="preserve"> take all reasonable measures to ensure that inputs do not </w:t>
      </w:r>
      <w:r>
        <w:t xml:space="preserve">adversely affect the safety or suitability of meat or meat products. </w:t>
      </w:r>
      <w:r>
        <w:rPr>
          <w:rFonts w:eastAsia="Calibri" w:cs="Arial"/>
          <w:szCs w:val="22"/>
        </w:rPr>
        <w:t>Inputs can include animal feed (such as pasture, grains, silage and concentrate supplements), w</w:t>
      </w:r>
      <w:r w:rsidRPr="005D02BA">
        <w:rPr>
          <w:rFonts w:eastAsia="Calibri" w:cs="Arial"/>
          <w:szCs w:val="22"/>
        </w:rPr>
        <w:t>ater</w:t>
      </w:r>
      <w:r>
        <w:rPr>
          <w:rFonts w:eastAsia="Calibri" w:cs="Arial"/>
          <w:szCs w:val="22"/>
        </w:rPr>
        <w:t xml:space="preserve"> (including recycled water)</w:t>
      </w:r>
      <w:r w:rsidRPr="005D02BA">
        <w:rPr>
          <w:rFonts w:eastAsia="Calibri" w:cs="Arial"/>
          <w:szCs w:val="22"/>
        </w:rPr>
        <w:t>,</w:t>
      </w:r>
      <w:r>
        <w:rPr>
          <w:rFonts w:eastAsia="Calibri" w:cs="Arial"/>
          <w:szCs w:val="22"/>
        </w:rPr>
        <w:t xml:space="preserve"> chemicals or other substances </w:t>
      </w:r>
      <w:r w:rsidRPr="005D02BA">
        <w:rPr>
          <w:rFonts w:eastAsia="Calibri" w:cs="Arial"/>
          <w:szCs w:val="22"/>
        </w:rPr>
        <w:t>used in connection with</w:t>
      </w:r>
      <w:r>
        <w:rPr>
          <w:rFonts w:eastAsia="Calibri" w:cs="Arial"/>
          <w:szCs w:val="22"/>
        </w:rPr>
        <w:t xml:space="preserve"> the primary production activities.</w:t>
      </w:r>
    </w:p>
    <w:p w:rsidR="004A5D93" w:rsidRDefault="004A5D93" w:rsidP="004A5D93">
      <w:pPr>
        <w:rPr>
          <w:rFonts w:eastAsia="Calibri" w:cs="Arial"/>
          <w:szCs w:val="22"/>
        </w:rPr>
      </w:pPr>
    </w:p>
    <w:p w:rsidR="004A5D93" w:rsidRDefault="004A5D93" w:rsidP="004A5D93">
      <w:pPr>
        <w:autoSpaceDE w:val="0"/>
        <w:autoSpaceDN w:val="0"/>
        <w:adjustRightInd w:val="0"/>
        <w:rPr>
          <w:rFonts w:cs="Arial"/>
        </w:rPr>
      </w:pPr>
      <w:r>
        <w:rPr>
          <w:rFonts w:eastAsia="Calibri" w:cs="Arial"/>
          <w:szCs w:val="22"/>
        </w:rPr>
        <w:t xml:space="preserve">Clause 2D requires a </w:t>
      </w:r>
      <w:r w:rsidRPr="0048557F">
        <w:t xml:space="preserve">meat producer </w:t>
      </w:r>
      <w:r>
        <w:t>to</w:t>
      </w:r>
      <w:r w:rsidRPr="0048557F">
        <w:t xml:space="preserve"> store, handle and dispose of waste in a manner that </w:t>
      </w:r>
      <w:r>
        <w:t xml:space="preserve">will </w:t>
      </w:r>
      <w:r w:rsidRPr="0048557F">
        <w:t xml:space="preserve">not </w:t>
      </w:r>
      <w:r>
        <w:t xml:space="preserve">adversely affect the safety or suitability of meat or meat products. </w:t>
      </w:r>
      <w:r>
        <w:rPr>
          <w:rFonts w:eastAsia="Calibri" w:cs="Arial"/>
          <w:bCs/>
          <w:szCs w:val="22"/>
        </w:rPr>
        <w:t xml:space="preserve">This requirement is intended to prevent the transmission to animals of pathogens </w:t>
      </w:r>
      <w:r>
        <w:rPr>
          <w:rFonts w:cs="Arial"/>
        </w:rPr>
        <w:t xml:space="preserve">from environmental sources.  </w:t>
      </w:r>
      <w:r>
        <w:rPr>
          <w:rFonts w:eastAsia="Calibri" w:cs="Arial"/>
          <w:bCs/>
          <w:szCs w:val="22"/>
        </w:rPr>
        <w:t>For example, the clause would require m</w:t>
      </w:r>
      <w:r>
        <w:rPr>
          <w:rFonts w:cs="Arial"/>
        </w:rPr>
        <w:t xml:space="preserve">eat producers to ensure that </w:t>
      </w:r>
      <w:r>
        <w:t>the safety or suitability of meat or meat products</w:t>
      </w:r>
      <w:r>
        <w:rPr>
          <w:rFonts w:cs="Arial"/>
        </w:rPr>
        <w:t xml:space="preserve"> is not adversely affected by waste contaminating the relevant animals’ water supply or feed. The term ‘waste’ as used in clause 2D is intended to include: solid or liquid waste; animal carcasses; garbage; chemical residues; and seepage or runoff from drains, septic systems or manure pits.</w:t>
      </w:r>
    </w:p>
    <w:p w:rsidR="004A5D93" w:rsidRDefault="004A5D93" w:rsidP="004A5D93">
      <w:pPr>
        <w:autoSpaceDE w:val="0"/>
        <w:autoSpaceDN w:val="0"/>
        <w:adjustRightInd w:val="0"/>
        <w:rPr>
          <w:rFonts w:cs="Arial"/>
        </w:rPr>
      </w:pPr>
    </w:p>
    <w:p w:rsidR="004A5D93" w:rsidRDefault="004A5D93" w:rsidP="004A5D93">
      <w:pPr>
        <w:pStyle w:val="Paragraph"/>
        <w:ind w:left="0" w:firstLine="0"/>
        <w:rPr>
          <w:sz w:val="22"/>
          <w:szCs w:val="22"/>
        </w:rPr>
      </w:pPr>
      <w:r w:rsidRPr="008327A0">
        <w:rPr>
          <w:rFonts w:eastAsia="Calibri" w:cs="Arial"/>
          <w:bCs/>
          <w:sz w:val="22"/>
          <w:szCs w:val="22"/>
        </w:rPr>
        <w:t>Clause 2</w:t>
      </w:r>
      <w:r>
        <w:rPr>
          <w:rFonts w:eastAsia="Calibri" w:cs="Arial"/>
          <w:bCs/>
          <w:sz w:val="22"/>
          <w:szCs w:val="22"/>
        </w:rPr>
        <w:t>E</w:t>
      </w:r>
      <w:r w:rsidRPr="008327A0">
        <w:rPr>
          <w:rFonts w:eastAsia="Calibri" w:cs="Arial"/>
          <w:bCs/>
          <w:sz w:val="22"/>
          <w:szCs w:val="22"/>
        </w:rPr>
        <w:t xml:space="preserve"> requires a meat producer to </w:t>
      </w:r>
      <w:r w:rsidRPr="008327A0">
        <w:rPr>
          <w:sz w:val="22"/>
          <w:szCs w:val="22"/>
        </w:rPr>
        <w:t xml:space="preserve">have a system in place that can identify the persons from whom the meat producer received an animal and to whom the meat producer supplied </w:t>
      </w:r>
      <w:r>
        <w:rPr>
          <w:sz w:val="22"/>
          <w:szCs w:val="22"/>
        </w:rPr>
        <w:t>an</w:t>
      </w:r>
      <w:r w:rsidRPr="008327A0">
        <w:rPr>
          <w:sz w:val="22"/>
          <w:szCs w:val="22"/>
        </w:rPr>
        <w:t xml:space="preserve"> animal. This requirement is intended to ensure that an animal can be traced in the event of a food safety problem. </w:t>
      </w:r>
    </w:p>
    <w:p w:rsidR="004A5D93" w:rsidRDefault="004A5D93" w:rsidP="004A5D93">
      <w:pPr>
        <w:rPr>
          <w:rFonts w:eastAsia="Calibri"/>
        </w:rPr>
      </w:pPr>
    </w:p>
    <w:p w:rsidR="004A5D93" w:rsidRDefault="004A5D93" w:rsidP="004A5D93">
      <w:pPr>
        <w:rPr>
          <w:rFonts w:cs="Arial"/>
        </w:rPr>
      </w:pPr>
      <w:r>
        <w:rPr>
          <w:rFonts w:eastAsia="Calibri"/>
        </w:rPr>
        <w:t xml:space="preserve">Division 2 contains an editorial note to explain that </w:t>
      </w:r>
      <w:r>
        <w:rPr>
          <w:rFonts w:cs="Arial"/>
        </w:rPr>
        <w:t xml:space="preserve">State and Territory laws require persons involved in </w:t>
      </w:r>
      <w:r w:rsidRPr="000F00AE">
        <w:rPr>
          <w:rFonts w:cs="Arial"/>
          <w:lang w:val="en-AU"/>
        </w:rPr>
        <w:t xml:space="preserve">the slaughter and processing of animals for human consumption, including </w:t>
      </w:r>
      <w:r>
        <w:rPr>
          <w:rFonts w:cs="Arial"/>
          <w:lang w:val="en-AU"/>
        </w:rPr>
        <w:t xml:space="preserve">of animals in the wild, and in </w:t>
      </w:r>
      <w:r w:rsidRPr="000F00AE">
        <w:rPr>
          <w:rFonts w:cs="Arial"/>
          <w:lang w:val="en-AU"/>
        </w:rPr>
        <w:t xml:space="preserve">the preparation, packing, transportation or storage of meat or meat products to comply with </w:t>
      </w:r>
      <w:r>
        <w:rPr>
          <w:rFonts w:cs="Arial"/>
          <w:lang w:val="en-AU"/>
        </w:rPr>
        <w:t xml:space="preserve">the </w:t>
      </w:r>
      <w:r w:rsidRPr="000F00AE">
        <w:rPr>
          <w:rFonts w:cs="Arial"/>
          <w:lang w:val="en-AU"/>
        </w:rPr>
        <w:t>Australian Standards</w:t>
      </w:r>
      <w:r>
        <w:rPr>
          <w:rFonts w:cs="Arial"/>
          <w:lang w:val="en-AU"/>
        </w:rPr>
        <w:t xml:space="preserve"> listed in the editorial note.</w:t>
      </w:r>
    </w:p>
    <w:p w:rsidR="004A5D93" w:rsidRDefault="004A5D93" w:rsidP="004A5D93">
      <w:pPr>
        <w:rPr>
          <w:rFonts w:eastAsia="Calibri"/>
        </w:rPr>
      </w:pPr>
    </w:p>
    <w:p w:rsidR="004A5D93" w:rsidRPr="005562FA" w:rsidRDefault="004A5D93" w:rsidP="004A5D93">
      <w:pPr>
        <w:rPr>
          <w:szCs w:val="22"/>
        </w:rPr>
      </w:pPr>
      <w:r w:rsidRPr="005562FA">
        <w:rPr>
          <w:szCs w:val="22"/>
        </w:rPr>
        <w:t xml:space="preserve">Item [2.2] updates the Table of </w:t>
      </w:r>
      <w:r>
        <w:rPr>
          <w:szCs w:val="22"/>
        </w:rPr>
        <w:t>Provisions</w:t>
      </w:r>
      <w:r w:rsidRPr="005562FA">
        <w:rPr>
          <w:szCs w:val="22"/>
        </w:rPr>
        <w:t xml:space="preserve"> in Standard 4.2.3 to reflect the above variations.</w:t>
      </w:r>
    </w:p>
    <w:p w:rsidR="004A5D93" w:rsidRPr="008327A0" w:rsidRDefault="004A5D93" w:rsidP="004A5D93">
      <w:pPr>
        <w:rPr>
          <w:rFonts w:eastAsia="Calibri"/>
        </w:rPr>
      </w:pPr>
    </w:p>
    <w:p w:rsidR="00CB56E8" w:rsidRDefault="00CB56E8">
      <w:pPr>
        <w:widowControl/>
        <w:rPr>
          <w:i/>
        </w:rPr>
      </w:pPr>
      <w:r>
        <w:rPr>
          <w:i/>
        </w:rPr>
        <w:br w:type="page"/>
      </w:r>
    </w:p>
    <w:p w:rsidR="00CB56E8" w:rsidRPr="00E21323" w:rsidRDefault="00CB56E8" w:rsidP="00CB56E8">
      <w:pPr>
        <w:pStyle w:val="Heading2"/>
        <w:ind w:left="0" w:firstLine="0"/>
      </w:pPr>
      <w:bookmarkStart w:id="123" w:name="_Toc386535371"/>
      <w:bookmarkStart w:id="124" w:name="_Toc387850964"/>
      <w:bookmarkEnd w:id="118"/>
      <w:bookmarkEnd w:id="119"/>
      <w:r w:rsidRPr="00E21323">
        <w:lastRenderedPageBreak/>
        <w:t xml:space="preserve">Attachment </w:t>
      </w:r>
      <w:r>
        <w:t>C</w:t>
      </w:r>
      <w:r w:rsidRPr="00E21323">
        <w:t xml:space="preserve"> – </w:t>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bookmarkEnd w:id="123"/>
      <w:bookmarkEnd w:id="124"/>
    </w:p>
    <w:p w:rsidR="00CB56E8" w:rsidRPr="00965EE7" w:rsidRDefault="00CB56E8" w:rsidP="00CB56E8">
      <w:pPr>
        <w:pStyle w:val="ttCrest"/>
        <w:rPr>
          <w:rFonts w:cs="Arial"/>
          <w:b/>
          <w:color w:val="000000" w:themeColor="text1"/>
        </w:rPr>
      </w:pPr>
      <w:r w:rsidRPr="00965EE7">
        <w:rPr>
          <w:rFonts w:cs="Arial"/>
          <w:b/>
          <w:color w:val="000000" w:themeColor="text1"/>
        </w:rPr>
        <w:t>Background</w:t>
      </w:r>
    </w:p>
    <w:p w:rsidR="00CB56E8" w:rsidRDefault="00CB56E8" w:rsidP="00CB56E8">
      <w:pPr>
        <w:rPr>
          <w:color w:val="000000" w:themeColor="text1"/>
        </w:rPr>
      </w:pPr>
    </w:p>
    <w:p w:rsidR="00CB56E8" w:rsidRDefault="00CB56E8" w:rsidP="00CB56E8">
      <w:pPr>
        <w:rPr>
          <w:rFonts w:eastAsia="Calibri"/>
        </w:rPr>
      </w:pP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r w:rsidR="006146B9">
        <w:rPr>
          <w:color w:val="000000" w:themeColor="text1"/>
        </w:rPr>
        <w:t xml:space="preserve"> </w:t>
      </w:r>
      <w:r w:rsidRPr="00596249">
        <w:rPr>
          <w:rFonts w:eastAsia="Calibri"/>
        </w:rPr>
        <w:t xml:space="preserve">FSANZ is reviewing the Australian New Zealand Food Standards Code in order to improve its clarity and legal efficacy. This review is being undertaken through Proposal P1025. FSANZ released a draft revision of the Code for public comment in May 2013. The draft revision has changed the Code’s structure and format. The draft instrument below reflects those changes.  A further draft revision of the Code and call for submissions will be released in the near future. </w:t>
      </w:r>
    </w:p>
    <w:p w:rsidR="00CB56E8" w:rsidRPr="00596249" w:rsidRDefault="00CB56E8" w:rsidP="00CB56E8">
      <w:pPr>
        <w:rPr>
          <w:rFonts w:eastAsia="Calibri"/>
        </w:rPr>
      </w:pPr>
    </w:p>
    <w:p w:rsidR="00CB56E8" w:rsidRDefault="00CB56E8" w:rsidP="00CB56E8">
      <w:pPr>
        <w:rPr>
          <w:rFonts w:eastAsia="Calibri"/>
        </w:rPr>
      </w:pPr>
      <w:r w:rsidRPr="00596249">
        <w:rPr>
          <w:rFonts w:eastAsia="Calibri"/>
        </w:rPr>
        <w:t>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such as the variation to Standard 1.6.2 proposed by P1014. This is the rationale for the draft variation below.  The variations to Standard 4.2.3 proposed by P1014 will be automatically incorporated into the new Code on its commencement. As such, those variations do not require transitional provisions.</w:t>
      </w:r>
    </w:p>
    <w:p w:rsidR="00CB56E8" w:rsidRPr="00596249" w:rsidRDefault="00CB56E8" w:rsidP="00CB56E8">
      <w:pPr>
        <w:rPr>
          <w:rFonts w:eastAsia="Calibri"/>
        </w:rPr>
      </w:pPr>
    </w:p>
    <w:p w:rsidR="00CB56E8" w:rsidRDefault="00CB56E8" w:rsidP="00CB56E8">
      <w:pPr>
        <w:rPr>
          <w:rFonts w:eastAsia="Calibri"/>
        </w:rPr>
      </w:pPr>
      <w:r w:rsidRPr="00596249">
        <w:rPr>
          <w:rFonts w:eastAsia="Calibri"/>
        </w:rPr>
        <w:t>This draft variation is provided for background only. Its content and structure may change as P1025 progresses.</w:t>
      </w:r>
    </w:p>
    <w:p w:rsidR="00CB56E8" w:rsidRPr="00596249" w:rsidRDefault="00CB56E8" w:rsidP="00CB56E8">
      <w:pPr>
        <w:rPr>
          <w:rFonts w:eastAsia="Calibri"/>
        </w:rPr>
      </w:pPr>
    </w:p>
    <w:p w:rsidR="00CB56E8" w:rsidRDefault="00CB56E8" w:rsidP="00CB56E8">
      <w:pPr>
        <w:pStyle w:val="ttCrest"/>
        <w:rPr>
          <w:b/>
        </w:rPr>
      </w:pPr>
      <w:r>
        <w:rPr>
          <w:b/>
        </w:rPr>
        <w:t>Draft instrument</w:t>
      </w:r>
    </w:p>
    <w:p w:rsidR="00CB56E8" w:rsidRDefault="00CB56E8" w:rsidP="00CB56E8">
      <w:pPr>
        <w:pStyle w:val="ttTitleofInstrument"/>
        <w:rPr>
          <w:vertAlign w:val="superscript"/>
        </w:rPr>
      </w:pPr>
      <w:r>
        <w:t xml:space="preserve">Food Standards Code—Variation </w:t>
      </w:r>
    </w:p>
    <w:p w:rsidR="00CB56E8" w:rsidRPr="00E008A1" w:rsidRDefault="00CB56E8" w:rsidP="00CB56E8">
      <w:pPr>
        <w:pStyle w:val="ttAuthorisingAct"/>
      </w:pPr>
      <w:r>
        <w:rPr>
          <w:i w:val="0"/>
        </w:rPr>
        <w:t xml:space="preserve">Made under the </w:t>
      </w:r>
      <w:r>
        <w:t>Food Standards Australia New Zealand Act 1991</w:t>
      </w:r>
    </w:p>
    <w:p w:rsidR="00CB56E8" w:rsidRDefault="00CB56E8" w:rsidP="00CB56E8">
      <w:pPr>
        <w:pStyle w:val="HR"/>
      </w:pPr>
      <w:r>
        <w:t>1</w:t>
      </w:r>
      <w:r>
        <w:tab/>
        <w:t>Name of instrument</w:t>
      </w:r>
    </w:p>
    <w:p w:rsidR="00CB56E8" w:rsidRDefault="00CB56E8" w:rsidP="00CB56E8">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 1)</w:t>
      </w:r>
      <w:r>
        <w:t>.</w:t>
      </w:r>
    </w:p>
    <w:p w:rsidR="00CB56E8" w:rsidRDefault="00CB56E8" w:rsidP="00CB56E8">
      <w:pPr>
        <w:pStyle w:val="HR"/>
      </w:pPr>
      <w:r>
        <w:t>2</w:t>
      </w:r>
      <w:r>
        <w:tab/>
        <w:t>Commencement</w:t>
      </w:r>
    </w:p>
    <w:p w:rsidR="00CB56E8" w:rsidRDefault="00CB56E8" w:rsidP="00CB56E8">
      <w:pPr>
        <w:pStyle w:val="R1"/>
      </w:pPr>
      <w:r>
        <w:tab/>
      </w:r>
      <w:r>
        <w:tab/>
        <w:t>This instrument commences on the day after it is registered.</w:t>
      </w:r>
    </w:p>
    <w:p w:rsidR="00CB56E8" w:rsidRDefault="00CB56E8" w:rsidP="00CB56E8">
      <w:pPr>
        <w:pStyle w:val="HR"/>
      </w:pPr>
      <w:r>
        <w:t>3</w:t>
      </w:r>
      <w:r>
        <w:tab/>
        <w:t>Variation of Standard 1.6.2</w:t>
      </w:r>
    </w:p>
    <w:p w:rsidR="00CB56E8" w:rsidRDefault="00CB56E8" w:rsidP="00CB56E8">
      <w:pPr>
        <w:pStyle w:val="R1"/>
      </w:pPr>
      <w:r>
        <w:tab/>
      </w:r>
      <w:r>
        <w:tab/>
        <w:t>Schedule 1 varies the Australia New Zealand Food Standards Code – Standard 1.6.2 – Processing requirements for meat.</w:t>
      </w:r>
    </w:p>
    <w:p w:rsidR="00CB56E8" w:rsidRPr="003655A6" w:rsidRDefault="00CB56E8" w:rsidP="00CB56E8">
      <w:pPr>
        <w:tabs>
          <w:tab w:val="left" w:pos="5010"/>
        </w:tabs>
      </w:pPr>
      <w:r>
        <w:tab/>
      </w:r>
    </w:p>
    <w:p w:rsidR="00CB56E8" w:rsidRDefault="00CB56E8" w:rsidP="00CB56E8">
      <w:pPr>
        <w:pStyle w:val="Scheduletitle"/>
      </w:pPr>
      <w:r>
        <w:t>Schedule 1</w:t>
      </w:r>
      <w:r>
        <w:tab/>
        <w:t>Variation of Standard 1.6.2</w:t>
      </w:r>
    </w:p>
    <w:p w:rsidR="00CB56E8" w:rsidRDefault="00CB56E8" w:rsidP="00CB56E8">
      <w:pPr>
        <w:pStyle w:val="Schedulereference"/>
      </w:pPr>
      <w:r>
        <w:t>(section 3)</w:t>
      </w:r>
    </w:p>
    <w:p w:rsidR="00CB56E8" w:rsidRDefault="00CB56E8" w:rsidP="00CB56E8">
      <w:pPr>
        <w:pStyle w:val="nDrafterComment"/>
        <w:rPr>
          <w:bCs/>
        </w:rPr>
      </w:pPr>
    </w:p>
    <w:p w:rsidR="00CB56E8" w:rsidRDefault="00CB56E8" w:rsidP="003F4CDE">
      <w:pPr>
        <w:pStyle w:val="t1Main"/>
        <w:rPr>
          <w:rFonts w:cs="Arial"/>
        </w:rPr>
      </w:pPr>
      <w:r>
        <w:rPr>
          <w:bCs/>
        </w:rPr>
        <w:t>[1]</w:t>
      </w:r>
      <w:r w:rsidR="003F4CDE">
        <w:rPr>
          <w:bCs/>
        </w:rPr>
        <w:tab/>
      </w:r>
      <w:r w:rsidR="003F4CDE">
        <w:rPr>
          <w:bCs/>
        </w:rPr>
        <w:tab/>
      </w:r>
      <w:r>
        <w:t>Omit</w:t>
      </w:r>
      <w:r w:rsidRPr="005E4242">
        <w:t xml:space="preserve"> </w:t>
      </w:r>
      <w:r>
        <w:t>section 1.6.2—2.</w:t>
      </w:r>
    </w:p>
    <w:sectPr w:rsidR="00CB56E8" w:rsidSect="005D6AAF">
      <w:headerReference w:type="default" r:id="rId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27" w:rsidRDefault="00DC2727">
      <w:r>
        <w:separator/>
      </w:r>
    </w:p>
  </w:endnote>
  <w:endnote w:type="continuationSeparator" w:id="0">
    <w:p w:rsidR="00DC2727" w:rsidRDefault="00DC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27" w:rsidRDefault="00DC272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2727" w:rsidRDefault="00DC2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DC2727" w:rsidRDefault="00DC2727" w:rsidP="00A671E6">
        <w:pPr>
          <w:pStyle w:val="Footer"/>
          <w:jc w:val="center"/>
        </w:pPr>
        <w:r>
          <w:fldChar w:fldCharType="begin"/>
        </w:r>
        <w:r>
          <w:instrText xml:space="preserve"> PAGE   \* MERGEFORMAT </w:instrText>
        </w:r>
        <w:r>
          <w:fldChar w:fldCharType="separate"/>
        </w:r>
        <w:r w:rsidR="00E116B8">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B5" w:rsidRDefault="00293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27" w:rsidRDefault="00DC2727">
      <w:r>
        <w:separator/>
      </w:r>
    </w:p>
  </w:footnote>
  <w:footnote w:type="continuationSeparator" w:id="0">
    <w:p w:rsidR="00DC2727" w:rsidRDefault="00DC2727">
      <w:r>
        <w:continuationSeparator/>
      </w:r>
    </w:p>
  </w:footnote>
  <w:footnote w:id="1">
    <w:p w:rsidR="00DC2727" w:rsidRPr="0010778D" w:rsidRDefault="00DC2727" w:rsidP="00861C13">
      <w:pPr>
        <w:pStyle w:val="FootnoteText"/>
        <w:rPr>
          <w:sz w:val="18"/>
          <w:szCs w:val="18"/>
          <w:lang w:val="en-AU"/>
        </w:rPr>
      </w:pPr>
      <w:r w:rsidRPr="0010778D">
        <w:rPr>
          <w:rStyle w:val="FootnoteReference"/>
          <w:sz w:val="18"/>
          <w:szCs w:val="18"/>
        </w:rPr>
        <w:footnoteRef/>
      </w:r>
      <w:r w:rsidRPr="0010778D">
        <w:rPr>
          <w:sz w:val="18"/>
          <w:szCs w:val="18"/>
        </w:rPr>
        <w:t xml:space="preserve"> </w:t>
      </w:r>
      <w:r w:rsidRPr="0010778D">
        <w:rPr>
          <w:sz w:val="18"/>
          <w:szCs w:val="18"/>
          <w:lang w:val="en-AU"/>
        </w:rPr>
        <w:t>Previously known as the Australia and New Zealand Food Regulation Ministerial Council</w:t>
      </w:r>
    </w:p>
  </w:footnote>
  <w:footnote w:id="2">
    <w:p w:rsidR="00DC2727" w:rsidRPr="00224AD6" w:rsidRDefault="00DC2727" w:rsidP="00436652">
      <w:pPr>
        <w:pStyle w:val="FootnoteText"/>
        <w:rPr>
          <w:sz w:val="18"/>
          <w:szCs w:val="18"/>
        </w:rPr>
      </w:pPr>
      <w:r>
        <w:rPr>
          <w:rStyle w:val="FootnoteReference"/>
        </w:rPr>
        <w:footnoteRef/>
      </w:r>
      <w:r>
        <w:t xml:space="preserve"> </w:t>
      </w:r>
      <w:r w:rsidRPr="00224AD6">
        <w:rPr>
          <w:sz w:val="18"/>
          <w:szCs w:val="18"/>
        </w:rPr>
        <w:t>Formerly known as the Australia and New Zealand Food Regulation Ministerial Council</w:t>
      </w:r>
    </w:p>
  </w:footnote>
  <w:footnote w:id="3">
    <w:p w:rsidR="00DC2727" w:rsidRPr="00224AD6" w:rsidRDefault="00DC2727" w:rsidP="00DC2727">
      <w:pPr>
        <w:pStyle w:val="CommentText"/>
        <w:rPr>
          <w:sz w:val="18"/>
          <w:szCs w:val="18"/>
          <w:lang w:val="en-US"/>
        </w:rPr>
      </w:pPr>
      <w:r w:rsidRPr="00224AD6">
        <w:rPr>
          <w:rStyle w:val="FootnoteReference"/>
          <w:sz w:val="18"/>
          <w:szCs w:val="18"/>
        </w:rPr>
        <w:footnoteRef/>
      </w:r>
      <w:r w:rsidRPr="00224AD6">
        <w:rPr>
          <w:sz w:val="18"/>
          <w:szCs w:val="18"/>
        </w:rPr>
        <w:t xml:space="preserve"> </w:t>
      </w:r>
      <w:r w:rsidRPr="00224AD6">
        <w:rPr>
          <w:sz w:val="18"/>
          <w:szCs w:val="18"/>
          <w:lang w:val="en-US"/>
        </w:rPr>
        <w:t xml:space="preserve">The Ministerial Guidelines are available at </w:t>
      </w:r>
      <w:hyperlink r:id="rId1" w:history="1">
        <w:r w:rsidRPr="00E9489C">
          <w:rPr>
            <w:rStyle w:val="Hyperlink"/>
          </w:rPr>
          <w:t>http://www.foodstandards.gov.au/code/fofr/fofrpolicy/pages/default.aspx</w:t>
        </w:r>
      </w:hyperlink>
      <w:r>
        <w:t xml:space="preserve"> </w:t>
      </w:r>
    </w:p>
  </w:footnote>
  <w:footnote w:id="4">
    <w:p w:rsidR="00DC2727" w:rsidRPr="0083427F" w:rsidRDefault="00DC2727" w:rsidP="00695EC0">
      <w:pPr>
        <w:pStyle w:val="FootnoteText"/>
        <w:rPr>
          <w:sz w:val="18"/>
          <w:szCs w:val="18"/>
          <w:lang w:val="en-AU"/>
        </w:rPr>
      </w:pPr>
      <w:r w:rsidRPr="0083427F">
        <w:rPr>
          <w:rStyle w:val="FootnoteReference"/>
          <w:sz w:val="18"/>
          <w:szCs w:val="18"/>
        </w:rPr>
        <w:footnoteRef/>
      </w:r>
      <w:r w:rsidRPr="0083427F">
        <w:rPr>
          <w:sz w:val="18"/>
          <w:szCs w:val="18"/>
        </w:rPr>
        <w:t xml:space="preserve"> Primary production includes the rearing of animals for human consumption, feedlots, saleyards and transporters of animals (to saleyards, between </w:t>
      </w:r>
      <w:r>
        <w:rPr>
          <w:sz w:val="18"/>
          <w:szCs w:val="18"/>
        </w:rPr>
        <w:t>properties, and to the abattoir)</w:t>
      </w:r>
      <w:r w:rsidRPr="0083427F">
        <w:rPr>
          <w:sz w:val="18"/>
          <w:szCs w:val="18"/>
        </w:rPr>
        <w:t>.</w:t>
      </w:r>
    </w:p>
  </w:footnote>
  <w:footnote w:id="5">
    <w:p w:rsidR="00DC2727" w:rsidRPr="00753D02" w:rsidRDefault="00DC2727">
      <w:pPr>
        <w:pStyle w:val="FootnoteText"/>
        <w:rPr>
          <w:sz w:val="18"/>
          <w:szCs w:val="18"/>
          <w:lang w:val="en-AU"/>
        </w:rPr>
      </w:pPr>
      <w:r>
        <w:rPr>
          <w:rStyle w:val="FootnoteReference"/>
        </w:rPr>
        <w:footnoteRef/>
      </w:r>
      <w:r>
        <w:t xml:space="preserve"> </w:t>
      </w:r>
      <w:r w:rsidRPr="00695EC0">
        <w:rPr>
          <w:sz w:val="18"/>
          <w:szCs w:val="18"/>
        </w:rPr>
        <w:t>Ha</w:t>
      </w:r>
      <w:r w:rsidRPr="00695EC0">
        <w:rPr>
          <w:rFonts w:cs="Arial"/>
          <w:sz w:val="18"/>
          <w:szCs w:val="18"/>
        </w:rPr>
        <w:t xml:space="preserve">rvesting </w:t>
      </w:r>
      <w:r w:rsidRPr="00695EC0">
        <w:rPr>
          <w:rFonts w:cs="Arial"/>
          <w:sz w:val="18"/>
          <w:szCs w:val="18"/>
          <w:lang w:eastAsia="en-GB" w:bidi="ar-SA"/>
        </w:rPr>
        <w:t>includes the killing of wild game animals, their identification, bleeding, field dressing, cooling, hygienic storage and transport up to the point of their presentation for inspection at a wild game meat processing premises.</w:t>
      </w:r>
    </w:p>
  </w:footnote>
  <w:footnote w:id="6">
    <w:p w:rsidR="00DC2727" w:rsidRPr="008828D9" w:rsidRDefault="00DC2727" w:rsidP="002C1A3B">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 w:id="7">
    <w:p w:rsidR="00DC2727" w:rsidRPr="006E1858" w:rsidRDefault="00DC2727" w:rsidP="002D5711">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DB5" w:rsidRDefault="00293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27" w:rsidRPr="00616017" w:rsidRDefault="00DC2727"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27" w:rsidRDefault="00DC2727">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727" w:rsidRDefault="00DC2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85157"/>
    <w:multiLevelType w:val="hybridMultilevel"/>
    <w:tmpl w:val="6A36F8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6AC264F"/>
    <w:multiLevelType w:val="hybridMultilevel"/>
    <w:tmpl w:val="63F048F8"/>
    <w:lvl w:ilvl="0" w:tplc="E5BAA95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0DB62F70"/>
    <w:multiLevelType w:val="hybridMultilevel"/>
    <w:tmpl w:val="DC1A64B2"/>
    <w:lvl w:ilvl="0" w:tplc="0194E6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9B8645D"/>
    <w:multiLevelType w:val="hybridMultilevel"/>
    <w:tmpl w:val="39B89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C1B63"/>
    <w:multiLevelType w:val="hybridMultilevel"/>
    <w:tmpl w:val="99B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1B2093"/>
    <w:multiLevelType w:val="hybridMultilevel"/>
    <w:tmpl w:val="D222E5A4"/>
    <w:lvl w:ilvl="0" w:tplc="6F4C47F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C17EC9"/>
    <w:multiLevelType w:val="hybridMultilevel"/>
    <w:tmpl w:val="63C86BA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537F39"/>
    <w:multiLevelType w:val="hybridMultilevel"/>
    <w:tmpl w:val="21DE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47F53424"/>
    <w:multiLevelType w:val="hybridMultilevel"/>
    <w:tmpl w:val="BFF6C64A"/>
    <w:lvl w:ilvl="0" w:tplc="5B04277A">
      <w:start w:val="1"/>
      <w:numFmt w:val="lowerLetter"/>
      <w:lvlText w:val="(%1)"/>
      <w:lvlJc w:val="left"/>
      <w:pPr>
        <w:ind w:left="720" w:hanging="360"/>
      </w:pPr>
      <w:rPr>
        <w:rFonts w:cs="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BD36CE"/>
    <w:multiLevelType w:val="hybridMultilevel"/>
    <w:tmpl w:val="4C582004"/>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3746C6"/>
    <w:multiLevelType w:val="hybridMultilevel"/>
    <w:tmpl w:val="B588CC8A"/>
    <w:lvl w:ilvl="0" w:tplc="08090001">
      <w:start w:val="1"/>
      <w:numFmt w:val="bullet"/>
      <w:pStyle w:val="Bullet1"/>
      <w:lvlText w:val=""/>
      <w:lvlJc w:val="left"/>
      <w:pPr>
        <w:ind w:left="480" w:hanging="360"/>
      </w:pPr>
      <w:rPr>
        <w:rFonts w:ascii="Symbol" w:hAnsi="Symbol" w:hint="default"/>
        <w:color w:val="auto"/>
      </w:rPr>
    </w:lvl>
    <w:lvl w:ilvl="1" w:tplc="08090003">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3677BC"/>
    <w:multiLevelType w:val="hybridMultilevel"/>
    <w:tmpl w:val="81062EFA"/>
    <w:lvl w:ilvl="0" w:tplc="EBB4F7A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594B62B5"/>
    <w:multiLevelType w:val="hybridMultilevel"/>
    <w:tmpl w:val="013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1C7565"/>
    <w:multiLevelType w:val="hybridMultilevel"/>
    <w:tmpl w:val="0EA0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A01948"/>
    <w:multiLevelType w:val="hybridMultilevel"/>
    <w:tmpl w:val="0F56CED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94289E"/>
    <w:multiLevelType w:val="hybridMultilevel"/>
    <w:tmpl w:val="EFAEA2D2"/>
    <w:lvl w:ilvl="0" w:tplc="681A1C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80930CE"/>
    <w:multiLevelType w:val="hybridMultilevel"/>
    <w:tmpl w:val="03A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C0172D"/>
    <w:multiLevelType w:val="multilevel"/>
    <w:tmpl w:val="8054A8BC"/>
    <w:lvl w:ilvl="0">
      <w:start w:val="2"/>
      <w:numFmt w:val="decimal"/>
      <w:lvlText w:val="%1"/>
      <w:lvlJc w:val="left"/>
      <w:pPr>
        <w:ind w:left="540" w:hanging="540"/>
      </w:pPr>
      <w:rPr>
        <w:rFonts w:hint="default"/>
      </w:rPr>
    </w:lvl>
    <w:lvl w:ilvl="1">
      <w:start w:val="562"/>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5">
    <w:nsid w:val="7B7469A8"/>
    <w:multiLevelType w:val="hybridMultilevel"/>
    <w:tmpl w:val="7898ED64"/>
    <w:lvl w:ilvl="0" w:tplc="CE3EB674">
      <w:start w:val="1"/>
      <w:numFmt w:val="bullet"/>
      <w:lvlText w:val=""/>
      <w:lvlJc w:val="left"/>
      <w:pPr>
        <w:tabs>
          <w:tab w:val="num" w:pos="652"/>
        </w:tabs>
        <w:ind w:left="652"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4"/>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3"/>
  </w:num>
  <w:num w:numId="9">
    <w:abstractNumId w:val="16"/>
  </w:num>
  <w:num w:numId="10">
    <w:abstractNumId w:val="0"/>
  </w:num>
  <w:num w:numId="11">
    <w:abstractNumId w:val="18"/>
  </w:num>
  <w:num w:numId="12">
    <w:abstractNumId w:val="11"/>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1"/>
  </w:num>
  <w:num w:numId="16">
    <w:abstractNumId w:val="14"/>
  </w:num>
  <w:num w:numId="17">
    <w:abstractNumId w:val="24"/>
  </w:num>
  <w:num w:numId="18">
    <w:abstractNumId w:val="8"/>
  </w:num>
  <w:num w:numId="19">
    <w:abstractNumId w:val="6"/>
  </w:num>
  <w:num w:numId="20">
    <w:abstractNumId w:val="3"/>
  </w:num>
  <w:num w:numId="21">
    <w:abstractNumId w:val="12"/>
  </w:num>
  <w:num w:numId="22">
    <w:abstractNumId w:val="19"/>
  </w:num>
  <w:num w:numId="23">
    <w:abstractNumId w:val="20"/>
  </w:num>
  <w:num w:numId="24">
    <w:abstractNumId w:val="5"/>
  </w:num>
  <w:num w:numId="25">
    <w:abstractNumId w:val="2"/>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0F9"/>
    <w:rsid w:val="0000247B"/>
    <w:rsid w:val="0000469B"/>
    <w:rsid w:val="00010E79"/>
    <w:rsid w:val="00014E34"/>
    <w:rsid w:val="0001742D"/>
    <w:rsid w:val="000332AE"/>
    <w:rsid w:val="00033701"/>
    <w:rsid w:val="00035FF3"/>
    <w:rsid w:val="00040D56"/>
    <w:rsid w:val="000418F0"/>
    <w:rsid w:val="00051021"/>
    <w:rsid w:val="000524F0"/>
    <w:rsid w:val="000527E5"/>
    <w:rsid w:val="00052D54"/>
    <w:rsid w:val="000576EB"/>
    <w:rsid w:val="00064B2D"/>
    <w:rsid w:val="00065C89"/>
    <w:rsid w:val="00065F1F"/>
    <w:rsid w:val="000759E2"/>
    <w:rsid w:val="00076D33"/>
    <w:rsid w:val="00076D3B"/>
    <w:rsid w:val="00077859"/>
    <w:rsid w:val="00077AEA"/>
    <w:rsid w:val="00081B0A"/>
    <w:rsid w:val="00091B9D"/>
    <w:rsid w:val="00096F4B"/>
    <w:rsid w:val="000A0E8D"/>
    <w:rsid w:val="000A3D8B"/>
    <w:rsid w:val="000B427A"/>
    <w:rsid w:val="000B6AF2"/>
    <w:rsid w:val="000B79E5"/>
    <w:rsid w:val="000C1407"/>
    <w:rsid w:val="000D6FD4"/>
    <w:rsid w:val="000D7B1C"/>
    <w:rsid w:val="000E0AE4"/>
    <w:rsid w:val="000E1EA4"/>
    <w:rsid w:val="000E3DBC"/>
    <w:rsid w:val="000E662F"/>
    <w:rsid w:val="000F3CFE"/>
    <w:rsid w:val="000F4918"/>
    <w:rsid w:val="000F6568"/>
    <w:rsid w:val="001024E4"/>
    <w:rsid w:val="00102819"/>
    <w:rsid w:val="0010778D"/>
    <w:rsid w:val="00107AEF"/>
    <w:rsid w:val="001122EC"/>
    <w:rsid w:val="0011694E"/>
    <w:rsid w:val="0012388D"/>
    <w:rsid w:val="00135895"/>
    <w:rsid w:val="00150B54"/>
    <w:rsid w:val="0015187A"/>
    <w:rsid w:val="0015273A"/>
    <w:rsid w:val="00182C4C"/>
    <w:rsid w:val="001878C5"/>
    <w:rsid w:val="0019399D"/>
    <w:rsid w:val="00197D8D"/>
    <w:rsid w:val="001A1A75"/>
    <w:rsid w:val="001A391B"/>
    <w:rsid w:val="001A5F74"/>
    <w:rsid w:val="001A7E9A"/>
    <w:rsid w:val="001B0865"/>
    <w:rsid w:val="001B1811"/>
    <w:rsid w:val="001C27A3"/>
    <w:rsid w:val="001D43F6"/>
    <w:rsid w:val="001E09FA"/>
    <w:rsid w:val="001F19BD"/>
    <w:rsid w:val="00202A6F"/>
    <w:rsid w:val="002036DD"/>
    <w:rsid w:val="0022197C"/>
    <w:rsid w:val="00221D07"/>
    <w:rsid w:val="00224E3B"/>
    <w:rsid w:val="00227E4A"/>
    <w:rsid w:val="00237910"/>
    <w:rsid w:val="002421C1"/>
    <w:rsid w:val="00256E1A"/>
    <w:rsid w:val="002608FF"/>
    <w:rsid w:val="00271736"/>
    <w:rsid w:val="00272785"/>
    <w:rsid w:val="002758A0"/>
    <w:rsid w:val="0029204E"/>
    <w:rsid w:val="002920C3"/>
    <w:rsid w:val="002928ED"/>
    <w:rsid w:val="00293DB5"/>
    <w:rsid w:val="002961BD"/>
    <w:rsid w:val="002A0194"/>
    <w:rsid w:val="002A4933"/>
    <w:rsid w:val="002A5F8B"/>
    <w:rsid w:val="002A7F6C"/>
    <w:rsid w:val="002B38BA"/>
    <w:rsid w:val="002C1A3B"/>
    <w:rsid w:val="002C674F"/>
    <w:rsid w:val="002D404C"/>
    <w:rsid w:val="002D5141"/>
    <w:rsid w:val="002D5711"/>
    <w:rsid w:val="002D7AEA"/>
    <w:rsid w:val="002E1820"/>
    <w:rsid w:val="002E2F17"/>
    <w:rsid w:val="002F35EA"/>
    <w:rsid w:val="002F6488"/>
    <w:rsid w:val="00305C54"/>
    <w:rsid w:val="0031016C"/>
    <w:rsid w:val="003162A6"/>
    <w:rsid w:val="00321060"/>
    <w:rsid w:val="003213F9"/>
    <w:rsid w:val="003239C3"/>
    <w:rsid w:val="00323AB6"/>
    <w:rsid w:val="00323DBF"/>
    <w:rsid w:val="00327867"/>
    <w:rsid w:val="00332B12"/>
    <w:rsid w:val="003353D3"/>
    <w:rsid w:val="00337CBC"/>
    <w:rsid w:val="003428FC"/>
    <w:rsid w:val="003507DB"/>
    <w:rsid w:val="00351B07"/>
    <w:rsid w:val="0036533D"/>
    <w:rsid w:val="00371B29"/>
    <w:rsid w:val="003766F8"/>
    <w:rsid w:val="00380106"/>
    <w:rsid w:val="00381064"/>
    <w:rsid w:val="003814F0"/>
    <w:rsid w:val="00381E07"/>
    <w:rsid w:val="00385788"/>
    <w:rsid w:val="00391769"/>
    <w:rsid w:val="003953E1"/>
    <w:rsid w:val="003956B3"/>
    <w:rsid w:val="003A0A4D"/>
    <w:rsid w:val="003A3D30"/>
    <w:rsid w:val="003A400A"/>
    <w:rsid w:val="003A68BE"/>
    <w:rsid w:val="003A7B84"/>
    <w:rsid w:val="003B1B7D"/>
    <w:rsid w:val="003B65D5"/>
    <w:rsid w:val="003C38D2"/>
    <w:rsid w:val="003C3B43"/>
    <w:rsid w:val="003C4969"/>
    <w:rsid w:val="003D029A"/>
    <w:rsid w:val="003D2CDC"/>
    <w:rsid w:val="003E41D5"/>
    <w:rsid w:val="003E46BA"/>
    <w:rsid w:val="003E63D9"/>
    <w:rsid w:val="003F4CDE"/>
    <w:rsid w:val="003F74C1"/>
    <w:rsid w:val="00405B1A"/>
    <w:rsid w:val="00410C76"/>
    <w:rsid w:val="00411907"/>
    <w:rsid w:val="00417EE3"/>
    <w:rsid w:val="004207EB"/>
    <w:rsid w:val="00421730"/>
    <w:rsid w:val="00422EC9"/>
    <w:rsid w:val="00423AC7"/>
    <w:rsid w:val="004304EE"/>
    <w:rsid w:val="00432A42"/>
    <w:rsid w:val="00436652"/>
    <w:rsid w:val="00437276"/>
    <w:rsid w:val="00442CF6"/>
    <w:rsid w:val="00453646"/>
    <w:rsid w:val="00456B54"/>
    <w:rsid w:val="00457AD9"/>
    <w:rsid w:val="00464643"/>
    <w:rsid w:val="00486793"/>
    <w:rsid w:val="00486C66"/>
    <w:rsid w:val="00494A3F"/>
    <w:rsid w:val="004A2037"/>
    <w:rsid w:val="004A5D93"/>
    <w:rsid w:val="004A793C"/>
    <w:rsid w:val="004B0361"/>
    <w:rsid w:val="004B047B"/>
    <w:rsid w:val="004B2797"/>
    <w:rsid w:val="004B4CDC"/>
    <w:rsid w:val="004D121E"/>
    <w:rsid w:val="004D140D"/>
    <w:rsid w:val="004D1B1C"/>
    <w:rsid w:val="004D5759"/>
    <w:rsid w:val="004F4F98"/>
    <w:rsid w:val="004F5CDC"/>
    <w:rsid w:val="004F69F6"/>
    <w:rsid w:val="004F79AC"/>
    <w:rsid w:val="00506E9B"/>
    <w:rsid w:val="00512131"/>
    <w:rsid w:val="005207D8"/>
    <w:rsid w:val="005219F0"/>
    <w:rsid w:val="00523930"/>
    <w:rsid w:val="005242A0"/>
    <w:rsid w:val="005244F1"/>
    <w:rsid w:val="0052582B"/>
    <w:rsid w:val="00537CDC"/>
    <w:rsid w:val="00560185"/>
    <w:rsid w:val="00562917"/>
    <w:rsid w:val="0057013E"/>
    <w:rsid w:val="00571B8C"/>
    <w:rsid w:val="0057253B"/>
    <w:rsid w:val="005811B7"/>
    <w:rsid w:val="00586228"/>
    <w:rsid w:val="005946D3"/>
    <w:rsid w:val="00596249"/>
    <w:rsid w:val="005A4D08"/>
    <w:rsid w:val="005A572E"/>
    <w:rsid w:val="005B6AF4"/>
    <w:rsid w:val="005C04CB"/>
    <w:rsid w:val="005D16AD"/>
    <w:rsid w:val="005D2016"/>
    <w:rsid w:val="005D6AAF"/>
    <w:rsid w:val="005D72E1"/>
    <w:rsid w:val="005E58D3"/>
    <w:rsid w:val="005E6E16"/>
    <w:rsid w:val="005E7DB7"/>
    <w:rsid w:val="005F3EB8"/>
    <w:rsid w:val="005F400E"/>
    <w:rsid w:val="005F7342"/>
    <w:rsid w:val="00606F75"/>
    <w:rsid w:val="00610A3C"/>
    <w:rsid w:val="006138D7"/>
    <w:rsid w:val="006146B9"/>
    <w:rsid w:val="00615E83"/>
    <w:rsid w:val="00616017"/>
    <w:rsid w:val="0062590C"/>
    <w:rsid w:val="00625A90"/>
    <w:rsid w:val="00627F48"/>
    <w:rsid w:val="0063455F"/>
    <w:rsid w:val="00635814"/>
    <w:rsid w:val="00647AF7"/>
    <w:rsid w:val="00650056"/>
    <w:rsid w:val="00657459"/>
    <w:rsid w:val="00662EF1"/>
    <w:rsid w:val="00663FCF"/>
    <w:rsid w:val="006652A2"/>
    <w:rsid w:val="00682841"/>
    <w:rsid w:val="00683071"/>
    <w:rsid w:val="00692490"/>
    <w:rsid w:val="00695EC0"/>
    <w:rsid w:val="006969CC"/>
    <w:rsid w:val="00696A15"/>
    <w:rsid w:val="006A48A7"/>
    <w:rsid w:val="006A520B"/>
    <w:rsid w:val="006A5D40"/>
    <w:rsid w:val="006A7E8B"/>
    <w:rsid w:val="006B2FD5"/>
    <w:rsid w:val="006B6AAF"/>
    <w:rsid w:val="006C22A7"/>
    <w:rsid w:val="006C5CF5"/>
    <w:rsid w:val="006D33FF"/>
    <w:rsid w:val="006D48E6"/>
    <w:rsid w:val="006F4A82"/>
    <w:rsid w:val="006F4B95"/>
    <w:rsid w:val="00710C37"/>
    <w:rsid w:val="00724FA4"/>
    <w:rsid w:val="00730800"/>
    <w:rsid w:val="00744533"/>
    <w:rsid w:val="00746E8D"/>
    <w:rsid w:val="007537F2"/>
    <w:rsid w:val="00753D02"/>
    <w:rsid w:val="00755F02"/>
    <w:rsid w:val="007602AA"/>
    <w:rsid w:val="007652EF"/>
    <w:rsid w:val="00765DE1"/>
    <w:rsid w:val="00772BDC"/>
    <w:rsid w:val="007740FB"/>
    <w:rsid w:val="00777437"/>
    <w:rsid w:val="00780792"/>
    <w:rsid w:val="0078309E"/>
    <w:rsid w:val="00795D86"/>
    <w:rsid w:val="007A44B4"/>
    <w:rsid w:val="007A53BF"/>
    <w:rsid w:val="007A7D3D"/>
    <w:rsid w:val="007B225D"/>
    <w:rsid w:val="007B774B"/>
    <w:rsid w:val="007C1C64"/>
    <w:rsid w:val="007C22CB"/>
    <w:rsid w:val="007D0189"/>
    <w:rsid w:val="007D7D8E"/>
    <w:rsid w:val="007E2BFC"/>
    <w:rsid w:val="007E48BC"/>
    <w:rsid w:val="007E79F7"/>
    <w:rsid w:val="007F1435"/>
    <w:rsid w:val="007F3630"/>
    <w:rsid w:val="007F7BF7"/>
    <w:rsid w:val="008068F7"/>
    <w:rsid w:val="00807559"/>
    <w:rsid w:val="00813464"/>
    <w:rsid w:val="0082016C"/>
    <w:rsid w:val="008260F2"/>
    <w:rsid w:val="00831154"/>
    <w:rsid w:val="0083562F"/>
    <w:rsid w:val="008358E3"/>
    <w:rsid w:val="008450BC"/>
    <w:rsid w:val="00847066"/>
    <w:rsid w:val="00850B09"/>
    <w:rsid w:val="0085334B"/>
    <w:rsid w:val="008537BA"/>
    <w:rsid w:val="00860808"/>
    <w:rsid w:val="00861C13"/>
    <w:rsid w:val="00865C33"/>
    <w:rsid w:val="00870214"/>
    <w:rsid w:val="00871116"/>
    <w:rsid w:val="00874758"/>
    <w:rsid w:val="00883FA4"/>
    <w:rsid w:val="00885C51"/>
    <w:rsid w:val="00896B85"/>
    <w:rsid w:val="008A243D"/>
    <w:rsid w:val="008A78E8"/>
    <w:rsid w:val="008B40B6"/>
    <w:rsid w:val="008C22E2"/>
    <w:rsid w:val="008C3722"/>
    <w:rsid w:val="008C7A77"/>
    <w:rsid w:val="008D06C6"/>
    <w:rsid w:val="008D3722"/>
    <w:rsid w:val="008D5E9D"/>
    <w:rsid w:val="008E2ACD"/>
    <w:rsid w:val="008E6250"/>
    <w:rsid w:val="008F3F16"/>
    <w:rsid w:val="00902C6E"/>
    <w:rsid w:val="00920249"/>
    <w:rsid w:val="00921EC0"/>
    <w:rsid w:val="00922754"/>
    <w:rsid w:val="0093272D"/>
    <w:rsid w:val="00932F14"/>
    <w:rsid w:val="00935C53"/>
    <w:rsid w:val="0093683B"/>
    <w:rsid w:val="0094247F"/>
    <w:rsid w:val="009425FE"/>
    <w:rsid w:val="00942D60"/>
    <w:rsid w:val="009460FA"/>
    <w:rsid w:val="00947534"/>
    <w:rsid w:val="009478A1"/>
    <w:rsid w:val="00955992"/>
    <w:rsid w:val="0096523B"/>
    <w:rsid w:val="00972D06"/>
    <w:rsid w:val="0099323D"/>
    <w:rsid w:val="00993BC9"/>
    <w:rsid w:val="009A2699"/>
    <w:rsid w:val="009A391C"/>
    <w:rsid w:val="009B6EC2"/>
    <w:rsid w:val="009D28AD"/>
    <w:rsid w:val="009E0A61"/>
    <w:rsid w:val="009E3010"/>
    <w:rsid w:val="009E46F5"/>
    <w:rsid w:val="009F43F3"/>
    <w:rsid w:val="009F7065"/>
    <w:rsid w:val="00A2449C"/>
    <w:rsid w:val="00A318EB"/>
    <w:rsid w:val="00A33358"/>
    <w:rsid w:val="00A551B9"/>
    <w:rsid w:val="00A56DC7"/>
    <w:rsid w:val="00A5756A"/>
    <w:rsid w:val="00A66FDD"/>
    <w:rsid w:val="00A671E6"/>
    <w:rsid w:val="00A709E5"/>
    <w:rsid w:val="00A720E2"/>
    <w:rsid w:val="00A741EA"/>
    <w:rsid w:val="00A747E9"/>
    <w:rsid w:val="00A74FD1"/>
    <w:rsid w:val="00A7503A"/>
    <w:rsid w:val="00A77BB3"/>
    <w:rsid w:val="00A84A58"/>
    <w:rsid w:val="00A85741"/>
    <w:rsid w:val="00A929A9"/>
    <w:rsid w:val="00A96594"/>
    <w:rsid w:val="00AA2086"/>
    <w:rsid w:val="00AA41BA"/>
    <w:rsid w:val="00AA6D0D"/>
    <w:rsid w:val="00AA6FA3"/>
    <w:rsid w:val="00AB5846"/>
    <w:rsid w:val="00AB598E"/>
    <w:rsid w:val="00AC428E"/>
    <w:rsid w:val="00AD344F"/>
    <w:rsid w:val="00AE4FFD"/>
    <w:rsid w:val="00AE5222"/>
    <w:rsid w:val="00AF24FA"/>
    <w:rsid w:val="00AF387F"/>
    <w:rsid w:val="00AF397D"/>
    <w:rsid w:val="00B00E7F"/>
    <w:rsid w:val="00B15271"/>
    <w:rsid w:val="00B17112"/>
    <w:rsid w:val="00B21055"/>
    <w:rsid w:val="00B21DCC"/>
    <w:rsid w:val="00B25F37"/>
    <w:rsid w:val="00B3390C"/>
    <w:rsid w:val="00B3525D"/>
    <w:rsid w:val="00B37ED2"/>
    <w:rsid w:val="00B425AA"/>
    <w:rsid w:val="00B44422"/>
    <w:rsid w:val="00B46EA0"/>
    <w:rsid w:val="00B55714"/>
    <w:rsid w:val="00B673D5"/>
    <w:rsid w:val="00B731D3"/>
    <w:rsid w:val="00B75B57"/>
    <w:rsid w:val="00B811B3"/>
    <w:rsid w:val="00B839A3"/>
    <w:rsid w:val="00B902BD"/>
    <w:rsid w:val="00BA1009"/>
    <w:rsid w:val="00BB02E3"/>
    <w:rsid w:val="00BC4D44"/>
    <w:rsid w:val="00BC58AB"/>
    <w:rsid w:val="00BD0492"/>
    <w:rsid w:val="00BD2A39"/>
    <w:rsid w:val="00BD2E80"/>
    <w:rsid w:val="00BD49FF"/>
    <w:rsid w:val="00BD4B64"/>
    <w:rsid w:val="00BD5751"/>
    <w:rsid w:val="00BD77E1"/>
    <w:rsid w:val="00BE11B8"/>
    <w:rsid w:val="00BF3498"/>
    <w:rsid w:val="00BF7AD7"/>
    <w:rsid w:val="00BF7FF0"/>
    <w:rsid w:val="00C07588"/>
    <w:rsid w:val="00C11AEA"/>
    <w:rsid w:val="00C12502"/>
    <w:rsid w:val="00C17553"/>
    <w:rsid w:val="00C20167"/>
    <w:rsid w:val="00C26B3B"/>
    <w:rsid w:val="00C33D3C"/>
    <w:rsid w:val="00C376B3"/>
    <w:rsid w:val="00C37AE9"/>
    <w:rsid w:val="00C40AA5"/>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A762E"/>
    <w:rsid w:val="00CB03D7"/>
    <w:rsid w:val="00CB115C"/>
    <w:rsid w:val="00CB56E8"/>
    <w:rsid w:val="00CC3764"/>
    <w:rsid w:val="00CC3A35"/>
    <w:rsid w:val="00CC5468"/>
    <w:rsid w:val="00CC560B"/>
    <w:rsid w:val="00CC75E2"/>
    <w:rsid w:val="00CD23DA"/>
    <w:rsid w:val="00CD46EB"/>
    <w:rsid w:val="00CD7EBF"/>
    <w:rsid w:val="00CE1F2E"/>
    <w:rsid w:val="00CE59AA"/>
    <w:rsid w:val="00D00DFA"/>
    <w:rsid w:val="00D056F1"/>
    <w:rsid w:val="00D06616"/>
    <w:rsid w:val="00D144D7"/>
    <w:rsid w:val="00D15A08"/>
    <w:rsid w:val="00D23DB6"/>
    <w:rsid w:val="00D51A95"/>
    <w:rsid w:val="00D527C3"/>
    <w:rsid w:val="00D544B7"/>
    <w:rsid w:val="00D60568"/>
    <w:rsid w:val="00D70C7A"/>
    <w:rsid w:val="00D72A29"/>
    <w:rsid w:val="00D834E5"/>
    <w:rsid w:val="00DA10A8"/>
    <w:rsid w:val="00DB09D7"/>
    <w:rsid w:val="00DB123A"/>
    <w:rsid w:val="00DB1E08"/>
    <w:rsid w:val="00DB2973"/>
    <w:rsid w:val="00DB5078"/>
    <w:rsid w:val="00DC0FBA"/>
    <w:rsid w:val="00DC1B56"/>
    <w:rsid w:val="00DC20CC"/>
    <w:rsid w:val="00DC2129"/>
    <w:rsid w:val="00DC2727"/>
    <w:rsid w:val="00DC6570"/>
    <w:rsid w:val="00DD21C6"/>
    <w:rsid w:val="00DD265C"/>
    <w:rsid w:val="00DD3703"/>
    <w:rsid w:val="00DD586B"/>
    <w:rsid w:val="00DE4D81"/>
    <w:rsid w:val="00DE5528"/>
    <w:rsid w:val="00DF085D"/>
    <w:rsid w:val="00DF25C3"/>
    <w:rsid w:val="00DF2793"/>
    <w:rsid w:val="00DF5F0A"/>
    <w:rsid w:val="00DF72BB"/>
    <w:rsid w:val="00E04062"/>
    <w:rsid w:val="00E063C6"/>
    <w:rsid w:val="00E116B8"/>
    <w:rsid w:val="00E2003B"/>
    <w:rsid w:val="00E21323"/>
    <w:rsid w:val="00E26887"/>
    <w:rsid w:val="00E279D8"/>
    <w:rsid w:val="00E30092"/>
    <w:rsid w:val="00E319B1"/>
    <w:rsid w:val="00E327A6"/>
    <w:rsid w:val="00E32864"/>
    <w:rsid w:val="00E32D24"/>
    <w:rsid w:val="00E46D61"/>
    <w:rsid w:val="00E47D3B"/>
    <w:rsid w:val="00E5492F"/>
    <w:rsid w:val="00E572B1"/>
    <w:rsid w:val="00E70A86"/>
    <w:rsid w:val="00E73E50"/>
    <w:rsid w:val="00E777EC"/>
    <w:rsid w:val="00E80FCD"/>
    <w:rsid w:val="00EA2268"/>
    <w:rsid w:val="00EA5E89"/>
    <w:rsid w:val="00EA7F2F"/>
    <w:rsid w:val="00EB16EF"/>
    <w:rsid w:val="00EB6590"/>
    <w:rsid w:val="00EC00DE"/>
    <w:rsid w:val="00EC21DF"/>
    <w:rsid w:val="00EC30E1"/>
    <w:rsid w:val="00EC3436"/>
    <w:rsid w:val="00EC66BB"/>
    <w:rsid w:val="00ED00BB"/>
    <w:rsid w:val="00ED172A"/>
    <w:rsid w:val="00ED24B4"/>
    <w:rsid w:val="00EE01DC"/>
    <w:rsid w:val="00EF167C"/>
    <w:rsid w:val="00F05FBF"/>
    <w:rsid w:val="00F0671E"/>
    <w:rsid w:val="00F14AB3"/>
    <w:rsid w:val="00F14BEC"/>
    <w:rsid w:val="00F20D06"/>
    <w:rsid w:val="00F224B7"/>
    <w:rsid w:val="00F225C5"/>
    <w:rsid w:val="00F2587A"/>
    <w:rsid w:val="00F33470"/>
    <w:rsid w:val="00F34E02"/>
    <w:rsid w:val="00F3715D"/>
    <w:rsid w:val="00F37A10"/>
    <w:rsid w:val="00F420C8"/>
    <w:rsid w:val="00F42A4C"/>
    <w:rsid w:val="00F47104"/>
    <w:rsid w:val="00F526BD"/>
    <w:rsid w:val="00F634A1"/>
    <w:rsid w:val="00F636E0"/>
    <w:rsid w:val="00F71AE6"/>
    <w:rsid w:val="00F874E7"/>
    <w:rsid w:val="00FB7512"/>
    <w:rsid w:val="00FC0120"/>
    <w:rsid w:val="00FD7547"/>
    <w:rsid w:val="00FE287B"/>
    <w:rsid w:val="00FE6B50"/>
    <w:rsid w:val="00FF4908"/>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qFormat/>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link w:val="DefinitionCharChar"/>
    <w:rsid w:val="00C6434A"/>
    <w:pPr>
      <w:ind w:left="1701" w:hanging="851"/>
    </w:pPr>
    <w:rPr>
      <w:sz w:val="20"/>
      <w:szCs w:val="20"/>
    </w:rPr>
  </w:style>
  <w:style w:type="paragraph" w:customStyle="1" w:styleId="DivisionHeading">
    <w:name w:val="Division Heading"/>
    <w:basedOn w:val="Normal"/>
    <w:next w:val="Normal"/>
    <w:rsid w:val="00A33358"/>
    <w:pPr>
      <w:tabs>
        <w:tab w:val="left" w:pos="851"/>
      </w:tabs>
      <w:jc w:val="center"/>
    </w:pPr>
    <w:rPr>
      <w:b/>
      <w:sz w:val="26"/>
      <w:szCs w:val="20"/>
    </w:rPr>
  </w:style>
  <w:style w:type="paragraph" w:customStyle="1" w:styleId="EditorialNoteLine1">
    <w:name w:val="Editorial Note Line 1"/>
    <w:basedOn w:val="Normal"/>
    <w:next w:val="Normal"/>
    <w:link w:val="EditorialNoteLine1Char"/>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link w:val="FootnoteChar"/>
    <w:qFormat/>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link w:val="ParagraphChar"/>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695EC0"/>
    <w:rPr>
      <w:rFonts w:ascii="Arial" w:hAnsi="Arial"/>
      <w:lang w:eastAsia="en-US" w:bidi="en-US"/>
    </w:rPr>
  </w:style>
  <w:style w:type="paragraph" w:styleId="ListParagraph">
    <w:name w:val="List Paragraph"/>
    <w:basedOn w:val="Normal"/>
    <w:uiPriority w:val="99"/>
    <w:qFormat/>
    <w:rsid w:val="008A78E8"/>
    <w:pPr>
      <w:widowControl/>
      <w:ind w:left="567"/>
    </w:pPr>
    <w:rPr>
      <w:lang w:val="en-AU" w:eastAsia="en-AU" w:bidi="ar-SA"/>
    </w:rPr>
  </w:style>
  <w:style w:type="character" w:customStyle="1" w:styleId="ClauseChar">
    <w:name w:val="Clause Char"/>
    <w:basedOn w:val="DefaultParagraphFont"/>
    <w:link w:val="Clause"/>
    <w:rsid w:val="002D404C"/>
    <w:rPr>
      <w:rFonts w:ascii="Arial" w:hAnsi="Arial"/>
      <w:lang w:eastAsia="en-US" w:bidi="en-US"/>
    </w:rPr>
  </w:style>
  <w:style w:type="paragraph" w:customStyle="1" w:styleId="Bullet">
    <w:name w:val="Bullet"/>
    <w:basedOn w:val="Normal"/>
    <w:link w:val="BulletChar"/>
    <w:qFormat/>
    <w:rsid w:val="004A5D93"/>
    <w:pPr>
      <w:widowControl/>
      <w:numPr>
        <w:numId w:val="11"/>
      </w:numPr>
    </w:pPr>
    <w:rPr>
      <w:rFonts w:ascii="Times New Roman" w:eastAsiaTheme="minorHAnsi" w:hAnsi="Times New Roman"/>
      <w:sz w:val="24"/>
      <w:lang w:bidi="ar-SA"/>
    </w:rPr>
  </w:style>
  <w:style w:type="character" w:customStyle="1" w:styleId="BulletChar">
    <w:name w:val="Bullet Char"/>
    <w:link w:val="Bullet"/>
    <w:rsid w:val="004A5D93"/>
    <w:rPr>
      <w:rFonts w:ascii="Times New Roman" w:eastAsiaTheme="minorHAnsi" w:hAnsi="Times New Roman"/>
      <w:sz w:val="24"/>
      <w:szCs w:val="24"/>
      <w:lang w:eastAsia="en-US"/>
    </w:rPr>
  </w:style>
  <w:style w:type="paragraph" w:styleId="Title">
    <w:name w:val="Title"/>
    <w:basedOn w:val="Normal"/>
    <w:link w:val="TitleChar"/>
    <w:uiPriority w:val="10"/>
    <w:qFormat/>
    <w:rsid w:val="004A5D93"/>
    <w:pPr>
      <w:tabs>
        <w:tab w:val="left" w:pos="851"/>
      </w:tabs>
      <w:jc w:val="center"/>
    </w:pPr>
    <w:rPr>
      <w:b/>
      <w:bCs/>
      <w:sz w:val="20"/>
      <w:lang w:val="en-AU" w:bidi="ar-SA"/>
    </w:rPr>
  </w:style>
  <w:style w:type="character" w:customStyle="1" w:styleId="TitleChar">
    <w:name w:val="Title Char"/>
    <w:basedOn w:val="DefaultParagraphFont"/>
    <w:link w:val="Title"/>
    <w:uiPriority w:val="10"/>
    <w:rsid w:val="004A5D93"/>
    <w:rPr>
      <w:rFonts w:ascii="Arial" w:hAnsi="Arial"/>
      <w:b/>
      <w:bCs/>
      <w:szCs w:val="24"/>
      <w:lang w:val="en-AU" w:eastAsia="en-US"/>
    </w:rPr>
  </w:style>
  <w:style w:type="character" w:customStyle="1" w:styleId="ParagraphChar">
    <w:name w:val="Paragraph Char"/>
    <w:basedOn w:val="ClauseChar"/>
    <w:link w:val="Paragraph"/>
    <w:rsid w:val="004A5D93"/>
    <w:rPr>
      <w:rFonts w:ascii="Arial" w:hAnsi="Arial"/>
      <w:lang w:eastAsia="en-US" w:bidi="en-US"/>
    </w:rPr>
  </w:style>
  <w:style w:type="character" w:customStyle="1" w:styleId="DefinitionCharChar">
    <w:name w:val="Definition Char Char"/>
    <w:link w:val="Definition"/>
    <w:rsid w:val="004A5D93"/>
    <w:rPr>
      <w:rFonts w:ascii="Arial" w:hAnsi="Arial"/>
      <w:lang w:eastAsia="en-US" w:bidi="en-US"/>
    </w:rPr>
  </w:style>
  <w:style w:type="character" w:customStyle="1" w:styleId="EditorialNotetextChar">
    <w:name w:val="Editorial Note text Char"/>
    <w:link w:val="EditorialNotetext"/>
    <w:rsid w:val="004A5D93"/>
    <w:rPr>
      <w:rFonts w:ascii="Arial" w:hAnsi="Arial"/>
      <w:lang w:eastAsia="en-US" w:bidi="en-US"/>
    </w:rPr>
  </w:style>
  <w:style w:type="character" w:customStyle="1" w:styleId="SubclauseChar">
    <w:name w:val="Subclause Char"/>
    <w:basedOn w:val="ClauseChar"/>
    <w:link w:val="Subclause"/>
    <w:rsid w:val="004A5D93"/>
    <w:rPr>
      <w:rFonts w:ascii="Arial" w:hAnsi="Arial"/>
      <w:lang w:eastAsia="en-US" w:bidi="en-US"/>
    </w:rPr>
  </w:style>
  <w:style w:type="character" w:customStyle="1" w:styleId="EditorialNoteLine1Char">
    <w:name w:val="Editorial Note Line 1 Char"/>
    <w:basedOn w:val="DefaultParagraphFont"/>
    <w:link w:val="EditorialNoteLine1"/>
    <w:rsid w:val="004A5D93"/>
    <w:rPr>
      <w:rFonts w:ascii="Arial" w:hAnsi="Arial"/>
      <w:b/>
      <w:lang w:eastAsia="en-US" w:bidi="en-US"/>
    </w:rPr>
  </w:style>
  <w:style w:type="paragraph" w:customStyle="1" w:styleId="t1Main">
    <w:name w:val="t1_Main"/>
    <w:rsid w:val="007B774B"/>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7B774B"/>
    <w:pPr>
      <w:widowControl/>
      <w:spacing w:before="80" w:after="80"/>
    </w:pPr>
    <w:rPr>
      <w:color w:val="7030A0"/>
      <w:lang w:val="en-AU" w:eastAsia="en-AU" w:bidi="ar-SA"/>
    </w:rPr>
  </w:style>
  <w:style w:type="paragraph" w:customStyle="1" w:styleId="ttAuthorisingAct">
    <w:name w:val="tt_Authorising_Act"/>
    <w:basedOn w:val="Normal"/>
    <w:rsid w:val="007B774B"/>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7B774B"/>
    <w:pPr>
      <w:widowControl/>
      <w:spacing w:before="60" w:after="80"/>
    </w:pPr>
    <w:rPr>
      <w:sz w:val="24"/>
      <w:lang w:val="en-AU" w:eastAsia="en-AU" w:bidi="ar-SA"/>
    </w:rPr>
  </w:style>
  <w:style w:type="paragraph" w:customStyle="1" w:styleId="ttTitleofInstrument">
    <w:name w:val="tt_Title_of_Instrument"/>
    <w:basedOn w:val="Normal"/>
    <w:rsid w:val="007B774B"/>
    <w:pPr>
      <w:widowControl/>
      <w:spacing w:before="200" w:after="80"/>
    </w:pPr>
    <w:rPr>
      <w:b/>
      <w:sz w:val="32"/>
      <w:lang w:val="en-AU" w:eastAsia="en-AU" w:bidi="ar-SA"/>
    </w:rPr>
  </w:style>
  <w:style w:type="paragraph" w:customStyle="1" w:styleId="HR">
    <w:name w:val="HR"/>
    <w:aliases w:val="Regulation Heading"/>
    <w:basedOn w:val="Normal"/>
    <w:next w:val="R1"/>
    <w:rsid w:val="007B774B"/>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7B774B"/>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7B774B"/>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7B774B"/>
    <w:pPr>
      <w:keepNext/>
      <w:keepLines/>
      <w:widowControl/>
      <w:spacing w:before="480"/>
      <w:ind w:left="2410" w:hanging="2410"/>
    </w:pPr>
    <w:rPr>
      <w:b/>
      <w:sz w:val="32"/>
      <w:lang w:val="en-AU" w:eastAsia="en-AU" w:bidi="ar-SA"/>
    </w:rPr>
  </w:style>
  <w:style w:type="character" w:customStyle="1" w:styleId="BalloonTextChar">
    <w:name w:val="Balloon Text Char"/>
    <w:basedOn w:val="DefaultParagraphFont"/>
    <w:link w:val="BalloonText"/>
    <w:uiPriority w:val="99"/>
    <w:semiHidden/>
    <w:rsid w:val="00BF3498"/>
    <w:rPr>
      <w:rFonts w:ascii="Tahoma" w:hAnsi="Tahoma" w:cs="Tahoma"/>
      <w:sz w:val="16"/>
      <w:szCs w:val="16"/>
      <w:lang w:eastAsia="en-US" w:bidi="en-US"/>
    </w:rPr>
  </w:style>
  <w:style w:type="character" w:customStyle="1" w:styleId="FootnoteChar">
    <w:name w:val="Footnote Char"/>
    <w:basedOn w:val="DefaultParagraphFont"/>
    <w:link w:val="Footnote"/>
    <w:rsid w:val="00BF3498"/>
    <w:rPr>
      <w:rFonts w:ascii="Arial" w:hAnsi="Arial"/>
      <w:sz w:val="18"/>
      <w:lang w:eastAsia="en-US" w:bidi="en-US"/>
    </w:rPr>
  </w:style>
  <w:style w:type="paragraph" w:styleId="NoSpacing">
    <w:name w:val="No Spacing"/>
    <w:link w:val="NoSpacingChar"/>
    <w:uiPriority w:val="99"/>
    <w:qFormat/>
    <w:rsid w:val="00BF3498"/>
    <w:rPr>
      <w:rFonts w:ascii="Arial" w:hAnsi="Arial"/>
      <w:sz w:val="22"/>
      <w:szCs w:val="22"/>
      <w:lang w:val="en-US" w:eastAsia="en-US"/>
    </w:rPr>
  </w:style>
  <w:style w:type="character" w:customStyle="1" w:styleId="NoSpacingChar">
    <w:name w:val="No Spacing Char"/>
    <w:basedOn w:val="DefaultParagraphFont"/>
    <w:link w:val="NoSpacing"/>
    <w:uiPriority w:val="99"/>
    <w:rsid w:val="00BF3498"/>
    <w:rPr>
      <w:rFonts w:ascii="Arial" w:hAnsi="Arial"/>
      <w:sz w:val="22"/>
      <w:szCs w:val="22"/>
      <w:lang w:val="en-US" w:eastAsia="en-US"/>
    </w:rPr>
  </w:style>
  <w:style w:type="paragraph" w:customStyle="1" w:styleId="FSDecisionHeading">
    <w:name w:val="FS Decision Heading"/>
    <w:basedOn w:val="Normal"/>
    <w:next w:val="Normal"/>
    <w:qFormat/>
    <w:rsid w:val="00BF3498"/>
    <w:pPr>
      <w:pBdr>
        <w:top w:val="single" w:sz="4" w:space="1" w:color="auto"/>
        <w:left w:val="single" w:sz="4" w:space="4" w:color="auto"/>
        <w:bottom w:val="single" w:sz="4" w:space="1" w:color="auto"/>
        <w:right w:val="single" w:sz="4" w:space="4" w:color="auto"/>
      </w:pBdr>
    </w:pPr>
    <w:rPr>
      <w:rFonts w:ascii="Arial Bold" w:hAnsi="Arial Bold"/>
      <w:b/>
      <w:bCs/>
      <w:lang w:eastAsia="en-GB"/>
    </w:rPr>
  </w:style>
  <w:style w:type="paragraph" w:customStyle="1" w:styleId="FSDecisiontext">
    <w:name w:val="FS Decision text"/>
    <w:basedOn w:val="Normal"/>
    <w:qFormat/>
    <w:rsid w:val="00BF3498"/>
    <w:pPr>
      <w:pBdr>
        <w:top w:val="single" w:sz="4" w:space="1" w:color="auto"/>
        <w:left w:val="single" w:sz="4" w:space="4" w:color="auto"/>
        <w:bottom w:val="single" w:sz="4" w:space="1" w:color="auto"/>
        <w:right w:val="single" w:sz="4" w:space="4" w:color="auto"/>
      </w:pBdr>
    </w:pPr>
    <w:rPr>
      <w:rFonts w:ascii="Arial Bold" w:hAnsi="Arial Bold"/>
      <w:b/>
      <w:lang w:eastAsia="en-GB"/>
    </w:rPr>
  </w:style>
  <w:style w:type="paragraph" w:customStyle="1" w:styleId="FSANZTitle">
    <w:name w:val="FSANZ Title"/>
    <w:basedOn w:val="Normal"/>
    <w:qFormat/>
    <w:rsid w:val="00BF3498"/>
    <w:rPr>
      <w:rFonts w:cs="Tahoma"/>
      <w:b/>
      <w:bCs/>
      <w:sz w:val="36"/>
      <w:lang w:eastAsia="en-GB"/>
    </w:rPr>
  </w:style>
  <w:style w:type="paragraph" w:styleId="Caption">
    <w:name w:val="caption"/>
    <w:aliases w:val="Figure text or caption"/>
    <w:basedOn w:val="Normal"/>
    <w:next w:val="Normal"/>
    <w:uiPriority w:val="35"/>
    <w:unhideWhenUsed/>
    <w:qFormat/>
    <w:rsid w:val="00BF3498"/>
    <w:pPr>
      <w:widowControl/>
    </w:pPr>
    <w:rPr>
      <w:rFonts w:eastAsia="Calibri"/>
      <w:b/>
      <w:bCs/>
      <w:sz w:val="20"/>
      <w:szCs w:val="20"/>
      <w:lang w:eastAsia="en-GB" w:bidi="ar-SA"/>
    </w:rPr>
  </w:style>
  <w:style w:type="paragraph" w:customStyle="1" w:styleId="bullet0">
    <w:name w:val="bullet"/>
    <w:basedOn w:val="Normal"/>
    <w:rsid w:val="00BF3498"/>
    <w:pPr>
      <w:widowControl/>
    </w:pPr>
    <w:rPr>
      <w:rFonts w:ascii="Times New Roman" w:eastAsia="Calibri" w:hAnsi="Times New Roman"/>
      <w:sz w:val="24"/>
      <w:lang w:eastAsia="en-GB" w:bidi="ar-SA"/>
    </w:rPr>
  </w:style>
  <w:style w:type="character" w:styleId="Strong">
    <w:name w:val="Strong"/>
    <w:aliases w:val="Bold"/>
    <w:basedOn w:val="DefaultParagraphFont"/>
    <w:uiPriority w:val="22"/>
    <w:qFormat/>
    <w:rsid w:val="00BF3498"/>
    <w:rPr>
      <w:b/>
      <w:bCs/>
    </w:rPr>
  </w:style>
  <w:style w:type="paragraph" w:styleId="EndnoteText">
    <w:name w:val="endnote text"/>
    <w:basedOn w:val="Normal"/>
    <w:link w:val="EndnoteTextChar"/>
    <w:unhideWhenUsed/>
    <w:rsid w:val="00BF3498"/>
    <w:pPr>
      <w:widowControl/>
    </w:pPr>
    <w:rPr>
      <w:rFonts w:ascii="Times New Roman" w:hAnsi="Times New Roman"/>
      <w:sz w:val="20"/>
      <w:szCs w:val="20"/>
      <w:lang w:eastAsia="en-GB" w:bidi="ar-SA"/>
    </w:rPr>
  </w:style>
  <w:style w:type="character" w:customStyle="1" w:styleId="EndnoteTextChar">
    <w:name w:val="Endnote Text Char"/>
    <w:basedOn w:val="DefaultParagraphFont"/>
    <w:link w:val="EndnoteText"/>
    <w:rsid w:val="00BF3498"/>
    <w:rPr>
      <w:rFonts w:ascii="Times New Roman" w:hAnsi="Times New Roman"/>
    </w:rPr>
  </w:style>
  <w:style w:type="character" w:styleId="EndnoteReference">
    <w:name w:val="endnote reference"/>
    <w:basedOn w:val="DefaultParagraphFont"/>
    <w:unhideWhenUsed/>
    <w:rsid w:val="00BF3498"/>
    <w:rPr>
      <w:vertAlign w:val="superscript"/>
    </w:rPr>
  </w:style>
  <w:style w:type="character" w:styleId="Emphasis">
    <w:name w:val="Emphasis"/>
    <w:basedOn w:val="DefaultParagraphFont"/>
    <w:uiPriority w:val="20"/>
    <w:qFormat/>
    <w:rsid w:val="00BF3498"/>
    <w:rPr>
      <w:i/>
      <w:iCs/>
    </w:rPr>
  </w:style>
  <w:style w:type="paragraph" w:styleId="PlainText">
    <w:name w:val="Plain Text"/>
    <w:basedOn w:val="Normal"/>
    <w:link w:val="PlainTextChar"/>
    <w:uiPriority w:val="99"/>
    <w:unhideWhenUsed/>
    <w:rsid w:val="00BF3498"/>
    <w:pPr>
      <w:widowControl/>
    </w:pPr>
    <w:rPr>
      <w:rFonts w:ascii="Consolas" w:eastAsiaTheme="minorHAnsi" w:hAnsi="Consolas" w:cstheme="minorBidi"/>
      <w:sz w:val="21"/>
      <w:szCs w:val="21"/>
      <w:lang w:eastAsia="en-GB" w:bidi="ar-SA"/>
    </w:rPr>
  </w:style>
  <w:style w:type="character" w:customStyle="1" w:styleId="PlainTextChar">
    <w:name w:val="Plain Text Char"/>
    <w:basedOn w:val="DefaultParagraphFont"/>
    <w:link w:val="PlainText"/>
    <w:uiPriority w:val="99"/>
    <w:rsid w:val="00BF3498"/>
    <w:rPr>
      <w:rFonts w:ascii="Consolas" w:eastAsiaTheme="minorHAnsi" w:hAnsi="Consolas" w:cstheme="minorBidi"/>
      <w:sz w:val="21"/>
      <w:szCs w:val="21"/>
    </w:rPr>
  </w:style>
  <w:style w:type="paragraph" w:customStyle="1" w:styleId="Bullet1">
    <w:name w:val="Bullet 1"/>
    <w:basedOn w:val="Normal"/>
    <w:link w:val="Bullet1Char"/>
    <w:qFormat/>
    <w:rsid w:val="00BF3498"/>
    <w:pPr>
      <w:widowControl/>
      <w:numPr>
        <w:numId w:val="14"/>
      </w:numPr>
    </w:pPr>
    <w:rPr>
      <w:rFonts w:ascii="Times New Roman" w:hAnsi="Times New Roman"/>
      <w:sz w:val="24"/>
      <w:lang w:eastAsia="en-GB" w:bidi="ar-SA"/>
    </w:rPr>
  </w:style>
  <w:style w:type="character" w:customStyle="1" w:styleId="Bullet1Char">
    <w:name w:val="Bullet 1 Char"/>
    <w:link w:val="Bullet1"/>
    <w:rsid w:val="00BF3498"/>
    <w:rPr>
      <w:rFonts w:ascii="Times New Roman" w:hAnsi="Times New Roman"/>
      <w:sz w:val="24"/>
      <w:szCs w:val="24"/>
    </w:rPr>
  </w:style>
  <w:style w:type="paragraph" w:customStyle="1" w:styleId="Pa3">
    <w:name w:val="Pa3"/>
    <w:basedOn w:val="Normal"/>
    <w:next w:val="Normal"/>
    <w:rsid w:val="00BF3498"/>
    <w:pPr>
      <w:widowControl/>
      <w:autoSpaceDE w:val="0"/>
      <w:autoSpaceDN w:val="0"/>
      <w:adjustRightInd w:val="0"/>
      <w:spacing w:line="161" w:lineRule="atLeast"/>
    </w:pPr>
    <w:rPr>
      <w:rFonts w:ascii="Helvetica 55 Roman" w:hAnsi="Helvetica 55 Roman"/>
      <w:sz w:val="24"/>
      <w:lang w:val="en-US" w:eastAsia="en-GB"/>
    </w:rPr>
  </w:style>
  <w:style w:type="paragraph" w:customStyle="1" w:styleId="FSTableFigureHeading">
    <w:name w:val="FSTable/Figure Heading"/>
    <w:basedOn w:val="Normal"/>
    <w:qFormat/>
    <w:rsid w:val="00BF3498"/>
    <w:pPr>
      <w:widowControl/>
      <w:spacing w:before="120" w:after="120"/>
      <w:ind w:left="1134" w:hanging="1134"/>
    </w:pPr>
    <w:rPr>
      <w:rFonts w:eastAsiaTheme="minorHAnsi" w:cstheme="minorBidi"/>
      <w:b/>
      <w:szCs w:val="22"/>
      <w:lang w:eastAsia="en-GB" w:bidi="ar-SA"/>
    </w:rPr>
  </w:style>
  <w:style w:type="paragraph" w:customStyle="1" w:styleId="Figurenotetext">
    <w:name w:val="Figure note text"/>
    <w:basedOn w:val="Normal"/>
    <w:next w:val="Normal"/>
    <w:link w:val="FigurenotetextChar"/>
    <w:qFormat/>
    <w:rsid w:val="00BF3498"/>
    <w:pPr>
      <w:widowControl/>
      <w:spacing w:line="276" w:lineRule="auto"/>
    </w:pPr>
    <w:rPr>
      <w:rFonts w:ascii="Calibri" w:eastAsia="Calibri" w:hAnsi="Calibri"/>
      <w:color w:val="000000"/>
      <w:sz w:val="17"/>
      <w:szCs w:val="22"/>
      <w:lang w:val="en-AU" w:eastAsia="en-GB" w:bidi="ar-SA"/>
    </w:rPr>
  </w:style>
  <w:style w:type="character" w:customStyle="1" w:styleId="FigurenotetextChar">
    <w:name w:val="Figure note text Char"/>
    <w:link w:val="Figurenotetext"/>
    <w:rsid w:val="00BF3498"/>
    <w:rPr>
      <w:rFonts w:eastAsia="Calibri"/>
      <w:color w:val="000000"/>
      <w:sz w:val="17"/>
      <w:szCs w:val="22"/>
      <w:lang w:val="en-AU"/>
    </w:rPr>
  </w:style>
  <w:style w:type="table" w:styleId="LightList">
    <w:name w:val="Light List"/>
    <w:basedOn w:val="TableNormal"/>
    <w:uiPriority w:val="61"/>
    <w:rsid w:val="00BF3498"/>
    <w:rPr>
      <w:rFonts w:ascii="Arial" w:eastAsia="Calibri" w:hAnsi="Arial"/>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F3498"/>
    <w:rPr>
      <w:rFonts w:ascii="Arial" w:eastAsia="Calibri" w:hAnsi="Arial"/>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next w:val="LightList-Accent1"/>
    <w:uiPriority w:val="61"/>
    <w:rsid w:val="00BF3498"/>
    <w:rPr>
      <w:rFonts w:ascii="Arial" w:eastAsia="Calibri" w:hAnsi="Arial" w:cs="Arial"/>
      <w:sz w:val="22"/>
      <w:szCs w:val="22"/>
      <w:lang w:val="en-AU"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BF3498"/>
    <w:rPr>
      <w:rFonts w:ascii="Arial" w:eastAsia="Calibri" w:hAnsi="Arial"/>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link w:val="Text1Char"/>
    <w:qFormat/>
    <w:rsid w:val="00BF3498"/>
    <w:pPr>
      <w:widowControl/>
      <w:spacing w:after="240" w:line="360" w:lineRule="auto"/>
      <w:ind w:firstLine="567"/>
    </w:pPr>
    <w:rPr>
      <w:rFonts w:ascii="Times New Roman" w:hAnsi="Times New Roman"/>
      <w:lang w:val="en-US"/>
    </w:rPr>
  </w:style>
  <w:style w:type="character" w:customStyle="1" w:styleId="Text1Char">
    <w:name w:val="Text 1 Char"/>
    <w:basedOn w:val="DefaultParagraphFont"/>
    <w:link w:val="Text1"/>
    <w:rsid w:val="00BF3498"/>
    <w:rPr>
      <w:rFonts w:ascii="Times New Roman" w:hAnsi="Times New Roman"/>
      <w:sz w:val="22"/>
      <w:szCs w:val="24"/>
      <w:lang w:val="en-US" w:eastAsia="en-US" w:bidi="en-US"/>
    </w:rPr>
  </w:style>
  <w:style w:type="paragraph" w:customStyle="1" w:styleId="TableTitle">
    <w:name w:val="Table Title"/>
    <w:basedOn w:val="Text1"/>
    <w:link w:val="TableTitleChar"/>
    <w:qFormat/>
    <w:rsid w:val="00BF3498"/>
    <w:pPr>
      <w:spacing w:before="240" w:after="120" w:line="240" w:lineRule="auto"/>
      <w:jc w:val="center"/>
    </w:pPr>
    <w:rPr>
      <w:b/>
    </w:rPr>
  </w:style>
  <w:style w:type="character" w:customStyle="1" w:styleId="TableTitleChar">
    <w:name w:val="Table Title Char"/>
    <w:basedOn w:val="Text1Char"/>
    <w:link w:val="TableTitle"/>
    <w:rsid w:val="00BF3498"/>
    <w:rPr>
      <w:rFonts w:ascii="Times New Roman" w:hAnsi="Times New Roman"/>
      <w:b/>
      <w:sz w:val="22"/>
      <w:szCs w:val="24"/>
      <w:lang w:val="en-US" w:eastAsia="en-US" w:bidi="en-US"/>
    </w:rPr>
  </w:style>
  <w:style w:type="paragraph" w:styleId="NormalWeb">
    <w:name w:val="Normal (Web)"/>
    <w:basedOn w:val="Normal"/>
    <w:uiPriority w:val="99"/>
    <w:unhideWhenUsed/>
    <w:rsid w:val="00BF3498"/>
    <w:pPr>
      <w:widowControl/>
      <w:spacing w:before="100" w:beforeAutospacing="1" w:after="100" w:afterAutospacing="1"/>
    </w:pPr>
    <w:rPr>
      <w:rFonts w:ascii="Times New Roman" w:eastAsiaTheme="minorEastAsia" w:hAnsi="Times New Roman"/>
      <w:sz w:val="24"/>
      <w:lang w:val="en-AU" w:eastAsia="en-AU" w:bidi="ar-SA"/>
    </w:rPr>
  </w:style>
  <w:style w:type="paragraph" w:customStyle="1" w:styleId="Notetext">
    <w:name w:val="Note text"/>
    <w:basedOn w:val="Normal"/>
    <w:next w:val="Normal"/>
    <w:link w:val="NotetextChar"/>
    <w:autoRedefine/>
    <w:uiPriority w:val="25"/>
    <w:qFormat/>
    <w:rsid w:val="00BF3498"/>
    <w:pPr>
      <w:widowControl/>
      <w:spacing w:after="240" w:line="280" w:lineRule="atLeast"/>
    </w:pPr>
    <w:rPr>
      <w:rFonts w:ascii="Calibri" w:eastAsia="Calibri" w:hAnsi="Calibri"/>
      <w:color w:val="000000" w:themeColor="text1"/>
      <w:sz w:val="18"/>
      <w:szCs w:val="22"/>
      <w:lang w:val="en-AU" w:bidi="ar-SA"/>
    </w:rPr>
  </w:style>
  <w:style w:type="character" w:customStyle="1" w:styleId="NotetextChar">
    <w:name w:val="Note text Char"/>
    <w:basedOn w:val="DefaultParagraphFont"/>
    <w:link w:val="Notetext"/>
    <w:uiPriority w:val="25"/>
    <w:rsid w:val="00BF3498"/>
    <w:rPr>
      <w:rFonts w:eastAsia="Calibri"/>
      <w:color w:val="000000" w:themeColor="text1"/>
      <w:sz w:val="18"/>
      <w:szCs w:val="22"/>
      <w:lang w:val="en-AU" w:eastAsia="en-US"/>
    </w:rPr>
  </w:style>
  <w:style w:type="paragraph" w:customStyle="1" w:styleId="TableBoxtext">
    <w:name w:val="Table/Box text"/>
    <w:next w:val="Normal"/>
    <w:uiPriority w:val="27"/>
    <w:qFormat/>
    <w:rsid w:val="00BF3498"/>
    <w:pPr>
      <w:spacing w:before="40" w:after="40" w:line="200" w:lineRule="atLeast"/>
    </w:pPr>
    <w:rPr>
      <w:rFonts w:ascii="Cambria" w:eastAsia="Calibri" w:hAnsi="Cambria"/>
      <w:color w:val="000000" w:themeColor="text1"/>
      <w:sz w:val="18"/>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Subtitle" w:uiPriority="1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qFormat/>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link w:val="DefinitionCharChar"/>
    <w:rsid w:val="00C6434A"/>
    <w:pPr>
      <w:ind w:left="1701" w:hanging="851"/>
    </w:pPr>
    <w:rPr>
      <w:sz w:val="20"/>
      <w:szCs w:val="20"/>
    </w:rPr>
  </w:style>
  <w:style w:type="paragraph" w:customStyle="1" w:styleId="DivisionHeading">
    <w:name w:val="Division Heading"/>
    <w:basedOn w:val="Normal"/>
    <w:next w:val="Normal"/>
    <w:rsid w:val="00A33358"/>
    <w:pPr>
      <w:tabs>
        <w:tab w:val="left" w:pos="851"/>
      </w:tabs>
      <w:jc w:val="center"/>
    </w:pPr>
    <w:rPr>
      <w:b/>
      <w:sz w:val="26"/>
      <w:szCs w:val="20"/>
    </w:rPr>
  </w:style>
  <w:style w:type="paragraph" w:customStyle="1" w:styleId="EditorialNoteLine1">
    <w:name w:val="Editorial Note Line 1"/>
    <w:basedOn w:val="Normal"/>
    <w:next w:val="Normal"/>
    <w:link w:val="EditorialNoteLine1Char"/>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A318EB"/>
    <w:rPr>
      <w:b w:val="0"/>
    </w:rPr>
  </w:style>
  <w:style w:type="paragraph" w:customStyle="1" w:styleId="Footnote">
    <w:name w:val="Footnote"/>
    <w:basedOn w:val="Normal"/>
    <w:link w:val="FootnoteChar"/>
    <w:qFormat/>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link w:val="ParagraphChar"/>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link w:val="SubclauseChar"/>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uiPriority w:val="99"/>
    <w:rsid w:val="00AF387F"/>
    <w:rPr>
      <w:b/>
      <w:bCs/>
    </w:rPr>
  </w:style>
  <w:style w:type="character" w:customStyle="1" w:styleId="CommentSubjectChar">
    <w:name w:val="Comment Subject Char"/>
    <w:basedOn w:val="CommentTextChar"/>
    <w:link w:val="CommentSubject"/>
    <w:uiPriority w:val="99"/>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695EC0"/>
    <w:rPr>
      <w:rFonts w:ascii="Arial" w:hAnsi="Arial"/>
      <w:lang w:eastAsia="en-US" w:bidi="en-US"/>
    </w:rPr>
  </w:style>
  <w:style w:type="paragraph" w:styleId="ListParagraph">
    <w:name w:val="List Paragraph"/>
    <w:basedOn w:val="Normal"/>
    <w:uiPriority w:val="99"/>
    <w:qFormat/>
    <w:rsid w:val="008A78E8"/>
    <w:pPr>
      <w:widowControl/>
      <w:ind w:left="567"/>
    </w:pPr>
    <w:rPr>
      <w:lang w:val="en-AU" w:eastAsia="en-AU" w:bidi="ar-SA"/>
    </w:rPr>
  </w:style>
  <w:style w:type="character" w:customStyle="1" w:styleId="ClauseChar">
    <w:name w:val="Clause Char"/>
    <w:basedOn w:val="DefaultParagraphFont"/>
    <w:link w:val="Clause"/>
    <w:rsid w:val="002D404C"/>
    <w:rPr>
      <w:rFonts w:ascii="Arial" w:hAnsi="Arial"/>
      <w:lang w:eastAsia="en-US" w:bidi="en-US"/>
    </w:rPr>
  </w:style>
  <w:style w:type="paragraph" w:customStyle="1" w:styleId="Bullet">
    <w:name w:val="Bullet"/>
    <w:basedOn w:val="Normal"/>
    <w:link w:val="BulletChar"/>
    <w:qFormat/>
    <w:rsid w:val="004A5D93"/>
    <w:pPr>
      <w:widowControl/>
      <w:numPr>
        <w:numId w:val="11"/>
      </w:numPr>
    </w:pPr>
    <w:rPr>
      <w:rFonts w:ascii="Times New Roman" w:eastAsiaTheme="minorHAnsi" w:hAnsi="Times New Roman"/>
      <w:sz w:val="24"/>
      <w:lang w:bidi="ar-SA"/>
    </w:rPr>
  </w:style>
  <w:style w:type="character" w:customStyle="1" w:styleId="BulletChar">
    <w:name w:val="Bullet Char"/>
    <w:link w:val="Bullet"/>
    <w:rsid w:val="004A5D93"/>
    <w:rPr>
      <w:rFonts w:ascii="Times New Roman" w:eastAsiaTheme="minorHAnsi" w:hAnsi="Times New Roman"/>
      <w:sz w:val="24"/>
      <w:szCs w:val="24"/>
      <w:lang w:eastAsia="en-US"/>
    </w:rPr>
  </w:style>
  <w:style w:type="paragraph" w:styleId="Title">
    <w:name w:val="Title"/>
    <w:basedOn w:val="Normal"/>
    <w:link w:val="TitleChar"/>
    <w:uiPriority w:val="10"/>
    <w:qFormat/>
    <w:rsid w:val="004A5D93"/>
    <w:pPr>
      <w:tabs>
        <w:tab w:val="left" w:pos="851"/>
      </w:tabs>
      <w:jc w:val="center"/>
    </w:pPr>
    <w:rPr>
      <w:b/>
      <w:bCs/>
      <w:sz w:val="20"/>
      <w:lang w:val="en-AU" w:bidi="ar-SA"/>
    </w:rPr>
  </w:style>
  <w:style w:type="character" w:customStyle="1" w:styleId="TitleChar">
    <w:name w:val="Title Char"/>
    <w:basedOn w:val="DefaultParagraphFont"/>
    <w:link w:val="Title"/>
    <w:uiPriority w:val="10"/>
    <w:rsid w:val="004A5D93"/>
    <w:rPr>
      <w:rFonts w:ascii="Arial" w:hAnsi="Arial"/>
      <w:b/>
      <w:bCs/>
      <w:szCs w:val="24"/>
      <w:lang w:val="en-AU" w:eastAsia="en-US"/>
    </w:rPr>
  </w:style>
  <w:style w:type="character" w:customStyle="1" w:styleId="ParagraphChar">
    <w:name w:val="Paragraph Char"/>
    <w:basedOn w:val="ClauseChar"/>
    <w:link w:val="Paragraph"/>
    <w:rsid w:val="004A5D93"/>
    <w:rPr>
      <w:rFonts w:ascii="Arial" w:hAnsi="Arial"/>
      <w:lang w:eastAsia="en-US" w:bidi="en-US"/>
    </w:rPr>
  </w:style>
  <w:style w:type="character" w:customStyle="1" w:styleId="DefinitionCharChar">
    <w:name w:val="Definition Char Char"/>
    <w:link w:val="Definition"/>
    <w:rsid w:val="004A5D93"/>
    <w:rPr>
      <w:rFonts w:ascii="Arial" w:hAnsi="Arial"/>
      <w:lang w:eastAsia="en-US" w:bidi="en-US"/>
    </w:rPr>
  </w:style>
  <w:style w:type="character" w:customStyle="1" w:styleId="EditorialNotetextChar">
    <w:name w:val="Editorial Note text Char"/>
    <w:link w:val="EditorialNotetext"/>
    <w:rsid w:val="004A5D93"/>
    <w:rPr>
      <w:rFonts w:ascii="Arial" w:hAnsi="Arial"/>
      <w:lang w:eastAsia="en-US" w:bidi="en-US"/>
    </w:rPr>
  </w:style>
  <w:style w:type="character" w:customStyle="1" w:styleId="SubclauseChar">
    <w:name w:val="Subclause Char"/>
    <w:basedOn w:val="ClauseChar"/>
    <w:link w:val="Subclause"/>
    <w:rsid w:val="004A5D93"/>
    <w:rPr>
      <w:rFonts w:ascii="Arial" w:hAnsi="Arial"/>
      <w:lang w:eastAsia="en-US" w:bidi="en-US"/>
    </w:rPr>
  </w:style>
  <w:style w:type="character" w:customStyle="1" w:styleId="EditorialNoteLine1Char">
    <w:name w:val="Editorial Note Line 1 Char"/>
    <w:basedOn w:val="DefaultParagraphFont"/>
    <w:link w:val="EditorialNoteLine1"/>
    <w:rsid w:val="004A5D93"/>
    <w:rPr>
      <w:rFonts w:ascii="Arial" w:hAnsi="Arial"/>
      <w:b/>
      <w:lang w:eastAsia="en-US" w:bidi="en-US"/>
    </w:rPr>
  </w:style>
  <w:style w:type="paragraph" w:customStyle="1" w:styleId="t1Main">
    <w:name w:val="t1_Main"/>
    <w:rsid w:val="007B774B"/>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7B774B"/>
    <w:pPr>
      <w:widowControl/>
      <w:spacing w:before="80" w:after="80"/>
    </w:pPr>
    <w:rPr>
      <w:color w:val="7030A0"/>
      <w:lang w:val="en-AU" w:eastAsia="en-AU" w:bidi="ar-SA"/>
    </w:rPr>
  </w:style>
  <w:style w:type="paragraph" w:customStyle="1" w:styleId="ttAuthorisingAct">
    <w:name w:val="tt_Authorising_Act"/>
    <w:basedOn w:val="Normal"/>
    <w:rsid w:val="007B774B"/>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7B774B"/>
    <w:pPr>
      <w:widowControl/>
      <w:spacing w:before="60" w:after="80"/>
    </w:pPr>
    <w:rPr>
      <w:sz w:val="24"/>
      <w:lang w:val="en-AU" w:eastAsia="en-AU" w:bidi="ar-SA"/>
    </w:rPr>
  </w:style>
  <w:style w:type="paragraph" w:customStyle="1" w:styleId="ttTitleofInstrument">
    <w:name w:val="tt_Title_of_Instrument"/>
    <w:basedOn w:val="Normal"/>
    <w:rsid w:val="007B774B"/>
    <w:pPr>
      <w:widowControl/>
      <w:spacing w:before="200" w:after="80"/>
    </w:pPr>
    <w:rPr>
      <w:b/>
      <w:sz w:val="32"/>
      <w:lang w:val="en-AU" w:eastAsia="en-AU" w:bidi="ar-SA"/>
    </w:rPr>
  </w:style>
  <w:style w:type="paragraph" w:customStyle="1" w:styleId="HR">
    <w:name w:val="HR"/>
    <w:aliases w:val="Regulation Heading"/>
    <w:basedOn w:val="Normal"/>
    <w:next w:val="R1"/>
    <w:rsid w:val="007B774B"/>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7B774B"/>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7B774B"/>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7B774B"/>
    <w:pPr>
      <w:keepNext/>
      <w:keepLines/>
      <w:widowControl/>
      <w:spacing w:before="480"/>
      <w:ind w:left="2410" w:hanging="2410"/>
    </w:pPr>
    <w:rPr>
      <w:b/>
      <w:sz w:val="32"/>
      <w:lang w:val="en-AU" w:eastAsia="en-AU" w:bidi="ar-SA"/>
    </w:rPr>
  </w:style>
  <w:style w:type="character" w:customStyle="1" w:styleId="BalloonTextChar">
    <w:name w:val="Balloon Text Char"/>
    <w:basedOn w:val="DefaultParagraphFont"/>
    <w:link w:val="BalloonText"/>
    <w:uiPriority w:val="99"/>
    <w:semiHidden/>
    <w:rsid w:val="00BF3498"/>
    <w:rPr>
      <w:rFonts w:ascii="Tahoma" w:hAnsi="Tahoma" w:cs="Tahoma"/>
      <w:sz w:val="16"/>
      <w:szCs w:val="16"/>
      <w:lang w:eastAsia="en-US" w:bidi="en-US"/>
    </w:rPr>
  </w:style>
  <w:style w:type="character" w:customStyle="1" w:styleId="FootnoteChar">
    <w:name w:val="Footnote Char"/>
    <w:basedOn w:val="DefaultParagraphFont"/>
    <w:link w:val="Footnote"/>
    <w:rsid w:val="00BF3498"/>
    <w:rPr>
      <w:rFonts w:ascii="Arial" w:hAnsi="Arial"/>
      <w:sz w:val="18"/>
      <w:lang w:eastAsia="en-US" w:bidi="en-US"/>
    </w:rPr>
  </w:style>
  <w:style w:type="paragraph" w:styleId="NoSpacing">
    <w:name w:val="No Spacing"/>
    <w:link w:val="NoSpacingChar"/>
    <w:uiPriority w:val="99"/>
    <w:qFormat/>
    <w:rsid w:val="00BF3498"/>
    <w:rPr>
      <w:rFonts w:ascii="Arial" w:hAnsi="Arial"/>
      <w:sz w:val="22"/>
      <w:szCs w:val="22"/>
      <w:lang w:val="en-US" w:eastAsia="en-US"/>
    </w:rPr>
  </w:style>
  <w:style w:type="character" w:customStyle="1" w:styleId="NoSpacingChar">
    <w:name w:val="No Spacing Char"/>
    <w:basedOn w:val="DefaultParagraphFont"/>
    <w:link w:val="NoSpacing"/>
    <w:uiPriority w:val="99"/>
    <w:rsid w:val="00BF3498"/>
    <w:rPr>
      <w:rFonts w:ascii="Arial" w:hAnsi="Arial"/>
      <w:sz w:val="22"/>
      <w:szCs w:val="22"/>
      <w:lang w:val="en-US" w:eastAsia="en-US"/>
    </w:rPr>
  </w:style>
  <w:style w:type="paragraph" w:customStyle="1" w:styleId="FSDecisionHeading">
    <w:name w:val="FS Decision Heading"/>
    <w:basedOn w:val="Normal"/>
    <w:next w:val="Normal"/>
    <w:qFormat/>
    <w:rsid w:val="00BF3498"/>
    <w:pPr>
      <w:pBdr>
        <w:top w:val="single" w:sz="4" w:space="1" w:color="auto"/>
        <w:left w:val="single" w:sz="4" w:space="4" w:color="auto"/>
        <w:bottom w:val="single" w:sz="4" w:space="1" w:color="auto"/>
        <w:right w:val="single" w:sz="4" w:space="4" w:color="auto"/>
      </w:pBdr>
    </w:pPr>
    <w:rPr>
      <w:rFonts w:ascii="Arial Bold" w:hAnsi="Arial Bold"/>
      <w:b/>
      <w:bCs/>
      <w:lang w:eastAsia="en-GB"/>
    </w:rPr>
  </w:style>
  <w:style w:type="paragraph" w:customStyle="1" w:styleId="FSDecisiontext">
    <w:name w:val="FS Decision text"/>
    <w:basedOn w:val="Normal"/>
    <w:qFormat/>
    <w:rsid w:val="00BF3498"/>
    <w:pPr>
      <w:pBdr>
        <w:top w:val="single" w:sz="4" w:space="1" w:color="auto"/>
        <w:left w:val="single" w:sz="4" w:space="4" w:color="auto"/>
        <w:bottom w:val="single" w:sz="4" w:space="1" w:color="auto"/>
        <w:right w:val="single" w:sz="4" w:space="4" w:color="auto"/>
      </w:pBdr>
    </w:pPr>
    <w:rPr>
      <w:rFonts w:ascii="Arial Bold" w:hAnsi="Arial Bold"/>
      <w:b/>
      <w:lang w:eastAsia="en-GB"/>
    </w:rPr>
  </w:style>
  <w:style w:type="paragraph" w:customStyle="1" w:styleId="FSANZTitle">
    <w:name w:val="FSANZ Title"/>
    <w:basedOn w:val="Normal"/>
    <w:qFormat/>
    <w:rsid w:val="00BF3498"/>
    <w:rPr>
      <w:rFonts w:cs="Tahoma"/>
      <w:b/>
      <w:bCs/>
      <w:sz w:val="36"/>
      <w:lang w:eastAsia="en-GB"/>
    </w:rPr>
  </w:style>
  <w:style w:type="paragraph" w:styleId="Caption">
    <w:name w:val="caption"/>
    <w:aliases w:val="Figure text or caption"/>
    <w:basedOn w:val="Normal"/>
    <w:next w:val="Normal"/>
    <w:uiPriority w:val="35"/>
    <w:unhideWhenUsed/>
    <w:qFormat/>
    <w:rsid w:val="00BF3498"/>
    <w:pPr>
      <w:widowControl/>
    </w:pPr>
    <w:rPr>
      <w:rFonts w:eastAsia="Calibri"/>
      <w:b/>
      <w:bCs/>
      <w:sz w:val="20"/>
      <w:szCs w:val="20"/>
      <w:lang w:eastAsia="en-GB" w:bidi="ar-SA"/>
    </w:rPr>
  </w:style>
  <w:style w:type="paragraph" w:customStyle="1" w:styleId="bullet0">
    <w:name w:val="bullet"/>
    <w:basedOn w:val="Normal"/>
    <w:rsid w:val="00BF3498"/>
    <w:pPr>
      <w:widowControl/>
    </w:pPr>
    <w:rPr>
      <w:rFonts w:ascii="Times New Roman" w:eastAsia="Calibri" w:hAnsi="Times New Roman"/>
      <w:sz w:val="24"/>
      <w:lang w:eastAsia="en-GB" w:bidi="ar-SA"/>
    </w:rPr>
  </w:style>
  <w:style w:type="character" w:styleId="Strong">
    <w:name w:val="Strong"/>
    <w:aliases w:val="Bold"/>
    <w:basedOn w:val="DefaultParagraphFont"/>
    <w:uiPriority w:val="22"/>
    <w:qFormat/>
    <w:rsid w:val="00BF3498"/>
    <w:rPr>
      <w:b/>
      <w:bCs/>
    </w:rPr>
  </w:style>
  <w:style w:type="paragraph" w:styleId="EndnoteText">
    <w:name w:val="endnote text"/>
    <w:basedOn w:val="Normal"/>
    <w:link w:val="EndnoteTextChar"/>
    <w:unhideWhenUsed/>
    <w:rsid w:val="00BF3498"/>
    <w:pPr>
      <w:widowControl/>
    </w:pPr>
    <w:rPr>
      <w:rFonts w:ascii="Times New Roman" w:hAnsi="Times New Roman"/>
      <w:sz w:val="20"/>
      <w:szCs w:val="20"/>
      <w:lang w:eastAsia="en-GB" w:bidi="ar-SA"/>
    </w:rPr>
  </w:style>
  <w:style w:type="character" w:customStyle="1" w:styleId="EndnoteTextChar">
    <w:name w:val="Endnote Text Char"/>
    <w:basedOn w:val="DefaultParagraphFont"/>
    <w:link w:val="EndnoteText"/>
    <w:rsid w:val="00BF3498"/>
    <w:rPr>
      <w:rFonts w:ascii="Times New Roman" w:hAnsi="Times New Roman"/>
    </w:rPr>
  </w:style>
  <w:style w:type="character" w:styleId="EndnoteReference">
    <w:name w:val="endnote reference"/>
    <w:basedOn w:val="DefaultParagraphFont"/>
    <w:unhideWhenUsed/>
    <w:rsid w:val="00BF3498"/>
    <w:rPr>
      <w:vertAlign w:val="superscript"/>
    </w:rPr>
  </w:style>
  <w:style w:type="character" w:styleId="Emphasis">
    <w:name w:val="Emphasis"/>
    <w:basedOn w:val="DefaultParagraphFont"/>
    <w:uiPriority w:val="20"/>
    <w:qFormat/>
    <w:rsid w:val="00BF3498"/>
    <w:rPr>
      <w:i/>
      <w:iCs/>
    </w:rPr>
  </w:style>
  <w:style w:type="paragraph" w:styleId="PlainText">
    <w:name w:val="Plain Text"/>
    <w:basedOn w:val="Normal"/>
    <w:link w:val="PlainTextChar"/>
    <w:uiPriority w:val="99"/>
    <w:unhideWhenUsed/>
    <w:rsid w:val="00BF3498"/>
    <w:pPr>
      <w:widowControl/>
    </w:pPr>
    <w:rPr>
      <w:rFonts w:ascii="Consolas" w:eastAsiaTheme="minorHAnsi" w:hAnsi="Consolas" w:cstheme="minorBidi"/>
      <w:sz w:val="21"/>
      <w:szCs w:val="21"/>
      <w:lang w:eastAsia="en-GB" w:bidi="ar-SA"/>
    </w:rPr>
  </w:style>
  <w:style w:type="character" w:customStyle="1" w:styleId="PlainTextChar">
    <w:name w:val="Plain Text Char"/>
    <w:basedOn w:val="DefaultParagraphFont"/>
    <w:link w:val="PlainText"/>
    <w:uiPriority w:val="99"/>
    <w:rsid w:val="00BF3498"/>
    <w:rPr>
      <w:rFonts w:ascii="Consolas" w:eastAsiaTheme="minorHAnsi" w:hAnsi="Consolas" w:cstheme="minorBidi"/>
      <w:sz w:val="21"/>
      <w:szCs w:val="21"/>
    </w:rPr>
  </w:style>
  <w:style w:type="paragraph" w:customStyle="1" w:styleId="Bullet1">
    <w:name w:val="Bullet 1"/>
    <w:basedOn w:val="Normal"/>
    <w:link w:val="Bullet1Char"/>
    <w:qFormat/>
    <w:rsid w:val="00BF3498"/>
    <w:pPr>
      <w:widowControl/>
      <w:numPr>
        <w:numId w:val="14"/>
      </w:numPr>
    </w:pPr>
    <w:rPr>
      <w:rFonts w:ascii="Times New Roman" w:hAnsi="Times New Roman"/>
      <w:sz w:val="24"/>
      <w:lang w:eastAsia="en-GB" w:bidi="ar-SA"/>
    </w:rPr>
  </w:style>
  <w:style w:type="character" w:customStyle="1" w:styleId="Bullet1Char">
    <w:name w:val="Bullet 1 Char"/>
    <w:link w:val="Bullet1"/>
    <w:rsid w:val="00BF3498"/>
    <w:rPr>
      <w:rFonts w:ascii="Times New Roman" w:hAnsi="Times New Roman"/>
      <w:sz w:val="24"/>
      <w:szCs w:val="24"/>
    </w:rPr>
  </w:style>
  <w:style w:type="paragraph" w:customStyle="1" w:styleId="Pa3">
    <w:name w:val="Pa3"/>
    <w:basedOn w:val="Normal"/>
    <w:next w:val="Normal"/>
    <w:rsid w:val="00BF3498"/>
    <w:pPr>
      <w:widowControl/>
      <w:autoSpaceDE w:val="0"/>
      <w:autoSpaceDN w:val="0"/>
      <w:adjustRightInd w:val="0"/>
      <w:spacing w:line="161" w:lineRule="atLeast"/>
    </w:pPr>
    <w:rPr>
      <w:rFonts w:ascii="Helvetica 55 Roman" w:hAnsi="Helvetica 55 Roman"/>
      <w:sz w:val="24"/>
      <w:lang w:val="en-US" w:eastAsia="en-GB"/>
    </w:rPr>
  </w:style>
  <w:style w:type="paragraph" w:customStyle="1" w:styleId="FSTableFigureHeading">
    <w:name w:val="FSTable/Figure Heading"/>
    <w:basedOn w:val="Normal"/>
    <w:qFormat/>
    <w:rsid w:val="00BF3498"/>
    <w:pPr>
      <w:widowControl/>
      <w:spacing w:before="120" w:after="120"/>
      <w:ind w:left="1134" w:hanging="1134"/>
    </w:pPr>
    <w:rPr>
      <w:rFonts w:eastAsiaTheme="minorHAnsi" w:cstheme="minorBidi"/>
      <w:b/>
      <w:szCs w:val="22"/>
      <w:lang w:eastAsia="en-GB" w:bidi="ar-SA"/>
    </w:rPr>
  </w:style>
  <w:style w:type="paragraph" w:customStyle="1" w:styleId="Figurenotetext">
    <w:name w:val="Figure note text"/>
    <w:basedOn w:val="Normal"/>
    <w:next w:val="Normal"/>
    <w:link w:val="FigurenotetextChar"/>
    <w:qFormat/>
    <w:rsid w:val="00BF3498"/>
    <w:pPr>
      <w:widowControl/>
      <w:spacing w:line="276" w:lineRule="auto"/>
    </w:pPr>
    <w:rPr>
      <w:rFonts w:ascii="Calibri" w:eastAsia="Calibri" w:hAnsi="Calibri"/>
      <w:color w:val="000000"/>
      <w:sz w:val="17"/>
      <w:szCs w:val="22"/>
      <w:lang w:val="en-AU" w:eastAsia="en-GB" w:bidi="ar-SA"/>
    </w:rPr>
  </w:style>
  <w:style w:type="character" w:customStyle="1" w:styleId="FigurenotetextChar">
    <w:name w:val="Figure note text Char"/>
    <w:link w:val="Figurenotetext"/>
    <w:rsid w:val="00BF3498"/>
    <w:rPr>
      <w:rFonts w:eastAsia="Calibri"/>
      <w:color w:val="000000"/>
      <w:sz w:val="17"/>
      <w:szCs w:val="22"/>
      <w:lang w:val="en-AU"/>
    </w:rPr>
  </w:style>
  <w:style w:type="table" w:styleId="LightList">
    <w:name w:val="Light List"/>
    <w:basedOn w:val="TableNormal"/>
    <w:uiPriority w:val="61"/>
    <w:rsid w:val="00BF3498"/>
    <w:rPr>
      <w:rFonts w:ascii="Arial" w:eastAsia="Calibri" w:hAnsi="Arial"/>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F3498"/>
    <w:rPr>
      <w:rFonts w:ascii="Arial" w:eastAsia="Calibri" w:hAnsi="Arial"/>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next w:val="LightList-Accent1"/>
    <w:uiPriority w:val="61"/>
    <w:rsid w:val="00BF3498"/>
    <w:rPr>
      <w:rFonts w:ascii="Arial" w:eastAsia="Calibri" w:hAnsi="Arial" w:cs="Arial"/>
      <w:sz w:val="22"/>
      <w:szCs w:val="22"/>
      <w:lang w:val="en-AU"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BF3498"/>
    <w:rPr>
      <w:rFonts w:ascii="Arial" w:eastAsia="Calibri" w:hAnsi="Arial"/>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1">
    <w:name w:val="Text 1"/>
    <w:basedOn w:val="Normal"/>
    <w:link w:val="Text1Char"/>
    <w:qFormat/>
    <w:rsid w:val="00BF3498"/>
    <w:pPr>
      <w:widowControl/>
      <w:spacing w:after="240" w:line="360" w:lineRule="auto"/>
      <w:ind w:firstLine="567"/>
    </w:pPr>
    <w:rPr>
      <w:rFonts w:ascii="Times New Roman" w:hAnsi="Times New Roman"/>
      <w:lang w:val="en-US"/>
    </w:rPr>
  </w:style>
  <w:style w:type="character" w:customStyle="1" w:styleId="Text1Char">
    <w:name w:val="Text 1 Char"/>
    <w:basedOn w:val="DefaultParagraphFont"/>
    <w:link w:val="Text1"/>
    <w:rsid w:val="00BF3498"/>
    <w:rPr>
      <w:rFonts w:ascii="Times New Roman" w:hAnsi="Times New Roman"/>
      <w:sz w:val="22"/>
      <w:szCs w:val="24"/>
      <w:lang w:val="en-US" w:eastAsia="en-US" w:bidi="en-US"/>
    </w:rPr>
  </w:style>
  <w:style w:type="paragraph" w:customStyle="1" w:styleId="TableTitle">
    <w:name w:val="Table Title"/>
    <w:basedOn w:val="Text1"/>
    <w:link w:val="TableTitleChar"/>
    <w:qFormat/>
    <w:rsid w:val="00BF3498"/>
    <w:pPr>
      <w:spacing w:before="240" w:after="120" w:line="240" w:lineRule="auto"/>
      <w:jc w:val="center"/>
    </w:pPr>
    <w:rPr>
      <w:b/>
    </w:rPr>
  </w:style>
  <w:style w:type="character" w:customStyle="1" w:styleId="TableTitleChar">
    <w:name w:val="Table Title Char"/>
    <w:basedOn w:val="Text1Char"/>
    <w:link w:val="TableTitle"/>
    <w:rsid w:val="00BF3498"/>
    <w:rPr>
      <w:rFonts w:ascii="Times New Roman" w:hAnsi="Times New Roman"/>
      <w:b/>
      <w:sz w:val="22"/>
      <w:szCs w:val="24"/>
      <w:lang w:val="en-US" w:eastAsia="en-US" w:bidi="en-US"/>
    </w:rPr>
  </w:style>
  <w:style w:type="paragraph" w:styleId="NormalWeb">
    <w:name w:val="Normal (Web)"/>
    <w:basedOn w:val="Normal"/>
    <w:uiPriority w:val="99"/>
    <w:unhideWhenUsed/>
    <w:rsid w:val="00BF3498"/>
    <w:pPr>
      <w:widowControl/>
      <w:spacing w:before="100" w:beforeAutospacing="1" w:after="100" w:afterAutospacing="1"/>
    </w:pPr>
    <w:rPr>
      <w:rFonts w:ascii="Times New Roman" w:eastAsiaTheme="minorEastAsia" w:hAnsi="Times New Roman"/>
      <w:sz w:val="24"/>
      <w:lang w:val="en-AU" w:eastAsia="en-AU" w:bidi="ar-SA"/>
    </w:rPr>
  </w:style>
  <w:style w:type="paragraph" w:customStyle="1" w:styleId="Notetext">
    <w:name w:val="Note text"/>
    <w:basedOn w:val="Normal"/>
    <w:next w:val="Normal"/>
    <w:link w:val="NotetextChar"/>
    <w:autoRedefine/>
    <w:uiPriority w:val="25"/>
    <w:qFormat/>
    <w:rsid w:val="00BF3498"/>
    <w:pPr>
      <w:widowControl/>
      <w:spacing w:after="240" w:line="280" w:lineRule="atLeast"/>
    </w:pPr>
    <w:rPr>
      <w:rFonts w:ascii="Calibri" w:eastAsia="Calibri" w:hAnsi="Calibri"/>
      <w:color w:val="000000" w:themeColor="text1"/>
      <w:sz w:val="18"/>
      <w:szCs w:val="22"/>
      <w:lang w:val="en-AU" w:bidi="ar-SA"/>
    </w:rPr>
  </w:style>
  <w:style w:type="character" w:customStyle="1" w:styleId="NotetextChar">
    <w:name w:val="Note text Char"/>
    <w:basedOn w:val="DefaultParagraphFont"/>
    <w:link w:val="Notetext"/>
    <w:uiPriority w:val="25"/>
    <w:rsid w:val="00BF3498"/>
    <w:rPr>
      <w:rFonts w:eastAsia="Calibri"/>
      <w:color w:val="000000" w:themeColor="text1"/>
      <w:sz w:val="18"/>
      <w:szCs w:val="22"/>
      <w:lang w:val="en-AU" w:eastAsia="en-US"/>
    </w:rPr>
  </w:style>
  <w:style w:type="paragraph" w:customStyle="1" w:styleId="TableBoxtext">
    <w:name w:val="Table/Box text"/>
    <w:next w:val="Normal"/>
    <w:uiPriority w:val="27"/>
    <w:qFormat/>
    <w:rsid w:val="00BF3498"/>
    <w:pPr>
      <w:spacing w:before="40" w:after="40" w:line="200" w:lineRule="atLeast"/>
    </w:pPr>
    <w:rPr>
      <w:rFonts w:ascii="Cambria" w:eastAsia="Calibri" w:hAnsi="Cambria"/>
      <w:color w:val="000000" w:themeColor="text1"/>
      <w:sz w:val="18"/>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214">
      <w:bodyDiv w:val="1"/>
      <w:marLeft w:val="0"/>
      <w:marRight w:val="0"/>
      <w:marTop w:val="0"/>
      <w:marBottom w:val="0"/>
      <w:divBdr>
        <w:top w:val="none" w:sz="0" w:space="0" w:color="auto"/>
        <w:left w:val="none" w:sz="0" w:space="0" w:color="auto"/>
        <w:bottom w:val="none" w:sz="0" w:space="0" w:color="auto"/>
        <w:right w:val="none" w:sz="0" w:space="0" w:color="auto"/>
      </w:divBdr>
      <w:divsChild>
        <w:div w:id="481888957">
          <w:marLeft w:val="0"/>
          <w:marRight w:val="0"/>
          <w:marTop w:val="0"/>
          <w:marBottom w:val="0"/>
          <w:divBdr>
            <w:top w:val="none" w:sz="0" w:space="0" w:color="auto"/>
            <w:left w:val="none" w:sz="0" w:space="0" w:color="auto"/>
            <w:bottom w:val="none" w:sz="0" w:space="0" w:color="auto"/>
            <w:right w:val="none" w:sz="0" w:space="0" w:color="auto"/>
          </w:divBdr>
          <w:divsChild>
            <w:div w:id="2071148982">
              <w:marLeft w:val="0"/>
              <w:marRight w:val="0"/>
              <w:marTop w:val="0"/>
              <w:marBottom w:val="0"/>
              <w:divBdr>
                <w:top w:val="none" w:sz="0" w:space="0" w:color="auto"/>
                <w:left w:val="none" w:sz="0" w:space="0" w:color="auto"/>
                <w:bottom w:val="none" w:sz="0" w:space="0" w:color="auto"/>
                <w:right w:val="none" w:sz="0" w:space="0" w:color="auto"/>
              </w:divBdr>
              <w:divsChild>
                <w:div w:id="1580405054">
                  <w:marLeft w:val="0"/>
                  <w:marRight w:val="0"/>
                  <w:marTop w:val="0"/>
                  <w:marBottom w:val="0"/>
                  <w:divBdr>
                    <w:top w:val="none" w:sz="0" w:space="0" w:color="auto"/>
                    <w:left w:val="none" w:sz="0" w:space="0" w:color="auto"/>
                    <w:bottom w:val="none" w:sz="0" w:space="0" w:color="auto"/>
                    <w:right w:val="none" w:sz="0" w:space="0" w:color="auto"/>
                  </w:divBdr>
                  <w:divsChild>
                    <w:div w:id="1964730594">
                      <w:marLeft w:val="0"/>
                      <w:marRight w:val="0"/>
                      <w:marTop w:val="0"/>
                      <w:marBottom w:val="0"/>
                      <w:divBdr>
                        <w:top w:val="none" w:sz="0" w:space="0" w:color="auto"/>
                        <w:left w:val="none" w:sz="0" w:space="0" w:color="auto"/>
                        <w:bottom w:val="none" w:sz="0" w:space="0" w:color="auto"/>
                        <w:right w:val="none" w:sz="0" w:space="0" w:color="auto"/>
                      </w:divBdr>
                      <w:divsChild>
                        <w:div w:id="349793544">
                          <w:marLeft w:val="0"/>
                          <w:marRight w:val="0"/>
                          <w:marTop w:val="0"/>
                          <w:marBottom w:val="0"/>
                          <w:divBdr>
                            <w:top w:val="single" w:sz="6" w:space="0" w:color="828282"/>
                            <w:left w:val="single" w:sz="6" w:space="0" w:color="828282"/>
                            <w:bottom w:val="single" w:sz="6" w:space="0" w:color="828282"/>
                            <w:right w:val="single" w:sz="6" w:space="0" w:color="828282"/>
                          </w:divBdr>
                          <w:divsChild>
                            <w:div w:id="535198959">
                              <w:marLeft w:val="0"/>
                              <w:marRight w:val="0"/>
                              <w:marTop w:val="0"/>
                              <w:marBottom w:val="0"/>
                              <w:divBdr>
                                <w:top w:val="none" w:sz="0" w:space="0" w:color="auto"/>
                                <w:left w:val="none" w:sz="0" w:space="0" w:color="auto"/>
                                <w:bottom w:val="none" w:sz="0" w:space="0" w:color="auto"/>
                                <w:right w:val="none" w:sz="0" w:space="0" w:color="auto"/>
                              </w:divBdr>
                              <w:divsChild>
                                <w:div w:id="1233927216">
                                  <w:marLeft w:val="0"/>
                                  <w:marRight w:val="0"/>
                                  <w:marTop w:val="0"/>
                                  <w:marBottom w:val="0"/>
                                  <w:divBdr>
                                    <w:top w:val="none" w:sz="0" w:space="0" w:color="auto"/>
                                    <w:left w:val="none" w:sz="0" w:space="0" w:color="auto"/>
                                    <w:bottom w:val="none" w:sz="0" w:space="0" w:color="auto"/>
                                    <w:right w:val="none" w:sz="0" w:space="0" w:color="auto"/>
                                  </w:divBdr>
                                  <w:divsChild>
                                    <w:div w:id="271014312">
                                      <w:marLeft w:val="0"/>
                                      <w:marRight w:val="0"/>
                                      <w:marTop w:val="0"/>
                                      <w:marBottom w:val="0"/>
                                      <w:divBdr>
                                        <w:top w:val="none" w:sz="0" w:space="0" w:color="auto"/>
                                        <w:left w:val="none" w:sz="0" w:space="0" w:color="auto"/>
                                        <w:bottom w:val="none" w:sz="0" w:space="0" w:color="auto"/>
                                        <w:right w:val="none" w:sz="0" w:space="0" w:color="auto"/>
                                      </w:divBdr>
                                      <w:divsChild>
                                        <w:div w:id="1429154085">
                                          <w:marLeft w:val="0"/>
                                          <w:marRight w:val="0"/>
                                          <w:marTop w:val="0"/>
                                          <w:marBottom w:val="0"/>
                                          <w:divBdr>
                                            <w:top w:val="none" w:sz="0" w:space="0" w:color="auto"/>
                                            <w:left w:val="none" w:sz="0" w:space="0" w:color="auto"/>
                                            <w:bottom w:val="none" w:sz="0" w:space="0" w:color="auto"/>
                                            <w:right w:val="none" w:sz="0" w:space="0" w:color="auto"/>
                                          </w:divBdr>
                                          <w:divsChild>
                                            <w:div w:id="1820416349">
                                              <w:marLeft w:val="0"/>
                                              <w:marRight w:val="0"/>
                                              <w:marTop w:val="0"/>
                                              <w:marBottom w:val="0"/>
                                              <w:divBdr>
                                                <w:top w:val="none" w:sz="0" w:space="0" w:color="auto"/>
                                                <w:left w:val="none" w:sz="0" w:space="0" w:color="auto"/>
                                                <w:bottom w:val="none" w:sz="0" w:space="0" w:color="auto"/>
                                                <w:right w:val="none" w:sz="0" w:space="0" w:color="auto"/>
                                              </w:divBdr>
                                              <w:divsChild>
                                                <w:div w:id="15893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51733621">
      <w:bodyDiv w:val="1"/>
      <w:marLeft w:val="0"/>
      <w:marRight w:val="0"/>
      <w:marTop w:val="0"/>
      <w:marBottom w:val="0"/>
      <w:divBdr>
        <w:top w:val="none" w:sz="0" w:space="0" w:color="auto"/>
        <w:left w:val="none" w:sz="0" w:space="0" w:color="auto"/>
        <w:bottom w:val="none" w:sz="0" w:space="0" w:color="auto"/>
        <w:right w:val="none" w:sz="0" w:space="0" w:color="auto"/>
      </w:divBdr>
      <w:divsChild>
        <w:div w:id="1422333077">
          <w:marLeft w:val="0"/>
          <w:marRight w:val="0"/>
          <w:marTop w:val="0"/>
          <w:marBottom w:val="0"/>
          <w:divBdr>
            <w:top w:val="none" w:sz="0" w:space="0" w:color="auto"/>
            <w:left w:val="none" w:sz="0" w:space="0" w:color="auto"/>
            <w:bottom w:val="none" w:sz="0" w:space="0" w:color="auto"/>
            <w:right w:val="none" w:sz="0" w:space="0" w:color="auto"/>
          </w:divBdr>
          <w:divsChild>
            <w:div w:id="836771754">
              <w:marLeft w:val="0"/>
              <w:marRight w:val="0"/>
              <w:marTop w:val="0"/>
              <w:marBottom w:val="0"/>
              <w:divBdr>
                <w:top w:val="none" w:sz="0" w:space="0" w:color="auto"/>
                <w:left w:val="none" w:sz="0" w:space="0" w:color="auto"/>
                <w:bottom w:val="none" w:sz="0" w:space="0" w:color="auto"/>
                <w:right w:val="none" w:sz="0" w:space="0" w:color="auto"/>
              </w:divBdr>
              <w:divsChild>
                <w:div w:id="106242208">
                  <w:marLeft w:val="0"/>
                  <w:marRight w:val="0"/>
                  <w:marTop w:val="0"/>
                  <w:marBottom w:val="0"/>
                  <w:divBdr>
                    <w:top w:val="none" w:sz="0" w:space="0" w:color="auto"/>
                    <w:left w:val="none" w:sz="0" w:space="0" w:color="auto"/>
                    <w:bottom w:val="none" w:sz="0" w:space="0" w:color="auto"/>
                    <w:right w:val="none" w:sz="0" w:space="0" w:color="auto"/>
                  </w:divBdr>
                  <w:divsChild>
                    <w:div w:id="104274139">
                      <w:marLeft w:val="0"/>
                      <w:marRight w:val="0"/>
                      <w:marTop w:val="0"/>
                      <w:marBottom w:val="0"/>
                      <w:divBdr>
                        <w:top w:val="none" w:sz="0" w:space="0" w:color="auto"/>
                        <w:left w:val="none" w:sz="0" w:space="0" w:color="auto"/>
                        <w:bottom w:val="none" w:sz="0" w:space="0" w:color="auto"/>
                        <w:right w:val="none" w:sz="0" w:space="0" w:color="auto"/>
                      </w:divBdr>
                      <w:divsChild>
                        <w:div w:id="8455018">
                          <w:marLeft w:val="0"/>
                          <w:marRight w:val="0"/>
                          <w:marTop w:val="0"/>
                          <w:marBottom w:val="0"/>
                          <w:divBdr>
                            <w:top w:val="none" w:sz="0" w:space="0" w:color="auto"/>
                            <w:left w:val="none" w:sz="0" w:space="0" w:color="auto"/>
                            <w:bottom w:val="none" w:sz="0" w:space="0" w:color="auto"/>
                            <w:right w:val="none" w:sz="0" w:space="0" w:color="auto"/>
                          </w:divBdr>
                          <w:divsChild>
                            <w:div w:id="986320597">
                              <w:marLeft w:val="0"/>
                              <w:marRight w:val="0"/>
                              <w:marTop w:val="0"/>
                              <w:marBottom w:val="0"/>
                              <w:divBdr>
                                <w:top w:val="none" w:sz="0" w:space="0" w:color="auto"/>
                                <w:left w:val="none" w:sz="0" w:space="0" w:color="auto"/>
                                <w:bottom w:val="none" w:sz="0" w:space="0" w:color="auto"/>
                                <w:right w:val="none" w:sz="0" w:space="0" w:color="auto"/>
                              </w:divBdr>
                              <w:divsChild>
                                <w:div w:id="1524975419">
                                  <w:marLeft w:val="0"/>
                                  <w:marRight w:val="0"/>
                                  <w:marTop w:val="0"/>
                                  <w:marBottom w:val="0"/>
                                  <w:divBdr>
                                    <w:top w:val="none" w:sz="0" w:space="0" w:color="auto"/>
                                    <w:left w:val="none" w:sz="0" w:space="0" w:color="auto"/>
                                    <w:bottom w:val="none" w:sz="0" w:space="0" w:color="auto"/>
                                    <w:right w:val="none" w:sz="0" w:space="0" w:color="auto"/>
                                  </w:divBdr>
                                  <w:divsChild>
                                    <w:div w:id="2124768812">
                                      <w:marLeft w:val="0"/>
                                      <w:marRight w:val="0"/>
                                      <w:marTop w:val="0"/>
                                      <w:marBottom w:val="0"/>
                                      <w:divBdr>
                                        <w:top w:val="none" w:sz="0" w:space="0" w:color="auto"/>
                                        <w:left w:val="none" w:sz="0" w:space="0" w:color="auto"/>
                                        <w:bottom w:val="none" w:sz="0" w:space="0" w:color="auto"/>
                                        <w:right w:val="none" w:sz="0" w:space="0" w:color="auto"/>
                                      </w:divBdr>
                                      <w:divsChild>
                                        <w:div w:id="124394678">
                                          <w:marLeft w:val="0"/>
                                          <w:marRight w:val="0"/>
                                          <w:marTop w:val="0"/>
                                          <w:marBottom w:val="0"/>
                                          <w:divBdr>
                                            <w:top w:val="none" w:sz="0" w:space="0" w:color="auto"/>
                                            <w:left w:val="none" w:sz="0" w:space="0" w:color="auto"/>
                                            <w:bottom w:val="none" w:sz="0" w:space="0" w:color="auto"/>
                                            <w:right w:val="none" w:sz="0" w:space="0" w:color="auto"/>
                                          </w:divBdr>
                                        </w:div>
                                        <w:div w:id="87044877">
                                          <w:marLeft w:val="0"/>
                                          <w:marRight w:val="0"/>
                                          <w:marTop w:val="0"/>
                                          <w:marBottom w:val="0"/>
                                          <w:divBdr>
                                            <w:top w:val="none" w:sz="0" w:space="0" w:color="auto"/>
                                            <w:left w:val="none" w:sz="0" w:space="0" w:color="auto"/>
                                            <w:bottom w:val="none" w:sz="0" w:space="0" w:color="auto"/>
                                            <w:right w:val="none" w:sz="0" w:space="0" w:color="auto"/>
                                          </w:divBdr>
                                        </w:div>
                                        <w:div w:id="11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59175296">
      <w:bodyDiv w:val="1"/>
      <w:marLeft w:val="0"/>
      <w:marRight w:val="0"/>
      <w:marTop w:val="0"/>
      <w:marBottom w:val="0"/>
      <w:divBdr>
        <w:top w:val="none" w:sz="0" w:space="0" w:color="auto"/>
        <w:left w:val="none" w:sz="0" w:space="0" w:color="auto"/>
        <w:bottom w:val="none" w:sz="0" w:space="0" w:color="auto"/>
        <w:right w:val="none" w:sz="0" w:space="0" w:color="auto"/>
      </w:divBdr>
      <w:divsChild>
        <w:div w:id="814107777">
          <w:marLeft w:val="0"/>
          <w:marRight w:val="0"/>
          <w:marTop w:val="0"/>
          <w:marBottom w:val="0"/>
          <w:divBdr>
            <w:top w:val="none" w:sz="0" w:space="0" w:color="auto"/>
            <w:left w:val="none" w:sz="0" w:space="0" w:color="auto"/>
            <w:bottom w:val="none" w:sz="0" w:space="0" w:color="auto"/>
            <w:right w:val="none" w:sz="0" w:space="0" w:color="auto"/>
          </w:divBdr>
          <w:divsChild>
            <w:div w:id="1497454416">
              <w:marLeft w:val="0"/>
              <w:marRight w:val="0"/>
              <w:marTop w:val="0"/>
              <w:marBottom w:val="0"/>
              <w:divBdr>
                <w:top w:val="none" w:sz="0" w:space="0" w:color="auto"/>
                <w:left w:val="none" w:sz="0" w:space="0" w:color="auto"/>
                <w:bottom w:val="none" w:sz="0" w:space="0" w:color="auto"/>
                <w:right w:val="none" w:sz="0" w:space="0" w:color="auto"/>
              </w:divBdr>
              <w:divsChild>
                <w:div w:id="1337343136">
                  <w:marLeft w:val="0"/>
                  <w:marRight w:val="0"/>
                  <w:marTop w:val="0"/>
                  <w:marBottom w:val="0"/>
                  <w:divBdr>
                    <w:top w:val="none" w:sz="0" w:space="0" w:color="auto"/>
                    <w:left w:val="none" w:sz="0" w:space="0" w:color="auto"/>
                    <w:bottom w:val="none" w:sz="0" w:space="0" w:color="auto"/>
                    <w:right w:val="none" w:sz="0" w:space="0" w:color="auto"/>
                  </w:divBdr>
                  <w:divsChild>
                    <w:div w:id="229272545">
                      <w:marLeft w:val="0"/>
                      <w:marRight w:val="0"/>
                      <w:marTop w:val="0"/>
                      <w:marBottom w:val="0"/>
                      <w:divBdr>
                        <w:top w:val="none" w:sz="0" w:space="0" w:color="auto"/>
                        <w:left w:val="none" w:sz="0" w:space="0" w:color="auto"/>
                        <w:bottom w:val="none" w:sz="0" w:space="0" w:color="auto"/>
                        <w:right w:val="none" w:sz="0" w:space="0" w:color="auto"/>
                      </w:divBdr>
                      <w:divsChild>
                        <w:div w:id="1131903976">
                          <w:marLeft w:val="0"/>
                          <w:marRight w:val="0"/>
                          <w:marTop w:val="0"/>
                          <w:marBottom w:val="0"/>
                          <w:divBdr>
                            <w:top w:val="none" w:sz="0" w:space="0" w:color="auto"/>
                            <w:left w:val="none" w:sz="0" w:space="0" w:color="auto"/>
                            <w:bottom w:val="none" w:sz="0" w:space="0" w:color="auto"/>
                            <w:right w:val="none" w:sz="0" w:space="0" w:color="auto"/>
                          </w:divBdr>
                          <w:divsChild>
                            <w:div w:id="90398235">
                              <w:marLeft w:val="0"/>
                              <w:marRight w:val="0"/>
                              <w:marTop w:val="0"/>
                              <w:marBottom w:val="0"/>
                              <w:divBdr>
                                <w:top w:val="none" w:sz="0" w:space="0" w:color="auto"/>
                                <w:left w:val="none" w:sz="0" w:space="0" w:color="auto"/>
                                <w:bottom w:val="none" w:sz="0" w:space="0" w:color="auto"/>
                                <w:right w:val="none" w:sz="0" w:space="0" w:color="auto"/>
                              </w:divBdr>
                              <w:divsChild>
                                <w:div w:id="68426330">
                                  <w:marLeft w:val="0"/>
                                  <w:marRight w:val="0"/>
                                  <w:marTop w:val="0"/>
                                  <w:marBottom w:val="0"/>
                                  <w:divBdr>
                                    <w:top w:val="none" w:sz="0" w:space="0" w:color="auto"/>
                                    <w:left w:val="none" w:sz="0" w:space="0" w:color="auto"/>
                                    <w:bottom w:val="none" w:sz="0" w:space="0" w:color="auto"/>
                                    <w:right w:val="none" w:sz="0" w:space="0" w:color="auto"/>
                                  </w:divBdr>
                                  <w:divsChild>
                                    <w:div w:id="1163395569">
                                      <w:marLeft w:val="0"/>
                                      <w:marRight w:val="0"/>
                                      <w:marTop w:val="0"/>
                                      <w:marBottom w:val="0"/>
                                      <w:divBdr>
                                        <w:top w:val="none" w:sz="0" w:space="0" w:color="auto"/>
                                        <w:left w:val="none" w:sz="0" w:space="0" w:color="auto"/>
                                        <w:bottom w:val="none" w:sz="0" w:space="0" w:color="auto"/>
                                        <w:right w:val="none" w:sz="0" w:space="0" w:color="auto"/>
                                      </w:divBdr>
                                      <w:divsChild>
                                        <w:div w:id="745810993">
                                          <w:marLeft w:val="0"/>
                                          <w:marRight w:val="0"/>
                                          <w:marTop w:val="0"/>
                                          <w:marBottom w:val="0"/>
                                          <w:divBdr>
                                            <w:top w:val="none" w:sz="0" w:space="0" w:color="auto"/>
                                            <w:left w:val="none" w:sz="0" w:space="0" w:color="auto"/>
                                            <w:bottom w:val="none" w:sz="0" w:space="0" w:color="auto"/>
                                            <w:right w:val="none" w:sz="0" w:space="0" w:color="auto"/>
                                          </w:divBdr>
                                        </w:div>
                                        <w:div w:id="1798375631">
                                          <w:marLeft w:val="0"/>
                                          <w:marRight w:val="0"/>
                                          <w:marTop w:val="0"/>
                                          <w:marBottom w:val="0"/>
                                          <w:divBdr>
                                            <w:top w:val="none" w:sz="0" w:space="0" w:color="auto"/>
                                            <w:left w:val="none" w:sz="0" w:space="0" w:color="auto"/>
                                            <w:bottom w:val="none" w:sz="0" w:space="0" w:color="auto"/>
                                            <w:right w:val="none" w:sz="0" w:space="0" w:color="auto"/>
                                          </w:divBdr>
                                        </w:div>
                                        <w:div w:id="1817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65158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22512668">
      <w:bodyDiv w:val="1"/>
      <w:marLeft w:val="0"/>
      <w:marRight w:val="0"/>
      <w:marTop w:val="0"/>
      <w:marBottom w:val="0"/>
      <w:divBdr>
        <w:top w:val="none" w:sz="0" w:space="0" w:color="auto"/>
        <w:left w:val="none" w:sz="0" w:space="0" w:color="auto"/>
        <w:bottom w:val="none" w:sz="0" w:space="0" w:color="auto"/>
        <w:right w:val="none" w:sz="0" w:space="0" w:color="auto"/>
      </w:divBdr>
    </w:div>
    <w:div w:id="13914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proposalp1014primary5331.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511FB-50B7-4CBE-A2A1-87CD70CE29F9}"/>
</file>

<file path=customXml/itemProps2.xml><?xml version="1.0" encoding="utf-8"?>
<ds:datastoreItem xmlns:ds="http://schemas.openxmlformats.org/officeDocument/2006/customXml" ds:itemID="{752C1ECF-6D48-4840-92B2-7033FF59C3C3}"/>
</file>

<file path=customXml/itemProps3.xml><?xml version="1.0" encoding="utf-8"?>
<ds:datastoreItem xmlns:ds="http://schemas.openxmlformats.org/officeDocument/2006/customXml" ds:itemID="{446E9407-AA3C-4C7A-9361-1CB07B401730}"/>
</file>

<file path=customXml/itemProps4.xml><?xml version="1.0" encoding="utf-8"?>
<ds:datastoreItem xmlns:ds="http://schemas.openxmlformats.org/officeDocument/2006/customXml" ds:itemID="{899C3E59-723D-4FAD-A014-36D56BF2C9B3}"/>
</file>

<file path=docProps/app.xml><?xml version="1.0" encoding="utf-8"?>
<Properties xmlns="http://schemas.openxmlformats.org/officeDocument/2006/extended-properties" xmlns:vt="http://schemas.openxmlformats.org/officeDocument/2006/docPropsVTypes">
  <Template>Normal</Template>
  <TotalTime>0</TotalTime>
  <Pages>21</Pages>
  <Words>6879</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47050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P1014-MeatPPPS-AppR</dc:title>
  <dc:creator/>
  <cp:lastModifiedBy/>
  <cp:revision>1</cp:revision>
  <dcterms:created xsi:type="dcterms:W3CDTF">2014-05-19T04:55:00Z</dcterms:created>
  <dcterms:modified xsi:type="dcterms:W3CDTF">2014-05-19T04:57:00Z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