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EC" w:rsidRDefault="009D0DEC" w:rsidP="009D0DEC">
      <w:bookmarkStart w:id="0" w:name="_GoBack"/>
      <w:bookmarkEnd w:id="0"/>
      <w:r>
        <w:rPr>
          <w:noProof/>
          <w:lang w:eastAsia="en-GB"/>
        </w:rPr>
        <w:drawing>
          <wp:inline distT="0" distB="0" distL="0" distR="0" wp14:anchorId="7AA43AE1" wp14:editId="0973C047">
            <wp:extent cx="3488400" cy="612000"/>
            <wp:effectExtent l="0" t="0" r="0" b="0"/>
            <wp:docPr id="5" name="Picture 5"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9D0DEC" w:rsidRDefault="009D0DEC" w:rsidP="009D0DEC"/>
    <w:p w:rsidR="009D0DEC" w:rsidRPr="005B7A73" w:rsidRDefault="009D0DEC" w:rsidP="009D0DEC">
      <w:pPr>
        <w:pStyle w:val="FSTitle"/>
        <w:rPr>
          <w:b/>
        </w:rPr>
      </w:pPr>
      <w:r w:rsidRPr="005B7A73">
        <w:rPr>
          <w:b/>
        </w:rPr>
        <w:t xml:space="preserve">Supporting document </w:t>
      </w:r>
      <w:r w:rsidRPr="009D0DEC">
        <w:rPr>
          <w:b/>
        </w:rPr>
        <w:t>1</w:t>
      </w:r>
    </w:p>
    <w:p w:rsidR="009D0DEC" w:rsidRDefault="009D0DEC" w:rsidP="009D0DEC"/>
    <w:p w:rsidR="009D0DEC" w:rsidRPr="009D0DEC" w:rsidRDefault="009D0DEC" w:rsidP="009D0DEC">
      <w:pPr>
        <w:pStyle w:val="FSTitle"/>
      </w:pPr>
      <w:r w:rsidRPr="009D0DEC">
        <w:t xml:space="preserve">Guidance on </w:t>
      </w:r>
      <w:r w:rsidR="00DD310A">
        <w:t xml:space="preserve">the application of </w:t>
      </w:r>
      <w:r w:rsidRPr="009D0DEC">
        <w:t xml:space="preserve">microbiological criteria for </w:t>
      </w:r>
      <w:r w:rsidRPr="009D0DEC">
        <w:rPr>
          <w:i/>
        </w:rPr>
        <w:t>Listeria monocytogenes</w:t>
      </w:r>
      <w:r w:rsidRPr="009D0DEC">
        <w:t xml:space="preserve"> in RTE food</w:t>
      </w:r>
      <w:r w:rsidR="00DE67D3">
        <w:t xml:space="preserve"> </w:t>
      </w:r>
      <w:r w:rsidRPr="009D0DEC">
        <w:t>– Proposal P1017</w:t>
      </w:r>
    </w:p>
    <w:p w:rsidR="009D0DEC" w:rsidRPr="00690206" w:rsidRDefault="009D0DEC" w:rsidP="009D0DEC"/>
    <w:p w:rsidR="009D0DEC" w:rsidRPr="00351927" w:rsidRDefault="009D0DEC" w:rsidP="009D0DEC">
      <w:pPr>
        <w:pStyle w:val="FSTitle"/>
        <w:rPr>
          <w:b/>
          <w:color w:val="FF0000"/>
        </w:rPr>
      </w:pPr>
      <w:r w:rsidRPr="002B3EEA">
        <w:t xml:space="preserve">Criteria for </w:t>
      </w:r>
      <w:r w:rsidRPr="002B3EEA">
        <w:rPr>
          <w:i/>
        </w:rPr>
        <w:t>Listeria monocytogenes</w:t>
      </w:r>
      <w:r w:rsidRPr="002B3EEA">
        <w:t xml:space="preserve"> – Microbiological Limits for Foods  </w:t>
      </w:r>
    </w:p>
    <w:p w:rsidR="009D0DEC" w:rsidRPr="00B37BF0" w:rsidRDefault="009D0DEC" w:rsidP="009D0DEC">
      <w:pPr>
        <w:pBdr>
          <w:bottom w:val="single" w:sz="12" w:space="1" w:color="auto"/>
        </w:pBdr>
        <w:spacing w:line="280" w:lineRule="exact"/>
        <w:rPr>
          <w:rFonts w:cs="Arial"/>
          <w:bCs/>
        </w:rPr>
      </w:pPr>
    </w:p>
    <w:p w:rsidR="009D0DEC" w:rsidRPr="00B37BF0" w:rsidRDefault="009D0DEC" w:rsidP="009D0DEC"/>
    <w:p w:rsidR="00AE5639" w:rsidRDefault="009D0DEC">
      <w:pPr>
        <w:spacing w:after="200" w:line="276" w:lineRule="auto"/>
      </w:pPr>
      <w:r>
        <w:br w:type="page"/>
      </w:r>
    </w:p>
    <w:p w:rsidR="00AE5639" w:rsidRPr="00B13C10" w:rsidRDefault="003134C9" w:rsidP="00AE5639">
      <w:pPr>
        <w:keepNext/>
        <w:tabs>
          <w:tab w:val="left" w:pos="851"/>
        </w:tabs>
        <w:spacing w:after="240"/>
        <w:outlineLvl w:val="0"/>
        <w:rPr>
          <w:rFonts w:eastAsia="Times New Roman" w:cs="Arial"/>
          <w:b/>
          <w:bCs/>
          <w:noProof/>
          <w:color w:val="00B0F0"/>
          <w:sz w:val="28"/>
          <w:szCs w:val="28"/>
          <w:lang w:val="en-AU"/>
        </w:rPr>
      </w:pPr>
      <w:r>
        <w:rPr>
          <w:rFonts w:eastAsia="Times New Roman" w:cs="Arial"/>
          <w:b/>
          <w:bCs/>
          <w:color w:val="00B0F0"/>
          <w:sz w:val="28"/>
          <w:szCs w:val="28"/>
          <w:lang w:val="en-AU"/>
        </w:rPr>
        <w:lastRenderedPageBreak/>
        <w:t>USING THIS GUIDE</w:t>
      </w:r>
    </w:p>
    <w:p w:rsidR="00AE5639" w:rsidRPr="00B05223" w:rsidRDefault="00AE5639" w:rsidP="00AE5639">
      <w:pPr>
        <w:rPr>
          <w:rFonts w:eastAsia="Times New Roman" w:cs="Times New Roman"/>
          <w:b/>
          <w:color w:val="00B0F0"/>
          <w:sz w:val="24"/>
          <w:szCs w:val="24"/>
          <w:u w:val="single"/>
          <w:lang w:val="en-AU"/>
        </w:rPr>
      </w:pPr>
      <w:r w:rsidRPr="00B05223">
        <w:rPr>
          <w:rFonts w:eastAsia="Times New Roman" w:cs="Times New Roman"/>
          <w:b/>
          <w:color w:val="00B0F0"/>
          <w:sz w:val="24"/>
          <w:szCs w:val="24"/>
          <w:u w:val="single"/>
          <w:lang w:val="en-AU"/>
        </w:rPr>
        <w:t>Food Standards in Australia and New Zealand</w:t>
      </w:r>
    </w:p>
    <w:p w:rsidR="00AE5639" w:rsidRPr="00B05223" w:rsidRDefault="00AE5639" w:rsidP="00AE5639">
      <w:pPr>
        <w:rPr>
          <w:rFonts w:ascii="Garamond" w:eastAsia="Times New Roman" w:hAnsi="Garamond" w:cs="Times New Roman"/>
          <w:b/>
          <w:szCs w:val="24"/>
          <w:lang w:val="en-AU"/>
        </w:rPr>
      </w:pPr>
    </w:p>
    <w:p w:rsidR="00AE5639" w:rsidRPr="00B05223" w:rsidRDefault="00AE5639" w:rsidP="00AE5639">
      <w:pPr>
        <w:tabs>
          <w:tab w:val="left" w:pos="851"/>
        </w:tabs>
        <w:rPr>
          <w:rFonts w:eastAsia="Times New Roman" w:cs="Arial"/>
          <w:lang w:val="en-AU"/>
        </w:rPr>
      </w:pPr>
      <w:r w:rsidRPr="00B05223">
        <w:rPr>
          <w:rFonts w:eastAsia="Times New Roman" w:cs="Arial"/>
          <w:lang w:val="en-AU"/>
        </w:rPr>
        <w:t xml:space="preserve">The Australian and New Zealand food standards system is governed by legislation in the states, territories, New Zealand, and the Commonwealth of Australia; including the </w:t>
      </w:r>
      <w:r w:rsidRPr="00B05223">
        <w:rPr>
          <w:rFonts w:eastAsia="Times New Roman" w:cs="Arial"/>
          <w:i/>
          <w:lang w:val="en-AU"/>
        </w:rPr>
        <w:t xml:space="preserve">Food Standards Australia New Zealand Act 1991 </w:t>
      </w:r>
      <w:r w:rsidRPr="00B05223">
        <w:rPr>
          <w:rFonts w:eastAsia="Times New Roman" w:cs="Arial"/>
          <w:lang w:val="en-AU"/>
        </w:rPr>
        <w:t>(the FSANZ Act).</w:t>
      </w:r>
    </w:p>
    <w:p w:rsidR="00AE5639" w:rsidRPr="00B05223" w:rsidRDefault="00AE5639" w:rsidP="00AE5639">
      <w:pPr>
        <w:tabs>
          <w:tab w:val="left" w:pos="851"/>
        </w:tabs>
        <w:rPr>
          <w:rFonts w:eastAsia="Times New Roman" w:cs="Arial"/>
          <w:lang w:val="en-AU"/>
        </w:rPr>
      </w:pPr>
    </w:p>
    <w:p w:rsidR="00AE5639" w:rsidRPr="00B05223" w:rsidRDefault="00AE5639" w:rsidP="00AE5639">
      <w:pPr>
        <w:tabs>
          <w:tab w:val="left" w:pos="851"/>
        </w:tabs>
        <w:rPr>
          <w:rFonts w:eastAsia="Times New Roman" w:cs="Arial"/>
          <w:lang w:val="en-AU"/>
        </w:rPr>
      </w:pPr>
      <w:r w:rsidRPr="00B05223">
        <w:rPr>
          <w:rFonts w:eastAsia="Times New Roman" w:cs="Arial"/>
          <w:lang w:val="en-AU"/>
        </w:rPr>
        <w:t xml:space="preserve">The FSANZ Act sets out how food regulatory measures are developed. It created FSANZ as the agency responsible for developing and maintaining the </w:t>
      </w:r>
      <w:r w:rsidRPr="00B05223">
        <w:rPr>
          <w:rFonts w:eastAsia="Times New Roman" w:cs="Arial"/>
          <w:i/>
          <w:lang w:val="en-AU"/>
        </w:rPr>
        <w:t xml:space="preserve">Australia New Zealand Food Standards Code </w:t>
      </w:r>
      <w:r w:rsidRPr="00B05223">
        <w:rPr>
          <w:rFonts w:eastAsia="Times New Roman" w:cs="Arial"/>
          <w:lang w:val="en-AU"/>
        </w:rPr>
        <w:t>(the Code).</w:t>
      </w:r>
    </w:p>
    <w:p w:rsidR="00AE5639" w:rsidRPr="00B05223" w:rsidRDefault="00AE5639" w:rsidP="00AE5639">
      <w:pPr>
        <w:tabs>
          <w:tab w:val="left" w:pos="851"/>
        </w:tabs>
        <w:rPr>
          <w:rFonts w:eastAsia="Times New Roman" w:cs="Arial"/>
          <w:lang w:val="en-AU"/>
        </w:rPr>
      </w:pPr>
    </w:p>
    <w:p w:rsidR="00AE5639" w:rsidRPr="00B05223" w:rsidRDefault="00AE5639" w:rsidP="00AE5639">
      <w:pPr>
        <w:tabs>
          <w:tab w:val="left" w:pos="851"/>
        </w:tabs>
        <w:rPr>
          <w:rFonts w:eastAsia="Times New Roman" w:cs="Arial"/>
          <w:lang w:val="en-AU"/>
        </w:rPr>
      </w:pPr>
      <w:r w:rsidRPr="00B05223">
        <w:rPr>
          <w:rFonts w:eastAsia="Times New Roman" w:cs="Arial"/>
          <w:lang w:val="en-AU"/>
        </w:rPr>
        <w:t xml:space="preserve">Responsibility for enforcing the Code in Australia rests with authorities in the states and territories; the Commonwealth Department of Agriculture, Fisheries and Forestry for imported food; and with the Ministry </w:t>
      </w:r>
      <w:r>
        <w:rPr>
          <w:rFonts w:eastAsia="Times New Roman" w:cs="Arial"/>
          <w:lang w:val="en-AU"/>
        </w:rPr>
        <w:t>for Primary Industries</w:t>
      </w:r>
      <w:r w:rsidRPr="00B05223">
        <w:rPr>
          <w:rFonts w:eastAsia="Times New Roman" w:cs="Arial"/>
          <w:lang w:val="en-AU"/>
        </w:rPr>
        <w:t xml:space="preserve"> in New Zealand.</w:t>
      </w:r>
    </w:p>
    <w:p w:rsidR="00AE5639" w:rsidRPr="00B05223" w:rsidRDefault="00AE5639" w:rsidP="00AE5639">
      <w:pPr>
        <w:tabs>
          <w:tab w:val="left" w:pos="851"/>
        </w:tabs>
        <w:rPr>
          <w:rFonts w:eastAsia="Times New Roman" w:cs="Arial"/>
          <w:szCs w:val="24"/>
          <w:lang w:val="en-AU"/>
        </w:rPr>
      </w:pPr>
    </w:p>
    <w:p w:rsidR="00AE5639" w:rsidRPr="00B05223" w:rsidRDefault="00AE5639" w:rsidP="00AE5639">
      <w:pPr>
        <w:rPr>
          <w:rFonts w:eastAsia="Times New Roman" w:cs="Arial"/>
          <w:b/>
          <w:color w:val="00B0F0"/>
          <w:sz w:val="24"/>
          <w:szCs w:val="24"/>
          <w:u w:val="single"/>
          <w:lang w:val="en-AU"/>
        </w:rPr>
      </w:pPr>
      <w:r w:rsidRPr="00B05223">
        <w:rPr>
          <w:rFonts w:eastAsia="Times New Roman" w:cs="Arial"/>
          <w:b/>
          <w:color w:val="00B0F0"/>
          <w:sz w:val="24"/>
          <w:szCs w:val="24"/>
          <w:u w:val="single"/>
          <w:lang w:val="en-AU"/>
        </w:rPr>
        <w:t>Responsibility of food businesses</w:t>
      </w:r>
    </w:p>
    <w:p w:rsidR="00AE5639" w:rsidRPr="00B05223" w:rsidRDefault="00AE5639" w:rsidP="00AE5639">
      <w:pPr>
        <w:rPr>
          <w:rFonts w:ascii="Garamond" w:eastAsia="Times New Roman" w:hAnsi="Garamond" w:cs="Times New Roman"/>
          <w:szCs w:val="24"/>
          <w:lang w:val="en-AU"/>
        </w:rPr>
      </w:pPr>
    </w:p>
    <w:p w:rsidR="00AE5639" w:rsidRPr="006C2F2A" w:rsidRDefault="00AE5639" w:rsidP="00AE5639">
      <w:pPr>
        <w:rPr>
          <w:rFonts w:cs="Arial"/>
        </w:rPr>
      </w:pPr>
      <w:r w:rsidRPr="006C2F2A">
        <w:rPr>
          <w:rFonts w:cs="Arial"/>
        </w:rPr>
        <w:t>This Guid</w:t>
      </w:r>
      <w:r w:rsidR="0046797E">
        <w:rPr>
          <w:rFonts w:cs="Arial"/>
        </w:rPr>
        <w:t>ance document</w:t>
      </w:r>
      <w:r w:rsidRPr="006C2F2A">
        <w:rPr>
          <w:rFonts w:cs="Arial"/>
        </w:rPr>
        <w:t xml:space="preserve"> is not a legally binding document. It is designed </w:t>
      </w:r>
      <w:r w:rsidR="004147F0">
        <w:rPr>
          <w:rFonts w:cs="Arial"/>
        </w:rPr>
        <w:t>to provide an overview of</w:t>
      </w:r>
      <w:r w:rsidRPr="006C2F2A">
        <w:rPr>
          <w:rFonts w:cs="Arial"/>
        </w:rPr>
        <w:t xml:space="preserve"> </w:t>
      </w:r>
      <w:r>
        <w:rPr>
          <w:rFonts w:cs="Arial"/>
        </w:rPr>
        <w:t>requirement</w:t>
      </w:r>
      <w:r w:rsidRPr="006C2F2A">
        <w:rPr>
          <w:rFonts w:cs="Arial"/>
        </w:rPr>
        <w:t>s in the Code</w:t>
      </w:r>
      <w:r w:rsidR="00306A5C" w:rsidRPr="00306A5C">
        <w:rPr>
          <w:rFonts w:cs="Arial"/>
        </w:rPr>
        <w:t xml:space="preserve"> </w:t>
      </w:r>
      <w:r w:rsidR="00306A5C">
        <w:rPr>
          <w:rFonts w:cs="Arial"/>
        </w:rPr>
        <w:t>relating to microbiological limits for food</w:t>
      </w:r>
      <w:r w:rsidRPr="006C2F2A">
        <w:rPr>
          <w:rFonts w:cs="Arial"/>
        </w:rPr>
        <w:t>.</w:t>
      </w:r>
    </w:p>
    <w:p w:rsidR="00AE5639" w:rsidRPr="006C2F2A" w:rsidRDefault="00AE5639" w:rsidP="00AE5639">
      <w:pPr>
        <w:rPr>
          <w:rFonts w:cs="Arial"/>
        </w:rPr>
      </w:pPr>
    </w:p>
    <w:p w:rsidR="00AE5639" w:rsidRPr="00B05223" w:rsidRDefault="00AE5639" w:rsidP="00AE5639">
      <w:pPr>
        <w:rPr>
          <w:rFonts w:eastAsia="Times New Roman" w:cs="Arial"/>
          <w:lang w:val="en-AU"/>
        </w:rPr>
      </w:pPr>
      <w:r w:rsidRPr="00620C76">
        <w:rPr>
          <w:rFonts w:cs="Arial"/>
        </w:rPr>
        <w:t xml:space="preserve">This </w:t>
      </w:r>
      <w:r w:rsidR="0046797E" w:rsidRPr="006C2F2A">
        <w:rPr>
          <w:rFonts w:cs="Arial"/>
        </w:rPr>
        <w:t>Guid</w:t>
      </w:r>
      <w:r w:rsidR="0046797E">
        <w:rPr>
          <w:rFonts w:cs="Arial"/>
        </w:rPr>
        <w:t>ance document</w:t>
      </w:r>
      <w:r w:rsidRPr="00620C76">
        <w:rPr>
          <w:rFonts w:cs="Arial"/>
        </w:rPr>
        <w:t xml:space="preserve"> reflects the views of FSANZ. However, the </w:t>
      </w:r>
      <w:r w:rsidR="00AB248B" w:rsidRPr="006C2F2A">
        <w:rPr>
          <w:rFonts w:cs="Arial"/>
        </w:rPr>
        <w:t>Guid</w:t>
      </w:r>
      <w:r w:rsidR="00AB248B">
        <w:rPr>
          <w:rFonts w:cs="Arial"/>
        </w:rPr>
        <w:t>ance document</w:t>
      </w:r>
      <w:r w:rsidRPr="00620C76">
        <w:rPr>
          <w:rFonts w:cs="Arial"/>
        </w:rPr>
        <w:t xml:space="preserve"> cannot be relied upon as stating the law. FSANZ is not responsible for enforcement of the Code or for </w:t>
      </w:r>
      <w:r w:rsidRPr="00620C76">
        <w:rPr>
          <w:rFonts w:cs="Arial"/>
          <w:lang w:val="en-US"/>
        </w:rPr>
        <w:t>providing advice on food compliance issues</w:t>
      </w:r>
      <w:r w:rsidRPr="00620C76">
        <w:rPr>
          <w:rFonts w:cs="Arial"/>
        </w:rPr>
        <w:t xml:space="preserve">. </w:t>
      </w:r>
      <w:r w:rsidRPr="00620C76">
        <w:rPr>
          <w:rFonts w:cs="Arial"/>
          <w:lang w:val="en-US"/>
        </w:rPr>
        <w:t>In Australia, state or territory government agencies are responsible for enforcing and interpreting the Code. In New Zealand this is the responsibility of the NZ for Primary Industries public health units or local governments.</w:t>
      </w:r>
      <w:r w:rsidRPr="00620C76">
        <w:rPr>
          <w:rFonts w:cs="Arial"/>
        </w:rPr>
        <w:t xml:space="preserve"> </w:t>
      </w:r>
      <w:r>
        <w:rPr>
          <w:rFonts w:cs="Arial"/>
        </w:rPr>
        <w:t>Legal requirements</w:t>
      </w:r>
      <w:r w:rsidRPr="00620C76">
        <w:rPr>
          <w:rFonts w:cs="Arial"/>
        </w:rPr>
        <w:t xml:space="preserve"> may also change, for example, </w:t>
      </w:r>
      <w:r>
        <w:rPr>
          <w:rFonts w:cs="Arial"/>
        </w:rPr>
        <w:t xml:space="preserve">as </w:t>
      </w:r>
      <w:r w:rsidRPr="00620C76">
        <w:rPr>
          <w:rFonts w:cs="Arial"/>
        </w:rPr>
        <w:t>government regulations are made or changed</w:t>
      </w:r>
      <w:r>
        <w:rPr>
          <w:rFonts w:cs="Arial"/>
        </w:rPr>
        <w:t xml:space="preserve"> and as </w:t>
      </w:r>
      <w:r w:rsidRPr="00620C76">
        <w:rPr>
          <w:rFonts w:cs="Arial"/>
        </w:rPr>
        <w:t>courts determine cases</w:t>
      </w:r>
      <w:r>
        <w:rPr>
          <w:rFonts w:cs="Arial"/>
        </w:rPr>
        <w:t xml:space="preserve"> on food law in Australia and New Zealand</w:t>
      </w:r>
      <w:r w:rsidRPr="00B05223">
        <w:rPr>
          <w:rFonts w:eastAsia="Times New Roman" w:cs="Arial"/>
          <w:lang w:val="en-AU"/>
        </w:rPr>
        <w:t>.</w:t>
      </w:r>
    </w:p>
    <w:p w:rsidR="00AE5639" w:rsidRPr="00B05223" w:rsidRDefault="00AE5639" w:rsidP="00AE5639">
      <w:pPr>
        <w:rPr>
          <w:rFonts w:eastAsia="Times New Roman" w:cs="Arial"/>
          <w:lang w:val="en-AU"/>
        </w:rPr>
      </w:pPr>
    </w:p>
    <w:p w:rsidR="00AE5639" w:rsidRPr="00B05223" w:rsidRDefault="00AE5639" w:rsidP="00AE5639">
      <w:pPr>
        <w:rPr>
          <w:rFonts w:eastAsia="Times New Roman" w:cs="Arial"/>
          <w:b/>
          <w:lang w:val="en-AU"/>
        </w:rPr>
      </w:pPr>
      <w:r w:rsidRPr="00B05223">
        <w:rPr>
          <w:rFonts w:eastAsia="Times New Roman" w:cs="Arial"/>
          <w:b/>
          <w:lang w:val="en-AU"/>
        </w:rPr>
        <w:t>Food businesses should obtain legal advice to ensure they are aware of developments in the law and any implications of such developments.</w:t>
      </w:r>
    </w:p>
    <w:p w:rsidR="00AE5639" w:rsidRPr="00B05223" w:rsidRDefault="00AE5639" w:rsidP="00AE5639">
      <w:pPr>
        <w:rPr>
          <w:rFonts w:eastAsia="Times New Roman" w:cs="Arial"/>
          <w:lang w:val="en-AU"/>
        </w:rPr>
      </w:pPr>
    </w:p>
    <w:p w:rsidR="00AE5639" w:rsidRPr="00B05223" w:rsidRDefault="00AE5639" w:rsidP="00AE5639">
      <w:pPr>
        <w:rPr>
          <w:rFonts w:eastAsia="Times New Roman" w:cs="Arial"/>
          <w:lang w:val="en-AU"/>
        </w:rPr>
      </w:pPr>
      <w:r w:rsidRPr="00B05223">
        <w:rPr>
          <w:rFonts w:eastAsia="Times New Roman" w:cs="Arial"/>
          <w:lang w:val="en-AU"/>
        </w:rPr>
        <w:t>As well as complying with food standards requirements, food businesses must also continue to comply with other legislation.</w:t>
      </w:r>
    </w:p>
    <w:p w:rsidR="00AE5639" w:rsidRPr="00B05223" w:rsidRDefault="00AE5639" w:rsidP="00AE5639">
      <w:pPr>
        <w:rPr>
          <w:rFonts w:eastAsia="Times New Roman" w:cs="Arial"/>
          <w:lang w:val="en-AU"/>
        </w:rPr>
      </w:pPr>
    </w:p>
    <w:p w:rsidR="00AE5639" w:rsidRPr="00B05223" w:rsidRDefault="00AE5639" w:rsidP="00AE5639">
      <w:pPr>
        <w:rPr>
          <w:rFonts w:eastAsia="Times New Roman" w:cs="Arial"/>
          <w:lang w:val="en-AU"/>
        </w:rPr>
      </w:pPr>
      <w:r w:rsidRPr="00B05223">
        <w:rPr>
          <w:rFonts w:eastAsia="Times New Roman" w:cs="Arial"/>
          <w:lang w:val="en-AU"/>
        </w:rPr>
        <w:t xml:space="preserve">In Australia, this legislation includes the </w:t>
      </w:r>
      <w:r w:rsidRPr="00B05223">
        <w:rPr>
          <w:rFonts w:eastAsia="Times New Roman" w:cs="Arial"/>
          <w:i/>
          <w:lang w:val="en-AU"/>
        </w:rPr>
        <w:t>Competition and Consumer Act 2010</w:t>
      </w:r>
      <w:r w:rsidRPr="00B05223">
        <w:rPr>
          <w:rFonts w:eastAsia="Times New Roman" w:cs="Arial"/>
          <w:lang w:val="en-AU"/>
        </w:rPr>
        <w:t xml:space="preserve">; the </w:t>
      </w:r>
      <w:r w:rsidRPr="00B05223">
        <w:rPr>
          <w:rFonts w:eastAsia="Times New Roman" w:cs="Arial"/>
          <w:i/>
          <w:lang w:val="en-AU"/>
        </w:rPr>
        <w:t>Imported Food Control Act 1992</w:t>
      </w:r>
      <w:r w:rsidRPr="00B05223">
        <w:rPr>
          <w:rFonts w:eastAsia="Times New Roman" w:cs="Arial"/>
          <w:lang w:val="en-AU"/>
        </w:rPr>
        <w:t>; and state and territory fair trading Acts and food Acts.</w:t>
      </w:r>
    </w:p>
    <w:p w:rsidR="00AE5639" w:rsidRPr="00B05223" w:rsidRDefault="00AE5639" w:rsidP="00AE5639">
      <w:pPr>
        <w:rPr>
          <w:rFonts w:eastAsia="Times New Roman" w:cs="Arial"/>
          <w:lang w:val="en-AU"/>
        </w:rPr>
      </w:pPr>
    </w:p>
    <w:p w:rsidR="00AE5639" w:rsidRPr="00B05223" w:rsidRDefault="00AE5639" w:rsidP="00AE5639">
      <w:pPr>
        <w:rPr>
          <w:rFonts w:eastAsia="Times New Roman" w:cs="Arial"/>
          <w:lang w:val="en-AU"/>
        </w:rPr>
      </w:pPr>
      <w:r w:rsidRPr="00B05223">
        <w:rPr>
          <w:rFonts w:eastAsia="Times New Roman" w:cs="Arial"/>
          <w:lang w:val="en-AU"/>
        </w:rPr>
        <w:t xml:space="preserve">In New Zealand, this legislation includes the </w:t>
      </w:r>
      <w:r w:rsidRPr="00B05223">
        <w:rPr>
          <w:rFonts w:eastAsia="Times New Roman" w:cs="Arial"/>
          <w:i/>
          <w:lang w:val="en-AU"/>
        </w:rPr>
        <w:t>Food Act 1981</w:t>
      </w:r>
      <w:r w:rsidRPr="00B05223">
        <w:rPr>
          <w:rFonts w:eastAsia="Times New Roman" w:cs="Arial"/>
          <w:lang w:val="en-AU"/>
        </w:rPr>
        <w:t xml:space="preserve"> and </w:t>
      </w:r>
      <w:r w:rsidRPr="00B05223">
        <w:rPr>
          <w:rFonts w:eastAsia="Times New Roman" w:cs="Arial"/>
          <w:i/>
          <w:lang w:val="en-AU"/>
        </w:rPr>
        <w:t>Fair Trading Act 1986</w:t>
      </w:r>
      <w:r w:rsidRPr="00B05223">
        <w:rPr>
          <w:rFonts w:eastAsia="Times New Roman" w:cs="Arial"/>
          <w:lang w:val="en-AU"/>
        </w:rPr>
        <w:t>.</w:t>
      </w:r>
    </w:p>
    <w:p w:rsidR="00AE5639" w:rsidRPr="00B05223" w:rsidRDefault="00AE5639" w:rsidP="00AE5639">
      <w:pPr>
        <w:rPr>
          <w:rFonts w:eastAsia="Times New Roman" w:cs="Arial"/>
          <w:lang w:val="en-AU"/>
        </w:rPr>
      </w:pPr>
    </w:p>
    <w:p w:rsidR="00AE5639" w:rsidRPr="00B05223" w:rsidRDefault="00AE5639" w:rsidP="00AE5639">
      <w:pPr>
        <w:rPr>
          <w:rFonts w:eastAsia="Times New Roman" w:cs="Arial"/>
          <w:lang w:val="en-AU"/>
        </w:rPr>
      </w:pPr>
    </w:p>
    <w:p w:rsidR="00AE5639" w:rsidRPr="00B05223" w:rsidRDefault="00AE5639" w:rsidP="00AE5639">
      <w:pPr>
        <w:pBdr>
          <w:top w:val="single" w:sz="4" w:space="1" w:color="auto"/>
          <w:left w:val="single" w:sz="4" w:space="4" w:color="auto"/>
          <w:bottom w:val="single" w:sz="4" w:space="1" w:color="auto"/>
          <w:right w:val="single" w:sz="4" w:space="4" w:color="auto"/>
        </w:pBdr>
        <w:shd w:val="clear" w:color="auto" w:fill="D9D9D9"/>
        <w:rPr>
          <w:rFonts w:eastAsia="Times New Roman" w:cs="Arial"/>
          <w:b/>
          <w:bCs/>
          <w:lang w:val="en-AU" w:eastAsia="en-GB"/>
        </w:rPr>
      </w:pPr>
    </w:p>
    <w:p w:rsidR="00AE5639" w:rsidRPr="00B05223" w:rsidRDefault="00AE5639" w:rsidP="00AE5639">
      <w:pPr>
        <w:pBdr>
          <w:top w:val="single" w:sz="4" w:space="1" w:color="auto"/>
          <w:left w:val="single" w:sz="4" w:space="4" w:color="auto"/>
          <w:bottom w:val="single" w:sz="4" w:space="1" w:color="auto"/>
          <w:right w:val="single" w:sz="4" w:space="4" w:color="auto"/>
        </w:pBdr>
        <w:shd w:val="clear" w:color="auto" w:fill="D9D9D9"/>
        <w:rPr>
          <w:rFonts w:eastAsia="Times New Roman" w:cs="Arial"/>
          <w:b/>
          <w:bCs/>
          <w:lang w:val="en-AU" w:eastAsia="en-GB"/>
        </w:rPr>
      </w:pPr>
      <w:r w:rsidRPr="00B05223">
        <w:rPr>
          <w:rFonts w:eastAsia="Times New Roman" w:cs="Arial"/>
          <w:b/>
          <w:bCs/>
          <w:lang w:val="en-AU" w:eastAsia="en-GB"/>
        </w:rPr>
        <w:t>Disclaimer</w:t>
      </w:r>
    </w:p>
    <w:p w:rsidR="00AE5639" w:rsidRPr="00B05223" w:rsidRDefault="00AE5639" w:rsidP="00AE5639">
      <w:pPr>
        <w:pBdr>
          <w:top w:val="single" w:sz="4" w:space="1" w:color="auto"/>
          <w:left w:val="single" w:sz="4" w:space="4" w:color="auto"/>
          <w:bottom w:val="single" w:sz="4" w:space="1" w:color="auto"/>
          <w:right w:val="single" w:sz="4" w:space="4" w:color="auto"/>
        </w:pBdr>
        <w:shd w:val="clear" w:color="auto" w:fill="D9D9D9"/>
        <w:rPr>
          <w:rFonts w:eastAsia="Times New Roman" w:cs="Arial"/>
          <w:lang w:val="en-AU"/>
        </w:rPr>
      </w:pPr>
    </w:p>
    <w:p w:rsidR="00AE5639" w:rsidRPr="00B05223" w:rsidRDefault="00AE5639" w:rsidP="00AE5639">
      <w:pPr>
        <w:pBdr>
          <w:top w:val="single" w:sz="4" w:space="1" w:color="auto"/>
          <w:left w:val="single" w:sz="4" w:space="4" w:color="auto"/>
          <w:bottom w:val="single" w:sz="4" w:space="1" w:color="auto"/>
          <w:right w:val="single" w:sz="4" w:space="4" w:color="auto"/>
        </w:pBdr>
        <w:shd w:val="clear" w:color="auto" w:fill="D9D9D9"/>
        <w:rPr>
          <w:rFonts w:eastAsia="Times New Roman" w:cs="Arial"/>
          <w:bCs/>
          <w:i/>
          <w:lang w:val="en-AU"/>
        </w:rPr>
      </w:pPr>
      <w:r w:rsidRPr="00B05223">
        <w:rPr>
          <w:rFonts w:eastAsia="Times New Roman" w:cs="Arial"/>
          <w:bCs/>
          <w:lang w:val="en-AU"/>
        </w:rPr>
        <w:t xml:space="preserve">FSANZ disclaims any liability for any loss or injury directly or indirectly sustained by any person as a result of any reliance upon (including reading or using) this </w:t>
      </w:r>
      <w:r w:rsidR="00AB248B" w:rsidRPr="006C2F2A">
        <w:rPr>
          <w:rFonts w:cs="Arial"/>
        </w:rPr>
        <w:t>Guid</w:t>
      </w:r>
      <w:r w:rsidR="00AB248B">
        <w:rPr>
          <w:rFonts w:cs="Arial"/>
        </w:rPr>
        <w:t>ance document</w:t>
      </w:r>
      <w:r w:rsidRPr="00B05223">
        <w:rPr>
          <w:rFonts w:eastAsia="Times New Roman" w:cs="Arial"/>
          <w:bCs/>
          <w:lang w:val="en-AU"/>
        </w:rPr>
        <w:t xml:space="preserve">. Any person relying on this </w:t>
      </w:r>
      <w:r w:rsidR="00AB248B" w:rsidRPr="006C2F2A">
        <w:rPr>
          <w:rFonts w:cs="Arial"/>
        </w:rPr>
        <w:t>Guid</w:t>
      </w:r>
      <w:r w:rsidR="00AB248B">
        <w:rPr>
          <w:rFonts w:cs="Arial"/>
        </w:rPr>
        <w:t>ance document</w:t>
      </w:r>
      <w:r w:rsidRPr="00B05223">
        <w:rPr>
          <w:rFonts w:eastAsia="Times New Roman" w:cs="Arial"/>
          <w:bCs/>
          <w:lang w:val="en-AU"/>
        </w:rPr>
        <w:t xml:space="preserve"> should seek independent legal advice in relation to any queries they may have regarding obligations imposed under the standards in the </w:t>
      </w:r>
      <w:r w:rsidRPr="00B05223">
        <w:rPr>
          <w:rFonts w:eastAsia="Times New Roman" w:cs="Arial"/>
          <w:bCs/>
          <w:i/>
          <w:lang w:val="en-AU"/>
        </w:rPr>
        <w:t>Australia New Zealand Food Standards Code.</w:t>
      </w:r>
    </w:p>
    <w:p w:rsidR="00AE5639" w:rsidRPr="00B05223" w:rsidRDefault="00AE5639" w:rsidP="00AE5639">
      <w:pPr>
        <w:pBdr>
          <w:top w:val="single" w:sz="4" w:space="1" w:color="auto"/>
          <w:left w:val="single" w:sz="4" w:space="4" w:color="auto"/>
          <w:bottom w:val="single" w:sz="4" w:space="1" w:color="auto"/>
          <w:right w:val="single" w:sz="4" w:space="4" w:color="auto"/>
        </w:pBdr>
        <w:shd w:val="clear" w:color="auto" w:fill="D9D9D9"/>
        <w:rPr>
          <w:rFonts w:eastAsia="Times New Roman" w:cs="Arial"/>
          <w:lang w:val="en-AU"/>
        </w:rPr>
      </w:pPr>
    </w:p>
    <w:p w:rsidR="00AE5639" w:rsidRPr="00B05223" w:rsidRDefault="00AE5639" w:rsidP="00AE5639">
      <w:pPr>
        <w:rPr>
          <w:rFonts w:ascii="Garamond" w:eastAsia="Times New Roman" w:hAnsi="Garamond" w:cs="Times New Roman"/>
          <w:b/>
          <w:szCs w:val="24"/>
          <w:lang w:val="en-AU"/>
        </w:rPr>
      </w:pPr>
    </w:p>
    <w:p w:rsidR="00AE5639" w:rsidRDefault="00AE5639" w:rsidP="00AE5639">
      <w:pPr>
        <w:spacing w:after="200" w:line="276" w:lineRule="auto"/>
        <w:rPr>
          <w:rFonts w:cs="Arial"/>
          <w:b/>
          <w:caps/>
          <w:sz w:val="36"/>
          <w:szCs w:val="36"/>
        </w:rPr>
      </w:pPr>
    </w:p>
    <w:p w:rsidR="00065E0F" w:rsidRDefault="00065E0F" w:rsidP="00BD0DA8">
      <w:pPr>
        <w:pStyle w:val="Heading2"/>
      </w:pPr>
      <w:r>
        <w:lastRenderedPageBreak/>
        <w:t>Purpose</w:t>
      </w:r>
    </w:p>
    <w:p w:rsidR="00C876D6" w:rsidRDefault="00C876D6"/>
    <w:p w:rsidR="003244C6" w:rsidRDefault="00E91C31">
      <w:r>
        <w:t>The purpose of this</w:t>
      </w:r>
      <w:r w:rsidRPr="001C2994">
        <w:t xml:space="preserve"> </w:t>
      </w:r>
      <w:r w:rsidR="00CB149D">
        <w:t xml:space="preserve">Guidance </w:t>
      </w:r>
      <w:r w:rsidR="00A52186" w:rsidRPr="001C2994">
        <w:t xml:space="preserve">document </w:t>
      </w:r>
      <w:r>
        <w:t xml:space="preserve">is </w:t>
      </w:r>
      <w:r w:rsidRPr="00127F88">
        <w:rPr>
          <w:rFonts w:cs="Arial"/>
        </w:rPr>
        <w:t xml:space="preserve">to provide an overview </w:t>
      </w:r>
      <w:r>
        <w:rPr>
          <w:rFonts w:cs="Arial"/>
        </w:rPr>
        <w:t>to authorities and producers of</w:t>
      </w:r>
      <w:r w:rsidR="00A52186" w:rsidRPr="001C2994">
        <w:t xml:space="preserve"> </w:t>
      </w:r>
      <w:r w:rsidR="001C2994">
        <w:t>ready-to-eat (</w:t>
      </w:r>
      <w:r w:rsidR="00A52186" w:rsidRPr="001C2994">
        <w:t>RTE</w:t>
      </w:r>
      <w:r w:rsidR="001C2994">
        <w:t>)</w:t>
      </w:r>
      <w:r w:rsidR="00A52186" w:rsidRPr="001C2994">
        <w:t xml:space="preserve"> food </w:t>
      </w:r>
      <w:r>
        <w:t>of</w:t>
      </w:r>
      <w:r w:rsidRPr="001C2994">
        <w:t xml:space="preserve"> </w:t>
      </w:r>
      <w:r w:rsidR="00FC238A" w:rsidRPr="001C2994">
        <w:t xml:space="preserve">microbiological criteria for </w:t>
      </w:r>
      <w:r w:rsidR="00FC238A" w:rsidRPr="00975C2F">
        <w:rPr>
          <w:i/>
        </w:rPr>
        <w:t xml:space="preserve">Listeria monocytogenes </w:t>
      </w:r>
      <w:r w:rsidR="00FC238A" w:rsidRPr="005857BE">
        <w:t>(</w:t>
      </w:r>
      <w:r w:rsidR="00FC238A" w:rsidRPr="003E13D7">
        <w:rPr>
          <w:i/>
          <w:iCs/>
        </w:rPr>
        <w:t>L. monocytogenes</w:t>
      </w:r>
      <w:r w:rsidR="00FC238A">
        <w:rPr>
          <w:iCs/>
        </w:rPr>
        <w:t>)</w:t>
      </w:r>
      <w:r w:rsidR="00FC238A" w:rsidRPr="003E13D7">
        <w:rPr>
          <w:i/>
          <w:iCs/>
        </w:rPr>
        <w:t xml:space="preserve"> </w:t>
      </w:r>
      <w:r w:rsidR="00FC238A" w:rsidRPr="00975C2F">
        <w:t>in</w:t>
      </w:r>
      <w:r w:rsidR="00FC238A">
        <w:t xml:space="preserve"> </w:t>
      </w:r>
      <w:r w:rsidR="00FC238A" w:rsidRPr="001C2994">
        <w:t>RTE foods</w:t>
      </w:r>
      <w:r w:rsidR="00FC238A">
        <w:t xml:space="preserve"> as specified in Standard 1.6.1 and </w:t>
      </w:r>
      <w:r w:rsidR="00A52186" w:rsidRPr="001C2994">
        <w:t xml:space="preserve">when </w:t>
      </w:r>
      <w:r w:rsidR="00C80212" w:rsidRPr="001C2994">
        <w:t>evidence (</w:t>
      </w:r>
      <w:r w:rsidR="003244C6" w:rsidRPr="001C2994">
        <w:t>validation</w:t>
      </w:r>
      <w:r w:rsidR="00C80212" w:rsidRPr="001C2994">
        <w:t>)</w:t>
      </w:r>
      <w:r w:rsidR="003244C6" w:rsidRPr="001C2994">
        <w:t xml:space="preserve"> </w:t>
      </w:r>
      <w:r w:rsidR="00496889">
        <w:t>m</w:t>
      </w:r>
      <w:r w:rsidR="00FC238A">
        <w:t>ay be necessary</w:t>
      </w:r>
      <w:r w:rsidR="00C820FE">
        <w:t xml:space="preserve"> for its application.  </w:t>
      </w:r>
    </w:p>
    <w:p w:rsidR="00C820FE" w:rsidRDefault="00C820FE"/>
    <w:p w:rsidR="00D60919" w:rsidRDefault="00D60919" w:rsidP="00BD0DA8">
      <w:pPr>
        <w:pStyle w:val="Heading2"/>
      </w:pPr>
      <w:r>
        <w:t>Background</w:t>
      </w:r>
    </w:p>
    <w:p w:rsidR="00C876D6" w:rsidRDefault="00C876D6" w:rsidP="00D60919"/>
    <w:p w:rsidR="00D60919" w:rsidRDefault="00D60919" w:rsidP="00D60919">
      <w:pPr>
        <w:rPr>
          <w:iCs/>
        </w:rPr>
      </w:pPr>
      <w:r>
        <w:t>T</w:t>
      </w:r>
      <w:r w:rsidRPr="003E13D7">
        <w:t>he ability of a</w:t>
      </w:r>
      <w:r>
        <w:t xml:space="preserve"> </w:t>
      </w:r>
      <w:r w:rsidRPr="003E13D7">
        <w:t xml:space="preserve">food to support the growth of </w:t>
      </w:r>
      <w:r w:rsidRPr="003E13D7">
        <w:rPr>
          <w:i/>
          <w:iCs/>
        </w:rPr>
        <w:t xml:space="preserve">L. monocytogenes </w:t>
      </w:r>
      <w:r>
        <w:rPr>
          <w:iCs/>
        </w:rPr>
        <w:t>increases the risk that the food will contribute to listeriosi</w:t>
      </w:r>
      <w:r w:rsidRPr="003E13D7">
        <w:rPr>
          <w:iCs/>
        </w:rPr>
        <w:t>s</w:t>
      </w:r>
      <w:r>
        <w:rPr>
          <w:iCs/>
        </w:rPr>
        <w:t xml:space="preserve">. Many factors need to be considered in determining whether growth is supported to any significant degree before the food is consumed. A consideration of these factors, including the physical and chemical characteristics of the product, shelf life and processing treatments allows RTE foods </w:t>
      </w:r>
      <w:r w:rsidR="00A16299">
        <w:rPr>
          <w:iCs/>
        </w:rPr>
        <w:t>to be assessed on the</w:t>
      </w:r>
      <w:r>
        <w:rPr>
          <w:iCs/>
        </w:rPr>
        <w:t xml:space="preserve"> </w:t>
      </w:r>
      <w:r w:rsidR="0049578C">
        <w:rPr>
          <w:iCs/>
        </w:rPr>
        <w:t xml:space="preserve">basis </w:t>
      </w:r>
      <w:r>
        <w:rPr>
          <w:iCs/>
        </w:rPr>
        <w:t>o</w:t>
      </w:r>
      <w:r w:rsidR="00A16299">
        <w:rPr>
          <w:iCs/>
        </w:rPr>
        <w:t>f</w:t>
      </w:r>
      <w:r>
        <w:rPr>
          <w:iCs/>
        </w:rPr>
        <w:t xml:space="preserve"> whether growth </w:t>
      </w:r>
      <w:r w:rsidR="00E57785" w:rsidRPr="003E13D7">
        <w:t xml:space="preserve">of </w:t>
      </w:r>
      <w:r w:rsidR="00E57785" w:rsidRPr="003E13D7">
        <w:rPr>
          <w:i/>
          <w:iCs/>
        </w:rPr>
        <w:t xml:space="preserve">L. monocytogenes </w:t>
      </w:r>
      <w:r>
        <w:rPr>
          <w:iCs/>
        </w:rPr>
        <w:t xml:space="preserve">can occur in the food or not. </w:t>
      </w:r>
      <w:r w:rsidR="00A16299">
        <w:rPr>
          <w:iCs/>
        </w:rPr>
        <w:t xml:space="preserve">This approach is reflected in Standard 1.6.1 where two limits for </w:t>
      </w:r>
      <w:r w:rsidR="00A16299" w:rsidRPr="00A16299">
        <w:rPr>
          <w:i/>
          <w:iCs/>
        </w:rPr>
        <w:t>L. monocytogenes</w:t>
      </w:r>
      <w:r w:rsidR="00A16299">
        <w:rPr>
          <w:iCs/>
        </w:rPr>
        <w:t xml:space="preserve"> are specified depending on whether growth </w:t>
      </w:r>
      <w:r w:rsidR="0049578C">
        <w:rPr>
          <w:iCs/>
        </w:rPr>
        <w:t xml:space="preserve">can </w:t>
      </w:r>
      <w:r w:rsidR="00A16299">
        <w:rPr>
          <w:iCs/>
        </w:rPr>
        <w:t>occur.</w:t>
      </w:r>
    </w:p>
    <w:p w:rsidR="00D60919" w:rsidRDefault="00D60919" w:rsidP="00D60919"/>
    <w:p w:rsidR="00A16299" w:rsidRDefault="00A16299" w:rsidP="00A16299">
      <w:r>
        <w:t xml:space="preserve">The limits in Standard 1.6.1 are end point limits, applicable to </w:t>
      </w:r>
      <w:r w:rsidR="00F514DA">
        <w:t>food for sale or intended for sale. These should be met through a</w:t>
      </w:r>
      <w:r>
        <w:t xml:space="preserve"> preventative approach to food </w:t>
      </w:r>
      <w:r w:rsidR="00F514DA">
        <w:t>safety which</w:t>
      </w:r>
      <w:r>
        <w:t xml:space="preserve"> relies on food businesses implementing through-chain control measures and verifying that these measures are in place and working effectively. </w:t>
      </w:r>
      <w:r w:rsidR="00F514DA">
        <w:t xml:space="preserve">While limits for </w:t>
      </w:r>
      <w:r w:rsidR="00F514DA" w:rsidRPr="00F514DA">
        <w:rPr>
          <w:i/>
        </w:rPr>
        <w:t>L. monocytogenes</w:t>
      </w:r>
      <w:r w:rsidR="00F514DA">
        <w:t xml:space="preserve"> in Standard 1.6.1 may </w:t>
      </w:r>
      <w:r w:rsidR="00AF1F16">
        <w:t>allow up to</w:t>
      </w:r>
      <w:r w:rsidR="00F514DA">
        <w:t xml:space="preserve"> 100 cfu per gram in particular RTE foods, it would be expected that business</w:t>
      </w:r>
      <w:r w:rsidR="0049578C">
        <w:t>es</w:t>
      </w:r>
      <w:r w:rsidR="00F514DA">
        <w:t xml:space="preserve"> should be implementing controls to prevent </w:t>
      </w:r>
      <w:r w:rsidR="00F514DA" w:rsidRPr="00714C5B">
        <w:rPr>
          <w:i/>
        </w:rPr>
        <w:t>Listeria</w:t>
      </w:r>
      <w:r w:rsidR="00F514DA">
        <w:t xml:space="preserve"> contamination to the extent possible</w:t>
      </w:r>
      <w:r w:rsidR="00B60BE5">
        <w:t xml:space="preserve"> for their par</w:t>
      </w:r>
      <w:r w:rsidR="00AF1F16">
        <w:t>ticular food product</w:t>
      </w:r>
      <w:r w:rsidR="00B60BE5">
        <w:t>. The establishment of two limits in Standard 1.6.1 recognises that for certain RTE foods and processes</w:t>
      </w:r>
      <w:r w:rsidR="009C16EA">
        <w:t>,</w:t>
      </w:r>
      <w:r w:rsidR="00B60BE5">
        <w:t xml:space="preserve"> occasional low level contamination may be unavoidable</w:t>
      </w:r>
      <w:r w:rsidR="00AF1F16">
        <w:t xml:space="preserve">. </w:t>
      </w:r>
    </w:p>
    <w:p w:rsidR="00A16299" w:rsidRDefault="00A16299" w:rsidP="00D60919">
      <w:pPr>
        <w:rPr>
          <w:rFonts w:eastAsia="Times New Roman" w:cs="Arial"/>
        </w:rPr>
      </w:pPr>
    </w:p>
    <w:p w:rsidR="00D60919" w:rsidRDefault="00A16299" w:rsidP="00D60919">
      <w:pPr>
        <w:rPr>
          <w:rFonts w:eastAsia="Times New Roman" w:cs="Arial"/>
        </w:rPr>
      </w:pPr>
      <w:r>
        <w:rPr>
          <w:rFonts w:eastAsia="Times New Roman" w:cs="Arial"/>
        </w:rPr>
        <w:t xml:space="preserve">For some RTE foods, the application of </w:t>
      </w:r>
      <w:r w:rsidRPr="00A16299">
        <w:rPr>
          <w:rFonts w:eastAsia="Times New Roman" w:cs="Arial"/>
          <w:i/>
        </w:rPr>
        <w:t>L. monocytogenes</w:t>
      </w:r>
      <w:r>
        <w:rPr>
          <w:rFonts w:eastAsia="Times New Roman" w:cs="Arial"/>
        </w:rPr>
        <w:t xml:space="preserve"> limits is not relevant. </w:t>
      </w:r>
      <w:r w:rsidR="00D60919">
        <w:rPr>
          <w:rFonts w:eastAsia="Times New Roman" w:cs="Arial"/>
        </w:rPr>
        <w:t xml:space="preserve">The Codex </w:t>
      </w:r>
      <w:r w:rsidR="00D60919" w:rsidRPr="00070A76">
        <w:rPr>
          <w:rFonts w:eastAsia="Times New Roman" w:cs="Arial"/>
          <w:i/>
        </w:rPr>
        <w:t xml:space="preserve">Guidelines on the application of general principles of food hygiene to the control of </w:t>
      </w:r>
      <w:r w:rsidR="00D60919" w:rsidRPr="00070A76">
        <w:rPr>
          <w:rFonts w:eastAsia="Times New Roman" w:cs="Arial"/>
        </w:rPr>
        <w:t>Listeria</w:t>
      </w:r>
      <w:r w:rsidR="00602E21">
        <w:rPr>
          <w:rFonts w:eastAsia="Times New Roman" w:cs="Arial"/>
        </w:rPr>
        <w:t> </w:t>
      </w:r>
      <w:r w:rsidR="00D60919" w:rsidRPr="00070A76">
        <w:rPr>
          <w:rFonts w:eastAsia="Times New Roman" w:cs="Arial"/>
        </w:rPr>
        <w:t>monocytogenes</w:t>
      </w:r>
      <w:r w:rsidR="00D60919" w:rsidRPr="00070A76">
        <w:rPr>
          <w:rFonts w:eastAsia="Times New Roman" w:cs="Arial"/>
          <w:i/>
        </w:rPr>
        <w:t xml:space="preserve"> in foods</w:t>
      </w:r>
      <w:r w:rsidR="00D60919">
        <w:rPr>
          <w:rFonts w:eastAsia="Times New Roman" w:cs="Arial"/>
        </w:rPr>
        <w:t xml:space="preserve"> </w:t>
      </w:r>
      <w:r w:rsidR="00FA630A">
        <w:rPr>
          <w:rFonts w:eastAsia="Times New Roman" w:cs="Arial"/>
        </w:rPr>
        <w:t xml:space="preserve">(Codex, 2007) </w:t>
      </w:r>
      <w:r w:rsidR="00D60919">
        <w:rPr>
          <w:rFonts w:eastAsia="Times New Roman" w:cs="Arial"/>
        </w:rPr>
        <w:t xml:space="preserve">states that testing against microbiological criteria for </w:t>
      </w:r>
      <w:r w:rsidR="00D60919" w:rsidRPr="00240C5B">
        <w:rPr>
          <w:rFonts w:eastAsia="Times New Roman" w:cs="Arial"/>
          <w:i/>
        </w:rPr>
        <w:t>L. monocytogenes</w:t>
      </w:r>
      <w:r w:rsidR="00D60919">
        <w:rPr>
          <w:rFonts w:eastAsia="Times New Roman" w:cs="Arial"/>
        </w:rPr>
        <w:t xml:space="preserve"> may not be useful for:</w:t>
      </w:r>
    </w:p>
    <w:p w:rsidR="00D60919" w:rsidRPr="002E7078" w:rsidRDefault="00D60919" w:rsidP="00D60919">
      <w:pPr>
        <w:rPr>
          <w:rFonts w:eastAsia="Times New Roman" w:cs="Arial"/>
        </w:rPr>
      </w:pPr>
    </w:p>
    <w:p w:rsidR="00D60919" w:rsidRPr="002E7078" w:rsidRDefault="00D60919" w:rsidP="00D60919">
      <w:pPr>
        <w:pStyle w:val="ListParagraph"/>
        <w:numPr>
          <w:ilvl w:val="0"/>
          <w:numId w:val="26"/>
        </w:numPr>
        <w:rPr>
          <w:rFonts w:eastAsia="Times New Roman" w:cs="Arial"/>
        </w:rPr>
      </w:pPr>
      <w:r w:rsidRPr="002E7078">
        <w:rPr>
          <w:rFonts w:eastAsia="Times New Roman" w:cs="Arial"/>
        </w:rPr>
        <w:t>products that receive a listericidal treatment after being sealed in final packaging that ensures prevention of recontamination until opened by the consumer or otherwise compromised,</w:t>
      </w:r>
    </w:p>
    <w:p w:rsidR="00D60919" w:rsidRPr="002E7078" w:rsidRDefault="00D60919" w:rsidP="00D60919">
      <w:pPr>
        <w:pStyle w:val="ListParagraph"/>
        <w:numPr>
          <w:ilvl w:val="0"/>
          <w:numId w:val="26"/>
        </w:numPr>
        <w:rPr>
          <w:rFonts w:eastAsia="Times New Roman" w:cs="Arial"/>
        </w:rPr>
      </w:pPr>
      <w:r w:rsidRPr="002E7078">
        <w:rPr>
          <w:rFonts w:eastAsia="Times New Roman" w:cs="Arial"/>
        </w:rPr>
        <w:t>foods that are aseptically processed and packaged, and</w:t>
      </w:r>
    </w:p>
    <w:p w:rsidR="00D60919" w:rsidRPr="002E7078" w:rsidRDefault="00D60919" w:rsidP="00D60919">
      <w:pPr>
        <w:pStyle w:val="ListParagraph"/>
        <w:numPr>
          <w:ilvl w:val="0"/>
          <w:numId w:val="26"/>
        </w:numPr>
        <w:rPr>
          <w:rFonts w:eastAsia="Times New Roman" w:cs="Arial"/>
        </w:rPr>
      </w:pPr>
      <w:r w:rsidRPr="002E7078">
        <w:rPr>
          <w:rFonts w:eastAsia="Times New Roman" w:cs="Arial"/>
        </w:rPr>
        <w:t>products that contain a listericidal component that ensures rapid inactivation of the pathogen if re</w:t>
      </w:r>
      <w:r>
        <w:rPr>
          <w:rFonts w:eastAsia="Times New Roman" w:cs="Arial"/>
        </w:rPr>
        <w:t>-</w:t>
      </w:r>
      <w:r w:rsidRPr="002E7078">
        <w:rPr>
          <w:rFonts w:eastAsia="Times New Roman" w:cs="Arial"/>
        </w:rPr>
        <w:t>contaminated (e.g. products that contain &gt;5% ethanol)</w:t>
      </w:r>
    </w:p>
    <w:p w:rsidR="00D60919" w:rsidRDefault="00D60919" w:rsidP="00D60919"/>
    <w:p w:rsidR="00D60919" w:rsidRDefault="00D60919" w:rsidP="00D60919">
      <w:r>
        <w:t>As such, RTE foods such as commercially sterile foods (ie: canned foods), foods cooked in their retail container/package (i</w:t>
      </w:r>
      <w:r w:rsidR="00B60BE5">
        <w:t xml:space="preserve">e: cook-chill pouched food) etc. </w:t>
      </w:r>
      <w:r w:rsidR="00FA630A">
        <w:t>may</w:t>
      </w:r>
      <w:r w:rsidR="00B60BE5">
        <w:t xml:space="preserve"> not</w:t>
      </w:r>
      <w:r w:rsidR="00FA630A">
        <w:t xml:space="preserve"> need to</w:t>
      </w:r>
      <w:r w:rsidR="00B60BE5">
        <w:t xml:space="preserve"> be subjected to </w:t>
      </w:r>
      <w:r w:rsidR="00B60BE5" w:rsidRPr="00714C5B">
        <w:rPr>
          <w:i/>
        </w:rPr>
        <w:t>Listeria</w:t>
      </w:r>
      <w:r w:rsidR="00B60BE5">
        <w:t xml:space="preserve"> testing.</w:t>
      </w:r>
    </w:p>
    <w:p w:rsidR="00B60BE5" w:rsidRDefault="00B60BE5" w:rsidP="00D60919"/>
    <w:p w:rsidR="00274467" w:rsidRDefault="00274467" w:rsidP="00A16299"/>
    <w:p w:rsidR="000222C3" w:rsidRDefault="000222C3">
      <w:pPr>
        <w:spacing w:after="200" w:line="276" w:lineRule="auto"/>
        <w:rPr>
          <w:rFonts w:eastAsiaTheme="majorEastAsia" w:cs="Arial"/>
          <w:b/>
          <w:bCs/>
          <w:sz w:val="28"/>
        </w:rPr>
      </w:pPr>
      <w:r>
        <w:br w:type="page"/>
      </w:r>
    </w:p>
    <w:p w:rsidR="00D66FC4" w:rsidRDefault="00D66FC4" w:rsidP="00BD0DA8">
      <w:pPr>
        <w:pStyle w:val="Heading2"/>
      </w:pPr>
      <w:r>
        <w:lastRenderedPageBreak/>
        <w:t>Standard 1.6.1</w:t>
      </w:r>
    </w:p>
    <w:p w:rsidR="00715D26" w:rsidRDefault="00715D26" w:rsidP="00D66FC4">
      <w:pPr>
        <w:rPr>
          <w:rFonts w:eastAsia="Calibri" w:cs="Times New Roman"/>
        </w:rPr>
      </w:pPr>
    </w:p>
    <w:p w:rsidR="00D66FC4" w:rsidRPr="008758D6" w:rsidRDefault="009A2333" w:rsidP="00D66FC4">
      <w:pPr>
        <w:rPr>
          <w:rFonts w:eastAsia="Calibri" w:cs="Times New Roman"/>
        </w:rPr>
      </w:pPr>
      <w:r w:rsidRPr="00A05605">
        <w:rPr>
          <w:rFonts w:eastAsia="Calibri" w:cs="Times New Roman"/>
        </w:rPr>
        <w:t>The Schedule to</w:t>
      </w:r>
      <w:r>
        <w:rPr>
          <w:rFonts w:eastAsia="Calibri" w:cs="Times New Roman"/>
          <w:i/>
        </w:rPr>
        <w:t xml:space="preserve"> </w:t>
      </w:r>
      <w:r w:rsidR="00D66FC4" w:rsidRPr="00417B0E">
        <w:rPr>
          <w:rFonts w:eastAsia="Calibri" w:cs="Times New Roman"/>
        </w:rPr>
        <w:t>Standard 1.6.1</w:t>
      </w:r>
      <w:r w:rsidRPr="00417B0E">
        <w:rPr>
          <w:rFonts w:eastAsia="Calibri" w:cs="Times New Roman"/>
        </w:rPr>
        <w:t xml:space="preserve">– </w:t>
      </w:r>
      <w:r w:rsidR="00D66FC4" w:rsidRPr="00417B0E">
        <w:rPr>
          <w:rFonts w:eastAsia="Calibri" w:cs="Times New Roman"/>
        </w:rPr>
        <w:t xml:space="preserve">Microbiological </w:t>
      </w:r>
      <w:r w:rsidR="00DE67D3">
        <w:rPr>
          <w:rFonts w:eastAsia="Calibri" w:cs="Times New Roman"/>
        </w:rPr>
        <w:t>L</w:t>
      </w:r>
      <w:r w:rsidR="00D66FC4" w:rsidRPr="00417B0E">
        <w:rPr>
          <w:rFonts w:eastAsia="Calibri" w:cs="Times New Roman"/>
        </w:rPr>
        <w:t xml:space="preserve">imits in </w:t>
      </w:r>
      <w:r w:rsidR="00DE67D3">
        <w:rPr>
          <w:rFonts w:eastAsia="Calibri" w:cs="Times New Roman"/>
        </w:rPr>
        <w:t>F</w:t>
      </w:r>
      <w:r w:rsidR="00D66FC4" w:rsidRPr="00417B0E">
        <w:rPr>
          <w:rFonts w:eastAsia="Calibri" w:cs="Times New Roman"/>
        </w:rPr>
        <w:t>ood</w:t>
      </w:r>
      <w:r w:rsidR="00D66FC4" w:rsidRPr="00DE67D3">
        <w:rPr>
          <w:rFonts w:eastAsia="Calibri" w:cs="Times New Roman"/>
        </w:rPr>
        <w:t xml:space="preserve"> </w:t>
      </w:r>
      <w:r w:rsidR="00D66FC4">
        <w:rPr>
          <w:rFonts w:eastAsia="Calibri" w:cs="Times New Roman"/>
        </w:rPr>
        <w:t xml:space="preserve">specifies </w:t>
      </w:r>
      <w:r>
        <w:rPr>
          <w:rFonts w:eastAsia="Calibri" w:cs="Times New Roman"/>
        </w:rPr>
        <w:t xml:space="preserve">end point </w:t>
      </w:r>
      <w:r w:rsidR="00D66FC4">
        <w:rPr>
          <w:rFonts w:eastAsia="Calibri" w:cs="Times New Roman"/>
        </w:rPr>
        <w:t xml:space="preserve">microbiological criteria </w:t>
      </w:r>
      <w:r w:rsidR="00D66FC4" w:rsidRPr="008758D6">
        <w:rPr>
          <w:rFonts w:eastAsia="Calibri" w:cs="Times New Roman"/>
        </w:rPr>
        <w:t xml:space="preserve">for </w:t>
      </w:r>
      <w:r w:rsidR="00D66FC4" w:rsidRPr="00A86981">
        <w:rPr>
          <w:rFonts w:eastAsia="Calibri" w:cs="Times New Roman"/>
          <w:i/>
        </w:rPr>
        <w:t>L.</w:t>
      </w:r>
      <w:r w:rsidR="0049578C">
        <w:rPr>
          <w:rFonts w:eastAsia="Calibri" w:cs="Times New Roman"/>
          <w:i/>
        </w:rPr>
        <w:t> </w:t>
      </w:r>
      <w:r w:rsidR="00D66FC4" w:rsidRPr="00A86981">
        <w:rPr>
          <w:rFonts w:eastAsia="Calibri" w:cs="Times New Roman"/>
          <w:i/>
        </w:rPr>
        <w:t>monocytogenes</w:t>
      </w:r>
      <w:r w:rsidR="00D66FC4">
        <w:rPr>
          <w:rFonts w:eastAsia="Calibri" w:cs="Times New Roman"/>
        </w:rPr>
        <w:t xml:space="preserve"> in RTE</w:t>
      </w:r>
      <w:r w:rsidR="00D66FC4" w:rsidRPr="008758D6">
        <w:rPr>
          <w:rFonts w:eastAsia="Calibri" w:cs="Times New Roman"/>
        </w:rPr>
        <w:t xml:space="preserve"> foods based on whether growth of </w:t>
      </w:r>
      <w:r w:rsidR="00D66FC4" w:rsidRPr="00A72AA3">
        <w:rPr>
          <w:rFonts w:eastAsia="Calibri" w:cs="Times New Roman"/>
        </w:rPr>
        <w:t>the microorganism</w:t>
      </w:r>
      <w:r w:rsidR="00D66FC4">
        <w:rPr>
          <w:rFonts w:eastAsia="Calibri" w:cs="Times New Roman"/>
        </w:rPr>
        <w:t xml:space="preserve"> can occur: </w:t>
      </w:r>
    </w:p>
    <w:p w:rsidR="00D66FC4" w:rsidRDefault="00D66FC4" w:rsidP="00D66FC4">
      <w:pPr>
        <w:rPr>
          <w:rFonts w:eastAsia="Calibri" w:cs="Times New Roman"/>
        </w:rPr>
      </w:pPr>
    </w:p>
    <w:p w:rsidR="00D66FC4" w:rsidRDefault="00D66FC4" w:rsidP="00D66FC4">
      <w:pPr>
        <w:jc w:val="center"/>
        <w:rPr>
          <w:rFonts w:eastAsia="Calibri" w:cs="Times New Roman"/>
          <w:b/>
        </w:rPr>
      </w:pPr>
      <w:r w:rsidRPr="00D66FC4">
        <w:rPr>
          <w:rFonts w:eastAsia="Calibri" w:cs="Times New Roman"/>
          <w:b/>
        </w:rPr>
        <w:t>SCHEDULE</w:t>
      </w:r>
    </w:p>
    <w:p w:rsidR="00274467" w:rsidRPr="00D66FC4" w:rsidRDefault="00274467" w:rsidP="00D66FC4">
      <w:pPr>
        <w:jc w:val="center"/>
        <w:rPr>
          <w:rFonts w:eastAsia="Calibri" w:cs="Times New Roman"/>
          <w:b/>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79" w:type="dxa"/>
          <w:right w:w="79" w:type="dxa"/>
        </w:tblCellMar>
        <w:tblLook w:val="0000" w:firstRow="0" w:lastRow="0" w:firstColumn="0" w:lastColumn="0" w:noHBand="0" w:noVBand="0"/>
      </w:tblPr>
      <w:tblGrid>
        <w:gridCol w:w="1975"/>
        <w:gridCol w:w="2441"/>
        <w:gridCol w:w="13"/>
        <w:gridCol w:w="980"/>
        <w:gridCol w:w="12"/>
        <w:gridCol w:w="1043"/>
        <w:gridCol w:w="1735"/>
        <w:gridCol w:w="12"/>
        <w:gridCol w:w="1189"/>
      </w:tblGrid>
      <w:tr w:rsidR="00D66FC4" w:rsidRPr="00064E39" w:rsidTr="00C977C2">
        <w:trPr>
          <w:cantSplit/>
          <w:jc w:val="center"/>
        </w:trPr>
        <w:tc>
          <w:tcPr>
            <w:tcW w:w="1975" w:type="dxa"/>
          </w:tcPr>
          <w:p w:rsidR="00D66FC4" w:rsidRPr="00064E39" w:rsidRDefault="00D66FC4" w:rsidP="00631E3C">
            <w:pPr>
              <w:widowControl w:val="0"/>
              <w:jc w:val="center"/>
              <w:rPr>
                <w:rFonts w:eastAsia="Times New Roman" w:cs="Times New Roman"/>
                <w:b/>
                <w:bCs/>
                <w:sz w:val="18"/>
                <w:szCs w:val="20"/>
              </w:rPr>
            </w:pPr>
            <w:r w:rsidRPr="00064E39">
              <w:rPr>
                <w:rFonts w:eastAsia="Times New Roman" w:cs="Times New Roman"/>
                <w:b/>
                <w:bCs/>
                <w:sz w:val="18"/>
                <w:szCs w:val="20"/>
              </w:rPr>
              <w:t xml:space="preserve">Column </w:t>
            </w:r>
          </w:p>
          <w:p w:rsidR="00D66FC4" w:rsidRPr="00064E39" w:rsidRDefault="00D66FC4" w:rsidP="00631E3C">
            <w:pPr>
              <w:widowControl w:val="0"/>
              <w:spacing w:after="120"/>
              <w:jc w:val="center"/>
              <w:rPr>
                <w:rFonts w:eastAsia="Times New Roman" w:cs="Times New Roman"/>
                <w:b/>
                <w:bCs/>
                <w:sz w:val="18"/>
                <w:szCs w:val="20"/>
              </w:rPr>
            </w:pPr>
            <w:r w:rsidRPr="00064E39">
              <w:rPr>
                <w:rFonts w:eastAsia="Times New Roman" w:cs="Times New Roman"/>
                <w:b/>
                <w:bCs/>
                <w:sz w:val="18"/>
                <w:szCs w:val="20"/>
              </w:rPr>
              <w:t>1</w:t>
            </w:r>
          </w:p>
        </w:tc>
        <w:tc>
          <w:tcPr>
            <w:tcW w:w="2454" w:type="dxa"/>
            <w:gridSpan w:val="2"/>
          </w:tcPr>
          <w:p w:rsidR="00D66FC4" w:rsidRPr="00064E39" w:rsidRDefault="00D66FC4" w:rsidP="00631E3C">
            <w:pPr>
              <w:widowControl w:val="0"/>
              <w:jc w:val="center"/>
              <w:rPr>
                <w:rFonts w:eastAsia="Times New Roman" w:cs="Times New Roman"/>
                <w:b/>
                <w:bCs/>
                <w:sz w:val="18"/>
                <w:szCs w:val="20"/>
              </w:rPr>
            </w:pPr>
            <w:r w:rsidRPr="00064E39">
              <w:rPr>
                <w:rFonts w:eastAsia="Times New Roman" w:cs="Times New Roman"/>
                <w:b/>
                <w:bCs/>
                <w:sz w:val="18"/>
                <w:szCs w:val="20"/>
              </w:rPr>
              <w:t xml:space="preserve">Column </w:t>
            </w:r>
          </w:p>
          <w:p w:rsidR="00D66FC4" w:rsidRPr="00064E39" w:rsidRDefault="00D66FC4" w:rsidP="00631E3C">
            <w:pPr>
              <w:widowControl w:val="0"/>
              <w:spacing w:after="120"/>
              <w:jc w:val="center"/>
              <w:rPr>
                <w:rFonts w:eastAsia="Times New Roman" w:cs="Times New Roman"/>
                <w:b/>
                <w:bCs/>
                <w:sz w:val="18"/>
                <w:szCs w:val="20"/>
              </w:rPr>
            </w:pPr>
            <w:r w:rsidRPr="00064E39">
              <w:rPr>
                <w:rFonts w:eastAsia="Times New Roman" w:cs="Times New Roman"/>
                <w:b/>
                <w:bCs/>
                <w:sz w:val="18"/>
                <w:szCs w:val="20"/>
              </w:rPr>
              <w:t>2</w:t>
            </w:r>
          </w:p>
        </w:tc>
        <w:tc>
          <w:tcPr>
            <w:tcW w:w="992" w:type="dxa"/>
            <w:gridSpan w:val="2"/>
          </w:tcPr>
          <w:p w:rsidR="00D66FC4" w:rsidRPr="00064E39" w:rsidRDefault="00D66FC4" w:rsidP="00631E3C">
            <w:pPr>
              <w:widowControl w:val="0"/>
              <w:jc w:val="center"/>
              <w:rPr>
                <w:rFonts w:eastAsia="Times New Roman" w:cs="Times New Roman"/>
                <w:b/>
                <w:bCs/>
                <w:sz w:val="18"/>
                <w:szCs w:val="20"/>
              </w:rPr>
            </w:pPr>
            <w:r w:rsidRPr="00064E39">
              <w:rPr>
                <w:rFonts w:eastAsia="Times New Roman" w:cs="Times New Roman"/>
                <w:b/>
                <w:bCs/>
                <w:sz w:val="18"/>
                <w:szCs w:val="20"/>
              </w:rPr>
              <w:t xml:space="preserve">Column </w:t>
            </w:r>
          </w:p>
          <w:p w:rsidR="00D66FC4" w:rsidRPr="00064E39" w:rsidRDefault="00D66FC4" w:rsidP="00631E3C">
            <w:pPr>
              <w:widowControl w:val="0"/>
              <w:spacing w:after="120"/>
              <w:jc w:val="center"/>
              <w:rPr>
                <w:rFonts w:eastAsia="Times New Roman" w:cs="Times New Roman"/>
                <w:b/>
                <w:bCs/>
                <w:sz w:val="18"/>
                <w:szCs w:val="20"/>
              </w:rPr>
            </w:pPr>
            <w:r w:rsidRPr="00064E39">
              <w:rPr>
                <w:rFonts w:eastAsia="Times New Roman" w:cs="Times New Roman"/>
                <w:b/>
                <w:bCs/>
                <w:sz w:val="18"/>
                <w:szCs w:val="20"/>
              </w:rPr>
              <w:t>3</w:t>
            </w:r>
          </w:p>
        </w:tc>
        <w:tc>
          <w:tcPr>
            <w:tcW w:w="1043" w:type="dxa"/>
          </w:tcPr>
          <w:p w:rsidR="00D66FC4" w:rsidRPr="00064E39" w:rsidRDefault="00D66FC4" w:rsidP="00631E3C">
            <w:pPr>
              <w:widowControl w:val="0"/>
              <w:jc w:val="center"/>
              <w:rPr>
                <w:rFonts w:eastAsia="Times New Roman" w:cs="Times New Roman"/>
                <w:b/>
                <w:bCs/>
                <w:sz w:val="18"/>
                <w:szCs w:val="20"/>
              </w:rPr>
            </w:pPr>
            <w:r w:rsidRPr="00064E39">
              <w:rPr>
                <w:rFonts w:eastAsia="Times New Roman" w:cs="Times New Roman"/>
                <w:b/>
                <w:bCs/>
                <w:sz w:val="18"/>
                <w:szCs w:val="20"/>
              </w:rPr>
              <w:t xml:space="preserve">Column </w:t>
            </w:r>
          </w:p>
          <w:p w:rsidR="00D66FC4" w:rsidRPr="00064E39" w:rsidRDefault="00D66FC4" w:rsidP="00631E3C">
            <w:pPr>
              <w:widowControl w:val="0"/>
              <w:spacing w:after="120"/>
              <w:jc w:val="center"/>
              <w:rPr>
                <w:rFonts w:eastAsia="Times New Roman" w:cs="Times New Roman"/>
                <w:b/>
                <w:bCs/>
                <w:sz w:val="18"/>
                <w:szCs w:val="20"/>
              </w:rPr>
            </w:pPr>
            <w:r w:rsidRPr="00064E39">
              <w:rPr>
                <w:rFonts w:eastAsia="Times New Roman" w:cs="Times New Roman"/>
                <w:b/>
                <w:bCs/>
                <w:sz w:val="18"/>
                <w:szCs w:val="20"/>
              </w:rPr>
              <w:t>4</w:t>
            </w:r>
          </w:p>
        </w:tc>
        <w:tc>
          <w:tcPr>
            <w:tcW w:w="1735" w:type="dxa"/>
          </w:tcPr>
          <w:p w:rsidR="00D66FC4" w:rsidRPr="00064E39" w:rsidRDefault="00D66FC4" w:rsidP="00631E3C">
            <w:pPr>
              <w:widowControl w:val="0"/>
              <w:jc w:val="center"/>
              <w:rPr>
                <w:rFonts w:eastAsia="Times New Roman" w:cs="Times New Roman"/>
                <w:b/>
                <w:bCs/>
                <w:sz w:val="18"/>
                <w:szCs w:val="20"/>
              </w:rPr>
            </w:pPr>
            <w:r w:rsidRPr="00064E39">
              <w:rPr>
                <w:rFonts w:eastAsia="Times New Roman" w:cs="Times New Roman"/>
                <w:b/>
                <w:bCs/>
                <w:sz w:val="18"/>
                <w:szCs w:val="20"/>
              </w:rPr>
              <w:t xml:space="preserve">Column </w:t>
            </w:r>
          </w:p>
          <w:p w:rsidR="00D66FC4" w:rsidRPr="00064E39" w:rsidRDefault="00D66FC4" w:rsidP="00631E3C">
            <w:pPr>
              <w:widowControl w:val="0"/>
              <w:spacing w:after="120"/>
              <w:jc w:val="center"/>
              <w:rPr>
                <w:rFonts w:eastAsia="Times New Roman" w:cs="Times New Roman"/>
                <w:b/>
                <w:bCs/>
                <w:sz w:val="18"/>
                <w:szCs w:val="20"/>
              </w:rPr>
            </w:pPr>
            <w:r w:rsidRPr="00064E39">
              <w:rPr>
                <w:rFonts w:eastAsia="Times New Roman" w:cs="Times New Roman"/>
                <w:b/>
                <w:bCs/>
                <w:sz w:val="18"/>
                <w:szCs w:val="20"/>
              </w:rPr>
              <w:t>5</w:t>
            </w:r>
          </w:p>
        </w:tc>
        <w:tc>
          <w:tcPr>
            <w:tcW w:w="1201" w:type="dxa"/>
            <w:gridSpan w:val="2"/>
          </w:tcPr>
          <w:p w:rsidR="00D66FC4" w:rsidRPr="00064E39" w:rsidRDefault="00D66FC4" w:rsidP="00631E3C">
            <w:pPr>
              <w:widowControl w:val="0"/>
              <w:jc w:val="center"/>
              <w:rPr>
                <w:rFonts w:eastAsia="Times New Roman" w:cs="Times New Roman"/>
                <w:b/>
                <w:bCs/>
                <w:sz w:val="18"/>
                <w:szCs w:val="20"/>
              </w:rPr>
            </w:pPr>
            <w:r w:rsidRPr="00064E39">
              <w:rPr>
                <w:rFonts w:eastAsia="Times New Roman" w:cs="Times New Roman"/>
                <w:b/>
                <w:bCs/>
                <w:sz w:val="18"/>
                <w:szCs w:val="20"/>
              </w:rPr>
              <w:t>Column</w:t>
            </w:r>
          </w:p>
          <w:p w:rsidR="00D66FC4" w:rsidRPr="00064E39" w:rsidRDefault="00D66FC4" w:rsidP="00631E3C">
            <w:pPr>
              <w:widowControl w:val="0"/>
              <w:jc w:val="center"/>
              <w:rPr>
                <w:rFonts w:eastAsia="Times New Roman" w:cs="Times New Roman"/>
                <w:b/>
                <w:bCs/>
                <w:sz w:val="18"/>
                <w:szCs w:val="20"/>
              </w:rPr>
            </w:pPr>
            <w:r w:rsidRPr="00064E39">
              <w:rPr>
                <w:rFonts w:eastAsia="Times New Roman" w:cs="Times New Roman"/>
                <w:b/>
                <w:bCs/>
                <w:sz w:val="18"/>
                <w:szCs w:val="20"/>
              </w:rPr>
              <w:t>6</w:t>
            </w:r>
          </w:p>
        </w:tc>
      </w:tr>
      <w:tr w:rsidR="00D66FC4" w:rsidRPr="00064E39" w:rsidTr="00C977C2">
        <w:trPr>
          <w:cantSplit/>
          <w:jc w:val="center"/>
        </w:trPr>
        <w:tc>
          <w:tcPr>
            <w:tcW w:w="1975" w:type="dxa"/>
          </w:tcPr>
          <w:p w:rsidR="00D66FC4" w:rsidRPr="00064E39" w:rsidRDefault="00D66FC4" w:rsidP="00631E3C">
            <w:pPr>
              <w:widowControl w:val="0"/>
              <w:spacing w:after="120"/>
              <w:jc w:val="center"/>
              <w:rPr>
                <w:rFonts w:eastAsia="Times New Roman" w:cs="Times New Roman"/>
                <w:b/>
                <w:bCs/>
                <w:sz w:val="18"/>
                <w:szCs w:val="20"/>
              </w:rPr>
            </w:pPr>
            <w:r w:rsidRPr="00064E39">
              <w:rPr>
                <w:rFonts w:eastAsia="Times New Roman" w:cs="Times New Roman"/>
                <w:b/>
                <w:bCs/>
                <w:sz w:val="18"/>
                <w:szCs w:val="20"/>
              </w:rPr>
              <w:t>Food</w:t>
            </w:r>
          </w:p>
        </w:tc>
        <w:tc>
          <w:tcPr>
            <w:tcW w:w="2454" w:type="dxa"/>
            <w:gridSpan w:val="2"/>
          </w:tcPr>
          <w:p w:rsidR="00D66FC4" w:rsidRPr="00064E39" w:rsidRDefault="00D66FC4" w:rsidP="00631E3C">
            <w:pPr>
              <w:widowControl w:val="0"/>
              <w:spacing w:after="120"/>
              <w:jc w:val="center"/>
              <w:rPr>
                <w:rFonts w:eastAsia="Times New Roman" w:cs="Times New Roman"/>
                <w:b/>
                <w:bCs/>
                <w:sz w:val="18"/>
                <w:szCs w:val="20"/>
              </w:rPr>
            </w:pPr>
            <w:r w:rsidRPr="00064E39">
              <w:rPr>
                <w:rFonts w:eastAsia="Times New Roman" w:cs="Times New Roman"/>
                <w:b/>
                <w:bCs/>
                <w:sz w:val="18"/>
                <w:szCs w:val="20"/>
              </w:rPr>
              <w:t>Microorganism</w:t>
            </w:r>
            <w:r>
              <w:rPr>
                <w:rFonts w:eastAsia="Times New Roman" w:cs="Times New Roman"/>
                <w:b/>
                <w:bCs/>
                <w:sz w:val="18"/>
                <w:szCs w:val="20"/>
              </w:rPr>
              <w:t>/test/toxin</w:t>
            </w:r>
          </w:p>
        </w:tc>
        <w:tc>
          <w:tcPr>
            <w:tcW w:w="992" w:type="dxa"/>
            <w:gridSpan w:val="2"/>
          </w:tcPr>
          <w:p w:rsidR="00D66FC4" w:rsidRPr="00064E39" w:rsidRDefault="00D66FC4" w:rsidP="00631E3C">
            <w:pPr>
              <w:widowControl w:val="0"/>
              <w:spacing w:after="120"/>
              <w:jc w:val="center"/>
              <w:rPr>
                <w:rFonts w:eastAsia="Times New Roman" w:cs="Times New Roman"/>
                <w:b/>
                <w:bCs/>
                <w:sz w:val="18"/>
                <w:szCs w:val="20"/>
              </w:rPr>
            </w:pPr>
            <w:r w:rsidRPr="00064E39">
              <w:rPr>
                <w:rFonts w:eastAsia="Times New Roman" w:cs="Times New Roman"/>
                <w:b/>
                <w:bCs/>
                <w:sz w:val="18"/>
                <w:szCs w:val="20"/>
              </w:rPr>
              <w:t>n</w:t>
            </w:r>
          </w:p>
        </w:tc>
        <w:tc>
          <w:tcPr>
            <w:tcW w:w="1043" w:type="dxa"/>
          </w:tcPr>
          <w:p w:rsidR="00D66FC4" w:rsidRPr="00064E39" w:rsidRDefault="00D66FC4" w:rsidP="00631E3C">
            <w:pPr>
              <w:widowControl w:val="0"/>
              <w:spacing w:after="120"/>
              <w:jc w:val="center"/>
              <w:rPr>
                <w:rFonts w:eastAsia="Times New Roman" w:cs="Times New Roman"/>
                <w:b/>
                <w:bCs/>
                <w:sz w:val="18"/>
                <w:szCs w:val="20"/>
              </w:rPr>
            </w:pPr>
            <w:r w:rsidRPr="00064E39">
              <w:rPr>
                <w:rFonts w:eastAsia="Times New Roman" w:cs="Times New Roman"/>
                <w:b/>
                <w:bCs/>
                <w:sz w:val="18"/>
                <w:szCs w:val="20"/>
              </w:rPr>
              <w:t>c</w:t>
            </w:r>
          </w:p>
        </w:tc>
        <w:tc>
          <w:tcPr>
            <w:tcW w:w="1735" w:type="dxa"/>
          </w:tcPr>
          <w:p w:rsidR="00D66FC4" w:rsidRPr="00064E39" w:rsidRDefault="00D66FC4" w:rsidP="00631E3C">
            <w:pPr>
              <w:widowControl w:val="0"/>
              <w:spacing w:after="120"/>
              <w:jc w:val="center"/>
              <w:rPr>
                <w:rFonts w:eastAsia="Times New Roman" w:cs="Times New Roman"/>
                <w:b/>
                <w:bCs/>
                <w:sz w:val="18"/>
                <w:szCs w:val="20"/>
              </w:rPr>
            </w:pPr>
            <w:r w:rsidRPr="00064E39">
              <w:rPr>
                <w:rFonts w:eastAsia="Times New Roman" w:cs="Times New Roman"/>
                <w:b/>
                <w:bCs/>
                <w:sz w:val="18"/>
                <w:szCs w:val="20"/>
              </w:rPr>
              <w:t>m</w:t>
            </w:r>
          </w:p>
        </w:tc>
        <w:tc>
          <w:tcPr>
            <w:tcW w:w="1201" w:type="dxa"/>
            <w:gridSpan w:val="2"/>
          </w:tcPr>
          <w:p w:rsidR="00D66FC4" w:rsidRPr="00064E39" w:rsidRDefault="00D66FC4" w:rsidP="00631E3C">
            <w:pPr>
              <w:widowControl w:val="0"/>
              <w:spacing w:after="120"/>
              <w:jc w:val="center"/>
              <w:rPr>
                <w:rFonts w:eastAsia="Times New Roman" w:cs="Times New Roman"/>
                <w:b/>
                <w:bCs/>
                <w:sz w:val="18"/>
                <w:szCs w:val="20"/>
              </w:rPr>
            </w:pPr>
            <w:r w:rsidRPr="00064E39">
              <w:rPr>
                <w:rFonts w:eastAsia="Times New Roman" w:cs="Times New Roman"/>
                <w:b/>
                <w:bCs/>
                <w:sz w:val="18"/>
                <w:szCs w:val="20"/>
              </w:rPr>
              <w:t>M</w:t>
            </w:r>
          </w:p>
        </w:tc>
      </w:tr>
      <w:tr w:rsidR="00D66FC4" w:rsidRPr="00D66FC4" w:rsidTr="00C977C2">
        <w:trPr>
          <w:cantSplit/>
          <w:jc w:val="center"/>
        </w:trPr>
        <w:tc>
          <w:tcPr>
            <w:tcW w:w="1975" w:type="dxa"/>
          </w:tcPr>
          <w:p w:rsidR="00D66FC4" w:rsidRPr="00D66FC4" w:rsidRDefault="00D66FC4" w:rsidP="00D66FC4">
            <w:pPr>
              <w:ind w:left="142" w:hanging="142"/>
              <w:rPr>
                <w:rFonts w:eastAsia="Times New Roman" w:cs="Times New Roman"/>
                <w:bCs/>
                <w:sz w:val="18"/>
                <w:szCs w:val="24"/>
                <w:lang w:val="en-AU"/>
              </w:rPr>
            </w:pPr>
            <w:r w:rsidRPr="00D66FC4">
              <w:rPr>
                <w:rFonts w:eastAsia="Times New Roman" w:cs="Times New Roman"/>
                <w:bCs/>
                <w:sz w:val="18"/>
                <w:szCs w:val="24"/>
                <w:lang w:val="en-AU"/>
              </w:rPr>
              <w:t xml:space="preserve">Ready-to-eat food in which the growth of </w:t>
            </w:r>
            <w:r w:rsidRPr="00D66FC4">
              <w:rPr>
                <w:rFonts w:eastAsia="Times New Roman" w:cs="Times New Roman"/>
                <w:bCs/>
                <w:i/>
                <w:sz w:val="18"/>
                <w:szCs w:val="24"/>
                <w:lang w:val="en-AU"/>
              </w:rPr>
              <w:t>Listeria monocytogenes</w:t>
            </w:r>
            <w:r w:rsidRPr="00D66FC4">
              <w:rPr>
                <w:rFonts w:eastAsia="Times New Roman" w:cs="Times New Roman"/>
                <w:bCs/>
                <w:sz w:val="18"/>
                <w:szCs w:val="24"/>
                <w:lang w:val="en-AU"/>
              </w:rPr>
              <w:t xml:space="preserve"> will not occur</w:t>
            </w:r>
          </w:p>
        </w:tc>
        <w:tc>
          <w:tcPr>
            <w:tcW w:w="2441" w:type="dxa"/>
          </w:tcPr>
          <w:p w:rsidR="00D66FC4" w:rsidRPr="00D66FC4" w:rsidRDefault="00D66FC4" w:rsidP="00D66FC4">
            <w:pPr>
              <w:ind w:left="142" w:hanging="142"/>
              <w:rPr>
                <w:rFonts w:eastAsia="Times New Roman" w:cs="Times New Roman"/>
                <w:bCs/>
                <w:i/>
                <w:sz w:val="18"/>
                <w:szCs w:val="24"/>
                <w:lang w:val="en-AU"/>
              </w:rPr>
            </w:pPr>
            <w:r w:rsidRPr="00D66FC4">
              <w:rPr>
                <w:rFonts w:eastAsia="Times New Roman" w:cs="Times New Roman"/>
                <w:bCs/>
                <w:i/>
                <w:sz w:val="18"/>
                <w:szCs w:val="24"/>
                <w:lang w:val="en-AU"/>
              </w:rPr>
              <w:t>Listeria monocytogenes</w:t>
            </w:r>
          </w:p>
        </w:tc>
        <w:tc>
          <w:tcPr>
            <w:tcW w:w="993" w:type="dxa"/>
            <w:gridSpan w:val="2"/>
          </w:tcPr>
          <w:p w:rsidR="00D66FC4" w:rsidRPr="00D66FC4" w:rsidRDefault="00D66FC4" w:rsidP="00D66FC4">
            <w:pPr>
              <w:ind w:left="142" w:hanging="142"/>
              <w:jc w:val="center"/>
              <w:rPr>
                <w:rFonts w:eastAsia="Times New Roman" w:cs="Times New Roman"/>
                <w:bCs/>
                <w:sz w:val="18"/>
                <w:szCs w:val="24"/>
                <w:lang w:val="en-AU"/>
              </w:rPr>
            </w:pPr>
            <w:r w:rsidRPr="00D66FC4">
              <w:rPr>
                <w:rFonts w:eastAsia="Times New Roman" w:cs="Times New Roman"/>
                <w:bCs/>
                <w:sz w:val="18"/>
                <w:szCs w:val="24"/>
                <w:lang w:val="en-AU"/>
              </w:rPr>
              <w:t>5</w:t>
            </w:r>
          </w:p>
        </w:tc>
        <w:tc>
          <w:tcPr>
            <w:tcW w:w="1055" w:type="dxa"/>
            <w:gridSpan w:val="2"/>
          </w:tcPr>
          <w:p w:rsidR="00D66FC4" w:rsidRPr="00D66FC4" w:rsidRDefault="00D66FC4" w:rsidP="00D66FC4">
            <w:pPr>
              <w:ind w:left="142" w:hanging="142"/>
              <w:jc w:val="center"/>
              <w:rPr>
                <w:rFonts w:eastAsia="Times New Roman" w:cs="Times New Roman"/>
                <w:bCs/>
                <w:sz w:val="18"/>
                <w:szCs w:val="24"/>
                <w:lang w:val="en-AU"/>
              </w:rPr>
            </w:pPr>
            <w:r w:rsidRPr="00D66FC4">
              <w:rPr>
                <w:rFonts w:eastAsia="Times New Roman" w:cs="Times New Roman"/>
                <w:bCs/>
                <w:sz w:val="18"/>
                <w:szCs w:val="24"/>
                <w:lang w:val="en-AU"/>
              </w:rPr>
              <w:t>0</w:t>
            </w:r>
          </w:p>
        </w:tc>
        <w:tc>
          <w:tcPr>
            <w:tcW w:w="1747" w:type="dxa"/>
            <w:gridSpan w:val="2"/>
          </w:tcPr>
          <w:p w:rsidR="00D66FC4" w:rsidRPr="00D66FC4" w:rsidRDefault="00D66FC4" w:rsidP="00D66FC4">
            <w:pPr>
              <w:ind w:left="142" w:hanging="142"/>
              <w:jc w:val="center"/>
              <w:rPr>
                <w:rFonts w:eastAsia="Times New Roman" w:cs="Times New Roman"/>
                <w:bCs/>
                <w:sz w:val="18"/>
                <w:szCs w:val="24"/>
                <w:lang w:val="en-AU"/>
              </w:rPr>
            </w:pPr>
            <w:r w:rsidRPr="00D66FC4">
              <w:rPr>
                <w:rFonts w:eastAsia="Times New Roman" w:cs="Times New Roman"/>
                <w:bCs/>
                <w:sz w:val="18"/>
                <w:szCs w:val="24"/>
                <w:lang w:val="en-AU"/>
              </w:rPr>
              <w:t xml:space="preserve">100 cfu/g </w:t>
            </w:r>
          </w:p>
        </w:tc>
        <w:tc>
          <w:tcPr>
            <w:tcW w:w="1189" w:type="dxa"/>
          </w:tcPr>
          <w:p w:rsidR="00D66FC4" w:rsidRPr="00D66FC4" w:rsidRDefault="00D66FC4" w:rsidP="00D66FC4">
            <w:pPr>
              <w:ind w:left="142" w:hanging="142"/>
              <w:jc w:val="center"/>
              <w:rPr>
                <w:rFonts w:eastAsia="Times New Roman" w:cs="Times New Roman"/>
                <w:bCs/>
                <w:sz w:val="18"/>
                <w:szCs w:val="24"/>
                <w:lang w:val="en-AU"/>
              </w:rPr>
            </w:pPr>
          </w:p>
        </w:tc>
      </w:tr>
      <w:tr w:rsidR="00D66FC4" w:rsidRPr="00D66FC4" w:rsidTr="00C977C2">
        <w:trPr>
          <w:cantSplit/>
          <w:jc w:val="center"/>
        </w:trPr>
        <w:tc>
          <w:tcPr>
            <w:tcW w:w="1975" w:type="dxa"/>
          </w:tcPr>
          <w:p w:rsidR="00D66FC4" w:rsidRPr="00D66FC4" w:rsidRDefault="00D66FC4" w:rsidP="00D66FC4">
            <w:pPr>
              <w:ind w:left="142" w:hanging="142"/>
              <w:rPr>
                <w:rFonts w:eastAsia="Times New Roman" w:cs="Times New Roman"/>
                <w:bCs/>
                <w:sz w:val="18"/>
                <w:szCs w:val="24"/>
                <w:lang w:val="en-AU"/>
              </w:rPr>
            </w:pPr>
            <w:r w:rsidRPr="00D66FC4">
              <w:rPr>
                <w:rFonts w:eastAsia="Times New Roman" w:cs="Times New Roman"/>
                <w:bCs/>
                <w:sz w:val="18"/>
                <w:szCs w:val="24"/>
                <w:lang w:val="en-AU"/>
              </w:rPr>
              <w:t xml:space="preserve">Ready-to-eat food in which the growth of </w:t>
            </w:r>
            <w:r w:rsidRPr="00D66FC4">
              <w:rPr>
                <w:rFonts w:eastAsia="Times New Roman" w:cs="Times New Roman"/>
                <w:bCs/>
                <w:i/>
                <w:sz w:val="18"/>
                <w:szCs w:val="24"/>
                <w:lang w:val="en-AU"/>
              </w:rPr>
              <w:t>Listeria monocytogenes</w:t>
            </w:r>
            <w:r w:rsidRPr="00D66FC4">
              <w:rPr>
                <w:rFonts w:eastAsia="Times New Roman" w:cs="Times New Roman"/>
                <w:bCs/>
                <w:sz w:val="18"/>
                <w:szCs w:val="24"/>
                <w:lang w:val="en-AU"/>
              </w:rPr>
              <w:t xml:space="preserve"> can occur</w:t>
            </w:r>
          </w:p>
        </w:tc>
        <w:tc>
          <w:tcPr>
            <w:tcW w:w="2441" w:type="dxa"/>
          </w:tcPr>
          <w:p w:rsidR="00D66FC4" w:rsidRPr="00D66FC4" w:rsidRDefault="00D66FC4" w:rsidP="00D66FC4">
            <w:pPr>
              <w:ind w:left="142" w:hanging="142"/>
              <w:rPr>
                <w:rFonts w:eastAsia="Times New Roman" w:cs="Times New Roman"/>
                <w:bCs/>
                <w:i/>
                <w:sz w:val="18"/>
                <w:szCs w:val="24"/>
                <w:lang w:val="en-AU"/>
              </w:rPr>
            </w:pPr>
            <w:r w:rsidRPr="00D66FC4">
              <w:rPr>
                <w:rFonts w:eastAsia="Times New Roman" w:cs="Times New Roman"/>
                <w:bCs/>
                <w:i/>
                <w:sz w:val="18"/>
                <w:szCs w:val="24"/>
                <w:lang w:val="en-AU"/>
              </w:rPr>
              <w:t>Listeria monocytogenes</w:t>
            </w:r>
          </w:p>
        </w:tc>
        <w:tc>
          <w:tcPr>
            <w:tcW w:w="993" w:type="dxa"/>
            <w:gridSpan w:val="2"/>
          </w:tcPr>
          <w:p w:rsidR="00D66FC4" w:rsidRPr="00D66FC4" w:rsidRDefault="00D66FC4" w:rsidP="00D66FC4">
            <w:pPr>
              <w:ind w:left="142" w:hanging="142"/>
              <w:jc w:val="center"/>
              <w:rPr>
                <w:rFonts w:eastAsia="Times New Roman" w:cs="Times New Roman"/>
                <w:bCs/>
                <w:sz w:val="18"/>
                <w:szCs w:val="24"/>
                <w:lang w:val="en-AU"/>
              </w:rPr>
            </w:pPr>
            <w:r w:rsidRPr="00D66FC4">
              <w:rPr>
                <w:rFonts w:eastAsia="Times New Roman" w:cs="Times New Roman"/>
                <w:bCs/>
                <w:sz w:val="18"/>
                <w:szCs w:val="24"/>
                <w:lang w:val="en-AU"/>
              </w:rPr>
              <w:t>5</w:t>
            </w:r>
          </w:p>
        </w:tc>
        <w:tc>
          <w:tcPr>
            <w:tcW w:w="1055" w:type="dxa"/>
            <w:gridSpan w:val="2"/>
          </w:tcPr>
          <w:p w:rsidR="00D66FC4" w:rsidRPr="00D66FC4" w:rsidRDefault="00D66FC4" w:rsidP="00D66FC4">
            <w:pPr>
              <w:ind w:left="142" w:hanging="142"/>
              <w:jc w:val="center"/>
              <w:rPr>
                <w:rFonts w:eastAsia="Times New Roman" w:cs="Times New Roman"/>
                <w:bCs/>
                <w:sz w:val="18"/>
                <w:szCs w:val="24"/>
                <w:lang w:val="en-AU"/>
              </w:rPr>
            </w:pPr>
            <w:r w:rsidRPr="00D66FC4">
              <w:rPr>
                <w:rFonts w:eastAsia="Times New Roman" w:cs="Times New Roman"/>
                <w:bCs/>
                <w:sz w:val="18"/>
                <w:szCs w:val="24"/>
                <w:lang w:val="en-AU"/>
              </w:rPr>
              <w:t>0</w:t>
            </w:r>
          </w:p>
        </w:tc>
        <w:tc>
          <w:tcPr>
            <w:tcW w:w="1747" w:type="dxa"/>
            <w:gridSpan w:val="2"/>
          </w:tcPr>
          <w:p w:rsidR="00D66FC4" w:rsidRPr="00D66FC4" w:rsidRDefault="00D66FC4" w:rsidP="004F6D28">
            <w:pPr>
              <w:ind w:left="142" w:hanging="142"/>
              <w:jc w:val="center"/>
              <w:rPr>
                <w:rFonts w:eastAsia="Times New Roman" w:cs="Times New Roman"/>
                <w:bCs/>
                <w:sz w:val="18"/>
                <w:szCs w:val="24"/>
                <w:lang w:val="en-AU"/>
              </w:rPr>
            </w:pPr>
            <w:r w:rsidRPr="00D66FC4">
              <w:rPr>
                <w:rFonts w:eastAsia="Times New Roman" w:cs="Times New Roman"/>
                <w:bCs/>
                <w:sz w:val="18"/>
                <w:szCs w:val="24"/>
                <w:lang w:val="en-AU"/>
              </w:rPr>
              <w:t>not detected in 25</w:t>
            </w:r>
            <w:r w:rsidR="004F6D28">
              <w:rPr>
                <w:rFonts w:eastAsia="Times New Roman" w:cs="Times New Roman"/>
                <w:bCs/>
                <w:sz w:val="18"/>
                <w:szCs w:val="24"/>
                <w:lang w:val="en-AU"/>
              </w:rPr>
              <w:t xml:space="preserve"> </w:t>
            </w:r>
            <w:r w:rsidRPr="00D66FC4">
              <w:rPr>
                <w:rFonts w:eastAsia="Times New Roman" w:cs="Times New Roman"/>
                <w:bCs/>
                <w:sz w:val="18"/>
                <w:szCs w:val="24"/>
                <w:lang w:val="en-AU"/>
              </w:rPr>
              <w:t>g</w:t>
            </w:r>
          </w:p>
        </w:tc>
        <w:tc>
          <w:tcPr>
            <w:tcW w:w="1189" w:type="dxa"/>
          </w:tcPr>
          <w:p w:rsidR="00D66FC4" w:rsidRPr="00D66FC4" w:rsidRDefault="00D66FC4" w:rsidP="00D66FC4">
            <w:pPr>
              <w:ind w:left="142" w:hanging="142"/>
              <w:jc w:val="center"/>
              <w:rPr>
                <w:rFonts w:eastAsia="Times New Roman" w:cs="Times New Roman"/>
                <w:bCs/>
                <w:sz w:val="18"/>
                <w:szCs w:val="24"/>
                <w:lang w:val="en-AU"/>
              </w:rPr>
            </w:pPr>
          </w:p>
        </w:tc>
      </w:tr>
    </w:tbl>
    <w:p w:rsidR="00D66FC4" w:rsidRDefault="00D66FC4" w:rsidP="00D66FC4">
      <w:pPr>
        <w:rPr>
          <w:rFonts w:eastAsia="Calibri" w:cs="Times New Roman"/>
        </w:rPr>
      </w:pPr>
    </w:p>
    <w:p w:rsidR="00274467" w:rsidRDefault="00274467" w:rsidP="00274467">
      <w:pPr>
        <w:rPr>
          <w:rFonts w:eastAsia="Calibri" w:cs="Times New Roman"/>
        </w:rPr>
      </w:pPr>
      <w:r>
        <w:rPr>
          <w:rFonts w:eastAsia="Calibri" w:cs="Times New Roman"/>
        </w:rPr>
        <w:t xml:space="preserve">These criteria are based on the food product being produced under general principles of food hygiene to control </w:t>
      </w:r>
      <w:r w:rsidRPr="00AE1452">
        <w:rPr>
          <w:rFonts w:eastAsia="Calibri" w:cs="Times New Roman"/>
          <w:i/>
        </w:rPr>
        <w:t>L. monocytogenes</w:t>
      </w:r>
      <w:r>
        <w:rPr>
          <w:rFonts w:eastAsia="Calibri" w:cs="Times New Roman"/>
        </w:rPr>
        <w:t xml:space="preserve"> in RTE foods with appropriate evaluation of the production environment and process control.</w:t>
      </w:r>
    </w:p>
    <w:p w:rsidR="00164C54" w:rsidRDefault="00164C54" w:rsidP="00274467">
      <w:pPr>
        <w:rPr>
          <w:rFonts w:eastAsia="Calibri" w:cs="Times New Roman"/>
        </w:rPr>
      </w:pPr>
    </w:p>
    <w:p w:rsidR="00164C54" w:rsidRPr="008758D6" w:rsidRDefault="00164C54" w:rsidP="00274467">
      <w:pPr>
        <w:rPr>
          <w:rFonts w:eastAsia="Calibri" w:cs="Times New Roman"/>
        </w:rPr>
      </w:pPr>
      <w:r>
        <w:rPr>
          <w:rFonts w:eastAsia="Calibri" w:cs="Times New Roman"/>
        </w:rPr>
        <w:t>“Ready-to-eat</w:t>
      </w:r>
      <w:proofErr w:type="gramStart"/>
      <w:r>
        <w:rPr>
          <w:rFonts w:eastAsia="Calibri" w:cs="Times New Roman"/>
        </w:rPr>
        <w:t xml:space="preserve">” </w:t>
      </w:r>
      <w:r w:rsidR="00E7073F">
        <w:rPr>
          <w:rFonts w:eastAsia="Calibri" w:cs="Times New Roman"/>
        </w:rPr>
        <w:t xml:space="preserve"> </w:t>
      </w:r>
      <w:r>
        <w:rPr>
          <w:rFonts w:eastAsia="Calibri" w:cs="Times New Roman"/>
        </w:rPr>
        <w:t>is</w:t>
      </w:r>
      <w:proofErr w:type="gramEnd"/>
      <w:r>
        <w:rPr>
          <w:rFonts w:eastAsia="Calibri" w:cs="Times New Roman"/>
        </w:rPr>
        <w:t xml:space="preserve"> defined in Standard 1.1.1 of the Food Standards Code: </w:t>
      </w:r>
    </w:p>
    <w:p w:rsidR="00274467" w:rsidRDefault="00164C54" w:rsidP="00D66FC4">
      <w:pPr>
        <w:rPr>
          <w:rFonts w:eastAsia="Calibri" w:cs="Times New Roman"/>
        </w:rPr>
      </w:pPr>
      <w:r>
        <w:rPr>
          <w:noProof/>
          <w:lang w:eastAsia="en-GB"/>
        </w:rPr>
        <mc:AlternateContent>
          <mc:Choice Requires="wps">
            <w:drawing>
              <wp:anchor distT="0" distB="0" distL="114300" distR="114300" simplePos="0" relativeHeight="251663360" behindDoc="0" locked="0" layoutInCell="1" allowOverlap="1" wp14:anchorId="38A424E8" wp14:editId="0C28AC34">
                <wp:simplePos x="0" y="0"/>
                <wp:positionH relativeFrom="column">
                  <wp:posOffset>0</wp:posOffset>
                </wp:positionH>
                <wp:positionV relativeFrom="paragraph">
                  <wp:posOffset>64770</wp:posOffset>
                </wp:positionV>
                <wp:extent cx="1828800" cy="1828800"/>
                <wp:effectExtent l="0" t="0" r="15240" b="2159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164C54" w:rsidRPr="007C0549" w:rsidRDefault="00164C54" w:rsidP="000222C3">
                            <w:r w:rsidRPr="00CF3BD9">
                              <w:rPr>
                                <w:b/>
                              </w:rPr>
                              <w:t xml:space="preserve">Ready-to-eat </w:t>
                            </w:r>
                            <w:r>
                              <w:t xml:space="preserve">– </w:t>
                            </w:r>
                            <w:r w:rsidRPr="00D37B67">
                              <w:t xml:space="preserve">in relation to food means food that is </w:t>
                            </w:r>
                            <w:r w:rsidRPr="00D37B67">
                              <w:rPr>
                                <w:lang w:eastAsia="en-GB"/>
                              </w:rPr>
                              <w:t>ordinarily consumed in the same state as that in which it is sold</w:t>
                            </w:r>
                            <w:r w:rsidRPr="007C0549">
                              <w:rPr>
                                <w:lang w:eastAsia="en-GB"/>
                              </w:rPr>
                              <w:t>, and</w:t>
                            </w:r>
                            <w:r w:rsidRPr="007C0549">
                              <w:t xml:space="preserve"> –</w:t>
                            </w:r>
                          </w:p>
                          <w:p w:rsidR="00164C54" w:rsidRPr="00B60BE5" w:rsidRDefault="00164C54" w:rsidP="000222C3">
                            <w:pPr>
                              <w:rPr>
                                <w:b/>
                                <w:bCs/>
                                <w:sz w:val="16"/>
                                <w:szCs w:val="16"/>
                              </w:rPr>
                            </w:pPr>
                          </w:p>
                          <w:p w:rsidR="00164C54" w:rsidRPr="00D37B67" w:rsidRDefault="00164C54" w:rsidP="000222C3">
                            <w:pPr>
                              <w:ind w:left="1440" w:hanging="720"/>
                            </w:pPr>
                            <w:r w:rsidRPr="00AD0130">
                              <w:t>(a)</w:t>
                            </w:r>
                            <w:r w:rsidRPr="00AD0130">
                              <w:tab/>
                            </w:r>
                            <w:proofErr w:type="gramStart"/>
                            <w:r w:rsidRPr="00AD0130">
                              <w:t>does</w:t>
                            </w:r>
                            <w:proofErr w:type="gramEnd"/>
                            <w:r w:rsidRPr="00AD0130">
                              <w:t xml:space="preserve"> not require further </w:t>
                            </w:r>
                            <w:r w:rsidRPr="007D5C61">
                              <w:t xml:space="preserve">processing (such as cooking), but may be defrosted, reheated </w:t>
                            </w:r>
                            <w:r w:rsidRPr="00D37B67">
                              <w:t>or portioned before consumption; and</w:t>
                            </w:r>
                          </w:p>
                          <w:p w:rsidR="00164C54" w:rsidRPr="005325CE" w:rsidRDefault="00164C54" w:rsidP="005325CE">
                            <w:pPr>
                              <w:ind w:left="1440" w:hanging="720"/>
                            </w:pPr>
                            <w:r w:rsidRPr="007C0549">
                              <w:rPr>
                                <w:lang w:eastAsia="en-GB"/>
                              </w:rPr>
                              <w:t>(b)</w:t>
                            </w:r>
                            <w:r w:rsidRPr="007C0549">
                              <w:rPr>
                                <w:lang w:eastAsia="en-GB"/>
                              </w:rPr>
                              <w:tab/>
                            </w:r>
                            <w:proofErr w:type="gramStart"/>
                            <w:r w:rsidRPr="007C0549">
                              <w:rPr>
                                <w:lang w:eastAsia="en-GB"/>
                              </w:rPr>
                              <w:t>does</w:t>
                            </w:r>
                            <w:proofErr w:type="gramEnd"/>
                            <w:r w:rsidRPr="007C0549">
                              <w:rPr>
                                <w:lang w:eastAsia="en-GB"/>
                              </w:rPr>
                              <w:t xml:space="preserve"> not include nuts in the shell and whole, raw fruits and vegetables that are intended for</w:t>
                            </w:r>
                            <w:r w:rsidRPr="00AD0130">
                              <w:rPr>
                                <w:lang w:eastAsia="en-GB"/>
                              </w:rPr>
                              <w:t xml:space="preserve"> hulling, peeling or washing by the consumer.</w: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5.1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" filled="f" strokeweight=".5pt">
                <v:textbox style="mso-fit-shape-to-text:t">
                  <w:txbxContent>
                    <w:p w:rsidR="00164C54" w:rsidRPr="007C0549" w:rsidRDefault="00164C54" w:rsidP="000222C3">
                      <w:r w:rsidRPr="00CF3BD9">
                        <w:rPr>
                          <w:b/>
                        </w:rPr>
                        <w:t xml:space="preserve">Ready-to-eat </w:t>
                      </w:r>
                      <w:r>
                        <w:t xml:space="preserve">– </w:t>
                      </w:r>
                      <w:r w:rsidRPr="00D37B67">
                        <w:t xml:space="preserve">in relation to food means food that is </w:t>
                      </w:r>
                      <w:r w:rsidRPr="00D37B67">
                        <w:rPr>
                          <w:lang w:eastAsia="en-GB"/>
                        </w:rPr>
                        <w:t>ordinarily consumed in the same state as that in which it is sold</w:t>
                      </w:r>
                      <w:r w:rsidRPr="007C0549">
                        <w:rPr>
                          <w:lang w:eastAsia="en-GB"/>
                        </w:rPr>
                        <w:t>, and</w:t>
                      </w:r>
                      <w:r w:rsidRPr="007C0549">
                        <w:t xml:space="preserve"> –</w:t>
                      </w:r>
                    </w:p>
                    <w:p w:rsidR="00164C54" w:rsidRPr="00B60BE5" w:rsidRDefault="00164C54" w:rsidP="000222C3">
                      <w:pPr>
                        <w:rPr>
                          <w:b/>
                          <w:bCs/>
                          <w:sz w:val="16"/>
                          <w:szCs w:val="16"/>
                        </w:rPr>
                      </w:pPr>
                    </w:p>
                    <w:p w:rsidR="00164C54" w:rsidRPr="00D37B67" w:rsidRDefault="00164C54" w:rsidP="000222C3">
                      <w:pPr>
                        <w:ind w:left="1440" w:hanging="720"/>
                      </w:pPr>
                      <w:r w:rsidRPr="00AD0130">
                        <w:t>(a)</w:t>
                      </w:r>
                      <w:r w:rsidRPr="00AD0130">
                        <w:tab/>
                        <w:t xml:space="preserve">does not require further </w:t>
                      </w:r>
                      <w:r w:rsidRPr="007D5C61">
                        <w:t xml:space="preserve">processing (such as cooking), but may be defrosted, reheated </w:t>
                      </w:r>
                      <w:r w:rsidRPr="00D37B67">
                        <w:t>or portioned before consumption; and</w:t>
                      </w:r>
                    </w:p>
                    <w:p w:rsidR="00164C54" w:rsidRPr="005325CE" w:rsidRDefault="00164C54" w:rsidP="005325CE">
                      <w:pPr>
                        <w:ind w:left="1440" w:hanging="720"/>
                      </w:pPr>
                      <w:r w:rsidRPr="007C0549">
                        <w:rPr>
                          <w:lang w:eastAsia="en-GB"/>
                        </w:rPr>
                        <w:t>(b)</w:t>
                      </w:r>
                      <w:r w:rsidRPr="007C0549">
                        <w:rPr>
                          <w:lang w:eastAsia="en-GB"/>
                        </w:rPr>
                        <w:tab/>
                        <w:t>does not include nuts in the shell and whole, raw fruits and vegetables that are intended for</w:t>
                      </w:r>
                      <w:r w:rsidRPr="00AD0130">
                        <w:rPr>
                          <w:lang w:eastAsia="en-GB"/>
                        </w:rPr>
                        <w:t xml:space="preserve"> hulling, peeling or washing by the consumer.</w:t>
                      </w:r>
                      <w:r>
                        <w:t xml:space="preserve"> </w:t>
                      </w:r>
                    </w:p>
                  </w:txbxContent>
                </v:textbox>
                <w10:wrap type="square"/>
              </v:shape>
            </w:pict>
          </mc:Fallback>
        </mc:AlternateContent>
      </w:r>
    </w:p>
    <w:p w:rsidR="00164C54" w:rsidRDefault="00164C54" w:rsidP="00164C54">
      <w:r>
        <w:t xml:space="preserve">In relation to limits for </w:t>
      </w:r>
      <w:r w:rsidRPr="00274467">
        <w:rPr>
          <w:i/>
        </w:rPr>
        <w:t>L. monocytogenes</w:t>
      </w:r>
      <w:r>
        <w:t xml:space="preserve">, the definition for </w:t>
      </w:r>
      <w:r w:rsidR="00E7073F">
        <w:t>RTE</w:t>
      </w:r>
      <w:r>
        <w:t xml:space="preserve"> foods </w:t>
      </w:r>
      <w:r w:rsidR="0001617D">
        <w:t xml:space="preserve">may </w:t>
      </w:r>
      <w:r>
        <w:t>cover such foods as:</w:t>
      </w:r>
    </w:p>
    <w:p w:rsidR="00164C54" w:rsidRDefault="00164C54" w:rsidP="00164C54"/>
    <w:p w:rsidR="00164C54" w:rsidRDefault="00164C54" w:rsidP="00164C54">
      <w:pPr>
        <w:pStyle w:val="FSBullet1"/>
      </w:pPr>
      <w:r>
        <w:t xml:space="preserve">Pre-packed </w:t>
      </w:r>
      <w:r w:rsidR="00627B0A">
        <w:t xml:space="preserve">raw </w:t>
      </w:r>
      <w:r>
        <w:t xml:space="preserve">vegetable and salad mixes (with shelf life greater than 5 days), but not whole fruits or vegetables. For example, punnets of strawberries or whole rockmelons are not </w:t>
      </w:r>
      <w:r w:rsidR="005C5BA7">
        <w:t>RTE</w:t>
      </w:r>
      <w:r>
        <w:t xml:space="preserve"> foods but </w:t>
      </w:r>
      <w:r w:rsidR="00250B6D">
        <w:t xml:space="preserve">packaged </w:t>
      </w:r>
      <w:r>
        <w:t xml:space="preserve">fruit salad mixes containing cut melon and strawberries would be. </w:t>
      </w:r>
    </w:p>
    <w:p w:rsidR="00097B58" w:rsidRDefault="00097B58" w:rsidP="00627B0A">
      <w:pPr>
        <w:pStyle w:val="FSBullet1"/>
        <w:numPr>
          <w:ilvl w:val="0"/>
          <w:numId w:val="0"/>
        </w:numPr>
      </w:pPr>
    </w:p>
    <w:p w:rsidR="00164C54" w:rsidRDefault="00097B58" w:rsidP="00164C54">
      <w:pPr>
        <w:pStyle w:val="FSBullet1"/>
      </w:pPr>
      <w:r>
        <w:t>Refrigerated meals</w:t>
      </w:r>
      <w:r w:rsidR="00627B0A">
        <w:t xml:space="preserve"> (such as quiches, soups, curries) that are intended to be heated before serving but </w:t>
      </w:r>
      <w:r>
        <w:t>do not require cooking.</w:t>
      </w:r>
      <w:r w:rsidR="00627B0A">
        <w:t xml:space="preserve"> Any meals, refrigerated or frozen, that are sold with </w:t>
      </w:r>
      <w:r w:rsidR="00C876D6">
        <w:t xml:space="preserve">clear </w:t>
      </w:r>
      <w:r w:rsidR="00627B0A">
        <w:t xml:space="preserve">cooking instructions would not be considered </w:t>
      </w:r>
      <w:r w:rsidR="005C5BA7">
        <w:t>RTE</w:t>
      </w:r>
      <w:r w:rsidR="00627B0A">
        <w:t>.</w:t>
      </w:r>
    </w:p>
    <w:p w:rsidR="007F2809" w:rsidRDefault="007F2809" w:rsidP="007F2809"/>
    <w:p w:rsidR="00627B0A" w:rsidRDefault="00627B0A" w:rsidP="00627B0A">
      <w:pPr>
        <w:pStyle w:val="FSBullet1"/>
      </w:pPr>
      <w:r>
        <w:t>Processed dairy products (</w:t>
      </w:r>
      <w:r w:rsidR="00910F7C">
        <w:t xml:space="preserve">e.g. </w:t>
      </w:r>
      <w:r>
        <w:t>milk, cream, cheese,</w:t>
      </w:r>
      <w:r w:rsidR="00DC1390">
        <w:t xml:space="preserve"> yoghurt,</w:t>
      </w:r>
      <w:r>
        <w:t xml:space="preserve"> dairy desserts)</w:t>
      </w:r>
      <w:r w:rsidR="00C977C2">
        <w:t>.</w:t>
      </w:r>
    </w:p>
    <w:p w:rsidR="007F2809" w:rsidRDefault="007F2809" w:rsidP="007F2809"/>
    <w:p w:rsidR="000222C3" w:rsidRDefault="00EE2345" w:rsidP="00EE2345">
      <w:pPr>
        <w:pStyle w:val="FSBullet1"/>
        <w:rPr>
          <w:rFonts w:eastAsia="Calibri"/>
        </w:rPr>
      </w:pPr>
      <w:r>
        <w:rPr>
          <w:rFonts w:eastAsia="Calibri"/>
        </w:rPr>
        <w:t>Processed meat products (</w:t>
      </w:r>
      <w:r w:rsidR="00C977C2">
        <w:rPr>
          <w:rFonts w:eastAsia="Calibri"/>
        </w:rPr>
        <w:t xml:space="preserve">e.g. refrigerated </w:t>
      </w:r>
      <w:r w:rsidR="007D5760">
        <w:rPr>
          <w:rFonts w:eastAsia="Calibri"/>
        </w:rPr>
        <w:t xml:space="preserve">ham, </w:t>
      </w:r>
      <w:r w:rsidR="00A475AE">
        <w:rPr>
          <w:rFonts w:eastAsia="Calibri"/>
        </w:rPr>
        <w:t xml:space="preserve">salami, </w:t>
      </w:r>
      <w:r w:rsidR="007D5760">
        <w:rPr>
          <w:rFonts w:eastAsia="Calibri"/>
        </w:rPr>
        <w:t>roast meats, pâté</w:t>
      </w:r>
      <w:r w:rsidR="00A475AE">
        <w:rPr>
          <w:rFonts w:eastAsia="Calibri"/>
        </w:rPr>
        <w:t>)</w:t>
      </w:r>
      <w:r w:rsidR="00C977C2">
        <w:rPr>
          <w:rFonts w:eastAsia="Calibri"/>
        </w:rPr>
        <w:t>.</w:t>
      </w:r>
    </w:p>
    <w:p w:rsidR="006A099D" w:rsidRDefault="006A099D" w:rsidP="006A099D"/>
    <w:p w:rsidR="006A099D" w:rsidRDefault="006A099D" w:rsidP="006A099D">
      <w:pPr>
        <w:pStyle w:val="FSBullet1"/>
        <w:rPr>
          <w:rFonts w:eastAsia="Calibri"/>
        </w:rPr>
      </w:pPr>
      <w:r>
        <w:rPr>
          <w:rFonts w:eastAsia="Calibri"/>
        </w:rPr>
        <w:t>Processed seafood products (</w:t>
      </w:r>
      <w:r w:rsidR="00C977C2">
        <w:rPr>
          <w:rFonts w:eastAsia="Calibri"/>
        </w:rPr>
        <w:t xml:space="preserve">e.g. refrigerated </w:t>
      </w:r>
      <w:r>
        <w:rPr>
          <w:rFonts w:eastAsia="Calibri"/>
        </w:rPr>
        <w:t>hot and cold smoked salmon/trout</w:t>
      </w:r>
      <w:r w:rsidR="00C977C2">
        <w:rPr>
          <w:rFonts w:eastAsia="Calibri"/>
        </w:rPr>
        <w:t>).</w:t>
      </w:r>
      <w:r>
        <w:rPr>
          <w:rFonts w:eastAsia="Calibri"/>
        </w:rPr>
        <w:t xml:space="preserve"> </w:t>
      </w:r>
    </w:p>
    <w:p w:rsidR="00C977C2" w:rsidRDefault="00C977C2" w:rsidP="00C977C2"/>
    <w:p w:rsidR="00C977C2" w:rsidRDefault="00C977C2" w:rsidP="00C977C2">
      <w:pPr>
        <w:pStyle w:val="FSBullet1"/>
        <w:rPr>
          <w:rFonts w:eastAsia="Calibri"/>
        </w:rPr>
      </w:pPr>
      <w:r>
        <w:rPr>
          <w:rFonts w:eastAsia="Calibri"/>
        </w:rPr>
        <w:t>Refrigerated dips.</w:t>
      </w:r>
    </w:p>
    <w:p w:rsidR="00417B0E" w:rsidRPr="00417B0E" w:rsidRDefault="00417B0E" w:rsidP="00417B0E"/>
    <w:p w:rsidR="00D66FC4" w:rsidRPr="008758D6" w:rsidRDefault="00D66FC4" w:rsidP="00D66FC4">
      <w:pPr>
        <w:rPr>
          <w:rFonts w:eastAsia="Calibri" w:cs="Times New Roman"/>
        </w:rPr>
      </w:pPr>
      <w:r>
        <w:rPr>
          <w:rFonts w:eastAsia="Calibri" w:cs="Times New Roman"/>
        </w:rPr>
        <w:lastRenderedPageBreak/>
        <w:t xml:space="preserve">Clause </w:t>
      </w:r>
      <w:r w:rsidR="0049578C">
        <w:rPr>
          <w:rFonts w:eastAsia="Calibri" w:cs="Times New Roman"/>
        </w:rPr>
        <w:t>6</w:t>
      </w:r>
      <w:r>
        <w:rPr>
          <w:rFonts w:eastAsia="Calibri" w:cs="Times New Roman"/>
        </w:rPr>
        <w:t xml:space="preserve"> of Standard</w:t>
      </w:r>
      <w:r w:rsidR="00F253DC">
        <w:rPr>
          <w:rFonts w:eastAsia="Calibri" w:cs="Times New Roman"/>
        </w:rPr>
        <w:t xml:space="preserve"> 1.6.1</w:t>
      </w:r>
      <w:r w:rsidR="00042C6D">
        <w:rPr>
          <w:rFonts w:eastAsia="Calibri" w:cs="Times New Roman"/>
        </w:rPr>
        <w:t xml:space="preserve"> </w:t>
      </w:r>
      <w:r w:rsidR="004A473F">
        <w:rPr>
          <w:rFonts w:eastAsia="Calibri" w:cs="Times New Roman"/>
        </w:rPr>
        <w:t xml:space="preserve">sets out </w:t>
      </w:r>
      <w:r w:rsidR="00FC5AA2">
        <w:rPr>
          <w:rFonts w:eastAsia="Calibri" w:cs="Times New Roman"/>
        </w:rPr>
        <w:t>criteria</w:t>
      </w:r>
      <w:r w:rsidR="004A473F">
        <w:rPr>
          <w:rFonts w:eastAsia="Calibri" w:cs="Times New Roman"/>
        </w:rPr>
        <w:t xml:space="preserve"> that must be </w:t>
      </w:r>
      <w:r w:rsidR="00FC5AA2">
        <w:rPr>
          <w:rFonts w:eastAsia="Calibri" w:cs="Times New Roman"/>
        </w:rPr>
        <w:t>met</w:t>
      </w:r>
      <w:r w:rsidR="004A473F">
        <w:rPr>
          <w:rFonts w:eastAsia="Calibri" w:cs="Times New Roman"/>
        </w:rPr>
        <w:t xml:space="preserve"> for </w:t>
      </w:r>
      <w:r w:rsidR="004A473F" w:rsidRPr="00F278A7">
        <w:t xml:space="preserve">the growth of </w:t>
      </w:r>
      <w:r w:rsidR="004A473F" w:rsidRPr="00FD5AFA">
        <w:rPr>
          <w:i/>
        </w:rPr>
        <w:t>Listeria monocytogenes</w:t>
      </w:r>
      <w:r w:rsidR="004A473F" w:rsidRPr="005D0056">
        <w:t xml:space="preserve"> </w:t>
      </w:r>
      <w:r w:rsidR="004A473F">
        <w:t xml:space="preserve">to not occur in a </w:t>
      </w:r>
      <w:r w:rsidR="005C5BA7">
        <w:t>RTE</w:t>
      </w:r>
      <w:r w:rsidR="00713663">
        <w:rPr>
          <w:rFonts w:eastAsia="Calibri" w:cs="Times New Roman"/>
        </w:rPr>
        <w:t xml:space="preserve"> </w:t>
      </w:r>
      <w:r w:rsidR="00D60919">
        <w:rPr>
          <w:rFonts w:eastAsia="Calibri" w:cs="Times New Roman"/>
        </w:rPr>
        <w:t>food</w:t>
      </w:r>
      <w:r w:rsidR="004A473F">
        <w:rPr>
          <w:rFonts w:eastAsia="Calibri" w:cs="Times New Roman"/>
        </w:rPr>
        <w:t>.</w:t>
      </w:r>
      <w:r w:rsidR="00D60919">
        <w:rPr>
          <w:rFonts w:eastAsia="Calibri" w:cs="Times New Roman"/>
        </w:rPr>
        <w:t xml:space="preserve"> </w:t>
      </w:r>
      <w:r w:rsidR="004A473F">
        <w:rPr>
          <w:rFonts w:eastAsia="Calibri" w:cs="Times New Roman"/>
        </w:rPr>
        <w:t xml:space="preserve">These </w:t>
      </w:r>
      <w:r w:rsidR="00FC5AA2">
        <w:rPr>
          <w:rFonts w:eastAsia="Calibri" w:cs="Times New Roman"/>
        </w:rPr>
        <w:t>criteria</w:t>
      </w:r>
      <w:r w:rsidR="004A473F">
        <w:rPr>
          <w:rFonts w:eastAsia="Calibri" w:cs="Times New Roman"/>
        </w:rPr>
        <w:t xml:space="preserve"> relate to the food’s</w:t>
      </w:r>
      <w:r w:rsidR="00D60919">
        <w:rPr>
          <w:rFonts w:eastAsia="Calibri" w:cs="Times New Roman"/>
        </w:rPr>
        <w:t xml:space="preserve"> </w:t>
      </w:r>
      <w:r w:rsidR="00274467">
        <w:rPr>
          <w:rFonts w:eastAsia="Calibri" w:cs="Times New Roman"/>
        </w:rPr>
        <w:t>chemical and physical characteristics, shelf life</w:t>
      </w:r>
      <w:r w:rsidR="004A473F">
        <w:rPr>
          <w:rFonts w:eastAsia="Calibri" w:cs="Times New Roman"/>
        </w:rPr>
        <w:t xml:space="preserve">, </w:t>
      </w:r>
      <w:r w:rsidR="00274467">
        <w:rPr>
          <w:rFonts w:eastAsia="Calibri" w:cs="Times New Roman"/>
        </w:rPr>
        <w:t>and processing factors</w:t>
      </w:r>
      <w:r w:rsidR="004A473F">
        <w:rPr>
          <w:rFonts w:eastAsia="Calibri" w:cs="Times New Roman"/>
        </w:rPr>
        <w:t>.</w:t>
      </w:r>
    </w:p>
    <w:p w:rsidR="000222C3" w:rsidRDefault="000222C3" w:rsidP="000222C3">
      <w:pPr>
        <w:rPr>
          <w:b/>
        </w:rPr>
      </w:pPr>
    </w:p>
    <w:p w:rsidR="008408FD" w:rsidRDefault="00164C54" w:rsidP="00D66FC4">
      <w:pPr>
        <w:rPr>
          <w:sz w:val="20"/>
          <w:szCs w:val="20"/>
        </w:rPr>
      </w:pPr>
      <w:r>
        <w:rPr>
          <w:noProof/>
          <w:lang w:eastAsia="en-GB"/>
        </w:rPr>
        <mc:AlternateContent>
          <mc:Choice Requires="wps">
            <w:drawing>
              <wp:anchor distT="0" distB="0" distL="114300" distR="114300" simplePos="0" relativeHeight="251661312" behindDoc="0" locked="0" layoutInCell="1" allowOverlap="1" wp14:anchorId="55EA1608" wp14:editId="105C1131">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164C54" w:rsidRPr="000222C3" w:rsidRDefault="00164C54" w:rsidP="000222C3">
                            <w:pPr>
                              <w:rPr>
                                <w:b/>
                              </w:rPr>
                            </w:pPr>
                            <w:r w:rsidRPr="000222C3">
                              <w:rPr>
                                <w:b/>
                              </w:rPr>
                              <w:t xml:space="preserve">Food not supporting the growth of </w:t>
                            </w:r>
                            <w:r w:rsidRPr="007F2809">
                              <w:rPr>
                                <w:b/>
                                <w:i/>
                              </w:rPr>
                              <w:t>Listeria monocytogenes</w:t>
                            </w:r>
                          </w:p>
                          <w:p w:rsidR="00164C54" w:rsidRPr="00D66FC4" w:rsidRDefault="00164C54" w:rsidP="00D66FC4"/>
                          <w:p w:rsidR="00164C54" w:rsidRPr="00D66FC4" w:rsidRDefault="00164C54" w:rsidP="00D66FC4">
                            <w:r w:rsidRPr="00D66FC4">
                              <w:t xml:space="preserve">For the purposes of the Schedule to this Standard, </w:t>
                            </w:r>
                            <w:r w:rsidRPr="00F278A7">
                              <w:t xml:space="preserve">the growth of </w:t>
                            </w:r>
                            <w:r w:rsidRPr="00FD5AFA">
                              <w:rPr>
                                <w:i/>
                              </w:rPr>
                              <w:t>Listeria monocytogenes</w:t>
                            </w:r>
                            <w:r w:rsidRPr="005D0056">
                              <w:t xml:space="preserve"> </w:t>
                            </w:r>
                            <w:r>
                              <w:t xml:space="preserve">will not occur in a </w:t>
                            </w:r>
                            <w:r w:rsidR="005C5BA7">
                              <w:t>RTE</w:t>
                            </w:r>
                            <w:r>
                              <w:t xml:space="preserve"> food </w:t>
                            </w:r>
                            <w:r w:rsidRPr="005D0056">
                              <w:t>if</w:t>
                            </w:r>
                            <w:r w:rsidRPr="00D66FC4">
                              <w:t>:</w:t>
                            </w:r>
                          </w:p>
                          <w:p w:rsidR="00164C54" w:rsidRPr="00D66FC4" w:rsidRDefault="00164C54" w:rsidP="00D66FC4"/>
                          <w:p w:rsidR="00EF1F1D" w:rsidRDefault="00EF1F1D" w:rsidP="00EF1F1D">
                            <w:pPr>
                              <w:numPr>
                                <w:ilvl w:val="0"/>
                                <w:numId w:val="33"/>
                              </w:numPr>
                              <w:contextualSpacing/>
                            </w:pPr>
                            <w:r>
                              <w:t>the food has a pH &lt; 4.4 regardless of water activity; or</w:t>
                            </w:r>
                          </w:p>
                          <w:p w:rsidR="00EF1F1D" w:rsidRDefault="00EF1F1D" w:rsidP="00EF1F1D">
                            <w:pPr>
                              <w:numPr>
                                <w:ilvl w:val="0"/>
                                <w:numId w:val="33"/>
                              </w:numPr>
                              <w:contextualSpacing/>
                            </w:pPr>
                            <w:r>
                              <w:t>the food has a water activity &lt; 0.92 regardless of pH; or</w:t>
                            </w:r>
                          </w:p>
                          <w:p w:rsidR="00EF1F1D" w:rsidRDefault="00EF1F1D" w:rsidP="00EF1F1D">
                            <w:pPr>
                              <w:numPr>
                                <w:ilvl w:val="0"/>
                                <w:numId w:val="33"/>
                              </w:numPr>
                              <w:contextualSpacing/>
                            </w:pPr>
                            <w:r>
                              <w:t>the food has a pH &lt; 5.0 in combination with a water activity of &lt; 0.94; or</w:t>
                            </w:r>
                          </w:p>
                          <w:p w:rsidR="00EF1F1D" w:rsidRDefault="00EF1F1D" w:rsidP="00EF1F1D">
                            <w:pPr>
                              <w:numPr>
                                <w:ilvl w:val="0"/>
                                <w:numId w:val="33"/>
                              </w:numPr>
                              <w:contextualSpacing/>
                            </w:pPr>
                            <w:r>
                              <w:t xml:space="preserve">the food has a refrigerated shelf life </w:t>
                            </w:r>
                            <w:r>
                              <w:rPr>
                                <w:rFonts w:cs="Arial"/>
                              </w:rPr>
                              <w:t>≤</w:t>
                            </w:r>
                            <w:r>
                              <w:t xml:space="preserve"> 5 days; or</w:t>
                            </w:r>
                          </w:p>
                          <w:p w:rsidR="00EF1F1D" w:rsidRDefault="00EF1F1D" w:rsidP="00EF1F1D">
                            <w:pPr>
                              <w:numPr>
                                <w:ilvl w:val="0"/>
                                <w:numId w:val="33"/>
                              </w:numPr>
                              <w:contextualSpacing/>
                            </w:pPr>
                            <w:r>
                              <w:t>the food is frozen (including foods consumed frozen and those intended to be thawed before consumption); or</w:t>
                            </w:r>
                          </w:p>
                          <w:p w:rsidR="00EF1F1D" w:rsidRDefault="00EF1F1D" w:rsidP="00EF1F1D">
                            <w:pPr>
                              <w:numPr>
                                <w:ilvl w:val="0"/>
                                <w:numId w:val="33"/>
                              </w:numPr>
                              <w:contextualSpacing/>
                            </w:pPr>
                            <w:r>
                              <w:t xml:space="preserve">it can be validated that the level of </w:t>
                            </w:r>
                            <w:r w:rsidRPr="00EF1F1D">
                              <w:rPr>
                                <w:i/>
                              </w:rPr>
                              <w:t>L. monocytogenes</w:t>
                            </w:r>
                            <w:r>
                              <w:t xml:space="preserve"> will not increase by </w:t>
                            </w:r>
                            <w:r w:rsidR="005A1A84">
                              <w:rPr>
                                <w:rFonts w:cs="Arial"/>
                              </w:rPr>
                              <w:t>&gt;</w:t>
                            </w:r>
                            <w:r>
                              <w:t xml:space="preserve"> 0.5 log over the food’s stated shelf life; or</w:t>
                            </w:r>
                          </w:p>
                          <w:p w:rsidR="00164C54" w:rsidRPr="00C275BA" w:rsidRDefault="00EF1F1D" w:rsidP="00EF1F1D">
                            <w:pPr>
                              <w:numPr>
                                <w:ilvl w:val="0"/>
                                <w:numId w:val="33"/>
                              </w:numPr>
                              <w:contextualSpacing/>
                            </w:pPr>
                            <w:proofErr w:type="gramStart"/>
                            <w:r>
                              <w:t>the</w:t>
                            </w:r>
                            <w:proofErr w:type="gramEnd"/>
                            <w:r>
                              <w:t xml:space="preserve"> food has not had a listericidal treatment and it can be validated that the level of </w:t>
                            </w:r>
                            <w:r w:rsidRPr="00EF1F1D">
                              <w:rPr>
                                <w:i/>
                              </w:rPr>
                              <w:t>Listeria monocytogenes</w:t>
                            </w:r>
                            <w:r>
                              <w:t xml:space="preserve"> will not exceed 100 cfu/g throughout the food’s stated shelf life.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tGNjORAIAAI0EAAAOAAAA&#10;AAAAAAAAAAAAAC4CAABkcnMvZTJvRG9jLnhtbFBLAQItABQABgAIAAAAIQC3DAMI1wAAAAUBAAAP&#10;AAAAAAAAAAAAAAAAAJ4EAABkcnMvZG93bnJldi54bWxQSwUGAAAAAAQABADzAAAAogUAAAAA&#10;" filled="f" strokeweight=".5pt">
                <v:textbox style="mso-fit-shape-to-text:t">
                  <w:txbxContent>
                    <w:p w:rsidR="00164C54" w:rsidRPr="000222C3" w:rsidRDefault="00164C54" w:rsidP="000222C3">
                      <w:pPr>
                        <w:rPr>
                          <w:b/>
                        </w:rPr>
                      </w:pPr>
                      <w:r w:rsidRPr="000222C3">
                        <w:rPr>
                          <w:b/>
                        </w:rPr>
                        <w:t xml:space="preserve">Food not supporting the growth of </w:t>
                      </w:r>
                      <w:r w:rsidRPr="007F2809">
                        <w:rPr>
                          <w:b/>
                          <w:i/>
                        </w:rPr>
                        <w:t>Listeria monocytogenes</w:t>
                      </w:r>
                    </w:p>
                    <w:p w:rsidR="00164C54" w:rsidRPr="00D66FC4" w:rsidRDefault="00164C54" w:rsidP="00D66FC4"/>
                    <w:p w:rsidR="00164C54" w:rsidRPr="00D66FC4" w:rsidRDefault="00164C54" w:rsidP="00D66FC4">
                      <w:r w:rsidRPr="00D66FC4">
                        <w:t xml:space="preserve">For the purposes of the Schedule to this Standard, </w:t>
                      </w:r>
                      <w:r w:rsidRPr="00F278A7">
                        <w:t xml:space="preserve">the growth of </w:t>
                      </w:r>
                      <w:r w:rsidRPr="00FD5AFA">
                        <w:rPr>
                          <w:i/>
                        </w:rPr>
                        <w:t>Listeria monocytogenes</w:t>
                      </w:r>
                      <w:r w:rsidRPr="005D0056">
                        <w:t xml:space="preserve"> </w:t>
                      </w:r>
                      <w:r>
                        <w:t xml:space="preserve">will not occur in a </w:t>
                      </w:r>
                      <w:r w:rsidR="005C5BA7">
                        <w:t>RTE</w:t>
                      </w:r>
                      <w:r>
                        <w:t xml:space="preserve"> food </w:t>
                      </w:r>
                      <w:r w:rsidRPr="005D0056">
                        <w:t>if</w:t>
                      </w:r>
                      <w:r w:rsidRPr="00D66FC4">
                        <w:t>:</w:t>
                      </w:r>
                    </w:p>
                    <w:p w:rsidR="00164C54" w:rsidRPr="00D66FC4" w:rsidRDefault="00164C54" w:rsidP="00D66FC4"/>
                    <w:p w:rsidR="00EF1F1D" w:rsidRDefault="00EF1F1D" w:rsidP="00EF1F1D">
                      <w:pPr>
                        <w:numPr>
                          <w:ilvl w:val="0"/>
                          <w:numId w:val="33"/>
                        </w:numPr>
                        <w:contextualSpacing/>
                      </w:pPr>
                      <w:r>
                        <w:t>the food has a pH &lt; 4.4 regardless of water activity; or</w:t>
                      </w:r>
                    </w:p>
                    <w:p w:rsidR="00EF1F1D" w:rsidRDefault="00EF1F1D" w:rsidP="00EF1F1D">
                      <w:pPr>
                        <w:numPr>
                          <w:ilvl w:val="0"/>
                          <w:numId w:val="33"/>
                        </w:numPr>
                        <w:contextualSpacing/>
                      </w:pPr>
                      <w:r>
                        <w:t>the food has a water activity &lt; 0.92 regardless of pH; or</w:t>
                      </w:r>
                    </w:p>
                    <w:p w:rsidR="00EF1F1D" w:rsidRDefault="00EF1F1D" w:rsidP="00EF1F1D">
                      <w:pPr>
                        <w:numPr>
                          <w:ilvl w:val="0"/>
                          <w:numId w:val="33"/>
                        </w:numPr>
                        <w:contextualSpacing/>
                      </w:pPr>
                      <w:r>
                        <w:t>the food has a pH &lt; 5.0 in combination with a water activity of &lt; 0.94; or</w:t>
                      </w:r>
                    </w:p>
                    <w:p w:rsidR="00EF1F1D" w:rsidRDefault="00EF1F1D" w:rsidP="00EF1F1D">
                      <w:pPr>
                        <w:numPr>
                          <w:ilvl w:val="0"/>
                          <w:numId w:val="33"/>
                        </w:numPr>
                        <w:contextualSpacing/>
                      </w:pPr>
                      <w:r>
                        <w:t xml:space="preserve">the food has a refrigerated shelf life </w:t>
                      </w:r>
                      <w:r>
                        <w:rPr>
                          <w:rFonts w:cs="Arial"/>
                        </w:rPr>
                        <w:t>≤</w:t>
                      </w:r>
                      <w:r>
                        <w:t xml:space="preserve"> 5 days; or</w:t>
                      </w:r>
                    </w:p>
                    <w:p w:rsidR="00EF1F1D" w:rsidRDefault="00EF1F1D" w:rsidP="00EF1F1D">
                      <w:pPr>
                        <w:numPr>
                          <w:ilvl w:val="0"/>
                          <w:numId w:val="33"/>
                        </w:numPr>
                        <w:contextualSpacing/>
                      </w:pPr>
                      <w:r>
                        <w:t>the food is frozen (including foods consumed frozen and those intended to be thawed before consumption); or</w:t>
                      </w:r>
                    </w:p>
                    <w:p w:rsidR="00EF1F1D" w:rsidRDefault="00EF1F1D" w:rsidP="00EF1F1D">
                      <w:pPr>
                        <w:numPr>
                          <w:ilvl w:val="0"/>
                          <w:numId w:val="33"/>
                        </w:numPr>
                        <w:contextualSpacing/>
                      </w:pPr>
                      <w:r>
                        <w:t xml:space="preserve">it can be validated that the level of </w:t>
                      </w:r>
                      <w:r w:rsidRPr="00EF1F1D">
                        <w:rPr>
                          <w:i/>
                        </w:rPr>
                        <w:t>L. monocytogenes</w:t>
                      </w:r>
                      <w:r>
                        <w:t xml:space="preserve"> will not increase by </w:t>
                      </w:r>
                      <w:r w:rsidR="005A1A84">
                        <w:rPr>
                          <w:rFonts w:cs="Arial"/>
                        </w:rPr>
                        <w:t>&gt;</w:t>
                      </w:r>
                      <w:r>
                        <w:t xml:space="preserve"> </w:t>
                      </w:r>
                      <w:r>
                        <w:t>0.5 log over the food’s stated shelf life; or</w:t>
                      </w:r>
                    </w:p>
                    <w:p w:rsidR="00164C54" w:rsidRPr="00C275BA" w:rsidRDefault="00EF1F1D" w:rsidP="00EF1F1D">
                      <w:pPr>
                        <w:numPr>
                          <w:ilvl w:val="0"/>
                          <w:numId w:val="33"/>
                        </w:numPr>
                        <w:contextualSpacing/>
                      </w:pPr>
                      <w:r>
                        <w:t xml:space="preserve">the food has not had a listericidal treatment and it can be validated that the level of </w:t>
                      </w:r>
                      <w:r w:rsidRPr="00EF1F1D">
                        <w:rPr>
                          <w:i/>
                        </w:rPr>
                        <w:t>Listeria monocytogenes</w:t>
                      </w:r>
                      <w:r>
                        <w:t xml:space="preserve"> will not exceed 100 cfu/g throughout the food’s stated shelf life.</w:t>
                      </w:r>
                    </w:p>
                  </w:txbxContent>
                </v:textbox>
                <w10:wrap type="square"/>
              </v:shape>
            </w:pict>
          </mc:Fallback>
        </mc:AlternateContent>
      </w:r>
    </w:p>
    <w:p w:rsidR="009C7166" w:rsidRDefault="00082079" w:rsidP="003F7FD5">
      <w:r>
        <w:t>Th</w:t>
      </w:r>
      <w:r w:rsidR="009C7166">
        <w:t xml:space="preserve">ese criteria </w:t>
      </w:r>
      <w:r>
        <w:t xml:space="preserve">capture the elements of growth through specifying a </w:t>
      </w:r>
      <w:r w:rsidR="007F2809">
        <w:t>maximum</w:t>
      </w:r>
      <w:r>
        <w:t xml:space="preserve"> log increase </w:t>
      </w:r>
      <w:r w:rsidR="007F2809">
        <w:t>within the stated</w:t>
      </w:r>
      <w:r>
        <w:t xml:space="preserve"> shelf life.</w:t>
      </w:r>
    </w:p>
    <w:p w:rsidR="009C7166" w:rsidRDefault="009C7166" w:rsidP="003F7FD5"/>
    <w:p w:rsidR="000222C3" w:rsidRDefault="009C7166" w:rsidP="003F7FD5">
      <w:r>
        <w:t>For the purposes of this guidance document</w:t>
      </w:r>
      <w:r w:rsidR="0090045B">
        <w:t xml:space="preserve"> only</w:t>
      </w:r>
      <w:r w:rsidR="000D3783">
        <w:t>,</w:t>
      </w:r>
      <w:r w:rsidR="00082079">
        <w:t xml:space="preserve"> t</w:t>
      </w:r>
      <w:r w:rsidR="003F7FD5">
        <w:t xml:space="preserve">he following </w:t>
      </w:r>
      <w:r w:rsidR="0046085C">
        <w:t xml:space="preserve">explanations </w:t>
      </w:r>
      <w:r w:rsidR="003F7FD5">
        <w:t xml:space="preserve">are provided in relation to </w:t>
      </w:r>
      <w:r w:rsidR="000D3783">
        <w:t>“</w:t>
      </w:r>
      <w:r w:rsidR="003F7FD5">
        <w:t>growth</w:t>
      </w:r>
      <w:r w:rsidR="000D3783">
        <w:t>”</w:t>
      </w:r>
      <w:r w:rsidR="003F7FD5">
        <w:t xml:space="preserve"> and </w:t>
      </w:r>
      <w:r w:rsidR="000D3783">
        <w:t>“</w:t>
      </w:r>
      <w:r w:rsidR="003F7FD5">
        <w:t>shelf life</w:t>
      </w:r>
      <w:r w:rsidR="000D3783">
        <w:t>”</w:t>
      </w:r>
      <w:r w:rsidR="003F7FD5">
        <w:t>:</w:t>
      </w:r>
    </w:p>
    <w:p w:rsidR="000222C3" w:rsidRDefault="000222C3" w:rsidP="003F7FD5"/>
    <w:p w:rsidR="003F7FD5" w:rsidRDefault="000222C3" w:rsidP="000222C3">
      <w:r w:rsidRPr="008C5F85">
        <w:rPr>
          <w:b/>
        </w:rPr>
        <w:t>Growth</w:t>
      </w:r>
      <w:r>
        <w:t xml:space="preserve"> – Greater than an average of 0.5 log cfu/g increase in </w:t>
      </w:r>
      <w:r w:rsidRPr="002228D6">
        <w:rPr>
          <w:i/>
        </w:rPr>
        <w:t>L. monocytogenes</w:t>
      </w:r>
      <w:r>
        <w:t xml:space="preserve"> levels for at least the stated shelf life of the product. </w:t>
      </w:r>
    </w:p>
    <w:p w:rsidR="000222C3" w:rsidRPr="009E5925" w:rsidRDefault="00082079" w:rsidP="000222C3">
      <w:pPr>
        <w:rPr>
          <w:rFonts w:eastAsia="Calibri" w:cs="Times New Roman"/>
        </w:rPr>
      </w:pPr>
      <w:r>
        <w:rPr>
          <w:rFonts w:eastAsia="Calibri" w:cs="Times New Roman"/>
        </w:rPr>
        <w:t xml:space="preserve">[Note that </w:t>
      </w:r>
      <w:r w:rsidR="000222C3" w:rsidRPr="0040171D">
        <w:rPr>
          <w:rFonts w:eastAsia="Calibri" w:cs="Times New Roman"/>
        </w:rPr>
        <w:t>0.5 log is two times the estimated standard deviation associated with the experimental enumeration method (viable counting/plate counts)]</w:t>
      </w:r>
    </w:p>
    <w:p w:rsidR="003F7FD5" w:rsidRDefault="003F7FD5" w:rsidP="00D66FC4">
      <w:pPr>
        <w:rPr>
          <w:sz w:val="20"/>
          <w:szCs w:val="20"/>
        </w:rPr>
      </w:pPr>
    </w:p>
    <w:p w:rsidR="000222C3" w:rsidRDefault="000222C3" w:rsidP="000222C3">
      <w:r w:rsidRPr="00CF3BD9">
        <w:rPr>
          <w:b/>
        </w:rPr>
        <w:t>Stated shelf life</w:t>
      </w:r>
      <w:r>
        <w:t xml:space="preserve"> – The period of time, established under intended conditions of distribution, storage, retail and use, that the food would remain safe and suitable. </w:t>
      </w:r>
    </w:p>
    <w:p w:rsidR="000222C3" w:rsidRDefault="000222C3" w:rsidP="00D66FC4">
      <w:pPr>
        <w:rPr>
          <w:sz w:val="20"/>
          <w:szCs w:val="20"/>
        </w:rPr>
      </w:pPr>
    </w:p>
    <w:p w:rsidR="00A34346" w:rsidRDefault="007F2809" w:rsidP="007F2809">
      <w:r>
        <w:t xml:space="preserve">The </w:t>
      </w:r>
      <w:r w:rsidR="00246F45">
        <w:t xml:space="preserve">criteria in Standard 1.6.1 for when </w:t>
      </w:r>
      <w:r w:rsidR="00246F45" w:rsidRPr="00A34346">
        <w:rPr>
          <w:i/>
        </w:rPr>
        <w:t>L. monocytogenes</w:t>
      </w:r>
      <w:r w:rsidR="00246F45">
        <w:t xml:space="preserve"> will not occur in </w:t>
      </w:r>
      <w:r w:rsidR="00AC080D">
        <w:t>ready-to-eat</w:t>
      </w:r>
      <w:r w:rsidR="00AC080D">
        <w:rPr>
          <w:rFonts w:eastAsia="Calibri" w:cs="Times New Roman"/>
        </w:rPr>
        <w:t xml:space="preserve"> </w:t>
      </w:r>
      <w:r>
        <w:t xml:space="preserve">food </w:t>
      </w:r>
      <w:r w:rsidR="00A34346">
        <w:t xml:space="preserve">also include consideration of whether a listericidal treatment has been applied to the food. This </w:t>
      </w:r>
      <w:r w:rsidR="00EE2345">
        <w:t>criterion</w:t>
      </w:r>
      <w:r w:rsidR="00A34346">
        <w:t xml:space="preserve"> acknowledges that, for some </w:t>
      </w:r>
      <w:r w:rsidR="005C5BA7">
        <w:t>RTE</w:t>
      </w:r>
      <w:r w:rsidR="00A34346">
        <w:t xml:space="preserve"> foods, processing does not include a listericidal treatment and product safety depends on the through-chain steps taken to minimise or reduce contamination. Occasional low level contamination in such products may be unavoidable </w:t>
      </w:r>
      <w:r w:rsidR="00F9553E">
        <w:t xml:space="preserve">and so a limit </w:t>
      </w:r>
      <w:proofErr w:type="gramStart"/>
      <w:r w:rsidR="00F9553E">
        <w:t>of</w:t>
      </w:r>
      <w:r w:rsidR="004F6D28">
        <w:t xml:space="preserve"> </w:t>
      </w:r>
      <w:r w:rsidR="00F9553E">
        <w:t>100 cfu/g</w:t>
      </w:r>
      <w:proofErr w:type="gramEnd"/>
      <w:r w:rsidR="00F9553E">
        <w:t xml:space="preserve"> would apply </w:t>
      </w:r>
      <w:r w:rsidR="00EE2345">
        <w:t xml:space="preserve">throughout its shelf life </w:t>
      </w:r>
      <w:r w:rsidR="00F9553E">
        <w:t>providing there is evidence that this limit will not be exceeded.</w:t>
      </w:r>
    </w:p>
    <w:p w:rsidR="00F9553E" w:rsidRDefault="00F9553E" w:rsidP="007F2809"/>
    <w:p w:rsidR="000222C3" w:rsidRDefault="00A34346" w:rsidP="007F2809">
      <w:r>
        <w:t xml:space="preserve">A definition </w:t>
      </w:r>
      <w:r w:rsidR="00F9553E">
        <w:t xml:space="preserve">for listericidal treatment </w:t>
      </w:r>
      <w:r>
        <w:t>is included in the Standard:</w:t>
      </w:r>
    </w:p>
    <w:p w:rsidR="007F2809" w:rsidRDefault="007F2809" w:rsidP="00D66FC4">
      <w:pPr>
        <w:rPr>
          <w:sz w:val="20"/>
          <w:szCs w:val="20"/>
        </w:rPr>
      </w:pPr>
    </w:p>
    <w:p w:rsidR="000222C3" w:rsidRDefault="00A34346" w:rsidP="000222C3">
      <w:r>
        <w:rPr>
          <w:noProof/>
          <w:lang w:eastAsia="en-GB"/>
        </w:rPr>
        <mc:AlternateContent>
          <mc:Choice Requires="wps">
            <w:drawing>
              <wp:anchor distT="0" distB="0" distL="114300" distR="114300" simplePos="0" relativeHeight="251665408" behindDoc="0" locked="0" layoutInCell="1" allowOverlap="1" wp14:anchorId="6AB896DE" wp14:editId="4680A614">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A34346" w:rsidRPr="005446F8" w:rsidRDefault="00A34346" w:rsidP="005446F8">
                            <w:pPr>
                              <w:rPr>
                                <w:b/>
                              </w:rPr>
                            </w:pPr>
                            <w:r w:rsidRPr="00CF3BD9">
                              <w:rPr>
                                <w:b/>
                              </w:rPr>
                              <w:t>Listericidal treatment</w:t>
                            </w:r>
                            <w:r>
                              <w:rPr>
                                <w:b/>
                              </w:rPr>
                              <w:t xml:space="preserve"> </w:t>
                            </w:r>
                            <w:r>
                              <w:t xml:space="preserve">means a process </w:t>
                            </w:r>
                            <w:r w:rsidR="00246F45">
                              <w:t xml:space="preserve">that can </w:t>
                            </w:r>
                            <w:r>
                              <w:t xml:space="preserve">eliminate </w:t>
                            </w:r>
                            <w:r w:rsidRPr="005A1DB4">
                              <w:rPr>
                                <w:i/>
                              </w:rPr>
                              <w:t>L</w:t>
                            </w:r>
                            <w:r>
                              <w:rPr>
                                <w:i/>
                              </w:rPr>
                              <w:t xml:space="preserve">isteria </w:t>
                            </w:r>
                            <w:r w:rsidRPr="00AD1C3B">
                              <w:rPr>
                                <w:i/>
                              </w:rPr>
                              <w:t>monocytogenes</w: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28"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DZk5GZDAgAAjQQAAA4AAAAA&#10;AAAAAAAAAAAALgIAAGRycy9lMm9Eb2MueG1sUEsBAi0AFAAGAAgAAAAhALcMAwjXAAAABQEAAA8A&#10;AAAAAAAAAAAAAAAAnQQAAGRycy9kb3ducmV2LnhtbFBLBQYAAAAABAAEAPMAAAChBQAAAAA=&#10;" filled="f" strokeweight=".5pt">
                <v:textbox style="mso-fit-shape-to-text:t">
                  <w:txbxContent>
                    <w:p w:rsidR="00A34346" w:rsidRPr="005446F8" w:rsidRDefault="00A34346" w:rsidP="005446F8">
                      <w:pPr>
                        <w:rPr>
                          <w:b/>
                        </w:rPr>
                      </w:pPr>
                      <w:r w:rsidRPr="00CF3BD9">
                        <w:rPr>
                          <w:b/>
                        </w:rPr>
                        <w:t>Listericidal treatment</w:t>
                      </w:r>
                      <w:r>
                        <w:rPr>
                          <w:b/>
                        </w:rPr>
                        <w:t xml:space="preserve"> </w:t>
                      </w:r>
                      <w:r>
                        <w:t xml:space="preserve">means a process </w:t>
                      </w:r>
                      <w:r w:rsidR="00246F45">
                        <w:t xml:space="preserve">that can </w:t>
                      </w:r>
                      <w:r>
                        <w:t xml:space="preserve">eliminate </w:t>
                      </w:r>
                      <w:r w:rsidRPr="005A1DB4">
                        <w:rPr>
                          <w:i/>
                        </w:rPr>
                        <w:t>L</w:t>
                      </w:r>
                      <w:r>
                        <w:rPr>
                          <w:i/>
                        </w:rPr>
                        <w:t xml:space="preserve">isteria </w:t>
                      </w:r>
                      <w:r w:rsidRPr="00AD1C3B">
                        <w:rPr>
                          <w:i/>
                        </w:rPr>
                        <w:t>monocytogenes</w:t>
                      </w:r>
                      <w:r>
                        <w:t xml:space="preserve">. </w:t>
                      </w:r>
                    </w:p>
                  </w:txbxContent>
                </v:textbox>
                <w10:wrap type="square"/>
              </v:shape>
            </w:pict>
          </mc:Fallback>
        </mc:AlternateContent>
      </w:r>
    </w:p>
    <w:p w:rsidR="00B13C10" w:rsidRDefault="00B13C10" w:rsidP="000222C3"/>
    <w:p w:rsidR="000222C3" w:rsidRPr="00CF3BD9" w:rsidRDefault="000222C3" w:rsidP="000222C3">
      <w:r>
        <w:t>Such a process may include a physical treatment</w:t>
      </w:r>
      <w:r w:rsidR="00D94E40">
        <w:t>,</w:t>
      </w:r>
      <w:r>
        <w:t xml:space="preserve"> such as a heat treatment</w:t>
      </w:r>
      <w:r w:rsidR="00F152B2">
        <w:t xml:space="preserve"> or high-pressure processing</w:t>
      </w:r>
      <w:r>
        <w:t xml:space="preserve">. </w:t>
      </w:r>
    </w:p>
    <w:p w:rsidR="000222C3" w:rsidRDefault="000222C3" w:rsidP="00D66FC4">
      <w:pPr>
        <w:rPr>
          <w:sz w:val="20"/>
          <w:szCs w:val="20"/>
        </w:rPr>
      </w:pPr>
    </w:p>
    <w:p w:rsidR="004622F1" w:rsidRDefault="004622F1">
      <w:pPr>
        <w:spacing w:after="200" w:line="276" w:lineRule="auto"/>
        <w:rPr>
          <w:b/>
          <w:sz w:val="28"/>
          <w:szCs w:val="28"/>
        </w:rPr>
      </w:pPr>
      <w:r>
        <w:rPr>
          <w:b/>
          <w:sz w:val="28"/>
          <w:szCs w:val="28"/>
        </w:rPr>
        <w:br w:type="page"/>
      </w:r>
    </w:p>
    <w:p w:rsidR="008E6BE1" w:rsidRPr="00C93524" w:rsidRDefault="00B05F1C" w:rsidP="007B6C4D">
      <w:pPr>
        <w:rPr>
          <w:b/>
          <w:sz w:val="28"/>
          <w:szCs w:val="28"/>
        </w:rPr>
      </w:pPr>
      <w:r w:rsidRPr="00C93524">
        <w:rPr>
          <w:b/>
          <w:sz w:val="28"/>
          <w:szCs w:val="28"/>
        </w:rPr>
        <w:lastRenderedPageBreak/>
        <w:t>Decision framework</w:t>
      </w:r>
    </w:p>
    <w:p w:rsidR="008E6BE1" w:rsidRDefault="008E6BE1" w:rsidP="007F57CC">
      <w:pPr>
        <w:rPr>
          <w:sz w:val="20"/>
          <w:szCs w:val="20"/>
        </w:rPr>
      </w:pPr>
    </w:p>
    <w:p w:rsidR="008408FD" w:rsidRDefault="00602E21" w:rsidP="007B6C4D">
      <w:r>
        <w:t>A</w:t>
      </w:r>
      <w:r w:rsidR="007F57CC">
        <w:t xml:space="preserve"> </w:t>
      </w:r>
      <w:r>
        <w:t xml:space="preserve">decision </w:t>
      </w:r>
      <w:r w:rsidR="007F57CC">
        <w:t xml:space="preserve">framework </w:t>
      </w:r>
      <w:r>
        <w:t>(</w:t>
      </w:r>
      <w:r w:rsidR="00B05F1C">
        <w:t xml:space="preserve">Figure </w:t>
      </w:r>
      <w:r w:rsidR="00CE73BF">
        <w:t>1</w:t>
      </w:r>
      <w:r>
        <w:t>)</w:t>
      </w:r>
      <w:r w:rsidR="00CE73BF">
        <w:t xml:space="preserve"> </w:t>
      </w:r>
      <w:r w:rsidR="00B05F1C">
        <w:t>has been developed to assist food businesses and enforcement agencies</w:t>
      </w:r>
      <w:r w:rsidR="007F57CC">
        <w:t xml:space="preserve"> </w:t>
      </w:r>
      <w:r w:rsidR="00D94E40">
        <w:t xml:space="preserve">to </w:t>
      </w:r>
      <w:r w:rsidR="007F57CC">
        <w:t>determin</w:t>
      </w:r>
      <w:r w:rsidR="00CE73BF">
        <w:t>e</w:t>
      </w:r>
      <w:r w:rsidR="007F57CC">
        <w:t xml:space="preserve"> </w:t>
      </w:r>
      <w:r w:rsidR="001F6675">
        <w:t>the appropriate</w:t>
      </w:r>
      <w:r w:rsidR="007F57CC">
        <w:t xml:space="preserve"> microbiological criteria</w:t>
      </w:r>
      <w:r w:rsidR="001F6675">
        <w:t>, if any,</w:t>
      </w:r>
      <w:r w:rsidR="00B21D0D">
        <w:t xml:space="preserve"> that</w:t>
      </w:r>
      <w:r w:rsidR="001F6675">
        <w:t xml:space="preserve"> </w:t>
      </w:r>
      <w:r w:rsidR="0073318B">
        <w:t xml:space="preserve">are </w:t>
      </w:r>
      <w:r w:rsidR="00191DD7">
        <w:t>appl</w:t>
      </w:r>
      <w:r w:rsidR="0073318B">
        <w:t>icable</w:t>
      </w:r>
      <w:r w:rsidR="00191DD7">
        <w:t xml:space="preserve"> to</w:t>
      </w:r>
      <w:r w:rsidR="007F57CC">
        <w:t xml:space="preserve"> </w:t>
      </w:r>
      <w:r w:rsidR="006328EE">
        <w:t xml:space="preserve">a </w:t>
      </w:r>
      <w:r w:rsidR="007F57CC">
        <w:t xml:space="preserve">RTE </w:t>
      </w:r>
      <w:r w:rsidR="001F6675">
        <w:t>food</w:t>
      </w:r>
      <w:r w:rsidR="00CE73BF">
        <w:t xml:space="preserve"> </w:t>
      </w:r>
      <w:r w:rsidR="006328EE">
        <w:t xml:space="preserve">product </w:t>
      </w:r>
      <w:r w:rsidR="00CE73BF">
        <w:t xml:space="preserve">and when validation </w:t>
      </w:r>
      <w:r w:rsidR="00191DD7">
        <w:t>is required</w:t>
      </w:r>
      <w:r w:rsidR="00B21D0D">
        <w:t xml:space="preserve"> to support that determination</w:t>
      </w:r>
      <w:r w:rsidR="007F57CC">
        <w:t xml:space="preserve">. </w:t>
      </w:r>
      <w:r w:rsidR="00FC0A61">
        <w:t xml:space="preserve"> </w:t>
      </w:r>
    </w:p>
    <w:p w:rsidR="008408FD" w:rsidRDefault="008408FD"/>
    <w:p w:rsidR="00785769" w:rsidRDefault="00602E21">
      <w:r>
        <w:t>In de</w:t>
      </w:r>
      <w:r w:rsidR="006A5DEC">
        <w:t>ciding</w:t>
      </w:r>
      <w:r>
        <w:t xml:space="preserve"> </w:t>
      </w:r>
      <w:r w:rsidR="00FA4C1E">
        <w:t>what</w:t>
      </w:r>
      <w:r>
        <w:t xml:space="preserve"> end-point microbiological criterion applies to a RTE food, the </w:t>
      </w:r>
      <w:r w:rsidR="00191DD7">
        <w:t xml:space="preserve">initial </w:t>
      </w:r>
      <w:r>
        <w:t>step of the framework</w:t>
      </w:r>
      <w:r w:rsidR="00191DD7">
        <w:t xml:space="preserve"> </w:t>
      </w:r>
      <w:r w:rsidR="007F57CC">
        <w:t>identif</w:t>
      </w:r>
      <w:r w:rsidR="00191DD7">
        <w:t xml:space="preserve">ies </w:t>
      </w:r>
      <w:r>
        <w:t>types of RTE</w:t>
      </w:r>
      <w:r w:rsidR="007F57CC">
        <w:t xml:space="preserve"> foods for which testing for </w:t>
      </w:r>
      <w:r w:rsidR="007F57CC" w:rsidRPr="00D66FC4">
        <w:rPr>
          <w:i/>
        </w:rPr>
        <w:t>L.</w:t>
      </w:r>
      <w:r w:rsidR="00191DD7">
        <w:rPr>
          <w:i/>
        </w:rPr>
        <w:t> </w:t>
      </w:r>
      <w:r w:rsidR="007F57CC" w:rsidRPr="00D66FC4">
        <w:rPr>
          <w:i/>
        </w:rPr>
        <w:t>monocytogenes</w:t>
      </w:r>
      <w:r w:rsidR="007F57CC">
        <w:rPr>
          <w:i/>
        </w:rPr>
        <w:t xml:space="preserve"> </w:t>
      </w:r>
      <w:r w:rsidR="00191DD7">
        <w:t>is</w:t>
      </w:r>
      <w:r w:rsidR="007F57CC" w:rsidRPr="00BE06BC">
        <w:t xml:space="preserve"> </w:t>
      </w:r>
      <w:r w:rsidR="00191DD7">
        <w:t xml:space="preserve">considered </w:t>
      </w:r>
      <w:r w:rsidR="00FC0A61">
        <w:t>unnecessary</w:t>
      </w:r>
      <w:r w:rsidR="007F57CC" w:rsidRPr="00BE06BC">
        <w:t>.</w:t>
      </w:r>
      <w:r w:rsidR="00B05F1C">
        <w:t xml:space="preserve"> </w:t>
      </w:r>
      <w:r w:rsidR="006328EE">
        <w:t>P</w:t>
      </w:r>
      <w:r>
        <w:t>roducts</w:t>
      </w:r>
      <w:r w:rsidR="006328EE">
        <w:t xml:space="preserve"> include those</w:t>
      </w:r>
      <w:r>
        <w:t xml:space="preserve"> that are commercially sterile </w:t>
      </w:r>
      <w:r w:rsidR="00B05F1C" w:rsidRPr="00B05F1C">
        <w:t xml:space="preserve">and/or not subject to post-process contamination following a listericidal treatment. </w:t>
      </w:r>
    </w:p>
    <w:p w:rsidR="00785769" w:rsidRDefault="00785769" w:rsidP="00785769"/>
    <w:p w:rsidR="008E6BE1" w:rsidRPr="00C93524" w:rsidRDefault="00355FCB" w:rsidP="007B6C4D">
      <w:r>
        <w:t>The framework then considers the chemical and physi</w:t>
      </w:r>
      <w:r w:rsidR="004622F1">
        <w:t xml:space="preserve">cal characteristics of the food, </w:t>
      </w:r>
      <w:r>
        <w:t xml:space="preserve">its shelf life, and processing factors. </w:t>
      </w:r>
      <w:r w:rsidR="0073318B">
        <w:t>W</w:t>
      </w:r>
      <w:r w:rsidR="001A6977">
        <w:t>here</w:t>
      </w:r>
      <w:r w:rsidR="00785769">
        <w:t xml:space="preserve"> insufficient, inadequate or no information exists </w:t>
      </w:r>
      <w:r w:rsidR="00602E21">
        <w:t xml:space="preserve">to </w:t>
      </w:r>
      <w:r w:rsidR="001F6675">
        <w:t>demonstrat</w:t>
      </w:r>
      <w:r w:rsidR="00602E21">
        <w:t xml:space="preserve">e </w:t>
      </w:r>
      <w:r>
        <w:t xml:space="preserve">that </w:t>
      </w:r>
      <w:r w:rsidR="00426392">
        <w:t>growth of</w:t>
      </w:r>
      <w:r w:rsidR="001A6977">
        <w:t xml:space="preserve"> </w:t>
      </w:r>
      <w:r w:rsidR="001A6977" w:rsidRPr="00C93524">
        <w:rPr>
          <w:i/>
        </w:rPr>
        <w:t>L. monocytogenes</w:t>
      </w:r>
      <w:r w:rsidR="0073318B">
        <w:t xml:space="preserve"> will not occur in a RTE</w:t>
      </w:r>
      <w:r w:rsidR="001F6675">
        <w:t xml:space="preserve"> food</w:t>
      </w:r>
      <w:r w:rsidR="005C5BA7">
        <w:t>,</w:t>
      </w:r>
      <w:r w:rsidR="001F6675">
        <w:t xml:space="preserve"> </w:t>
      </w:r>
      <w:r w:rsidR="0073318B">
        <w:t xml:space="preserve">it </w:t>
      </w:r>
      <w:r w:rsidR="00B13C10">
        <w:t>may be prudent to consider that the food can</w:t>
      </w:r>
      <w:r w:rsidR="00785769">
        <w:t xml:space="preserve"> support growth and </w:t>
      </w:r>
      <w:r w:rsidR="00B13C10">
        <w:t xml:space="preserve">therefore </w:t>
      </w:r>
      <w:r w:rsidR="00191DD7">
        <w:t>a</w:t>
      </w:r>
      <w:r w:rsidR="006328EE">
        <w:t xml:space="preserve"> limit of</w:t>
      </w:r>
      <w:r w:rsidR="00191DD7">
        <w:t xml:space="preserve"> ‘</w:t>
      </w:r>
      <w:r w:rsidR="00785769">
        <w:t>not detected’</w:t>
      </w:r>
      <w:r w:rsidR="00B13C10">
        <w:t xml:space="preserve"> would apply</w:t>
      </w:r>
      <w:r w:rsidR="00785769">
        <w:t>.</w:t>
      </w:r>
      <w:r w:rsidR="0073318B" w:rsidRPr="0073318B">
        <w:t xml:space="preserve"> </w:t>
      </w:r>
    </w:p>
    <w:p w:rsidR="008E6BE1" w:rsidRPr="00B14F9A" w:rsidRDefault="00ED202A" w:rsidP="008E6BE1">
      <w:pPr>
        <w:pStyle w:val="Heading4"/>
      </w:pPr>
      <w:r>
        <w:t>Food c</w:t>
      </w:r>
      <w:r w:rsidR="008E6BE1">
        <w:t>haracteristics</w:t>
      </w:r>
      <w:r>
        <w:t xml:space="preserve"> and </w:t>
      </w:r>
      <w:r w:rsidR="00355FCB">
        <w:t>shelf life</w:t>
      </w:r>
    </w:p>
    <w:p w:rsidR="008E6BE1" w:rsidRDefault="008E6BE1" w:rsidP="008E6BE1">
      <w:r>
        <w:t xml:space="preserve">Knowledge of the chemical and physical characteristics of a product provides an initial delineation between whether an RTE food supports the growth </w:t>
      </w:r>
      <w:r w:rsidRPr="0055355A">
        <w:rPr>
          <w:i/>
        </w:rPr>
        <w:t>of L.</w:t>
      </w:r>
      <w:r>
        <w:rPr>
          <w:i/>
        </w:rPr>
        <w:t> mo</w:t>
      </w:r>
      <w:r w:rsidR="008D3976">
        <w:rPr>
          <w:i/>
        </w:rPr>
        <w:t>nocytogenes</w:t>
      </w:r>
      <w:r w:rsidR="008D3976">
        <w:t>.</w:t>
      </w:r>
      <w:r>
        <w:t xml:space="preserve"> </w:t>
      </w:r>
    </w:p>
    <w:p w:rsidR="008E6BE1" w:rsidRDefault="008E6BE1" w:rsidP="008E6BE1"/>
    <w:p w:rsidR="008E6BE1" w:rsidRDefault="008E6BE1" w:rsidP="008E6BE1">
      <w:r>
        <w:t xml:space="preserve">Default criteria have been agreed internationally (Codex) for RTE foods where the physico-chemical characteristics fall into one of three ranges throughout the food’s stated shelf life. </w:t>
      </w:r>
      <w:r w:rsidR="008757D8">
        <w:t>These default criteria are:</w:t>
      </w:r>
    </w:p>
    <w:p w:rsidR="008E6BE1" w:rsidRDefault="008E6BE1" w:rsidP="008E6BE1"/>
    <w:p w:rsidR="008E6BE1" w:rsidRDefault="008E6BE1" w:rsidP="008E6BE1">
      <w:pPr>
        <w:pStyle w:val="ListParagraph"/>
        <w:numPr>
          <w:ilvl w:val="0"/>
          <w:numId w:val="22"/>
        </w:numPr>
        <w:ind w:left="567" w:hanging="567"/>
      </w:pPr>
      <w:r>
        <w:t>pH &lt; 4.4, regardless of water activity</w:t>
      </w:r>
      <w:r w:rsidR="008757D8">
        <w:t>;</w:t>
      </w:r>
    </w:p>
    <w:p w:rsidR="008E6BE1" w:rsidRDefault="008E6BE1" w:rsidP="008E6BE1">
      <w:pPr>
        <w:pStyle w:val="ListParagraph"/>
        <w:numPr>
          <w:ilvl w:val="0"/>
          <w:numId w:val="22"/>
        </w:numPr>
        <w:ind w:left="567" w:hanging="567"/>
      </w:pPr>
      <w:r>
        <w:t>a</w:t>
      </w:r>
      <w:r w:rsidRPr="00EB1071">
        <w:rPr>
          <w:vertAlign w:val="subscript"/>
        </w:rPr>
        <w:t>w</w:t>
      </w:r>
      <w:r>
        <w:t xml:space="preserve"> &lt; 0.92, regardless of pH</w:t>
      </w:r>
      <w:r w:rsidR="008757D8">
        <w:t>;</w:t>
      </w:r>
      <w:r>
        <w:t xml:space="preserve"> </w:t>
      </w:r>
      <w:r w:rsidR="00810147">
        <w:t>and</w:t>
      </w:r>
    </w:p>
    <w:p w:rsidR="008E6BE1" w:rsidRPr="002865AC" w:rsidRDefault="008E6BE1" w:rsidP="008E6BE1">
      <w:pPr>
        <w:pStyle w:val="FSBullet1"/>
      </w:pPr>
      <w:proofErr w:type="gramStart"/>
      <w:r w:rsidRPr="002865AC">
        <w:t>combination</w:t>
      </w:r>
      <w:proofErr w:type="gramEnd"/>
      <w:r w:rsidRPr="002865AC">
        <w:t xml:space="preserve"> of pH &lt; 5.0 and water activity &lt; 0.94</w:t>
      </w:r>
      <w:r w:rsidR="00810147">
        <w:t>.</w:t>
      </w:r>
    </w:p>
    <w:p w:rsidR="008E6BE1" w:rsidRDefault="008E6BE1" w:rsidP="008E6BE1">
      <w:pPr>
        <w:pStyle w:val="FSBullet1"/>
        <w:numPr>
          <w:ilvl w:val="0"/>
          <w:numId w:val="0"/>
        </w:numPr>
      </w:pPr>
    </w:p>
    <w:p w:rsidR="008E6BE1" w:rsidRDefault="00810147" w:rsidP="008E6BE1">
      <w:pPr>
        <w:pStyle w:val="FSBullet1"/>
        <w:numPr>
          <w:ilvl w:val="0"/>
          <w:numId w:val="0"/>
        </w:numPr>
      </w:pPr>
      <w:r>
        <w:t>In addition, f</w:t>
      </w:r>
      <w:r w:rsidR="00C24ABF">
        <w:t>oods which are frozen are also included in that list</w:t>
      </w:r>
      <w:r>
        <w:t xml:space="preserve"> and</w:t>
      </w:r>
      <w:r w:rsidR="008E6BE1">
        <w:t xml:space="preserve"> include foods consumed frozen and those intended to be thawed before consumption (to be eaten cold or re-heated). </w:t>
      </w:r>
      <w:r w:rsidR="004622F1">
        <w:t xml:space="preserve">Final use of the </w:t>
      </w:r>
      <w:r>
        <w:t xml:space="preserve">frozen </w:t>
      </w:r>
      <w:r w:rsidR="004622F1">
        <w:t xml:space="preserve">product </w:t>
      </w:r>
      <w:r w:rsidR="004622F1" w:rsidRPr="00B14F9A">
        <w:t>must be considered</w:t>
      </w:r>
      <w:r w:rsidR="004622F1">
        <w:t>, for example,</w:t>
      </w:r>
      <w:r w:rsidR="004622F1" w:rsidRPr="00B14F9A">
        <w:t xml:space="preserve"> </w:t>
      </w:r>
      <w:r w:rsidR="004622F1">
        <w:t xml:space="preserve">is the </w:t>
      </w:r>
      <w:r w:rsidR="008E6BE1">
        <w:t>product</w:t>
      </w:r>
      <w:r w:rsidR="004622F1">
        <w:t xml:space="preserve"> </w:t>
      </w:r>
      <w:r w:rsidR="008E6BE1">
        <w:t xml:space="preserve">intended to be thawed for </w:t>
      </w:r>
      <w:r w:rsidR="004622F1">
        <w:t xml:space="preserve">retail </w:t>
      </w:r>
      <w:r w:rsidR="008E6BE1">
        <w:t>sale</w:t>
      </w:r>
      <w:r w:rsidR="004622F1">
        <w:t xml:space="preserve"> at which stage it would not be a frozen product. </w:t>
      </w:r>
    </w:p>
    <w:p w:rsidR="00ED202A" w:rsidRDefault="00ED202A" w:rsidP="008E6BE1">
      <w:pPr>
        <w:pStyle w:val="FSBullet1"/>
        <w:numPr>
          <w:ilvl w:val="0"/>
          <w:numId w:val="0"/>
        </w:numPr>
      </w:pPr>
    </w:p>
    <w:p w:rsidR="008E6BE1" w:rsidRDefault="008E6BE1" w:rsidP="008E6BE1">
      <w:pPr>
        <w:pStyle w:val="FSBullet1"/>
        <w:numPr>
          <w:ilvl w:val="0"/>
          <w:numId w:val="0"/>
        </w:numPr>
      </w:pPr>
      <w:r>
        <w:t xml:space="preserve">The potential for </w:t>
      </w:r>
      <w:r w:rsidRPr="002F1721">
        <w:rPr>
          <w:i/>
        </w:rPr>
        <w:t>L. monocytogenes</w:t>
      </w:r>
      <w:r>
        <w:t xml:space="preserve"> to grow to high levels in foods with a short refrigerated shelf life</w:t>
      </w:r>
      <w:r w:rsidR="008408FD">
        <w:t xml:space="preserve"> (</w:t>
      </w:r>
      <w:r w:rsidR="008408FD">
        <w:sym w:font="Symbol" w:char="F0A3"/>
      </w:r>
      <w:r w:rsidR="008408FD">
        <w:t xml:space="preserve"> 5 days)</w:t>
      </w:r>
      <w:r>
        <w:t xml:space="preserve"> is restricted (Health Canada, 2011; Ross 2011). </w:t>
      </w:r>
      <w:r w:rsidR="00810147">
        <w:t xml:space="preserve">Studies support </w:t>
      </w:r>
      <w:r w:rsidR="00B21D0D">
        <w:t xml:space="preserve">the conclusion </w:t>
      </w:r>
      <w:r w:rsidR="00810147">
        <w:t>that, p</w:t>
      </w:r>
      <w:r>
        <w:t>roviding G</w:t>
      </w:r>
      <w:r w:rsidR="006B42B6">
        <w:t xml:space="preserve">ood </w:t>
      </w:r>
      <w:r>
        <w:t>M</w:t>
      </w:r>
      <w:r w:rsidR="006B42B6">
        <w:t xml:space="preserve">anufacturing </w:t>
      </w:r>
      <w:r>
        <w:t>P</w:t>
      </w:r>
      <w:r w:rsidR="006B42B6">
        <w:t>ractices (GHP)</w:t>
      </w:r>
      <w:r>
        <w:t>/G</w:t>
      </w:r>
      <w:r w:rsidR="006B42B6">
        <w:t xml:space="preserve">ood </w:t>
      </w:r>
      <w:r>
        <w:t>H</w:t>
      </w:r>
      <w:r w:rsidR="006B42B6">
        <w:t xml:space="preserve">andling </w:t>
      </w:r>
      <w:r>
        <w:t>P</w:t>
      </w:r>
      <w:r w:rsidR="006B42B6">
        <w:t>ractices (GHP)</w:t>
      </w:r>
      <w:r>
        <w:t xml:space="preserve"> ha</w:t>
      </w:r>
      <w:r w:rsidR="006B42B6">
        <w:t>ve</w:t>
      </w:r>
      <w:r>
        <w:t xml:space="preserve"> been followed to minimise initial contamination levels, </w:t>
      </w:r>
      <w:r w:rsidR="00810147">
        <w:t>short shelf life</w:t>
      </w:r>
      <w:r>
        <w:t xml:space="preserve"> foods pose a lower risk with respect to causing to listeriosis. </w:t>
      </w:r>
    </w:p>
    <w:p w:rsidR="008408FD" w:rsidRDefault="008408FD" w:rsidP="008408FD">
      <w:pPr>
        <w:pStyle w:val="FSBullet1"/>
        <w:numPr>
          <w:ilvl w:val="0"/>
          <w:numId w:val="0"/>
        </w:numPr>
      </w:pPr>
    </w:p>
    <w:p w:rsidR="008408FD" w:rsidRPr="007B6C4D" w:rsidRDefault="008408FD" w:rsidP="007B6C4D">
      <w:pPr>
        <w:pStyle w:val="FSBullet1"/>
        <w:numPr>
          <w:ilvl w:val="0"/>
          <w:numId w:val="0"/>
        </w:numPr>
      </w:pPr>
      <w:r>
        <w:t>For the purposes of Standard 1.6.1, f</w:t>
      </w:r>
      <w:r w:rsidRPr="00810E05">
        <w:t>ood</w:t>
      </w:r>
      <w:r>
        <w:t>s</w:t>
      </w:r>
      <w:r w:rsidRPr="00810E05">
        <w:t xml:space="preserve"> meet</w:t>
      </w:r>
      <w:r>
        <w:t>ing</w:t>
      </w:r>
      <w:r w:rsidRPr="00810E05">
        <w:t xml:space="preserve"> these criteria </w:t>
      </w:r>
      <w:r>
        <w:t xml:space="preserve">are considered to not support the growth of </w:t>
      </w:r>
      <w:r w:rsidRPr="009C16EA">
        <w:rPr>
          <w:i/>
        </w:rPr>
        <w:t>L. monocytogenes</w:t>
      </w:r>
      <w:r>
        <w:t xml:space="preserve">. </w:t>
      </w:r>
    </w:p>
    <w:p w:rsidR="008E6BE1" w:rsidRDefault="008E6BE1" w:rsidP="007F57CC">
      <w:pPr>
        <w:rPr>
          <w:i/>
        </w:rPr>
      </w:pPr>
    </w:p>
    <w:p w:rsidR="008408FD" w:rsidRPr="00C93524" w:rsidRDefault="00021E4B" w:rsidP="007F57CC">
      <w:pPr>
        <w:rPr>
          <w:b/>
          <w:i/>
        </w:rPr>
      </w:pPr>
      <w:r>
        <w:rPr>
          <w:b/>
          <w:i/>
        </w:rPr>
        <w:t>P</w:t>
      </w:r>
      <w:r w:rsidR="008408FD" w:rsidRPr="00C93524">
        <w:rPr>
          <w:b/>
          <w:i/>
        </w:rPr>
        <w:t>roduction processes and additional validation</w:t>
      </w:r>
    </w:p>
    <w:p w:rsidR="00092912" w:rsidRDefault="00092912" w:rsidP="007F57CC"/>
    <w:p w:rsidR="00021E4B" w:rsidRPr="00A76EA8" w:rsidRDefault="00021E4B" w:rsidP="00021E4B">
      <w:pPr>
        <w:rPr>
          <w:i/>
        </w:rPr>
      </w:pPr>
      <w:r w:rsidRPr="00A76EA8">
        <w:rPr>
          <w:i/>
        </w:rPr>
        <w:t xml:space="preserve">1. </w:t>
      </w:r>
      <w:r w:rsidR="00A76EA8" w:rsidRPr="00A76EA8">
        <w:rPr>
          <w:i/>
        </w:rPr>
        <w:t>Has</w:t>
      </w:r>
      <w:r w:rsidR="00FA4C1E">
        <w:rPr>
          <w:i/>
        </w:rPr>
        <w:t xml:space="preserve"> the</w:t>
      </w:r>
      <w:r w:rsidR="00A76EA8" w:rsidRPr="00A76EA8">
        <w:rPr>
          <w:i/>
        </w:rPr>
        <w:t xml:space="preserve"> RTE food received a listericidal treatment?</w:t>
      </w:r>
    </w:p>
    <w:p w:rsidR="00A76EA8" w:rsidRDefault="00A76EA8" w:rsidP="00021E4B"/>
    <w:p w:rsidR="00C23545" w:rsidRDefault="00FA4C1E" w:rsidP="0066240D">
      <w:r>
        <w:t>T</w:t>
      </w:r>
      <w:r w:rsidR="007213F1">
        <w:t xml:space="preserve">he </w:t>
      </w:r>
      <w:r w:rsidR="00092912">
        <w:t xml:space="preserve">next consideration </w:t>
      </w:r>
      <w:r w:rsidR="00131A8F">
        <w:t xml:space="preserve">for determining the appropriate microbiological limit is whether a </w:t>
      </w:r>
      <w:r w:rsidR="008B31EA">
        <w:t>RTE food receiv</w:t>
      </w:r>
      <w:r w:rsidR="00131A8F">
        <w:t>es</w:t>
      </w:r>
      <w:r w:rsidR="008B31EA">
        <w:t xml:space="preserve"> a listericidal treatment during production</w:t>
      </w:r>
      <w:r w:rsidR="00131A8F">
        <w:t xml:space="preserve">. </w:t>
      </w:r>
      <w:r w:rsidR="00021E4B">
        <w:t xml:space="preserve">The presence of </w:t>
      </w:r>
      <w:r w:rsidR="00021E4B" w:rsidRPr="00021E4B">
        <w:rPr>
          <w:i/>
        </w:rPr>
        <w:t>L. monocytogenes</w:t>
      </w:r>
      <w:r w:rsidR="00021E4B">
        <w:t xml:space="preserve"> in RTE foods that have received a listericidal treatment indicates re-contamination</w:t>
      </w:r>
      <w:r w:rsidR="00021E4B" w:rsidRPr="00021E4B">
        <w:t xml:space="preserve"> </w:t>
      </w:r>
      <w:r w:rsidR="00021E4B">
        <w:t>following the listericidal processing step. Whether growth can then occur may depend upon product characteristics, use of inhibitory substances, production/packaging practices, and/or the specified shelf life.</w:t>
      </w:r>
      <w:r w:rsidR="00021E4B" w:rsidRPr="00021E4B">
        <w:t xml:space="preserve"> </w:t>
      </w:r>
    </w:p>
    <w:p w:rsidR="00C23545" w:rsidRDefault="00C23545" w:rsidP="0066240D">
      <w:pPr>
        <w:sectPr w:rsidR="00C23545" w:rsidSect="00356CEF">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cols w:space="708"/>
          <w:docGrid w:linePitch="360"/>
        </w:sectPr>
      </w:pPr>
    </w:p>
    <w:p w:rsidR="00C23545" w:rsidRDefault="00C23545" w:rsidP="0066240D">
      <w:r>
        <w:rPr>
          <w:noProof/>
          <w:lang w:eastAsia="en-GB"/>
        </w:rPr>
        <w:lastRenderedPageBreak/>
        <w:drawing>
          <wp:inline distT="0" distB="0" distL="0" distR="0" wp14:anchorId="1CCEB803" wp14:editId="4175F9D8">
            <wp:extent cx="6901732" cy="54066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004" cy="5421704"/>
                    </a:xfrm>
                    <a:prstGeom prst="rect">
                      <a:avLst/>
                    </a:prstGeom>
                    <a:noFill/>
                  </pic:spPr>
                </pic:pic>
              </a:graphicData>
            </a:graphic>
          </wp:inline>
        </w:drawing>
      </w:r>
    </w:p>
    <w:p w:rsidR="00C23545" w:rsidRDefault="00C23545" w:rsidP="00C23545">
      <w:pPr>
        <w:pStyle w:val="FSTableColumnRowheading"/>
      </w:pPr>
      <w:r w:rsidRPr="00C93524">
        <w:rPr>
          <w:i/>
        </w:rPr>
        <w:t>Figure 1</w:t>
      </w:r>
      <w:r w:rsidRPr="00C93524">
        <w:tab/>
      </w:r>
      <w:r w:rsidR="00810147" w:rsidRPr="00810147">
        <w:rPr>
          <w:b w:val="0"/>
        </w:rPr>
        <w:t>Recommended f</w:t>
      </w:r>
      <w:r w:rsidRPr="00C23545">
        <w:rPr>
          <w:b w:val="0"/>
        </w:rPr>
        <w:t xml:space="preserve">ramework for applying limits for </w:t>
      </w:r>
      <w:r w:rsidRPr="00C23545">
        <w:rPr>
          <w:b w:val="0"/>
          <w:i/>
        </w:rPr>
        <w:t>L. monocytogenes</w:t>
      </w:r>
      <w:r w:rsidRPr="00C23545">
        <w:rPr>
          <w:b w:val="0"/>
        </w:rPr>
        <w:t xml:space="preserve"> </w:t>
      </w:r>
      <w:r>
        <w:rPr>
          <w:b w:val="0"/>
        </w:rPr>
        <w:t xml:space="preserve">in RTE foods </w:t>
      </w:r>
      <w:r w:rsidRPr="00C23545">
        <w:rPr>
          <w:b w:val="0"/>
        </w:rPr>
        <w:t>for the purpose of Standard 1.6.1 and need for validation</w:t>
      </w:r>
    </w:p>
    <w:p w:rsidR="00C23545" w:rsidRDefault="00C23545" w:rsidP="0066240D">
      <w:pPr>
        <w:sectPr w:rsidR="00C23545" w:rsidSect="00C23545">
          <w:pgSz w:w="16838" w:h="11906" w:orient="landscape"/>
          <w:pgMar w:top="1440" w:right="1440" w:bottom="1440" w:left="1440" w:header="708" w:footer="708" w:gutter="0"/>
          <w:cols w:space="708"/>
          <w:docGrid w:linePitch="360"/>
        </w:sectPr>
      </w:pPr>
    </w:p>
    <w:p w:rsidR="0066240D" w:rsidRDefault="00D012B5" w:rsidP="0066240D">
      <w:r>
        <w:lastRenderedPageBreak/>
        <w:t xml:space="preserve">Recognising the potential for </w:t>
      </w:r>
      <w:r w:rsidR="0066240D">
        <w:t xml:space="preserve">post-process contamination, foods receiving </w:t>
      </w:r>
      <w:r w:rsidR="00715D26">
        <w:t xml:space="preserve">a </w:t>
      </w:r>
      <w:r w:rsidR="0066240D">
        <w:t xml:space="preserve">listericidal treatment may have been formulated or undergone additional mitigation treatments to inhibit growth of </w:t>
      </w:r>
      <w:r w:rsidR="0066240D" w:rsidRPr="00C93524">
        <w:rPr>
          <w:i/>
        </w:rPr>
        <w:t>L.</w:t>
      </w:r>
      <w:r w:rsidR="0066240D">
        <w:rPr>
          <w:i/>
        </w:rPr>
        <w:t> </w:t>
      </w:r>
      <w:r w:rsidR="0066240D" w:rsidRPr="00C93524">
        <w:rPr>
          <w:i/>
        </w:rPr>
        <w:t>monocytogenes</w:t>
      </w:r>
      <w:r w:rsidR="0066240D">
        <w:t xml:space="preserve"> should it </w:t>
      </w:r>
      <w:proofErr w:type="gramStart"/>
      <w:r w:rsidR="0066240D">
        <w:t>become</w:t>
      </w:r>
      <w:proofErr w:type="gramEnd"/>
      <w:r w:rsidR="0066240D">
        <w:t xml:space="preserve"> present. </w:t>
      </w:r>
    </w:p>
    <w:p w:rsidR="00573A90" w:rsidRDefault="00573A90" w:rsidP="0066240D"/>
    <w:p w:rsidR="00584718" w:rsidRDefault="00573A90" w:rsidP="0066240D">
      <w:r>
        <w:t>In the absence of any other information</w:t>
      </w:r>
      <w:r w:rsidR="00380D94">
        <w:t>,</w:t>
      </w:r>
      <w:r>
        <w:t xml:space="preserve"> a limit of ‘not detected’ in 25 g would apply to these RTE foods</w:t>
      </w:r>
      <w:r w:rsidR="00584718">
        <w:t xml:space="preserve"> throughout their shelf life</w:t>
      </w:r>
      <w:r>
        <w:t xml:space="preserve">. This is the default criterion should a business not have specific information available about their RTE food (e.g. </w:t>
      </w:r>
      <w:r w:rsidR="00584718">
        <w:t xml:space="preserve">unable to validate whether </w:t>
      </w:r>
      <w:r>
        <w:t xml:space="preserve">growth of </w:t>
      </w:r>
      <w:r w:rsidR="00584718" w:rsidRPr="00584718">
        <w:rPr>
          <w:i/>
        </w:rPr>
        <w:t>L. monocytogenes</w:t>
      </w:r>
      <w:r>
        <w:t xml:space="preserve"> </w:t>
      </w:r>
      <w:r w:rsidR="00584718">
        <w:t>can occur or not during the</w:t>
      </w:r>
      <w:r>
        <w:t xml:space="preserve"> stated shelf life). </w:t>
      </w:r>
    </w:p>
    <w:p w:rsidR="00584718" w:rsidRDefault="00584718" w:rsidP="0066240D"/>
    <w:p w:rsidR="00573A90" w:rsidRDefault="00573A90" w:rsidP="0066240D">
      <w:r>
        <w:t xml:space="preserve">If evidence can be provided that </w:t>
      </w:r>
      <w:r w:rsidR="00584718">
        <w:t xml:space="preserve">the RTE food does not support </w:t>
      </w:r>
      <w:r>
        <w:t>growth</w:t>
      </w:r>
      <w:r w:rsidR="00FC7DD4">
        <w:t>,</w:t>
      </w:r>
      <w:r>
        <w:t xml:space="preserve"> then a limit </w:t>
      </w:r>
      <w:proofErr w:type="gramStart"/>
      <w:r>
        <w:t>of</w:t>
      </w:r>
      <w:r w:rsidR="00BA2BAF">
        <w:t xml:space="preserve"> </w:t>
      </w:r>
      <w:r>
        <w:t>100</w:t>
      </w:r>
      <w:r w:rsidR="00FE2EDE">
        <w:t xml:space="preserve"> </w:t>
      </w:r>
      <w:r>
        <w:t xml:space="preserve">cfu/g </w:t>
      </w:r>
      <w:r w:rsidR="00584718">
        <w:t>throughout the stated shelf life</w:t>
      </w:r>
      <w:proofErr w:type="gramEnd"/>
      <w:r w:rsidR="00584718">
        <w:t xml:space="preserve"> </w:t>
      </w:r>
      <w:r>
        <w:t>would be applied</w:t>
      </w:r>
      <w:r w:rsidR="00584718">
        <w:t xml:space="preserve"> for the purposes of Standard</w:t>
      </w:r>
      <w:r w:rsidR="00FC7DD4">
        <w:t> </w:t>
      </w:r>
      <w:r w:rsidR="00584718">
        <w:t xml:space="preserve">1.6.1. </w:t>
      </w:r>
      <w:r>
        <w:t xml:space="preserve">  </w:t>
      </w:r>
    </w:p>
    <w:p w:rsidR="00021E4B" w:rsidRDefault="00021E4B" w:rsidP="007F57CC"/>
    <w:p w:rsidR="00021E4B" w:rsidRPr="00A76EA8" w:rsidRDefault="00A76EA8" w:rsidP="007F57CC">
      <w:pPr>
        <w:rPr>
          <w:i/>
        </w:rPr>
      </w:pPr>
      <w:r w:rsidRPr="00A76EA8">
        <w:rPr>
          <w:i/>
        </w:rPr>
        <w:t>2. RTE foods not receiving a listericidal treatment</w:t>
      </w:r>
    </w:p>
    <w:p w:rsidR="00021E4B" w:rsidRDefault="00021E4B" w:rsidP="007F57CC"/>
    <w:p w:rsidR="00584718" w:rsidRPr="00584718" w:rsidRDefault="00021E4B" w:rsidP="00977CD8">
      <w:r>
        <w:t>Some foods do not r</w:t>
      </w:r>
      <w:r w:rsidR="00977CD8">
        <w:t xml:space="preserve">eceive a listericidal treatment during processing (e.g. cold smoked finfish; fresh cuts) and ensuring product safety relies on </w:t>
      </w:r>
      <w:r w:rsidR="00977CD8" w:rsidRPr="00584718">
        <w:t>minimis</w:t>
      </w:r>
      <w:r w:rsidR="00977CD8">
        <w:t>ing</w:t>
      </w:r>
      <w:r w:rsidR="00977CD8" w:rsidRPr="00584718">
        <w:t xml:space="preserve"> or reduc</w:t>
      </w:r>
      <w:r w:rsidR="00977CD8">
        <w:t>ing contamination during primary production, processing and distribution</w:t>
      </w:r>
      <w:r w:rsidR="00D012B5">
        <w:t>,</w:t>
      </w:r>
      <w:r w:rsidR="00977CD8">
        <w:t xml:space="preserve"> and limit</w:t>
      </w:r>
      <w:r w:rsidR="00D012B5">
        <w:t>ing</w:t>
      </w:r>
      <w:r w:rsidR="00977CD8">
        <w:t xml:space="preserve"> growth through maintaining the cold chain and </w:t>
      </w:r>
      <w:r w:rsidR="00D012B5">
        <w:t>restricting</w:t>
      </w:r>
      <w:r w:rsidR="00977CD8">
        <w:t xml:space="preserve"> shelf life. Occasional low level </w:t>
      </w:r>
      <w:r w:rsidR="00C23545">
        <w:t xml:space="preserve">contamination of such products by </w:t>
      </w:r>
      <w:r w:rsidR="00C23545" w:rsidRPr="00C23545">
        <w:rPr>
          <w:i/>
        </w:rPr>
        <w:t>L. monocytogenes</w:t>
      </w:r>
      <w:r w:rsidR="00C23545">
        <w:t xml:space="preserve"> may be unavoidable but may not present a risk if growth cannot occur or is limited within the stated shelf life. </w:t>
      </w:r>
    </w:p>
    <w:p w:rsidR="00131A8F" w:rsidRDefault="00131A8F" w:rsidP="007F57CC"/>
    <w:p w:rsidR="00883847" w:rsidRDefault="00C23545" w:rsidP="007F57CC">
      <w:r>
        <w:t xml:space="preserve">If evidence can be provided that the level of </w:t>
      </w:r>
      <w:r w:rsidRPr="00CE67AB">
        <w:rPr>
          <w:i/>
        </w:rPr>
        <w:t>L. monocytogenes</w:t>
      </w:r>
      <w:r>
        <w:t xml:space="preserve"> </w:t>
      </w:r>
      <w:r w:rsidR="00866D18">
        <w:t>is limited (&lt;</w:t>
      </w:r>
      <w:r>
        <w:t>100 cfu/g</w:t>
      </w:r>
      <w:r w:rsidR="00866D18">
        <w:t>)</w:t>
      </w:r>
      <w:r>
        <w:t xml:space="preserve"> within the shelf life of these foods</w:t>
      </w:r>
      <w:r w:rsidR="00CC3E97">
        <w:t>,</w:t>
      </w:r>
      <w:r>
        <w:t xml:space="preserve"> then </w:t>
      </w:r>
      <w:r w:rsidR="007F57CC">
        <w:t>a limit of &lt;100 cfu/g applies</w:t>
      </w:r>
      <w:r>
        <w:t xml:space="preserve"> for the purpose of Standard 1.6.1</w:t>
      </w:r>
      <w:r w:rsidR="007F57CC">
        <w:t xml:space="preserve">. </w:t>
      </w:r>
    </w:p>
    <w:p w:rsidR="00CE67AB" w:rsidRPr="00CE67AB" w:rsidRDefault="00CE67AB" w:rsidP="00CE67AB"/>
    <w:p w:rsidR="00E33D09" w:rsidRDefault="00E33D09" w:rsidP="00BD0DA8">
      <w:pPr>
        <w:pStyle w:val="Heading2"/>
      </w:pPr>
      <w:r w:rsidRPr="003960ED">
        <w:t>Validation</w:t>
      </w:r>
    </w:p>
    <w:p w:rsidR="00BD0DA8" w:rsidRDefault="00BD0DA8" w:rsidP="00DA5FBA">
      <w:pPr>
        <w:rPr>
          <w:rFonts w:cs="Arial"/>
        </w:rPr>
      </w:pPr>
    </w:p>
    <w:p w:rsidR="00BD0DA8" w:rsidRDefault="00292A01" w:rsidP="00DA5FBA">
      <w:pPr>
        <w:rPr>
          <w:rFonts w:cs="Arial"/>
        </w:rPr>
      </w:pPr>
      <w:r>
        <w:rPr>
          <w:rFonts w:cs="Arial"/>
        </w:rPr>
        <w:t>Evidence</w:t>
      </w:r>
      <w:r w:rsidRPr="00E07689">
        <w:rPr>
          <w:rFonts w:cs="Arial"/>
        </w:rPr>
        <w:t xml:space="preserve"> </w:t>
      </w:r>
      <w:r w:rsidR="00817906" w:rsidRPr="00E07689">
        <w:rPr>
          <w:rFonts w:cs="Arial"/>
        </w:rPr>
        <w:t xml:space="preserve">that </w:t>
      </w:r>
      <w:r w:rsidR="00817906" w:rsidRPr="00E07689">
        <w:rPr>
          <w:rFonts w:cs="Arial"/>
          <w:i/>
        </w:rPr>
        <w:t>L. monocytogenes</w:t>
      </w:r>
      <w:r w:rsidR="00817906" w:rsidRPr="00E07689">
        <w:rPr>
          <w:rFonts w:cs="Arial"/>
          <w:i/>
          <w:iCs/>
        </w:rPr>
        <w:t xml:space="preserve"> </w:t>
      </w:r>
      <w:r w:rsidR="00817906" w:rsidRPr="00E07689">
        <w:rPr>
          <w:rFonts w:cs="Arial"/>
        </w:rPr>
        <w:t xml:space="preserve">will not grow in a </w:t>
      </w:r>
      <w:r w:rsidR="00E0190B">
        <w:rPr>
          <w:rFonts w:cs="Arial"/>
        </w:rPr>
        <w:t>RTE</w:t>
      </w:r>
      <w:r w:rsidR="00817906" w:rsidRPr="00E07689">
        <w:rPr>
          <w:rFonts w:cs="Arial"/>
        </w:rPr>
        <w:t xml:space="preserve"> food </w:t>
      </w:r>
      <w:r w:rsidR="007F5592">
        <w:rPr>
          <w:rFonts w:cs="Arial"/>
        </w:rPr>
        <w:t>may</w:t>
      </w:r>
      <w:r w:rsidR="007F5592" w:rsidRPr="00E07689">
        <w:rPr>
          <w:rFonts w:cs="Arial"/>
        </w:rPr>
        <w:t xml:space="preserve"> </w:t>
      </w:r>
      <w:r w:rsidR="00817906" w:rsidRPr="00E07689">
        <w:rPr>
          <w:rFonts w:cs="Arial"/>
        </w:rPr>
        <w:t>be based upon</w:t>
      </w:r>
      <w:r w:rsidR="00BD0DA8">
        <w:rPr>
          <w:rFonts w:cs="Arial"/>
        </w:rPr>
        <w:t>:</w:t>
      </w:r>
    </w:p>
    <w:p w:rsidR="00292A01" w:rsidRDefault="00292A01" w:rsidP="00DA5FBA">
      <w:pPr>
        <w:rPr>
          <w:rFonts w:cs="Arial"/>
        </w:rPr>
      </w:pPr>
    </w:p>
    <w:p w:rsidR="00BD0DA8" w:rsidRDefault="000951AD" w:rsidP="00BD0DA8">
      <w:pPr>
        <w:pStyle w:val="FSBullet1"/>
      </w:pPr>
      <w:r>
        <w:t xml:space="preserve">the </w:t>
      </w:r>
      <w:r w:rsidR="00BD0DA8">
        <w:t xml:space="preserve">physico-chemical characteristics of the </w:t>
      </w:r>
      <w:r w:rsidR="00817906" w:rsidRPr="00E07689">
        <w:t>food</w:t>
      </w:r>
    </w:p>
    <w:p w:rsidR="00433E18" w:rsidRPr="00433E18" w:rsidRDefault="00433E18" w:rsidP="00433E18">
      <w:pPr>
        <w:pStyle w:val="FSBullet1"/>
      </w:pPr>
      <w:r>
        <w:t>historical information on similar or related products</w:t>
      </w:r>
    </w:p>
    <w:p w:rsidR="00A75DB5" w:rsidRDefault="00A75DB5" w:rsidP="00A75DB5">
      <w:pPr>
        <w:pStyle w:val="FSBullet1"/>
      </w:pPr>
      <w:r w:rsidRPr="00E07689">
        <w:t>information from the scientific literature and risk assessments</w:t>
      </w:r>
    </w:p>
    <w:p w:rsidR="00BD0DA8" w:rsidRDefault="00817906" w:rsidP="00BD0DA8">
      <w:pPr>
        <w:pStyle w:val="FSBullet1"/>
      </w:pPr>
      <w:r w:rsidRPr="00E07689">
        <w:t xml:space="preserve">challenge </w:t>
      </w:r>
      <w:r w:rsidR="00BD0DA8">
        <w:t>studie</w:t>
      </w:r>
      <w:r w:rsidRPr="00E07689">
        <w:t>s</w:t>
      </w:r>
    </w:p>
    <w:p w:rsidR="00C7443D" w:rsidRDefault="00C7443D" w:rsidP="00C7443D">
      <w:pPr>
        <w:pStyle w:val="FSBullet1"/>
      </w:pPr>
      <w:r w:rsidRPr="00E07689">
        <w:t>predictive modelling</w:t>
      </w:r>
    </w:p>
    <w:p w:rsidR="00CE67AB" w:rsidRDefault="00CE67AB" w:rsidP="00BD0DA8">
      <w:pPr>
        <w:pStyle w:val="FSBullet1"/>
      </w:pPr>
      <w:proofErr w:type="gramStart"/>
      <w:r>
        <w:t>a</w:t>
      </w:r>
      <w:proofErr w:type="gramEnd"/>
      <w:r w:rsidR="00817906" w:rsidRPr="00E07689">
        <w:t xml:space="preserve"> combination</w:t>
      </w:r>
      <w:r>
        <w:t xml:space="preserve"> </w:t>
      </w:r>
      <w:r w:rsidR="00817906" w:rsidRPr="00E07689">
        <w:t>of these</w:t>
      </w:r>
      <w:r>
        <w:t xml:space="preserve"> approaches</w:t>
      </w:r>
      <w:r w:rsidR="00817906" w:rsidRPr="00E07689">
        <w:t>.</w:t>
      </w:r>
      <w:r w:rsidR="006C4971" w:rsidRPr="00E07689">
        <w:t xml:space="preserve"> </w:t>
      </w:r>
    </w:p>
    <w:p w:rsidR="00D72BAE" w:rsidRPr="00E07689" w:rsidRDefault="00D72BAE" w:rsidP="00DA5FBA">
      <w:pPr>
        <w:rPr>
          <w:rFonts w:cs="Arial"/>
        </w:rPr>
      </w:pPr>
    </w:p>
    <w:p w:rsidR="00C7443D" w:rsidRDefault="00E24ED0" w:rsidP="003C4265">
      <w:pPr>
        <w:rPr>
          <w:rFonts w:cs="Arial"/>
        </w:rPr>
      </w:pPr>
      <w:r>
        <w:rPr>
          <w:rFonts w:cs="Arial"/>
        </w:rPr>
        <w:t>V</w:t>
      </w:r>
      <w:r w:rsidR="003C4265" w:rsidRPr="00EE5E7E">
        <w:rPr>
          <w:rFonts w:cs="Arial"/>
        </w:rPr>
        <w:t xml:space="preserve">alidation documentation </w:t>
      </w:r>
      <w:r>
        <w:rPr>
          <w:rFonts w:cs="Arial"/>
        </w:rPr>
        <w:t>should</w:t>
      </w:r>
      <w:r w:rsidR="003C4265" w:rsidRPr="00EE5E7E">
        <w:rPr>
          <w:rFonts w:cs="Arial"/>
        </w:rPr>
        <w:t xml:space="preserve"> provide the </w:t>
      </w:r>
      <w:r w:rsidR="00433E18">
        <w:rPr>
          <w:rFonts w:cs="Arial"/>
        </w:rPr>
        <w:t xml:space="preserve">objective evidence that shows </w:t>
      </w:r>
      <w:r w:rsidR="003C4265" w:rsidRPr="00EE5E7E">
        <w:rPr>
          <w:rFonts w:cs="Arial"/>
        </w:rPr>
        <w:t xml:space="preserve">that the product </w:t>
      </w:r>
      <w:r w:rsidR="00CE67AB">
        <w:rPr>
          <w:rFonts w:cs="Arial"/>
        </w:rPr>
        <w:t xml:space="preserve">does not support the growth of </w:t>
      </w:r>
      <w:r w:rsidR="00CE67AB" w:rsidRPr="00CE67AB">
        <w:rPr>
          <w:rFonts w:cs="Arial"/>
          <w:i/>
        </w:rPr>
        <w:t>L. monocytogenes</w:t>
      </w:r>
      <w:r w:rsidR="00CE67AB">
        <w:rPr>
          <w:rFonts w:cs="Arial"/>
        </w:rPr>
        <w:t xml:space="preserve"> or that growth is limited (&lt;100 cfu/g) </w:t>
      </w:r>
      <w:r w:rsidR="00CE67AB" w:rsidRPr="00E07689">
        <w:t>under reasonably foreseeable conditions of distribution, storage</w:t>
      </w:r>
      <w:r w:rsidR="00CE67AB">
        <w:t>, retail</w:t>
      </w:r>
      <w:r w:rsidR="00CE67AB" w:rsidRPr="00E07689">
        <w:t xml:space="preserve"> and use</w:t>
      </w:r>
      <w:r w:rsidR="00CE67AB">
        <w:rPr>
          <w:rFonts w:cs="Arial"/>
        </w:rPr>
        <w:t xml:space="preserve">. </w:t>
      </w:r>
    </w:p>
    <w:p w:rsidR="00C7443D" w:rsidRDefault="00C7443D" w:rsidP="003C4265">
      <w:pPr>
        <w:rPr>
          <w:rFonts w:cs="Arial"/>
        </w:rPr>
      </w:pPr>
    </w:p>
    <w:p w:rsidR="00C7443D" w:rsidRPr="00C7443D" w:rsidRDefault="00C7443D" w:rsidP="003C4265">
      <w:pPr>
        <w:rPr>
          <w:rFonts w:cs="Arial"/>
          <w:b/>
        </w:rPr>
      </w:pPr>
      <w:r w:rsidRPr="00C7443D">
        <w:rPr>
          <w:rFonts w:cs="Arial"/>
          <w:b/>
        </w:rPr>
        <w:t>1. Key process parameters</w:t>
      </w:r>
    </w:p>
    <w:p w:rsidR="00C7443D" w:rsidRDefault="00C7443D" w:rsidP="003C4265">
      <w:pPr>
        <w:rPr>
          <w:rFonts w:cs="Arial"/>
        </w:rPr>
      </w:pPr>
    </w:p>
    <w:p w:rsidR="003C4265" w:rsidRDefault="00E37E1C" w:rsidP="003C4265">
      <w:pPr>
        <w:rPr>
          <w:rFonts w:cs="Arial"/>
        </w:rPr>
      </w:pPr>
      <w:r>
        <w:t xml:space="preserve">It is </w:t>
      </w:r>
      <w:r w:rsidR="00C9720F">
        <w:t xml:space="preserve">recommended </w:t>
      </w:r>
      <w:r>
        <w:t xml:space="preserve">that process and production parameters are clearly identified and </w:t>
      </w:r>
      <w:r w:rsidR="004D3EDD">
        <w:t xml:space="preserve">that </w:t>
      </w:r>
      <w:r>
        <w:t xml:space="preserve">evidence as to how these </w:t>
      </w:r>
      <w:r w:rsidR="004D3EDD">
        <w:t xml:space="preserve">parameters </w:t>
      </w:r>
      <w:r>
        <w:t xml:space="preserve">are controlled and </w:t>
      </w:r>
      <w:r w:rsidR="00E704A0">
        <w:t>verified</w:t>
      </w:r>
      <w:r>
        <w:t xml:space="preserve"> is provided. </w:t>
      </w:r>
      <w:r w:rsidR="00CE67AB">
        <w:rPr>
          <w:rFonts w:cs="Arial"/>
        </w:rPr>
        <w:t xml:space="preserve">Information </w:t>
      </w:r>
      <w:r w:rsidR="00433E18">
        <w:rPr>
          <w:rFonts w:cs="Arial"/>
        </w:rPr>
        <w:t xml:space="preserve">about the product </w:t>
      </w:r>
      <w:r w:rsidR="00A75DB5">
        <w:rPr>
          <w:rFonts w:cs="Arial"/>
        </w:rPr>
        <w:t xml:space="preserve">that </w:t>
      </w:r>
      <w:r w:rsidR="00433E18">
        <w:rPr>
          <w:rFonts w:cs="Arial"/>
        </w:rPr>
        <w:t>should be</w:t>
      </w:r>
      <w:r w:rsidR="00CE67AB">
        <w:rPr>
          <w:rFonts w:cs="Arial"/>
        </w:rPr>
        <w:t xml:space="preserve"> </w:t>
      </w:r>
      <w:r w:rsidR="00433E18">
        <w:rPr>
          <w:rFonts w:cs="Arial"/>
        </w:rPr>
        <w:t xml:space="preserve">documented </w:t>
      </w:r>
      <w:r w:rsidR="00A75DB5">
        <w:rPr>
          <w:rFonts w:cs="Arial"/>
        </w:rPr>
        <w:t>include</w:t>
      </w:r>
      <w:r w:rsidR="00433E18">
        <w:rPr>
          <w:rFonts w:cs="Arial"/>
        </w:rPr>
        <w:t>s</w:t>
      </w:r>
      <w:r w:rsidR="00CE67AB">
        <w:rPr>
          <w:rFonts w:cs="Arial"/>
        </w:rPr>
        <w:t>:</w:t>
      </w:r>
      <w:r w:rsidR="00E24ED0">
        <w:rPr>
          <w:rFonts w:cs="Arial"/>
        </w:rPr>
        <w:t xml:space="preserve"> </w:t>
      </w:r>
    </w:p>
    <w:p w:rsidR="00E07689" w:rsidRDefault="00E07689" w:rsidP="00DA5FBA">
      <w:pPr>
        <w:rPr>
          <w:rFonts w:cs="Arial"/>
        </w:rPr>
      </w:pPr>
    </w:p>
    <w:p w:rsidR="00E24ED0" w:rsidRDefault="00E24ED0" w:rsidP="00E37E1C">
      <w:pPr>
        <w:pStyle w:val="FSBullet1"/>
      </w:pPr>
      <w:r w:rsidRPr="00E37E1C">
        <w:rPr>
          <w:rStyle w:val="FSBullet1Char"/>
        </w:rPr>
        <w:t>Specifications for physico</w:t>
      </w:r>
      <w:r w:rsidR="00E37E1C" w:rsidRPr="00E37E1C">
        <w:rPr>
          <w:rStyle w:val="FSBullet1Char"/>
        </w:rPr>
        <w:t>-</w:t>
      </w:r>
      <w:r w:rsidRPr="00E37E1C">
        <w:rPr>
          <w:rStyle w:val="FSBullet1Char"/>
        </w:rPr>
        <w:t>chemical characteristics of the product, such as pH, a</w:t>
      </w:r>
      <w:r w:rsidRPr="00BA2BAF">
        <w:rPr>
          <w:rStyle w:val="FSBullet1Char"/>
          <w:vertAlign w:val="subscript"/>
        </w:rPr>
        <w:t>w</w:t>
      </w:r>
      <w:r w:rsidRPr="00E37E1C">
        <w:rPr>
          <w:rStyle w:val="FSBullet1Char"/>
        </w:rPr>
        <w:t>, salt</w:t>
      </w:r>
      <w:r w:rsidRPr="00417B4F">
        <w:t xml:space="preserve"> content, concentration of preservatives</w:t>
      </w:r>
      <w:r w:rsidR="001518B6">
        <w:t>.</w:t>
      </w:r>
      <w:r w:rsidRPr="00417B4F">
        <w:t xml:space="preserve"> </w:t>
      </w:r>
    </w:p>
    <w:p w:rsidR="00E24ED0" w:rsidRDefault="00E37E1C" w:rsidP="00E37E1C">
      <w:pPr>
        <w:pStyle w:val="FSBullet1"/>
      </w:pPr>
      <w:r>
        <w:t>The</w:t>
      </w:r>
      <w:r w:rsidR="00E24ED0">
        <w:t xml:space="preserve"> key process parameters </w:t>
      </w:r>
      <w:r>
        <w:t>at each stage of production</w:t>
      </w:r>
      <w:r w:rsidR="00E24ED0" w:rsidRPr="00E24ED0">
        <w:t xml:space="preserve"> </w:t>
      </w:r>
    </w:p>
    <w:p w:rsidR="00E24ED0" w:rsidRDefault="00E24ED0" w:rsidP="00217365">
      <w:pPr>
        <w:pStyle w:val="ListParagraph"/>
        <w:numPr>
          <w:ilvl w:val="1"/>
          <w:numId w:val="15"/>
        </w:numPr>
        <w:tabs>
          <w:tab w:val="left" w:pos="1134"/>
        </w:tabs>
        <w:autoSpaceDE w:val="0"/>
        <w:autoSpaceDN w:val="0"/>
        <w:adjustRightInd w:val="0"/>
        <w:ind w:left="1134" w:hanging="567"/>
        <w:rPr>
          <w:rFonts w:cs="Arial"/>
        </w:rPr>
      </w:pPr>
      <w:proofErr w:type="gramStart"/>
      <w:r w:rsidRPr="00EE5E7E">
        <w:rPr>
          <w:rFonts w:cs="Arial"/>
        </w:rPr>
        <w:t>concentration</w:t>
      </w:r>
      <w:proofErr w:type="gramEnd"/>
      <w:r w:rsidRPr="00EE5E7E">
        <w:rPr>
          <w:rFonts w:cs="Arial"/>
        </w:rPr>
        <w:t xml:space="preserve"> of </w:t>
      </w:r>
      <w:r w:rsidRPr="00EE5E7E">
        <w:rPr>
          <w:rFonts w:cs="Arial"/>
          <w:i/>
        </w:rPr>
        <w:t>L. monocytogenes</w:t>
      </w:r>
      <w:r w:rsidRPr="00EE5E7E">
        <w:rPr>
          <w:rFonts w:cs="Arial"/>
        </w:rPr>
        <w:t xml:space="preserve"> at the beginning of the shelf-life of the RTE product, pH, a</w:t>
      </w:r>
      <w:r w:rsidRPr="00EE5E7E">
        <w:rPr>
          <w:rFonts w:cs="Arial"/>
          <w:vertAlign w:val="subscript"/>
        </w:rPr>
        <w:t>w</w:t>
      </w:r>
      <w:r w:rsidRPr="00EE5E7E">
        <w:rPr>
          <w:rFonts w:cs="Arial"/>
        </w:rPr>
        <w:t>, washing conditions, cold smoking conditions etc</w:t>
      </w:r>
      <w:r w:rsidR="0095287F">
        <w:rPr>
          <w:rFonts w:cs="Arial"/>
        </w:rPr>
        <w:t>.</w:t>
      </w:r>
    </w:p>
    <w:p w:rsidR="00E37E1C" w:rsidRDefault="00E37E1C" w:rsidP="00E37E1C">
      <w:pPr>
        <w:pStyle w:val="FSBullet1"/>
      </w:pPr>
      <w:r>
        <w:t>The control measures in place to ensure product and process parameters are met and how these are verified.</w:t>
      </w:r>
    </w:p>
    <w:p w:rsidR="003C4265" w:rsidRPr="00EE5E7E" w:rsidRDefault="003C4265" w:rsidP="00E37E1C">
      <w:pPr>
        <w:pStyle w:val="FSBullet1"/>
      </w:pPr>
      <w:r w:rsidRPr="00EE5E7E">
        <w:t>Identification of each ingredient including its effective concentration</w:t>
      </w:r>
      <w:r w:rsidR="00FE2EDE">
        <w:t>.</w:t>
      </w:r>
    </w:p>
    <w:p w:rsidR="003C4265" w:rsidRDefault="003C4265" w:rsidP="00217365">
      <w:pPr>
        <w:pStyle w:val="ListParagraph"/>
        <w:numPr>
          <w:ilvl w:val="1"/>
          <w:numId w:val="15"/>
        </w:numPr>
        <w:ind w:left="1134" w:hanging="567"/>
        <w:rPr>
          <w:rFonts w:cs="Arial"/>
        </w:rPr>
      </w:pPr>
      <w:proofErr w:type="gramStart"/>
      <w:r w:rsidRPr="00EE5E7E">
        <w:rPr>
          <w:rFonts w:cs="Arial"/>
        </w:rPr>
        <w:lastRenderedPageBreak/>
        <w:t>permitted</w:t>
      </w:r>
      <w:proofErr w:type="gramEnd"/>
      <w:r w:rsidRPr="00EE5E7E">
        <w:rPr>
          <w:rFonts w:cs="Arial"/>
        </w:rPr>
        <w:t xml:space="preserve"> antibacterial agents, water activity depressants (sugar, salt, etc), pH reducing agents (vinegar, organic acids, etc)</w:t>
      </w:r>
      <w:r w:rsidR="001518B6">
        <w:rPr>
          <w:rFonts w:cs="Arial"/>
        </w:rPr>
        <w:t>.</w:t>
      </w:r>
    </w:p>
    <w:p w:rsidR="00815BA4" w:rsidRDefault="00815BA4" w:rsidP="00E37E1C">
      <w:pPr>
        <w:pStyle w:val="FSBullet1"/>
      </w:pPr>
      <w:r>
        <w:t>The t</w:t>
      </w:r>
      <w:r w:rsidRPr="00417B4F">
        <w:t>ype of packaging system</w:t>
      </w:r>
      <w:r w:rsidRPr="00815BA4">
        <w:t xml:space="preserve"> </w:t>
      </w:r>
      <w:r w:rsidR="0095287F">
        <w:t xml:space="preserve">used </w:t>
      </w:r>
      <w:r w:rsidRPr="00417B4F">
        <w:t>taking into account the storage and processing conditions</w:t>
      </w:r>
      <w:r>
        <w:t xml:space="preserve"> and</w:t>
      </w:r>
      <w:r w:rsidRPr="00417B4F">
        <w:t xml:space="preserve"> the possibilities for contamination</w:t>
      </w:r>
      <w:r w:rsidR="0095287F">
        <w:t>.</w:t>
      </w:r>
    </w:p>
    <w:p w:rsidR="00C7443D" w:rsidRPr="00C7443D" w:rsidRDefault="00C7443D" w:rsidP="00C7443D"/>
    <w:p w:rsidR="00C7443D" w:rsidRPr="00C7443D" w:rsidRDefault="00C7443D" w:rsidP="00C7443D">
      <w:pPr>
        <w:rPr>
          <w:b/>
        </w:rPr>
      </w:pPr>
      <w:r>
        <w:rPr>
          <w:b/>
        </w:rPr>
        <w:t xml:space="preserve">2. </w:t>
      </w:r>
      <w:r w:rsidRPr="00C7443D">
        <w:rPr>
          <w:b/>
        </w:rPr>
        <w:t>Scientific literature</w:t>
      </w:r>
    </w:p>
    <w:p w:rsidR="00C7443D" w:rsidRPr="00C7443D" w:rsidRDefault="00C7443D" w:rsidP="00C7443D">
      <w:pPr>
        <w:rPr>
          <w:rFonts w:cs="Arial"/>
        </w:rPr>
      </w:pPr>
    </w:p>
    <w:p w:rsidR="00E704A0" w:rsidRDefault="001518B6" w:rsidP="00E704A0">
      <w:r>
        <w:rPr>
          <w:rFonts w:cs="Arial"/>
        </w:rPr>
        <w:t xml:space="preserve">A review of the scientific literature is useful to provide information on the possible level of </w:t>
      </w:r>
      <w:r w:rsidR="00910F7C">
        <w:rPr>
          <w:rFonts w:cs="Arial"/>
        </w:rPr>
        <w:br/>
      </w:r>
      <w:r w:rsidRPr="00E704A0">
        <w:rPr>
          <w:rFonts w:cs="Arial"/>
          <w:i/>
        </w:rPr>
        <w:t>L. monocytogenes</w:t>
      </w:r>
      <w:r>
        <w:rPr>
          <w:rFonts w:cs="Arial"/>
        </w:rPr>
        <w:t xml:space="preserve"> </w:t>
      </w:r>
      <w:r w:rsidR="00E704A0">
        <w:rPr>
          <w:rFonts w:cs="Arial"/>
        </w:rPr>
        <w:t xml:space="preserve">contamination that could be expected and its growth profile in the food product being considered as well as similar products. </w:t>
      </w:r>
      <w:r w:rsidR="00E704A0">
        <w:t xml:space="preserve">Reference to published challenge studies may be useful in providing evidence on the factors that inhibit growth of </w:t>
      </w:r>
      <w:r w:rsidR="00910F7C">
        <w:br/>
      </w:r>
      <w:r w:rsidR="00E704A0" w:rsidRPr="00E704A0">
        <w:rPr>
          <w:i/>
        </w:rPr>
        <w:t>L. monocytogenes</w:t>
      </w:r>
      <w:r w:rsidR="00E704A0">
        <w:t>.</w:t>
      </w:r>
      <w:r w:rsidR="00E704A0" w:rsidRPr="00BC465B">
        <w:rPr>
          <w:rFonts w:cs="Arial"/>
        </w:rPr>
        <w:t xml:space="preserve"> </w:t>
      </w:r>
    </w:p>
    <w:p w:rsidR="00C7443D" w:rsidRPr="00C7443D" w:rsidRDefault="00C7443D" w:rsidP="00C7443D">
      <w:pPr>
        <w:rPr>
          <w:rFonts w:cs="Arial"/>
        </w:rPr>
      </w:pPr>
    </w:p>
    <w:p w:rsidR="00C7443D" w:rsidRPr="00641AB7" w:rsidRDefault="00E37E1C" w:rsidP="00C7443D">
      <w:pPr>
        <w:rPr>
          <w:rFonts w:cs="Arial"/>
          <w:b/>
        </w:rPr>
      </w:pPr>
      <w:r>
        <w:rPr>
          <w:rFonts w:cs="Arial"/>
          <w:b/>
        </w:rPr>
        <w:t xml:space="preserve">3. </w:t>
      </w:r>
      <w:r w:rsidR="00C7443D" w:rsidRPr="00641AB7">
        <w:rPr>
          <w:rFonts w:cs="Arial"/>
          <w:b/>
        </w:rPr>
        <w:t>Challenge studies</w:t>
      </w:r>
    </w:p>
    <w:p w:rsidR="00C7443D" w:rsidRDefault="00C7443D" w:rsidP="00C7443D">
      <w:pPr>
        <w:rPr>
          <w:rFonts w:cs="Arial"/>
        </w:rPr>
      </w:pPr>
    </w:p>
    <w:p w:rsidR="00C7443D" w:rsidRPr="00E24ED0" w:rsidRDefault="00C7443D" w:rsidP="00C7443D">
      <w:pPr>
        <w:rPr>
          <w:rFonts w:cs="Arial"/>
        </w:rPr>
      </w:pPr>
      <w:r w:rsidRPr="00E24ED0">
        <w:rPr>
          <w:rFonts w:cs="Arial"/>
        </w:rPr>
        <w:t>Challenge studies provide information on the response of pathogens (growth and inactivation) to changes in the intrinsic physio-chemical parameters and impact of production and processing factors. The design of a challenge study must adequately reflect the processes used to make the RTE food product.</w:t>
      </w:r>
    </w:p>
    <w:p w:rsidR="00C7443D" w:rsidRDefault="00C7443D" w:rsidP="00C7443D">
      <w:pPr>
        <w:rPr>
          <w:rFonts w:cs="Arial"/>
        </w:rPr>
      </w:pPr>
    </w:p>
    <w:p w:rsidR="00C7443D" w:rsidRPr="001F355B" w:rsidRDefault="00C7443D" w:rsidP="00C7443D">
      <w:pPr>
        <w:rPr>
          <w:rFonts w:cs="Arial"/>
        </w:rPr>
      </w:pPr>
      <w:r w:rsidRPr="001F355B">
        <w:rPr>
          <w:rFonts w:cs="Arial"/>
        </w:rPr>
        <w:t xml:space="preserve">There are a number of existing resources available </w:t>
      </w:r>
      <w:r w:rsidR="00BA2BAF">
        <w:rPr>
          <w:rFonts w:cs="Arial"/>
        </w:rPr>
        <w:t>to assist in the conduct of</w:t>
      </w:r>
      <w:r w:rsidRPr="001F355B">
        <w:rPr>
          <w:rFonts w:cs="Arial"/>
        </w:rPr>
        <w:t xml:space="preserve"> challeng</w:t>
      </w:r>
      <w:r w:rsidR="00BA2BAF">
        <w:rPr>
          <w:rFonts w:cs="Arial"/>
        </w:rPr>
        <w:t>e</w:t>
      </w:r>
      <w:r w:rsidRPr="001F355B">
        <w:rPr>
          <w:rFonts w:cs="Arial"/>
        </w:rPr>
        <w:t xml:space="preserve"> and shelf life studies </w:t>
      </w:r>
      <w:r>
        <w:rPr>
          <w:rFonts w:cs="Arial"/>
        </w:rPr>
        <w:t>for</w:t>
      </w:r>
      <w:r w:rsidRPr="001F355B">
        <w:rPr>
          <w:rFonts w:cs="Arial"/>
        </w:rPr>
        <w:t xml:space="preserve"> </w:t>
      </w:r>
      <w:r w:rsidR="00FE2EDE" w:rsidRPr="001F355B">
        <w:rPr>
          <w:rFonts w:cs="Arial"/>
          <w:i/>
        </w:rPr>
        <w:t>L</w:t>
      </w:r>
      <w:r w:rsidR="00FE2EDE">
        <w:rPr>
          <w:rFonts w:cs="Arial"/>
          <w:i/>
        </w:rPr>
        <w:t>.</w:t>
      </w:r>
      <w:r w:rsidR="00FE2EDE" w:rsidRPr="001F355B">
        <w:rPr>
          <w:rFonts w:cs="Arial"/>
          <w:i/>
        </w:rPr>
        <w:t xml:space="preserve"> </w:t>
      </w:r>
      <w:r w:rsidRPr="001F355B">
        <w:rPr>
          <w:rFonts w:cs="Arial"/>
          <w:i/>
        </w:rPr>
        <w:t>monocytogenes</w:t>
      </w:r>
      <w:r w:rsidRPr="001F355B">
        <w:rPr>
          <w:rFonts w:cs="Arial"/>
        </w:rPr>
        <w:t xml:space="preserve"> in RTE foods</w:t>
      </w:r>
      <w:r>
        <w:rPr>
          <w:rFonts w:cs="Arial"/>
        </w:rPr>
        <w:t>, including:</w:t>
      </w:r>
    </w:p>
    <w:p w:rsidR="00C7443D" w:rsidRDefault="00C7443D" w:rsidP="00C7443D">
      <w:pPr>
        <w:rPr>
          <w:rFonts w:cs="Arial"/>
        </w:rPr>
      </w:pPr>
    </w:p>
    <w:p w:rsidR="00A26DA2" w:rsidRDefault="00A26DA2" w:rsidP="00A26DA2">
      <w:pPr>
        <w:pStyle w:val="FSBullet1"/>
      </w:pPr>
      <w:r w:rsidRPr="00A26DA2">
        <w:rPr>
          <w:i/>
        </w:rPr>
        <w:t>Listeria monocytogenes Challenge Testing of Ready-to-Eat Refrigerated Foods</w:t>
      </w:r>
      <w:r>
        <w:t xml:space="preserve"> (Health Canada, 2012)</w:t>
      </w:r>
    </w:p>
    <w:p w:rsidR="00A26DA2" w:rsidRPr="00A26DA2" w:rsidRDefault="00A26DA2" w:rsidP="00A26DA2"/>
    <w:p w:rsidR="00A26DA2" w:rsidRDefault="006142D7" w:rsidP="006142D7">
      <w:pPr>
        <w:pStyle w:val="FSBullet1"/>
      </w:pPr>
      <w:r>
        <w:t>Guidance document on Listeria monocytogenes shelf-life studies for ready-to-eat foods, under Regulation (EC) No 2073/2005 of 15 November 2005 on microbiological criteria for foodstuffs (Commission of the European Communities, 2008)</w:t>
      </w:r>
    </w:p>
    <w:p w:rsidR="00A26DA2" w:rsidRPr="001F355B" w:rsidRDefault="00A26DA2" w:rsidP="00C7443D">
      <w:pPr>
        <w:rPr>
          <w:rFonts w:cs="Arial"/>
        </w:rPr>
      </w:pPr>
    </w:p>
    <w:p w:rsidR="00C7443D" w:rsidRDefault="00A237A4" w:rsidP="00A237A4">
      <w:pPr>
        <w:pStyle w:val="FSBullet1"/>
      </w:pPr>
      <w:r>
        <w:t>Shelf life of ready-to-eat food in relation to L. monocytogenes – Guidance for food business operators</w:t>
      </w:r>
      <w:r w:rsidR="008B4D83">
        <w:t xml:space="preserve"> (Chilled Food Association, 2010)</w:t>
      </w:r>
    </w:p>
    <w:p w:rsidR="00C7443D" w:rsidRPr="001F355B" w:rsidRDefault="00C7443D" w:rsidP="00C7443D">
      <w:pPr>
        <w:rPr>
          <w:rFonts w:cs="Arial"/>
        </w:rPr>
      </w:pPr>
      <w:r w:rsidRPr="001F355B">
        <w:rPr>
          <w:rFonts w:cs="Arial"/>
        </w:rPr>
        <w:fldChar w:fldCharType="begin"/>
      </w:r>
      <w:r w:rsidRPr="001F355B">
        <w:rPr>
          <w:rFonts w:cs="Arial"/>
        </w:rPr>
        <w:instrText xml:space="preserve"> ADDIN REFMGR.CITE &lt;Refman&gt;&lt;Cite&gt;&lt;Author&gt;CFA&lt;/Author&gt;&lt;Year&gt;2010&lt;/Year&gt;&lt;RecNum&gt;4127&lt;/RecNum&gt;&lt;IDText&gt;Shelf life of ready to eat food in relation to L. monocytogenes - Guidance for food business operators&lt;/IDText&gt;&lt;MDL Ref_Type="Report"&gt;&lt;Ref_Type&gt;Report&lt;/Ref_Type&gt;&lt;Ref_ID&gt;4127&lt;/Ref_ID&gt;&lt;Title_Primary&gt;Shelf life of ready to eat food in relation to &lt;i&gt;L. monocytogenes &lt;/i&gt;- Guidance for food business operators&lt;/Title_Primary&gt;&lt;Authors_Primary&gt;CFA&lt;/Authors_Primary&gt;&lt;Date_Primary&gt;2010&lt;/Date_Primary&gt;&lt;Keywords&gt;FOOD&lt;/Keywords&gt;&lt;Keywords&gt;MONOCYTOGENES&lt;/Keywords&gt;&lt;Reprint&gt;Not in File&lt;/Reprint&gt;&lt;Publisher&gt;Chilled Food Association&lt;/Publisher&gt;&lt;Date_Secondary&gt;2012/6/14&lt;/Date_Secondary&gt;&lt;Web_URL&gt;&lt;u&gt;http://www.chilledfood.org/MEDIA/NEWS/2010/New+Shelf+Life+Guidance+for+Ready+to+Eat+Foods&lt;/u&gt;&lt;/Web_URL&gt;&lt;ZZ_WorkformID&gt;24&lt;/ZZ_WorkformID&gt;&lt;/MDL&gt;&lt;/Cite&gt;&lt;/Refman&gt;</w:instrText>
      </w:r>
      <w:r w:rsidRPr="001F355B">
        <w:rPr>
          <w:rFonts w:cs="Arial"/>
        </w:rPr>
        <w:fldChar w:fldCharType="end"/>
      </w:r>
      <w:r w:rsidRPr="001F355B">
        <w:rPr>
          <w:rFonts w:cs="Arial"/>
        </w:rPr>
        <w:t xml:space="preserve"> </w:t>
      </w:r>
    </w:p>
    <w:p w:rsidR="00C7443D" w:rsidRDefault="00C7443D" w:rsidP="00C7443D">
      <w:pPr>
        <w:rPr>
          <w:rFonts w:cs="Arial"/>
        </w:rPr>
      </w:pPr>
      <w:r>
        <w:rPr>
          <w:rFonts w:cs="Arial"/>
        </w:rPr>
        <w:t xml:space="preserve">In addition, </w:t>
      </w:r>
      <w:r w:rsidR="00B61264">
        <w:rPr>
          <w:rFonts w:cs="Arial"/>
        </w:rPr>
        <w:t>the NSW Food Authority has produced a guidance document on shelf life testing with respect the establishment of ‘use-by’ dates that provides useful information:</w:t>
      </w:r>
      <w:r w:rsidR="00A26DA2">
        <w:rPr>
          <w:rFonts w:cs="Arial"/>
        </w:rPr>
        <w:t xml:space="preserve"> Shelf life testing, ‘Use-by’ dates for food safety (NSW Food Authority, 2010).</w:t>
      </w:r>
    </w:p>
    <w:p w:rsidR="00040923" w:rsidRDefault="00040923" w:rsidP="00A75DB5">
      <w:pPr>
        <w:rPr>
          <w:rFonts w:cs="Arial"/>
          <w:b/>
        </w:rPr>
      </w:pPr>
    </w:p>
    <w:p w:rsidR="00A75DB5" w:rsidRPr="00C93524" w:rsidRDefault="00E37E1C" w:rsidP="00A75DB5">
      <w:pPr>
        <w:rPr>
          <w:rFonts w:cs="Arial"/>
          <w:b/>
        </w:rPr>
      </w:pPr>
      <w:r>
        <w:rPr>
          <w:rFonts w:cs="Arial"/>
          <w:b/>
        </w:rPr>
        <w:t xml:space="preserve">4. </w:t>
      </w:r>
      <w:r w:rsidR="00A75DB5" w:rsidRPr="00C93524">
        <w:rPr>
          <w:rFonts w:cs="Arial"/>
          <w:b/>
        </w:rPr>
        <w:t xml:space="preserve">Predictive </w:t>
      </w:r>
      <w:r w:rsidR="00A75DB5">
        <w:rPr>
          <w:rFonts w:cs="Arial"/>
          <w:b/>
        </w:rPr>
        <w:t>microbiological</w:t>
      </w:r>
      <w:r w:rsidR="00A75DB5" w:rsidRPr="00C93524">
        <w:rPr>
          <w:rFonts w:cs="Arial"/>
          <w:b/>
        </w:rPr>
        <w:t xml:space="preserve"> model</w:t>
      </w:r>
      <w:r w:rsidR="00A75DB5">
        <w:rPr>
          <w:rFonts w:cs="Arial"/>
          <w:b/>
        </w:rPr>
        <w:t>s</w:t>
      </w:r>
    </w:p>
    <w:p w:rsidR="00A75DB5" w:rsidRDefault="00A75DB5" w:rsidP="00A75DB5">
      <w:pPr>
        <w:rPr>
          <w:rFonts w:cs="Arial"/>
        </w:rPr>
      </w:pPr>
    </w:p>
    <w:p w:rsidR="00A75DB5" w:rsidRPr="007B6C4D" w:rsidRDefault="00A75DB5" w:rsidP="00A75DB5">
      <w:r w:rsidRPr="00C93524">
        <w:rPr>
          <w:sz w:val="23"/>
          <w:szCs w:val="23"/>
        </w:rPr>
        <w:t>Predictive models that are validated, robust and built upon scientifically sound data can play an important role</w:t>
      </w:r>
      <w:r>
        <w:rPr>
          <w:sz w:val="23"/>
          <w:szCs w:val="23"/>
        </w:rPr>
        <w:t>,</w:t>
      </w:r>
      <w:r w:rsidRPr="00C93524">
        <w:rPr>
          <w:sz w:val="23"/>
          <w:szCs w:val="23"/>
        </w:rPr>
        <w:t xml:space="preserve"> along with other supporting information, in determining if a given product formulation or process will reduce the likelihood of </w:t>
      </w:r>
      <w:r w:rsidRPr="00C93524">
        <w:rPr>
          <w:i/>
          <w:iCs/>
          <w:sz w:val="23"/>
          <w:szCs w:val="23"/>
        </w:rPr>
        <w:t xml:space="preserve">Listeria </w:t>
      </w:r>
      <w:r w:rsidRPr="00C93524">
        <w:rPr>
          <w:sz w:val="23"/>
          <w:szCs w:val="23"/>
        </w:rPr>
        <w:t>presence or growth.</w:t>
      </w:r>
    </w:p>
    <w:p w:rsidR="00A75DB5" w:rsidRDefault="00A75DB5" w:rsidP="00A75DB5">
      <w:pPr>
        <w:rPr>
          <w:rFonts w:cs="Arial"/>
        </w:rPr>
      </w:pPr>
    </w:p>
    <w:p w:rsidR="00A75DB5" w:rsidRDefault="00A75DB5" w:rsidP="00A75DB5">
      <w:pPr>
        <w:rPr>
          <w:rFonts w:cs="Arial"/>
        </w:rPr>
      </w:pPr>
      <w:r>
        <w:rPr>
          <w:rFonts w:cs="Arial"/>
        </w:rPr>
        <w:t>A number of predictive microbiological models are freely available on the internet, including:</w:t>
      </w:r>
    </w:p>
    <w:p w:rsidR="00A75DB5" w:rsidRDefault="00A75DB5" w:rsidP="00A75DB5">
      <w:pPr>
        <w:rPr>
          <w:rFonts w:cs="Arial"/>
        </w:rPr>
      </w:pPr>
    </w:p>
    <w:p w:rsidR="00A75DB5" w:rsidRDefault="00A75DB5" w:rsidP="00A75DB5">
      <w:pPr>
        <w:pStyle w:val="ListParagraph"/>
        <w:numPr>
          <w:ilvl w:val="0"/>
          <w:numId w:val="28"/>
        </w:numPr>
        <w:ind w:left="567" w:hanging="567"/>
      </w:pPr>
      <w:r>
        <w:t xml:space="preserve">Meljholm and Dalgaard (2009) developed a growth rate and growth boundary model for </w:t>
      </w:r>
      <w:r w:rsidRPr="007E7159">
        <w:rPr>
          <w:i/>
        </w:rPr>
        <w:t>L</w:t>
      </w:r>
      <w:r>
        <w:t xml:space="preserve">. </w:t>
      </w:r>
      <w:r w:rsidRPr="007E7159">
        <w:rPr>
          <w:i/>
        </w:rPr>
        <w:t>monocytogenes</w:t>
      </w:r>
      <w:r>
        <w:t xml:space="preserve"> in RTE shrimp (Seafood Spoilage and Safety Predictor). The model includes 12 factors and their interactive effects of relevance to the prediction of the probability of growth: temperature, salt, pH, six  acids (acetic acid, benzoic acid, citric acid, diacetate,</w:t>
      </w:r>
      <w:r w:rsidRPr="00B96888">
        <w:t xml:space="preserve"> </w:t>
      </w:r>
      <w:r>
        <w:t>lactic acid and sorbic acid), smoke components (phenol), CO</w:t>
      </w:r>
      <w:r w:rsidRPr="007E7159">
        <w:rPr>
          <w:vertAlign w:val="subscript"/>
        </w:rPr>
        <w:t>2</w:t>
      </w:r>
      <w:r>
        <w:t xml:space="preserve"> in head space gas at equilibrium and nitrite. This model has been validated for meat products, seafood products, poultry products and non-fermented dairy foods (e.g. milk, cream and ice cream) (Mejlholm et al, 2010).</w:t>
      </w:r>
    </w:p>
    <w:p w:rsidR="00A75DB5" w:rsidRDefault="00A75DB5" w:rsidP="00A75DB5">
      <w:pPr>
        <w:pStyle w:val="ListParagraph"/>
        <w:ind w:left="567"/>
      </w:pPr>
    </w:p>
    <w:p w:rsidR="00A75DB5" w:rsidRDefault="00A75DB5" w:rsidP="00A75DB5">
      <w:pPr>
        <w:pStyle w:val="ListParagraph"/>
        <w:numPr>
          <w:ilvl w:val="0"/>
          <w:numId w:val="28"/>
        </w:numPr>
        <w:ind w:left="567" w:hanging="567"/>
      </w:pPr>
      <w:r>
        <w:lastRenderedPageBreak/>
        <w:t xml:space="preserve">Augustin et al. (2005) evaluated the performance of eight growth rate and probability of growth/no growth models using a combination of temperature, pH, </w:t>
      </w:r>
      <w:proofErr w:type="gramStart"/>
      <w:r>
        <w:t>the</w:t>
      </w:r>
      <w:proofErr w:type="gramEnd"/>
      <w:r>
        <w:t xml:space="preserve"> main acid present in the medium, water activity, nitrite, phenol and the proportion of CO</w:t>
      </w:r>
      <w:r w:rsidRPr="00F16028">
        <w:rPr>
          <w:vertAlign w:val="subscript"/>
        </w:rPr>
        <w:t>2</w:t>
      </w:r>
      <w:r>
        <w:t xml:space="preserve"> in the modified atmosphere as factors.</w:t>
      </w:r>
    </w:p>
    <w:p w:rsidR="00A75DB5" w:rsidRDefault="00A75DB5" w:rsidP="00A75DB5"/>
    <w:p w:rsidR="00A75DB5" w:rsidRDefault="000A0773" w:rsidP="00A75DB5">
      <w:pPr>
        <w:pStyle w:val="ListParagraph"/>
        <w:numPr>
          <w:ilvl w:val="0"/>
          <w:numId w:val="28"/>
        </w:numPr>
        <w:ind w:left="567" w:hanging="567"/>
      </w:pPr>
      <w:r>
        <w:t xml:space="preserve">ComBase (2012) </w:t>
      </w:r>
      <w:r w:rsidR="00A75DB5">
        <w:t xml:space="preserve">is a freely available </w:t>
      </w:r>
      <w:r w:rsidR="00A75DB5" w:rsidRPr="004F5EBD">
        <w:t>database of observed microbial responses to a variety of food-related environments and a collection of relevant predictive models</w:t>
      </w:r>
      <w:r w:rsidR="00A75DB5">
        <w:t xml:space="preserve">. Separate models are available to predict the response of </w:t>
      </w:r>
      <w:r w:rsidR="00A75DB5" w:rsidRPr="00D012B5">
        <w:rPr>
          <w:i/>
        </w:rPr>
        <w:t>L. monocytogenes</w:t>
      </w:r>
      <w:r w:rsidR="00A75DB5">
        <w:t xml:space="preserve"> to key factors such as </w:t>
      </w:r>
      <w:r w:rsidR="00A75DB5" w:rsidRPr="00EA7A53">
        <w:t>temperature, pH and salt concentration</w:t>
      </w:r>
      <w:r w:rsidR="00A75DB5">
        <w:t xml:space="preserve"> in combination with organic acids, nitrite and carbon monoxide. The </w:t>
      </w:r>
      <w:r w:rsidR="00A75DB5" w:rsidRPr="00EA7A53">
        <w:t>models are based on output</w:t>
      </w:r>
      <w:r w:rsidR="00A75DB5">
        <w:t>s</w:t>
      </w:r>
      <w:r w:rsidR="00A75DB5" w:rsidRPr="00EA7A53">
        <w:t xml:space="preserve"> from laboratory experiments observed in culture media under well controlled laboratory conditions.</w:t>
      </w:r>
      <w:r w:rsidR="00A75DB5">
        <w:t xml:space="preserve"> </w:t>
      </w:r>
    </w:p>
    <w:p w:rsidR="00A75DB5" w:rsidRDefault="00A75DB5" w:rsidP="00A75DB5"/>
    <w:p w:rsidR="00A75DB5" w:rsidRDefault="00A75DB5" w:rsidP="00A75DB5">
      <w:pPr>
        <w:pStyle w:val="ListParagraph"/>
        <w:numPr>
          <w:ilvl w:val="0"/>
          <w:numId w:val="28"/>
        </w:numPr>
        <w:ind w:left="567" w:hanging="567"/>
      </w:pPr>
      <w:r>
        <w:t>The USDA</w:t>
      </w:r>
      <w:r w:rsidR="004D6EF1">
        <w:t xml:space="preserve"> Pathogen Modelling Program (USDA, 2013) </w:t>
      </w:r>
      <w:r w:rsidRPr="004F5EBD">
        <w:t>is a package of models that can be used to predict the growth and inactivation of foodborne bacteria, primarily pathogens, under variou</w:t>
      </w:r>
      <w:r>
        <w:t>s environmental conditions. Th</w:t>
      </w:r>
      <w:r w:rsidRPr="004F5EBD">
        <w:t>e predictions are specific to certain bacterial strains and specific environments (e.g., culture media, food, etc.) that were used to generate the models.</w:t>
      </w:r>
    </w:p>
    <w:p w:rsidR="00A75DB5" w:rsidRDefault="00A75DB5" w:rsidP="00A75DB5"/>
    <w:p w:rsidR="00A75DB5" w:rsidRDefault="00A75DB5" w:rsidP="00A75DB5">
      <w:r>
        <w:t>Use of these models requires specialised technical skills and knowledge for correct utilisation and interpretation of results.</w:t>
      </w:r>
      <w:r w:rsidRPr="005335B7">
        <w:t xml:space="preserve"> </w:t>
      </w:r>
      <w:r>
        <w:t xml:space="preserve">Additionally, each model has inherent limitations which must be known and understood by the user. </w:t>
      </w:r>
      <w:r w:rsidR="00AC4539">
        <w:t>For example, modelling programs may not extend to the impact of certain preservatives and specialised technical expertise may be required to evaluate preservative efficacy.</w:t>
      </w:r>
    </w:p>
    <w:p w:rsidR="00040923" w:rsidRDefault="00040923" w:rsidP="00A75DB5"/>
    <w:p w:rsidR="00040923" w:rsidRDefault="00040923" w:rsidP="00A75DB5">
      <w:r>
        <w:t xml:space="preserve">Predictions from models are based on observations largely made in artificial growth medium and available studies. To understand how </w:t>
      </w:r>
      <w:r w:rsidRPr="00040923">
        <w:rPr>
          <w:i/>
        </w:rPr>
        <w:t>L. monocytogenes</w:t>
      </w:r>
      <w:r>
        <w:t xml:space="preserve"> will behave in a specific product may require a challenge test.</w:t>
      </w:r>
    </w:p>
    <w:p w:rsidR="004F5EBD" w:rsidRPr="004F5EBD" w:rsidRDefault="004F5EBD" w:rsidP="006A099D"/>
    <w:p w:rsidR="007472CC" w:rsidRPr="00417390" w:rsidRDefault="007472CC" w:rsidP="00125576">
      <w:pPr>
        <w:rPr>
          <w:rFonts w:cs="Arial"/>
          <w:b/>
          <w:i/>
        </w:rPr>
      </w:pPr>
      <w:r w:rsidRPr="00417390">
        <w:rPr>
          <w:rFonts w:cs="Arial"/>
          <w:b/>
          <w:i/>
        </w:rPr>
        <w:t>Further information</w:t>
      </w:r>
    </w:p>
    <w:p w:rsidR="00FE2EDE" w:rsidRDefault="00FE2EDE" w:rsidP="001F355B">
      <w:pPr>
        <w:rPr>
          <w:rFonts w:cs="Arial"/>
        </w:rPr>
      </w:pPr>
    </w:p>
    <w:p w:rsidR="009A0109" w:rsidRDefault="00125576" w:rsidP="001F355B">
      <w:pPr>
        <w:rPr>
          <w:rFonts w:cs="Arial"/>
        </w:rPr>
      </w:pPr>
      <w:r w:rsidRPr="00EE5E7E">
        <w:rPr>
          <w:rFonts w:cs="Arial"/>
        </w:rPr>
        <w:t>Further information regarding validati</w:t>
      </w:r>
      <w:r w:rsidR="00EE5E7E" w:rsidRPr="00EE5E7E">
        <w:rPr>
          <w:rFonts w:cs="Arial"/>
        </w:rPr>
        <w:t>ng food safety measures</w:t>
      </w:r>
      <w:r w:rsidRPr="00EE5E7E">
        <w:rPr>
          <w:rFonts w:cs="Arial"/>
        </w:rPr>
        <w:t xml:space="preserve"> can be found in </w:t>
      </w:r>
      <w:r w:rsidR="00EE5E7E" w:rsidRPr="00EE5E7E">
        <w:rPr>
          <w:rFonts w:cs="Arial"/>
        </w:rPr>
        <w:t xml:space="preserve">the Codex document </w:t>
      </w:r>
      <w:r w:rsidRPr="00EE5E7E">
        <w:rPr>
          <w:rFonts w:cs="Arial"/>
          <w:i/>
        </w:rPr>
        <w:t>Guidelines for the Validation of Food Safety Control Measures</w:t>
      </w:r>
      <w:r w:rsidRPr="00EE5E7E">
        <w:rPr>
          <w:rFonts w:cs="Arial"/>
        </w:rPr>
        <w:t xml:space="preserve"> </w:t>
      </w:r>
      <w:r w:rsidR="00266173">
        <w:rPr>
          <w:rFonts w:cs="Arial"/>
        </w:rPr>
        <w:t>(Codex, 2008).</w:t>
      </w:r>
    </w:p>
    <w:p w:rsidR="00BC0200" w:rsidRDefault="00BC0200" w:rsidP="009A0109">
      <w:pPr>
        <w:rPr>
          <w:rFonts w:cs="Arial"/>
        </w:rPr>
      </w:pPr>
    </w:p>
    <w:p w:rsidR="00065E0F" w:rsidRDefault="00065E0F" w:rsidP="00BD0DA8">
      <w:pPr>
        <w:pStyle w:val="Heading2"/>
      </w:pPr>
      <w:r w:rsidRPr="007E7159">
        <w:t>Sampling and analysis</w:t>
      </w:r>
    </w:p>
    <w:p w:rsidR="00237043" w:rsidRDefault="00237043">
      <w:pPr>
        <w:rPr>
          <w:rFonts w:cs="Arial"/>
        </w:rPr>
      </w:pPr>
    </w:p>
    <w:p w:rsidR="00E21353" w:rsidRDefault="00E21353">
      <w:pPr>
        <w:rPr>
          <w:rFonts w:cs="Arial"/>
        </w:rPr>
      </w:pPr>
      <w:r>
        <w:rPr>
          <w:rFonts w:cs="Arial"/>
        </w:rPr>
        <w:t>Standard 1.6.1 stipulate</w:t>
      </w:r>
      <w:r w:rsidR="00AE0EDC">
        <w:rPr>
          <w:rFonts w:cs="Arial"/>
        </w:rPr>
        <w:t xml:space="preserve">s two 2 class sampling plans for </w:t>
      </w:r>
      <w:r w:rsidR="00AE0EDC" w:rsidRPr="00AE0EDC">
        <w:rPr>
          <w:rFonts w:cs="Arial"/>
          <w:i/>
        </w:rPr>
        <w:t>L. monocytogenes</w:t>
      </w:r>
      <w:r w:rsidR="00AE0EDC">
        <w:rPr>
          <w:rFonts w:cs="Arial"/>
        </w:rPr>
        <w:t xml:space="preserve"> in RTE foods based on whether the food supports the growth or does not support the growth</w:t>
      </w:r>
      <w:r w:rsidR="00113F10">
        <w:rPr>
          <w:rFonts w:cs="Arial"/>
        </w:rPr>
        <w:t xml:space="preserve"> according to the</w:t>
      </w:r>
      <w:r w:rsidR="008E781C">
        <w:rPr>
          <w:rFonts w:cs="Arial"/>
        </w:rPr>
        <w:t xml:space="preserve"> methods prescribed by</w:t>
      </w:r>
      <w:r w:rsidR="00113F10">
        <w:rPr>
          <w:rFonts w:cs="Arial"/>
        </w:rPr>
        <w:t xml:space="preserve"> </w:t>
      </w:r>
      <w:r w:rsidR="008E781C">
        <w:rPr>
          <w:rFonts w:cs="Arial"/>
        </w:rPr>
        <w:t xml:space="preserve">Australian Standard </w:t>
      </w:r>
      <w:r w:rsidR="00113F10">
        <w:rPr>
          <w:rFonts w:cs="Arial"/>
        </w:rPr>
        <w:t>AS</w:t>
      </w:r>
      <w:r w:rsidR="008E781C">
        <w:rPr>
          <w:rFonts w:cs="Arial"/>
        </w:rPr>
        <w:t xml:space="preserve"> 5013:  </w:t>
      </w:r>
    </w:p>
    <w:p w:rsidR="008E781C" w:rsidRDefault="008E781C">
      <w:pPr>
        <w:rPr>
          <w:rFonts w:cs="Arial"/>
        </w:rPr>
      </w:pPr>
    </w:p>
    <w:p w:rsidR="00E21353" w:rsidRDefault="00E21353" w:rsidP="00E21353">
      <w:pPr>
        <w:pStyle w:val="FSBullet1"/>
      </w:pPr>
      <w:r w:rsidRPr="00050EF5">
        <w:rPr>
          <w:i/>
        </w:rPr>
        <w:t>L. monocytogenes</w:t>
      </w:r>
      <w:r>
        <w:t xml:space="preserve"> not detected </w:t>
      </w:r>
      <w:r w:rsidR="00050EF5">
        <w:t>(</w:t>
      </w:r>
      <w:r>
        <w:t xml:space="preserve">5 </w:t>
      </w:r>
      <w:r w:rsidR="00050EF5">
        <w:t xml:space="preserve">x </w:t>
      </w:r>
      <w:r>
        <w:t>25</w:t>
      </w:r>
      <w:r w:rsidR="00FE2EDE">
        <w:t xml:space="preserve"> </w:t>
      </w:r>
      <w:r>
        <w:t xml:space="preserve">g </w:t>
      </w:r>
      <w:r w:rsidR="00050EF5">
        <w:t>analytical units)</w:t>
      </w:r>
      <w:r>
        <w:t xml:space="preserve"> with reference method </w:t>
      </w:r>
      <w:r w:rsidR="00050EF5">
        <w:t xml:space="preserve">AS5013.24.1-2009 Food microbiology – Microbiology of food and animal feeding stuffs – Horizontal method for the detection and enumeration of </w:t>
      </w:r>
      <w:r w:rsidR="00050EF5" w:rsidRPr="00050EF5">
        <w:rPr>
          <w:i/>
        </w:rPr>
        <w:t>Listeria monocytogenes</w:t>
      </w:r>
      <w:r w:rsidR="00050EF5">
        <w:t xml:space="preserve"> – Detection method (ISO 11290-1: 1996, MOD).</w:t>
      </w:r>
    </w:p>
    <w:p w:rsidR="00050EF5" w:rsidRDefault="00050EF5" w:rsidP="00050EF5"/>
    <w:p w:rsidR="00050EF5" w:rsidRPr="00050EF5" w:rsidRDefault="00050EF5" w:rsidP="00050EF5">
      <w:pPr>
        <w:pStyle w:val="FSBullet1"/>
      </w:pPr>
      <w:r w:rsidRPr="00050EF5">
        <w:rPr>
          <w:i/>
        </w:rPr>
        <w:t>L. monocytogenes</w:t>
      </w:r>
      <w:r>
        <w:t xml:space="preserve"> </w:t>
      </w:r>
      <w:r w:rsidR="008E781C">
        <w:t xml:space="preserve">not exceeding </w:t>
      </w:r>
      <w:r>
        <w:t>100 cfu/g (5 x 10</w:t>
      </w:r>
      <w:r w:rsidR="00FE2EDE">
        <w:t xml:space="preserve"> </w:t>
      </w:r>
      <w:r>
        <w:t xml:space="preserve">g analytical units) with reference method </w:t>
      </w:r>
      <w:r w:rsidR="00113F10">
        <w:t xml:space="preserve">(under the AS 5013 series) </w:t>
      </w:r>
      <w:r>
        <w:t>A</w:t>
      </w:r>
      <w:r w:rsidR="00113F10">
        <w:t>S</w:t>
      </w:r>
      <w:r>
        <w:t xml:space="preserve"> 5013.24.2-2009 Food Microbiology – Microbiology of food and animal feeding stuffs – Horizontal method for the detection and enumeration of </w:t>
      </w:r>
      <w:r w:rsidRPr="00050EF5">
        <w:rPr>
          <w:i/>
        </w:rPr>
        <w:t>Listeria monocytogenes</w:t>
      </w:r>
      <w:r>
        <w:t xml:space="preserve"> – Enumeration method (ISO 11290-2: 1998, MOD).</w:t>
      </w:r>
    </w:p>
    <w:p w:rsidR="00E21353" w:rsidRDefault="00E21353">
      <w:pPr>
        <w:rPr>
          <w:rFonts w:cs="Arial"/>
        </w:rPr>
      </w:pPr>
    </w:p>
    <w:p w:rsidR="00101D10" w:rsidRDefault="00DA1ED5">
      <w:pPr>
        <w:rPr>
          <w:rFonts w:cs="Arial"/>
        </w:rPr>
      </w:pPr>
      <w:r>
        <w:rPr>
          <w:rFonts w:cs="Arial"/>
        </w:rPr>
        <w:t>When sampling for</w:t>
      </w:r>
      <w:r w:rsidR="005F3E14">
        <w:rPr>
          <w:rFonts w:cs="Arial"/>
        </w:rPr>
        <w:t xml:space="preserve"> the purposes of</w:t>
      </w:r>
      <w:r>
        <w:rPr>
          <w:rFonts w:cs="Arial"/>
        </w:rPr>
        <w:t xml:space="preserve"> </w:t>
      </w:r>
      <w:r w:rsidR="005F3E14">
        <w:rPr>
          <w:rFonts w:cs="Arial"/>
        </w:rPr>
        <w:t xml:space="preserve">complying with </w:t>
      </w:r>
      <w:r w:rsidR="00101D10">
        <w:rPr>
          <w:rFonts w:cs="Arial"/>
        </w:rPr>
        <w:t xml:space="preserve">Standard 1.6.1, </w:t>
      </w:r>
      <w:r w:rsidR="00B47C63">
        <w:rPr>
          <w:rFonts w:cs="Arial"/>
        </w:rPr>
        <w:t xml:space="preserve">it is recommended that </w:t>
      </w:r>
      <w:r w:rsidR="005F3E14">
        <w:rPr>
          <w:rFonts w:cs="Arial"/>
        </w:rPr>
        <w:t xml:space="preserve">five </w:t>
      </w:r>
      <w:r w:rsidR="00101D10">
        <w:rPr>
          <w:rFonts w:cs="Arial"/>
        </w:rPr>
        <w:t>sample units of at least 100</w:t>
      </w:r>
      <w:r w:rsidR="00FE2EDE">
        <w:rPr>
          <w:rFonts w:cs="Arial"/>
        </w:rPr>
        <w:t xml:space="preserve"> </w:t>
      </w:r>
      <w:r w:rsidR="00101D10">
        <w:rPr>
          <w:rFonts w:cs="Arial"/>
        </w:rPr>
        <w:t>g</w:t>
      </w:r>
      <w:r w:rsidR="00A139CE">
        <w:rPr>
          <w:rFonts w:cs="Arial"/>
        </w:rPr>
        <w:t xml:space="preserve"> or </w:t>
      </w:r>
      <w:r w:rsidR="004E04DE">
        <w:rPr>
          <w:rFonts w:cs="Arial"/>
        </w:rPr>
        <w:t xml:space="preserve">mL </w:t>
      </w:r>
      <w:r w:rsidR="00101D10">
        <w:rPr>
          <w:rFonts w:cs="Arial"/>
        </w:rPr>
        <w:t>be taken at random</w:t>
      </w:r>
      <w:r w:rsidR="00B47C63">
        <w:rPr>
          <w:rFonts w:cs="Arial"/>
        </w:rPr>
        <w:t xml:space="preserve"> and</w:t>
      </w:r>
      <w:r w:rsidR="00101D10">
        <w:rPr>
          <w:rFonts w:cs="Arial"/>
        </w:rPr>
        <w:t xml:space="preserve"> be representative of the lot or production conditions.</w:t>
      </w:r>
    </w:p>
    <w:p w:rsidR="00101D10" w:rsidRDefault="00101D10">
      <w:pPr>
        <w:rPr>
          <w:rFonts w:cs="Arial"/>
        </w:rPr>
      </w:pPr>
    </w:p>
    <w:p w:rsidR="00D55A21" w:rsidRDefault="001A45B4">
      <w:pPr>
        <w:rPr>
          <w:rFonts w:cs="Arial"/>
        </w:rPr>
      </w:pPr>
      <w:r>
        <w:rPr>
          <w:rFonts w:cs="Arial"/>
        </w:rPr>
        <w:lastRenderedPageBreak/>
        <w:t>Prior to submitting samples for analysis</w:t>
      </w:r>
      <w:r w:rsidR="00C90D42">
        <w:rPr>
          <w:rFonts w:cs="Arial"/>
        </w:rPr>
        <w:t>,</w:t>
      </w:r>
      <w:r>
        <w:rPr>
          <w:rFonts w:cs="Arial"/>
        </w:rPr>
        <w:t xml:space="preserve"> </w:t>
      </w:r>
      <w:r w:rsidR="001C29D9">
        <w:rPr>
          <w:rFonts w:cs="Arial"/>
        </w:rPr>
        <w:t xml:space="preserve">consideration </w:t>
      </w:r>
      <w:r>
        <w:rPr>
          <w:rFonts w:cs="Arial"/>
        </w:rPr>
        <w:t xml:space="preserve">needs to </w:t>
      </w:r>
      <w:r w:rsidR="001C29D9">
        <w:rPr>
          <w:rFonts w:cs="Arial"/>
        </w:rPr>
        <w:t xml:space="preserve">be given as to what limit </w:t>
      </w:r>
      <w:r w:rsidR="00866D18">
        <w:rPr>
          <w:rFonts w:cs="Arial"/>
        </w:rPr>
        <w:t xml:space="preserve">should </w:t>
      </w:r>
      <w:r w:rsidR="001C29D9">
        <w:rPr>
          <w:rFonts w:cs="Arial"/>
        </w:rPr>
        <w:t>appl</w:t>
      </w:r>
      <w:r w:rsidR="00866D18">
        <w:rPr>
          <w:rFonts w:cs="Arial"/>
        </w:rPr>
        <w:t>y</w:t>
      </w:r>
      <w:r w:rsidR="001C29D9">
        <w:rPr>
          <w:rFonts w:cs="Arial"/>
        </w:rPr>
        <w:t xml:space="preserve"> and</w:t>
      </w:r>
      <w:r>
        <w:rPr>
          <w:rFonts w:cs="Arial"/>
        </w:rPr>
        <w:t>,</w:t>
      </w:r>
      <w:r w:rsidR="001C29D9">
        <w:rPr>
          <w:rFonts w:cs="Arial"/>
        </w:rPr>
        <w:t xml:space="preserve"> therefore, whether enrichment (detection) </w:t>
      </w:r>
      <w:r w:rsidR="00D55A21">
        <w:rPr>
          <w:rFonts w:cs="Arial"/>
        </w:rPr>
        <w:t>and/</w:t>
      </w:r>
      <w:r w:rsidR="001C29D9">
        <w:rPr>
          <w:rFonts w:cs="Arial"/>
        </w:rPr>
        <w:t>or a plating method is to be used</w:t>
      </w:r>
      <w:r w:rsidR="00C90D42">
        <w:rPr>
          <w:rFonts w:cs="Arial"/>
        </w:rPr>
        <w:t xml:space="preserve">; </w:t>
      </w:r>
      <w:r>
        <w:rPr>
          <w:rFonts w:cs="Arial"/>
        </w:rPr>
        <w:t>as well as the time taken for testing</w:t>
      </w:r>
      <w:r w:rsidR="00D55A21">
        <w:rPr>
          <w:rFonts w:cs="Arial"/>
        </w:rPr>
        <w:t xml:space="preserve"> (which may have implications for when a lot is released to the market)</w:t>
      </w:r>
      <w:r>
        <w:rPr>
          <w:rFonts w:cs="Arial"/>
        </w:rPr>
        <w:t xml:space="preserve">. </w:t>
      </w:r>
      <w:r w:rsidR="00C90D42">
        <w:rPr>
          <w:rFonts w:cs="Arial"/>
        </w:rPr>
        <w:t xml:space="preserve">It is recommended that food </w:t>
      </w:r>
      <w:r w:rsidR="00D55A21">
        <w:rPr>
          <w:rFonts w:cs="Arial"/>
        </w:rPr>
        <w:t xml:space="preserve">businesses develop procedures for sampling and analysis, including details on any hold and test procedures and corrective actions. </w:t>
      </w:r>
    </w:p>
    <w:p w:rsidR="00D55A21" w:rsidRDefault="00D55A21">
      <w:pPr>
        <w:rPr>
          <w:rFonts w:cs="Arial"/>
        </w:rPr>
      </w:pPr>
    </w:p>
    <w:p w:rsidR="00D55A21" w:rsidRDefault="00D55A21">
      <w:pPr>
        <w:rPr>
          <w:rFonts w:cs="Arial"/>
        </w:rPr>
      </w:pPr>
    </w:p>
    <w:p w:rsidR="00D95584" w:rsidRPr="00D95584" w:rsidRDefault="00D95584" w:rsidP="00D95584">
      <w:pPr>
        <w:rPr>
          <w:b/>
          <w:i/>
        </w:rPr>
      </w:pPr>
      <w:r>
        <w:rPr>
          <w:b/>
          <w:i/>
        </w:rPr>
        <w:t>References</w:t>
      </w:r>
    </w:p>
    <w:p w:rsidR="004C11B9" w:rsidRDefault="004C11B9" w:rsidP="008758D6"/>
    <w:p w:rsidR="008B4D83" w:rsidRDefault="002C597E" w:rsidP="00CA574B">
      <w:pPr>
        <w:tabs>
          <w:tab w:val="left" w:pos="0"/>
        </w:tabs>
        <w:rPr>
          <w:noProof/>
          <w:sz w:val="20"/>
          <w:szCs w:val="20"/>
        </w:rPr>
      </w:pPr>
      <w:r>
        <w:rPr>
          <w:noProof/>
          <w:sz w:val="20"/>
          <w:szCs w:val="20"/>
        </w:rPr>
        <w:t xml:space="preserve">Augustin J-C, Zuliani V, Cornu M, Guillier L (2005) </w:t>
      </w:r>
      <w:r w:rsidRPr="00C2355C">
        <w:rPr>
          <w:noProof/>
          <w:sz w:val="20"/>
          <w:szCs w:val="20"/>
        </w:rPr>
        <w:t xml:space="preserve">Growth rate and growth probability of </w:t>
      </w:r>
      <w:r w:rsidRPr="00C2355C">
        <w:rPr>
          <w:i/>
          <w:noProof/>
          <w:sz w:val="20"/>
          <w:szCs w:val="20"/>
        </w:rPr>
        <w:t>Listeria</w:t>
      </w:r>
      <w:r>
        <w:rPr>
          <w:noProof/>
          <w:sz w:val="20"/>
          <w:szCs w:val="20"/>
        </w:rPr>
        <w:t xml:space="preserve"> </w:t>
      </w:r>
      <w:r w:rsidRPr="00C2355C">
        <w:rPr>
          <w:i/>
          <w:noProof/>
          <w:sz w:val="20"/>
          <w:szCs w:val="20"/>
        </w:rPr>
        <w:t>monocytogenes</w:t>
      </w:r>
      <w:r>
        <w:rPr>
          <w:noProof/>
          <w:sz w:val="20"/>
          <w:szCs w:val="20"/>
        </w:rPr>
        <w:t xml:space="preserve"> </w:t>
      </w:r>
      <w:r w:rsidRPr="00C2355C">
        <w:rPr>
          <w:noProof/>
          <w:sz w:val="20"/>
          <w:szCs w:val="20"/>
        </w:rPr>
        <w:t>in dairy, meat and seafood products in suboptimal conditions</w:t>
      </w:r>
      <w:r>
        <w:rPr>
          <w:noProof/>
          <w:sz w:val="20"/>
          <w:szCs w:val="20"/>
        </w:rPr>
        <w:t xml:space="preserve">. </w:t>
      </w:r>
      <w:r w:rsidRPr="005E4335">
        <w:rPr>
          <w:noProof/>
          <w:sz w:val="20"/>
          <w:szCs w:val="20"/>
        </w:rPr>
        <w:t>J</w:t>
      </w:r>
      <w:r>
        <w:rPr>
          <w:noProof/>
          <w:sz w:val="20"/>
          <w:szCs w:val="20"/>
        </w:rPr>
        <w:t>ournal of</w:t>
      </w:r>
      <w:r w:rsidRPr="005E4335">
        <w:rPr>
          <w:noProof/>
          <w:sz w:val="20"/>
          <w:szCs w:val="20"/>
        </w:rPr>
        <w:t xml:space="preserve"> Appl</w:t>
      </w:r>
      <w:r>
        <w:rPr>
          <w:noProof/>
          <w:sz w:val="20"/>
          <w:szCs w:val="20"/>
        </w:rPr>
        <w:t>ied</w:t>
      </w:r>
      <w:r w:rsidRPr="005E4335">
        <w:rPr>
          <w:noProof/>
          <w:sz w:val="20"/>
          <w:szCs w:val="20"/>
        </w:rPr>
        <w:t xml:space="preserve"> Microbiol</w:t>
      </w:r>
      <w:r>
        <w:rPr>
          <w:noProof/>
          <w:sz w:val="20"/>
          <w:szCs w:val="20"/>
        </w:rPr>
        <w:t>ogy</w:t>
      </w:r>
      <w:r w:rsidRPr="005E4335">
        <w:rPr>
          <w:noProof/>
          <w:sz w:val="20"/>
          <w:szCs w:val="20"/>
        </w:rPr>
        <w:t xml:space="preserve"> </w:t>
      </w:r>
      <w:r>
        <w:rPr>
          <w:noProof/>
          <w:sz w:val="20"/>
          <w:szCs w:val="20"/>
        </w:rPr>
        <w:t>99:1019-1042</w:t>
      </w:r>
    </w:p>
    <w:p w:rsidR="00CA574B" w:rsidRDefault="00CA574B" w:rsidP="00CA574B">
      <w:pPr>
        <w:tabs>
          <w:tab w:val="left" w:pos="0"/>
        </w:tabs>
        <w:rPr>
          <w:noProof/>
          <w:sz w:val="20"/>
          <w:szCs w:val="20"/>
        </w:rPr>
      </w:pPr>
    </w:p>
    <w:p w:rsidR="00FA630A" w:rsidRDefault="008B4D83" w:rsidP="004C11B9">
      <w:pPr>
        <w:tabs>
          <w:tab w:val="left" w:pos="0"/>
        </w:tabs>
        <w:spacing w:after="240"/>
        <w:rPr>
          <w:noProof/>
          <w:sz w:val="20"/>
          <w:szCs w:val="20"/>
        </w:rPr>
      </w:pPr>
      <w:r>
        <w:rPr>
          <w:noProof/>
          <w:sz w:val="20"/>
          <w:szCs w:val="20"/>
        </w:rPr>
        <w:t xml:space="preserve">Chilled Food Association (2010) Shelf life of ready-to-eat food in relation to </w:t>
      </w:r>
      <w:r w:rsidRPr="00CA574B">
        <w:rPr>
          <w:i/>
          <w:noProof/>
          <w:sz w:val="20"/>
          <w:szCs w:val="20"/>
        </w:rPr>
        <w:t>L. monocytogenes</w:t>
      </w:r>
      <w:r>
        <w:rPr>
          <w:noProof/>
          <w:sz w:val="20"/>
          <w:szCs w:val="20"/>
        </w:rPr>
        <w:t xml:space="preserve"> – Guidance for food business operators v 1.1.1. Chilled Food Association, Kettering, United Kingdom. </w:t>
      </w:r>
      <w:hyperlink r:id="rId17" w:history="1">
        <w:r w:rsidR="00CA574B" w:rsidRPr="00163529">
          <w:rPr>
            <w:rStyle w:val="Hyperlink"/>
            <w:noProof/>
            <w:sz w:val="20"/>
            <w:szCs w:val="20"/>
          </w:rPr>
          <w:t>http://www.chilledfood.org</w:t>
        </w:r>
      </w:hyperlink>
      <w:r w:rsidR="00CA574B">
        <w:rPr>
          <w:noProof/>
          <w:sz w:val="20"/>
          <w:szCs w:val="20"/>
        </w:rPr>
        <w:t xml:space="preserve"> </w:t>
      </w:r>
      <w:r>
        <w:rPr>
          <w:noProof/>
          <w:sz w:val="20"/>
          <w:szCs w:val="20"/>
        </w:rPr>
        <w:t xml:space="preserve"> </w:t>
      </w:r>
    </w:p>
    <w:p w:rsidR="006D2B33" w:rsidRPr="00CA574B" w:rsidRDefault="006D2B33" w:rsidP="006D2B33">
      <w:pPr>
        <w:tabs>
          <w:tab w:val="left" w:pos="0"/>
        </w:tabs>
        <w:spacing w:after="240"/>
        <w:rPr>
          <w:noProof/>
          <w:sz w:val="20"/>
          <w:szCs w:val="20"/>
        </w:rPr>
      </w:pPr>
      <w:r w:rsidRPr="006D2B33">
        <w:rPr>
          <w:noProof/>
          <w:sz w:val="20"/>
          <w:szCs w:val="20"/>
        </w:rPr>
        <w:t xml:space="preserve">Codex (2007) Guidelines on the Application of General Principals of Food Hygiene on the Control of </w:t>
      </w:r>
      <w:r w:rsidRPr="006D2B33">
        <w:rPr>
          <w:i/>
          <w:noProof/>
          <w:sz w:val="20"/>
          <w:szCs w:val="20"/>
        </w:rPr>
        <w:t>Listeria monocytogenes</w:t>
      </w:r>
      <w:r w:rsidRPr="006D2B33">
        <w:rPr>
          <w:noProof/>
          <w:sz w:val="20"/>
          <w:szCs w:val="20"/>
        </w:rPr>
        <w:t xml:space="preserve"> in Foods (CAC/GL 61 - 2007). Codex Alimentarius Commission, Geneva, Switzerland.</w:t>
      </w:r>
      <w:r w:rsidRPr="006D2B33">
        <w:rPr>
          <w:rFonts w:eastAsia="Times New Roman" w:cs="Arial"/>
        </w:rPr>
        <w:t xml:space="preserve"> </w:t>
      </w:r>
      <w:hyperlink r:id="rId18" w:history="1">
        <w:r w:rsidRPr="00CA574B">
          <w:rPr>
            <w:rStyle w:val="Hyperlink"/>
            <w:rFonts w:eastAsia="Times New Roman" w:cs="Arial"/>
            <w:sz w:val="20"/>
            <w:szCs w:val="20"/>
          </w:rPr>
          <w:t>http://www.codexalimentarius.org/standards/list-of-standards/</w:t>
        </w:r>
      </w:hyperlink>
      <w:r w:rsidRPr="00CA574B">
        <w:rPr>
          <w:rFonts w:eastAsia="Times New Roman" w:cs="Arial"/>
          <w:sz w:val="20"/>
          <w:szCs w:val="20"/>
        </w:rPr>
        <w:t xml:space="preserve"> </w:t>
      </w:r>
      <w:r w:rsidR="00AA0DDF" w:rsidRPr="00CA574B">
        <w:rPr>
          <w:rFonts w:eastAsia="Times New Roman" w:cs="Arial"/>
          <w:sz w:val="20"/>
          <w:szCs w:val="20"/>
        </w:rPr>
        <w:t xml:space="preserve"> </w:t>
      </w:r>
    </w:p>
    <w:p w:rsidR="00266173" w:rsidRPr="00266173" w:rsidRDefault="00266173" w:rsidP="00266173">
      <w:pPr>
        <w:tabs>
          <w:tab w:val="left" w:pos="0"/>
        </w:tabs>
        <w:rPr>
          <w:rFonts w:cs="Arial"/>
          <w:sz w:val="20"/>
          <w:szCs w:val="20"/>
        </w:rPr>
      </w:pPr>
      <w:r>
        <w:rPr>
          <w:rFonts w:cs="Arial"/>
          <w:sz w:val="20"/>
          <w:szCs w:val="20"/>
        </w:rPr>
        <w:t xml:space="preserve">Codex (2008) </w:t>
      </w:r>
      <w:r w:rsidRPr="00266173">
        <w:rPr>
          <w:rFonts w:cs="Arial"/>
          <w:sz w:val="20"/>
          <w:szCs w:val="20"/>
        </w:rPr>
        <w:t>Guidelines for the Validation of Food Safety Control Measures</w:t>
      </w:r>
      <w:r>
        <w:rPr>
          <w:rFonts w:cs="Arial"/>
          <w:sz w:val="20"/>
          <w:szCs w:val="20"/>
        </w:rPr>
        <w:t xml:space="preserve"> (CAC/GL 69-2008). </w:t>
      </w:r>
      <w:proofErr w:type="gramStart"/>
      <w:r>
        <w:rPr>
          <w:rFonts w:cs="Arial"/>
          <w:sz w:val="20"/>
          <w:szCs w:val="20"/>
        </w:rPr>
        <w:t>Codex Alimentarius Commission, Geneva, Switzerland.</w:t>
      </w:r>
      <w:proofErr w:type="gramEnd"/>
      <w:r>
        <w:rPr>
          <w:rFonts w:cs="Arial"/>
          <w:sz w:val="20"/>
          <w:szCs w:val="20"/>
        </w:rPr>
        <w:t xml:space="preserve"> </w:t>
      </w:r>
      <w:hyperlink r:id="rId19" w:history="1">
        <w:r w:rsidRPr="00CA574B">
          <w:rPr>
            <w:rStyle w:val="Hyperlink"/>
            <w:rFonts w:eastAsia="Times New Roman" w:cs="Arial"/>
            <w:sz w:val="20"/>
            <w:szCs w:val="20"/>
          </w:rPr>
          <w:t>http://www.codexalimentarius.org/standards/list-of-standards/</w:t>
        </w:r>
      </w:hyperlink>
      <w:r w:rsidRPr="00CA574B">
        <w:rPr>
          <w:rFonts w:eastAsia="Times New Roman" w:cs="Arial"/>
          <w:sz w:val="20"/>
          <w:szCs w:val="20"/>
        </w:rPr>
        <w:t xml:space="preserve">  </w:t>
      </w:r>
      <w:r w:rsidRPr="00266173">
        <w:rPr>
          <w:rFonts w:cs="Arial"/>
          <w:sz w:val="20"/>
          <w:szCs w:val="20"/>
        </w:rPr>
        <w:t xml:space="preserve"> </w:t>
      </w:r>
    </w:p>
    <w:p w:rsidR="00266173" w:rsidRDefault="00266173" w:rsidP="00266173">
      <w:pPr>
        <w:tabs>
          <w:tab w:val="left" w:pos="0"/>
        </w:tabs>
        <w:rPr>
          <w:noProof/>
          <w:sz w:val="20"/>
          <w:szCs w:val="20"/>
        </w:rPr>
      </w:pPr>
    </w:p>
    <w:p w:rsidR="000A0773" w:rsidRDefault="000A0773" w:rsidP="004C11B9">
      <w:pPr>
        <w:tabs>
          <w:tab w:val="left" w:pos="0"/>
        </w:tabs>
        <w:spacing w:after="240"/>
        <w:rPr>
          <w:noProof/>
          <w:sz w:val="20"/>
          <w:szCs w:val="20"/>
        </w:rPr>
      </w:pPr>
      <w:r w:rsidRPr="000A0773">
        <w:rPr>
          <w:bCs/>
          <w:noProof/>
          <w:sz w:val="20"/>
          <w:szCs w:val="20"/>
        </w:rPr>
        <w:t>ComBase</w:t>
      </w:r>
      <w:r w:rsidRPr="000A0773">
        <w:rPr>
          <w:noProof/>
          <w:sz w:val="20"/>
          <w:szCs w:val="20"/>
        </w:rPr>
        <w:t xml:space="preserve"> </w:t>
      </w:r>
      <w:r>
        <w:rPr>
          <w:noProof/>
          <w:sz w:val="20"/>
          <w:szCs w:val="20"/>
        </w:rPr>
        <w:t>(2012) W</w:t>
      </w:r>
      <w:r w:rsidRPr="000A0773">
        <w:rPr>
          <w:noProof/>
          <w:sz w:val="20"/>
          <w:szCs w:val="20"/>
        </w:rPr>
        <w:t>eb-based resource for Quantitative and Predictive Food Microbiology</w:t>
      </w:r>
      <w:r>
        <w:rPr>
          <w:noProof/>
          <w:sz w:val="20"/>
          <w:szCs w:val="20"/>
        </w:rPr>
        <w:t xml:space="preserve"> </w:t>
      </w:r>
      <w:hyperlink r:id="rId20" w:history="1">
        <w:r w:rsidRPr="00163529">
          <w:rPr>
            <w:rStyle w:val="Hyperlink"/>
            <w:noProof/>
            <w:sz w:val="20"/>
            <w:szCs w:val="20"/>
          </w:rPr>
          <w:t>http://www.combase.cc/index.php/en/</w:t>
        </w:r>
      </w:hyperlink>
      <w:r>
        <w:rPr>
          <w:noProof/>
          <w:sz w:val="20"/>
          <w:szCs w:val="20"/>
        </w:rPr>
        <w:t xml:space="preserve"> </w:t>
      </w:r>
    </w:p>
    <w:p w:rsidR="008B4D83" w:rsidRDefault="006D2B33" w:rsidP="004C11B9">
      <w:pPr>
        <w:tabs>
          <w:tab w:val="left" w:pos="0"/>
        </w:tabs>
        <w:spacing w:after="240"/>
        <w:rPr>
          <w:noProof/>
          <w:sz w:val="20"/>
          <w:szCs w:val="20"/>
        </w:rPr>
      </w:pPr>
      <w:r>
        <w:rPr>
          <w:noProof/>
          <w:sz w:val="20"/>
          <w:szCs w:val="20"/>
        </w:rPr>
        <w:t xml:space="preserve">EC Commission Staff Working Document (2008) </w:t>
      </w:r>
      <w:r w:rsidR="008B4D83">
        <w:rPr>
          <w:noProof/>
          <w:sz w:val="20"/>
          <w:szCs w:val="20"/>
        </w:rPr>
        <w:t>Guidance document on Listeria monocytogenes shelf-life studies for ready-to-eat foods, under Regulation (EC) No 2073/2005 of 15 November 2005 on microbiological criteria for foodstuffs.</w:t>
      </w:r>
      <w:r>
        <w:rPr>
          <w:noProof/>
          <w:sz w:val="20"/>
          <w:szCs w:val="20"/>
        </w:rPr>
        <w:t xml:space="preserve"> Brussels. </w:t>
      </w:r>
      <w:hyperlink r:id="rId21" w:history="1">
        <w:r w:rsidR="00CA574B" w:rsidRPr="00163529">
          <w:rPr>
            <w:rStyle w:val="Hyperlink"/>
            <w:noProof/>
            <w:sz w:val="20"/>
            <w:szCs w:val="20"/>
          </w:rPr>
          <w:t>http://ec.europa.eu/food/</w:t>
        </w:r>
      </w:hyperlink>
    </w:p>
    <w:p w:rsidR="00AC0376" w:rsidRPr="002B3EEA" w:rsidRDefault="00AC0376" w:rsidP="00AC0376">
      <w:pPr>
        <w:tabs>
          <w:tab w:val="left" w:pos="0"/>
        </w:tabs>
        <w:rPr>
          <w:rFonts w:cs="Arial"/>
          <w:noProof/>
          <w:sz w:val="20"/>
          <w:szCs w:val="20"/>
        </w:rPr>
      </w:pPr>
      <w:r w:rsidRPr="002B3EEA">
        <w:rPr>
          <w:rFonts w:cs="Arial"/>
          <w:noProof/>
          <w:sz w:val="20"/>
          <w:szCs w:val="20"/>
        </w:rPr>
        <w:t xml:space="preserve">Health Canada (2011) Policy on </w:t>
      </w:r>
      <w:r w:rsidRPr="002B3EEA">
        <w:rPr>
          <w:rFonts w:cs="Arial"/>
          <w:i/>
          <w:noProof/>
          <w:sz w:val="20"/>
          <w:szCs w:val="20"/>
        </w:rPr>
        <w:t>Listeria monocytogenes</w:t>
      </w:r>
      <w:r w:rsidRPr="002B3EEA">
        <w:rPr>
          <w:rFonts w:cs="Arial"/>
          <w:noProof/>
          <w:sz w:val="20"/>
          <w:szCs w:val="20"/>
        </w:rPr>
        <w:t xml:space="preserve"> in ready-to-eat foods. Health Canada, Ottowa, Canada.</w:t>
      </w:r>
    </w:p>
    <w:p w:rsidR="00AC0376" w:rsidRDefault="00476D87" w:rsidP="00AC0376">
      <w:pPr>
        <w:tabs>
          <w:tab w:val="left" w:pos="0"/>
        </w:tabs>
        <w:spacing w:after="240"/>
        <w:rPr>
          <w:rFonts w:cs="Arial"/>
          <w:noProof/>
          <w:sz w:val="20"/>
          <w:szCs w:val="20"/>
        </w:rPr>
      </w:pPr>
      <w:hyperlink r:id="rId22" w:history="1">
        <w:r w:rsidR="00CA574B" w:rsidRPr="00163529">
          <w:rPr>
            <w:rStyle w:val="Hyperlink"/>
            <w:rFonts w:cs="Arial"/>
            <w:noProof/>
            <w:sz w:val="20"/>
            <w:szCs w:val="20"/>
          </w:rPr>
          <w:t>http://www.hc-sc.gc.ca</w:t>
        </w:r>
      </w:hyperlink>
      <w:r w:rsidR="00CA574B">
        <w:rPr>
          <w:rFonts w:cs="Arial"/>
          <w:noProof/>
          <w:sz w:val="20"/>
          <w:szCs w:val="20"/>
        </w:rPr>
        <w:t xml:space="preserve"> </w:t>
      </w:r>
    </w:p>
    <w:p w:rsidR="00A26DA2" w:rsidRDefault="00A26DA2" w:rsidP="00CA574B">
      <w:pPr>
        <w:tabs>
          <w:tab w:val="left" w:pos="0"/>
        </w:tabs>
        <w:rPr>
          <w:rFonts w:cs="Arial"/>
          <w:noProof/>
          <w:sz w:val="20"/>
          <w:szCs w:val="20"/>
        </w:rPr>
      </w:pPr>
      <w:r>
        <w:rPr>
          <w:rFonts w:cs="Arial"/>
          <w:noProof/>
          <w:sz w:val="20"/>
          <w:szCs w:val="20"/>
        </w:rPr>
        <w:t xml:space="preserve">Health Canada (2012) </w:t>
      </w:r>
      <w:r w:rsidRPr="00A26DA2">
        <w:rPr>
          <w:rFonts w:cs="Arial"/>
          <w:i/>
          <w:noProof/>
          <w:sz w:val="20"/>
          <w:szCs w:val="20"/>
        </w:rPr>
        <w:t>Listeria monocytogenes</w:t>
      </w:r>
      <w:r>
        <w:rPr>
          <w:rFonts w:cs="Arial"/>
          <w:noProof/>
          <w:sz w:val="20"/>
          <w:szCs w:val="20"/>
        </w:rPr>
        <w:t xml:space="preserve"> Challenge Testing of Refrigerated Ready-to-Eat Foods. Health Canada, Ottowa, Canada.</w:t>
      </w:r>
      <w:r w:rsidRPr="00A26DA2">
        <w:t xml:space="preserve"> </w:t>
      </w:r>
      <w:hyperlink r:id="rId23" w:history="1">
        <w:r w:rsidR="00CA574B" w:rsidRPr="00163529">
          <w:rPr>
            <w:rStyle w:val="Hyperlink"/>
            <w:rFonts w:cs="Arial"/>
            <w:noProof/>
            <w:sz w:val="20"/>
            <w:szCs w:val="20"/>
          </w:rPr>
          <w:t>http://www.hc-sc.gc.ca</w:t>
        </w:r>
      </w:hyperlink>
      <w:r w:rsidR="00CA574B">
        <w:rPr>
          <w:rFonts w:cs="Arial"/>
          <w:noProof/>
          <w:sz w:val="20"/>
          <w:szCs w:val="20"/>
        </w:rPr>
        <w:t xml:space="preserve"> </w:t>
      </w:r>
    </w:p>
    <w:p w:rsidR="00CA574B" w:rsidRDefault="00CA574B" w:rsidP="00CA574B">
      <w:pPr>
        <w:tabs>
          <w:tab w:val="left" w:pos="0"/>
        </w:tabs>
        <w:rPr>
          <w:noProof/>
          <w:sz w:val="20"/>
          <w:szCs w:val="20"/>
        </w:rPr>
      </w:pPr>
    </w:p>
    <w:p w:rsidR="004C11B9" w:rsidRDefault="004C11B9" w:rsidP="004C11B9">
      <w:pPr>
        <w:tabs>
          <w:tab w:val="left" w:pos="0"/>
        </w:tabs>
        <w:spacing w:after="240"/>
        <w:rPr>
          <w:noProof/>
          <w:sz w:val="20"/>
          <w:szCs w:val="20"/>
        </w:rPr>
      </w:pPr>
      <w:r w:rsidRPr="00333D7D">
        <w:rPr>
          <w:noProof/>
          <w:sz w:val="20"/>
          <w:szCs w:val="20"/>
        </w:rPr>
        <w:t>Mejlholm O, Dalgaard P (2010)</w:t>
      </w:r>
      <w:r>
        <w:rPr>
          <w:noProof/>
          <w:sz w:val="20"/>
          <w:szCs w:val="20"/>
        </w:rPr>
        <w:t xml:space="preserve"> </w:t>
      </w:r>
      <w:r w:rsidRPr="00DB1DBB">
        <w:rPr>
          <w:noProof/>
          <w:sz w:val="20"/>
          <w:szCs w:val="20"/>
        </w:rPr>
        <w:t>Development and validation of an extensive growth and growth</w:t>
      </w:r>
      <w:r>
        <w:rPr>
          <w:noProof/>
          <w:sz w:val="20"/>
          <w:szCs w:val="20"/>
        </w:rPr>
        <w:t xml:space="preserve"> </w:t>
      </w:r>
      <w:r w:rsidRPr="00DB1DBB">
        <w:rPr>
          <w:noProof/>
          <w:sz w:val="20"/>
          <w:szCs w:val="20"/>
        </w:rPr>
        <w:t xml:space="preserve">boundary model for </w:t>
      </w:r>
      <w:r w:rsidRPr="00DB1DBB">
        <w:rPr>
          <w:i/>
          <w:noProof/>
          <w:sz w:val="20"/>
          <w:szCs w:val="20"/>
        </w:rPr>
        <w:t>Listeria</w:t>
      </w:r>
      <w:r w:rsidRPr="00DB1DBB">
        <w:rPr>
          <w:noProof/>
          <w:sz w:val="20"/>
          <w:szCs w:val="20"/>
        </w:rPr>
        <w:t xml:space="preserve"> </w:t>
      </w:r>
      <w:r w:rsidRPr="00DB1DBB">
        <w:rPr>
          <w:i/>
          <w:noProof/>
          <w:sz w:val="20"/>
          <w:szCs w:val="20"/>
        </w:rPr>
        <w:t>monocytogenes</w:t>
      </w:r>
      <w:r w:rsidRPr="00DB1DBB">
        <w:rPr>
          <w:noProof/>
          <w:sz w:val="20"/>
          <w:szCs w:val="20"/>
        </w:rPr>
        <w:t xml:space="preserve"> in lightly preserved</w:t>
      </w:r>
      <w:r>
        <w:rPr>
          <w:noProof/>
          <w:sz w:val="20"/>
          <w:szCs w:val="20"/>
        </w:rPr>
        <w:t xml:space="preserve"> </w:t>
      </w:r>
      <w:r w:rsidRPr="00DB1DBB">
        <w:rPr>
          <w:noProof/>
          <w:sz w:val="20"/>
          <w:szCs w:val="20"/>
        </w:rPr>
        <w:t>and ready-to-eat shrimp</w:t>
      </w:r>
      <w:r>
        <w:rPr>
          <w:noProof/>
          <w:sz w:val="20"/>
          <w:szCs w:val="20"/>
        </w:rPr>
        <w:t>. Journal of Food Protection</w:t>
      </w:r>
      <w:r w:rsidRPr="00DB1DBB">
        <w:rPr>
          <w:noProof/>
          <w:sz w:val="20"/>
          <w:szCs w:val="20"/>
        </w:rPr>
        <w:t xml:space="preserve"> 72</w:t>
      </w:r>
      <w:r>
        <w:rPr>
          <w:noProof/>
          <w:sz w:val="20"/>
          <w:szCs w:val="20"/>
        </w:rPr>
        <w:t>:</w:t>
      </w:r>
      <w:r w:rsidRPr="00DB1DBB">
        <w:rPr>
          <w:noProof/>
          <w:sz w:val="20"/>
          <w:szCs w:val="20"/>
        </w:rPr>
        <w:t>2132</w:t>
      </w:r>
      <w:r>
        <w:rPr>
          <w:noProof/>
          <w:sz w:val="20"/>
          <w:szCs w:val="20"/>
        </w:rPr>
        <w:t>-</w:t>
      </w:r>
      <w:r w:rsidRPr="00DB1DBB">
        <w:rPr>
          <w:noProof/>
          <w:sz w:val="20"/>
          <w:szCs w:val="20"/>
        </w:rPr>
        <w:t>2143</w:t>
      </w:r>
    </w:p>
    <w:p w:rsidR="004C11B9" w:rsidRDefault="004C11B9" w:rsidP="004C11B9">
      <w:pPr>
        <w:rPr>
          <w:noProof/>
          <w:sz w:val="20"/>
          <w:szCs w:val="20"/>
        </w:rPr>
      </w:pPr>
      <w:r w:rsidRPr="00333D7D">
        <w:rPr>
          <w:noProof/>
          <w:sz w:val="20"/>
          <w:szCs w:val="20"/>
        </w:rPr>
        <w:t xml:space="preserve">Mejlholm O, Gunvig A, Borggaard C, Blom-Hanssen J, Mellefont L, Ross T, Leroi F, Else T, Visser D, Dalgaard P (2010) Predicting growth rates and growth boundary of </w:t>
      </w:r>
      <w:r w:rsidRPr="00DB1DBB">
        <w:rPr>
          <w:i/>
          <w:noProof/>
          <w:sz w:val="20"/>
          <w:szCs w:val="20"/>
        </w:rPr>
        <w:t>Listeria</w:t>
      </w:r>
      <w:r w:rsidRPr="00333D7D">
        <w:rPr>
          <w:noProof/>
          <w:sz w:val="20"/>
          <w:szCs w:val="20"/>
        </w:rPr>
        <w:t xml:space="preserve"> </w:t>
      </w:r>
      <w:r w:rsidRPr="00DB1DBB">
        <w:rPr>
          <w:i/>
          <w:noProof/>
          <w:sz w:val="20"/>
          <w:szCs w:val="20"/>
        </w:rPr>
        <w:t>monocytogenes</w:t>
      </w:r>
      <w:r w:rsidRPr="00333D7D">
        <w:rPr>
          <w:noProof/>
          <w:sz w:val="20"/>
          <w:szCs w:val="20"/>
        </w:rPr>
        <w:t xml:space="preserve"> — An</w:t>
      </w:r>
      <w:r>
        <w:rPr>
          <w:noProof/>
          <w:sz w:val="20"/>
          <w:szCs w:val="20"/>
        </w:rPr>
        <w:t xml:space="preserve"> </w:t>
      </w:r>
      <w:r w:rsidRPr="00333D7D">
        <w:rPr>
          <w:noProof/>
          <w:sz w:val="20"/>
          <w:szCs w:val="20"/>
        </w:rPr>
        <w:t>international validation study with focus on processed and ready-to-eat meat</w:t>
      </w:r>
      <w:r>
        <w:rPr>
          <w:noProof/>
          <w:sz w:val="20"/>
          <w:szCs w:val="20"/>
        </w:rPr>
        <w:t xml:space="preserve"> </w:t>
      </w:r>
      <w:r w:rsidRPr="00333D7D">
        <w:rPr>
          <w:noProof/>
          <w:sz w:val="20"/>
          <w:szCs w:val="20"/>
        </w:rPr>
        <w:t>and seafood</w:t>
      </w:r>
      <w:r>
        <w:rPr>
          <w:noProof/>
          <w:sz w:val="20"/>
          <w:szCs w:val="20"/>
        </w:rPr>
        <w:t xml:space="preserve">. </w:t>
      </w:r>
      <w:r w:rsidRPr="00333D7D">
        <w:rPr>
          <w:noProof/>
          <w:sz w:val="20"/>
          <w:szCs w:val="20"/>
        </w:rPr>
        <w:t>International Journal of Food Microbiology 141</w:t>
      </w:r>
      <w:r>
        <w:rPr>
          <w:noProof/>
          <w:sz w:val="20"/>
          <w:szCs w:val="20"/>
        </w:rPr>
        <w:t>:</w:t>
      </w:r>
      <w:r w:rsidRPr="00333D7D">
        <w:rPr>
          <w:noProof/>
          <w:sz w:val="20"/>
          <w:szCs w:val="20"/>
        </w:rPr>
        <w:t>137</w:t>
      </w:r>
      <w:r>
        <w:rPr>
          <w:noProof/>
          <w:sz w:val="20"/>
          <w:szCs w:val="20"/>
        </w:rPr>
        <w:t>-</w:t>
      </w:r>
      <w:r w:rsidRPr="00333D7D">
        <w:rPr>
          <w:noProof/>
          <w:sz w:val="20"/>
          <w:szCs w:val="20"/>
        </w:rPr>
        <w:t>150</w:t>
      </w:r>
    </w:p>
    <w:p w:rsidR="00E933BB" w:rsidRDefault="00E933BB" w:rsidP="004C11B9">
      <w:pPr>
        <w:rPr>
          <w:noProof/>
          <w:sz w:val="20"/>
          <w:szCs w:val="20"/>
        </w:rPr>
      </w:pPr>
    </w:p>
    <w:p w:rsidR="00E933BB" w:rsidRDefault="00E933BB" w:rsidP="004C11B9">
      <w:pPr>
        <w:rPr>
          <w:noProof/>
          <w:sz w:val="20"/>
          <w:szCs w:val="20"/>
        </w:rPr>
      </w:pPr>
      <w:r>
        <w:rPr>
          <w:noProof/>
          <w:sz w:val="20"/>
          <w:szCs w:val="20"/>
        </w:rPr>
        <w:t xml:space="preserve">NSW Food Authority (2010) Shelf life testing, ‘Use-by” dates for food safety. </w:t>
      </w:r>
      <w:hyperlink r:id="rId24" w:history="1">
        <w:r w:rsidR="00CA574B" w:rsidRPr="00163529">
          <w:rPr>
            <w:rStyle w:val="Hyperlink"/>
            <w:noProof/>
            <w:sz w:val="20"/>
            <w:szCs w:val="20"/>
          </w:rPr>
          <w:t>http://www.foodauthority.nsw.gov.au</w:t>
        </w:r>
      </w:hyperlink>
      <w:r w:rsidR="00CA574B">
        <w:rPr>
          <w:noProof/>
          <w:sz w:val="20"/>
          <w:szCs w:val="20"/>
        </w:rPr>
        <w:t xml:space="preserve"> </w:t>
      </w:r>
      <w:r>
        <w:rPr>
          <w:noProof/>
          <w:sz w:val="20"/>
          <w:szCs w:val="20"/>
        </w:rPr>
        <w:t xml:space="preserve">  </w:t>
      </w:r>
    </w:p>
    <w:p w:rsidR="00173F25" w:rsidRDefault="00173F25" w:rsidP="004C11B9">
      <w:pPr>
        <w:rPr>
          <w:noProof/>
          <w:sz w:val="20"/>
          <w:szCs w:val="20"/>
        </w:rPr>
      </w:pPr>
    </w:p>
    <w:p w:rsidR="00173F25" w:rsidRDefault="00173F25" w:rsidP="004C11B9">
      <w:pPr>
        <w:rPr>
          <w:rStyle w:val="Hyperlink"/>
          <w:noProof/>
          <w:sz w:val="20"/>
        </w:rPr>
      </w:pPr>
      <w:proofErr w:type="gramStart"/>
      <w:r w:rsidRPr="00173F25">
        <w:rPr>
          <w:rFonts w:cs="Arial"/>
          <w:sz w:val="20"/>
          <w:szCs w:val="20"/>
        </w:rPr>
        <w:t xml:space="preserve">Ross T (2010) Defining "Short Shelf Life" foods with respect to risk from </w:t>
      </w:r>
      <w:r w:rsidRPr="00173F25">
        <w:rPr>
          <w:rFonts w:cs="Arial"/>
          <w:i/>
          <w:iCs/>
          <w:sz w:val="20"/>
          <w:szCs w:val="20"/>
        </w:rPr>
        <w:t>Listeria monocytogenes</w:t>
      </w:r>
      <w:r w:rsidRPr="00173F25">
        <w:rPr>
          <w:rFonts w:cs="Arial"/>
          <w:sz w:val="20"/>
          <w:szCs w:val="20"/>
        </w:rPr>
        <w:t>.</w:t>
      </w:r>
      <w:proofErr w:type="gramEnd"/>
      <w:r w:rsidRPr="00173F25">
        <w:rPr>
          <w:rFonts w:cs="Arial"/>
          <w:sz w:val="20"/>
          <w:szCs w:val="20"/>
        </w:rPr>
        <w:t xml:space="preserve"> </w:t>
      </w:r>
      <w:proofErr w:type="gramStart"/>
      <w:r w:rsidRPr="00173F25">
        <w:rPr>
          <w:rFonts w:cs="Arial"/>
          <w:sz w:val="20"/>
          <w:szCs w:val="20"/>
        </w:rPr>
        <w:t>Ministry of Agriculture and Forestry, Wellington, New Zealand.</w:t>
      </w:r>
      <w:proofErr w:type="gramEnd"/>
      <w:r w:rsidR="00CA574B">
        <w:rPr>
          <w:rFonts w:cs="Arial"/>
          <w:sz w:val="20"/>
          <w:szCs w:val="20"/>
        </w:rPr>
        <w:t xml:space="preserve"> </w:t>
      </w:r>
      <w:r w:rsidR="00BA2BAF" w:rsidRPr="00CA574B">
        <w:rPr>
          <w:rStyle w:val="Hyperlink"/>
          <w:noProof/>
          <w:sz w:val="20"/>
        </w:rPr>
        <w:t>http://www</w:t>
      </w:r>
      <w:r w:rsidR="00CA574B">
        <w:rPr>
          <w:rStyle w:val="Hyperlink"/>
          <w:noProof/>
          <w:sz w:val="20"/>
        </w:rPr>
        <w:t>.foodsafety.govt.nz</w:t>
      </w:r>
      <w:r w:rsidR="004D6EF1">
        <w:rPr>
          <w:rStyle w:val="Hyperlink"/>
          <w:noProof/>
          <w:sz w:val="20"/>
        </w:rPr>
        <w:t xml:space="preserve"> </w:t>
      </w:r>
    </w:p>
    <w:p w:rsidR="004D6EF1" w:rsidRDefault="004D6EF1" w:rsidP="004C11B9">
      <w:pPr>
        <w:rPr>
          <w:rStyle w:val="Hyperlink"/>
          <w:noProof/>
          <w:sz w:val="20"/>
        </w:rPr>
      </w:pPr>
    </w:p>
    <w:p w:rsidR="00BA2BAF" w:rsidRDefault="004D6EF1" w:rsidP="004C11B9">
      <w:pPr>
        <w:rPr>
          <w:rFonts w:cs="Arial"/>
          <w:sz w:val="20"/>
          <w:szCs w:val="20"/>
        </w:rPr>
      </w:pPr>
      <w:r>
        <w:rPr>
          <w:rFonts w:cs="Arial"/>
          <w:sz w:val="20"/>
          <w:szCs w:val="20"/>
        </w:rPr>
        <w:t xml:space="preserve">USDA (2013) Pathogen Modelling Program (PMP) online: </w:t>
      </w:r>
      <w:hyperlink r:id="rId25" w:history="1">
        <w:r w:rsidRPr="00163529">
          <w:rPr>
            <w:rStyle w:val="Hyperlink"/>
            <w:rFonts w:cs="Arial"/>
            <w:sz w:val="20"/>
            <w:szCs w:val="20"/>
          </w:rPr>
          <w:t>http://pmp.arserrc.gov/PMPOnline.aspx</w:t>
        </w:r>
      </w:hyperlink>
      <w:r>
        <w:rPr>
          <w:rFonts w:cs="Arial"/>
          <w:sz w:val="20"/>
          <w:szCs w:val="20"/>
        </w:rPr>
        <w:t xml:space="preserve"> </w:t>
      </w:r>
    </w:p>
    <w:sectPr w:rsidR="00BA2BAF" w:rsidSect="00BD21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68A" w:rsidRDefault="0036168A" w:rsidP="00DF3EE0">
      <w:r>
        <w:separator/>
      </w:r>
    </w:p>
  </w:endnote>
  <w:endnote w:type="continuationSeparator" w:id="0">
    <w:p w:rsidR="0036168A" w:rsidRDefault="0036168A" w:rsidP="00DF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77" w:rsidRDefault="00B91F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869709"/>
      <w:docPartObj>
        <w:docPartGallery w:val="Page Numbers (Bottom of Page)"/>
        <w:docPartUnique/>
      </w:docPartObj>
    </w:sdtPr>
    <w:sdtEndPr>
      <w:rPr>
        <w:noProof/>
      </w:rPr>
    </w:sdtEndPr>
    <w:sdtContent>
      <w:p w:rsidR="0036168A" w:rsidRDefault="00417390" w:rsidP="00417B0E">
        <w:pPr>
          <w:pStyle w:val="Footer"/>
          <w:jc w:val="center"/>
        </w:pPr>
        <w:r>
          <w:fldChar w:fldCharType="begin"/>
        </w:r>
        <w:r>
          <w:instrText xml:space="preserve"> PAGE   \* MERGEFORMAT </w:instrText>
        </w:r>
        <w:r>
          <w:fldChar w:fldCharType="separate"/>
        </w:r>
        <w:r w:rsidR="00476D87">
          <w:rPr>
            <w:noProof/>
          </w:rPr>
          <w:t>11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77" w:rsidRDefault="00B91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68A" w:rsidRDefault="0036168A" w:rsidP="00DF3EE0">
      <w:r>
        <w:separator/>
      </w:r>
    </w:p>
  </w:footnote>
  <w:footnote w:type="continuationSeparator" w:id="0">
    <w:p w:rsidR="0036168A" w:rsidRDefault="0036168A" w:rsidP="00DF3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77" w:rsidRDefault="00B91F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68A" w:rsidRPr="00417B0E" w:rsidRDefault="00476D87" w:rsidP="00DE67D3">
    <w:pPr>
      <w:pStyle w:val="Header"/>
      <w:rPr>
        <w:rFonts w:cs="Arial"/>
        <w:b w:val="0"/>
      </w:rPr>
    </w:pPr>
    <w:sdt>
      <w:sdtPr>
        <w:rPr>
          <w:rFonts w:cs="Arial"/>
          <w:caps w:val="0"/>
        </w:rPr>
        <w:id w:val="1256555103"/>
        <w:docPartObj>
          <w:docPartGallery w:val="Watermarks"/>
          <w:docPartUnique/>
        </w:docPartObj>
      </w:sdtPr>
      <w:sdtEndPr/>
      <w:sdtContent>
        <w:r>
          <w:rPr>
            <w:rFonts w:cs="Arial"/>
            <w:caps w:val="0"/>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77" w:rsidRDefault="00B91F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B8C"/>
    <w:multiLevelType w:val="hybridMultilevel"/>
    <w:tmpl w:val="B896085E"/>
    <w:lvl w:ilvl="0" w:tplc="6E121AC4">
      <w:start w:val="1"/>
      <w:numFmt w:val="bullet"/>
      <w:lvlText w:val="•"/>
      <w:lvlJc w:val="left"/>
      <w:pPr>
        <w:tabs>
          <w:tab w:val="num" w:pos="720"/>
        </w:tabs>
        <w:ind w:left="720" w:hanging="360"/>
      </w:pPr>
      <w:rPr>
        <w:rFonts w:ascii="Arial" w:hAnsi="Arial" w:hint="default"/>
      </w:rPr>
    </w:lvl>
    <w:lvl w:ilvl="1" w:tplc="27729D3E" w:tentative="1">
      <w:start w:val="1"/>
      <w:numFmt w:val="bullet"/>
      <w:lvlText w:val="•"/>
      <w:lvlJc w:val="left"/>
      <w:pPr>
        <w:tabs>
          <w:tab w:val="num" w:pos="1440"/>
        </w:tabs>
        <w:ind w:left="1440" w:hanging="360"/>
      </w:pPr>
      <w:rPr>
        <w:rFonts w:ascii="Arial" w:hAnsi="Arial" w:hint="default"/>
      </w:rPr>
    </w:lvl>
    <w:lvl w:ilvl="2" w:tplc="D61813C0" w:tentative="1">
      <w:start w:val="1"/>
      <w:numFmt w:val="bullet"/>
      <w:lvlText w:val="•"/>
      <w:lvlJc w:val="left"/>
      <w:pPr>
        <w:tabs>
          <w:tab w:val="num" w:pos="2160"/>
        </w:tabs>
        <w:ind w:left="2160" w:hanging="360"/>
      </w:pPr>
      <w:rPr>
        <w:rFonts w:ascii="Arial" w:hAnsi="Arial" w:hint="default"/>
      </w:rPr>
    </w:lvl>
    <w:lvl w:ilvl="3" w:tplc="F8BC06D2" w:tentative="1">
      <w:start w:val="1"/>
      <w:numFmt w:val="bullet"/>
      <w:lvlText w:val="•"/>
      <w:lvlJc w:val="left"/>
      <w:pPr>
        <w:tabs>
          <w:tab w:val="num" w:pos="2880"/>
        </w:tabs>
        <w:ind w:left="2880" w:hanging="360"/>
      </w:pPr>
      <w:rPr>
        <w:rFonts w:ascii="Arial" w:hAnsi="Arial" w:hint="default"/>
      </w:rPr>
    </w:lvl>
    <w:lvl w:ilvl="4" w:tplc="FE387516" w:tentative="1">
      <w:start w:val="1"/>
      <w:numFmt w:val="bullet"/>
      <w:lvlText w:val="•"/>
      <w:lvlJc w:val="left"/>
      <w:pPr>
        <w:tabs>
          <w:tab w:val="num" w:pos="3600"/>
        </w:tabs>
        <w:ind w:left="3600" w:hanging="360"/>
      </w:pPr>
      <w:rPr>
        <w:rFonts w:ascii="Arial" w:hAnsi="Arial" w:hint="default"/>
      </w:rPr>
    </w:lvl>
    <w:lvl w:ilvl="5" w:tplc="3984C47C" w:tentative="1">
      <w:start w:val="1"/>
      <w:numFmt w:val="bullet"/>
      <w:lvlText w:val="•"/>
      <w:lvlJc w:val="left"/>
      <w:pPr>
        <w:tabs>
          <w:tab w:val="num" w:pos="4320"/>
        </w:tabs>
        <w:ind w:left="4320" w:hanging="360"/>
      </w:pPr>
      <w:rPr>
        <w:rFonts w:ascii="Arial" w:hAnsi="Arial" w:hint="default"/>
      </w:rPr>
    </w:lvl>
    <w:lvl w:ilvl="6" w:tplc="6D6ADCB4" w:tentative="1">
      <w:start w:val="1"/>
      <w:numFmt w:val="bullet"/>
      <w:lvlText w:val="•"/>
      <w:lvlJc w:val="left"/>
      <w:pPr>
        <w:tabs>
          <w:tab w:val="num" w:pos="5040"/>
        </w:tabs>
        <w:ind w:left="5040" w:hanging="360"/>
      </w:pPr>
      <w:rPr>
        <w:rFonts w:ascii="Arial" w:hAnsi="Arial" w:hint="default"/>
      </w:rPr>
    </w:lvl>
    <w:lvl w:ilvl="7" w:tplc="77347C04" w:tentative="1">
      <w:start w:val="1"/>
      <w:numFmt w:val="bullet"/>
      <w:lvlText w:val="•"/>
      <w:lvlJc w:val="left"/>
      <w:pPr>
        <w:tabs>
          <w:tab w:val="num" w:pos="5760"/>
        </w:tabs>
        <w:ind w:left="5760" w:hanging="360"/>
      </w:pPr>
      <w:rPr>
        <w:rFonts w:ascii="Arial" w:hAnsi="Arial" w:hint="default"/>
      </w:rPr>
    </w:lvl>
    <w:lvl w:ilvl="8" w:tplc="125224AE" w:tentative="1">
      <w:start w:val="1"/>
      <w:numFmt w:val="bullet"/>
      <w:lvlText w:val="•"/>
      <w:lvlJc w:val="left"/>
      <w:pPr>
        <w:tabs>
          <w:tab w:val="num" w:pos="6480"/>
        </w:tabs>
        <w:ind w:left="6480" w:hanging="360"/>
      </w:pPr>
      <w:rPr>
        <w:rFonts w:ascii="Arial" w:hAnsi="Arial" w:hint="default"/>
      </w:rPr>
    </w:lvl>
  </w:abstractNum>
  <w:abstractNum w:abstractNumId="1">
    <w:nsid w:val="073768D0"/>
    <w:multiLevelType w:val="hybridMultilevel"/>
    <w:tmpl w:val="DF8C8E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812164"/>
    <w:multiLevelType w:val="hybridMultilevel"/>
    <w:tmpl w:val="71122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2222A6"/>
    <w:multiLevelType w:val="hybridMultilevel"/>
    <w:tmpl w:val="D70208D8"/>
    <w:lvl w:ilvl="0" w:tplc="2F2E51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D76908"/>
    <w:multiLevelType w:val="hybridMultilevel"/>
    <w:tmpl w:val="DF8C8E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021DD3"/>
    <w:multiLevelType w:val="hybridMultilevel"/>
    <w:tmpl w:val="A83A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BF2F6C"/>
    <w:multiLevelType w:val="hybridMultilevel"/>
    <w:tmpl w:val="E69E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186FBF"/>
    <w:multiLevelType w:val="hybridMultilevel"/>
    <w:tmpl w:val="767E36F6"/>
    <w:lvl w:ilvl="0" w:tplc="D04C821C">
      <w:start w:val="1"/>
      <w:numFmt w:val="bullet"/>
      <w:lvlText w:val="•"/>
      <w:lvlJc w:val="left"/>
      <w:pPr>
        <w:tabs>
          <w:tab w:val="num" w:pos="720"/>
        </w:tabs>
        <w:ind w:left="720" w:hanging="360"/>
      </w:pPr>
      <w:rPr>
        <w:rFonts w:ascii="Arial" w:hAnsi="Arial" w:hint="default"/>
      </w:rPr>
    </w:lvl>
    <w:lvl w:ilvl="1" w:tplc="ECD0947E">
      <w:start w:val="639"/>
      <w:numFmt w:val="bullet"/>
      <w:lvlText w:val="–"/>
      <w:lvlJc w:val="left"/>
      <w:pPr>
        <w:tabs>
          <w:tab w:val="num" w:pos="1440"/>
        </w:tabs>
        <w:ind w:left="1440" w:hanging="360"/>
      </w:pPr>
      <w:rPr>
        <w:rFonts w:ascii="Arial" w:hAnsi="Arial" w:hint="default"/>
      </w:rPr>
    </w:lvl>
    <w:lvl w:ilvl="2" w:tplc="2FC27576" w:tentative="1">
      <w:start w:val="1"/>
      <w:numFmt w:val="bullet"/>
      <w:lvlText w:val="•"/>
      <w:lvlJc w:val="left"/>
      <w:pPr>
        <w:tabs>
          <w:tab w:val="num" w:pos="2160"/>
        </w:tabs>
        <w:ind w:left="2160" w:hanging="360"/>
      </w:pPr>
      <w:rPr>
        <w:rFonts w:ascii="Arial" w:hAnsi="Arial" w:hint="default"/>
      </w:rPr>
    </w:lvl>
    <w:lvl w:ilvl="3" w:tplc="8DC64A96" w:tentative="1">
      <w:start w:val="1"/>
      <w:numFmt w:val="bullet"/>
      <w:lvlText w:val="•"/>
      <w:lvlJc w:val="left"/>
      <w:pPr>
        <w:tabs>
          <w:tab w:val="num" w:pos="2880"/>
        </w:tabs>
        <w:ind w:left="2880" w:hanging="360"/>
      </w:pPr>
      <w:rPr>
        <w:rFonts w:ascii="Arial" w:hAnsi="Arial" w:hint="default"/>
      </w:rPr>
    </w:lvl>
    <w:lvl w:ilvl="4" w:tplc="D390B5E6" w:tentative="1">
      <w:start w:val="1"/>
      <w:numFmt w:val="bullet"/>
      <w:lvlText w:val="•"/>
      <w:lvlJc w:val="left"/>
      <w:pPr>
        <w:tabs>
          <w:tab w:val="num" w:pos="3600"/>
        </w:tabs>
        <w:ind w:left="3600" w:hanging="360"/>
      </w:pPr>
      <w:rPr>
        <w:rFonts w:ascii="Arial" w:hAnsi="Arial" w:hint="default"/>
      </w:rPr>
    </w:lvl>
    <w:lvl w:ilvl="5" w:tplc="F0B271B4" w:tentative="1">
      <w:start w:val="1"/>
      <w:numFmt w:val="bullet"/>
      <w:lvlText w:val="•"/>
      <w:lvlJc w:val="left"/>
      <w:pPr>
        <w:tabs>
          <w:tab w:val="num" w:pos="4320"/>
        </w:tabs>
        <w:ind w:left="4320" w:hanging="360"/>
      </w:pPr>
      <w:rPr>
        <w:rFonts w:ascii="Arial" w:hAnsi="Arial" w:hint="default"/>
      </w:rPr>
    </w:lvl>
    <w:lvl w:ilvl="6" w:tplc="8BE67232" w:tentative="1">
      <w:start w:val="1"/>
      <w:numFmt w:val="bullet"/>
      <w:lvlText w:val="•"/>
      <w:lvlJc w:val="left"/>
      <w:pPr>
        <w:tabs>
          <w:tab w:val="num" w:pos="5040"/>
        </w:tabs>
        <w:ind w:left="5040" w:hanging="360"/>
      </w:pPr>
      <w:rPr>
        <w:rFonts w:ascii="Arial" w:hAnsi="Arial" w:hint="default"/>
      </w:rPr>
    </w:lvl>
    <w:lvl w:ilvl="7" w:tplc="4716857E" w:tentative="1">
      <w:start w:val="1"/>
      <w:numFmt w:val="bullet"/>
      <w:lvlText w:val="•"/>
      <w:lvlJc w:val="left"/>
      <w:pPr>
        <w:tabs>
          <w:tab w:val="num" w:pos="5760"/>
        </w:tabs>
        <w:ind w:left="5760" w:hanging="360"/>
      </w:pPr>
      <w:rPr>
        <w:rFonts w:ascii="Arial" w:hAnsi="Arial" w:hint="default"/>
      </w:rPr>
    </w:lvl>
    <w:lvl w:ilvl="8" w:tplc="CA30303A" w:tentative="1">
      <w:start w:val="1"/>
      <w:numFmt w:val="bullet"/>
      <w:lvlText w:val="•"/>
      <w:lvlJc w:val="left"/>
      <w:pPr>
        <w:tabs>
          <w:tab w:val="num" w:pos="6480"/>
        </w:tabs>
        <w:ind w:left="6480" w:hanging="360"/>
      </w:pPr>
      <w:rPr>
        <w:rFonts w:ascii="Arial" w:hAnsi="Arial" w:hint="default"/>
      </w:rPr>
    </w:lvl>
  </w:abstractNum>
  <w:abstractNum w:abstractNumId="8">
    <w:nsid w:val="2C666FD6"/>
    <w:multiLevelType w:val="hybridMultilevel"/>
    <w:tmpl w:val="86B4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AB5C65"/>
    <w:multiLevelType w:val="hybridMultilevel"/>
    <w:tmpl w:val="C99E2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40E6C33"/>
    <w:multiLevelType w:val="hybridMultilevel"/>
    <w:tmpl w:val="6A06D4FE"/>
    <w:lvl w:ilvl="0" w:tplc="B972F134">
      <w:start w:val="1"/>
      <w:numFmt w:val="bullet"/>
      <w:lvlText w:val="•"/>
      <w:lvlJc w:val="left"/>
      <w:pPr>
        <w:tabs>
          <w:tab w:val="num" w:pos="720"/>
        </w:tabs>
        <w:ind w:left="720" w:hanging="360"/>
      </w:pPr>
      <w:rPr>
        <w:rFonts w:ascii="Arial" w:hAnsi="Arial" w:hint="default"/>
      </w:rPr>
    </w:lvl>
    <w:lvl w:ilvl="1" w:tplc="128491A8" w:tentative="1">
      <w:start w:val="1"/>
      <w:numFmt w:val="bullet"/>
      <w:lvlText w:val="•"/>
      <w:lvlJc w:val="left"/>
      <w:pPr>
        <w:tabs>
          <w:tab w:val="num" w:pos="1440"/>
        </w:tabs>
        <w:ind w:left="1440" w:hanging="360"/>
      </w:pPr>
      <w:rPr>
        <w:rFonts w:ascii="Arial" w:hAnsi="Arial" w:hint="default"/>
      </w:rPr>
    </w:lvl>
    <w:lvl w:ilvl="2" w:tplc="6D34FB7C" w:tentative="1">
      <w:start w:val="1"/>
      <w:numFmt w:val="bullet"/>
      <w:lvlText w:val="•"/>
      <w:lvlJc w:val="left"/>
      <w:pPr>
        <w:tabs>
          <w:tab w:val="num" w:pos="2160"/>
        </w:tabs>
        <w:ind w:left="2160" w:hanging="360"/>
      </w:pPr>
      <w:rPr>
        <w:rFonts w:ascii="Arial" w:hAnsi="Arial" w:hint="default"/>
      </w:rPr>
    </w:lvl>
    <w:lvl w:ilvl="3" w:tplc="5B006A94" w:tentative="1">
      <w:start w:val="1"/>
      <w:numFmt w:val="bullet"/>
      <w:lvlText w:val="•"/>
      <w:lvlJc w:val="left"/>
      <w:pPr>
        <w:tabs>
          <w:tab w:val="num" w:pos="2880"/>
        </w:tabs>
        <w:ind w:left="2880" w:hanging="360"/>
      </w:pPr>
      <w:rPr>
        <w:rFonts w:ascii="Arial" w:hAnsi="Arial" w:hint="default"/>
      </w:rPr>
    </w:lvl>
    <w:lvl w:ilvl="4" w:tplc="311C743A" w:tentative="1">
      <w:start w:val="1"/>
      <w:numFmt w:val="bullet"/>
      <w:lvlText w:val="•"/>
      <w:lvlJc w:val="left"/>
      <w:pPr>
        <w:tabs>
          <w:tab w:val="num" w:pos="3600"/>
        </w:tabs>
        <w:ind w:left="3600" w:hanging="360"/>
      </w:pPr>
      <w:rPr>
        <w:rFonts w:ascii="Arial" w:hAnsi="Arial" w:hint="default"/>
      </w:rPr>
    </w:lvl>
    <w:lvl w:ilvl="5" w:tplc="6BE46F40" w:tentative="1">
      <w:start w:val="1"/>
      <w:numFmt w:val="bullet"/>
      <w:lvlText w:val="•"/>
      <w:lvlJc w:val="left"/>
      <w:pPr>
        <w:tabs>
          <w:tab w:val="num" w:pos="4320"/>
        </w:tabs>
        <w:ind w:left="4320" w:hanging="360"/>
      </w:pPr>
      <w:rPr>
        <w:rFonts w:ascii="Arial" w:hAnsi="Arial" w:hint="default"/>
      </w:rPr>
    </w:lvl>
    <w:lvl w:ilvl="6" w:tplc="4E7A3222" w:tentative="1">
      <w:start w:val="1"/>
      <w:numFmt w:val="bullet"/>
      <w:lvlText w:val="•"/>
      <w:lvlJc w:val="left"/>
      <w:pPr>
        <w:tabs>
          <w:tab w:val="num" w:pos="5040"/>
        </w:tabs>
        <w:ind w:left="5040" w:hanging="360"/>
      </w:pPr>
      <w:rPr>
        <w:rFonts w:ascii="Arial" w:hAnsi="Arial" w:hint="default"/>
      </w:rPr>
    </w:lvl>
    <w:lvl w:ilvl="7" w:tplc="B9EAF50A" w:tentative="1">
      <w:start w:val="1"/>
      <w:numFmt w:val="bullet"/>
      <w:lvlText w:val="•"/>
      <w:lvlJc w:val="left"/>
      <w:pPr>
        <w:tabs>
          <w:tab w:val="num" w:pos="5760"/>
        </w:tabs>
        <w:ind w:left="5760" w:hanging="360"/>
      </w:pPr>
      <w:rPr>
        <w:rFonts w:ascii="Arial" w:hAnsi="Arial" w:hint="default"/>
      </w:rPr>
    </w:lvl>
    <w:lvl w:ilvl="8" w:tplc="0F2A1646" w:tentative="1">
      <w:start w:val="1"/>
      <w:numFmt w:val="bullet"/>
      <w:lvlText w:val="•"/>
      <w:lvlJc w:val="left"/>
      <w:pPr>
        <w:tabs>
          <w:tab w:val="num" w:pos="6480"/>
        </w:tabs>
        <w:ind w:left="6480" w:hanging="360"/>
      </w:pPr>
      <w:rPr>
        <w:rFonts w:ascii="Arial" w:hAnsi="Arial" w:hint="default"/>
      </w:rPr>
    </w:lvl>
  </w:abstractNum>
  <w:abstractNum w:abstractNumId="13">
    <w:nsid w:val="54131C5D"/>
    <w:multiLevelType w:val="hybridMultilevel"/>
    <w:tmpl w:val="B38C7E0C"/>
    <w:lvl w:ilvl="0" w:tplc="00C833E4">
      <w:start w:val="1"/>
      <w:numFmt w:val="decimal"/>
      <w:lvlText w:val="(%1)"/>
      <w:lvlJc w:val="left"/>
      <w:pPr>
        <w:tabs>
          <w:tab w:val="num" w:pos="720"/>
        </w:tabs>
        <w:ind w:left="720" w:hanging="360"/>
      </w:pPr>
    </w:lvl>
    <w:lvl w:ilvl="1" w:tplc="11E62C58" w:tentative="1">
      <w:start w:val="1"/>
      <w:numFmt w:val="decimal"/>
      <w:lvlText w:val="(%2)"/>
      <w:lvlJc w:val="left"/>
      <w:pPr>
        <w:tabs>
          <w:tab w:val="num" w:pos="1440"/>
        </w:tabs>
        <w:ind w:left="1440" w:hanging="360"/>
      </w:pPr>
    </w:lvl>
    <w:lvl w:ilvl="2" w:tplc="77E610A0" w:tentative="1">
      <w:start w:val="1"/>
      <w:numFmt w:val="decimal"/>
      <w:lvlText w:val="(%3)"/>
      <w:lvlJc w:val="left"/>
      <w:pPr>
        <w:tabs>
          <w:tab w:val="num" w:pos="2160"/>
        </w:tabs>
        <w:ind w:left="2160" w:hanging="360"/>
      </w:pPr>
    </w:lvl>
    <w:lvl w:ilvl="3" w:tplc="3516F408" w:tentative="1">
      <w:start w:val="1"/>
      <w:numFmt w:val="decimal"/>
      <w:lvlText w:val="(%4)"/>
      <w:lvlJc w:val="left"/>
      <w:pPr>
        <w:tabs>
          <w:tab w:val="num" w:pos="2880"/>
        </w:tabs>
        <w:ind w:left="2880" w:hanging="360"/>
      </w:pPr>
    </w:lvl>
    <w:lvl w:ilvl="4" w:tplc="841ED318" w:tentative="1">
      <w:start w:val="1"/>
      <w:numFmt w:val="decimal"/>
      <w:lvlText w:val="(%5)"/>
      <w:lvlJc w:val="left"/>
      <w:pPr>
        <w:tabs>
          <w:tab w:val="num" w:pos="3600"/>
        </w:tabs>
        <w:ind w:left="3600" w:hanging="360"/>
      </w:pPr>
    </w:lvl>
    <w:lvl w:ilvl="5" w:tplc="C3C86188" w:tentative="1">
      <w:start w:val="1"/>
      <w:numFmt w:val="decimal"/>
      <w:lvlText w:val="(%6)"/>
      <w:lvlJc w:val="left"/>
      <w:pPr>
        <w:tabs>
          <w:tab w:val="num" w:pos="4320"/>
        </w:tabs>
        <w:ind w:left="4320" w:hanging="360"/>
      </w:pPr>
    </w:lvl>
    <w:lvl w:ilvl="6" w:tplc="F842952A" w:tentative="1">
      <w:start w:val="1"/>
      <w:numFmt w:val="decimal"/>
      <w:lvlText w:val="(%7)"/>
      <w:lvlJc w:val="left"/>
      <w:pPr>
        <w:tabs>
          <w:tab w:val="num" w:pos="5040"/>
        </w:tabs>
        <w:ind w:left="5040" w:hanging="360"/>
      </w:pPr>
    </w:lvl>
    <w:lvl w:ilvl="7" w:tplc="D0B66DC8" w:tentative="1">
      <w:start w:val="1"/>
      <w:numFmt w:val="decimal"/>
      <w:lvlText w:val="(%8)"/>
      <w:lvlJc w:val="left"/>
      <w:pPr>
        <w:tabs>
          <w:tab w:val="num" w:pos="5760"/>
        </w:tabs>
        <w:ind w:left="5760" w:hanging="360"/>
      </w:pPr>
    </w:lvl>
    <w:lvl w:ilvl="8" w:tplc="1B38737A" w:tentative="1">
      <w:start w:val="1"/>
      <w:numFmt w:val="decimal"/>
      <w:lvlText w:val="(%9)"/>
      <w:lvlJc w:val="left"/>
      <w:pPr>
        <w:tabs>
          <w:tab w:val="num" w:pos="6480"/>
        </w:tabs>
        <w:ind w:left="6480" w:hanging="360"/>
      </w:pPr>
    </w:lvl>
  </w:abstractNum>
  <w:abstractNum w:abstractNumId="14">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4240B5A"/>
    <w:multiLevelType w:val="hybridMultilevel"/>
    <w:tmpl w:val="4364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9D5546"/>
    <w:multiLevelType w:val="hybridMultilevel"/>
    <w:tmpl w:val="59BAA06C"/>
    <w:lvl w:ilvl="0" w:tplc="B810D3B8">
      <w:start w:val="1"/>
      <w:numFmt w:val="bullet"/>
      <w:lvlText w:val="•"/>
      <w:lvlJc w:val="left"/>
      <w:pPr>
        <w:tabs>
          <w:tab w:val="num" w:pos="720"/>
        </w:tabs>
        <w:ind w:left="720" w:hanging="360"/>
      </w:pPr>
      <w:rPr>
        <w:rFonts w:ascii="Arial" w:hAnsi="Arial" w:hint="default"/>
      </w:rPr>
    </w:lvl>
    <w:lvl w:ilvl="1" w:tplc="D534EE54" w:tentative="1">
      <w:start w:val="1"/>
      <w:numFmt w:val="bullet"/>
      <w:lvlText w:val="•"/>
      <w:lvlJc w:val="left"/>
      <w:pPr>
        <w:tabs>
          <w:tab w:val="num" w:pos="1440"/>
        </w:tabs>
        <w:ind w:left="1440" w:hanging="360"/>
      </w:pPr>
      <w:rPr>
        <w:rFonts w:ascii="Arial" w:hAnsi="Arial" w:hint="default"/>
      </w:rPr>
    </w:lvl>
    <w:lvl w:ilvl="2" w:tplc="A8B00882" w:tentative="1">
      <w:start w:val="1"/>
      <w:numFmt w:val="bullet"/>
      <w:lvlText w:val="•"/>
      <w:lvlJc w:val="left"/>
      <w:pPr>
        <w:tabs>
          <w:tab w:val="num" w:pos="2160"/>
        </w:tabs>
        <w:ind w:left="2160" w:hanging="360"/>
      </w:pPr>
      <w:rPr>
        <w:rFonts w:ascii="Arial" w:hAnsi="Arial" w:hint="default"/>
      </w:rPr>
    </w:lvl>
    <w:lvl w:ilvl="3" w:tplc="B35AFFDA" w:tentative="1">
      <w:start w:val="1"/>
      <w:numFmt w:val="bullet"/>
      <w:lvlText w:val="•"/>
      <w:lvlJc w:val="left"/>
      <w:pPr>
        <w:tabs>
          <w:tab w:val="num" w:pos="2880"/>
        </w:tabs>
        <w:ind w:left="2880" w:hanging="360"/>
      </w:pPr>
      <w:rPr>
        <w:rFonts w:ascii="Arial" w:hAnsi="Arial" w:hint="default"/>
      </w:rPr>
    </w:lvl>
    <w:lvl w:ilvl="4" w:tplc="DA5458F2" w:tentative="1">
      <w:start w:val="1"/>
      <w:numFmt w:val="bullet"/>
      <w:lvlText w:val="•"/>
      <w:lvlJc w:val="left"/>
      <w:pPr>
        <w:tabs>
          <w:tab w:val="num" w:pos="3600"/>
        </w:tabs>
        <w:ind w:left="3600" w:hanging="360"/>
      </w:pPr>
      <w:rPr>
        <w:rFonts w:ascii="Arial" w:hAnsi="Arial" w:hint="default"/>
      </w:rPr>
    </w:lvl>
    <w:lvl w:ilvl="5" w:tplc="C2361C34" w:tentative="1">
      <w:start w:val="1"/>
      <w:numFmt w:val="bullet"/>
      <w:lvlText w:val="•"/>
      <w:lvlJc w:val="left"/>
      <w:pPr>
        <w:tabs>
          <w:tab w:val="num" w:pos="4320"/>
        </w:tabs>
        <w:ind w:left="4320" w:hanging="360"/>
      </w:pPr>
      <w:rPr>
        <w:rFonts w:ascii="Arial" w:hAnsi="Arial" w:hint="default"/>
      </w:rPr>
    </w:lvl>
    <w:lvl w:ilvl="6" w:tplc="363AC7A8" w:tentative="1">
      <w:start w:val="1"/>
      <w:numFmt w:val="bullet"/>
      <w:lvlText w:val="•"/>
      <w:lvlJc w:val="left"/>
      <w:pPr>
        <w:tabs>
          <w:tab w:val="num" w:pos="5040"/>
        </w:tabs>
        <w:ind w:left="5040" w:hanging="360"/>
      </w:pPr>
      <w:rPr>
        <w:rFonts w:ascii="Arial" w:hAnsi="Arial" w:hint="default"/>
      </w:rPr>
    </w:lvl>
    <w:lvl w:ilvl="7" w:tplc="207E0062" w:tentative="1">
      <w:start w:val="1"/>
      <w:numFmt w:val="bullet"/>
      <w:lvlText w:val="•"/>
      <w:lvlJc w:val="left"/>
      <w:pPr>
        <w:tabs>
          <w:tab w:val="num" w:pos="5760"/>
        </w:tabs>
        <w:ind w:left="5760" w:hanging="360"/>
      </w:pPr>
      <w:rPr>
        <w:rFonts w:ascii="Arial" w:hAnsi="Arial" w:hint="default"/>
      </w:rPr>
    </w:lvl>
    <w:lvl w:ilvl="8" w:tplc="EE500F52" w:tentative="1">
      <w:start w:val="1"/>
      <w:numFmt w:val="bullet"/>
      <w:lvlText w:val="•"/>
      <w:lvlJc w:val="left"/>
      <w:pPr>
        <w:tabs>
          <w:tab w:val="num" w:pos="6480"/>
        </w:tabs>
        <w:ind w:left="6480" w:hanging="360"/>
      </w:pPr>
      <w:rPr>
        <w:rFonts w:ascii="Arial" w:hAnsi="Arial" w:hint="default"/>
      </w:rPr>
    </w:lvl>
  </w:abstractNum>
  <w:abstractNum w:abstractNumId="17">
    <w:nsid w:val="6A5F001D"/>
    <w:multiLevelType w:val="hybridMultilevel"/>
    <w:tmpl w:val="0E763E92"/>
    <w:lvl w:ilvl="0" w:tplc="D1D0AA76">
      <w:start w:val="1"/>
      <w:numFmt w:val="bullet"/>
      <w:lvlText w:val="•"/>
      <w:lvlJc w:val="left"/>
      <w:pPr>
        <w:tabs>
          <w:tab w:val="num" w:pos="720"/>
        </w:tabs>
        <w:ind w:left="720" w:hanging="360"/>
      </w:pPr>
      <w:rPr>
        <w:rFonts w:ascii="Arial" w:hAnsi="Arial" w:hint="default"/>
      </w:rPr>
    </w:lvl>
    <w:lvl w:ilvl="1" w:tplc="EC3E8CEE" w:tentative="1">
      <w:start w:val="1"/>
      <w:numFmt w:val="bullet"/>
      <w:lvlText w:val="•"/>
      <w:lvlJc w:val="left"/>
      <w:pPr>
        <w:tabs>
          <w:tab w:val="num" w:pos="1440"/>
        </w:tabs>
        <w:ind w:left="1440" w:hanging="360"/>
      </w:pPr>
      <w:rPr>
        <w:rFonts w:ascii="Arial" w:hAnsi="Arial" w:hint="default"/>
      </w:rPr>
    </w:lvl>
    <w:lvl w:ilvl="2" w:tplc="1ED2D930" w:tentative="1">
      <w:start w:val="1"/>
      <w:numFmt w:val="bullet"/>
      <w:lvlText w:val="•"/>
      <w:lvlJc w:val="left"/>
      <w:pPr>
        <w:tabs>
          <w:tab w:val="num" w:pos="2160"/>
        </w:tabs>
        <w:ind w:left="2160" w:hanging="360"/>
      </w:pPr>
      <w:rPr>
        <w:rFonts w:ascii="Arial" w:hAnsi="Arial" w:hint="default"/>
      </w:rPr>
    </w:lvl>
    <w:lvl w:ilvl="3" w:tplc="C0A4085E" w:tentative="1">
      <w:start w:val="1"/>
      <w:numFmt w:val="bullet"/>
      <w:lvlText w:val="•"/>
      <w:lvlJc w:val="left"/>
      <w:pPr>
        <w:tabs>
          <w:tab w:val="num" w:pos="2880"/>
        </w:tabs>
        <w:ind w:left="2880" w:hanging="360"/>
      </w:pPr>
      <w:rPr>
        <w:rFonts w:ascii="Arial" w:hAnsi="Arial" w:hint="default"/>
      </w:rPr>
    </w:lvl>
    <w:lvl w:ilvl="4" w:tplc="406826AE" w:tentative="1">
      <w:start w:val="1"/>
      <w:numFmt w:val="bullet"/>
      <w:lvlText w:val="•"/>
      <w:lvlJc w:val="left"/>
      <w:pPr>
        <w:tabs>
          <w:tab w:val="num" w:pos="3600"/>
        </w:tabs>
        <w:ind w:left="3600" w:hanging="360"/>
      </w:pPr>
      <w:rPr>
        <w:rFonts w:ascii="Arial" w:hAnsi="Arial" w:hint="default"/>
      </w:rPr>
    </w:lvl>
    <w:lvl w:ilvl="5" w:tplc="4FCCAF3C" w:tentative="1">
      <w:start w:val="1"/>
      <w:numFmt w:val="bullet"/>
      <w:lvlText w:val="•"/>
      <w:lvlJc w:val="left"/>
      <w:pPr>
        <w:tabs>
          <w:tab w:val="num" w:pos="4320"/>
        </w:tabs>
        <w:ind w:left="4320" w:hanging="360"/>
      </w:pPr>
      <w:rPr>
        <w:rFonts w:ascii="Arial" w:hAnsi="Arial" w:hint="default"/>
      </w:rPr>
    </w:lvl>
    <w:lvl w:ilvl="6" w:tplc="43488A0A" w:tentative="1">
      <w:start w:val="1"/>
      <w:numFmt w:val="bullet"/>
      <w:lvlText w:val="•"/>
      <w:lvlJc w:val="left"/>
      <w:pPr>
        <w:tabs>
          <w:tab w:val="num" w:pos="5040"/>
        </w:tabs>
        <w:ind w:left="5040" w:hanging="360"/>
      </w:pPr>
      <w:rPr>
        <w:rFonts w:ascii="Arial" w:hAnsi="Arial" w:hint="default"/>
      </w:rPr>
    </w:lvl>
    <w:lvl w:ilvl="7" w:tplc="131EB394" w:tentative="1">
      <w:start w:val="1"/>
      <w:numFmt w:val="bullet"/>
      <w:lvlText w:val="•"/>
      <w:lvlJc w:val="left"/>
      <w:pPr>
        <w:tabs>
          <w:tab w:val="num" w:pos="5760"/>
        </w:tabs>
        <w:ind w:left="5760" w:hanging="360"/>
      </w:pPr>
      <w:rPr>
        <w:rFonts w:ascii="Arial" w:hAnsi="Arial" w:hint="default"/>
      </w:rPr>
    </w:lvl>
    <w:lvl w:ilvl="8" w:tplc="D7927464" w:tentative="1">
      <w:start w:val="1"/>
      <w:numFmt w:val="bullet"/>
      <w:lvlText w:val="•"/>
      <w:lvlJc w:val="left"/>
      <w:pPr>
        <w:tabs>
          <w:tab w:val="num" w:pos="6480"/>
        </w:tabs>
        <w:ind w:left="6480" w:hanging="360"/>
      </w:pPr>
      <w:rPr>
        <w:rFonts w:ascii="Arial" w:hAnsi="Arial" w:hint="default"/>
      </w:rPr>
    </w:lvl>
  </w:abstractNum>
  <w:abstractNum w:abstractNumId="18">
    <w:nsid w:val="6AA17B4C"/>
    <w:multiLevelType w:val="hybridMultilevel"/>
    <w:tmpl w:val="4238AA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D28764F"/>
    <w:multiLevelType w:val="hybridMultilevel"/>
    <w:tmpl w:val="0128CD6A"/>
    <w:lvl w:ilvl="0" w:tplc="D10AE574">
      <w:start w:val="1"/>
      <w:numFmt w:val="bullet"/>
      <w:lvlText w:val="•"/>
      <w:lvlJc w:val="left"/>
      <w:pPr>
        <w:tabs>
          <w:tab w:val="num" w:pos="720"/>
        </w:tabs>
        <w:ind w:left="720" w:hanging="360"/>
      </w:pPr>
      <w:rPr>
        <w:rFonts w:ascii="Arial" w:hAnsi="Arial" w:hint="default"/>
      </w:rPr>
    </w:lvl>
    <w:lvl w:ilvl="1" w:tplc="369EBD22" w:tentative="1">
      <w:start w:val="1"/>
      <w:numFmt w:val="bullet"/>
      <w:lvlText w:val="•"/>
      <w:lvlJc w:val="left"/>
      <w:pPr>
        <w:tabs>
          <w:tab w:val="num" w:pos="1440"/>
        </w:tabs>
        <w:ind w:left="1440" w:hanging="360"/>
      </w:pPr>
      <w:rPr>
        <w:rFonts w:ascii="Arial" w:hAnsi="Arial" w:hint="default"/>
      </w:rPr>
    </w:lvl>
    <w:lvl w:ilvl="2" w:tplc="4ADC33A4" w:tentative="1">
      <w:start w:val="1"/>
      <w:numFmt w:val="bullet"/>
      <w:lvlText w:val="•"/>
      <w:lvlJc w:val="left"/>
      <w:pPr>
        <w:tabs>
          <w:tab w:val="num" w:pos="2160"/>
        </w:tabs>
        <w:ind w:left="2160" w:hanging="360"/>
      </w:pPr>
      <w:rPr>
        <w:rFonts w:ascii="Arial" w:hAnsi="Arial" w:hint="default"/>
      </w:rPr>
    </w:lvl>
    <w:lvl w:ilvl="3" w:tplc="9A5E95E6" w:tentative="1">
      <w:start w:val="1"/>
      <w:numFmt w:val="bullet"/>
      <w:lvlText w:val="•"/>
      <w:lvlJc w:val="left"/>
      <w:pPr>
        <w:tabs>
          <w:tab w:val="num" w:pos="2880"/>
        </w:tabs>
        <w:ind w:left="2880" w:hanging="360"/>
      </w:pPr>
      <w:rPr>
        <w:rFonts w:ascii="Arial" w:hAnsi="Arial" w:hint="default"/>
      </w:rPr>
    </w:lvl>
    <w:lvl w:ilvl="4" w:tplc="02B2B000" w:tentative="1">
      <w:start w:val="1"/>
      <w:numFmt w:val="bullet"/>
      <w:lvlText w:val="•"/>
      <w:lvlJc w:val="left"/>
      <w:pPr>
        <w:tabs>
          <w:tab w:val="num" w:pos="3600"/>
        </w:tabs>
        <w:ind w:left="3600" w:hanging="360"/>
      </w:pPr>
      <w:rPr>
        <w:rFonts w:ascii="Arial" w:hAnsi="Arial" w:hint="default"/>
      </w:rPr>
    </w:lvl>
    <w:lvl w:ilvl="5" w:tplc="5BD430C4" w:tentative="1">
      <w:start w:val="1"/>
      <w:numFmt w:val="bullet"/>
      <w:lvlText w:val="•"/>
      <w:lvlJc w:val="left"/>
      <w:pPr>
        <w:tabs>
          <w:tab w:val="num" w:pos="4320"/>
        </w:tabs>
        <w:ind w:left="4320" w:hanging="360"/>
      </w:pPr>
      <w:rPr>
        <w:rFonts w:ascii="Arial" w:hAnsi="Arial" w:hint="default"/>
      </w:rPr>
    </w:lvl>
    <w:lvl w:ilvl="6" w:tplc="17FA46C0" w:tentative="1">
      <w:start w:val="1"/>
      <w:numFmt w:val="bullet"/>
      <w:lvlText w:val="•"/>
      <w:lvlJc w:val="left"/>
      <w:pPr>
        <w:tabs>
          <w:tab w:val="num" w:pos="5040"/>
        </w:tabs>
        <w:ind w:left="5040" w:hanging="360"/>
      </w:pPr>
      <w:rPr>
        <w:rFonts w:ascii="Arial" w:hAnsi="Arial" w:hint="default"/>
      </w:rPr>
    </w:lvl>
    <w:lvl w:ilvl="7" w:tplc="8272F710" w:tentative="1">
      <w:start w:val="1"/>
      <w:numFmt w:val="bullet"/>
      <w:lvlText w:val="•"/>
      <w:lvlJc w:val="left"/>
      <w:pPr>
        <w:tabs>
          <w:tab w:val="num" w:pos="5760"/>
        </w:tabs>
        <w:ind w:left="5760" w:hanging="360"/>
      </w:pPr>
      <w:rPr>
        <w:rFonts w:ascii="Arial" w:hAnsi="Arial" w:hint="default"/>
      </w:rPr>
    </w:lvl>
    <w:lvl w:ilvl="8" w:tplc="D396E300" w:tentative="1">
      <w:start w:val="1"/>
      <w:numFmt w:val="bullet"/>
      <w:lvlText w:val="•"/>
      <w:lvlJc w:val="left"/>
      <w:pPr>
        <w:tabs>
          <w:tab w:val="num" w:pos="6480"/>
        </w:tabs>
        <w:ind w:left="6480" w:hanging="360"/>
      </w:pPr>
      <w:rPr>
        <w:rFonts w:ascii="Arial" w:hAnsi="Arial" w:hint="default"/>
      </w:rPr>
    </w:lvl>
  </w:abstractNum>
  <w:abstractNum w:abstractNumId="20">
    <w:nsid w:val="70025291"/>
    <w:multiLevelType w:val="hybridMultilevel"/>
    <w:tmpl w:val="B04C0414"/>
    <w:lvl w:ilvl="0" w:tplc="E952ADC8">
      <w:start w:val="1"/>
      <w:numFmt w:val="bullet"/>
      <w:lvlText w:val="–"/>
      <w:lvlJc w:val="left"/>
      <w:pPr>
        <w:tabs>
          <w:tab w:val="num" w:pos="720"/>
        </w:tabs>
        <w:ind w:left="720" w:hanging="360"/>
      </w:pPr>
      <w:rPr>
        <w:rFonts w:ascii="Arial" w:hAnsi="Arial" w:hint="default"/>
      </w:rPr>
    </w:lvl>
    <w:lvl w:ilvl="1" w:tplc="7D92BC92">
      <w:start w:val="1"/>
      <w:numFmt w:val="bullet"/>
      <w:lvlText w:val="–"/>
      <w:lvlJc w:val="left"/>
      <w:pPr>
        <w:tabs>
          <w:tab w:val="num" w:pos="1440"/>
        </w:tabs>
        <w:ind w:left="1440" w:hanging="360"/>
      </w:pPr>
      <w:rPr>
        <w:rFonts w:ascii="Arial" w:hAnsi="Arial" w:hint="default"/>
      </w:rPr>
    </w:lvl>
    <w:lvl w:ilvl="2" w:tplc="D5C0C354" w:tentative="1">
      <w:start w:val="1"/>
      <w:numFmt w:val="bullet"/>
      <w:lvlText w:val="–"/>
      <w:lvlJc w:val="left"/>
      <w:pPr>
        <w:tabs>
          <w:tab w:val="num" w:pos="2160"/>
        </w:tabs>
        <w:ind w:left="2160" w:hanging="360"/>
      </w:pPr>
      <w:rPr>
        <w:rFonts w:ascii="Arial" w:hAnsi="Arial" w:hint="default"/>
      </w:rPr>
    </w:lvl>
    <w:lvl w:ilvl="3" w:tplc="ECF89F34" w:tentative="1">
      <w:start w:val="1"/>
      <w:numFmt w:val="bullet"/>
      <w:lvlText w:val="–"/>
      <w:lvlJc w:val="left"/>
      <w:pPr>
        <w:tabs>
          <w:tab w:val="num" w:pos="2880"/>
        </w:tabs>
        <w:ind w:left="2880" w:hanging="360"/>
      </w:pPr>
      <w:rPr>
        <w:rFonts w:ascii="Arial" w:hAnsi="Arial" w:hint="default"/>
      </w:rPr>
    </w:lvl>
    <w:lvl w:ilvl="4" w:tplc="010A1E38" w:tentative="1">
      <w:start w:val="1"/>
      <w:numFmt w:val="bullet"/>
      <w:lvlText w:val="–"/>
      <w:lvlJc w:val="left"/>
      <w:pPr>
        <w:tabs>
          <w:tab w:val="num" w:pos="3600"/>
        </w:tabs>
        <w:ind w:left="3600" w:hanging="360"/>
      </w:pPr>
      <w:rPr>
        <w:rFonts w:ascii="Arial" w:hAnsi="Arial" w:hint="default"/>
      </w:rPr>
    </w:lvl>
    <w:lvl w:ilvl="5" w:tplc="A134E0C8" w:tentative="1">
      <w:start w:val="1"/>
      <w:numFmt w:val="bullet"/>
      <w:lvlText w:val="–"/>
      <w:lvlJc w:val="left"/>
      <w:pPr>
        <w:tabs>
          <w:tab w:val="num" w:pos="4320"/>
        </w:tabs>
        <w:ind w:left="4320" w:hanging="360"/>
      </w:pPr>
      <w:rPr>
        <w:rFonts w:ascii="Arial" w:hAnsi="Arial" w:hint="default"/>
      </w:rPr>
    </w:lvl>
    <w:lvl w:ilvl="6" w:tplc="E2265EFE" w:tentative="1">
      <w:start w:val="1"/>
      <w:numFmt w:val="bullet"/>
      <w:lvlText w:val="–"/>
      <w:lvlJc w:val="left"/>
      <w:pPr>
        <w:tabs>
          <w:tab w:val="num" w:pos="5040"/>
        </w:tabs>
        <w:ind w:left="5040" w:hanging="360"/>
      </w:pPr>
      <w:rPr>
        <w:rFonts w:ascii="Arial" w:hAnsi="Arial" w:hint="default"/>
      </w:rPr>
    </w:lvl>
    <w:lvl w:ilvl="7" w:tplc="D5801366" w:tentative="1">
      <w:start w:val="1"/>
      <w:numFmt w:val="bullet"/>
      <w:lvlText w:val="–"/>
      <w:lvlJc w:val="left"/>
      <w:pPr>
        <w:tabs>
          <w:tab w:val="num" w:pos="5760"/>
        </w:tabs>
        <w:ind w:left="5760" w:hanging="360"/>
      </w:pPr>
      <w:rPr>
        <w:rFonts w:ascii="Arial" w:hAnsi="Arial" w:hint="default"/>
      </w:rPr>
    </w:lvl>
    <w:lvl w:ilvl="8" w:tplc="8286B5BE" w:tentative="1">
      <w:start w:val="1"/>
      <w:numFmt w:val="bullet"/>
      <w:lvlText w:val="–"/>
      <w:lvlJc w:val="left"/>
      <w:pPr>
        <w:tabs>
          <w:tab w:val="num" w:pos="6480"/>
        </w:tabs>
        <w:ind w:left="6480" w:hanging="360"/>
      </w:pPr>
      <w:rPr>
        <w:rFonts w:ascii="Arial" w:hAnsi="Arial" w:hint="default"/>
      </w:rPr>
    </w:lvl>
  </w:abstractNum>
  <w:abstractNum w:abstractNumId="21">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2">
    <w:nsid w:val="72306ADB"/>
    <w:multiLevelType w:val="hybridMultilevel"/>
    <w:tmpl w:val="384AB7DA"/>
    <w:lvl w:ilvl="0" w:tplc="FD5EC9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3461D47"/>
    <w:multiLevelType w:val="hybridMultilevel"/>
    <w:tmpl w:val="B15C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BF33A0"/>
    <w:multiLevelType w:val="hybridMultilevel"/>
    <w:tmpl w:val="6236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415D02"/>
    <w:multiLevelType w:val="hybridMultilevel"/>
    <w:tmpl w:val="A6F44F58"/>
    <w:lvl w:ilvl="0" w:tplc="54C44F52">
      <w:start w:val="1"/>
      <w:numFmt w:val="bullet"/>
      <w:lvlText w:val="•"/>
      <w:lvlJc w:val="left"/>
      <w:pPr>
        <w:tabs>
          <w:tab w:val="num" w:pos="720"/>
        </w:tabs>
        <w:ind w:left="720" w:hanging="360"/>
      </w:pPr>
      <w:rPr>
        <w:rFonts w:ascii="Arial" w:hAnsi="Arial" w:hint="default"/>
      </w:rPr>
    </w:lvl>
    <w:lvl w:ilvl="1" w:tplc="4B402BAC">
      <w:start w:val="639"/>
      <w:numFmt w:val="bullet"/>
      <w:lvlText w:val="–"/>
      <w:lvlJc w:val="left"/>
      <w:pPr>
        <w:tabs>
          <w:tab w:val="num" w:pos="1440"/>
        </w:tabs>
        <w:ind w:left="1440" w:hanging="360"/>
      </w:pPr>
      <w:rPr>
        <w:rFonts w:ascii="Arial" w:hAnsi="Arial" w:hint="default"/>
      </w:rPr>
    </w:lvl>
    <w:lvl w:ilvl="2" w:tplc="AF2243DE" w:tentative="1">
      <w:start w:val="1"/>
      <w:numFmt w:val="bullet"/>
      <w:lvlText w:val="•"/>
      <w:lvlJc w:val="left"/>
      <w:pPr>
        <w:tabs>
          <w:tab w:val="num" w:pos="2160"/>
        </w:tabs>
        <w:ind w:left="2160" w:hanging="360"/>
      </w:pPr>
      <w:rPr>
        <w:rFonts w:ascii="Arial" w:hAnsi="Arial" w:hint="default"/>
      </w:rPr>
    </w:lvl>
    <w:lvl w:ilvl="3" w:tplc="081EBBD2" w:tentative="1">
      <w:start w:val="1"/>
      <w:numFmt w:val="bullet"/>
      <w:lvlText w:val="•"/>
      <w:lvlJc w:val="left"/>
      <w:pPr>
        <w:tabs>
          <w:tab w:val="num" w:pos="2880"/>
        </w:tabs>
        <w:ind w:left="2880" w:hanging="360"/>
      </w:pPr>
      <w:rPr>
        <w:rFonts w:ascii="Arial" w:hAnsi="Arial" w:hint="default"/>
      </w:rPr>
    </w:lvl>
    <w:lvl w:ilvl="4" w:tplc="FAD446A8" w:tentative="1">
      <w:start w:val="1"/>
      <w:numFmt w:val="bullet"/>
      <w:lvlText w:val="•"/>
      <w:lvlJc w:val="left"/>
      <w:pPr>
        <w:tabs>
          <w:tab w:val="num" w:pos="3600"/>
        </w:tabs>
        <w:ind w:left="3600" w:hanging="360"/>
      </w:pPr>
      <w:rPr>
        <w:rFonts w:ascii="Arial" w:hAnsi="Arial" w:hint="default"/>
      </w:rPr>
    </w:lvl>
    <w:lvl w:ilvl="5" w:tplc="2F16E6CE" w:tentative="1">
      <w:start w:val="1"/>
      <w:numFmt w:val="bullet"/>
      <w:lvlText w:val="•"/>
      <w:lvlJc w:val="left"/>
      <w:pPr>
        <w:tabs>
          <w:tab w:val="num" w:pos="4320"/>
        </w:tabs>
        <w:ind w:left="4320" w:hanging="360"/>
      </w:pPr>
      <w:rPr>
        <w:rFonts w:ascii="Arial" w:hAnsi="Arial" w:hint="default"/>
      </w:rPr>
    </w:lvl>
    <w:lvl w:ilvl="6" w:tplc="EC32DC08" w:tentative="1">
      <w:start w:val="1"/>
      <w:numFmt w:val="bullet"/>
      <w:lvlText w:val="•"/>
      <w:lvlJc w:val="left"/>
      <w:pPr>
        <w:tabs>
          <w:tab w:val="num" w:pos="5040"/>
        </w:tabs>
        <w:ind w:left="5040" w:hanging="360"/>
      </w:pPr>
      <w:rPr>
        <w:rFonts w:ascii="Arial" w:hAnsi="Arial" w:hint="default"/>
      </w:rPr>
    </w:lvl>
    <w:lvl w:ilvl="7" w:tplc="B742F6C6" w:tentative="1">
      <w:start w:val="1"/>
      <w:numFmt w:val="bullet"/>
      <w:lvlText w:val="•"/>
      <w:lvlJc w:val="left"/>
      <w:pPr>
        <w:tabs>
          <w:tab w:val="num" w:pos="5760"/>
        </w:tabs>
        <w:ind w:left="5760" w:hanging="360"/>
      </w:pPr>
      <w:rPr>
        <w:rFonts w:ascii="Arial" w:hAnsi="Arial" w:hint="default"/>
      </w:rPr>
    </w:lvl>
    <w:lvl w:ilvl="8" w:tplc="90720D3E" w:tentative="1">
      <w:start w:val="1"/>
      <w:numFmt w:val="bullet"/>
      <w:lvlText w:val="•"/>
      <w:lvlJc w:val="left"/>
      <w:pPr>
        <w:tabs>
          <w:tab w:val="num" w:pos="6480"/>
        </w:tabs>
        <w:ind w:left="6480" w:hanging="360"/>
      </w:pPr>
      <w:rPr>
        <w:rFonts w:ascii="Arial" w:hAnsi="Arial" w:hint="default"/>
      </w:rPr>
    </w:lvl>
  </w:abstractNum>
  <w:abstractNum w:abstractNumId="26">
    <w:nsid w:val="79131AB7"/>
    <w:multiLevelType w:val="hybridMultilevel"/>
    <w:tmpl w:val="2C52A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352D4C"/>
    <w:multiLevelType w:val="hybridMultilevel"/>
    <w:tmpl w:val="0DB88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C12912"/>
    <w:multiLevelType w:val="hybridMultilevel"/>
    <w:tmpl w:val="8C40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21"/>
  </w:num>
  <w:num w:numId="9">
    <w:abstractNumId w:val="11"/>
  </w:num>
  <w:num w:numId="10">
    <w:abstractNumId w:val="14"/>
  </w:num>
  <w:num w:numId="11">
    <w:abstractNumId w:val="12"/>
  </w:num>
  <w:num w:numId="12">
    <w:abstractNumId w:val="7"/>
  </w:num>
  <w:num w:numId="13">
    <w:abstractNumId w:val="20"/>
  </w:num>
  <w:num w:numId="14">
    <w:abstractNumId w:val="25"/>
  </w:num>
  <w:num w:numId="15">
    <w:abstractNumId w:val="2"/>
  </w:num>
  <w:num w:numId="16">
    <w:abstractNumId w:val="26"/>
  </w:num>
  <w:num w:numId="17">
    <w:abstractNumId w:val="1"/>
  </w:num>
  <w:num w:numId="18">
    <w:abstractNumId w:val="3"/>
  </w:num>
  <w:num w:numId="19">
    <w:abstractNumId w:val="22"/>
  </w:num>
  <w:num w:numId="20">
    <w:abstractNumId w:val="5"/>
  </w:num>
  <w:num w:numId="21">
    <w:abstractNumId w:val="27"/>
  </w:num>
  <w:num w:numId="22">
    <w:abstractNumId w:val="8"/>
  </w:num>
  <w:num w:numId="23">
    <w:abstractNumId w:val="28"/>
  </w:num>
  <w:num w:numId="24">
    <w:abstractNumId w:val="24"/>
  </w:num>
  <w:num w:numId="25">
    <w:abstractNumId w:val="4"/>
  </w:num>
  <w:num w:numId="26">
    <w:abstractNumId w:val="18"/>
  </w:num>
  <w:num w:numId="27">
    <w:abstractNumId w:val="19"/>
  </w:num>
  <w:num w:numId="28">
    <w:abstractNumId w:val="23"/>
  </w:num>
  <w:num w:numId="29">
    <w:abstractNumId w:val="16"/>
  </w:num>
  <w:num w:numId="30">
    <w:abstractNumId w:val="0"/>
  </w:num>
  <w:num w:numId="31">
    <w:abstractNumId w:val="13"/>
  </w:num>
  <w:num w:numId="32">
    <w:abstractNumId w:val="17"/>
  </w:num>
  <w:num w:numId="33">
    <w:abstractNumId w:val="15"/>
  </w:num>
  <w:num w:numId="34">
    <w:abstractNumId w:val="9"/>
  </w:num>
  <w:num w:numId="35">
    <w:abstractNumId w:val="6"/>
  </w:num>
  <w:num w:numId="36">
    <w:abstractNumId w:val="21"/>
  </w:num>
  <w:num w:numId="37">
    <w:abstractNumId w:val="21"/>
  </w:num>
  <w:num w:numId="38">
    <w:abstractNumId w:val="2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0F"/>
    <w:rsid w:val="000069D3"/>
    <w:rsid w:val="000133BF"/>
    <w:rsid w:val="0001617D"/>
    <w:rsid w:val="00021E4B"/>
    <w:rsid w:val="000222C3"/>
    <w:rsid w:val="00033F36"/>
    <w:rsid w:val="00040923"/>
    <w:rsid w:val="00041643"/>
    <w:rsid w:val="00042C6D"/>
    <w:rsid w:val="000430B3"/>
    <w:rsid w:val="00044330"/>
    <w:rsid w:val="000469BC"/>
    <w:rsid w:val="00050EF5"/>
    <w:rsid w:val="0005609F"/>
    <w:rsid w:val="00063703"/>
    <w:rsid w:val="00065E0F"/>
    <w:rsid w:val="000663B0"/>
    <w:rsid w:val="000704AE"/>
    <w:rsid w:val="000705BA"/>
    <w:rsid w:val="00070A76"/>
    <w:rsid w:val="00071505"/>
    <w:rsid w:val="00082079"/>
    <w:rsid w:val="00086F7E"/>
    <w:rsid w:val="00092912"/>
    <w:rsid w:val="000951AD"/>
    <w:rsid w:val="00095AC2"/>
    <w:rsid w:val="00095D60"/>
    <w:rsid w:val="00097B58"/>
    <w:rsid w:val="000A0773"/>
    <w:rsid w:val="000A7C28"/>
    <w:rsid w:val="000B4F21"/>
    <w:rsid w:val="000D238A"/>
    <w:rsid w:val="000D3783"/>
    <w:rsid w:val="000D6A35"/>
    <w:rsid w:val="000F24D2"/>
    <w:rsid w:val="00101D10"/>
    <w:rsid w:val="00113F10"/>
    <w:rsid w:val="00125576"/>
    <w:rsid w:val="00131A8F"/>
    <w:rsid w:val="00131C79"/>
    <w:rsid w:val="00134042"/>
    <w:rsid w:val="00134C91"/>
    <w:rsid w:val="00142609"/>
    <w:rsid w:val="00150C1B"/>
    <w:rsid w:val="001518B6"/>
    <w:rsid w:val="00155992"/>
    <w:rsid w:val="001566B3"/>
    <w:rsid w:val="00164C54"/>
    <w:rsid w:val="00165A36"/>
    <w:rsid w:val="00173F25"/>
    <w:rsid w:val="00180E24"/>
    <w:rsid w:val="00183E49"/>
    <w:rsid w:val="00191DD7"/>
    <w:rsid w:val="001A2A4A"/>
    <w:rsid w:val="001A3860"/>
    <w:rsid w:val="001A45B4"/>
    <w:rsid w:val="001A569D"/>
    <w:rsid w:val="001A6977"/>
    <w:rsid w:val="001B308C"/>
    <w:rsid w:val="001C2994"/>
    <w:rsid w:val="001C29D9"/>
    <w:rsid w:val="001D0C54"/>
    <w:rsid w:val="001E3DCE"/>
    <w:rsid w:val="001E696B"/>
    <w:rsid w:val="001F355B"/>
    <w:rsid w:val="001F4967"/>
    <w:rsid w:val="001F6675"/>
    <w:rsid w:val="001F7CF4"/>
    <w:rsid w:val="002115EB"/>
    <w:rsid w:val="00214653"/>
    <w:rsid w:val="00217365"/>
    <w:rsid w:val="00221633"/>
    <w:rsid w:val="002228D6"/>
    <w:rsid w:val="0023108B"/>
    <w:rsid w:val="00231E2D"/>
    <w:rsid w:val="00237043"/>
    <w:rsid w:val="002372FD"/>
    <w:rsid w:val="00246F45"/>
    <w:rsid w:val="00250B6D"/>
    <w:rsid w:val="00256E75"/>
    <w:rsid w:val="00266173"/>
    <w:rsid w:val="00267896"/>
    <w:rsid w:val="002715D1"/>
    <w:rsid w:val="00274467"/>
    <w:rsid w:val="00276237"/>
    <w:rsid w:val="00276564"/>
    <w:rsid w:val="00280703"/>
    <w:rsid w:val="002865AC"/>
    <w:rsid w:val="00292A01"/>
    <w:rsid w:val="00294929"/>
    <w:rsid w:val="002A698C"/>
    <w:rsid w:val="002B24A6"/>
    <w:rsid w:val="002C0A20"/>
    <w:rsid w:val="002C597E"/>
    <w:rsid w:val="002E0038"/>
    <w:rsid w:val="002F1721"/>
    <w:rsid w:val="002F6761"/>
    <w:rsid w:val="00301A4E"/>
    <w:rsid w:val="00305ADB"/>
    <w:rsid w:val="00306A5C"/>
    <w:rsid w:val="003134C9"/>
    <w:rsid w:val="003244C6"/>
    <w:rsid w:val="00346391"/>
    <w:rsid w:val="00355FCB"/>
    <w:rsid w:val="00356CEF"/>
    <w:rsid w:val="0036168A"/>
    <w:rsid w:val="00380D94"/>
    <w:rsid w:val="00382130"/>
    <w:rsid w:val="003931D2"/>
    <w:rsid w:val="003960ED"/>
    <w:rsid w:val="003A6929"/>
    <w:rsid w:val="003A69A9"/>
    <w:rsid w:val="003B361C"/>
    <w:rsid w:val="003C4265"/>
    <w:rsid w:val="003C5863"/>
    <w:rsid w:val="003E13D7"/>
    <w:rsid w:val="003E1759"/>
    <w:rsid w:val="003E37E0"/>
    <w:rsid w:val="003F7FD5"/>
    <w:rsid w:val="0040171D"/>
    <w:rsid w:val="004056F3"/>
    <w:rsid w:val="0041359E"/>
    <w:rsid w:val="004142F5"/>
    <w:rsid w:val="004147F0"/>
    <w:rsid w:val="00417390"/>
    <w:rsid w:val="00417B0E"/>
    <w:rsid w:val="00417B4F"/>
    <w:rsid w:val="00426392"/>
    <w:rsid w:val="00433E18"/>
    <w:rsid w:val="00440396"/>
    <w:rsid w:val="0044315B"/>
    <w:rsid w:val="00456E87"/>
    <w:rsid w:val="0046085C"/>
    <w:rsid w:val="004622F1"/>
    <w:rsid w:val="00464A12"/>
    <w:rsid w:val="0046797E"/>
    <w:rsid w:val="00470DAC"/>
    <w:rsid w:val="00476D87"/>
    <w:rsid w:val="0049578C"/>
    <w:rsid w:val="00496889"/>
    <w:rsid w:val="00496A60"/>
    <w:rsid w:val="00497E3F"/>
    <w:rsid w:val="004A3AB6"/>
    <w:rsid w:val="004A473F"/>
    <w:rsid w:val="004B489E"/>
    <w:rsid w:val="004C11B9"/>
    <w:rsid w:val="004C24CA"/>
    <w:rsid w:val="004D3EDD"/>
    <w:rsid w:val="004D6EF1"/>
    <w:rsid w:val="004E04DE"/>
    <w:rsid w:val="004E3DA6"/>
    <w:rsid w:val="004F0B9A"/>
    <w:rsid w:val="004F5EBD"/>
    <w:rsid w:val="004F6D28"/>
    <w:rsid w:val="00523BFA"/>
    <w:rsid w:val="005325A2"/>
    <w:rsid w:val="00532A44"/>
    <w:rsid w:val="0053326B"/>
    <w:rsid w:val="005335B7"/>
    <w:rsid w:val="0054036E"/>
    <w:rsid w:val="00540537"/>
    <w:rsid w:val="00543255"/>
    <w:rsid w:val="005510BB"/>
    <w:rsid w:val="00551198"/>
    <w:rsid w:val="0055355A"/>
    <w:rsid w:val="00553D23"/>
    <w:rsid w:val="00566562"/>
    <w:rsid w:val="00573A90"/>
    <w:rsid w:val="00575901"/>
    <w:rsid w:val="00584718"/>
    <w:rsid w:val="00596BC9"/>
    <w:rsid w:val="005A1A84"/>
    <w:rsid w:val="005A1DB4"/>
    <w:rsid w:val="005C4D02"/>
    <w:rsid w:val="005C5BA7"/>
    <w:rsid w:val="005E2BAF"/>
    <w:rsid w:val="005F3E14"/>
    <w:rsid w:val="00602E21"/>
    <w:rsid w:val="0060496D"/>
    <w:rsid w:val="006142D7"/>
    <w:rsid w:val="00627B0A"/>
    <w:rsid w:val="00631E3C"/>
    <w:rsid w:val="006328EE"/>
    <w:rsid w:val="00641AB7"/>
    <w:rsid w:val="0066240D"/>
    <w:rsid w:val="00664D97"/>
    <w:rsid w:val="00670835"/>
    <w:rsid w:val="00677753"/>
    <w:rsid w:val="00680618"/>
    <w:rsid w:val="006820B7"/>
    <w:rsid w:val="00693A87"/>
    <w:rsid w:val="006A099D"/>
    <w:rsid w:val="006A1778"/>
    <w:rsid w:val="006A5DEC"/>
    <w:rsid w:val="006B03BB"/>
    <w:rsid w:val="006B237E"/>
    <w:rsid w:val="006B42B6"/>
    <w:rsid w:val="006C4971"/>
    <w:rsid w:val="006D2B33"/>
    <w:rsid w:val="006D4B31"/>
    <w:rsid w:val="006E0330"/>
    <w:rsid w:val="006E0B72"/>
    <w:rsid w:val="00703BF3"/>
    <w:rsid w:val="00705D6D"/>
    <w:rsid w:val="00711F75"/>
    <w:rsid w:val="00713663"/>
    <w:rsid w:val="00714C5B"/>
    <w:rsid w:val="00715D26"/>
    <w:rsid w:val="007213F1"/>
    <w:rsid w:val="0073318B"/>
    <w:rsid w:val="007472CC"/>
    <w:rsid w:val="007748EB"/>
    <w:rsid w:val="00785769"/>
    <w:rsid w:val="007A07D3"/>
    <w:rsid w:val="007A4B5C"/>
    <w:rsid w:val="007B0C1A"/>
    <w:rsid w:val="007B421F"/>
    <w:rsid w:val="007B4D29"/>
    <w:rsid w:val="007B6C4D"/>
    <w:rsid w:val="007C5A15"/>
    <w:rsid w:val="007D204D"/>
    <w:rsid w:val="007D221A"/>
    <w:rsid w:val="007D5760"/>
    <w:rsid w:val="007D73BB"/>
    <w:rsid w:val="007E7159"/>
    <w:rsid w:val="007F2809"/>
    <w:rsid w:val="007F4154"/>
    <w:rsid w:val="007F5592"/>
    <w:rsid w:val="007F57CC"/>
    <w:rsid w:val="007F7131"/>
    <w:rsid w:val="00801F50"/>
    <w:rsid w:val="00802A26"/>
    <w:rsid w:val="0080669A"/>
    <w:rsid w:val="00810147"/>
    <w:rsid w:val="0081343A"/>
    <w:rsid w:val="00815BA4"/>
    <w:rsid w:val="00817906"/>
    <w:rsid w:val="00825CE2"/>
    <w:rsid w:val="008362C3"/>
    <w:rsid w:val="008408FD"/>
    <w:rsid w:val="00853B65"/>
    <w:rsid w:val="00862E4D"/>
    <w:rsid w:val="00865DF9"/>
    <w:rsid w:val="00866D18"/>
    <w:rsid w:val="008757D8"/>
    <w:rsid w:val="008758D6"/>
    <w:rsid w:val="00877F43"/>
    <w:rsid w:val="00883657"/>
    <w:rsid w:val="00883847"/>
    <w:rsid w:val="008848AA"/>
    <w:rsid w:val="008931F6"/>
    <w:rsid w:val="008975E4"/>
    <w:rsid w:val="008A7BD4"/>
    <w:rsid w:val="008B0749"/>
    <w:rsid w:val="008B11DE"/>
    <w:rsid w:val="008B31EA"/>
    <w:rsid w:val="008B4D83"/>
    <w:rsid w:val="008C05A2"/>
    <w:rsid w:val="008C1DC6"/>
    <w:rsid w:val="008C402E"/>
    <w:rsid w:val="008C5F85"/>
    <w:rsid w:val="008D3976"/>
    <w:rsid w:val="008E4120"/>
    <w:rsid w:val="008E6BE1"/>
    <w:rsid w:val="008E781C"/>
    <w:rsid w:val="008F0619"/>
    <w:rsid w:val="008F477E"/>
    <w:rsid w:val="0090045B"/>
    <w:rsid w:val="00905EFE"/>
    <w:rsid w:val="00910F7C"/>
    <w:rsid w:val="0091121D"/>
    <w:rsid w:val="009256DC"/>
    <w:rsid w:val="00941ECA"/>
    <w:rsid w:val="009446BF"/>
    <w:rsid w:val="0095287F"/>
    <w:rsid w:val="00956522"/>
    <w:rsid w:val="00975C2F"/>
    <w:rsid w:val="00977CD8"/>
    <w:rsid w:val="00991E2D"/>
    <w:rsid w:val="0099430D"/>
    <w:rsid w:val="009A0109"/>
    <w:rsid w:val="009A2333"/>
    <w:rsid w:val="009B005D"/>
    <w:rsid w:val="009B534A"/>
    <w:rsid w:val="009C16EA"/>
    <w:rsid w:val="009C2D67"/>
    <w:rsid w:val="009C5C77"/>
    <w:rsid w:val="009C7166"/>
    <w:rsid w:val="009D0DEC"/>
    <w:rsid w:val="009D1766"/>
    <w:rsid w:val="009D2559"/>
    <w:rsid w:val="009D5E6F"/>
    <w:rsid w:val="009D7C75"/>
    <w:rsid w:val="009E04E6"/>
    <w:rsid w:val="009E3639"/>
    <w:rsid w:val="009E5925"/>
    <w:rsid w:val="009E6C88"/>
    <w:rsid w:val="009F22D4"/>
    <w:rsid w:val="00A0502A"/>
    <w:rsid w:val="00A053B1"/>
    <w:rsid w:val="00A05605"/>
    <w:rsid w:val="00A139CE"/>
    <w:rsid w:val="00A13D76"/>
    <w:rsid w:val="00A16299"/>
    <w:rsid w:val="00A237A4"/>
    <w:rsid w:val="00A26DA2"/>
    <w:rsid w:val="00A30BBA"/>
    <w:rsid w:val="00A34346"/>
    <w:rsid w:val="00A475AE"/>
    <w:rsid w:val="00A50FF6"/>
    <w:rsid w:val="00A52186"/>
    <w:rsid w:val="00A53AB8"/>
    <w:rsid w:val="00A62C66"/>
    <w:rsid w:val="00A72AA3"/>
    <w:rsid w:val="00A75DB5"/>
    <w:rsid w:val="00A76EA8"/>
    <w:rsid w:val="00A77EB6"/>
    <w:rsid w:val="00A81C6A"/>
    <w:rsid w:val="00A86981"/>
    <w:rsid w:val="00AA0DDF"/>
    <w:rsid w:val="00AA263E"/>
    <w:rsid w:val="00AB248B"/>
    <w:rsid w:val="00AB54F2"/>
    <w:rsid w:val="00AC0376"/>
    <w:rsid w:val="00AC080D"/>
    <w:rsid w:val="00AC4539"/>
    <w:rsid w:val="00AD1C3B"/>
    <w:rsid w:val="00AE0EDC"/>
    <w:rsid w:val="00AE1452"/>
    <w:rsid w:val="00AE5639"/>
    <w:rsid w:val="00AF1F16"/>
    <w:rsid w:val="00AF320A"/>
    <w:rsid w:val="00B00754"/>
    <w:rsid w:val="00B00DF4"/>
    <w:rsid w:val="00B0217F"/>
    <w:rsid w:val="00B05F1C"/>
    <w:rsid w:val="00B0713E"/>
    <w:rsid w:val="00B1291D"/>
    <w:rsid w:val="00B139C4"/>
    <w:rsid w:val="00B13C10"/>
    <w:rsid w:val="00B14F9A"/>
    <w:rsid w:val="00B17C98"/>
    <w:rsid w:val="00B17F37"/>
    <w:rsid w:val="00B21D0D"/>
    <w:rsid w:val="00B23714"/>
    <w:rsid w:val="00B23CCB"/>
    <w:rsid w:val="00B243EA"/>
    <w:rsid w:val="00B24B80"/>
    <w:rsid w:val="00B27E4D"/>
    <w:rsid w:val="00B47C63"/>
    <w:rsid w:val="00B60BE5"/>
    <w:rsid w:val="00B61264"/>
    <w:rsid w:val="00B71744"/>
    <w:rsid w:val="00B7653D"/>
    <w:rsid w:val="00B77ECD"/>
    <w:rsid w:val="00B91F77"/>
    <w:rsid w:val="00B93DE3"/>
    <w:rsid w:val="00B97486"/>
    <w:rsid w:val="00BA2BAF"/>
    <w:rsid w:val="00BA5D5A"/>
    <w:rsid w:val="00BB02FF"/>
    <w:rsid w:val="00BB6F69"/>
    <w:rsid w:val="00BB7588"/>
    <w:rsid w:val="00BC0200"/>
    <w:rsid w:val="00BC5F9A"/>
    <w:rsid w:val="00BC72A7"/>
    <w:rsid w:val="00BD0DA8"/>
    <w:rsid w:val="00BD2158"/>
    <w:rsid w:val="00BE06BC"/>
    <w:rsid w:val="00BE604E"/>
    <w:rsid w:val="00BE7F88"/>
    <w:rsid w:val="00BF0E9E"/>
    <w:rsid w:val="00BF2FB9"/>
    <w:rsid w:val="00BF53A4"/>
    <w:rsid w:val="00C00C2D"/>
    <w:rsid w:val="00C0116F"/>
    <w:rsid w:val="00C041E3"/>
    <w:rsid w:val="00C10037"/>
    <w:rsid w:val="00C1261B"/>
    <w:rsid w:val="00C12DA1"/>
    <w:rsid w:val="00C22773"/>
    <w:rsid w:val="00C23545"/>
    <w:rsid w:val="00C24ABF"/>
    <w:rsid w:val="00C2690D"/>
    <w:rsid w:val="00C34DEC"/>
    <w:rsid w:val="00C45365"/>
    <w:rsid w:val="00C45664"/>
    <w:rsid w:val="00C5094E"/>
    <w:rsid w:val="00C652A6"/>
    <w:rsid w:val="00C7443D"/>
    <w:rsid w:val="00C80212"/>
    <w:rsid w:val="00C820FE"/>
    <w:rsid w:val="00C8470D"/>
    <w:rsid w:val="00C86041"/>
    <w:rsid w:val="00C876D6"/>
    <w:rsid w:val="00C90D42"/>
    <w:rsid w:val="00C93524"/>
    <w:rsid w:val="00C948C7"/>
    <w:rsid w:val="00C9720F"/>
    <w:rsid w:val="00C977C2"/>
    <w:rsid w:val="00CA574B"/>
    <w:rsid w:val="00CB149D"/>
    <w:rsid w:val="00CB6C92"/>
    <w:rsid w:val="00CC3E97"/>
    <w:rsid w:val="00CD5E36"/>
    <w:rsid w:val="00CE67AB"/>
    <w:rsid w:val="00CE73BF"/>
    <w:rsid w:val="00CF142B"/>
    <w:rsid w:val="00CF3BD9"/>
    <w:rsid w:val="00CF7158"/>
    <w:rsid w:val="00D012B5"/>
    <w:rsid w:val="00D030B1"/>
    <w:rsid w:val="00D15AB9"/>
    <w:rsid w:val="00D20230"/>
    <w:rsid w:val="00D24B97"/>
    <w:rsid w:val="00D25F2A"/>
    <w:rsid w:val="00D44039"/>
    <w:rsid w:val="00D51EAB"/>
    <w:rsid w:val="00D55A21"/>
    <w:rsid w:val="00D60919"/>
    <w:rsid w:val="00D66FC4"/>
    <w:rsid w:val="00D72BAE"/>
    <w:rsid w:val="00D94E40"/>
    <w:rsid w:val="00D95584"/>
    <w:rsid w:val="00DA1ED5"/>
    <w:rsid w:val="00DA4F5F"/>
    <w:rsid w:val="00DA5FBA"/>
    <w:rsid w:val="00DA6B19"/>
    <w:rsid w:val="00DC1390"/>
    <w:rsid w:val="00DC7C39"/>
    <w:rsid w:val="00DD310A"/>
    <w:rsid w:val="00DE67D3"/>
    <w:rsid w:val="00DE71DD"/>
    <w:rsid w:val="00DF1DE1"/>
    <w:rsid w:val="00DF3EE0"/>
    <w:rsid w:val="00E0190B"/>
    <w:rsid w:val="00E04F8C"/>
    <w:rsid w:val="00E07689"/>
    <w:rsid w:val="00E16893"/>
    <w:rsid w:val="00E21353"/>
    <w:rsid w:val="00E24ED0"/>
    <w:rsid w:val="00E33D09"/>
    <w:rsid w:val="00E37E1C"/>
    <w:rsid w:val="00E419CB"/>
    <w:rsid w:val="00E42699"/>
    <w:rsid w:val="00E44C0D"/>
    <w:rsid w:val="00E473BC"/>
    <w:rsid w:val="00E53BA8"/>
    <w:rsid w:val="00E57785"/>
    <w:rsid w:val="00E60835"/>
    <w:rsid w:val="00E6167B"/>
    <w:rsid w:val="00E66C38"/>
    <w:rsid w:val="00E704A0"/>
    <w:rsid w:val="00E7073F"/>
    <w:rsid w:val="00E72D18"/>
    <w:rsid w:val="00E75D5B"/>
    <w:rsid w:val="00E84741"/>
    <w:rsid w:val="00E85507"/>
    <w:rsid w:val="00E91C31"/>
    <w:rsid w:val="00E92531"/>
    <w:rsid w:val="00E933BB"/>
    <w:rsid w:val="00E94F29"/>
    <w:rsid w:val="00E9681B"/>
    <w:rsid w:val="00EA15BD"/>
    <w:rsid w:val="00EA7A53"/>
    <w:rsid w:val="00EB0CC2"/>
    <w:rsid w:val="00EB6862"/>
    <w:rsid w:val="00EC1788"/>
    <w:rsid w:val="00EC61E0"/>
    <w:rsid w:val="00ED1DF2"/>
    <w:rsid w:val="00ED202A"/>
    <w:rsid w:val="00EE2161"/>
    <w:rsid w:val="00EE2345"/>
    <w:rsid w:val="00EE5E7E"/>
    <w:rsid w:val="00EE7F57"/>
    <w:rsid w:val="00EF1F1D"/>
    <w:rsid w:val="00EF4EBC"/>
    <w:rsid w:val="00EF6430"/>
    <w:rsid w:val="00EF683B"/>
    <w:rsid w:val="00F00315"/>
    <w:rsid w:val="00F152B2"/>
    <w:rsid w:val="00F16028"/>
    <w:rsid w:val="00F206B1"/>
    <w:rsid w:val="00F23245"/>
    <w:rsid w:val="00F253DC"/>
    <w:rsid w:val="00F35979"/>
    <w:rsid w:val="00F447A8"/>
    <w:rsid w:val="00F514DA"/>
    <w:rsid w:val="00F52E09"/>
    <w:rsid w:val="00F53D8C"/>
    <w:rsid w:val="00F608DF"/>
    <w:rsid w:val="00F60B50"/>
    <w:rsid w:val="00F659AD"/>
    <w:rsid w:val="00F75C3D"/>
    <w:rsid w:val="00F76F95"/>
    <w:rsid w:val="00F8409D"/>
    <w:rsid w:val="00F9261E"/>
    <w:rsid w:val="00F9553E"/>
    <w:rsid w:val="00FA38ED"/>
    <w:rsid w:val="00FA4C1E"/>
    <w:rsid w:val="00FA630A"/>
    <w:rsid w:val="00FC0A61"/>
    <w:rsid w:val="00FC238A"/>
    <w:rsid w:val="00FC5AA2"/>
    <w:rsid w:val="00FC7DD4"/>
    <w:rsid w:val="00FE2EDE"/>
    <w:rsid w:val="00FE5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BD0DA8"/>
    <w:pPr>
      <w:keepNext/>
      <w:widowControl w:val="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BD0DA8"/>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Footnotes Text,FSFootnotes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Footnotes Text Char,FSFootnotes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DE67D3"/>
    <w:pPr>
      <w:numPr>
        <w:numId w:val="8"/>
      </w:numPr>
      <w:ind w:left="567" w:hanging="567"/>
    </w:pPr>
    <w:rPr>
      <w:rFonts w:eastAsia="Times New Roman" w:cs="Arial"/>
      <w:szCs w:val="24"/>
    </w:rPr>
  </w:style>
  <w:style w:type="character" w:customStyle="1" w:styleId="FSBullet1Char">
    <w:name w:val="FSBullet 1 Char"/>
    <w:basedOn w:val="DefaultParagraphFont"/>
    <w:link w:val="FSBullet1"/>
    <w:rsid w:val="00DE67D3"/>
    <w:rPr>
      <w:rFonts w:eastAsia="Times New Roman"/>
      <w:szCs w:val="24"/>
      <w:lang w:val="en-GB"/>
    </w:rPr>
  </w:style>
  <w:style w:type="paragraph" w:customStyle="1" w:styleId="FSBullet2">
    <w:name w:val="FSBullet 2"/>
    <w:basedOn w:val="Normal"/>
    <w:qFormat/>
    <w:rsid w:val="00DE67D3"/>
    <w:pPr>
      <w:numPr>
        <w:numId w:val="9"/>
      </w:numPr>
      <w:ind w:left="1134" w:hanging="567"/>
    </w:pPr>
  </w:style>
  <w:style w:type="paragraph" w:customStyle="1" w:styleId="FSBullet3">
    <w:name w:val="FSBullet 3"/>
    <w:basedOn w:val="Normal"/>
    <w:qFormat/>
    <w:rsid w:val="00DE67D3"/>
    <w:pPr>
      <w:keepNext/>
      <w:numPr>
        <w:numId w:val="10"/>
      </w:numPr>
      <w:ind w:left="1701" w:hanging="567"/>
    </w:p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BalloonText">
    <w:name w:val="Balloon Text"/>
    <w:basedOn w:val="Normal"/>
    <w:link w:val="BalloonTextChar"/>
    <w:uiPriority w:val="99"/>
    <w:semiHidden/>
    <w:unhideWhenUsed/>
    <w:rsid w:val="007F7131"/>
    <w:rPr>
      <w:rFonts w:ascii="Tahoma" w:hAnsi="Tahoma" w:cs="Tahoma"/>
      <w:sz w:val="16"/>
      <w:szCs w:val="16"/>
    </w:rPr>
  </w:style>
  <w:style w:type="character" w:customStyle="1" w:styleId="BalloonTextChar">
    <w:name w:val="Balloon Text Char"/>
    <w:basedOn w:val="DefaultParagraphFont"/>
    <w:link w:val="BalloonText"/>
    <w:uiPriority w:val="99"/>
    <w:semiHidden/>
    <w:rsid w:val="007F7131"/>
    <w:rPr>
      <w:rFonts w:ascii="Tahoma" w:hAnsi="Tahoma" w:cs="Tahoma"/>
      <w:sz w:val="16"/>
      <w:szCs w:val="16"/>
      <w:lang w:val="en-GB"/>
    </w:rPr>
  </w:style>
  <w:style w:type="table" w:styleId="TableGrid">
    <w:name w:val="Table Grid"/>
    <w:basedOn w:val="TableNormal"/>
    <w:uiPriority w:val="59"/>
    <w:rsid w:val="008758D6"/>
    <w:pPr>
      <w:spacing w:after="0" w:line="240" w:lineRule="auto"/>
    </w:pPr>
    <w:rPr>
      <w:rFonts w:ascii="Calibri" w:eastAsia="Calibri"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DC7C39"/>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8470D"/>
    <w:rPr>
      <w:sz w:val="16"/>
      <w:szCs w:val="16"/>
    </w:rPr>
  </w:style>
  <w:style w:type="paragraph" w:styleId="CommentText">
    <w:name w:val="annotation text"/>
    <w:basedOn w:val="Normal"/>
    <w:link w:val="CommentTextChar"/>
    <w:uiPriority w:val="99"/>
    <w:semiHidden/>
    <w:unhideWhenUsed/>
    <w:rsid w:val="00C8470D"/>
    <w:rPr>
      <w:sz w:val="20"/>
      <w:szCs w:val="20"/>
    </w:rPr>
  </w:style>
  <w:style w:type="character" w:customStyle="1" w:styleId="CommentTextChar">
    <w:name w:val="Comment Text Char"/>
    <w:basedOn w:val="DefaultParagraphFont"/>
    <w:link w:val="CommentText"/>
    <w:uiPriority w:val="99"/>
    <w:semiHidden/>
    <w:rsid w:val="00C8470D"/>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C8470D"/>
    <w:rPr>
      <w:b/>
      <w:bCs/>
    </w:rPr>
  </w:style>
  <w:style w:type="character" w:customStyle="1" w:styleId="CommentSubjectChar">
    <w:name w:val="Comment Subject Char"/>
    <w:basedOn w:val="CommentTextChar"/>
    <w:link w:val="CommentSubject"/>
    <w:uiPriority w:val="99"/>
    <w:semiHidden/>
    <w:rsid w:val="00C8470D"/>
    <w:rPr>
      <w:rFonts w:cstheme="minorBidi"/>
      <w:b/>
      <w:bCs/>
      <w:sz w:val="20"/>
      <w:szCs w:val="20"/>
      <w:lang w:val="en-GB"/>
    </w:rPr>
  </w:style>
  <w:style w:type="character" w:styleId="FootnoteReference">
    <w:name w:val="footnote reference"/>
    <w:basedOn w:val="DefaultParagraphFont"/>
    <w:uiPriority w:val="99"/>
    <w:semiHidden/>
    <w:unhideWhenUsed/>
    <w:rsid w:val="00DF3EE0"/>
    <w:rPr>
      <w:vertAlign w:val="superscript"/>
    </w:rPr>
  </w:style>
  <w:style w:type="character" w:styleId="Hyperlink">
    <w:name w:val="Hyperlink"/>
    <w:basedOn w:val="DefaultParagraphFont"/>
    <w:uiPriority w:val="99"/>
    <w:unhideWhenUsed/>
    <w:rsid w:val="00DF3EE0"/>
    <w:rPr>
      <w:color w:val="0000FF" w:themeColor="hyperlink"/>
      <w:u w:val="single"/>
    </w:rPr>
  </w:style>
  <w:style w:type="character" w:styleId="FollowedHyperlink">
    <w:name w:val="FollowedHyperlink"/>
    <w:basedOn w:val="DefaultParagraphFont"/>
    <w:uiPriority w:val="99"/>
    <w:semiHidden/>
    <w:unhideWhenUsed/>
    <w:rsid w:val="00F16028"/>
    <w:rPr>
      <w:color w:val="800080" w:themeColor="followedHyperlink"/>
      <w:u w:val="single"/>
    </w:rPr>
  </w:style>
  <w:style w:type="paragraph" w:styleId="Revision">
    <w:name w:val="Revision"/>
    <w:hidden/>
    <w:uiPriority w:val="99"/>
    <w:semiHidden/>
    <w:rsid w:val="005335B7"/>
    <w:pPr>
      <w:spacing w:after="0" w:line="240" w:lineRule="auto"/>
    </w:pPr>
    <w:rPr>
      <w:rFonts w:cstheme="minorBidi"/>
      <w:lang w:val="en-GB"/>
    </w:rPr>
  </w:style>
  <w:style w:type="paragraph" w:customStyle="1" w:styleId="FSTitle">
    <w:name w:val="FS Title"/>
    <w:basedOn w:val="Normal"/>
    <w:qFormat/>
    <w:rsid w:val="009D0DEC"/>
    <w:pPr>
      <w:widowControl w:val="0"/>
    </w:pPr>
    <w:rPr>
      <w:rFonts w:eastAsia="Times New Roman" w:cs="Tahoma"/>
      <w:bCs/>
      <w:sz w:val="32"/>
      <w:szCs w:val="24"/>
      <w:lang w:bidi="en-US"/>
    </w:rPr>
  </w:style>
  <w:style w:type="paragraph" w:customStyle="1" w:styleId="Default">
    <w:name w:val="Default"/>
    <w:rsid w:val="00BA2BAF"/>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BD0DA8"/>
    <w:pPr>
      <w:keepNext/>
      <w:widowControl w:val="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BD0DA8"/>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Footnotes Text,FSFootnotes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Footnotes Text Char,FSFootnotes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DE67D3"/>
    <w:pPr>
      <w:numPr>
        <w:numId w:val="8"/>
      </w:numPr>
      <w:ind w:left="567" w:hanging="567"/>
    </w:pPr>
    <w:rPr>
      <w:rFonts w:eastAsia="Times New Roman" w:cs="Arial"/>
      <w:szCs w:val="24"/>
    </w:rPr>
  </w:style>
  <w:style w:type="character" w:customStyle="1" w:styleId="FSBullet1Char">
    <w:name w:val="FSBullet 1 Char"/>
    <w:basedOn w:val="DefaultParagraphFont"/>
    <w:link w:val="FSBullet1"/>
    <w:rsid w:val="00DE67D3"/>
    <w:rPr>
      <w:rFonts w:eastAsia="Times New Roman"/>
      <w:szCs w:val="24"/>
      <w:lang w:val="en-GB"/>
    </w:rPr>
  </w:style>
  <w:style w:type="paragraph" w:customStyle="1" w:styleId="FSBullet2">
    <w:name w:val="FSBullet 2"/>
    <w:basedOn w:val="Normal"/>
    <w:qFormat/>
    <w:rsid w:val="00DE67D3"/>
    <w:pPr>
      <w:numPr>
        <w:numId w:val="9"/>
      </w:numPr>
      <w:ind w:left="1134" w:hanging="567"/>
    </w:pPr>
  </w:style>
  <w:style w:type="paragraph" w:customStyle="1" w:styleId="FSBullet3">
    <w:name w:val="FSBullet 3"/>
    <w:basedOn w:val="Normal"/>
    <w:qFormat/>
    <w:rsid w:val="00DE67D3"/>
    <w:pPr>
      <w:keepNext/>
      <w:numPr>
        <w:numId w:val="10"/>
      </w:numPr>
      <w:ind w:left="1701" w:hanging="567"/>
    </w:p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BalloonText">
    <w:name w:val="Balloon Text"/>
    <w:basedOn w:val="Normal"/>
    <w:link w:val="BalloonTextChar"/>
    <w:uiPriority w:val="99"/>
    <w:semiHidden/>
    <w:unhideWhenUsed/>
    <w:rsid w:val="007F7131"/>
    <w:rPr>
      <w:rFonts w:ascii="Tahoma" w:hAnsi="Tahoma" w:cs="Tahoma"/>
      <w:sz w:val="16"/>
      <w:szCs w:val="16"/>
    </w:rPr>
  </w:style>
  <w:style w:type="character" w:customStyle="1" w:styleId="BalloonTextChar">
    <w:name w:val="Balloon Text Char"/>
    <w:basedOn w:val="DefaultParagraphFont"/>
    <w:link w:val="BalloonText"/>
    <w:uiPriority w:val="99"/>
    <w:semiHidden/>
    <w:rsid w:val="007F7131"/>
    <w:rPr>
      <w:rFonts w:ascii="Tahoma" w:hAnsi="Tahoma" w:cs="Tahoma"/>
      <w:sz w:val="16"/>
      <w:szCs w:val="16"/>
      <w:lang w:val="en-GB"/>
    </w:rPr>
  </w:style>
  <w:style w:type="table" w:styleId="TableGrid">
    <w:name w:val="Table Grid"/>
    <w:basedOn w:val="TableNormal"/>
    <w:uiPriority w:val="59"/>
    <w:rsid w:val="008758D6"/>
    <w:pPr>
      <w:spacing w:after="0" w:line="240" w:lineRule="auto"/>
    </w:pPr>
    <w:rPr>
      <w:rFonts w:ascii="Calibri" w:eastAsia="Calibri"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DC7C39"/>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8470D"/>
    <w:rPr>
      <w:sz w:val="16"/>
      <w:szCs w:val="16"/>
    </w:rPr>
  </w:style>
  <w:style w:type="paragraph" w:styleId="CommentText">
    <w:name w:val="annotation text"/>
    <w:basedOn w:val="Normal"/>
    <w:link w:val="CommentTextChar"/>
    <w:uiPriority w:val="99"/>
    <w:semiHidden/>
    <w:unhideWhenUsed/>
    <w:rsid w:val="00C8470D"/>
    <w:rPr>
      <w:sz w:val="20"/>
      <w:szCs w:val="20"/>
    </w:rPr>
  </w:style>
  <w:style w:type="character" w:customStyle="1" w:styleId="CommentTextChar">
    <w:name w:val="Comment Text Char"/>
    <w:basedOn w:val="DefaultParagraphFont"/>
    <w:link w:val="CommentText"/>
    <w:uiPriority w:val="99"/>
    <w:semiHidden/>
    <w:rsid w:val="00C8470D"/>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C8470D"/>
    <w:rPr>
      <w:b/>
      <w:bCs/>
    </w:rPr>
  </w:style>
  <w:style w:type="character" w:customStyle="1" w:styleId="CommentSubjectChar">
    <w:name w:val="Comment Subject Char"/>
    <w:basedOn w:val="CommentTextChar"/>
    <w:link w:val="CommentSubject"/>
    <w:uiPriority w:val="99"/>
    <w:semiHidden/>
    <w:rsid w:val="00C8470D"/>
    <w:rPr>
      <w:rFonts w:cstheme="minorBidi"/>
      <w:b/>
      <w:bCs/>
      <w:sz w:val="20"/>
      <w:szCs w:val="20"/>
      <w:lang w:val="en-GB"/>
    </w:rPr>
  </w:style>
  <w:style w:type="character" w:styleId="FootnoteReference">
    <w:name w:val="footnote reference"/>
    <w:basedOn w:val="DefaultParagraphFont"/>
    <w:uiPriority w:val="99"/>
    <w:semiHidden/>
    <w:unhideWhenUsed/>
    <w:rsid w:val="00DF3EE0"/>
    <w:rPr>
      <w:vertAlign w:val="superscript"/>
    </w:rPr>
  </w:style>
  <w:style w:type="character" w:styleId="Hyperlink">
    <w:name w:val="Hyperlink"/>
    <w:basedOn w:val="DefaultParagraphFont"/>
    <w:uiPriority w:val="99"/>
    <w:unhideWhenUsed/>
    <w:rsid w:val="00DF3EE0"/>
    <w:rPr>
      <w:color w:val="0000FF" w:themeColor="hyperlink"/>
      <w:u w:val="single"/>
    </w:rPr>
  </w:style>
  <w:style w:type="character" w:styleId="FollowedHyperlink">
    <w:name w:val="FollowedHyperlink"/>
    <w:basedOn w:val="DefaultParagraphFont"/>
    <w:uiPriority w:val="99"/>
    <w:semiHidden/>
    <w:unhideWhenUsed/>
    <w:rsid w:val="00F16028"/>
    <w:rPr>
      <w:color w:val="800080" w:themeColor="followedHyperlink"/>
      <w:u w:val="single"/>
    </w:rPr>
  </w:style>
  <w:style w:type="paragraph" w:styleId="Revision">
    <w:name w:val="Revision"/>
    <w:hidden/>
    <w:uiPriority w:val="99"/>
    <w:semiHidden/>
    <w:rsid w:val="005335B7"/>
    <w:pPr>
      <w:spacing w:after="0" w:line="240" w:lineRule="auto"/>
    </w:pPr>
    <w:rPr>
      <w:rFonts w:cstheme="minorBidi"/>
      <w:lang w:val="en-GB"/>
    </w:rPr>
  </w:style>
  <w:style w:type="paragraph" w:customStyle="1" w:styleId="FSTitle">
    <w:name w:val="FS Title"/>
    <w:basedOn w:val="Normal"/>
    <w:qFormat/>
    <w:rsid w:val="009D0DEC"/>
    <w:pPr>
      <w:widowControl w:val="0"/>
    </w:pPr>
    <w:rPr>
      <w:rFonts w:eastAsia="Times New Roman" w:cs="Tahoma"/>
      <w:bCs/>
      <w:sz w:val="32"/>
      <w:szCs w:val="24"/>
      <w:lang w:bidi="en-US"/>
    </w:rPr>
  </w:style>
  <w:style w:type="paragraph" w:customStyle="1" w:styleId="Default">
    <w:name w:val="Default"/>
    <w:rsid w:val="00BA2BAF"/>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04834">
      <w:bodyDiv w:val="1"/>
      <w:marLeft w:val="0"/>
      <w:marRight w:val="0"/>
      <w:marTop w:val="0"/>
      <w:marBottom w:val="0"/>
      <w:divBdr>
        <w:top w:val="none" w:sz="0" w:space="0" w:color="auto"/>
        <w:left w:val="none" w:sz="0" w:space="0" w:color="auto"/>
        <w:bottom w:val="none" w:sz="0" w:space="0" w:color="auto"/>
        <w:right w:val="none" w:sz="0" w:space="0" w:color="auto"/>
      </w:divBdr>
    </w:div>
    <w:div w:id="1866674228">
      <w:bodyDiv w:val="1"/>
      <w:marLeft w:val="0"/>
      <w:marRight w:val="0"/>
      <w:marTop w:val="0"/>
      <w:marBottom w:val="0"/>
      <w:divBdr>
        <w:top w:val="none" w:sz="0" w:space="0" w:color="auto"/>
        <w:left w:val="none" w:sz="0" w:space="0" w:color="auto"/>
        <w:bottom w:val="none" w:sz="0" w:space="0" w:color="auto"/>
        <w:right w:val="none" w:sz="0" w:space="0" w:color="auto"/>
      </w:divBdr>
      <w:divsChild>
        <w:div w:id="106970232">
          <w:marLeft w:val="1166"/>
          <w:marRight w:val="0"/>
          <w:marTop w:val="53"/>
          <w:marBottom w:val="0"/>
          <w:divBdr>
            <w:top w:val="none" w:sz="0" w:space="0" w:color="auto"/>
            <w:left w:val="none" w:sz="0" w:space="0" w:color="auto"/>
            <w:bottom w:val="none" w:sz="0" w:space="0" w:color="auto"/>
            <w:right w:val="none" w:sz="0" w:space="0" w:color="auto"/>
          </w:divBdr>
        </w:div>
        <w:div w:id="458454839">
          <w:marLeft w:val="547"/>
          <w:marRight w:val="0"/>
          <w:marTop w:val="62"/>
          <w:marBottom w:val="0"/>
          <w:divBdr>
            <w:top w:val="none" w:sz="0" w:space="0" w:color="auto"/>
            <w:left w:val="none" w:sz="0" w:space="0" w:color="auto"/>
            <w:bottom w:val="none" w:sz="0" w:space="0" w:color="auto"/>
            <w:right w:val="none" w:sz="0" w:space="0" w:color="auto"/>
          </w:divBdr>
        </w:div>
        <w:div w:id="604576379">
          <w:marLeft w:val="1166"/>
          <w:marRight w:val="0"/>
          <w:marTop w:val="53"/>
          <w:marBottom w:val="0"/>
          <w:divBdr>
            <w:top w:val="none" w:sz="0" w:space="0" w:color="auto"/>
            <w:left w:val="none" w:sz="0" w:space="0" w:color="auto"/>
            <w:bottom w:val="none" w:sz="0" w:space="0" w:color="auto"/>
            <w:right w:val="none" w:sz="0" w:space="0" w:color="auto"/>
          </w:divBdr>
        </w:div>
        <w:div w:id="696660399">
          <w:marLeft w:val="547"/>
          <w:marRight w:val="0"/>
          <w:marTop w:val="62"/>
          <w:marBottom w:val="0"/>
          <w:divBdr>
            <w:top w:val="none" w:sz="0" w:space="0" w:color="auto"/>
            <w:left w:val="none" w:sz="0" w:space="0" w:color="auto"/>
            <w:bottom w:val="none" w:sz="0" w:space="0" w:color="auto"/>
            <w:right w:val="none" w:sz="0" w:space="0" w:color="auto"/>
          </w:divBdr>
        </w:div>
        <w:div w:id="791482141">
          <w:marLeft w:val="547"/>
          <w:marRight w:val="0"/>
          <w:marTop w:val="62"/>
          <w:marBottom w:val="0"/>
          <w:divBdr>
            <w:top w:val="none" w:sz="0" w:space="0" w:color="auto"/>
            <w:left w:val="none" w:sz="0" w:space="0" w:color="auto"/>
            <w:bottom w:val="none" w:sz="0" w:space="0" w:color="auto"/>
            <w:right w:val="none" w:sz="0" w:space="0" w:color="auto"/>
          </w:divBdr>
        </w:div>
        <w:div w:id="1501383862">
          <w:marLeft w:val="1166"/>
          <w:marRight w:val="0"/>
          <w:marTop w:val="53"/>
          <w:marBottom w:val="0"/>
          <w:divBdr>
            <w:top w:val="none" w:sz="0" w:space="0" w:color="auto"/>
            <w:left w:val="none" w:sz="0" w:space="0" w:color="auto"/>
            <w:bottom w:val="none" w:sz="0" w:space="0" w:color="auto"/>
            <w:right w:val="none" w:sz="0" w:space="0" w:color="auto"/>
          </w:divBdr>
        </w:div>
        <w:div w:id="1867057750">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odexalimentarius.org/standards/list-of-standard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c.europa.eu/food/"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hilledfood.org" TargetMode="External"/><Relationship Id="rId25" Type="http://schemas.openxmlformats.org/officeDocument/2006/relationships/hyperlink" Target="http://pmp.arserrc.gov/PMPOnline.aspx"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combase.cc/index.php/en/"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oodauthority.nsw.gov.a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hc-sc.gc.ca" TargetMode="Externa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www.codexalimentarius.org/standards/list-of-standard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hc-sc.gc.ca"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6B189-36DD-4EA7-80B4-17C2318834E5}"/>
</file>

<file path=customXml/itemProps2.xml><?xml version="1.0" encoding="utf-8"?>
<ds:datastoreItem xmlns:ds="http://schemas.openxmlformats.org/officeDocument/2006/customXml" ds:itemID="{DB634701-FBBF-4679-B802-DF68C049AB45}"/>
</file>

<file path=customXml/itemProps3.xml><?xml version="1.0" encoding="utf-8"?>
<ds:datastoreItem xmlns:ds="http://schemas.openxmlformats.org/officeDocument/2006/customXml" ds:itemID="{4B985B8C-67E3-40D9-9D47-C6BE94B94680}"/>
</file>

<file path=customXml/itemProps4.xml><?xml version="1.0" encoding="utf-8"?>
<ds:datastoreItem xmlns:ds="http://schemas.openxmlformats.org/officeDocument/2006/customXml" ds:itemID="{E8D8AC4E-703D-414A-80FE-879E137ACB76}"/>
</file>

<file path=docProps/app.xml><?xml version="1.0" encoding="utf-8"?>
<Properties xmlns="http://schemas.openxmlformats.org/officeDocument/2006/extended-properties" xmlns:vt="http://schemas.openxmlformats.org/officeDocument/2006/docPropsVTypes">
  <Template>Normal</Template>
  <TotalTime>0</TotalTime>
  <Pages>11</Pages>
  <Words>3773</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P1017-ListeriaMicro-2CFS-SD1</dc:title>
  <dc:creator/>
  <cp:lastModifiedBy/>
  <cp:revision>1</cp:revision>
  <dcterms:created xsi:type="dcterms:W3CDTF">2013-11-07T03:31:00Z</dcterms:created>
  <dcterms:modified xsi:type="dcterms:W3CDTF">2013-11-07T03:33:00Z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