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val="en-GB" w:eastAsia="en-GB" w:bidi="ar-SA"/>
        </w:rPr>
        <w:drawing>
          <wp:inline distT="0" distB="0" distL="0" distR="0" wp14:anchorId="3313004F" wp14:editId="7AFFA70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5D5CF1" w:rsidRDefault="005D5CF1" w:rsidP="005D5CF1">
      <w:pPr>
        <w:tabs>
          <w:tab w:val="center" w:pos="4819"/>
          <w:tab w:val="right" w:pos="9071"/>
        </w:tabs>
        <w:ind w:right="-56"/>
        <w:rPr>
          <w:rFonts w:ascii="Times New Roman" w:hAnsi="Times New Roman"/>
          <w:szCs w:val="20"/>
          <w:lang w:bidi="ar-SA"/>
        </w:rPr>
      </w:pPr>
    </w:p>
    <w:p w:rsidR="005D5CF1" w:rsidRDefault="005D5CF1" w:rsidP="005D5CF1">
      <w:pPr>
        <w:widowControl/>
        <w:rPr>
          <w:b/>
          <w:sz w:val="28"/>
          <w:szCs w:val="28"/>
          <w:lang w:bidi="ar-SA"/>
        </w:rPr>
      </w:pPr>
      <w:r>
        <w:rPr>
          <w:b/>
          <w:sz w:val="28"/>
          <w:szCs w:val="28"/>
          <w:lang w:bidi="ar-SA"/>
        </w:rPr>
        <w:t>8 November 2013</w:t>
      </w:r>
    </w:p>
    <w:p w:rsidR="005D5CF1" w:rsidRDefault="005D5CF1" w:rsidP="005D5CF1">
      <w:pPr>
        <w:widowControl/>
        <w:rPr>
          <w:b/>
          <w:sz w:val="28"/>
          <w:szCs w:val="28"/>
          <w:lang w:bidi="ar-SA"/>
        </w:rPr>
      </w:pPr>
      <w:r>
        <w:rPr>
          <w:b/>
          <w:sz w:val="28"/>
          <w:szCs w:val="28"/>
          <w:lang w:bidi="ar-SA"/>
        </w:rPr>
        <w:t>[21-13]</w:t>
      </w:r>
    </w:p>
    <w:p w:rsidR="005D5CF1" w:rsidRDefault="005D5CF1" w:rsidP="005D5CF1">
      <w:pPr>
        <w:widowControl/>
        <w:rPr>
          <w:b/>
          <w:lang w:bidi="ar-SA"/>
        </w:rPr>
      </w:pPr>
    </w:p>
    <w:p w:rsidR="00535A30"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535A30">
        <w:rPr>
          <w:b/>
        </w:rPr>
        <w:t>Proposal P1017</w:t>
      </w:r>
    </w:p>
    <w:p w:rsidR="00535A30" w:rsidRDefault="00535A30" w:rsidP="002432EE">
      <w:pPr>
        <w:pStyle w:val="FSTitle"/>
        <w:rPr>
          <w:b/>
        </w:rPr>
      </w:pPr>
    </w:p>
    <w:p w:rsidR="00D056F1" w:rsidRPr="00351927" w:rsidRDefault="00535A30" w:rsidP="002432EE">
      <w:pPr>
        <w:pStyle w:val="FSTitle"/>
        <w:rPr>
          <w:b/>
          <w:color w:val="FF0000"/>
        </w:rPr>
      </w:pPr>
      <w:r w:rsidRPr="002B3EEA">
        <w:t xml:space="preserve">Criteria for </w:t>
      </w:r>
      <w:r w:rsidRPr="002B3EEA">
        <w:rPr>
          <w:i/>
        </w:rPr>
        <w:t>Listeria monocytogenes</w:t>
      </w:r>
      <w:r w:rsidRPr="002B3EEA">
        <w:t xml:space="preserve"> – Microbiological Limits for Foods  </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BA24E2" w:rsidRPr="002B647E" w:rsidRDefault="00BA24E2" w:rsidP="00BA24E2">
      <w:pPr>
        <w:rPr>
          <w:sz w:val="20"/>
          <w:szCs w:val="20"/>
        </w:rPr>
      </w:pPr>
      <w:r w:rsidRPr="002B647E">
        <w:rPr>
          <w:sz w:val="20"/>
          <w:szCs w:val="20"/>
        </w:rPr>
        <w:t xml:space="preserve">Pursuant to section 61 of the </w:t>
      </w:r>
      <w:r w:rsidRPr="002B647E">
        <w:rPr>
          <w:i/>
          <w:sz w:val="20"/>
          <w:szCs w:val="20"/>
        </w:rPr>
        <w:t xml:space="preserve">Food Standards Australia New Zealand Act 1991 </w:t>
      </w:r>
      <w:r w:rsidRPr="002B647E">
        <w:rPr>
          <w:sz w:val="20"/>
          <w:szCs w:val="20"/>
        </w:rPr>
        <w:t xml:space="preserve">(FSANZ Act), FSANZ now calls for submissions to assist FSANZ’s consideration of the draft </w:t>
      </w:r>
      <w:r w:rsidR="00D8470F" w:rsidRPr="002B647E">
        <w:rPr>
          <w:sz w:val="20"/>
          <w:szCs w:val="20"/>
        </w:rPr>
        <w:t>food regulatory measure</w:t>
      </w:r>
      <w:r w:rsidRPr="002B647E">
        <w:rPr>
          <w:sz w:val="20"/>
          <w:szCs w:val="20"/>
        </w:rPr>
        <w:t xml:space="preserve"> it has prepared arising from </w:t>
      </w:r>
      <w:r w:rsidR="002B647E" w:rsidRPr="002B647E">
        <w:rPr>
          <w:sz w:val="20"/>
          <w:szCs w:val="20"/>
        </w:rPr>
        <w:t>a Proposal</w:t>
      </w:r>
      <w:r w:rsidRPr="002B647E">
        <w:rPr>
          <w:sz w:val="20"/>
          <w:szCs w:val="20"/>
        </w:rPr>
        <w:t xml:space="preserve"> to</w:t>
      </w:r>
      <w:r w:rsidR="002B647E" w:rsidRPr="002B647E">
        <w:rPr>
          <w:sz w:val="20"/>
          <w:szCs w:val="20"/>
        </w:rPr>
        <w:t xml:space="preserve"> revise Standard 1.6.1 with regards to criteria for </w:t>
      </w:r>
      <w:r w:rsidR="002B647E" w:rsidRPr="002B647E">
        <w:rPr>
          <w:i/>
          <w:sz w:val="20"/>
          <w:szCs w:val="20"/>
        </w:rPr>
        <w:t>Listeria monocytogenes</w:t>
      </w:r>
      <w:r w:rsidR="002B647E" w:rsidRPr="002B647E">
        <w:rPr>
          <w:sz w:val="20"/>
          <w:szCs w:val="20"/>
        </w:rPr>
        <w:t xml:space="preserve"> limits in ready-to-eat foods</w:t>
      </w:r>
      <w:r w:rsidRPr="002B647E">
        <w:rPr>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rPr>
      </w:pPr>
    </w:p>
    <w:p w:rsidR="00E203C2" w:rsidRPr="007C174F" w:rsidRDefault="00AD22F9" w:rsidP="00E203C2">
      <w:pPr>
        <w:rPr>
          <w:color w:val="000000"/>
          <w:sz w:val="20"/>
          <w:szCs w:val="20"/>
        </w:rPr>
      </w:pPr>
      <w:r>
        <w:rPr>
          <w:color w:val="000000"/>
          <w:sz w:val="20"/>
          <w:szCs w:val="20"/>
        </w:rPr>
        <w:t>Under s</w:t>
      </w:r>
      <w:r w:rsidR="00351B07" w:rsidRPr="007C174F">
        <w:rPr>
          <w:color w:val="000000"/>
          <w:sz w:val="20"/>
          <w:szCs w:val="20"/>
        </w:rPr>
        <w:t xml:space="preserve">ection 114 </w:t>
      </w:r>
      <w:r w:rsidR="00FB1533">
        <w:rPr>
          <w:color w:val="000000"/>
          <w:sz w:val="20"/>
          <w:szCs w:val="20"/>
        </w:rPr>
        <w:t xml:space="preserve">of the FSANZ Act, </w:t>
      </w:r>
      <w:r>
        <w:rPr>
          <w:color w:val="000000"/>
          <w:sz w:val="20"/>
          <w:szCs w:val="20"/>
        </w:rPr>
        <w:t>some information provided to FSANZ cannot be disclosed. More</w:t>
      </w:r>
      <w:r w:rsidR="00351B07" w:rsidRPr="007C174F">
        <w:rPr>
          <w:color w:val="000000"/>
          <w:sz w:val="20"/>
          <w:szCs w:val="20"/>
        </w:rPr>
        <w:t xml:space="preserve"> information about the disclosure of confidential commercial information is available on the FSANZ website at</w:t>
      </w:r>
      <w:r w:rsidR="004A3685">
        <w:rPr>
          <w:color w:val="000000"/>
          <w:sz w:val="20"/>
          <w:szCs w:val="20"/>
        </w:rPr>
        <w:t xml:space="preserve"> </w:t>
      </w:r>
      <w:hyperlink r:id="rId11" w:history="1">
        <w:r w:rsidR="004A3685">
          <w:rPr>
            <w:rStyle w:val="Hyperlink"/>
            <w:sz w:val="20"/>
            <w:szCs w:val="20"/>
          </w:rPr>
          <w:t>information for submitters</w:t>
        </w:r>
      </w:hyperlink>
      <w:r w:rsidR="004A3685">
        <w:rPr>
          <w:color w:val="000000"/>
          <w:sz w:val="20"/>
          <w:szCs w:val="20"/>
        </w:rPr>
        <w:t>.</w:t>
      </w:r>
    </w:p>
    <w:p w:rsidR="00E203C2" w:rsidRPr="007C174F" w:rsidRDefault="00E203C2" w:rsidP="00E203C2">
      <w:pPr>
        <w:rPr>
          <w:color w:val="000000"/>
          <w:sz w:val="20"/>
          <w:szCs w:val="20"/>
        </w:rPr>
      </w:pPr>
    </w:p>
    <w:p w:rsidR="00351B07" w:rsidRPr="007C174F" w:rsidRDefault="00E063C6" w:rsidP="00E203C2">
      <w:pPr>
        <w:rPr>
          <w:color w:val="000000"/>
          <w:sz w:val="20"/>
          <w:szCs w:val="20"/>
        </w:rPr>
      </w:pPr>
      <w:r w:rsidRPr="007C174F">
        <w:rPr>
          <w:color w:val="000000"/>
          <w:sz w:val="20"/>
          <w:szCs w:val="20"/>
        </w:rPr>
        <w:t xml:space="preserve">Submissions </w:t>
      </w:r>
      <w:r w:rsidR="00351B07" w:rsidRPr="007C174F">
        <w:rPr>
          <w:color w:val="000000"/>
          <w:sz w:val="20"/>
          <w:szCs w:val="20"/>
        </w:rPr>
        <w:t>should</w:t>
      </w:r>
      <w:r w:rsidRPr="007C174F">
        <w:rPr>
          <w:color w:val="000000"/>
          <w:sz w:val="20"/>
          <w:szCs w:val="20"/>
        </w:rPr>
        <w:t xml:space="preserve"> be made in writing</w:t>
      </w:r>
      <w:r w:rsidR="00351B07" w:rsidRPr="007C174F">
        <w:rPr>
          <w:color w:val="000000"/>
          <w:sz w:val="20"/>
          <w:szCs w:val="20"/>
        </w:rPr>
        <w:t>;</w:t>
      </w:r>
      <w:r w:rsidRPr="007C174F">
        <w:rPr>
          <w:color w:val="000000"/>
          <w:sz w:val="20"/>
          <w:szCs w:val="20"/>
        </w:rPr>
        <w:t xml:space="preserve"> be marked </w:t>
      </w:r>
      <w:r w:rsidR="00351B07" w:rsidRPr="007C174F">
        <w:rPr>
          <w:color w:val="000000"/>
          <w:sz w:val="20"/>
          <w:szCs w:val="20"/>
        </w:rPr>
        <w:t xml:space="preserve">clearly </w:t>
      </w:r>
      <w:r w:rsidRPr="007C174F">
        <w:rPr>
          <w:color w:val="000000"/>
          <w:sz w:val="20"/>
          <w:szCs w:val="20"/>
        </w:rPr>
        <w:t>with the word ‘Submission’ and quote the correct project number and name</w:t>
      </w:r>
      <w:r w:rsidR="003309A8">
        <w:rPr>
          <w:color w:val="000000"/>
          <w:sz w:val="20"/>
          <w:szCs w:val="20"/>
        </w:rPr>
        <w:t xml:space="preserve">. </w:t>
      </w:r>
      <w:r w:rsidRPr="007C174F">
        <w:rPr>
          <w:color w:val="000000"/>
          <w:sz w:val="20"/>
          <w:szCs w:val="20"/>
        </w:rPr>
        <w:t xml:space="preserve">While FSANZ accepts submissions in hard copy to our offices, it is more convenient and quicker to receive submissions electronically through the FSANZ website </w:t>
      </w:r>
      <w:r w:rsidR="0037520F">
        <w:rPr>
          <w:color w:val="000000"/>
          <w:sz w:val="20"/>
          <w:szCs w:val="20"/>
        </w:rPr>
        <w:t xml:space="preserve">via the link on </w:t>
      </w:r>
      <w:hyperlink r:id="rId12" w:history="1">
        <w:r w:rsidR="004A3685">
          <w:rPr>
            <w:rStyle w:val="Hyperlink"/>
            <w:sz w:val="20"/>
            <w:szCs w:val="20"/>
          </w:rPr>
          <w:t>documents for public c</w:t>
        </w:r>
        <w:r w:rsidR="00FF598D">
          <w:rPr>
            <w:rStyle w:val="Hyperlink"/>
            <w:sz w:val="20"/>
            <w:szCs w:val="20"/>
          </w:rPr>
          <w:t>o</w:t>
        </w:r>
        <w:r w:rsidR="004A3685">
          <w:rPr>
            <w:rStyle w:val="Hyperlink"/>
            <w:sz w:val="20"/>
            <w:szCs w:val="20"/>
          </w:rPr>
          <w:t>mment</w:t>
        </w:r>
      </w:hyperlink>
      <w:r w:rsidR="003309A8">
        <w:rPr>
          <w:color w:val="000000"/>
          <w:sz w:val="20"/>
          <w:szCs w:val="20"/>
        </w:rPr>
        <w:t>.</w:t>
      </w:r>
      <w:r w:rsidR="0037520F">
        <w:rPr>
          <w:color w:val="000000"/>
          <w:sz w:val="20"/>
          <w:szCs w:val="20"/>
        </w:rPr>
        <w:t xml:space="preserve"> You can also</w:t>
      </w:r>
      <w:r w:rsidRPr="007C174F">
        <w:rPr>
          <w:color w:val="000000"/>
          <w:sz w:val="20"/>
          <w:szCs w:val="20"/>
        </w:rPr>
        <w:t xml:space="preserve"> email your submission directly to </w:t>
      </w:r>
      <w:hyperlink r:id="rId13" w:history="1">
        <w:r w:rsidRPr="007C174F">
          <w:rPr>
            <w:rStyle w:val="Hyperlink"/>
            <w:rFonts w:cs="Arial"/>
            <w:sz w:val="20"/>
            <w:szCs w:val="20"/>
          </w:rPr>
          <w:t>submissions@foodstandards.gov.au</w:t>
        </w:r>
      </w:hyperlink>
      <w:r w:rsidR="003309A8">
        <w:rPr>
          <w:color w:val="000000"/>
          <w:sz w:val="20"/>
          <w:szCs w:val="20"/>
        </w:rPr>
        <w:t xml:space="preserve">. </w:t>
      </w:r>
    </w:p>
    <w:p w:rsidR="00E203C2" w:rsidRPr="007C174F" w:rsidRDefault="00E203C2" w:rsidP="00E203C2">
      <w:pPr>
        <w:rPr>
          <w:color w:val="000000"/>
          <w:sz w:val="20"/>
          <w:szCs w:val="20"/>
        </w:rPr>
      </w:pPr>
    </w:p>
    <w:p w:rsidR="00E063C6" w:rsidRPr="007C174F" w:rsidRDefault="00E063C6" w:rsidP="00E203C2">
      <w:pPr>
        <w:rPr>
          <w:color w:val="000000"/>
          <w:sz w:val="20"/>
          <w:szCs w:val="20"/>
        </w:rPr>
      </w:pPr>
      <w:r w:rsidRPr="007C174F">
        <w:rPr>
          <w:color w:val="000000"/>
          <w:sz w:val="20"/>
          <w:szCs w:val="20"/>
        </w:rPr>
        <w:t xml:space="preserve">There is no need to send a hard copy of your submission if you have submitted it by email or </w:t>
      </w:r>
      <w:r w:rsidR="0037520F">
        <w:rPr>
          <w:color w:val="000000"/>
          <w:sz w:val="20"/>
          <w:szCs w:val="20"/>
        </w:rPr>
        <w:t xml:space="preserve">via </w:t>
      </w:r>
      <w:r w:rsidRPr="007C174F">
        <w:rPr>
          <w:color w:val="000000"/>
          <w:sz w:val="20"/>
          <w:szCs w:val="20"/>
        </w:rPr>
        <w:t>the FSANZ website</w:t>
      </w:r>
      <w:r w:rsidR="003309A8">
        <w:rPr>
          <w:color w:val="000000"/>
          <w:sz w:val="20"/>
          <w:szCs w:val="20"/>
        </w:rPr>
        <w:t xml:space="preserve">. </w:t>
      </w:r>
      <w:r w:rsidRPr="007C174F">
        <w:rPr>
          <w:color w:val="000000"/>
          <w:sz w:val="20"/>
          <w:szCs w:val="20"/>
        </w:rPr>
        <w:t>FSANZ endeavours to formally acknowledge receipt of submissions within 3 business days.</w:t>
      </w:r>
    </w:p>
    <w:p w:rsidR="00E203C2" w:rsidRPr="00E063C6" w:rsidRDefault="00E203C2" w:rsidP="00E203C2">
      <w:pPr>
        <w:rPr>
          <w:color w:val="000000"/>
        </w:rPr>
      </w:pPr>
    </w:p>
    <w:p w:rsidR="00E063C6" w:rsidRPr="005D5CF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10450C">
        <w:rPr>
          <w:rFonts w:cs="Arial"/>
          <w:b/>
          <w:bCs/>
          <w:sz w:val="24"/>
        </w:rPr>
        <w:t>10 January 2014</w:t>
      </w:r>
    </w:p>
    <w:p w:rsidR="00E203C2" w:rsidRPr="005D5CF1" w:rsidRDefault="00E203C2" w:rsidP="00E203C2">
      <w:pPr>
        <w:rPr>
          <w:sz w:val="18"/>
          <w:szCs w:val="20"/>
        </w:rPr>
      </w:pPr>
    </w:p>
    <w:p w:rsidR="00E063C6" w:rsidRPr="005D5CF1" w:rsidRDefault="00E063C6" w:rsidP="00E203C2">
      <w:pPr>
        <w:rPr>
          <w:sz w:val="18"/>
          <w:szCs w:val="20"/>
        </w:rPr>
      </w:pPr>
      <w:r w:rsidRPr="005D5CF1">
        <w:rPr>
          <w:sz w:val="18"/>
          <w:szCs w:val="20"/>
        </w:rPr>
        <w:t xml:space="preserve">Submissions received after this date will </w:t>
      </w:r>
      <w:r w:rsidR="00351B07" w:rsidRPr="005D5CF1">
        <w:rPr>
          <w:sz w:val="18"/>
          <w:szCs w:val="20"/>
        </w:rPr>
        <w:t>not</w:t>
      </w:r>
      <w:r w:rsidRPr="005D5CF1">
        <w:rPr>
          <w:sz w:val="18"/>
          <w:szCs w:val="20"/>
        </w:rPr>
        <w:t xml:space="preserve"> be considered </w:t>
      </w:r>
      <w:r w:rsidR="00351B07" w:rsidRPr="005D5CF1">
        <w:rPr>
          <w:sz w:val="18"/>
          <w:szCs w:val="20"/>
        </w:rPr>
        <w:t>unless</w:t>
      </w:r>
      <w:r w:rsidRPr="005D5CF1">
        <w:rPr>
          <w:sz w:val="18"/>
          <w:szCs w:val="20"/>
        </w:rPr>
        <w:t xml:space="preserve"> an extension ha</w:t>
      </w:r>
      <w:r w:rsidR="00D22F3C" w:rsidRPr="005D5CF1">
        <w:rPr>
          <w:sz w:val="18"/>
          <w:szCs w:val="20"/>
        </w:rPr>
        <w:t>d</w:t>
      </w:r>
      <w:r w:rsidRPr="005D5CF1">
        <w:rPr>
          <w:sz w:val="18"/>
          <w:szCs w:val="20"/>
        </w:rPr>
        <w:t xml:space="preserve"> been given </w:t>
      </w:r>
      <w:r w:rsidR="0037520F" w:rsidRPr="005D5CF1">
        <w:rPr>
          <w:sz w:val="18"/>
          <w:szCs w:val="20"/>
        </w:rPr>
        <w:t xml:space="preserve">before </w:t>
      </w:r>
      <w:r w:rsidRPr="005D5CF1">
        <w:rPr>
          <w:sz w:val="18"/>
          <w:szCs w:val="20"/>
        </w:rPr>
        <w:t>th</w:t>
      </w:r>
      <w:r w:rsidR="00351B07" w:rsidRPr="005D5CF1">
        <w:rPr>
          <w:sz w:val="18"/>
          <w:szCs w:val="20"/>
        </w:rPr>
        <w:t>e</w:t>
      </w:r>
      <w:r w:rsidRPr="005D5CF1">
        <w:rPr>
          <w:sz w:val="18"/>
          <w:szCs w:val="20"/>
        </w:rPr>
        <w:t xml:space="preserve"> closing date</w:t>
      </w:r>
      <w:r w:rsidR="003309A8" w:rsidRPr="005D5CF1">
        <w:rPr>
          <w:sz w:val="18"/>
          <w:szCs w:val="20"/>
        </w:rPr>
        <w:t xml:space="preserve">. </w:t>
      </w:r>
      <w:r w:rsidR="0037520F" w:rsidRPr="005D5CF1">
        <w:rPr>
          <w:sz w:val="18"/>
          <w:szCs w:val="20"/>
        </w:rPr>
        <w:t xml:space="preserve">Extensions will only be granted due to </w:t>
      </w:r>
      <w:r w:rsidRPr="005D5CF1">
        <w:rPr>
          <w:sz w:val="18"/>
          <w:szCs w:val="20"/>
        </w:rPr>
        <w:t xml:space="preserve">extraordinary circumstances </w:t>
      </w:r>
      <w:r w:rsidR="0037520F" w:rsidRPr="005D5CF1">
        <w:rPr>
          <w:sz w:val="18"/>
          <w:szCs w:val="20"/>
        </w:rPr>
        <w:t xml:space="preserve">during the </w:t>
      </w:r>
      <w:r w:rsidRPr="005D5CF1">
        <w:rPr>
          <w:sz w:val="18"/>
          <w:szCs w:val="20"/>
        </w:rPr>
        <w:t>submission period</w:t>
      </w:r>
      <w:r w:rsidR="003309A8" w:rsidRPr="005D5CF1">
        <w:rPr>
          <w:sz w:val="18"/>
          <w:szCs w:val="20"/>
        </w:rPr>
        <w:t xml:space="preserve">. </w:t>
      </w:r>
      <w:r w:rsidRPr="005D5CF1">
        <w:rPr>
          <w:sz w:val="18"/>
          <w:szCs w:val="20"/>
        </w:rPr>
        <w:t>Any agreed extension will be notified on the FSANZ website and will apply to all submitters.</w:t>
      </w:r>
    </w:p>
    <w:p w:rsidR="00E203C2" w:rsidRPr="005D5CF1" w:rsidRDefault="00E203C2" w:rsidP="00E203C2">
      <w:pPr>
        <w:rPr>
          <w:sz w:val="18"/>
          <w:szCs w:val="20"/>
        </w:rPr>
      </w:pPr>
    </w:p>
    <w:p w:rsidR="00E063C6" w:rsidRPr="005D5CF1" w:rsidRDefault="0037520F" w:rsidP="00E203C2">
      <w:pPr>
        <w:rPr>
          <w:bCs/>
          <w:sz w:val="18"/>
          <w:szCs w:val="20"/>
        </w:rPr>
      </w:pPr>
      <w:r w:rsidRPr="005D5CF1">
        <w:rPr>
          <w:sz w:val="18"/>
          <w:szCs w:val="20"/>
        </w:rPr>
        <w:t>Questions about</w:t>
      </w:r>
      <w:r w:rsidR="00E063C6" w:rsidRPr="005D5CF1">
        <w:rPr>
          <w:sz w:val="18"/>
          <w:szCs w:val="20"/>
        </w:rPr>
        <w:t xml:space="preserve"> making submissions or the application process can be </w:t>
      </w:r>
      <w:r w:rsidRPr="005D5CF1">
        <w:rPr>
          <w:sz w:val="18"/>
          <w:szCs w:val="20"/>
        </w:rPr>
        <w:t>sent to</w:t>
      </w:r>
      <w:r w:rsidR="00E063C6" w:rsidRPr="005D5CF1">
        <w:rPr>
          <w:sz w:val="18"/>
          <w:szCs w:val="20"/>
        </w:rPr>
        <w:t xml:space="preserve"> </w:t>
      </w:r>
      <w:hyperlink r:id="rId14" w:history="1">
        <w:r w:rsidR="00E063C6" w:rsidRPr="005D5CF1">
          <w:rPr>
            <w:rStyle w:val="Hyperlink"/>
            <w:rFonts w:cs="Arial"/>
            <w:sz w:val="18"/>
            <w:szCs w:val="20"/>
          </w:rPr>
          <w:t>standards.management@foodstandards.gov.au</w:t>
        </w:r>
      </w:hyperlink>
      <w:r w:rsidR="00E063C6" w:rsidRPr="005D5CF1">
        <w:rPr>
          <w:sz w:val="18"/>
          <w:szCs w:val="20"/>
        </w:rPr>
        <w:t xml:space="preserve">. </w:t>
      </w:r>
    </w:p>
    <w:p w:rsidR="00E203C2" w:rsidRPr="005D5CF1" w:rsidRDefault="00E203C2" w:rsidP="00E063C6">
      <w:pPr>
        <w:autoSpaceDE w:val="0"/>
        <w:autoSpaceDN w:val="0"/>
        <w:adjustRightInd w:val="0"/>
        <w:spacing w:line="280" w:lineRule="exact"/>
        <w:rPr>
          <w:rFonts w:cs="Arial"/>
          <w:color w:val="000000"/>
          <w:sz w:val="18"/>
          <w:szCs w:val="20"/>
        </w:rPr>
      </w:pPr>
    </w:p>
    <w:p w:rsidR="00E063C6" w:rsidRPr="005D5CF1" w:rsidRDefault="00351B07" w:rsidP="00E203C2">
      <w:pPr>
        <w:rPr>
          <w:sz w:val="18"/>
          <w:szCs w:val="20"/>
        </w:rPr>
      </w:pPr>
      <w:r w:rsidRPr="005D5CF1">
        <w:rPr>
          <w:sz w:val="18"/>
          <w:szCs w:val="20"/>
        </w:rPr>
        <w:t>Hard</w:t>
      </w:r>
      <w:r w:rsidR="00E063C6" w:rsidRPr="005D5CF1">
        <w:rPr>
          <w:sz w:val="18"/>
          <w:szCs w:val="20"/>
        </w:rPr>
        <w:t xml:space="preserve"> copy submissions may be sent to one of the following addresses:</w:t>
      </w:r>
    </w:p>
    <w:p w:rsidR="00E203C2" w:rsidRPr="005D5CF1" w:rsidRDefault="00E203C2" w:rsidP="00E203C2">
      <w:pPr>
        <w:rPr>
          <w:sz w:val="18"/>
          <w:szCs w:val="20"/>
        </w:rPr>
      </w:pPr>
    </w:p>
    <w:p w:rsidR="00E203C2" w:rsidRPr="005D5CF1" w:rsidRDefault="00E063C6" w:rsidP="00E203C2">
      <w:pPr>
        <w:tabs>
          <w:tab w:val="left" w:pos="4536"/>
        </w:tabs>
        <w:rPr>
          <w:sz w:val="18"/>
          <w:szCs w:val="20"/>
        </w:rPr>
      </w:pPr>
      <w:r w:rsidRPr="005D5CF1">
        <w:rPr>
          <w:sz w:val="18"/>
          <w:szCs w:val="20"/>
        </w:rPr>
        <w:t>Food Standards Australia New Zealand</w:t>
      </w:r>
      <w:r w:rsidRPr="005D5CF1">
        <w:rPr>
          <w:sz w:val="18"/>
          <w:szCs w:val="20"/>
        </w:rPr>
        <w:tab/>
      </w:r>
      <w:r w:rsidRPr="005D5CF1">
        <w:rPr>
          <w:sz w:val="18"/>
          <w:szCs w:val="20"/>
        </w:rPr>
        <w:tab/>
        <w:t>Food Standards Australia New Zealand</w:t>
      </w:r>
    </w:p>
    <w:p w:rsidR="00E203C2" w:rsidRPr="005D5CF1" w:rsidRDefault="00E063C6" w:rsidP="00E203C2">
      <w:pPr>
        <w:tabs>
          <w:tab w:val="left" w:pos="4536"/>
        </w:tabs>
        <w:rPr>
          <w:sz w:val="18"/>
          <w:szCs w:val="20"/>
        </w:rPr>
      </w:pPr>
      <w:r w:rsidRPr="005D5CF1">
        <w:rPr>
          <w:sz w:val="18"/>
          <w:szCs w:val="20"/>
        </w:rPr>
        <w:t>PO Box 7186</w:t>
      </w:r>
      <w:r w:rsidRPr="005D5CF1">
        <w:rPr>
          <w:sz w:val="18"/>
          <w:szCs w:val="20"/>
        </w:rPr>
        <w:tab/>
      </w:r>
      <w:r w:rsidRPr="005D5CF1">
        <w:rPr>
          <w:sz w:val="18"/>
          <w:szCs w:val="20"/>
        </w:rPr>
        <w:tab/>
        <w:t>PO Box 10559</w:t>
      </w:r>
    </w:p>
    <w:p w:rsidR="00E203C2" w:rsidRPr="005D5CF1" w:rsidRDefault="00310E84" w:rsidP="00E203C2">
      <w:pPr>
        <w:tabs>
          <w:tab w:val="left" w:pos="4536"/>
        </w:tabs>
        <w:rPr>
          <w:sz w:val="18"/>
          <w:szCs w:val="20"/>
        </w:rPr>
      </w:pPr>
      <w:r w:rsidRPr="005D5CF1">
        <w:rPr>
          <w:sz w:val="18"/>
          <w:szCs w:val="20"/>
        </w:rPr>
        <w:t>CANBERRA</w:t>
      </w:r>
      <w:r w:rsidR="00E063C6" w:rsidRPr="005D5CF1">
        <w:rPr>
          <w:sz w:val="18"/>
          <w:szCs w:val="20"/>
        </w:rPr>
        <w:t xml:space="preserve"> </w:t>
      </w:r>
      <w:proofErr w:type="gramStart"/>
      <w:r w:rsidR="00E063C6" w:rsidRPr="005D5CF1">
        <w:rPr>
          <w:sz w:val="18"/>
          <w:szCs w:val="20"/>
        </w:rPr>
        <w:t xml:space="preserve">BC </w:t>
      </w:r>
      <w:r w:rsidR="0037520F" w:rsidRPr="005D5CF1">
        <w:rPr>
          <w:sz w:val="18"/>
          <w:szCs w:val="20"/>
        </w:rPr>
        <w:t xml:space="preserve"> </w:t>
      </w:r>
      <w:r w:rsidR="00E063C6" w:rsidRPr="005D5CF1">
        <w:rPr>
          <w:sz w:val="18"/>
          <w:szCs w:val="20"/>
        </w:rPr>
        <w:t>ACT</w:t>
      </w:r>
      <w:proofErr w:type="gramEnd"/>
      <w:r w:rsidR="0037520F" w:rsidRPr="005D5CF1">
        <w:rPr>
          <w:sz w:val="18"/>
          <w:szCs w:val="20"/>
        </w:rPr>
        <w:t xml:space="preserve"> </w:t>
      </w:r>
      <w:r w:rsidR="00E063C6" w:rsidRPr="005D5CF1">
        <w:rPr>
          <w:sz w:val="18"/>
          <w:szCs w:val="20"/>
        </w:rPr>
        <w:t xml:space="preserve"> 2610</w:t>
      </w:r>
      <w:r w:rsidR="00E063C6" w:rsidRPr="005D5CF1">
        <w:rPr>
          <w:sz w:val="18"/>
          <w:szCs w:val="20"/>
        </w:rPr>
        <w:tab/>
      </w:r>
      <w:r w:rsidR="00E063C6" w:rsidRPr="005D5CF1">
        <w:rPr>
          <w:sz w:val="18"/>
          <w:szCs w:val="20"/>
        </w:rPr>
        <w:tab/>
        <w:t>The Terrace WELLINGTON 6143</w:t>
      </w:r>
    </w:p>
    <w:p w:rsidR="00E063C6" w:rsidRPr="005D5CF1" w:rsidRDefault="00E063C6" w:rsidP="00E203C2">
      <w:pPr>
        <w:tabs>
          <w:tab w:val="left" w:pos="4536"/>
        </w:tabs>
        <w:rPr>
          <w:sz w:val="18"/>
          <w:szCs w:val="20"/>
        </w:rPr>
      </w:pPr>
      <w:r w:rsidRPr="005D5CF1">
        <w:rPr>
          <w:sz w:val="18"/>
          <w:szCs w:val="20"/>
        </w:rPr>
        <w:t>AUSTRALIA</w:t>
      </w:r>
      <w:r w:rsidRPr="005D5CF1">
        <w:rPr>
          <w:sz w:val="18"/>
          <w:szCs w:val="20"/>
        </w:rPr>
        <w:tab/>
      </w:r>
      <w:r w:rsidRPr="005D5CF1">
        <w:rPr>
          <w:sz w:val="18"/>
          <w:szCs w:val="20"/>
        </w:rPr>
        <w:tab/>
        <w:t>NEW ZEALAND</w:t>
      </w:r>
    </w:p>
    <w:p w:rsidR="00D22F3C" w:rsidRPr="007C174F" w:rsidRDefault="00E063C6" w:rsidP="00203540">
      <w:pPr>
        <w:tabs>
          <w:tab w:val="left" w:pos="4536"/>
        </w:tabs>
        <w:rPr>
          <w:rFonts w:cs="Arial"/>
          <w:bCs/>
          <w:color w:val="FF0000"/>
          <w:sz w:val="20"/>
          <w:szCs w:val="20"/>
        </w:rPr>
      </w:pPr>
      <w:r w:rsidRPr="005D5CF1">
        <w:rPr>
          <w:sz w:val="18"/>
          <w:szCs w:val="20"/>
        </w:rPr>
        <w:t xml:space="preserve">Tel </w:t>
      </w:r>
      <w:r w:rsidR="00DD3C5E" w:rsidRPr="005D5CF1">
        <w:rPr>
          <w:sz w:val="18"/>
          <w:szCs w:val="20"/>
        </w:rPr>
        <w:t>+61 2</w:t>
      </w:r>
      <w:r w:rsidRPr="005D5CF1">
        <w:rPr>
          <w:sz w:val="18"/>
          <w:szCs w:val="20"/>
        </w:rPr>
        <w:t xml:space="preserve"> 6271 2222  </w:t>
      </w:r>
      <w:r w:rsidRPr="005D5CF1">
        <w:rPr>
          <w:sz w:val="18"/>
          <w:szCs w:val="20"/>
        </w:rPr>
        <w:tab/>
      </w:r>
      <w:r w:rsidRPr="005D5CF1">
        <w:rPr>
          <w:sz w:val="18"/>
          <w:szCs w:val="20"/>
        </w:rPr>
        <w:tab/>
        <w:t xml:space="preserve">Tel </w:t>
      </w:r>
      <w:r w:rsidR="00DD3C5E" w:rsidRPr="005D5CF1">
        <w:rPr>
          <w:sz w:val="18"/>
          <w:szCs w:val="20"/>
        </w:rPr>
        <w:t>+64 4</w:t>
      </w:r>
      <w:r w:rsidR="0037520F" w:rsidRPr="005D5CF1">
        <w:rPr>
          <w:sz w:val="18"/>
          <w:szCs w:val="20"/>
        </w:rPr>
        <w:t xml:space="preserve"> 978 5630</w:t>
      </w:r>
    </w:p>
    <w:p w:rsidR="00413CA8" w:rsidRDefault="00413CA8" w:rsidP="00E203C2">
      <w:pPr>
        <w:spacing w:line="280" w:lineRule="exact"/>
        <w:jc w:val="center"/>
        <w:rPr>
          <w:rFonts w:cs="Arial"/>
          <w:bCs/>
          <w:sz w:val="28"/>
          <w:szCs w:val="28"/>
        </w:rPr>
        <w:sectPr w:rsidR="00413CA8" w:rsidSect="00A401B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C60936" w:rsidRDefault="00051ED9">
      <w:pPr>
        <w:pStyle w:val="TOC1"/>
        <w:tabs>
          <w:tab w:val="right" w:leader="dot" w:pos="9016"/>
        </w:tabs>
        <w:rPr>
          <w:rFonts w:eastAsiaTheme="minorEastAsia" w:cstheme="minorBidi"/>
          <w:b w:val="0"/>
          <w:bCs w:val="0"/>
          <w:caps w:val="0"/>
          <w:noProof/>
          <w:sz w:val="22"/>
          <w:szCs w:val="22"/>
          <w:lang w:val="en-GB" w:eastAsia="en-GB"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71585202" w:history="1">
        <w:r w:rsidR="00C60936" w:rsidRPr="005D3187">
          <w:rPr>
            <w:rStyle w:val="Hyperlink"/>
            <w:noProof/>
          </w:rPr>
          <w:t>Executive summary</w:t>
        </w:r>
        <w:r w:rsidR="00C60936">
          <w:rPr>
            <w:noProof/>
            <w:webHidden/>
          </w:rPr>
          <w:tab/>
        </w:r>
        <w:r w:rsidR="00C60936">
          <w:rPr>
            <w:noProof/>
            <w:webHidden/>
          </w:rPr>
          <w:fldChar w:fldCharType="begin"/>
        </w:r>
        <w:r w:rsidR="00C60936">
          <w:rPr>
            <w:noProof/>
            <w:webHidden/>
          </w:rPr>
          <w:instrText xml:space="preserve"> PAGEREF _Toc371585202 \h </w:instrText>
        </w:r>
        <w:r w:rsidR="00C60936">
          <w:rPr>
            <w:noProof/>
            <w:webHidden/>
          </w:rPr>
        </w:r>
        <w:r w:rsidR="00C60936">
          <w:rPr>
            <w:noProof/>
            <w:webHidden/>
          </w:rPr>
          <w:fldChar w:fldCharType="separate"/>
        </w:r>
        <w:r w:rsidR="00856C43">
          <w:rPr>
            <w:noProof/>
            <w:webHidden/>
          </w:rPr>
          <w:t>2</w:t>
        </w:r>
        <w:r w:rsidR="00C60936">
          <w:rPr>
            <w:noProof/>
            <w:webHidden/>
          </w:rPr>
          <w:fldChar w:fldCharType="end"/>
        </w:r>
      </w:hyperlink>
    </w:p>
    <w:p w:rsidR="00C60936" w:rsidRDefault="00856C43">
      <w:pPr>
        <w:pStyle w:val="TOC1"/>
        <w:tabs>
          <w:tab w:val="left" w:pos="440"/>
          <w:tab w:val="right" w:leader="dot" w:pos="9016"/>
        </w:tabs>
        <w:rPr>
          <w:rFonts w:eastAsiaTheme="minorEastAsia" w:cstheme="minorBidi"/>
          <w:b w:val="0"/>
          <w:bCs w:val="0"/>
          <w:caps w:val="0"/>
          <w:noProof/>
          <w:sz w:val="22"/>
          <w:szCs w:val="22"/>
          <w:lang w:val="en-GB" w:eastAsia="en-GB" w:bidi="ar-SA"/>
        </w:rPr>
      </w:pPr>
      <w:hyperlink w:anchor="_Toc371585203" w:history="1">
        <w:r w:rsidR="00C60936" w:rsidRPr="005D3187">
          <w:rPr>
            <w:rStyle w:val="Hyperlink"/>
            <w:noProof/>
          </w:rPr>
          <w:t>1.</w:t>
        </w:r>
        <w:r w:rsidR="00C60936">
          <w:rPr>
            <w:rFonts w:eastAsiaTheme="minorEastAsia" w:cstheme="minorBidi"/>
            <w:b w:val="0"/>
            <w:bCs w:val="0"/>
            <w:caps w:val="0"/>
            <w:noProof/>
            <w:sz w:val="22"/>
            <w:szCs w:val="22"/>
            <w:lang w:val="en-GB" w:eastAsia="en-GB" w:bidi="ar-SA"/>
          </w:rPr>
          <w:tab/>
        </w:r>
        <w:r w:rsidR="00C60936" w:rsidRPr="005D3187">
          <w:rPr>
            <w:rStyle w:val="Hyperlink"/>
            <w:noProof/>
          </w:rPr>
          <w:t>Introduction</w:t>
        </w:r>
        <w:r w:rsidR="00C60936">
          <w:rPr>
            <w:noProof/>
            <w:webHidden/>
          </w:rPr>
          <w:tab/>
        </w:r>
        <w:r w:rsidR="00C60936">
          <w:rPr>
            <w:noProof/>
            <w:webHidden/>
          </w:rPr>
          <w:fldChar w:fldCharType="begin"/>
        </w:r>
        <w:r w:rsidR="00C60936">
          <w:rPr>
            <w:noProof/>
            <w:webHidden/>
          </w:rPr>
          <w:instrText xml:space="preserve"> PAGEREF _Toc371585203 \h </w:instrText>
        </w:r>
        <w:r w:rsidR="00C60936">
          <w:rPr>
            <w:noProof/>
            <w:webHidden/>
          </w:rPr>
        </w:r>
        <w:r w:rsidR="00C60936">
          <w:rPr>
            <w:noProof/>
            <w:webHidden/>
          </w:rPr>
          <w:fldChar w:fldCharType="separate"/>
        </w:r>
        <w:r>
          <w:rPr>
            <w:noProof/>
            <w:webHidden/>
          </w:rPr>
          <w:t>4</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04" w:history="1">
        <w:r w:rsidR="00C60936" w:rsidRPr="005D3187">
          <w:rPr>
            <w:rStyle w:val="Hyperlink"/>
            <w:noProof/>
          </w:rPr>
          <w:t>1.1</w:t>
        </w:r>
        <w:r w:rsidR="00C60936">
          <w:rPr>
            <w:rFonts w:eastAsiaTheme="minorEastAsia" w:cstheme="minorBidi"/>
            <w:smallCaps w:val="0"/>
            <w:noProof/>
            <w:sz w:val="22"/>
            <w:szCs w:val="22"/>
            <w:lang w:val="en-GB" w:eastAsia="en-GB" w:bidi="ar-SA"/>
          </w:rPr>
          <w:tab/>
        </w:r>
        <w:r w:rsidR="00C60936" w:rsidRPr="005D3187">
          <w:rPr>
            <w:rStyle w:val="Hyperlink"/>
            <w:noProof/>
          </w:rPr>
          <w:t>The Proposal</w:t>
        </w:r>
        <w:r w:rsidR="00C60936">
          <w:rPr>
            <w:noProof/>
            <w:webHidden/>
          </w:rPr>
          <w:tab/>
        </w:r>
        <w:r w:rsidR="00C60936">
          <w:rPr>
            <w:noProof/>
            <w:webHidden/>
          </w:rPr>
          <w:fldChar w:fldCharType="begin"/>
        </w:r>
        <w:r w:rsidR="00C60936">
          <w:rPr>
            <w:noProof/>
            <w:webHidden/>
          </w:rPr>
          <w:instrText xml:space="preserve"> PAGEREF _Toc371585204 \h </w:instrText>
        </w:r>
        <w:r w:rsidR="00C60936">
          <w:rPr>
            <w:noProof/>
            <w:webHidden/>
          </w:rPr>
        </w:r>
        <w:r w:rsidR="00C60936">
          <w:rPr>
            <w:noProof/>
            <w:webHidden/>
          </w:rPr>
          <w:fldChar w:fldCharType="separate"/>
        </w:r>
        <w:r>
          <w:rPr>
            <w:noProof/>
            <w:webHidden/>
          </w:rPr>
          <w:t>5</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05" w:history="1">
        <w:r w:rsidR="00C60936" w:rsidRPr="005D3187">
          <w:rPr>
            <w:rStyle w:val="Hyperlink"/>
            <w:noProof/>
          </w:rPr>
          <w:t>1.2</w:t>
        </w:r>
        <w:r w:rsidR="00C60936">
          <w:rPr>
            <w:rFonts w:eastAsiaTheme="minorEastAsia" w:cstheme="minorBidi"/>
            <w:smallCaps w:val="0"/>
            <w:noProof/>
            <w:sz w:val="22"/>
            <w:szCs w:val="22"/>
            <w:lang w:val="en-GB" w:eastAsia="en-GB" w:bidi="ar-SA"/>
          </w:rPr>
          <w:tab/>
        </w:r>
        <w:r w:rsidR="00C60936" w:rsidRPr="005D3187">
          <w:rPr>
            <w:rStyle w:val="Hyperlink"/>
            <w:noProof/>
          </w:rPr>
          <w:t>The current Standard</w:t>
        </w:r>
        <w:r w:rsidR="00C60936">
          <w:rPr>
            <w:noProof/>
            <w:webHidden/>
          </w:rPr>
          <w:tab/>
        </w:r>
        <w:r w:rsidR="00C60936">
          <w:rPr>
            <w:noProof/>
            <w:webHidden/>
          </w:rPr>
          <w:fldChar w:fldCharType="begin"/>
        </w:r>
        <w:r w:rsidR="00C60936">
          <w:rPr>
            <w:noProof/>
            <w:webHidden/>
          </w:rPr>
          <w:instrText xml:space="preserve"> PAGEREF _Toc371585205 \h </w:instrText>
        </w:r>
        <w:r w:rsidR="00C60936">
          <w:rPr>
            <w:noProof/>
            <w:webHidden/>
          </w:rPr>
        </w:r>
        <w:r w:rsidR="00C60936">
          <w:rPr>
            <w:noProof/>
            <w:webHidden/>
          </w:rPr>
          <w:fldChar w:fldCharType="separate"/>
        </w:r>
        <w:r>
          <w:rPr>
            <w:noProof/>
            <w:webHidden/>
          </w:rPr>
          <w:t>5</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06" w:history="1">
        <w:r w:rsidR="00C60936" w:rsidRPr="005D3187">
          <w:rPr>
            <w:rStyle w:val="Hyperlink"/>
            <w:noProof/>
          </w:rPr>
          <w:t>1.2.1</w:t>
        </w:r>
        <w:r w:rsidR="00C60936">
          <w:rPr>
            <w:rFonts w:eastAsiaTheme="minorEastAsia" w:cstheme="minorBidi"/>
            <w:i w:val="0"/>
            <w:iCs w:val="0"/>
            <w:noProof/>
            <w:sz w:val="22"/>
            <w:szCs w:val="22"/>
            <w:lang w:val="en-GB" w:eastAsia="en-GB" w:bidi="ar-SA"/>
          </w:rPr>
          <w:tab/>
        </w:r>
        <w:r w:rsidR="00C60936" w:rsidRPr="005D3187">
          <w:rPr>
            <w:rStyle w:val="Hyperlink"/>
            <w:noProof/>
          </w:rPr>
          <w:t>Guidance documents</w:t>
        </w:r>
        <w:r w:rsidR="00C60936">
          <w:rPr>
            <w:noProof/>
            <w:webHidden/>
          </w:rPr>
          <w:tab/>
        </w:r>
        <w:r w:rsidR="00C60936">
          <w:rPr>
            <w:noProof/>
            <w:webHidden/>
          </w:rPr>
          <w:fldChar w:fldCharType="begin"/>
        </w:r>
        <w:r w:rsidR="00C60936">
          <w:rPr>
            <w:noProof/>
            <w:webHidden/>
          </w:rPr>
          <w:instrText xml:space="preserve"> PAGEREF _Toc371585206 \h </w:instrText>
        </w:r>
        <w:r w:rsidR="00C60936">
          <w:rPr>
            <w:noProof/>
            <w:webHidden/>
          </w:rPr>
        </w:r>
        <w:r w:rsidR="00C60936">
          <w:rPr>
            <w:noProof/>
            <w:webHidden/>
          </w:rPr>
          <w:fldChar w:fldCharType="separate"/>
        </w:r>
        <w:r>
          <w:rPr>
            <w:noProof/>
            <w:webHidden/>
          </w:rPr>
          <w:t>5</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07" w:history="1">
        <w:r w:rsidR="00C60936" w:rsidRPr="005D3187">
          <w:rPr>
            <w:rStyle w:val="Hyperlink"/>
            <w:noProof/>
            <w:u w:color="FFFF00"/>
          </w:rPr>
          <w:t>1.4</w:t>
        </w:r>
        <w:r w:rsidR="00C60936">
          <w:rPr>
            <w:rFonts w:eastAsiaTheme="minorEastAsia" w:cstheme="minorBidi"/>
            <w:smallCaps w:val="0"/>
            <w:noProof/>
            <w:sz w:val="22"/>
            <w:szCs w:val="22"/>
            <w:lang w:val="en-GB" w:eastAsia="en-GB" w:bidi="ar-SA"/>
          </w:rPr>
          <w:tab/>
        </w:r>
        <w:r w:rsidR="00C60936" w:rsidRPr="005D3187">
          <w:rPr>
            <w:rStyle w:val="Hyperlink"/>
            <w:noProof/>
            <w:u w:color="FFFF00"/>
          </w:rPr>
          <w:t xml:space="preserve">Reasons for </w:t>
        </w:r>
        <w:r w:rsidR="00C60936" w:rsidRPr="005D3187">
          <w:rPr>
            <w:rStyle w:val="Hyperlink"/>
            <w:noProof/>
          </w:rPr>
          <w:t>preparing the Proposal</w:t>
        </w:r>
        <w:r w:rsidR="00C60936">
          <w:rPr>
            <w:noProof/>
            <w:webHidden/>
          </w:rPr>
          <w:tab/>
        </w:r>
        <w:r w:rsidR="00C60936">
          <w:rPr>
            <w:noProof/>
            <w:webHidden/>
          </w:rPr>
          <w:fldChar w:fldCharType="begin"/>
        </w:r>
        <w:r w:rsidR="00C60936">
          <w:rPr>
            <w:noProof/>
            <w:webHidden/>
          </w:rPr>
          <w:instrText xml:space="preserve"> PAGEREF _Toc371585207 \h </w:instrText>
        </w:r>
        <w:r w:rsidR="00C60936">
          <w:rPr>
            <w:noProof/>
            <w:webHidden/>
          </w:rPr>
        </w:r>
        <w:r w:rsidR="00C60936">
          <w:rPr>
            <w:noProof/>
            <w:webHidden/>
          </w:rPr>
          <w:fldChar w:fldCharType="separate"/>
        </w:r>
        <w:r>
          <w:rPr>
            <w:noProof/>
            <w:webHidden/>
          </w:rPr>
          <w:t>5</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08" w:history="1">
        <w:r w:rsidR="00C60936" w:rsidRPr="005D3187">
          <w:rPr>
            <w:rStyle w:val="Hyperlink"/>
            <w:noProof/>
          </w:rPr>
          <w:t>1.5</w:t>
        </w:r>
        <w:r w:rsidR="00C60936">
          <w:rPr>
            <w:rFonts w:eastAsiaTheme="minorEastAsia" w:cstheme="minorBidi"/>
            <w:smallCaps w:val="0"/>
            <w:noProof/>
            <w:sz w:val="22"/>
            <w:szCs w:val="22"/>
            <w:lang w:val="en-GB" w:eastAsia="en-GB" w:bidi="ar-SA"/>
          </w:rPr>
          <w:tab/>
        </w:r>
        <w:r w:rsidR="00C60936" w:rsidRPr="005D3187">
          <w:rPr>
            <w:rStyle w:val="Hyperlink"/>
            <w:noProof/>
          </w:rPr>
          <w:t>Procedure for assessment</w:t>
        </w:r>
        <w:r w:rsidR="00C60936">
          <w:rPr>
            <w:noProof/>
            <w:webHidden/>
          </w:rPr>
          <w:tab/>
        </w:r>
        <w:r w:rsidR="00C60936">
          <w:rPr>
            <w:noProof/>
            <w:webHidden/>
          </w:rPr>
          <w:fldChar w:fldCharType="begin"/>
        </w:r>
        <w:r w:rsidR="00C60936">
          <w:rPr>
            <w:noProof/>
            <w:webHidden/>
          </w:rPr>
          <w:instrText xml:space="preserve"> PAGEREF _Toc371585208 \h </w:instrText>
        </w:r>
        <w:r w:rsidR="00C60936">
          <w:rPr>
            <w:noProof/>
            <w:webHidden/>
          </w:rPr>
        </w:r>
        <w:r w:rsidR="00C60936">
          <w:rPr>
            <w:noProof/>
            <w:webHidden/>
          </w:rPr>
          <w:fldChar w:fldCharType="separate"/>
        </w:r>
        <w:r>
          <w:rPr>
            <w:noProof/>
            <w:webHidden/>
          </w:rPr>
          <w:t>6</w:t>
        </w:r>
        <w:r w:rsidR="00C60936">
          <w:rPr>
            <w:noProof/>
            <w:webHidden/>
          </w:rPr>
          <w:fldChar w:fldCharType="end"/>
        </w:r>
      </w:hyperlink>
    </w:p>
    <w:p w:rsidR="00C60936" w:rsidRDefault="00856C43">
      <w:pPr>
        <w:pStyle w:val="TOC1"/>
        <w:tabs>
          <w:tab w:val="left" w:pos="440"/>
          <w:tab w:val="right" w:leader="dot" w:pos="9016"/>
        </w:tabs>
        <w:rPr>
          <w:rFonts w:eastAsiaTheme="minorEastAsia" w:cstheme="minorBidi"/>
          <w:b w:val="0"/>
          <w:bCs w:val="0"/>
          <w:caps w:val="0"/>
          <w:noProof/>
          <w:sz w:val="22"/>
          <w:szCs w:val="22"/>
          <w:lang w:val="en-GB" w:eastAsia="en-GB" w:bidi="ar-SA"/>
        </w:rPr>
      </w:pPr>
      <w:hyperlink w:anchor="_Toc371585209" w:history="1">
        <w:r w:rsidR="00C60936" w:rsidRPr="005D3187">
          <w:rPr>
            <w:rStyle w:val="Hyperlink"/>
            <w:noProof/>
          </w:rPr>
          <w:t>2.</w:t>
        </w:r>
        <w:r w:rsidR="00C60936">
          <w:rPr>
            <w:rFonts w:eastAsiaTheme="minorEastAsia" w:cstheme="minorBidi"/>
            <w:b w:val="0"/>
            <w:bCs w:val="0"/>
            <w:caps w:val="0"/>
            <w:noProof/>
            <w:sz w:val="22"/>
            <w:szCs w:val="22"/>
            <w:lang w:val="en-GB" w:eastAsia="en-GB" w:bidi="ar-SA"/>
          </w:rPr>
          <w:tab/>
        </w:r>
        <w:r w:rsidR="00C60936" w:rsidRPr="005D3187">
          <w:rPr>
            <w:rStyle w:val="Hyperlink"/>
            <w:noProof/>
          </w:rPr>
          <w:t>Summary of the assessment</w:t>
        </w:r>
        <w:r w:rsidR="00C60936">
          <w:rPr>
            <w:noProof/>
            <w:webHidden/>
          </w:rPr>
          <w:tab/>
        </w:r>
        <w:r w:rsidR="00C60936">
          <w:rPr>
            <w:noProof/>
            <w:webHidden/>
          </w:rPr>
          <w:fldChar w:fldCharType="begin"/>
        </w:r>
        <w:r w:rsidR="00C60936">
          <w:rPr>
            <w:noProof/>
            <w:webHidden/>
          </w:rPr>
          <w:instrText xml:space="preserve"> PAGEREF _Toc371585209 \h </w:instrText>
        </w:r>
        <w:r w:rsidR="00C60936">
          <w:rPr>
            <w:noProof/>
            <w:webHidden/>
          </w:rPr>
        </w:r>
        <w:r w:rsidR="00C60936">
          <w:rPr>
            <w:noProof/>
            <w:webHidden/>
          </w:rPr>
          <w:fldChar w:fldCharType="separate"/>
        </w:r>
        <w:r>
          <w:rPr>
            <w:noProof/>
            <w:webHidden/>
          </w:rPr>
          <w:t>6</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10" w:history="1">
        <w:r w:rsidR="00C60936" w:rsidRPr="005D3187">
          <w:rPr>
            <w:rStyle w:val="Hyperlink"/>
            <w:noProof/>
          </w:rPr>
          <w:t>2.1</w:t>
        </w:r>
        <w:r w:rsidR="00C60936">
          <w:rPr>
            <w:rFonts w:eastAsiaTheme="minorEastAsia" w:cstheme="minorBidi"/>
            <w:smallCaps w:val="0"/>
            <w:noProof/>
            <w:sz w:val="22"/>
            <w:szCs w:val="22"/>
            <w:lang w:val="en-GB" w:eastAsia="en-GB" w:bidi="ar-SA"/>
          </w:rPr>
          <w:tab/>
        </w:r>
        <w:r w:rsidR="00C60936" w:rsidRPr="005D3187">
          <w:rPr>
            <w:rStyle w:val="Hyperlink"/>
            <w:noProof/>
          </w:rPr>
          <w:t>Summary of issues raised in submissions</w:t>
        </w:r>
        <w:r w:rsidR="00C60936">
          <w:rPr>
            <w:noProof/>
            <w:webHidden/>
          </w:rPr>
          <w:tab/>
        </w:r>
        <w:r w:rsidR="00C60936">
          <w:rPr>
            <w:noProof/>
            <w:webHidden/>
          </w:rPr>
          <w:fldChar w:fldCharType="begin"/>
        </w:r>
        <w:r w:rsidR="00C60936">
          <w:rPr>
            <w:noProof/>
            <w:webHidden/>
          </w:rPr>
          <w:instrText xml:space="preserve"> PAGEREF _Toc371585210 \h </w:instrText>
        </w:r>
        <w:r w:rsidR="00C60936">
          <w:rPr>
            <w:noProof/>
            <w:webHidden/>
          </w:rPr>
        </w:r>
        <w:r w:rsidR="00C60936">
          <w:rPr>
            <w:noProof/>
            <w:webHidden/>
          </w:rPr>
          <w:fldChar w:fldCharType="separate"/>
        </w:r>
        <w:r>
          <w:rPr>
            <w:noProof/>
            <w:webHidden/>
          </w:rPr>
          <w:t>6</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11" w:history="1">
        <w:r w:rsidR="00C60936" w:rsidRPr="005D3187">
          <w:rPr>
            <w:rStyle w:val="Hyperlink"/>
            <w:noProof/>
          </w:rPr>
          <w:t>2.2</w:t>
        </w:r>
        <w:r w:rsidR="00C60936">
          <w:rPr>
            <w:rFonts w:eastAsiaTheme="minorEastAsia" w:cstheme="minorBidi"/>
            <w:smallCaps w:val="0"/>
            <w:noProof/>
            <w:sz w:val="22"/>
            <w:szCs w:val="22"/>
            <w:lang w:val="en-GB" w:eastAsia="en-GB" w:bidi="ar-SA"/>
          </w:rPr>
          <w:tab/>
        </w:r>
        <w:r w:rsidR="00C60936" w:rsidRPr="005D3187">
          <w:rPr>
            <w:rStyle w:val="Hyperlink"/>
            <w:noProof/>
          </w:rPr>
          <w:t>Risk assessment</w:t>
        </w:r>
        <w:r w:rsidR="00C60936">
          <w:rPr>
            <w:noProof/>
            <w:webHidden/>
          </w:rPr>
          <w:tab/>
        </w:r>
        <w:r w:rsidR="00C60936">
          <w:rPr>
            <w:noProof/>
            <w:webHidden/>
          </w:rPr>
          <w:fldChar w:fldCharType="begin"/>
        </w:r>
        <w:r w:rsidR="00C60936">
          <w:rPr>
            <w:noProof/>
            <w:webHidden/>
          </w:rPr>
          <w:instrText xml:space="preserve"> PAGEREF _Toc371585211 \h </w:instrText>
        </w:r>
        <w:r w:rsidR="00C60936">
          <w:rPr>
            <w:noProof/>
            <w:webHidden/>
          </w:rPr>
        </w:r>
        <w:r w:rsidR="00C60936">
          <w:rPr>
            <w:noProof/>
            <w:webHidden/>
          </w:rPr>
          <w:fldChar w:fldCharType="separate"/>
        </w:r>
        <w:r>
          <w:rPr>
            <w:noProof/>
            <w:webHidden/>
          </w:rPr>
          <w:t>12</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12" w:history="1">
        <w:r w:rsidR="00C60936" w:rsidRPr="005D3187">
          <w:rPr>
            <w:rStyle w:val="Hyperlink"/>
            <w:noProof/>
          </w:rPr>
          <w:t>2.3</w:t>
        </w:r>
        <w:r w:rsidR="00C60936">
          <w:rPr>
            <w:rFonts w:eastAsiaTheme="minorEastAsia" w:cstheme="minorBidi"/>
            <w:smallCaps w:val="0"/>
            <w:noProof/>
            <w:sz w:val="22"/>
            <w:szCs w:val="22"/>
            <w:lang w:val="en-GB" w:eastAsia="en-GB" w:bidi="ar-SA"/>
          </w:rPr>
          <w:tab/>
        </w:r>
        <w:r w:rsidR="00C60936" w:rsidRPr="005D3187">
          <w:rPr>
            <w:rStyle w:val="Hyperlink"/>
            <w:noProof/>
          </w:rPr>
          <w:t>Risk management</w:t>
        </w:r>
        <w:r w:rsidR="00C60936">
          <w:rPr>
            <w:noProof/>
            <w:webHidden/>
          </w:rPr>
          <w:tab/>
        </w:r>
        <w:r w:rsidR="00C60936">
          <w:rPr>
            <w:noProof/>
            <w:webHidden/>
          </w:rPr>
          <w:fldChar w:fldCharType="begin"/>
        </w:r>
        <w:r w:rsidR="00C60936">
          <w:rPr>
            <w:noProof/>
            <w:webHidden/>
          </w:rPr>
          <w:instrText xml:space="preserve"> PAGEREF _Toc371585212 \h </w:instrText>
        </w:r>
        <w:r w:rsidR="00C60936">
          <w:rPr>
            <w:noProof/>
            <w:webHidden/>
          </w:rPr>
        </w:r>
        <w:r w:rsidR="00C60936">
          <w:rPr>
            <w:noProof/>
            <w:webHidden/>
          </w:rPr>
          <w:fldChar w:fldCharType="separate"/>
        </w:r>
        <w:r>
          <w:rPr>
            <w:noProof/>
            <w:webHidden/>
          </w:rPr>
          <w:t>12</w:t>
        </w:r>
        <w:r w:rsidR="00C60936">
          <w:rPr>
            <w:noProof/>
            <w:webHidden/>
          </w:rPr>
          <w:fldChar w:fldCharType="end"/>
        </w:r>
      </w:hyperlink>
    </w:p>
    <w:p w:rsidR="00C60936" w:rsidRDefault="00856C43">
      <w:pPr>
        <w:pStyle w:val="TOC3"/>
        <w:tabs>
          <w:tab w:val="left" w:pos="1320"/>
          <w:tab w:val="right" w:leader="dot" w:pos="9016"/>
        </w:tabs>
        <w:rPr>
          <w:rFonts w:eastAsiaTheme="minorEastAsia" w:cstheme="minorBidi"/>
          <w:i w:val="0"/>
          <w:iCs w:val="0"/>
          <w:noProof/>
          <w:sz w:val="22"/>
          <w:szCs w:val="22"/>
          <w:lang w:val="en-GB" w:eastAsia="en-GB" w:bidi="ar-SA"/>
        </w:rPr>
      </w:pPr>
      <w:hyperlink w:anchor="_Toc371585213" w:history="1">
        <w:r w:rsidR="00C60936" w:rsidRPr="005D3187">
          <w:rPr>
            <w:rStyle w:val="Hyperlink"/>
            <w:noProof/>
          </w:rPr>
          <w:t xml:space="preserve">2.3.1 </w:t>
        </w:r>
        <w:r w:rsidR="00C60936">
          <w:rPr>
            <w:rFonts w:eastAsiaTheme="minorEastAsia" w:cstheme="minorBidi"/>
            <w:i w:val="0"/>
            <w:iCs w:val="0"/>
            <w:noProof/>
            <w:sz w:val="22"/>
            <w:szCs w:val="22"/>
            <w:lang w:val="en-GB" w:eastAsia="en-GB" w:bidi="ar-SA"/>
          </w:rPr>
          <w:tab/>
        </w:r>
        <w:r w:rsidR="00C60936" w:rsidRPr="005D3187">
          <w:rPr>
            <w:rStyle w:val="Hyperlink"/>
            <w:noProof/>
          </w:rPr>
          <w:t>Principles for developing microbiological criteria</w:t>
        </w:r>
        <w:r w:rsidR="00C60936">
          <w:rPr>
            <w:noProof/>
            <w:webHidden/>
          </w:rPr>
          <w:tab/>
        </w:r>
        <w:r w:rsidR="00C60936">
          <w:rPr>
            <w:noProof/>
            <w:webHidden/>
          </w:rPr>
          <w:fldChar w:fldCharType="begin"/>
        </w:r>
        <w:r w:rsidR="00C60936">
          <w:rPr>
            <w:noProof/>
            <w:webHidden/>
          </w:rPr>
          <w:instrText xml:space="preserve"> PAGEREF _Toc371585213 \h </w:instrText>
        </w:r>
        <w:r w:rsidR="00C60936">
          <w:rPr>
            <w:noProof/>
            <w:webHidden/>
          </w:rPr>
        </w:r>
        <w:r w:rsidR="00C60936">
          <w:rPr>
            <w:noProof/>
            <w:webHidden/>
          </w:rPr>
          <w:fldChar w:fldCharType="separate"/>
        </w:r>
        <w:r>
          <w:rPr>
            <w:noProof/>
            <w:webHidden/>
          </w:rPr>
          <w:t>12</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14" w:history="1">
        <w:r w:rsidR="00C60936" w:rsidRPr="005D3187">
          <w:rPr>
            <w:rStyle w:val="Hyperlink"/>
            <w:noProof/>
          </w:rPr>
          <w:t>2.3.2</w:t>
        </w:r>
        <w:r w:rsidR="00C60936">
          <w:rPr>
            <w:rFonts w:eastAsiaTheme="minorEastAsia" w:cstheme="minorBidi"/>
            <w:i w:val="0"/>
            <w:iCs w:val="0"/>
            <w:noProof/>
            <w:sz w:val="22"/>
            <w:szCs w:val="22"/>
            <w:lang w:val="en-GB" w:eastAsia="en-GB" w:bidi="ar-SA"/>
          </w:rPr>
          <w:tab/>
        </w:r>
        <w:r w:rsidR="00C60936" w:rsidRPr="005D3187">
          <w:rPr>
            <w:rStyle w:val="Hyperlink"/>
            <w:noProof/>
          </w:rPr>
          <w:t>Proposed limits for L. monocytogenes</w:t>
        </w:r>
        <w:r w:rsidR="00C60936">
          <w:rPr>
            <w:noProof/>
            <w:webHidden/>
          </w:rPr>
          <w:tab/>
        </w:r>
        <w:r w:rsidR="00C60936">
          <w:rPr>
            <w:noProof/>
            <w:webHidden/>
          </w:rPr>
          <w:fldChar w:fldCharType="begin"/>
        </w:r>
        <w:r w:rsidR="00C60936">
          <w:rPr>
            <w:noProof/>
            <w:webHidden/>
          </w:rPr>
          <w:instrText xml:space="preserve"> PAGEREF _Toc371585214 \h </w:instrText>
        </w:r>
        <w:r w:rsidR="00C60936">
          <w:rPr>
            <w:noProof/>
            <w:webHidden/>
          </w:rPr>
        </w:r>
        <w:r w:rsidR="00C60936">
          <w:rPr>
            <w:noProof/>
            <w:webHidden/>
          </w:rPr>
          <w:fldChar w:fldCharType="separate"/>
        </w:r>
        <w:r>
          <w:rPr>
            <w:noProof/>
            <w:webHidden/>
          </w:rPr>
          <w:t>12</w:t>
        </w:r>
        <w:r w:rsidR="00C60936">
          <w:rPr>
            <w:noProof/>
            <w:webHidden/>
          </w:rPr>
          <w:fldChar w:fldCharType="end"/>
        </w:r>
      </w:hyperlink>
    </w:p>
    <w:p w:rsidR="00C60936" w:rsidRDefault="00856C43">
      <w:pPr>
        <w:pStyle w:val="TOC3"/>
        <w:tabs>
          <w:tab w:val="left" w:pos="1320"/>
          <w:tab w:val="right" w:leader="dot" w:pos="9016"/>
        </w:tabs>
        <w:rPr>
          <w:rFonts w:eastAsiaTheme="minorEastAsia" w:cstheme="minorBidi"/>
          <w:i w:val="0"/>
          <w:iCs w:val="0"/>
          <w:noProof/>
          <w:sz w:val="22"/>
          <w:szCs w:val="22"/>
          <w:lang w:val="en-GB" w:eastAsia="en-GB" w:bidi="ar-SA"/>
        </w:rPr>
      </w:pPr>
      <w:hyperlink w:anchor="_Toc371585215" w:history="1">
        <w:r w:rsidR="00C60936" w:rsidRPr="005D3187">
          <w:rPr>
            <w:rStyle w:val="Hyperlink"/>
            <w:noProof/>
          </w:rPr>
          <w:t xml:space="preserve">2.3.3 </w:t>
        </w:r>
        <w:r w:rsidR="00C60936">
          <w:rPr>
            <w:rFonts w:eastAsiaTheme="minorEastAsia" w:cstheme="minorBidi"/>
            <w:i w:val="0"/>
            <w:iCs w:val="0"/>
            <w:noProof/>
            <w:sz w:val="22"/>
            <w:szCs w:val="22"/>
            <w:lang w:val="en-GB" w:eastAsia="en-GB" w:bidi="ar-SA"/>
          </w:rPr>
          <w:tab/>
        </w:r>
        <w:r w:rsidR="00C60936" w:rsidRPr="005D3187">
          <w:rPr>
            <w:rStyle w:val="Hyperlink"/>
            <w:noProof/>
          </w:rPr>
          <w:t>Preferred option</w:t>
        </w:r>
        <w:r w:rsidR="00C60936">
          <w:rPr>
            <w:noProof/>
            <w:webHidden/>
          </w:rPr>
          <w:tab/>
        </w:r>
        <w:r w:rsidR="00C60936">
          <w:rPr>
            <w:noProof/>
            <w:webHidden/>
          </w:rPr>
          <w:fldChar w:fldCharType="begin"/>
        </w:r>
        <w:r w:rsidR="00C60936">
          <w:rPr>
            <w:noProof/>
            <w:webHidden/>
          </w:rPr>
          <w:instrText xml:space="preserve"> PAGEREF _Toc371585215 \h </w:instrText>
        </w:r>
        <w:r w:rsidR="00C60936">
          <w:rPr>
            <w:noProof/>
            <w:webHidden/>
          </w:rPr>
        </w:r>
        <w:r w:rsidR="00C60936">
          <w:rPr>
            <w:noProof/>
            <w:webHidden/>
          </w:rPr>
          <w:fldChar w:fldCharType="separate"/>
        </w:r>
        <w:r>
          <w:rPr>
            <w:noProof/>
            <w:webHidden/>
          </w:rPr>
          <w:t>14</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16" w:history="1">
        <w:r w:rsidR="00C60936" w:rsidRPr="005D3187">
          <w:rPr>
            <w:rStyle w:val="Hyperlink"/>
            <w:noProof/>
          </w:rPr>
          <w:t>2.4</w:t>
        </w:r>
        <w:r w:rsidR="00C60936">
          <w:rPr>
            <w:rFonts w:eastAsiaTheme="minorEastAsia" w:cstheme="minorBidi"/>
            <w:smallCaps w:val="0"/>
            <w:noProof/>
            <w:sz w:val="22"/>
            <w:szCs w:val="22"/>
            <w:lang w:val="en-GB" w:eastAsia="en-GB" w:bidi="ar-SA"/>
          </w:rPr>
          <w:tab/>
        </w:r>
        <w:r w:rsidR="00C60936" w:rsidRPr="005D3187">
          <w:rPr>
            <w:rStyle w:val="Hyperlink"/>
            <w:noProof/>
          </w:rPr>
          <w:t>Risk communication</w:t>
        </w:r>
        <w:r w:rsidR="00C60936">
          <w:rPr>
            <w:noProof/>
            <w:webHidden/>
          </w:rPr>
          <w:tab/>
        </w:r>
        <w:r w:rsidR="00C60936">
          <w:rPr>
            <w:noProof/>
            <w:webHidden/>
          </w:rPr>
          <w:fldChar w:fldCharType="begin"/>
        </w:r>
        <w:r w:rsidR="00C60936">
          <w:rPr>
            <w:noProof/>
            <w:webHidden/>
          </w:rPr>
          <w:instrText xml:space="preserve"> PAGEREF _Toc371585216 \h </w:instrText>
        </w:r>
        <w:r w:rsidR="00C60936">
          <w:rPr>
            <w:noProof/>
            <w:webHidden/>
          </w:rPr>
        </w:r>
        <w:r w:rsidR="00C60936">
          <w:rPr>
            <w:noProof/>
            <w:webHidden/>
          </w:rPr>
          <w:fldChar w:fldCharType="separate"/>
        </w:r>
        <w:r>
          <w:rPr>
            <w:noProof/>
            <w:webHidden/>
          </w:rPr>
          <w:t>15</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17" w:history="1">
        <w:r w:rsidR="00C60936" w:rsidRPr="005D3187">
          <w:rPr>
            <w:rStyle w:val="Hyperlink"/>
            <w:noProof/>
          </w:rPr>
          <w:t>2.4.1</w:t>
        </w:r>
        <w:r w:rsidR="00C60936">
          <w:rPr>
            <w:rFonts w:eastAsiaTheme="minorEastAsia" w:cstheme="minorBidi"/>
            <w:i w:val="0"/>
            <w:iCs w:val="0"/>
            <w:noProof/>
            <w:sz w:val="22"/>
            <w:szCs w:val="22"/>
            <w:lang w:val="en-GB" w:eastAsia="en-GB" w:bidi="ar-SA"/>
          </w:rPr>
          <w:tab/>
        </w:r>
        <w:r w:rsidR="00C60936" w:rsidRPr="005D3187">
          <w:rPr>
            <w:rStyle w:val="Hyperlink"/>
            <w:noProof/>
          </w:rPr>
          <w:t>Consultation</w:t>
        </w:r>
        <w:r w:rsidR="00C60936">
          <w:rPr>
            <w:noProof/>
            <w:webHidden/>
          </w:rPr>
          <w:tab/>
        </w:r>
        <w:r w:rsidR="00C60936">
          <w:rPr>
            <w:noProof/>
            <w:webHidden/>
          </w:rPr>
          <w:fldChar w:fldCharType="begin"/>
        </w:r>
        <w:r w:rsidR="00C60936">
          <w:rPr>
            <w:noProof/>
            <w:webHidden/>
          </w:rPr>
          <w:instrText xml:space="preserve"> PAGEREF _Toc371585217 \h </w:instrText>
        </w:r>
        <w:r w:rsidR="00C60936">
          <w:rPr>
            <w:noProof/>
            <w:webHidden/>
          </w:rPr>
        </w:r>
        <w:r w:rsidR="00C60936">
          <w:rPr>
            <w:noProof/>
            <w:webHidden/>
          </w:rPr>
          <w:fldChar w:fldCharType="separate"/>
        </w:r>
        <w:r>
          <w:rPr>
            <w:noProof/>
            <w:webHidden/>
          </w:rPr>
          <w:t>15</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18" w:history="1">
        <w:r w:rsidR="00C60936" w:rsidRPr="005D3187">
          <w:rPr>
            <w:rStyle w:val="Hyperlink"/>
            <w:noProof/>
          </w:rPr>
          <w:t>2.4.2</w:t>
        </w:r>
        <w:r w:rsidR="00C60936">
          <w:rPr>
            <w:rFonts w:eastAsiaTheme="minorEastAsia" w:cstheme="minorBidi"/>
            <w:i w:val="0"/>
            <w:iCs w:val="0"/>
            <w:noProof/>
            <w:sz w:val="22"/>
            <w:szCs w:val="22"/>
            <w:lang w:val="en-GB" w:eastAsia="en-GB" w:bidi="ar-SA"/>
          </w:rPr>
          <w:tab/>
        </w:r>
        <w:r w:rsidR="00C60936" w:rsidRPr="005D3187">
          <w:rPr>
            <w:rStyle w:val="Hyperlink"/>
            <w:noProof/>
          </w:rPr>
          <w:t>Communication</w:t>
        </w:r>
        <w:r w:rsidR="00C60936">
          <w:rPr>
            <w:noProof/>
            <w:webHidden/>
          </w:rPr>
          <w:tab/>
        </w:r>
        <w:r w:rsidR="00C60936">
          <w:rPr>
            <w:noProof/>
            <w:webHidden/>
          </w:rPr>
          <w:fldChar w:fldCharType="begin"/>
        </w:r>
        <w:r w:rsidR="00C60936">
          <w:rPr>
            <w:noProof/>
            <w:webHidden/>
          </w:rPr>
          <w:instrText xml:space="preserve"> PAGEREF _Toc371585218 \h </w:instrText>
        </w:r>
        <w:r w:rsidR="00C60936">
          <w:rPr>
            <w:noProof/>
            <w:webHidden/>
          </w:rPr>
        </w:r>
        <w:r w:rsidR="00C60936">
          <w:rPr>
            <w:noProof/>
            <w:webHidden/>
          </w:rPr>
          <w:fldChar w:fldCharType="separate"/>
        </w:r>
        <w:r>
          <w:rPr>
            <w:noProof/>
            <w:webHidden/>
          </w:rPr>
          <w:t>16</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19" w:history="1">
        <w:r w:rsidR="00C60936" w:rsidRPr="005D3187">
          <w:rPr>
            <w:rStyle w:val="Hyperlink"/>
            <w:noProof/>
          </w:rPr>
          <w:t>2.4.2</w:t>
        </w:r>
        <w:r w:rsidR="00C60936">
          <w:rPr>
            <w:rFonts w:eastAsiaTheme="minorEastAsia" w:cstheme="minorBidi"/>
            <w:i w:val="0"/>
            <w:iCs w:val="0"/>
            <w:noProof/>
            <w:sz w:val="22"/>
            <w:szCs w:val="22"/>
            <w:lang w:val="en-GB" w:eastAsia="en-GB" w:bidi="ar-SA"/>
          </w:rPr>
          <w:tab/>
        </w:r>
        <w:r w:rsidR="00C60936" w:rsidRPr="005D3187">
          <w:rPr>
            <w:rStyle w:val="Hyperlink"/>
            <w:noProof/>
          </w:rPr>
          <w:t>World Trade Organization (WTO)</w:t>
        </w:r>
        <w:r w:rsidR="00C60936">
          <w:rPr>
            <w:noProof/>
            <w:webHidden/>
          </w:rPr>
          <w:tab/>
        </w:r>
        <w:r w:rsidR="00C60936">
          <w:rPr>
            <w:noProof/>
            <w:webHidden/>
          </w:rPr>
          <w:fldChar w:fldCharType="begin"/>
        </w:r>
        <w:r w:rsidR="00C60936">
          <w:rPr>
            <w:noProof/>
            <w:webHidden/>
          </w:rPr>
          <w:instrText xml:space="preserve"> PAGEREF _Toc371585219 \h </w:instrText>
        </w:r>
        <w:r w:rsidR="00C60936">
          <w:rPr>
            <w:noProof/>
            <w:webHidden/>
          </w:rPr>
        </w:r>
        <w:r w:rsidR="00C60936">
          <w:rPr>
            <w:noProof/>
            <w:webHidden/>
          </w:rPr>
          <w:fldChar w:fldCharType="separate"/>
        </w:r>
        <w:r>
          <w:rPr>
            <w:noProof/>
            <w:webHidden/>
          </w:rPr>
          <w:t>16</w:t>
        </w:r>
        <w:r w:rsidR="00C60936">
          <w:rPr>
            <w:noProof/>
            <w:webHidden/>
          </w:rPr>
          <w:fldChar w:fldCharType="end"/>
        </w:r>
      </w:hyperlink>
    </w:p>
    <w:p w:rsidR="00C60936" w:rsidRDefault="00856C43">
      <w:pPr>
        <w:pStyle w:val="TOC2"/>
        <w:tabs>
          <w:tab w:val="left" w:pos="880"/>
          <w:tab w:val="right" w:leader="dot" w:pos="9016"/>
        </w:tabs>
        <w:rPr>
          <w:rFonts w:eastAsiaTheme="minorEastAsia" w:cstheme="minorBidi"/>
          <w:smallCaps w:val="0"/>
          <w:noProof/>
          <w:sz w:val="22"/>
          <w:szCs w:val="22"/>
          <w:lang w:val="en-GB" w:eastAsia="en-GB" w:bidi="ar-SA"/>
        </w:rPr>
      </w:pPr>
      <w:hyperlink w:anchor="_Toc371585220" w:history="1">
        <w:r w:rsidR="00C60936" w:rsidRPr="005D3187">
          <w:rPr>
            <w:rStyle w:val="Hyperlink"/>
            <w:noProof/>
          </w:rPr>
          <w:t>2.5</w:t>
        </w:r>
        <w:r w:rsidR="00C60936">
          <w:rPr>
            <w:rFonts w:eastAsiaTheme="minorEastAsia" w:cstheme="minorBidi"/>
            <w:smallCaps w:val="0"/>
            <w:noProof/>
            <w:sz w:val="22"/>
            <w:szCs w:val="22"/>
            <w:lang w:val="en-GB" w:eastAsia="en-GB" w:bidi="ar-SA"/>
          </w:rPr>
          <w:tab/>
        </w:r>
        <w:r w:rsidR="00C60936" w:rsidRPr="005D3187">
          <w:rPr>
            <w:rStyle w:val="Hyperlink"/>
            <w:noProof/>
          </w:rPr>
          <w:t>FSANZ Act assessment requirements</w:t>
        </w:r>
        <w:r w:rsidR="00C60936">
          <w:rPr>
            <w:noProof/>
            <w:webHidden/>
          </w:rPr>
          <w:tab/>
        </w:r>
        <w:r w:rsidR="00C60936">
          <w:rPr>
            <w:noProof/>
            <w:webHidden/>
          </w:rPr>
          <w:fldChar w:fldCharType="begin"/>
        </w:r>
        <w:r w:rsidR="00C60936">
          <w:rPr>
            <w:noProof/>
            <w:webHidden/>
          </w:rPr>
          <w:instrText xml:space="preserve"> PAGEREF _Toc371585220 \h </w:instrText>
        </w:r>
        <w:r w:rsidR="00C60936">
          <w:rPr>
            <w:noProof/>
            <w:webHidden/>
          </w:rPr>
        </w:r>
        <w:r w:rsidR="00C60936">
          <w:rPr>
            <w:noProof/>
            <w:webHidden/>
          </w:rPr>
          <w:fldChar w:fldCharType="separate"/>
        </w:r>
        <w:r>
          <w:rPr>
            <w:noProof/>
            <w:webHidden/>
          </w:rPr>
          <w:t>16</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21" w:history="1">
        <w:r w:rsidR="00C60936" w:rsidRPr="005D3187">
          <w:rPr>
            <w:rStyle w:val="Hyperlink"/>
            <w:noProof/>
          </w:rPr>
          <w:t>2.5.1</w:t>
        </w:r>
        <w:r w:rsidR="00C60936">
          <w:rPr>
            <w:rFonts w:eastAsiaTheme="minorEastAsia" w:cstheme="minorBidi"/>
            <w:i w:val="0"/>
            <w:iCs w:val="0"/>
            <w:noProof/>
            <w:sz w:val="22"/>
            <w:szCs w:val="22"/>
            <w:lang w:val="en-GB" w:eastAsia="en-GB" w:bidi="ar-SA"/>
          </w:rPr>
          <w:tab/>
        </w:r>
        <w:r w:rsidR="00C60936" w:rsidRPr="005D3187">
          <w:rPr>
            <w:rStyle w:val="Hyperlink"/>
            <w:noProof/>
          </w:rPr>
          <w:t>Section 59</w:t>
        </w:r>
        <w:r w:rsidR="00C60936">
          <w:rPr>
            <w:noProof/>
            <w:webHidden/>
          </w:rPr>
          <w:tab/>
        </w:r>
        <w:r w:rsidR="00C60936">
          <w:rPr>
            <w:noProof/>
            <w:webHidden/>
          </w:rPr>
          <w:fldChar w:fldCharType="begin"/>
        </w:r>
        <w:r w:rsidR="00C60936">
          <w:rPr>
            <w:noProof/>
            <w:webHidden/>
          </w:rPr>
          <w:instrText xml:space="preserve"> PAGEREF _Toc371585221 \h </w:instrText>
        </w:r>
        <w:r w:rsidR="00C60936">
          <w:rPr>
            <w:noProof/>
            <w:webHidden/>
          </w:rPr>
        </w:r>
        <w:r w:rsidR="00C60936">
          <w:rPr>
            <w:noProof/>
            <w:webHidden/>
          </w:rPr>
          <w:fldChar w:fldCharType="separate"/>
        </w:r>
        <w:r>
          <w:rPr>
            <w:noProof/>
            <w:webHidden/>
          </w:rPr>
          <w:t>16</w:t>
        </w:r>
        <w:r w:rsidR="00C60936">
          <w:rPr>
            <w:noProof/>
            <w:webHidden/>
          </w:rPr>
          <w:fldChar w:fldCharType="end"/>
        </w:r>
      </w:hyperlink>
    </w:p>
    <w:p w:rsidR="00C60936" w:rsidRDefault="00856C43">
      <w:pPr>
        <w:pStyle w:val="TOC3"/>
        <w:tabs>
          <w:tab w:val="left" w:pos="1320"/>
          <w:tab w:val="right" w:leader="dot" w:pos="9016"/>
        </w:tabs>
        <w:rPr>
          <w:rFonts w:eastAsiaTheme="minorEastAsia" w:cstheme="minorBidi"/>
          <w:i w:val="0"/>
          <w:iCs w:val="0"/>
          <w:noProof/>
          <w:sz w:val="22"/>
          <w:szCs w:val="22"/>
          <w:lang w:val="en-GB" w:eastAsia="en-GB" w:bidi="ar-SA"/>
        </w:rPr>
      </w:pPr>
      <w:hyperlink w:anchor="_Toc371585222" w:history="1">
        <w:r w:rsidR="00C60936" w:rsidRPr="005D3187">
          <w:rPr>
            <w:rStyle w:val="Hyperlink"/>
            <w:noProof/>
          </w:rPr>
          <w:t>2.5.2.</w:t>
        </w:r>
        <w:r w:rsidR="00C60936">
          <w:rPr>
            <w:rFonts w:eastAsiaTheme="minorEastAsia" w:cstheme="minorBidi"/>
            <w:i w:val="0"/>
            <w:iCs w:val="0"/>
            <w:noProof/>
            <w:sz w:val="22"/>
            <w:szCs w:val="22"/>
            <w:lang w:val="en-GB" w:eastAsia="en-GB" w:bidi="ar-SA"/>
          </w:rPr>
          <w:tab/>
        </w:r>
        <w:r w:rsidR="00C60936" w:rsidRPr="005D3187">
          <w:rPr>
            <w:rStyle w:val="Hyperlink"/>
            <w:noProof/>
          </w:rPr>
          <w:t>Subsection 18(1)</w:t>
        </w:r>
        <w:r w:rsidR="00C60936">
          <w:rPr>
            <w:noProof/>
            <w:webHidden/>
          </w:rPr>
          <w:tab/>
        </w:r>
        <w:r w:rsidR="00C60936">
          <w:rPr>
            <w:noProof/>
            <w:webHidden/>
          </w:rPr>
          <w:fldChar w:fldCharType="begin"/>
        </w:r>
        <w:r w:rsidR="00C60936">
          <w:rPr>
            <w:noProof/>
            <w:webHidden/>
          </w:rPr>
          <w:instrText xml:space="preserve"> PAGEREF _Toc371585222 \h </w:instrText>
        </w:r>
        <w:r w:rsidR="00C60936">
          <w:rPr>
            <w:noProof/>
            <w:webHidden/>
          </w:rPr>
        </w:r>
        <w:r w:rsidR="00C60936">
          <w:rPr>
            <w:noProof/>
            <w:webHidden/>
          </w:rPr>
          <w:fldChar w:fldCharType="separate"/>
        </w:r>
        <w:r>
          <w:rPr>
            <w:noProof/>
            <w:webHidden/>
          </w:rPr>
          <w:t>17</w:t>
        </w:r>
        <w:r w:rsidR="00C60936">
          <w:rPr>
            <w:noProof/>
            <w:webHidden/>
          </w:rPr>
          <w:fldChar w:fldCharType="end"/>
        </w:r>
      </w:hyperlink>
    </w:p>
    <w:p w:rsidR="00C60936" w:rsidRDefault="00856C43">
      <w:pPr>
        <w:pStyle w:val="TOC3"/>
        <w:tabs>
          <w:tab w:val="left" w:pos="1100"/>
          <w:tab w:val="right" w:leader="dot" w:pos="9016"/>
        </w:tabs>
        <w:rPr>
          <w:rFonts w:eastAsiaTheme="minorEastAsia" w:cstheme="minorBidi"/>
          <w:i w:val="0"/>
          <w:iCs w:val="0"/>
          <w:noProof/>
          <w:sz w:val="22"/>
          <w:szCs w:val="22"/>
          <w:lang w:val="en-GB" w:eastAsia="en-GB" w:bidi="ar-SA"/>
        </w:rPr>
      </w:pPr>
      <w:hyperlink w:anchor="_Toc371585223" w:history="1">
        <w:r w:rsidR="00C60936" w:rsidRPr="005D3187">
          <w:rPr>
            <w:rStyle w:val="Hyperlink"/>
            <w:noProof/>
          </w:rPr>
          <w:t>2.5.3</w:t>
        </w:r>
        <w:r w:rsidR="00C60936">
          <w:rPr>
            <w:rFonts w:eastAsiaTheme="minorEastAsia" w:cstheme="minorBidi"/>
            <w:i w:val="0"/>
            <w:iCs w:val="0"/>
            <w:noProof/>
            <w:sz w:val="22"/>
            <w:szCs w:val="22"/>
            <w:lang w:val="en-GB" w:eastAsia="en-GB" w:bidi="ar-SA"/>
          </w:rPr>
          <w:tab/>
        </w:r>
        <w:r w:rsidR="00C60936" w:rsidRPr="005D3187">
          <w:rPr>
            <w:rStyle w:val="Hyperlink"/>
            <w:noProof/>
          </w:rPr>
          <w:t>Subsection 18(2) considerations</w:t>
        </w:r>
        <w:r w:rsidR="00C60936">
          <w:rPr>
            <w:noProof/>
            <w:webHidden/>
          </w:rPr>
          <w:tab/>
        </w:r>
        <w:r w:rsidR="00C60936">
          <w:rPr>
            <w:noProof/>
            <w:webHidden/>
          </w:rPr>
          <w:fldChar w:fldCharType="begin"/>
        </w:r>
        <w:r w:rsidR="00C60936">
          <w:rPr>
            <w:noProof/>
            <w:webHidden/>
          </w:rPr>
          <w:instrText xml:space="preserve"> PAGEREF _Toc371585223 \h </w:instrText>
        </w:r>
        <w:r w:rsidR="00C60936">
          <w:rPr>
            <w:noProof/>
            <w:webHidden/>
          </w:rPr>
        </w:r>
        <w:r w:rsidR="00C60936">
          <w:rPr>
            <w:noProof/>
            <w:webHidden/>
          </w:rPr>
          <w:fldChar w:fldCharType="separate"/>
        </w:r>
        <w:r>
          <w:rPr>
            <w:noProof/>
            <w:webHidden/>
          </w:rPr>
          <w:t>18</w:t>
        </w:r>
        <w:r w:rsidR="00C60936">
          <w:rPr>
            <w:noProof/>
            <w:webHidden/>
          </w:rPr>
          <w:fldChar w:fldCharType="end"/>
        </w:r>
      </w:hyperlink>
    </w:p>
    <w:p w:rsidR="00C60936" w:rsidRDefault="00856C43">
      <w:pPr>
        <w:pStyle w:val="TOC1"/>
        <w:tabs>
          <w:tab w:val="left" w:pos="440"/>
          <w:tab w:val="right" w:leader="dot" w:pos="9016"/>
        </w:tabs>
        <w:rPr>
          <w:rFonts w:eastAsiaTheme="minorEastAsia" w:cstheme="minorBidi"/>
          <w:b w:val="0"/>
          <w:bCs w:val="0"/>
          <w:caps w:val="0"/>
          <w:noProof/>
          <w:sz w:val="22"/>
          <w:szCs w:val="22"/>
          <w:lang w:val="en-GB" w:eastAsia="en-GB" w:bidi="ar-SA"/>
        </w:rPr>
      </w:pPr>
      <w:hyperlink w:anchor="_Toc371585224" w:history="1">
        <w:r w:rsidR="00C60936" w:rsidRPr="005D3187">
          <w:rPr>
            <w:rStyle w:val="Hyperlink"/>
            <w:noProof/>
          </w:rPr>
          <w:t>3.</w:t>
        </w:r>
        <w:r w:rsidR="00C60936">
          <w:rPr>
            <w:rFonts w:eastAsiaTheme="minorEastAsia" w:cstheme="minorBidi"/>
            <w:b w:val="0"/>
            <w:bCs w:val="0"/>
            <w:caps w:val="0"/>
            <w:noProof/>
            <w:sz w:val="22"/>
            <w:szCs w:val="22"/>
            <w:lang w:val="en-GB" w:eastAsia="en-GB" w:bidi="ar-SA"/>
          </w:rPr>
          <w:tab/>
        </w:r>
        <w:r w:rsidR="00C60936" w:rsidRPr="005D3187">
          <w:rPr>
            <w:rStyle w:val="Hyperlink"/>
            <w:noProof/>
          </w:rPr>
          <w:t>Draft variation</w:t>
        </w:r>
        <w:r w:rsidR="00C60936">
          <w:rPr>
            <w:noProof/>
            <w:webHidden/>
          </w:rPr>
          <w:tab/>
        </w:r>
        <w:r w:rsidR="00C60936">
          <w:rPr>
            <w:noProof/>
            <w:webHidden/>
          </w:rPr>
          <w:fldChar w:fldCharType="begin"/>
        </w:r>
        <w:r w:rsidR="00C60936">
          <w:rPr>
            <w:noProof/>
            <w:webHidden/>
          </w:rPr>
          <w:instrText xml:space="preserve"> PAGEREF _Toc371585224 \h </w:instrText>
        </w:r>
        <w:r w:rsidR="00C60936">
          <w:rPr>
            <w:noProof/>
            <w:webHidden/>
          </w:rPr>
        </w:r>
        <w:r w:rsidR="00C60936">
          <w:rPr>
            <w:noProof/>
            <w:webHidden/>
          </w:rPr>
          <w:fldChar w:fldCharType="separate"/>
        </w:r>
        <w:r>
          <w:rPr>
            <w:noProof/>
            <w:webHidden/>
          </w:rPr>
          <w:t>19</w:t>
        </w:r>
        <w:r w:rsidR="00C60936">
          <w:rPr>
            <w:noProof/>
            <w:webHidden/>
          </w:rPr>
          <w:fldChar w:fldCharType="end"/>
        </w:r>
      </w:hyperlink>
    </w:p>
    <w:p w:rsidR="00C60936" w:rsidRDefault="00856C43">
      <w:pPr>
        <w:pStyle w:val="TOC1"/>
        <w:tabs>
          <w:tab w:val="left" w:pos="440"/>
          <w:tab w:val="right" w:leader="dot" w:pos="9016"/>
        </w:tabs>
        <w:rPr>
          <w:rFonts w:eastAsiaTheme="minorEastAsia" w:cstheme="minorBidi"/>
          <w:b w:val="0"/>
          <w:bCs w:val="0"/>
          <w:caps w:val="0"/>
          <w:noProof/>
          <w:sz w:val="22"/>
          <w:szCs w:val="22"/>
          <w:lang w:val="en-GB" w:eastAsia="en-GB" w:bidi="ar-SA"/>
        </w:rPr>
      </w:pPr>
      <w:hyperlink w:anchor="_Toc371585225" w:history="1">
        <w:r w:rsidR="00C60936" w:rsidRPr="005D3187">
          <w:rPr>
            <w:rStyle w:val="Hyperlink"/>
            <w:noProof/>
          </w:rPr>
          <w:t>4.</w:t>
        </w:r>
        <w:r w:rsidR="00C60936">
          <w:rPr>
            <w:rFonts w:eastAsiaTheme="minorEastAsia" w:cstheme="minorBidi"/>
            <w:b w:val="0"/>
            <w:bCs w:val="0"/>
            <w:caps w:val="0"/>
            <w:noProof/>
            <w:sz w:val="22"/>
            <w:szCs w:val="22"/>
            <w:lang w:val="en-GB" w:eastAsia="en-GB" w:bidi="ar-SA"/>
          </w:rPr>
          <w:tab/>
        </w:r>
        <w:r w:rsidR="00C60936" w:rsidRPr="005D3187">
          <w:rPr>
            <w:rStyle w:val="Hyperlink"/>
            <w:noProof/>
          </w:rPr>
          <w:t>References</w:t>
        </w:r>
        <w:r w:rsidR="00C60936">
          <w:rPr>
            <w:noProof/>
            <w:webHidden/>
          </w:rPr>
          <w:tab/>
        </w:r>
        <w:r w:rsidR="00C60936">
          <w:rPr>
            <w:noProof/>
            <w:webHidden/>
          </w:rPr>
          <w:fldChar w:fldCharType="begin"/>
        </w:r>
        <w:r w:rsidR="00C60936">
          <w:rPr>
            <w:noProof/>
            <w:webHidden/>
          </w:rPr>
          <w:instrText xml:space="preserve"> PAGEREF _Toc371585225 \h </w:instrText>
        </w:r>
        <w:r w:rsidR="00C60936">
          <w:rPr>
            <w:noProof/>
            <w:webHidden/>
          </w:rPr>
        </w:r>
        <w:r w:rsidR="00C60936">
          <w:rPr>
            <w:noProof/>
            <w:webHidden/>
          </w:rPr>
          <w:fldChar w:fldCharType="separate"/>
        </w:r>
        <w:r>
          <w:rPr>
            <w:noProof/>
            <w:webHidden/>
          </w:rPr>
          <w:t>19</w:t>
        </w:r>
        <w:r w:rsidR="00C60936">
          <w:rPr>
            <w:noProof/>
            <w:webHidden/>
          </w:rPr>
          <w:fldChar w:fldCharType="end"/>
        </w:r>
      </w:hyperlink>
    </w:p>
    <w:p w:rsidR="00C60936" w:rsidRDefault="00856C43">
      <w:pPr>
        <w:pStyle w:val="TOC2"/>
        <w:tabs>
          <w:tab w:val="right" w:leader="dot" w:pos="9016"/>
        </w:tabs>
        <w:rPr>
          <w:rFonts w:eastAsiaTheme="minorEastAsia" w:cstheme="minorBidi"/>
          <w:smallCaps w:val="0"/>
          <w:noProof/>
          <w:sz w:val="22"/>
          <w:szCs w:val="22"/>
          <w:lang w:val="en-GB" w:eastAsia="en-GB" w:bidi="ar-SA"/>
        </w:rPr>
      </w:pPr>
      <w:hyperlink w:anchor="_Toc371585226" w:history="1">
        <w:r w:rsidR="00C60936" w:rsidRPr="005D3187">
          <w:rPr>
            <w:rStyle w:val="Hyperlink"/>
            <w:noProof/>
          </w:rPr>
          <w:t xml:space="preserve">Attachment A – Draft variations to the </w:t>
        </w:r>
        <w:r w:rsidR="00C60936" w:rsidRPr="005D3187">
          <w:rPr>
            <w:rStyle w:val="Hyperlink"/>
            <w:i/>
            <w:noProof/>
          </w:rPr>
          <w:t>Australia New Zealand Food Standards Code</w:t>
        </w:r>
        <w:r w:rsidR="00C60936">
          <w:rPr>
            <w:noProof/>
            <w:webHidden/>
          </w:rPr>
          <w:tab/>
        </w:r>
        <w:r w:rsidR="00C60936">
          <w:rPr>
            <w:noProof/>
            <w:webHidden/>
          </w:rPr>
          <w:fldChar w:fldCharType="begin"/>
        </w:r>
        <w:r w:rsidR="00C60936">
          <w:rPr>
            <w:noProof/>
            <w:webHidden/>
          </w:rPr>
          <w:instrText xml:space="preserve"> PAGEREF _Toc371585226 \h </w:instrText>
        </w:r>
        <w:r w:rsidR="00C60936">
          <w:rPr>
            <w:noProof/>
            <w:webHidden/>
          </w:rPr>
        </w:r>
        <w:r w:rsidR="00C60936">
          <w:rPr>
            <w:noProof/>
            <w:webHidden/>
          </w:rPr>
          <w:fldChar w:fldCharType="separate"/>
        </w:r>
        <w:r>
          <w:rPr>
            <w:noProof/>
            <w:webHidden/>
          </w:rPr>
          <w:t>21</w:t>
        </w:r>
        <w:r w:rsidR="00C60936">
          <w:rPr>
            <w:noProof/>
            <w:webHidden/>
          </w:rPr>
          <w:fldChar w:fldCharType="end"/>
        </w:r>
      </w:hyperlink>
    </w:p>
    <w:p w:rsidR="00C60936" w:rsidRDefault="00856C43">
      <w:pPr>
        <w:pStyle w:val="TOC2"/>
        <w:tabs>
          <w:tab w:val="right" w:leader="dot" w:pos="9016"/>
        </w:tabs>
        <w:rPr>
          <w:rFonts w:eastAsiaTheme="minorEastAsia" w:cstheme="minorBidi"/>
          <w:smallCaps w:val="0"/>
          <w:noProof/>
          <w:sz w:val="22"/>
          <w:szCs w:val="22"/>
          <w:lang w:val="en-GB" w:eastAsia="en-GB" w:bidi="ar-SA"/>
        </w:rPr>
      </w:pPr>
      <w:hyperlink w:anchor="_Toc371585227" w:history="1">
        <w:r w:rsidR="00C60936" w:rsidRPr="005D3187">
          <w:rPr>
            <w:rStyle w:val="Hyperlink"/>
            <w:noProof/>
          </w:rPr>
          <w:t>Attachment B – Draft Explanatory Statement</w:t>
        </w:r>
        <w:r w:rsidR="00C60936">
          <w:rPr>
            <w:noProof/>
            <w:webHidden/>
          </w:rPr>
          <w:tab/>
        </w:r>
        <w:r w:rsidR="00C60936">
          <w:rPr>
            <w:noProof/>
            <w:webHidden/>
          </w:rPr>
          <w:fldChar w:fldCharType="begin"/>
        </w:r>
        <w:r w:rsidR="00C60936">
          <w:rPr>
            <w:noProof/>
            <w:webHidden/>
          </w:rPr>
          <w:instrText xml:space="preserve"> PAGEREF _Toc371585227 \h </w:instrText>
        </w:r>
        <w:r w:rsidR="00C60936">
          <w:rPr>
            <w:noProof/>
            <w:webHidden/>
          </w:rPr>
        </w:r>
        <w:r w:rsidR="00C60936">
          <w:rPr>
            <w:noProof/>
            <w:webHidden/>
          </w:rPr>
          <w:fldChar w:fldCharType="separate"/>
        </w:r>
        <w:r>
          <w:rPr>
            <w:noProof/>
            <w:webHidden/>
          </w:rPr>
          <w:t>26</w:t>
        </w:r>
        <w:r w:rsidR="00C60936">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89264A" w:rsidRDefault="0037520F" w:rsidP="0089264A">
      <w:pPr>
        <w:rPr>
          <w:color w:val="FF0000"/>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853A0F">
        <w:rPr>
          <w:szCs w:val="22"/>
        </w:rPr>
        <w:t>Proposal</w:t>
      </w:r>
      <w:r w:rsidRPr="00853A0F">
        <w:rPr>
          <w:szCs w:val="22"/>
        </w:rPr>
        <w:t xml:space="preserve"> a</w:t>
      </w:r>
      <w:r>
        <w:rPr>
          <w:szCs w:val="22"/>
        </w:rPr>
        <w:t>re</w:t>
      </w:r>
      <w:r w:rsidRPr="0089264A">
        <w:rPr>
          <w:szCs w:val="22"/>
        </w:rPr>
        <w:t xml:space="preserve"> available on the FSANZ website at</w:t>
      </w:r>
      <w:r w:rsidR="00764ECA">
        <w:rPr>
          <w:szCs w:val="22"/>
        </w:rPr>
        <w:t>:</w:t>
      </w:r>
      <w:r w:rsidR="00C91DA3">
        <w:rPr>
          <w:color w:val="FF0000"/>
          <w:szCs w:val="22"/>
        </w:rPr>
        <w:t xml:space="preserve"> </w:t>
      </w:r>
      <w:hyperlink r:id="rId21" w:history="1">
        <w:r w:rsidR="00764ECA" w:rsidRPr="00280F6D">
          <w:rPr>
            <w:rStyle w:val="Hyperlink"/>
            <w:szCs w:val="22"/>
          </w:rPr>
          <w:t>www.foodstandards.gov.au/code/proposals/Pages/proposalp1017criteri5439.aspx</w:t>
        </w:r>
      </w:hyperlink>
    </w:p>
    <w:p w:rsidR="00C91DA3" w:rsidRPr="0089264A" w:rsidRDefault="00C91DA3" w:rsidP="0089264A">
      <w:pPr>
        <w:rPr>
          <w:szCs w:val="22"/>
        </w:rPr>
      </w:pPr>
    </w:p>
    <w:p w:rsidR="0089264A" w:rsidRPr="00607F6E" w:rsidRDefault="0089264A" w:rsidP="001542D8">
      <w:pPr>
        <w:spacing w:line="280" w:lineRule="exact"/>
        <w:ind w:left="851" w:hanging="851"/>
        <w:outlineLvl w:val="3"/>
        <w:rPr>
          <w:rFonts w:cs="Arial"/>
        </w:rPr>
      </w:pPr>
      <w:r w:rsidRPr="00607F6E">
        <w:rPr>
          <w:rFonts w:cs="Arial"/>
        </w:rPr>
        <w:t>SD1</w:t>
      </w:r>
      <w:r w:rsidRPr="00607F6E">
        <w:rPr>
          <w:rFonts w:cs="Arial"/>
        </w:rPr>
        <w:tab/>
      </w:r>
      <w:r w:rsidR="0067626A">
        <w:rPr>
          <w:rFonts w:cs="Arial"/>
        </w:rPr>
        <w:t xml:space="preserve">Draft </w:t>
      </w:r>
      <w:r w:rsidR="00607F6E" w:rsidRPr="00607F6E">
        <w:rPr>
          <w:rFonts w:cs="Arial"/>
        </w:rPr>
        <w:t xml:space="preserve">Guidance on </w:t>
      </w:r>
      <w:r w:rsidR="00C44CAA">
        <w:rPr>
          <w:rFonts w:cs="Arial"/>
        </w:rPr>
        <w:t xml:space="preserve">the application of </w:t>
      </w:r>
      <w:r w:rsidR="00607F6E" w:rsidRPr="00607F6E">
        <w:rPr>
          <w:rFonts w:cs="Arial"/>
        </w:rPr>
        <w:t xml:space="preserve">microbiological criteria for </w:t>
      </w:r>
      <w:r w:rsidR="00607F6E" w:rsidRPr="00607F6E">
        <w:rPr>
          <w:rFonts w:cs="Arial"/>
          <w:i/>
        </w:rPr>
        <w:t>Listeria monocytogenes</w:t>
      </w:r>
      <w:r w:rsidR="00607F6E" w:rsidRPr="00607F6E">
        <w:rPr>
          <w:rFonts w:cs="Arial"/>
        </w:rPr>
        <w:t xml:space="preserve"> in RTE food</w:t>
      </w:r>
    </w:p>
    <w:p w:rsidR="00607F6E" w:rsidRDefault="00607F6E" w:rsidP="001542D8">
      <w:pPr>
        <w:spacing w:line="280" w:lineRule="exact"/>
        <w:ind w:left="851" w:hanging="851"/>
        <w:outlineLvl w:val="3"/>
        <w:rPr>
          <w:rFonts w:cs="Arial"/>
          <w:color w:val="FF0000"/>
        </w:rPr>
      </w:pPr>
    </w:p>
    <w:p w:rsidR="00625CE2" w:rsidRDefault="00C44CAA" w:rsidP="00C44CAA">
      <w:pPr>
        <w:spacing w:line="280" w:lineRule="exact"/>
        <w:ind w:left="851" w:hanging="851"/>
        <w:outlineLvl w:val="3"/>
        <w:rPr>
          <w:rFonts w:cs="Arial"/>
          <w:color w:val="FF0000"/>
        </w:rPr>
      </w:pPr>
      <w:r w:rsidRPr="00594F33">
        <w:rPr>
          <w:szCs w:val="22"/>
        </w:rPr>
        <w:t xml:space="preserve">SD2 </w:t>
      </w:r>
      <w:r>
        <w:rPr>
          <w:szCs w:val="22"/>
        </w:rPr>
        <w:tab/>
      </w:r>
      <w:r w:rsidR="006B001C">
        <w:rPr>
          <w:lang w:eastAsia="en-AU"/>
        </w:rPr>
        <w:t>Scientific basis for</w:t>
      </w:r>
      <w:r w:rsidR="006B001C" w:rsidRPr="00143C66">
        <w:rPr>
          <w:lang w:eastAsia="en-AU"/>
        </w:rPr>
        <w:t xml:space="preserve"> </w:t>
      </w:r>
      <w:r w:rsidR="006B001C" w:rsidRPr="00297E2F">
        <w:rPr>
          <w:i/>
          <w:lang w:eastAsia="en-AU"/>
        </w:rPr>
        <w:t>Listeria monocytogenes</w:t>
      </w:r>
      <w:r w:rsidR="006B001C">
        <w:rPr>
          <w:lang w:eastAsia="en-AU"/>
        </w:rPr>
        <w:t xml:space="preserve"> limits</w:t>
      </w:r>
    </w:p>
    <w:p w:rsidR="00051ED9" w:rsidRDefault="00562917" w:rsidP="00772BDC">
      <w:r w:rsidRPr="00E203C2">
        <w:br w:type="page"/>
      </w:r>
    </w:p>
    <w:p w:rsidR="00E063C6" w:rsidRDefault="00F828F6" w:rsidP="000A5DF8">
      <w:pPr>
        <w:pStyle w:val="Heading1"/>
      </w:pPr>
      <w:bookmarkStart w:id="1" w:name="_Toc286391001"/>
      <w:bookmarkStart w:id="2" w:name="_Toc300933414"/>
      <w:bookmarkStart w:id="3" w:name="_Toc37158520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696870" w:rsidRDefault="00696870" w:rsidP="0034171C">
      <w:bookmarkStart w:id="9" w:name="_Toc286391003"/>
      <w:r w:rsidRPr="002B3EEA">
        <w:t xml:space="preserve">Standard 1.6.1 – Microbiological Limits for Food was included in the </w:t>
      </w:r>
      <w:r w:rsidRPr="002B3EEA">
        <w:rPr>
          <w:i/>
        </w:rPr>
        <w:t xml:space="preserve">Australia New Zealand Food Standards Code </w:t>
      </w:r>
      <w:r w:rsidRPr="002B3EEA">
        <w:t>(the Code) in December 2000. Since this Standard was developed, food safety requirements have been included in the Code supporting a preventative approach to food safety</w:t>
      </w:r>
      <w:r>
        <w:t xml:space="preserve"> and w</w:t>
      </w:r>
      <w:r w:rsidRPr="002B3EEA">
        <w:t xml:space="preserve">ork has also progressed internationally to establish microbiological criteria for </w:t>
      </w:r>
      <w:r w:rsidRPr="002B3EEA">
        <w:rPr>
          <w:i/>
        </w:rPr>
        <w:t>Listeria monocytogenes</w:t>
      </w:r>
      <w:r w:rsidRPr="002B3EEA">
        <w:t xml:space="preserve"> </w:t>
      </w:r>
      <w:r w:rsidR="00716FCE">
        <w:t>(</w:t>
      </w:r>
      <w:r w:rsidR="00716FCE" w:rsidRPr="009847AB">
        <w:rPr>
          <w:i/>
        </w:rPr>
        <w:t>L</w:t>
      </w:r>
      <w:r w:rsidR="00716FCE">
        <w:rPr>
          <w:i/>
        </w:rPr>
        <w:t>. monocytogenes</w:t>
      </w:r>
      <w:r w:rsidR="00716FCE">
        <w:t>)</w:t>
      </w:r>
      <w:r w:rsidR="00716FCE">
        <w:rPr>
          <w:i/>
        </w:rPr>
        <w:t xml:space="preserve"> </w:t>
      </w:r>
      <w:r w:rsidRPr="002B3EEA">
        <w:t>more broadly in ready-to-eat foods</w:t>
      </w:r>
      <w:r w:rsidR="00574635">
        <w:t xml:space="preserve"> (RTE)</w:t>
      </w:r>
      <w:r w:rsidRPr="002B3EEA">
        <w:t xml:space="preserve">. </w:t>
      </w:r>
    </w:p>
    <w:p w:rsidR="00696870" w:rsidRDefault="00696870" w:rsidP="0034171C"/>
    <w:p w:rsidR="00696870" w:rsidRDefault="00EE44AA" w:rsidP="0034171C">
      <w:r w:rsidRPr="00BB3B4C">
        <w:t xml:space="preserve">Proposal P1017 </w:t>
      </w:r>
      <w:r w:rsidR="00803FB4">
        <w:t>proposes</w:t>
      </w:r>
      <w:r w:rsidRPr="00BB3B4C">
        <w:t xml:space="preserve"> to </w:t>
      </w:r>
      <w:r w:rsidR="001C6AF2">
        <w:t xml:space="preserve">replace existing limits for </w:t>
      </w:r>
      <w:r w:rsidR="001C6AF2" w:rsidRPr="001450C0">
        <w:rPr>
          <w:i/>
        </w:rPr>
        <w:t>L. monocytogenes</w:t>
      </w:r>
      <w:r w:rsidR="001C6AF2">
        <w:t xml:space="preserve"> in </w:t>
      </w:r>
      <w:r w:rsidR="001450C0">
        <w:t xml:space="preserve">nominated foods in </w:t>
      </w:r>
      <w:r w:rsidR="001C6AF2">
        <w:t>Standard 1.6.1 with</w:t>
      </w:r>
      <w:r w:rsidRPr="00BB3B4C">
        <w:t xml:space="preserve"> two sets of criteria for </w:t>
      </w:r>
      <w:r w:rsidRPr="00BB3B4C">
        <w:rPr>
          <w:i/>
        </w:rPr>
        <w:t>L</w:t>
      </w:r>
      <w:r>
        <w:rPr>
          <w:i/>
        </w:rPr>
        <w:t>. </w:t>
      </w:r>
      <w:r w:rsidRPr="00BB3B4C">
        <w:rPr>
          <w:i/>
        </w:rPr>
        <w:t>monocytogenes</w:t>
      </w:r>
      <w:r w:rsidRPr="00BB3B4C">
        <w:t xml:space="preserve"> in </w:t>
      </w:r>
      <w:r w:rsidR="001C6AF2">
        <w:t xml:space="preserve">RTE </w:t>
      </w:r>
      <w:r w:rsidRPr="00BB3B4C">
        <w:t>foods</w:t>
      </w:r>
      <w:r w:rsidR="001C6AF2">
        <w:t xml:space="preserve"> based on</w:t>
      </w:r>
      <w:r w:rsidRPr="00BB3B4C">
        <w:t xml:space="preserve"> whether </w:t>
      </w:r>
      <w:r>
        <w:t xml:space="preserve">growth </w:t>
      </w:r>
      <w:r w:rsidRPr="00BB3B4C">
        <w:t xml:space="preserve">of </w:t>
      </w:r>
      <w:r w:rsidRPr="00BB3B4C">
        <w:rPr>
          <w:i/>
        </w:rPr>
        <w:t>L. monocytogenes</w:t>
      </w:r>
      <w:r>
        <w:t xml:space="preserve"> will occur or not in </w:t>
      </w:r>
      <w:r w:rsidRPr="00BB3B4C">
        <w:t>the</w:t>
      </w:r>
      <w:r>
        <w:t xml:space="preserve"> RTE</w:t>
      </w:r>
      <w:r w:rsidRPr="00BB3B4C">
        <w:t xml:space="preserve"> food</w:t>
      </w:r>
      <w:r w:rsidR="00696870">
        <w:t>:</w:t>
      </w:r>
    </w:p>
    <w:p w:rsidR="00696870" w:rsidRPr="002B3EEA" w:rsidRDefault="00696870" w:rsidP="00696870"/>
    <w:p w:rsidR="00696870" w:rsidRPr="00803FB4" w:rsidRDefault="00696870" w:rsidP="00E11725">
      <w:pPr>
        <w:pStyle w:val="FSBullet1"/>
      </w:pPr>
      <w:r w:rsidRPr="00803FB4">
        <w:t xml:space="preserve">ready-to-eat foods in which growth of </w:t>
      </w:r>
      <w:r w:rsidRPr="00803FB4">
        <w:rPr>
          <w:i/>
        </w:rPr>
        <w:t>L. monocytogenes</w:t>
      </w:r>
      <w:r w:rsidRPr="00803FB4">
        <w:t xml:space="preserve"> will not occur (&lt;100 cfu/g)</w:t>
      </w:r>
    </w:p>
    <w:p w:rsidR="00696870" w:rsidRDefault="00696870" w:rsidP="00E11725">
      <w:pPr>
        <w:pStyle w:val="FSBullet1"/>
      </w:pPr>
      <w:r w:rsidRPr="00803FB4">
        <w:t xml:space="preserve">ready-to-eat foods in which growth of </w:t>
      </w:r>
      <w:r w:rsidRPr="00803FB4">
        <w:rPr>
          <w:i/>
        </w:rPr>
        <w:t>L. monocytogenes</w:t>
      </w:r>
      <w:r w:rsidRPr="00803FB4">
        <w:t xml:space="preserve"> can occur (not detected in </w:t>
      </w:r>
      <w:r w:rsidR="00041582">
        <w:t xml:space="preserve">   </w:t>
      </w:r>
      <w:r w:rsidRPr="00803FB4">
        <w:t>25 g)</w:t>
      </w:r>
    </w:p>
    <w:p w:rsidR="00CA49C3" w:rsidRDefault="00CA49C3" w:rsidP="00E41A8A">
      <w:pPr>
        <w:ind w:left="567"/>
      </w:pPr>
    </w:p>
    <w:p w:rsidR="00CA49C3" w:rsidRPr="00CA49C3" w:rsidRDefault="00CA49C3" w:rsidP="00E41A8A">
      <w:r>
        <w:t xml:space="preserve">This approach recognises that </w:t>
      </w:r>
      <w:r w:rsidR="006947CF">
        <w:t xml:space="preserve">it is the potential for foods to support growth of </w:t>
      </w:r>
      <w:r w:rsidR="006947CF" w:rsidRPr="006947CF">
        <w:rPr>
          <w:i/>
        </w:rPr>
        <w:t>L. monocytogenes</w:t>
      </w:r>
      <w:r w:rsidR="006947CF">
        <w:t xml:space="preserve"> that is a main factor in the risk of acquiring listeriosis</w:t>
      </w:r>
      <w:r>
        <w:t xml:space="preserve">. </w:t>
      </w:r>
      <w:r w:rsidR="006947CF">
        <w:t>For</w:t>
      </w:r>
      <w:r>
        <w:t xml:space="preserve"> foods </w:t>
      </w:r>
      <w:r w:rsidR="006947CF">
        <w:t>in which the growth of</w:t>
      </w:r>
      <w:r>
        <w:t xml:space="preserve"> </w:t>
      </w:r>
      <w:r w:rsidR="006947CF" w:rsidRPr="006947CF">
        <w:rPr>
          <w:i/>
        </w:rPr>
        <w:t>L monocytogenes</w:t>
      </w:r>
      <w:r>
        <w:t xml:space="preserve"> </w:t>
      </w:r>
      <w:r w:rsidR="006947CF">
        <w:t xml:space="preserve">will not occur, </w:t>
      </w:r>
      <w:r>
        <w:t>occasional low level detections</w:t>
      </w:r>
      <w:r w:rsidR="001F2638">
        <w:t xml:space="preserve"> (&lt;100 cfu/g) do not present a public health risk</w:t>
      </w:r>
      <w:r>
        <w:t>.</w:t>
      </w:r>
    </w:p>
    <w:p w:rsidR="00696870" w:rsidRDefault="00696870" w:rsidP="0034171C"/>
    <w:p w:rsidR="0034171C" w:rsidRDefault="00FF5EDA" w:rsidP="0034171C">
      <w:r>
        <w:t>P1017 has been prepared</w:t>
      </w:r>
      <w:r w:rsidR="00803FB4">
        <w:t xml:space="preserve"> to</w:t>
      </w:r>
      <w:r w:rsidR="001C6AF2">
        <w:t>:</w:t>
      </w:r>
    </w:p>
    <w:p w:rsidR="001C6AF2" w:rsidRDefault="001C6AF2" w:rsidP="0034171C"/>
    <w:p w:rsidR="00EE44AA" w:rsidRDefault="00803FB4" w:rsidP="00E11725">
      <w:pPr>
        <w:pStyle w:val="FSBullet1"/>
      </w:pPr>
      <w:r w:rsidRPr="00E11725">
        <w:t>Move</w:t>
      </w:r>
      <w:r w:rsidR="00EE44AA" w:rsidRPr="00E11725">
        <w:t xml:space="preserve"> from a product-by-product approach which specifie</w:t>
      </w:r>
      <w:r w:rsidRPr="00E11725">
        <w:t>s</w:t>
      </w:r>
      <w:r w:rsidR="00EE44AA" w:rsidRPr="00E11725">
        <w:t xml:space="preserve"> </w:t>
      </w:r>
      <w:r w:rsidR="00EE44AA" w:rsidRPr="00E11725">
        <w:rPr>
          <w:i/>
        </w:rPr>
        <w:t>L. monocytogenes</w:t>
      </w:r>
      <w:r w:rsidR="00EE44AA" w:rsidRPr="00E11725">
        <w:t xml:space="preserve"> limits for</w:t>
      </w:r>
      <w:r w:rsidR="00EE44AA">
        <w:t xml:space="preserve"> specific foods, regardless of individual product characteristics, to an internationally agreed risk-based approach that applies limits broadly to RTE foods based on product and processing characteristics. </w:t>
      </w:r>
      <w:r w:rsidR="00E11725">
        <w:t>This approach means there are no gaps (e.g. products not having limits applied because they are not specifically named) and also removes the</w:t>
      </w:r>
      <w:r w:rsidR="00EE44AA">
        <w:t xml:space="preserve"> inconsistencies between current regulatory limits and existing guideline criteria.</w:t>
      </w:r>
    </w:p>
    <w:p w:rsidR="00EE44AA" w:rsidRPr="00B0160E" w:rsidRDefault="00EE44AA" w:rsidP="00E11725">
      <w:pPr>
        <w:pStyle w:val="FSBullet1"/>
        <w:numPr>
          <w:ilvl w:val="0"/>
          <w:numId w:val="0"/>
        </w:numPr>
        <w:ind w:left="567"/>
      </w:pPr>
    </w:p>
    <w:p w:rsidR="00EE44AA" w:rsidRDefault="00EE44AA" w:rsidP="00E11725">
      <w:pPr>
        <w:pStyle w:val="FSBullet1"/>
      </w:pPr>
      <w:r>
        <w:t xml:space="preserve">Review elements of Standard 1.6.1 that are out-dated or unclear such as reference methods of analysis, the purpose of Standard 1.6.1 and the presentation of information within the Schedule to the standard.  </w:t>
      </w:r>
    </w:p>
    <w:p w:rsidR="00696870" w:rsidRDefault="00696870" w:rsidP="00A56E34"/>
    <w:p w:rsidR="00FF598D" w:rsidRDefault="00696870" w:rsidP="00A56E34">
      <w:r>
        <w:t>The 1</w:t>
      </w:r>
      <w:r w:rsidRPr="00A401B6">
        <w:rPr>
          <w:vertAlign w:val="superscript"/>
        </w:rPr>
        <w:t>st</w:t>
      </w:r>
      <w:r w:rsidR="00041582">
        <w:t xml:space="preserve"> </w:t>
      </w:r>
      <w:r>
        <w:t xml:space="preserve">call for submissions was released for public consultation in September 2012. </w:t>
      </w:r>
      <w:r w:rsidR="00803FB4" w:rsidRPr="00B53BAE">
        <w:rPr>
          <w:rFonts w:eastAsia="Calibri"/>
        </w:rPr>
        <w:t xml:space="preserve">FSANZ has considered the issues </w:t>
      </w:r>
      <w:proofErr w:type="gramStart"/>
      <w:r w:rsidR="00803FB4" w:rsidRPr="00B53BAE">
        <w:rPr>
          <w:rFonts w:eastAsia="Calibri"/>
        </w:rPr>
        <w:t>raised</w:t>
      </w:r>
      <w:proofErr w:type="gramEnd"/>
      <w:r w:rsidR="00803FB4" w:rsidRPr="00B53BAE">
        <w:rPr>
          <w:rFonts w:eastAsia="Calibri"/>
        </w:rPr>
        <w:t xml:space="preserve"> during </w:t>
      </w:r>
      <w:r w:rsidR="002E26C4">
        <w:rPr>
          <w:rFonts w:eastAsia="Calibri"/>
        </w:rPr>
        <w:t xml:space="preserve">public </w:t>
      </w:r>
      <w:r w:rsidR="00803FB4" w:rsidRPr="00B53BAE">
        <w:rPr>
          <w:rFonts w:eastAsia="Calibri"/>
        </w:rPr>
        <w:t xml:space="preserve">consultation and </w:t>
      </w:r>
      <w:r w:rsidR="002E26C4">
        <w:rPr>
          <w:rFonts w:eastAsia="Calibri"/>
        </w:rPr>
        <w:t>targeted consultation</w:t>
      </w:r>
      <w:r w:rsidR="001E244F">
        <w:rPr>
          <w:rFonts w:eastAsia="Calibri"/>
        </w:rPr>
        <w:t xml:space="preserve"> at</w:t>
      </w:r>
      <w:r w:rsidR="00803FB4">
        <w:t xml:space="preserve"> </w:t>
      </w:r>
      <w:r w:rsidR="001E244F">
        <w:t>two technical workshops held with participants</w:t>
      </w:r>
      <w:r w:rsidR="00D80430">
        <w:t xml:space="preserve"> from government, industry and public health laboratories. </w:t>
      </w:r>
    </w:p>
    <w:p w:rsidR="00FF598D" w:rsidRDefault="00FF598D" w:rsidP="00A56E34"/>
    <w:p w:rsidR="00FF598D" w:rsidRDefault="00FF598D" w:rsidP="00A56E34">
      <w:r w:rsidRPr="00731579">
        <w:t>FSANZ has decided to prepare a draft variation for the following reasons:</w:t>
      </w:r>
    </w:p>
    <w:p w:rsidR="00FF598D" w:rsidRDefault="00FF598D" w:rsidP="00A56E34"/>
    <w:p w:rsidR="00E11725" w:rsidRDefault="00FF598D" w:rsidP="00E11725">
      <w:pPr>
        <w:pStyle w:val="FSBullet1"/>
      </w:pPr>
      <w:r>
        <w:t xml:space="preserve">Increased knowledge of the factors that impact on the risk of acquiring listeriosis has permitted the classification of RTE foods on the basis of whether growth of </w:t>
      </w:r>
      <w:r w:rsidRPr="006940FF">
        <w:rPr>
          <w:i/>
        </w:rPr>
        <w:t>L. monocytogenes</w:t>
      </w:r>
      <w:r w:rsidR="001E244F">
        <w:t xml:space="preserve"> can occur</w:t>
      </w:r>
      <w:r>
        <w:t>.</w:t>
      </w:r>
      <w:r w:rsidR="00E11725" w:rsidRPr="00E11725">
        <w:t xml:space="preserve"> </w:t>
      </w:r>
      <w:r w:rsidR="00E11725">
        <w:t xml:space="preserve">Including limits for </w:t>
      </w:r>
      <w:r w:rsidR="00E11725" w:rsidRPr="0093138A">
        <w:rPr>
          <w:i/>
        </w:rPr>
        <w:t>L. monocytogenes</w:t>
      </w:r>
      <w:r w:rsidR="00E11725">
        <w:t xml:space="preserve"> in Standard 1.6.1 on the basis of whether the food is ready-to-eat and can or cannot support its growth is risk</w:t>
      </w:r>
      <w:r w:rsidR="001E244F">
        <w:t>-</w:t>
      </w:r>
      <w:r w:rsidR="00E11725">
        <w:t>based and supported by the evidence.</w:t>
      </w:r>
    </w:p>
    <w:p w:rsidR="00FF598D" w:rsidRDefault="00FF598D" w:rsidP="00E11725">
      <w:pPr>
        <w:pStyle w:val="FSBullet1"/>
        <w:numPr>
          <w:ilvl w:val="0"/>
          <w:numId w:val="0"/>
        </w:numPr>
        <w:ind w:left="567"/>
      </w:pPr>
    </w:p>
    <w:p w:rsidR="00E11725" w:rsidRPr="00E11725" w:rsidRDefault="00E11725" w:rsidP="00E11725">
      <w:pPr>
        <w:pStyle w:val="FSBullet1"/>
      </w:pPr>
      <w:r>
        <w:t xml:space="preserve">The inclusion of limits for </w:t>
      </w:r>
      <w:r w:rsidRPr="00E11725">
        <w:rPr>
          <w:i/>
        </w:rPr>
        <w:t>L. monocytogenes</w:t>
      </w:r>
      <w:r>
        <w:t xml:space="preserve"> in Standard 1.6.1 </w:t>
      </w:r>
      <w:r w:rsidRPr="005B6759">
        <w:t>provide</w:t>
      </w:r>
      <w:r>
        <w:t>s</w:t>
      </w:r>
      <w:r w:rsidRPr="005B6759">
        <w:t xml:space="preserve"> a measure to industry and regulators as to the m</w:t>
      </w:r>
      <w:r>
        <w:t>aximum number of microorganisms</w:t>
      </w:r>
      <w:r w:rsidRPr="005B6759">
        <w:t xml:space="preserve"> that must not be exceeded </w:t>
      </w:r>
      <w:r>
        <w:t xml:space="preserve">to ensure food is safe. This is an important risk management tool for reducing exposure to </w:t>
      </w:r>
      <w:r w:rsidRPr="007C69C2">
        <w:rPr>
          <w:i/>
        </w:rPr>
        <w:t>L. monocytogenes</w:t>
      </w:r>
      <w:r>
        <w:t xml:space="preserve"> and the incidence of listeriosis.</w:t>
      </w:r>
    </w:p>
    <w:p w:rsidR="005D5CF1" w:rsidRDefault="005D5CF1" w:rsidP="00FF598D">
      <w:pPr>
        <w:rPr>
          <w:rFonts w:cs="Arial"/>
        </w:rPr>
      </w:pPr>
      <w:r>
        <w:rPr>
          <w:rFonts w:cs="Arial"/>
        </w:rPr>
        <w:br w:type="page"/>
      </w:r>
    </w:p>
    <w:p w:rsidR="00FF598D" w:rsidRDefault="00FF598D" w:rsidP="00E11725">
      <w:pPr>
        <w:pStyle w:val="FSBullet1"/>
      </w:pPr>
      <w:r>
        <w:lastRenderedPageBreak/>
        <w:t xml:space="preserve">Establishing limits across all RTE foods for </w:t>
      </w:r>
      <w:r w:rsidRPr="00A12215">
        <w:rPr>
          <w:i/>
        </w:rPr>
        <w:t>L. monocytogenes</w:t>
      </w:r>
      <w:r>
        <w:t xml:space="preserve"> will provide greater certainty to businesses as to when actions (such as recall) may be required. </w:t>
      </w:r>
    </w:p>
    <w:p w:rsidR="00E313DA" w:rsidRPr="00E313DA" w:rsidRDefault="00E313DA" w:rsidP="007843F6"/>
    <w:p w:rsidR="00E313DA" w:rsidRDefault="00E313DA" w:rsidP="00E313DA">
      <w:pPr>
        <w:pStyle w:val="FSBullet1"/>
      </w:pPr>
      <w:r>
        <w:t>It removes the current inconsistency between guidance documents (e.g. Recall Guidelines) and limits in Standard 1.6.1.</w:t>
      </w:r>
    </w:p>
    <w:p w:rsidR="008010AC" w:rsidRPr="008010AC" w:rsidRDefault="008010AC" w:rsidP="008010AC">
      <w:pPr>
        <w:rPr>
          <w:lang w:bidi="ar-SA"/>
        </w:rPr>
      </w:pPr>
    </w:p>
    <w:p w:rsidR="00E313DA" w:rsidRPr="00E313DA" w:rsidRDefault="00D5352F" w:rsidP="00D5352F">
      <w:pPr>
        <w:pStyle w:val="FSBullet1"/>
      </w:pPr>
      <w:r>
        <w:t xml:space="preserve">It harmonises with international approaches to applying limits for </w:t>
      </w:r>
      <w:r w:rsidRPr="007267A2">
        <w:rPr>
          <w:i/>
        </w:rPr>
        <w:t>L. monocytogenes</w:t>
      </w:r>
    </w:p>
    <w:p w:rsidR="00FF598D" w:rsidRDefault="00FF598D" w:rsidP="00A56E34"/>
    <w:p w:rsidR="00FF598D" w:rsidRDefault="00FF598D" w:rsidP="00FF598D">
      <w:r>
        <w:t xml:space="preserve">To support this approach a </w:t>
      </w:r>
      <w:r w:rsidR="00DC5CD0">
        <w:t xml:space="preserve">draft </w:t>
      </w:r>
      <w:r>
        <w:t xml:space="preserve">guidance document </w:t>
      </w:r>
      <w:r w:rsidRPr="00E11620">
        <w:rPr>
          <w:i/>
        </w:rPr>
        <w:t>Guide to the application of limits for L. monocytogenes</w:t>
      </w:r>
      <w:r>
        <w:t xml:space="preserve"> has been developed and is provided </w:t>
      </w:r>
      <w:r w:rsidR="00DC5CD0">
        <w:t xml:space="preserve">for comment </w:t>
      </w:r>
      <w:r>
        <w:t>as S</w:t>
      </w:r>
      <w:r w:rsidR="001124EA">
        <w:t xml:space="preserve">upporting </w:t>
      </w:r>
      <w:r>
        <w:t>D</w:t>
      </w:r>
      <w:r w:rsidR="001124EA">
        <w:t xml:space="preserve">ocument </w:t>
      </w:r>
      <w:r>
        <w:t>1</w:t>
      </w:r>
      <w:r w:rsidR="001124EA">
        <w:t xml:space="preserve"> (SD1)</w:t>
      </w:r>
      <w:r>
        <w:t xml:space="preserve">. </w:t>
      </w:r>
    </w:p>
    <w:p w:rsidR="0053464E" w:rsidRDefault="0053464E" w:rsidP="00A56E34">
      <w:r>
        <w:br w:type="page"/>
      </w:r>
    </w:p>
    <w:p w:rsidR="002A5F8B" w:rsidRDefault="00F828F6" w:rsidP="000B6AF2">
      <w:pPr>
        <w:pStyle w:val="Heading1"/>
      </w:pPr>
      <w:bookmarkStart w:id="10" w:name="_Toc300933417"/>
      <w:bookmarkStart w:id="11" w:name="_Toc371585203"/>
      <w:r>
        <w:lastRenderedPageBreak/>
        <w:t>1</w:t>
      </w:r>
      <w:r w:rsidR="001542D8">
        <w:tab/>
      </w:r>
      <w:r w:rsidR="002A5F8B" w:rsidRPr="000B6AF2">
        <w:t>Introduction</w:t>
      </w:r>
      <w:bookmarkEnd w:id="9"/>
      <w:bookmarkEnd w:id="10"/>
      <w:bookmarkEnd w:id="11"/>
    </w:p>
    <w:p w:rsidR="00E41A8A" w:rsidRDefault="00F03DD8" w:rsidP="0088407E">
      <w:r w:rsidRPr="002B3EEA">
        <w:t xml:space="preserve">Microbiological </w:t>
      </w:r>
      <w:r w:rsidR="00A52E00">
        <w:t>limits</w:t>
      </w:r>
      <w:r w:rsidR="00A52E00" w:rsidRPr="002B3EEA">
        <w:t xml:space="preserve"> </w:t>
      </w:r>
      <w:r w:rsidRPr="002B3EEA">
        <w:t xml:space="preserve">for foods are </w:t>
      </w:r>
      <w:r w:rsidR="00A76BD1">
        <w:t>contained</w:t>
      </w:r>
      <w:r w:rsidRPr="002B3EEA">
        <w:t xml:space="preserve"> in Standard 1.6.1 — Microbiological Limits for Foods in the </w:t>
      </w:r>
      <w:r w:rsidRPr="002B3EEA">
        <w:rPr>
          <w:i/>
        </w:rPr>
        <w:t>Australia New Zealand Food Standards Code</w:t>
      </w:r>
      <w:r w:rsidRPr="002B3EEA">
        <w:t xml:space="preserve"> (the Code).</w:t>
      </w:r>
      <w:r>
        <w:t xml:space="preserve"> FSANZ is undertaking a review of the limits specified in Standard 1.6.1 and </w:t>
      </w:r>
      <w:r w:rsidRPr="00F03DD8">
        <w:t>prepared a background paper outlining issues to be covered in the review and the principles and guidelines that will underpin this work</w:t>
      </w:r>
      <w:r w:rsidR="00B54F42">
        <w:t xml:space="preserve"> (FSANZ, 2012)</w:t>
      </w:r>
      <w:r w:rsidR="005D5CF1">
        <w:rPr>
          <w:rStyle w:val="FootnoteReference"/>
        </w:rPr>
        <w:footnoteReference w:id="1"/>
      </w:r>
      <w:r w:rsidR="00A76BD1">
        <w:t>.</w:t>
      </w:r>
      <w:r w:rsidR="00AD0087">
        <w:t xml:space="preserve"> </w:t>
      </w:r>
      <w:r w:rsidR="00E41A8A">
        <w:t xml:space="preserve"> </w:t>
      </w:r>
    </w:p>
    <w:p w:rsidR="00A52E00" w:rsidRDefault="00A52E00" w:rsidP="0088407E"/>
    <w:p w:rsidR="009D07D2" w:rsidRDefault="009D07D2" w:rsidP="009D07D2">
      <w:pPr>
        <w:keepLines/>
      </w:pPr>
      <w:r>
        <w:t xml:space="preserve">Since Standard 1.6.1 was introduced, FSANZ has developed Chapter 3 Food Safety Standards and sector specific Primary Production and Processing Standards (Chapter 4 Standards). These standards provide obligations on food businesses and food handlers to produce food that is safe to eat. </w:t>
      </w:r>
      <w:r w:rsidR="003E3237">
        <w:t>P</w:t>
      </w:r>
      <w:r>
        <w:t>reventative approaches to food safety in Australia and New Zealand rely on food businesses implementing control measures throughout their production process and verifying that these measures are in place and working effectively.</w:t>
      </w:r>
    </w:p>
    <w:p w:rsidR="009D07D2" w:rsidRDefault="009D07D2" w:rsidP="009D07D2">
      <w:pPr>
        <w:keepLines/>
      </w:pPr>
    </w:p>
    <w:p w:rsidR="009D07D2" w:rsidRDefault="009D07D2" w:rsidP="009D07D2">
      <w:pPr>
        <w:keepLines/>
      </w:pPr>
      <w:r>
        <w:t xml:space="preserve">Food safety programs have also been mandated for a number of businesses in response to </w:t>
      </w:r>
      <w:r w:rsidR="005D5CF1">
        <w:t xml:space="preserve">Ministerial </w:t>
      </w:r>
      <w:r w:rsidRPr="005D5CF1">
        <w:t>policy guidelines</w:t>
      </w:r>
      <w:r w:rsidR="005D5CF1">
        <w:rPr>
          <w:rStyle w:val="FootnoteReference"/>
        </w:rPr>
        <w:footnoteReference w:id="2"/>
      </w:r>
      <w:r>
        <w:t xml:space="preserve"> that recommended </w:t>
      </w:r>
      <w:r w:rsidR="007843F6">
        <w:t>certain</w:t>
      </w:r>
      <w:r>
        <w:t xml:space="preserve"> food business sectors should develop and implement mandatory food safety programs</w:t>
      </w:r>
      <w:r w:rsidR="007843F6">
        <w:t xml:space="preserve"> including</w:t>
      </w:r>
      <w:r>
        <w:t>:</w:t>
      </w:r>
    </w:p>
    <w:p w:rsidR="005D5CF1" w:rsidRDefault="005D5CF1" w:rsidP="009D07D2">
      <w:pPr>
        <w:keepLines/>
      </w:pPr>
    </w:p>
    <w:p w:rsidR="009D07D2" w:rsidRDefault="009D07D2" w:rsidP="005D5CF1">
      <w:pPr>
        <w:pStyle w:val="FSBullet1"/>
      </w:pPr>
      <w:r>
        <w:t>food service in which potentially hazardous food is served to vulnerable populations</w:t>
      </w:r>
    </w:p>
    <w:p w:rsidR="00E60214" w:rsidRDefault="009D07D2" w:rsidP="005D5CF1">
      <w:pPr>
        <w:pStyle w:val="FSBullet1"/>
      </w:pPr>
      <w:proofErr w:type="gramStart"/>
      <w:r>
        <w:t>businesses</w:t>
      </w:r>
      <w:proofErr w:type="gramEnd"/>
      <w:r>
        <w:t xml:space="preserve"> producing manufactured and fermented meat.</w:t>
      </w:r>
    </w:p>
    <w:p w:rsidR="00E60214" w:rsidRDefault="00E60214" w:rsidP="007843F6">
      <w:pPr>
        <w:keepLines/>
      </w:pPr>
    </w:p>
    <w:p w:rsidR="00064451" w:rsidRDefault="00064451" w:rsidP="00064451">
      <w:r>
        <w:t>In addition to the developments in food safety management that have progressed since the development of Standard 1.6.1, other issues that have been identified include:</w:t>
      </w:r>
    </w:p>
    <w:p w:rsidR="00064451" w:rsidRDefault="00064451" w:rsidP="00064451"/>
    <w:p w:rsidR="00CA3BE9" w:rsidRDefault="00CA3BE9" w:rsidP="005D5CF1">
      <w:pPr>
        <w:pStyle w:val="FSBullet1"/>
      </w:pPr>
      <w:r w:rsidRPr="002B3EEA">
        <w:t xml:space="preserve">Over time, foods other than those listed in Standard 1.6.1 have also been associated with listeriosis outbreaks (e.g. cooked chicken meat, RTE minimally processed fruits and vegetables). A product-by-product (vertical) approach to setting regulatory limits for </w:t>
      </w:r>
      <w:r w:rsidRPr="00CA3BE9">
        <w:rPr>
          <w:i/>
        </w:rPr>
        <w:t>L. monocytogenes</w:t>
      </w:r>
      <w:r w:rsidRPr="002B3EEA">
        <w:t xml:space="preserve"> has meant that other ready-to eat foods that may support the growth of </w:t>
      </w:r>
      <w:r w:rsidRPr="00CA3BE9">
        <w:rPr>
          <w:i/>
        </w:rPr>
        <w:t>L. monocytogenes</w:t>
      </w:r>
      <w:r w:rsidRPr="002B3EEA">
        <w:t xml:space="preserve"> may not be regulated equivalently. </w:t>
      </w:r>
    </w:p>
    <w:p w:rsidR="00CA3BE9" w:rsidRDefault="00CA3BE9" w:rsidP="00CA3BE9"/>
    <w:p w:rsidR="00CA3BE9" w:rsidRPr="002B3EEA" w:rsidRDefault="00CA3BE9" w:rsidP="005D5CF1">
      <w:pPr>
        <w:pStyle w:val="FSBullet1"/>
      </w:pPr>
      <w:r w:rsidRPr="002B3EEA">
        <w:t xml:space="preserve">There is an inconsistent approach between applying regulatory limits and guideline criteria. The limits in Standard 1.6.1 for generic product categories do not allow discretion as to whether the particular properties of a food support the growth or not of </w:t>
      </w:r>
      <w:r w:rsidR="005D5CF1">
        <w:t xml:space="preserve">      </w:t>
      </w:r>
      <w:r w:rsidRPr="005D5CF1">
        <w:rPr>
          <w:i/>
        </w:rPr>
        <w:t>L. monocytogenes</w:t>
      </w:r>
      <w:r w:rsidRPr="002B3EEA">
        <w:t xml:space="preserve">. Foods within a category may have different product formulations and intrinsic characteristics thereby presenting different risks, however the risk management approach (and enforcement action) is the same. In contrast, the guideline criteria and international approaches further differentiate products that support the growth of </w:t>
      </w:r>
      <w:r w:rsidRPr="005D5CF1">
        <w:rPr>
          <w:i/>
        </w:rPr>
        <w:t>L. monocytogenes</w:t>
      </w:r>
      <w:r w:rsidRPr="002B3EEA">
        <w:t xml:space="preserve">, even within categories. </w:t>
      </w:r>
    </w:p>
    <w:p w:rsidR="00CA3BE9" w:rsidRDefault="00CA3BE9" w:rsidP="0088407E"/>
    <w:p w:rsidR="00EB675C" w:rsidRDefault="00A76BD1" w:rsidP="0088407E">
      <w:r>
        <w:t xml:space="preserve">P1017 </w:t>
      </w:r>
      <w:r w:rsidR="002E26C4">
        <w:t xml:space="preserve">is </w:t>
      </w:r>
      <w:r w:rsidR="00EB675C">
        <w:t>the</w:t>
      </w:r>
      <w:r>
        <w:t xml:space="preserve"> first stage of th</w:t>
      </w:r>
      <w:r w:rsidR="007843F6">
        <w:t>e</w:t>
      </w:r>
      <w:r>
        <w:t xml:space="preserve"> review</w:t>
      </w:r>
      <w:r w:rsidR="007843F6">
        <w:t xml:space="preserve"> of limits in Standard 1.6.1</w:t>
      </w:r>
      <w:r w:rsidR="00EB675C">
        <w:t xml:space="preserve">. In addition to assessing limits for </w:t>
      </w:r>
      <w:r w:rsidR="00EB675C" w:rsidRPr="00EB675C">
        <w:rPr>
          <w:i/>
        </w:rPr>
        <w:t>L</w:t>
      </w:r>
      <w:r w:rsidR="002E26C4">
        <w:rPr>
          <w:i/>
        </w:rPr>
        <w:t>.</w:t>
      </w:r>
      <w:r w:rsidR="00EB675C" w:rsidRPr="00EB675C">
        <w:rPr>
          <w:i/>
        </w:rPr>
        <w:t xml:space="preserve"> monocytogenes</w:t>
      </w:r>
      <w:r w:rsidR="00EB675C">
        <w:t xml:space="preserve"> in ready-to-eat (RTE) foods, </w:t>
      </w:r>
      <w:r w:rsidR="00DC4D46">
        <w:t xml:space="preserve">P1017 </w:t>
      </w:r>
      <w:r w:rsidR="00EB675C">
        <w:t>propose</w:t>
      </w:r>
      <w:r w:rsidR="00265C3A">
        <w:t>s</w:t>
      </w:r>
      <w:r w:rsidR="00EB675C">
        <w:t xml:space="preserve"> amendments to Standard 1.6.1 to address identified problems </w:t>
      </w:r>
      <w:r w:rsidR="00265C3A">
        <w:t xml:space="preserve">with the </w:t>
      </w:r>
      <w:r w:rsidR="00506BF7">
        <w:t xml:space="preserve">Standard </w:t>
      </w:r>
      <w:r w:rsidR="00EB675C">
        <w:t xml:space="preserve">and which will provide the basis for </w:t>
      </w:r>
      <w:r w:rsidR="00265C3A">
        <w:t>further</w:t>
      </w:r>
      <w:r w:rsidR="00EB675C">
        <w:t xml:space="preserve"> revisions, </w:t>
      </w:r>
      <w:r w:rsidR="00EB675C" w:rsidRPr="00E13790">
        <w:t>including:</w:t>
      </w:r>
    </w:p>
    <w:p w:rsidR="00041582" w:rsidRPr="00E13790" w:rsidRDefault="00041582" w:rsidP="0088407E"/>
    <w:p w:rsidR="00EB675C" w:rsidRPr="00E13790" w:rsidRDefault="00041582" w:rsidP="00E11725">
      <w:pPr>
        <w:pStyle w:val="FSBullet1"/>
      </w:pPr>
      <w:r>
        <w:t>u</w:t>
      </w:r>
      <w:r w:rsidR="00EB675C" w:rsidRPr="00E13790">
        <w:t>pdating reference methods of analysis</w:t>
      </w:r>
    </w:p>
    <w:p w:rsidR="00A76BD1" w:rsidRPr="00E13790" w:rsidRDefault="00041582" w:rsidP="00E11725">
      <w:pPr>
        <w:pStyle w:val="FSBullet1"/>
      </w:pPr>
      <w:r>
        <w:t>i</w:t>
      </w:r>
      <w:r w:rsidR="00265C3A" w:rsidRPr="00E13790">
        <w:t xml:space="preserve">ncluding analytical units within the Schedule to the </w:t>
      </w:r>
      <w:r w:rsidR="00F5647C">
        <w:t>S</w:t>
      </w:r>
      <w:r w:rsidR="00F5647C" w:rsidRPr="00E13790">
        <w:t>tandard</w:t>
      </w:r>
    </w:p>
    <w:p w:rsidR="005D5CF1" w:rsidRDefault="00041582" w:rsidP="005D5CF1">
      <w:pPr>
        <w:pStyle w:val="FSBullet1"/>
      </w:pPr>
      <w:r>
        <w:t>r</w:t>
      </w:r>
      <w:r w:rsidR="00265C3A" w:rsidRPr="00E13790">
        <w:t xml:space="preserve">ewording the “Purpose” to Standard 1.6.1 to more clearly reflect how the limits should be used and clarify that they apply to food for sale (i.e. are applicable at any point from </w:t>
      </w:r>
      <w:r w:rsidR="00E11725">
        <w:t xml:space="preserve">the end of </w:t>
      </w:r>
      <w:r w:rsidR="00265C3A" w:rsidRPr="00E13790">
        <w:t xml:space="preserve">manufacture through to </w:t>
      </w:r>
      <w:r w:rsidR="00E11725">
        <w:t>end of shelf life)</w:t>
      </w:r>
      <w:r w:rsidR="009E72AD" w:rsidRPr="00E13790">
        <w:t>.</w:t>
      </w:r>
      <w:r w:rsidR="00265C3A" w:rsidRPr="00E13790">
        <w:t xml:space="preserve"> </w:t>
      </w:r>
      <w:r w:rsidR="005D5CF1">
        <w:br w:type="page"/>
      </w:r>
    </w:p>
    <w:p w:rsidR="0053464E" w:rsidRDefault="00F828F6" w:rsidP="00A56E34">
      <w:pPr>
        <w:pStyle w:val="Heading2"/>
      </w:pPr>
      <w:bookmarkStart w:id="12" w:name="_Toc300761891"/>
      <w:bookmarkStart w:id="13" w:name="_Toc300933420"/>
      <w:bookmarkStart w:id="14" w:name="_Toc371585204"/>
      <w:r>
        <w:lastRenderedPageBreak/>
        <w:t>1</w:t>
      </w:r>
      <w:r w:rsidR="00312B1B">
        <w:t>.1</w:t>
      </w:r>
      <w:r w:rsidR="0053464E" w:rsidRPr="0053464E">
        <w:tab/>
        <w:t>The</w:t>
      </w:r>
      <w:bookmarkEnd w:id="12"/>
      <w:r w:rsidR="00312B1B" w:rsidRPr="00312B1B">
        <w:t xml:space="preserve"> </w:t>
      </w:r>
      <w:r w:rsidR="00256D65" w:rsidRPr="00312B1B">
        <w:t>Proposal</w:t>
      </w:r>
      <w:bookmarkEnd w:id="13"/>
      <w:bookmarkEnd w:id="14"/>
    </w:p>
    <w:p w:rsidR="0088407E" w:rsidRDefault="0088407E" w:rsidP="0088407E">
      <w:r w:rsidRPr="00BB3B4C">
        <w:t xml:space="preserve">P1017 seeks to establish two sets of criteria in Standard 1.6.1 for </w:t>
      </w:r>
      <w:r w:rsidRPr="00BB3B4C">
        <w:rPr>
          <w:i/>
        </w:rPr>
        <w:t>L</w:t>
      </w:r>
      <w:r>
        <w:rPr>
          <w:i/>
        </w:rPr>
        <w:t>. </w:t>
      </w:r>
      <w:r w:rsidRPr="00BB3B4C">
        <w:rPr>
          <w:i/>
        </w:rPr>
        <w:t>monocytogenes</w:t>
      </w:r>
      <w:r w:rsidRPr="00BB3B4C">
        <w:t xml:space="preserve"> in </w:t>
      </w:r>
      <w:r>
        <w:t>RTE</w:t>
      </w:r>
      <w:r w:rsidRPr="00BB3B4C">
        <w:t xml:space="preserve"> foods</w:t>
      </w:r>
      <w:r>
        <w:t>,</w:t>
      </w:r>
      <w:r w:rsidRPr="00BB3B4C">
        <w:t xml:space="preserve"> consistent with international</w:t>
      </w:r>
      <w:r>
        <w:t>ly agreed</w:t>
      </w:r>
      <w:r w:rsidRPr="00BB3B4C">
        <w:t xml:space="preserve"> </w:t>
      </w:r>
      <w:r>
        <w:t>criteria</w:t>
      </w:r>
      <w:r w:rsidRPr="00BB3B4C">
        <w:t>.</w:t>
      </w:r>
      <w:r>
        <w:t xml:space="preserve"> </w:t>
      </w:r>
      <w:r w:rsidR="009E72AD" w:rsidRPr="00BB3B4C">
        <w:t xml:space="preserve">The basis for the different criteria is whether </w:t>
      </w:r>
      <w:r w:rsidR="009E72AD">
        <w:t xml:space="preserve">growth </w:t>
      </w:r>
      <w:r w:rsidR="009E72AD" w:rsidRPr="00BB3B4C">
        <w:t xml:space="preserve">of </w:t>
      </w:r>
      <w:r w:rsidR="009E72AD" w:rsidRPr="00BB3B4C">
        <w:rPr>
          <w:i/>
        </w:rPr>
        <w:t>L. monocytogenes</w:t>
      </w:r>
      <w:r w:rsidR="009E72AD">
        <w:t xml:space="preserve"> </w:t>
      </w:r>
      <w:r w:rsidR="00F15C00">
        <w:t xml:space="preserve">can </w:t>
      </w:r>
      <w:r w:rsidR="009E72AD">
        <w:t xml:space="preserve">occur in </w:t>
      </w:r>
      <w:r w:rsidR="009E72AD" w:rsidRPr="00BB3B4C">
        <w:t>the</w:t>
      </w:r>
      <w:r w:rsidR="009E72AD">
        <w:t xml:space="preserve"> RTE</w:t>
      </w:r>
      <w:r w:rsidR="009E72AD" w:rsidRPr="00BB3B4C">
        <w:t xml:space="preserve"> food</w:t>
      </w:r>
      <w:r w:rsidR="009E72AD">
        <w:t xml:space="preserve">. </w:t>
      </w:r>
      <w:r w:rsidR="009E72AD" w:rsidRPr="00BB3B4C">
        <w:t xml:space="preserve"> </w:t>
      </w:r>
      <w:r w:rsidR="009E72AD">
        <w:t>T</w:t>
      </w:r>
      <w:r>
        <w:t>h</w:t>
      </w:r>
      <w:r w:rsidR="009E72AD">
        <w:t>is means that the</w:t>
      </w:r>
      <w:r>
        <w:t xml:space="preserve"> application of </w:t>
      </w:r>
      <w:r w:rsidRPr="009E454B">
        <w:rPr>
          <w:i/>
        </w:rPr>
        <w:t>L. monocytogenes</w:t>
      </w:r>
      <w:r>
        <w:t xml:space="preserve"> limits </w:t>
      </w:r>
      <w:r w:rsidR="009E72AD">
        <w:t>needs to</w:t>
      </w:r>
      <w:r>
        <w:t xml:space="preserve"> consider the physical and chemical characteristics of the food and</w:t>
      </w:r>
      <w:r w:rsidR="009E72AD">
        <w:t xml:space="preserve"> its</w:t>
      </w:r>
      <w:r>
        <w:t xml:space="preserve"> shelf life. </w:t>
      </w:r>
      <w:r w:rsidRPr="00BB3B4C">
        <w:t xml:space="preserve"> </w:t>
      </w:r>
    </w:p>
    <w:p w:rsidR="00C17346" w:rsidRDefault="00C17346" w:rsidP="0088407E"/>
    <w:p w:rsidR="00C17346" w:rsidRDefault="009E72AD" w:rsidP="00C17346">
      <w:r>
        <w:t xml:space="preserve">To support this </w:t>
      </w:r>
      <w:r w:rsidR="00C17346">
        <w:t>approach</w:t>
      </w:r>
      <w:r w:rsidR="00C0424A">
        <w:t>,</w:t>
      </w:r>
      <w:r w:rsidR="00C17346">
        <w:t xml:space="preserve"> </w:t>
      </w:r>
      <w:r w:rsidR="00C17346" w:rsidRPr="005B113E">
        <w:t xml:space="preserve">FSANZ </w:t>
      </w:r>
      <w:r>
        <w:t>has</w:t>
      </w:r>
      <w:r w:rsidR="00C17346" w:rsidRPr="005B113E">
        <w:t xml:space="preserve"> develop</w:t>
      </w:r>
      <w:r>
        <w:t>ed a</w:t>
      </w:r>
      <w:r w:rsidR="00C17346" w:rsidRPr="005B113E">
        <w:t xml:space="preserve"> </w:t>
      </w:r>
      <w:r w:rsidR="00DC5CD0">
        <w:t xml:space="preserve">draft </w:t>
      </w:r>
      <w:r w:rsidR="00C17346" w:rsidRPr="005B113E">
        <w:t xml:space="preserve">guidance </w:t>
      </w:r>
      <w:r>
        <w:t>document (SD</w:t>
      </w:r>
      <w:r w:rsidR="00EE44AA">
        <w:t>1</w:t>
      </w:r>
      <w:r>
        <w:t xml:space="preserve">) </w:t>
      </w:r>
      <w:r w:rsidR="00C17346" w:rsidRPr="005B113E">
        <w:t>on the particular criteria that</w:t>
      </w:r>
      <w:r w:rsidR="00DC5CD0">
        <w:t xml:space="preserve"> c</w:t>
      </w:r>
      <w:r w:rsidR="00C17346" w:rsidRPr="005B113E">
        <w:t xml:space="preserve">ould be taken into account in determining whether a food can support the growth of </w:t>
      </w:r>
      <w:r w:rsidR="00C17346">
        <w:rPr>
          <w:i/>
        </w:rPr>
        <w:t>L. </w:t>
      </w:r>
      <w:r w:rsidR="00C17346" w:rsidRPr="005B113E">
        <w:rPr>
          <w:i/>
        </w:rPr>
        <w:t>monocytogenes</w:t>
      </w:r>
      <w:r w:rsidR="00C17346" w:rsidRPr="005B113E">
        <w:t xml:space="preserve"> and </w:t>
      </w:r>
      <w:r w:rsidR="000F0228">
        <w:t>when validation is required.</w:t>
      </w:r>
      <w:r w:rsidR="00DC5CD0">
        <w:t xml:space="preserve"> Comments are sought on the draft </w:t>
      </w:r>
      <w:r w:rsidR="00DC5CD0" w:rsidRPr="005B113E">
        <w:t xml:space="preserve">guidance </w:t>
      </w:r>
      <w:r w:rsidR="00DC5CD0">
        <w:t>document.</w:t>
      </w:r>
    </w:p>
    <w:p w:rsidR="0053464E" w:rsidRDefault="00F828F6" w:rsidP="00A56E34">
      <w:pPr>
        <w:pStyle w:val="Heading2"/>
      </w:pPr>
      <w:bookmarkStart w:id="15" w:name="_Toc300761892"/>
      <w:bookmarkStart w:id="16" w:name="_Toc300933421"/>
      <w:bookmarkStart w:id="17" w:name="_Toc371585205"/>
      <w:r>
        <w:t>1</w:t>
      </w:r>
      <w:r w:rsidR="00A56E34">
        <w:t>.</w:t>
      </w:r>
      <w:r>
        <w:t>2</w:t>
      </w:r>
      <w:r w:rsidR="00A56E34">
        <w:tab/>
        <w:t>The c</w:t>
      </w:r>
      <w:r w:rsidR="0053464E" w:rsidRPr="0053464E">
        <w:t>urrent Standard</w:t>
      </w:r>
      <w:bookmarkEnd w:id="15"/>
      <w:bookmarkEnd w:id="16"/>
      <w:bookmarkEnd w:id="17"/>
    </w:p>
    <w:p w:rsidR="00312B1B" w:rsidRPr="002B3EEA" w:rsidRDefault="00312B1B" w:rsidP="00312B1B">
      <w:r w:rsidRPr="002B3EEA">
        <w:t xml:space="preserve">Standard 1.6.1 lists the maximum permissible microbiological limits for nominated foods, or classes of foods </w:t>
      </w:r>
      <w:r w:rsidR="00AD0087">
        <w:t>(</w:t>
      </w:r>
      <w:r w:rsidRPr="002B3EEA">
        <w:t>available via the FS</w:t>
      </w:r>
      <w:r w:rsidR="007A4FBC">
        <w:t>A</w:t>
      </w:r>
      <w:r w:rsidRPr="002B3EEA">
        <w:t>NZ website</w:t>
      </w:r>
      <w:r w:rsidR="00AD0087">
        <w:t>)</w:t>
      </w:r>
      <w:r w:rsidR="00AD0087">
        <w:rPr>
          <w:rStyle w:val="FootnoteReference"/>
        </w:rPr>
        <w:footnoteReference w:id="3"/>
      </w:r>
      <w:r w:rsidRPr="002B3EEA">
        <w:t>. The Standard covers a range of food products for which end product criteria have been established, and typically adopts a vertical approach where limits are provided for specific types of food.</w:t>
      </w:r>
    </w:p>
    <w:p w:rsidR="00312B1B" w:rsidRPr="002B3EEA" w:rsidRDefault="00312B1B" w:rsidP="00312B1B"/>
    <w:p w:rsidR="00312B1B" w:rsidRPr="002B3EEA" w:rsidRDefault="00312B1B" w:rsidP="00312B1B">
      <w:r w:rsidRPr="002B3EEA">
        <w:t xml:space="preserve">Regulatory limits for </w:t>
      </w:r>
      <w:r w:rsidRPr="002B3EEA">
        <w:rPr>
          <w:i/>
        </w:rPr>
        <w:t>L. monocytogenes</w:t>
      </w:r>
      <w:r w:rsidRPr="002B3EEA">
        <w:t xml:space="preserve"> specified in Standard 1.6.1 currently apply to a limited number of foods. The limit generally specified is “not detected in 25 g” (sampling plan n=5, c=0, m=0). For RTE processed finfish, a limit of 100 cfu per 25 g is allowed in 1 out of 5 samples (sampling plan n=5, c=1, m=0, M=1). An amendment to Standard 1.6.1 is required to change the regulatory limits for </w:t>
      </w:r>
      <w:r w:rsidRPr="002B3EEA">
        <w:rPr>
          <w:i/>
        </w:rPr>
        <w:t>L. monocytogenes</w:t>
      </w:r>
      <w:r w:rsidRPr="002B3EEA">
        <w:t xml:space="preserve"> in RTE foods. </w:t>
      </w:r>
    </w:p>
    <w:p w:rsidR="00312B1B" w:rsidRPr="002B3EEA" w:rsidRDefault="00F828F6" w:rsidP="00312B1B">
      <w:pPr>
        <w:pStyle w:val="Heading3"/>
      </w:pPr>
      <w:bookmarkStart w:id="18" w:name="_Toc335810279"/>
      <w:bookmarkStart w:id="19" w:name="_Toc371585206"/>
      <w:r>
        <w:t>1</w:t>
      </w:r>
      <w:r w:rsidR="00312B1B" w:rsidRPr="002B3EEA">
        <w:t>.</w:t>
      </w:r>
      <w:r>
        <w:t>2</w:t>
      </w:r>
      <w:r w:rsidR="00312B1B">
        <w:t>.1</w:t>
      </w:r>
      <w:r w:rsidR="00312B1B" w:rsidRPr="002B3EEA">
        <w:tab/>
        <w:t>Guidance documents</w:t>
      </w:r>
      <w:bookmarkEnd w:id="18"/>
      <w:bookmarkEnd w:id="19"/>
    </w:p>
    <w:p w:rsidR="00312B1B" w:rsidRPr="001F2638" w:rsidRDefault="00312B1B" w:rsidP="00312B1B">
      <w:r w:rsidRPr="002B3EEA">
        <w:t xml:space="preserve">In addition to the limits in Standard 1.6.1, </w:t>
      </w:r>
      <w:r w:rsidR="003C573C">
        <w:t xml:space="preserve"> current </w:t>
      </w:r>
      <w:r w:rsidRPr="002B3EEA">
        <w:t xml:space="preserve">guideline criteria for </w:t>
      </w:r>
      <w:r w:rsidRPr="002B3EEA">
        <w:rPr>
          <w:i/>
        </w:rPr>
        <w:t>L. monocytogenes</w:t>
      </w:r>
      <w:r w:rsidRPr="002B3EEA">
        <w:t xml:space="preserve"> in foods is provided in the FSANZ </w:t>
      </w:r>
      <w:r w:rsidRPr="005D5CF1">
        <w:rPr>
          <w:i/>
        </w:rPr>
        <w:t>Recall guidelines for packaged ready-to-eat foods found to contain Listeria monocytogenes at point of sale</w:t>
      </w:r>
      <w:r w:rsidRPr="002B3EEA">
        <w:t xml:space="preserve"> (Recall Guidelines)</w:t>
      </w:r>
      <w:r w:rsidR="005D5CF1">
        <w:rPr>
          <w:rStyle w:val="FootnoteReference"/>
        </w:rPr>
        <w:footnoteReference w:id="4"/>
      </w:r>
      <w:r w:rsidRPr="002B3EEA">
        <w:t xml:space="preserve"> and </w:t>
      </w:r>
      <w:r w:rsidRPr="005D5CF1">
        <w:rPr>
          <w:i/>
        </w:rPr>
        <w:t>Guidelines for the microbiological examination of ready-to-eat foods</w:t>
      </w:r>
      <w:r w:rsidRPr="002B3EEA">
        <w:t xml:space="preserve"> (RTE Guidelines)</w:t>
      </w:r>
      <w:r w:rsidR="005D5CF1">
        <w:rPr>
          <w:rStyle w:val="FootnoteReference"/>
        </w:rPr>
        <w:footnoteReference w:id="5"/>
      </w:r>
      <w:r w:rsidR="00FF13CB" w:rsidRPr="002B3EEA">
        <w:t xml:space="preserve"> </w:t>
      </w:r>
      <w:r w:rsidRPr="002B3EEA">
        <w:fldChar w:fldCharType="begin"/>
      </w:r>
      <w:r w:rsidRPr="002B3EEA">
        <w:instrText xml:space="preserve"> ADDIN REFMGR.CITE &lt;Refman&gt;&lt;Cite&gt;&lt;Author&gt;FSANZ&lt;/Author&gt;&lt;Year&gt;2001&lt;/Year&gt;&lt;RecNum&gt;4130&lt;/RecNum&gt;&lt;IDText&gt;Recall guidelines for packaged ready-to-eat foods found to contain Listeria monocytogenes at point of sale&lt;/IDText&gt;&lt;MDL Ref_Type="Report"&gt;&lt;Ref_Type&gt;Report&lt;/Ref_Type&gt;&lt;Ref_ID&gt;4130&lt;/Ref_ID&gt;&lt;Title_Primary&gt;Recall guidelines for packaged ready-to-eat foods found to contain &lt;i&gt;Listeria monocytogenes&lt;/i&gt; at point of sale&lt;/Title_Primary&gt;&lt;Authors_Primary&gt;FSANZ&lt;/Authors_Primary&gt;&lt;Date_Primary&gt;2001&lt;/Date_Primary&gt;&lt;Keywords&gt;FOODS&lt;/Keywords&gt;&lt;Keywords&gt;FOOD&lt;/Keywords&gt;&lt;Keywords&gt;Listeria&lt;/Keywords&gt;&lt;Keywords&gt;Listeria monocytogenes&lt;/Keywords&gt;&lt;Keywords&gt;LISTERIA-MONOCYTOGENES&lt;/Keywords&gt;&lt;Keywords&gt;MONOCYTOGENES&lt;/Keywords&gt;&lt;Reprint&gt;Not in File&lt;/Reprint&gt;&lt;Pub_Place&gt;Barton, ACT, Australia&lt;/Pub_Place&gt;&lt;Publisher&gt;Food Standards Australia New Zealand&lt;/Publisher&gt;&lt;Date_Secondary&gt;2012/6/14&lt;/Date_Secondary&gt;&lt;Web_URL&gt;&lt;u&gt;http://www.foodstandards.gov.au/consumerinformation/listeria/listeriarecallguidel1321.cfm&lt;/u&gt;&lt;/Web_URL&gt;&lt;ZZ_WorkformID&gt;24&lt;/ZZ_WorkformID&gt;&lt;/MDL&gt;&lt;/Cite&gt;&lt;Cite&gt;&lt;Author&gt;FSANZ&lt;/Author&gt;&lt;Year&gt;2001&lt;/Year&gt;&lt;RecNum&gt;7920&lt;/RecNum&gt;&lt;IDText&gt;Guidelines for the microbiological examination of ready-to- eat foods&lt;/IDText&gt;&lt;MDL Ref_Type="Report"&gt;&lt;Ref_Type&gt;Report&lt;/Ref_Type&gt;&lt;Ref_ID&gt;7920&lt;/Ref_ID&gt;&lt;Title_Primary&gt;Guidelines for the microbiological examination of ready-to- eat foods&lt;/Title_Primary&gt;&lt;Authors_Primary&gt;FSANZ&lt;/Authors_Primary&gt;&lt;Date_Primary&gt;2001&lt;/Date_Primary&gt;&lt;Keywords&gt;FOODS&lt;/Keywords&gt;&lt;Keywords&gt;FOOD&lt;/Keywords&gt;&lt;Reprint&gt;Not in File&lt;/Reprint&gt;&lt;Pub_Place&gt;Barton, ACT&lt;/Pub_Place&gt;&lt;Publisher&gt;Food Standards Australia New Zealand&lt;/Publisher&gt;&lt;Date_Secondary&gt;2012/6/4&lt;/Date_Secondary&gt;&lt;Web_URL&gt;&lt;u&gt;http://www.foodstandards.gov.au/scienceandeducation/publications/guidelinesformicrobi1306.cfm&lt;/u&gt;&lt;/Web_URL&gt;&lt;ZZ_WorkformID&gt;24&lt;/ZZ_WorkformID&gt;&lt;/MDL&gt;&lt;/Cite&gt;&lt;/Refman&gt;</w:instrText>
      </w:r>
      <w:r w:rsidRPr="002B3EEA">
        <w:fldChar w:fldCharType="separate"/>
      </w:r>
      <w:r w:rsidRPr="002B3EEA">
        <w:rPr>
          <w:noProof/>
        </w:rPr>
        <w:t>(FSANZ 2001a; FSANZ 2001b)</w:t>
      </w:r>
      <w:r w:rsidRPr="002B3EEA">
        <w:fldChar w:fldCharType="end"/>
      </w:r>
      <w:r w:rsidRPr="002B3EEA">
        <w:t xml:space="preserve">. These guidance documents establish two sets of limits for </w:t>
      </w:r>
      <w:r w:rsidRPr="002B3EEA">
        <w:rPr>
          <w:i/>
        </w:rPr>
        <w:t>L.</w:t>
      </w:r>
      <w:r w:rsidRPr="002B3EEA">
        <w:t xml:space="preserve"> </w:t>
      </w:r>
      <w:r w:rsidRPr="002B3EEA">
        <w:rPr>
          <w:i/>
        </w:rPr>
        <w:t>monocytogenes</w:t>
      </w:r>
      <w:r w:rsidRPr="002B3EEA">
        <w:t xml:space="preserve"> in ready-to-eat foods, based on whether a food is able to support the growth of </w:t>
      </w:r>
      <w:r w:rsidR="003C573C" w:rsidRPr="009E454B">
        <w:rPr>
          <w:i/>
        </w:rPr>
        <w:t>L. monocytogenes</w:t>
      </w:r>
      <w:r w:rsidR="004E4C8F">
        <w:rPr>
          <w:i/>
        </w:rPr>
        <w:t xml:space="preserve"> </w:t>
      </w:r>
      <w:r w:rsidR="004E4C8F" w:rsidRPr="004E4C8F">
        <w:t xml:space="preserve">which </w:t>
      </w:r>
      <w:r w:rsidR="004E4C8F">
        <w:t>does not align with the</w:t>
      </w:r>
      <w:r w:rsidR="00280E82">
        <w:t xml:space="preserve"> current</w:t>
      </w:r>
      <w:r w:rsidR="004E4C8F">
        <w:t xml:space="preserve"> Standard</w:t>
      </w:r>
      <w:r w:rsidR="004E4C8F" w:rsidRPr="004E4C8F">
        <w:t>.</w:t>
      </w:r>
      <w:r w:rsidR="004E4C8F">
        <w:rPr>
          <w:i/>
        </w:rPr>
        <w:t xml:space="preserve"> </w:t>
      </w:r>
      <w:r w:rsidR="001F2638" w:rsidRPr="001F2638">
        <w:t>It is proposed that</w:t>
      </w:r>
      <w:r w:rsidR="001F2638">
        <w:rPr>
          <w:i/>
        </w:rPr>
        <w:t xml:space="preserve"> </w:t>
      </w:r>
      <w:r w:rsidR="001F2638">
        <w:t xml:space="preserve">the Recall Guidelines will no longer be needed following the finalisation of P1017. </w:t>
      </w:r>
    </w:p>
    <w:p w:rsidR="00312B1B" w:rsidRPr="00312B1B" w:rsidRDefault="00F828F6" w:rsidP="00312B1B">
      <w:pPr>
        <w:pStyle w:val="Heading2"/>
        <w:rPr>
          <w:u w:color="FFFF00"/>
        </w:rPr>
      </w:pPr>
      <w:bookmarkStart w:id="20" w:name="_Toc286391007"/>
      <w:bookmarkStart w:id="21" w:name="_Toc300933423"/>
      <w:bookmarkStart w:id="22" w:name="_Toc175381432"/>
      <w:bookmarkStart w:id="23" w:name="_Toc371585207"/>
      <w:r>
        <w:rPr>
          <w:u w:color="FFFF00"/>
        </w:rPr>
        <w:t>1</w:t>
      </w:r>
      <w:r w:rsidR="00606C88">
        <w:rPr>
          <w:u w:color="FFFF00"/>
        </w:rPr>
        <w:t>.4</w:t>
      </w:r>
      <w:r w:rsidR="001542D8">
        <w:rPr>
          <w:u w:color="FFFF00"/>
        </w:rPr>
        <w:tab/>
      </w:r>
      <w:r w:rsidR="00741EFE">
        <w:rPr>
          <w:u w:color="FFFF00"/>
        </w:rPr>
        <w:t xml:space="preserve">Reasons for </w:t>
      </w:r>
      <w:bookmarkEnd w:id="20"/>
      <w:bookmarkEnd w:id="21"/>
      <w:r w:rsidR="00DE79D9" w:rsidRPr="00312B1B">
        <w:t>preparing the Proposal</w:t>
      </w:r>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4"/>
      <w:bookmarkEnd w:id="5"/>
      <w:bookmarkEnd w:id="6"/>
      <w:bookmarkEnd w:id="7"/>
      <w:bookmarkEnd w:id="8"/>
      <w:bookmarkEnd w:id="22"/>
      <w:bookmarkEnd w:id="23"/>
    </w:p>
    <w:p w:rsidR="00F6711B" w:rsidRDefault="002035AB" w:rsidP="0014184B">
      <w:pPr>
        <w:pStyle w:val="FSHeading"/>
        <w:ind w:left="0" w:firstLine="0"/>
        <w:rPr>
          <w:b w:val="0"/>
          <w:szCs w:val="24"/>
        </w:rPr>
      </w:pPr>
      <w:r>
        <w:rPr>
          <w:b w:val="0"/>
          <w:szCs w:val="24"/>
        </w:rPr>
        <w:t>The 1</w:t>
      </w:r>
      <w:r w:rsidRPr="002035AB">
        <w:rPr>
          <w:b w:val="0"/>
          <w:szCs w:val="24"/>
          <w:vertAlign w:val="superscript"/>
        </w:rPr>
        <w:t>st</w:t>
      </w:r>
      <w:r>
        <w:rPr>
          <w:b w:val="0"/>
          <w:szCs w:val="24"/>
        </w:rPr>
        <w:t xml:space="preserve"> </w:t>
      </w:r>
      <w:r w:rsidR="00E2177F">
        <w:rPr>
          <w:b w:val="0"/>
          <w:szCs w:val="24"/>
        </w:rPr>
        <w:t>c</w:t>
      </w:r>
      <w:r>
        <w:rPr>
          <w:b w:val="0"/>
          <w:szCs w:val="24"/>
        </w:rPr>
        <w:t xml:space="preserve">all for </w:t>
      </w:r>
      <w:r w:rsidR="00E2177F">
        <w:rPr>
          <w:b w:val="0"/>
          <w:szCs w:val="24"/>
        </w:rPr>
        <w:t>s</w:t>
      </w:r>
      <w:r>
        <w:rPr>
          <w:b w:val="0"/>
          <w:szCs w:val="24"/>
        </w:rPr>
        <w:t xml:space="preserve">ubmissions outlined a number of problems that had been identified with the current limits for </w:t>
      </w:r>
      <w:r w:rsidRPr="002035AB">
        <w:rPr>
          <w:b w:val="0"/>
          <w:i/>
          <w:szCs w:val="24"/>
        </w:rPr>
        <w:t>L. monocytogenes</w:t>
      </w:r>
      <w:r w:rsidR="00B0160E">
        <w:rPr>
          <w:b w:val="0"/>
          <w:szCs w:val="24"/>
        </w:rPr>
        <w:t xml:space="preserve"> in Standard 1.6.1</w:t>
      </w:r>
      <w:r>
        <w:rPr>
          <w:b w:val="0"/>
          <w:szCs w:val="24"/>
        </w:rPr>
        <w:t xml:space="preserve"> that this </w:t>
      </w:r>
      <w:r w:rsidR="002E26C4">
        <w:rPr>
          <w:b w:val="0"/>
          <w:szCs w:val="24"/>
        </w:rPr>
        <w:t>P</w:t>
      </w:r>
      <w:r w:rsidR="00F6711B">
        <w:rPr>
          <w:b w:val="0"/>
          <w:szCs w:val="24"/>
        </w:rPr>
        <w:t>roposal would address.</w:t>
      </w:r>
    </w:p>
    <w:p w:rsidR="00F6711B" w:rsidRDefault="00F6711B" w:rsidP="0014184B">
      <w:pPr>
        <w:pStyle w:val="FSHeading"/>
        <w:ind w:left="0" w:firstLine="0"/>
        <w:rPr>
          <w:b w:val="0"/>
          <w:szCs w:val="24"/>
        </w:rPr>
      </w:pPr>
    </w:p>
    <w:p w:rsidR="002035AB" w:rsidRDefault="00B0160E" w:rsidP="0014184B">
      <w:pPr>
        <w:pStyle w:val="FSHeading"/>
        <w:ind w:left="0" w:firstLine="0"/>
        <w:rPr>
          <w:b w:val="0"/>
          <w:szCs w:val="24"/>
        </w:rPr>
      </w:pPr>
      <w:r>
        <w:rPr>
          <w:b w:val="0"/>
          <w:szCs w:val="24"/>
        </w:rPr>
        <w:t>In particular, P1017 has been prepared to:</w:t>
      </w:r>
    </w:p>
    <w:p w:rsidR="002035AB" w:rsidRDefault="002035AB" w:rsidP="0014184B">
      <w:pPr>
        <w:pStyle w:val="FSHeading"/>
        <w:ind w:left="0" w:firstLine="0"/>
        <w:rPr>
          <w:b w:val="0"/>
          <w:szCs w:val="24"/>
        </w:rPr>
      </w:pPr>
    </w:p>
    <w:p w:rsidR="002035AB" w:rsidRDefault="00E11725" w:rsidP="00A401B6">
      <w:pPr>
        <w:pStyle w:val="FSBullet1"/>
      </w:pPr>
      <w:proofErr w:type="gramStart"/>
      <w:r>
        <w:t>m</w:t>
      </w:r>
      <w:r w:rsidR="002035AB">
        <w:t>ov</w:t>
      </w:r>
      <w:r w:rsidR="00B0160E">
        <w:t>e</w:t>
      </w:r>
      <w:proofErr w:type="gramEnd"/>
      <w:r w:rsidR="002035AB">
        <w:t xml:space="preserve"> from a</w:t>
      </w:r>
      <w:r w:rsidR="00B0160E">
        <w:t xml:space="preserve"> product-by-product</w:t>
      </w:r>
      <w:r w:rsidR="002035AB">
        <w:t xml:space="preserve"> approach which specified </w:t>
      </w:r>
      <w:r w:rsidR="00981C21" w:rsidRPr="00981C21">
        <w:rPr>
          <w:i/>
        </w:rPr>
        <w:t>L. monocytogenes</w:t>
      </w:r>
      <w:r w:rsidR="00981C21">
        <w:t xml:space="preserve"> </w:t>
      </w:r>
      <w:r w:rsidR="002035AB">
        <w:t>limits for specific foods</w:t>
      </w:r>
      <w:r w:rsidR="00B0160E">
        <w:t>,</w:t>
      </w:r>
      <w:r w:rsidR="002035AB">
        <w:t xml:space="preserve"> </w:t>
      </w:r>
      <w:r w:rsidR="00B0160E">
        <w:t xml:space="preserve">regardless of individual product characteristics, </w:t>
      </w:r>
      <w:r w:rsidR="002035AB">
        <w:t>to a</w:t>
      </w:r>
      <w:r w:rsidR="00B0160E">
        <w:t>n</w:t>
      </w:r>
      <w:r w:rsidR="002035AB">
        <w:t xml:space="preserve"> </w:t>
      </w:r>
      <w:r w:rsidR="00B0160E">
        <w:t>inter</w:t>
      </w:r>
      <w:r w:rsidR="002035AB">
        <w:t xml:space="preserve">nationally agreed </w:t>
      </w:r>
      <w:r w:rsidR="00B0160E">
        <w:t xml:space="preserve">risk-based </w:t>
      </w:r>
      <w:r w:rsidR="002035AB">
        <w:t xml:space="preserve">approach that </w:t>
      </w:r>
      <w:r w:rsidR="00B0160E">
        <w:t xml:space="preserve">applies limits </w:t>
      </w:r>
      <w:r w:rsidR="00981C21">
        <w:t>broadly</w:t>
      </w:r>
      <w:r w:rsidR="00B0160E">
        <w:t xml:space="preserve"> to RTE foods based on product and processing characteristics. This approach also removes inconsistencies between current regulatory limits and existing guideline criteria.</w:t>
      </w:r>
    </w:p>
    <w:p w:rsidR="005D5CF1" w:rsidRDefault="005D5CF1" w:rsidP="00B0160E">
      <w:r>
        <w:br w:type="page"/>
      </w:r>
    </w:p>
    <w:p w:rsidR="002035AB" w:rsidRDefault="00E11725" w:rsidP="00A401B6">
      <w:pPr>
        <w:pStyle w:val="FSBullet1"/>
      </w:pPr>
      <w:proofErr w:type="gramStart"/>
      <w:r>
        <w:lastRenderedPageBreak/>
        <w:t>r</w:t>
      </w:r>
      <w:r w:rsidR="00981C21">
        <w:t>eview</w:t>
      </w:r>
      <w:proofErr w:type="gramEnd"/>
      <w:r w:rsidR="00981C21">
        <w:t xml:space="preserve"> elements of Standard 1.6.1 that are out-dated or unclear such as reference methods of analysis, the purpose of Standard 1.6.1 and </w:t>
      </w:r>
      <w:r w:rsidR="0021358A">
        <w:t xml:space="preserve">the </w:t>
      </w:r>
      <w:r w:rsidR="00981C21">
        <w:t>presentation of information within the Schedule</w:t>
      </w:r>
      <w:r w:rsidR="0021358A">
        <w:t xml:space="preserve"> to the </w:t>
      </w:r>
      <w:r w:rsidR="00AF1DDF">
        <w:t>Standard</w:t>
      </w:r>
      <w:r w:rsidR="0021358A">
        <w:t>.</w:t>
      </w:r>
      <w:r w:rsidR="00981C21">
        <w:t xml:space="preserve">  </w:t>
      </w:r>
    </w:p>
    <w:p w:rsidR="00DE79D9" w:rsidRDefault="00F828F6" w:rsidP="00DE79D9">
      <w:pPr>
        <w:pStyle w:val="Heading2"/>
      </w:pPr>
      <w:bookmarkStart w:id="31" w:name="_Toc371585208"/>
      <w:r>
        <w:t>1</w:t>
      </w:r>
      <w:r w:rsidR="00606C88">
        <w:t>.5</w:t>
      </w:r>
      <w:r w:rsidR="00DE79D9">
        <w:tab/>
        <w:t>Procedure for assessment</w:t>
      </w:r>
      <w:bookmarkEnd w:id="31"/>
    </w:p>
    <w:p w:rsidR="00DE79D9" w:rsidRPr="000B6DAD" w:rsidRDefault="00DE79D9" w:rsidP="00DE79D9">
      <w:r w:rsidRPr="00932F14">
        <w:t xml:space="preserve">The </w:t>
      </w:r>
      <w:r w:rsidRPr="000B6DAD">
        <w:t xml:space="preserve">Proposal </w:t>
      </w:r>
      <w:r w:rsidR="00106AA7" w:rsidRPr="000B6DAD">
        <w:t>is</w:t>
      </w:r>
      <w:r w:rsidRPr="000B6DAD">
        <w:t xml:space="preserve"> being assessed under the Major Procedure</w:t>
      </w:r>
      <w:r w:rsidR="009749E0">
        <w:t xml:space="preserve"> </w:t>
      </w:r>
      <w:r w:rsidR="009749E0">
        <w:rPr>
          <w:rFonts w:cs="Arial"/>
        </w:rPr>
        <w:t>set out in Division 2 of Part 3 of the FSANZ Act</w:t>
      </w:r>
      <w:r w:rsidRPr="000B6DAD">
        <w:t>.</w:t>
      </w:r>
    </w:p>
    <w:p w:rsidR="00981C21" w:rsidRPr="000B6DAD" w:rsidRDefault="00981C21" w:rsidP="00180C41"/>
    <w:p w:rsidR="00AF387F" w:rsidRPr="00180C41" w:rsidRDefault="00F828F6" w:rsidP="00180C41">
      <w:pPr>
        <w:pStyle w:val="Heading1"/>
      </w:pPr>
      <w:bookmarkStart w:id="32" w:name="_Toc300933424"/>
      <w:bookmarkStart w:id="33" w:name="_Toc371585209"/>
      <w:r>
        <w:t>2</w:t>
      </w:r>
      <w:r w:rsidR="001542D8">
        <w:tab/>
      </w:r>
      <w:r w:rsidR="00350DBD">
        <w:t>S</w:t>
      </w:r>
      <w:r w:rsidR="00FB1533">
        <w:t>ummary of the a</w:t>
      </w:r>
      <w:r w:rsidR="00FD2FBE">
        <w:t>ssessment</w:t>
      </w:r>
      <w:bookmarkEnd w:id="24"/>
      <w:bookmarkEnd w:id="32"/>
      <w:bookmarkEnd w:id="33"/>
    </w:p>
    <w:p w:rsidR="00A01ACD" w:rsidRDefault="00A01ACD" w:rsidP="00A01ACD">
      <w:pPr>
        <w:pStyle w:val="Heading2"/>
      </w:pPr>
      <w:bookmarkStart w:id="34" w:name="_Toc300933438"/>
      <w:bookmarkStart w:id="35" w:name="_Toc370223471"/>
      <w:bookmarkStart w:id="36" w:name="_Toc371585210"/>
      <w:bookmarkStart w:id="37" w:name="_Toc286391009"/>
      <w:bookmarkStart w:id="38" w:name="_Toc300933425"/>
      <w:bookmarkStart w:id="39" w:name="_Toc120358583"/>
      <w:bookmarkStart w:id="40" w:name="_Toc175381440"/>
      <w:r w:rsidRPr="00A01ACD">
        <w:t>2.1</w:t>
      </w:r>
      <w:r w:rsidRPr="00A01ACD">
        <w:tab/>
        <w:t xml:space="preserve">Summary of issues raised </w:t>
      </w:r>
      <w:bookmarkEnd w:id="34"/>
      <w:r w:rsidRPr="00A01ACD">
        <w:t>in submissions</w:t>
      </w:r>
      <w:bookmarkEnd w:id="35"/>
      <w:bookmarkEnd w:id="36"/>
    </w:p>
    <w:p w:rsidR="00D5722B" w:rsidRDefault="00D5722B" w:rsidP="005D5CF1">
      <w:pPr>
        <w:ind w:right="-286"/>
      </w:pPr>
      <w:r w:rsidRPr="003C793A">
        <w:t xml:space="preserve">The </w:t>
      </w:r>
      <w:r w:rsidR="00041582" w:rsidRPr="00A401B6">
        <w:rPr>
          <w:rStyle w:val="Hyperlink"/>
          <w:color w:val="auto"/>
          <w:u w:val="none"/>
        </w:rPr>
        <w:t>assessment summary associated with the</w:t>
      </w:r>
      <w:r w:rsidR="005D5CF1">
        <w:rPr>
          <w:rStyle w:val="Hyperlink"/>
          <w:color w:val="auto"/>
          <w:u w:val="none"/>
        </w:rPr>
        <w:t xml:space="preserve"> </w:t>
      </w:r>
      <w:r w:rsidR="00A401B6">
        <w:t>1</w:t>
      </w:r>
      <w:r w:rsidR="00A401B6" w:rsidRPr="00E41A8A">
        <w:rPr>
          <w:vertAlign w:val="superscript"/>
        </w:rPr>
        <w:t>st</w:t>
      </w:r>
      <w:r w:rsidR="00041582" w:rsidRPr="00A401B6">
        <w:t xml:space="preserve"> call for submissions </w:t>
      </w:r>
      <w:r>
        <w:t>proposed</w:t>
      </w:r>
      <w:r w:rsidRPr="003C793A">
        <w:t xml:space="preserve"> three options</w:t>
      </w:r>
      <w:r>
        <w:t>:</w:t>
      </w:r>
    </w:p>
    <w:p w:rsidR="00D5722B" w:rsidRDefault="00D5722B" w:rsidP="00D5722B"/>
    <w:p w:rsidR="00D5722B" w:rsidRDefault="00D5722B" w:rsidP="00A401B6">
      <w:pPr>
        <w:pStyle w:val="FSBullet1"/>
      </w:pPr>
      <w:r>
        <w:t xml:space="preserve">Option 1 – to include microbiological criteria in Standard 1.6.1 for </w:t>
      </w:r>
      <w:r w:rsidRPr="00F7601E">
        <w:rPr>
          <w:i/>
        </w:rPr>
        <w:t>L.</w:t>
      </w:r>
      <w:r>
        <w:rPr>
          <w:i/>
        </w:rPr>
        <w:t xml:space="preserve"> </w:t>
      </w:r>
      <w:r w:rsidRPr="00F7601E">
        <w:rPr>
          <w:i/>
        </w:rPr>
        <w:t>monocytogenes</w:t>
      </w:r>
      <w:r>
        <w:rPr>
          <w:i/>
        </w:rPr>
        <w:t xml:space="preserve"> </w:t>
      </w:r>
      <w:r>
        <w:t>on the basis of whether the food is ready-to-eat and can or cannot support its growth</w:t>
      </w:r>
    </w:p>
    <w:p w:rsidR="00041582" w:rsidRDefault="00041582" w:rsidP="00A401B6">
      <w:pPr>
        <w:pStyle w:val="ListParagraph"/>
        <w:ind w:left="567"/>
      </w:pPr>
    </w:p>
    <w:p w:rsidR="00D5722B" w:rsidRDefault="00D5722B" w:rsidP="00A401B6">
      <w:pPr>
        <w:pStyle w:val="FSBullet1"/>
      </w:pPr>
      <w:r>
        <w:t xml:space="preserve">Option 2 – to delete the microbiological criteria for </w:t>
      </w:r>
      <w:r w:rsidRPr="00F7601E">
        <w:rPr>
          <w:i/>
        </w:rPr>
        <w:t>L.</w:t>
      </w:r>
      <w:r>
        <w:rPr>
          <w:i/>
        </w:rPr>
        <w:t xml:space="preserve"> </w:t>
      </w:r>
      <w:r w:rsidRPr="00F7601E">
        <w:rPr>
          <w:i/>
        </w:rPr>
        <w:t>monocytogenes</w:t>
      </w:r>
      <w:r>
        <w:rPr>
          <w:i/>
        </w:rPr>
        <w:t xml:space="preserve"> </w:t>
      </w:r>
      <w:r>
        <w:t xml:space="preserve">in Standard 1.6.1 and establish reference criteria for </w:t>
      </w:r>
      <w:r w:rsidRPr="00F7601E">
        <w:rPr>
          <w:i/>
        </w:rPr>
        <w:t>L.</w:t>
      </w:r>
      <w:r>
        <w:rPr>
          <w:i/>
        </w:rPr>
        <w:t xml:space="preserve"> </w:t>
      </w:r>
      <w:r w:rsidRPr="00F7601E">
        <w:rPr>
          <w:i/>
        </w:rPr>
        <w:t>monocytogenes</w:t>
      </w:r>
      <w:r>
        <w:rPr>
          <w:i/>
        </w:rPr>
        <w:t xml:space="preserve"> </w:t>
      </w:r>
      <w:r>
        <w:t>in ready-to-eat food on the basis of whether it can or cannot support its growth</w:t>
      </w:r>
    </w:p>
    <w:p w:rsidR="00041582" w:rsidRDefault="00041582" w:rsidP="00A401B6">
      <w:pPr>
        <w:pStyle w:val="ListParagraph"/>
        <w:ind w:left="567"/>
      </w:pPr>
    </w:p>
    <w:p w:rsidR="00D5722B" w:rsidRDefault="00D5722B" w:rsidP="005D5CF1">
      <w:pPr>
        <w:pStyle w:val="FSBullet1"/>
        <w:ind w:right="-711"/>
      </w:pPr>
      <w:r>
        <w:t>Option 3 – make no amendments to the microbiological criteria in Standard 1.6.1 (status quo)</w:t>
      </w:r>
    </w:p>
    <w:p w:rsidR="00D5722B" w:rsidRDefault="00D5722B" w:rsidP="00D5722B">
      <w:pPr>
        <w:rPr>
          <w:color w:val="FF0000"/>
        </w:rPr>
      </w:pPr>
    </w:p>
    <w:p w:rsidR="001C1245" w:rsidRDefault="00A01ACD" w:rsidP="00A01ACD">
      <w:r>
        <w:t xml:space="preserve">The </w:t>
      </w:r>
      <w:r w:rsidR="00591AFD">
        <w:t>1</w:t>
      </w:r>
      <w:r w:rsidR="00591AFD" w:rsidRPr="00E41A8A">
        <w:rPr>
          <w:vertAlign w:val="superscript"/>
        </w:rPr>
        <w:t>st</w:t>
      </w:r>
      <w:r w:rsidR="00591AFD">
        <w:t xml:space="preserve"> </w:t>
      </w:r>
      <w:r>
        <w:t xml:space="preserve">call for submissions </w:t>
      </w:r>
      <w:r w:rsidR="00041582">
        <w:t>occurred</w:t>
      </w:r>
      <w:r>
        <w:t xml:space="preserve"> between 21 September and 16 November 2012.</w:t>
      </w:r>
    </w:p>
    <w:p w:rsidR="001C1245" w:rsidRDefault="001C1245" w:rsidP="00A01ACD"/>
    <w:p w:rsidR="005D261A" w:rsidRDefault="003A6B27" w:rsidP="00A01ACD">
      <w:pPr>
        <w:widowControl/>
      </w:pPr>
      <w:r>
        <w:t xml:space="preserve">FSANZ received 19 submissions </w:t>
      </w:r>
      <w:r w:rsidR="00A01ACD">
        <w:t xml:space="preserve">from various sectors including horticulture, seafood, flight caterers, </w:t>
      </w:r>
      <w:r w:rsidR="00591AFD">
        <w:t>s</w:t>
      </w:r>
      <w:r w:rsidR="00A01ACD">
        <w:t xml:space="preserve">tate and </w:t>
      </w:r>
      <w:r w:rsidR="00591AFD">
        <w:t>t</w:t>
      </w:r>
      <w:r w:rsidR="00A01ACD">
        <w:t>erritory food enforcement agencies and</w:t>
      </w:r>
      <w:r w:rsidR="00591AFD">
        <w:t xml:space="preserve"> the</w:t>
      </w:r>
      <w:r w:rsidR="00A01ACD">
        <w:t xml:space="preserve"> New Zealand Ministry for Primary Industries</w:t>
      </w:r>
      <w:r w:rsidR="00E37DBF">
        <w:t>.</w:t>
      </w:r>
      <w:r w:rsidR="00A01ACD">
        <w:t xml:space="preserve"> </w:t>
      </w:r>
      <w:r w:rsidR="005D261A">
        <w:t xml:space="preserve">Those submissions are available </w:t>
      </w:r>
      <w:r w:rsidR="0067626A">
        <w:t xml:space="preserve">on the </w:t>
      </w:r>
      <w:r w:rsidR="0067626A" w:rsidRPr="005D5CF1">
        <w:t>FSANZ website</w:t>
      </w:r>
      <w:r w:rsidR="005D5CF1" w:rsidRPr="005D5CF1">
        <w:rPr>
          <w:rStyle w:val="FootnoteReference"/>
        </w:rPr>
        <w:footnoteReference w:id="6"/>
      </w:r>
      <w:r w:rsidR="0067626A" w:rsidRPr="005D5CF1">
        <w:t>.</w:t>
      </w:r>
      <w:r w:rsidR="0067626A">
        <w:t xml:space="preserve"> </w:t>
      </w:r>
    </w:p>
    <w:p w:rsidR="005D261A" w:rsidRDefault="005D261A" w:rsidP="00A01ACD">
      <w:pPr>
        <w:widowControl/>
      </w:pPr>
    </w:p>
    <w:p w:rsidR="006D321C" w:rsidRDefault="006D321C" w:rsidP="006D321C">
      <w:pPr>
        <w:rPr>
          <w:i/>
          <w:iCs/>
          <w:szCs w:val="22"/>
        </w:rPr>
      </w:pPr>
      <w:r w:rsidRPr="007F3BF7">
        <w:rPr>
          <w:iCs/>
          <w:szCs w:val="22"/>
        </w:rPr>
        <w:t xml:space="preserve">Section 73 of the FSANZ Act requires FSANZ to </w:t>
      </w:r>
      <w:r w:rsidRPr="007F3BF7">
        <w:rPr>
          <w:iCs/>
          <w:szCs w:val="22"/>
          <w:lang w:eastAsia="en-GB"/>
        </w:rPr>
        <w:t xml:space="preserve">have regard to all submissions made during the submission period when making a decision whether to prepare a Standard or a variation to a Standard; or to abandon the Proposal. </w:t>
      </w:r>
      <w:r w:rsidRPr="007F3BF7">
        <w:rPr>
          <w:iCs/>
          <w:szCs w:val="22"/>
        </w:rPr>
        <w:t xml:space="preserve">FSANZ has had regard to all </w:t>
      </w:r>
      <w:r>
        <w:rPr>
          <w:iCs/>
          <w:szCs w:val="22"/>
        </w:rPr>
        <w:t xml:space="preserve">19 </w:t>
      </w:r>
      <w:r w:rsidRPr="007F3BF7">
        <w:rPr>
          <w:iCs/>
          <w:szCs w:val="22"/>
        </w:rPr>
        <w:t>submissions received,</w:t>
      </w:r>
      <w:r>
        <w:rPr>
          <w:i/>
          <w:iCs/>
          <w:szCs w:val="22"/>
        </w:rPr>
        <w:t xml:space="preserve"> </w:t>
      </w:r>
      <w:r>
        <w:t>and w</w:t>
      </w:r>
      <w:r w:rsidRPr="009E3BA8">
        <w:t xml:space="preserve">here relevant, the submissions and responses have been discussed in the body of this </w:t>
      </w:r>
      <w:r>
        <w:t xml:space="preserve">report. </w:t>
      </w:r>
    </w:p>
    <w:p w:rsidR="006D321C" w:rsidRDefault="006D321C" w:rsidP="006D321C">
      <w:pPr>
        <w:widowControl/>
      </w:pPr>
    </w:p>
    <w:p w:rsidR="00A01ACD" w:rsidRDefault="00E37DBF" w:rsidP="00A01ACD">
      <w:r>
        <w:t>The majority of submissions supported</w:t>
      </w:r>
      <w:r w:rsidRPr="003C793A">
        <w:t xml:space="preserve"> </w:t>
      </w:r>
      <w:r>
        <w:t>the option</w:t>
      </w:r>
      <w:r w:rsidRPr="003C793A">
        <w:t xml:space="preserve"> to include </w:t>
      </w:r>
      <w:r>
        <w:t>microbiological criteria</w:t>
      </w:r>
      <w:r w:rsidRPr="003C793A">
        <w:t xml:space="preserve"> in Standard 1.6.1 for </w:t>
      </w:r>
      <w:r w:rsidRPr="00106AA7">
        <w:rPr>
          <w:i/>
        </w:rPr>
        <w:t>L. monocytogenes</w:t>
      </w:r>
      <w:r w:rsidRPr="003C793A">
        <w:t xml:space="preserve"> on the basis of whether the food is RTE and can support growth (i.e. consistent with the Codex approach).</w:t>
      </w:r>
      <w:r>
        <w:t xml:space="preserve"> </w:t>
      </w:r>
      <w:r w:rsidR="00535015">
        <w:t>However, certain</w:t>
      </w:r>
      <w:r w:rsidR="00535015" w:rsidRPr="00A01ACD">
        <w:t xml:space="preserve"> </w:t>
      </w:r>
      <w:r w:rsidR="00A01ACD" w:rsidRPr="00A01ACD">
        <w:t>k</w:t>
      </w:r>
      <w:r w:rsidR="00A01ACD" w:rsidRPr="001B5AA2">
        <w:t xml:space="preserve">ey issues </w:t>
      </w:r>
      <w:r w:rsidR="00535015">
        <w:t xml:space="preserve">were </w:t>
      </w:r>
      <w:r w:rsidR="00A01ACD" w:rsidRPr="001B5AA2">
        <w:t xml:space="preserve">raised </w:t>
      </w:r>
      <w:r w:rsidR="00A01ACD">
        <w:t>in submissions</w:t>
      </w:r>
      <w:r w:rsidR="00535015">
        <w:t>, which</w:t>
      </w:r>
      <w:r w:rsidR="00A01ACD">
        <w:t xml:space="preserve"> include:</w:t>
      </w:r>
    </w:p>
    <w:p w:rsidR="00D5722B" w:rsidRDefault="00D5722B" w:rsidP="00A01ACD"/>
    <w:p w:rsidR="00A01ACD" w:rsidRPr="00696870" w:rsidRDefault="00A01ACD" w:rsidP="001124EA">
      <w:pPr>
        <w:pStyle w:val="FSBullet1"/>
      </w:pPr>
      <w:r w:rsidRPr="00696870">
        <w:t xml:space="preserve">Implications for the cold smoked salmon industry and processors of similar products </w:t>
      </w:r>
      <w:r w:rsidR="00303D18" w:rsidRPr="00696870">
        <w:t xml:space="preserve">where the elimination of </w:t>
      </w:r>
      <w:r w:rsidR="00303D18" w:rsidRPr="000350EF">
        <w:rPr>
          <w:i/>
        </w:rPr>
        <w:t>L. monocytogenes</w:t>
      </w:r>
      <w:r w:rsidR="00303D18" w:rsidRPr="00696870">
        <w:t xml:space="preserve"> may be impractical (implications for meeting an “absent” in 25 g) </w:t>
      </w:r>
    </w:p>
    <w:p w:rsidR="00A01ACD" w:rsidRPr="00696870" w:rsidRDefault="00A15EE8" w:rsidP="001124EA">
      <w:pPr>
        <w:pStyle w:val="FSBullet1"/>
      </w:pPr>
      <w:r>
        <w:t>G</w:t>
      </w:r>
      <w:r w:rsidR="003A6B27" w:rsidRPr="00696870">
        <w:t>uidance as to how RTE foods are captured and validation requirements</w:t>
      </w:r>
    </w:p>
    <w:p w:rsidR="003A6B27" w:rsidRPr="003A6B27" w:rsidRDefault="00A15EE8" w:rsidP="001124EA">
      <w:pPr>
        <w:pStyle w:val="FSBullet1"/>
      </w:pPr>
      <w:r>
        <w:t>C</w:t>
      </w:r>
      <w:r w:rsidR="003A6B27">
        <w:t>lear definitions</w:t>
      </w:r>
      <w:r>
        <w:t xml:space="preserve"> for terms</w:t>
      </w:r>
      <w:r w:rsidR="00E11725">
        <w:t xml:space="preserve"> such as for “ready-to-eat” and “growth”</w:t>
      </w:r>
    </w:p>
    <w:p w:rsidR="003A6B27" w:rsidRDefault="00A15EE8" w:rsidP="001124EA">
      <w:pPr>
        <w:pStyle w:val="FSBullet1"/>
      </w:pPr>
      <w:r>
        <w:t>C</w:t>
      </w:r>
      <w:r w:rsidR="003A6B27">
        <w:t xml:space="preserve">onsistent application </w:t>
      </w:r>
      <w:r w:rsidR="00D5722B">
        <w:t xml:space="preserve">of limits for </w:t>
      </w:r>
      <w:r w:rsidR="00D5722B" w:rsidRPr="00D5722B">
        <w:rPr>
          <w:i/>
        </w:rPr>
        <w:t>L. monocytogenes</w:t>
      </w:r>
      <w:r w:rsidR="00D5722B">
        <w:t xml:space="preserve"> and </w:t>
      </w:r>
      <w:r w:rsidR="00367D65">
        <w:t xml:space="preserve">resulting </w:t>
      </w:r>
      <w:r w:rsidR="00D5722B">
        <w:t xml:space="preserve">corrective actions </w:t>
      </w:r>
      <w:r w:rsidR="003A6B27">
        <w:t>across jurisdictions</w:t>
      </w:r>
    </w:p>
    <w:p w:rsidR="005D5CF1" w:rsidRDefault="001124EA" w:rsidP="001124EA">
      <w:pPr>
        <w:pStyle w:val="FSBullet1"/>
      </w:pPr>
      <w:r>
        <w:t>Whether</w:t>
      </w:r>
      <w:r w:rsidR="003A6B27">
        <w:t xml:space="preserve"> </w:t>
      </w:r>
      <w:r w:rsidR="00D5722B">
        <w:t xml:space="preserve">foods for </w:t>
      </w:r>
      <w:r w:rsidR="003A6B27">
        <w:t>vulnerable populations</w:t>
      </w:r>
      <w:r w:rsidR="00D5722B">
        <w:t xml:space="preserve"> </w:t>
      </w:r>
      <w:r>
        <w:t>should be</w:t>
      </w:r>
      <w:r w:rsidR="00D5722B">
        <w:t xml:space="preserve"> considered as a separate category and limits set.</w:t>
      </w:r>
    </w:p>
    <w:p w:rsidR="005D5CF1" w:rsidRPr="005D5CF1" w:rsidRDefault="005D5CF1" w:rsidP="005D5CF1">
      <w:pPr>
        <w:rPr>
          <w:lang w:bidi="ar-SA"/>
        </w:rPr>
      </w:pPr>
    </w:p>
    <w:p w:rsidR="00DC0599" w:rsidRDefault="005D5CF1">
      <w:pPr>
        <w:widowControl/>
        <w:rPr>
          <w:lang w:bidi="ar-SA"/>
        </w:rPr>
      </w:pPr>
      <w:r>
        <w:rPr>
          <w:iCs/>
          <w:szCs w:val="22"/>
        </w:rPr>
        <w:t>A summary of the main</w:t>
      </w:r>
      <w:r w:rsidR="00A15EE8">
        <w:rPr>
          <w:iCs/>
          <w:szCs w:val="22"/>
        </w:rPr>
        <w:t xml:space="preserve"> issues </w:t>
      </w:r>
      <w:r w:rsidR="00DC0599" w:rsidRPr="007F3BF7">
        <w:rPr>
          <w:iCs/>
          <w:szCs w:val="22"/>
        </w:rPr>
        <w:t>emerging from th</w:t>
      </w:r>
      <w:r w:rsidR="00DC0599">
        <w:rPr>
          <w:iCs/>
          <w:szCs w:val="22"/>
        </w:rPr>
        <w:t>ose</w:t>
      </w:r>
      <w:r w:rsidR="00DC0599" w:rsidRPr="007F3BF7">
        <w:rPr>
          <w:iCs/>
          <w:szCs w:val="22"/>
        </w:rPr>
        <w:t xml:space="preserve"> submissions is presented in Table 1.</w:t>
      </w:r>
    </w:p>
    <w:p w:rsidR="00D5722B" w:rsidRPr="003A6B27" w:rsidRDefault="00D5722B" w:rsidP="007F3BF7">
      <w:pPr>
        <w:widowControl/>
        <w:rPr>
          <w:lang w:bidi="ar-SA"/>
        </w:rPr>
        <w:sectPr w:rsidR="00D5722B" w:rsidRPr="003A6B27" w:rsidSect="005D5CF1">
          <w:pgSz w:w="11906" w:h="16838"/>
          <w:pgMar w:top="1418" w:right="1418" w:bottom="1418" w:left="1418" w:header="709" w:footer="709" w:gutter="0"/>
          <w:pgNumType w:start="1"/>
          <w:cols w:space="708"/>
          <w:docGrid w:linePitch="360"/>
        </w:sectPr>
      </w:pPr>
    </w:p>
    <w:p w:rsidR="00A01ACD" w:rsidRDefault="00A01ACD" w:rsidP="00A01ACD">
      <w:pPr>
        <w:pStyle w:val="FSTableTitle"/>
      </w:pPr>
      <w:r>
        <w:lastRenderedPageBreak/>
        <w:t xml:space="preserve">Table 1: Summary of issues </w:t>
      </w:r>
    </w:p>
    <w:p w:rsidR="00A01ACD" w:rsidRPr="00B853D2" w:rsidRDefault="00A01ACD" w:rsidP="00A01ACD"/>
    <w:tbl>
      <w:tblPr>
        <w:tblStyle w:val="MediumShading1-Accent3"/>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119"/>
        <w:gridCol w:w="7022"/>
      </w:tblGrid>
      <w:tr w:rsidR="00A01ACD" w:rsidTr="002B1F34">
        <w:trPr>
          <w:cnfStyle w:val="100000000000" w:firstRow="1" w:lastRow="0" w:firstColumn="0" w:lastColumn="0" w:oddVBand="0" w:evenVBand="0" w:oddHBand="0" w:evenHBand="0" w:firstRowFirstColumn="0" w:firstRowLastColumn="0" w:lastRowFirstColumn="0" w:lastRowLastColumn="0"/>
          <w:trHeight w:val="137"/>
          <w:tblHeader/>
        </w:trPr>
        <w:tc>
          <w:tcPr>
            <w:cnfStyle w:val="001000000000" w:firstRow="0" w:lastRow="0" w:firstColumn="1" w:lastColumn="0" w:oddVBand="0"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rsidR="00A01ACD" w:rsidRPr="00041582" w:rsidRDefault="00A01ACD" w:rsidP="00041582">
            <w:pPr>
              <w:spacing w:after="240"/>
            </w:pPr>
            <w:r w:rsidRPr="00041582">
              <w:t>Issue</w:t>
            </w:r>
          </w:p>
        </w:tc>
        <w:tc>
          <w:tcPr>
            <w:tcW w:w="3119" w:type="dxa"/>
            <w:tcBorders>
              <w:top w:val="none" w:sz="0" w:space="0" w:color="auto"/>
              <w:left w:val="none" w:sz="0" w:space="0" w:color="auto"/>
              <w:bottom w:val="none" w:sz="0" w:space="0" w:color="auto"/>
              <w:right w:val="none" w:sz="0" w:space="0" w:color="auto"/>
            </w:tcBorders>
          </w:tcPr>
          <w:p w:rsidR="00A01ACD" w:rsidRPr="00041582" w:rsidRDefault="00A01ACD" w:rsidP="00041582">
            <w:pPr>
              <w:spacing w:after="240"/>
              <w:cnfStyle w:val="100000000000" w:firstRow="1" w:lastRow="0" w:firstColumn="0" w:lastColumn="0" w:oddVBand="0" w:evenVBand="0" w:oddHBand="0" w:evenHBand="0" w:firstRowFirstColumn="0" w:firstRowLastColumn="0" w:lastRowFirstColumn="0" w:lastRowLastColumn="0"/>
            </w:pPr>
            <w:r w:rsidRPr="00041582">
              <w:t>Raised by</w:t>
            </w:r>
          </w:p>
        </w:tc>
        <w:tc>
          <w:tcPr>
            <w:tcW w:w="7022" w:type="dxa"/>
            <w:tcBorders>
              <w:top w:val="none" w:sz="0" w:space="0" w:color="auto"/>
              <w:left w:val="none" w:sz="0" w:space="0" w:color="auto"/>
              <w:bottom w:val="none" w:sz="0" w:space="0" w:color="auto"/>
              <w:right w:val="none" w:sz="0" w:space="0" w:color="auto"/>
            </w:tcBorders>
          </w:tcPr>
          <w:p w:rsidR="00A01ACD" w:rsidRPr="00041582" w:rsidRDefault="00A01ACD" w:rsidP="00041582">
            <w:pPr>
              <w:spacing w:after="240"/>
              <w:cnfStyle w:val="100000000000" w:firstRow="1" w:lastRow="0" w:firstColumn="0" w:lastColumn="0" w:oddVBand="0" w:evenVBand="0" w:oddHBand="0" w:evenHBand="0" w:firstRowFirstColumn="0" w:firstRowLastColumn="0" w:lastRowFirstColumn="0" w:lastRowLastColumn="0"/>
            </w:pPr>
            <w:r w:rsidRPr="00041582">
              <w:t>FSANZ Response</w:t>
            </w:r>
          </w:p>
        </w:tc>
      </w:tr>
      <w:tr w:rsidR="00A01ACD" w:rsidTr="002B1F34">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rsidR="00A01ACD" w:rsidRPr="002B1F34" w:rsidRDefault="00A01ACD" w:rsidP="002B1F34">
            <w:pPr>
              <w:ind w:left="113" w:hanging="113"/>
              <w:rPr>
                <w:sz w:val="20"/>
              </w:rPr>
            </w:pPr>
            <w:r w:rsidRPr="002B1F34">
              <w:rPr>
                <w:sz w:val="20"/>
              </w:rPr>
              <w:t>Vulnerable populations</w:t>
            </w:r>
          </w:p>
          <w:p w:rsidR="00A01ACD" w:rsidRPr="00C26575" w:rsidRDefault="00E93CEB" w:rsidP="002B1F34">
            <w:pPr>
              <w:ind w:left="113" w:hanging="113"/>
              <w:rPr>
                <w:b w:val="0"/>
                <w:bCs w:val="0"/>
                <w:sz w:val="20"/>
              </w:rPr>
            </w:pPr>
            <w:r w:rsidRPr="00C26575">
              <w:rPr>
                <w:b w:val="0"/>
                <w:sz w:val="20"/>
              </w:rPr>
              <w:t xml:space="preserve">Foods intended for consumption by vulnerable sectors of the population </w:t>
            </w:r>
            <w:proofErr w:type="gramStart"/>
            <w:r w:rsidRPr="00C26575">
              <w:rPr>
                <w:b w:val="0"/>
                <w:sz w:val="20"/>
              </w:rPr>
              <w:t>be</w:t>
            </w:r>
            <w:proofErr w:type="gramEnd"/>
            <w:r w:rsidRPr="00C26575">
              <w:rPr>
                <w:b w:val="0"/>
                <w:sz w:val="20"/>
              </w:rPr>
              <w:t xml:space="preserve"> targeted perhaps through establishment of separate reference criteria.</w:t>
            </w:r>
          </w:p>
          <w:p w:rsidR="00E93CEB" w:rsidRPr="00C26575" w:rsidRDefault="00E93CEB" w:rsidP="002B1F34">
            <w:pPr>
              <w:ind w:left="113" w:hanging="113"/>
              <w:rPr>
                <w:b w:val="0"/>
                <w:bCs w:val="0"/>
                <w:sz w:val="20"/>
              </w:rPr>
            </w:pPr>
          </w:p>
          <w:p w:rsidR="00E93CEB" w:rsidRPr="002B1F34" w:rsidRDefault="00E93CEB" w:rsidP="002B1F34">
            <w:pPr>
              <w:ind w:left="113" w:hanging="113"/>
              <w:rPr>
                <w:b w:val="0"/>
                <w:sz w:val="20"/>
              </w:rPr>
            </w:pPr>
            <w:r w:rsidRPr="00C26575">
              <w:rPr>
                <w:b w:val="0"/>
                <w:sz w:val="20"/>
              </w:rPr>
              <w:t>Unnecessary restriction of menus in aged care facilities altering the prevalence of malnutrition in these facilities.</w:t>
            </w:r>
          </w:p>
        </w:tc>
        <w:tc>
          <w:tcPr>
            <w:tcW w:w="3119" w:type="dxa"/>
            <w:tcBorders>
              <w:left w:val="none" w:sz="0" w:space="0" w:color="auto"/>
              <w:right w:val="none" w:sz="0" w:space="0" w:color="auto"/>
            </w:tcBorders>
          </w:tcPr>
          <w:p w:rsidR="00B9772E" w:rsidRDefault="001D55D3"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Dietetic Industry A</w:t>
            </w:r>
            <w:r w:rsidR="00B9772E">
              <w:rPr>
                <w:sz w:val="20"/>
              </w:rPr>
              <w:t>ssociation</w:t>
            </w:r>
          </w:p>
          <w:p w:rsidR="00B9772E" w:rsidRDefault="00B9772E"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9772E" w:rsidRDefault="00B9772E"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9772E" w:rsidRDefault="00B9772E"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9772E" w:rsidRDefault="00B9772E"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9772E" w:rsidRPr="003B42BC" w:rsidRDefault="00B9772E"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New Zealand Industry associations</w:t>
            </w:r>
          </w:p>
        </w:tc>
        <w:tc>
          <w:tcPr>
            <w:tcW w:w="7022" w:type="dxa"/>
            <w:tcBorders>
              <w:left w:val="none" w:sz="0" w:space="0" w:color="auto"/>
            </w:tcBorders>
          </w:tcPr>
          <w:p w:rsidR="00F92520" w:rsidRDefault="00E255BE" w:rsidP="003B42BC">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 xml:space="preserve">FSANZ considers that </w:t>
            </w:r>
            <w:r w:rsidR="00F92520">
              <w:rPr>
                <w:sz w:val="20"/>
              </w:rPr>
              <w:t>specific criteria for foods for vulnerable populations are</w:t>
            </w:r>
            <w:r>
              <w:rPr>
                <w:sz w:val="20"/>
              </w:rPr>
              <w:t xml:space="preserve"> not required</w:t>
            </w:r>
            <w:r w:rsidR="00BA183B">
              <w:rPr>
                <w:sz w:val="20"/>
              </w:rPr>
              <w:t>, however FSANZ continue</w:t>
            </w:r>
            <w:r w:rsidR="00CA3BE9">
              <w:rPr>
                <w:sz w:val="20"/>
              </w:rPr>
              <w:t>s</w:t>
            </w:r>
            <w:r w:rsidR="00BA183B">
              <w:rPr>
                <w:sz w:val="20"/>
              </w:rPr>
              <w:t xml:space="preserve"> to work with the government food communicators group to develop key messages that jurisdictions can use for vulnerable groups in relation to limits for all RTE foods</w:t>
            </w:r>
            <w:proofErr w:type="gramStart"/>
            <w:r w:rsidR="00BA183B">
              <w:rPr>
                <w:sz w:val="20"/>
              </w:rPr>
              <w:t>.</w:t>
            </w:r>
            <w:r>
              <w:rPr>
                <w:sz w:val="20"/>
              </w:rPr>
              <w:t>.</w:t>
            </w:r>
            <w:proofErr w:type="gramEnd"/>
            <w:r>
              <w:rPr>
                <w:sz w:val="20"/>
              </w:rPr>
              <w:t xml:space="preserve"> </w:t>
            </w:r>
            <w:r w:rsidR="005B1CDA" w:rsidRPr="003B42BC">
              <w:rPr>
                <w:sz w:val="20"/>
              </w:rPr>
              <w:t xml:space="preserve">The draft amendments to Standard 1.6.1 apply to RTE foods on the basis of whether growth of </w:t>
            </w:r>
            <w:r w:rsidR="005B1CDA" w:rsidRPr="003B42BC">
              <w:rPr>
                <w:i/>
                <w:sz w:val="20"/>
              </w:rPr>
              <w:t>L. monocytogenes</w:t>
            </w:r>
            <w:r w:rsidR="005B1CDA" w:rsidRPr="003B42BC">
              <w:rPr>
                <w:sz w:val="20"/>
              </w:rPr>
              <w:t xml:space="preserve"> can occur or not. It is the potential for </w:t>
            </w:r>
            <w:r w:rsidR="005B1CDA" w:rsidRPr="003B42BC">
              <w:rPr>
                <w:i/>
                <w:sz w:val="20"/>
              </w:rPr>
              <w:t>L. monocytogenes</w:t>
            </w:r>
            <w:r w:rsidR="005B1CDA" w:rsidRPr="003B42BC">
              <w:rPr>
                <w:sz w:val="20"/>
              </w:rPr>
              <w:t xml:space="preserve"> to grow to high numbers in a RTE food that presents the risk to vulnerable persons who may consume that food. </w:t>
            </w:r>
          </w:p>
          <w:p w:rsidR="00F92520" w:rsidRDefault="00F92520" w:rsidP="003B42BC">
            <w:pPr>
              <w:ind w:left="113" w:hanging="113"/>
              <w:cnfStyle w:val="000000100000" w:firstRow="0" w:lastRow="0" w:firstColumn="0" w:lastColumn="0" w:oddVBand="0" w:evenVBand="0" w:oddHBand="1" w:evenHBand="0" w:firstRowFirstColumn="0" w:firstRowLastColumn="0" w:lastRowFirstColumn="0" w:lastRowLastColumn="0"/>
              <w:rPr>
                <w:sz w:val="20"/>
              </w:rPr>
            </w:pPr>
          </w:p>
          <w:p w:rsidR="005B1CDA" w:rsidRPr="003B42BC" w:rsidRDefault="00F92520" w:rsidP="003B42BC">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To specifically address</w:t>
            </w:r>
            <w:r w:rsidR="00A15EE8">
              <w:rPr>
                <w:sz w:val="20"/>
              </w:rPr>
              <w:t xml:space="preserve"> risks to</w:t>
            </w:r>
            <w:r>
              <w:rPr>
                <w:sz w:val="20"/>
              </w:rPr>
              <w:t xml:space="preserve"> vulnerable populations, t</w:t>
            </w:r>
            <w:r w:rsidR="005B1CDA" w:rsidRPr="003B42BC">
              <w:rPr>
                <w:sz w:val="20"/>
              </w:rPr>
              <w:t xml:space="preserve">argeted information about foods or practices that increase </w:t>
            </w:r>
            <w:r>
              <w:rPr>
                <w:sz w:val="20"/>
              </w:rPr>
              <w:t>the</w:t>
            </w:r>
            <w:r w:rsidR="005B1CDA" w:rsidRPr="003B42BC">
              <w:rPr>
                <w:sz w:val="20"/>
              </w:rPr>
              <w:t xml:space="preserve"> risk</w:t>
            </w:r>
            <w:r w:rsidR="00A15EE8">
              <w:rPr>
                <w:sz w:val="20"/>
              </w:rPr>
              <w:t xml:space="preserve"> of</w:t>
            </w:r>
            <w:r w:rsidR="005B1CDA" w:rsidRPr="003B42BC">
              <w:rPr>
                <w:sz w:val="20"/>
              </w:rPr>
              <w:t xml:space="preserve"> </w:t>
            </w:r>
            <w:r>
              <w:rPr>
                <w:sz w:val="20"/>
              </w:rPr>
              <w:t>them</w:t>
            </w:r>
            <w:r w:rsidR="005B1CDA" w:rsidRPr="003B42BC">
              <w:rPr>
                <w:sz w:val="20"/>
              </w:rPr>
              <w:t xml:space="preserve"> </w:t>
            </w:r>
            <w:r>
              <w:rPr>
                <w:sz w:val="20"/>
              </w:rPr>
              <w:t xml:space="preserve">acquiring listeriosis is a preferred risk management approach. </w:t>
            </w:r>
            <w:r w:rsidR="00A15EE8">
              <w:rPr>
                <w:sz w:val="20"/>
              </w:rPr>
              <w:t>E</w:t>
            </w:r>
            <w:r>
              <w:rPr>
                <w:sz w:val="20"/>
              </w:rPr>
              <w:t>xisting materials and their adequacy</w:t>
            </w:r>
            <w:r w:rsidR="00A15EE8">
              <w:rPr>
                <w:sz w:val="20"/>
              </w:rPr>
              <w:t xml:space="preserve"> will be reviewed in consultation with the jurisdictions</w:t>
            </w:r>
            <w:r>
              <w:rPr>
                <w:sz w:val="20"/>
              </w:rPr>
              <w:t>. For example f</w:t>
            </w:r>
            <w:r w:rsidR="000B2F67" w:rsidRPr="003B42BC">
              <w:rPr>
                <w:sz w:val="20"/>
              </w:rPr>
              <w:t xml:space="preserve">urther information resources could be developed for immunocompromised people (as a result of particular diseases, treatments ageing factors) and health care settings that provide food for them. </w:t>
            </w:r>
            <w:r>
              <w:rPr>
                <w:sz w:val="20"/>
              </w:rPr>
              <w:t>FSANZ will consult further on this matter.</w:t>
            </w:r>
          </w:p>
          <w:p w:rsidR="000B2F67" w:rsidRPr="003B42BC" w:rsidRDefault="000B2F67" w:rsidP="003B42BC">
            <w:pPr>
              <w:ind w:left="113" w:hanging="113"/>
              <w:cnfStyle w:val="000000100000" w:firstRow="0" w:lastRow="0" w:firstColumn="0" w:lastColumn="0" w:oddVBand="0" w:evenVBand="0" w:oddHBand="1" w:evenHBand="0" w:firstRowFirstColumn="0" w:firstRowLastColumn="0" w:lastRowFirstColumn="0" w:lastRowLastColumn="0"/>
              <w:rPr>
                <w:sz w:val="20"/>
              </w:rPr>
            </w:pPr>
          </w:p>
        </w:tc>
      </w:tr>
      <w:tr w:rsidR="00A01ACD" w:rsidTr="002B1F34">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right w:val="none" w:sz="0" w:space="0" w:color="auto"/>
            </w:tcBorders>
          </w:tcPr>
          <w:p w:rsidR="00A01ACD" w:rsidRPr="003B42BC" w:rsidRDefault="00A01ACD" w:rsidP="003B42BC">
            <w:pPr>
              <w:ind w:left="113" w:hanging="113"/>
              <w:rPr>
                <w:sz w:val="20"/>
              </w:rPr>
            </w:pPr>
            <w:r w:rsidRPr="003B42BC">
              <w:rPr>
                <w:sz w:val="20"/>
              </w:rPr>
              <w:t>Decision on growth/no growth</w:t>
            </w:r>
          </w:p>
          <w:p w:rsidR="00B9772E" w:rsidRPr="00C26575" w:rsidRDefault="007A219F" w:rsidP="00B9772E">
            <w:pPr>
              <w:ind w:left="113" w:hanging="113"/>
              <w:rPr>
                <w:b w:val="0"/>
                <w:sz w:val="20"/>
              </w:rPr>
            </w:pPr>
            <w:r w:rsidRPr="00C26575">
              <w:rPr>
                <w:b w:val="0"/>
                <w:sz w:val="20"/>
              </w:rPr>
              <w:t>I</w:t>
            </w:r>
            <w:r w:rsidR="00B9772E" w:rsidRPr="00C26575">
              <w:rPr>
                <w:b w:val="0"/>
                <w:sz w:val="20"/>
              </w:rPr>
              <w:t xml:space="preserve">ndustry submitters raised concerns with determining growth or no growth of </w:t>
            </w:r>
            <w:r w:rsidR="00B9772E" w:rsidRPr="00C26575">
              <w:rPr>
                <w:b w:val="0"/>
                <w:i/>
                <w:sz w:val="20"/>
              </w:rPr>
              <w:t>L. monocytogenes</w:t>
            </w:r>
            <w:r w:rsidR="00B9772E" w:rsidRPr="00C26575">
              <w:rPr>
                <w:b w:val="0"/>
                <w:sz w:val="20"/>
              </w:rPr>
              <w:t xml:space="preserve"> within a ready-to-eat product. </w:t>
            </w:r>
          </w:p>
          <w:p w:rsidR="00B9772E" w:rsidRPr="00C26575" w:rsidRDefault="00B9772E" w:rsidP="00B9772E">
            <w:pPr>
              <w:ind w:left="113" w:hanging="113"/>
              <w:rPr>
                <w:b w:val="0"/>
                <w:sz w:val="20"/>
              </w:rPr>
            </w:pPr>
          </w:p>
          <w:p w:rsidR="00B9772E" w:rsidRPr="00C26575" w:rsidRDefault="007A219F" w:rsidP="00B9772E">
            <w:pPr>
              <w:ind w:left="113" w:hanging="113"/>
              <w:rPr>
                <w:b w:val="0"/>
                <w:sz w:val="20"/>
              </w:rPr>
            </w:pPr>
            <w:r w:rsidRPr="00C26575">
              <w:rPr>
                <w:b w:val="0"/>
                <w:sz w:val="20"/>
              </w:rPr>
              <w:t>W</w:t>
            </w:r>
            <w:r w:rsidR="00B9772E" w:rsidRPr="00C26575">
              <w:rPr>
                <w:b w:val="0"/>
                <w:sz w:val="20"/>
              </w:rPr>
              <w:t xml:space="preserve">ho will make the decision as to whether the food supports the growth of </w:t>
            </w:r>
            <w:r w:rsidR="00B9772E" w:rsidRPr="00C26575">
              <w:rPr>
                <w:b w:val="0"/>
                <w:i/>
                <w:sz w:val="20"/>
              </w:rPr>
              <w:t>L. monocytogenes</w:t>
            </w:r>
            <w:r w:rsidR="00B9772E" w:rsidRPr="00C26575">
              <w:rPr>
                <w:b w:val="0"/>
                <w:sz w:val="20"/>
              </w:rPr>
              <w:t xml:space="preserve"> and suggested validation is required to reduce additional charges for the manufacturer</w:t>
            </w:r>
          </w:p>
          <w:p w:rsidR="00B9772E" w:rsidRPr="00C26575" w:rsidRDefault="00B9772E" w:rsidP="00B9772E">
            <w:pPr>
              <w:ind w:left="113" w:hanging="113"/>
              <w:rPr>
                <w:b w:val="0"/>
                <w:sz w:val="20"/>
              </w:rPr>
            </w:pPr>
          </w:p>
          <w:p w:rsidR="00B9772E" w:rsidRPr="00C26575" w:rsidRDefault="007A219F" w:rsidP="00B9772E">
            <w:pPr>
              <w:ind w:left="113" w:hanging="113"/>
              <w:rPr>
                <w:b w:val="0"/>
                <w:sz w:val="20"/>
              </w:rPr>
            </w:pPr>
            <w:r w:rsidRPr="00C26575">
              <w:rPr>
                <w:b w:val="0"/>
                <w:sz w:val="20"/>
              </w:rPr>
              <w:t>S</w:t>
            </w:r>
            <w:r w:rsidR="00B9772E" w:rsidRPr="00C26575">
              <w:rPr>
                <w:b w:val="0"/>
                <w:sz w:val="20"/>
              </w:rPr>
              <w:t xml:space="preserve">ubmissions proposed option 1 </w:t>
            </w:r>
            <w:proofErr w:type="gramStart"/>
            <w:r w:rsidR="00B9772E" w:rsidRPr="00C26575">
              <w:rPr>
                <w:b w:val="0"/>
                <w:sz w:val="20"/>
              </w:rPr>
              <w:t>be</w:t>
            </w:r>
            <w:proofErr w:type="gramEnd"/>
            <w:r w:rsidR="00B9772E" w:rsidRPr="00C26575">
              <w:rPr>
                <w:b w:val="0"/>
                <w:sz w:val="20"/>
              </w:rPr>
              <w:t xml:space="preserve"> reviewed to allow validation for ready to eat foods with a short shelf life and no kill step capability to prove that the product </w:t>
            </w:r>
            <w:r w:rsidR="00B9772E" w:rsidRPr="00C26575">
              <w:rPr>
                <w:b w:val="0"/>
                <w:sz w:val="20"/>
              </w:rPr>
              <w:lastRenderedPageBreak/>
              <w:t xml:space="preserve">cannot exceed 100 cfu/g at the point of consumption. </w:t>
            </w:r>
          </w:p>
          <w:p w:rsidR="00B9772E" w:rsidRPr="00C26575" w:rsidRDefault="00B9772E" w:rsidP="00B9772E">
            <w:pPr>
              <w:ind w:left="113" w:hanging="113"/>
              <w:rPr>
                <w:b w:val="0"/>
                <w:sz w:val="20"/>
              </w:rPr>
            </w:pPr>
          </w:p>
          <w:p w:rsidR="00B9772E" w:rsidRPr="00A85298" w:rsidRDefault="007A219F" w:rsidP="00B9772E">
            <w:pPr>
              <w:ind w:left="113" w:hanging="113"/>
              <w:rPr>
                <w:sz w:val="20"/>
              </w:rPr>
            </w:pPr>
            <w:r w:rsidRPr="00C26575">
              <w:rPr>
                <w:b w:val="0"/>
                <w:sz w:val="20"/>
              </w:rPr>
              <w:t>S</w:t>
            </w:r>
            <w:r w:rsidR="00B9772E" w:rsidRPr="00C26575">
              <w:rPr>
                <w:b w:val="0"/>
                <w:sz w:val="20"/>
              </w:rPr>
              <w:t xml:space="preserve">ubmissions outlined concern regarding a nil tolerance criteria for </w:t>
            </w:r>
            <w:r w:rsidR="00B9772E" w:rsidRPr="00C26575">
              <w:rPr>
                <w:b w:val="0"/>
                <w:i/>
                <w:sz w:val="20"/>
              </w:rPr>
              <w:t>L. monocytogenes</w:t>
            </w:r>
            <w:r w:rsidR="00B9772E" w:rsidRPr="00C26575">
              <w:rPr>
                <w:b w:val="0"/>
                <w:sz w:val="20"/>
              </w:rPr>
              <w:t xml:space="preserve"> resulting in significant market failure for cold smoked products and fresh cut salad products, noting this may have wide reaching economic ramifications for the whole sector.</w:t>
            </w:r>
            <w:r w:rsidR="00B9772E" w:rsidRPr="003B42BC">
              <w:rPr>
                <w:sz w:val="20"/>
              </w:rPr>
              <w:t xml:space="preserve"> </w:t>
            </w:r>
          </w:p>
          <w:p w:rsidR="00A01ACD" w:rsidRPr="003B42BC" w:rsidRDefault="00A01ACD" w:rsidP="003B42BC">
            <w:pPr>
              <w:ind w:left="113" w:hanging="113"/>
              <w:rPr>
                <w:sz w:val="20"/>
              </w:rPr>
            </w:pPr>
          </w:p>
        </w:tc>
        <w:tc>
          <w:tcPr>
            <w:tcW w:w="3119" w:type="dxa"/>
            <w:tcBorders>
              <w:left w:val="none" w:sz="0" w:space="0" w:color="auto"/>
              <w:right w:val="none" w:sz="0" w:space="0" w:color="auto"/>
            </w:tcBorders>
          </w:tcPr>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A01ACD"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N</w:t>
            </w:r>
            <w:r w:rsidR="00B3387A">
              <w:rPr>
                <w:sz w:val="20"/>
              </w:rPr>
              <w:t xml:space="preserve">ew </w:t>
            </w:r>
            <w:r>
              <w:rPr>
                <w:sz w:val="20"/>
              </w:rPr>
              <w:t>Z</w:t>
            </w:r>
            <w:r w:rsidR="00B3387A">
              <w:rPr>
                <w:sz w:val="20"/>
              </w:rPr>
              <w:t>ealand</w:t>
            </w:r>
            <w:r>
              <w:rPr>
                <w:sz w:val="20"/>
              </w:rPr>
              <w:t xml:space="preserve"> inde</w:t>
            </w:r>
            <w:r w:rsidR="00B3387A">
              <w:rPr>
                <w:sz w:val="20"/>
              </w:rPr>
              <w:t>pendent scientific organisation</w:t>
            </w: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 xml:space="preserve">Australian and New Zealand seafood and fresh cut </w:t>
            </w:r>
            <w:r>
              <w:rPr>
                <w:sz w:val="20"/>
              </w:rPr>
              <w:lastRenderedPageBreak/>
              <w:t>industries</w:t>
            </w: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Default="00B9772E"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9772E" w:rsidRPr="00C26575" w:rsidRDefault="00B9772E" w:rsidP="006766DB">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New Zealand Industry associations</w:t>
            </w:r>
          </w:p>
        </w:tc>
        <w:tc>
          <w:tcPr>
            <w:tcW w:w="7022" w:type="dxa"/>
            <w:tcBorders>
              <w:left w:val="none" w:sz="0" w:space="0" w:color="auto"/>
            </w:tcBorders>
          </w:tcPr>
          <w:p w:rsidR="00F92520" w:rsidRDefault="00A15EE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lastRenderedPageBreak/>
              <w:t>T</w:t>
            </w:r>
            <w:r w:rsidR="00F92520">
              <w:rPr>
                <w:sz w:val="20"/>
              </w:rPr>
              <w:t>he draft amendment includes a</w:t>
            </w:r>
            <w:r w:rsidR="000B2F67" w:rsidRPr="00B9772E">
              <w:rPr>
                <w:sz w:val="20"/>
              </w:rPr>
              <w:t xml:space="preserve"> number of criteria for foods where the growth of </w:t>
            </w:r>
            <w:r w:rsidR="000B2F67" w:rsidRPr="00B9772E">
              <w:rPr>
                <w:i/>
                <w:sz w:val="20"/>
              </w:rPr>
              <w:t>L. monocytogenes</w:t>
            </w:r>
            <w:r w:rsidR="000B2F67" w:rsidRPr="00B9772E">
              <w:rPr>
                <w:sz w:val="20"/>
              </w:rPr>
              <w:t xml:space="preserve"> will not occur. This includes</w:t>
            </w:r>
            <w:r w:rsidR="00F92520">
              <w:rPr>
                <w:sz w:val="20"/>
              </w:rPr>
              <w:t xml:space="preserve"> </w:t>
            </w:r>
          </w:p>
          <w:p w:rsidR="00F92520" w:rsidRPr="00F92520" w:rsidRDefault="00F92520" w:rsidP="00F92520">
            <w:pPr>
              <w:pStyle w:val="FSBullet"/>
              <w:cnfStyle w:val="000000010000" w:firstRow="0" w:lastRow="0" w:firstColumn="0" w:lastColumn="0" w:oddVBand="0" w:evenVBand="0" w:oddHBand="0" w:evenHBand="1" w:firstRowFirstColumn="0" w:firstRowLastColumn="0" w:lastRowFirstColumn="0" w:lastRowLastColumn="0"/>
              <w:rPr>
                <w:sz w:val="20"/>
                <w:szCs w:val="20"/>
              </w:rPr>
            </w:pPr>
            <w:r w:rsidRPr="00F92520">
              <w:rPr>
                <w:sz w:val="20"/>
                <w:szCs w:val="20"/>
                <w:lang w:val="en-GB"/>
              </w:rPr>
              <w:t xml:space="preserve">the food has a refrigerated shelf life </w:t>
            </w:r>
            <w:r w:rsidRPr="00F92520">
              <w:rPr>
                <w:sz w:val="20"/>
                <w:szCs w:val="20"/>
                <w:lang w:val="en-GB"/>
              </w:rPr>
              <w:sym w:font="Symbol" w:char="F0A3"/>
            </w:r>
            <w:r w:rsidRPr="00F92520">
              <w:rPr>
                <w:sz w:val="20"/>
                <w:szCs w:val="20"/>
                <w:lang w:val="en-GB"/>
              </w:rPr>
              <w:t xml:space="preserve"> 5 days; or</w:t>
            </w:r>
          </w:p>
          <w:p w:rsidR="00F92520" w:rsidRPr="00F92520" w:rsidRDefault="00F92520" w:rsidP="00F92520">
            <w:pPr>
              <w:pStyle w:val="FSBullet"/>
              <w:cnfStyle w:val="000000010000" w:firstRow="0" w:lastRow="0" w:firstColumn="0" w:lastColumn="0" w:oddVBand="0" w:evenVBand="0" w:oddHBand="0" w:evenHBand="1" w:firstRowFirstColumn="0" w:firstRowLastColumn="0" w:lastRowFirstColumn="0" w:lastRowLastColumn="0"/>
              <w:rPr>
                <w:sz w:val="20"/>
              </w:rPr>
            </w:pPr>
            <w:proofErr w:type="gramStart"/>
            <w:r w:rsidRPr="00F92520">
              <w:rPr>
                <w:sz w:val="20"/>
              </w:rPr>
              <w:t>the</w:t>
            </w:r>
            <w:proofErr w:type="gramEnd"/>
            <w:r w:rsidRPr="00F92520">
              <w:rPr>
                <w:sz w:val="20"/>
              </w:rPr>
              <w:t xml:space="preserve"> food has not had a listericidal treatment and it can be validated that the level of </w:t>
            </w:r>
            <w:r w:rsidRPr="00F92520">
              <w:rPr>
                <w:i/>
                <w:sz w:val="20"/>
              </w:rPr>
              <w:t>Listeria monocytogenes</w:t>
            </w:r>
            <w:r w:rsidRPr="00F92520">
              <w:rPr>
                <w:sz w:val="20"/>
              </w:rPr>
              <w:t xml:space="preserve"> will not exceed 100 cfu/g throughout the food’s stated shelf life.</w:t>
            </w:r>
          </w:p>
          <w:p w:rsidR="001574EC" w:rsidRDefault="00F92520" w:rsidP="005D5CF1">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T</w:t>
            </w:r>
            <w:r w:rsidR="000B2F67" w:rsidRPr="00B9772E">
              <w:rPr>
                <w:sz w:val="20"/>
              </w:rPr>
              <w:t>h</w:t>
            </w:r>
            <w:r w:rsidR="001574EC">
              <w:rPr>
                <w:sz w:val="20"/>
              </w:rPr>
              <w:t xml:space="preserve">is </w:t>
            </w:r>
            <w:r w:rsidR="006766DB">
              <w:rPr>
                <w:sz w:val="20"/>
              </w:rPr>
              <w:t>approach</w:t>
            </w:r>
            <w:r w:rsidR="000B2F67" w:rsidRPr="00B9772E">
              <w:rPr>
                <w:sz w:val="20"/>
              </w:rPr>
              <w:t xml:space="preserve"> recogni</w:t>
            </w:r>
            <w:r>
              <w:rPr>
                <w:sz w:val="20"/>
              </w:rPr>
              <w:t>ses</w:t>
            </w:r>
            <w:r w:rsidR="000B2F67" w:rsidRPr="00B9772E">
              <w:rPr>
                <w:sz w:val="20"/>
              </w:rPr>
              <w:t xml:space="preserve"> that some foods (such as cold smoked fish) do not receive a listericidal treatment and </w:t>
            </w:r>
            <w:r w:rsidR="00A15EE8">
              <w:rPr>
                <w:sz w:val="20"/>
              </w:rPr>
              <w:t xml:space="preserve">there may be some limited growth of </w:t>
            </w:r>
            <w:r w:rsidR="000B2F67" w:rsidRPr="00B9772E">
              <w:rPr>
                <w:i/>
                <w:sz w:val="20"/>
              </w:rPr>
              <w:t>L. monocytogenes</w:t>
            </w:r>
            <w:r w:rsidR="000B2F67" w:rsidRPr="00B9772E">
              <w:rPr>
                <w:sz w:val="20"/>
              </w:rPr>
              <w:t xml:space="preserve">. </w:t>
            </w:r>
          </w:p>
          <w:p w:rsidR="001574EC" w:rsidRDefault="001574EC" w:rsidP="00F92520">
            <w:pPr>
              <w:cnfStyle w:val="000000010000" w:firstRow="0" w:lastRow="0" w:firstColumn="0" w:lastColumn="0" w:oddVBand="0" w:evenVBand="0" w:oddHBand="0" w:evenHBand="1" w:firstRowFirstColumn="0" w:firstRowLastColumn="0" w:lastRowFirstColumn="0" w:lastRowLastColumn="0"/>
              <w:rPr>
                <w:sz w:val="20"/>
              </w:rPr>
            </w:pPr>
          </w:p>
          <w:p w:rsidR="000B2F67" w:rsidRPr="00B9772E" w:rsidRDefault="00E10289" w:rsidP="005D5CF1">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 xml:space="preserve">Under the </w:t>
            </w:r>
            <w:r w:rsidR="001574EC">
              <w:rPr>
                <w:sz w:val="20"/>
              </w:rPr>
              <w:t>draft</w:t>
            </w:r>
            <w:r w:rsidRPr="00B9772E">
              <w:rPr>
                <w:sz w:val="20"/>
              </w:rPr>
              <w:t xml:space="preserve"> Standard 1.6.1, businesses producing such products are able to validate that the level of </w:t>
            </w:r>
            <w:r w:rsidRPr="00B9772E">
              <w:rPr>
                <w:i/>
                <w:sz w:val="20"/>
              </w:rPr>
              <w:t>L. monocytogenes</w:t>
            </w:r>
            <w:r w:rsidRPr="00B9772E">
              <w:rPr>
                <w:sz w:val="20"/>
              </w:rPr>
              <w:t xml:space="preserve"> will not exceed 100 cfu /g during the product’s shelf life</w:t>
            </w:r>
            <w:r w:rsidR="005F6EA3" w:rsidRPr="00B9772E">
              <w:rPr>
                <w:sz w:val="20"/>
              </w:rPr>
              <w:t>. The</w:t>
            </w:r>
            <w:r w:rsidRPr="00B9772E">
              <w:rPr>
                <w:sz w:val="20"/>
              </w:rPr>
              <w:t xml:space="preserve"> product is </w:t>
            </w:r>
            <w:r w:rsidR="005F6EA3" w:rsidRPr="00B9772E">
              <w:rPr>
                <w:sz w:val="20"/>
              </w:rPr>
              <w:t xml:space="preserve">then </w:t>
            </w:r>
            <w:r w:rsidRPr="00B9772E">
              <w:rPr>
                <w:sz w:val="20"/>
              </w:rPr>
              <w:t xml:space="preserve">considered </w:t>
            </w:r>
            <w:r w:rsidR="005F6EA3" w:rsidRPr="00B9772E">
              <w:rPr>
                <w:sz w:val="20"/>
              </w:rPr>
              <w:t>a RTE food</w:t>
            </w:r>
            <w:r w:rsidRPr="00B9772E">
              <w:rPr>
                <w:sz w:val="20"/>
              </w:rPr>
              <w:t xml:space="preserve"> in which the growth of </w:t>
            </w:r>
            <w:r w:rsidRPr="00B9772E">
              <w:rPr>
                <w:i/>
                <w:sz w:val="20"/>
              </w:rPr>
              <w:t>L. monocytogenes</w:t>
            </w:r>
            <w:r w:rsidRPr="00B9772E">
              <w:rPr>
                <w:sz w:val="20"/>
              </w:rPr>
              <w:t xml:space="preserve"> will not occur (criteria of 100 cfu/g applies).</w:t>
            </w:r>
          </w:p>
          <w:p w:rsidR="000B2F67" w:rsidRPr="00B9772E" w:rsidRDefault="000B2F67"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A01ACD" w:rsidRPr="00B9772E" w:rsidRDefault="000B2F67" w:rsidP="00943BA9">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lastRenderedPageBreak/>
              <w:t>FSANZ has developed</w:t>
            </w:r>
            <w:r w:rsidR="00943BA9">
              <w:rPr>
                <w:sz w:val="20"/>
              </w:rPr>
              <w:t>,</w:t>
            </w:r>
            <w:r w:rsidRPr="00B9772E">
              <w:rPr>
                <w:sz w:val="20"/>
              </w:rPr>
              <w:t xml:space="preserve"> </w:t>
            </w:r>
            <w:r w:rsidR="00DC5CD0">
              <w:rPr>
                <w:sz w:val="20"/>
              </w:rPr>
              <w:t xml:space="preserve">and is seeking comment on </w:t>
            </w:r>
            <w:r w:rsidRPr="00B9772E">
              <w:rPr>
                <w:sz w:val="20"/>
              </w:rPr>
              <w:t xml:space="preserve">a </w:t>
            </w:r>
            <w:r w:rsidR="00DC5CD0">
              <w:rPr>
                <w:sz w:val="20"/>
              </w:rPr>
              <w:t xml:space="preserve">draft </w:t>
            </w:r>
            <w:r w:rsidRPr="00B9772E">
              <w:rPr>
                <w:sz w:val="20"/>
              </w:rPr>
              <w:t>guidance document (SD</w:t>
            </w:r>
            <w:r w:rsidR="00E11620" w:rsidRPr="00B9772E">
              <w:rPr>
                <w:sz w:val="20"/>
              </w:rPr>
              <w:t>1</w:t>
            </w:r>
            <w:r w:rsidRPr="00B9772E">
              <w:rPr>
                <w:sz w:val="20"/>
              </w:rPr>
              <w:t>)</w:t>
            </w:r>
            <w:r w:rsidR="00E10289" w:rsidRPr="00B9772E">
              <w:rPr>
                <w:sz w:val="20"/>
              </w:rPr>
              <w:t xml:space="preserve"> </w:t>
            </w:r>
            <w:r w:rsidR="00DC5CD0">
              <w:rPr>
                <w:sz w:val="20"/>
              </w:rPr>
              <w:t>on</w:t>
            </w:r>
            <w:r w:rsidR="00E10289" w:rsidRPr="00B9772E">
              <w:rPr>
                <w:sz w:val="20"/>
              </w:rPr>
              <w:t xml:space="preserve"> applying the definition of RTE foods for which the growth of </w:t>
            </w:r>
            <w:r w:rsidR="00E10289" w:rsidRPr="00B9772E">
              <w:rPr>
                <w:i/>
                <w:sz w:val="20"/>
              </w:rPr>
              <w:t>L. monocytogenes</w:t>
            </w:r>
            <w:r w:rsidR="00E10289" w:rsidRPr="00B9772E">
              <w:rPr>
                <w:sz w:val="20"/>
              </w:rPr>
              <w:t xml:space="preserve"> will not occur </w:t>
            </w:r>
            <w:r w:rsidR="005F6EA3" w:rsidRPr="00B9772E">
              <w:rPr>
                <w:sz w:val="20"/>
              </w:rPr>
              <w:t xml:space="preserve">and </w:t>
            </w:r>
            <w:r w:rsidR="00DC5CD0">
              <w:rPr>
                <w:sz w:val="20"/>
              </w:rPr>
              <w:t xml:space="preserve">the </w:t>
            </w:r>
            <w:r w:rsidR="005F6EA3" w:rsidRPr="00B9772E">
              <w:rPr>
                <w:sz w:val="20"/>
              </w:rPr>
              <w:t>validation requirements</w:t>
            </w:r>
            <w:r w:rsidR="0035007F" w:rsidRPr="00B9772E">
              <w:rPr>
                <w:sz w:val="20"/>
              </w:rPr>
              <w:t xml:space="preserve"> for this</w:t>
            </w:r>
            <w:r w:rsidR="005F6EA3" w:rsidRPr="00B9772E">
              <w:rPr>
                <w:sz w:val="20"/>
              </w:rPr>
              <w:t>.</w:t>
            </w:r>
            <w:r w:rsidR="001574EC">
              <w:rPr>
                <w:sz w:val="20"/>
              </w:rPr>
              <w:t xml:space="preserve"> </w:t>
            </w:r>
            <w:r w:rsidR="00943BA9">
              <w:rPr>
                <w:sz w:val="20"/>
              </w:rPr>
              <w:t>B</w:t>
            </w:r>
            <w:r w:rsidR="001574EC">
              <w:rPr>
                <w:sz w:val="20"/>
              </w:rPr>
              <w:t>usiness</w:t>
            </w:r>
            <w:r w:rsidR="00943BA9">
              <w:rPr>
                <w:sz w:val="20"/>
              </w:rPr>
              <w:t>es are responsible for considering</w:t>
            </w:r>
            <w:r w:rsidR="001574EC">
              <w:rPr>
                <w:sz w:val="20"/>
              </w:rPr>
              <w:t xml:space="preserve"> the characteristics of their </w:t>
            </w:r>
            <w:proofErr w:type="gramStart"/>
            <w:r w:rsidR="001574EC">
              <w:rPr>
                <w:sz w:val="20"/>
              </w:rPr>
              <w:t xml:space="preserve">product </w:t>
            </w:r>
            <w:r w:rsidR="00943BA9">
              <w:rPr>
                <w:sz w:val="20"/>
              </w:rPr>
              <w:t xml:space="preserve"> and</w:t>
            </w:r>
            <w:proofErr w:type="gramEnd"/>
            <w:r w:rsidR="00943BA9">
              <w:rPr>
                <w:sz w:val="20"/>
              </w:rPr>
              <w:t xml:space="preserve"> determining if it </w:t>
            </w:r>
            <w:r w:rsidR="001574EC">
              <w:rPr>
                <w:sz w:val="20"/>
              </w:rPr>
              <w:t xml:space="preserve"> support</w:t>
            </w:r>
            <w:r w:rsidR="00943BA9">
              <w:rPr>
                <w:sz w:val="20"/>
              </w:rPr>
              <w:t>s</w:t>
            </w:r>
            <w:r w:rsidR="001574EC">
              <w:rPr>
                <w:sz w:val="20"/>
              </w:rPr>
              <w:t xml:space="preserve"> the growth or not. This would be done, as necessary, with the appropriate enforcement agency.</w:t>
            </w:r>
          </w:p>
        </w:tc>
      </w:tr>
      <w:tr w:rsidR="00A01ACD" w:rsidTr="002B1F34">
        <w:trPr>
          <w:cnfStyle w:val="000000100000" w:firstRow="0" w:lastRow="0" w:firstColumn="0" w:lastColumn="0" w:oddVBand="0" w:evenVBand="0" w:oddHBand="1" w:evenHBand="0" w:firstRowFirstColumn="0" w:firstRowLastColumn="0" w:lastRowFirstColumn="0" w:lastRowLastColumn="0"/>
          <w:trHeight w:val="2404"/>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right w:val="none" w:sz="0" w:space="0" w:color="auto"/>
            </w:tcBorders>
          </w:tcPr>
          <w:p w:rsidR="00A01ACD" w:rsidRPr="00B9772E" w:rsidRDefault="00A01ACD" w:rsidP="00B9772E">
            <w:pPr>
              <w:ind w:left="113" w:hanging="113"/>
              <w:rPr>
                <w:sz w:val="20"/>
              </w:rPr>
            </w:pPr>
            <w:r w:rsidRPr="00B9772E">
              <w:rPr>
                <w:sz w:val="20"/>
              </w:rPr>
              <w:lastRenderedPageBreak/>
              <w:t>Affordability for small manufacturers</w:t>
            </w:r>
          </w:p>
          <w:p w:rsidR="007A219F" w:rsidRPr="00C26575" w:rsidRDefault="00B3387A" w:rsidP="007A219F">
            <w:pPr>
              <w:ind w:left="113" w:hanging="113"/>
              <w:rPr>
                <w:b w:val="0"/>
                <w:sz w:val="20"/>
              </w:rPr>
            </w:pPr>
            <w:r w:rsidRPr="00C26575">
              <w:rPr>
                <w:b w:val="0"/>
                <w:sz w:val="20"/>
              </w:rPr>
              <w:t>A submission</w:t>
            </w:r>
            <w:r w:rsidR="007A219F" w:rsidRPr="00C26575">
              <w:rPr>
                <w:b w:val="0"/>
                <w:sz w:val="20"/>
              </w:rPr>
              <w:t xml:space="preserve"> raised the cost of testing and implications for small businesses. For example, a composite presence/absence test is more affordable than an enumeration test however detection of </w:t>
            </w:r>
            <w:r w:rsidR="007A219F" w:rsidRPr="00C26575">
              <w:rPr>
                <w:b w:val="0"/>
                <w:i/>
                <w:sz w:val="20"/>
              </w:rPr>
              <w:t>L. monocytogenes</w:t>
            </w:r>
            <w:r w:rsidR="007A219F" w:rsidRPr="00C26575">
              <w:rPr>
                <w:b w:val="0"/>
                <w:sz w:val="20"/>
              </w:rPr>
              <w:t xml:space="preserve"> may put a manufacturer into recall mode though the level may be </w:t>
            </w:r>
            <w:proofErr w:type="gramStart"/>
            <w:r w:rsidR="007A219F" w:rsidRPr="00C26575">
              <w:rPr>
                <w:b w:val="0"/>
                <w:sz w:val="20"/>
              </w:rPr>
              <w:t>well below 100 cfu/g</w:t>
            </w:r>
            <w:proofErr w:type="gramEnd"/>
            <w:r w:rsidR="007A219F" w:rsidRPr="00C26575">
              <w:rPr>
                <w:b w:val="0"/>
                <w:sz w:val="20"/>
              </w:rPr>
              <w:t xml:space="preserve">.  </w:t>
            </w:r>
          </w:p>
          <w:p w:rsidR="00A01ACD" w:rsidRPr="00B9772E" w:rsidRDefault="00A01ACD" w:rsidP="00B9772E">
            <w:pPr>
              <w:ind w:left="113" w:hanging="113"/>
              <w:rPr>
                <w:sz w:val="20"/>
              </w:rPr>
            </w:pPr>
          </w:p>
        </w:tc>
        <w:tc>
          <w:tcPr>
            <w:tcW w:w="3119" w:type="dxa"/>
            <w:tcBorders>
              <w:left w:val="none" w:sz="0" w:space="0" w:color="auto"/>
              <w:bottom w:val="single" w:sz="4" w:space="0" w:color="auto"/>
              <w:right w:val="none" w:sz="0" w:space="0" w:color="auto"/>
            </w:tcBorders>
          </w:tcPr>
          <w:p w:rsidR="00B3387A" w:rsidRDefault="00B3387A" w:rsidP="00B3387A">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New Zealand independent scientific organisation</w:t>
            </w:r>
          </w:p>
          <w:p w:rsidR="00A01ACD" w:rsidRPr="00B9772E" w:rsidRDefault="00A01ACD" w:rsidP="007A219F">
            <w:pPr>
              <w:ind w:left="113" w:hanging="113"/>
              <w:cnfStyle w:val="000000100000" w:firstRow="0" w:lastRow="0" w:firstColumn="0" w:lastColumn="0" w:oddVBand="0" w:evenVBand="0" w:oddHBand="1" w:evenHBand="0" w:firstRowFirstColumn="0" w:firstRowLastColumn="0" w:lastRowFirstColumn="0" w:lastRowLastColumn="0"/>
              <w:rPr>
                <w:sz w:val="20"/>
              </w:rPr>
            </w:pPr>
          </w:p>
        </w:tc>
        <w:tc>
          <w:tcPr>
            <w:tcW w:w="7022" w:type="dxa"/>
            <w:tcBorders>
              <w:left w:val="none" w:sz="0" w:space="0" w:color="auto"/>
              <w:bottom w:val="single" w:sz="4" w:space="0" w:color="auto"/>
            </w:tcBorders>
          </w:tcPr>
          <w:p w:rsidR="00A01ACD" w:rsidRPr="00B9772E" w:rsidRDefault="003A4E76"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The detection of </w:t>
            </w:r>
            <w:r w:rsidRPr="00B9772E">
              <w:rPr>
                <w:i/>
                <w:sz w:val="20"/>
              </w:rPr>
              <w:t>L. monocytogenes</w:t>
            </w:r>
            <w:r w:rsidRPr="00B9772E">
              <w:rPr>
                <w:sz w:val="20"/>
              </w:rPr>
              <w:t xml:space="preserve"> in a RTE food that does support growth means the food would not comply with the requirements of Standard 1.6.1</w:t>
            </w:r>
            <w:r w:rsidR="001124EA" w:rsidRPr="00B9772E">
              <w:rPr>
                <w:sz w:val="20"/>
              </w:rPr>
              <w:t xml:space="preserve">. This </w:t>
            </w:r>
            <w:r w:rsidRPr="00B9772E">
              <w:rPr>
                <w:sz w:val="20"/>
              </w:rPr>
              <w:t>wo</w:t>
            </w:r>
            <w:r w:rsidR="00DC5CD0">
              <w:rPr>
                <w:sz w:val="20"/>
              </w:rPr>
              <w:t>u</w:t>
            </w:r>
            <w:r w:rsidRPr="00B9772E">
              <w:rPr>
                <w:sz w:val="20"/>
              </w:rPr>
              <w:t>ld pose a potential risk regardless that only low numbers are present (these would grow over time).</w:t>
            </w:r>
          </w:p>
          <w:p w:rsidR="003A4E76" w:rsidRPr="00B9772E" w:rsidRDefault="003A4E76"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3A4E76" w:rsidRPr="00B9772E" w:rsidRDefault="003A4E76"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For RTE foods that do not support the growth, the detection of low levels does not present a risk (a limit of &lt;100 cfu/g applies). Enforcement agencies should be able to provide advice and guidance to small businesses on sampling </w:t>
            </w:r>
            <w:r w:rsidR="003A6B27" w:rsidRPr="00B9772E">
              <w:rPr>
                <w:sz w:val="20"/>
              </w:rPr>
              <w:t>procedures and requirements appropriate to their product and circumstance.</w:t>
            </w:r>
          </w:p>
          <w:p w:rsidR="003A6B27" w:rsidRPr="00B9772E" w:rsidRDefault="003A6B2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tc>
      </w:tr>
      <w:tr w:rsidR="00BC7C98" w:rsidTr="00B54F4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auto"/>
            </w:tcBorders>
          </w:tcPr>
          <w:p w:rsidR="00BC7C98" w:rsidRPr="00B9772E" w:rsidRDefault="00BC7C98" w:rsidP="00B9772E">
            <w:pPr>
              <w:ind w:left="113" w:hanging="113"/>
              <w:rPr>
                <w:sz w:val="20"/>
              </w:rPr>
            </w:pPr>
            <w:r w:rsidRPr="00B9772E">
              <w:rPr>
                <w:sz w:val="20"/>
              </w:rPr>
              <w:t>Point of application of limits</w:t>
            </w:r>
          </w:p>
          <w:p w:rsidR="007A219F" w:rsidRPr="00C26575" w:rsidRDefault="007A219F" w:rsidP="007A219F">
            <w:pPr>
              <w:ind w:left="113" w:hanging="113"/>
              <w:rPr>
                <w:b w:val="0"/>
                <w:sz w:val="20"/>
              </w:rPr>
            </w:pPr>
            <w:r w:rsidRPr="00C26575">
              <w:rPr>
                <w:b w:val="0"/>
                <w:sz w:val="20"/>
              </w:rPr>
              <w:t xml:space="preserve">Several submissions raised the need for clarity in Standard 1.6.1 on the point of application of microbiological limits. Specifically, whether the limits would apply at point of manufacture, point of retail, food service of end of shelf life. </w:t>
            </w:r>
          </w:p>
          <w:p w:rsidR="007A219F" w:rsidRPr="00C26575" w:rsidRDefault="007A219F" w:rsidP="007A219F">
            <w:pPr>
              <w:ind w:left="113" w:hanging="113"/>
              <w:rPr>
                <w:b w:val="0"/>
                <w:sz w:val="20"/>
              </w:rPr>
            </w:pPr>
          </w:p>
          <w:p w:rsidR="007A219F" w:rsidRPr="00C26575" w:rsidRDefault="007A219F" w:rsidP="007A219F">
            <w:pPr>
              <w:ind w:left="113" w:hanging="113"/>
              <w:rPr>
                <w:b w:val="0"/>
                <w:sz w:val="20"/>
              </w:rPr>
            </w:pPr>
            <w:r w:rsidRPr="00C26575">
              <w:rPr>
                <w:b w:val="0"/>
                <w:sz w:val="20"/>
              </w:rPr>
              <w:t xml:space="preserve">One submitter stated, for foods in which the growth of </w:t>
            </w:r>
            <w:r w:rsidRPr="00C26575">
              <w:rPr>
                <w:b w:val="0"/>
                <w:i/>
                <w:sz w:val="20"/>
              </w:rPr>
              <w:t>L. monocytogenes</w:t>
            </w:r>
            <w:r w:rsidRPr="00C26575">
              <w:rPr>
                <w:b w:val="0"/>
                <w:sz w:val="20"/>
              </w:rPr>
              <w:t xml:space="preserve"> can occur, a limit at end</w:t>
            </w:r>
            <w:r w:rsidRPr="00C26575">
              <w:rPr>
                <w:rFonts w:ascii="Cambria Math" w:hAnsi="Cambria Math" w:cs="Cambria Math"/>
                <w:b w:val="0"/>
                <w:sz w:val="20"/>
              </w:rPr>
              <w:t>‐</w:t>
            </w:r>
            <w:r w:rsidRPr="00C26575">
              <w:rPr>
                <w:b w:val="0"/>
                <w:sz w:val="20"/>
              </w:rPr>
              <w:t>of</w:t>
            </w:r>
            <w:r w:rsidRPr="00C26575">
              <w:rPr>
                <w:rFonts w:ascii="Cambria Math" w:hAnsi="Cambria Math" w:cs="Cambria Math"/>
                <w:b w:val="0"/>
                <w:sz w:val="20"/>
              </w:rPr>
              <w:t>‐</w:t>
            </w:r>
            <w:r w:rsidRPr="00C26575">
              <w:rPr>
                <w:b w:val="0"/>
                <w:sz w:val="20"/>
              </w:rPr>
              <w:t xml:space="preserve">shelf life should be considered, and for foods that don’t support the growth of </w:t>
            </w:r>
            <w:r w:rsidRPr="00C26575">
              <w:rPr>
                <w:b w:val="0"/>
                <w:i/>
                <w:sz w:val="20"/>
              </w:rPr>
              <w:t>L. monocytogenes</w:t>
            </w:r>
            <w:r w:rsidRPr="00C26575">
              <w:rPr>
                <w:b w:val="0"/>
                <w:sz w:val="20"/>
              </w:rPr>
              <w:t xml:space="preserve"> the same limit be applied at end of manufacture/point of sale. </w:t>
            </w:r>
          </w:p>
          <w:p w:rsidR="00BC7C98" w:rsidRPr="00B9772E" w:rsidRDefault="00BC7C98" w:rsidP="00B9772E">
            <w:pPr>
              <w:ind w:left="113" w:hanging="113"/>
              <w:rPr>
                <w:sz w:val="20"/>
              </w:rPr>
            </w:pPr>
          </w:p>
        </w:tc>
        <w:tc>
          <w:tcPr>
            <w:tcW w:w="3119" w:type="dxa"/>
            <w:tcBorders>
              <w:left w:val="single" w:sz="4" w:space="0" w:color="auto"/>
              <w:right w:val="single" w:sz="4" w:space="0" w:color="auto"/>
            </w:tcBorders>
          </w:tcPr>
          <w:p w:rsidR="00BC7C98" w:rsidRDefault="00BC7C98" w:rsidP="007A219F">
            <w:pPr>
              <w:ind w:left="113" w:hanging="113"/>
              <w:cnfStyle w:val="000000010000" w:firstRow="0" w:lastRow="0" w:firstColumn="0" w:lastColumn="0" w:oddVBand="0" w:evenVBand="0" w:oddHBand="0" w:evenHBand="1" w:firstRowFirstColumn="0" w:firstRowLastColumn="0" w:lastRowFirstColumn="0" w:lastRowLastColumn="0"/>
              <w:rPr>
                <w:sz w:val="20"/>
              </w:rPr>
            </w:pPr>
          </w:p>
          <w:p w:rsidR="00B3387A" w:rsidRDefault="00B3387A" w:rsidP="00B3387A">
            <w:pPr>
              <w:ind w:left="113" w:hanging="113"/>
              <w:cnfStyle w:val="000000010000" w:firstRow="0" w:lastRow="0" w:firstColumn="0" w:lastColumn="0" w:oddVBand="0" w:evenVBand="0" w:oddHBand="0" w:evenHBand="1" w:firstRowFirstColumn="0" w:firstRowLastColumn="0" w:lastRowFirstColumn="0" w:lastRowLastColumn="0"/>
              <w:rPr>
                <w:sz w:val="20"/>
              </w:rPr>
            </w:pPr>
            <w:r>
              <w:rPr>
                <w:sz w:val="20"/>
              </w:rPr>
              <w:t>Australian and New Zealand industry</w:t>
            </w:r>
          </w:p>
          <w:p w:rsidR="00B3387A" w:rsidRPr="00B9772E" w:rsidRDefault="00B3387A" w:rsidP="007A219F">
            <w:pPr>
              <w:ind w:left="113" w:hanging="113"/>
              <w:cnfStyle w:val="000000010000" w:firstRow="0" w:lastRow="0" w:firstColumn="0" w:lastColumn="0" w:oddVBand="0" w:evenVBand="0" w:oddHBand="0" w:evenHBand="1" w:firstRowFirstColumn="0" w:firstRowLastColumn="0" w:lastRowFirstColumn="0" w:lastRowLastColumn="0"/>
              <w:rPr>
                <w:sz w:val="20"/>
              </w:rPr>
            </w:pPr>
          </w:p>
        </w:tc>
        <w:tc>
          <w:tcPr>
            <w:tcW w:w="7022" w:type="dxa"/>
            <w:tcBorders>
              <w:left w:val="single" w:sz="4" w:space="0" w:color="auto"/>
            </w:tcBorders>
          </w:tcPr>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Limits in Standard 1.6.1 apply to foods for sale which means they apply from the point of manufacture (at the point product is intended for sale) throughout distribution and retail until the end of shelf. The “Purpose” for Standard 1.6.1 has been revised to include that limits apply to food for sale or intended for sale.</w:t>
            </w:r>
          </w:p>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 xml:space="preserve">The limits proposed for </w:t>
            </w:r>
            <w:r w:rsidRPr="00B9772E">
              <w:rPr>
                <w:i/>
                <w:sz w:val="20"/>
              </w:rPr>
              <w:t>L. monocytogenes</w:t>
            </w:r>
            <w:r w:rsidRPr="00B9772E">
              <w:rPr>
                <w:sz w:val="20"/>
              </w:rPr>
              <w:t xml:space="preserve"> do apply on the basis of whether growth will or will not occur over the stated shelf life.</w:t>
            </w:r>
          </w:p>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p>
        </w:tc>
      </w:tr>
      <w:tr w:rsidR="00BC7C98" w:rsidTr="00B54F42">
        <w:trPr>
          <w:cnfStyle w:val="000000100000" w:firstRow="0" w:lastRow="0" w:firstColumn="0" w:lastColumn="0" w:oddVBand="0" w:evenVBand="0" w:oddHBand="1" w:evenHBand="0" w:firstRowFirstColumn="0" w:firstRowLastColumn="0" w:lastRowFirstColumn="0" w:lastRowLastColumn="0"/>
          <w:trHeight w:val="5094"/>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right w:val="single" w:sz="4" w:space="0" w:color="auto"/>
            </w:tcBorders>
          </w:tcPr>
          <w:p w:rsidR="007A219F" w:rsidRDefault="00BC7C98" w:rsidP="007A219F">
            <w:pPr>
              <w:ind w:left="113" w:hanging="113"/>
              <w:rPr>
                <w:sz w:val="20"/>
              </w:rPr>
            </w:pPr>
            <w:r w:rsidRPr="00B9772E">
              <w:rPr>
                <w:sz w:val="20"/>
              </w:rPr>
              <w:lastRenderedPageBreak/>
              <w:t>Definitions</w:t>
            </w:r>
          </w:p>
          <w:p w:rsidR="007A219F" w:rsidRPr="00C26575" w:rsidRDefault="007A219F" w:rsidP="007A219F">
            <w:pPr>
              <w:ind w:left="113" w:hanging="113"/>
              <w:rPr>
                <w:b w:val="0"/>
                <w:sz w:val="20"/>
              </w:rPr>
            </w:pPr>
            <w:r w:rsidRPr="00C26575">
              <w:rPr>
                <w:b w:val="0"/>
                <w:sz w:val="20"/>
              </w:rPr>
              <w:t>Several submissions raised the need for definitions, particularly for ready-to-eat, shelf life, growth and listericidal treatment in the Code. This will need to be consistent across the Code.</w:t>
            </w:r>
          </w:p>
          <w:p w:rsidR="007A219F" w:rsidRPr="00C26575" w:rsidRDefault="007A219F" w:rsidP="007A219F">
            <w:pPr>
              <w:ind w:left="113" w:hanging="113"/>
              <w:rPr>
                <w:b w:val="0"/>
                <w:sz w:val="20"/>
              </w:rPr>
            </w:pPr>
          </w:p>
          <w:p w:rsidR="00BC7C98" w:rsidRPr="00B9772E" w:rsidRDefault="007A219F" w:rsidP="007A219F">
            <w:pPr>
              <w:ind w:left="113" w:hanging="113"/>
              <w:rPr>
                <w:sz w:val="20"/>
              </w:rPr>
            </w:pPr>
            <w:r w:rsidRPr="00C26575">
              <w:rPr>
                <w:b w:val="0"/>
                <w:sz w:val="20"/>
              </w:rPr>
              <w:t xml:space="preserve">One submitter suggested a definition for ready-to-eat will need to consider other definitions than the two provided for RTE foods applied in NZ. The definition should be explicit as to whether it supports or does not support the growth of </w:t>
            </w:r>
            <w:r w:rsidRPr="00C26575">
              <w:rPr>
                <w:b w:val="0"/>
                <w:i/>
                <w:sz w:val="20"/>
              </w:rPr>
              <w:t>L. monocytogenes</w:t>
            </w:r>
            <w:r w:rsidRPr="00C26575">
              <w:rPr>
                <w:b w:val="0"/>
                <w:sz w:val="20"/>
              </w:rPr>
              <w:t xml:space="preserve">. On this basis, the definition of RTE should provide for the exclusion of categories of food where the survival of </w:t>
            </w:r>
            <w:r w:rsidRPr="00C26575">
              <w:rPr>
                <w:b w:val="0"/>
                <w:i/>
                <w:sz w:val="20"/>
              </w:rPr>
              <w:t>L. monocytogenes</w:t>
            </w:r>
            <w:r w:rsidRPr="00C26575">
              <w:rPr>
                <w:b w:val="0"/>
                <w:sz w:val="20"/>
              </w:rPr>
              <w:t xml:space="preserve"> is highly unlikely. This would greatly assist industry to target testing where it can most effectively contribute to Listeria management</w:t>
            </w:r>
          </w:p>
        </w:tc>
        <w:tc>
          <w:tcPr>
            <w:tcW w:w="3119" w:type="dxa"/>
            <w:tcBorders>
              <w:left w:val="single" w:sz="4" w:space="0" w:color="auto"/>
              <w:bottom w:val="single" w:sz="4" w:space="0" w:color="auto"/>
              <w:right w:val="single" w:sz="4" w:space="0" w:color="auto"/>
            </w:tcBorders>
          </w:tcPr>
          <w:p w:rsidR="001F69D7" w:rsidRDefault="001F69D7" w:rsidP="001F69D7">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color w:val="231F20"/>
                <w:sz w:val="20"/>
                <w:szCs w:val="22"/>
                <w:lang w:bidi="ar-SA"/>
              </w:rPr>
            </w:pPr>
            <w:r>
              <w:rPr>
                <w:rFonts w:cs="Arial"/>
                <w:color w:val="231F20"/>
                <w:sz w:val="20"/>
                <w:szCs w:val="22"/>
                <w:lang w:bidi="ar-SA"/>
              </w:rPr>
              <w:t>Government and industry</w:t>
            </w: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tc>
        <w:tc>
          <w:tcPr>
            <w:tcW w:w="7022" w:type="dxa"/>
            <w:tcBorders>
              <w:left w:val="single" w:sz="4" w:space="0" w:color="auto"/>
              <w:bottom w:val="single" w:sz="4" w:space="0" w:color="auto"/>
            </w:tcBorders>
          </w:tcPr>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The draft amendment to Standard 1.1.1 provides a definition for ready-to-eat food for application throughout the Code and is appropriate to the application of limits for </w:t>
            </w:r>
            <w:r w:rsidRPr="00B9772E">
              <w:rPr>
                <w:i/>
                <w:sz w:val="20"/>
              </w:rPr>
              <w:t>L. monocytogenes</w:t>
            </w:r>
            <w:r w:rsidRPr="00B9772E">
              <w:rPr>
                <w:sz w:val="20"/>
              </w:rPr>
              <w:t xml:space="preserve">. </w:t>
            </w: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The draft amendment to Standard 1.6.1 includes a clear definition for </w:t>
            </w:r>
            <w:r w:rsidR="00591AFD" w:rsidRPr="00B9772E">
              <w:rPr>
                <w:sz w:val="20"/>
              </w:rPr>
              <w:t>RTE</w:t>
            </w:r>
            <w:r w:rsidRPr="00B9772E">
              <w:rPr>
                <w:sz w:val="20"/>
              </w:rPr>
              <w:t xml:space="preserve"> foods for which growth will not occur, specifying the parameters/criteria that need to be considered. The </w:t>
            </w:r>
            <w:r w:rsidR="00DC5CD0">
              <w:rPr>
                <w:sz w:val="20"/>
              </w:rPr>
              <w:t xml:space="preserve">draft </w:t>
            </w:r>
            <w:r w:rsidRPr="00B9772E">
              <w:rPr>
                <w:sz w:val="20"/>
              </w:rPr>
              <w:t xml:space="preserve">guidance document provides </w:t>
            </w:r>
            <w:r w:rsidR="00714E7A">
              <w:rPr>
                <w:sz w:val="20"/>
              </w:rPr>
              <w:t>explanatory</w:t>
            </w:r>
            <w:r w:rsidR="00714E7A" w:rsidRPr="00B9772E">
              <w:rPr>
                <w:sz w:val="20"/>
              </w:rPr>
              <w:t xml:space="preserve"> </w:t>
            </w:r>
            <w:r w:rsidRPr="00B9772E">
              <w:rPr>
                <w:sz w:val="20"/>
              </w:rPr>
              <w:t xml:space="preserve">information, clarifying for what foods testing for </w:t>
            </w:r>
            <w:r w:rsidRPr="00B9772E">
              <w:rPr>
                <w:i/>
                <w:sz w:val="20"/>
              </w:rPr>
              <w:t>L. monocytogenes</w:t>
            </w:r>
            <w:r w:rsidRPr="00B9772E">
              <w:rPr>
                <w:sz w:val="20"/>
              </w:rPr>
              <w:t xml:space="preserve"> is not appropriate, what criteria applies to other RTE foods and when validation is needed to support this. </w:t>
            </w: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A definition of listericidal treatment is also included.</w:t>
            </w: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tc>
      </w:tr>
      <w:tr w:rsidR="00BC7C98" w:rsidTr="002B1F34">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right w:val="single" w:sz="4" w:space="0" w:color="auto"/>
            </w:tcBorders>
          </w:tcPr>
          <w:p w:rsidR="007A219F" w:rsidRDefault="00BC7C98" w:rsidP="00B9772E">
            <w:pPr>
              <w:ind w:left="113" w:hanging="113"/>
              <w:rPr>
                <w:rFonts w:cs="Arial"/>
                <w:color w:val="231F20"/>
                <w:sz w:val="20"/>
                <w:szCs w:val="22"/>
                <w:lang w:bidi="ar-SA"/>
              </w:rPr>
            </w:pPr>
            <w:r w:rsidRPr="00B9772E">
              <w:rPr>
                <w:rFonts w:cs="Arial"/>
                <w:sz w:val="20"/>
                <w:szCs w:val="22"/>
              </w:rPr>
              <w:t>Consistency across the states and territories</w:t>
            </w:r>
            <w:r w:rsidR="007A219F" w:rsidRPr="00B9772E">
              <w:rPr>
                <w:rFonts w:cs="Arial"/>
                <w:color w:val="231F20"/>
                <w:sz w:val="20"/>
                <w:szCs w:val="22"/>
                <w:lang w:bidi="ar-SA"/>
              </w:rPr>
              <w:t xml:space="preserve"> </w:t>
            </w:r>
          </w:p>
          <w:p w:rsidR="00BC7C98" w:rsidRPr="00C26575" w:rsidRDefault="007A219F" w:rsidP="00B9772E">
            <w:pPr>
              <w:ind w:left="113" w:hanging="113"/>
              <w:rPr>
                <w:b w:val="0"/>
                <w:sz w:val="20"/>
              </w:rPr>
            </w:pPr>
            <w:r w:rsidRPr="00C26575">
              <w:rPr>
                <w:rFonts w:cs="Arial"/>
                <w:b w:val="0"/>
                <w:color w:val="231F20"/>
                <w:sz w:val="20"/>
                <w:szCs w:val="22"/>
                <w:lang w:bidi="ar-SA"/>
              </w:rPr>
              <w:t>Two submissions raised the need for consistency across states and territories to reduce inconsistent approaches from different state health authorities. One submitter raised that some states accept that a &lt;10 count is unlikely to pose any consumer risk and some states take the approach that any detection should warrant a recall, irrelevant of shelf life, enumeration and true risk to the public.</w:t>
            </w:r>
          </w:p>
        </w:tc>
        <w:tc>
          <w:tcPr>
            <w:tcW w:w="3119" w:type="dxa"/>
            <w:tcBorders>
              <w:left w:val="single" w:sz="4" w:space="0" w:color="auto"/>
              <w:bottom w:val="single" w:sz="4" w:space="0" w:color="auto"/>
              <w:right w:val="single" w:sz="4" w:space="0" w:color="auto"/>
            </w:tcBorders>
          </w:tcPr>
          <w:p w:rsidR="00BC7C98" w:rsidRDefault="00B3387A" w:rsidP="006766DB">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cs="Arial"/>
                <w:color w:val="231F20"/>
                <w:sz w:val="20"/>
                <w:szCs w:val="22"/>
                <w:lang w:bidi="ar-SA"/>
              </w:rPr>
            </w:pPr>
            <w:r>
              <w:rPr>
                <w:rFonts w:cs="Arial"/>
                <w:color w:val="231F20"/>
                <w:sz w:val="20"/>
                <w:szCs w:val="22"/>
                <w:lang w:bidi="ar-SA"/>
              </w:rPr>
              <w:t>Government and industry</w:t>
            </w:r>
          </w:p>
          <w:p w:rsidR="00B3387A" w:rsidRDefault="00B3387A" w:rsidP="00B9772E">
            <w:pPr>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cs="Arial"/>
                <w:color w:val="231F20"/>
                <w:sz w:val="20"/>
                <w:szCs w:val="22"/>
                <w:lang w:bidi="ar-SA"/>
              </w:rPr>
            </w:pPr>
          </w:p>
          <w:p w:rsidR="00B3387A" w:rsidRPr="00B9772E" w:rsidRDefault="00B3387A" w:rsidP="00B9772E">
            <w:pPr>
              <w:widowControl/>
              <w:autoSpaceDE w:val="0"/>
              <w:autoSpaceDN w:val="0"/>
              <w:adjustRightInd w:val="0"/>
              <w:ind w:left="113" w:hanging="113"/>
              <w:cnfStyle w:val="000000010000" w:firstRow="0" w:lastRow="0" w:firstColumn="0" w:lastColumn="0" w:oddVBand="0" w:evenVBand="0" w:oddHBand="0" w:evenHBand="1" w:firstRowFirstColumn="0" w:firstRowLastColumn="0" w:lastRowFirstColumn="0" w:lastRowLastColumn="0"/>
              <w:rPr>
                <w:rFonts w:cs="Arial"/>
                <w:color w:val="231F20"/>
                <w:sz w:val="20"/>
                <w:szCs w:val="22"/>
                <w:lang w:bidi="ar-SA"/>
              </w:rPr>
            </w:pPr>
          </w:p>
        </w:tc>
        <w:tc>
          <w:tcPr>
            <w:tcW w:w="7022" w:type="dxa"/>
            <w:tcBorders>
              <w:left w:val="single" w:sz="4" w:space="0" w:color="auto"/>
              <w:bottom w:val="single" w:sz="4" w:space="0" w:color="auto"/>
            </w:tcBorders>
          </w:tcPr>
          <w:p w:rsidR="00BC7C98" w:rsidRPr="00B9772E" w:rsidRDefault="00BC7C98" w:rsidP="00943BA9">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 xml:space="preserve">The inclusion of criteria for </w:t>
            </w:r>
            <w:r w:rsidRPr="00B9772E">
              <w:rPr>
                <w:i/>
                <w:sz w:val="20"/>
              </w:rPr>
              <w:t>L. monocytogenes</w:t>
            </w:r>
            <w:r w:rsidRPr="00B9772E">
              <w:rPr>
                <w:sz w:val="20"/>
              </w:rPr>
              <w:t xml:space="preserve"> for RTE food in Standard 1.6.1 will provide greater clarity for enforcement agencies as to </w:t>
            </w:r>
            <w:r w:rsidR="00943BA9">
              <w:rPr>
                <w:sz w:val="20"/>
              </w:rPr>
              <w:t>the</w:t>
            </w:r>
            <w:r w:rsidR="00943BA9" w:rsidRPr="00B9772E">
              <w:rPr>
                <w:sz w:val="20"/>
              </w:rPr>
              <w:t xml:space="preserve"> </w:t>
            </w:r>
            <w:r w:rsidRPr="00B9772E">
              <w:rPr>
                <w:sz w:val="20"/>
              </w:rPr>
              <w:t xml:space="preserve">limit </w:t>
            </w:r>
            <w:r w:rsidR="00943BA9">
              <w:rPr>
                <w:sz w:val="20"/>
              </w:rPr>
              <w:t xml:space="preserve">that </w:t>
            </w:r>
            <w:r w:rsidRPr="00B9772E">
              <w:rPr>
                <w:sz w:val="20"/>
              </w:rPr>
              <w:t>should be applied</w:t>
            </w:r>
            <w:r w:rsidR="00943BA9">
              <w:rPr>
                <w:sz w:val="20"/>
              </w:rPr>
              <w:t xml:space="preserve"> in different circumstances</w:t>
            </w:r>
            <w:r w:rsidRPr="00B9772E">
              <w:rPr>
                <w:sz w:val="20"/>
              </w:rPr>
              <w:t xml:space="preserve"> provide the basis for consistent implementation.</w:t>
            </w:r>
          </w:p>
        </w:tc>
      </w:tr>
      <w:tr w:rsidR="00BC7C98" w:rsidTr="002B1F34">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bottom w:val="single" w:sz="4" w:space="0" w:color="auto"/>
              <w:right w:val="single" w:sz="4" w:space="0" w:color="auto"/>
            </w:tcBorders>
          </w:tcPr>
          <w:p w:rsidR="007A219F" w:rsidRDefault="00BC7C98" w:rsidP="007A219F">
            <w:pPr>
              <w:widowControl/>
              <w:autoSpaceDE w:val="0"/>
              <w:autoSpaceDN w:val="0"/>
              <w:adjustRightInd w:val="0"/>
              <w:ind w:left="113" w:hanging="113"/>
              <w:rPr>
                <w:rFonts w:cs="Arial"/>
                <w:color w:val="231F20"/>
                <w:sz w:val="20"/>
                <w:szCs w:val="22"/>
                <w:lang w:val="en-GB" w:bidi="ar-SA"/>
              </w:rPr>
            </w:pPr>
            <w:r w:rsidRPr="00B9772E">
              <w:rPr>
                <w:rFonts w:cs="Arial"/>
                <w:color w:val="231F20"/>
                <w:sz w:val="20"/>
                <w:szCs w:val="22"/>
                <w:lang w:bidi="ar-SA"/>
              </w:rPr>
              <w:lastRenderedPageBreak/>
              <w:t>Guidance and reference criteria</w:t>
            </w:r>
            <w:r w:rsidR="007A219F" w:rsidRPr="00B9772E">
              <w:rPr>
                <w:rFonts w:cs="Arial"/>
                <w:color w:val="231F20"/>
                <w:sz w:val="20"/>
                <w:szCs w:val="22"/>
                <w:lang w:val="en-GB" w:bidi="ar-SA"/>
              </w:rPr>
              <w:t xml:space="preserve"> </w:t>
            </w:r>
          </w:p>
          <w:p w:rsidR="007A219F" w:rsidRPr="00C26575" w:rsidRDefault="007A219F" w:rsidP="007A219F">
            <w:pPr>
              <w:widowControl/>
              <w:autoSpaceDE w:val="0"/>
              <w:autoSpaceDN w:val="0"/>
              <w:adjustRightInd w:val="0"/>
              <w:ind w:left="113" w:hanging="113"/>
              <w:rPr>
                <w:rFonts w:cs="Arial"/>
                <w:b w:val="0"/>
                <w:color w:val="231F20"/>
                <w:sz w:val="20"/>
                <w:szCs w:val="22"/>
                <w:lang w:val="en-GB" w:bidi="ar-SA"/>
              </w:rPr>
            </w:pPr>
            <w:r w:rsidRPr="00C26575">
              <w:rPr>
                <w:rFonts w:cs="Arial"/>
                <w:b w:val="0"/>
                <w:color w:val="231F20"/>
                <w:sz w:val="20"/>
                <w:szCs w:val="22"/>
                <w:lang w:val="en-GB" w:bidi="ar-SA"/>
              </w:rPr>
              <w:t>One submitter stated further</w:t>
            </w:r>
            <w:r w:rsidRPr="00B9772E">
              <w:rPr>
                <w:rFonts w:cs="Arial"/>
                <w:color w:val="231F20"/>
                <w:sz w:val="20"/>
                <w:szCs w:val="22"/>
                <w:lang w:val="en-GB" w:bidi="ar-SA"/>
              </w:rPr>
              <w:t xml:space="preserve"> </w:t>
            </w:r>
            <w:r w:rsidRPr="00C26575">
              <w:rPr>
                <w:rFonts w:cs="Arial"/>
                <w:b w:val="0"/>
                <w:color w:val="231F20"/>
                <w:sz w:val="20"/>
                <w:szCs w:val="22"/>
                <w:lang w:val="en-GB" w:bidi="ar-SA"/>
              </w:rPr>
              <w:t xml:space="preserve">clarification and guidance from FSANZ is required as to what specific protocols should be employed to demonstrate that growth of Listeria will not occur in a food during the expected shelf life. </w:t>
            </w:r>
          </w:p>
          <w:p w:rsidR="007A219F" w:rsidRPr="00C26575" w:rsidRDefault="007A219F" w:rsidP="007A219F">
            <w:pPr>
              <w:widowControl/>
              <w:autoSpaceDE w:val="0"/>
              <w:autoSpaceDN w:val="0"/>
              <w:adjustRightInd w:val="0"/>
              <w:ind w:left="113" w:hanging="113"/>
              <w:rPr>
                <w:rFonts w:cs="Arial"/>
                <w:b w:val="0"/>
                <w:color w:val="231F20"/>
                <w:sz w:val="20"/>
                <w:szCs w:val="22"/>
                <w:lang w:val="en-GB" w:bidi="ar-SA"/>
              </w:rPr>
            </w:pPr>
          </w:p>
          <w:p w:rsidR="007A219F" w:rsidRPr="00C26575" w:rsidRDefault="007A219F" w:rsidP="007A219F">
            <w:pPr>
              <w:widowControl/>
              <w:autoSpaceDE w:val="0"/>
              <w:autoSpaceDN w:val="0"/>
              <w:adjustRightInd w:val="0"/>
              <w:ind w:left="113" w:hanging="113"/>
              <w:rPr>
                <w:rFonts w:cs="Arial"/>
                <w:b w:val="0"/>
                <w:color w:val="231F20"/>
                <w:sz w:val="20"/>
                <w:szCs w:val="22"/>
                <w:lang w:val="en-GB" w:bidi="ar-SA"/>
              </w:rPr>
            </w:pPr>
            <w:r w:rsidRPr="00C26575">
              <w:rPr>
                <w:rFonts w:cs="Arial"/>
                <w:b w:val="0"/>
                <w:color w:val="231F20"/>
                <w:sz w:val="20"/>
                <w:szCs w:val="22"/>
                <w:lang w:val="en-GB" w:bidi="ar-SA"/>
              </w:rPr>
              <w:t xml:space="preserve">One submitter required clarification of ‘reference criteria’ and another sought guidance on the use of Best Before Date or Use-by Date for products that do support the growth of </w:t>
            </w:r>
            <w:r w:rsidRPr="00C26575">
              <w:rPr>
                <w:rFonts w:cs="Arial"/>
                <w:b w:val="0"/>
                <w:i/>
                <w:color w:val="231F20"/>
                <w:sz w:val="20"/>
                <w:szCs w:val="22"/>
                <w:lang w:val="en-GB" w:bidi="ar-SA"/>
              </w:rPr>
              <w:t>L. monocytogenes</w:t>
            </w:r>
            <w:r w:rsidRPr="00C26575">
              <w:rPr>
                <w:rFonts w:cs="Arial"/>
                <w:b w:val="0"/>
                <w:color w:val="231F20"/>
                <w:sz w:val="20"/>
                <w:szCs w:val="22"/>
                <w:lang w:val="en-GB" w:bidi="ar-SA"/>
              </w:rPr>
              <w:t xml:space="preserve"> must be provided to align with revised </w:t>
            </w:r>
            <w:r w:rsidRPr="00C26575">
              <w:rPr>
                <w:rFonts w:cs="Arial"/>
                <w:b w:val="0"/>
                <w:i/>
                <w:color w:val="231F20"/>
                <w:sz w:val="20"/>
                <w:szCs w:val="22"/>
                <w:lang w:val="en-GB" w:bidi="ar-SA"/>
              </w:rPr>
              <w:t>L. monocytogenes</w:t>
            </w:r>
            <w:r w:rsidRPr="00C26575">
              <w:rPr>
                <w:rFonts w:cs="Arial"/>
                <w:b w:val="0"/>
                <w:color w:val="231F20"/>
                <w:sz w:val="20"/>
                <w:szCs w:val="22"/>
                <w:lang w:val="en-GB" w:bidi="ar-SA"/>
              </w:rPr>
              <w:t xml:space="preserve"> limits. </w:t>
            </w:r>
          </w:p>
          <w:p w:rsidR="007A219F" w:rsidRPr="00C26575" w:rsidRDefault="007A219F" w:rsidP="007A219F">
            <w:pPr>
              <w:widowControl/>
              <w:autoSpaceDE w:val="0"/>
              <w:autoSpaceDN w:val="0"/>
              <w:adjustRightInd w:val="0"/>
              <w:ind w:left="113" w:hanging="113"/>
              <w:rPr>
                <w:rFonts w:cs="Arial"/>
                <w:b w:val="0"/>
                <w:color w:val="231F20"/>
                <w:sz w:val="20"/>
                <w:szCs w:val="22"/>
                <w:lang w:val="en-GB" w:bidi="ar-SA"/>
              </w:rPr>
            </w:pPr>
          </w:p>
          <w:p w:rsidR="007A219F" w:rsidRPr="00C26575" w:rsidRDefault="007A219F" w:rsidP="007A219F">
            <w:pPr>
              <w:widowControl/>
              <w:autoSpaceDE w:val="0"/>
              <w:autoSpaceDN w:val="0"/>
              <w:adjustRightInd w:val="0"/>
              <w:ind w:left="113" w:hanging="113"/>
              <w:rPr>
                <w:rFonts w:cs="Arial"/>
                <w:b w:val="0"/>
                <w:color w:val="231F20"/>
                <w:sz w:val="20"/>
                <w:szCs w:val="22"/>
                <w:lang w:val="en-GB" w:bidi="ar-SA"/>
              </w:rPr>
            </w:pPr>
            <w:r w:rsidRPr="00C26575">
              <w:rPr>
                <w:rFonts w:cs="Arial"/>
                <w:b w:val="0"/>
                <w:color w:val="231F20"/>
                <w:sz w:val="20"/>
                <w:szCs w:val="22"/>
                <w:lang w:val="en-GB" w:bidi="ar-SA"/>
              </w:rPr>
              <w:t xml:space="preserve">Another submitter sought guidelines for testing </w:t>
            </w:r>
            <w:r w:rsidRPr="00C26575">
              <w:rPr>
                <w:rFonts w:cs="Arial"/>
                <w:b w:val="0"/>
                <w:i/>
                <w:color w:val="231F20"/>
                <w:sz w:val="20"/>
                <w:szCs w:val="22"/>
                <w:lang w:val="en-GB" w:bidi="ar-SA"/>
              </w:rPr>
              <w:t>L. monocytogenes</w:t>
            </w:r>
            <w:r w:rsidRPr="00C26575">
              <w:rPr>
                <w:rFonts w:cs="Arial"/>
                <w:b w:val="0"/>
                <w:color w:val="231F20"/>
                <w:sz w:val="20"/>
                <w:szCs w:val="22"/>
                <w:lang w:val="en-GB" w:bidi="ar-SA"/>
              </w:rPr>
              <w:t xml:space="preserve"> in the environment are required and for samples that are ‘borderline’ (10-100 cfu/g). </w:t>
            </w:r>
          </w:p>
          <w:p w:rsidR="00BC7C98" w:rsidRPr="00B9772E" w:rsidRDefault="00BC7C98" w:rsidP="00B9772E">
            <w:pPr>
              <w:ind w:left="113" w:hanging="113"/>
              <w:rPr>
                <w:rFonts w:cs="Arial"/>
                <w:sz w:val="20"/>
                <w:szCs w:val="22"/>
              </w:rPr>
            </w:pPr>
          </w:p>
        </w:tc>
        <w:tc>
          <w:tcPr>
            <w:tcW w:w="3119" w:type="dxa"/>
            <w:tcBorders>
              <w:left w:val="single" w:sz="4" w:space="0" w:color="auto"/>
              <w:bottom w:val="single" w:sz="4" w:space="0" w:color="auto"/>
              <w:right w:val="single" w:sz="4" w:space="0" w:color="auto"/>
            </w:tcBorders>
          </w:tcPr>
          <w:p w:rsidR="00BC7C98" w:rsidRDefault="00BC7C98" w:rsidP="007A219F">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color w:val="231F20"/>
                <w:sz w:val="20"/>
                <w:szCs w:val="22"/>
                <w:lang w:bidi="ar-SA"/>
              </w:rPr>
            </w:pPr>
          </w:p>
          <w:p w:rsidR="006D1D4E" w:rsidRPr="00B9772E" w:rsidRDefault="006D1D4E" w:rsidP="007A219F">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color w:val="231F20"/>
                <w:sz w:val="20"/>
                <w:szCs w:val="22"/>
                <w:lang w:bidi="ar-SA"/>
              </w:rPr>
            </w:pPr>
            <w:r>
              <w:rPr>
                <w:rFonts w:cs="Arial"/>
                <w:color w:val="231F20"/>
                <w:sz w:val="20"/>
                <w:szCs w:val="22"/>
                <w:lang w:bidi="ar-SA"/>
              </w:rPr>
              <w:t xml:space="preserve">Industry and industry associations, </w:t>
            </w:r>
          </w:p>
        </w:tc>
        <w:tc>
          <w:tcPr>
            <w:tcW w:w="7022" w:type="dxa"/>
            <w:tcBorders>
              <w:left w:val="single" w:sz="4" w:space="0" w:color="auto"/>
              <w:bottom w:val="single" w:sz="4" w:space="0" w:color="auto"/>
            </w:tcBorders>
          </w:tcPr>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FSANZ has developed a</w:t>
            </w:r>
            <w:r w:rsidR="00DC5CD0">
              <w:rPr>
                <w:sz w:val="20"/>
              </w:rPr>
              <w:t xml:space="preserve"> draft</w:t>
            </w:r>
            <w:r w:rsidRPr="00B9772E">
              <w:rPr>
                <w:sz w:val="20"/>
              </w:rPr>
              <w:t xml:space="preserve"> guidance document (SD</w:t>
            </w:r>
            <w:r w:rsidR="00E11620" w:rsidRPr="00B9772E">
              <w:rPr>
                <w:sz w:val="20"/>
              </w:rPr>
              <w:t>1</w:t>
            </w:r>
            <w:r w:rsidRPr="00B9772E">
              <w:rPr>
                <w:sz w:val="20"/>
              </w:rPr>
              <w:t xml:space="preserve">) to assist with applying the definition of RTE foods for which the growth of </w:t>
            </w:r>
            <w:r w:rsidRPr="00B9772E">
              <w:rPr>
                <w:i/>
                <w:sz w:val="20"/>
              </w:rPr>
              <w:t>L. monocytogenes</w:t>
            </w:r>
            <w:r w:rsidRPr="00B9772E">
              <w:rPr>
                <w:sz w:val="20"/>
              </w:rPr>
              <w:t xml:space="preserve"> will not occur and validation requirements for this. If businesses are unable to demonstrate no growth then the default criteria of “not detected” would apply (as is currently the case). </w:t>
            </w:r>
          </w:p>
          <w:p w:rsidR="00757E58" w:rsidRPr="00B9772E" w:rsidRDefault="00757E5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Microbiological limits specified in Standard 1.6.1 are food safety limits that determine the acceptance of a lot or batch of food, particularly when other information about that food (e.g. GMP and GHP controls in place) may not be known.</w:t>
            </w:r>
          </w:p>
          <w:p w:rsidR="00AF0F57" w:rsidRPr="00B9772E" w:rsidRDefault="00AF0F5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AF0F57" w:rsidRPr="00B9772E" w:rsidRDefault="00AF0F5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The 1</w:t>
            </w:r>
            <w:r w:rsidRPr="00B9772E">
              <w:rPr>
                <w:sz w:val="20"/>
                <w:vertAlign w:val="superscript"/>
              </w:rPr>
              <w:t>st</w:t>
            </w:r>
            <w:r w:rsidRPr="00B9772E">
              <w:rPr>
                <w:sz w:val="20"/>
              </w:rPr>
              <w:t xml:space="preserve"> Call for submissions report sought comment on the need for regulatory microbiological criteria (option 2) and whether “reference limits” were adequate e.g. </w:t>
            </w:r>
            <w:r w:rsidRPr="00B9772E">
              <w:rPr>
                <w:noProof/>
                <w:sz w:val="20"/>
                <w:lang w:eastAsia="en-AU"/>
              </w:rPr>
              <w:t>benchmark levels against which unacceptable microbial contamination of food can be identified and remedial action initiated when limits are exceeded.</w:t>
            </w:r>
            <w:r w:rsidRPr="00B9772E">
              <w:rPr>
                <w:sz w:val="20"/>
              </w:rPr>
              <w:t xml:space="preserve"> </w:t>
            </w:r>
            <w:r w:rsidR="00BC7C98" w:rsidRPr="00B9772E">
              <w:rPr>
                <w:sz w:val="20"/>
              </w:rPr>
              <w:t xml:space="preserve">Such limits would not be developed and applied as regulatory limits in Standard 1.6.1, but as reference limits against which a business could determine the performance of their system and implement corrective actions </w:t>
            </w:r>
            <w:r w:rsidRPr="00B9772E">
              <w:rPr>
                <w:sz w:val="20"/>
              </w:rPr>
              <w:t xml:space="preserve">(including recall) </w:t>
            </w:r>
            <w:r w:rsidR="00BC7C98" w:rsidRPr="00B9772E">
              <w:rPr>
                <w:sz w:val="20"/>
              </w:rPr>
              <w:t xml:space="preserve">as appropriate. </w:t>
            </w:r>
          </w:p>
          <w:p w:rsidR="00AF0F57" w:rsidRPr="00B9772E" w:rsidRDefault="00AF0F5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AF0F57" w:rsidRPr="00B9772E" w:rsidRDefault="00AF0F5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This approach was not supported in submissions and the development of regulatory criteria for pathogens such as </w:t>
            </w:r>
            <w:r w:rsidRPr="00B9772E">
              <w:rPr>
                <w:i/>
                <w:sz w:val="20"/>
              </w:rPr>
              <w:t>L. monocytogenes</w:t>
            </w:r>
            <w:r w:rsidRPr="00B9772E">
              <w:rPr>
                <w:sz w:val="20"/>
              </w:rPr>
              <w:t xml:space="preserve"> is </w:t>
            </w:r>
            <w:r w:rsidR="00251B38" w:rsidRPr="00B9772E">
              <w:rPr>
                <w:sz w:val="20"/>
              </w:rPr>
              <w:t xml:space="preserve">regarded </w:t>
            </w:r>
            <w:r w:rsidRPr="00B9772E">
              <w:rPr>
                <w:sz w:val="20"/>
              </w:rPr>
              <w:t>appropriate and provides an important risk management tool.</w:t>
            </w:r>
          </w:p>
          <w:p w:rsidR="00AF0F57" w:rsidRPr="00B9772E" w:rsidRDefault="00AF0F57"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EC48A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Pr>
                <w:sz w:val="20"/>
              </w:rPr>
              <w:t>T</w:t>
            </w:r>
            <w:r w:rsidR="00251B38" w:rsidRPr="00B9772E">
              <w:rPr>
                <w:sz w:val="20"/>
              </w:rPr>
              <w:t xml:space="preserve">he safety of a food through the </w:t>
            </w:r>
            <w:r w:rsidR="00CE6AB8">
              <w:rPr>
                <w:sz w:val="20"/>
              </w:rPr>
              <w:t>legally required</w:t>
            </w:r>
            <w:r w:rsidR="00CE6AB8" w:rsidRPr="00B9772E">
              <w:rPr>
                <w:sz w:val="20"/>
              </w:rPr>
              <w:t xml:space="preserve"> </w:t>
            </w:r>
            <w:r w:rsidR="00251B38" w:rsidRPr="00B9772E">
              <w:rPr>
                <w:sz w:val="20"/>
              </w:rPr>
              <w:t>controls in place throughout primary production and processing (as reflected in the approach taken in specifying requirements in Chapters 3 and 4 of the Code). To verify/check that such controls are working, businesses may undertake periodic microbiological testing and sampling at points along the chain, including environmental sampling</w:t>
            </w:r>
            <w:r w:rsidR="005D5CF1">
              <w:rPr>
                <w:sz w:val="20"/>
              </w:rPr>
              <w:t xml:space="preserve"> </w:t>
            </w:r>
            <w:r w:rsidR="00251B38" w:rsidRPr="00B9772E">
              <w:rPr>
                <w:sz w:val="20"/>
              </w:rPr>
              <w:t xml:space="preserve">which can provide useful information to the business about process control. </w:t>
            </w:r>
            <w:r w:rsidR="009B1B3F">
              <w:rPr>
                <w:sz w:val="20"/>
              </w:rPr>
              <w:t>Codex has</w:t>
            </w:r>
            <w:r w:rsidR="00CE6AB8">
              <w:rPr>
                <w:sz w:val="20"/>
              </w:rPr>
              <w:t xml:space="preserve"> </w:t>
            </w:r>
            <w:r w:rsidR="00251B38" w:rsidRPr="00B9772E">
              <w:rPr>
                <w:sz w:val="20"/>
              </w:rPr>
              <w:t xml:space="preserve">termed </w:t>
            </w:r>
            <w:r w:rsidR="00CE6AB8">
              <w:rPr>
                <w:sz w:val="20"/>
              </w:rPr>
              <w:t xml:space="preserve">this through chain approach to food safety </w:t>
            </w:r>
            <w:r w:rsidR="00BC7C98" w:rsidRPr="00B9772E">
              <w:rPr>
                <w:sz w:val="20"/>
              </w:rPr>
              <w:t xml:space="preserve">as process hygiene criteria. </w:t>
            </w:r>
            <w:r w:rsidR="00251B38" w:rsidRPr="00B9772E">
              <w:rPr>
                <w:sz w:val="20"/>
              </w:rPr>
              <w:t>FSANZ will look further at the development of process hygiene criteria as the review of</w:t>
            </w:r>
            <w:r w:rsidR="00EF0E88">
              <w:rPr>
                <w:sz w:val="20"/>
              </w:rPr>
              <w:t xml:space="preserve"> microbiological</w:t>
            </w:r>
            <w:r w:rsidR="00251B38" w:rsidRPr="00B9772E">
              <w:rPr>
                <w:sz w:val="20"/>
              </w:rPr>
              <w:t xml:space="preserve"> limits continues and the role of limits for indicator and index microorganisms is further assessed.</w:t>
            </w:r>
          </w:p>
          <w:p w:rsidR="00251B38" w:rsidRPr="00B9772E" w:rsidRDefault="00251B3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The limits for </w:t>
            </w:r>
            <w:r w:rsidRPr="00B9772E">
              <w:rPr>
                <w:i/>
                <w:sz w:val="20"/>
              </w:rPr>
              <w:t>L. monocytogenes</w:t>
            </w:r>
            <w:r w:rsidRPr="00B9772E">
              <w:rPr>
                <w:sz w:val="20"/>
              </w:rPr>
              <w:t xml:space="preserve"> proposed in the draft amendment to </w:t>
            </w:r>
            <w:r w:rsidRPr="00B9772E">
              <w:rPr>
                <w:sz w:val="20"/>
              </w:rPr>
              <w:lastRenderedPageBreak/>
              <w:t xml:space="preserve">Standard 1.6.1 should be met through a preventative approach to food safety where food businesses implement through-chain control measures and verifying that these measures are in place and working effectively. Environmental sampling, particularly for RTE foods that support the growth of </w:t>
            </w:r>
            <w:r w:rsidRPr="00B9772E">
              <w:rPr>
                <w:i/>
                <w:sz w:val="20"/>
              </w:rPr>
              <w:t>L. monocytogenes</w:t>
            </w:r>
            <w:r w:rsidRPr="00B9772E">
              <w:rPr>
                <w:sz w:val="20"/>
              </w:rPr>
              <w:t xml:space="preserve">, should be part of this preventative approach. Sector specific guidance and requirements has been developed by </w:t>
            </w:r>
            <w:r w:rsidR="006F56A0" w:rsidRPr="00B9772E">
              <w:rPr>
                <w:sz w:val="20"/>
              </w:rPr>
              <w:t>s</w:t>
            </w:r>
            <w:r w:rsidRPr="00B9772E">
              <w:rPr>
                <w:sz w:val="20"/>
              </w:rPr>
              <w:t xml:space="preserve">tate and </w:t>
            </w:r>
            <w:r w:rsidR="006F56A0" w:rsidRPr="00B9772E">
              <w:rPr>
                <w:sz w:val="20"/>
              </w:rPr>
              <w:t>t</w:t>
            </w:r>
            <w:r w:rsidRPr="00B9772E">
              <w:rPr>
                <w:sz w:val="20"/>
              </w:rPr>
              <w:t>erritory enforcement agencies.</w:t>
            </w:r>
          </w:p>
          <w:p w:rsidR="00757E58" w:rsidRPr="00B9772E" w:rsidRDefault="00757E5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tc>
      </w:tr>
      <w:tr w:rsidR="00BC7C98" w:rsidTr="002B1F34">
        <w:trPr>
          <w:cnfStyle w:val="000000010000" w:firstRow="0" w:lastRow="0" w:firstColumn="0" w:lastColumn="0" w:oddVBand="0" w:evenVBand="0" w:oddHBand="0" w:evenHBand="1"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auto"/>
            </w:tcBorders>
          </w:tcPr>
          <w:p w:rsidR="001F69D7" w:rsidRDefault="00BC7C98" w:rsidP="00B9772E">
            <w:pPr>
              <w:ind w:left="113" w:hanging="113"/>
              <w:rPr>
                <w:rFonts w:cs="Arial"/>
                <w:sz w:val="20"/>
                <w:szCs w:val="22"/>
              </w:rPr>
            </w:pPr>
            <w:r w:rsidRPr="00B9772E">
              <w:rPr>
                <w:rFonts w:cs="Arial"/>
                <w:color w:val="231F20"/>
                <w:sz w:val="20"/>
                <w:szCs w:val="22"/>
                <w:lang w:bidi="ar-SA"/>
              </w:rPr>
              <w:lastRenderedPageBreak/>
              <w:t>Phase</w:t>
            </w:r>
            <w:r w:rsidR="00E93CEB">
              <w:rPr>
                <w:rFonts w:cs="Arial"/>
                <w:color w:val="231F20"/>
                <w:sz w:val="20"/>
                <w:szCs w:val="22"/>
                <w:lang w:bidi="ar-SA"/>
              </w:rPr>
              <w:t>-</w:t>
            </w:r>
            <w:r w:rsidRPr="00B9772E">
              <w:rPr>
                <w:rFonts w:cs="Arial"/>
                <w:color w:val="231F20"/>
                <w:sz w:val="20"/>
                <w:szCs w:val="22"/>
                <w:lang w:bidi="ar-SA"/>
              </w:rPr>
              <w:t>in period</w:t>
            </w:r>
            <w:r w:rsidR="007A219F" w:rsidRPr="00B9772E">
              <w:rPr>
                <w:rFonts w:cs="Arial"/>
                <w:sz w:val="20"/>
                <w:szCs w:val="22"/>
              </w:rPr>
              <w:t xml:space="preserve"> </w:t>
            </w:r>
          </w:p>
          <w:p w:rsidR="00BC7C98" w:rsidRPr="00C26575" w:rsidRDefault="007A219F" w:rsidP="00B9772E">
            <w:pPr>
              <w:ind w:left="113" w:hanging="113"/>
              <w:rPr>
                <w:rFonts w:cs="Arial"/>
                <w:b w:val="0"/>
                <w:color w:val="231F20"/>
                <w:sz w:val="20"/>
                <w:szCs w:val="22"/>
                <w:lang w:bidi="ar-SA"/>
              </w:rPr>
            </w:pPr>
            <w:r w:rsidRPr="00C26575">
              <w:rPr>
                <w:rFonts w:cs="Arial"/>
                <w:b w:val="0"/>
                <w:sz w:val="20"/>
                <w:szCs w:val="22"/>
              </w:rPr>
              <w:t xml:space="preserve">One submitter stated that if limits were included in Standard 1.6.1 for </w:t>
            </w:r>
            <w:r w:rsidRPr="00C26575">
              <w:rPr>
                <w:rFonts w:cs="Arial"/>
                <w:b w:val="0"/>
                <w:i/>
                <w:sz w:val="20"/>
                <w:szCs w:val="22"/>
              </w:rPr>
              <w:t>L. monocytogenes</w:t>
            </w:r>
            <w:r w:rsidRPr="00C26575">
              <w:rPr>
                <w:rFonts w:cs="Arial"/>
                <w:b w:val="0"/>
                <w:sz w:val="20"/>
                <w:szCs w:val="22"/>
              </w:rPr>
              <w:t xml:space="preserve"> on the basis of whether the food is ready-to-eat and can or cannot support growth, a significant phase in period of up to 18 months would be required to enable industry to meet the new standard.</w:t>
            </w:r>
          </w:p>
        </w:tc>
        <w:tc>
          <w:tcPr>
            <w:tcW w:w="3119" w:type="dxa"/>
            <w:tcBorders>
              <w:left w:val="single" w:sz="4" w:space="0" w:color="auto"/>
              <w:right w:val="single" w:sz="4" w:space="0" w:color="auto"/>
            </w:tcBorders>
          </w:tcPr>
          <w:p w:rsidR="00BC7C98" w:rsidRPr="00B9772E" w:rsidRDefault="001F69D7" w:rsidP="00B9772E">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2"/>
              </w:rPr>
            </w:pPr>
            <w:r>
              <w:rPr>
                <w:rFonts w:cs="Arial"/>
                <w:sz w:val="20"/>
                <w:szCs w:val="22"/>
              </w:rPr>
              <w:t>Australian seafood industry association</w:t>
            </w:r>
          </w:p>
        </w:tc>
        <w:tc>
          <w:tcPr>
            <w:tcW w:w="7022" w:type="dxa"/>
            <w:tcBorders>
              <w:left w:val="single" w:sz="4" w:space="0" w:color="auto"/>
            </w:tcBorders>
          </w:tcPr>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 xml:space="preserve">It is proposed that amendments to Standard 1.6.1 would come into effect on gazettal. Industry is already required to produce safe and suitable food (including with respect to </w:t>
            </w:r>
            <w:r w:rsidRPr="00B9772E">
              <w:rPr>
                <w:i/>
                <w:sz w:val="20"/>
              </w:rPr>
              <w:t>L. monocytogenes</w:t>
            </w:r>
            <w:r w:rsidRPr="00B9772E">
              <w:rPr>
                <w:sz w:val="20"/>
              </w:rPr>
              <w:t xml:space="preserve">) and limits for </w:t>
            </w:r>
            <w:r w:rsidRPr="00B9772E">
              <w:rPr>
                <w:i/>
                <w:sz w:val="20"/>
              </w:rPr>
              <w:t>L. monocytogenes</w:t>
            </w:r>
            <w:r w:rsidRPr="00B9772E">
              <w:rPr>
                <w:sz w:val="20"/>
              </w:rPr>
              <w:t xml:space="preserve"> already apply to a number of foods. </w:t>
            </w:r>
          </w:p>
          <w:p w:rsidR="00BC7C98" w:rsidRPr="00B9772E" w:rsidRDefault="00BC7C98" w:rsidP="00B9772E">
            <w:pPr>
              <w:ind w:left="113" w:hanging="113"/>
              <w:cnfStyle w:val="000000010000" w:firstRow="0" w:lastRow="0" w:firstColumn="0" w:lastColumn="0" w:oddVBand="0" w:evenVBand="0" w:oddHBand="0" w:evenHBand="1" w:firstRowFirstColumn="0" w:firstRowLastColumn="0" w:lastRowFirstColumn="0" w:lastRowLastColumn="0"/>
              <w:rPr>
                <w:sz w:val="20"/>
              </w:rPr>
            </w:pPr>
            <w:r w:rsidRPr="00B9772E">
              <w:rPr>
                <w:sz w:val="20"/>
              </w:rPr>
              <w:t xml:space="preserve"> </w:t>
            </w:r>
          </w:p>
        </w:tc>
      </w:tr>
      <w:tr w:rsidR="00BC7C98" w:rsidTr="002B1F34">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4077" w:type="dxa"/>
            <w:tcBorders>
              <w:right w:val="single" w:sz="4" w:space="0" w:color="auto"/>
            </w:tcBorders>
          </w:tcPr>
          <w:p w:rsidR="007A219F" w:rsidRDefault="00BC7C98" w:rsidP="007A219F">
            <w:pPr>
              <w:widowControl/>
              <w:autoSpaceDE w:val="0"/>
              <w:autoSpaceDN w:val="0"/>
              <w:adjustRightInd w:val="0"/>
              <w:ind w:left="113" w:hanging="113"/>
              <w:rPr>
                <w:rFonts w:cs="Arial"/>
                <w:color w:val="231F20"/>
                <w:sz w:val="20"/>
                <w:szCs w:val="22"/>
                <w:lang w:bidi="ar-SA"/>
              </w:rPr>
            </w:pPr>
            <w:r w:rsidRPr="00B9772E">
              <w:rPr>
                <w:rFonts w:cs="Arial"/>
                <w:color w:val="231F20"/>
                <w:sz w:val="20"/>
                <w:szCs w:val="22"/>
                <w:lang w:bidi="ar-SA"/>
              </w:rPr>
              <w:t>Method of analysis</w:t>
            </w:r>
          </w:p>
          <w:p w:rsidR="007A219F" w:rsidRPr="00C26575" w:rsidRDefault="007A219F" w:rsidP="007A219F">
            <w:pPr>
              <w:widowControl/>
              <w:autoSpaceDE w:val="0"/>
              <w:autoSpaceDN w:val="0"/>
              <w:adjustRightInd w:val="0"/>
              <w:ind w:left="113" w:hanging="113"/>
              <w:rPr>
                <w:rFonts w:cs="Arial"/>
                <w:b w:val="0"/>
                <w:sz w:val="20"/>
                <w:szCs w:val="22"/>
              </w:rPr>
            </w:pPr>
            <w:r w:rsidRPr="00C26575">
              <w:rPr>
                <w:rFonts w:cs="Arial"/>
                <w:b w:val="0"/>
                <w:sz w:val="20"/>
                <w:szCs w:val="22"/>
              </w:rPr>
              <w:t xml:space="preserve">Two submissions supported the need to ensure that appropriate, valid methods are used for regulatory purpose analysis. </w:t>
            </w:r>
          </w:p>
          <w:p w:rsidR="007A219F" w:rsidRPr="00C26575" w:rsidRDefault="007A219F" w:rsidP="007A219F">
            <w:pPr>
              <w:widowControl/>
              <w:autoSpaceDE w:val="0"/>
              <w:autoSpaceDN w:val="0"/>
              <w:adjustRightInd w:val="0"/>
              <w:ind w:left="113" w:hanging="113"/>
              <w:rPr>
                <w:rFonts w:cs="Arial"/>
                <w:b w:val="0"/>
                <w:sz w:val="20"/>
                <w:szCs w:val="22"/>
              </w:rPr>
            </w:pPr>
          </w:p>
          <w:p w:rsidR="007A219F" w:rsidRPr="00C26575" w:rsidRDefault="007A219F" w:rsidP="007A219F">
            <w:pPr>
              <w:widowControl/>
              <w:autoSpaceDE w:val="0"/>
              <w:autoSpaceDN w:val="0"/>
              <w:adjustRightInd w:val="0"/>
              <w:ind w:left="113" w:hanging="113"/>
              <w:rPr>
                <w:rFonts w:cs="Arial"/>
                <w:b w:val="0"/>
                <w:sz w:val="20"/>
                <w:szCs w:val="22"/>
              </w:rPr>
            </w:pPr>
            <w:r w:rsidRPr="00C26575">
              <w:rPr>
                <w:rFonts w:cs="Arial"/>
                <w:b w:val="0"/>
                <w:sz w:val="20"/>
                <w:szCs w:val="22"/>
              </w:rPr>
              <w:t>One submitter stated specific methodology should be nominated by specific laboratories.</w:t>
            </w:r>
          </w:p>
          <w:p w:rsidR="007A219F" w:rsidRPr="00C26575" w:rsidRDefault="007A219F" w:rsidP="007A219F">
            <w:pPr>
              <w:widowControl/>
              <w:autoSpaceDE w:val="0"/>
              <w:autoSpaceDN w:val="0"/>
              <w:adjustRightInd w:val="0"/>
              <w:ind w:left="113" w:hanging="113"/>
              <w:rPr>
                <w:rFonts w:cs="Arial"/>
                <w:b w:val="0"/>
                <w:sz w:val="20"/>
                <w:szCs w:val="22"/>
              </w:rPr>
            </w:pPr>
          </w:p>
          <w:p w:rsidR="00BC7C98" w:rsidRPr="00B9772E" w:rsidRDefault="007A219F" w:rsidP="00271740">
            <w:pPr>
              <w:ind w:left="113" w:hanging="113"/>
              <w:rPr>
                <w:rFonts w:cs="Arial"/>
                <w:color w:val="231F20"/>
                <w:sz w:val="20"/>
                <w:szCs w:val="22"/>
                <w:lang w:bidi="ar-SA"/>
              </w:rPr>
            </w:pPr>
            <w:r w:rsidRPr="00C26575">
              <w:rPr>
                <w:rFonts w:cs="Arial"/>
                <w:b w:val="0"/>
                <w:sz w:val="20"/>
                <w:szCs w:val="22"/>
              </w:rPr>
              <w:t xml:space="preserve">Another submitter suggested whilst the Standard 1.6.1 in the Code should not prescribe method of analysis, appropriate approval criteria for method selection be included in the </w:t>
            </w:r>
            <w:r w:rsidR="00271740">
              <w:rPr>
                <w:rFonts w:cs="Arial"/>
                <w:b w:val="0"/>
                <w:sz w:val="20"/>
                <w:szCs w:val="22"/>
              </w:rPr>
              <w:t>S</w:t>
            </w:r>
            <w:r w:rsidR="00271740" w:rsidRPr="00C26575">
              <w:rPr>
                <w:rFonts w:cs="Arial"/>
                <w:b w:val="0"/>
                <w:sz w:val="20"/>
                <w:szCs w:val="22"/>
              </w:rPr>
              <w:t>tandard</w:t>
            </w:r>
          </w:p>
        </w:tc>
        <w:tc>
          <w:tcPr>
            <w:tcW w:w="3119" w:type="dxa"/>
            <w:tcBorders>
              <w:left w:val="single" w:sz="4" w:space="0" w:color="auto"/>
              <w:right w:val="single" w:sz="4" w:space="0" w:color="auto"/>
            </w:tcBorders>
          </w:tcPr>
          <w:p w:rsidR="009469BF" w:rsidRDefault="009469BF" w:rsidP="009469BF">
            <w:pPr>
              <w:ind w:left="113" w:hanging="113"/>
              <w:cnfStyle w:val="000000100000" w:firstRow="0" w:lastRow="0" w:firstColumn="0" w:lastColumn="0" w:oddVBand="0" w:evenVBand="0" w:oddHBand="1" w:evenHBand="0" w:firstRowFirstColumn="0" w:firstRowLastColumn="0" w:lastRowFirstColumn="0" w:lastRowLastColumn="0"/>
              <w:rPr>
                <w:sz w:val="20"/>
              </w:rPr>
            </w:pPr>
            <w:r>
              <w:rPr>
                <w:rFonts w:cs="Arial"/>
                <w:sz w:val="20"/>
                <w:szCs w:val="22"/>
              </w:rPr>
              <w:t xml:space="preserve">New Zealand industry associations and </w:t>
            </w:r>
            <w:r>
              <w:rPr>
                <w:sz w:val="20"/>
              </w:rPr>
              <w:t>New Zealand independent scientific organisation</w:t>
            </w:r>
          </w:p>
          <w:p w:rsidR="00BC7C98" w:rsidRPr="00B9772E" w:rsidRDefault="00BC7C98" w:rsidP="00B9772E">
            <w:pPr>
              <w:widowControl/>
              <w:autoSpaceDE w:val="0"/>
              <w:autoSpaceDN w:val="0"/>
              <w:adjustRightInd w:val="0"/>
              <w:ind w:left="113" w:hanging="113"/>
              <w:cnfStyle w:val="000000100000" w:firstRow="0" w:lastRow="0" w:firstColumn="0" w:lastColumn="0" w:oddVBand="0" w:evenVBand="0" w:oddHBand="1" w:evenHBand="0" w:firstRowFirstColumn="0" w:firstRowLastColumn="0" w:lastRowFirstColumn="0" w:lastRowLastColumn="0"/>
              <w:rPr>
                <w:rFonts w:cs="Arial"/>
                <w:sz w:val="20"/>
                <w:szCs w:val="22"/>
              </w:rPr>
            </w:pPr>
          </w:p>
        </w:tc>
        <w:tc>
          <w:tcPr>
            <w:tcW w:w="7022" w:type="dxa"/>
            <w:tcBorders>
              <w:left w:val="single" w:sz="4" w:space="0" w:color="auto"/>
            </w:tcBorders>
          </w:tcPr>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 xml:space="preserve">The draft amendment to Standard 1.6.1 includes reference to the most recent standard methods of analysis. </w:t>
            </w:r>
            <w:r w:rsidR="00DC5CD0">
              <w:rPr>
                <w:sz w:val="20"/>
              </w:rPr>
              <w:t>This reference can be</w:t>
            </w:r>
            <w:r w:rsidRPr="00B9772E">
              <w:rPr>
                <w:sz w:val="20"/>
              </w:rPr>
              <w:t xml:space="preserve"> routinely update</w:t>
            </w:r>
            <w:r w:rsidR="00DC5CD0">
              <w:rPr>
                <w:sz w:val="20"/>
              </w:rPr>
              <w:t xml:space="preserve">d </w:t>
            </w:r>
            <w:r w:rsidRPr="00B9772E">
              <w:rPr>
                <w:sz w:val="20"/>
              </w:rPr>
              <w:t xml:space="preserve">when changes occur. </w:t>
            </w: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p>
          <w:p w:rsidR="00BC7C98" w:rsidRPr="00B9772E" w:rsidRDefault="00BC7C98" w:rsidP="00B9772E">
            <w:pPr>
              <w:ind w:left="113" w:hanging="113"/>
              <w:cnfStyle w:val="000000100000" w:firstRow="0" w:lastRow="0" w:firstColumn="0" w:lastColumn="0" w:oddVBand="0" w:evenVBand="0" w:oddHBand="1" w:evenHBand="0" w:firstRowFirstColumn="0" w:firstRowLastColumn="0" w:lastRowFirstColumn="0" w:lastRowLastColumn="0"/>
              <w:rPr>
                <w:sz w:val="20"/>
              </w:rPr>
            </w:pPr>
            <w:r w:rsidRPr="00B9772E">
              <w:rPr>
                <w:sz w:val="20"/>
              </w:rPr>
              <w:t>The methods referenced (including validated equivalent methods) must be used when testing a lot of food for the purposes of Standard 1.6.1(e.g. compliance). It would be expected that other methods (including rapid methods) could also be used by industry as part of their sampling and testing program (including for environmental monitoring).</w:t>
            </w:r>
          </w:p>
        </w:tc>
      </w:tr>
    </w:tbl>
    <w:p w:rsidR="00A01ACD" w:rsidRDefault="00A01ACD" w:rsidP="00A01ACD"/>
    <w:p w:rsidR="00A01ACD" w:rsidRDefault="00A01ACD" w:rsidP="004646F8">
      <w:pPr>
        <w:pStyle w:val="Heading2"/>
        <w:sectPr w:rsidR="00A01ACD" w:rsidSect="009E0993">
          <w:pgSz w:w="16838" w:h="11906" w:orient="landscape"/>
          <w:pgMar w:top="1418" w:right="1418" w:bottom="1418" w:left="1418" w:header="709" w:footer="709" w:gutter="0"/>
          <w:cols w:space="708"/>
          <w:docGrid w:linePitch="360"/>
        </w:sectPr>
      </w:pPr>
    </w:p>
    <w:p w:rsidR="00215CED" w:rsidRDefault="00215CED" w:rsidP="00215CED">
      <w:pPr>
        <w:pStyle w:val="Heading2"/>
      </w:pPr>
      <w:bookmarkStart w:id="41" w:name="_Toc371585211"/>
      <w:bookmarkStart w:id="42" w:name="_Toc175381442"/>
      <w:bookmarkStart w:id="43" w:name="_Toc286391010"/>
      <w:bookmarkStart w:id="44" w:name="_Toc300933426"/>
      <w:bookmarkEnd w:id="37"/>
      <w:bookmarkEnd w:id="38"/>
      <w:bookmarkEnd w:id="39"/>
      <w:bookmarkEnd w:id="40"/>
      <w:r>
        <w:lastRenderedPageBreak/>
        <w:t>2.2</w:t>
      </w:r>
      <w:r>
        <w:tab/>
      </w:r>
      <w:r w:rsidRPr="00932F14">
        <w:t xml:space="preserve">Risk </w:t>
      </w:r>
      <w:r>
        <w:t>a</w:t>
      </w:r>
      <w:r w:rsidRPr="00932F14">
        <w:t>ssessment</w:t>
      </w:r>
      <w:bookmarkEnd w:id="41"/>
      <w:r w:rsidRPr="00932F14">
        <w:t xml:space="preserve"> </w:t>
      </w:r>
    </w:p>
    <w:p w:rsidR="00702DF9" w:rsidRDefault="00702DF9" w:rsidP="00702DF9">
      <w:r w:rsidRPr="0012650D">
        <w:rPr>
          <w:rFonts w:cs="Arial"/>
          <w:i/>
          <w:color w:val="000000"/>
          <w:szCs w:val="22"/>
        </w:rPr>
        <w:t>Listeria monocytogenes</w:t>
      </w:r>
      <w:r w:rsidRPr="0012650D">
        <w:rPr>
          <w:rFonts w:cs="Arial"/>
          <w:color w:val="000000"/>
          <w:szCs w:val="22"/>
        </w:rPr>
        <w:t xml:space="preserve"> </w:t>
      </w:r>
      <w:r>
        <w:rPr>
          <w:rFonts w:cs="Arial"/>
          <w:color w:val="000000"/>
          <w:szCs w:val="22"/>
        </w:rPr>
        <w:t>is a pathogenic bacterium which can cause invasive listeriosis</w:t>
      </w:r>
      <w:r w:rsidRPr="0012650D">
        <w:rPr>
          <w:rFonts w:cs="Arial"/>
          <w:color w:val="000000"/>
          <w:szCs w:val="22"/>
        </w:rPr>
        <w:t xml:space="preserve">, a </w:t>
      </w:r>
      <w:r>
        <w:rPr>
          <w:rFonts w:cs="Arial"/>
          <w:color w:val="000000"/>
          <w:szCs w:val="22"/>
        </w:rPr>
        <w:t xml:space="preserve">relatively rare but often severe </w:t>
      </w:r>
      <w:r w:rsidRPr="0012650D">
        <w:rPr>
          <w:rFonts w:cs="Arial"/>
          <w:color w:val="000000"/>
          <w:szCs w:val="22"/>
        </w:rPr>
        <w:t xml:space="preserve">disease </w:t>
      </w:r>
      <w:r>
        <w:rPr>
          <w:rFonts w:cs="Arial"/>
          <w:color w:val="000000"/>
          <w:szCs w:val="22"/>
        </w:rPr>
        <w:t>with fatality rates around 20-30%</w:t>
      </w:r>
      <w:r w:rsidRPr="0012650D">
        <w:rPr>
          <w:rFonts w:cs="Arial"/>
          <w:color w:val="000000"/>
          <w:szCs w:val="22"/>
        </w:rPr>
        <w:t>.</w:t>
      </w:r>
      <w:r>
        <w:rPr>
          <w:rFonts w:cs="Arial"/>
          <w:color w:val="000000"/>
          <w:szCs w:val="22"/>
        </w:rPr>
        <w:t xml:space="preserve"> Most often affecting individuals experiencing immunosuppression including those with chronic disease, listeriosis infection in otherwise healthy individuals generally exhibits few or no symptoms.</w:t>
      </w:r>
    </w:p>
    <w:p w:rsidR="00702DF9" w:rsidRDefault="00702DF9" w:rsidP="00702DF9"/>
    <w:p w:rsidR="00702DF9" w:rsidRDefault="00702DF9" w:rsidP="00702DF9">
      <w:pPr>
        <w:rPr>
          <w:rFonts w:cs="Arial"/>
          <w:color w:val="000000"/>
          <w:szCs w:val="22"/>
        </w:rPr>
      </w:pPr>
      <w:r>
        <w:rPr>
          <w:rFonts w:cs="Arial"/>
          <w:color w:val="000000"/>
          <w:szCs w:val="22"/>
        </w:rPr>
        <w:t xml:space="preserve">Foods associated with causing listeriosis have been overwhelmingly ready-to-eat (RTE) products that are typically held for extended periods at refrigerated temperatures, in which </w:t>
      </w:r>
      <w:r w:rsidRPr="002551F3">
        <w:rPr>
          <w:rFonts w:cs="Arial"/>
          <w:i/>
          <w:color w:val="000000"/>
          <w:szCs w:val="22"/>
        </w:rPr>
        <w:t>L.</w:t>
      </w:r>
      <w:r>
        <w:rPr>
          <w:rFonts w:cs="Arial"/>
          <w:i/>
          <w:color w:val="000000"/>
          <w:szCs w:val="22"/>
        </w:rPr>
        <w:t> </w:t>
      </w:r>
      <w:r w:rsidRPr="002551F3">
        <w:rPr>
          <w:rFonts w:cs="Arial"/>
          <w:i/>
          <w:color w:val="000000"/>
          <w:szCs w:val="22"/>
        </w:rPr>
        <w:t>monocytogenes</w:t>
      </w:r>
      <w:r>
        <w:rPr>
          <w:rFonts w:cs="Arial"/>
          <w:color w:val="000000"/>
          <w:szCs w:val="22"/>
        </w:rPr>
        <w:t xml:space="preserve"> can grow to levels that can present a risk to consumers.</w:t>
      </w:r>
    </w:p>
    <w:p w:rsidR="00702DF9" w:rsidRDefault="00702DF9" w:rsidP="00702DF9"/>
    <w:p w:rsidR="00702DF9" w:rsidRDefault="00702DF9" w:rsidP="00702DF9">
      <w:r>
        <w:t>Several extensive i</w:t>
      </w:r>
      <w:r w:rsidRPr="002B3EEA">
        <w:t xml:space="preserve">nternational risk assessments </w:t>
      </w:r>
      <w:r>
        <w:t xml:space="preserve">have </w:t>
      </w:r>
      <w:r w:rsidRPr="002B3EEA">
        <w:t>demonstrate</w:t>
      </w:r>
      <w:r>
        <w:t>d</w:t>
      </w:r>
      <w:r w:rsidRPr="002B3EEA">
        <w:t xml:space="preserve"> that the risk of illness is strongly influenced by the ability of the food to support the growth of </w:t>
      </w:r>
      <w:r w:rsidRPr="002B3EEA">
        <w:rPr>
          <w:i/>
        </w:rPr>
        <w:t>L. monocytogenes</w:t>
      </w:r>
      <w:r w:rsidRPr="002B3EEA">
        <w:t xml:space="preserve"> to high levels. </w:t>
      </w:r>
      <w:r>
        <w:t>Foods containing low levels (&lt;100 cfu/g) pose very little risk, even when consumed by vulnerable individuals.</w:t>
      </w:r>
    </w:p>
    <w:p w:rsidR="00702DF9" w:rsidRDefault="00702DF9" w:rsidP="00702DF9"/>
    <w:p w:rsidR="00702DF9" w:rsidRDefault="00702DF9" w:rsidP="00702DF9">
      <w:r>
        <w:t xml:space="preserve">Internationally, risk-based microbiological criteria for </w:t>
      </w:r>
      <w:r w:rsidRPr="009924F6">
        <w:rPr>
          <w:i/>
        </w:rPr>
        <w:t>L. monocytogenes</w:t>
      </w:r>
      <w:r>
        <w:t xml:space="preserve"> in RTE foods based on whether growth can occur in a food have been established by Codex and adopted by many countries, including Canada and the European Commission.</w:t>
      </w:r>
    </w:p>
    <w:p w:rsidR="00702DF9" w:rsidRDefault="00702DF9" w:rsidP="00702DF9"/>
    <w:p w:rsidR="00215CED" w:rsidRDefault="00215CED" w:rsidP="00215CED">
      <w:pPr>
        <w:rPr>
          <w:lang w:bidi="ar-SA"/>
        </w:rPr>
      </w:pPr>
      <w:r w:rsidRPr="008C0C3B">
        <w:rPr>
          <w:lang w:bidi="ar-SA"/>
        </w:rPr>
        <w:t xml:space="preserve">A summary of the science/risk assessment work underpinning the criteria proposed for </w:t>
      </w:r>
      <w:r w:rsidRPr="008C0C3B">
        <w:rPr>
          <w:i/>
          <w:lang w:bidi="ar-SA"/>
        </w:rPr>
        <w:t>L. monocytogenes</w:t>
      </w:r>
      <w:r w:rsidRPr="008C0C3B">
        <w:rPr>
          <w:lang w:bidi="ar-SA"/>
        </w:rPr>
        <w:t xml:space="preserve"> in RTE foods is provided in Supporting Document </w:t>
      </w:r>
      <w:r>
        <w:rPr>
          <w:lang w:bidi="ar-SA"/>
        </w:rPr>
        <w:t>2 (SD2)</w:t>
      </w:r>
      <w:r w:rsidRPr="008C0C3B">
        <w:rPr>
          <w:lang w:bidi="ar-SA"/>
        </w:rPr>
        <w:t>.</w:t>
      </w:r>
    </w:p>
    <w:p w:rsidR="004F69F6" w:rsidRPr="00932F14" w:rsidRDefault="00F828F6" w:rsidP="004646F8">
      <w:pPr>
        <w:pStyle w:val="Heading2"/>
      </w:pPr>
      <w:bookmarkStart w:id="45" w:name="_Toc371585212"/>
      <w:r>
        <w:t>2</w:t>
      </w:r>
      <w:r w:rsidR="0045556F">
        <w:t>.</w:t>
      </w:r>
      <w:r>
        <w:t>3</w:t>
      </w:r>
      <w:r w:rsidR="00271F00">
        <w:tab/>
      </w:r>
      <w:bookmarkEnd w:id="42"/>
      <w:bookmarkEnd w:id="43"/>
      <w:bookmarkEnd w:id="44"/>
      <w:r w:rsidR="0045556F">
        <w:t>R</w:t>
      </w:r>
      <w:r w:rsidR="00707E72">
        <w:t>isk m</w:t>
      </w:r>
      <w:r w:rsidR="008A35FB">
        <w:t>anagement</w:t>
      </w:r>
      <w:bookmarkEnd w:id="45"/>
    </w:p>
    <w:p w:rsidR="00802EDA" w:rsidRDefault="00802EDA" w:rsidP="00802EDA">
      <w:pPr>
        <w:pStyle w:val="Heading3"/>
      </w:pPr>
      <w:bookmarkStart w:id="46" w:name="_Toc371585213"/>
      <w:bookmarkStart w:id="47" w:name="_Toc300761910"/>
      <w:r>
        <w:t xml:space="preserve">2.3.1 </w:t>
      </w:r>
      <w:r w:rsidR="00133C5C">
        <w:tab/>
      </w:r>
      <w:r>
        <w:t>Principles for developing microbiological criteria</w:t>
      </w:r>
      <w:bookmarkEnd w:id="46"/>
    </w:p>
    <w:p w:rsidR="00802EDA" w:rsidRDefault="00802EDA" w:rsidP="00802EDA">
      <w:pPr>
        <w:keepLines/>
      </w:pPr>
      <w:r>
        <w:t xml:space="preserve">The Codex </w:t>
      </w:r>
      <w:r w:rsidRPr="00E77883">
        <w:rPr>
          <w:i/>
        </w:rPr>
        <w:t>Principles for the Establishment and Application of Microbiological Criteria for Foods</w:t>
      </w:r>
      <w:r>
        <w:t xml:space="preserve"> (</w:t>
      </w:r>
      <w:r w:rsidRPr="009E0993">
        <w:t>CAC/GL 21 – 1997</w:t>
      </w:r>
      <w:r>
        <w:t>)</w:t>
      </w:r>
      <w:r w:rsidR="009E0993">
        <w:rPr>
          <w:rStyle w:val="FootnoteReference"/>
        </w:rPr>
        <w:footnoteReference w:id="7"/>
      </w:r>
      <w:r w:rsidR="0061457A">
        <w:t xml:space="preserve">, revised in 2013, </w:t>
      </w:r>
      <w:r>
        <w:t xml:space="preserve">provide overarching principles for the establishment and application of microbiological criteria for foods at any point in the food chain. </w:t>
      </w:r>
      <w:r w:rsidRPr="00753B9B">
        <w:t xml:space="preserve">Australia and New Zealand participated </w:t>
      </w:r>
      <w:r>
        <w:t xml:space="preserve">in this </w:t>
      </w:r>
      <w:r w:rsidR="00B54F42">
        <w:t xml:space="preserve">revision </w:t>
      </w:r>
      <w:r>
        <w:t>process</w:t>
      </w:r>
      <w:r w:rsidR="0061457A">
        <w:t>.</w:t>
      </w:r>
      <w:r>
        <w:t xml:space="preserve"> </w:t>
      </w:r>
    </w:p>
    <w:p w:rsidR="00802EDA" w:rsidRDefault="00802EDA" w:rsidP="00802EDA">
      <w:pPr>
        <w:keepLines/>
      </w:pPr>
    </w:p>
    <w:p w:rsidR="00802EDA" w:rsidRDefault="00802EDA" w:rsidP="00802EDA">
      <w:pPr>
        <w:keepLines/>
      </w:pPr>
      <w:r>
        <w:t>These principles inform</w:t>
      </w:r>
      <w:r w:rsidR="0061457A">
        <w:t>ed</w:t>
      </w:r>
      <w:r>
        <w:t xml:space="preserve"> FSANZ</w:t>
      </w:r>
      <w:r w:rsidR="007708B1">
        <w:t>’</w:t>
      </w:r>
      <w:r>
        <w:t>s approach to reviewing limits in Standard 1.6.1 of the Code. In particular:</w:t>
      </w:r>
    </w:p>
    <w:p w:rsidR="00802EDA" w:rsidRDefault="00802EDA" w:rsidP="00802EDA">
      <w:pPr>
        <w:keepLines/>
      </w:pPr>
    </w:p>
    <w:p w:rsidR="00802EDA" w:rsidRDefault="0061457A" w:rsidP="00802EDA">
      <w:pPr>
        <w:pStyle w:val="FSBullet1"/>
      </w:pPr>
      <w:proofErr w:type="gramStart"/>
      <w:r>
        <w:t>l</w:t>
      </w:r>
      <w:r w:rsidR="00802EDA">
        <w:t>imits</w:t>
      </w:r>
      <w:proofErr w:type="gramEnd"/>
      <w:r w:rsidR="00802EDA">
        <w:t xml:space="preserve"> should only be included in Standard 1.6.1 where there are no other more effective tools available and where they are expected to improve the degree of protection offered to consumers</w:t>
      </w:r>
      <w:r w:rsidR="00892B19">
        <w:t xml:space="preserve"> (risk-based approach).</w:t>
      </w:r>
    </w:p>
    <w:p w:rsidR="000C18E3" w:rsidRDefault="000C18E3" w:rsidP="000C18E3">
      <w:pPr>
        <w:rPr>
          <w:lang w:bidi="ar-SA"/>
        </w:rPr>
      </w:pPr>
    </w:p>
    <w:p w:rsidR="000C18E3" w:rsidRDefault="0061457A" w:rsidP="000C18E3">
      <w:pPr>
        <w:pStyle w:val="FSBullet1"/>
      </w:pPr>
      <w:proofErr w:type="gramStart"/>
      <w:r>
        <w:t>w</w:t>
      </w:r>
      <w:r w:rsidR="000C18E3">
        <w:t>here</w:t>
      </w:r>
      <w:proofErr w:type="gramEnd"/>
      <w:r w:rsidR="000C18E3">
        <w:t xml:space="preserve"> limits are appropriate they should be product-type specific and only applied at the point of the food chain as specified in the standard.</w:t>
      </w:r>
    </w:p>
    <w:p w:rsidR="005B4D16" w:rsidRDefault="00802BE0" w:rsidP="00802BE0">
      <w:pPr>
        <w:pStyle w:val="Heading3"/>
      </w:pPr>
      <w:bookmarkStart w:id="48" w:name="_Toc371585214"/>
      <w:r>
        <w:t>2.3.2</w:t>
      </w:r>
      <w:r>
        <w:tab/>
      </w:r>
      <w:r w:rsidR="00EF2274">
        <w:t>Proposed l</w:t>
      </w:r>
      <w:r>
        <w:t xml:space="preserve">imits for </w:t>
      </w:r>
      <w:r w:rsidRPr="0002071D">
        <w:rPr>
          <w:i/>
        </w:rPr>
        <w:t>L. monocytogenes</w:t>
      </w:r>
      <w:bookmarkEnd w:id="48"/>
    </w:p>
    <w:p w:rsidR="006940FF" w:rsidRDefault="0002071D" w:rsidP="005B4D16">
      <w:r>
        <w:t xml:space="preserve">Increased knowledge of the factors that impact on the risk of acquiring listeriosis has permitted the classification of RTE foods on the basis </w:t>
      </w:r>
      <w:r w:rsidR="006940FF">
        <w:t xml:space="preserve">of whether they can </w:t>
      </w:r>
      <w:r w:rsidR="00A240AC">
        <w:t>support</w:t>
      </w:r>
      <w:r w:rsidR="006940FF">
        <w:t xml:space="preserve"> the growth of </w:t>
      </w:r>
      <w:r w:rsidR="006940FF" w:rsidRPr="006940FF">
        <w:rPr>
          <w:i/>
        </w:rPr>
        <w:t>L. monocytogenes</w:t>
      </w:r>
      <w:r w:rsidR="006940FF">
        <w:t xml:space="preserve">. Where the growth of </w:t>
      </w:r>
      <w:r w:rsidR="006940FF" w:rsidRPr="006940FF">
        <w:rPr>
          <w:i/>
        </w:rPr>
        <w:t>L. monocytogenes</w:t>
      </w:r>
      <w:r w:rsidR="006940FF">
        <w:t xml:space="preserve"> in a RTE food can occur, a not detected limit should apply:</w:t>
      </w:r>
    </w:p>
    <w:p w:rsidR="006940FF" w:rsidRDefault="00B54F42" w:rsidP="009E0993">
      <w:pPr>
        <w:widowControl/>
      </w:pPr>
      <w:r>
        <w:br w:type="page"/>
      </w:r>
    </w:p>
    <w:tbl>
      <w:tblPr>
        <w:tblStyle w:val="TableGrid"/>
        <w:tblpPr w:leftFromText="180" w:rightFromText="180" w:vertAnchor="text" w:horzAnchor="margin" w:tblpY="55"/>
        <w:tblW w:w="8841" w:type="dxa"/>
        <w:tblLook w:val="01E0" w:firstRow="1" w:lastRow="1" w:firstColumn="1" w:lastColumn="1" w:noHBand="0" w:noVBand="0"/>
      </w:tblPr>
      <w:tblGrid>
        <w:gridCol w:w="2553"/>
        <w:gridCol w:w="2832"/>
        <w:gridCol w:w="941"/>
        <w:gridCol w:w="942"/>
        <w:gridCol w:w="1573"/>
      </w:tblGrid>
      <w:tr w:rsidR="006940FF" w:rsidRPr="008758D6" w:rsidTr="006940FF">
        <w:trPr>
          <w:trHeight w:val="699"/>
        </w:trPr>
        <w:tc>
          <w:tcPr>
            <w:tcW w:w="2553" w:type="dxa"/>
          </w:tcPr>
          <w:p w:rsidR="006940FF" w:rsidRPr="00A401B6" w:rsidRDefault="006940FF" w:rsidP="006940FF">
            <w:pPr>
              <w:spacing w:before="120" w:after="120"/>
              <w:rPr>
                <w:rFonts w:cs="Arial"/>
                <w:b/>
                <w:sz w:val="20"/>
              </w:rPr>
            </w:pPr>
            <w:r w:rsidRPr="00A401B6">
              <w:rPr>
                <w:rFonts w:cs="Arial"/>
                <w:b/>
                <w:sz w:val="20"/>
              </w:rPr>
              <w:lastRenderedPageBreak/>
              <w:t>Food</w:t>
            </w:r>
          </w:p>
        </w:tc>
        <w:tc>
          <w:tcPr>
            <w:tcW w:w="2832" w:type="dxa"/>
          </w:tcPr>
          <w:p w:rsidR="006940FF" w:rsidRPr="00A401B6" w:rsidRDefault="006940FF" w:rsidP="006940FF">
            <w:pPr>
              <w:spacing w:before="120" w:after="120"/>
              <w:rPr>
                <w:rFonts w:cs="Arial"/>
                <w:b/>
                <w:sz w:val="20"/>
              </w:rPr>
            </w:pPr>
            <w:r w:rsidRPr="00A401B6">
              <w:rPr>
                <w:rFonts w:cs="Arial"/>
                <w:b/>
                <w:sz w:val="20"/>
              </w:rPr>
              <w:t>Microorganism/test/toxin</w:t>
            </w:r>
          </w:p>
        </w:tc>
        <w:tc>
          <w:tcPr>
            <w:tcW w:w="941" w:type="dxa"/>
          </w:tcPr>
          <w:p w:rsidR="006940FF" w:rsidRPr="00A401B6" w:rsidRDefault="006940FF" w:rsidP="006940FF">
            <w:pPr>
              <w:spacing w:before="120" w:after="120"/>
              <w:rPr>
                <w:rFonts w:cs="Arial"/>
                <w:b/>
                <w:sz w:val="20"/>
              </w:rPr>
            </w:pPr>
            <w:r w:rsidRPr="00A401B6">
              <w:rPr>
                <w:rFonts w:cs="Arial"/>
                <w:b/>
                <w:sz w:val="20"/>
              </w:rPr>
              <w:t>n</w:t>
            </w:r>
          </w:p>
        </w:tc>
        <w:tc>
          <w:tcPr>
            <w:tcW w:w="942" w:type="dxa"/>
          </w:tcPr>
          <w:p w:rsidR="006940FF" w:rsidRPr="00A401B6" w:rsidRDefault="006940FF" w:rsidP="006940FF">
            <w:pPr>
              <w:spacing w:before="120" w:after="120"/>
              <w:rPr>
                <w:rFonts w:cs="Arial"/>
                <w:b/>
                <w:sz w:val="20"/>
              </w:rPr>
            </w:pPr>
            <w:r w:rsidRPr="00A401B6">
              <w:rPr>
                <w:rFonts w:cs="Arial"/>
                <w:b/>
                <w:sz w:val="20"/>
              </w:rPr>
              <w:t>c</w:t>
            </w:r>
          </w:p>
        </w:tc>
        <w:tc>
          <w:tcPr>
            <w:tcW w:w="1573" w:type="dxa"/>
          </w:tcPr>
          <w:p w:rsidR="006940FF" w:rsidRPr="00A401B6" w:rsidRDefault="006940FF" w:rsidP="006940FF">
            <w:pPr>
              <w:spacing w:before="120" w:after="120"/>
              <w:rPr>
                <w:rFonts w:cs="Arial"/>
                <w:b/>
                <w:sz w:val="20"/>
              </w:rPr>
            </w:pPr>
            <w:r w:rsidRPr="00A401B6">
              <w:rPr>
                <w:rFonts w:cs="Arial"/>
                <w:b/>
                <w:sz w:val="20"/>
              </w:rPr>
              <w:t>m</w:t>
            </w:r>
          </w:p>
        </w:tc>
      </w:tr>
      <w:tr w:rsidR="006940FF" w:rsidRPr="008758D6" w:rsidTr="006940FF">
        <w:trPr>
          <w:trHeight w:val="210"/>
        </w:trPr>
        <w:tc>
          <w:tcPr>
            <w:tcW w:w="2553" w:type="dxa"/>
          </w:tcPr>
          <w:p w:rsidR="006940FF" w:rsidRPr="00A401B6" w:rsidRDefault="006940FF" w:rsidP="00A401B6">
            <w:pPr>
              <w:spacing w:before="120"/>
              <w:ind w:left="113" w:hanging="113"/>
              <w:rPr>
                <w:rFonts w:cs="Arial"/>
                <w:sz w:val="20"/>
              </w:rPr>
            </w:pPr>
            <w:r w:rsidRPr="00A401B6">
              <w:rPr>
                <w:rFonts w:cs="Arial"/>
                <w:sz w:val="20"/>
              </w:rPr>
              <w:t xml:space="preserve">Ready-to-eat food in which the growth of </w:t>
            </w:r>
            <w:r w:rsidRPr="00A401B6">
              <w:rPr>
                <w:rFonts w:cs="Arial"/>
                <w:i/>
                <w:sz w:val="20"/>
              </w:rPr>
              <w:t>Listeria monocytogenes</w:t>
            </w:r>
            <w:r w:rsidRPr="00A401B6">
              <w:rPr>
                <w:rFonts w:cs="Arial"/>
                <w:sz w:val="20"/>
              </w:rPr>
              <w:t xml:space="preserve"> can occur</w:t>
            </w:r>
          </w:p>
        </w:tc>
        <w:tc>
          <w:tcPr>
            <w:tcW w:w="2832" w:type="dxa"/>
          </w:tcPr>
          <w:p w:rsidR="006940FF" w:rsidRPr="00A401B6" w:rsidRDefault="006940FF" w:rsidP="00A401B6">
            <w:pPr>
              <w:spacing w:before="120"/>
              <w:ind w:left="113" w:hanging="113"/>
              <w:rPr>
                <w:rFonts w:cs="Arial"/>
                <w:i/>
                <w:sz w:val="20"/>
              </w:rPr>
            </w:pPr>
            <w:r w:rsidRPr="00A401B6">
              <w:rPr>
                <w:rFonts w:cs="Arial"/>
                <w:i/>
                <w:sz w:val="20"/>
              </w:rPr>
              <w:t>Listeria monocytogenes</w:t>
            </w:r>
          </w:p>
        </w:tc>
        <w:tc>
          <w:tcPr>
            <w:tcW w:w="941" w:type="dxa"/>
          </w:tcPr>
          <w:p w:rsidR="006940FF" w:rsidRPr="00A401B6" w:rsidRDefault="006940FF" w:rsidP="00A401B6">
            <w:pPr>
              <w:spacing w:before="120"/>
              <w:ind w:left="113" w:hanging="113"/>
              <w:rPr>
                <w:rFonts w:cs="Arial"/>
                <w:sz w:val="20"/>
              </w:rPr>
            </w:pPr>
            <w:r w:rsidRPr="00A401B6">
              <w:rPr>
                <w:rFonts w:cs="Arial"/>
                <w:sz w:val="20"/>
              </w:rPr>
              <w:t>5</w:t>
            </w:r>
          </w:p>
        </w:tc>
        <w:tc>
          <w:tcPr>
            <w:tcW w:w="942" w:type="dxa"/>
          </w:tcPr>
          <w:p w:rsidR="006940FF" w:rsidRPr="00A401B6" w:rsidRDefault="006940FF" w:rsidP="00A401B6">
            <w:pPr>
              <w:spacing w:before="120"/>
              <w:ind w:left="113" w:hanging="113"/>
              <w:rPr>
                <w:rFonts w:cs="Arial"/>
                <w:sz w:val="20"/>
              </w:rPr>
            </w:pPr>
            <w:r w:rsidRPr="00A401B6">
              <w:rPr>
                <w:rFonts w:cs="Arial"/>
                <w:sz w:val="20"/>
              </w:rPr>
              <w:t>0</w:t>
            </w:r>
          </w:p>
        </w:tc>
        <w:tc>
          <w:tcPr>
            <w:tcW w:w="1573" w:type="dxa"/>
          </w:tcPr>
          <w:p w:rsidR="006940FF" w:rsidRPr="00A401B6" w:rsidRDefault="006940FF" w:rsidP="00A401B6">
            <w:pPr>
              <w:spacing w:before="120"/>
              <w:ind w:left="113" w:hanging="113"/>
              <w:rPr>
                <w:rFonts w:cs="Arial"/>
                <w:sz w:val="20"/>
              </w:rPr>
            </w:pPr>
            <w:r w:rsidRPr="00A401B6">
              <w:rPr>
                <w:rFonts w:cs="Arial"/>
                <w:sz w:val="20"/>
              </w:rPr>
              <w:t>Not detected in 25g</w:t>
            </w:r>
          </w:p>
        </w:tc>
      </w:tr>
    </w:tbl>
    <w:p w:rsidR="005B4D16" w:rsidRDefault="006940FF" w:rsidP="00A401B6">
      <w:pPr>
        <w:ind w:left="113" w:hanging="113"/>
      </w:pPr>
      <w:r>
        <w:t xml:space="preserve"> </w:t>
      </w:r>
    </w:p>
    <w:p w:rsidR="005B4D16" w:rsidRDefault="006940FF" w:rsidP="00A401B6">
      <w:pPr>
        <w:ind w:left="113" w:hanging="113"/>
      </w:pPr>
      <w:r>
        <w:t xml:space="preserve">For RTE foods in which growth will not occur, a sampling plan allowing </w:t>
      </w:r>
      <w:proofErr w:type="gramStart"/>
      <w:r>
        <w:t>up to 100 cfu/g</w:t>
      </w:r>
      <w:proofErr w:type="gramEnd"/>
      <w:r>
        <w:t xml:space="preserve"> can apply:</w:t>
      </w:r>
    </w:p>
    <w:p w:rsidR="006940FF" w:rsidRDefault="006940FF" w:rsidP="00A401B6">
      <w:pPr>
        <w:ind w:left="113" w:hanging="113"/>
      </w:pPr>
    </w:p>
    <w:tbl>
      <w:tblPr>
        <w:tblStyle w:val="TableGrid"/>
        <w:tblpPr w:leftFromText="180" w:rightFromText="180" w:vertAnchor="text" w:horzAnchor="margin" w:tblpY="55"/>
        <w:tblW w:w="8841" w:type="dxa"/>
        <w:tblLook w:val="01E0" w:firstRow="1" w:lastRow="1" w:firstColumn="1" w:lastColumn="1" w:noHBand="0" w:noVBand="0"/>
      </w:tblPr>
      <w:tblGrid>
        <w:gridCol w:w="2553"/>
        <w:gridCol w:w="2832"/>
        <w:gridCol w:w="941"/>
        <w:gridCol w:w="942"/>
        <w:gridCol w:w="1573"/>
      </w:tblGrid>
      <w:tr w:rsidR="006940FF" w:rsidRPr="008758D6" w:rsidTr="00066D6F">
        <w:trPr>
          <w:trHeight w:val="699"/>
        </w:trPr>
        <w:tc>
          <w:tcPr>
            <w:tcW w:w="2553" w:type="dxa"/>
          </w:tcPr>
          <w:p w:rsidR="006940FF" w:rsidRPr="00A401B6" w:rsidRDefault="006940FF" w:rsidP="00A401B6">
            <w:pPr>
              <w:spacing w:before="120" w:after="120"/>
              <w:ind w:left="113" w:hanging="113"/>
              <w:rPr>
                <w:rFonts w:cs="Arial"/>
                <w:b/>
                <w:sz w:val="20"/>
              </w:rPr>
            </w:pPr>
            <w:r w:rsidRPr="00A401B6">
              <w:rPr>
                <w:rFonts w:cs="Arial"/>
                <w:b/>
                <w:sz w:val="20"/>
              </w:rPr>
              <w:t>Food</w:t>
            </w:r>
          </w:p>
        </w:tc>
        <w:tc>
          <w:tcPr>
            <w:tcW w:w="2832" w:type="dxa"/>
          </w:tcPr>
          <w:p w:rsidR="006940FF" w:rsidRPr="00A401B6" w:rsidRDefault="006940FF" w:rsidP="00A401B6">
            <w:pPr>
              <w:spacing w:before="120" w:after="120"/>
              <w:ind w:left="113" w:hanging="113"/>
              <w:rPr>
                <w:rFonts w:cs="Arial"/>
                <w:b/>
                <w:sz w:val="20"/>
              </w:rPr>
            </w:pPr>
            <w:r w:rsidRPr="00A401B6">
              <w:rPr>
                <w:rFonts w:cs="Arial"/>
                <w:b/>
                <w:sz w:val="20"/>
              </w:rPr>
              <w:t>Microorganism/test/toxin</w:t>
            </w:r>
          </w:p>
        </w:tc>
        <w:tc>
          <w:tcPr>
            <w:tcW w:w="941" w:type="dxa"/>
          </w:tcPr>
          <w:p w:rsidR="006940FF" w:rsidRPr="00A401B6" w:rsidRDefault="006940FF" w:rsidP="00A401B6">
            <w:pPr>
              <w:spacing w:before="120" w:after="120"/>
              <w:ind w:left="113" w:hanging="113"/>
              <w:rPr>
                <w:rFonts w:cs="Arial"/>
                <w:b/>
                <w:sz w:val="20"/>
              </w:rPr>
            </w:pPr>
            <w:r w:rsidRPr="00A401B6">
              <w:rPr>
                <w:rFonts w:cs="Arial"/>
                <w:b/>
                <w:sz w:val="20"/>
              </w:rPr>
              <w:t>n</w:t>
            </w:r>
          </w:p>
        </w:tc>
        <w:tc>
          <w:tcPr>
            <w:tcW w:w="942" w:type="dxa"/>
          </w:tcPr>
          <w:p w:rsidR="006940FF" w:rsidRPr="00A401B6" w:rsidRDefault="006940FF" w:rsidP="00A401B6">
            <w:pPr>
              <w:spacing w:before="120" w:after="120"/>
              <w:ind w:left="113" w:hanging="113"/>
              <w:rPr>
                <w:rFonts w:cs="Arial"/>
                <w:b/>
                <w:sz w:val="20"/>
              </w:rPr>
            </w:pPr>
            <w:r w:rsidRPr="00A401B6">
              <w:rPr>
                <w:rFonts w:cs="Arial"/>
                <w:b/>
                <w:sz w:val="20"/>
              </w:rPr>
              <w:t>c</w:t>
            </w:r>
          </w:p>
        </w:tc>
        <w:tc>
          <w:tcPr>
            <w:tcW w:w="1573" w:type="dxa"/>
          </w:tcPr>
          <w:p w:rsidR="006940FF" w:rsidRPr="00A401B6" w:rsidRDefault="006940FF" w:rsidP="00A401B6">
            <w:pPr>
              <w:spacing w:before="120" w:after="120"/>
              <w:ind w:left="113" w:hanging="113"/>
              <w:rPr>
                <w:rFonts w:cs="Arial"/>
                <w:b/>
                <w:sz w:val="20"/>
              </w:rPr>
            </w:pPr>
            <w:r w:rsidRPr="00A401B6">
              <w:rPr>
                <w:rFonts w:cs="Arial"/>
                <w:b/>
                <w:sz w:val="20"/>
              </w:rPr>
              <w:t>m</w:t>
            </w:r>
          </w:p>
        </w:tc>
      </w:tr>
      <w:tr w:rsidR="006940FF" w:rsidRPr="008758D6" w:rsidTr="00066D6F">
        <w:trPr>
          <w:trHeight w:val="210"/>
        </w:trPr>
        <w:tc>
          <w:tcPr>
            <w:tcW w:w="2553" w:type="dxa"/>
          </w:tcPr>
          <w:p w:rsidR="006940FF" w:rsidRPr="00A401B6" w:rsidRDefault="006940FF" w:rsidP="00A401B6">
            <w:pPr>
              <w:spacing w:before="120"/>
              <w:ind w:left="113" w:hanging="113"/>
              <w:rPr>
                <w:rFonts w:cs="Arial"/>
                <w:sz w:val="20"/>
              </w:rPr>
            </w:pPr>
            <w:r w:rsidRPr="00A401B6">
              <w:rPr>
                <w:rFonts w:cs="Arial"/>
                <w:sz w:val="20"/>
              </w:rPr>
              <w:t xml:space="preserve">Ready-to-eat food in which the growth of </w:t>
            </w:r>
            <w:r w:rsidRPr="00A401B6">
              <w:rPr>
                <w:rFonts w:cs="Arial"/>
                <w:i/>
                <w:sz w:val="20"/>
              </w:rPr>
              <w:t>Listeria monocytogenes</w:t>
            </w:r>
            <w:r w:rsidRPr="00A401B6">
              <w:rPr>
                <w:rFonts w:cs="Arial"/>
                <w:sz w:val="20"/>
              </w:rPr>
              <w:t xml:space="preserve"> will not occur</w:t>
            </w:r>
          </w:p>
        </w:tc>
        <w:tc>
          <w:tcPr>
            <w:tcW w:w="2832" w:type="dxa"/>
          </w:tcPr>
          <w:p w:rsidR="006940FF" w:rsidRPr="00A401B6" w:rsidRDefault="006940FF" w:rsidP="00A401B6">
            <w:pPr>
              <w:spacing w:before="120"/>
              <w:ind w:left="113" w:hanging="113"/>
              <w:rPr>
                <w:rFonts w:cs="Arial"/>
                <w:i/>
                <w:sz w:val="20"/>
              </w:rPr>
            </w:pPr>
            <w:r w:rsidRPr="00A401B6">
              <w:rPr>
                <w:rFonts w:cs="Arial"/>
                <w:i/>
                <w:sz w:val="20"/>
              </w:rPr>
              <w:t>Listeria monocytogenes</w:t>
            </w:r>
          </w:p>
        </w:tc>
        <w:tc>
          <w:tcPr>
            <w:tcW w:w="941" w:type="dxa"/>
          </w:tcPr>
          <w:p w:rsidR="006940FF" w:rsidRPr="00A401B6" w:rsidRDefault="006940FF" w:rsidP="00A401B6">
            <w:pPr>
              <w:spacing w:before="120"/>
              <w:ind w:left="113" w:hanging="113"/>
              <w:rPr>
                <w:rFonts w:cs="Arial"/>
                <w:sz w:val="20"/>
              </w:rPr>
            </w:pPr>
            <w:r w:rsidRPr="00A401B6">
              <w:rPr>
                <w:rFonts w:cs="Arial"/>
                <w:sz w:val="20"/>
              </w:rPr>
              <w:t>5</w:t>
            </w:r>
          </w:p>
        </w:tc>
        <w:tc>
          <w:tcPr>
            <w:tcW w:w="942" w:type="dxa"/>
          </w:tcPr>
          <w:p w:rsidR="006940FF" w:rsidRPr="00A401B6" w:rsidRDefault="006940FF" w:rsidP="00A401B6">
            <w:pPr>
              <w:spacing w:before="120"/>
              <w:ind w:left="113" w:hanging="113"/>
              <w:rPr>
                <w:rFonts w:cs="Arial"/>
                <w:sz w:val="20"/>
              </w:rPr>
            </w:pPr>
            <w:r w:rsidRPr="00A401B6">
              <w:rPr>
                <w:rFonts w:cs="Arial"/>
                <w:sz w:val="20"/>
              </w:rPr>
              <w:t>0</w:t>
            </w:r>
          </w:p>
        </w:tc>
        <w:tc>
          <w:tcPr>
            <w:tcW w:w="1573" w:type="dxa"/>
          </w:tcPr>
          <w:p w:rsidR="006940FF" w:rsidRPr="00A401B6" w:rsidRDefault="006940FF" w:rsidP="00A401B6">
            <w:pPr>
              <w:spacing w:before="120"/>
              <w:ind w:left="113" w:hanging="113"/>
              <w:rPr>
                <w:rFonts w:cs="Arial"/>
                <w:sz w:val="20"/>
              </w:rPr>
            </w:pPr>
            <w:r w:rsidRPr="00A401B6">
              <w:rPr>
                <w:rFonts w:cs="Arial"/>
                <w:sz w:val="20"/>
              </w:rPr>
              <w:t>100 cfu/g</w:t>
            </w:r>
          </w:p>
        </w:tc>
      </w:tr>
    </w:tbl>
    <w:p w:rsidR="006940FF" w:rsidRDefault="006940FF" w:rsidP="005B4D16"/>
    <w:p w:rsidR="006940FF" w:rsidRDefault="007E18C6" w:rsidP="005B4D16">
      <w:r>
        <w:t xml:space="preserve">In classifying whether a food can support the growth of </w:t>
      </w:r>
      <w:r w:rsidRPr="007E18C6">
        <w:rPr>
          <w:i/>
        </w:rPr>
        <w:t>L. monocytogenes</w:t>
      </w:r>
      <w:r>
        <w:t xml:space="preserve"> or not</w:t>
      </w:r>
      <w:r w:rsidR="00063E8B">
        <w:t>,</w:t>
      </w:r>
      <w:r>
        <w:t xml:space="preserve"> a number of product characteristics and processing factors need to be considered. For example growth</w:t>
      </w:r>
      <w:r w:rsidR="008C0C3B">
        <w:rPr>
          <w:rStyle w:val="FootnoteReference"/>
        </w:rPr>
        <w:footnoteReference w:id="8"/>
      </w:r>
      <w:r w:rsidR="008C0C3B">
        <w:t xml:space="preserve"> </w:t>
      </w:r>
      <w:r>
        <w:t>is considered not to occur in a RTE food if:</w:t>
      </w:r>
    </w:p>
    <w:p w:rsidR="00E13790" w:rsidRDefault="00E13790" w:rsidP="005B4D16"/>
    <w:p w:rsidR="00E13790" w:rsidRPr="00D66FC4" w:rsidRDefault="00E13790" w:rsidP="004C3B71">
      <w:pPr>
        <w:pStyle w:val="FSBullet1"/>
      </w:pPr>
      <w:r w:rsidRPr="00D66FC4">
        <w:t>it has a pH &lt; 4.4 regardless of water activity; or</w:t>
      </w:r>
    </w:p>
    <w:p w:rsidR="00E13790" w:rsidRPr="00D66FC4" w:rsidRDefault="00E13790" w:rsidP="004C3B71">
      <w:pPr>
        <w:pStyle w:val="FSBullet1"/>
      </w:pPr>
      <w:r w:rsidRPr="00D66FC4">
        <w:t>it has a water activity &lt; 0.92 regardless of pH; or</w:t>
      </w:r>
    </w:p>
    <w:p w:rsidR="00E13790" w:rsidRPr="00D66FC4" w:rsidRDefault="00E13790" w:rsidP="004C3B71">
      <w:pPr>
        <w:pStyle w:val="FSBullet1"/>
      </w:pPr>
      <w:r w:rsidRPr="00D66FC4">
        <w:t>it has a pH &lt; 5.0 in combination with a water activity of &lt; 0.94; or</w:t>
      </w:r>
    </w:p>
    <w:p w:rsidR="00E13790" w:rsidRPr="00D66FC4" w:rsidRDefault="00E13790" w:rsidP="004C3B71">
      <w:pPr>
        <w:pStyle w:val="FSBullet1"/>
      </w:pPr>
      <w:r w:rsidRPr="00D66FC4">
        <w:t xml:space="preserve">it has a refrigerated shelf life </w:t>
      </w:r>
      <w:r w:rsidRPr="00D66FC4">
        <w:sym w:font="Symbol" w:char="F0A3"/>
      </w:r>
      <w:r w:rsidRPr="00D66FC4">
        <w:t xml:space="preserve"> 5 days; or</w:t>
      </w:r>
    </w:p>
    <w:p w:rsidR="007E18C6" w:rsidRDefault="00E13790" w:rsidP="004C3B71">
      <w:pPr>
        <w:pStyle w:val="FSBullet1"/>
      </w:pPr>
      <w:r w:rsidRPr="00D66FC4">
        <w:t>it is frozen (including foods consumed frozen and those intended to be thawed before consumption</w:t>
      </w:r>
      <w:r w:rsidR="005475C4" w:rsidRPr="00D66FC4">
        <w:t>)</w:t>
      </w:r>
      <w:r w:rsidR="005475C4">
        <w:t>; or</w:t>
      </w:r>
    </w:p>
    <w:p w:rsidR="005475C4" w:rsidRDefault="005475C4" w:rsidP="005475C4">
      <w:pPr>
        <w:pStyle w:val="FSBullet1"/>
      </w:pPr>
      <w:r>
        <w:t xml:space="preserve">it can be validated that the level of </w:t>
      </w:r>
      <w:r>
        <w:rPr>
          <w:i/>
        </w:rPr>
        <w:t>L. monocytogenes</w:t>
      </w:r>
      <w:r>
        <w:t xml:space="preserve"> will not increase by </w:t>
      </w:r>
      <w:r>
        <w:sym w:font="Symbol" w:char="F0B3"/>
      </w:r>
      <w:r>
        <w:t xml:space="preserve"> 0.5 log over the food’s stated shelf life; or</w:t>
      </w:r>
    </w:p>
    <w:p w:rsidR="005475C4" w:rsidRPr="005475C4" w:rsidRDefault="005475C4" w:rsidP="005475C4">
      <w:pPr>
        <w:pStyle w:val="FSBullet1"/>
      </w:pPr>
      <w:proofErr w:type="gramStart"/>
      <w:r>
        <w:t>the</w:t>
      </w:r>
      <w:proofErr w:type="gramEnd"/>
      <w:r>
        <w:t xml:space="preserve"> food has not had a listericidal treatment and it can be validated that the level of </w:t>
      </w:r>
      <w:r>
        <w:rPr>
          <w:i/>
        </w:rPr>
        <w:t>Listeria monocytogenes</w:t>
      </w:r>
      <w:r>
        <w:t xml:space="preserve"> will not exceed 100 cfu/g throughout the food’s stated shelf life.</w:t>
      </w:r>
    </w:p>
    <w:p w:rsidR="007E18C6" w:rsidRDefault="007E18C6" w:rsidP="007E18C6"/>
    <w:p w:rsidR="00EC7294" w:rsidRDefault="00B60C3C" w:rsidP="007E18C6">
      <w:r>
        <w:t>U</w:t>
      </w:r>
      <w:r w:rsidR="00EF2274">
        <w:t>nder this approach</w:t>
      </w:r>
      <w:r w:rsidR="003966C2">
        <w:t>,</w:t>
      </w:r>
      <w:r w:rsidR="007E18C6">
        <w:t xml:space="preserve"> businesses </w:t>
      </w:r>
      <w:r w:rsidR="008C0C3B">
        <w:t xml:space="preserve">would </w:t>
      </w:r>
      <w:r>
        <w:t xml:space="preserve">also </w:t>
      </w:r>
      <w:r w:rsidR="008C0C3B">
        <w:t>be</w:t>
      </w:r>
      <w:r w:rsidR="007E18C6">
        <w:t xml:space="preserve"> able to validate that </w:t>
      </w:r>
      <w:r w:rsidR="00EF2274">
        <w:t xml:space="preserve">the </w:t>
      </w:r>
      <w:r w:rsidR="007E18C6">
        <w:t xml:space="preserve">growth </w:t>
      </w:r>
      <w:r w:rsidR="00EC7294">
        <w:t xml:space="preserve">of </w:t>
      </w:r>
      <w:r w:rsidR="00EC7294" w:rsidRPr="00EC7294">
        <w:rPr>
          <w:i/>
        </w:rPr>
        <w:t>L. monocytogenes</w:t>
      </w:r>
      <w:r w:rsidR="00EC7294">
        <w:t xml:space="preserve"> </w:t>
      </w:r>
      <w:r w:rsidR="007E18C6">
        <w:t>will not occur</w:t>
      </w:r>
      <w:r w:rsidR="00EC7294">
        <w:t xml:space="preserve"> </w:t>
      </w:r>
      <w:r w:rsidR="00EF2274">
        <w:t xml:space="preserve">in their product </w:t>
      </w:r>
      <w:r w:rsidR="00EC7294">
        <w:t xml:space="preserve">because, for example, they have reformulated </w:t>
      </w:r>
      <w:r w:rsidR="00EF2274">
        <w:t>it</w:t>
      </w:r>
      <w:r w:rsidR="00EC7294">
        <w:t xml:space="preserve"> or applied a treatment that prevents growth. </w:t>
      </w:r>
    </w:p>
    <w:p w:rsidR="00EC7294" w:rsidRDefault="00EC7294" w:rsidP="007E18C6"/>
    <w:p w:rsidR="008C0C3B" w:rsidRDefault="00EC7294" w:rsidP="008C0C3B">
      <w:r>
        <w:t>For foods that do not receive a listericidal treatment during processing,</w:t>
      </w:r>
      <w:r w:rsidRPr="00EC7294">
        <w:t xml:space="preserve"> </w:t>
      </w:r>
      <w:r>
        <w:t xml:space="preserve">occasional low level contamination of </w:t>
      </w:r>
      <w:r w:rsidRPr="008C0C3B">
        <w:rPr>
          <w:i/>
        </w:rPr>
        <w:t>L. monocytogenes</w:t>
      </w:r>
      <w:r>
        <w:t xml:space="preserve"> may be unavoidable. This is currently recognised </w:t>
      </w:r>
      <w:r w:rsidR="008C0C3B">
        <w:t>in Standard 1.6.1 for ready-to-eat processed finfish  for which</w:t>
      </w:r>
      <w:r>
        <w:t xml:space="preserve"> a sampling plan for </w:t>
      </w:r>
      <w:r w:rsidRPr="008C0C3B">
        <w:rPr>
          <w:i/>
        </w:rPr>
        <w:t>L. monocytogenes</w:t>
      </w:r>
      <w:r>
        <w:t xml:space="preserve"> </w:t>
      </w:r>
      <w:r w:rsidR="008C0C3B">
        <w:t xml:space="preserve">is specified that </w:t>
      </w:r>
      <w:r>
        <w:t>allows 1 in 5 samples to have 100 cfu/g (n=5, C=1, m=0, M=100).</w:t>
      </w:r>
      <w:r w:rsidR="008C0C3B">
        <w:t xml:space="preserve"> Such products could be considered a “ready-to-eat food in which the growth of </w:t>
      </w:r>
      <w:r w:rsidR="008C0C3B" w:rsidRPr="008C0C3B">
        <w:rPr>
          <w:i/>
        </w:rPr>
        <w:t>Listeria monocytogenes</w:t>
      </w:r>
      <w:r w:rsidR="008C0C3B">
        <w:t xml:space="preserve"> will not occur” if evidence can be provided that growth </w:t>
      </w:r>
      <w:r w:rsidR="00EF2274">
        <w:t>is</w:t>
      </w:r>
      <w:r w:rsidR="008C0C3B">
        <w:t xml:space="preserve"> limited and would not exceed 100 cfu/g throughout the shelf life.  </w:t>
      </w:r>
    </w:p>
    <w:p w:rsidR="00B54F42" w:rsidRDefault="00B54F42">
      <w:pPr>
        <w:widowControl/>
        <w:rPr>
          <w:b/>
          <w:bCs/>
          <w:color w:val="000000" w:themeColor="text1"/>
          <w:lang w:eastAsia="en-AU" w:bidi="ar-SA"/>
        </w:rPr>
      </w:pPr>
      <w:r>
        <w:br w:type="page"/>
      </w:r>
    </w:p>
    <w:p w:rsidR="00EF2274" w:rsidRDefault="007C69C2" w:rsidP="007C69C2">
      <w:pPr>
        <w:pStyle w:val="Heading3"/>
      </w:pPr>
      <w:bookmarkStart w:id="49" w:name="_Toc371585215"/>
      <w:r>
        <w:lastRenderedPageBreak/>
        <w:t xml:space="preserve">2.3.3 </w:t>
      </w:r>
      <w:r w:rsidR="00133C5C">
        <w:tab/>
      </w:r>
      <w:r>
        <w:t>Preferred option</w:t>
      </w:r>
      <w:bookmarkEnd w:id="49"/>
      <w:r>
        <w:t xml:space="preserve"> </w:t>
      </w:r>
    </w:p>
    <w:p w:rsidR="009A5FFE" w:rsidRDefault="00066D6F" w:rsidP="00EF2274">
      <w:r>
        <w:t>Three options were posed for consultation in the 1</w:t>
      </w:r>
      <w:r w:rsidRPr="00066D6F">
        <w:rPr>
          <w:vertAlign w:val="superscript"/>
        </w:rPr>
        <w:t>st</w:t>
      </w:r>
      <w:r>
        <w:t xml:space="preserve"> call for submissions report</w:t>
      </w:r>
      <w:r w:rsidR="007628B0">
        <w:t>:</w:t>
      </w:r>
    </w:p>
    <w:p w:rsidR="007628B0" w:rsidRDefault="007628B0" w:rsidP="00EF2274"/>
    <w:p w:rsidR="007628B0" w:rsidRDefault="007628B0" w:rsidP="007628B0">
      <w:pPr>
        <w:pStyle w:val="FSBullet1"/>
      </w:pPr>
      <w:r>
        <w:t xml:space="preserve">Option 1 to include microbiological criteria in Standard 1.6.1 for </w:t>
      </w:r>
      <w:r w:rsidRPr="00F7601E">
        <w:rPr>
          <w:i/>
        </w:rPr>
        <w:t>L.</w:t>
      </w:r>
      <w:r>
        <w:rPr>
          <w:i/>
        </w:rPr>
        <w:t xml:space="preserve"> </w:t>
      </w:r>
      <w:r w:rsidRPr="00F7601E">
        <w:rPr>
          <w:i/>
        </w:rPr>
        <w:t>monocytogenes</w:t>
      </w:r>
      <w:r>
        <w:rPr>
          <w:i/>
        </w:rPr>
        <w:t xml:space="preserve"> </w:t>
      </w:r>
      <w:r>
        <w:t>on the basis of whether the food is ready-to-eat and can or cannot support its growth- preferred option</w:t>
      </w:r>
    </w:p>
    <w:p w:rsidR="007628B0" w:rsidRDefault="007628B0" w:rsidP="007628B0">
      <w:pPr>
        <w:pStyle w:val="ListParagraph"/>
        <w:ind w:left="567"/>
      </w:pPr>
    </w:p>
    <w:p w:rsidR="007628B0" w:rsidRDefault="007628B0" w:rsidP="007628B0">
      <w:pPr>
        <w:pStyle w:val="FSBullet1"/>
      </w:pPr>
      <w:r>
        <w:t xml:space="preserve">Option 2 – to delete the microbiological criteria for </w:t>
      </w:r>
      <w:r w:rsidRPr="00F7601E">
        <w:rPr>
          <w:i/>
        </w:rPr>
        <w:t>L.</w:t>
      </w:r>
      <w:r>
        <w:rPr>
          <w:i/>
        </w:rPr>
        <w:t xml:space="preserve"> </w:t>
      </w:r>
      <w:r w:rsidRPr="00F7601E">
        <w:rPr>
          <w:i/>
        </w:rPr>
        <w:t>monocytogenes</w:t>
      </w:r>
      <w:r>
        <w:rPr>
          <w:i/>
        </w:rPr>
        <w:t xml:space="preserve"> </w:t>
      </w:r>
      <w:r>
        <w:t xml:space="preserve">in Standard 1.6.1 and establish reference criteria for </w:t>
      </w:r>
      <w:r w:rsidRPr="00F7601E">
        <w:rPr>
          <w:i/>
        </w:rPr>
        <w:t>L.</w:t>
      </w:r>
      <w:r>
        <w:rPr>
          <w:i/>
        </w:rPr>
        <w:t xml:space="preserve"> </w:t>
      </w:r>
      <w:r w:rsidRPr="00F7601E">
        <w:rPr>
          <w:i/>
        </w:rPr>
        <w:t>monocytogenes</w:t>
      </w:r>
      <w:r>
        <w:rPr>
          <w:i/>
        </w:rPr>
        <w:t xml:space="preserve"> </w:t>
      </w:r>
      <w:r>
        <w:t>in ready-to-eat food on the basis of whether it can or cannot support its growth</w:t>
      </w:r>
    </w:p>
    <w:p w:rsidR="007628B0" w:rsidRDefault="007628B0" w:rsidP="007628B0">
      <w:pPr>
        <w:pStyle w:val="ListParagraph"/>
        <w:ind w:left="567"/>
      </w:pPr>
    </w:p>
    <w:p w:rsidR="007628B0" w:rsidRDefault="007628B0" w:rsidP="007628B0">
      <w:pPr>
        <w:pStyle w:val="FSBullet1"/>
      </w:pPr>
      <w:r>
        <w:t>Option 3 – make no amendments to the microbiological criteria in Standard 1.6.1 (status quo)</w:t>
      </w:r>
    </w:p>
    <w:p w:rsidR="009A5FFE" w:rsidRDefault="009A5FFE" w:rsidP="00EF2274"/>
    <w:p w:rsidR="007628B0" w:rsidRDefault="007628B0" w:rsidP="00EF2274">
      <w:r>
        <w:t>FSANZ has assessed each option and acknowledged all submissions received in the 1</w:t>
      </w:r>
      <w:r w:rsidRPr="00CA3BE9">
        <w:rPr>
          <w:vertAlign w:val="superscript"/>
        </w:rPr>
        <w:t>st</w:t>
      </w:r>
      <w:r>
        <w:t xml:space="preserve"> call for submissions to propose an amendment to the Code based on option 1. </w:t>
      </w:r>
    </w:p>
    <w:p w:rsidR="007628B0" w:rsidRDefault="007628B0" w:rsidP="00EF2274"/>
    <w:p w:rsidR="00EF2274" w:rsidRDefault="00C965C1" w:rsidP="00EF2274">
      <w:r>
        <w:t>Maintaining the status quo (option 3) does not address the identified problems with Standard 1.6.1 and is not generally supported by submitters.</w:t>
      </w:r>
      <w:r w:rsidR="00CA3BE9">
        <w:t xml:space="preserve"> </w:t>
      </w:r>
      <w:r w:rsidR="00066D6F">
        <w:t xml:space="preserve">No case was established for </w:t>
      </w:r>
      <w:r w:rsidR="00EC0CBF">
        <w:t xml:space="preserve">option 3 </w:t>
      </w:r>
      <w:r w:rsidR="00DC5CD0">
        <w:t>(</w:t>
      </w:r>
      <w:r w:rsidR="00EC0CBF">
        <w:t xml:space="preserve">i.e. </w:t>
      </w:r>
      <w:r w:rsidR="00066D6F">
        <w:t xml:space="preserve">retaining the current limits </w:t>
      </w:r>
      <w:r w:rsidR="00DC5CD0">
        <w:t xml:space="preserve">or </w:t>
      </w:r>
      <w:r w:rsidR="00A61E08">
        <w:t xml:space="preserve">the status quo) </w:t>
      </w:r>
      <w:r w:rsidR="00A81819">
        <w:t xml:space="preserve">as shown in an analysis of this option: </w:t>
      </w:r>
    </w:p>
    <w:p w:rsidR="00A61E08" w:rsidRDefault="00A61E08" w:rsidP="00EF2274"/>
    <w:p w:rsidR="00D76F80" w:rsidRDefault="008D5442" w:rsidP="004C3B71">
      <w:pPr>
        <w:pStyle w:val="FSBullet1"/>
      </w:pPr>
      <w:r>
        <w:t xml:space="preserve">The status quo reflects </w:t>
      </w:r>
      <w:r w:rsidR="00D76F80">
        <w:t>a product-by-product (vertical) approach to setting limits</w:t>
      </w:r>
      <w:r>
        <w:t xml:space="preserve"> which has meant that other read</w:t>
      </w:r>
      <w:r w:rsidR="00A240AC">
        <w:t>y</w:t>
      </w:r>
      <w:r>
        <w:t xml:space="preserve">-to-eat foods that may support the growth of </w:t>
      </w:r>
      <w:r w:rsidRPr="008D5442">
        <w:rPr>
          <w:i/>
        </w:rPr>
        <w:t>L. monocytogenes</w:t>
      </w:r>
      <w:r>
        <w:t xml:space="preserve"> have not been regulated equivalently.</w:t>
      </w:r>
    </w:p>
    <w:p w:rsidR="008D5442" w:rsidRDefault="008D5442" w:rsidP="008D5442">
      <w:pPr>
        <w:rPr>
          <w:lang w:bidi="ar-SA"/>
        </w:rPr>
      </w:pPr>
    </w:p>
    <w:p w:rsidR="00D76F80" w:rsidRPr="002B3EEA" w:rsidRDefault="00A81819" w:rsidP="004C3B71">
      <w:pPr>
        <w:pStyle w:val="FSBullet1"/>
      </w:pPr>
      <w:r w:rsidRPr="002B3EEA">
        <w:t>The</w:t>
      </w:r>
      <w:r>
        <w:t xml:space="preserve"> current</w:t>
      </w:r>
      <w:r w:rsidRPr="002B3EEA">
        <w:t xml:space="preserve"> limits in Standard 1.6.1 for generic product categories </w:t>
      </w:r>
      <w:r>
        <w:t xml:space="preserve">(e.g. “packaged cooked cured/salted meat”) </w:t>
      </w:r>
      <w:r w:rsidRPr="002B3EEA">
        <w:t xml:space="preserve">do not allow discretion as to whether the particular properties of a food support the growth or not of </w:t>
      </w:r>
      <w:r w:rsidRPr="00A81819">
        <w:rPr>
          <w:i/>
        </w:rPr>
        <w:t>L. monocytogenes</w:t>
      </w:r>
      <w:r w:rsidRPr="002B3EEA">
        <w:t>. Foods within a category may have different product formulations and intrinsic characteristics thereby presenting different risks</w:t>
      </w:r>
      <w:r w:rsidR="00DC5CD0">
        <w:t>. H</w:t>
      </w:r>
      <w:r w:rsidRPr="002B3EEA">
        <w:t>owever</w:t>
      </w:r>
      <w:r w:rsidR="00DC5CD0">
        <w:t>,</w:t>
      </w:r>
      <w:r w:rsidRPr="002B3EEA">
        <w:t xml:space="preserve"> the risk management approach (and enforcement action) is the same. </w:t>
      </w:r>
      <w:r>
        <w:t>Th</w:t>
      </w:r>
      <w:r w:rsidR="006636D7">
        <w:t xml:space="preserve">is poses </w:t>
      </w:r>
      <w:r>
        <w:t xml:space="preserve">a disincentive for industry to reformulate </w:t>
      </w:r>
      <w:r w:rsidR="006636D7">
        <w:t xml:space="preserve">products </w:t>
      </w:r>
      <w:r>
        <w:t>o</w:t>
      </w:r>
      <w:r w:rsidR="006636D7">
        <w:t>r</w:t>
      </w:r>
      <w:r>
        <w:t xml:space="preserve"> include </w:t>
      </w:r>
      <w:r w:rsidR="006636D7">
        <w:t xml:space="preserve">treatments that prevent or retard the growth of </w:t>
      </w:r>
      <w:r w:rsidR="006636D7" w:rsidRPr="006636D7">
        <w:rPr>
          <w:i/>
        </w:rPr>
        <w:t>L. monocytogenes</w:t>
      </w:r>
      <w:r w:rsidR="006636D7">
        <w:t>.</w:t>
      </w:r>
    </w:p>
    <w:p w:rsidR="00A81819" w:rsidRDefault="00A81819" w:rsidP="00D76F80">
      <w:pPr>
        <w:pStyle w:val="FSBullet1"/>
        <w:numPr>
          <w:ilvl w:val="0"/>
          <w:numId w:val="0"/>
        </w:numPr>
        <w:ind w:left="567" w:right="-472"/>
      </w:pPr>
    </w:p>
    <w:p w:rsidR="00D76F80" w:rsidRPr="002B3EEA" w:rsidRDefault="00A81819" w:rsidP="004C3B71">
      <w:pPr>
        <w:pStyle w:val="FSBullet1"/>
      </w:pPr>
      <w:r>
        <w:t xml:space="preserve">The status quo represents an </w:t>
      </w:r>
      <w:r w:rsidR="00D76F80" w:rsidRPr="002B3EEA">
        <w:t>inconsistent approach between applying regulatory limits and guideline criteria</w:t>
      </w:r>
      <w:r>
        <w:t xml:space="preserve"> such as the</w:t>
      </w:r>
      <w:r w:rsidR="00D76F80" w:rsidRPr="002B3EEA">
        <w:t xml:space="preserve"> </w:t>
      </w:r>
      <w:r w:rsidR="00C1361E" w:rsidRPr="00C1361E">
        <w:rPr>
          <w:i/>
        </w:rPr>
        <w:t>Recall guidelines for packaged ready-to-eat foods found to contain Listeria monocytogenes at point of sale</w:t>
      </w:r>
      <w:r w:rsidRPr="002B3EEA">
        <w:t xml:space="preserve"> (Recall Guidelines)</w:t>
      </w:r>
      <w:r>
        <w:t xml:space="preserve">. This gives industry and regulators a lack of clarity and certainty as to corrective actions required when </w:t>
      </w:r>
      <w:r w:rsidRPr="00A81819">
        <w:rPr>
          <w:i/>
        </w:rPr>
        <w:t>L. monocytogenes</w:t>
      </w:r>
      <w:r>
        <w:t xml:space="preserve"> is detected at low levels (e.g. if recall is required)</w:t>
      </w:r>
    </w:p>
    <w:p w:rsidR="002730B6" w:rsidRDefault="002730B6" w:rsidP="00E87949">
      <w:pPr>
        <w:pStyle w:val="FSBullet1"/>
        <w:numPr>
          <w:ilvl w:val="0"/>
          <w:numId w:val="0"/>
        </w:numPr>
      </w:pPr>
    </w:p>
    <w:p w:rsidR="002730B6" w:rsidRPr="002730B6" w:rsidRDefault="002730B6" w:rsidP="004C3B71">
      <w:pPr>
        <w:pStyle w:val="FSBullet1"/>
      </w:pPr>
      <w:r w:rsidRPr="002730B6">
        <w:t xml:space="preserve">The </w:t>
      </w:r>
      <w:r>
        <w:t xml:space="preserve">status quo </w:t>
      </w:r>
      <w:r w:rsidR="00E571FC">
        <w:t xml:space="preserve">is not supported by </w:t>
      </w:r>
      <w:r>
        <w:t xml:space="preserve">the current risk based approach incorporated in the Codex </w:t>
      </w:r>
      <w:r w:rsidRPr="002730B6">
        <w:t xml:space="preserve">Guidelines on the Application of General Principles of Food Hygiene to the Control of </w:t>
      </w:r>
      <w:r w:rsidRPr="002730B6">
        <w:rPr>
          <w:i/>
        </w:rPr>
        <w:t>Listeria monocytogenes</w:t>
      </w:r>
      <w:r w:rsidRPr="002730B6">
        <w:t xml:space="preserve"> in Foods (CAC/GL 61 – 2007)</w:t>
      </w:r>
      <w:r>
        <w:t xml:space="preserve"> and </w:t>
      </w:r>
      <w:r w:rsidR="00E571FC">
        <w:t>informed</w:t>
      </w:r>
      <w:r>
        <w:t xml:space="preserve"> by the risk assessment work undertaken by the </w:t>
      </w:r>
      <w:r w:rsidRPr="002730B6">
        <w:t>FAO/WHO Joint Expert Meeting on Risk Assessment (JEMRA</w:t>
      </w:r>
      <w:r>
        <w:t>) on</w:t>
      </w:r>
      <w:r w:rsidRPr="002730B6">
        <w:t xml:space="preserve"> </w:t>
      </w:r>
      <w:r w:rsidRPr="002730B6">
        <w:rPr>
          <w:i/>
        </w:rPr>
        <w:t>L. monocytogenes</w:t>
      </w:r>
      <w:r w:rsidRPr="002730B6">
        <w:t xml:space="preserve"> in ready-to-eat foods</w:t>
      </w:r>
      <w:r>
        <w:t xml:space="preserve">. </w:t>
      </w:r>
      <w:r w:rsidRPr="002730B6">
        <w:t xml:space="preserve"> </w:t>
      </w:r>
    </w:p>
    <w:p w:rsidR="00D76F80" w:rsidRPr="002B3EEA" w:rsidRDefault="00D76F80" w:rsidP="002730B6">
      <w:pPr>
        <w:pStyle w:val="FSBullet"/>
        <w:numPr>
          <w:ilvl w:val="0"/>
          <w:numId w:val="0"/>
        </w:numPr>
        <w:ind w:left="567"/>
      </w:pPr>
    </w:p>
    <w:p w:rsidR="00066D6F" w:rsidRDefault="009D200A" w:rsidP="00EF2274">
      <w:r>
        <w:t xml:space="preserve">The only </w:t>
      </w:r>
      <w:r w:rsidR="00E11620">
        <w:t>case</w:t>
      </w:r>
      <w:r>
        <w:t xml:space="preserve"> for retaining current limits was </w:t>
      </w:r>
      <w:r w:rsidR="00E11620">
        <w:t xml:space="preserve">in relation to limits </w:t>
      </w:r>
      <w:r>
        <w:t xml:space="preserve">for ready-to-eat processed finfish however </w:t>
      </w:r>
      <w:r w:rsidR="00E11620">
        <w:t>an approach</w:t>
      </w:r>
      <w:r>
        <w:t xml:space="preserve"> for this sector can be accommodated through the preferred </w:t>
      </w:r>
      <w:r w:rsidR="00E11620">
        <w:t>option</w:t>
      </w:r>
      <w:r>
        <w:t xml:space="preserve"> (option 1). </w:t>
      </w:r>
    </w:p>
    <w:p w:rsidR="009D200A" w:rsidRDefault="009D200A" w:rsidP="00EF2274"/>
    <w:p w:rsidR="009E0993" w:rsidRDefault="009D200A" w:rsidP="00EF2274">
      <w:r>
        <w:rPr>
          <w:rFonts w:cs="Arial"/>
        </w:rPr>
        <w:t>Option 2 proposed that limits not be included in the Code but established as reference limits</w:t>
      </w:r>
      <w:r w:rsidR="00DC5CD0">
        <w:rPr>
          <w:rFonts w:cs="Arial"/>
        </w:rPr>
        <w:t>. H</w:t>
      </w:r>
      <w:r>
        <w:rPr>
          <w:rFonts w:cs="Arial"/>
        </w:rPr>
        <w:t>owever</w:t>
      </w:r>
      <w:r w:rsidR="00DC5CD0">
        <w:rPr>
          <w:rFonts w:cs="Arial"/>
        </w:rPr>
        <w:t>,</w:t>
      </w:r>
      <w:r>
        <w:rPr>
          <w:rFonts w:cs="Arial"/>
        </w:rPr>
        <w:t xml:space="preserve"> this has been assessed as not </w:t>
      </w:r>
      <w:r w:rsidR="00C965C1">
        <w:rPr>
          <w:rFonts w:cs="Arial"/>
        </w:rPr>
        <w:t>being an appropriate</w:t>
      </w:r>
      <w:r>
        <w:rPr>
          <w:rFonts w:cs="Arial"/>
        </w:rPr>
        <w:t xml:space="preserve"> approach and was not supported in submissions.</w:t>
      </w:r>
      <w:r w:rsidR="00E11620" w:rsidRPr="00E11620">
        <w:t xml:space="preserve"> </w:t>
      </w:r>
      <w:r w:rsidR="009E0993">
        <w:br w:type="page"/>
      </w:r>
    </w:p>
    <w:p w:rsidR="00066D6F" w:rsidRDefault="00E11620" w:rsidP="00EF2274">
      <w:r>
        <w:lastRenderedPageBreak/>
        <w:t xml:space="preserve">The role of </w:t>
      </w:r>
      <w:r w:rsidR="00456606">
        <w:t xml:space="preserve">having </w:t>
      </w:r>
      <w:r>
        <w:t xml:space="preserve">regulatory limits for </w:t>
      </w:r>
      <w:r w:rsidRPr="009D200A">
        <w:rPr>
          <w:i/>
        </w:rPr>
        <w:t>L. monocytogenes</w:t>
      </w:r>
      <w:r>
        <w:t xml:space="preserve"> in foods is recognised as an important risk management measure </w:t>
      </w:r>
      <w:r w:rsidR="00456606">
        <w:t>which</w:t>
      </w:r>
      <w:r>
        <w:t xml:space="preserve"> </w:t>
      </w:r>
      <w:r w:rsidR="00456606">
        <w:t>works towards</w:t>
      </w:r>
      <w:r>
        <w:t xml:space="preserve"> </w:t>
      </w:r>
      <w:r>
        <w:rPr>
          <w:rFonts w:cs="Arial"/>
        </w:rPr>
        <w:t xml:space="preserve">reducing exposure to </w:t>
      </w:r>
      <w:r w:rsidRPr="007C69C2">
        <w:rPr>
          <w:rFonts w:cs="Arial"/>
          <w:i/>
        </w:rPr>
        <w:t>L. monocytogenes</w:t>
      </w:r>
      <w:r>
        <w:rPr>
          <w:rFonts w:cs="Arial"/>
        </w:rPr>
        <w:t xml:space="preserve"> and the incidence of listeriosis.</w:t>
      </w:r>
    </w:p>
    <w:p w:rsidR="00066D6F" w:rsidRDefault="00066D6F" w:rsidP="00EF2274"/>
    <w:p w:rsidR="0043226F" w:rsidRDefault="0043226F" w:rsidP="00EF2274">
      <w:r>
        <w:t xml:space="preserve">FSANZ prefers option 1 </w:t>
      </w:r>
      <w:r w:rsidR="00C965C1">
        <w:t xml:space="preserve">(to include microbiological criteria in Standard 1.6.1 for </w:t>
      </w:r>
      <w:r w:rsidR="00C965C1" w:rsidRPr="00CA3BE9">
        <w:rPr>
          <w:i/>
        </w:rPr>
        <w:t>L. monocytogenes</w:t>
      </w:r>
      <w:r w:rsidR="00C965C1">
        <w:t xml:space="preserve"> on the basis of whether the food is ready-to-eat and can or cannot support its growth) </w:t>
      </w:r>
      <w:r>
        <w:t>for the following reasons:</w:t>
      </w:r>
    </w:p>
    <w:p w:rsidR="0043226F" w:rsidRDefault="0043226F" w:rsidP="00EF2274"/>
    <w:p w:rsidR="007267A2" w:rsidRDefault="00800902" w:rsidP="009E0993">
      <w:pPr>
        <w:pStyle w:val="FSBullet1"/>
      </w:pPr>
      <w:r>
        <w:t>It is supported by the</w:t>
      </w:r>
      <w:r w:rsidR="00C965C1">
        <w:t xml:space="preserve"> available</w:t>
      </w:r>
      <w:r>
        <w:t xml:space="preserve"> science </w:t>
      </w:r>
      <w:r w:rsidR="00C965C1">
        <w:t>and is</w:t>
      </w:r>
      <w:r w:rsidR="00CA3BE9">
        <w:t xml:space="preserve"> </w:t>
      </w:r>
      <w:r w:rsidR="009E0993">
        <w:t>risk-</w:t>
      </w:r>
      <w:r>
        <w:t>based</w:t>
      </w:r>
      <w:r w:rsidR="009E0993">
        <w:t>.</w:t>
      </w:r>
    </w:p>
    <w:p w:rsidR="00800902" w:rsidRDefault="007267A2" w:rsidP="009E0993">
      <w:pPr>
        <w:pStyle w:val="FSBullet1"/>
      </w:pPr>
      <w:r>
        <w:t xml:space="preserve">It harmonises with international approaches to applying limits for </w:t>
      </w:r>
      <w:r w:rsidRPr="007267A2">
        <w:rPr>
          <w:i/>
        </w:rPr>
        <w:t>L. monocytogenes</w:t>
      </w:r>
      <w:r w:rsidR="009E0993">
        <w:rPr>
          <w:i/>
        </w:rPr>
        <w:t>.</w:t>
      </w:r>
    </w:p>
    <w:p w:rsidR="00800902" w:rsidRPr="00800902" w:rsidRDefault="00800902" w:rsidP="009E0993">
      <w:pPr>
        <w:pStyle w:val="FSBullet1"/>
      </w:pPr>
      <w:r>
        <w:t xml:space="preserve">It moves from a product-by-product </w:t>
      </w:r>
      <w:r w:rsidR="007267A2">
        <w:t xml:space="preserve">vertical </w:t>
      </w:r>
      <w:r>
        <w:t xml:space="preserve">approach to </w:t>
      </w:r>
      <w:proofErr w:type="gramStart"/>
      <w:r>
        <w:t>a</w:t>
      </w:r>
      <w:r w:rsidR="007267A2">
        <w:t>n</w:t>
      </w:r>
      <w:proofErr w:type="gramEnd"/>
      <w:r w:rsidR="007267A2">
        <w:t xml:space="preserve"> holistic</w:t>
      </w:r>
      <w:r>
        <w:t xml:space="preserve"> </w:t>
      </w:r>
      <w:r w:rsidR="007267A2">
        <w:t xml:space="preserve">approach for the management of </w:t>
      </w:r>
      <w:r w:rsidR="007267A2" w:rsidRPr="007267A2">
        <w:rPr>
          <w:i/>
        </w:rPr>
        <w:t>L. monocytogenes</w:t>
      </w:r>
      <w:r w:rsidR="00E313DA">
        <w:rPr>
          <w:i/>
        </w:rPr>
        <w:t xml:space="preserve">. </w:t>
      </w:r>
      <w:r w:rsidR="00E313DA" w:rsidRPr="00CA3BE9">
        <w:t>Establishing limits across all RTE foods for</w:t>
      </w:r>
      <w:r w:rsidR="00E313DA">
        <w:rPr>
          <w:i/>
        </w:rPr>
        <w:t xml:space="preserve"> </w:t>
      </w:r>
      <w:r w:rsidR="00E313DA" w:rsidRPr="007267A2">
        <w:rPr>
          <w:i/>
        </w:rPr>
        <w:t>L. monocytogenes</w:t>
      </w:r>
      <w:r w:rsidR="00E313DA">
        <w:rPr>
          <w:i/>
        </w:rPr>
        <w:t xml:space="preserve"> </w:t>
      </w:r>
      <w:r w:rsidR="00E313DA">
        <w:t xml:space="preserve">will provide </w:t>
      </w:r>
      <w:r w:rsidR="00CA3BE9">
        <w:t>greater</w:t>
      </w:r>
      <w:r w:rsidR="00E313DA">
        <w:t xml:space="preserve"> certainty to businesses as to when actions (such as a recall) may be required. </w:t>
      </w:r>
    </w:p>
    <w:p w:rsidR="00800902" w:rsidRPr="00800902" w:rsidRDefault="00800902" w:rsidP="009E0993">
      <w:pPr>
        <w:pStyle w:val="FSBullet1"/>
      </w:pPr>
      <w:r>
        <w:t>It removes the current inconsistency between guidance document</w:t>
      </w:r>
      <w:r w:rsidR="007267A2">
        <w:t>s</w:t>
      </w:r>
      <w:r>
        <w:t xml:space="preserve"> (e.g. Recall </w:t>
      </w:r>
      <w:r w:rsidR="007267A2">
        <w:t>Guidelines</w:t>
      </w:r>
      <w:r>
        <w:t>)</w:t>
      </w:r>
      <w:r w:rsidR="007267A2">
        <w:t xml:space="preserve"> and limits in Standard 1.6.1.</w:t>
      </w:r>
    </w:p>
    <w:p w:rsidR="0043226F" w:rsidRDefault="0043226F" w:rsidP="00EF2274"/>
    <w:p w:rsidR="00F10A0B" w:rsidRDefault="00D71F70" w:rsidP="00EF2274">
      <w:r>
        <w:t xml:space="preserve">Consequently, </w:t>
      </w:r>
      <w:r w:rsidR="00E93CEB">
        <w:t xml:space="preserve">FSANZ has decided to prepare a draft variation to Standard 1.6.1 </w:t>
      </w:r>
      <w:r w:rsidR="00066D6F">
        <w:t xml:space="preserve">to include microbiological criteria in Standard 1.6.1 for </w:t>
      </w:r>
      <w:r w:rsidR="00066D6F" w:rsidRPr="00E11620">
        <w:rPr>
          <w:i/>
        </w:rPr>
        <w:t xml:space="preserve">L. monocytogenes </w:t>
      </w:r>
      <w:r w:rsidR="00066D6F">
        <w:t>on the basis of whether the food is ready-to-eat and can or cannot support its growth</w:t>
      </w:r>
      <w:r w:rsidR="00E11620">
        <w:t xml:space="preserve"> (option 1).</w:t>
      </w:r>
    </w:p>
    <w:p w:rsidR="00F10A0B" w:rsidRDefault="00F10A0B" w:rsidP="00EF2274"/>
    <w:p w:rsidR="007C69C2" w:rsidRDefault="00E11620" w:rsidP="00EF2274">
      <w:r>
        <w:t xml:space="preserve">Draft amendments to Standard 1.6.1 have been prepared and are provided at Attachment A. To support this approach a guidance document </w:t>
      </w:r>
      <w:r w:rsidRPr="00E11620">
        <w:rPr>
          <w:i/>
        </w:rPr>
        <w:t>Guide to the application of limits for L. monocytogenes</w:t>
      </w:r>
      <w:r>
        <w:t xml:space="preserve"> has been developed and is provided as SD1. </w:t>
      </w:r>
    </w:p>
    <w:p w:rsidR="00966EE3" w:rsidRPr="00932F14" w:rsidRDefault="005D3F27" w:rsidP="00FB1533">
      <w:pPr>
        <w:pStyle w:val="Heading2"/>
      </w:pPr>
      <w:bookmarkStart w:id="50" w:name="_Toc300933435"/>
      <w:bookmarkStart w:id="51" w:name="_Toc371585216"/>
      <w:r>
        <w:t>2</w:t>
      </w:r>
      <w:r w:rsidR="00FB1533">
        <w:t>.</w:t>
      </w:r>
      <w:r>
        <w:t>4</w:t>
      </w:r>
      <w:r w:rsidR="00B853D2">
        <w:tab/>
        <w:t>Risk c</w:t>
      </w:r>
      <w:r w:rsidR="00966EE3">
        <w:t>ommunication</w:t>
      </w:r>
      <w:bookmarkEnd w:id="47"/>
      <w:bookmarkEnd w:id="50"/>
      <w:bookmarkEnd w:id="51"/>
      <w:r w:rsidR="00966EE3">
        <w:t xml:space="preserve"> </w:t>
      </w:r>
    </w:p>
    <w:p w:rsidR="00F604DE" w:rsidRDefault="00A01ACD" w:rsidP="009D3480">
      <w:pPr>
        <w:pStyle w:val="Heading3"/>
      </w:pPr>
      <w:bookmarkStart w:id="52" w:name="_Toc300933437"/>
      <w:bookmarkStart w:id="53" w:name="_Toc371585217"/>
      <w:bookmarkStart w:id="54" w:name="_Toc286391012"/>
      <w:r>
        <w:t>2</w:t>
      </w:r>
      <w:r w:rsidR="00FB1533">
        <w:t>.</w:t>
      </w:r>
      <w:r>
        <w:t>4</w:t>
      </w:r>
      <w:r w:rsidR="00FB1533">
        <w:t>.1</w:t>
      </w:r>
      <w:r w:rsidR="00F604DE">
        <w:tab/>
        <w:t>Consultation</w:t>
      </w:r>
      <w:bookmarkEnd w:id="52"/>
      <w:bookmarkEnd w:id="53"/>
    </w:p>
    <w:p w:rsidR="005D3F27" w:rsidRDefault="005D3F27" w:rsidP="005D3F27">
      <w:pPr>
        <w:rPr>
          <w:szCs w:val="22"/>
        </w:rPr>
      </w:pPr>
      <w:r w:rsidRPr="0027513D">
        <w:rPr>
          <w:szCs w:val="22"/>
        </w:rPr>
        <w:t xml:space="preserve">Consultation is a key part of FSANZ’s standards development process. </w:t>
      </w:r>
    </w:p>
    <w:p w:rsidR="005D3F27" w:rsidRDefault="005D3F27" w:rsidP="00E62BA3">
      <w:pPr>
        <w:pStyle w:val="FSSubheading"/>
        <w:ind w:left="0" w:firstLine="0"/>
        <w:rPr>
          <w:b w:val="0"/>
          <w:i w:val="0"/>
        </w:rPr>
      </w:pPr>
    </w:p>
    <w:p w:rsidR="00B54F42" w:rsidRPr="00652216" w:rsidRDefault="00B54F42" w:rsidP="00B54F42">
      <w:pPr>
        <w:rPr>
          <w:rFonts w:cs="Arial"/>
          <w:szCs w:val="22"/>
        </w:rPr>
      </w:pPr>
      <w:r w:rsidRPr="00CC3EBD">
        <w:t>The process by which FSANZ considers standard</w:t>
      </w:r>
      <w:r>
        <w:t>s</w:t>
      </w:r>
      <w:r w:rsidRPr="00CC3EBD">
        <w:t xml:space="preserve"> matters is open, accountable, consultative and transparent. Public submissions </w:t>
      </w:r>
      <w:r>
        <w:t>are</w:t>
      </w:r>
      <w:r w:rsidRPr="00CC3EBD">
        <w:t xml:space="preserve"> called to obtain the views of interested parties on the draft variation to the Code. FSANZ place</w:t>
      </w:r>
      <w:r>
        <w:t xml:space="preserve">s all Proposal </w:t>
      </w:r>
      <w:r w:rsidRPr="00CC3EBD">
        <w:t xml:space="preserve">documents and submissions on the FSANZ website. All public comments received </w:t>
      </w:r>
      <w:r>
        <w:t>are</w:t>
      </w:r>
      <w:r w:rsidRPr="00CC3EBD">
        <w:t xml:space="preserve"> reviewed and considered before approval </w:t>
      </w:r>
      <w:r>
        <w:t xml:space="preserve">of the variation to the Code </w:t>
      </w:r>
      <w:r w:rsidRPr="00CC3EBD">
        <w:t xml:space="preserve">by the FSANZ Board. </w:t>
      </w:r>
      <w:r>
        <w:rPr>
          <w:rFonts w:cs="Arial"/>
          <w:szCs w:val="22"/>
          <w:highlight w:val="yellow"/>
        </w:rPr>
        <w:t xml:space="preserve"> </w:t>
      </w:r>
    </w:p>
    <w:p w:rsidR="00B54F42" w:rsidRDefault="00B54F42" w:rsidP="00B54F42">
      <w:pPr>
        <w:pStyle w:val="FSSubheading"/>
        <w:ind w:left="0" w:firstLine="0"/>
        <w:rPr>
          <w:b w:val="0"/>
          <w:i w:val="0"/>
        </w:rPr>
      </w:pPr>
    </w:p>
    <w:p w:rsidR="00B54F42" w:rsidRPr="005D3F27" w:rsidRDefault="00B54F42" w:rsidP="00B54F42">
      <w:pPr>
        <w:rPr>
          <w:szCs w:val="22"/>
        </w:rPr>
      </w:pPr>
      <w:r w:rsidRPr="005D3F27">
        <w:rPr>
          <w:szCs w:val="22"/>
        </w:rPr>
        <w:t xml:space="preserve">FSANZ acknowledges the time taken by individuals and organisations to make submissions on this Proposal. </w:t>
      </w:r>
    </w:p>
    <w:p w:rsidR="00B54F42" w:rsidRPr="005D3F27" w:rsidRDefault="00B54F42" w:rsidP="00B54F42">
      <w:pPr>
        <w:rPr>
          <w:szCs w:val="22"/>
        </w:rPr>
      </w:pPr>
    </w:p>
    <w:p w:rsidR="00B54F42" w:rsidRPr="001126A6" w:rsidRDefault="00B54F42" w:rsidP="00B54F42">
      <w:pPr>
        <w:rPr>
          <w:szCs w:val="22"/>
        </w:rPr>
      </w:pPr>
      <w:r w:rsidRPr="005D3F27">
        <w:rPr>
          <w:szCs w:val="22"/>
        </w:rPr>
        <w:t xml:space="preserve">Every submission on an application or proposal is reviewed by FSANZ staff, </w:t>
      </w:r>
      <w:proofErr w:type="gramStart"/>
      <w:r w:rsidRPr="005D3F27">
        <w:rPr>
          <w:szCs w:val="22"/>
        </w:rPr>
        <w:t>who</w:t>
      </w:r>
      <w:proofErr w:type="gramEnd"/>
      <w:r w:rsidRPr="005D3F27">
        <w:rPr>
          <w:szCs w:val="22"/>
        </w:rPr>
        <w:t xml:space="preserve"> examine the issues identified and prepare a response to those issues. While not all comments may be taken on board during the process, they are valued and all contribute to the rigour of our assessment. </w:t>
      </w:r>
      <w:r>
        <w:rPr>
          <w:szCs w:val="22"/>
        </w:rPr>
        <w:t>Submissions received on the 1</w:t>
      </w:r>
      <w:r w:rsidRPr="001126A6">
        <w:rPr>
          <w:szCs w:val="22"/>
          <w:vertAlign w:val="superscript"/>
        </w:rPr>
        <w:t>st</w:t>
      </w:r>
      <w:r>
        <w:rPr>
          <w:szCs w:val="22"/>
        </w:rPr>
        <w:t xml:space="preserve"> call for submissions report allowed FSANZ to target </w:t>
      </w:r>
      <w:r w:rsidRPr="001126A6">
        <w:t>industry consultation</w:t>
      </w:r>
      <w:r>
        <w:t>s and follow up with industry visits</w:t>
      </w:r>
      <w:r w:rsidRPr="001126A6">
        <w:t xml:space="preserve"> with processed finfish manufa</w:t>
      </w:r>
      <w:r>
        <w:t>cturers and fresh cut producers.</w:t>
      </w:r>
    </w:p>
    <w:p w:rsidR="00B54F42" w:rsidRDefault="00B54F42" w:rsidP="00B54F42">
      <w:pPr>
        <w:rPr>
          <w:szCs w:val="22"/>
        </w:rPr>
      </w:pPr>
    </w:p>
    <w:p w:rsidR="00B54F42" w:rsidRDefault="00B54F42" w:rsidP="00B54F42">
      <w:r w:rsidRPr="005D3F27">
        <w:rPr>
          <w:szCs w:val="22"/>
        </w:rPr>
        <w:t xml:space="preserve">FSANZ also acknowledges the expertise of members of </w:t>
      </w:r>
      <w:r>
        <w:rPr>
          <w:szCs w:val="22"/>
        </w:rPr>
        <w:t>a</w:t>
      </w:r>
      <w:r w:rsidRPr="005D3F27">
        <w:rPr>
          <w:szCs w:val="22"/>
        </w:rPr>
        <w:t xml:space="preserve"> </w:t>
      </w:r>
      <w:r>
        <w:rPr>
          <w:szCs w:val="22"/>
        </w:rPr>
        <w:t>technical advisory group</w:t>
      </w:r>
      <w:r w:rsidRPr="005D3F27">
        <w:rPr>
          <w:szCs w:val="22"/>
        </w:rPr>
        <w:t xml:space="preserve"> </w:t>
      </w:r>
      <w:r>
        <w:t xml:space="preserve">comprised of experts from government, industry (including meat, dairy, smoked finfish and horticulture) and public health laboratories. This group was convened in September 2012 and in September 2013 to provide technical input into the assessment process, particularly in relation to the supporting guidance. </w:t>
      </w:r>
    </w:p>
    <w:p w:rsidR="009E0993" w:rsidRDefault="009E0993" w:rsidP="00B54F42">
      <w:r>
        <w:br w:type="page"/>
      </w:r>
    </w:p>
    <w:p w:rsidR="00B54F42" w:rsidRPr="00B54F42" w:rsidRDefault="00B54F42" w:rsidP="00B54F42">
      <w:pPr>
        <w:pStyle w:val="Heading3"/>
      </w:pPr>
      <w:bookmarkStart w:id="55" w:name="_Toc371585218"/>
      <w:r>
        <w:lastRenderedPageBreak/>
        <w:t>2.4.2</w:t>
      </w:r>
      <w:r>
        <w:tab/>
        <w:t>Communication</w:t>
      </w:r>
      <w:bookmarkEnd w:id="55"/>
    </w:p>
    <w:p w:rsidR="005D3F27" w:rsidRPr="009E0993" w:rsidRDefault="005D3F27" w:rsidP="005D3F27">
      <w:pPr>
        <w:pStyle w:val="Default"/>
        <w:rPr>
          <w:sz w:val="22"/>
          <w:szCs w:val="22"/>
        </w:rPr>
      </w:pPr>
      <w:r>
        <w:rPr>
          <w:sz w:val="22"/>
          <w:szCs w:val="22"/>
        </w:rPr>
        <w:t xml:space="preserve">FSANZ has developed and applied a basic communication strategy to this Proposal. All calls for submissions are notified via the FSANZ Notification Circular, media release, FSANZ’s social media tools and </w:t>
      </w:r>
      <w:r w:rsidRPr="009E0993">
        <w:rPr>
          <w:iCs/>
          <w:sz w:val="22"/>
          <w:szCs w:val="22"/>
        </w:rPr>
        <w:t>Food Standards News</w:t>
      </w:r>
      <w:r w:rsidRPr="009E0993">
        <w:rPr>
          <w:sz w:val="22"/>
          <w:szCs w:val="22"/>
        </w:rPr>
        <w:t xml:space="preserve">. </w:t>
      </w:r>
    </w:p>
    <w:p w:rsidR="008A267A" w:rsidRPr="00427D45" w:rsidRDefault="008A267A" w:rsidP="008A267A"/>
    <w:p w:rsidR="008A267A" w:rsidRDefault="008A267A" w:rsidP="008A267A">
      <w:r>
        <w:t>The key message for vulnerable populations to avoid certain foods—such as cold meats, p</w:t>
      </w:r>
      <w:r w:rsidR="009E0993">
        <w:rPr>
          <w:rFonts w:cs="Arial"/>
        </w:rPr>
        <w:t>â</w:t>
      </w:r>
      <w:r>
        <w:t>t</w:t>
      </w:r>
      <w:r w:rsidRPr="00427D45">
        <w:t>é</w:t>
      </w:r>
      <w:r>
        <w:t>, pre-packaged salads and soft cheeses—because they have a higher risk of</w:t>
      </w:r>
      <w:r w:rsidRPr="00427D45">
        <w:rPr>
          <w:i/>
        </w:rPr>
        <w:t xml:space="preserve"> Listeria</w:t>
      </w:r>
      <w:r>
        <w:t xml:space="preserve"> contamination, remains unchanged. </w:t>
      </w:r>
    </w:p>
    <w:p w:rsidR="008A267A" w:rsidRDefault="008A267A" w:rsidP="008A267A"/>
    <w:p w:rsidR="008A267A" w:rsidRDefault="008A267A" w:rsidP="008A267A">
      <w:r w:rsidRPr="00427D45">
        <w:t>In addition, specific key messages about the Proposal have been prepared to ensure stakeholders clearly understand the proposed changes.</w:t>
      </w:r>
      <w:r>
        <w:t xml:space="preserve"> FSANZ is working with jurisdictions on these key messages to ensure consistency. </w:t>
      </w:r>
    </w:p>
    <w:p w:rsidR="00F604DE" w:rsidRDefault="00A01ACD" w:rsidP="009E0993">
      <w:pPr>
        <w:pStyle w:val="Heading3"/>
      </w:pPr>
      <w:bookmarkStart w:id="56" w:name="_Toc300761912"/>
      <w:bookmarkStart w:id="57" w:name="_Toc300933439"/>
      <w:bookmarkStart w:id="58" w:name="_Toc371585219"/>
      <w:bookmarkStart w:id="59" w:name="_Toc286391014"/>
      <w:bookmarkStart w:id="60" w:name="_Toc175381455"/>
      <w:bookmarkEnd w:id="25"/>
      <w:bookmarkEnd w:id="26"/>
      <w:bookmarkEnd w:id="27"/>
      <w:bookmarkEnd w:id="28"/>
      <w:bookmarkEnd w:id="29"/>
      <w:bookmarkEnd w:id="30"/>
      <w:bookmarkEnd w:id="54"/>
      <w:r>
        <w:t>2</w:t>
      </w:r>
      <w:r w:rsidR="00FB1533">
        <w:t>.</w:t>
      </w:r>
      <w:r>
        <w:t>4</w:t>
      </w:r>
      <w:r w:rsidR="00FB1533">
        <w:t>.</w:t>
      </w:r>
      <w:r>
        <w:t>2</w:t>
      </w:r>
      <w:r w:rsidR="00051ED9">
        <w:tab/>
      </w:r>
      <w:r w:rsidR="00F604DE" w:rsidRPr="00A318EB">
        <w:t>World Trade Organization (WT</w:t>
      </w:r>
      <w:r w:rsidR="00F604DE">
        <w:t>O</w:t>
      </w:r>
      <w:r w:rsidR="00F604DE" w:rsidRPr="00932F14">
        <w:t>)</w:t>
      </w:r>
      <w:bookmarkEnd w:id="56"/>
      <w:bookmarkEnd w:id="57"/>
      <w:bookmarkEnd w:id="58"/>
    </w:p>
    <w:p w:rsidR="00F604DE" w:rsidRPr="00DC6570"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F64CC1" w:rsidRDefault="00F64CC1" w:rsidP="00F604DE">
      <w:pPr>
        <w:tabs>
          <w:tab w:val="left" w:pos="1560"/>
        </w:tabs>
        <w:rPr>
          <w:color w:val="FF0000"/>
        </w:rPr>
      </w:pPr>
    </w:p>
    <w:p w:rsidR="0024582E" w:rsidRDefault="00F604DE" w:rsidP="00F604DE">
      <w:pPr>
        <w:tabs>
          <w:tab w:val="left" w:pos="1560"/>
        </w:tabs>
        <w:rPr>
          <w:rFonts w:cs="Arial"/>
          <w:iCs/>
        </w:rPr>
      </w:pPr>
      <w:r w:rsidRPr="00DC6570">
        <w:rPr>
          <w:rFonts w:cs="Arial"/>
        </w:rPr>
        <w:t xml:space="preserve">There </w:t>
      </w:r>
      <w:r w:rsidRPr="00F64CC1">
        <w:rPr>
          <w:rFonts w:cs="Arial"/>
        </w:rPr>
        <w:t>are</w:t>
      </w:r>
      <w:r w:rsidRPr="00DC6570">
        <w:rPr>
          <w:rFonts w:cs="Arial"/>
        </w:rPr>
        <w:t xml:space="preserve"> relevant international standards and amending the Code to</w:t>
      </w:r>
      <w:r w:rsidR="00F64CC1">
        <w:rPr>
          <w:rFonts w:cs="Arial"/>
        </w:rPr>
        <w:t xml:space="preserve"> specify microbiological limits for </w:t>
      </w:r>
      <w:r w:rsidR="00F64CC1" w:rsidRPr="00F64CC1">
        <w:rPr>
          <w:rFonts w:cs="Arial"/>
          <w:i/>
        </w:rPr>
        <w:t>L. monocytogenes</w:t>
      </w:r>
      <w:r w:rsidR="00F64CC1">
        <w:rPr>
          <w:rFonts w:cs="Arial"/>
        </w:rPr>
        <w:t xml:space="preserve"> in RTE foods on the basis of whether growth can occur or not </w:t>
      </w:r>
      <w:r w:rsidRPr="00DC6570">
        <w:rPr>
          <w:rFonts w:cs="Arial"/>
        </w:rPr>
        <w:t xml:space="preserve">is unlikely to have a significant </w:t>
      </w:r>
      <w:r w:rsidR="00B173DA">
        <w:rPr>
          <w:rFonts w:cs="Arial"/>
        </w:rPr>
        <w:t>effect on international trade as</w:t>
      </w:r>
      <w:r w:rsidR="00F64CC1">
        <w:rPr>
          <w:rFonts w:cs="Arial"/>
        </w:rPr>
        <w:t xml:space="preserve"> it</w:t>
      </w:r>
      <w:r w:rsidR="00B173DA">
        <w:rPr>
          <w:rFonts w:cs="Arial"/>
        </w:rPr>
        <w:t xml:space="preserve"> </w:t>
      </w:r>
      <w:r w:rsidR="00F64CC1">
        <w:rPr>
          <w:rFonts w:cs="Arial"/>
        </w:rPr>
        <w:t xml:space="preserve">is consistent with internationally agreed approaches. </w:t>
      </w:r>
      <w:r w:rsidR="0024582E" w:rsidRPr="0024582E">
        <w:rPr>
          <w:rFonts w:cs="Arial"/>
          <w:iCs/>
        </w:rPr>
        <w:t xml:space="preserve">Therefore, </w:t>
      </w:r>
      <w:r w:rsidR="0024582E">
        <w:rPr>
          <w:rFonts w:cs="Arial"/>
          <w:iCs/>
        </w:rPr>
        <w:t xml:space="preserve">a </w:t>
      </w:r>
      <w:r w:rsidR="0024582E" w:rsidRPr="0024582E">
        <w:rPr>
          <w:rFonts w:cs="Arial"/>
          <w:iCs/>
        </w:rPr>
        <w:t xml:space="preserve">notification to the WTO under </w:t>
      </w:r>
      <w:r w:rsidR="0024582E" w:rsidRPr="0024582E">
        <w:rPr>
          <w:rFonts w:cs="Arial"/>
        </w:rPr>
        <w:t xml:space="preserve">Australia’s </w:t>
      </w:r>
      <w:r w:rsidR="0024582E" w:rsidRPr="00F64CC1">
        <w:rPr>
          <w:rFonts w:cs="Arial"/>
        </w:rPr>
        <w:t>and New Zealand’s</w:t>
      </w:r>
      <w:r w:rsidR="0024582E" w:rsidRPr="00F64CC1">
        <w:rPr>
          <w:rFonts w:cs="Arial"/>
          <w:iCs/>
        </w:rPr>
        <w:t xml:space="preserve"> </w:t>
      </w:r>
      <w:r w:rsidR="0024582E" w:rsidRPr="0024582E">
        <w:rPr>
          <w:rFonts w:cs="Arial"/>
          <w:iCs/>
        </w:rPr>
        <w:t xml:space="preserve">obligations under the WTO </w:t>
      </w:r>
      <w:r w:rsidR="0024582E" w:rsidRPr="00F64CC1">
        <w:rPr>
          <w:rFonts w:cs="Arial"/>
          <w:iCs/>
        </w:rPr>
        <w:t xml:space="preserve">Sanitary and Phytosanitary Measures </w:t>
      </w:r>
      <w:r w:rsidR="0024582E">
        <w:rPr>
          <w:rFonts w:cs="Arial"/>
          <w:iCs/>
        </w:rPr>
        <w:t>Agreement</w:t>
      </w:r>
      <w:r w:rsidR="0024582E" w:rsidRPr="0024582E">
        <w:rPr>
          <w:rFonts w:cs="Arial"/>
          <w:iCs/>
        </w:rPr>
        <w:t xml:space="preserve"> was not considered necessary.</w:t>
      </w:r>
    </w:p>
    <w:p w:rsidR="00F828F6" w:rsidRDefault="00F828F6" w:rsidP="00F828F6">
      <w:pPr>
        <w:pStyle w:val="Heading2"/>
      </w:pPr>
      <w:bookmarkStart w:id="61" w:name="_Toc370223477"/>
      <w:bookmarkStart w:id="62" w:name="_Toc371585220"/>
      <w:r>
        <w:t>2.5</w:t>
      </w:r>
      <w:r>
        <w:tab/>
        <w:t>FSANZ Act assessment requirements</w:t>
      </w:r>
      <w:bookmarkEnd w:id="61"/>
      <w:bookmarkEnd w:id="62"/>
    </w:p>
    <w:p w:rsidR="00F828F6" w:rsidRPr="00914030" w:rsidRDefault="00F828F6" w:rsidP="00F828F6">
      <w:r w:rsidRPr="00914030">
        <w:t xml:space="preserve">When assessing </w:t>
      </w:r>
      <w:r>
        <w:t xml:space="preserve">this </w:t>
      </w:r>
      <w:r w:rsidRPr="00F828F6">
        <w:t xml:space="preserve">Proposal and the subsequent development of a food regulatory measure, </w:t>
      </w:r>
      <w:r w:rsidRPr="00914030">
        <w:t xml:space="preserve">FSANZ has had regard to the </w:t>
      </w:r>
      <w:r w:rsidRPr="00914030" w:rsidDel="00932F14">
        <w:t xml:space="preserve">following </w:t>
      </w:r>
      <w:r w:rsidRPr="00914030">
        <w:t xml:space="preserve">matters in section </w:t>
      </w:r>
      <w:r w:rsidRPr="00F828F6">
        <w:t>59</w:t>
      </w:r>
      <w:r w:rsidRPr="00914030">
        <w:t xml:space="preserve"> of the FSANZ Act:</w:t>
      </w:r>
    </w:p>
    <w:p w:rsidR="00F828F6" w:rsidRPr="00914030" w:rsidRDefault="00F828F6" w:rsidP="00F828F6">
      <w:pPr>
        <w:pStyle w:val="Heading3"/>
      </w:pPr>
      <w:bookmarkStart w:id="63" w:name="_Toc370223478"/>
      <w:bookmarkStart w:id="64" w:name="_Toc371585221"/>
      <w:r>
        <w:t>2.5.1</w:t>
      </w:r>
      <w:r>
        <w:tab/>
        <w:t xml:space="preserve">Section </w:t>
      </w:r>
      <w:r w:rsidRPr="00F828F6">
        <w:rPr>
          <w:color w:val="auto"/>
        </w:rPr>
        <w:t>59</w:t>
      </w:r>
      <w:bookmarkEnd w:id="63"/>
      <w:bookmarkEnd w:id="64"/>
    </w:p>
    <w:p w:rsidR="00F828F6" w:rsidRDefault="00F828F6" w:rsidP="00F828F6">
      <w:pPr>
        <w:pStyle w:val="Heading4"/>
      </w:pPr>
      <w:r>
        <w:t>2.5.1.1</w:t>
      </w:r>
      <w:r>
        <w:tab/>
        <w:t>Cost benefit analysis</w:t>
      </w:r>
    </w:p>
    <w:p w:rsidR="00AA58DD" w:rsidRDefault="00AA58DD" w:rsidP="00AA58DD">
      <w:r>
        <w:rPr>
          <w:rFonts w:eastAsia="Calibri"/>
        </w:rPr>
        <w:t xml:space="preserve">In assessing Proposals such as P1017, </w:t>
      </w:r>
      <w:r w:rsidRPr="00425067">
        <w:rPr>
          <w:rFonts w:eastAsia="Calibri"/>
        </w:rPr>
        <w:t xml:space="preserve">FSANZ </w:t>
      </w:r>
      <w:r>
        <w:rPr>
          <w:rFonts w:eastAsia="Calibri"/>
        </w:rPr>
        <w:t xml:space="preserve">is required </w:t>
      </w:r>
      <w:r w:rsidRPr="00425067">
        <w:rPr>
          <w:rFonts w:eastAsia="Calibri"/>
        </w:rPr>
        <w:t>to have regard to whether the costs that would arise from a proposed measure outweigh the direct or indirect benefits of the proposed measure</w:t>
      </w:r>
      <w:r>
        <w:t>.</w:t>
      </w:r>
    </w:p>
    <w:p w:rsidR="00AA58DD" w:rsidRDefault="00AA58DD" w:rsidP="00AA58DD"/>
    <w:p w:rsidR="00710E10" w:rsidRDefault="00710E10" w:rsidP="00710E10">
      <w:r>
        <w:t>Advice from the Office of Best Practice Regulation (OBPR) (reference 13573) is that a Regulatory Impact Statement (RIS) is not needed for the proposed amendments to Standard 1.6.1 as they are unlikely to result in changes for business.</w:t>
      </w:r>
      <w:r w:rsidR="005D3F27">
        <w:t xml:space="preserve"> This is based on the following considerations:</w:t>
      </w:r>
    </w:p>
    <w:p w:rsidR="00710E10" w:rsidRDefault="00710E10" w:rsidP="00710E10"/>
    <w:p w:rsidR="00710E10" w:rsidRDefault="00710E10" w:rsidP="004C3B71">
      <w:pPr>
        <w:pStyle w:val="FSBullet1"/>
      </w:pPr>
      <w:r w:rsidRPr="00BC256A">
        <w:t xml:space="preserve">All food businesses </w:t>
      </w:r>
      <w:r>
        <w:t>manufacturing</w:t>
      </w:r>
      <w:r w:rsidRPr="00BC256A">
        <w:t xml:space="preserve"> </w:t>
      </w:r>
      <w:r>
        <w:t>r</w:t>
      </w:r>
      <w:r w:rsidRPr="00BC256A">
        <w:t xml:space="preserve">eady-to-eat foods already </w:t>
      </w:r>
      <w:r>
        <w:t>have obligations to pr</w:t>
      </w:r>
      <w:r w:rsidRPr="00BC256A">
        <w:t>oduc</w:t>
      </w:r>
      <w:r>
        <w:t>e</w:t>
      </w:r>
      <w:r w:rsidRPr="00BC256A">
        <w:t xml:space="preserve"> </w:t>
      </w:r>
      <w:r>
        <w:t xml:space="preserve">and sell </w:t>
      </w:r>
      <w:r w:rsidRPr="00BC256A">
        <w:t>safe food</w:t>
      </w:r>
      <w:r w:rsidR="0093138A">
        <w:t>.</w:t>
      </w:r>
      <w:r w:rsidRPr="00BC256A">
        <w:t xml:space="preserve"> </w:t>
      </w:r>
    </w:p>
    <w:p w:rsidR="00710E10" w:rsidRDefault="00710E10" w:rsidP="00710E10"/>
    <w:p w:rsidR="00710E10" w:rsidRDefault="00710E10" w:rsidP="004C3B71">
      <w:pPr>
        <w:pStyle w:val="FSBullet1"/>
      </w:pPr>
      <w:r>
        <w:t>L</w:t>
      </w:r>
      <w:r w:rsidRPr="00BC256A">
        <w:t xml:space="preserve">imits for </w:t>
      </w:r>
      <w:r w:rsidRPr="00A240AC">
        <w:rPr>
          <w:i/>
        </w:rPr>
        <w:t>L.</w:t>
      </w:r>
      <w:r w:rsidRPr="00BC256A">
        <w:t xml:space="preserve"> </w:t>
      </w:r>
      <w:r w:rsidRPr="00BC256A">
        <w:rPr>
          <w:i/>
        </w:rPr>
        <w:t>monocytogenes</w:t>
      </w:r>
      <w:r w:rsidRPr="00BC256A">
        <w:t xml:space="preserve"> in RTE foods </w:t>
      </w:r>
      <w:r>
        <w:t xml:space="preserve">provides clarity primarily to enforcement agencies as to acceptable levels of </w:t>
      </w:r>
      <w:r w:rsidRPr="00BC256A">
        <w:rPr>
          <w:i/>
        </w:rPr>
        <w:t>L. monocytogenes</w:t>
      </w:r>
      <w:r>
        <w:t xml:space="preserve"> in RTE foods for sale, taking into consideration the nature of the product and processing factors. </w:t>
      </w:r>
    </w:p>
    <w:p w:rsidR="00B54F42" w:rsidRDefault="00B54F42" w:rsidP="00A624E9">
      <w:pPr>
        <w:rPr>
          <w:rFonts w:cs="Arial"/>
        </w:rPr>
      </w:pPr>
    </w:p>
    <w:p w:rsidR="009E0993" w:rsidRDefault="009E0993" w:rsidP="00A624E9">
      <w:pPr>
        <w:rPr>
          <w:rFonts w:cs="Arial"/>
        </w:rPr>
      </w:pPr>
      <w:r>
        <w:rPr>
          <w:rFonts w:cs="Arial"/>
        </w:rPr>
        <w:br w:type="page"/>
      </w:r>
    </w:p>
    <w:p w:rsidR="00A624E9" w:rsidRDefault="00A624E9" w:rsidP="00A624E9">
      <w:r>
        <w:rPr>
          <w:rFonts w:cs="Arial"/>
        </w:rPr>
        <w:lastRenderedPageBreak/>
        <w:t xml:space="preserve">Notwithstanding the above </w:t>
      </w:r>
      <w:r w:rsidR="009E0993">
        <w:rPr>
          <w:rFonts w:cs="Arial"/>
        </w:rPr>
        <w:t>OBPR</w:t>
      </w:r>
      <w:r>
        <w:rPr>
          <w:rFonts w:cs="Arial"/>
        </w:rPr>
        <w:t xml:space="preserve"> advice, a </w:t>
      </w:r>
      <w:r w:rsidRPr="006B6FBA">
        <w:rPr>
          <w:rFonts w:eastAsia="Calibri"/>
        </w:rPr>
        <w:t xml:space="preserve">basic cost benefit analysis </w:t>
      </w:r>
      <w:r>
        <w:rPr>
          <w:rFonts w:eastAsia="Calibri"/>
        </w:rPr>
        <w:t>has been undertaken for the purposes of section 59 (see below).</w:t>
      </w:r>
      <w:r>
        <w:rPr>
          <w:rFonts w:cs="Arial"/>
        </w:rPr>
        <w:t xml:space="preserve"> This </w:t>
      </w:r>
      <w:r w:rsidRPr="00400169">
        <w:t>is not intended to be an exhaustive, quantitative dollar analysis of the options</w:t>
      </w:r>
      <w:r>
        <w:t>.</w:t>
      </w:r>
    </w:p>
    <w:p w:rsidR="00A624E9" w:rsidRDefault="00A624E9" w:rsidP="00A624E9"/>
    <w:p w:rsidR="00A624E9" w:rsidRDefault="00A624E9" w:rsidP="00A624E9">
      <w:pPr>
        <w:ind w:left="1418" w:hanging="1418"/>
        <w:rPr>
          <w:rFonts w:cs="Arial"/>
        </w:rPr>
      </w:pPr>
      <w:r w:rsidRPr="009E2396">
        <w:rPr>
          <w:i/>
        </w:rPr>
        <w:t>Consumers:</w:t>
      </w:r>
      <w:r w:rsidRPr="009E2396">
        <w:tab/>
      </w:r>
      <w:r>
        <w:rPr>
          <w:rFonts w:cs="Arial"/>
        </w:rPr>
        <w:t xml:space="preserve">Option 1 will ensure that limits for </w:t>
      </w:r>
      <w:r w:rsidRPr="00FE7719">
        <w:rPr>
          <w:rFonts w:cs="Arial"/>
          <w:i/>
        </w:rPr>
        <w:t>L. monocytogenes</w:t>
      </w:r>
      <w:r>
        <w:rPr>
          <w:rFonts w:cs="Arial"/>
        </w:rPr>
        <w:t xml:space="preserve"> are applied consistently across all RTE foods.  </w:t>
      </w:r>
      <w:r w:rsidRPr="005B6759">
        <w:rPr>
          <w:rFonts w:cs="Arial"/>
        </w:rPr>
        <w:t>Th</w:t>
      </w:r>
      <w:r>
        <w:rPr>
          <w:rFonts w:cs="Arial"/>
        </w:rPr>
        <w:t xml:space="preserve">is benefits consumers as limits for </w:t>
      </w:r>
      <w:r w:rsidRPr="0093138A">
        <w:rPr>
          <w:rFonts w:cs="Arial"/>
          <w:i/>
        </w:rPr>
        <w:t>L. monocytogenes</w:t>
      </w:r>
      <w:r>
        <w:rPr>
          <w:rFonts w:cs="Arial"/>
        </w:rPr>
        <w:t xml:space="preserve"> in Standard 1.6.1 </w:t>
      </w:r>
      <w:r w:rsidR="009E2396">
        <w:rPr>
          <w:rFonts w:cs="Arial"/>
        </w:rPr>
        <w:t xml:space="preserve">can </w:t>
      </w:r>
      <w:r>
        <w:rPr>
          <w:rFonts w:cs="Arial"/>
        </w:rPr>
        <w:t xml:space="preserve">provide an important risk management tool for reducing exposure to </w:t>
      </w:r>
      <w:r w:rsidRPr="007C69C2">
        <w:rPr>
          <w:rFonts w:cs="Arial"/>
          <w:i/>
        </w:rPr>
        <w:t>L. monocytogenes</w:t>
      </w:r>
      <w:r>
        <w:rPr>
          <w:rFonts w:cs="Arial"/>
        </w:rPr>
        <w:t xml:space="preserve"> and the incidence of listeriosis. </w:t>
      </w:r>
    </w:p>
    <w:p w:rsidR="00A624E9" w:rsidRPr="006B3D1B" w:rsidRDefault="00A624E9" w:rsidP="00A624E9">
      <w:pPr>
        <w:ind w:left="1418" w:hanging="1418"/>
        <w:rPr>
          <w:highlight w:val="yellow"/>
        </w:rPr>
      </w:pPr>
    </w:p>
    <w:p w:rsidR="009E2396" w:rsidRDefault="00A624E9" w:rsidP="009E2396">
      <w:pPr>
        <w:ind w:left="1418" w:hanging="1418"/>
      </w:pPr>
      <w:r w:rsidRPr="009E2396">
        <w:rPr>
          <w:i/>
        </w:rPr>
        <w:t>Government:</w:t>
      </w:r>
      <w:r w:rsidRPr="009E2396">
        <w:rPr>
          <w:i/>
        </w:rPr>
        <w:tab/>
      </w:r>
      <w:r w:rsidR="007267A2">
        <w:t>E</w:t>
      </w:r>
      <w:r w:rsidRPr="009E2396">
        <w:t xml:space="preserve">nforcement agencies </w:t>
      </w:r>
      <w:r w:rsidR="009E2396" w:rsidRPr="009E2396">
        <w:t xml:space="preserve">are </w:t>
      </w:r>
      <w:r w:rsidR="007267A2">
        <w:t xml:space="preserve">currently </w:t>
      </w:r>
      <w:r w:rsidR="009E2396" w:rsidRPr="009E2396">
        <w:t>able to</w:t>
      </w:r>
      <w:r w:rsidRPr="009E2396">
        <w:t xml:space="preserve"> refer to the Recall Guidelines when </w:t>
      </w:r>
      <w:r w:rsidRPr="00520C32">
        <w:rPr>
          <w:i/>
        </w:rPr>
        <w:t>L. monocytogenes</w:t>
      </w:r>
      <w:r w:rsidRPr="009E2396">
        <w:t xml:space="preserve"> is detected in foods for which there are no limits currently </w:t>
      </w:r>
      <w:r w:rsidR="009E2396" w:rsidRPr="009E2396">
        <w:t xml:space="preserve">specified </w:t>
      </w:r>
      <w:r w:rsidRPr="009E2396">
        <w:t xml:space="preserve">in Standard 1.6.1. </w:t>
      </w:r>
      <w:r w:rsidR="009E2396" w:rsidRPr="009E2396">
        <w:t>This has led to an inconsistent approach and lack of certainty in enforcement and corrective actions</w:t>
      </w:r>
      <w:r w:rsidR="00800902">
        <w:t xml:space="preserve"> to be</w:t>
      </w:r>
      <w:r w:rsidR="009E2396" w:rsidRPr="009E2396">
        <w:t xml:space="preserve"> applied (e.g. recall). </w:t>
      </w:r>
      <w:r w:rsidR="00520C32">
        <w:t xml:space="preserve">Option 1 provides </w:t>
      </w:r>
      <w:r w:rsidR="00520C32" w:rsidRPr="009E2396">
        <w:t>regulators</w:t>
      </w:r>
      <w:r w:rsidR="00520C32">
        <w:t xml:space="preserve"> and</w:t>
      </w:r>
      <w:r w:rsidR="00520C32" w:rsidRPr="009E2396">
        <w:t xml:space="preserve"> </w:t>
      </w:r>
      <w:r w:rsidR="009E2396" w:rsidRPr="009E2396">
        <w:t xml:space="preserve">industry </w:t>
      </w:r>
      <w:r w:rsidR="00520C32">
        <w:t xml:space="preserve">with a clear approach that can be consistently applied, particularly as </w:t>
      </w:r>
      <w:r w:rsidR="009E2396" w:rsidRPr="009E2396">
        <w:t xml:space="preserve">to corrective actions required when </w:t>
      </w:r>
      <w:r w:rsidR="009E2396" w:rsidRPr="00520C32">
        <w:rPr>
          <w:i/>
        </w:rPr>
        <w:t>L. monocytogenes</w:t>
      </w:r>
      <w:r w:rsidR="009E2396" w:rsidRPr="009E2396">
        <w:t xml:space="preserve"> is detected at low levels</w:t>
      </w:r>
      <w:r w:rsidR="009E2396" w:rsidRPr="009E2396">
        <w:rPr>
          <w:i/>
        </w:rPr>
        <w:t xml:space="preserve"> </w:t>
      </w:r>
      <w:r w:rsidR="009E2396" w:rsidRPr="00520C32">
        <w:t>(e.g. if recall is required)</w:t>
      </w:r>
      <w:r w:rsidR="00520C32">
        <w:t>.</w:t>
      </w:r>
    </w:p>
    <w:p w:rsidR="00A624E9" w:rsidRPr="006B3D1B" w:rsidRDefault="00A624E9" w:rsidP="00A624E9">
      <w:pPr>
        <w:rPr>
          <w:highlight w:val="yellow"/>
        </w:rPr>
      </w:pPr>
    </w:p>
    <w:p w:rsidR="00800902" w:rsidRDefault="00A624E9" w:rsidP="00A624E9">
      <w:pPr>
        <w:ind w:left="1418" w:hanging="1418"/>
        <w:rPr>
          <w:rFonts w:cs="Arial"/>
        </w:rPr>
      </w:pPr>
      <w:r w:rsidRPr="00800902">
        <w:rPr>
          <w:i/>
        </w:rPr>
        <w:t>Industry:</w:t>
      </w:r>
      <w:r w:rsidRPr="00800902">
        <w:tab/>
      </w:r>
      <w:r w:rsidR="00C53E75">
        <w:t xml:space="preserve">As above, </w:t>
      </w:r>
      <w:r w:rsidR="00800902">
        <w:rPr>
          <w:rFonts w:cs="Arial"/>
        </w:rPr>
        <w:t>Option 1 provides</w:t>
      </w:r>
      <w:r w:rsidR="00800902" w:rsidRPr="005B6759">
        <w:rPr>
          <w:rFonts w:cs="Arial"/>
        </w:rPr>
        <w:t xml:space="preserve"> industry </w:t>
      </w:r>
      <w:r w:rsidR="00800902">
        <w:rPr>
          <w:rFonts w:cs="Arial"/>
        </w:rPr>
        <w:t xml:space="preserve">with certainty </w:t>
      </w:r>
      <w:r w:rsidR="00800902" w:rsidRPr="005B6759">
        <w:rPr>
          <w:rFonts w:cs="Arial"/>
        </w:rPr>
        <w:t xml:space="preserve">as to the </w:t>
      </w:r>
      <w:r w:rsidR="00800902">
        <w:rPr>
          <w:rFonts w:cs="Arial"/>
        </w:rPr>
        <w:t xml:space="preserve">level of </w:t>
      </w:r>
      <w:r w:rsidR="00800902" w:rsidRPr="00C53E75">
        <w:rPr>
          <w:rFonts w:cs="Arial"/>
          <w:i/>
        </w:rPr>
        <w:t>L. monocytogenes</w:t>
      </w:r>
      <w:r w:rsidR="00800902">
        <w:rPr>
          <w:rFonts w:cs="Arial"/>
        </w:rPr>
        <w:t xml:space="preserve"> </w:t>
      </w:r>
      <w:r w:rsidR="00800902" w:rsidRPr="005B6759">
        <w:rPr>
          <w:rFonts w:cs="Arial"/>
        </w:rPr>
        <w:t xml:space="preserve">that must not be exceeded </w:t>
      </w:r>
      <w:r w:rsidR="00800902">
        <w:rPr>
          <w:rFonts w:cs="Arial"/>
        </w:rPr>
        <w:t xml:space="preserve">to ensure food is safe </w:t>
      </w:r>
      <w:r w:rsidR="00C53E75">
        <w:rPr>
          <w:rFonts w:cs="Arial"/>
        </w:rPr>
        <w:t xml:space="preserve">and the corrective actions required. It </w:t>
      </w:r>
      <w:r w:rsidR="00C53E75" w:rsidRPr="002B3EEA">
        <w:t>allow</w:t>
      </w:r>
      <w:r w:rsidR="00C53E75">
        <w:t xml:space="preserve">s </w:t>
      </w:r>
      <w:r w:rsidR="00C53E75" w:rsidRPr="002B3EEA">
        <w:t xml:space="preserve">the particular properties of a food </w:t>
      </w:r>
      <w:r w:rsidR="00C53E75">
        <w:t xml:space="preserve">and processing factors to be taken into account, providing industry with flexibility and greater incentive to, for example, reformulate products so they don’t support the growth of </w:t>
      </w:r>
      <w:r w:rsidR="00C53E75" w:rsidRPr="00C53E75">
        <w:rPr>
          <w:i/>
        </w:rPr>
        <w:t>L. monocytogenes</w:t>
      </w:r>
      <w:r w:rsidR="00C53E75">
        <w:t xml:space="preserve">. </w:t>
      </w:r>
    </w:p>
    <w:p w:rsidR="00800902" w:rsidRDefault="00800902" w:rsidP="00A624E9">
      <w:pPr>
        <w:ind w:left="1418" w:hanging="1418"/>
        <w:rPr>
          <w:rFonts w:cs="Arial"/>
        </w:rPr>
      </w:pPr>
    </w:p>
    <w:p w:rsidR="00AE1FE3" w:rsidRDefault="00AE1FE3" w:rsidP="00F828F6">
      <w:r>
        <w:t>The above suggests that the</w:t>
      </w:r>
      <w:r w:rsidRPr="00400169">
        <w:rPr>
          <w:rFonts w:cs="Arial"/>
          <w:szCs w:val="22"/>
        </w:rPr>
        <w:t xml:space="preserve"> potential benefits of approving </w:t>
      </w:r>
      <w:r>
        <w:rPr>
          <w:rFonts w:cs="Arial"/>
          <w:szCs w:val="22"/>
        </w:rPr>
        <w:t>a variation outweigh</w:t>
      </w:r>
      <w:r w:rsidRPr="00400169">
        <w:rPr>
          <w:rFonts w:cs="Arial"/>
          <w:szCs w:val="22"/>
        </w:rPr>
        <w:t xml:space="preserve"> the potential costs.</w:t>
      </w:r>
    </w:p>
    <w:p w:rsidR="00F828F6" w:rsidRDefault="00F828F6" w:rsidP="00F828F6">
      <w:pPr>
        <w:pStyle w:val="Heading4"/>
      </w:pPr>
      <w:r>
        <w:t>2.5.1.2</w:t>
      </w:r>
      <w:r>
        <w:tab/>
        <w:t>Other measures</w:t>
      </w:r>
    </w:p>
    <w:p w:rsidR="00F828F6" w:rsidRDefault="00F828F6" w:rsidP="00F828F6">
      <w:pPr>
        <w:rPr>
          <w:color w:val="FF0000"/>
        </w:rPr>
      </w:pPr>
      <w:r>
        <w:t>There are no</w:t>
      </w:r>
      <w:r w:rsidRPr="007F7BF7">
        <w:t xml:space="preserve"> other measures </w:t>
      </w:r>
      <w:r>
        <w:t xml:space="preserve">(whether available to FSANZ or not) that </w:t>
      </w:r>
      <w:r w:rsidRPr="007F7BF7">
        <w:t>would</w:t>
      </w:r>
      <w:r>
        <w:t xml:space="preserve"> be more cost</w:t>
      </w:r>
      <w:r w:rsidR="00E755D6">
        <w:noBreakHyphen/>
      </w:r>
      <w:r>
        <w:t xml:space="preserve">effective than a food regulatory measure developed or varied as a result of the </w:t>
      </w:r>
      <w:r w:rsidRPr="005D3F27">
        <w:t>Proposal.</w:t>
      </w:r>
    </w:p>
    <w:p w:rsidR="00F828F6" w:rsidRDefault="00F828F6" w:rsidP="00F828F6">
      <w:pPr>
        <w:pStyle w:val="Heading4"/>
      </w:pPr>
      <w:r>
        <w:t>2.5.1.3</w:t>
      </w:r>
      <w:r>
        <w:tab/>
        <w:t>A</w:t>
      </w:r>
      <w:r w:rsidRPr="00914030">
        <w:t>ny relevant New Zealand standards</w:t>
      </w:r>
    </w:p>
    <w:p w:rsidR="00F828F6" w:rsidRDefault="00C3551D" w:rsidP="00F828F6">
      <w:pPr>
        <w:rPr>
          <w:lang w:bidi="ar-SA"/>
        </w:rPr>
      </w:pPr>
      <w:r>
        <w:rPr>
          <w:lang w:bidi="ar-SA"/>
        </w:rPr>
        <w:t>Standard 1.6.1 establishes microbiological limits for food</w:t>
      </w:r>
      <w:r w:rsidR="005D3F27">
        <w:rPr>
          <w:lang w:bidi="ar-SA"/>
        </w:rPr>
        <w:t xml:space="preserve"> for sale</w:t>
      </w:r>
      <w:r>
        <w:rPr>
          <w:lang w:bidi="ar-SA"/>
        </w:rPr>
        <w:t xml:space="preserve"> in Australia and New Zealand.</w:t>
      </w:r>
    </w:p>
    <w:p w:rsidR="00F828F6" w:rsidRPr="00914030" w:rsidRDefault="00F828F6" w:rsidP="00F828F6">
      <w:pPr>
        <w:pStyle w:val="Heading4"/>
      </w:pPr>
      <w:r>
        <w:t>2.5.1.4</w:t>
      </w:r>
      <w:r>
        <w:tab/>
        <w:t>Any other relevant matters</w:t>
      </w:r>
    </w:p>
    <w:p w:rsidR="00F828F6" w:rsidRDefault="00E755D6" w:rsidP="00F828F6">
      <w:pPr>
        <w:rPr>
          <w:lang w:bidi="ar-SA"/>
        </w:rPr>
      </w:pPr>
      <w:r>
        <w:rPr>
          <w:lang w:bidi="ar-SA"/>
        </w:rPr>
        <w:t>See below</w:t>
      </w:r>
      <w:r w:rsidR="00F828F6">
        <w:rPr>
          <w:lang w:bidi="ar-SA"/>
        </w:rPr>
        <w:t>.</w:t>
      </w:r>
    </w:p>
    <w:p w:rsidR="00F828F6" w:rsidRPr="00914030" w:rsidRDefault="00F828F6" w:rsidP="00F828F6">
      <w:pPr>
        <w:pStyle w:val="Heading3"/>
      </w:pPr>
      <w:bookmarkStart w:id="65" w:name="_Toc370223479"/>
      <w:bookmarkStart w:id="66" w:name="_Toc371585222"/>
      <w:r>
        <w:t>2.5.2</w:t>
      </w:r>
      <w:r w:rsidRPr="00914030">
        <w:t>.</w:t>
      </w:r>
      <w:r w:rsidRPr="00914030">
        <w:tab/>
      </w:r>
      <w:r>
        <w:t>Subsection 18(1)</w:t>
      </w:r>
      <w:bookmarkEnd w:id="65"/>
      <w:bookmarkEnd w:id="66"/>
      <w:r>
        <w:t xml:space="preserve"> </w:t>
      </w:r>
    </w:p>
    <w:p w:rsidR="00F828F6" w:rsidRPr="00914030" w:rsidRDefault="00F828F6" w:rsidP="00F828F6">
      <w:r w:rsidRPr="00914030">
        <w:rPr>
          <w:rFonts w:cs="Arial"/>
        </w:rPr>
        <w:t xml:space="preserve">FSANZ has </w:t>
      </w:r>
      <w:r w:rsidRPr="00914030">
        <w:t xml:space="preserve">considered the three objectives in subsection 18(1) of the </w:t>
      </w:r>
      <w:r>
        <w:t>FSANZ Act during the assessment</w:t>
      </w:r>
      <w:r w:rsidR="00E755D6">
        <w:t xml:space="preserve"> and in deciding to prepare a draft variation</w:t>
      </w:r>
      <w:r>
        <w:t>.</w:t>
      </w:r>
    </w:p>
    <w:p w:rsidR="00F828F6" w:rsidRPr="00914030" w:rsidRDefault="00F828F6" w:rsidP="00F828F6">
      <w:pPr>
        <w:pStyle w:val="Heading4"/>
        <w:rPr>
          <w:lang w:eastAsia="en-AU"/>
        </w:rPr>
      </w:pPr>
      <w:r>
        <w:rPr>
          <w:lang w:eastAsia="en-AU"/>
        </w:rPr>
        <w:t>2.5.2</w:t>
      </w:r>
      <w:r w:rsidRPr="00914030">
        <w:rPr>
          <w:lang w:eastAsia="en-AU"/>
        </w:rPr>
        <w:t>.1</w:t>
      </w:r>
      <w:r w:rsidRPr="00914030">
        <w:rPr>
          <w:lang w:eastAsia="en-AU"/>
        </w:rPr>
        <w:tab/>
        <w:t>Protection of public health and safety</w:t>
      </w:r>
    </w:p>
    <w:p w:rsidR="00B54F42" w:rsidRDefault="00E755D6" w:rsidP="00C3551D">
      <w:r>
        <w:t xml:space="preserve">FSANZ considers that preparation of the draft variation is consistent with this objective. </w:t>
      </w:r>
      <w:r w:rsidR="00C3551D" w:rsidRPr="002B3EEA">
        <w:t xml:space="preserve">Infection by </w:t>
      </w:r>
      <w:r w:rsidR="00C3551D" w:rsidRPr="002B3EEA">
        <w:rPr>
          <w:i/>
        </w:rPr>
        <w:t>L. monocytogenes</w:t>
      </w:r>
      <w:r w:rsidR="00C3551D" w:rsidRPr="002B3EEA">
        <w:t xml:space="preserve"> can be very serious for people whose immune systems are weakened by disease or illness as well as pregnant women and their unborn children, new-born babies and the elderly. </w:t>
      </w:r>
    </w:p>
    <w:p w:rsidR="009E0993" w:rsidRDefault="009E0993" w:rsidP="00C3551D">
      <w:r>
        <w:br w:type="page"/>
      </w:r>
    </w:p>
    <w:p w:rsidR="00C3551D" w:rsidRDefault="00C3551D" w:rsidP="00C3551D">
      <w:r w:rsidRPr="002B3EEA">
        <w:lastRenderedPageBreak/>
        <w:t>Establishing app</w:t>
      </w:r>
      <w:r w:rsidR="007C69C2">
        <w:t>ropriate microbiological limits</w:t>
      </w:r>
      <w:r w:rsidRPr="002B3EEA">
        <w:t xml:space="preserve"> for foods is an important </w:t>
      </w:r>
      <w:r w:rsidR="007C69C2">
        <w:t>element</w:t>
      </w:r>
      <w:r w:rsidRPr="002B3EEA">
        <w:t xml:space="preserve"> within a risk management framework for managing </w:t>
      </w:r>
      <w:r w:rsidRPr="002B3EEA">
        <w:rPr>
          <w:i/>
        </w:rPr>
        <w:t>L</w:t>
      </w:r>
      <w:r w:rsidRPr="002B3EEA">
        <w:t>.</w:t>
      </w:r>
      <w:r w:rsidRPr="002B3EEA">
        <w:rPr>
          <w:i/>
        </w:rPr>
        <w:t xml:space="preserve"> monocytogenes </w:t>
      </w:r>
      <w:r w:rsidRPr="002B3EEA">
        <w:t>in the food supply</w:t>
      </w:r>
      <w:r w:rsidRPr="002B3EEA">
        <w:rPr>
          <w:i/>
        </w:rPr>
        <w:t>.</w:t>
      </w:r>
      <w:r w:rsidRPr="002B3EEA">
        <w:t xml:space="preserve"> </w:t>
      </w:r>
    </w:p>
    <w:p w:rsidR="00F828F6" w:rsidRPr="00914030" w:rsidRDefault="00F828F6" w:rsidP="00F828F6">
      <w:pPr>
        <w:pStyle w:val="Heading4"/>
        <w:rPr>
          <w:lang w:eastAsia="en-AU"/>
        </w:rPr>
      </w:pPr>
      <w:r>
        <w:rPr>
          <w:lang w:eastAsia="en-AU"/>
        </w:rPr>
        <w:t>2.5.2.</w:t>
      </w:r>
      <w:r w:rsidRPr="00914030">
        <w:rPr>
          <w:lang w:eastAsia="en-AU"/>
        </w:rPr>
        <w:t>2</w:t>
      </w:r>
      <w:r w:rsidRPr="00914030">
        <w:rPr>
          <w:lang w:eastAsia="en-AU"/>
        </w:rPr>
        <w:tab/>
        <w:t>The provision of adequate information relating to food to enable consumers to make informed choices</w:t>
      </w:r>
    </w:p>
    <w:p w:rsidR="00214021" w:rsidRDefault="00214021" w:rsidP="00C3551D">
      <w:r>
        <w:t xml:space="preserve">The provision of adequate information relating to food is not directly relevant to the draft variation to Standard 1.6.1. </w:t>
      </w:r>
    </w:p>
    <w:p w:rsidR="00214021" w:rsidRDefault="00214021" w:rsidP="00C3551D"/>
    <w:p w:rsidR="00C3551D" w:rsidRPr="00A2589A" w:rsidRDefault="00214021" w:rsidP="00C3551D">
      <w:pPr>
        <w:rPr>
          <w:lang w:eastAsia="en-AU" w:bidi="ar-SA"/>
        </w:rPr>
      </w:pPr>
      <w:r>
        <w:t>However, c</w:t>
      </w:r>
      <w:r w:rsidR="00C3551D" w:rsidRPr="002B3EEA">
        <w:t xml:space="preserve">onsumer education and advice is also an important component of a risk management framework for </w:t>
      </w:r>
      <w:r w:rsidR="00C3551D" w:rsidRPr="002B3EEA">
        <w:rPr>
          <w:i/>
        </w:rPr>
        <w:t>L. monocytogenes</w:t>
      </w:r>
      <w:r w:rsidR="00C3551D" w:rsidRPr="002B3EEA">
        <w:t>. FSANZ has developed consumer advice which it provides electronically via the FSANZ website as well as publishing and distributing brochures</w:t>
      </w:r>
      <w:r w:rsidR="00C3551D">
        <w:t xml:space="preserve"> such as </w:t>
      </w:r>
      <w:r w:rsidR="00C3551D">
        <w:rPr>
          <w:lang w:eastAsia="en-AU" w:bidi="ar-SA"/>
        </w:rPr>
        <w:t>‘Listeria and food advice for people at risk’</w:t>
      </w:r>
      <w:r w:rsidR="00C3551D" w:rsidRPr="002B3EEA">
        <w:t xml:space="preserve">. </w:t>
      </w:r>
      <w:r w:rsidR="00C3551D">
        <w:t xml:space="preserve">The amendment of limits for </w:t>
      </w:r>
      <w:r w:rsidR="00C3551D" w:rsidRPr="00713C58">
        <w:rPr>
          <w:i/>
        </w:rPr>
        <w:t>L. monocytogenes</w:t>
      </w:r>
      <w:r w:rsidR="00C3551D">
        <w:t xml:space="preserve"> in Standard 1.6.1 does not impact consumer messages in relation to Listeria</w:t>
      </w:r>
      <w:r w:rsidR="00E755D6">
        <w:t>. H</w:t>
      </w:r>
      <w:r w:rsidR="00C3551D">
        <w:t>owever</w:t>
      </w:r>
      <w:r w:rsidR="00E755D6">
        <w:t>,</w:t>
      </w:r>
      <w:r w:rsidR="00C3551D">
        <w:t xml:space="preserve"> this assessment process </w:t>
      </w:r>
      <w:r w:rsidR="00A240AC">
        <w:t>has identified</w:t>
      </w:r>
      <w:r w:rsidR="00C3551D">
        <w:t xml:space="preserve"> an opportunity to review and update existing advice. FSANZ will progress this in </w:t>
      </w:r>
      <w:r w:rsidR="00C3551D">
        <w:rPr>
          <w:lang w:eastAsia="en-AU" w:bidi="ar-SA"/>
        </w:rPr>
        <w:t xml:space="preserve">collaboration with state and territory jurisdictions. </w:t>
      </w:r>
    </w:p>
    <w:p w:rsidR="00F828F6" w:rsidRPr="00914030" w:rsidRDefault="00F828F6" w:rsidP="00F828F6">
      <w:pPr>
        <w:pStyle w:val="Heading4"/>
        <w:rPr>
          <w:lang w:eastAsia="en-AU"/>
        </w:rPr>
      </w:pPr>
      <w:r>
        <w:rPr>
          <w:lang w:eastAsia="en-AU"/>
        </w:rPr>
        <w:t>2.5.2.</w:t>
      </w:r>
      <w:r w:rsidRPr="00914030">
        <w:rPr>
          <w:lang w:eastAsia="en-AU"/>
        </w:rPr>
        <w:t>3</w:t>
      </w:r>
      <w:r w:rsidRPr="00914030">
        <w:rPr>
          <w:lang w:eastAsia="en-AU"/>
        </w:rPr>
        <w:tab/>
        <w:t>The prevention of misleading or deceptive conduct</w:t>
      </w:r>
    </w:p>
    <w:p w:rsidR="0059298E" w:rsidRPr="006A34CD" w:rsidRDefault="0059298E" w:rsidP="0059298E">
      <w:r w:rsidRPr="006A34CD">
        <w:t>No issues were identified.</w:t>
      </w:r>
    </w:p>
    <w:p w:rsidR="00F828F6" w:rsidRPr="00914030" w:rsidRDefault="00F828F6" w:rsidP="00F828F6">
      <w:pPr>
        <w:pStyle w:val="Heading3"/>
      </w:pPr>
      <w:bookmarkStart w:id="67" w:name="_Toc370223480"/>
      <w:bookmarkStart w:id="68" w:name="_Toc371585223"/>
      <w:r>
        <w:t>2.5.3</w:t>
      </w:r>
      <w:r w:rsidRPr="00914030">
        <w:tab/>
        <w:t>Subsection 18(2) considerations</w:t>
      </w:r>
      <w:bookmarkEnd w:id="67"/>
      <w:bookmarkEnd w:id="68"/>
    </w:p>
    <w:p w:rsidR="00F828F6" w:rsidRPr="00914030" w:rsidRDefault="00F828F6" w:rsidP="00F828F6">
      <w:pPr>
        <w:rPr>
          <w:rFonts w:cs="Arial"/>
        </w:rPr>
      </w:pPr>
      <w:r w:rsidRPr="00914030">
        <w:rPr>
          <w:rFonts w:cs="Arial"/>
        </w:rPr>
        <w:t>FSANZ has also had regard to:</w:t>
      </w:r>
    </w:p>
    <w:p w:rsidR="00F828F6" w:rsidRPr="00914030" w:rsidRDefault="00F828F6" w:rsidP="00F828F6">
      <w:pPr>
        <w:rPr>
          <w:rFonts w:cs="Arial"/>
        </w:rPr>
      </w:pPr>
    </w:p>
    <w:p w:rsidR="00F828F6" w:rsidRPr="008828D9" w:rsidRDefault="00F828F6" w:rsidP="00F828F6">
      <w:pPr>
        <w:pStyle w:val="FSBullet1"/>
        <w:rPr>
          <w:b/>
        </w:rPr>
      </w:pPr>
      <w:r w:rsidRPr="008828D9">
        <w:rPr>
          <w:b/>
        </w:rPr>
        <w:t>the need for standards to be based on risk analysis using the best available scientific evidence</w:t>
      </w:r>
    </w:p>
    <w:p w:rsidR="00F828F6" w:rsidRDefault="00F828F6" w:rsidP="00F828F6">
      <w:pPr>
        <w:rPr>
          <w:lang w:bidi="ar-SA"/>
        </w:rPr>
      </w:pPr>
    </w:p>
    <w:p w:rsidR="00C3551D" w:rsidRDefault="00C3551D" w:rsidP="00C3551D">
      <w:pPr>
        <w:rPr>
          <w:lang w:bidi="ar-SA"/>
        </w:rPr>
      </w:pPr>
      <w:r>
        <w:rPr>
          <w:lang w:bidi="ar-SA"/>
        </w:rPr>
        <w:t>Several quantitative risk assessments have been undertaken internationally that have assessed:</w:t>
      </w:r>
    </w:p>
    <w:p w:rsidR="00C3551D" w:rsidRDefault="00C3551D" w:rsidP="00C3551D">
      <w:pPr>
        <w:rPr>
          <w:lang w:bidi="ar-SA"/>
        </w:rPr>
      </w:pPr>
    </w:p>
    <w:p w:rsidR="00C3551D" w:rsidRDefault="00C3551D" w:rsidP="004C3B71">
      <w:pPr>
        <w:pStyle w:val="FSBullet1"/>
      </w:pPr>
      <w:r>
        <w:t>how different factors interact to affect the risk of acquiring listeriosis</w:t>
      </w:r>
    </w:p>
    <w:p w:rsidR="00C3551D" w:rsidRDefault="00C3551D" w:rsidP="004C3B71">
      <w:pPr>
        <w:pStyle w:val="FSBullet1"/>
      </w:pPr>
      <w:r>
        <w:t xml:space="preserve">the association between the growth of </w:t>
      </w:r>
      <w:r w:rsidRPr="00A240AC">
        <w:rPr>
          <w:i/>
        </w:rPr>
        <w:t>L. monocytogenes</w:t>
      </w:r>
      <w:r>
        <w:t xml:space="preserve"> and subsequent risk of listeriosis</w:t>
      </w:r>
    </w:p>
    <w:p w:rsidR="00C3551D" w:rsidRDefault="00C3551D" w:rsidP="004C3B71">
      <w:pPr>
        <w:pStyle w:val="FSBullet1"/>
      </w:pPr>
      <w:proofErr w:type="gramStart"/>
      <w:r>
        <w:t>the</w:t>
      </w:r>
      <w:proofErr w:type="gramEnd"/>
      <w:r>
        <w:t xml:space="preserve"> association between standards for </w:t>
      </w:r>
      <w:r w:rsidRPr="00A240AC">
        <w:rPr>
          <w:i/>
        </w:rPr>
        <w:t>L. monocytogenes</w:t>
      </w:r>
      <w:r>
        <w:t xml:space="preserve"> in foods and listeriosis cases.</w:t>
      </w:r>
    </w:p>
    <w:p w:rsidR="00C3551D" w:rsidRDefault="00C3551D" w:rsidP="00C3551D">
      <w:pPr>
        <w:rPr>
          <w:lang w:bidi="ar-SA"/>
        </w:rPr>
      </w:pPr>
    </w:p>
    <w:p w:rsidR="00C3551D" w:rsidRDefault="00C3551D" w:rsidP="00C3551D">
      <w:pPr>
        <w:rPr>
          <w:lang w:bidi="ar-SA"/>
        </w:rPr>
      </w:pPr>
      <w:r>
        <w:rPr>
          <w:lang w:bidi="ar-SA"/>
        </w:rPr>
        <w:t>FSANZ has had regard to this risk assessment work in assessing P1017</w:t>
      </w:r>
      <w:r w:rsidR="00E755D6">
        <w:rPr>
          <w:lang w:bidi="ar-SA"/>
        </w:rPr>
        <w:t xml:space="preserve"> and is satisfied that it reflects the best available scientific evidence</w:t>
      </w:r>
      <w:r>
        <w:rPr>
          <w:lang w:bidi="ar-SA"/>
        </w:rPr>
        <w:t>.</w:t>
      </w:r>
    </w:p>
    <w:p w:rsidR="00F828F6" w:rsidRPr="008828D9" w:rsidRDefault="00F828F6" w:rsidP="00F828F6">
      <w:pPr>
        <w:rPr>
          <w:lang w:bidi="ar-SA"/>
        </w:rPr>
      </w:pPr>
    </w:p>
    <w:p w:rsidR="00F828F6" w:rsidRPr="008828D9" w:rsidRDefault="00F828F6" w:rsidP="00F828F6">
      <w:pPr>
        <w:pStyle w:val="FSBullet1"/>
        <w:rPr>
          <w:b/>
        </w:rPr>
      </w:pPr>
      <w:r w:rsidRPr="008828D9">
        <w:rPr>
          <w:b/>
        </w:rPr>
        <w:t>the promotion of consistency between domestic and international food standards</w:t>
      </w:r>
    </w:p>
    <w:p w:rsidR="00F828F6" w:rsidRDefault="00F828F6" w:rsidP="00F828F6">
      <w:pPr>
        <w:rPr>
          <w:lang w:bidi="ar-SA"/>
        </w:rPr>
      </w:pPr>
    </w:p>
    <w:p w:rsidR="00C3551D" w:rsidRDefault="00C3551D" w:rsidP="00C3551D">
      <w:pPr>
        <w:rPr>
          <w:lang w:bidi="ar-SA"/>
        </w:rPr>
      </w:pPr>
      <w:r>
        <w:rPr>
          <w:lang w:bidi="ar-SA"/>
        </w:rPr>
        <w:t xml:space="preserve">The preparation of a draft variation to Standard 1.6.1 that established limits for </w:t>
      </w:r>
      <w:r w:rsidRPr="008B00BF">
        <w:rPr>
          <w:i/>
          <w:lang w:bidi="ar-SA"/>
        </w:rPr>
        <w:t>L. monocytogenes</w:t>
      </w:r>
      <w:r>
        <w:rPr>
          <w:lang w:bidi="ar-SA"/>
        </w:rPr>
        <w:t xml:space="preserve"> in RTE foods on the basis of whether growth can occur  is in line with the approach agreed internationally (through Codex).</w:t>
      </w:r>
    </w:p>
    <w:p w:rsidR="00F828F6" w:rsidRPr="008828D9" w:rsidRDefault="00F828F6" w:rsidP="00F828F6">
      <w:pPr>
        <w:rPr>
          <w:lang w:bidi="ar-SA"/>
        </w:rPr>
      </w:pPr>
    </w:p>
    <w:p w:rsidR="00F828F6" w:rsidRPr="008828D9" w:rsidRDefault="00F828F6" w:rsidP="00F828F6">
      <w:pPr>
        <w:pStyle w:val="FSBullet1"/>
        <w:rPr>
          <w:b/>
        </w:rPr>
      </w:pPr>
      <w:r w:rsidRPr="008828D9">
        <w:rPr>
          <w:b/>
        </w:rPr>
        <w:t>the desirability of an efficient and internationally competitive food industry</w:t>
      </w:r>
    </w:p>
    <w:p w:rsidR="00F828F6" w:rsidRDefault="00F828F6" w:rsidP="00F828F6">
      <w:pPr>
        <w:rPr>
          <w:lang w:bidi="ar-SA"/>
        </w:rPr>
      </w:pPr>
    </w:p>
    <w:p w:rsidR="00C3551D" w:rsidRPr="002B3EEA" w:rsidRDefault="00C3551D" w:rsidP="00C3551D">
      <w:pPr>
        <w:rPr>
          <w:lang w:bidi="ar-SA"/>
        </w:rPr>
      </w:pPr>
      <w:r w:rsidRPr="002B3EEA">
        <w:rPr>
          <w:lang w:bidi="ar-SA"/>
        </w:rPr>
        <w:t xml:space="preserve">Aligning microbiological criteria with an internationally agreed approach is supportive of an efficient and internationally competitive food industry. </w:t>
      </w:r>
    </w:p>
    <w:p w:rsidR="00F828F6" w:rsidRPr="008828D9" w:rsidRDefault="00F828F6" w:rsidP="00F828F6">
      <w:pPr>
        <w:rPr>
          <w:lang w:bidi="ar-SA"/>
        </w:rPr>
      </w:pPr>
    </w:p>
    <w:p w:rsidR="009E0993" w:rsidRDefault="009E0993" w:rsidP="00F828F6">
      <w:pPr>
        <w:pStyle w:val="FSBullet1"/>
        <w:rPr>
          <w:b/>
        </w:rPr>
      </w:pPr>
      <w:r>
        <w:rPr>
          <w:b/>
        </w:rPr>
        <w:br w:type="page"/>
      </w:r>
    </w:p>
    <w:p w:rsidR="00F828F6" w:rsidRPr="008828D9" w:rsidRDefault="00F828F6" w:rsidP="00F828F6">
      <w:pPr>
        <w:pStyle w:val="FSBullet1"/>
        <w:rPr>
          <w:b/>
        </w:rPr>
      </w:pPr>
      <w:r w:rsidRPr="008828D9">
        <w:rPr>
          <w:b/>
        </w:rPr>
        <w:lastRenderedPageBreak/>
        <w:t>the promotion of fair trading in food</w:t>
      </w:r>
    </w:p>
    <w:p w:rsidR="00F828F6" w:rsidRDefault="00F828F6" w:rsidP="00F828F6">
      <w:pPr>
        <w:rPr>
          <w:lang w:bidi="ar-SA"/>
        </w:rPr>
      </w:pPr>
    </w:p>
    <w:p w:rsidR="00E755D6" w:rsidRPr="002B3EEA" w:rsidRDefault="00AC1004" w:rsidP="00C3551D">
      <w:pPr>
        <w:rPr>
          <w:lang w:bidi="ar-SA"/>
        </w:rPr>
      </w:pPr>
      <w:r>
        <w:rPr>
          <w:lang w:bidi="ar-SA"/>
        </w:rPr>
        <w:t>No issues were identified.</w:t>
      </w:r>
    </w:p>
    <w:p w:rsidR="00F828F6" w:rsidRPr="008828D9" w:rsidRDefault="00F828F6" w:rsidP="00F828F6">
      <w:pPr>
        <w:rPr>
          <w:lang w:bidi="ar-SA"/>
        </w:rPr>
      </w:pPr>
    </w:p>
    <w:p w:rsidR="00F828F6" w:rsidRPr="008828D9" w:rsidRDefault="00F828F6" w:rsidP="00F828F6">
      <w:pPr>
        <w:pStyle w:val="FSBullet1"/>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9"/>
      </w:r>
      <w:r w:rsidRPr="008828D9">
        <w:rPr>
          <w:b/>
        </w:rPr>
        <w:t>.</w:t>
      </w:r>
    </w:p>
    <w:p w:rsidR="00F828F6" w:rsidRDefault="00F828F6" w:rsidP="00F828F6">
      <w:pPr>
        <w:rPr>
          <w:lang w:bidi="ar-SA"/>
        </w:rPr>
      </w:pPr>
    </w:p>
    <w:p w:rsidR="00C3551D" w:rsidRPr="002B3EEA" w:rsidRDefault="00C3551D" w:rsidP="00C3551D">
      <w:r w:rsidRPr="002B3EEA">
        <w:t>There are no written policy guidelines relevant to the assessment of this Proposal.</w:t>
      </w:r>
    </w:p>
    <w:p w:rsidR="00D14405" w:rsidRDefault="00D14405" w:rsidP="00F604DE">
      <w:pPr>
        <w:tabs>
          <w:tab w:val="left" w:pos="1560"/>
        </w:tabs>
        <w:rPr>
          <w:rFonts w:cs="Arial"/>
          <w:color w:val="FF0000"/>
        </w:rPr>
      </w:pPr>
    </w:p>
    <w:p w:rsidR="005F7342" w:rsidRPr="00932F14" w:rsidRDefault="00F828F6" w:rsidP="00E203C2">
      <w:pPr>
        <w:pStyle w:val="Heading1"/>
      </w:pPr>
      <w:bookmarkStart w:id="69" w:name="_Toc300933445"/>
      <w:bookmarkStart w:id="70" w:name="_Toc371585224"/>
      <w:r>
        <w:t>3</w:t>
      </w:r>
      <w:r w:rsidR="00F604DE">
        <w:t>.</w:t>
      </w:r>
      <w:r w:rsidR="00F604DE">
        <w:tab/>
      </w:r>
      <w:bookmarkEnd w:id="59"/>
      <w:bookmarkEnd w:id="60"/>
      <w:bookmarkEnd w:id="69"/>
      <w:r w:rsidR="00D14405">
        <w:t xml:space="preserve">Draft </w:t>
      </w:r>
      <w:r w:rsidR="00D14405" w:rsidRPr="00066D6F">
        <w:t>variation</w:t>
      </w:r>
      <w:bookmarkEnd w:id="70"/>
    </w:p>
    <w:p w:rsidR="00E93CEB" w:rsidRDefault="00A12B44" w:rsidP="00E93CEB">
      <w:r>
        <w:t xml:space="preserve">The draft </w:t>
      </w:r>
      <w:r w:rsidR="000D295F" w:rsidRPr="00E571FC">
        <w:t>variation</w:t>
      </w:r>
      <w:r>
        <w:t xml:space="preserve"> </w:t>
      </w:r>
      <w:r w:rsidR="00E571FC">
        <w:t xml:space="preserve">is </w:t>
      </w:r>
      <w:r>
        <w:t xml:space="preserve">at </w:t>
      </w:r>
      <w:r w:rsidRPr="007C22CB">
        <w:t xml:space="preserve">Attachment A. </w:t>
      </w:r>
      <w:r w:rsidR="0071499C" w:rsidRPr="00214021">
        <w:t xml:space="preserve">The </w:t>
      </w:r>
      <w:r w:rsidR="00E93CEB" w:rsidRPr="00214021">
        <w:t xml:space="preserve">variation </w:t>
      </w:r>
      <w:r w:rsidR="00E93CEB">
        <w:t>is intended to take</w:t>
      </w:r>
      <w:r w:rsidR="00E93CEB" w:rsidRPr="00D26814">
        <w:t xml:space="preserve"> effect on</w:t>
      </w:r>
      <w:r w:rsidR="00E93CEB">
        <w:t xml:space="preserve"> </w:t>
      </w:r>
      <w:r w:rsidR="0071499C">
        <w:t>gazettal</w:t>
      </w:r>
      <w:r w:rsidR="00214021">
        <w:t xml:space="preserve"> and stock in trade provisions under subclause 1(2) of Standard 1.1.1 will not apply. </w:t>
      </w:r>
    </w:p>
    <w:p w:rsidR="00E93CEB" w:rsidRDefault="00E93CEB" w:rsidP="00E93CEB"/>
    <w:p w:rsidR="00924C80" w:rsidRDefault="00E93CEB" w:rsidP="002432EE">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bookmarkStart w:id="71" w:name="_Toc11735643"/>
      <w:bookmarkStart w:id="72" w:name="_Toc29883130"/>
      <w:bookmarkStart w:id="73" w:name="_Toc41906817"/>
      <w:bookmarkStart w:id="74" w:name="_Toc41907564"/>
      <w:bookmarkStart w:id="75" w:name="_Toc43112360"/>
    </w:p>
    <w:p w:rsidR="008251DB" w:rsidRPr="00924C80" w:rsidRDefault="008251DB" w:rsidP="002432EE">
      <w:pPr>
        <w:rPr>
          <w:rFonts w:cs="Arial"/>
          <w:color w:val="FF0000"/>
        </w:rPr>
      </w:pPr>
    </w:p>
    <w:p w:rsidR="00924C80" w:rsidRPr="00924C80" w:rsidRDefault="00206947" w:rsidP="00F604DE">
      <w:pPr>
        <w:pStyle w:val="Heading1"/>
      </w:pPr>
      <w:bookmarkStart w:id="76" w:name="_Toc300933452"/>
      <w:bookmarkStart w:id="77" w:name="_Toc371585225"/>
      <w:r>
        <w:t>4</w:t>
      </w:r>
      <w:r w:rsidR="00924C80" w:rsidRPr="00924C80">
        <w:t>.</w:t>
      </w:r>
      <w:r w:rsidR="00924C80" w:rsidRPr="00924C80">
        <w:tab/>
        <w:t>R</w:t>
      </w:r>
      <w:bookmarkEnd w:id="76"/>
      <w:r w:rsidR="006C28E2">
        <w:t>eferences</w:t>
      </w:r>
      <w:bookmarkEnd w:id="77"/>
    </w:p>
    <w:p w:rsidR="001E0F2B" w:rsidRPr="009E0993" w:rsidRDefault="001E0F2B" w:rsidP="001E0F2B">
      <w:pPr>
        <w:tabs>
          <w:tab w:val="left" w:pos="0"/>
        </w:tabs>
        <w:rPr>
          <w:rFonts w:cs="Arial"/>
          <w:noProof/>
          <w:sz w:val="20"/>
          <w:szCs w:val="20"/>
        </w:rPr>
      </w:pPr>
      <w:r w:rsidRPr="009E0993">
        <w:rPr>
          <w:rFonts w:cs="Arial"/>
          <w:noProof/>
          <w:sz w:val="20"/>
          <w:szCs w:val="20"/>
        </w:rPr>
        <w:t>FSANZ (2012) Our proposals to change the Code- Proposal P1017 - Criteria for Listeria monocytogenes – Microbiological Limits for Foods. Food Standards Australia New Zealand, Barton, ACT, Australia.</w:t>
      </w:r>
    </w:p>
    <w:p w:rsidR="008010AC" w:rsidRPr="009E0993" w:rsidRDefault="00856C43" w:rsidP="00401AC0">
      <w:pPr>
        <w:tabs>
          <w:tab w:val="left" w:pos="0"/>
        </w:tabs>
        <w:rPr>
          <w:rFonts w:cs="Arial"/>
          <w:noProof/>
          <w:sz w:val="20"/>
          <w:szCs w:val="20"/>
        </w:rPr>
      </w:pPr>
      <w:hyperlink r:id="rId22" w:history="1">
        <w:r w:rsidR="001E0F2B" w:rsidRPr="009E0993">
          <w:rPr>
            <w:rFonts w:cs="Arial"/>
            <w:noProof/>
            <w:sz w:val="20"/>
            <w:szCs w:val="20"/>
          </w:rPr>
          <w:t>www.foodstandards.gov.au/code/proposals/Pages/proposalp1017criteri5439.aspx</w:t>
        </w:r>
      </w:hyperlink>
      <w:r w:rsidR="001E0F2B" w:rsidRPr="009E0993">
        <w:rPr>
          <w:rFonts w:cs="Arial"/>
          <w:noProof/>
          <w:sz w:val="20"/>
          <w:szCs w:val="20"/>
        </w:rPr>
        <w:t xml:space="preserve"> . Accessed 6 November 2013</w:t>
      </w:r>
    </w:p>
    <w:p w:rsidR="001E0F2B" w:rsidRPr="009E0993" w:rsidRDefault="001E0F2B" w:rsidP="00401AC0">
      <w:pPr>
        <w:tabs>
          <w:tab w:val="left" w:pos="0"/>
        </w:tabs>
        <w:rPr>
          <w:rFonts w:cs="Arial"/>
          <w:noProof/>
          <w:sz w:val="20"/>
          <w:szCs w:val="20"/>
        </w:rPr>
      </w:pPr>
    </w:p>
    <w:p w:rsidR="001E0F2B" w:rsidRPr="009E0993" w:rsidRDefault="001E0F2B" w:rsidP="00401AC0">
      <w:pPr>
        <w:tabs>
          <w:tab w:val="left" w:pos="0"/>
        </w:tabs>
        <w:rPr>
          <w:sz w:val="20"/>
          <w:szCs w:val="20"/>
        </w:rPr>
      </w:pPr>
      <w:r w:rsidRPr="009E0993">
        <w:rPr>
          <w:sz w:val="20"/>
          <w:szCs w:val="20"/>
        </w:rPr>
        <w:t xml:space="preserve">FSANZ (2012) Review of microbiological limits specified in Standard 1.6.1 background paper. </w:t>
      </w:r>
      <w:r w:rsidRPr="009E0993">
        <w:rPr>
          <w:rFonts w:cs="Arial"/>
          <w:noProof/>
          <w:sz w:val="20"/>
          <w:szCs w:val="20"/>
        </w:rPr>
        <w:t>Food Standards Australia New Zealand, Barton, ACT, Australia.</w:t>
      </w:r>
    </w:p>
    <w:p w:rsidR="001E0F2B" w:rsidRPr="009E0993" w:rsidRDefault="001E0F2B" w:rsidP="00401AC0">
      <w:pPr>
        <w:tabs>
          <w:tab w:val="left" w:pos="0"/>
        </w:tabs>
        <w:rPr>
          <w:rStyle w:val="Hyperlink"/>
          <w:sz w:val="20"/>
          <w:szCs w:val="20"/>
        </w:rPr>
      </w:pPr>
      <w:r w:rsidRPr="009E0993">
        <w:rPr>
          <w:sz w:val="20"/>
          <w:szCs w:val="20"/>
        </w:rPr>
        <w:t xml:space="preserve"> </w:t>
      </w:r>
      <w:hyperlink r:id="rId23" w:history="1">
        <w:r w:rsidRPr="009E0993">
          <w:rPr>
            <w:rStyle w:val="Hyperlink"/>
            <w:sz w:val="20"/>
            <w:szCs w:val="20"/>
          </w:rPr>
          <w:t>www.foodstandards.gov.au/code/microbiollimits/</w:t>
        </w:r>
      </w:hyperlink>
      <w:r w:rsidRPr="009E0993">
        <w:rPr>
          <w:rStyle w:val="Hyperlink"/>
          <w:sz w:val="20"/>
          <w:szCs w:val="20"/>
        </w:rPr>
        <w:t xml:space="preserve"> . Accessed 6 November 2013</w:t>
      </w:r>
    </w:p>
    <w:p w:rsidR="001E0F2B" w:rsidRPr="009E0993" w:rsidRDefault="001E0F2B" w:rsidP="00401AC0">
      <w:pPr>
        <w:tabs>
          <w:tab w:val="left" w:pos="0"/>
        </w:tabs>
        <w:rPr>
          <w:rStyle w:val="Hyperlink"/>
          <w:sz w:val="20"/>
          <w:szCs w:val="20"/>
        </w:rPr>
      </w:pPr>
    </w:p>
    <w:p w:rsidR="001E0F2B" w:rsidRPr="009E0993" w:rsidRDefault="001E0F2B" w:rsidP="00401AC0">
      <w:pPr>
        <w:tabs>
          <w:tab w:val="left" w:pos="0"/>
        </w:tabs>
        <w:rPr>
          <w:rStyle w:val="Hyperlink"/>
          <w:sz w:val="20"/>
          <w:szCs w:val="20"/>
        </w:rPr>
      </w:pPr>
      <w:proofErr w:type="gramStart"/>
      <w:r w:rsidRPr="009E0993">
        <w:rPr>
          <w:rStyle w:val="Hyperlink"/>
          <w:sz w:val="20"/>
          <w:szCs w:val="20"/>
        </w:rPr>
        <w:t>F</w:t>
      </w:r>
      <w:r w:rsidR="007B6110" w:rsidRPr="009E0993">
        <w:rPr>
          <w:rStyle w:val="Hyperlink"/>
          <w:sz w:val="20"/>
          <w:szCs w:val="20"/>
        </w:rPr>
        <w:t xml:space="preserve">ood </w:t>
      </w:r>
      <w:r w:rsidRPr="009E0993">
        <w:rPr>
          <w:rStyle w:val="Hyperlink"/>
          <w:sz w:val="20"/>
          <w:szCs w:val="20"/>
        </w:rPr>
        <w:t>R</w:t>
      </w:r>
      <w:r w:rsidR="007B6110" w:rsidRPr="009E0993">
        <w:rPr>
          <w:rStyle w:val="Hyperlink"/>
          <w:sz w:val="20"/>
          <w:szCs w:val="20"/>
        </w:rPr>
        <w:t xml:space="preserve">egulation </w:t>
      </w:r>
      <w:r w:rsidRPr="009E0993">
        <w:rPr>
          <w:rStyle w:val="Hyperlink"/>
          <w:sz w:val="20"/>
          <w:szCs w:val="20"/>
        </w:rPr>
        <w:t>S</w:t>
      </w:r>
      <w:r w:rsidR="007B6110" w:rsidRPr="009E0993">
        <w:rPr>
          <w:rStyle w:val="Hyperlink"/>
          <w:sz w:val="20"/>
          <w:szCs w:val="20"/>
        </w:rPr>
        <w:t xml:space="preserve">ub </w:t>
      </w:r>
      <w:r w:rsidRPr="009E0993">
        <w:rPr>
          <w:rStyle w:val="Hyperlink"/>
          <w:sz w:val="20"/>
          <w:szCs w:val="20"/>
        </w:rPr>
        <w:t>C</w:t>
      </w:r>
      <w:r w:rsidR="007B6110" w:rsidRPr="009E0993">
        <w:rPr>
          <w:rStyle w:val="Hyperlink"/>
          <w:sz w:val="20"/>
          <w:szCs w:val="20"/>
        </w:rPr>
        <w:t>ommittee</w:t>
      </w:r>
      <w:r w:rsidRPr="009E0993">
        <w:rPr>
          <w:rStyle w:val="Hyperlink"/>
          <w:sz w:val="20"/>
          <w:szCs w:val="20"/>
        </w:rPr>
        <w:t xml:space="preserve"> (2003) Ministerial Policy Guidelines on Food Safety Management in Australia.</w:t>
      </w:r>
      <w:proofErr w:type="gramEnd"/>
      <w:r w:rsidRPr="009E0993">
        <w:rPr>
          <w:rStyle w:val="Hyperlink"/>
          <w:sz w:val="20"/>
          <w:szCs w:val="20"/>
        </w:rPr>
        <w:t xml:space="preserve"> </w:t>
      </w:r>
    </w:p>
    <w:p w:rsidR="001E0F2B" w:rsidRPr="009E0993" w:rsidRDefault="00856C43" w:rsidP="00401AC0">
      <w:pPr>
        <w:tabs>
          <w:tab w:val="left" w:pos="0"/>
        </w:tabs>
        <w:rPr>
          <w:rFonts w:cs="Arial"/>
          <w:noProof/>
          <w:sz w:val="20"/>
          <w:szCs w:val="20"/>
        </w:rPr>
      </w:pPr>
      <w:hyperlink r:id="rId24" w:history="1">
        <w:r w:rsidR="001E0F2B" w:rsidRPr="009E0993">
          <w:rPr>
            <w:rStyle w:val="Hyperlink"/>
            <w:rFonts w:cs="Arial"/>
            <w:noProof/>
            <w:sz w:val="20"/>
            <w:szCs w:val="20"/>
          </w:rPr>
          <w:t>http://www.foodstandards.gov.au/industry/safetystandards/programs/documents/Food_Safety_Management_in_Aust_Policy_Guidelines.pdf</w:t>
        </w:r>
      </w:hyperlink>
      <w:r w:rsidR="001E0F2B" w:rsidRPr="009E0993">
        <w:rPr>
          <w:rFonts w:cs="Arial"/>
          <w:noProof/>
          <w:sz w:val="20"/>
          <w:szCs w:val="20"/>
        </w:rPr>
        <w:t>. Accessed 6 November 2013</w:t>
      </w:r>
    </w:p>
    <w:p w:rsidR="008010AC" w:rsidRPr="009E0993" w:rsidRDefault="008010AC" w:rsidP="00401AC0">
      <w:pPr>
        <w:tabs>
          <w:tab w:val="left" w:pos="0"/>
        </w:tabs>
        <w:rPr>
          <w:rFonts w:cs="Arial"/>
          <w:noProof/>
          <w:sz w:val="20"/>
          <w:szCs w:val="20"/>
        </w:rPr>
      </w:pPr>
    </w:p>
    <w:p w:rsidR="00401AC0" w:rsidRPr="009E0993" w:rsidRDefault="00401AC0" w:rsidP="00401AC0">
      <w:pPr>
        <w:tabs>
          <w:tab w:val="left" w:pos="0"/>
        </w:tabs>
        <w:rPr>
          <w:rFonts w:cs="Arial"/>
          <w:noProof/>
          <w:sz w:val="20"/>
          <w:szCs w:val="20"/>
        </w:rPr>
      </w:pPr>
      <w:r w:rsidRPr="009E0993">
        <w:rPr>
          <w:rFonts w:cs="Arial"/>
          <w:noProof/>
          <w:sz w:val="20"/>
          <w:szCs w:val="20"/>
        </w:rPr>
        <w:t xml:space="preserve">FSANZ (2001a) Recall guidelines for packaged ready-to-eat foods found to contain </w:t>
      </w:r>
      <w:r w:rsidRPr="009E0993">
        <w:rPr>
          <w:rFonts w:cs="Arial"/>
          <w:i/>
          <w:noProof/>
          <w:sz w:val="20"/>
          <w:szCs w:val="20"/>
        </w:rPr>
        <w:t>Listeria monocytogenes</w:t>
      </w:r>
      <w:r w:rsidRPr="009E0993">
        <w:rPr>
          <w:rFonts w:cs="Arial"/>
          <w:noProof/>
          <w:sz w:val="20"/>
          <w:szCs w:val="20"/>
        </w:rPr>
        <w:t xml:space="preserve"> at point of sale. Food Standards Australia New Zealand, Barton, ACT, Australia.</w:t>
      </w:r>
    </w:p>
    <w:p w:rsidR="00401AC0" w:rsidRPr="009E0993" w:rsidRDefault="00856C43" w:rsidP="00401AC0">
      <w:pPr>
        <w:tabs>
          <w:tab w:val="left" w:pos="0"/>
        </w:tabs>
        <w:spacing w:after="240"/>
        <w:rPr>
          <w:sz w:val="20"/>
          <w:szCs w:val="20"/>
        </w:rPr>
      </w:pPr>
      <w:hyperlink r:id="rId25" w:history="1">
        <w:r w:rsidR="00401AC0" w:rsidRPr="009E0993">
          <w:rPr>
            <w:rStyle w:val="Hyperlink"/>
            <w:sz w:val="20"/>
            <w:szCs w:val="20"/>
          </w:rPr>
          <w:t>http://www.foodstandards.gov.au/publications/Pages/listeriarecallguidel5618.aspx</w:t>
        </w:r>
      </w:hyperlink>
      <w:r w:rsidR="00401AC0" w:rsidRPr="009E0993">
        <w:rPr>
          <w:rFonts w:cs="Arial"/>
          <w:noProof/>
          <w:sz w:val="20"/>
          <w:szCs w:val="20"/>
        </w:rPr>
        <w:t>.  Accessed 16 September  2013a</w:t>
      </w:r>
    </w:p>
    <w:p w:rsidR="00401AC0" w:rsidRPr="009E0993" w:rsidRDefault="00401AC0" w:rsidP="00401AC0">
      <w:pPr>
        <w:tabs>
          <w:tab w:val="left" w:pos="0"/>
        </w:tabs>
        <w:rPr>
          <w:rFonts w:cs="Arial"/>
          <w:noProof/>
          <w:sz w:val="20"/>
          <w:szCs w:val="20"/>
        </w:rPr>
      </w:pPr>
      <w:r w:rsidRPr="009E0993">
        <w:rPr>
          <w:rFonts w:cs="Arial"/>
          <w:noProof/>
          <w:sz w:val="20"/>
          <w:szCs w:val="20"/>
        </w:rPr>
        <w:t>FSANZ (2001b) Guidelines for the microbiological examination of ready-to- eat foods. Food Standards Australia New Zealand, Barton, ACT.</w:t>
      </w:r>
    </w:p>
    <w:p w:rsidR="00401AC0" w:rsidRPr="009E0993" w:rsidRDefault="00856C43" w:rsidP="00401AC0">
      <w:pPr>
        <w:tabs>
          <w:tab w:val="left" w:pos="0"/>
        </w:tabs>
        <w:spacing w:after="240"/>
        <w:rPr>
          <w:rFonts w:cs="Arial"/>
          <w:noProof/>
          <w:sz w:val="20"/>
          <w:szCs w:val="20"/>
        </w:rPr>
      </w:pPr>
      <w:hyperlink r:id="rId26" w:history="1">
        <w:r w:rsidR="00401AC0" w:rsidRPr="009E0993">
          <w:rPr>
            <w:rStyle w:val="Hyperlink"/>
            <w:rFonts w:cs="Arial"/>
            <w:noProof/>
            <w:sz w:val="20"/>
            <w:szCs w:val="20"/>
          </w:rPr>
          <w:t>http://www.foodstandards.gov.au/publications/pages/guidelinesformicrobi1306.aspx</w:t>
        </w:r>
      </w:hyperlink>
      <w:r w:rsidR="00401AC0" w:rsidRPr="009E0993">
        <w:rPr>
          <w:rFonts w:cs="Arial"/>
          <w:noProof/>
          <w:sz w:val="20"/>
          <w:szCs w:val="20"/>
        </w:rPr>
        <w:t xml:space="preserve"> . Accessed 16 September 2013b</w:t>
      </w:r>
    </w:p>
    <w:p w:rsidR="00CC1354" w:rsidRPr="009E0993" w:rsidRDefault="00897F01" w:rsidP="00401AC0">
      <w:pPr>
        <w:tabs>
          <w:tab w:val="left" w:pos="0"/>
        </w:tabs>
        <w:spacing w:after="240"/>
        <w:rPr>
          <w:rFonts w:cs="Arial"/>
          <w:noProof/>
          <w:sz w:val="20"/>
          <w:szCs w:val="20"/>
        </w:rPr>
      </w:pPr>
      <w:r w:rsidRPr="009E0993">
        <w:rPr>
          <w:rFonts w:cs="Arial"/>
          <w:noProof/>
          <w:sz w:val="20"/>
          <w:szCs w:val="20"/>
        </w:rPr>
        <w:t>FSANZ  (2012) P1017 1</w:t>
      </w:r>
      <w:r w:rsidRPr="009E0993">
        <w:rPr>
          <w:rFonts w:cs="Arial"/>
          <w:noProof/>
          <w:sz w:val="20"/>
          <w:szCs w:val="20"/>
          <w:vertAlign w:val="superscript"/>
        </w:rPr>
        <w:t>st</w:t>
      </w:r>
      <w:r w:rsidRPr="009E0993">
        <w:rPr>
          <w:rFonts w:cs="Arial"/>
          <w:noProof/>
          <w:sz w:val="20"/>
          <w:szCs w:val="20"/>
        </w:rPr>
        <w:t xml:space="preserve"> call for submissions report. Food Standards Australia New Zealand, Barton, ACT. </w:t>
      </w:r>
      <w:hyperlink r:id="rId27" w:history="1">
        <w:r w:rsidR="00063E8B" w:rsidRPr="009E0993">
          <w:rPr>
            <w:rStyle w:val="Hyperlink"/>
            <w:rFonts w:cs="Arial"/>
            <w:noProof/>
            <w:sz w:val="20"/>
            <w:szCs w:val="20"/>
          </w:rPr>
          <w:t>http://www.foodstandards.gov.au/code/proposals/documents/P1017_CFS.pdf</w:t>
        </w:r>
      </w:hyperlink>
      <w:r w:rsidRPr="009E0993">
        <w:rPr>
          <w:rFonts w:cs="Arial"/>
          <w:noProof/>
          <w:sz w:val="20"/>
          <w:szCs w:val="20"/>
        </w:rPr>
        <w:t xml:space="preserve"> . Accessed 14 October 2013</w:t>
      </w:r>
    </w:p>
    <w:p w:rsidR="00CC1354" w:rsidRPr="009E0993" w:rsidRDefault="00CC1354" w:rsidP="00401AC0">
      <w:pPr>
        <w:tabs>
          <w:tab w:val="left" w:pos="0"/>
        </w:tabs>
        <w:spacing w:after="240"/>
        <w:rPr>
          <w:rStyle w:val="Hyperlink"/>
          <w:sz w:val="20"/>
          <w:szCs w:val="20"/>
        </w:rPr>
      </w:pPr>
      <w:r w:rsidRPr="009E0993">
        <w:rPr>
          <w:rFonts w:cs="Arial"/>
          <w:noProof/>
          <w:sz w:val="20"/>
          <w:szCs w:val="20"/>
        </w:rPr>
        <w:t xml:space="preserve">FSANZ (2012) P1017 submissions. Food Standards Australia New Zealand, Barton, ACT. </w:t>
      </w:r>
      <w:hyperlink r:id="rId28" w:history="1">
        <w:r w:rsidRPr="009E0993">
          <w:rPr>
            <w:rStyle w:val="Hyperlink"/>
            <w:sz w:val="20"/>
            <w:szCs w:val="20"/>
          </w:rPr>
          <w:t>www.foodstandards.gov.au/code/proposals/Documents/P1017%20Submissions.zip</w:t>
        </w:r>
      </w:hyperlink>
      <w:r w:rsidRPr="009E0993">
        <w:rPr>
          <w:rStyle w:val="Hyperlink"/>
          <w:sz w:val="20"/>
          <w:szCs w:val="20"/>
        </w:rPr>
        <w:t xml:space="preserve"> . Accessed 6 November 2013</w:t>
      </w:r>
    </w:p>
    <w:p w:rsidR="009E0993" w:rsidRDefault="006E74FB" w:rsidP="00401AC0">
      <w:pPr>
        <w:tabs>
          <w:tab w:val="left" w:pos="0"/>
        </w:tabs>
        <w:spacing w:after="240"/>
        <w:rPr>
          <w:rStyle w:val="Hyperlink"/>
          <w:sz w:val="20"/>
          <w:szCs w:val="20"/>
        </w:rPr>
      </w:pPr>
      <w:r w:rsidRPr="009E0993">
        <w:rPr>
          <w:sz w:val="20"/>
          <w:szCs w:val="20"/>
        </w:rPr>
        <w:t xml:space="preserve">Codex (1997) </w:t>
      </w:r>
      <w:r w:rsidRPr="009E0993">
        <w:rPr>
          <w:i/>
          <w:sz w:val="20"/>
          <w:szCs w:val="20"/>
        </w:rPr>
        <w:t>Principles for the Establishment and Application of Microbiological Criteria for Foods:</w:t>
      </w:r>
      <w:r w:rsidRPr="009E0993">
        <w:rPr>
          <w:sz w:val="20"/>
          <w:szCs w:val="20"/>
        </w:rPr>
        <w:t xml:space="preserve"> </w:t>
      </w:r>
      <w:hyperlink r:id="rId29" w:history="1">
        <w:r w:rsidRPr="009E0993">
          <w:rPr>
            <w:rStyle w:val="Hyperlink"/>
            <w:sz w:val="20"/>
            <w:szCs w:val="20"/>
          </w:rPr>
          <w:t>www.codexalimentarius.org/download/standards/394/CXG_021e.pdf</w:t>
        </w:r>
      </w:hyperlink>
      <w:r w:rsidRPr="009E0993">
        <w:rPr>
          <w:rStyle w:val="Hyperlink"/>
          <w:sz w:val="20"/>
          <w:szCs w:val="20"/>
        </w:rPr>
        <w:t xml:space="preserve"> . Accessed 6 November 2013</w:t>
      </w:r>
      <w:r w:rsidR="009E0993">
        <w:rPr>
          <w:rStyle w:val="Hyperlink"/>
          <w:sz w:val="20"/>
          <w:szCs w:val="20"/>
        </w:rPr>
        <w:br w:type="page"/>
      </w:r>
    </w:p>
    <w:bookmarkEnd w:id="71"/>
    <w:bookmarkEnd w:id="72"/>
    <w:bookmarkEnd w:id="73"/>
    <w:bookmarkEnd w:id="74"/>
    <w:bookmarkEnd w:id="75"/>
    <w:p w:rsidR="003C4969" w:rsidRPr="00924C80" w:rsidRDefault="00924C80" w:rsidP="002432EE">
      <w:pPr>
        <w:spacing w:before="240"/>
        <w:rPr>
          <w:b/>
          <w:sz w:val="28"/>
          <w:szCs w:val="28"/>
        </w:rPr>
      </w:pPr>
      <w:r w:rsidRPr="00924C80">
        <w:rPr>
          <w:b/>
          <w:sz w:val="28"/>
          <w:szCs w:val="28"/>
        </w:rPr>
        <w:lastRenderedPageBreak/>
        <w:t>A</w:t>
      </w:r>
      <w:r>
        <w:rPr>
          <w:b/>
          <w:sz w:val="28"/>
          <w:szCs w:val="28"/>
        </w:rPr>
        <w:t>ttachments</w:t>
      </w:r>
    </w:p>
    <w:p w:rsidR="00A4175D" w:rsidRPr="00E203C2" w:rsidRDefault="00A4175D" w:rsidP="00AF06FC"/>
    <w:p w:rsidR="00924C80" w:rsidRPr="0016341B" w:rsidRDefault="00A4175D" w:rsidP="00D14405">
      <w:pPr>
        <w:pStyle w:val="CommentText"/>
        <w:ind w:left="567" w:hanging="567"/>
      </w:pPr>
      <w:r w:rsidRPr="0016341B">
        <w:rPr>
          <w:sz w:val="22"/>
          <w:szCs w:val="22"/>
        </w:rPr>
        <w:t>A.</w:t>
      </w:r>
      <w:r w:rsidRPr="0016341B">
        <w:rPr>
          <w:sz w:val="22"/>
          <w:szCs w:val="22"/>
        </w:rPr>
        <w:tab/>
      </w:r>
      <w:r w:rsidR="00410C76" w:rsidRPr="0016341B">
        <w:rPr>
          <w:sz w:val="22"/>
          <w:szCs w:val="22"/>
        </w:rPr>
        <w:t xml:space="preserve">Draft </w:t>
      </w:r>
      <w:r w:rsidR="0007466A" w:rsidRPr="0016341B">
        <w:rPr>
          <w:sz w:val="22"/>
          <w:szCs w:val="22"/>
        </w:rPr>
        <w:t>variation</w:t>
      </w:r>
      <w:r w:rsidR="00D8471A" w:rsidRPr="0016341B">
        <w:rPr>
          <w:sz w:val="22"/>
          <w:szCs w:val="22"/>
        </w:rPr>
        <w:t>s</w:t>
      </w:r>
      <w:r w:rsidR="0007466A" w:rsidRPr="0016341B">
        <w:rPr>
          <w:sz w:val="22"/>
          <w:szCs w:val="22"/>
        </w:rPr>
        <w:t xml:space="preserve"> to the </w:t>
      </w:r>
      <w:r w:rsidR="0007466A" w:rsidRPr="0016341B">
        <w:rPr>
          <w:i/>
          <w:sz w:val="22"/>
          <w:szCs w:val="22"/>
        </w:rPr>
        <w:t>Australia New Zealand Food Standards Code</w:t>
      </w:r>
      <w:r w:rsidR="00364841" w:rsidRPr="0016341B">
        <w:rPr>
          <w:sz w:val="22"/>
          <w:szCs w:val="22"/>
        </w:rPr>
        <w:t xml:space="preserve"> </w:t>
      </w:r>
    </w:p>
    <w:p w:rsidR="001542D8" w:rsidRPr="0016341B" w:rsidRDefault="00A4175D" w:rsidP="00A4175D">
      <w:pPr>
        <w:rPr>
          <w:szCs w:val="22"/>
        </w:rPr>
      </w:pPr>
      <w:r w:rsidRPr="0016341B">
        <w:rPr>
          <w:szCs w:val="22"/>
        </w:rPr>
        <w:t>B.</w:t>
      </w:r>
      <w:r w:rsidRPr="0016341B">
        <w:rPr>
          <w:szCs w:val="22"/>
        </w:rPr>
        <w:tab/>
      </w:r>
      <w:r w:rsidR="001542D8" w:rsidRPr="0016341B">
        <w:rPr>
          <w:szCs w:val="22"/>
        </w:rPr>
        <w:t>Draft Explanatory Statement</w:t>
      </w:r>
    </w:p>
    <w:p w:rsidR="003C4969" w:rsidRPr="00932F14" w:rsidRDefault="003C4969" w:rsidP="00A54934">
      <w:pPr>
        <w:pStyle w:val="Heading2"/>
        <w:ind w:left="0" w:firstLine="0"/>
      </w:pPr>
      <w:r w:rsidRPr="00932F14">
        <w:br w:type="page"/>
      </w:r>
      <w:bookmarkStart w:id="78" w:name="_Toc29883131"/>
      <w:bookmarkStart w:id="79" w:name="_Toc41906818"/>
      <w:bookmarkStart w:id="80" w:name="_Toc41907565"/>
      <w:bookmarkStart w:id="81" w:name="_Toc120358596"/>
      <w:bookmarkStart w:id="82" w:name="_Toc175381458"/>
      <w:bookmarkStart w:id="83" w:name="_Toc11735644"/>
      <w:bookmarkStart w:id="84" w:name="_Toc286391017"/>
      <w:bookmarkStart w:id="85" w:name="_Toc300933453"/>
      <w:bookmarkStart w:id="86" w:name="_Toc371585226"/>
      <w:r w:rsidRPr="00932F14">
        <w:lastRenderedPageBreak/>
        <w:t xml:space="preserve">Attachment </w:t>
      </w:r>
      <w:bookmarkEnd w:id="78"/>
      <w:bookmarkEnd w:id="79"/>
      <w:bookmarkEnd w:id="80"/>
      <w:bookmarkEnd w:id="81"/>
      <w:bookmarkEnd w:id="82"/>
      <w:r w:rsidR="00456B54">
        <w:t>A</w:t>
      </w:r>
      <w:bookmarkStart w:id="87" w:name="_Toc120358597"/>
      <w:bookmarkStart w:id="88" w:name="_Toc175381459"/>
      <w:bookmarkEnd w:id="83"/>
      <w:r w:rsidR="007C174F">
        <w:t xml:space="preserve"> – </w:t>
      </w:r>
      <w:r w:rsidRPr="00932F14">
        <w:t>Draft variation</w:t>
      </w:r>
      <w:r w:rsidRPr="00E571FC">
        <w:t>s</w:t>
      </w:r>
      <w:r w:rsidRPr="00932F14">
        <w:t xml:space="preserve"> to the </w:t>
      </w:r>
      <w:r w:rsidRPr="007C174F">
        <w:rPr>
          <w:i/>
        </w:rPr>
        <w:t>Australia New Zealand Food Standards Code</w:t>
      </w:r>
      <w:bookmarkEnd w:id="84"/>
      <w:bookmarkEnd w:id="85"/>
      <w:bookmarkEnd w:id="87"/>
      <w:bookmarkEnd w:id="88"/>
      <w:bookmarkEnd w:id="86"/>
    </w:p>
    <w:p w:rsidR="00214021" w:rsidRPr="00214021" w:rsidRDefault="00214021" w:rsidP="00214021">
      <w:pPr>
        <w:tabs>
          <w:tab w:val="left" w:pos="851"/>
        </w:tabs>
        <w:rPr>
          <w:noProof/>
          <w:sz w:val="20"/>
          <w:szCs w:val="20"/>
          <w:lang w:eastAsia="en-AU" w:bidi="ar-SA"/>
        </w:rPr>
      </w:pPr>
      <w:r w:rsidRPr="00214021">
        <w:rPr>
          <w:noProof/>
          <w:sz w:val="20"/>
          <w:szCs w:val="20"/>
          <w:lang w:val="en-GB" w:eastAsia="en-GB" w:bidi="ar-SA"/>
        </w:rPr>
        <w:drawing>
          <wp:inline distT="0" distB="0" distL="0" distR="0" wp14:anchorId="3CB7603B" wp14:editId="61F3832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214021" w:rsidRPr="00214021" w:rsidRDefault="00214021" w:rsidP="00214021">
      <w:pPr>
        <w:pBdr>
          <w:bottom w:val="single" w:sz="4" w:space="1" w:color="auto"/>
        </w:pBdr>
        <w:tabs>
          <w:tab w:val="left" w:pos="851"/>
        </w:tabs>
        <w:jc w:val="center"/>
        <w:rPr>
          <w:sz w:val="20"/>
          <w:szCs w:val="20"/>
          <w:lang w:val="en-GB" w:bidi="ar-SA"/>
        </w:rPr>
      </w:pPr>
    </w:p>
    <w:p w:rsidR="00214021" w:rsidRPr="00214021" w:rsidRDefault="00214021" w:rsidP="00214021">
      <w:pPr>
        <w:pBdr>
          <w:bottom w:val="single" w:sz="4" w:space="1" w:color="auto"/>
        </w:pBdr>
        <w:tabs>
          <w:tab w:val="left" w:pos="851"/>
        </w:tabs>
        <w:rPr>
          <w:b/>
          <w:sz w:val="20"/>
          <w:szCs w:val="20"/>
          <w:lang w:val="en-GB" w:bidi="ar-SA"/>
        </w:rPr>
      </w:pPr>
      <w:r w:rsidRPr="00214021">
        <w:rPr>
          <w:b/>
          <w:sz w:val="20"/>
          <w:szCs w:val="20"/>
          <w:lang w:val="en-GB" w:bidi="ar-SA"/>
        </w:rPr>
        <w:t xml:space="preserve">Food Standards (Proposal P1017 – Criteria for </w:t>
      </w:r>
      <w:r w:rsidRPr="00214021">
        <w:rPr>
          <w:b/>
          <w:i/>
          <w:sz w:val="20"/>
          <w:szCs w:val="20"/>
          <w:lang w:val="en-GB" w:bidi="ar-SA"/>
        </w:rPr>
        <w:t>Listeria monocytogenes</w:t>
      </w:r>
      <w:r w:rsidRPr="00214021">
        <w:rPr>
          <w:b/>
          <w:sz w:val="20"/>
          <w:szCs w:val="20"/>
          <w:lang w:val="en-GB" w:bidi="ar-SA"/>
        </w:rPr>
        <w:t xml:space="preserve"> – Microbiological Limits for Foods) Variation</w:t>
      </w:r>
    </w:p>
    <w:p w:rsidR="00214021" w:rsidRPr="00214021" w:rsidRDefault="00214021" w:rsidP="00214021">
      <w:pPr>
        <w:pBdr>
          <w:bottom w:val="single" w:sz="4" w:space="1" w:color="auto"/>
        </w:pBdr>
        <w:tabs>
          <w:tab w:val="left" w:pos="851"/>
        </w:tabs>
        <w:rPr>
          <w:b/>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r w:rsidRPr="00214021">
        <w:rPr>
          <w:sz w:val="20"/>
          <w:szCs w:val="20"/>
          <w:lang w:val="en-GB" w:bidi="ar-SA"/>
        </w:rPr>
        <w:t xml:space="preserve">The Board of Food Standards Australia New Zealand gives notice of the making of this variation under section 92 of the </w:t>
      </w:r>
      <w:r w:rsidRPr="00214021">
        <w:rPr>
          <w:i/>
          <w:sz w:val="20"/>
          <w:szCs w:val="20"/>
          <w:lang w:val="en-GB" w:bidi="ar-SA"/>
        </w:rPr>
        <w:t>Food Standards Australia New Zealand Act 1991</w:t>
      </w:r>
      <w:r w:rsidRPr="00214021">
        <w:rPr>
          <w:sz w:val="20"/>
          <w:szCs w:val="20"/>
          <w:lang w:val="en-GB" w:bidi="ar-SA"/>
        </w:rPr>
        <w:t>.  The Standard commences on the date specified in clause 3 of this variation.</w:t>
      </w: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r w:rsidRPr="00214021">
        <w:rPr>
          <w:sz w:val="20"/>
          <w:szCs w:val="20"/>
          <w:lang w:val="en-GB" w:bidi="ar-SA"/>
        </w:rPr>
        <w:t>Dated [To be completed by Standards Management Officer]</w:t>
      </w: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r w:rsidRPr="00214021">
        <w:rPr>
          <w:sz w:val="20"/>
          <w:szCs w:val="20"/>
          <w:lang w:val="en-GB" w:bidi="ar-SA"/>
        </w:rPr>
        <w:t>Standards Management Officer</w:t>
      </w:r>
    </w:p>
    <w:p w:rsidR="00214021" w:rsidRPr="00214021" w:rsidRDefault="00214021" w:rsidP="00214021">
      <w:pPr>
        <w:tabs>
          <w:tab w:val="left" w:pos="851"/>
        </w:tabs>
        <w:rPr>
          <w:sz w:val="20"/>
          <w:szCs w:val="20"/>
          <w:lang w:val="en-GB" w:bidi="ar-SA"/>
        </w:rPr>
      </w:pPr>
      <w:r w:rsidRPr="00214021">
        <w:rPr>
          <w:sz w:val="20"/>
          <w:szCs w:val="20"/>
          <w:lang w:val="en-GB" w:bidi="ar-SA"/>
        </w:rPr>
        <w:t>Delegate of the Board of Food Standards Australia New Zealand</w:t>
      </w: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tabs>
          <w:tab w:val="left" w:pos="851"/>
        </w:tabs>
        <w:rPr>
          <w:sz w:val="20"/>
          <w:szCs w:val="20"/>
          <w:lang w:val="en-GB" w:bidi="ar-SA"/>
        </w:rPr>
      </w:pPr>
    </w:p>
    <w:p w:rsidR="00214021" w:rsidRPr="00214021" w:rsidRDefault="00214021" w:rsidP="00214021">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214021">
        <w:rPr>
          <w:b/>
          <w:sz w:val="20"/>
          <w:szCs w:val="20"/>
          <w:lang w:bidi="ar-SA"/>
        </w:rPr>
        <w:t xml:space="preserve">Note:  </w:t>
      </w:r>
    </w:p>
    <w:p w:rsidR="00214021" w:rsidRPr="00214021" w:rsidRDefault="00214021" w:rsidP="00214021">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214021" w:rsidRPr="00214021" w:rsidRDefault="00214021" w:rsidP="00214021">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214021">
        <w:rPr>
          <w:sz w:val="20"/>
          <w:szCs w:val="20"/>
          <w:lang w:bidi="ar-SA"/>
        </w:rPr>
        <w:t xml:space="preserve">This variation will be published in the Commonwealth of Australia Gazette No. </w:t>
      </w:r>
      <w:proofErr w:type="gramStart"/>
      <w:r w:rsidRPr="00214021">
        <w:rPr>
          <w:sz w:val="20"/>
          <w:szCs w:val="20"/>
          <w:lang w:bidi="ar-SA"/>
        </w:rPr>
        <w:t xml:space="preserve">FSC </w:t>
      </w:r>
      <w:r w:rsidRPr="00214021">
        <w:rPr>
          <w:color w:val="FF0000"/>
          <w:sz w:val="20"/>
          <w:szCs w:val="20"/>
          <w:lang w:bidi="ar-SA"/>
        </w:rPr>
        <w:t>XX on XX Month 20XX</w:t>
      </w:r>
      <w:r w:rsidRPr="00214021">
        <w:rPr>
          <w:sz w:val="20"/>
          <w:szCs w:val="20"/>
          <w:lang w:bidi="ar-SA"/>
        </w:rPr>
        <w:t>.</w:t>
      </w:r>
      <w:proofErr w:type="gramEnd"/>
      <w:r w:rsidRPr="00214021">
        <w:rPr>
          <w:sz w:val="20"/>
          <w:szCs w:val="20"/>
          <w:lang w:bidi="ar-SA"/>
        </w:rPr>
        <w:t xml:space="preserve"> This means that this date is the gazettal date for the purposes of clause 3 of the variation. </w:t>
      </w:r>
    </w:p>
    <w:p w:rsidR="00214021" w:rsidRPr="00214021" w:rsidRDefault="00214021" w:rsidP="00214021">
      <w:pPr>
        <w:tabs>
          <w:tab w:val="left" w:pos="851"/>
        </w:tabs>
        <w:rPr>
          <w:sz w:val="20"/>
          <w:szCs w:val="20"/>
          <w:lang w:val="en-GB" w:bidi="ar-SA"/>
        </w:rPr>
      </w:pPr>
    </w:p>
    <w:p w:rsidR="00214021" w:rsidRPr="00214021" w:rsidRDefault="00214021" w:rsidP="00214021">
      <w:pPr>
        <w:widowControl/>
        <w:rPr>
          <w:sz w:val="20"/>
          <w:szCs w:val="20"/>
          <w:lang w:val="en-GB" w:bidi="ar-SA"/>
        </w:rPr>
      </w:pPr>
      <w:r w:rsidRPr="00214021">
        <w:rPr>
          <w:sz w:val="20"/>
          <w:szCs w:val="20"/>
          <w:lang w:val="en-GB" w:bidi="ar-SA"/>
        </w:rPr>
        <w:br w:type="page"/>
      </w:r>
    </w:p>
    <w:p w:rsidR="007719DA" w:rsidRPr="005D0056" w:rsidRDefault="007719DA" w:rsidP="007719DA">
      <w:pPr>
        <w:pStyle w:val="Clauseheading"/>
      </w:pPr>
      <w:r w:rsidRPr="005D0056">
        <w:lastRenderedPageBreak/>
        <w:t>1</w:t>
      </w:r>
      <w:r w:rsidRPr="005D0056">
        <w:tab/>
        <w:t>Name</w:t>
      </w:r>
    </w:p>
    <w:p w:rsidR="007719DA" w:rsidRPr="005D0056" w:rsidRDefault="007719DA" w:rsidP="007719DA">
      <w:pPr>
        <w:pStyle w:val="Clause"/>
      </w:pPr>
    </w:p>
    <w:p w:rsidR="007719DA" w:rsidRPr="005D0056" w:rsidRDefault="007719DA" w:rsidP="007719DA">
      <w:pPr>
        <w:pStyle w:val="Clause"/>
      </w:pPr>
      <w:r w:rsidRPr="005D0056">
        <w:t>This instrument is the Food Standards (</w:t>
      </w:r>
      <w:r w:rsidRPr="00D96C5C">
        <w:rPr>
          <w:i/>
        </w:rPr>
        <w:t>Proposal P1017 – Criteria for Listeria monocytogenes – Microbiological Limits for Foods</w:t>
      </w:r>
      <w:r w:rsidRPr="005D0056">
        <w:t>) Variation.</w:t>
      </w:r>
    </w:p>
    <w:p w:rsidR="007719DA" w:rsidRPr="005D0056" w:rsidRDefault="007719DA" w:rsidP="007719DA">
      <w:pPr>
        <w:pStyle w:val="Clause"/>
      </w:pPr>
    </w:p>
    <w:p w:rsidR="007719DA" w:rsidRPr="005D0056" w:rsidRDefault="007719DA" w:rsidP="007719DA">
      <w:pPr>
        <w:pStyle w:val="Clauseheading"/>
        <w:tabs>
          <w:tab w:val="clear" w:pos="851"/>
        </w:tabs>
        <w:ind w:left="851" w:hanging="851"/>
      </w:pPr>
      <w:r w:rsidRPr="005D0056">
        <w:t>2</w:t>
      </w:r>
      <w:r w:rsidRPr="005D0056">
        <w:tab/>
        <w:t>Variation</w:t>
      </w:r>
      <w:r>
        <w:t>s</w:t>
      </w:r>
      <w:r w:rsidRPr="005D0056">
        <w:t xml:space="preserve"> to Standards in the </w:t>
      </w:r>
      <w:r w:rsidRPr="005D0056">
        <w:rPr>
          <w:i/>
        </w:rPr>
        <w:t>Australia New Zealand Food Standards Code</w:t>
      </w:r>
    </w:p>
    <w:p w:rsidR="007719DA" w:rsidRPr="005D0056" w:rsidRDefault="007719DA" w:rsidP="007719DA">
      <w:pPr>
        <w:pStyle w:val="Clause"/>
      </w:pPr>
    </w:p>
    <w:p w:rsidR="007719DA" w:rsidRPr="005D0056" w:rsidRDefault="007719DA" w:rsidP="007719DA">
      <w:pPr>
        <w:pStyle w:val="Clause"/>
      </w:pPr>
      <w:r w:rsidRPr="005D0056">
        <w:t xml:space="preserve">The Schedule varies the Standards in the </w:t>
      </w:r>
      <w:r w:rsidRPr="005D0056">
        <w:rPr>
          <w:i/>
        </w:rPr>
        <w:t>Australia New Zealand Food Standards Code</w:t>
      </w:r>
      <w:r w:rsidRPr="005D0056">
        <w:t>.</w:t>
      </w:r>
    </w:p>
    <w:p w:rsidR="007719DA" w:rsidRPr="005D0056" w:rsidRDefault="007719DA" w:rsidP="007719DA">
      <w:pPr>
        <w:rPr>
          <w:sz w:val="20"/>
        </w:rPr>
      </w:pPr>
    </w:p>
    <w:p w:rsidR="007719DA" w:rsidRPr="005D0056" w:rsidRDefault="007719DA" w:rsidP="007719DA">
      <w:pPr>
        <w:pStyle w:val="Clauseheading"/>
      </w:pPr>
      <w:r w:rsidRPr="005D0056">
        <w:t>3</w:t>
      </w:r>
      <w:r w:rsidRPr="005D0056">
        <w:tab/>
        <w:t>Commencement</w:t>
      </w:r>
    </w:p>
    <w:p w:rsidR="007719DA" w:rsidRPr="005D0056" w:rsidRDefault="007719DA" w:rsidP="007719DA">
      <w:pPr>
        <w:pStyle w:val="Clause"/>
      </w:pPr>
    </w:p>
    <w:p w:rsidR="007719DA" w:rsidRPr="005D0056" w:rsidRDefault="007719DA" w:rsidP="007719DA">
      <w:pPr>
        <w:pStyle w:val="Clause"/>
      </w:pPr>
      <w:r w:rsidRPr="005D0056">
        <w:t>The variation</w:t>
      </w:r>
      <w:r>
        <w:t>s</w:t>
      </w:r>
      <w:r w:rsidRPr="005D0056">
        <w:t xml:space="preserve"> commence on gazettal.</w:t>
      </w:r>
    </w:p>
    <w:p w:rsidR="007719DA" w:rsidRPr="00FD5AFA" w:rsidRDefault="007719DA" w:rsidP="007719DA">
      <w:pPr>
        <w:rPr>
          <w:sz w:val="20"/>
        </w:rPr>
      </w:pPr>
    </w:p>
    <w:p w:rsidR="007719DA" w:rsidRPr="005D0056" w:rsidRDefault="007719DA" w:rsidP="007719DA">
      <w:pPr>
        <w:pStyle w:val="ScheduleHeading"/>
      </w:pPr>
      <w:r w:rsidRPr="005D0056">
        <w:t>SCHEDULE</w:t>
      </w:r>
    </w:p>
    <w:p w:rsidR="007719DA" w:rsidRPr="005D0056" w:rsidRDefault="007719DA" w:rsidP="007719DA">
      <w:pPr>
        <w:widowControl/>
        <w:rPr>
          <w:sz w:val="20"/>
        </w:rPr>
      </w:pPr>
    </w:p>
    <w:p w:rsidR="007719DA" w:rsidRDefault="007719DA" w:rsidP="007719DA">
      <w:pPr>
        <w:pStyle w:val="Clause"/>
      </w:pPr>
      <w:r w:rsidRPr="00B430BA">
        <w:rPr>
          <w:b/>
          <w:bCs/>
        </w:rPr>
        <w:t>[1]</w:t>
      </w:r>
      <w:r w:rsidRPr="005D0056">
        <w:tab/>
      </w:r>
      <w:r w:rsidRPr="00BA1696">
        <w:rPr>
          <w:b/>
          <w:bCs/>
        </w:rPr>
        <w:t>Standard 1.1.1</w:t>
      </w:r>
      <w:r w:rsidRPr="005D0056">
        <w:t xml:space="preserve"> is varied by</w:t>
      </w:r>
    </w:p>
    <w:p w:rsidR="007719DA" w:rsidRDefault="007719DA" w:rsidP="007719DA">
      <w:pPr>
        <w:pStyle w:val="Clause"/>
      </w:pPr>
    </w:p>
    <w:p w:rsidR="007719DA" w:rsidRPr="00D37B67" w:rsidRDefault="007719DA" w:rsidP="007719DA">
      <w:pPr>
        <w:pStyle w:val="Clause"/>
      </w:pPr>
      <w:r>
        <w:rPr>
          <w:bCs/>
        </w:rPr>
        <w:t>[1.1]</w:t>
      </w:r>
      <w:r>
        <w:rPr>
          <w:bCs/>
        </w:rPr>
        <w:tab/>
      </w:r>
      <w:r>
        <w:t>inserting in clause 2</w:t>
      </w:r>
      <w:r w:rsidRPr="00D37B67">
        <w:t xml:space="preserve"> in alphabetical order</w:t>
      </w:r>
    </w:p>
    <w:p w:rsidR="007719DA" w:rsidRPr="00D37B67" w:rsidRDefault="007719DA" w:rsidP="007719DA">
      <w:pPr>
        <w:pStyle w:val="Clause"/>
      </w:pPr>
    </w:p>
    <w:p w:rsidR="007719DA" w:rsidRPr="007C0549" w:rsidRDefault="007719DA" w:rsidP="007719DA">
      <w:pPr>
        <w:pStyle w:val="Definition"/>
      </w:pPr>
      <w:r w:rsidRPr="00D37B67">
        <w:t>“</w:t>
      </w:r>
      <w:proofErr w:type="gramStart"/>
      <w:r w:rsidRPr="00D37B67">
        <w:rPr>
          <w:b/>
        </w:rPr>
        <w:t>ready-to</w:t>
      </w:r>
      <w:r w:rsidRPr="00E6670E">
        <w:rPr>
          <w:b/>
        </w:rPr>
        <w:t>-eat</w:t>
      </w:r>
      <w:proofErr w:type="gramEnd"/>
      <w:r w:rsidRPr="00D37B67">
        <w:rPr>
          <w:b/>
        </w:rPr>
        <w:t xml:space="preserve"> </w:t>
      </w:r>
      <w:r w:rsidRPr="00D37B67">
        <w:t xml:space="preserve">in relation to food means food that is </w:t>
      </w:r>
      <w:r w:rsidRPr="00D37B67">
        <w:rPr>
          <w:lang w:eastAsia="en-GB"/>
        </w:rPr>
        <w:t>ordinarily consumed in the same state as that in which it is sold</w:t>
      </w:r>
      <w:r w:rsidRPr="007C0549">
        <w:rPr>
          <w:lang w:eastAsia="en-GB"/>
        </w:rPr>
        <w:t>, and</w:t>
      </w:r>
      <w:r w:rsidRPr="007C0549">
        <w:t xml:space="preserve"> –</w:t>
      </w:r>
    </w:p>
    <w:p w:rsidR="007719DA" w:rsidRPr="005D0056" w:rsidRDefault="007719DA" w:rsidP="007719DA">
      <w:pPr>
        <w:pStyle w:val="Definition"/>
        <w:rPr>
          <w:b/>
          <w:bCs/>
        </w:rPr>
      </w:pPr>
    </w:p>
    <w:p w:rsidR="007719DA" w:rsidRPr="003F1E3A" w:rsidRDefault="007719DA" w:rsidP="007719DA">
      <w:pPr>
        <w:pStyle w:val="Subparagraph"/>
      </w:pPr>
      <w:r w:rsidRPr="00AD0130">
        <w:t>(a)</w:t>
      </w:r>
      <w:r w:rsidRPr="00AD0130">
        <w:tab/>
      </w:r>
      <w:proofErr w:type="gramStart"/>
      <w:r w:rsidRPr="00AD0130">
        <w:t>does</w:t>
      </w:r>
      <w:proofErr w:type="gramEnd"/>
      <w:r w:rsidRPr="00AD0130">
        <w:t xml:space="preserve"> not require further </w:t>
      </w:r>
      <w:r w:rsidRPr="007D5C61">
        <w:t xml:space="preserve">processing (such as cooking), but may be defrosted, reheated </w:t>
      </w:r>
      <w:r w:rsidRPr="00D37B67">
        <w:t>or portioned before consumption; and</w:t>
      </w:r>
    </w:p>
    <w:p w:rsidR="007719DA" w:rsidRPr="005D0056" w:rsidRDefault="007719DA" w:rsidP="007719DA">
      <w:pPr>
        <w:pStyle w:val="Subparagraph"/>
      </w:pPr>
      <w:r w:rsidRPr="007C0549">
        <w:rPr>
          <w:lang w:eastAsia="en-GB"/>
        </w:rPr>
        <w:t>(b)</w:t>
      </w:r>
      <w:r w:rsidRPr="007C0549">
        <w:rPr>
          <w:lang w:eastAsia="en-GB"/>
        </w:rPr>
        <w:tab/>
      </w:r>
      <w:proofErr w:type="gramStart"/>
      <w:r w:rsidRPr="007C0549">
        <w:rPr>
          <w:lang w:eastAsia="en-GB"/>
        </w:rPr>
        <w:t>does</w:t>
      </w:r>
      <w:proofErr w:type="gramEnd"/>
      <w:r w:rsidRPr="007C0549">
        <w:rPr>
          <w:lang w:eastAsia="en-GB"/>
        </w:rPr>
        <w:t xml:space="preserve"> not include nuts in the shell and whole, raw fruits and vegetables that are intended for</w:t>
      </w:r>
      <w:r w:rsidRPr="00AD0130">
        <w:rPr>
          <w:lang w:eastAsia="en-GB"/>
        </w:rPr>
        <w:t xml:space="preserve"> hulling, peeling or washing by the consumer.</w:t>
      </w:r>
      <w:r w:rsidRPr="00AD0130">
        <w:t>”</w:t>
      </w:r>
    </w:p>
    <w:p w:rsidR="007719DA" w:rsidRPr="003F1E3A" w:rsidRDefault="007719DA" w:rsidP="007719DA">
      <w:pPr>
        <w:pStyle w:val="Clause"/>
      </w:pPr>
    </w:p>
    <w:p w:rsidR="007719DA" w:rsidRPr="008C16CF" w:rsidRDefault="007719DA" w:rsidP="007719DA">
      <w:pPr>
        <w:pStyle w:val="Clause"/>
      </w:pPr>
      <w:r w:rsidRPr="008C16CF">
        <w:t>[1.2]</w:t>
      </w:r>
      <w:r w:rsidRPr="008C16CF">
        <w:tab/>
        <w:t xml:space="preserve">inserting into the Table </w:t>
      </w:r>
      <w:r>
        <w:t xml:space="preserve">to </w:t>
      </w:r>
      <w:r w:rsidRPr="008C16CF">
        <w:t xml:space="preserve">clause 8, </w:t>
      </w:r>
      <w:r>
        <w:t>after the entry for “cfu/g”</w:t>
      </w:r>
    </w:p>
    <w:p w:rsidR="007719DA" w:rsidRPr="008C16CF" w:rsidRDefault="007719DA" w:rsidP="007719DA">
      <w:pPr>
        <w:rPr>
          <w:sz w:val="20"/>
        </w:rPr>
      </w:pPr>
    </w:p>
    <w:p w:rsidR="007719DA" w:rsidRDefault="007719DA" w:rsidP="007719DA">
      <w:pPr>
        <w:tabs>
          <w:tab w:val="left" w:pos="0"/>
        </w:tabs>
        <w:rPr>
          <w:sz w:val="20"/>
        </w:rPr>
      </w:pPr>
      <w:r>
        <w:rPr>
          <w:sz w:val="20"/>
        </w:rPr>
        <w:tab/>
      </w:r>
      <w:r w:rsidRPr="008C16CF">
        <w:rPr>
          <w:sz w:val="20"/>
        </w:rPr>
        <w:t>“</w:t>
      </w:r>
    </w:p>
    <w:tbl>
      <w:tblPr>
        <w:tblW w:w="0" w:type="auto"/>
        <w:jc w:val="center"/>
        <w:tblInd w:w="-140" w:type="dxa"/>
        <w:tblLayout w:type="fixed"/>
        <w:tblLook w:val="0000" w:firstRow="0" w:lastRow="0" w:firstColumn="0" w:lastColumn="0" w:noHBand="0" w:noVBand="0"/>
      </w:tblPr>
      <w:tblGrid>
        <w:gridCol w:w="3542"/>
        <w:gridCol w:w="3402"/>
      </w:tblGrid>
      <w:tr w:rsidR="007719DA" w:rsidTr="00532BDB">
        <w:trPr>
          <w:jc w:val="center"/>
        </w:trPr>
        <w:tc>
          <w:tcPr>
            <w:tcW w:w="3542" w:type="dxa"/>
          </w:tcPr>
          <w:p w:rsidR="007719DA" w:rsidRPr="00E6670E" w:rsidRDefault="007719DA" w:rsidP="00532BDB">
            <w:pPr>
              <w:pStyle w:val="Table2"/>
            </w:pPr>
            <w:r w:rsidRPr="00E6670E">
              <w:t>cfu/m</w:t>
            </w:r>
            <w:r>
              <w:t>L</w:t>
            </w:r>
          </w:p>
        </w:tc>
        <w:tc>
          <w:tcPr>
            <w:tcW w:w="3402" w:type="dxa"/>
          </w:tcPr>
          <w:p w:rsidR="007719DA" w:rsidRPr="00E6670E" w:rsidRDefault="007719DA" w:rsidP="00532BDB">
            <w:pPr>
              <w:pStyle w:val="Table2"/>
            </w:pPr>
            <w:r w:rsidRPr="00E6670E">
              <w:t>colony forming units per mil</w:t>
            </w:r>
            <w:r>
              <w:t>l</w:t>
            </w:r>
            <w:r w:rsidRPr="00E6670E">
              <w:t>ilitre</w:t>
            </w:r>
          </w:p>
        </w:tc>
      </w:tr>
    </w:tbl>
    <w:p w:rsidR="007719DA" w:rsidRPr="008C16CF" w:rsidRDefault="007719DA" w:rsidP="007719DA">
      <w:pPr>
        <w:jc w:val="center"/>
        <w:rPr>
          <w:sz w:val="20"/>
        </w:rPr>
      </w:pP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t xml:space="preserve">     ”</w:t>
      </w:r>
    </w:p>
    <w:p w:rsidR="007719DA" w:rsidRPr="00E6670E" w:rsidRDefault="007719DA" w:rsidP="007719DA">
      <w:pPr>
        <w:pStyle w:val="Clause"/>
      </w:pPr>
    </w:p>
    <w:p w:rsidR="007719DA" w:rsidRPr="005D0056" w:rsidRDefault="007719DA" w:rsidP="007719DA">
      <w:pPr>
        <w:pStyle w:val="Subclause"/>
      </w:pPr>
      <w:r w:rsidRPr="00B430BA">
        <w:rPr>
          <w:rStyle w:val="ClauseChar"/>
          <w:b/>
          <w:bCs/>
        </w:rPr>
        <w:t>[2]</w:t>
      </w:r>
      <w:r w:rsidRPr="00E6670E">
        <w:tab/>
      </w:r>
      <w:r w:rsidRPr="00BA1696">
        <w:rPr>
          <w:rStyle w:val="ClauseChar"/>
          <w:b/>
          <w:bCs/>
        </w:rPr>
        <w:t>Standard 1.6.1</w:t>
      </w:r>
      <w:r>
        <w:t xml:space="preserve"> is varied by</w:t>
      </w:r>
    </w:p>
    <w:p w:rsidR="007719DA" w:rsidRPr="00E6670E" w:rsidRDefault="007719DA" w:rsidP="007719DA">
      <w:pPr>
        <w:pStyle w:val="Clause"/>
      </w:pPr>
    </w:p>
    <w:p w:rsidR="007719DA" w:rsidRDefault="007719DA" w:rsidP="007719DA">
      <w:pPr>
        <w:pStyle w:val="Clause"/>
      </w:pPr>
      <w:r>
        <w:t>[2.1]</w:t>
      </w:r>
      <w:r>
        <w:tab/>
      </w:r>
      <w:r w:rsidRPr="00BC3497">
        <w:t>omitting the heading of the Standard</w:t>
      </w:r>
      <w:r>
        <w:t xml:space="preserve"> “Microbiological Limits </w:t>
      </w:r>
      <w:proofErr w:type="gramStart"/>
      <w:r>
        <w:t>For</w:t>
      </w:r>
      <w:proofErr w:type="gramEnd"/>
      <w:r>
        <w:t xml:space="preserve"> Food” and substituting “Microbiological Limits in Food”</w:t>
      </w:r>
    </w:p>
    <w:p w:rsidR="007719DA" w:rsidRPr="00695578" w:rsidRDefault="007719DA" w:rsidP="007719DA">
      <w:pPr>
        <w:pStyle w:val="Clause"/>
      </w:pPr>
    </w:p>
    <w:p w:rsidR="007719DA" w:rsidRDefault="007719DA" w:rsidP="007719DA">
      <w:pPr>
        <w:pStyle w:val="Clause"/>
      </w:pPr>
      <w:r w:rsidRPr="005D0056">
        <w:t>[</w:t>
      </w:r>
      <w:r>
        <w:t>2</w:t>
      </w:r>
      <w:r w:rsidRPr="005D0056">
        <w:t>.</w:t>
      </w:r>
      <w:r>
        <w:t>2</w:t>
      </w:r>
      <w:r w:rsidRPr="005D0056">
        <w:t>]</w:t>
      </w:r>
      <w:r w:rsidRPr="005D0056">
        <w:tab/>
        <w:t>omitting the Purpose</w:t>
      </w:r>
      <w:r>
        <w:t xml:space="preserve"> and substituting</w:t>
      </w:r>
    </w:p>
    <w:p w:rsidR="007719DA" w:rsidRPr="00695578" w:rsidRDefault="007719DA" w:rsidP="007719DA">
      <w:pPr>
        <w:pStyle w:val="Clause"/>
      </w:pPr>
    </w:p>
    <w:p w:rsidR="007719DA" w:rsidRDefault="007719DA" w:rsidP="007719DA">
      <w:pPr>
        <w:pStyle w:val="Clauseheading"/>
      </w:pPr>
      <w:r w:rsidRPr="00DA7808">
        <w:rPr>
          <w:b w:val="0"/>
        </w:rPr>
        <w:t>“</w:t>
      </w:r>
      <w:r w:rsidRPr="004E2CDB">
        <w:t>Purpose</w:t>
      </w:r>
    </w:p>
    <w:p w:rsidR="007719DA" w:rsidRPr="007572E5" w:rsidRDefault="007719DA" w:rsidP="007719DA">
      <w:pPr>
        <w:rPr>
          <w:sz w:val="20"/>
        </w:rPr>
      </w:pPr>
    </w:p>
    <w:p w:rsidR="007719DA" w:rsidRDefault="007719DA" w:rsidP="007719DA">
      <w:pPr>
        <w:rPr>
          <w:sz w:val="20"/>
        </w:rPr>
      </w:pPr>
      <w:r w:rsidRPr="00837D56">
        <w:rPr>
          <w:sz w:val="20"/>
        </w:rPr>
        <w:t>This Standard specifies microbiological food safety criteria</w:t>
      </w:r>
      <w:r>
        <w:rPr>
          <w:sz w:val="20"/>
        </w:rPr>
        <w:t>,</w:t>
      </w:r>
      <w:r w:rsidRPr="00837D56">
        <w:rPr>
          <w:sz w:val="20"/>
        </w:rPr>
        <w:t xml:space="preserve"> which define the acceptability of a lot or consignment of food for sale or intended for sale. The Schedule to the Standard sets out sampling plans and the limits that a lot or consignment of food must comply with when sampled. Foods that fail to meet these limits may pose a risk to human health and </w:t>
      </w:r>
      <w:r>
        <w:rPr>
          <w:sz w:val="20"/>
        </w:rPr>
        <w:t>must</w:t>
      </w:r>
      <w:r w:rsidRPr="00837D56">
        <w:rPr>
          <w:sz w:val="20"/>
        </w:rPr>
        <w:t xml:space="preserve"> not be offered for sale.</w:t>
      </w:r>
      <w:r>
        <w:rPr>
          <w:sz w:val="20"/>
        </w:rPr>
        <w:t>”</w:t>
      </w:r>
    </w:p>
    <w:p w:rsidR="007719DA" w:rsidRDefault="007719DA" w:rsidP="007719DA">
      <w:pPr>
        <w:rPr>
          <w:sz w:val="20"/>
        </w:rPr>
      </w:pPr>
    </w:p>
    <w:p w:rsidR="007719DA" w:rsidRDefault="007719DA" w:rsidP="007719DA">
      <w:pPr>
        <w:pStyle w:val="Clause"/>
      </w:pPr>
      <w:r>
        <w:t>[2.3]</w:t>
      </w:r>
      <w:r>
        <w:tab/>
        <w:t>inserting in clause 1, in alphabetical order</w:t>
      </w:r>
    </w:p>
    <w:p w:rsidR="007719DA" w:rsidRDefault="007719DA" w:rsidP="007719DA">
      <w:pPr>
        <w:pStyle w:val="Clause"/>
      </w:pPr>
    </w:p>
    <w:p w:rsidR="007719DA" w:rsidRDefault="007719DA" w:rsidP="007719DA">
      <w:pPr>
        <w:pStyle w:val="Definition"/>
        <w:rPr>
          <w:iCs/>
        </w:rPr>
      </w:pPr>
      <w:r w:rsidRPr="00AF173B">
        <w:t>“</w:t>
      </w:r>
      <w:proofErr w:type="gramStart"/>
      <w:r w:rsidRPr="00811C6E">
        <w:rPr>
          <w:b/>
        </w:rPr>
        <w:t>listericidal</w:t>
      </w:r>
      <w:proofErr w:type="gramEnd"/>
      <w:r w:rsidRPr="00811C6E">
        <w:rPr>
          <w:b/>
        </w:rPr>
        <w:t xml:space="preserve"> treatment</w:t>
      </w:r>
      <w:r>
        <w:t xml:space="preserve"> means a process that can eliminate </w:t>
      </w:r>
      <w:r w:rsidRPr="00A52EDC">
        <w:rPr>
          <w:i/>
          <w:iCs/>
        </w:rPr>
        <w:t>Listeria monocytogenes</w:t>
      </w:r>
      <w:r>
        <w:rPr>
          <w:iCs/>
        </w:rPr>
        <w:t>.”</w:t>
      </w:r>
    </w:p>
    <w:p w:rsidR="007719DA" w:rsidRPr="00031DD4" w:rsidRDefault="007719DA" w:rsidP="007719DA">
      <w:pPr>
        <w:rPr>
          <w:sz w:val="20"/>
        </w:rPr>
      </w:pPr>
    </w:p>
    <w:p w:rsidR="007719DA" w:rsidRDefault="007719DA" w:rsidP="007719DA">
      <w:pPr>
        <w:pStyle w:val="Definition"/>
      </w:pPr>
      <w:r>
        <w:t>“</w:t>
      </w:r>
      <w:r w:rsidRPr="00811C6E">
        <w:rPr>
          <w:b/>
        </w:rPr>
        <w:t>MPN</w:t>
      </w:r>
      <w:r>
        <w:t xml:space="preserve"> means the most probable number.”</w:t>
      </w:r>
    </w:p>
    <w:p w:rsidR="007719DA" w:rsidRDefault="007719DA" w:rsidP="007719DA">
      <w:pPr>
        <w:rPr>
          <w:sz w:val="20"/>
        </w:rPr>
      </w:pPr>
    </w:p>
    <w:p w:rsidR="007719DA" w:rsidRDefault="007719DA" w:rsidP="007719DA">
      <w:pPr>
        <w:pStyle w:val="Clause"/>
      </w:pPr>
      <w:r w:rsidRPr="005D0056">
        <w:t>[</w:t>
      </w:r>
      <w:r>
        <w:t>2</w:t>
      </w:r>
      <w:r w:rsidRPr="005D0056">
        <w:t>.</w:t>
      </w:r>
      <w:r>
        <w:t>4</w:t>
      </w:r>
      <w:r w:rsidRPr="005D0056">
        <w:t>]</w:t>
      </w:r>
      <w:r w:rsidRPr="005D0056">
        <w:tab/>
      </w:r>
      <w:r>
        <w:t>omitting the definition of microorganism from clause 1 and substituting</w:t>
      </w:r>
    </w:p>
    <w:p w:rsidR="007719DA" w:rsidRDefault="007719DA" w:rsidP="007719DA">
      <w:pPr>
        <w:pStyle w:val="Clause"/>
      </w:pPr>
    </w:p>
    <w:p w:rsidR="007719DA" w:rsidRDefault="007719DA" w:rsidP="007719DA">
      <w:pPr>
        <w:pStyle w:val="Definition"/>
      </w:pPr>
      <w:r>
        <w:t>“</w:t>
      </w:r>
      <w:proofErr w:type="gramStart"/>
      <w:r>
        <w:rPr>
          <w:b/>
        </w:rPr>
        <w:t>microorganism</w:t>
      </w:r>
      <w:proofErr w:type="gramEnd"/>
      <w:r>
        <w:t xml:space="preserve"> means a microbiological agent, test or toxin listed in Column 2 of the Schedule.”</w:t>
      </w:r>
    </w:p>
    <w:p w:rsidR="007719DA" w:rsidRDefault="007719DA" w:rsidP="007719DA">
      <w:pPr>
        <w:pStyle w:val="Clause"/>
      </w:pPr>
    </w:p>
    <w:p w:rsidR="007719DA" w:rsidRPr="00F278A7" w:rsidRDefault="007719DA" w:rsidP="007719DA">
      <w:pPr>
        <w:pStyle w:val="Clause"/>
      </w:pPr>
      <w:r>
        <w:t>[2.5]</w:t>
      </w:r>
      <w:r>
        <w:tab/>
        <w:t>omitting clauses 2 to 5 and substituting</w:t>
      </w:r>
    </w:p>
    <w:p w:rsidR="009E0993" w:rsidRDefault="009E0993" w:rsidP="007719DA">
      <w:pPr>
        <w:rPr>
          <w:sz w:val="20"/>
        </w:rPr>
      </w:pPr>
      <w:r>
        <w:rPr>
          <w:sz w:val="20"/>
        </w:rPr>
        <w:br w:type="page"/>
      </w:r>
    </w:p>
    <w:p w:rsidR="007719DA" w:rsidRPr="00A52EDC" w:rsidRDefault="007719DA" w:rsidP="007719DA">
      <w:pPr>
        <w:pStyle w:val="Clauseheading"/>
      </w:pPr>
      <w:r w:rsidRPr="00AF173B">
        <w:rPr>
          <w:b w:val="0"/>
        </w:rPr>
        <w:lastRenderedPageBreak/>
        <w:t>“</w:t>
      </w:r>
      <w:r>
        <w:t>2</w:t>
      </w:r>
      <w:r>
        <w:tab/>
      </w:r>
      <w:r w:rsidRPr="00A52EDC">
        <w:t>Application to stock in trade</w:t>
      </w:r>
    </w:p>
    <w:p w:rsidR="007719DA" w:rsidRPr="00A52EDC" w:rsidRDefault="007719DA" w:rsidP="007719DA">
      <w:pPr>
        <w:pStyle w:val="Clause"/>
      </w:pPr>
    </w:p>
    <w:p w:rsidR="007719DA" w:rsidRDefault="007719DA" w:rsidP="007719DA">
      <w:pPr>
        <w:pStyle w:val="Clause"/>
      </w:pPr>
      <w:r w:rsidRPr="00A52EDC">
        <w:t xml:space="preserve">Subclause 1(2) of Standard 1.1.1 does not apply in relation to any variation made by Food Standards (Proposal P1017 – Criteria for </w:t>
      </w:r>
      <w:r w:rsidRPr="00E6670E">
        <w:rPr>
          <w:i/>
        </w:rPr>
        <w:t>Listeria monocytogenes</w:t>
      </w:r>
      <w:r w:rsidRPr="00A52EDC">
        <w:t xml:space="preserve"> – Microbiological Limits for Foods) Variation.</w:t>
      </w:r>
    </w:p>
    <w:p w:rsidR="007719DA" w:rsidRPr="00A7433E" w:rsidRDefault="007719DA" w:rsidP="007719DA">
      <w:pPr>
        <w:rPr>
          <w:sz w:val="20"/>
        </w:rPr>
      </w:pPr>
    </w:p>
    <w:p w:rsidR="007719DA" w:rsidRDefault="007719DA" w:rsidP="007719DA">
      <w:pPr>
        <w:pStyle w:val="Clauseheading"/>
      </w:pPr>
      <w:r w:rsidRPr="00AB359A">
        <w:rPr>
          <w:bCs/>
        </w:rPr>
        <w:t>3</w:t>
      </w:r>
      <w:r>
        <w:rPr>
          <w:bCs/>
        </w:rPr>
        <w:tab/>
      </w:r>
      <w:r>
        <w:rPr>
          <w:lang w:eastAsia="en-GB"/>
        </w:rPr>
        <w:t>Sampling of food for microbiological</w:t>
      </w:r>
      <w:r w:rsidRPr="003E7F27">
        <w:rPr>
          <w:lang w:eastAsia="en-GB"/>
        </w:rPr>
        <w:t xml:space="preserve"> analysis</w:t>
      </w:r>
    </w:p>
    <w:p w:rsidR="007719DA" w:rsidRDefault="007719DA" w:rsidP="007719DA">
      <w:pPr>
        <w:pStyle w:val="Clause"/>
      </w:pPr>
    </w:p>
    <w:p w:rsidR="007719DA" w:rsidRDefault="007719DA" w:rsidP="007719DA">
      <w:pPr>
        <w:pStyle w:val="Subclause"/>
      </w:pPr>
      <w:r>
        <w:t>(1)</w:t>
      </w:r>
      <w:r>
        <w:tab/>
      </w:r>
      <w:r w:rsidRPr="00AB359A">
        <w:t xml:space="preserve">At the point of sampling, the number of sample units to be taken from a lot of food must be equal to the number specified in </w:t>
      </w:r>
      <w:r>
        <w:t>C</w:t>
      </w:r>
      <w:r w:rsidRPr="00AB359A">
        <w:t>olumn 3 of the Schedule in relation to the food.</w:t>
      </w:r>
    </w:p>
    <w:p w:rsidR="007719DA" w:rsidRDefault="007719DA" w:rsidP="007719DA">
      <w:pPr>
        <w:pStyle w:val="Subclause"/>
      </w:pPr>
    </w:p>
    <w:p w:rsidR="007719DA" w:rsidRPr="00394EAD" w:rsidRDefault="007719DA" w:rsidP="007719DA">
      <w:pPr>
        <w:pStyle w:val="Subclause"/>
      </w:pPr>
      <w:r w:rsidRPr="00394EAD">
        <w:t>(2)</w:t>
      </w:r>
      <w:r w:rsidRPr="00394EAD">
        <w:tab/>
        <w:t>An authorised officer who takes or otherwise obtains a sample of food for the purpose of submitting it for microbiological analysis –</w:t>
      </w:r>
    </w:p>
    <w:p w:rsidR="007719DA" w:rsidRPr="00394EAD" w:rsidRDefault="007719DA" w:rsidP="007719DA">
      <w:pPr>
        <w:pStyle w:val="Clause"/>
      </w:pPr>
    </w:p>
    <w:p w:rsidR="007719DA" w:rsidRPr="00394EAD" w:rsidRDefault="007719DA" w:rsidP="007719DA">
      <w:pPr>
        <w:pStyle w:val="Paragraph"/>
      </w:pPr>
      <w:r w:rsidRPr="00394EAD">
        <w:t>(a)</w:t>
      </w:r>
      <w:r w:rsidRPr="00394EAD">
        <w:tab/>
      </w:r>
      <w:proofErr w:type="gramStart"/>
      <w:r w:rsidRPr="00394EAD">
        <w:t>shall</w:t>
      </w:r>
      <w:proofErr w:type="gramEnd"/>
      <w:r w:rsidRPr="00394EAD">
        <w:t xml:space="preserve"> not divide that sample into separate parts; and</w:t>
      </w:r>
    </w:p>
    <w:p w:rsidR="007719DA" w:rsidRPr="00394EAD" w:rsidRDefault="007719DA" w:rsidP="007719DA">
      <w:pPr>
        <w:pStyle w:val="Paragraph"/>
      </w:pPr>
      <w:r w:rsidRPr="00394EAD">
        <w:t>(b)</w:t>
      </w:r>
      <w:r w:rsidRPr="00394EAD">
        <w:tab/>
      </w:r>
      <w:proofErr w:type="gramStart"/>
      <w:r w:rsidRPr="00394EAD">
        <w:t>where</w:t>
      </w:r>
      <w:proofErr w:type="gramEnd"/>
      <w:r w:rsidRPr="00394EAD">
        <w:t xml:space="preserve"> the sample consists of one or more than one sealed package of a kind ordinarily sold by retail, must submit for such analysis that sample in that package or those packages in an unopened and intact condition.</w:t>
      </w:r>
    </w:p>
    <w:p w:rsidR="007719DA" w:rsidRPr="00394EAD" w:rsidRDefault="007719DA" w:rsidP="007719DA">
      <w:pPr>
        <w:pStyle w:val="Subclause"/>
      </w:pPr>
    </w:p>
    <w:p w:rsidR="007719DA" w:rsidRPr="00394EAD" w:rsidRDefault="007719DA" w:rsidP="007719DA">
      <w:pPr>
        <w:pStyle w:val="Subclause"/>
      </w:pPr>
      <w:r w:rsidRPr="00394EAD">
        <w:t>(3)</w:t>
      </w:r>
      <w:r w:rsidRPr="00394EAD">
        <w:tab/>
        <w:t>Where an authorised officer takes or otherwise obtains a sample of food which is the subject of a suspected food poisoning incident or consumer complaint, the results of an analysis conducted on such food are not invalid by reason that fewer sample units than prescribed have been analysed or that a sample unit analysed is smaller than prescribed.</w:t>
      </w:r>
    </w:p>
    <w:p w:rsidR="007719DA" w:rsidRPr="005210AB" w:rsidRDefault="007719DA" w:rsidP="007719DA">
      <w:pPr>
        <w:pStyle w:val="Clause"/>
      </w:pPr>
    </w:p>
    <w:p w:rsidR="007719DA" w:rsidRPr="0085659B" w:rsidRDefault="007719DA" w:rsidP="007719DA">
      <w:pPr>
        <w:pStyle w:val="Clauseheading"/>
      </w:pPr>
      <w:r>
        <w:rPr>
          <w:lang w:eastAsia="en-GB"/>
        </w:rPr>
        <w:t>4</w:t>
      </w:r>
      <w:r w:rsidRPr="003E7F27">
        <w:rPr>
          <w:lang w:eastAsia="en-GB"/>
        </w:rPr>
        <w:tab/>
      </w:r>
      <w:r w:rsidRPr="00F278A7">
        <w:rPr>
          <w:lang w:eastAsia="en-GB"/>
        </w:rPr>
        <w:t xml:space="preserve">Reference methods </w:t>
      </w:r>
      <w:r w:rsidRPr="00D37B67">
        <w:rPr>
          <w:lang w:eastAsia="en-GB"/>
        </w:rPr>
        <w:t>of analysis</w:t>
      </w:r>
    </w:p>
    <w:p w:rsidR="007719DA" w:rsidRPr="00FD5AFA" w:rsidRDefault="007719DA" w:rsidP="007719DA">
      <w:pPr>
        <w:pStyle w:val="Clause"/>
      </w:pPr>
    </w:p>
    <w:p w:rsidR="007719DA" w:rsidRDefault="007719DA" w:rsidP="007719DA">
      <w:pPr>
        <w:pStyle w:val="Clause"/>
      </w:pPr>
      <w:r>
        <w:t>The following Australian Standard (AS) and Australian New Zealand (AS/NZS) reference methods, as in force at the commencement of this provision, must be used to determine whether a food has exceeded the maximum permissible levels of foodborne microorganisms specified in the Schedule in relation to that food –</w:t>
      </w:r>
    </w:p>
    <w:p w:rsidR="007719DA" w:rsidRDefault="007719DA" w:rsidP="007719DA">
      <w:pPr>
        <w:rPr>
          <w:sz w:val="20"/>
        </w:rPr>
      </w:pPr>
    </w:p>
    <w:p w:rsidR="007719DA" w:rsidRDefault="007719DA" w:rsidP="007719DA">
      <w:pPr>
        <w:pStyle w:val="Paragraph"/>
      </w:pPr>
      <w:r>
        <w:t>(a)</w:t>
      </w:r>
      <w:r>
        <w:tab/>
      </w:r>
      <w:proofErr w:type="gramStart"/>
      <w:r>
        <w:t>the</w:t>
      </w:r>
      <w:proofErr w:type="gramEnd"/>
      <w:r>
        <w:t xml:space="preserve"> methods prescribed by AS 5013; or</w:t>
      </w:r>
    </w:p>
    <w:p w:rsidR="007719DA" w:rsidRDefault="007719DA" w:rsidP="007719DA">
      <w:pPr>
        <w:pStyle w:val="Paragraph"/>
        <w:rPr>
          <w:sz w:val="22"/>
          <w:szCs w:val="22"/>
        </w:rPr>
      </w:pPr>
      <w:r>
        <w:t>(b)</w:t>
      </w:r>
      <w:r>
        <w:tab/>
      </w:r>
      <w:proofErr w:type="gramStart"/>
      <w:r>
        <w:t>any</w:t>
      </w:r>
      <w:proofErr w:type="gramEnd"/>
      <w:r>
        <w:t xml:space="preserve"> equivalent method as determined by AS/NZS 4659; or</w:t>
      </w:r>
    </w:p>
    <w:p w:rsidR="007719DA" w:rsidRDefault="007719DA" w:rsidP="007719DA">
      <w:pPr>
        <w:pStyle w:val="Paragraph"/>
      </w:pPr>
      <w:r>
        <w:t>(c)</w:t>
      </w:r>
      <w:r>
        <w:tab/>
      </w:r>
      <w:proofErr w:type="gramStart"/>
      <w:r w:rsidRPr="006D2D9C">
        <w:t>for</w:t>
      </w:r>
      <w:proofErr w:type="gramEnd"/>
      <w:r>
        <w:t xml:space="preserve"> packaged water, packaged ice or mineral water—AS/NZS 4276.</w:t>
      </w:r>
    </w:p>
    <w:p w:rsidR="007719DA" w:rsidRDefault="007719DA" w:rsidP="007719DA">
      <w:pPr>
        <w:rPr>
          <w:sz w:val="20"/>
        </w:rPr>
      </w:pPr>
    </w:p>
    <w:p w:rsidR="007719DA" w:rsidRPr="001F0835" w:rsidRDefault="007719DA" w:rsidP="007719DA">
      <w:pPr>
        <w:pStyle w:val="Clauseheading"/>
      </w:pPr>
      <w:r>
        <w:t>5</w:t>
      </w:r>
      <w:r>
        <w:tab/>
      </w:r>
      <w:r w:rsidRPr="001F0835">
        <w:t xml:space="preserve">Microbiological limits </w:t>
      </w:r>
      <w:r>
        <w:t>in foods</w:t>
      </w:r>
    </w:p>
    <w:p w:rsidR="007719DA" w:rsidRPr="00207528" w:rsidRDefault="007719DA" w:rsidP="007719DA">
      <w:pPr>
        <w:rPr>
          <w:sz w:val="20"/>
        </w:rPr>
      </w:pPr>
    </w:p>
    <w:p w:rsidR="007719DA" w:rsidRPr="001F0835" w:rsidRDefault="007719DA" w:rsidP="007719DA">
      <w:pPr>
        <w:pStyle w:val="Clause"/>
      </w:pPr>
      <w:r>
        <w:t>(1)</w:t>
      </w:r>
      <w:r>
        <w:tab/>
      </w:r>
      <w:r w:rsidRPr="001F0835">
        <w:t xml:space="preserve">A food that is listed in </w:t>
      </w:r>
      <w:r>
        <w:t>C</w:t>
      </w:r>
      <w:r w:rsidRPr="001F0835">
        <w:t>olumn 1 of the Schedule in this Standard must comply with th</w:t>
      </w:r>
      <w:r>
        <w:t>is Standard, including the</w:t>
      </w:r>
      <w:r w:rsidRPr="001F0835">
        <w:t xml:space="preserve"> microbiological limits set in relation to that food in the Schedule.</w:t>
      </w:r>
    </w:p>
    <w:p w:rsidR="007719DA" w:rsidRPr="00A52EDC" w:rsidRDefault="007719DA" w:rsidP="007719DA">
      <w:pPr>
        <w:pStyle w:val="Clause"/>
      </w:pPr>
    </w:p>
    <w:p w:rsidR="007719DA" w:rsidRDefault="007719DA" w:rsidP="007719DA">
      <w:pPr>
        <w:pStyle w:val="Clause"/>
      </w:pPr>
      <w:r>
        <w:t>(2)</w:t>
      </w:r>
      <w:r>
        <w:tab/>
      </w:r>
      <w:r w:rsidRPr="00207528">
        <w:t xml:space="preserve">A food </w:t>
      </w:r>
      <w:r>
        <w:t>does not comply with this Standard if –</w:t>
      </w:r>
    </w:p>
    <w:p w:rsidR="007719DA" w:rsidRPr="00DD3B49" w:rsidRDefault="007719DA" w:rsidP="007719DA">
      <w:pPr>
        <w:pStyle w:val="Clause"/>
      </w:pPr>
    </w:p>
    <w:p w:rsidR="007719DA" w:rsidRDefault="007719DA" w:rsidP="007719DA">
      <w:pPr>
        <w:pStyle w:val="Paragraph"/>
      </w:pPr>
      <w:r>
        <w:t>(a)</w:t>
      </w:r>
      <w:r>
        <w:tab/>
        <w:t>the number of defective sample units taken from a lot of that food is greater than the number specified in Column 4 of the Schedule; or</w:t>
      </w:r>
    </w:p>
    <w:p w:rsidR="007719DA" w:rsidRPr="00207528" w:rsidRDefault="007719DA" w:rsidP="007719DA">
      <w:pPr>
        <w:pStyle w:val="Paragraph"/>
      </w:pPr>
      <w:r>
        <w:t>(b)</w:t>
      </w:r>
      <w:r>
        <w:tab/>
      </w:r>
      <w:proofErr w:type="gramStart"/>
      <w:r w:rsidRPr="00207528">
        <w:t>the</w:t>
      </w:r>
      <w:proofErr w:type="gramEnd"/>
      <w:r w:rsidRPr="00207528">
        <w:t xml:space="preserve"> level of microorganism in any sample unit taken from </w:t>
      </w:r>
      <w:r>
        <w:t>a</w:t>
      </w:r>
      <w:r w:rsidRPr="00207528">
        <w:t xml:space="preserve"> lot</w:t>
      </w:r>
      <w:r>
        <w:t xml:space="preserve"> of that food</w:t>
      </w:r>
      <w:r w:rsidRPr="00207528">
        <w:t xml:space="preserve"> is </w:t>
      </w:r>
      <w:r>
        <w:t>greater</w:t>
      </w:r>
      <w:r w:rsidRPr="00207528">
        <w:t xml:space="preserve"> than </w:t>
      </w:r>
      <w:r>
        <w:t>the level specified in Column 6 of the Schedule</w:t>
      </w:r>
      <w:r w:rsidRPr="00207528">
        <w:t>.</w:t>
      </w:r>
    </w:p>
    <w:p w:rsidR="007719DA" w:rsidRPr="00DC20B6" w:rsidRDefault="007719DA" w:rsidP="007719DA">
      <w:pPr>
        <w:pStyle w:val="Clause"/>
      </w:pPr>
    </w:p>
    <w:p w:rsidR="007719DA" w:rsidRPr="005D0056" w:rsidRDefault="007719DA" w:rsidP="007719DA">
      <w:pPr>
        <w:pStyle w:val="Clauseheading"/>
      </w:pPr>
      <w:r>
        <w:t>6</w:t>
      </w:r>
      <w:r w:rsidRPr="00FD5AFA">
        <w:tab/>
      </w:r>
      <w:r w:rsidRPr="005D0056">
        <w:t xml:space="preserve">Food not supporting the growth of </w:t>
      </w:r>
      <w:r w:rsidRPr="00FD5AFA">
        <w:rPr>
          <w:i/>
        </w:rPr>
        <w:t>Listeria monocytogenes</w:t>
      </w:r>
    </w:p>
    <w:p w:rsidR="007719DA" w:rsidRPr="00FD5AFA" w:rsidRDefault="007719DA" w:rsidP="007719DA">
      <w:pPr>
        <w:pStyle w:val="Clause"/>
      </w:pPr>
    </w:p>
    <w:p w:rsidR="007719DA" w:rsidRDefault="007719DA" w:rsidP="007719DA">
      <w:pPr>
        <w:pStyle w:val="Clause"/>
      </w:pPr>
      <w:r w:rsidRPr="005D0056">
        <w:t xml:space="preserve">For the purposes of the Schedule, </w:t>
      </w:r>
      <w:r w:rsidRPr="00F278A7">
        <w:t xml:space="preserve">the growth of </w:t>
      </w:r>
      <w:r w:rsidRPr="00FD5AFA">
        <w:rPr>
          <w:i/>
        </w:rPr>
        <w:t>Listeria monocytogenes</w:t>
      </w:r>
      <w:r w:rsidRPr="005D0056">
        <w:t xml:space="preserve"> </w:t>
      </w:r>
      <w:r>
        <w:t>will not occur in a ready-to</w:t>
      </w:r>
      <w:r>
        <w:noBreakHyphen/>
        <w:t xml:space="preserve">eat food </w:t>
      </w:r>
      <w:r w:rsidRPr="005D0056">
        <w:t>if</w:t>
      </w:r>
      <w:r>
        <w:t xml:space="preserve"> –</w:t>
      </w:r>
    </w:p>
    <w:p w:rsidR="007719DA" w:rsidRDefault="007719DA" w:rsidP="007719DA">
      <w:pPr>
        <w:pStyle w:val="Clause"/>
      </w:pPr>
    </w:p>
    <w:p w:rsidR="007719DA" w:rsidRPr="007A1435" w:rsidRDefault="007719DA" w:rsidP="007719DA">
      <w:pPr>
        <w:pStyle w:val="Paragraph"/>
      </w:pPr>
      <w:r>
        <w:t>(a)</w:t>
      </w:r>
      <w:r>
        <w:tab/>
      </w:r>
      <w:proofErr w:type="gramStart"/>
      <w:r>
        <w:t>the</w:t>
      </w:r>
      <w:proofErr w:type="gramEnd"/>
      <w:r>
        <w:t xml:space="preserve"> food</w:t>
      </w:r>
      <w:r w:rsidRPr="007A1435">
        <w:t xml:space="preserve"> has a pH &lt; 4.4 regardless of water activity; or</w:t>
      </w:r>
    </w:p>
    <w:p w:rsidR="007719DA" w:rsidRPr="007A1435" w:rsidRDefault="007719DA" w:rsidP="007719DA">
      <w:pPr>
        <w:pStyle w:val="Paragraph"/>
      </w:pPr>
      <w:r>
        <w:t>(b)</w:t>
      </w:r>
      <w:r>
        <w:tab/>
      </w:r>
      <w:proofErr w:type="gramStart"/>
      <w:r>
        <w:t>the</w:t>
      </w:r>
      <w:proofErr w:type="gramEnd"/>
      <w:r>
        <w:t xml:space="preserve"> food</w:t>
      </w:r>
      <w:r w:rsidRPr="007A1435">
        <w:t xml:space="preserve"> has a water ac</w:t>
      </w:r>
      <w:r>
        <w:t xml:space="preserve">tivity &lt; 0.92 regardless of pH; </w:t>
      </w:r>
      <w:r w:rsidRPr="007A1435">
        <w:t>or</w:t>
      </w:r>
    </w:p>
    <w:p w:rsidR="007719DA" w:rsidRPr="007A1435" w:rsidRDefault="007719DA" w:rsidP="007719DA">
      <w:pPr>
        <w:pStyle w:val="Paragraph"/>
      </w:pPr>
      <w:r>
        <w:t>(c)</w:t>
      </w:r>
      <w:r>
        <w:tab/>
      </w:r>
      <w:proofErr w:type="gramStart"/>
      <w:r>
        <w:t>the</w:t>
      </w:r>
      <w:proofErr w:type="gramEnd"/>
      <w:r>
        <w:t xml:space="preserve"> food</w:t>
      </w:r>
      <w:r w:rsidRPr="007A1435">
        <w:t xml:space="preserve"> has a pH &lt; 5.0 in combination with a water activity of &lt; 0.94; or</w:t>
      </w:r>
    </w:p>
    <w:p w:rsidR="007719DA" w:rsidRPr="007A1435" w:rsidRDefault="007719DA" w:rsidP="007719DA">
      <w:pPr>
        <w:pStyle w:val="Paragraph"/>
      </w:pPr>
      <w:r>
        <w:t>(d)</w:t>
      </w:r>
      <w:r>
        <w:tab/>
      </w:r>
      <w:proofErr w:type="gramStart"/>
      <w:r>
        <w:t>the</w:t>
      </w:r>
      <w:proofErr w:type="gramEnd"/>
      <w:r>
        <w:t xml:space="preserve"> food</w:t>
      </w:r>
      <w:r w:rsidRPr="007A1435">
        <w:t xml:space="preserve"> has a refrigerated shelf life </w:t>
      </w:r>
      <w:r w:rsidRPr="007A1435">
        <w:sym w:font="Symbol" w:char="F0A3"/>
      </w:r>
      <w:r w:rsidRPr="007A1435">
        <w:t xml:space="preserve"> 5 days</w:t>
      </w:r>
      <w:r>
        <w:t>; or</w:t>
      </w:r>
    </w:p>
    <w:p w:rsidR="007719DA" w:rsidRPr="007A1435" w:rsidRDefault="007719DA" w:rsidP="007719DA">
      <w:pPr>
        <w:pStyle w:val="Paragraph"/>
      </w:pPr>
      <w:r>
        <w:t>(e)</w:t>
      </w:r>
      <w:r>
        <w:tab/>
      </w:r>
      <w:proofErr w:type="gramStart"/>
      <w:r>
        <w:t>the</w:t>
      </w:r>
      <w:proofErr w:type="gramEnd"/>
      <w:r>
        <w:t xml:space="preserve"> food</w:t>
      </w:r>
      <w:r w:rsidRPr="007A1435">
        <w:t xml:space="preserve"> is frozen (including foods consumed frozen and those intended t</w:t>
      </w:r>
      <w:r>
        <w:t>o be thawed before consumption)</w:t>
      </w:r>
      <w:r w:rsidRPr="007A1435">
        <w:t>; or</w:t>
      </w:r>
    </w:p>
    <w:p w:rsidR="007719DA" w:rsidRPr="007A1435" w:rsidRDefault="007719DA" w:rsidP="007719DA">
      <w:pPr>
        <w:pStyle w:val="Paragraph"/>
      </w:pPr>
      <w:r>
        <w:t>(f)</w:t>
      </w:r>
      <w:r>
        <w:tab/>
      </w:r>
      <w:proofErr w:type="gramStart"/>
      <w:r>
        <w:t>it</w:t>
      </w:r>
      <w:proofErr w:type="gramEnd"/>
      <w:r w:rsidRPr="007A1435">
        <w:t xml:space="preserve"> can be validated that the level of </w:t>
      </w:r>
      <w:r w:rsidRPr="00FD5AFA">
        <w:rPr>
          <w:i/>
        </w:rPr>
        <w:t>Listeria monocytogenes</w:t>
      </w:r>
      <w:r w:rsidRPr="005D0056">
        <w:t xml:space="preserve"> </w:t>
      </w:r>
      <w:r w:rsidRPr="007A1435">
        <w:t xml:space="preserve">will not increase by </w:t>
      </w:r>
      <w:r>
        <w:t>&gt;</w:t>
      </w:r>
      <w:r w:rsidRPr="007A1435">
        <w:t xml:space="preserve"> 0.5 log over the </w:t>
      </w:r>
      <w:r>
        <w:t xml:space="preserve">food’s </w:t>
      </w:r>
      <w:r w:rsidRPr="007A1435">
        <w:t>stated shelf life; or</w:t>
      </w:r>
    </w:p>
    <w:p w:rsidR="009E0993" w:rsidRDefault="009E0993" w:rsidP="007719DA">
      <w:pPr>
        <w:pStyle w:val="Paragraph"/>
      </w:pPr>
      <w:r>
        <w:br w:type="page"/>
      </w:r>
    </w:p>
    <w:p w:rsidR="007719DA" w:rsidRDefault="007719DA" w:rsidP="007719DA">
      <w:pPr>
        <w:pStyle w:val="Paragraph"/>
      </w:pPr>
      <w:r>
        <w:lastRenderedPageBreak/>
        <w:t>(g)</w:t>
      </w:r>
      <w:r>
        <w:tab/>
      </w:r>
      <w:proofErr w:type="gramStart"/>
      <w:r>
        <w:t>the</w:t>
      </w:r>
      <w:proofErr w:type="gramEnd"/>
      <w:r>
        <w:t xml:space="preserve"> food</w:t>
      </w:r>
      <w:r w:rsidRPr="007A1435">
        <w:t xml:space="preserve"> has not had a listericidal treatment and it can be validated that the level of </w:t>
      </w:r>
      <w:r w:rsidRPr="005A4A67">
        <w:rPr>
          <w:i/>
        </w:rPr>
        <w:t>Listeria monocytogenes</w:t>
      </w:r>
      <w:r w:rsidRPr="007A1435">
        <w:t xml:space="preserve"> will not exceed 100 cfu/g throughout the </w:t>
      </w:r>
      <w:r>
        <w:t xml:space="preserve">food’s </w:t>
      </w:r>
      <w:r w:rsidRPr="007A1435">
        <w:t>stated shelf life.</w:t>
      </w:r>
    </w:p>
    <w:p w:rsidR="007719DA" w:rsidRDefault="007719DA" w:rsidP="007719DA">
      <w:pPr>
        <w:pStyle w:val="Clause"/>
      </w:pPr>
    </w:p>
    <w:p w:rsidR="007719DA" w:rsidRDefault="007719DA" w:rsidP="007719DA">
      <w:pPr>
        <w:pStyle w:val="Clauseheading"/>
      </w:pPr>
      <w:r>
        <w:t>7</w:t>
      </w:r>
      <w:r>
        <w:tab/>
        <w:t>Powdered infant formula products</w:t>
      </w:r>
    </w:p>
    <w:p w:rsidR="007719DA" w:rsidRPr="009C4046" w:rsidRDefault="007719DA" w:rsidP="007719DA">
      <w:pPr>
        <w:pStyle w:val="Clause"/>
      </w:pPr>
    </w:p>
    <w:p w:rsidR="007719DA" w:rsidRPr="005D0056" w:rsidRDefault="007719DA" w:rsidP="007719DA">
      <w:pPr>
        <w:pStyle w:val="Clause"/>
      </w:pPr>
      <w:r>
        <w:t>The</w:t>
      </w:r>
      <w:r w:rsidRPr="00AF6A8C">
        <w:t xml:space="preserve"> </w:t>
      </w:r>
      <w:r>
        <w:t xml:space="preserve">limit for SPC in the Schedule does not apply to </w:t>
      </w:r>
      <w:r w:rsidRPr="00AF6A8C">
        <w:t xml:space="preserve">powdered infant formula </w:t>
      </w:r>
      <w:r>
        <w:t>products</w:t>
      </w:r>
      <w:r w:rsidDel="00DC20B6">
        <w:t xml:space="preserve"> </w:t>
      </w:r>
      <w:r>
        <w:t>that contain lactic acid producing microorganisms</w:t>
      </w:r>
      <w:r w:rsidRPr="00AF6A8C">
        <w:t>.</w:t>
      </w:r>
      <w:r w:rsidRPr="005D0049">
        <w:t>”</w:t>
      </w:r>
    </w:p>
    <w:p w:rsidR="007719DA" w:rsidRPr="00FD5AFA" w:rsidRDefault="007719DA" w:rsidP="007719DA">
      <w:pPr>
        <w:pStyle w:val="Clause"/>
      </w:pPr>
    </w:p>
    <w:p w:rsidR="007719DA" w:rsidRPr="00AC3052" w:rsidRDefault="007719DA" w:rsidP="007719DA">
      <w:pPr>
        <w:pStyle w:val="Clause"/>
      </w:pPr>
      <w:r w:rsidRPr="005D0056">
        <w:t>[</w:t>
      </w:r>
      <w:r>
        <w:t>2</w:t>
      </w:r>
      <w:r w:rsidRPr="005D0056">
        <w:t>.</w:t>
      </w:r>
      <w:r>
        <w:t>6</w:t>
      </w:r>
      <w:r w:rsidRPr="005D0056">
        <w:t>]</w:t>
      </w:r>
      <w:r w:rsidRPr="005D0056">
        <w:tab/>
        <w:t xml:space="preserve">omitting the </w:t>
      </w:r>
      <w:r w:rsidRPr="00207528">
        <w:t>Schedule</w:t>
      </w:r>
      <w:r>
        <w:t xml:space="preserve"> and substituting</w:t>
      </w:r>
    </w:p>
    <w:p w:rsidR="007719DA" w:rsidRDefault="007719DA" w:rsidP="007719DA">
      <w:pPr>
        <w:widowControl/>
        <w:rPr>
          <w:rFonts w:cs="Arial"/>
          <w:sz w:val="20"/>
        </w:rPr>
      </w:pPr>
    </w:p>
    <w:p w:rsidR="007719DA" w:rsidRPr="00BC13BE" w:rsidRDefault="007719DA" w:rsidP="007719DA">
      <w:pPr>
        <w:pStyle w:val="ScheduleHeading"/>
      </w:pPr>
      <w:r w:rsidRPr="00E6670E">
        <w:rPr>
          <w:b w:val="0"/>
        </w:rPr>
        <w:t>“</w:t>
      </w:r>
      <w:r w:rsidRPr="00BC13BE">
        <w:t>SCHEDULE</w:t>
      </w:r>
    </w:p>
    <w:p w:rsidR="007719DA" w:rsidRPr="00BC13BE" w:rsidRDefault="007719DA" w:rsidP="007719DA">
      <w:pPr>
        <w:rPr>
          <w:sz w:val="20"/>
        </w:rPr>
      </w:pPr>
    </w:p>
    <w:p w:rsidR="007719DA" w:rsidRPr="00207528" w:rsidRDefault="007719DA" w:rsidP="007719DA">
      <w:pPr>
        <w:pStyle w:val="TableHeading"/>
      </w:pPr>
      <w:r w:rsidRPr="00207528">
        <w:t>Microbiological limits in food</w:t>
      </w:r>
    </w:p>
    <w:p w:rsidR="007719DA" w:rsidRPr="00BC13BE" w:rsidRDefault="007719DA" w:rsidP="007719DA">
      <w:pPr>
        <w:widowControl/>
        <w:jc w:val="center"/>
        <w:rPr>
          <w:b/>
          <w:caps/>
          <w:sz w:val="20"/>
        </w:rPr>
      </w:pPr>
    </w:p>
    <w:tbl>
      <w:tblPr>
        <w:tblW w:w="9685" w:type="dxa"/>
        <w:jc w:val="center"/>
        <w:tblLayout w:type="fixed"/>
        <w:tblCellMar>
          <w:left w:w="79" w:type="dxa"/>
          <w:right w:w="79" w:type="dxa"/>
        </w:tblCellMar>
        <w:tblLook w:val="0000" w:firstRow="0" w:lastRow="0" w:firstColumn="0" w:lastColumn="0" w:noHBand="0" w:noVBand="0"/>
      </w:tblPr>
      <w:tblGrid>
        <w:gridCol w:w="1975"/>
        <w:gridCol w:w="2469"/>
        <w:gridCol w:w="992"/>
        <w:gridCol w:w="993"/>
        <w:gridCol w:w="1842"/>
        <w:gridCol w:w="1414"/>
      </w:tblGrid>
      <w:tr w:rsidR="007719DA" w:rsidRPr="00BC13BE" w:rsidTr="00532BDB">
        <w:trPr>
          <w:cantSplit/>
          <w:tblHeader/>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 xml:space="preserve">Column </w:t>
            </w:r>
            <w:r>
              <w:br/>
            </w:r>
            <w:r w:rsidRPr="00BC13BE">
              <w:t>1</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 xml:space="preserve">Column </w:t>
            </w:r>
            <w:r>
              <w:br/>
            </w:r>
            <w:r w:rsidRPr="00BC13BE">
              <w:t>2</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Column</w:t>
            </w:r>
            <w:r>
              <w:br/>
            </w:r>
            <w:r w:rsidRPr="00BC13BE">
              <w:t>3</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Column</w:t>
            </w:r>
            <w:r>
              <w:br/>
            </w:r>
            <w:r w:rsidRPr="00BC13BE">
              <w:t>4</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Column</w:t>
            </w:r>
            <w:r>
              <w:br/>
            </w:r>
            <w:r w:rsidRPr="00BC13BE">
              <w:t>5</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Column</w:t>
            </w:r>
            <w:r>
              <w:br/>
            </w:r>
            <w:r w:rsidRPr="00BC13BE">
              <w:t>6</w:t>
            </w:r>
          </w:p>
        </w:tc>
      </w:tr>
      <w:tr w:rsidR="007719DA" w:rsidRPr="00BC13BE" w:rsidTr="00532BDB">
        <w:trPr>
          <w:cantSplit/>
          <w:tblHeader/>
          <w:jc w:val="center"/>
        </w:trPr>
        <w:tc>
          <w:tcPr>
            <w:tcW w:w="1975" w:type="dxa"/>
            <w:tcBorders>
              <w:top w:val="single" w:sz="8" w:space="0" w:color="auto"/>
              <w:left w:val="single" w:sz="8" w:space="0" w:color="auto"/>
              <w:bottom w:val="single" w:sz="4" w:space="0" w:color="auto"/>
              <w:right w:val="single" w:sz="8" w:space="0" w:color="auto"/>
            </w:tcBorders>
          </w:tcPr>
          <w:p w:rsidR="007719DA" w:rsidRPr="00BC13BE" w:rsidRDefault="007719DA" w:rsidP="00532BDB">
            <w:pPr>
              <w:pStyle w:val="Table1"/>
            </w:pPr>
            <w:r w:rsidRPr="00BC13BE">
              <w:t>Food</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Microorganism/test/toxin</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n</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c</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m</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1"/>
            </w:pPr>
            <w:r w:rsidRPr="00BC13BE">
              <w:t>M</w:t>
            </w:r>
          </w:p>
        </w:tc>
      </w:tr>
      <w:tr w:rsidR="007719DA" w:rsidRPr="00BC13BE" w:rsidTr="00532BDB">
        <w:trPr>
          <w:cantSplit/>
          <w:jc w:val="center"/>
        </w:trPr>
        <w:tc>
          <w:tcPr>
            <w:tcW w:w="1975" w:type="dxa"/>
            <w:vMerge w:val="restart"/>
            <w:tcBorders>
              <w:top w:val="single" w:sz="4" w:space="0" w:color="auto"/>
              <w:left w:val="single" w:sz="8" w:space="0" w:color="auto"/>
              <w:right w:val="single" w:sz="8" w:space="0" w:color="auto"/>
            </w:tcBorders>
          </w:tcPr>
          <w:p w:rsidR="007719DA" w:rsidRPr="00875C7A" w:rsidRDefault="007719DA" w:rsidP="00532BDB">
            <w:pPr>
              <w:pStyle w:val="Table2"/>
              <w:rPr>
                <w:szCs w:val="24"/>
              </w:rPr>
            </w:pPr>
            <w:r w:rsidRPr="00875C7A">
              <w:rPr>
                <w:szCs w:val="24"/>
              </w:rPr>
              <w:t>Butter made from unpasteurised milk and/or unpasteurised milk products</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iCs/>
                <w:szCs w:val="24"/>
              </w:rPr>
            </w:pPr>
            <w:r w:rsidRPr="00BC13BE">
              <w:rPr>
                <w:i/>
                <w:szCs w:val="24"/>
              </w:rPr>
              <w:t>Campylobacter</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10 cfu/g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szCs w:val="24"/>
                <w:vertAlign w:val="superscript"/>
              </w:rPr>
              <w:t xml:space="preserve">2 </w:t>
            </w:r>
            <w:r w:rsidRPr="00BC13BE">
              <w:rPr>
                <w:szCs w:val="24"/>
              </w:rPr>
              <w:t>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Coliforms</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10 cfu/g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szCs w:val="24"/>
                <w:vertAlign w:val="superscript"/>
              </w:rPr>
              <w:t xml:space="preserve">2 </w:t>
            </w:r>
            <w:r w:rsidRPr="00BC13BE">
              <w:rPr>
                <w:szCs w:val="24"/>
              </w:rPr>
              <w:t>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3 cfu/g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9 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Default="007719DA" w:rsidP="00532BDB">
            <w:pPr>
              <w:pStyle w:val="Table2"/>
              <w:rPr>
                <w:szCs w:val="24"/>
              </w:rPr>
            </w:pPr>
            <w:r w:rsidRPr="00BC13BE">
              <w:rPr>
                <w:szCs w:val="24"/>
              </w:rPr>
              <w:t>SPC</w:t>
            </w:r>
          </w:p>
          <w:p w:rsidR="007719DA" w:rsidRPr="00BC13BE" w:rsidRDefault="007719DA" w:rsidP="00532BDB">
            <w:pPr>
              <w:pStyle w:val="Table2"/>
              <w:rPr>
                <w:szCs w:val="24"/>
              </w:rPr>
            </w:pP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5x10</w:t>
            </w:r>
            <w:r w:rsidRPr="00BC13BE">
              <w:rPr>
                <w:szCs w:val="24"/>
                <w:vertAlign w:val="superscript"/>
              </w:rPr>
              <w:t>5</w:t>
            </w:r>
            <w:r w:rsidRPr="00BC13BE">
              <w:rPr>
                <w:szCs w:val="24"/>
              </w:rPr>
              <w:t xml:space="preserve"> cfu/g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4" w:space="0" w:color="auto"/>
              <w:right w:val="single" w:sz="8" w:space="0" w:color="auto"/>
            </w:tcBorders>
          </w:tcPr>
          <w:p w:rsidR="007719DA" w:rsidRPr="00BC13BE" w:rsidRDefault="007719DA" w:rsidP="00532BDB">
            <w:pPr>
              <w:pStyle w:val="Table2"/>
              <w:rPr>
                <w:szCs w:val="24"/>
              </w:rPr>
            </w:pPr>
            <w:r w:rsidRPr="00BC13BE">
              <w:rPr>
                <w:szCs w:val="24"/>
              </w:rPr>
              <w:t>All cheese</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10 cfu/g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szCs w:val="24"/>
                <w:vertAlign w:val="superscript"/>
              </w:rPr>
              <w:t>2</w:t>
            </w:r>
            <w:r w:rsidRPr="00BC13BE">
              <w:rPr>
                <w:szCs w:val="24"/>
              </w:rPr>
              <w:t xml:space="preserve"> cfu/g</w:t>
            </w:r>
          </w:p>
        </w:tc>
      </w:tr>
      <w:tr w:rsidR="007719DA" w:rsidRPr="00BC13BE" w:rsidTr="00532BDB">
        <w:trPr>
          <w:cantSplit/>
          <w:jc w:val="center"/>
        </w:trPr>
        <w:tc>
          <w:tcPr>
            <w:tcW w:w="1975" w:type="dxa"/>
            <w:tcBorders>
              <w:top w:val="single" w:sz="4" w:space="0" w:color="auto"/>
              <w:left w:val="single" w:sz="8" w:space="0" w:color="auto"/>
              <w:bottom w:val="single" w:sz="4" w:space="0" w:color="auto"/>
              <w:right w:val="single" w:sz="8" w:space="0" w:color="auto"/>
            </w:tcBorders>
          </w:tcPr>
          <w:p w:rsidR="007719DA" w:rsidRPr="00BC13BE" w:rsidRDefault="007719DA" w:rsidP="00532BDB">
            <w:pPr>
              <w:pStyle w:val="Table2"/>
              <w:rPr>
                <w:szCs w:val="18"/>
              </w:rPr>
            </w:pPr>
            <w:r w:rsidRPr="00322704">
              <w:rPr>
                <w:szCs w:val="18"/>
              </w:rPr>
              <w:t>Soft and semi-soft cheese (moisture content &gt; 39%) with pH &gt;5.0</w:t>
            </w: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4" w:space="0" w:color="auto"/>
              <w:left w:val="single" w:sz="8" w:space="0" w:color="auto"/>
              <w:right w:val="single" w:sz="8" w:space="0" w:color="auto"/>
            </w:tcBorders>
          </w:tcPr>
          <w:p w:rsidR="007719DA" w:rsidRPr="00BC13BE" w:rsidRDefault="007719DA" w:rsidP="00532BDB">
            <w:pPr>
              <w:pStyle w:val="Table2"/>
              <w:rPr>
                <w:szCs w:val="18"/>
              </w:rPr>
            </w:pPr>
            <w:r w:rsidRPr="000737D9">
              <w:rPr>
                <w:szCs w:val="18"/>
              </w:rPr>
              <w:t>All raw milk cheese (cheese made from milk not pasteurised or thermised)</w:t>
            </w: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Raw milk unripened cheeses (moisture content &gt; 50% with pH &gt; 5.0)</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Campylobacter</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br w:type="page"/>
              <w:t>Dried milk</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val="restart"/>
            <w:tcBorders>
              <w:top w:val="single" w:sz="8" w:space="0" w:color="auto"/>
              <w:left w:val="single" w:sz="8" w:space="0" w:color="auto"/>
              <w:bottom w:val="single" w:sz="4" w:space="0" w:color="auto"/>
              <w:right w:val="single" w:sz="8" w:space="0" w:color="auto"/>
            </w:tcBorders>
          </w:tcPr>
          <w:p w:rsidR="007719DA" w:rsidRPr="00BC13BE" w:rsidRDefault="007719DA" w:rsidP="00532BDB">
            <w:pPr>
              <w:pStyle w:val="Table2"/>
              <w:rPr>
                <w:szCs w:val="24"/>
              </w:rPr>
            </w:pPr>
            <w:r w:rsidRPr="00BC13BE">
              <w:rPr>
                <w:szCs w:val="24"/>
              </w:rPr>
              <w:t>Unpasteurised milk for retail sale</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iCs/>
                <w:szCs w:val="24"/>
              </w:rPr>
            </w:pPr>
            <w:r w:rsidRPr="00BC13BE">
              <w:rPr>
                <w:i/>
                <w:szCs w:val="24"/>
              </w:rPr>
              <w:t>Campylobacter</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m</w:t>
            </w:r>
            <w:r>
              <w:rPr>
                <w:szCs w:val="24"/>
              </w:rPr>
              <w:t>L</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Coliforms</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position w:val="6"/>
                <w:szCs w:val="24"/>
                <w:vertAlign w:val="superscript"/>
              </w:rPr>
              <w:t>2</w:t>
            </w:r>
            <w:r w:rsidRPr="00BC13BE">
              <w:rPr>
                <w:position w:val="6"/>
                <w:szCs w:val="24"/>
              </w:rPr>
              <w:t xml:space="preserve"> </w:t>
            </w:r>
            <w:r w:rsidRPr="00BC13BE">
              <w:rPr>
                <w:rFonts w:eastAsia="Calibri"/>
                <w:szCs w:val="18"/>
              </w:rPr>
              <w:t>cfu/m</w:t>
            </w:r>
            <w:r>
              <w:rPr>
                <w:rFonts w:eastAsia="Calibri"/>
                <w:szCs w:val="18"/>
              </w:rPr>
              <w:t>L</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position w:val="6"/>
                <w:szCs w:val="24"/>
                <w:vertAlign w:val="superscript"/>
              </w:rPr>
              <w:t xml:space="preserve">3 </w:t>
            </w:r>
            <w:r w:rsidRPr="00BC13BE">
              <w:rPr>
                <w:rFonts w:eastAsia="Calibri"/>
                <w:szCs w:val="18"/>
              </w:rPr>
              <w:t>cfu/m</w:t>
            </w:r>
            <w:r>
              <w:rPr>
                <w:rFonts w:eastAsia="Calibri"/>
                <w:szCs w:val="18"/>
              </w:rPr>
              <w:t>L</w:t>
            </w: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3 MPN</w:t>
            </w:r>
            <w:r>
              <w:rPr>
                <w:szCs w:val="24"/>
              </w:rPr>
              <w:t>/</w:t>
            </w:r>
            <w:r w:rsidRPr="00BC13BE">
              <w:rPr>
                <w:rFonts w:eastAsia="Calibri"/>
                <w:szCs w:val="18"/>
              </w:rPr>
              <w:t>m</w:t>
            </w:r>
            <w:r>
              <w:rPr>
                <w:rFonts w:eastAsia="Calibri"/>
                <w:szCs w:val="18"/>
              </w:rPr>
              <w:t>L</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9 MPN</w:t>
            </w:r>
            <w:r>
              <w:rPr>
                <w:szCs w:val="24"/>
              </w:rPr>
              <w:t>/</w:t>
            </w:r>
            <w:r w:rsidRPr="00BC13BE">
              <w:rPr>
                <w:rFonts w:eastAsia="Calibri"/>
                <w:szCs w:val="18"/>
              </w:rPr>
              <w:t>m</w:t>
            </w:r>
            <w:r>
              <w:rPr>
                <w:rFonts w:eastAsia="Calibri"/>
                <w:szCs w:val="18"/>
              </w:rPr>
              <w:t>L</w:t>
            </w: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r w:rsidRPr="00BC13BE">
              <w:rPr>
                <w:iCs/>
                <w:szCs w:val="24"/>
              </w:rPr>
              <w:t xml:space="preserve"> </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m</w:t>
            </w:r>
            <w:r>
              <w:rPr>
                <w:szCs w:val="24"/>
              </w:rPr>
              <w:t>L</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2.5x10</w:t>
            </w:r>
            <w:r w:rsidRPr="00BC13BE">
              <w:rPr>
                <w:position w:val="6"/>
                <w:szCs w:val="24"/>
                <w:vertAlign w:val="superscript"/>
              </w:rPr>
              <w:t xml:space="preserve">4 </w:t>
            </w:r>
            <w:r w:rsidRPr="00BC13BE">
              <w:rPr>
                <w:rFonts w:eastAsia="Calibri"/>
                <w:szCs w:val="18"/>
              </w:rPr>
              <w:t>cfu/m</w:t>
            </w:r>
            <w:r>
              <w:rPr>
                <w:rFonts w:eastAsia="Calibri"/>
                <w:szCs w:val="18"/>
              </w:rPr>
              <w:t>L</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2.5x10</w:t>
            </w:r>
            <w:r w:rsidRPr="00BC13BE">
              <w:rPr>
                <w:position w:val="6"/>
                <w:szCs w:val="24"/>
                <w:vertAlign w:val="superscript"/>
              </w:rPr>
              <w:t xml:space="preserve">5 </w:t>
            </w:r>
            <w:r w:rsidRPr="00BC13BE">
              <w:rPr>
                <w:rFonts w:eastAsia="Calibri"/>
                <w:szCs w:val="18"/>
              </w:rPr>
              <w:t>cfu/m</w:t>
            </w:r>
            <w:r>
              <w:rPr>
                <w:rFonts w:eastAsia="Calibri"/>
                <w:szCs w:val="18"/>
              </w:rPr>
              <w:t>L</w:t>
            </w:r>
          </w:p>
        </w:tc>
      </w:tr>
      <w:tr w:rsidR="007719DA" w:rsidRPr="00BC13BE" w:rsidTr="00532BDB">
        <w:trPr>
          <w:cantSplit/>
          <w:jc w:val="center"/>
        </w:trPr>
        <w:tc>
          <w:tcPr>
            <w:tcW w:w="1975" w:type="dxa"/>
            <w:tcBorders>
              <w:top w:val="single" w:sz="4" w:space="0" w:color="auto"/>
              <w:left w:val="single" w:sz="8" w:space="0" w:color="auto"/>
              <w:bottom w:val="single" w:sz="4" w:space="0" w:color="auto"/>
              <w:right w:val="single" w:sz="8" w:space="0" w:color="auto"/>
            </w:tcBorders>
          </w:tcPr>
          <w:p w:rsidR="007719DA" w:rsidRPr="00BC13BE" w:rsidRDefault="007719DA" w:rsidP="00532BDB">
            <w:pPr>
              <w:pStyle w:val="Table2"/>
              <w:rPr>
                <w:szCs w:val="18"/>
              </w:rPr>
            </w:pPr>
            <w:r w:rsidRPr="00BC13BE">
              <w:rPr>
                <w:szCs w:val="24"/>
              </w:rPr>
              <w:t xml:space="preserve">Packaged cooked cured/salted meat </w:t>
            </w: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position w:val="6"/>
                <w:szCs w:val="24"/>
                <w:vertAlign w:val="superscript"/>
              </w:rPr>
              <w:t xml:space="preserve">2 </w:t>
            </w:r>
            <w:r w:rsidRPr="00BC13BE">
              <w:rPr>
                <w:szCs w:val="24"/>
              </w:rPr>
              <w:t>cfu/g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position w:val="6"/>
                <w:szCs w:val="24"/>
                <w:vertAlign w:val="superscript"/>
              </w:rPr>
              <w:t xml:space="preserve">3 </w:t>
            </w:r>
            <w:r w:rsidRPr="00BC13BE">
              <w:rPr>
                <w:szCs w:val="24"/>
              </w:rPr>
              <w:t>cfu/g</w:t>
            </w:r>
          </w:p>
        </w:tc>
      </w:tr>
      <w:tr w:rsidR="007719DA" w:rsidRPr="00BC13BE" w:rsidTr="00532BDB">
        <w:trPr>
          <w:cantSplit/>
          <w:jc w:val="center"/>
        </w:trPr>
        <w:tc>
          <w:tcPr>
            <w:tcW w:w="1975" w:type="dxa"/>
            <w:tcBorders>
              <w:top w:val="single" w:sz="4" w:space="0" w:color="auto"/>
              <w:left w:val="single" w:sz="8" w:space="0" w:color="auto"/>
              <w:right w:val="single" w:sz="8" w:space="0" w:color="auto"/>
            </w:tcBorders>
          </w:tcPr>
          <w:p w:rsidR="007719DA" w:rsidRPr="00BC13BE" w:rsidRDefault="007719DA" w:rsidP="00532BDB">
            <w:pPr>
              <w:pStyle w:val="Table2"/>
              <w:rPr>
                <w:szCs w:val="24"/>
              </w:rPr>
            </w:pPr>
            <w:r w:rsidRPr="00A35887">
              <w:rPr>
                <w:szCs w:val="18"/>
              </w:rPr>
              <w:t>Packaged heat treated meat paste and packaged heat treated pâté</w:t>
            </w: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val="restart"/>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All comminuted fermented meat which has not been cooked during the production process</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position w:val="6"/>
                <w:szCs w:val="24"/>
                <w:vertAlign w:val="superscript"/>
              </w:rPr>
              <w:t xml:space="preserve">3 </w:t>
            </w:r>
            <w:r w:rsidRPr="00BC13BE">
              <w:rPr>
                <w:szCs w:val="24"/>
              </w:rPr>
              <w:t>cfu/g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position w:val="6"/>
                <w:szCs w:val="24"/>
                <w:vertAlign w:val="superscript"/>
              </w:rPr>
              <w:t xml:space="preserve">4 </w:t>
            </w:r>
            <w:r w:rsidRPr="00BC13BE">
              <w:rPr>
                <w:szCs w:val="24"/>
              </w:rPr>
              <w:t>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 w:val="20"/>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iCs/>
                <w:szCs w:val="24"/>
              </w:rPr>
              <w:t>Escherichia coli</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3.6 MPN</w:t>
            </w:r>
            <w:r>
              <w:rPr>
                <w:szCs w:val="24"/>
              </w:rPr>
              <w:t>/</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9.2 MPN</w:t>
            </w:r>
            <w:r>
              <w:rPr>
                <w:szCs w:val="24"/>
              </w:rPr>
              <w:t>/</w:t>
            </w:r>
            <w:r w:rsidRPr="00BC13BE">
              <w:rPr>
                <w:szCs w:val="24"/>
              </w:rPr>
              <w:t>g</w:t>
            </w:r>
          </w:p>
        </w:tc>
      </w:tr>
      <w:tr w:rsidR="007719DA" w:rsidRPr="00BC13BE" w:rsidTr="00532BDB">
        <w:trPr>
          <w:cantSplit/>
          <w:jc w:val="center"/>
        </w:trPr>
        <w:tc>
          <w:tcPr>
            <w:tcW w:w="1975" w:type="dxa"/>
            <w:vMerge/>
            <w:tcBorders>
              <w:left w:val="single" w:sz="8" w:space="0" w:color="auto"/>
              <w:bottom w:val="single" w:sz="8" w:space="0" w:color="auto"/>
              <w:right w:val="single" w:sz="8" w:space="0" w:color="auto"/>
            </w:tcBorders>
          </w:tcPr>
          <w:p w:rsidR="007719DA" w:rsidRPr="00BC13BE" w:rsidRDefault="007719DA" w:rsidP="00532BDB">
            <w:pPr>
              <w:pStyle w:val="Table2"/>
              <w:rPr>
                <w:sz w:val="20"/>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iCs/>
                <w:szCs w:val="24"/>
              </w:rPr>
              <w:t>Salmonella</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val="restart"/>
            <w:tcBorders>
              <w:top w:val="single" w:sz="8" w:space="0" w:color="auto"/>
              <w:left w:val="single" w:sz="8" w:space="0" w:color="auto"/>
              <w:bottom w:val="single" w:sz="4" w:space="0" w:color="auto"/>
              <w:right w:val="single" w:sz="8" w:space="0" w:color="auto"/>
            </w:tcBorders>
          </w:tcPr>
          <w:p w:rsidR="007719DA" w:rsidRPr="00BC13BE" w:rsidRDefault="007719DA" w:rsidP="00532BDB">
            <w:pPr>
              <w:pStyle w:val="Table2"/>
              <w:rPr>
                <w:szCs w:val="24"/>
              </w:rPr>
            </w:pPr>
            <w:r w:rsidRPr="00BC13BE">
              <w:rPr>
                <w:szCs w:val="24"/>
              </w:rPr>
              <w:t>Cooked crustacea</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position w:val="6"/>
                <w:szCs w:val="24"/>
                <w:vertAlign w:val="superscript"/>
              </w:rPr>
              <w:t xml:space="preserve">2 </w:t>
            </w:r>
            <w:r w:rsidRPr="00BC13BE">
              <w:rPr>
                <w:szCs w:val="24"/>
              </w:rPr>
              <w:t>cfu/g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position w:val="6"/>
                <w:szCs w:val="24"/>
                <w:vertAlign w:val="superscript"/>
              </w:rPr>
              <w:t xml:space="preserve">3 </w:t>
            </w:r>
            <w:r w:rsidRPr="00BC13BE">
              <w:rPr>
                <w:szCs w:val="24"/>
              </w:rPr>
              <w:t>cfu/g</w:t>
            </w: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4"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position w:val="6"/>
                <w:szCs w:val="24"/>
                <w:vertAlign w:val="superscript"/>
              </w:rPr>
              <w:t xml:space="preserve">5 </w:t>
            </w:r>
            <w:r w:rsidRPr="00BC13BE">
              <w:rPr>
                <w:szCs w:val="24"/>
              </w:rPr>
              <w:t>cfu/g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position w:val="6"/>
                <w:szCs w:val="24"/>
                <w:vertAlign w:val="superscript"/>
              </w:rPr>
              <w:t xml:space="preserve">6 </w:t>
            </w:r>
            <w:r w:rsidRPr="00BC13BE">
              <w:rPr>
                <w:szCs w:val="24"/>
              </w:rPr>
              <w:t>cfu/g</w:t>
            </w:r>
          </w:p>
        </w:tc>
      </w:tr>
      <w:tr w:rsidR="007719DA" w:rsidRPr="00BC13BE" w:rsidTr="00532BDB">
        <w:trPr>
          <w:cantSplit/>
          <w:jc w:val="center"/>
        </w:trPr>
        <w:tc>
          <w:tcPr>
            <w:tcW w:w="1975" w:type="dxa"/>
            <w:vMerge w:val="restart"/>
            <w:tcBorders>
              <w:top w:val="single" w:sz="4"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lastRenderedPageBreak/>
              <w:t>Raw crustacea</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rFonts w:cs="Times"/>
                <w:position w:val="6"/>
                <w:szCs w:val="24"/>
                <w:vertAlign w:val="superscript"/>
              </w:rPr>
              <w:t xml:space="preserve">2 </w:t>
            </w:r>
            <w:r w:rsidRPr="00BC13BE">
              <w:rPr>
                <w:szCs w:val="24"/>
              </w:rPr>
              <w:t>cfu/g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rFonts w:cs="Times"/>
                <w:position w:val="6"/>
                <w:szCs w:val="24"/>
                <w:vertAlign w:val="superscript"/>
              </w:rPr>
              <w:t xml:space="preserve">3 </w:t>
            </w:r>
            <w:r w:rsidRPr="00BC13BE">
              <w:rPr>
                <w:szCs w:val="24"/>
              </w:rPr>
              <w:t>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5x10</w:t>
            </w:r>
            <w:r w:rsidRPr="00BC13BE">
              <w:rPr>
                <w:rFonts w:cs="Times"/>
                <w:position w:val="6"/>
                <w:szCs w:val="24"/>
                <w:vertAlign w:val="superscript"/>
              </w:rPr>
              <w:t xml:space="preserve">5 </w:t>
            </w:r>
            <w:r w:rsidRPr="00BC13BE">
              <w:rPr>
                <w:szCs w:val="24"/>
              </w:rPr>
              <w:t>cfu/g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5x10</w:t>
            </w:r>
            <w:r w:rsidRPr="00BC13BE">
              <w:rPr>
                <w:rFonts w:cs="Times"/>
                <w:position w:val="6"/>
                <w:szCs w:val="24"/>
                <w:vertAlign w:val="superscript"/>
              </w:rPr>
              <w:t xml:space="preserve">6 </w:t>
            </w:r>
            <w:r w:rsidRPr="00BC13BE">
              <w:rPr>
                <w:szCs w:val="24"/>
              </w:rPr>
              <w:t>cfu/g</w:t>
            </w: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Bivalve molluscs, other than scallops</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2.3 MPN</w:t>
            </w:r>
            <w:r>
              <w:rPr>
                <w:szCs w:val="24"/>
              </w:rPr>
              <w:t>/</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7 MPN</w:t>
            </w:r>
            <w:r>
              <w:rPr>
                <w:szCs w:val="24"/>
              </w:rPr>
              <w:t>/</w:t>
            </w:r>
            <w:r w:rsidRPr="00BC13BE">
              <w:rPr>
                <w:szCs w:val="24"/>
              </w:rPr>
              <w:t>g</w:t>
            </w: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 xml:space="preserve">Ready-to-eat food in which the growth of </w:t>
            </w:r>
            <w:r w:rsidRPr="00BC13BE">
              <w:rPr>
                <w:i/>
                <w:szCs w:val="24"/>
              </w:rPr>
              <w:t>Listeria monocytogenes</w:t>
            </w:r>
            <w:r w:rsidRPr="00BC13BE">
              <w:rPr>
                <w:szCs w:val="24"/>
              </w:rPr>
              <w:t xml:space="preserve"> will not occur</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Listeria monocytogenes</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 xml:space="preserve">100 cfu/g </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 xml:space="preserve">Ready-to-eat food in which the growth of </w:t>
            </w:r>
            <w:r w:rsidRPr="00BC13BE">
              <w:rPr>
                <w:i/>
                <w:szCs w:val="24"/>
              </w:rPr>
              <w:t>Listeria monocytogenes</w:t>
            </w:r>
            <w:r w:rsidRPr="00BC13BE">
              <w:rPr>
                <w:szCs w:val="24"/>
              </w:rPr>
              <w:t xml:space="preserve"> can occur</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Listeria monocytogenes</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val="restart"/>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Cereal based foods for infants</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Coliforms</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&lt;3 MPN</w:t>
            </w:r>
            <w:r>
              <w:rPr>
                <w:szCs w:val="24"/>
              </w:rPr>
              <w:t>/</w:t>
            </w:r>
            <w:r w:rsidRPr="00BC13BE">
              <w:rPr>
                <w:szCs w:val="24"/>
              </w:rPr>
              <w:t>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20 MPN</w:t>
            </w:r>
            <w:r>
              <w:rPr>
                <w:szCs w:val="24"/>
              </w:rPr>
              <w:t>/</w:t>
            </w:r>
            <w:r w:rsidRPr="00BC13BE">
              <w:rPr>
                <w:szCs w:val="24"/>
              </w:rPr>
              <w:t>g</w:t>
            </w:r>
          </w:p>
        </w:tc>
      </w:tr>
      <w:tr w:rsidR="007719DA" w:rsidRPr="00BC13BE" w:rsidTr="00532BDB">
        <w:trPr>
          <w:cantSplit/>
          <w:jc w:val="center"/>
        </w:trPr>
        <w:tc>
          <w:tcPr>
            <w:tcW w:w="1975" w:type="dxa"/>
            <w:vMerge/>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val="restart"/>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Powdered infant formula products</w:t>
            </w:r>
          </w:p>
        </w:tc>
        <w:tc>
          <w:tcPr>
            <w:tcW w:w="2469"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i/>
                <w:szCs w:val="24"/>
              </w:rPr>
              <w:t>Bacillus cereus</w:t>
            </w:r>
            <w:r w:rsidRPr="00BC13BE">
              <w:rPr>
                <w:iCs/>
                <w:szCs w:val="24"/>
              </w:rPr>
              <w:t>/g</w:t>
            </w:r>
          </w:p>
        </w:tc>
        <w:tc>
          <w:tcPr>
            <w:tcW w:w="992"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7719DA" w:rsidRPr="00BC13BE" w:rsidRDefault="007719DA" w:rsidP="00532BDB">
            <w:pPr>
              <w:pStyle w:val="Table2"/>
              <w:rPr>
                <w:szCs w:val="24"/>
              </w:rPr>
            </w:pPr>
            <w:r w:rsidRPr="00BC13BE">
              <w:rPr>
                <w:szCs w:val="24"/>
              </w:rPr>
              <w:t>100 cfu/g</w:t>
            </w:r>
          </w:p>
        </w:tc>
        <w:tc>
          <w:tcPr>
            <w:tcW w:w="1414" w:type="dxa"/>
            <w:tcBorders>
              <w:top w:val="single" w:sz="8" w:space="0" w:color="auto"/>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Coagulase-positive staphylococci</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1</w:t>
            </w:r>
            <w:r>
              <w:rPr>
                <w:szCs w:val="24"/>
              </w:rPr>
              <w:t> </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 cfu/g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Coliforms</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&lt;3 MPN</w:t>
            </w:r>
            <w:r>
              <w:rPr>
                <w:szCs w:val="24"/>
              </w:rPr>
              <w:t>/</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 MPN</w:t>
            </w:r>
            <w:r>
              <w:rPr>
                <w:szCs w:val="24"/>
              </w:rPr>
              <w:t>/</w:t>
            </w:r>
            <w:r w:rsidRPr="00BC13BE">
              <w:rPr>
                <w:szCs w:val="24"/>
              </w:rPr>
              <w:t>g</w:t>
            </w:r>
          </w:p>
        </w:tc>
      </w:tr>
      <w:tr w:rsidR="007719DA" w:rsidRPr="00BC13BE" w:rsidTr="00532BDB">
        <w:trPr>
          <w:cantSplit/>
          <w:jc w:val="center"/>
        </w:trPr>
        <w:tc>
          <w:tcPr>
            <w:tcW w:w="1975" w:type="dxa"/>
            <w:vMerge/>
            <w:tcBorders>
              <w:left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p>
        </w:tc>
        <w:tc>
          <w:tcPr>
            <w:tcW w:w="993" w:type="dxa"/>
            <w:tcBorders>
              <w:left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vMerge/>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p>
        </w:tc>
        <w:tc>
          <w:tcPr>
            <w:tcW w:w="2469"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10</w:t>
            </w:r>
            <w:r w:rsidRPr="00BC13BE">
              <w:rPr>
                <w:rFonts w:cs="Times"/>
                <w:position w:val="6"/>
                <w:szCs w:val="24"/>
                <w:vertAlign w:val="superscript"/>
              </w:rPr>
              <w:t xml:space="preserve">3 </w:t>
            </w:r>
            <w:r w:rsidRPr="00BC13BE">
              <w:rPr>
                <w:szCs w:val="24"/>
              </w:rPr>
              <w:t>cfu/g</w:t>
            </w:r>
          </w:p>
        </w:tc>
        <w:tc>
          <w:tcPr>
            <w:tcW w:w="1414" w:type="dxa"/>
            <w:tcBorders>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r w:rsidRPr="00BC13BE">
              <w:rPr>
                <w:rFonts w:cs="Times"/>
                <w:position w:val="6"/>
                <w:szCs w:val="24"/>
                <w:vertAlign w:val="superscript"/>
              </w:rPr>
              <w:t xml:space="preserve">4 </w:t>
            </w:r>
            <w:r w:rsidRPr="00BC13BE">
              <w:rPr>
                <w:szCs w:val="24"/>
              </w:rPr>
              <w:t>cfu/g</w:t>
            </w: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Pepper, paprika and cinnamon</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 xml:space="preserve">Dried, chipped, </w:t>
            </w:r>
            <w:r w:rsidRPr="00EC7D0B">
              <w:rPr>
                <w:szCs w:val="24"/>
              </w:rPr>
              <w:t>de</w:t>
            </w:r>
            <w:r w:rsidRPr="00BC13BE">
              <w:rPr>
                <w:szCs w:val="24"/>
              </w:rPr>
              <w:t>sic</w:t>
            </w:r>
            <w:r w:rsidRPr="00EC7D0B">
              <w:rPr>
                <w:szCs w:val="24"/>
              </w:rPr>
              <w:t>c</w:t>
            </w:r>
            <w:r w:rsidRPr="00BC13BE">
              <w:rPr>
                <w:szCs w:val="24"/>
              </w:rPr>
              <w:t>ated coconut</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10</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Cocoa powder</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Cultured seeds and grains (bean sprouts, alfalfa etc)</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Pasteurised egg products</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rPr>
                <w:szCs w:val="24"/>
              </w:rPr>
            </w:pPr>
            <w:r w:rsidRPr="00BC13BE">
              <w:rPr>
                <w:szCs w:val="24"/>
              </w:rPr>
              <w:t>Processed egg product</w:t>
            </w:r>
          </w:p>
        </w:tc>
        <w:tc>
          <w:tcPr>
            <w:tcW w:w="2469"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rPr>
                <w:iCs/>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shd w:val="clear" w:color="auto" w:fill="auto"/>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Mineral water</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Packaged water</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r w:rsidR="007719DA" w:rsidRPr="00BC13BE" w:rsidTr="00532BDB">
        <w:trPr>
          <w:cantSplit/>
          <w:jc w:val="center"/>
        </w:trPr>
        <w:tc>
          <w:tcPr>
            <w:tcW w:w="1975"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Packaged ice</w:t>
            </w:r>
          </w:p>
        </w:tc>
        <w:tc>
          <w:tcPr>
            <w:tcW w:w="2469"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7719DA" w:rsidRPr="00BC13BE" w:rsidRDefault="007719DA" w:rsidP="00532BDB">
            <w:pPr>
              <w:pStyle w:val="Table2"/>
              <w:jc w:val="center"/>
              <w:rPr>
                <w:szCs w:val="24"/>
              </w:rPr>
            </w:pPr>
          </w:p>
        </w:tc>
      </w:tr>
    </w:tbl>
    <w:p w:rsidR="007719DA" w:rsidRPr="005D0049" w:rsidRDefault="007719DA" w:rsidP="007719DA">
      <w:pPr>
        <w:widowControl/>
        <w:jc w:val="right"/>
        <w:rPr>
          <w:rFonts w:cs="Arial"/>
          <w:sz w:val="20"/>
        </w:rPr>
      </w:pPr>
      <w:r w:rsidRPr="005D0049">
        <w:rPr>
          <w:sz w:val="20"/>
        </w:rPr>
        <w:t>”</w:t>
      </w:r>
    </w:p>
    <w:p w:rsidR="007719DA" w:rsidRDefault="007719DA" w:rsidP="007719DA">
      <w:pPr>
        <w:pStyle w:val="Clause"/>
        <w:rPr>
          <w:iCs/>
        </w:rPr>
      </w:pPr>
      <w:r>
        <w:rPr>
          <w:rFonts w:cs="Arial"/>
        </w:rPr>
        <w:t>[2.7</w:t>
      </w:r>
      <w:r w:rsidRPr="00654331">
        <w:rPr>
          <w:rFonts w:cs="Arial"/>
        </w:rPr>
        <w:t>]</w:t>
      </w:r>
      <w:r w:rsidRPr="00654331">
        <w:rPr>
          <w:rFonts w:cs="Arial"/>
        </w:rPr>
        <w:tab/>
      </w:r>
      <w:r w:rsidRPr="00654331">
        <w:t>updating the Table of Provisions</w:t>
      </w:r>
      <w:r w:rsidRPr="00654331">
        <w:rPr>
          <w:iCs/>
        </w:rPr>
        <w:t xml:space="preserve"> to reflect these variations</w:t>
      </w:r>
    </w:p>
    <w:p w:rsidR="007719DA" w:rsidRPr="005D0049" w:rsidRDefault="007719DA" w:rsidP="007719DA">
      <w:pPr>
        <w:pStyle w:val="Clause"/>
      </w:pPr>
    </w:p>
    <w:p w:rsidR="007719DA" w:rsidRPr="007D5C61" w:rsidRDefault="007719DA" w:rsidP="007719DA">
      <w:pPr>
        <w:pStyle w:val="Clause"/>
        <w:rPr>
          <w:b/>
        </w:rPr>
      </w:pPr>
      <w:r w:rsidRPr="007D5C61">
        <w:rPr>
          <w:b/>
        </w:rPr>
        <w:t>[3]</w:t>
      </w:r>
      <w:r w:rsidRPr="007D5C61">
        <w:rPr>
          <w:b/>
        </w:rPr>
        <w:tab/>
        <w:t xml:space="preserve">Standard 3.2.2 </w:t>
      </w:r>
      <w:r w:rsidRPr="007D5C61">
        <w:t xml:space="preserve">is varied by omitting the definition of </w:t>
      </w:r>
      <w:r w:rsidRPr="007D5C61">
        <w:rPr>
          <w:b/>
        </w:rPr>
        <w:t>ready-to-eat food</w:t>
      </w:r>
      <w:r w:rsidRPr="007D5C61">
        <w:t xml:space="preserve"> from clause 1</w:t>
      </w:r>
    </w:p>
    <w:p w:rsidR="007719DA" w:rsidRPr="005D0049" w:rsidRDefault="007719DA" w:rsidP="007719DA">
      <w:pPr>
        <w:rPr>
          <w:sz w:val="20"/>
        </w:rPr>
      </w:pPr>
    </w:p>
    <w:p w:rsidR="007719DA" w:rsidRPr="002054DB" w:rsidRDefault="007719DA" w:rsidP="007719DA">
      <w:pPr>
        <w:pStyle w:val="Clause"/>
      </w:pPr>
      <w:r w:rsidRPr="002054DB">
        <w:rPr>
          <w:b/>
        </w:rPr>
        <w:t>[4]</w:t>
      </w:r>
      <w:r w:rsidRPr="002054DB">
        <w:rPr>
          <w:b/>
        </w:rPr>
        <w:tab/>
        <w:t>Standard 4.2.5</w:t>
      </w:r>
      <w:r w:rsidRPr="002054DB">
        <w:t xml:space="preserve"> is varied by omitting the Editorial note at the end of clause 21</w:t>
      </w:r>
      <w:r>
        <w:t xml:space="preserve"> and </w:t>
      </w:r>
      <w:r w:rsidRPr="002054DB">
        <w:t>substituting</w:t>
      </w:r>
    </w:p>
    <w:p w:rsidR="007719DA" w:rsidRPr="002054DB" w:rsidRDefault="007719DA" w:rsidP="007719DA">
      <w:pPr>
        <w:rPr>
          <w:sz w:val="20"/>
        </w:rPr>
      </w:pPr>
    </w:p>
    <w:p w:rsidR="007719DA" w:rsidRPr="002054DB" w:rsidRDefault="007719DA" w:rsidP="007719DA">
      <w:pPr>
        <w:rPr>
          <w:sz w:val="20"/>
        </w:rPr>
      </w:pPr>
      <w:r w:rsidRPr="002054DB">
        <w:rPr>
          <w:sz w:val="20"/>
        </w:rPr>
        <w:t>“</w:t>
      </w:r>
    </w:p>
    <w:p w:rsidR="007719DA" w:rsidRPr="002054DB" w:rsidRDefault="007719DA" w:rsidP="007719DA">
      <w:pPr>
        <w:pStyle w:val="EditorialNoteLine1"/>
      </w:pPr>
      <w:r w:rsidRPr="002054DB">
        <w:t>Editorial note:</w:t>
      </w:r>
    </w:p>
    <w:p w:rsidR="007719DA" w:rsidRPr="002054DB" w:rsidRDefault="007719DA" w:rsidP="007719DA">
      <w:pPr>
        <w:pStyle w:val="EditorialNotetext"/>
      </w:pPr>
    </w:p>
    <w:p w:rsidR="007719DA" w:rsidRPr="002054DB" w:rsidRDefault="007719DA" w:rsidP="007719DA">
      <w:pPr>
        <w:pStyle w:val="EditorialNotetext"/>
      </w:pPr>
      <w:r>
        <w:t xml:space="preserve">For subclause 21(1), </w:t>
      </w:r>
      <w:r w:rsidRPr="002054DB">
        <w:t>Standard 1.6.1 specifies microbiological limits for processed egg products for sale.</w:t>
      </w:r>
    </w:p>
    <w:p w:rsidR="00AF06FC" w:rsidRPr="007719DA" w:rsidRDefault="00214021" w:rsidP="007719DA">
      <w:pPr>
        <w:widowControl/>
        <w:jc w:val="right"/>
        <w:rPr>
          <w:rFonts w:cs="Arial"/>
          <w:sz w:val="20"/>
          <w:szCs w:val="20"/>
          <w:lang w:val="en-GB" w:bidi="ar-SA"/>
        </w:rPr>
      </w:pPr>
      <w:r w:rsidRPr="00214021">
        <w:rPr>
          <w:sz w:val="20"/>
          <w:szCs w:val="20"/>
          <w:lang w:val="en-GB" w:bidi="ar-SA"/>
        </w:rPr>
        <w:t>”</w:t>
      </w:r>
    </w:p>
    <w:p w:rsidR="00AF06FC" w:rsidRDefault="00AF06FC" w:rsidP="004646F8">
      <w:pPr>
        <w:pStyle w:val="Heading2"/>
      </w:pPr>
      <w:bookmarkStart w:id="89" w:name="_Toc300933454"/>
      <w:bookmarkStart w:id="90" w:name="_Toc371585227"/>
      <w:r w:rsidRPr="00932F14">
        <w:lastRenderedPageBreak/>
        <w:t xml:space="preserve">Attachment </w:t>
      </w:r>
      <w:r>
        <w:t>B – Draft Explanatory Statement</w:t>
      </w:r>
      <w:bookmarkEnd w:id="89"/>
      <w:bookmarkEnd w:id="90"/>
    </w:p>
    <w:p w:rsidR="00AF06FC" w:rsidRPr="000576EB" w:rsidRDefault="00AF06FC" w:rsidP="00AF06FC">
      <w:pPr>
        <w:rPr>
          <w:b/>
          <w:lang w:eastAsia="en-GB" w:bidi="ar-SA"/>
        </w:rPr>
      </w:pPr>
      <w:r w:rsidRPr="000576EB">
        <w:rPr>
          <w:b/>
          <w:lang w:eastAsia="en-GB" w:bidi="ar-SA"/>
        </w:rPr>
        <w:t>1.</w:t>
      </w:r>
      <w:r w:rsidRPr="000576EB">
        <w:rPr>
          <w:b/>
          <w:lang w:eastAsia="en-GB" w:bidi="ar-SA"/>
        </w:rPr>
        <w:tab/>
        <w:t>Authority</w:t>
      </w:r>
    </w:p>
    <w:p w:rsidR="00AF06FC" w:rsidRDefault="00AF06FC" w:rsidP="00AF06FC">
      <w:pPr>
        <w:rPr>
          <w:lang w:eastAsia="en-GB" w:bidi="ar-SA"/>
        </w:rPr>
      </w:pPr>
    </w:p>
    <w:p w:rsidR="00AF06FC" w:rsidRPr="00D13E34" w:rsidRDefault="00AF06FC" w:rsidP="00AF06FC">
      <w:pPr>
        <w:widowControl/>
        <w:autoSpaceDE w:val="0"/>
        <w:autoSpaceDN w:val="0"/>
        <w:adjustRightInd w:val="0"/>
        <w:rPr>
          <w:rFonts w:eastAsia="Calibri" w:cs="Arial"/>
          <w:bCs/>
          <w:szCs w:val="22"/>
          <w:lang w:bidi="ar-SA"/>
        </w:rPr>
      </w:pPr>
      <w:r w:rsidRPr="00D13E34">
        <w:rPr>
          <w:rFonts w:eastAsia="Calibri" w:cs="Arial"/>
          <w:bCs/>
          <w:szCs w:val="22"/>
          <w:lang w:bidi="ar-SA"/>
        </w:rPr>
        <w:t xml:space="preserve">Section 13 of the </w:t>
      </w:r>
      <w:r w:rsidRPr="00D13E34">
        <w:rPr>
          <w:rFonts w:eastAsia="Calibri" w:cs="Arial"/>
          <w:bCs/>
          <w:i/>
          <w:szCs w:val="22"/>
          <w:lang w:bidi="ar-SA"/>
        </w:rPr>
        <w:t>Food Standards Australia New Zealand Act 1991</w:t>
      </w:r>
      <w:r w:rsidRPr="00D13E34">
        <w:rPr>
          <w:rFonts w:eastAsia="Calibri" w:cs="Arial"/>
          <w:bCs/>
          <w:szCs w:val="22"/>
          <w:lang w:bidi="ar-SA"/>
        </w:rPr>
        <w:t xml:space="preserve"> (the </w:t>
      </w:r>
      <w:r>
        <w:rPr>
          <w:rFonts w:eastAsia="Calibri" w:cs="Arial"/>
          <w:bCs/>
          <w:szCs w:val="22"/>
          <w:lang w:bidi="ar-SA"/>
        </w:rPr>
        <w:t xml:space="preserve">FSANZ </w:t>
      </w:r>
      <w:r w:rsidRPr="00D13E34">
        <w:rPr>
          <w:rFonts w:eastAsia="Calibri" w:cs="Arial"/>
          <w:bCs/>
          <w:szCs w:val="22"/>
          <w:lang w:bidi="ar-SA"/>
        </w:rPr>
        <w:t>Act) provides that the functions of Food Standards Australia New Zealand (</w:t>
      </w:r>
      <w:r>
        <w:rPr>
          <w:rFonts w:eastAsia="Calibri" w:cs="Arial"/>
          <w:bCs/>
          <w:szCs w:val="22"/>
          <w:lang w:bidi="ar-SA"/>
        </w:rPr>
        <w:t>the Authority</w:t>
      </w:r>
      <w:r w:rsidRPr="00D13E34">
        <w:rPr>
          <w:rFonts w:eastAsia="Calibri" w:cs="Arial"/>
          <w:bCs/>
          <w:szCs w:val="22"/>
          <w:lang w:bidi="ar-SA"/>
        </w:rPr>
        <w:t xml:space="preserve">) include the development of standards and variations of standards for inclusion in the </w:t>
      </w:r>
      <w:r w:rsidRPr="006E7A60">
        <w:rPr>
          <w:rFonts w:eastAsia="Calibri" w:cs="Arial"/>
          <w:bCs/>
          <w:i/>
          <w:szCs w:val="22"/>
          <w:lang w:bidi="ar-SA"/>
        </w:rPr>
        <w:t>Australia New Zealand Food Standards Code</w:t>
      </w:r>
      <w:r w:rsidRPr="00D13E34">
        <w:rPr>
          <w:rFonts w:eastAsia="Calibri" w:cs="Arial"/>
          <w:bCs/>
          <w:szCs w:val="22"/>
          <w:lang w:bidi="ar-SA"/>
        </w:rPr>
        <w:t xml:space="preserve"> (the Code).</w:t>
      </w:r>
    </w:p>
    <w:p w:rsidR="00AF06FC" w:rsidRDefault="00AF06FC" w:rsidP="00AF06FC">
      <w:pPr>
        <w:widowControl/>
        <w:autoSpaceDE w:val="0"/>
        <w:autoSpaceDN w:val="0"/>
        <w:adjustRightInd w:val="0"/>
        <w:rPr>
          <w:rFonts w:eastAsia="Calibri" w:cs="Arial"/>
          <w:bCs/>
          <w:color w:val="FF0000"/>
          <w:szCs w:val="22"/>
          <w:lang w:bidi="ar-SA"/>
        </w:rPr>
      </w:pPr>
    </w:p>
    <w:p w:rsidR="00AF06FC" w:rsidRPr="0016341B" w:rsidRDefault="00AF06FC" w:rsidP="00AF06FC">
      <w:pPr>
        <w:widowControl/>
        <w:autoSpaceDE w:val="0"/>
        <w:autoSpaceDN w:val="0"/>
        <w:adjustRightInd w:val="0"/>
        <w:rPr>
          <w:rFonts w:eastAsia="Calibri" w:cs="Arial"/>
          <w:bCs/>
          <w:szCs w:val="22"/>
          <w:lang w:bidi="ar-SA"/>
        </w:rPr>
      </w:pPr>
      <w:r w:rsidRPr="0016341B">
        <w:rPr>
          <w:rFonts w:eastAsia="Calibri" w:cs="Arial"/>
          <w:bCs/>
          <w:szCs w:val="22"/>
          <w:lang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16341B">
        <w:rPr>
          <w:rFonts w:eastAsia="Calibri" w:cs="Arial"/>
          <w:bCs/>
          <w:szCs w:val="22"/>
          <w:lang w:bidi="ar-SA"/>
        </w:rPr>
        <w:t xml:space="preserve">. </w:t>
      </w:r>
    </w:p>
    <w:p w:rsidR="00AF06FC" w:rsidRPr="0016341B" w:rsidRDefault="00AF06FC" w:rsidP="00AF06FC">
      <w:pPr>
        <w:widowControl/>
        <w:autoSpaceDE w:val="0"/>
        <w:autoSpaceDN w:val="0"/>
        <w:adjustRightInd w:val="0"/>
        <w:rPr>
          <w:rFonts w:eastAsia="Calibri" w:cs="Arial"/>
          <w:bCs/>
          <w:szCs w:val="22"/>
          <w:lang w:bidi="ar-SA"/>
        </w:rPr>
      </w:pPr>
    </w:p>
    <w:p w:rsidR="00AF06FC" w:rsidRPr="0016341B" w:rsidRDefault="00AF06FC" w:rsidP="00AF06FC">
      <w:pPr>
        <w:widowControl/>
        <w:autoSpaceDE w:val="0"/>
        <w:autoSpaceDN w:val="0"/>
        <w:adjustRightInd w:val="0"/>
        <w:rPr>
          <w:rFonts w:eastAsia="Calibri" w:cs="Arial"/>
          <w:bCs/>
          <w:szCs w:val="22"/>
          <w:lang w:bidi="ar-SA"/>
        </w:rPr>
      </w:pPr>
      <w:r w:rsidRPr="0016341B">
        <w:rPr>
          <w:rFonts w:eastAsia="Calibri" w:cs="Arial"/>
          <w:bCs/>
          <w:szCs w:val="22"/>
          <w:lang w:bidi="ar-SA"/>
        </w:rPr>
        <w:t>FSANZ prepared Proposal P</w:t>
      </w:r>
      <w:r w:rsidR="0016341B">
        <w:rPr>
          <w:rFonts w:eastAsia="Calibri" w:cs="Arial"/>
          <w:bCs/>
          <w:szCs w:val="22"/>
          <w:lang w:bidi="ar-SA"/>
        </w:rPr>
        <w:t>1017</w:t>
      </w:r>
      <w:r w:rsidRPr="0016341B">
        <w:rPr>
          <w:rFonts w:eastAsia="Calibri" w:cs="Arial"/>
          <w:bCs/>
          <w:szCs w:val="22"/>
          <w:lang w:bidi="ar-SA"/>
        </w:rPr>
        <w:t xml:space="preserve"> to </w:t>
      </w:r>
      <w:r w:rsidR="0016341B">
        <w:rPr>
          <w:rFonts w:eastAsia="Calibri" w:cs="Arial"/>
          <w:bCs/>
          <w:szCs w:val="22"/>
          <w:lang w:bidi="ar-SA"/>
        </w:rPr>
        <w:t xml:space="preserve">assess limits for </w:t>
      </w:r>
      <w:r w:rsidR="0016341B" w:rsidRPr="0016341B">
        <w:rPr>
          <w:rFonts w:eastAsia="Calibri" w:cs="Arial"/>
          <w:bCs/>
          <w:i/>
          <w:szCs w:val="22"/>
          <w:lang w:bidi="ar-SA"/>
        </w:rPr>
        <w:t>Listeria monocytogenes</w:t>
      </w:r>
      <w:r w:rsidR="0016341B">
        <w:rPr>
          <w:rFonts w:eastAsia="Calibri" w:cs="Arial"/>
          <w:bCs/>
          <w:szCs w:val="22"/>
          <w:lang w:bidi="ar-SA"/>
        </w:rPr>
        <w:t xml:space="preserve"> in ready-to-eat food for inclusion in Standard 1.6.1.</w:t>
      </w:r>
      <w:r w:rsidRPr="0016341B">
        <w:rPr>
          <w:rFonts w:eastAsia="Calibri" w:cs="Arial"/>
          <w:bCs/>
          <w:szCs w:val="22"/>
          <w:lang w:bidi="ar-SA"/>
        </w:rPr>
        <w:t xml:space="preserve"> The Authority considered the Proposal in accordance with Division 2 of Part 3 and has approved a draft Standard. </w:t>
      </w:r>
    </w:p>
    <w:p w:rsidR="00AF06FC" w:rsidRPr="00D13E34" w:rsidRDefault="00AF06FC" w:rsidP="00AF06FC">
      <w:pPr>
        <w:widowControl/>
        <w:autoSpaceDE w:val="0"/>
        <w:autoSpaceDN w:val="0"/>
        <w:adjustRightInd w:val="0"/>
        <w:rPr>
          <w:rFonts w:eastAsia="Calibri" w:cs="Arial"/>
          <w:bCs/>
          <w:szCs w:val="22"/>
          <w:lang w:bidi="ar-SA"/>
        </w:rPr>
      </w:pPr>
    </w:p>
    <w:p w:rsidR="00AF06FC" w:rsidRDefault="006C28E2" w:rsidP="00AF06FC">
      <w:pPr>
        <w:rPr>
          <w:b/>
          <w:lang w:eastAsia="en-GB" w:bidi="ar-SA"/>
        </w:rPr>
      </w:pPr>
      <w:r>
        <w:rPr>
          <w:b/>
          <w:lang w:eastAsia="en-GB" w:bidi="ar-SA"/>
        </w:rPr>
        <w:t>2.</w:t>
      </w:r>
      <w:r>
        <w:rPr>
          <w:b/>
          <w:lang w:eastAsia="en-GB" w:bidi="ar-SA"/>
        </w:rPr>
        <w:tab/>
        <w:t xml:space="preserve">Purpose </w:t>
      </w:r>
    </w:p>
    <w:p w:rsidR="00CB1375" w:rsidRDefault="00CB1375" w:rsidP="00AF06FC">
      <w:pPr>
        <w:rPr>
          <w:lang w:eastAsia="en-GB" w:bidi="ar-SA"/>
        </w:rPr>
      </w:pPr>
    </w:p>
    <w:p w:rsidR="00AF06FC" w:rsidRDefault="00AF06FC" w:rsidP="00AF06FC">
      <w:pPr>
        <w:rPr>
          <w:lang w:eastAsia="en-GB" w:bidi="ar-SA"/>
        </w:rPr>
      </w:pPr>
      <w:r>
        <w:rPr>
          <w:lang w:eastAsia="en-GB" w:bidi="ar-SA"/>
        </w:rPr>
        <w:t>The Authority has approved</w:t>
      </w:r>
      <w:r w:rsidR="006068B5">
        <w:rPr>
          <w:lang w:eastAsia="en-GB" w:bidi="ar-SA"/>
        </w:rPr>
        <w:t xml:space="preserve"> draft amendments to Standard 1.6.1 </w:t>
      </w:r>
      <w:r w:rsidR="00370266">
        <w:rPr>
          <w:lang w:eastAsia="en-GB" w:bidi="ar-SA"/>
        </w:rPr>
        <w:t>to</w:t>
      </w:r>
      <w:r w:rsidR="006068B5">
        <w:rPr>
          <w:lang w:eastAsia="en-GB" w:bidi="ar-SA"/>
        </w:rPr>
        <w:t xml:space="preserve"> replace existing limits for </w:t>
      </w:r>
      <w:r w:rsidR="006068B5" w:rsidRPr="006068B5">
        <w:rPr>
          <w:i/>
          <w:lang w:eastAsia="en-GB" w:bidi="ar-SA"/>
        </w:rPr>
        <w:t>Listeria monocytogenes</w:t>
      </w:r>
      <w:r w:rsidR="006068B5">
        <w:rPr>
          <w:lang w:eastAsia="en-GB" w:bidi="ar-SA"/>
        </w:rPr>
        <w:t xml:space="preserve"> in nominated foods with two sets of limits for </w:t>
      </w:r>
      <w:r w:rsidR="006068B5" w:rsidRPr="006068B5">
        <w:rPr>
          <w:i/>
          <w:lang w:eastAsia="en-GB" w:bidi="ar-SA"/>
        </w:rPr>
        <w:t>Listeria monocytogenes</w:t>
      </w:r>
      <w:r w:rsidR="006068B5">
        <w:rPr>
          <w:lang w:eastAsia="en-GB" w:bidi="ar-SA"/>
        </w:rPr>
        <w:t xml:space="preserve"> in ready-to-eat foods </w:t>
      </w:r>
      <w:r w:rsidR="009106A9">
        <w:rPr>
          <w:lang w:eastAsia="en-GB" w:bidi="ar-SA"/>
        </w:rPr>
        <w:t>based</w:t>
      </w:r>
      <w:r w:rsidR="006068B5">
        <w:rPr>
          <w:lang w:eastAsia="en-GB" w:bidi="ar-SA"/>
        </w:rPr>
        <w:t xml:space="preserve"> on whether the growth of </w:t>
      </w:r>
      <w:r w:rsidR="006068B5" w:rsidRPr="006068B5">
        <w:rPr>
          <w:i/>
          <w:lang w:eastAsia="en-GB" w:bidi="ar-SA"/>
        </w:rPr>
        <w:t>Listeria monocytogenes</w:t>
      </w:r>
      <w:r w:rsidR="006068B5">
        <w:rPr>
          <w:lang w:eastAsia="en-GB" w:bidi="ar-SA"/>
        </w:rPr>
        <w:t xml:space="preserve"> will or </w:t>
      </w:r>
      <w:r w:rsidR="008A3D5D">
        <w:rPr>
          <w:lang w:eastAsia="en-GB" w:bidi="ar-SA"/>
        </w:rPr>
        <w:t xml:space="preserve">will </w:t>
      </w:r>
      <w:r w:rsidR="006068B5">
        <w:rPr>
          <w:lang w:eastAsia="en-GB" w:bidi="ar-SA"/>
        </w:rPr>
        <w:t xml:space="preserve">not </w:t>
      </w:r>
      <w:r w:rsidR="008A3D5D">
        <w:rPr>
          <w:lang w:eastAsia="en-GB" w:bidi="ar-SA"/>
        </w:rPr>
        <w:t xml:space="preserve">occur </w:t>
      </w:r>
      <w:r w:rsidR="006068B5">
        <w:rPr>
          <w:lang w:eastAsia="en-GB" w:bidi="ar-SA"/>
        </w:rPr>
        <w:t xml:space="preserve">in that food.  </w:t>
      </w:r>
    </w:p>
    <w:p w:rsidR="009106A9" w:rsidRDefault="009106A9" w:rsidP="00AF06FC">
      <w:pPr>
        <w:rPr>
          <w:lang w:eastAsia="en-GB" w:bidi="ar-SA"/>
        </w:rPr>
      </w:pPr>
    </w:p>
    <w:p w:rsidR="009106A9" w:rsidRDefault="002461C9" w:rsidP="00AF06FC">
      <w:pPr>
        <w:rPr>
          <w:lang w:eastAsia="en-GB" w:bidi="ar-SA"/>
        </w:rPr>
      </w:pPr>
      <w:r>
        <w:rPr>
          <w:lang w:eastAsia="en-GB" w:bidi="ar-SA"/>
        </w:rPr>
        <w:t>T</w:t>
      </w:r>
      <w:r w:rsidR="009106A9">
        <w:rPr>
          <w:lang w:eastAsia="en-GB" w:bidi="ar-SA"/>
        </w:rPr>
        <w:t>he draft amendments to Standard 1.6.1 will</w:t>
      </w:r>
      <w:r w:rsidR="006D6333">
        <w:rPr>
          <w:lang w:eastAsia="en-GB" w:bidi="ar-SA"/>
        </w:rPr>
        <w:t xml:space="preserve"> also </w:t>
      </w:r>
      <w:r w:rsidR="009106A9">
        <w:rPr>
          <w:lang w:eastAsia="en-GB" w:bidi="ar-SA"/>
        </w:rPr>
        <w:t xml:space="preserve">address other issues identified with the </w:t>
      </w:r>
      <w:r w:rsidR="00A54964">
        <w:rPr>
          <w:lang w:eastAsia="en-GB" w:bidi="ar-SA"/>
        </w:rPr>
        <w:t xml:space="preserve">Standard, </w:t>
      </w:r>
      <w:r w:rsidR="009106A9">
        <w:rPr>
          <w:lang w:eastAsia="en-GB" w:bidi="ar-SA"/>
        </w:rPr>
        <w:t xml:space="preserve">including updating the reference methods of analysis, the “Purpose” of the </w:t>
      </w:r>
      <w:r w:rsidR="00737989">
        <w:rPr>
          <w:lang w:eastAsia="en-GB" w:bidi="ar-SA"/>
        </w:rPr>
        <w:t xml:space="preserve">Standard </w:t>
      </w:r>
      <w:r w:rsidR="009106A9">
        <w:rPr>
          <w:lang w:eastAsia="en-GB" w:bidi="ar-SA"/>
        </w:rPr>
        <w:t>and inclusion of analytical units in the Schedule</w:t>
      </w:r>
      <w:r w:rsidR="00737989">
        <w:rPr>
          <w:lang w:eastAsia="en-GB" w:bidi="ar-SA"/>
        </w:rPr>
        <w:t xml:space="preserve"> to the Standard</w:t>
      </w:r>
      <w:r w:rsidR="009106A9">
        <w:rPr>
          <w:lang w:eastAsia="en-GB" w:bidi="ar-SA"/>
        </w:rPr>
        <w:t xml:space="preserve">. </w:t>
      </w:r>
    </w:p>
    <w:p w:rsidR="00AF06FC" w:rsidRDefault="00AF06FC" w:rsidP="00AF06FC">
      <w:pPr>
        <w:rPr>
          <w:lang w:eastAsia="en-GB" w:bidi="ar-SA"/>
        </w:rPr>
      </w:pPr>
    </w:p>
    <w:p w:rsidR="00AF06FC" w:rsidRPr="000576EB" w:rsidRDefault="00AF06FC" w:rsidP="00AF06FC">
      <w:pPr>
        <w:rPr>
          <w:b/>
          <w:lang w:eastAsia="en-GB" w:bidi="ar-SA"/>
        </w:rPr>
      </w:pPr>
      <w:r w:rsidRPr="000576EB">
        <w:rPr>
          <w:b/>
          <w:lang w:eastAsia="en-GB" w:bidi="ar-SA"/>
        </w:rPr>
        <w:t>3.</w:t>
      </w:r>
      <w:r w:rsidRPr="000576EB">
        <w:rPr>
          <w:b/>
          <w:lang w:eastAsia="en-GB" w:bidi="ar-SA"/>
        </w:rPr>
        <w:tab/>
        <w:t>Documents incorporated by reference</w:t>
      </w:r>
    </w:p>
    <w:p w:rsidR="00AF06FC" w:rsidRDefault="00AF06FC" w:rsidP="00AF06FC">
      <w:pPr>
        <w:rPr>
          <w:lang w:eastAsia="en-GB" w:bidi="ar-SA"/>
        </w:rPr>
      </w:pPr>
    </w:p>
    <w:p w:rsidR="00F256A7" w:rsidRDefault="00AF06FC" w:rsidP="00AF06FC">
      <w:pPr>
        <w:widowControl/>
        <w:autoSpaceDE w:val="0"/>
        <w:autoSpaceDN w:val="0"/>
        <w:adjustRightInd w:val="0"/>
        <w:rPr>
          <w:rFonts w:eastAsia="Calibri" w:cs="Arial"/>
          <w:bCs/>
          <w:szCs w:val="22"/>
          <w:lang w:bidi="ar-SA"/>
        </w:rPr>
      </w:pPr>
      <w:r w:rsidRPr="00D13E34">
        <w:rPr>
          <w:rFonts w:eastAsia="Calibri" w:cs="Arial"/>
          <w:bCs/>
          <w:szCs w:val="22"/>
          <w:lang w:bidi="ar-SA"/>
        </w:rPr>
        <w:t xml:space="preserve">The variation to </w:t>
      </w:r>
      <w:r w:rsidR="009B6B01">
        <w:rPr>
          <w:rFonts w:eastAsia="Calibri" w:cs="Arial"/>
          <w:bCs/>
          <w:szCs w:val="22"/>
          <w:lang w:bidi="ar-SA"/>
        </w:rPr>
        <w:t>Standard 1.6.1</w:t>
      </w:r>
      <w:r w:rsidRPr="00D13E34">
        <w:rPr>
          <w:rFonts w:eastAsia="Calibri" w:cs="Arial"/>
          <w:bCs/>
          <w:szCs w:val="22"/>
          <w:lang w:bidi="ar-SA"/>
        </w:rPr>
        <w:t xml:space="preserve"> do</w:t>
      </w:r>
      <w:r w:rsidR="00F256A7">
        <w:rPr>
          <w:rFonts w:eastAsia="Calibri" w:cs="Arial"/>
          <w:bCs/>
          <w:szCs w:val="22"/>
          <w:lang w:bidi="ar-SA"/>
        </w:rPr>
        <w:t>es</w:t>
      </w:r>
      <w:r w:rsidRPr="00D13E34">
        <w:rPr>
          <w:rFonts w:eastAsia="Calibri" w:cs="Arial"/>
          <w:bCs/>
          <w:szCs w:val="22"/>
          <w:lang w:bidi="ar-SA"/>
        </w:rPr>
        <w:t xml:space="preserve"> incorporate </w:t>
      </w:r>
      <w:r w:rsidR="009B6B01">
        <w:rPr>
          <w:rFonts w:eastAsia="Calibri" w:cs="Arial"/>
          <w:bCs/>
          <w:szCs w:val="22"/>
          <w:lang w:bidi="ar-SA"/>
        </w:rPr>
        <w:t xml:space="preserve">by </w:t>
      </w:r>
      <w:r w:rsidRPr="00D13E34">
        <w:rPr>
          <w:rFonts w:eastAsia="Calibri" w:cs="Arial"/>
          <w:bCs/>
          <w:szCs w:val="22"/>
          <w:lang w:bidi="ar-SA"/>
        </w:rPr>
        <w:t>reference</w:t>
      </w:r>
      <w:r w:rsidR="009106A9">
        <w:rPr>
          <w:rFonts w:eastAsia="Calibri" w:cs="Arial"/>
          <w:bCs/>
          <w:szCs w:val="22"/>
          <w:lang w:bidi="ar-SA"/>
        </w:rPr>
        <w:t xml:space="preserve"> </w:t>
      </w:r>
      <w:r w:rsidR="00F256A7">
        <w:rPr>
          <w:rFonts w:eastAsia="Calibri" w:cs="Arial"/>
          <w:bCs/>
          <w:szCs w:val="22"/>
          <w:lang w:bidi="ar-SA"/>
        </w:rPr>
        <w:t>the following:</w:t>
      </w:r>
    </w:p>
    <w:p w:rsidR="00F256A7" w:rsidRDefault="00F256A7" w:rsidP="00AF06FC">
      <w:pPr>
        <w:widowControl/>
        <w:autoSpaceDE w:val="0"/>
        <w:autoSpaceDN w:val="0"/>
        <w:adjustRightInd w:val="0"/>
        <w:rPr>
          <w:rFonts w:eastAsia="Calibri" w:cs="Arial"/>
          <w:bCs/>
          <w:szCs w:val="22"/>
          <w:lang w:bidi="ar-SA"/>
        </w:rPr>
      </w:pPr>
    </w:p>
    <w:p w:rsidR="00214021" w:rsidRPr="00214021" w:rsidRDefault="00C36880" w:rsidP="00214021">
      <w:pPr>
        <w:pStyle w:val="FSBullet1"/>
      </w:pPr>
      <w:r>
        <w:t>m</w:t>
      </w:r>
      <w:r w:rsidR="00214021">
        <w:t xml:space="preserve">icrobiological </w:t>
      </w:r>
      <w:r w:rsidR="00214021" w:rsidRPr="00214021">
        <w:t>methods prescribed by A</w:t>
      </w:r>
      <w:r>
        <w:t xml:space="preserve">ustralian </w:t>
      </w:r>
      <w:r w:rsidR="00214021" w:rsidRPr="00214021">
        <w:t>S</w:t>
      </w:r>
      <w:r>
        <w:t>tandard</w:t>
      </w:r>
      <w:r w:rsidR="00214021" w:rsidRPr="00214021">
        <w:t xml:space="preserve"> 5013</w:t>
      </w:r>
      <w:r>
        <w:t xml:space="preserve"> series</w:t>
      </w:r>
      <w:r w:rsidR="00214021" w:rsidRPr="00214021">
        <w:t xml:space="preserve">; </w:t>
      </w:r>
    </w:p>
    <w:p w:rsidR="00214021" w:rsidRDefault="00214021" w:rsidP="00C36880">
      <w:pPr>
        <w:pStyle w:val="FSBullet1"/>
        <w:rPr>
          <w:lang w:val="en-GB"/>
        </w:rPr>
      </w:pPr>
      <w:r w:rsidRPr="00214021">
        <w:t>equivalent method</w:t>
      </w:r>
      <w:r>
        <w:t>s</w:t>
      </w:r>
      <w:r w:rsidRPr="00214021">
        <w:t xml:space="preserve"> as determined by </w:t>
      </w:r>
      <w:r w:rsidR="00C36880" w:rsidRPr="00C36880">
        <w:t xml:space="preserve">Australian New Zealand (AS/NZS) </w:t>
      </w:r>
      <w:r w:rsidR="00C36880">
        <w:t>method</w:t>
      </w:r>
      <w:r w:rsidRPr="00214021">
        <w:t xml:space="preserve"> 4659;</w:t>
      </w:r>
      <w:r w:rsidRPr="00214021">
        <w:rPr>
          <w:lang w:val="en-GB"/>
        </w:rPr>
        <w:tab/>
      </w:r>
    </w:p>
    <w:p w:rsidR="00F256A7" w:rsidRPr="00214021" w:rsidRDefault="00214021" w:rsidP="00214021">
      <w:pPr>
        <w:pStyle w:val="FSBullet1"/>
        <w:rPr>
          <w:rFonts w:eastAsia="Calibri"/>
          <w:bCs/>
          <w:szCs w:val="22"/>
        </w:rPr>
      </w:pPr>
      <w:r w:rsidRPr="00214021">
        <w:rPr>
          <w:lang w:val="en-GB"/>
        </w:rPr>
        <w:t xml:space="preserve">AS/NZS 4276 </w:t>
      </w:r>
      <w:r w:rsidR="00C36880">
        <w:rPr>
          <w:lang w:val="en-GB"/>
        </w:rPr>
        <w:t xml:space="preserve">method </w:t>
      </w:r>
      <w:r w:rsidRPr="00214021">
        <w:rPr>
          <w:lang w:val="en-GB"/>
        </w:rPr>
        <w:t>for packaged water, packaged ice or mineral water</w:t>
      </w:r>
      <w:r>
        <w:rPr>
          <w:lang w:val="en-GB"/>
        </w:rPr>
        <w:t>.</w:t>
      </w:r>
      <w:r w:rsidRPr="00214021">
        <w:rPr>
          <w:rFonts w:eastAsia="Calibri"/>
          <w:bCs/>
          <w:szCs w:val="22"/>
        </w:rPr>
        <w:t xml:space="preserve"> </w:t>
      </w:r>
    </w:p>
    <w:p w:rsidR="00790416" w:rsidRDefault="00790416" w:rsidP="00AF06FC">
      <w:pPr>
        <w:widowControl/>
        <w:autoSpaceDE w:val="0"/>
        <w:autoSpaceDN w:val="0"/>
        <w:adjustRightInd w:val="0"/>
        <w:rPr>
          <w:rFonts w:eastAsia="Calibri" w:cs="Arial"/>
          <w:bCs/>
          <w:szCs w:val="22"/>
          <w:lang w:bidi="ar-SA"/>
        </w:rPr>
      </w:pPr>
    </w:p>
    <w:p w:rsidR="00AF06FC" w:rsidRPr="000576EB" w:rsidRDefault="00AF06FC" w:rsidP="00AF06FC">
      <w:pPr>
        <w:rPr>
          <w:b/>
          <w:lang w:eastAsia="en-GB" w:bidi="ar-SA"/>
        </w:rPr>
      </w:pPr>
      <w:r w:rsidRPr="000576EB">
        <w:rPr>
          <w:b/>
          <w:lang w:eastAsia="en-GB" w:bidi="ar-SA"/>
        </w:rPr>
        <w:t>4.</w:t>
      </w:r>
      <w:r w:rsidRPr="000576EB">
        <w:rPr>
          <w:b/>
          <w:lang w:eastAsia="en-GB" w:bidi="ar-SA"/>
        </w:rPr>
        <w:tab/>
        <w:t>Consultation</w:t>
      </w:r>
    </w:p>
    <w:p w:rsidR="00AF06FC" w:rsidRDefault="00AF06FC" w:rsidP="00AF06FC">
      <w:pPr>
        <w:rPr>
          <w:lang w:eastAsia="en-GB" w:bidi="ar-SA"/>
        </w:rPr>
      </w:pPr>
    </w:p>
    <w:p w:rsidR="00294BAD" w:rsidRDefault="00AF06FC" w:rsidP="00F64653">
      <w:pPr>
        <w:rPr>
          <w:szCs w:val="22"/>
        </w:rPr>
      </w:pPr>
      <w:r w:rsidRPr="00F634A1">
        <w:rPr>
          <w:szCs w:val="22"/>
        </w:rPr>
        <w:t xml:space="preserve">In accordance with the procedure in Division </w:t>
      </w:r>
      <w:r w:rsidR="002461C9" w:rsidRPr="002461C9">
        <w:rPr>
          <w:szCs w:val="22"/>
        </w:rPr>
        <w:t>2</w:t>
      </w:r>
      <w:r w:rsidRPr="002461C9">
        <w:rPr>
          <w:szCs w:val="22"/>
        </w:rPr>
        <w:t xml:space="preserve"> </w:t>
      </w:r>
      <w:r w:rsidRPr="00F634A1">
        <w:rPr>
          <w:szCs w:val="22"/>
        </w:rPr>
        <w:t xml:space="preserve">of Part </w:t>
      </w:r>
      <w:r w:rsidR="002461C9" w:rsidRPr="002461C9">
        <w:rPr>
          <w:szCs w:val="22"/>
        </w:rPr>
        <w:t>3</w:t>
      </w:r>
      <w:r w:rsidRPr="00D06616">
        <w:rPr>
          <w:color w:val="FF0000"/>
          <w:szCs w:val="22"/>
        </w:rPr>
        <w:t xml:space="preserve"> </w:t>
      </w:r>
      <w:r w:rsidRPr="00F634A1">
        <w:rPr>
          <w:szCs w:val="22"/>
        </w:rPr>
        <w:t xml:space="preserve">of the FSANZ Act, </w:t>
      </w:r>
      <w:r w:rsidR="005D1B0A">
        <w:rPr>
          <w:rFonts w:eastAsia="Calibri" w:cs="Arial"/>
          <w:bCs/>
          <w:szCs w:val="22"/>
          <w:lang w:bidi="ar-SA"/>
        </w:rPr>
        <w:t>FSANZ</w:t>
      </w:r>
      <w:r w:rsidRPr="00F634A1">
        <w:rPr>
          <w:szCs w:val="22"/>
        </w:rPr>
        <w:t xml:space="preserve">’s consideration </w:t>
      </w:r>
      <w:r w:rsidRPr="002461C9">
        <w:rPr>
          <w:szCs w:val="22"/>
        </w:rPr>
        <w:t>of P</w:t>
      </w:r>
      <w:r w:rsidR="002461C9" w:rsidRPr="002461C9">
        <w:rPr>
          <w:szCs w:val="22"/>
        </w:rPr>
        <w:t>1017</w:t>
      </w:r>
      <w:r w:rsidRPr="002461C9">
        <w:rPr>
          <w:szCs w:val="22"/>
        </w:rPr>
        <w:t xml:space="preserve"> </w:t>
      </w:r>
      <w:r w:rsidR="00E755D6">
        <w:rPr>
          <w:szCs w:val="22"/>
        </w:rPr>
        <w:t>requires a further</w:t>
      </w:r>
      <w:r w:rsidR="005D1B0A">
        <w:rPr>
          <w:color w:val="FF0000"/>
          <w:szCs w:val="22"/>
        </w:rPr>
        <w:t xml:space="preserve"> </w:t>
      </w:r>
      <w:r w:rsidR="005D1B0A" w:rsidRPr="001F3403">
        <w:rPr>
          <w:szCs w:val="22"/>
        </w:rPr>
        <w:t xml:space="preserve">round of public comment following an assessment </w:t>
      </w:r>
      <w:r w:rsidR="009F6B41" w:rsidRPr="001F3403">
        <w:rPr>
          <w:szCs w:val="22"/>
        </w:rPr>
        <w:t xml:space="preserve">of the Proposal </w:t>
      </w:r>
      <w:r w:rsidR="005D1B0A" w:rsidRPr="001F3403">
        <w:rPr>
          <w:szCs w:val="22"/>
        </w:rPr>
        <w:t>and the preparation of a draft variation to Standard 1.6.1 and associated reports</w:t>
      </w:r>
      <w:r w:rsidR="00AC1A37" w:rsidRPr="001F3403">
        <w:rPr>
          <w:szCs w:val="22"/>
        </w:rPr>
        <w:t xml:space="preserve">. </w:t>
      </w:r>
      <w:r w:rsidR="00F64653" w:rsidRPr="001F3403">
        <w:rPr>
          <w:szCs w:val="22"/>
        </w:rPr>
        <w:t xml:space="preserve"> </w:t>
      </w:r>
    </w:p>
    <w:p w:rsidR="00AC1A37" w:rsidRDefault="00AC1A37" w:rsidP="00F64653">
      <w:pPr>
        <w:rPr>
          <w:szCs w:val="22"/>
        </w:rPr>
      </w:pPr>
    </w:p>
    <w:p w:rsidR="00AF06FC" w:rsidRPr="00D06616" w:rsidRDefault="00AF06FC" w:rsidP="00AF06FC">
      <w:pPr>
        <w:widowControl/>
        <w:autoSpaceDE w:val="0"/>
        <w:autoSpaceDN w:val="0"/>
        <w:adjustRightInd w:val="0"/>
        <w:rPr>
          <w:rFonts w:cs="Arial"/>
          <w:color w:val="FF0000"/>
          <w:szCs w:val="22"/>
        </w:rPr>
      </w:pPr>
      <w:r w:rsidRPr="002461C9">
        <w:rPr>
          <w:rFonts w:eastAsia="Calibri" w:cs="Arial"/>
          <w:bCs/>
          <w:szCs w:val="22"/>
          <w:lang w:bidi="ar-SA"/>
        </w:rPr>
        <w:t xml:space="preserve">A Regulation Impact Statement </w:t>
      </w:r>
      <w:r w:rsidR="00E755D6">
        <w:rPr>
          <w:rFonts w:eastAsia="Calibri" w:cs="Arial"/>
          <w:bCs/>
          <w:szCs w:val="22"/>
          <w:lang w:bidi="ar-SA"/>
        </w:rPr>
        <w:t>has not been prepared</w:t>
      </w:r>
      <w:r w:rsidRPr="002461C9">
        <w:rPr>
          <w:rFonts w:eastAsia="Calibri" w:cs="Arial"/>
          <w:bCs/>
          <w:szCs w:val="22"/>
          <w:lang w:bidi="ar-SA"/>
        </w:rPr>
        <w:t xml:space="preserve"> </w:t>
      </w:r>
      <w:r w:rsidR="00E755D6">
        <w:rPr>
          <w:rFonts w:eastAsia="Calibri" w:cs="Arial"/>
          <w:bCs/>
          <w:szCs w:val="22"/>
          <w:lang w:bidi="ar-SA"/>
        </w:rPr>
        <w:t>as</w:t>
      </w:r>
      <w:r w:rsidR="00E755D6" w:rsidRPr="002461C9">
        <w:rPr>
          <w:rFonts w:eastAsia="Calibri" w:cs="Arial"/>
          <w:bCs/>
          <w:szCs w:val="22"/>
          <w:lang w:bidi="ar-SA"/>
        </w:rPr>
        <w:t xml:space="preserve"> </w:t>
      </w:r>
      <w:r w:rsidRPr="002461C9">
        <w:rPr>
          <w:rFonts w:eastAsia="Calibri" w:cs="Arial"/>
          <w:bCs/>
          <w:szCs w:val="22"/>
          <w:lang w:bidi="ar-SA"/>
        </w:rPr>
        <w:t xml:space="preserve">the proposed variations to Standard </w:t>
      </w:r>
      <w:r w:rsidR="002461C9" w:rsidRPr="002461C9">
        <w:rPr>
          <w:rFonts w:eastAsia="Calibri" w:cs="Arial"/>
          <w:bCs/>
          <w:szCs w:val="22"/>
          <w:lang w:bidi="ar-SA"/>
        </w:rPr>
        <w:t>1</w:t>
      </w:r>
      <w:r w:rsidRPr="002461C9">
        <w:rPr>
          <w:rFonts w:eastAsia="Calibri" w:cs="Arial"/>
          <w:bCs/>
          <w:szCs w:val="22"/>
          <w:lang w:bidi="ar-SA"/>
        </w:rPr>
        <w:t>.</w:t>
      </w:r>
      <w:r w:rsidR="002461C9" w:rsidRPr="002461C9">
        <w:rPr>
          <w:rFonts w:eastAsia="Calibri" w:cs="Arial"/>
          <w:bCs/>
          <w:szCs w:val="22"/>
          <w:lang w:bidi="ar-SA"/>
        </w:rPr>
        <w:t>6</w:t>
      </w:r>
      <w:r w:rsidRPr="002461C9">
        <w:rPr>
          <w:rFonts w:eastAsia="Calibri" w:cs="Arial"/>
          <w:bCs/>
          <w:szCs w:val="22"/>
          <w:lang w:bidi="ar-SA"/>
        </w:rPr>
        <w:t>.</w:t>
      </w:r>
      <w:r w:rsidR="002461C9" w:rsidRPr="002461C9">
        <w:rPr>
          <w:rFonts w:eastAsia="Calibri" w:cs="Arial"/>
          <w:bCs/>
          <w:szCs w:val="22"/>
          <w:lang w:bidi="ar-SA"/>
        </w:rPr>
        <w:t>1</w:t>
      </w:r>
      <w:r w:rsidRPr="002461C9">
        <w:rPr>
          <w:rFonts w:eastAsia="Calibri" w:cs="Arial"/>
          <w:bCs/>
          <w:szCs w:val="22"/>
          <w:lang w:bidi="ar-SA"/>
        </w:rPr>
        <w:t xml:space="preserve"> </w:t>
      </w:r>
      <w:r w:rsidRPr="002461C9">
        <w:t xml:space="preserve">are likely to have </w:t>
      </w:r>
      <w:r w:rsidR="00E755D6">
        <w:t xml:space="preserve">only </w:t>
      </w:r>
      <w:r w:rsidRPr="002461C9">
        <w:t>a minor impact on business and individuals</w:t>
      </w:r>
      <w:r w:rsidR="00436B8D">
        <w:rPr>
          <w:color w:val="FF0000"/>
        </w:rPr>
        <w:t xml:space="preserve">. </w:t>
      </w:r>
    </w:p>
    <w:p w:rsidR="00553969" w:rsidRDefault="00553969" w:rsidP="00553969">
      <w:pPr>
        <w:widowControl/>
        <w:rPr>
          <w:rFonts w:eastAsiaTheme="minorHAnsi" w:cs="Arial"/>
          <w:b/>
          <w:bCs/>
          <w:szCs w:val="22"/>
          <w:lang w:bidi="ar-SA"/>
        </w:rPr>
      </w:pPr>
    </w:p>
    <w:p w:rsidR="00553969" w:rsidRDefault="00553969" w:rsidP="00553969">
      <w:pPr>
        <w:widowControl/>
        <w:rPr>
          <w:rFonts w:eastAsiaTheme="minorHAnsi" w:cs="Arial"/>
          <w:b/>
          <w:bCs/>
          <w:szCs w:val="22"/>
          <w:lang w:bidi="ar-SA"/>
        </w:rPr>
      </w:pPr>
      <w:r>
        <w:rPr>
          <w:rFonts w:eastAsiaTheme="minorHAnsi" w:cs="Arial"/>
          <w:b/>
          <w:bCs/>
          <w:szCs w:val="22"/>
          <w:lang w:bidi="ar-SA"/>
        </w:rPr>
        <w:t>5.</w:t>
      </w:r>
      <w:r>
        <w:rPr>
          <w:rFonts w:eastAsiaTheme="minorHAnsi" w:cs="Arial"/>
          <w:b/>
          <w:bCs/>
          <w:szCs w:val="22"/>
          <w:lang w:bidi="ar-SA"/>
        </w:rPr>
        <w:tab/>
        <w:t>Statement of compatibility with human rights</w:t>
      </w:r>
    </w:p>
    <w:p w:rsidR="00553969" w:rsidRDefault="00553969" w:rsidP="00553969">
      <w:pPr>
        <w:rPr>
          <w:rFonts w:eastAsiaTheme="minorHAnsi"/>
          <w:lang w:bidi="ar-SA"/>
        </w:rPr>
      </w:pPr>
    </w:p>
    <w:p w:rsidR="00553969" w:rsidRDefault="00553969" w:rsidP="00553969">
      <w:pPr>
        <w:rPr>
          <w:rFonts w:eastAsiaTheme="minorHAnsi"/>
          <w:lang w:bidi="ar-SA"/>
        </w:rPr>
      </w:pPr>
      <w:r>
        <w:rPr>
          <w:rFonts w:eastAsiaTheme="minorHAnsi"/>
          <w:lang w:bidi="ar-SA"/>
        </w:rPr>
        <w:t>This instrument is exempt from the requirements for a statement of compatibility with human rights as it is a non-disallowable instrument under section 9</w:t>
      </w:r>
      <w:r w:rsidR="00447E67">
        <w:rPr>
          <w:rFonts w:eastAsiaTheme="minorHAnsi"/>
          <w:lang w:bidi="ar-SA"/>
        </w:rPr>
        <w:t>4</w:t>
      </w:r>
      <w:r>
        <w:rPr>
          <w:rFonts w:eastAsiaTheme="minorHAnsi"/>
          <w:lang w:bidi="ar-SA"/>
        </w:rPr>
        <w:t xml:space="preserve"> of the FSANZ Act.</w:t>
      </w:r>
    </w:p>
    <w:p w:rsidR="00553969" w:rsidRDefault="00553969" w:rsidP="00553969">
      <w:pPr>
        <w:rPr>
          <w:rFonts w:eastAsiaTheme="minorHAnsi"/>
          <w:lang w:bidi="ar-SA"/>
        </w:rPr>
      </w:pPr>
    </w:p>
    <w:p w:rsidR="009E0993" w:rsidRDefault="009E0993" w:rsidP="00700239">
      <w:pPr>
        <w:rPr>
          <w:b/>
        </w:rPr>
      </w:pPr>
      <w:r>
        <w:rPr>
          <w:b/>
        </w:rPr>
        <w:br w:type="page"/>
      </w:r>
    </w:p>
    <w:p w:rsidR="00700239" w:rsidRPr="00700239" w:rsidRDefault="00700239" w:rsidP="00700239">
      <w:pPr>
        <w:rPr>
          <w:b/>
          <w:lang w:eastAsia="en-GB" w:bidi="ar-SA"/>
        </w:rPr>
      </w:pPr>
      <w:r w:rsidRPr="00700239">
        <w:rPr>
          <w:b/>
        </w:rPr>
        <w:lastRenderedPageBreak/>
        <w:t>6.</w:t>
      </w:r>
      <w:r w:rsidRPr="00700239">
        <w:rPr>
          <w:b/>
        </w:rPr>
        <w:tab/>
      </w:r>
      <w:r w:rsidRPr="00700239">
        <w:rPr>
          <w:b/>
          <w:lang w:eastAsia="en-GB" w:bidi="ar-SA"/>
        </w:rPr>
        <w:t>Variation</w:t>
      </w:r>
      <w:r w:rsidR="009E0993">
        <w:rPr>
          <w:b/>
          <w:lang w:eastAsia="en-GB" w:bidi="ar-SA"/>
        </w:rPr>
        <w:t>s</w:t>
      </w:r>
    </w:p>
    <w:p w:rsidR="00294BAD" w:rsidRPr="00AD344F" w:rsidRDefault="00294BAD" w:rsidP="00AF06FC">
      <w:pPr>
        <w:rPr>
          <w:b/>
        </w:rPr>
      </w:pPr>
    </w:p>
    <w:p w:rsidR="00016CB6" w:rsidRPr="00056677" w:rsidRDefault="00016CB6" w:rsidP="00016CB6">
      <w:pPr>
        <w:rPr>
          <w:b/>
        </w:rPr>
      </w:pPr>
      <w:r w:rsidRPr="00056677">
        <w:rPr>
          <w:b/>
          <w:i/>
        </w:rPr>
        <w:t>6.1</w:t>
      </w:r>
      <w:r w:rsidRPr="00056677">
        <w:rPr>
          <w:b/>
          <w:i/>
        </w:rPr>
        <w:tab/>
        <w:t xml:space="preserve">Item [1] </w:t>
      </w:r>
    </w:p>
    <w:p w:rsidR="00AC1A37" w:rsidRDefault="00AC1A37" w:rsidP="00AC1A37">
      <w:pPr>
        <w:rPr>
          <w:sz w:val="20"/>
          <w:szCs w:val="20"/>
          <w:lang w:val="en-GB" w:bidi="ar-SA"/>
        </w:rPr>
      </w:pPr>
    </w:p>
    <w:p w:rsidR="00E755D6" w:rsidRDefault="00E755D6" w:rsidP="00AC1A37">
      <w:pPr>
        <w:rPr>
          <w:szCs w:val="22"/>
          <w:lang w:val="en-GB" w:bidi="ar-SA"/>
        </w:rPr>
      </w:pPr>
      <w:r>
        <w:rPr>
          <w:szCs w:val="22"/>
          <w:lang w:val="en-GB" w:bidi="ar-SA"/>
        </w:rPr>
        <w:t xml:space="preserve">Item 1.1 </w:t>
      </w:r>
      <w:r w:rsidR="00074765">
        <w:rPr>
          <w:szCs w:val="22"/>
          <w:lang w:val="en-GB" w:bidi="ar-SA"/>
        </w:rPr>
        <w:t xml:space="preserve">inserts </w:t>
      </w:r>
      <w:r w:rsidR="005D3DE9" w:rsidRPr="009E2003">
        <w:rPr>
          <w:szCs w:val="22"/>
          <w:lang w:val="en-GB" w:bidi="ar-SA"/>
        </w:rPr>
        <w:t>a definition for “ready to eat</w:t>
      </w:r>
      <w:r w:rsidR="005D3DE9">
        <w:rPr>
          <w:szCs w:val="22"/>
          <w:lang w:val="en-GB" w:bidi="ar-SA"/>
        </w:rPr>
        <w:t xml:space="preserve">” </w:t>
      </w:r>
      <w:r w:rsidR="00074765">
        <w:rPr>
          <w:szCs w:val="22"/>
          <w:lang w:val="en-GB" w:bidi="ar-SA"/>
        </w:rPr>
        <w:t>into claus</w:t>
      </w:r>
      <w:r w:rsidR="005D3DE9">
        <w:rPr>
          <w:szCs w:val="22"/>
          <w:lang w:val="en-GB" w:bidi="ar-SA"/>
        </w:rPr>
        <w:t>e 2</w:t>
      </w:r>
      <w:r w:rsidR="00074765">
        <w:rPr>
          <w:szCs w:val="22"/>
          <w:lang w:val="en-GB" w:bidi="ar-SA"/>
        </w:rPr>
        <w:t xml:space="preserve"> of Standard 1.1.1</w:t>
      </w:r>
      <w:r w:rsidR="005D3DE9">
        <w:rPr>
          <w:szCs w:val="22"/>
          <w:lang w:val="en-GB" w:bidi="ar-SA"/>
        </w:rPr>
        <w:t>. This definition will</w:t>
      </w:r>
      <w:r w:rsidR="00AC1A37" w:rsidRPr="009E2003">
        <w:rPr>
          <w:szCs w:val="22"/>
          <w:lang w:val="en-GB" w:bidi="ar-SA"/>
        </w:rPr>
        <w:t xml:space="preserve"> apply throughout the Code. </w:t>
      </w:r>
    </w:p>
    <w:p w:rsidR="00E755D6" w:rsidRDefault="00E755D6" w:rsidP="00AC1A37">
      <w:pPr>
        <w:rPr>
          <w:szCs w:val="22"/>
          <w:lang w:val="en-GB" w:bidi="ar-SA"/>
        </w:rPr>
      </w:pPr>
    </w:p>
    <w:p w:rsidR="00AC1A37" w:rsidRPr="009E2003" w:rsidRDefault="00E755D6" w:rsidP="00AC1A37">
      <w:pPr>
        <w:rPr>
          <w:szCs w:val="22"/>
          <w:lang w:val="en-GB" w:bidi="ar-SA"/>
        </w:rPr>
      </w:pPr>
      <w:r>
        <w:rPr>
          <w:szCs w:val="22"/>
          <w:lang w:val="en-GB" w:bidi="ar-SA"/>
        </w:rPr>
        <w:t>Item 1.2 amends the Glossary of symbols and units provided by the</w:t>
      </w:r>
      <w:r w:rsidRPr="009E2003">
        <w:rPr>
          <w:szCs w:val="22"/>
          <w:lang w:val="en-GB" w:bidi="ar-SA"/>
        </w:rPr>
        <w:t xml:space="preserve"> </w:t>
      </w:r>
      <w:r w:rsidR="00AC1A37" w:rsidRPr="009E2003">
        <w:rPr>
          <w:szCs w:val="22"/>
          <w:lang w:val="en-GB" w:bidi="ar-SA"/>
        </w:rPr>
        <w:t xml:space="preserve">Table to clause 8 of </w:t>
      </w:r>
      <w:r>
        <w:rPr>
          <w:szCs w:val="22"/>
          <w:lang w:val="en-GB" w:bidi="ar-SA"/>
        </w:rPr>
        <w:t>Standard 1.1</w:t>
      </w:r>
      <w:r w:rsidR="003C27D2">
        <w:rPr>
          <w:szCs w:val="22"/>
          <w:lang w:val="en-GB" w:bidi="ar-SA"/>
        </w:rPr>
        <w:t>.</w:t>
      </w:r>
      <w:r>
        <w:rPr>
          <w:szCs w:val="22"/>
          <w:lang w:val="en-GB" w:bidi="ar-SA"/>
        </w:rPr>
        <w:t>1</w:t>
      </w:r>
      <w:r w:rsidR="00AC1A37" w:rsidRPr="009E2003">
        <w:rPr>
          <w:szCs w:val="22"/>
          <w:lang w:val="en-GB" w:bidi="ar-SA"/>
        </w:rPr>
        <w:t xml:space="preserve"> </w:t>
      </w:r>
      <w:r>
        <w:rPr>
          <w:szCs w:val="22"/>
          <w:lang w:val="en-GB" w:bidi="ar-SA"/>
        </w:rPr>
        <w:t>to insert</w:t>
      </w:r>
      <w:r w:rsidR="00AC1A37" w:rsidRPr="009E2003">
        <w:rPr>
          <w:szCs w:val="22"/>
          <w:lang w:val="en-GB" w:bidi="ar-SA"/>
        </w:rPr>
        <w:t xml:space="preserve"> an entry for </w:t>
      </w:r>
      <w:r>
        <w:rPr>
          <w:szCs w:val="22"/>
          <w:lang w:val="en-GB" w:bidi="ar-SA"/>
        </w:rPr>
        <w:t>“</w:t>
      </w:r>
      <w:r w:rsidR="00AC1A37" w:rsidRPr="009E2003">
        <w:rPr>
          <w:szCs w:val="22"/>
          <w:lang w:val="en-GB" w:bidi="ar-SA"/>
        </w:rPr>
        <w:t>cfu/</w:t>
      </w:r>
      <w:r w:rsidR="00915B0A">
        <w:rPr>
          <w:szCs w:val="22"/>
          <w:lang w:val="en-GB" w:bidi="ar-SA"/>
        </w:rPr>
        <w:t>mL</w:t>
      </w:r>
      <w:r>
        <w:rPr>
          <w:szCs w:val="22"/>
          <w:lang w:val="en-GB" w:bidi="ar-SA"/>
        </w:rPr>
        <w:t>”</w:t>
      </w:r>
      <w:r w:rsidR="003208E3" w:rsidRPr="009E2003">
        <w:rPr>
          <w:szCs w:val="22"/>
          <w:lang w:val="en-GB" w:bidi="ar-SA"/>
        </w:rPr>
        <w:t>.</w:t>
      </w:r>
    </w:p>
    <w:p w:rsidR="00AC1A37" w:rsidRPr="009E2003" w:rsidRDefault="00AC1A37" w:rsidP="00AC1A37">
      <w:pPr>
        <w:rPr>
          <w:szCs w:val="22"/>
          <w:lang w:val="en-GB" w:bidi="ar-SA"/>
        </w:rPr>
      </w:pPr>
    </w:p>
    <w:p w:rsidR="003208E3" w:rsidRPr="00056677" w:rsidRDefault="003208E3" w:rsidP="003208E3">
      <w:pPr>
        <w:rPr>
          <w:b/>
        </w:rPr>
      </w:pPr>
      <w:r w:rsidRPr="00056677">
        <w:rPr>
          <w:b/>
          <w:i/>
        </w:rPr>
        <w:t>6.2</w:t>
      </w:r>
      <w:r w:rsidRPr="00056677">
        <w:rPr>
          <w:b/>
          <w:i/>
        </w:rPr>
        <w:tab/>
        <w:t xml:space="preserve">Item [2] </w:t>
      </w:r>
    </w:p>
    <w:p w:rsidR="00AF06FC" w:rsidRDefault="00AF06FC" w:rsidP="00AF06FC"/>
    <w:p w:rsidR="00F14D89" w:rsidRPr="009E2003" w:rsidRDefault="00AB2B03" w:rsidP="00F14D89">
      <w:pPr>
        <w:rPr>
          <w:szCs w:val="22"/>
          <w:lang w:val="en-GB" w:bidi="ar-SA"/>
        </w:rPr>
      </w:pPr>
      <w:r>
        <w:rPr>
          <w:szCs w:val="22"/>
          <w:lang w:val="en-GB" w:bidi="ar-SA"/>
        </w:rPr>
        <w:t xml:space="preserve">Item 2 </w:t>
      </w:r>
      <w:r w:rsidR="00E755D6">
        <w:rPr>
          <w:szCs w:val="22"/>
          <w:lang w:val="en-GB" w:bidi="ar-SA"/>
        </w:rPr>
        <w:t xml:space="preserve">amends </w:t>
      </w:r>
      <w:r w:rsidR="00F14D89" w:rsidRPr="009E2003">
        <w:rPr>
          <w:szCs w:val="22"/>
          <w:lang w:val="en-GB" w:bidi="ar-SA"/>
        </w:rPr>
        <w:t>Standard 1.6.1</w:t>
      </w:r>
      <w:r>
        <w:rPr>
          <w:szCs w:val="22"/>
          <w:lang w:val="en-GB" w:bidi="ar-SA"/>
        </w:rPr>
        <w:t>.</w:t>
      </w:r>
    </w:p>
    <w:p w:rsidR="00F14D89" w:rsidRPr="009E2003" w:rsidRDefault="00F14D89" w:rsidP="00F14D89">
      <w:pPr>
        <w:rPr>
          <w:szCs w:val="22"/>
          <w:lang w:val="en-GB" w:bidi="ar-SA"/>
        </w:rPr>
      </w:pPr>
    </w:p>
    <w:p w:rsidR="00F14D89" w:rsidRPr="00AB2B03" w:rsidRDefault="00AB2B03" w:rsidP="00056677">
      <w:pPr>
        <w:rPr>
          <w:lang w:val="en-GB"/>
        </w:rPr>
      </w:pPr>
      <w:r>
        <w:rPr>
          <w:szCs w:val="22"/>
          <w:lang w:val="en-GB" w:bidi="ar-SA"/>
        </w:rPr>
        <w:t xml:space="preserve">Item 2.1 amends </w:t>
      </w:r>
      <w:r w:rsidR="00F14D89" w:rsidRPr="00AB2B03">
        <w:rPr>
          <w:lang w:val="en-GB"/>
        </w:rPr>
        <w:t xml:space="preserve">the heading of </w:t>
      </w:r>
      <w:r w:rsidRPr="009E2003">
        <w:rPr>
          <w:szCs w:val="22"/>
          <w:lang w:val="en-GB" w:bidi="ar-SA"/>
        </w:rPr>
        <w:t>Standard 1.6.1</w:t>
      </w:r>
      <w:r>
        <w:rPr>
          <w:szCs w:val="22"/>
          <w:lang w:val="en-GB" w:bidi="ar-SA"/>
        </w:rPr>
        <w:t xml:space="preserve"> </w:t>
      </w:r>
      <w:r w:rsidR="00F14D89" w:rsidRPr="00AB2B03">
        <w:rPr>
          <w:lang w:val="en-GB"/>
        </w:rPr>
        <w:t xml:space="preserve">from “Microbiological Limits </w:t>
      </w:r>
      <w:proofErr w:type="gramStart"/>
      <w:r w:rsidR="00F14D89" w:rsidRPr="00AB2B03">
        <w:rPr>
          <w:lang w:val="en-GB"/>
        </w:rPr>
        <w:t>For</w:t>
      </w:r>
      <w:proofErr w:type="gramEnd"/>
      <w:r w:rsidR="00F14D89" w:rsidRPr="00AB2B03">
        <w:rPr>
          <w:lang w:val="en-GB"/>
        </w:rPr>
        <w:t xml:space="preserve"> Food” to “Microbiological Limits </w:t>
      </w:r>
      <w:r w:rsidR="00970535" w:rsidRPr="00AB2B03">
        <w:rPr>
          <w:lang w:val="en-GB"/>
        </w:rPr>
        <w:t xml:space="preserve">in </w:t>
      </w:r>
      <w:r w:rsidR="00F14D89" w:rsidRPr="00AB2B03">
        <w:rPr>
          <w:lang w:val="en-GB"/>
        </w:rPr>
        <w:t>Food”</w:t>
      </w:r>
      <w:r w:rsidR="00652AD8" w:rsidRPr="00AB2B03">
        <w:rPr>
          <w:lang w:val="en-GB"/>
        </w:rPr>
        <w:t>.</w:t>
      </w:r>
    </w:p>
    <w:p w:rsidR="00652AD8" w:rsidRPr="009E2003" w:rsidRDefault="00652AD8" w:rsidP="00915B0A">
      <w:pPr>
        <w:pStyle w:val="ListParagraph"/>
        <w:ind w:left="567" w:hanging="567"/>
        <w:rPr>
          <w:lang w:val="en-GB"/>
        </w:rPr>
      </w:pPr>
    </w:p>
    <w:p w:rsidR="00F14D89" w:rsidRPr="00AB2B03" w:rsidRDefault="00AB2B03" w:rsidP="00056677">
      <w:pPr>
        <w:rPr>
          <w:lang w:val="en-GB"/>
        </w:rPr>
      </w:pPr>
      <w:r>
        <w:rPr>
          <w:lang w:val="en-GB"/>
        </w:rPr>
        <w:t>Item 2.2 amends the</w:t>
      </w:r>
      <w:r w:rsidR="00F14D89" w:rsidRPr="00AB2B03">
        <w:rPr>
          <w:lang w:val="en-GB"/>
        </w:rPr>
        <w:t xml:space="preserve"> Purpose </w:t>
      </w:r>
      <w:r>
        <w:rPr>
          <w:lang w:val="en-GB"/>
        </w:rPr>
        <w:t>of</w:t>
      </w:r>
      <w:r w:rsidR="00F14D89" w:rsidRPr="00AB2B03">
        <w:rPr>
          <w:lang w:val="en-GB"/>
        </w:rPr>
        <w:t xml:space="preserve"> </w:t>
      </w:r>
      <w:r w:rsidRPr="009E2003">
        <w:rPr>
          <w:szCs w:val="22"/>
          <w:lang w:val="en-GB" w:bidi="ar-SA"/>
        </w:rPr>
        <w:t>Standard 1.6.1</w:t>
      </w:r>
      <w:r>
        <w:rPr>
          <w:szCs w:val="22"/>
          <w:lang w:val="en-GB" w:bidi="ar-SA"/>
        </w:rPr>
        <w:t xml:space="preserve">. The new Purpose </w:t>
      </w:r>
      <w:r w:rsidR="00F14D89" w:rsidRPr="00AB2B03">
        <w:rPr>
          <w:lang w:val="en-GB"/>
        </w:rPr>
        <w:t xml:space="preserve">specifies </w:t>
      </w:r>
      <w:r w:rsidR="005A18B8" w:rsidRPr="00AB2B03">
        <w:rPr>
          <w:lang w:val="en-GB"/>
        </w:rPr>
        <w:t xml:space="preserve">microbiological </w:t>
      </w:r>
      <w:r w:rsidR="00F14D89" w:rsidRPr="00AB2B03">
        <w:rPr>
          <w:lang w:val="en-GB"/>
        </w:rPr>
        <w:t xml:space="preserve">food safety criteria that define the acceptability of a lot </w:t>
      </w:r>
      <w:r w:rsidR="005A18B8" w:rsidRPr="00AB2B03">
        <w:rPr>
          <w:lang w:val="en-GB"/>
        </w:rPr>
        <w:t xml:space="preserve">or consignment </w:t>
      </w:r>
      <w:r w:rsidR="00F14D89" w:rsidRPr="00AB2B03">
        <w:rPr>
          <w:lang w:val="en-GB"/>
        </w:rPr>
        <w:t xml:space="preserve">of food for sale or intended for sale. In addition it </w:t>
      </w:r>
      <w:r w:rsidR="00A54914" w:rsidRPr="00AB2B03">
        <w:rPr>
          <w:lang w:val="en-GB"/>
        </w:rPr>
        <w:t xml:space="preserve">states </w:t>
      </w:r>
      <w:r w:rsidR="00F14D89" w:rsidRPr="00AB2B03">
        <w:rPr>
          <w:lang w:val="en-GB"/>
        </w:rPr>
        <w:t xml:space="preserve">that sampling plans </w:t>
      </w:r>
      <w:r w:rsidR="00A54914" w:rsidRPr="00AB2B03">
        <w:rPr>
          <w:lang w:val="en-GB"/>
        </w:rPr>
        <w:t xml:space="preserve">and </w:t>
      </w:r>
      <w:r w:rsidR="00A54914" w:rsidRPr="00056677">
        <w:t>limits that a lot or consignment of food must comply with when sampled</w:t>
      </w:r>
      <w:r w:rsidR="00A54914">
        <w:t xml:space="preserve">, </w:t>
      </w:r>
      <w:r w:rsidR="00A54914" w:rsidRPr="00AB2B03">
        <w:rPr>
          <w:lang w:val="en-GB"/>
        </w:rPr>
        <w:t xml:space="preserve">against which compliance is assessed, </w:t>
      </w:r>
      <w:r w:rsidR="00F14D89" w:rsidRPr="00AB2B03">
        <w:rPr>
          <w:lang w:val="en-GB"/>
        </w:rPr>
        <w:t>are specified in the Schedule to the Standard</w:t>
      </w:r>
      <w:r w:rsidR="00652AD8" w:rsidRPr="00AB2B03">
        <w:rPr>
          <w:lang w:val="en-GB"/>
        </w:rPr>
        <w:t>.</w:t>
      </w:r>
    </w:p>
    <w:p w:rsidR="00652AD8" w:rsidRPr="009E2003" w:rsidRDefault="00652AD8" w:rsidP="00915B0A">
      <w:pPr>
        <w:pStyle w:val="ListParagraph"/>
        <w:ind w:left="567" w:hanging="567"/>
        <w:rPr>
          <w:lang w:val="en-GB"/>
        </w:rPr>
      </w:pPr>
    </w:p>
    <w:p w:rsidR="00652AD8" w:rsidRPr="00AB2B03" w:rsidRDefault="00AB2B03" w:rsidP="00056677">
      <w:pPr>
        <w:rPr>
          <w:lang w:val="en-GB"/>
        </w:rPr>
      </w:pPr>
      <w:r>
        <w:rPr>
          <w:lang w:val="en-GB"/>
        </w:rPr>
        <w:t xml:space="preserve">Item 2.3 inserts new definitions </w:t>
      </w:r>
      <w:r w:rsidR="00652AD8" w:rsidRPr="00AB2B03">
        <w:rPr>
          <w:lang w:val="en-GB"/>
        </w:rPr>
        <w:t xml:space="preserve">for “listericidal treatment” and “MPN” </w:t>
      </w:r>
      <w:r>
        <w:rPr>
          <w:lang w:val="en-GB"/>
        </w:rPr>
        <w:t>into clause 1 of</w:t>
      </w:r>
      <w:r w:rsidR="00100837" w:rsidRPr="00AB2B03">
        <w:rPr>
          <w:lang w:val="en-GB"/>
        </w:rPr>
        <w:t xml:space="preserve"> </w:t>
      </w:r>
      <w:r w:rsidRPr="009E2003">
        <w:rPr>
          <w:szCs w:val="22"/>
          <w:lang w:val="en-GB" w:bidi="ar-SA"/>
        </w:rPr>
        <w:t>Standard 1.6.1</w:t>
      </w:r>
      <w:r w:rsidR="00100837" w:rsidRPr="00AB2B03">
        <w:rPr>
          <w:lang w:val="en-GB"/>
        </w:rPr>
        <w:t>.</w:t>
      </w:r>
    </w:p>
    <w:p w:rsidR="00652AD8" w:rsidRPr="009E2003" w:rsidRDefault="00652AD8" w:rsidP="00915B0A">
      <w:pPr>
        <w:pStyle w:val="ListParagraph"/>
        <w:ind w:left="567" w:hanging="567"/>
        <w:rPr>
          <w:lang w:val="en-GB"/>
        </w:rPr>
      </w:pPr>
    </w:p>
    <w:p w:rsidR="00652AD8" w:rsidRPr="00AB2B03" w:rsidRDefault="00AB2B03" w:rsidP="00056677">
      <w:pPr>
        <w:rPr>
          <w:lang w:val="en-GB"/>
        </w:rPr>
      </w:pPr>
      <w:r>
        <w:rPr>
          <w:lang w:val="en-GB"/>
        </w:rPr>
        <w:t xml:space="preserve">Item 2.4 inserts a new definition </w:t>
      </w:r>
      <w:r w:rsidR="00652AD8" w:rsidRPr="00AB2B03">
        <w:rPr>
          <w:lang w:val="en-GB"/>
        </w:rPr>
        <w:t xml:space="preserve">of “microorganism” </w:t>
      </w:r>
      <w:r>
        <w:rPr>
          <w:lang w:val="en-GB"/>
        </w:rPr>
        <w:t>into clause 1 of</w:t>
      </w:r>
      <w:r w:rsidRPr="00AB2B03">
        <w:rPr>
          <w:lang w:val="en-GB"/>
        </w:rPr>
        <w:t xml:space="preserve"> </w:t>
      </w:r>
      <w:r w:rsidRPr="009E2003">
        <w:rPr>
          <w:szCs w:val="22"/>
          <w:lang w:val="en-GB" w:bidi="ar-SA"/>
        </w:rPr>
        <w:t>Standard 1.6.1</w:t>
      </w:r>
      <w:r>
        <w:rPr>
          <w:szCs w:val="22"/>
          <w:lang w:val="en-GB" w:bidi="ar-SA"/>
        </w:rPr>
        <w:t xml:space="preserve"> to reflect amendments to </w:t>
      </w:r>
      <w:r w:rsidR="00652AD8" w:rsidRPr="00AB2B03">
        <w:rPr>
          <w:lang w:val="en-GB"/>
        </w:rPr>
        <w:t>column 2 of the Schedule</w:t>
      </w:r>
      <w:r>
        <w:rPr>
          <w:lang w:val="en-GB"/>
        </w:rPr>
        <w:t xml:space="preserve"> to that Standard</w:t>
      </w:r>
      <w:r w:rsidR="00652AD8" w:rsidRPr="00AB2B03">
        <w:rPr>
          <w:lang w:val="en-GB"/>
        </w:rPr>
        <w:t>.</w:t>
      </w:r>
    </w:p>
    <w:p w:rsidR="00AB2B03" w:rsidRDefault="00AB2B03" w:rsidP="00915B0A">
      <w:pPr>
        <w:pStyle w:val="ListParagraph"/>
        <w:ind w:left="567" w:hanging="567"/>
        <w:rPr>
          <w:rFonts w:eastAsia="Times New Roman"/>
          <w:szCs w:val="24"/>
          <w:lang w:val="en-GB" w:bidi="en-US"/>
        </w:rPr>
      </w:pPr>
    </w:p>
    <w:p w:rsidR="00AB2B03" w:rsidRDefault="00AB2B03" w:rsidP="00056677">
      <w:pPr>
        <w:pStyle w:val="ListParagraph"/>
        <w:ind w:left="0"/>
        <w:rPr>
          <w:rFonts w:eastAsia="Times New Roman"/>
          <w:szCs w:val="24"/>
          <w:lang w:val="en-GB" w:bidi="en-US"/>
        </w:rPr>
      </w:pPr>
      <w:r>
        <w:rPr>
          <w:rFonts w:eastAsia="Times New Roman"/>
          <w:szCs w:val="24"/>
          <w:lang w:val="en-GB" w:bidi="en-US"/>
        </w:rPr>
        <w:t>Item 2.5 omits clause</w:t>
      </w:r>
      <w:r w:rsidR="006B01B0">
        <w:rPr>
          <w:rFonts w:eastAsia="Times New Roman"/>
          <w:szCs w:val="24"/>
          <w:lang w:val="en-GB" w:bidi="en-US"/>
        </w:rPr>
        <w:t>s</w:t>
      </w:r>
      <w:r>
        <w:rPr>
          <w:rFonts w:eastAsia="Times New Roman"/>
          <w:szCs w:val="24"/>
          <w:lang w:val="en-GB" w:bidi="en-US"/>
        </w:rPr>
        <w:t xml:space="preserve"> 2 to 5 of Standard 1.6.1 and replaces them with new clause</w:t>
      </w:r>
      <w:r w:rsidR="007D5F74">
        <w:rPr>
          <w:rFonts w:eastAsia="Times New Roman"/>
          <w:szCs w:val="24"/>
          <w:lang w:val="en-GB" w:bidi="en-US"/>
        </w:rPr>
        <w:t xml:space="preserve"> 2</w:t>
      </w:r>
      <w:r w:rsidR="003165BE">
        <w:rPr>
          <w:rFonts w:eastAsia="Times New Roman"/>
          <w:szCs w:val="24"/>
          <w:lang w:val="en-GB" w:bidi="en-US"/>
        </w:rPr>
        <w:t xml:space="preserve"> </w:t>
      </w:r>
      <w:r w:rsidR="007D5F74">
        <w:rPr>
          <w:rFonts w:eastAsia="Times New Roman"/>
          <w:szCs w:val="24"/>
          <w:lang w:val="en-GB" w:bidi="en-US"/>
        </w:rPr>
        <w:t xml:space="preserve">and clauses </w:t>
      </w:r>
      <w:r w:rsidR="003165BE">
        <w:rPr>
          <w:rFonts w:eastAsia="Times New Roman"/>
          <w:szCs w:val="24"/>
          <w:lang w:val="en-GB" w:bidi="en-US"/>
        </w:rPr>
        <w:t>4</w:t>
      </w:r>
      <w:r w:rsidR="00606E1F">
        <w:rPr>
          <w:rFonts w:eastAsia="Times New Roman"/>
          <w:szCs w:val="24"/>
          <w:lang w:val="en-GB" w:bidi="en-US"/>
        </w:rPr>
        <w:t xml:space="preserve"> to </w:t>
      </w:r>
      <w:r w:rsidR="008C31D4">
        <w:rPr>
          <w:rFonts w:eastAsia="Times New Roman"/>
          <w:szCs w:val="24"/>
          <w:lang w:val="en-GB" w:bidi="en-US"/>
        </w:rPr>
        <w:t>7</w:t>
      </w:r>
      <w:r>
        <w:rPr>
          <w:rFonts w:eastAsia="Times New Roman"/>
          <w:szCs w:val="24"/>
          <w:lang w:val="en-GB" w:bidi="en-US"/>
        </w:rPr>
        <w:t>.</w:t>
      </w:r>
      <w:r w:rsidR="006B01B0">
        <w:rPr>
          <w:rFonts w:eastAsia="Times New Roman"/>
          <w:szCs w:val="24"/>
          <w:lang w:val="en-GB" w:bidi="en-US"/>
        </w:rPr>
        <w:t xml:space="preserve"> Clause 3 remains the same.</w:t>
      </w:r>
    </w:p>
    <w:p w:rsidR="00AB2B03" w:rsidRPr="009E2003" w:rsidRDefault="00AB2B03" w:rsidP="00915B0A">
      <w:pPr>
        <w:pStyle w:val="ListParagraph"/>
        <w:ind w:left="567" w:hanging="567"/>
        <w:rPr>
          <w:lang w:val="en-GB"/>
        </w:rPr>
      </w:pPr>
    </w:p>
    <w:p w:rsidR="00652AD8" w:rsidRPr="00AB2B03" w:rsidRDefault="00AB2B03" w:rsidP="00056677">
      <w:pPr>
        <w:rPr>
          <w:lang w:val="en-GB"/>
        </w:rPr>
      </w:pPr>
      <w:r>
        <w:rPr>
          <w:lang w:val="en-GB"/>
        </w:rPr>
        <w:t>New</w:t>
      </w:r>
      <w:r w:rsidR="00652AD8" w:rsidRPr="00AB2B03">
        <w:rPr>
          <w:lang w:val="en-GB"/>
        </w:rPr>
        <w:t xml:space="preserve"> clause </w:t>
      </w:r>
      <w:r>
        <w:rPr>
          <w:lang w:val="en-GB"/>
        </w:rPr>
        <w:t>2 provides</w:t>
      </w:r>
      <w:r w:rsidR="00652AD8" w:rsidRPr="00AB2B03">
        <w:rPr>
          <w:lang w:val="en-GB"/>
        </w:rPr>
        <w:t xml:space="preserve"> that</w:t>
      </w:r>
      <w:r>
        <w:rPr>
          <w:lang w:val="en-GB"/>
        </w:rPr>
        <w:t xml:space="preserve"> the</w:t>
      </w:r>
      <w:r w:rsidR="00652AD8" w:rsidRPr="00AB2B03">
        <w:rPr>
          <w:lang w:val="en-GB"/>
        </w:rPr>
        <w:t xml:space="preserve"> </w:t>
      </w:r>
      <w:r w:rsidR="000F04E4" w:rsidRPr="00AB2B03">
        <w:rPr>
          <w:lang w:val="en-GB"/>
        </w:rPr>
        <w:t xml:space="preserve">amendments </w:t>
      </w:r>
      <w:r>
        <w:rPr>
          <w:lang w:val="en-GB"/>
        </w:rPr>
        <w:t>made by</w:t>
      </w:r>
      <w:r w:rsidRPr="00AB2B03">
        <w:rPr>
          <w:lang w:val="en-GB"/>
        </w:rPr>
        <w:t xml:space="preserve"> P1017 </w:t>
      </w:r>
      <w:r w:rsidR="000F04E4" w:rsidRPr="00AB2B03">
        <w:rPr>
          <w:lang w:val="en-GB"/>
        </w:rPr>
        <w:t xml:space="preserve">to Standard 1.6.1 </w:t>
      </w:r>
      <w:r w:rsidR="00652AD8" w:rsidRPr="00AB2B03">
        <w:rPr>
          <w:lang w:val="en-GB"/>
        </w:rPr>
        <w:t xml:space="preserve">are not subject to </w:t>
      </w:r>
      <w:r>
        <w:rPr>
          <w:lang w:val="en-GB"/>
        </w:rPr>
        <w:t xml:space="preserve">the stock in trade exemption provided by </w:t>
      </w:r>
      <w:r w:rsidR="00652AD8" w:rsidRPr="00AB2B03">
        <w:rPr>
          <w:lang w:val="en-GB"/>
        </w:rPr>
        <w:t>subclause 1(2) of Standard 1.1.1.</w:t>
      </w:r>
    </w:p>
    <w:p w:rsidR="00652AD8" w:rsidRPr="009E2003" w:rsidRDefault="00652AD8" w:rsidP="00915B0A">
      <w:pPr>
        <w:pStyle w:val="ListParagraph"/>
        <w:ind w:left="567" w:hanging="567"/>
        <w:rPr>
          <w:lang w:val="en-GB"/>
        </w:rPr>
      </w:pPr>
    </w:p>
    <w:p w:rsidR="00652AD8" w:rsidRPr="00AB2B03" w:rsidRDefault="00AB2B03" w:rsidP="00056677">
      <w:pPr>
        <w:rPr>
          <w:lang w:val="en-GB"/>
        </w:rPr>
      </w:pPr>
      <w:r>
        <w:rPr>
          <w:lang w:val="en-GB"/>
        </w:rPr>
        <w:t>New</w:t>
      </w:r>
      <w:r w:rsidRPr="00AB2B03">
        <w:rPr>
          <w:lang w:val="en-GB"/>
        </w:rPr>
        <w:t xml:space="preserve"> clause </w:t>
      </w:r>
      <w:r>
        <w:rPr>
          <w:lang w:val="en-GB"/>
        </w:rPr>
        <w:t>4 specifies the reference methods to be used to determine whether a food has exceeded the maximum permissible</w:t>
      </w:r>
      <w:r w:rsidR="00074765">
        <w:rPr>
          <w:lang w:val="en-GB"/>
        </w:rPr>
        <w:t xml:space="preserve"> level</w:t>
      </w:r>
      <w:r>
        <w:rPr>
          <w:lang w:val="en-GB"/>
        </w:rPr>
        <w:t xml:space="preserve"> of foodborne microorganisms specified in the Schedule to Standard 1.6.1</w:t>
      </w:r>
      <w:r w:rsidR="00074765">
        <w:rPr>
          <w:lang w:val="en-GB"/>
        </w:rPr>
        <w:t>.</w:t>
      </w:r>
      <w:r>
        <w:rPr>
          <w:lang w:val="en-GB"/>
        </w:rPr>
        <w:t xml:space="preserve"> </w:t>
      </w:r>
    </w:p>
    <w:p w:rsidR="00C26807" w:rsidRPr="009E2003" w:rsidRDefault="00C26807" w:rsidP="00915B0A">
      <w:pPr>
        <w:pStyle w:val="ListParagraph"/>
        <w:ind w:left="567" w:hanging="567"/>
        <w:rPr>
          <w:lang w:val="en-GB"/>
        </w:rPr>
      </w:pPr>
    </w:p>
    <w:p w:rsidR="00C26807" w:rsidRPr="00074765" w:rsidRDefault="00074765" w:rsidP="00056677">
      <w:pPr>
        <w:rPr>
          <w:lang w:val="en-GB"/>
        </w:rPr>
      </w:pPr>
      <w:r>
        <w:rPr>
          <w:lang w:val="en-GB"/>
        </w:rPr>
        <w:t>New</w:t>
      </w:r>
      <w:r w:rsidRPr="00AB2B03">
        <w:rPr>
          <w:lang w:val="en-GB"/>
        </w:rPr>
        <w:t xml:space="preserve"> clause </w:t>
      </w:r>
      <w:r>
        <w:rPr>
          <w:lang w:val="en-GB"/>
        </w:rPr>
        <w:t>5 provides that</w:t>
      </w:r>
      <w:r w:rsidR="00C26807" w:rsidRPr="00074765">
        <w:rPr>
          <w:lang w:val="en-GB"/>
        </w:rPr>
        <w:t xml:space="preserve"> a food listed in Column 1 of the Schedule </w:t>
      </w:r>
      <w:r>
        <w:rPr>
          <w:lang w:val="en-GB"/>
        </w:rPr>
        <w:t xml:space="preserve">to Standard 1.6.1 </w:t>
      </w:r>
      <w:r w:rsidR="00C26807" w:rsidRPr="00074765">
        <w:rPr>
          <w:lang w:val="en-GB"/>
        </w:rPr>
        <w:t xml:space="preserve">must comply </w:t>
      </w:r>
      <w:r w:rsidRPr="00074765">
        <w:rPr>
          <w:lang w:val="en-GB"/>
        </w:rPr>
        <w:t>with</w:t>
      </w:r>
      <w:r>
        <w:rPr>
          <w:lang w:val="en-GB"/>
        </w:rPr>
        <w:t xml:space="preserve"> that </w:t>
      </w:r>
      <w:r w:rsidR="006E144D" w:rsidRPr="00074765">
        <w:rPr>
          <w:lang w:val="en-GB"/>
        </w:rPr>
        <w:t xml:space="preserve">Standard, including </w:t>
      </w:r>
      <w:r w:rsidR="00C26807" w:rsidRPr="00074765">
        <w:rPr>
          <w:lang w:val="en-GB"/>
        </w:rPr>
        <w:t xml:space="preserve">the microbiological limits set out </w:t>
      </w:r>
      <w:r w:rsidR="00A96724" w:rsidRPr="001F0835">
        <w:t>in relation to that food</w:t>
      </w:r>
      <w:r w:rsidR="00A96724" w:rsidRPr="00074765">
        <w:rPr>
          <w:lang w:val="en-GB"/>
        </w:rPr>
        <w:t xml:space="preserve"> </w:t>
      </w:r>
      <w:r w:rsidR="00C26807" w:rsidRPr="00074765">
        <w:rPr>
          <w:lang w:val="en-GB"/>
        </w:rPr>
        <w:t xml:space="preserve">in the </w:t>
      </w:r>
      <w:r w:rsidR="00E26EE7" w:rsidRPr="00074765">
        <w:rPr>
          <w:lang w:val="en-GB"/>
        </w:rPr>
        <w:t>Schedule</w:t>
      </w:r>
      <w:r w:rsidR="006E144D" w:rsidRPr="00074765">
        <w:rPr>
          <w:lang w:val="en-GB"/>
        </w:rPr>
        <w:t xml:space="preserve"> </w:t>
      </w:r>
      <w:r w:rsidR="00A96724">
        <w:rPr>
          <w:lang w:val="en-GB"/>
        </w:rPr>
        <w:t>to that</w:t>
      </w:r>
      <w:r w:rsidR="006E144D" w:rsidRPr="00074765">
        <w:rPr>
          <w:lang w:val="en-GB"/>
        </w:rPr>
        <w:t xml:space="preserve"> Standard</w:t>
      </w:r>
      <w:r w:rsidR="00C26807" w:rsidRPr="00074765">
        <w:rPr>
          <w:lang w:val="en-GB"/>
        </w:rPr>
        <w:t xml:space="preserve">. </w:t>
      </w:r>
    </w:p>
    <w:p w:rsidR="00C26807" w:rsidRPr="009E2003" w:rsidRDefault="00C26807" w:rsidP="00915B0A">
      <w:pPr>
        <w:pStyle w:val="ListParagraph"/>
        <w:ind w:left="567" w:hanging="567"/>
        <w:rPr>
          <w:lang w:val="en-GB"/>
        </w:rPr>
      </w:pPr>
    </w:p>
    <w:p w:rsidR="00C26807" w:rsidRPr="00074765" w:rsidRDefault="00074765" w:rsidP="00056677">
      <w:pPr>
        <w:rPr>
          <w:lang w:val="en-GB"/>
        </w:rPr>
      </w:pPr>
      <w:r>
        <w:rPr>
          <w:lang w:val="en-GB"/>
        </w:rPr>
        <w:t>New</w:t>
      </w:r>
      <w:r w:rsidRPr="00AB2B03">
        <w:rPr>
          <w:lang w:val="en-GB"/>
        </w:rPr>
        <w:t xml:space="preserve"> clause </w:t>
      </w:r>
      <w:r>
        <w:rPr>
          <w:lang w:val="en-GB"/>
        </w:rPr>
        <w:t xml:space="preserve">6 </w:t>
      </w:r>
      <w:r w:rsidR="00C26807" w:rsidRPr="00074765">
        <w:rPr>
          <w:lang w:val="en-GB"/>
        </w:rPr>
        <w:t xml:space="preserve">specifies </w:t>
      </w:r>
      <w:r>
        <w:rPr>
          <w:lang w:val="en-GB"/>
        </w:rPr>
        <w:t>when</w:t>
      </w:r>
      <w:r w:rsidR="0058078A" w:rsidRPr="00074765">
        <w:rPr>
          <w:lang w:val="en-GB"/>
        </w:rPr>
        <w:t xml:space="preserve"> the growth of </w:t>
      </w:r>
      <w:r w:rsidR="0058078A" w:rsidRPr="00074765">
        <w:rPr>
          <w:i/>
          <w:lang w:val="en-GB"/>
        </w:rPr>
        <w:t>Listeria monocytogenes</w:t>
      </w:r>
      <w:r w:rsidR="0058078A" w:rsidRPr="00074765">
        <w:rPr>
          <w:lang w:val="en-GB"/>
        </w:rPr>
        <w:t xml:space="preserve"> will not occur in a ready</w:t>
      </w:r>
      <w:r>
        <w:rPr>
          <w:lang w:val="en-GB"/>
        </w:rPr>
        <w:noBreakHyphen/>
      </w:r>
      <w:r w:rsidR="0058078A" w:rsidRPr="00074765">
        <w:rPr>
          <w:lang w:val="en-GB"/>
        </w:rPr>
        <w:t>to-eat food for the purposes of the Schedule</w:t>
      </w:r>
      <w:r>
        <w:rPr>
          <w:lang w:val="en-GB"/>
        </w:rPr>
        <w:t xml:space="preserve"> to Standard 1.6.1</w:t>
      </w:r>
      <w:r w:rsidR="0058078A" w:rsidRPr="00074765">
        <w:rPr>
          <w:lang w:val="en-GB"/>
        </w:rPr>
        <w:t>.</w:t>
      </w:r>
    </w:p>
    <w:p w:rsidR="0058078A" w:rsidRPr="0058078A" w:rsidRDefault="0058078A" w:rsidP="00915B0A">
      <w:pPr>
        <w:pStyle w:val="ListParagraph"/>
        <w:ind w:left="567" w:hanging="567"/>
        <w:rPr>
          <w:sz w:val="20"/>
          <w:szCs w:val="20"/>
          <w:lang w:val="en-GB"/>
        </w:rPr>
      </w:pPr>
    </w:p>
    <w:p w:rsidR="0058078A" w:rsidRDefault="00074765" w:rsidP="00056677">
      <w:pPr>
        <w:rPr>
          <w:lang w:val="en-GB"/>
        </w:rPr>
      </w:pPr>
      <w:r>
        <w:rPr>
          <w:lang w:val="en-GB"/>
        </w:rPr>
        <w:t>New</w:t>
      </w:r>
      <w:r w:rsidRPr="00AB2B03">
        <w:rPr>
          <w:lang w:val="en-GB"/>
        </w:rPr>
        <w:t xml:space="preserve"> clause </w:t>
      </w:r>
      <w:r>
        <w:rPr>
          <w:lang w:val="en-GB"/>
        </w:rPr>
        <w:t>7</w:t>
      </w:r>
      <w:r w:rsidR="0058078A" w:rsidRPr="00074765">
        <w:rPr>
          <w:lang w:val="en-GB"/>
        </w:rPr>
        <w:t xml:space="preserve"> </w:t>
      </w:r>
      <w:r>
        <w:rPr>
          <w:lang w:val="en-GB"/>
        </w:rPr>
        <w:t xml:space="preserve">provides </w:t>
      </w:r>
      <w:r w:rsidR="0058078A" w:rsidRPr="00074765">
        <w:rPr>
          <w:lang w:val="en-GB"/>
        </w:rPr>
        <w:t xml:space="preserve">that </w:t>
      </w:r>
      <w:r w:rsidR="002110F9">
        <w:t>the</w:t>
      </w:r>
      <w:r w:rsidR="002110F9" w:rsidRPr="00AF6A8C">
        <w:t xml:space="preserve"> </w:t>
      </w:r>
      <w:r w:rsidR="002110F9">
        <w:t xml:space="preserve">limit for SPC in the Schedule does not apply to </w:t>
      </w:r>
      <w:r w:rsidR="002110F9" w:rsidRPr="00AF6A8C">
        <w:t xml:space="preserve">powdered infant formula </w:t>
      </w:r>
      <w:r w:rsidR="002110F9">
        <w:t>products</w:t>
      </w:r>
      <w:r w:rsidR="002110F9" w:rsidDel="00DC20B6">
        <w:t xml:space="preserve"> </w:t>
      </w:r>
      <w:r w:rsidR="002110F9">
        <w:t>that contain lactic acid producing microorganisms</w:t>
      </w:r>
      <w:r w:rsidR="0058078A" w:rsidRPr="00074765">
        <w:rPr>
          <w:lang w:val="en-GB"/>
        </w:rPr>
        <w:t xml:space="preserve">. This </w:t>
      </w:r>
      <w:r w:rsidR="00B321B6" w:rsidRPr="00074765">
        <w:rPr>
          <w:lang w:val="en-GB"/>
        </w:rPr>
        <w:t xml:space="preserve">amendment </w:t>
      </w:r>
      <w:r w:rsidR="0058078A" w:rsidRPr="00074765">
        <w:rPr>
          <w:lang w:val="en-GB"/>
        </w:rPr>
        <w:t xml:space="preserve">has been included as a consequence of removing limits for </w:t>
      </w:r>
      <w:r w:rsidR="000443D4" w:rsidRPr="00074765">
        <w:rPr>
          <w:lang w:val="en-GB"/>
        </w:rPr>
        <w:t>“</w:t>
      </w:r>
      <w:r w:rsidR="0058078A" w:rsidRPr="00074765">
        <w:rPr>
          <w:lang w:val="en-GB"/>
        </w:rPr>
        <w:t>powdered infant formula products with added lactic acid producing cultures</w:t>
      </w:r>
      <w:r w:rsidR="000443D4" w:rsidRPr="00074765">
        <w:rPr>
          <w:lang w:val="en-GB"/>
        </w:rPr>
        <w:t>”</w:t>
      </w:r>
      <w:r w:rsidR="0058078A" w:rsidRPr="00074765">
        <w:rPr>
          <w:lang w:val="en-GB"/>
        </w:rPr>
        <w:t xml:space="preserve"> from the </w:t>
      </w:r>
      <w:r w:rsidR="00B321B6" w:rsidRPr="00074765">
        <w:rPr>
          <w:lang w:val="en-GB"/>
        </w:rPr>
        <w:t xml:space="preserve">Schedule </w:t>
      </w:r>
      <w:r w:rsidR="0058078A" w:rsidRPr="00074765">
        <w:rPr>
          <w:lang w:val="en-GB"/>
        </w:rPr>
        <w:t xml:space="preserve">as it was </w:t>
      </w:r>
      <w:r w:rsidR="00E75CCC" w:rsidRPr="00074765">
        <w:rPr>
          <w:lang w:val="en-GB"/>
        </w:rPr>
        <w:t xml:space="preserve">considered to be </w:t>
      </w:r>
      <w:r w:rsidR="0058078A" w:rsidRPr="00074765">
        <w:rPr>
          <w:lang w:val="en-GB"/>
        </w:rPr>
        <w:t>an unnecessary duplication</w:t>
      </w:r>
      <w:r w:rsidR="000443D4" w:rsidRPr="00074765">
        <w:rPr>
          <w:lang w:val="en-GB"/>
        </w:rPr>
        <w:t xml:space="preserve"> of limits for “powdered infant formula products”.</w:t>
      </w:r>
    </w:p>
    <w:p w:rsidR="000515B1" w:rsidRPr="00074765" w:rsidRDefault="000515B1" w:rsidP="00056677">
      <w:pPr>
        <w:rPr>
          <w:lang w:val="en-GB"/>
        </w:rPr>
      </w:pPr>
    </w:p>
    <w:p w:rsidR="0058078A" w:rsidRPr="00074765" w:rsidRDefault="00074765" w:rsidP="00056677">
      <w:pPr>
        <w:tabs>
          <w:tab w:val="left" w:pos="0"/>
        </w:tabs>
        <w:rPr>
          <w:lang w:val="en-GB"/>
        </w:rPr>
      </w:pPr>
      <w:r>
        <w:rPr>
          <w:lang w:val="en-GB"/>
        </w:rPr>
        <w:t>Item 2.6 omits the existing Schedule to Standard 1.6.1 and replaces it with a new Schedule. The new Schedule contains the following changes</w:t>
      </w:r>
      <w:r w:rsidR="00815728" w:rsidRPr="00074765">
        <w:rPr>
          <w:lang w:val="en-GB"/>
        </w:rPr>
        <w:t>:</w:t>
      </w:r>
    </w:p>
    <w:p w:rsidR="009E0993" w:rsidRDefault="009E0993" w:rsidP="00056677">
      <w:pPr>
        <w:pStyle w:val="ListParagraph"/>
        <w:ind w:left="567"/>
        <w:rPr>
          <w:lang w:val="en-GB"/>
        </w:rPr>
      </w:pPr>
      <w:r>
        <w:rPr>
          <w:lang w:val="en-GB"/>
        </w:rPr>
        <w:br w:type="page"/>
      </w:r>
    </w:p>
    <w:p w:rsidR="00815728" w:rsidRPr="009E2003" w:rsidRDefault="00CD6C47" w:rsidP="00056677">
      <w:pPr>
        <w:pStyle w:val="FSBullet1"/>
        <w:rPr>
          <w:lang w:val="en-GB"/>
        </w:rPr>
      </w:pPr>
      <w:r>
        <w:rPr>
          <w:lang w:val="en-GB"/>
        </w:rPr>
        <w:lastRenderedPageBreak/>
        <w:t>t</w:t>
      </w:r>
      <w:r w:rsidRPr="009E2003">
        <w:rPr>
          <w:lang w:val="en-GB"/>
        </w:rPr>
        <w:t xml:space="preserve">he </w:t>
      </w:r>
      <w:r w:rsidR="00815728" w:rsidRPr="009E2003">
        <w:rPr>
          <w:lang w:val="en-GB"/>
        </w:rPr>
        <w:t>title “Microbiological Criteria (clause 2)” is replaced with “Microbiological limits in food”</w:t>
      </w:r>
      <w:r w:rsidR="00A0721F">
        <w:rPr>
          <w:lang w:val="en-GB"/>
        </w:rPr>
        <w:t>;</w:t>
      </w:r>
    </w:p>
    <w:p w:rsidR="00815728" w:rsidRPr="009E2003" w:rsidRDefault="003E2DD7" w:rsidP="00056677">
      <w:pPr>
        <w:pStyle w:val="FSBullet1"/>
        <w:rPr>
          <w:lang w:val="en-GB"/>
        </w:rPr>
      </w:pPr>
      <w:r>
        <w:rPr>
          <w:lang w:val="en-GB"/>
        </w:rPr>
        <w:t>t</w:t>
      </w:r>
      <w:r w:rsidRPr="009E2003">
        <w:rPr>
          <w:lang w:val="en-GB"/>
        </w:rPr>
        <w:t xml:space="preserve">he </w:t>
      </w:r>
      <w:r w:rsidR="00815728" w:rsidRPr="009E2003">
        <w:rPr>
          <w:lang w:val="en-GB"/>
        </w:rPr>
        <w:t xml:space="preserve">heading under Column 2 </w:t>
      </w:r>
      <w:r>
        <w:rPr>
          <w:lang w:val="en-GB"/>
        </w:rPr>
        <w:t xml:space="preserve">of the Schedule </w:t>
      </w:r>
      <w:r w:rsidR="00815728" w:rsidRPr="009E2003">
        <w:rPr>
          <w:lang w:val="en-GB"/>
        </w:rPr>
        <w:t xml:space="preserve">is changed to “Microorganism/test/toxin” to more correctly reflect what may be included </w:t>
      </w:r>
      <w:r w:rsidR="00114271">
        <w:rPr>
          <w:lang w:val="en-GB"/>
        </w:rPr>
        <w:t>in this column</w:t>
      </w:r>
      <w:r w:rsidR="00A0721F">
        <w:rPr>
          <w:lang w:val="en-GB"/>
        </w:rPr>
        <w:t>;</w:t>
      </w:r>
    </w:p>
    <w:p w:rsidR="00815728" w:rsidRPr="009E2003" w:rsidRDefault="00A460A3" w:rsidP="00056677">
      <w:pPr>
        <w:pStyle w:val="FSBullet1"/>
        <w:rPr>
          <w:lang w:val="en-GB"/>
        </w:rPr>
      </w:pPr>
      <w:r>
        <w:rPr>
          <w:lang w:val="en-GB"/>
        </w:rPr>
        <w:t>t</w:t>
      </w:r>
      <w:r w:rsidRPr="009E2003">
        <w:rPr>
          <w:lang w:val="en-GB"/>
        </w:rPr>
        <w:t xml:space="preserve">he </w:t>
      </w:r>
      <w:r w:rsidR="00815728" w:rsidRPr="009E2003">
        <w:rPr>
          <w:lang w:val="en-GB"/>
        </w:rPr>
        <w:t xml:space="preserve">units currently included in </w:t>
      </w:r>
      <w:r>
        <w:rPr>
          <w:lang w:val="en-GB"/>
        </w:rPr>
        <w:t>C</w:t>
      </w:r>
      <w:r w:rsidRPr="009E2003">
        <w:rPr>
          <w:lang w:val="en-GB"/>
        </w:rPr>
        <w:t xml:space="preserve">olumn </w:t>
      </w:r>
      <w:r w:rsidR="00815728" w:rsidRPr="009E2003">
        <w:rPr>
          <w:lang w:val="en-GB"/>
        </w:rPr>
        <w:t xml:space="preserve">2 are deleted and included under </w:t>
      </w:r>
      <w:r>
        <w:rPr>
          <w:lang w:val="en-GB"/>
        </w:rPr>
        <w:t>C</w:t>
      </w:r>
      <w:r w:rsidRPr="009E2003">
        <w:rPr>
          <w:lang w:val="en-GB"/>
        </w:rPr>
        <w:t xml:space="preserve">olumns </w:t>
      </w:r>
      <w:r w:rsidR="00815728" w:rsidRPr="009E2003">
        <w:rPr>
          <w:lang w:val="en-GB"/>
        </w:rPr>
        <w:t>5 and 6</w:t>
      </w:r>
      <w:r w:rsidR="00A0721F">
        <w:rPr>
          <w:lang w:val="en-GB"/>
        </w:rPr>
        <w:t>;</w:t>
      </w:r>
    </w:p>
    <w:p w:rsidR="00A66507" w:rsidRPr="009E2003" w:rsidRDefault="00A66507" w:rsidP="00056677">
      <w:pPr>
        <w:pStyle w:val="FSBullet1"/>
        <w:rPr>
          <w:lang w:val="en-GB"/>
        </w:rPr>
      </w:pPr>
      <w:r w:rsidRPr="009E2003">
        <w:rPr>
          <w:lang w:val="en-GB"/>
        </w:rPr>
        <w:t>MPN is included in relation to limits based on this methodology</w:t>
      </w:r>
      <w:r w:rsidR="00A0721F">
        <w:rPr>
          <w:lang w:val="en-GB"/>
        </w:rPr>
        <w:t>;</w:t>
      </w:r>
      <w:r w:rsidRPr="009E2003">
        <w:rPr>
          <w:lang w:val="en-GB"/>
        </w:rPr>
        <w:t xml:space="preserve"> </w:t>
      </w:r>
    </w:p>
    <w:p w:rsidR="00815728" w:rsidRPr="009E2003" w:rsidRDefault="00A0721F" w:rsidP="00056677">
      <w:pPr>
        <w:pStyle w:val="FSBullet1"/>
        <w:rPr>
          <w:lang w:val="en-GB"/>
        </w:rPr>
      </w:pPr>
      <w:r>
        <w:rPr>
          <w:lang w:val="en-GB"/>
        </w:rPr>
        <w:t>t</w:t>
      </w:r>
      <w:r w:rsidRPr="009E2003">
        <w:rPr>
          <w:lang w:val="en-GB"/>
        </w:rPr>
        <w:t xml:space="preserve">he </w:t>
      </w:r>
      <w:r w:rsidR="00815728" w:rsidRPr="009E2003">
        <w:rPr>
          <w:lang w:val="en-GB"/>
        </w:rPr>
        <w:t xml:space="preserve">limits for </w:t>
      </w:r>
      <w:r w:rsidR="00815728" w:rsidRPr="009E2003">
        <w:rPr>
          <w:i/>
          <w:lang w:val="en-GB"/>
        </w:rPr>
        <w:t>Listeria monocytogenes</w:t>
      </w:r>
      <w:r w:rsidR="00815728" w:rsidRPr="009E2003">
        <w:rPr>
          <w:lang w:val="en-GB"/>
        </w:rPr>
        <w:t xml:space="preserve"> in nominated foods are deleted and replaced by limits for “Ready-to-eat food in which the growth of </w:t>
      </w:r>
      <w:r w:rsidR="00815728" w:rsidRPr="009E2003">
        <w:rPr>
          <w:i/>
          <w:lang w:val="en-GB"/>
        </w:rPr>
        <w:t>Listeria monocytogenes</w:t>
      </w:r>
      <w:r w:rsidR="00815728" w:rsidRPr="009E2003">
        <w:rPr>
          <w:lang w:val="en-GB"/>
        </w:rPr>
        <w:t xml:space="preserve"> will not occur” and “Ready-to-eat food in which the growth of </w:t>
      </w:r>
      <w:r w:rsidR="00815728" w:rsidRPr="009E2003">
        <w:rPr>
          <w:i/>
          <w:lang w:val="en-GB"/>
        </w:rPr>
        <w:t>Listeria monocytogenes</w:t>
      </w:r>
      <w:r w:rsidR="00815728" w:rsidRPr="009E2003">
        <w:rPr>
          <w:lang w:val="en-GB"/>
        </w:rPr>
        <w:t xml:space="preserve"> can occur</w:t>
      </w:r>
      <w:r w:rsidRPr="009E2003">
        <w:rPr>
          <w:lang w:val="en-GB"/>
        </w:rPr>
        <w:t>”</w:t>
      </w:r>
      <w:r>
        <w:rPr>
          <w:lang w:val="en-GB"/>
        </w:rPr>
        <w:t>; and</w:t>
      </w:r>
    </w:p>
    <w:p w:rsidR="00A66507" w:rsidRPr="009E2003" w:rsidRDefault="00AD7C53" w:rsidP="00056677">
      <w:pPr>
        <w:pStyle w:val="FSBullet1"/>
        <w:rPr>
          <w:lang w:val="en-GB"/>
        </w:rPr>
      </w:pPr>
      <w:proofErr w:type="gramStart"/>
      <w:r>
        <w:rPr>
          <w:lang w:val="en-GB"/>
        </w:rPr>
        <w:t>t</w:t>
      </w:r>
      <w:r w:rsidRPr="009E2003">
        <w:rPr>
          <w:lang w:val="en-GB"/>
        </w:rPr>
        <w:t>he</w:t>
      </w:r>
      <w:proofErr w:type="gramEnd"/>
      <w:r w:rsidRPr="009E2003">
        <w:rPr>
          <w:lang w:val="en-GB"/>
        </w:rPr>
        <w:t xml:space="preserve"> </w:t>
      </w:r>
      <w:r w:rsidR="00A66507" w:rsidRPr="009E2003">
        <w:rPr>
          <w:lang w:val="en-GB"/>
        </w:rPr>
        <w:t xml:space="preserve">limits for “powdered infant formula products with added lactic acid producing culture” are deleted </w:t>
      </w:r>
      <w:r w:rsidR="009E5A71">
        <w:rPr>
          <w:lang w:val="en-GB"/>
        </w:rPr>
        <w:t xml:space="preserve">as </w:t>
      </w:r>
      <w:r>
        <w:rPr>
          <w:lang w:val="en-GB"/>
        </w:rPr>
        <w:t>mentioned above</w:t>
      </w:r>
      <w:r w:rsidR="009E5A71">
        <w:rPr>
          <w:lang w:val="en-GB"/>
        </w:rPr>
        <w:t>.</w:t>
      </w:r>
    </w:p>
    <w:p w:rsidR="00A66507" w:rsidRDefault="00A66507" w:rsidP="00A66507">
      <w:pPr>
        <w:pStyle w:val="ListParagraph"/>
        <w:ind w:left="1080"/>
        <w:rPr>
          <w:sz w:val="20"/>
          <w:szCs w:val="20"/>
          <w:lang w:val="en-GB"/>
        </w:rPr>
      </w:pPr>
    </w:p>
    <w:p w:rsidR="00A66507" w:rsidRPr="00056677" w:rsidRDefault="00A66507" w:rsidP="00A66507">
      <w:pPr>
        <w:rPr>
          <w:b/>
          <w:i/>
        </w:rPr>
      </w:pPr>
      <w:r w:rsidRPr="00A624E9">
        <w:rPr>
          <w:b/>
          <w:i/>
        </w:rPr>
        <w:t>6.3</w:t>
      </w:r>
      <w:r w:rsidRPr="00A624E9">
        <w:rPr>
          <w:b/>
          <w:i/>
        </w:rPr>
        <w:tab/>
        <w:t xml:space="preserve">Item [3] </w:t>
      </w:r>
    </w:p>
    <w:p w:rsidR="009E2003" w:rsidRPr="009E2003" w:rsidRDefault="009E2003" w:rsidP="009E2003">
      <w:pPr>
        <w:rPr>
          <w:sz w:val="20"/>
          <w:szCs w:val="20"/>
          <w:lang w:val="en-GB"/>
        </w:rPr>
      </w:pPr>
    </w:p>
    <w:p w:rsidR="009E2003" w:rsidRDefault="00074765" w:rsidP="009E2003">
      <w:pPr>
        <w:rPr>
          <w:lang w:val="en-GB"/>
        </w:rPr>
      </w:pPr>
      <w:r>
        <w:rPr>
          <w:lang w:val="en-GB"/>
        </w:rPr>
        <w:t xml:space="preserve">Item 3 </w:t>
      </w:r>
      <w:r w:rsidR="009E2003">
        <w:rPr>
          <w:lang w:val="en-GB"/>
        </w:rPr>
        <w:t>delete</w:t>
      </w:r>
      <w:r>
        <w:rPr>
          <w:lang w:val="en-GB"/>
        </w:rPr>
        <w:t>s</w:t>
      </w:r>
      <w:r w:rsidR="009E2003">
        <w:rPr>
          <w:lang w:val="en-GB"/>
        </w:rPr>
        <w:t xml:space="preserve"> the definition of “ready-to-eat food” from clause 1 </w:t>
      </w:r>
      <w:r>
        <w:rPr>
          <w:lang w:val="en-GB"/>
        </w:rPr>
        <w:t xml:space="preserve">of Standard 3.2.2 </w:t>
      </w:r>
      <w:r w:rsidR="009E2003">
        <w:rPr>
          <w:lang w:val="en-GB"/>
        </w:rPr>
        <w:t xml:space="preserve">as this </w:t>
      </w:r>
      <w:r>
        <w:rPr>
          <w:lang w:val="en-GB"/>
        </w:rPr>
        <w:t xml:space="preserve">definition </w:t>
      </w:r>
      <w:r w:rsidR="009E2003">
        <w:rPr>
          <w:lang w:val="en-GB"/>
        </w:rPr>
        <w:t>is now included in Standard 1.1.1.</w:t>
      </w:r>
    </w:p>
    <w:p w:rsidR="000443D4" w:rsidRPr="00A66507" w:rsidRDefault="000443D4" w:rsidP="00A66507">
      <w:pPr>
        <w:rPr>
          <w:sz w:val="20"/>
          <w:szCs w:val="20"/>
          <w:lang w:val="en-GB"/>
        </w:rPr>
      </w:pPr>
    </w:p>
    <w:p w:rsidR="00915B0A" w:rsidRPr="00D334D0" w:rsidRDefault="00915B0A" w:rsidP="00915B0A">
      <w:pPr>
        <w:rPr>
          <w:b/>
          <w:i/>
        </w:rPr>
      </w:pPr>
      <w:r w:rsidRPr="00D334D0">
        <w:rPr>
          <w:b/>
          <w:i/>
        </w:rPr>
        <w:t>6.3</w:t>
      </w:r>
      <w:r w:rsidRPr="00D334D0">
        <w:rPr>
          <w:b/>
          <w:i/>
        </w:rPr>
        <w:tab/>
        <w:t>Item [</w:t>
      </w:r>
      <w:r>
        <w:rPr>
          <w:b/>
          <w:i/>
        </w:rPr>
        <w:t>4</w:t>
      </w:r>
      <w:r w:rsidRPr="00D334D0">
        <w:rPr>
          <w:b/>
          <w:i/>
        </w:rPr>
        <w:t xml:space="preserve">] </w:t>
      </w:r>
    </w:p>
    <w:p w:rsidR="00AF06FC" w:rsidRDefault="00AF06FC" w:rsidP="00AF06FC">
      <w:pPr>
        <w:rPr>
          <w:lang w:eastAsia="en-GB" w:bidi="ar-SA"/>
        </w:rPr>
      </w:pPr>
    </w:p>
    <w:p w:rsidR="007C174F" w:rsidRDefault="00074765" w:rsidP="007C174F">
      <w:r>
        <w:rPr>
          <w:lang w:val="en-GB"/>
        </w:rPr>
        <w:t>Item 4 omits the Editorial Note at the end of clause 21 of Standard 4.2.5 and replaces it with a new Editorial Note to</w:t>
      </w:r>
      <w:r w:rsidR="00915B0A">
        <w:rPr>
          <w:lang w:val="en-GB"/>
        </w:rPr>
        <w:t xml:space="preserve"> clarify that Standard 1.6.1 only specifies microbiological limits for processed egg products</w:t>
      </w:r>
      <w:r w:rsidR="000B39E4">
        <w:rPr>
          <w:lang w:val="en-GB"/>
        </w:rPr>
        <w:t xml:space="preserve"> for sale -</w:t>
      </w:r>
      <w:r w:rsidR="00915B0A">
        <w:rPr>
          <w:lang w:val="en-GB"/>
        </w:rPr>
        <w:t xml:space="preserve"> not regulate</w:t>
      </w:r>
      <w:r w:rsidR="000B39E4">
        <w:rPr>
          <w:lang w:val="en-GB"/>
        </w:rPr>
        <w:t>s</w:t>
      </w:r>
      <w:r w:rsidR="00915B0A">
        <w:rPr>
          <w:lang w:val="en-GB"/>
        </w:rPr>
        <w:t xml:space="preserve"> them</w:t>
      </w:r>
      <w:r>
        <w:rPr>
          <w:lang w:val="en-GB"/>
        </w:rPr>
        <w:t>.</w:t>
      </w:r>
    </w:p>
    <w:p w:rsidR="007C174F" w:rsidRDefault="007C174F" w:rsidP="007C174F"/>
    <w:sectPr w:rsidR="007C174F" w:rsidSect="009E099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F1" w:rsidRDefault="005D5CF1">
      <w:r>
        <w:separator/>
      </w:r>
    </w:p>
  </w:endnote>
  <w:endnote w:type="continuationSeparator" w:id="0">
    <w:p w:rsidR="005D5CF1" w:rsidRDefault="005D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F1" w:rsidRDefault="005D5CF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CF1" w:rsidRDefault="005D5C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22653"/>
      <w:docPartObj>
        <w:docPartGallery w:val="Page Numbers (Bottom of Page)"/>
        <w:docPartUnique/>
      </w:docPartObj>
    </w:sdtPr>
    <w:sdtEndPr>
      <w:rPr>
        <w:noProof/>
      </w:rPr>
    </w:sdtEndPr>
    <w:sdtContent>
      <w:p w:rsidR="005D5CF1" w:rsidRDefault="005D5CF1" w:rsidP="005D5CF1">
        <w:pPr>
          <w:pStyle w:val="Footer"/>
          <w:jc w:val="center"/>
        </w:pPr>
        <w:r>
          <w:fldChar w:fldCharType="begin"/>
        </w:r>
        <w:r>
          <w:instrText xml:space="preserve"> PAGE   \* MERGEFORMAT </w:instrText>
        </w:r>
        <w:r>
          <w:fldChar w:fldCharType="separate"/>
        </w:r>
        <w:r w:rsidR="00856C43">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35" w:rsidRDefault="00827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F1" w:rsidRDefault="005D5CF1">
      <w:r>
        <w:separator/>
      </w:r>
    </w:p>
  </w:footnote>
  <w:footnote w:type="continuationSeparator" w:id="0">
    <w:p w:rsidR="005D5CF1" w:rsidRDefault="005D5CF1">
      <w:r>
        <w:continuationSeparator/>
      </w:r>
    </w:p>
  </w:footnote>
  <w:footnote w:id="1">
    <w:p w:rsidR="005D5CF1" w:rsidRDefault="005D5CF1">
      <w:pPr>
        <w:pStyle w:val="FootnoteText"/>
      </w:pPr>
      <w:r>
        <w:rPr>
          <w:rStyle w:val="FootnoteReference"/>
        </w:rPr>
        <w:footnoteRef/>
      </w:r>
      <w:r>
        <w:t xml:space="preserve"> </w:t>
      </w:r>
      <w:hyperlink r:id="rId1" w:history="1">
        <w:r w:rsidRPr="005D5CF1">
          <w:rPr>
            <w:rStyle w:val="Hyperlink"/>
            <w:sz w:val="18"/>
          </w:rPr>
          <w:t>http://www.foodstandards.gov.au/industry/safetystandards/programs/Pages/default.aspx</w:t>
        </w:r>
      </w:hyperlink>
      <w:r w:rsidRPr="005D5CF1">
        <w:rPr>
          <w:sz w:val="18"/>
        </w:rPr>
        <w:t xml:space="preserve"> </w:t>
      </w:r>
    </w:p>
  </w:footnote>
  <w:footnote w:id="2">
    <w:p w:rsidR="005D5CF1" w:rsidRPr="005D5CF1" w:rsidRDefault="005D5CF1">
      <w:pPr>
        <w:pStyle w:val="FootnoteText"/>
        <w:rPr>
          <w:sz w:val="18"/>
          <w:szCs w:val="18"/>
        </w:rPr>
      </w:pPr>
      <w:r w:rsidRPr="005D5CF1">
        <w:rPr>
          <w:rStyle w:val="FootnoteReference"/>
          <w:sz w:val="18"/>
          <w:szCs w:val="18"/>
        </w:rPr>
        <w:footnoteRef/>
      </w:r>
      <w:r w:rsidRPr="005D5CF1">
        <w:rPr>
          <w:sz w:val="18"/>
          <w:szCs w:val="18"/>
        </w:rPr>
        <w:t xml:space="preserve"> </w:t>
      </w:r>
      <w:hyperlink r:id="rId2" w:history="1">
        <w:r w:rsidRPr="005D5CF1">
          <w:rPr>
            <w:rStyle w:val="Hyperlink"/>
            <w:sz w:val="18"/>
            <w:szCs w:val="18"/>
          </w:rPr>
          <w:t>http://www.foodstandards.gov.au/code/fofr/fofrpolicy/pages/default.aspx</w:t>
        </w:r>
      </w:hyperlink>
      <w:r w:rsidRPr="005D5CF1">
        <w:rPr>
          <w:sz w:val="18"/>
          <w:szCs w:val="18"/>
        </w:rPr>
        <w:t xml:space="preserve"> </w:t>
      </w:r>
    </w:p>
  </w:footnote>
  <w:footnote w:id="3">
    <w:p w:rsidR="005D5CF1" w:rsidRPr="005D5CF1" w:rsidRDefault="005D5CF1">
      <w:pPr>
        <w:pStyle w:val="FootnoteText"/>
        <w:rPr>
          <w:sz w:val="18"/>
          <w:szCs w:val="18"/>
        </w:rPr>
      </w:pPr>
      <w:r w:rsidRPr="005D5CF1">
        <w:rPr>
          <w:rStyle w:val="FootnoteReference"/>
          <w:sz w:val="18"/>
        </w:rPr>
        <w:footnoteRef/>
      </w:r>
      <w:r>
        <w:rPr>
          <w:sz w:val="18"/>
        </w:rPr>
        <w:t xml:space="preserve"> </w:t>
      </w:r>
      <w:r w:rsidRPr="005D5CF1">
        <w:rPr>
          <w:sz w:val="18"/>
        </w:rPr>
        <w:t>Standard 1.6.1</w:t>
      </w:r>
      <w:r>
        <w:rPr>
          <w:sz w:val="18"/>
        </w:rPr>
        <w:t xml:space="preserve"> is available via</w:t>
      </w:r>
      <w:r w:rsidRPr="005D5CF1">
        <w:rPr>
          <w:sz w:val="18"/>
        </w:rPr>
        <w:t>:</w:t>
      </w:r>
      <w:r w:rsidRPr="005D5CF1">
        <w:rPr>
          <w:sz w:val="18"/>
          <w:szCs w:val="18"/>
        </w:rPr>
        <w:t xml:space="preserve"> </w:t>
      </w:r>
      <w:hyperlink r:id="rId3" w:history="1">
        <w:r w:rsidRPr="005D5CF1">
          <w:rPr>
            <w:rStyle w:val="Hyperlink"/>
            <w:sz w:val="18"/>
            <w:szCs w:val="18"/>
          </w:rPr>
          <w:t>www.foodstandards.gov.au/code</w:t>
        </w:r>
      </w:hyperlink>
    </w:p>
  </w:footnote>
  <w:footnote w:id="4">
    <w:p w:rsidR="005D5CF1" w:rsidRPr="005D5CF1" w:rsidRDefault="005D5CF1">
      <w:pPr>
        <w:pStyle w:val="FootnoteText"/>
        <w:rPr>
          <w:sz w:val="18"/>
        </w:rPr>
      </w:pPr>
      <w:r w:rsidRPr="005D5CF1">
        <w:rPr>
          <w:rStyle w:val="FootnoteReference"/>
          <w:sz w:val="18"/>
        </w:rPr>
        <w:footnoteRef/>
      </w:r>
      <w:r w:rsidRPr="005D5CF1">
        <w:rPr>
          <w:sz w:val="18"/>
        </w:rPr>
        <w:t xml:space="preserve"> </w:t>
      </w:r>
      <w:hyperlink r:id="rId4" w:history="1">
        <w:r w:rsidRPr="005D5CF1">
          <w:rPr>
            <w:rStyle w:val="Hyperlink"/>
            <w:sz w:val="18"/>
          </w:rPr>
          <w:t>http://www.foodstandards.gov.au/publications/Pages/listeriarecallguidel5618.aspx</w:t>
        </w:r>
      </w:hyperlink>
      <w:r w:rsidRPr="005D5CF1">
        <w:rPr>
          <w:sz w:val="18"/>
        </w:rPr>
        <w:t xml:space="preserve"> </w:t>
      </w:r>
    </w:p>
  </w:footnote>
  <w:footnote w:id="5">
    <w:p w:rsidR="005D5CF1" w:rsidRPr="005D5CF1" w:rsidRDefault="005D5CF1">
      <w:pPr>
        <w:pStyle w:val="FootnoteText"/>
        <w:rPr>
          <w:sz w:val="18"/>
        </w:rPr>
      </w:pPr>
      <w:r w:rsidRPr="005D5CF1">
        <w:rPr>
          <w:rStyle w:val="FootnoteReference"/>
          <w:sz w:val="18"/>
        </w:rPr>
        <w:footnoteRef/>
      </w:r>
      <w:r w:rsidRPr="005D5CF1">
        <w:rPr>
          <w:sz w:val="18"/>
        </w:rPr>
        <w:t xml:space="preserve"> </w:t>
      </w:r>
      <w:hyperlink r:id="rId5" w:history="1">
        <w:r w:rsidRPr="005D5CF1">
          <w:rPr>
            <w:rStyle w:val="Hyperlink"/>
            <w:sz w:val="18"/>
          </w:rPr>
          <w:t>http://www.foodstandards.gov.au/publications/pages/guidelinesformicrobi1306.aspx</w:t>
        </w:r>
      </w:hyperlink>
      <w:r w:rsidRPr="005D5CF1">
        <w:rPr>
          <w:sz w:val="18"/>
        </w:rPr>
        <w:t xml:space="preserve"> </w:t>
      </w:r>
    </w:p>
  </w:footnote>
  <w:footnote w:id="6">
    <w:p w:rsidR="005D5CF1" w:rsidRPr="005D5CF1" w:rsidRDefault="005D5CF1">
      <w:pPr>
        <w:pStyle w:val="FootnoteText"/>
        <w:rPr>
          <w:sz w:val="18"/>
        </w:rPr>
      </w:pPr>
      <w:r w:rsidRPr="005D5CF1">
        <w:rPr>
          <w:rStyle w:val="FootnoteReference"/>
          <w:sz w:val="18"/>
        </w:rPr>
        <w:footnoteRef/>
      </w:r>
      <w:r w:rsidRPr="005D5CF1">
        <w:rPr>
          <w:sz w:val="18"/>
        </w:rPr>
        <w:t xml:space="preserve"> </w:t>
      </w:r>
      <w:hyperlink r:id="rId6" w:history="1">
        <w:r w:rsidRPr="005D5CF1">
          <w:rPr>
            <w:rStyle w:val="Hyperlink"/>
            <w:sz w:val="18"/>
          </w:rPr>
          <w:t>http://www.foodstandards.gov.au/code/proposals/Pages/proposalp1017criteri5439.aspx</w:t>
        </w:r>
      </w:hyperlink>
      <w:r w:rsidRPr="005D5CF1">
        <w:rPr>
          <w:sz w:val="18"/>
        </w:rPr>
        <w:t xml:space="preserve"> </w:t>
      </w:r>
    </w:p>
  </w:footnote>
  <w:footnote w:id="7">
    <w:p w:rsidR="009E0993" w:rsidRPr="009E0993" w:rsidRDefault="009E0993">
      <w:pPr>
        <w:pStyle w:val="FootnoteText"/>
        <w:rPr>
          <w:sz w:val="18"/>
        </w:rPr>
      </w:pPr>
      <w:r w:rsidRPr="009E0993">
        <w:rPr>
          <w:rStyle w:val="FootnoteReference"/>
          <w:sz w:val="18"/>
        </w:rPr>
        <w:footnoteRef/>
      </w:r>
      <w:r w:rsidRPr="009E0993">
        <w:rPr>
          <w:sz w:val="18"/>
        </w:rPr>
        <w:t xml:space="preserve"> </w:t>
      </w:r>
      <w:hyperlink r:id="rId7" w:history="1">
        <w:r w:rsidRPr="009E0993">
          <w:rPr>
            <w:rStyle w:val="Hyperlink"/>
            <w:sz w:val="18"/>
          </w:rPr>
          <w:t>http://www.codexalimentarius.org/?id_sta=394</w:t>
        </w:r>
      </w:hyperlink>
      <w:r w:rsidRPr="009E0993">
        <w:rPr>
          <w:sz w:val="18"/>
        </w:rPr>
        <w:t xml:space="preserve"> </w:t>
      </w:r>
    </w:p>
  </w:footnote>
  <w:footnote w:id="8">
    <w:p w:rsidR="005D5CF1" w:rsidRDefault="005D5CF1" w:rsidP="00C1361E">
      <w:pPr>
        <w:pStyle w:val="Footnote"/>
      </w:pPr>
      <w:r>
        <w:rPr>
          <w:rStyle w:val="FootnoteReference"/>
        </w:rPr>
        <w:footnoteRef/>
      </w:r>
      <w:r>
        <w:t xml:space="preserve"> Growth – greater than an average of 0.5 log cfu/g increase in </w:t>
      </w:r>
      <w:r w:rsidRPr="002228D6">
        <w:rPr>
          <w:i/>
        </w:rPr>
        <w:t>L. monocytogenes</w:t>
      </w:r>
      <w:r>
        <w:t xml:space="preserve"> levels for at least the stated shelf life of the product.</w:t>
      </w:r>
    </w:p>
  </w:footnote>
  <w:footnote w:id="9">
    <w:p w:rsidR="005D5CF1" w:rsidRPr="008828D9" w:rsidRDefault="005D5CF1" w:rsidP="00F828F6">
      <w:pPr>
        <w:pStyle w:val="Footnote"/>
      </w:pPr>
      <w:r w:rsidRPr="008828D9">
        <w:rPr>
          <w:rStyle w:val="FootnoteReference"/>
        </w:rPr>
        <w:footnoteRef/>
      </w:r>
      <w:r w:rsidRPr="008828D9">
        <w:t xml:space="preserve"> Now known as the COAG Legislative and Governance Forum on Food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35" w:rsidRDefault="00827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35" w:rsidRDefault="008272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F1" w:rsidRDefault="005D5CF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CC5953"/>
    <w:multiLevelType w:val="hybridMultilevel"/>
    <w:tmpl w:val="99E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95650"/>
    <w:multiLevelType w:val="hybridMultilevel"/>
    <w:tmpl w:val="1B500C0C"/>
    <w:lvl w:ilvl="0" w:tplc="0C09000F">
      <w:start w:val="1"/>
      <w:numFmt w:val="decimal"/>
      <w:lvlText w:val="%1."/>
      <w:lvlJc w:val="left"/>
      <w:pPr>
        <w:ind w:left="360" w:hanging="360"/>
      </w:pPr>
      <w:rPr>
        <w:rFont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96A72"/>
    <w:multiLevelType w:val="hybridMultilevel"/>
    <w:tmpl w:val="AA1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8A7B4A"/>
    <w:multiLevelType w:val="hybridMultilevel"/>
    <w:tmpl w:val="2B3A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DA67BC9"/>
    <w:multiLevelType w:val="hybridMultilevel"/>
    <w:tmpl w:val="5F1C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9B7639"/>
    <w:multiLevelType w:val="hybridMultilevel"/>
    <w:tmpl w:val="5FEA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EA10F7A"/>
    <w:multiLevelType w:val="hybridMultilevel"/>
    <w:tmpl w:val="D1DEC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62367EEB"/>
    <w:multiLevelType w:val="hybridMultilevel"/>
    <w:tmpl w:val="8598BC1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4240B5A"/>
    <w:multiLevelType w:val="hybridMultilevel"/>
    <w:tmpl w:val="4364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69564BFB"/>
    <w:multiLevelType w:val="hybridMultilevel"/>
    <w:tmpl w:val="9F202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0FA6838"/>
    <w:multiLevelType w:val="hybridMultilevel"/>
    <w:tmpl w:val="E69C8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1A337B5"/>
    <w:multiLevelType w:val="hybridMultilevel"/>
    <w:tmpl w:val="09067824"/>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5"/>
  </w:num>
  <w:num w:numId="9">
    <w:abstractNumId w:val="8"/>
  </w:num>
  <w:num w:numId="10">
    <w:abstractNumId w:val="2"/>
  </w:num>
  <w:num w:numId="11">
    <w:abstractNumId w:val="18"/>
  </w:num>
  <w:num w:numId="12">
    <w:abstractNumId w:val="7"/>
  </w:num>
  <w:num w:numId="13">
    <w:abstractNumId w:val="4"/>
  </w:num>
  <w:num w:numId="14">
    <w:abstractNumId w:val="11"/>
  </w:num>
  <w:num w:numId="15">
    <w:abstractNumId w:val="13"/>
  </w:num>
  <w:num w:numId="16">
    <w:abstractNumId w:val="3"/>
  </w:num>
  <w:num w:numId="17">
    <w:abstractNumId w:val="1"/>
  </w:num>
  <w:num w:numId="18">
    <w:abstractNumId w:val="1"/>
  </w:num>
  <w:num w:numId="19">
    <w:abstractNumId w:val="1"/>
  </w:num>
  <w:num w:numId="20">
    <w:abstractNumId w:val="12"/>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5"/>
  </w:num>
  <w:num w:numId="30">
    <w:abstractNumId w:val="1"/>
  </w:num>
  <w:num w:numId="3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B5C"/>
    <w:rsid w:val="0000469B"/>
    <w:rsid w:val="0001277C"/>
    <w:rsid w:val="00016CB6"/>
    <w:rsid w:val="0002071D"/>
    <w:rsid w:val="00021CF8"/>
    <w:rsid w:val="00027160"/>
    <w:rsid w:val="00027490"/>
    <w:rsid w:val="00033F2D"/>
    <w:rsid w:val="00034F87"/>
    <w:rsid w:val="000350EF"/>
    <w:rsid w:val="00035FF3"/>
    <w:rsid w:val="00041582"/>
    <w:rsid w:val="000427B2"/>
    <w:rsid w:val="000443D4"/>
    <w:rsid w:val="00051021"/>
    <w:rsid w:val="000515B1"/>
    <w:rsid w:val="00051ED9"/>
    <w:rsid w:val="00055D08"/>
    <w:rsid w:val="00056677"/>
    <w:rsid w:val="00057181"/>
    <w:rsid w:val="00063E8B"/>
    <w:rsid w:val="00064451"/>
    <w:rsid w:val="00064B2D"/>
    <w:rsid w:val="00065F1F"/>
    <w:rsid w:val="00066D6F"/>
    <w:rsid w:val="0007466A"/>
    <w:rsid w:val="00074765"/>
    <w:rsid w:val="00074A44"/>
    <w:rsid w:val="00076D33"/>
    <w:rsid w:val="00081797"/>
    <w:rsid w:val="00083970"/>
    <w:rsid w:val="00091CC2"/>
    <w:rsid w:val="00093B9B"/>
    <w:rsid w:val="00096707"/>
    <w:rsid w:val="000A27E9"/>
    <w:rsid w:val="000A3D8B"/>
    <w:rsid w:val="000A5DF8"/>
    <w:rsid w:val="000A7722"/>
    <w:rsid w:val="000B2F67"/>
    <w:rsid w:val="000B39E4"/>
    <w:rsid w:val="000B6AF2"/>
    <w:rsid w:val="000B6DAD"/>
    <w:rsid w:val="000C18E3"/>
    <w:rsid w:val="000C5085"/>
    <w:rsid w:val="000D295F"/>
    <w:rsid w:val="000D3685"/>
    <w:rsid w:val="000D6FD4"/>
    <w:rsid w:val="000E0AE4"/>
    <w:rsid w:val="000E340A"/>
    <w:rsid w:val="000E3837"/>
    <w:rsid w:val="000E3DBC"/>
    <w:rsid w:val="000F0228"/>
    <w:rsid w:val="000F04E4"/>
    <w:rsid w:val="000F2559"/>
    <w:rsid w:val="000F6C71"/>
    <w:rsid w:val="00100837"/>
    <w:rsid w:val="001022B4"/>
    <w:rsid w:val="0010383A"/>
    <w:rsid w:val="0010450C"/>
    <w:rsid w:val="00106AA7"/>
    <w:rsid w:val="001124EA"/>
    <w:rsid w:val="001126A6"/>
    <w:rsid w:val="00113CE3"/>
    <w:rsid w:val="00114271"/>
    <w:rsid w:val="00117522"/>
    <w:rsid w:val="00122C33"/>
    <w:rsid w:val="00133C5C"/>
    <w:rsid w:val="0014184B"/>
    <w:rsid w:val="001450C0"/>
    <w:rsid w:val="001542D8"/>
    <w:rsid w:val="00156453"/>
    <w:rsid w:val="001574EC"/>
    <w:rsid w:val="0016341B"/>
    <w:rsid w:val="00164D5B"/>
    <w:rsid w:val="00166BBF"/>
    <w:rsid w:val="0017110C"/>
    <w:rsid w:val="001719E3"/>
    <w:rsid w:val="00180C41"/>
    <w:rsid w:val="00181817"/>
    <w:rsid w:val="00181EEA"/>
    <w:rsid w:val="00182C4C"/>
    <w:rsid w:val="00193CF6"/>
    <w:rsid w:val="00197D8D"/>
    <w:rsid w:val="001A1A75"/>
    <w:rsid w:val="001A6FDB"/>
    <w:rsid w:val="001A7E9A"/>
    <w:rsid w:val="001C1245"/>
    <w:rsid w:val="001C17A4"/>
    <w:rsid w:val="001C27A3"/>
    <w:rsid w:val="001C282C"/>
    <w:rsid w:val="001C3D2F"/>
    <w:rsid w:val="001C5295"/>
    <w:rsid w:val="001C6AF2"/>
    <w:rsid w:val="001D3FC4"/>
    <w:rsid w:val="001D55D3"/>
    <w:rsid w:val="001E09FA"/>
    <w:rsid w:val="001E0F2B"/>
    <w:rsid w:val="001E244F"/>
    <w:rsid w:val="001F2638"/>
    <w:rsid w:val="001F3403"/>
    <w:rsid w:val="001F46C1"/>
    <w:rsid w:val="001F69D7"/>
    <w:rsid w:val="001F6F0C"/>
    <w:rsid w:val="001F74B2"/>
    <w:rsid w:val="00203540"/>
    <w:rsid w:val="002035AB"/>
    <w:rsid w:val="00206947"/>
    <w:rsid w:val="002110F9"/>
    <w:rsid w:val="0021358A"/>
    <w:rsid w:val="00214021"/>
    <w:rsid w:val="00215CED"/>
    <w:rsid w:val="00221D07"/>
    <w:rsid w:val="00225E1D"/>
    <w:rsid w:val="00227E4A"/>
    <w:rsid w:val="002317AC"/>
    <w:rsid w:val="00233AB1"/>
    <w:rsid w:val="002432EE"/>
    <w:rsid w:val="0024582E"/>
    <w:rsid w:val="002461C9"/>
    <w:rsid w:val="00251B38"/>
    <w:rsid w:val="002547EF"/>
    <w:rsid w:val="00256D65"/>
    <w:rsid w:val="00256D86"/>
    <w:rsid w:val="00265C3A"/>
    <w:rsid w:val="00266336"/>
    <w:rsid w:val="00271740"/>
    <w:rsid w:val="00271F00"/>
    <w:rsid w:val="002730B6"/>
    <w:rsid w:val="00273A80"/>
    <w:rsid w:val="00276026"/>
    <w:rsid w:val="00280E82"/>
    <w:rsid w:val="0029204E"/>
    <w:rsid w:val="00294BAD"/>
    <w:rsid w:val="0029631C"/>
    <w:rsid w:val="00297068"/>
    <w:rsid w:val="002A0194"/>
    <w:rsid w:val="002A5F8B"/>
    <w:rsid w:val="002A7F6C"/>
    <w:rsid w:val="002B0D8E"/>
    <w:rsid w:val="002B1F34"/>
    <w:rsid w:val="002B49C3"/>
    <w:rsid w:val="002B647E"/>
    <w:rsid w:val="002C27FE"/>
    <w:rsid w:val="002C3855"/>
    <w:rsid w:val="002D4783"/>
    <w:rsid w:val="002D6809"/>
    <w:rsid w:val="002E086A"/>
    <w:rsid w:val="002E26C4"/>
    <w:rsid w:val="002E6112"/>
    <w:rsid w:val="002F4AC4"/>
    <w:rsid w:val="002F6488"/>
    <w:rsid w:val="00303D18"/>
    <w:rsid w:val="0030583E"/>
    <w:rsid w:val="00310CF0"/>
    <w:rsid w:val="00310E84"/>
    <w:rsid w:val="00312B1B"/>
    <w:rsid w:val="00315A71"/>
    <w:rsid w:val="003165BE"/>
    <w:rsid w:val="003208E3"/>
    <w:rsid w:val="003213F9"/>
    <w:rsid w:val="00323DBF"/>
    <w:rsid w:val="003309A8"/>
    <w:rsid w:val="00332B12"/>
    <w:rsid w:val="00336711"/>
    <w:rsid w:val="0034171C"/>
    <w:rsid w:val="00343BEC"/>
    <w:rsid w:val="00345066"/>
    <w:rsid w:val="00347935"/>
    <w:rsid w:val="0035007F"/>
    <w:rsid w:val="00350DBD"/>
    <w:rsid w:val="00351927"/>
    <w:rsid w:val="00351B07"/>
    <w:rsid w:val="00353105"/>
    <w:rsid w:val="0036268A"/>
    <w:rsid w:val="00364841"/>
    <w:rsid w:val="00366307"/>
    <w:rsid w:val="00367D65"/>
    <w:rsid w:val="00370266"/>
    <w:rsid w:val="00371B29"/>
    <w:rsid w:val="00372182"/>
    <w:rsid w:val="003731CE"/>
    <w:rsid w:val="003742CF"/>
    <w:rsid w:val="0037520F"/>
    <w:rsid w:val="003759FF"/>
    <w:rsid w:val="00376B95"/>
    <w:rsid w:val="00376E0D"/>
    <w:rsid w:val="00382B5E"/>
    <w:rsid w:val="00390B43"/>
    <w:rsid w:val="00391769"/>
    <w:rsid w:val="003953E1"/>
    <w:rsid w:val="003956B3"/>
    <w:rsid w:val="003966C2"/>
    <w:rsid w:val="003A471E"/>
    <w:rsid w:val="003A4E76"/>
    <w:rsid w:val="003A68BE"/>
    <w:rsid w:val="003A6B27"/>
    <w:rsid w:val="003B3C9D"/>
    <w:rsid w:val="003B42BC"/>
    <w:rsid w:val="003B78E0"/>
    <w:rsid w:val="003C27D2"/>
    <w:rsid w:val="003C4969"/>
    <w:rsid w:val="003C573C"/>
    <w:rsid w:val="003D5113"/>
    <w:rsid w:val="003E0C78"/>
    <w:rsid w:val="003E1D1B"/>
    <w:rsid w:val="003E2DD7"/>
    <w:rsid w:val="003E3237"/>
    <w:rsid w:val="003E41D5"/>
    <w:rsid w:val="003E46BA"/>
    <w:rsid w:val="003E7D22"/>
    <w:rsid w:val="003F74C1"/>
    <w:rsid w:val="00401AC0"/>
    <w:rsid w:val="0040256D"/>
    <w:rsid w:val="00402F61"/>
    <w:rsid w:val="00405B1A"/>
    <w:rsid w:val="00407241"/>
    <w:rsid w:val="0040761E"/>
    <w:rsid w:val="00410C76"/>
    <w:rsid w:val="00411907"/>
    <w:rsid w:val="00413CA8"/>
    <w:rsid w:val="00417EE3"/>
    <w:rsid w:val="004207EB"/>
    <w:rsid w:val="0043226F"/>
    <w:rsid w:val="00435FA5"/>
    <w:rsid w:val="00436B8D"/>
    <w:rsid w:val="00437276"/>
    <w:rsid w:val="00442F96"/>
    <w:rsid w:val="00447E67"/>
    <w:rsid w:val="0045556F"/>
    <w:rsid w:val="00456606"/>
    <w:rsid w:val="00456B54"/>
    <w:rsid w:val="00461A00"/>
    <w:rsid w:val="00464643"/>
    <w:rsid w:val="004646F8"/>
    <w:rsid w:val="00471553"/>
    <w:rsid w:val="004810F8"/>
    <w:rsid w:val="00482147"/>
    <w:rsid w:val="00486793"/>
    <w:rsid w:val="004A0594"/>
    <w:rsid w:val="004A2037"/>
    <w:rsid w:val="004A3685"/>
    <w:rsid w:val="004A66E0"/>
    <w:rsid w:val="004A68FE"/>
    <w:rsid w:val="004B57D4"/>
    <w:rsid w:val="004B6BF0"/>
    <w:rsid w:val="004C2CE7"/>
    <w:rsid w:val="004C3B71"/>
    <w:rsid w:val="004D30A6"/>
    <w:rsid w:val="004D41C2"/>
    <w:rsid w:val="004E20EA"/>
    <w:rsid w:val="004E4C8F"/>
    <w:rsid w:val="004F4F98"/>
    <w:rsid w:val="004F56B9"/>
    <w:rsid w:val="004F69F6"/>
    <w:rsid w:val="004F79AC"/>
    <w:rsid w:val="005017CF"/>
    <w:rsid w:val="00506BF7"/>
    <w:rsid w:val="005207D8"/>
    <w:rsid w:val="00520C32"/>
    <w:rsid w:val="00521F70"/>
    <w:rsid w:val="00532BDB"/>
    <w:rsid w:val="005337F5"/>
    <w:rsid w:val="00534402"/>
    <w:rsid w:val="0053464E"/>
    <w:rsid w:val="00535015"/>
    <w:rsid w:val="00535A30"/>
    <w:rsid w:val="005401A0"/>
    <w:rsid w:val="005468B7"/>
    <w:rsid w:val="005475C4"/>
    <w:rsid w:val="00553969"/>
    <w:rsid w:val="00556E5E"/>
    <w:rsid w:val="00562917"/>
    <w:rsid w:val="00565F31"/>
    <w:rsid w:val="00570C1A"/>
    <w:rsid w:val="00572856"/>
    <w:rsid w:val="00573EC9"/>
    <w:rsid w:val="00574635"/>
    <w:rsid w:val="00575C56"/>
    <w:rsid w:val="005779CC"/>
    <w:rsid w:val="0058078A"/>
    <w:rsid w:val="00584D71"/>
    <w:rsid w:val="00586228"/>
    <w:rsid w:val="00591AFD"/>
    <w:rsid w:val="0059298E"/>
    <w:rsid w:val="00593D0B"/>
    <w:rsid w:val="0059498B"/>
    <w:rsid w:val="00596D5B"/>
    <w:rsid w:val="005A0543"/>
    <w:rsid w:val="005A1357"/>
    <w:rsid w:val="005A18B8"/>
    <w:rsid w:val="005A5FC0"/>
    <w:rsid w:val="005B1CDA"/>
    <w:rsid w:val="005B4D16"/>
    <w:rsid w:val="005B615C"/>
    <w:rsid w:val="005B6AF4"/>
    <w:rsid w:val="005B6BAF"/>
    <w:rsid w:val="005C04CB"/>
    <w:rsid w:val="005C4834"/>
    <w:rsid w:val="005C71BA"/>
    <w:rsid w:val="005D16AD"/>
    <w:rsid w:val="005D1B0A"/>
    <w:rsid w:val="005D261A"/>
    <w:rsid w:val="005D3DE9"/>
    <w:rsid w:val="005D3F27"/>
    <w:rsid w:val="005D5334"/>
    <w:rsid w:val="005D5CF1"/>
    <w:rsid w:val="005D72E1"/>
    <w:rsid w:val="005E537D"/>
    <w:rsid w:val="005E6E16"/>
    <w:rsid w:val="005F400E"/>
    <w:rsid w:val="005F6EA3"/>
    <w:rsid w:val="005F7342"/>
    <w:rsid w:val="00603A08"/>
    <w:rsid w:val="006068B5"/>
    <w:rsid w:val="00606C88"/>
    <w:rsid w:val="00606E1F"/>
    <w:rsid w:val="00607F6E"/>
    <w:rsid w:val="00610A3C"/>
    <w:rsid w:val="0061457A"/>
    <w:rsid w:val="00615B40"/>
    <w:rsid w:val="00622A1E"/>
    <w:rsid w:val="00625CE2"/>
    <w:rsid w:val="00625EF9"/>
    <w:rsid w:val="00627F48"/>
    <w:rsid w:val="006309BE"/>
    <w:rsid w:val="00633ACA"/>
    <w:rsid w:val="006350CC"/>
    <w:rsid w:val="00642A47"/>
    <w:rsid w:val="00652216"/>
    <w:rsid w:val="00652AD8"/>
    <w:rsid w:val="006636D7"/>
    <w:rsid w:val="00663FCF"/>
    <w:rsid w:val="00664080"/>
    <w:rsid w:val="006652A2"/>
    <w:rsid w:val="0067626A"/>
    <w:rsid w:val="006766DB"/>
    <w:rsid w:val="00681754"/>
    <w:rsid w:val="00684500"/>
    <w:rsid w:val="006916BA"/>
    <w:rsid w:val="00691F95"/>
    <w:rsid w:val="006937FF"/>
    <w:rsid w:val="006940FF"/>
    <w:rsid w:val="006947CF"/>
    <w:rsid w:val="006965BF"/>
    <w:rsid w:val="00696870"/>
    <w:rsid w:val="006A48A7"/>
    <w:rsid w:val="006A79F0"/>
    <w:rsid w:val="006B001C"/>
    <w:rsid w:val="006B01B0"/>
    <w:rsid w:val="006B29E0"/>
    <w:rsid w:val="006B3D1B"/>
    <w:rsid w:val="006B4BA1"/>
    <w:rsid w:val="006B67F7"/>
    <w:rsid w:val="006C28E2"/>
    <w:rsid w:val="006C4D57"/>
    <w:rsid w:val="006C5CF5"/>
    <w:rsid w:val="006D1D4E"/>
    <w:rsid w:val="006D321C"/>
    <w:rsid w:val="006D6333"/>
    <w:rsid w:val="006E07BC"/>
    <w:rsid w:val="006E144D"/>
    <w:rsid w:val="006E74FB"/>
    <w:rsid w:val="006F14E9"/>
    <w:rsid w:val="006F4A82"/>
    <w:rsid w:val="006F4C33"/>
    <w:rsid w:val="006F56A0"/>
    <w:rsid w:val="00700239"/>
    <w:rsid w:val="00702DF9"/>
    <w:rsid w:val="0070373B"/>
    <w:rsid w:val="00707915"/>
    <w:rsid w:val="00707E72"/>
    <w:rsid w:val="00710E10"/>
    <w:rsid w:val="007113EB"/>
    <w:rsid w:val="00713C58"/>
    <w:rsid w:val="0071499C"/>
    <w:rsid w:val="00714E7A"/>
    <w:rsid w:val="00716FCE"/>
    <w:rsid w:val="0072118F"/>
    <w:rsid w:val="00724FA4"/>
    <w:rsid w:val="007267A2"/>
    <w:rsid w:val="00730800"/>
    <w:rsid w:val="00733635"/>
    <w:rsid w:val="00737902"/>
    <w:rsid w:val="00737989"/>
    <w:rsid w:val="00741EFE"/>
    <w:rsid w:val="00751319"/>
    <w:rsid w:val="00757E58"/>
    <w:rsid w:val="007602AA"/>
    <w:rsid w:val="007628B0"/>
    <w:rsid w:val="00764ECA"/>
    <w:rsid w:val="007652EF"/>
    <w:rsid w:val="007708B1"/>
    <w:rsid w:val="0077159D"/>
    <w:rsid w:val="007719DA"/>
    <w:rsid w:val="00772BDC"/>
    <w:rsid w:val="00780792"/>
    <w:rsid w:val="007843F6"/>
    <w:rsid w:val="007861D8"/>
    <w:rsid w:val="00790416"/>
    <w:rsid w:val="00792577"/>
    <w:rsid w:val="00797B0E"/>
    <w:rsid w:val="007A219F"/>
    <w:rsid w:val="007A44B4"/>
    <w:rsid w:val="007A4FBC"/>
    <w:rsid w:val="007A7D3D"/>
    <w:rsid w:val="007B225D"/>
    <w:rsid w:val="007B59D7"/>
    <w:rsid w:val="007B6110"/>
    <w:rsid w:val="007C174F"/>
    <w:rsid w:val="007C1C64"/>
    <w:rsid w:val="007C69C2"/>
    <w:rsid w:val="007D5F74"/>
    <w:rsid w:val="007E18C6"/>
    <w:rsid w:val="007E48BC"/>
    <w:rsid w:val="007E79F7"/>
    <w:rsid w:val="007F3630"/>
    <w:rsid w:val="007F3BF7"/>
    <w:rsid w:val="007F5973"/>
    <w:rsid w:val="00800902"/>
    <w:rsid w:val="008010AC"/>
    <w:rsid w:val="00802BE0"/>
    <w:rsid w:val="00802EDA"/>
    <w:rsid w:val="00803FB4"/>
    <w:rsid w:val="008071B4"/>
    <w:rsid w:val="00807559"/>
    <w:rsid w:val="0080773E"/>
    <w:rsid w:val="00812CAC"/>
    <w:rsid w:val="00815728"/>
    <w:rsid w:val="008251DB"/>
    <w:rsid w:val="00826683"/>
    <w:rsid w:val="00827235"/>
    <w:rsid w:val="00827BD6"/>
    <w:rsid w:val="008352C1"/>
    <w:rsid w:val="0084199A"/>
    <w:rsid w:val="008450BC"/>
    <w:rsid w:val="00850DFB"/>
    <w:rsid w:val="0085334B"/>
    <w:rsid w:val="00853A0F"/>
    <w:rsid w:val="00856C43"/>
    <w:rsid w:val="00870214"/>
    <w:rsid w:val="00876515"/>
    <w:rsid w:val="0088407E"/>
    <w:rsid w:val="00885C51"/>
    <w:rsid w:val="00885EB0"/>
    <w:rsid w:val="0089264A"/>
    <w:rsid w:val="00892B19"/>
    <w:rsid w:val="00896B85"/>
    <w:rsid w:val="00897F01"/>
    <w:rsid w:val="008A22BE"/>
    <w:rsid w:val="008A267A"/>
    <w:rsid w:val="008A35FB"/>
    <w:rsid w:val="008A3D5D"/>
    <w:rsid w:val="008B00BF"/>
    <w:rsid w:val="008B3669"/>
    <w:rsid w:val="008B4149"/>
    <w:rsid w:val="008B4644"/>
    <w:rsid w:val="008C0C3B"/>
    <w:rsid w:val="008C0D51"/>
    <w:rsid w:val="008C1B36"/>
    <w:rsid w:val="008C31D4"/>
    <w:rsid w:val="008C5F04"/>
    <w:rsid w:val="008D06C6"/>
    <w:rsid w:val="008D5442"/>
    <w:rsid w:val="008E0FD7"/>
    <w:rsid w:val="008E31C5"/>
    <w:rsid w:val="008E6250"/>
    <w:rsid w:val="008F0925"/>
    <w:rsid w:val="008F1EFD"/>
    <w:rsid w:val="009016E1"/>
    <w:rsid w:val="00902AF6"/>
    <w:rsid w:val="009106A9"/>
    <w:rsid w:val="00914030"/>
    <w:rsid w:val="00915B0A"/>
    <w:rsid w:val="00920249"/>
    <w:rsid w:val="00924C80"/>
    <w:rsid w:val="0093138A"/>
    <w:rsid w:val="00932F14"/>
    <w:rsid w:val="00937A77"/>
    <w:rsid w:val="0094247F"/>
    <w:rsid w:val="00942D60"/>
    <w:rsid w:val="00943BA9"/>
    <w:rsid w:val="00944BA4"/>
    <w:rsid w:val="00946390"/>
    <w:rsid w:val="009469BF"/>
    <w:rsid w:val="00962A11"/>
    <w:rsid w:val="0096523B"/>
    <w:rsid w:val="00966EE3"/>
    <w:rsid w:val="00970535"/>
    <w:rsid w:val="00972D06"/>
    <w:rsid w:val="009749E0"/>
    <w:rsid w:val="0097520B"/>
    <w:rsid w:val="00976555"/>
    <w:rsid w:val="00981C21"/>
    <w:rsid w:val="009939A2"/>
    <w:rsid w:val="009A391C"/>
    <w:rsid w:val="009A50F2"/>
    <w:rsid w:val="009A5FFE"/>
    <w:rsid w:val="009B1B3F"/>
    <w:rsid w:val="009B3BF9"/>
    <w:rsid w:val="009B6B01"/>
    <w:rsid w:val="009C4322"/>
    <w:rsid w:val="009D07D2"/>
    <w:rsid w:val="009D200A"/>
    <w:rsid w:val="009D3480"/>
    <w:rsid w:val="009D4ACB"/>
    <w:rsid w:val="009D6B9B"/>
    <w:rsid w:val="009D790B"/>
    <w:rsid w:val="009E0993"/>
    <w:rsid w:val="009E0A61"/>
    <w:rsid w:val="009E2003"/>
    <w:rsid w:val="009E2396"/>
    <w:rsid w:val="009E3010"/>
    <w:rsid w:val="009E324A"/>
    <w:rsid w:val="009E5A71"/>
    <w:rsid w:val="009E72AD"/>
    <w:rsid w:val="009F007E"/>
    <w:rsid w:val="009F32A7"/>
    <w:rsid w:val="009F4F7D"/>
    <w:rsid w:val="009F5005"/>
    <w:rsid w:val="009F5318"/>
    <w:rsid w:val="009F63A6"/>
    <w:rsid w:val="009F6B41"/>
    <w:rsid w:val="009F7065"/>
    <w:rsid w:val="00A01ACD"/>
    <w:rsid w:val="00A05F34"/>
    <w:rsid w:val="00A06D9B"/>
    <w:rsid w:val="00A0721F"/>
    <w:rsid w:val="00A10348"/>
    <w:rsid w:val="00A10E88"/>
    <w:rsid w:val="00A12215"/>
    <w:rsid w:val="00A12B44"/>
    <w:rsid w:val="00A14F92"/>
    <w:rsid w:val="00A1523A"/>
    <w:rsid w:val="00A15EE8"/>
    <w:rsid w:val="00A22039"/>
    <w:rsid w:val="00A231A3"/>
    <w:rsid w:val="00A240AC"/>
    <w:rsid w:val="00A2589A"/>
    <w:rsid w:val="00A26D25"/>
    <w:rsid w:val="00A401B6"/>
    <w:rsid w:val="00A4175D"/>
    <w:rsid w:val="00A426CB"/>
    <w:rsid w:val="00A460A3"/>
    <w:rsid w:val="00A46E82"/>
    <w:rsid w:val="00A52E00"/>
    <w:rsid w:val="00A5339D"/>
    <w:rsid w:val="00A54914"/>
    <w:rsid w:val="00A54934"/>
    <w:rsid w:val="00A54964"/>
    <w:rsid w:val="00A56DC7"/>
    <w:rsid w:val="00A56E34"/>
    <w:rsid w:val="00A602C7"/>
    <w:rsid w:val="00A61E08"/>
    <w:rsid w:val="00A624E9"/>
    <w:rsid w:val="00A66507"/>
    <w:rsid w:val="00A72D55"/>
    <w:rsid w:val="00A74FD1"/>
    <w:rsid w:val="00A76BD1"/>
    <w:rsid w:val="00A81819"/>
    <w:rsid w:val="00A84A58"/>
    <w:rsid w:val="00A91DF1"/>
    <w:rsid w:val="00A92E80"/>
    <w:rsid w:val="00A96724"/>
    <w:rsid w:val="00AA0B07"/>
    <w:rsid w:val="00AA26DA"/>
    <w:rsid w:val="00AA2D9D"/>
    <w:rsid w:val="00AA325A"/>
    <w:rsid w:val="00AA58DD"/>
    <w:rsid w:val="00AB2B03"/>
    <w:rsid w:val="00AB5CF4"/>
    <w:rsid w:val="00AB5EC2"/>
    <w:rsid w:val="00AC1004"/>
    <w:rsid w:val="00AC1A37"/>
    <w:rsid w:val="00AC1E1A"/>
    <w:rsid w:val="00AC3A40"/>
    <w:rsid w:val="00AD0087"/>
    <w:rsid w:val="00AD22F9"/>
    <w:rsid w:val="00AD7A3D"/>
    <w:rsid w:val="00AD7C53"/>
    <w:rsid w:val="00AE1FE3"/>
    <w:rsid w:val="00AE597E"/>
    <w:rsid w:val="00AE766D"/>
    <w:rsid w:val="00AF06FC"/>
    <w:rsid w:val="00AF0F57"/>
    <w:rsid w:val="00AF1DDF"/>
    <w:rsid w:val="00AF3391"/>
    <w:rsid w:val="00AF387F"/>
    <w:rsid w:val="00AF5381"/>
    <w:rsid w:val="00AF7BEC"/>
    <w:rsid w:val="00B004BA"/>
    <w:rsid w:val="00B00E7F"/>
    <w:rsid w:val="00B0160E"/>
    <w:rsid w:val="00B173DA"/>
    <w:rsid w:val="00B21DCC"/>
    <w:rsid w:val="00B25F37"/>
    <w:rsid w:val="00B321B6"/>
    <w:rsid w:val="00B3387A"/>
    <w:rsid w:val="00B3685B"/>
    <w:rsid w:val="00B42EC6"/>
    <w:rsid w:val="00B44422"/>
    <w:rsid w:val="00B46EA0"/>
    <w:rsid w:val="00B54F42"/>
    <w:rsid w:val="00B55836"/>
    <w:rsid w:val="00B60C3C"/>
    <w:rsid w:val="00B71F51"/>
    <w:rsid w:val="00B731D3"/>
    <w:rsid w:val="00B839A3"/>
    <w:rsid w:val="00B83EFC"/>
    <w:rsid w:val="00B853D2"/>
    <w:rsid w:val="00B902BD"/>
    <w:rsid w:val="00B92411"/>
    <w:rsid w:val="00B9772E"/>
    <w:rsid w:val="00BA183B"/>
    <w:rsid w:val="00BA24E2"/>
    <w:rsid w:val="00BC3772"/>
    <w:rsid w:val="00BC7C98"/>
    <w:rsid w:val="00BD2A39"/>
    <w:rsid w:val="00BD2E80"/>
    <w:rsid w:val="00BE11B8"/>
    <w:rsid w:val="00BE152F"/>
    <w:rsid w:val="00BE2035"/>
    <w:rsid w:val="00BE2F20"/>
    <w:rsid w:val="00BF7FF0"/>
    <w:rsid w:val="00C0424A"/>
    <w:rsid w:val="00C070EC"/>
    <w:rsid w:val="00C12502"/>
    <w:rsid w:val="00C1266C"/>
    <w:rsid w:val="00C13003"/>
    <w:rsid w:val="00C134BB"/>
    <w:rsid w:val="00C1361E"/>
    <w:rsid w:val="00C14FD2"/>
    <w:rsid w:val="00C1525E"/>
    <w:rsid w:val="00C17346"/>
    <w:rsid w:val="00C23C22"/>
    <w:rsid w:val="00C26575"/>
    <w:rsid w:val="00C26807"/>
    <w:rsid w:val="00C3551D"/>
    <w:rsid w:val="00C36578"/>
    <w:rsid w:val="00C36880"/>
    <w:rsid w:val="00C36979"/>
    <w:rsid w:val="00C40AA5"/>
    <w:rsid w:val="00C44CAA"/>
    <w:rsid w:val="00C45532"/>
    <w:rsid w:val="00C46F70"/>
    <w:rsid w:val="00C476D0"/>
    <w:rsid w:val="00C53AE0"/>
    <w:rsid w:val="00C53E75"/>
    <w:rsid w:val="00C60936"/>
    <w:rsid w:val="00C60A6E"/>
    <w:rsid w:val="00C666E6"/>
    <w:rsid w:val="00C836E3"/>
    <w:rsid w:val="00C86577"/>
    <w:rsid w:val="00C91DA3"/>
    <w:rsid w:val="00C922CE"/>
    <w:rsid w:val="00C92E07"/>
    <w:rsid w:val="00C94942"/>
    <w:rsid w:val="00C965C1"/>
    <w:rsid w:val="00C96868"/>
    <w:rsid w:val="00C96A50"/>
    <w:rsid w:val="00CA0416"/>
    <w:rsid w:val="00CA3BE9"/>
    <w:rsid w:val="00CA49C3"/>
    <w:rsid w:val="00CB1375"/>
    <w:rsid w:val="00CB3EF4"/>
    <w:rsid w:val="00CC1354"/>
    <w:rsid w:val="00CC2AB7"/>
    <w:rsid w:val="00CC560B"/>
    <w:rsid w:val="00CC75E2"/>
    <w:rsid w:val="00CD46EB"/>
    <w:rsid w:val="00CD6C47"/>
    <w:rsid w:val="00CD7EBF"/>
    <w:rsid w:val="00CE25C8"/>
    <w:rsid w:val="00CE6AB8"/>
    <w:rsid w:val="00D014FC"/>
    <w:rsid w:val="00D056F1"/>
    <w:rsid w:val="00D062E4"/>
    <w:rsid w:val="00D11171"/>
    <w:rsid w:val="00D141FE"/>
    <w:rsid w:val="00D14405"/>
    <w:rsid w:val="00D22F3C"/>
    <w:rsid w:val="00D23DB6"/>
    <w:rsid w:val="00D33889"/>
    <w:rsid w:val="00D37E1F"/>
    <w:rsid w:val="00D40070"/>
    <w:rsid w:val="00D427D7"/>
    <w:rsid w:val="00D43FE6"/>
    <w:rsid w:val="00D50AD5"/>
    <w:rsid w:val="00D51A95"/>
    <w:rsid w:val="00D5352F"/>
    <w:rsid w:val="00D5722B"/>
    <w:rsid w:val="00D60568"/>
    <w:rsid w:val="00D70C7A"/>
    <w:rsid w:val="00D71F70"/>
    <w:rsid w:val="00D73931"/>
    <w:rsid w:val="00D76F80"/>
    <w:rsid w:val="00D80430"/>
    <w:rsid w:val="00D81D38"/>
    <w:rsid w:val="00D81F2F"/>
    <w:rsid w:val="00D8470F"/>
    <w:rsid w:val="00D8471A"/>
    <w:rsid w:val="00DA10A8"/>
    <w:rsid w:val="00DA7BC1"/>
    <w:rsid w:val="00DB157C"/>
    <w:rsid w:val="00DB1E08"/>
    <w:rsid w:val="00DB2973"/>
    <w:rsid w:val="00DB324A"/>
    <w:rsid w:val="00DB7A08"/>
    <w:rsid w:val="00DB7F24"/>
    <w:rsid w:val="00DC0599"/>
    <w:rsid w:val="00DC1B56"/>
    <w:rsid w:val="00DC2129"/>
    <w:rsid w:val="00DC3C72"/>
    <w:rsid w:val="00DC4D46"/>
    <w:rsid w:val="00DC5CD0"/>
    <w:rsid w:val="00DC6570"/>
    <w:rsid w:val="00DC6B0D"/>
    <w:rsid w:val="00DD1282"/>
    <w:rsid w:val="00DD3C5E"/>
    <w:rsid w:val="00DE79D9"/>
    <w:rsid w:val="00DF25C3"/>
    <w:rsid w:val="00E04062"/>
    <w:rsid w:val="00E063C6"/>
    <w:rsid w:val="00E10289"/>
    <w:rsid w:val="00E11620"/>
    <w:rsid w:val="00E11725"/>
    <w:rsid w:val="00E13790"/>
    <w:rsid w:val="00E14E48"/>
    <w:rsid w:val="00E1665F"/>
    <w:rsid w:val="00E2003B"/>
    <w:rsid w:val="00E203C2"/>
    <w:rsid w:val="00E2177F"/>
    <w:rsid w:val="00E23688"/>
    <w:rsid w:val="00E255BE"/>
    <w:rsid w:val="00E26EE7"/>
    <w:rsid w:val="00E27862"/>
    <w:rsid w:val="00E279D8"/>
    <w:rsid w:val="00E313DA"/>
    <w:rsid w:val="00E319B1"/>
    <w:rsid w:val="00E37DBF"/>
    <w:rsid w:val="00E40ED4"/>
    <w:rsid w:val="00E41A8A"/>
    <w:rsid w:val="00E44E0D"/>
    <w:rsid w:val="00E47A73"/>
    <w:rsid w:val="00E5236D"/>
    <w:rsid w:val="00E532DA"/>
    <w:rsid w:val="00E5492F"/>
    <w:rsid w:val="00E571FC"/>
    <w:rsid w:val="00E60214"/>
    <w:rsid w:val="00E62BA3"/>
    <w:rsid w:val="00E62DEF"/>
    <w:rsid w:val="00E641DA"/>
    <w:rsid w:val="00E70A86"/>
    <w:rsid w:val="00E755D6"/>
    <w:rsid w:val="00E75A06"/>
    <w:rsid w:val="00E75CCC"/>
    <w:rsid w:val="00E777EC"/>
    <w:rsid w:val="00E80FCD"/>
    <w:rsid w:val="00E81F6E"/>
    <w:rsid w:val="00E87949"/>
    <w:rsid w:val="00E93CEB"/>
    <w:rsid w:val="00E93E9B"/>
    <w:rsid w:val="00EA400B"/>
    <w:rsid w:val="00EA7F2F"/>
    <w:rsid w:val="00EB214A"/>
    <w:rsid w:val="00EB675C"/>
    <w:rsid w:val="00EC00DE"/>
    <w:rsid w:val="00EC0CBF"/>
    <w:rsid w:val="00EC30E1"/>
    <w:rsid w:val="00EC48A8"/>
    <w:rsid w:val="00EC54E3"/>
    <w:rsid w:val="00EC672B"/>
    <w:rsid w:val="00EC7294"/>
    <w:rsid w:val="00ED172A"/>
    <w:rsid w:val="00EE0A23"/>
    <w:rsid w:val="00EE2BC4"/>
    <w:rsid w:val="00EE44AA"/>
    <w:rsid w:val="00EF0E88"/>
    <w:rsid w:val="00EF2274"/>
    <w:rsid w:val="00EF2D87"/>
    <w:rsid w:val="00EF4E3F"/>
    <w:rsid w:val="00EF6C44"/>
    <w:rsid w:val="00F03DD8"/>
    <w:rsid w:val="00F0750B"/>
    <w:rsid w:val="00F10A0B"/>
    <w:rsid w:val="00F14BEC"/>
    <w:rsid w:val="00F14D89"/>
    <w:rsid w:val="00F15C00"/>
    <w:rsid w:val="00F20041"/>
    <w:rsid w:val="00F225C5"/>
    <w:rsid w:val="00F23C93"/>
    <w:rsid w:val="00F256A7"/>
    <w:rsid w:val="00F2587A"/>
    <w:rsid w:val="00F36B46"/>
    <w:rsid w:val="00F3715D"/>
    <w:rsid w:val="00F420C8"/>
    <w:rsid w:val="00F42A4C"/>
    <w:rsid w:val="00F53B04"/>
    <w:rsid w:val="00F5647C"/>
    <w:rsid w:val="00F57DE0"/>
    <w:rsid w:val="00F604DE"/>
    <w:rsid w:val="00F64653"/>
    <w:rsid w:val="00F64CC1"/>
    <w:rsid w:val="00F6711B"/>
    <w:rsid w:val="00F72B75"/>
    <w:rsid w:val="00F828F6"/>
    <w:rsid w:val="00F92520"/>
    <w:rsid w:val="00F92D27"/>
    <w:rsid w:val="00FA13F3"/>
    <w:rsid w:val="00FB1533"/>
    <w:rsid w:val="00FB26D8"/>
    <w:rsid w:val="00FB6E2B"/>
    <w:rsid w:val="00FB7512"/>
    <w:rsid w:val="00FC17AE"/>
    <w:rsid w:val="00FC74E7"/>
    <w:rsid w:val="00FD2FBE"/>
    <w:rsid w:val="00FD686E"/>
    <w:rsid w:val="00FD7547"/>
    <w:rsid w:val="00FE1982"/>
    <w:rsid w:val="00FF13CB"/>
    <w:rsid w:val="00FF1629"/>
    <w:rsid w:val="00FF598D"/>
    <w:rsid w:val="00FF5ED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52AD8"/>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val="en-AU"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99"/>
    <w:qFormat/>
    <w:rsid w:val="00106AA7"/>
    <w:pPr>
      <w:widowControl/>
      <w:ind w:left="720"/>
      <w:contextualSpacing/>
    </w:pPr>
    <w:rPr>
      <w:rFonts w:eastAsia="Calibri"/>
      <w:szCs w:val="22"/>
      <w:lang w:bidi="ar-SA"/>
    </w:rPr>
  </w:style>
  <w:style w:type="paragraph" w:customStyle="1" w:styleId="FSSubheading">
    <w:name w:val="FS Subheading"/>
    <w:basedOn w:val="Normal"/>
    <w:qFormat/>
    <w:rsid w:val="00FF1629"/>
    <w:pPr>
      <w:ind w:left="851" w:hanging="851"/>
    </w:pPr>
    <w:rPr>
      <w:b/>
      <w:i/>
      <w:szCs w:val="20"/>
      <w:lang w:bidi="ar-SA"/>
    </w:rPr>
  </w:style>
  <w:style w:type="paragraph" w:customStyle="1" w:styleId="FSHeading">
    <w:name w:val="FS Heading"/>
    <w:basedOn w:val="Normal"/>
    <w:qFormat/>
    <w:rsid w:val="000B6DAD"/>
    <w:pPr>
      <w:ind w:left="851" w:hanging="851"/>
    </w:pPr>
    <w:rPr>
      <w:b/>
      <w:szCs w:val="20"/>
      <w:lang w:bidi="ar-SA"/>
    </w:rPr>
  </w:style>
  <w:style w:type="character" w:customStyle="1" w:styleId="FootnoteTextChar">
    <w:name w:val="Footnote Text Char"/>
    <w:aliases w:val="FSFootnote Text Char"/>
    <w:basedOn w:val="DefaultParagraphFont"/>
    <w:link w:val="FootnoteText"/>
    <w:uiPriority w:val="99"/>
    <w:rsid w:val="0034171C"/>
    <w:rPr>
      <w:rFonts w:ascii="Arial" w:hAnsi="Arial"/>
      <w:lang w:val="en-AU" w:eastAsia="en-US" w:bidi="en-US"/>
    </w:rPr>
  </w:style>
  <w:style w:type="paragraph" w:customStyle="1" w:styleId="FSTableColumnRowheading">
    <w:name w:val="FSTable Column/Row heading"/>
    <w:basedOn w:val="Normal"/>
    <w:qFormat/>
    <w:rsid w:val="009F5318"/>
    <w:pPr>
      <w:widowControl/>
      <w:spacing w:before="120" w:after="120"/>
    </w:pPr>
    <w:rPr>
      <w:rFonts w:eastAsiaTheme="minorHAnsi" w:cstheme="minorBidi"/>
      <w:b/>
      <w:sz w:val="20"/>
      <w:szCs w:val="20"/>
      <w:lang w:val="en-GB" w:bidi="ar-SA"/>
    </w:rPr>
  </w:style>
  <w:style w:type="paragraph" w:customStyle="1" w:styleId="Default">
    <w:name w:val="Default"/>
    <w:rsid w:val="00AC1E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76B95"/>
    <w:rPr>
      <w:rFonts w:ascii="Arial" w:hAnsi="Arial"/>
      <w:szCs w:val="24"/>
      <w:lang w:val="en-AU" w:eastAsia="en-US" w:bidi="en-US"/>
    </w:rPr>
  </w:style>
  <w:style w:type="character" w:customStyle="1" w:styleId="ClauseChar">
    <w:name w:val="Clause Char"/>
    <w:basedOn w:val="DefaultParagraphFont"/>
    <w:link w:val="Clause"/>
    <w:rsid w:val="007719DA"/>
    <w:rPr>
      <w:rFonts w:ascii="Arial" w:hAnsi="Arial"/>
      <w:lang w:val="en-AU"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52AD8"/>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val="en-AU"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99"/>
    <w:qFormat/>
    <w:rsid w:val="00106AA7"/>
    <w:pPr>
      <w:widowControl/>
      <w:ind w:left="720"/>
      <w:contextualSpacing/>
    </w:pPr>
    <w:rPr>
      <w:rFonts w:eastAsia="Calibri"/>
      <w:szCs w:val="22"/>
      <w:lang w:bidi="ar-SA"/>
    </w:rPr>
  </w:style>
  <w:style w:type="paragraph" w:customStyle="1" w:styleId="FSSubheading">
    <w:name w:val="FS Subheading"/>
    <w:basedOn w:val="Normal"/>
    <w:qFormat/>
    <w:rsid w:val="00FF1629"/>
    <w:pPr>
      <w:ind w:left="851" w:hanging="851"/>
    </w:pPr>
    <w:rPr>
      <w:b/>
      <w:i/>
      <w:szCs w:val="20"/>
      <w:lang w:bidi="ar-SA"/>
    </w:rPr>
  </w:style>
  <w:style w:type="paragraph" w:customStyle="1" w:styleId="FSHeading">
    <w:name w:val="FS Heading"/>
    <w:basedOn w:val="Normal"/>
    <w:qFormat/>
    <w:rsid w:val="000B6DAD"/>
    <w:pPr>
      <w:ind w:left="851" w:hanging="851"/>
    </w:pPr>
    <w:rPr>
      <w:b/>
      <w:szCs w:val="20"/>
      <w:lang w:bidi="ar-SA"/>
    </w:rPr>
  </w:style>
  <w:style w:type="character" w:customStyle="1" w:styleId="FootnoteTextChar">
    <w:name w:val="Footnote Text Char"/>
    <w:aliases w:val="FSFootnote Text Char"/>
    <w:basedOn w:val="DefaultParagraphFont"/>
    <w:link w:val="FootnoteText"/>
    <w:uiPriority w:val="99"/>
    <w:rsid w:val="0034171C"/>
    <w:rPr>
      <w:rFonts w:ascii="Arial" w:hAnsi="Arial"/>
      <w:lang w:val="en-AU" w:eastAsia="en-US" w:bidi="en-US"/>
    </w:rPr>
  </w:style>
  <w:style w:type="paragraph" w:customStyle="1" w:styleId="FSTableColumnRowheading">
    <w:name w:val="FSTable Column/Row heading"/>
    <w:basedOn w:val="Normal"/>
    <w:qFormat/>
    <w:rsid w:val="009F5318"/>
    <w:pPr>
      <w:widowControl/>
      <w:spacing w:before="120" w:after="120"/>
    </w:pPr>
    <w:rPr>
      <w:rFonts w:eastAsiaTheme="minorHAnsi" w:cstheme="minorBidi"/>
      <w:b/>
      <w:sz w:val="20"/>
      <w:szCs w:val="20"/>
      <w:lang w:val="en-GB" w:bidi="ar-SA"/>
    </w:rPr>
  </w:style>
  <w:style w:type="paragraph" w:customStyle="1" w:styleId="Default">
    <w:name w:val="Default"/>
    <w:rsid w:val="00AC1E1A"/>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76B95"/>
    <w:rPr>
      <w:rFonts w:ascii="Arial" w:hAnsi="Arial"/>
      <w:szCs w:val="24"/>
      <w:lang w:val="en-AU" w:eastAsia="en-US" w:bidi="en-US"/>
    </w:rPr>
  </w:style>
  <w:style w:type="character" w:customStyle="1" w:styleId="ClauseChar">
    <w:name w:val="Clause Char"/>
    <w:basedOn w:val="DefaultParagraphFont"/>
    <w:link w:val="Clause"/>
    <w:rsid w:val="007719DA"/>
    <w:rPr>
      <w:rFonts w:ascii="Arial" w:hAnsi="Arial"/>
      <w:lang w:val="en-A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5453">
      <w:bodyDiv w:val="1"/>
      <w:marLeft w:val="0"/>
      <w:marRight w:val="0"/>
      <w:marTop w:val="0"/>
      <w:marBottom w:val="0"/>
      <w:divBdr>
        <w:top w:val="none" w:sz="0" w:space="0" w:color="auto"/>
        <w:left w:val="none" w:sz="0" w:space="0" w:color="auto"/>
        <w:bottom w:val="none" w:sz="0" w:space="0" w:color="auto"/>
        <w:right w:val="none" w:sz="0" w:space="0" w:color="auto"/>
      </w:divBdr>
    </w:div>
    <w:div w:id="194079305">
      <w:bodyDiv w:val="1"/>
      <w:marLeft w:val="0"/>
      <w:marRight w:val="0"/>
      <w:marTop w:val="0"/>
      <w:marBottom w:val="0"/>
      <w:divBdr>
        <w:top w:val="none" w:sz="0" w:space="0" w:color="auto"/>
        <w:left w:val="none" w:sz="0" w:space="0" w:color="auto"/>
        <w:bottom w:val="none" w:sz="0" w:space="0" w:color="auto"/>
        <w:right w:val="none" w:sz="0" w:space="0" w:color="auto"/>
      </w:divBdr>
    </w:div>
    <w:div w:id="96661724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hyperlink" Target="http://www.foodstandards.gov.au/publications/pages/guidelinesformicrobi1306.aspx" TargetMode="External"/><Relationship Id="rId3" Type="http://schemas.openxmlformats.org/officeDocument/2006/relationships/styles" Target="styles.xml"/><Relationship Id="rId21" Type="http://schemas.openxmlformats.org/officeDocument/2006/relationships/hyperlink" Target="http://www.foodstandards.gov.au/code/proposals/Pages/proposalp1017criteri5439.aspx"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hyperlink" Target="http://www.foodstandards.gov.au/publications/Pages/listeriarecallguidel5618.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odexalimentarius.org/download/standards/394/CXG_021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industry/safetystandards/programs/documents/Food_Safety_Management_in_Aust_Policy_Guidelines.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code/microbiollimits" TargetMode="External"/><Relationship Id="rId28" Type="http://schemas.openxmlformats.org/officeDocument/2006/relationships/hyperlink" Target="http://www.foodstandards.gov.au/code/proposals/Documents/P1017%20Submissions.zip"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Pages/proposalp1017criteri5439.aspx" TargetMode="External"/><Relationship Id="rId27" Type="http://schemas.openxmlformats.org/officeDocument/2006/relationships/hyperlink" Target="http://www.foodstandards.gov.au/code/proposals/documents/P1017_CFS.pdf" TargetMode="External"/><Relationship Id="rId30" Type="http://schemas.openxmlformats.org/officeDocument/2006/relationships/image" Target="media/image2.png"/><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 TargetMode="External"/><Relationship Id="rId7" Type="http://schemas.openxmlformats.org/officeDocument/2006/relationships/hyperlink" Target="http://www.codexalimentarius.org/?id_sta=394"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industry/safetystandards/programs/Pages/default.aspx" TargetMode="External"/><Relationship Id="rId6" Type="http://schemas.openxmlformats.org/officeDocument/2006/relationships/hyperlink" Target="http://www.foodstandards.gov.au/code/proposals/Pages/proposalp1017criteri5439.aspx" TargetMode="External"/><Relationship Id="rId5" Type="http://schemas.openxmlformats.org/officeDocument/2006/relationships/hyperlink" Target="http://www.foodstandards.gov.au/publications/pages/guidelinesformicrobi1306.aspx" TargetMode="External"/><Relationship Id="rId4" Type="http://schemas.openxmlformats.org/officeDocument/2006/relationships/hyperlink" Target="http://www.foodstandards.gov.au/publications/Pages/listeriarecallguidel561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9DCA6-569F-4A80-991E-E0E276CDB9A6}"/>
</file>

<file path=customXml/itemProps2.xml><?xml version="1.0" encoding="utf-8"?>
<ds:datastoreItem xmlns:ds="http://schemas.openxmlformats.org/officeDocument/2006/customXml" ds:itemID="{F2AB5A7C-40AC-4F6F-A4DA-EC8E4B87FDFA}"/>
</file>

<file path=customXml/itemProps3.xml><?xml version="1.0" encoding="utf-8"?>
<ds:datastoreItem xmlns:ds="http://schemas.openxmlformats.org/officeDocument/2006/customXml" ds:itemID="{1B4C4116-FC46-4C5C-83DC-47ACA15C4494}"/>
</file>

<file path=customXml/itemProps4.xml><?xml version="1.0" encoding="utf-8"?>
<ds:datastoreItem xmlns:ds="http://schemas.openxmlformats.org/officeDocument/2006/customXml" ds:itemID="{22D9D51A-8135-4B56-AB36-B2CAD63B0A07}"/>
</file>

<file path=docProps/app.xml><?xml version="1.0" encoding="utf-8"?>
<Properties xmlns="http://schemas.openxmlformats.org/officeDocument/2006/extended-properties" xmlns:vt="http://schemas.openxmlformats.org/officeDocument/2006/docPropsVTypes">
  <Template>Normal</Template>
  <TotalTime>0</TotalTime>
  <Pages>29</Pages>
  <Words>10079</Words>
  <Characters>60545</Characters>
  <Application>Microsoft Office Word</Application>
  <DocSecurity>0</DocSecurity>
  <Lines>504</Lines>
  <Paragraphs>140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70484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P1017-ListeriaMicro-2CFS</dc:title>
  <dc:creator/>
  <cp:lastModifiedBy/>
  <cp:revision>1</cp:revision>
  <dcterms:created xsi:type="dcterms:W3CDTF">2013-11-08T00:12:00Z</dcterms:created>
  <dcterms:modified xsi:type="dcterms:W3CDTF">2013-11-08T00:14:00Z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