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51C27" w14:textId="171573ED" w:rsidR="00E203C2" w:rsidRPr="0093355E" w:rsidRDefault="00E203C2" w:rsidP="00E203C2">
      <w:r w:rsidRPr="0093355E">
        <w:rPr>
          <w:noProof/>
          <w:lang w:eastAsia="en-GB" w:bidi="ar-SA"/>
        </w:rPr>
        <w:drawing>
          <wp:inline distT="0" distB="0" distL="0" distR="0" wp14:anchorId="7D451D6D" wp14:editId="2D0D111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bookmarkStart w:id="0" w:name="_GoBack"/>
      <w:bookmarkEnd w:id="0"/>
    </w:p>
    <w:p w14:paraId="1FBE385C" w14:textId="77777777" w:rsidR="000F3947" w:rsidRDefault="000F3947" w:rsidP="000F3947"/>
    <w:p w14:paraId="5F84D2DF" w14:textId="77777777" w:rsidR="000F3947" w:rsidRDefault="000F3947" w:rsidP="000F3947">
      <w:pPr>
        <w:widowControl/>
        <w:tabs>
          <w:tab w:val="left" w:pos="851"/>
        </w:tabs>
        <w:rPr>
          <w:b/>
          <w:sz w:val="28"/>
          <w:szCs w:val="28"/>
          <w:lang w:bidi="ar-SA"/>
        </w:rPr>
      </w:pPr>
      <w:r>
        <w:rPr>
          <w:b/>
          <w:sz w:val="28"/>
          <w:szCs w:val="28"/>
          <w:lang w:bidi="ar-SA"/>
        </w:rPr>
        <w:t>29 June 2015</w:t>
      </w:r>
    </w:p>
    <w:p w14:paraId="059AB0B9" w14:textId="77777777" w:rsidR="000F3947" w:rsidRDefault="000F3947" w:rsidP="000F3947">
      <w:pPr>
        <w:widowControl/>
        <w:rPr>
          <w:b/>
          <w:sz w:val="28"/>
          <w:szCs w:val="28"/>
          <w:lang w:bidi="ar-SA"/>
        </w:rPr>
      </w:pPr>
      <w:r>
        <w:rPr>
          <w:b/>
          <w:sz w:val="28"/>
          <w:szCs w:val="28"/>
          <w:lang w:bidi="ar-SA"/>
        </w:rPr>
        <w:t>[13–15]</w:t>
      </w:r>
    </w:p>
    <w:p w14:paraId="1A7A586A" w14:textId="77777777" w:rsidR="000F3947" w:rsidRDefault="000F3947" w:rsidP="000F3947"/>
    <w:p w14:paraId="7D451C2C" w14:textId="7A9686C6" w:rsidR="00D056F1" w:rsidRPr="0093355E" w:rsidRDefault="000427B2" w:rsidP="002432EE">
      <w:pPr>
        <w:pStyle w:val="FSTitle"/>
        <w:rPr>
          <w:b/>
        </w:rPr>
      </w:pPr>
      <w:r w:rsidRPr="0093355E">
        <w:rPr>
          <w:b/>
        </w:rPr>
        <w:t>C</w:t>
      </w:r>
      <w:r w:rsidR="00D8470F" w:rsidRPr="0093355E">
        <w:rPr>
          <w:b/>
        </w:rPr>
        <w:t>all</w:t>
      </w:r>
      <w:r w:rsidRPr="0093355E">
        <w:rPr>
          <w:b/>
        </w:rPr>
        <w:t xml:space="preserve"> </w:t>
      </w:r>
      <w:r w:rsidR="00D8470F" w:rsidRPr="0093355E">
        <w:rPr>
          <w:b/>
        </w:rPr>
        <w:t>for</w:t>
      </w:r>
      <w:r w:rsidRPr="0093355E">
        <w:rPr>
          <w:b/>
        </w:rPr>
        <w:t xml:space="preserve"> </w:t>
      </w:r>
      <w:r w:rsidR="00D8470F" w:rsidRPr="0093355E">
        <w:rPr>
          <w:b/>
        </w:rPr>
        <w:t>submissions</w:t>
      </w:r>
      <w:r w:rsidRPr="0093355E">
        <w:rPr>
          <w:b/>
        </w:rPr>
        <w:t xml:space="preserve"> –</w:t>
      </w:r>
      <w:r w:rsidR="00DA43BD" w:rsidRPr="0093355E">
        <w:rPr>
          <w:b/>
        </w:rPr>
        <w:t xml:space="preserve"> </w:t>
      </w:r>
      <w:r w:rsidR="00E203C2" w:rsidRPr="0093355E">
        <w:rPr>
          <w:b/>
        </w:rPr>
        <w:t>P</w:t>
      </w:r>
      <w:r w:rsidR="00A91DF1" w:rsidRPr="0093355E">
        <w:rPr>
          <w:b/>
        </w:rPr>
        <w:t>roposal</w:t>
      </w:r>
      <w:r w:rsidR="006235FB" w:rsidRPr="0093355E">
        <w:rPr>
          <w:b/>
        </w:rPr>
        <w:t xml:space="preserve"> </w:t>
      </w:r>
      <w:r w:rsidR="00E203C2" w:rsidRPr="0093355E">
        <w:rPr>
          <w:b/>
        </w:rPr>
        <w:t>P</w:t>
      </w:r>
      <w:r w:rsidR="006235FB" w:rsidRPr="0093355E">
        <w:rPr>
          <w:b/>
        </w:rPr>
        <w:t>1038</w:t>
      </w:r>
    </w:p>
    <w:p w14:paraId="7D451C2D" w14:textId="77777777" w:rsidR="00E203C2" w:rsidRPr="0093355E" w:rsidRDefault="00E203C2" w:rsidP="00E203C2"/>
    <w:p w14:paraId="7D451C2E" w14:textId="77777777" w:rsidR="00D056F1" w:rsidRPr="0093355E" w:rsidRDefault="006235FB" w:rsidP="002432EE">
      <w:pPr>
        <w:pStyle w:val="FSTitle"/>
      </w:pPr>
      <w:r w:rsidRPr="0093355E">
        <w:t>Vitamin &amp; Mineral Claims &amp; Sodium Claims about Food containing Alcohol</w:t>
      </w:r>
    </w:p>
    <w:p w14:paraId="7D451C2F" w14:textId="77777777" w:rsidR="00E203C2" w:rsidRPr="0093355E" w:rsidRDefault="00E203C2" w:rsidP="00E203C2">
      <w:pPr>
        <w:pBdr>
          <w:bottom w:val="single" w:sz="12" w:space="1" w:color="auto"/>
        </w:pBdr>
        <w:spacing w:line="280" w:lineRule="exact"/>
        <w:rPr>
          <w:rFonts w:cs="Arial"/>
          <w:bCs/>
        </w:rPr>
      </w:pPr>
    </w:p>
    <w:p w14:paraId="7D451C30" w14:textId="77777777" w:rsidR="00E203C2" w:rsidRPr="0093355E" w:rsidRDefault="00E203C2" w:rsidP="00E203C2"/>
    <w:p w14:paraId="7D451C31" w14:textId="036FA65C" w:rsidR="00413CA8" w:rsidRPr="0093355E" w:rsidRDefault="00413CA8" w:rsidP="000F3947">
      <w:pPr>
        <w:ind w:right="-286"/>
        <w:rPr>
          <w:sz w:val="20"/>
          <w:szCs w:val="20"/>
        </w:rPr>
      </w:pPr>
      <w:r w:rsidRPr="0093355E">
        <w:rPr>
          <w:sz w:val="20"/>
          <w:szCs w:val="20"/>
        </w:rPr>
        <w:t>FSANZ has assessed a</w:t>
      </w:r>
      <w:r w:rsidR="00D81D38" w:rsidRPr="0093355E">
        <w:rPr>
          <w:sz w:val="20"/>
          <w:szCs w:val="20"/>
        </w:rPr>
        <w:t xml:space="preserve"> proposal prepared </w:t>
      </w:r>
      <w:r w:rsidRPr="0093355E">
        <w:rPr>
          <w:sz w:val="20"/>
          <w:szCs w:val="20"/>
        </w:rPr>
        <w:t>to</w:t>
      </w:r>
      <w:r w:rsidR="006235FB" w:rsidRPr="0093355E">
        <w:t xml:space="preserve"> </w:t>
      </w:r>
      <w:r w:rsidR="006235FB" w:rsidRPr="0093355E">
        <w:rPr>
          <w:sz w:val="20"/>
          <w:szCs w:val="20"/>
        </w:rPr>
        <w:t>address an inconsistency in the conditions for vitamin and mineral claims between Standards 1.2.7</w:t>
      </w:r>
      <w:r w:rsidR="00EF6A06" w:rsidRPr="0093355E">
        <w:rPr>
          <w:sz w:val="20"/>
          <w:szCs w:val="20"/>
        </w:rPr>
        <w:t xml:space="preserve"> – Nutrition, Health and Related Claims</w:t>
      </w:r>
      <w:r w:rsidR="006235FB" w:rsidRPr="0093355E">
        <w:rPr>
          <w:sz w:val="20"/>
          <w:szCs w:val="20"/>
        </w:rPr>
        <w:t xml:space="preserve"> and 1.3.2</w:t>
      </w:r>
      <w:r w:rsidR="00EF6A06" w:rsidRPr="0093355E">
        <w:rPr>
          <w:sz w:val="20"/>
          <w:szCs w:val="20"/>
        </w:rPr>
        <w:t xml:space="preserve"> – Vitamins and Minerals</w:t>
      </w:r>
      <w:r w:rsidR="006235FB" w:rsidRPr="0093355E">
        <w:rPr>
          <w:sz w:val="20"/>
          <w:szCs w:val="20"/>
        </w:rPr>
        <w:t xml:space="preserve"> </w:t>
      </w:r>
      <w:r w:rsidR="00EF6A06" w:rsidRPr="0093355E">
        <w:rPr>
          <w:sz w:val="20"/>
          <w:szCs w:val="20"/>
        </w:rPr>
        <w:t xml:space="preserve">and </w:t>
      </w:r>
      <w:r w:rsidR="006235FB" w:rsidRPr="0093355E">
        <w:rPr>
          <w:sz w:val="20"/>
          <w:szCs w:val="20"/>
        </w:rPr>
        <w:t>to permit nutrition content claims about salt and sodium in relation to foods (excluding beverages) containing more than 1.15% alcohol by volume. FSANZ</w:t>
      </w:r>
      <w:r w:rsidR="00D81D38" w:rsidRPr="0093355E">
        <w:rPr>
          <w:sz w:val="20"/>
          <w:szCs w:val="20"/>
        </w:rPr>
        <w:t xml:space="preserve"> has prepared a draft </w:t>
      </w:r>
      <w:r w:rsidR="00D8470F" w:rsidRPr="0093355E">
        <w:rPr>
          <w:sz w:val="20"/>
          <w:szCs w:val="20"/>
        </w:rPr>
        <w:t>food regulatory measure</w:t>
      </w:r>
      <w:r w:rsidRPr="0093355E">
        <w:rPr>
          <w:sz w:val="20"/>
          <w:szCs w:val="20"/>
        </w:rPr>
        <w:t xml:space="preserve">. </w:t>
      </w:r>
      <w:r w:rsidR="00D81D38" w:rsidRPr="0093355E">
        <w:rPr>
          <w:sz w:val="20"/>
          <w:szCs w:val="20"/>
        </w:rPr>
        <w:t>Pursuant to section 6</w:t>
      </w:r>
      <w:r w:rsidRPr="0093355E">
        <w:rPr>
          <w:sz w:val="20"/>
          <w:szCs w:val="20"/>
        </w:rPr>
        <w:t xml:space="preserve">1 of the </w:t>
      </w:r>
      <w:r w:rsidRPr="0093355E">
        <w:rPr>
          <w:i/>
          <w:sz w:val="20"/>
          <w:szCs w:val="20"/>
        </w:rPr>
        <w:t xml:space="preserve">Food Standards Australia New Zealand Act 1991 </w:t>
      </w:r>
      <w:r w:rsidRPr="0093355E">
        <w:rPr>
          <w:sz w:val="20"/>
          <w:szCs w:val="20"/>
        </w:rPr>
        <w:t>(FSANZ Act), FSANZ now calls for submissions to assist consideration</w:t>
      </w:r>
      <w:r w:rsidR="00D81D38" w:rsidRPr="0093355E">
        <w:rPr>
          <w:sz w:val="20"/>
          <w:szCs w:val="20"/>
        </w:rPr>
        <w:t xml:space="preserve"> of the draft </w:t>
      </w:r>
      <w:r w:rsidR="00D8470F" w:rsidRPr="0093355E">
        <w:rPr>
          <w:sz w:val="20"/>
          <w:szCs w:val="20"/>
        </w:rPr>
        <w:t>food regulatory measure</w:t>
      </w:r>
      <w:r w:rsidR="00D81D38" w:rsidRPr="0093355E">
        <w:rPr>
          <w:sz w:val="20"/>
          <w:szCs w:val="20"/>
        </w:rPr>
        <w:t>.</w:t>
      </w:r>
    </w:p>
    <w:p w14:paraId="7D451C32" w14:textId="77777777" w:rsidR="00413CA8" w:rsidRPr="0093355E" w:rsidRDefault="00413CA8" w:rsidP="00E203C2">
      <w:pPr>
        <w:rPr>
          <w:sz w:val="20"/>
          <w:szCs w:val="20"/>
        </w:rPr>
      </w:pPr>
    </w:p>
    <w:p w14:paraId="7D451C33" w14:textId="77777777" w:rsidR="00351B07" w:rsidRPr="0093355E" w:rsidRDefault="00A91DF1" w:rsidP="00E203C2">
      <w:pPr>
        <w:rPr>
          <w:sz w:val="20"/>
          <w:szCs w:val="20"/>
        </w:rPr>
      </w:pPr>
      <w:r w:rsidRPr="0093355E">
        <w:rPr>
          <w:sz w:val="20"/>
          <w:szCs w:val="20"/>
        </w:rPr>
        <w:t>Fo</w:t>
      </w:r>
      <w:r w:rsidR="00AD22F9" w:rsidRPr="0093355E">
        <w:rPr>
          <w:sz w:val="20"/>
          <w:szCs w:val="20"/>
        </w:rPr>
        <w:t>r</w:t>
      </w:r>
      <w:r w:rsidRPr="0093355E">
        <w:rPr>
          <w:sz w:val="20"/>
          <w:szCs w:val="20"/>
        </w:rPr>
        <w:t xml:space="preserve"> </w:t>
      </w:r>
      <w:r w:rsidR="00091CC2" w:rsidRPr="0093355E">
        <w:rPr>
          <w:sz w:val="20"/>
          <w:szCs w:val="20"/>
        </w:rPr>
        <w:t xml:space="preserve">information about </w:t>
      </w:r>
      <w:r w:rsidR="00BA24E2" w:rsidRPr="0093355E">
        <w:rPr>
          <w:sz w:val="20"/>
          <w:szCs w:val="20"/>
        </w:rPr>
        <w:t>making a</w:t>
      </w:r>
      <w:r w:rsidR="00351B07" w:rsidRPr="0093355E">
        <w:rPr>
          <w:sz w:val="20"/>
          <w:szCs w:val="20"/>
        </w:rPr>
        <w:t xml:space="preserve"> submission</w:t>
      </w:r>
      <w:r w:rsidRPr="0093355E">
        <w:rPr>
          <w:sz w:val="20"/>
          <w:szCs w:val="20"/>
        </w:rPr>
        <w:t>, visit</w:t>
      </w:r>
      <w:r w:rsidR="00351B07" w:rsidRPr="0093355E">
        <w:rPr>
          <w:sz w:val="20"/>
          <w:szCs w:val="20"/>
        </w:rPr>
        <w:t xml:space="preserve"> the FSANZ website at</w:t>
      </w:r>
      <w:r w:rsidR="00AD22F9" w:rsidRPr="0093355E">
        <w:rPr>
          <w:sz w:val="20"/>
          <w:szCs w:val="20"/>
        </w:rPr>
        <w:t xml:space="preserve"> </w:t>
      </w:r>
      <w:hyperlink r:id="rId10" w:history="1">
        <w:r w:rsidR="00C56F71" w:rsidRPr="009A6AAA">
          <w:rPr>
            <w:rStyle w:val="Hyperlink"/>
            <w:sz w:val="20"/>
            <w:szCs w:val="20"/>
          </w:rPr>
          <w:t>information for submitters</w:t>
        </w:r>
      </w:hyperlink>
      <w:r w:rsidR="00351B07" w:rsidRPr="0093355E">
        <w:rPr>
          <w:sz w:val="20"/>
          <w:szCs w:val="20"/>
        </w:rPr>
        <w:t>.</w:t>
      </w:r>
    </w:p>
    <w:p w14:paraId="7D451C34" w14:textId="77777777" w:rsidR="00D81D38" w:rsidRPr="0093355E" w:rsidRDefault="00D81D38" w:rsidP="00276026">
      <w:pPr>
        <w:rPr>
          <w:sz w:val="20"/>
          <w:szCs w:val="20"/>
        </w:rPr>
      </w:pPr>
    </w:p>
    <w:p w14:paraId="7D451C35" w14:textId="77777777" w:rsidR="00276026" w:rsidRPr="0093355E" w:rsidRDefault="00276026" w:rsidP="00AC74CB">
      <w:pPr>
        <w:ind w:right="-428"/>
        <w:rPr>
          <w:sz w:val="20"/>
          <w:szCs w:val="20"/>
        </w:rPr>
      </w:pPr>
      <w:r w:rsidRPr="0093355E">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93355E">
        <w:rPr>
          <w:i/>
          <w:iCs/>
          <w:sz w:val="20"/>
          <w:szCs w:val="20"/>
        </w:rPr>
        <w:t>Freedom of Information Act 1991</w:t>
      </w:r>
      <w:r w:rsidRPr="0093355E">
        <w:rPr>
          <w:sz w:val="20"/>
          <w:szCs w:val="20"/>
        </w:rPr>
        <w:t>. Submissions will be published as soon as possible after the end of the public comment period. Where large numbers of documents are involved, FSANZ will make these available on CD, rather than on the website.</w:t>
      </w:r>
    </w:p>
    <w:p w14:paraId="7D451C36" w14:textId="77777777" w:rsidR="00876515" w:rsidRPr="000F3947" w:rsidRDefault="00876515" w:rsidP="00276026">
      <w:pPr>
        <w:rPr>
          <w:color w:val="000000"/>
          <w:sz w:val="18"/>
          <w:szCs w:val="20"/>
        </w:rPr>
      </w:pPr>
    </w:p>
    <w:p w14:paraId="7D451C37" w14:textId="77777777" w:rsidR="00E203C2" w:rsidRPr="009A6AAA" w:rsidRDefault="00AD22F9" w:rsidP="00E203C2">
      <w:pPr>
        <w:rPr>
          <w:color w:val="000000"/>
          <w:sz w:val="20"/>
          <w:szCs w:val="20"/>
        </w:rPr>
      </w:pPr>
      <w:r w:rsidRPr="009A6AAA">
        <w:rPr>
          <w:color w:val="000000"/>
          <w:sz w:val="20"/>
          <w:szCs w:val="20"/>
        </w:rPr>
        <w:t>Under s</w:t>
      </w:r>
      <w:r w:rsidR="00351B07" w:rsidRPr="009A6AAA">
        <w:rPr>
          <w:color w:val="000000"/>
          <w:sz w:val="20"/>
          <w:szCs w:val="20"/>
        </w:rPr>
        <w:t xml:space="preserve">ection 114 </w:t>
      </w:r>
      <w:r w:rsidR="00FB1533" w:rsidRPr="009A6AAA">
        <w:rPr>
          <w:color w:val="000000"/>
          <w:sz w:val="20"/>
          <w:szCs w:val="20"/>
        </w:rPr>
        <w:t xml:space="preserve">of the FSANZ Act, </w:t>
      </w:r>
      <w:r w:rsidRPr="009A6AAA">
        <w:rPr>
          <w:color w:val="000000"/>
          <w:sz w:val="20"/>
          <w:szCs w:val="20"/>
        </w:rPr>
        <w:t>some information provided to FSANZ cannot be disclosed. More</w:t>
      </w:r>
      <w:r w:rsidR="00351B07" w:rsidRPr="009A6AAA">
        <w:rPr>
          <w:color w:val="000000"/>
          <w:sz w:val="20"/>
          <w:szCs w:val="20"/>
        </w:rPr>
        <w:t xml:space="preserve"> information about the disclosure of confidential commercial information is available on the FSANZ website at</w:t>
      </w:r>
      <w:r w:rsidR="004A3685" w:rsidRPr="009A6AAA">
        <w:rPr>
          <w:color w:val="000000"/>
          <w:sz w:val="20"/>
          <w:szCs w:val="20"/>
        </w:rPr>
        <w:t xml:space="preserve"> </w:t>
      </w:r>
      <w:hyperlink r:id="rId11" w:history="1">
        <w:r w:rsidR="004A3685" w:rsidRPr="009A6AAA">
          <w:rPr>
            <w:rStyle w:val="Hyperlink"/>
            <w:sz w:val="20"/>
            <w:szCs w:val="20"/>
          </w:rPr>
          <w:t>information for submitters</w:t>
        </w:r>
      </w:hyperlink>
      <w:r w:rsidR="004A3685" w:rsidRPr="009A6AAA">
        <w:rPr>
          <w:color w:val="000000"/>
          <w:sz w:val="20"/>
          <w:szCs w:val="20"/>
        </w:rPr>
        <w:t>.</w:t>
      </w:r>
    </w:p>
    <w:p w14:paraId="7D451C38" w14:textId="77777777" w:rsidR="00E203C2" w:rsidRPr="000F3947" w:rsidRDefault="00E203C2" w:rsidP="00E203C2">
      <w:pPr>
        <w:rPr>
          <w:color w:val="000000"/>
          <w:sz w:val="18"/>
          <w:szCs w:val="20"/>
        </w:rPr>
      </w:pPr>
    </w:p>
    <w:p w14:paraId="7D451C39" w14:textId="77777777" w:rsidR="00351B07" w:rsidRPr="009A6AAA" w:rsidRDefault="00E063C6" w:rsidP="00E203C2">
      <w:pPr>
        <w:rPr>
          <w:color w:val="000000"/>
          <w:sz w:val="20"/>
          <w:szCs w:val="20"/>
        </w:rPr>
      </w:pPr>
      <w:r w:rsidRPr="009A6AAA">
        <w:rPr>
          <w:color w:val="000000"/>
          <w:sz w:val="20"/>
          <w:szCs w:val="20"/>
        </w:rPr>
        <w:t xml:space="preserve">Submissions </w:t>
      </w:r>
      <w:r w:rsidR="00351B07" w:rsidRPr="009A6AAA">
        <w:rPr>
          <w:color w:val="000000"/>
          <w:sz w:val="20"/>
          <w:szCs w:val="20"/>
        </w:rPr>
        <w:t>should</w:t>
      </w:r>
      <w:r w:rsidRPr="009A6AAA">
        <w:rPr>
          <w:color w:val="000000"/>
          <w:sz w:val="20"/>
          <w:szCs w:val="20"/>
        </w:rPr>
        <w:t xml:space="preserve"> be made in writing</w:t>
      </w:r>
      <w:r w:rsidR="00351B07" w:rsidRPr="009A6AAA">
        <w:rPr>
          <w:color w:val="000000"/>
          <w:sz w:val="20"/>
          <w:szCs w:val="20"/>
        </w:rPr>
        <w:t>;</w:t>
      </w:r>
      <w:r w:rsidRPr="009A6AAA">
        <w:rPr>
          <w:color w:val="000000"/>
          <w:sz w:val="20"/>
          <w:szCs w:val="20"/>
        </w:rPr>
        <w:t xml:space="preserve"> be marked </w:t>
      </w:r>
      <w:r w:rsidR="00351B07" w:rsidRPr="009A6AAA">
        <w:rPr>
          <w:color w:val="000000"/>
          <w:sz w:val="20"/>
          <w:szCs w:val="20"/>
        </w:rPr>
        <w:t xml:space="preserve">clearly </w:t>
      </w:r>
      <w:r w:rsidRPr="009A6AAA">
        <w:rPr>
          <w:color w:val="000000"/>
          <w:sz w:val="20"/>
          <w:szCs w:val="20"/>
        </w:rPr>
        <w:t>with the word ‘Submission’ and quote the correct project number and name</w:t>
      </w:r>
      <w:r w:rsidR="003309A8" w:rsidRPr="009A6AAA">
        <w:rPr>
          <w:color w:val="000000"/>
          <w:sz w:val="20"/>
          <w:szCs w:val="20"/>
        </w:rPr>
        <w:t xml:space="preserve">. </w:t>
      </w:r>
      <w:r w:rsidRPr="009A6AAA">
        <w:rPr>
          <w:color w:val="000000"/>
          <w:sz w:val="20"/>
          <w:szCs w:val="20"/>
        </w:rPr>
        <w:t xml:space="preserve">While FSANZ accepts submissions in hard copy to our offices, it is more convenient and quicker to receive submissions electronically through the FSANZ website </w:t>
      </w:r>
      <w:r w:rsidR="0037520F" w:rsidRPr="009A6AAA">
        <w:rPr>
          <w:color w:val="000000"/>
          <w:sz w:val="20"/>
          <w:szCs w:val="20"/>
        </w:rPr>
        <w:t xml:space="preserve">via the link on </w:t>
      </w:r>
      <w:hyperlink r:id="rId12" w:history="1">
        <w:r w:rsidR="008C0E7A" w:rsidRPr="0093355E">
          <w:rPr>
            <w:rStyle w:val="Hyperlink"/>
            <w:sz w:val="20"/>
            <w:szCs w:val="20"/>
          </w:rPr>
          <w:t>documents for public comment</w:t>
        </w:r>
      </w:hyperlink>
      <w:r w:rsidR="003309A8" w:rsidRPr="009A6AAA">
        <w:rPr>
          <w:color w:val="000000"/>
          <w:sz w:val="20"/>
          <w:szCs w:val="20"/>
        </w:rPr>
        <w:t>.</w:t>
      </w:r>
      <w:r w:rsidR="008C0E7A" w:rsidRPr="009A6AAA">
        <w:rPr>
          <w:color w:val="000000"/>
          <w:sz w:val="20"/>
          <w:szCs w:val="20"/>
        </w:rPr>
        <w:t xml:space="preserve"> </w:t>
      </w:r>
      <w:r w:rsidR="0037520F" w:rsidRPr="009A6AAA">
        <w:rPr>
          <w:color w:val="000000"/>
          <w:sz w:val="20"/>
          <w:szCs w:val="20"/>
        </w:rPr>
        <w:t xml:space="preserve"> You can also</w:t>
      </w:r>
      <w:r w:rsidRPr="009A6AAA">
        <w:rPr>
          <w:color w:val="000000"/>
          <w:sz w:val="20"/>
          <w:szCs w:val="20"/>
        </w:rPr>
        <w:t xml:space="preserve"> email your submission directly to </w:t>
      </w:r>
      <w:hyperlink r:id="rId13" w:history="1">
        <w:r w:rsidRPr="009A6AAA">
          <w:rPr>
            <w:rStyle w:val="Hyperlink"/>
            <w:rFonts w:cs="Arial"/>
            <w:sz w:val="20"/>
            <w:szCs w:val="20"/>
          </w:rPr>
          <w:t>submissions@foodstandards.gov.au</w:t>
        </w:r>
      </w:hyperlink>
      <w:r w:rsidR="003309A8" w:rsidRPr="009A6AAA">
        <w:rPr>
          <w:color w:val="000000"/>
          <w:sz w:val="20"/>
          <w:szCs w:val="20"/>
        </w:rPr>
        <w:t xml:space="preserve">. </w:t>
      </w:r>
    </w:p>
    <w:p w14:paraId="7D451C3A" w14:textId="77777777" w:rsidR="00E203C2" w:rsidRPr="000F3947" w:rsidRDefault="00E203C2" w:rsidP="00E203C2">
      <w:pPr>
        <w:rPr>
          <w:color w:val="000000"/>
          <w:sz w:val="18"/>
          <w:szCs w:val="20"/>
        </w:rPr>
      </w:pPr>
    </w:p>
    <w:p w14:paraId="7D451C3B" w14:textId="77777777" w:rsidR="00E063C6" w:rsidRPr="009A6AAA" w:rsidRDefault="00E063C6" w:rsidP="00E203C2">
      <w:pPr>
        <w:rPr>
          <w:color w:val="000000"/>
          <w:sz w:val="20"/>
          <w:szCs w:val="20"/>
        </w:rPr>
      </w:pPr>
      <w:r w:rsidRPr="009A6AAA">
        <w:rPr>
          <w:color w:val="000000"/>
          <w:sz w:val="20"/>
          <w:szCs w:val="20"/>
        </w:rPr>
        <w:t xml:space="preserve">There is no need to send a hard copy of your submission if you have submitted it by email or </w:t>
      </w:r>
      <w:r w:rsidR="0037520F" w:rsidRPr="009A6AAA">
        <w:rPr>
          <w:color w:val="000000"/>
          <w:sz w:val="20"/>
          <w:szCs w:val="20"/>
        </w:rPr>
        <w:t xml:space="preserve">via </w:t>
      </w:r>
      <w:r w:rsidRPr="009A6AAA">
        <w:rPr>
          <w:color w:val="000000"/>
          <w:sz w:val="20"/>
          <w:szCs w:val="20"/>
        </w:rPr>
        <w:t>the FSANZ website</w:t>
      </w:r>
      <w:r w:rsidR="003309A8" w:rsidRPr="009A6AAA">
        <w:rPr>
          <w:color w:val="000000"/>
          <w:sz w:val="20"/>
          <w:szCs w:val="20"/>
        </w:rPr>
        <w:t xml:space="preserve">. </w:t>
      </w:r>
      <w:r w:rsidRPr="009A6AAA">
        <w:rPr>
          <w:color w:val="000000"/>
          <w:sz w:val="20"/>
          <w:szCs w:val="20"/>
        </w:rPr>
        <w:t>FSANZ endeavours to formally acknowledge receipt of submissions within 3 business days.</w:t>
      </w:r>
    </w:p>
    <w:p w14:paraId="7D451C3C" w14:textId="77777777" w:rsidR="00E203C2" w:rsidRPr="000F3947" w:rsidRDefault="00E203C2" w:rsidP="00E203C2">
      <w:pPr>
        <w:rPr>
          <w:color w:val="000000"/>
          <w:sz w:val="18"/>
        </w:rPr>
      </w:pPr>
    </w:p>
    <w:p w14:paraId="7D451C3D" w14:textId="73E29858" w:rsidR="00E063C6" w:rsidRPr="000F3947" w:rsidRDefault="00E063C6" w:rsidP="00413CA8">
      <w:pPr>
        <w:tabs>
          <w:tab w:val="left" w:pos="7920"/>
        </w:tabs>
        <w:autoSpaceDE w:val="0"/>
        <w:autoSpaceDN w:val="0"/>
        <w:adjustRightInd w:val="0"/>
        <w:jc w:val="center"/>
        <w:rPr>
          <w:rFonts w:cs="Arial"/>
          <w:b/>
          <w:bCs/>
          <w:sz w:val="24"/>
        </w:rPr>
      </w:pPr>
      <w:r w:rsidRPr="0093355E">
        <w:rPr>
          <w:rFonts w:cs="Arial"/>
          <w:b/>
          <w:bCs/>
          <w:color w:val="000000"/>
          <w:sz w:val="24"/>
        </w:rPr>
        <w:t>DEADLINE FOR SUBMISSIONS</w:t>
      </w:r>
      <w:r w:rsidRPr="0093355E">
        <w:rPr>
          <w:rFonts w:cs="Arial"/>
          <w:b/>
          <w:color w:val="000000"/>
          <w:sz w:val="24"/>
        </w:rPr>
        <w:t>:</w:t>
      </w:r>
      <w:r w:rsidRPr="0093355E">
        <w:rPr>
          <w:rFonts w:cs="Arial"/>
          <w:b/>
          <w:sz w:val="24"/>
        </w:rPr>
        <w:t xml:space="preserve">  </w:t>
      </w:r>
      <w:r w:rsidRPr="0093355E">
        <w:rPr>
          <w:rFonts w:cs="Arial"/>
          <w:b/>
          <w:bCs/>
          <w:sz w:val="24"/>
        </w:rPr>
        <w:t>6pm (Canberra time</w:t>
      </w:r>
      <w:r w:rsidRPr="000F3947">
        <w:rPr>
          <w:rFonts w:cs="Arial"/>
          <w:b/>
          <w:bCs/>
          <w:sz w:val="24"/>
        </w:rPr>
        <w:t xml:space="preserve">) </w:t>
      </w:r>
      <w:r w:rsidR="000F3947" w:rsidRPr="000F3947">
        <w:rPr>
          <w:rFonts w:cs="Arial"/>
          <w:b/>
          <w:bCs/>
          <w:sz w:val="24"/>
        </w:rPr>
        <w:t>10 August 2015</w:t>
      </w:r>
    </w:p>
    <w:p w14:paraId="7D451C3E" w14:textId="77777777" w:rsidR="00E203C2" w:rsidRPr="000F3947" w:rsidRDefault="00E203C2" w:rsidP="00E203C2">
      <w:pPr>
        <w:rPr>
          <w:sz w:val="18"/>
          <w:szCs w:val="20"/>
        </w:rPr>
      </w:pPr>
    </w:p>
    <w:p w14:paraId="7D451C3F" w14:textId="77777777" w:rsidR="00E063C6" w:rsidRPr="009A6AAA" w:rsidRDefault="00E063C6" w:rsidP="000F3947">
      <w:pPr>
        <w:ind w:right="-428"/>
        <w:rPr>
          <w:sz w:val="20"/>
          <w:szCs w:val="20"/>
        </w:rPr>
      </w:pPr>
      <w:r w:rsidRPr="009A6AAA">
        <w:rPr>
          <w:sz w:val="20"/>
          <w:szCs w:val="20"/>
        </w:rPr>
        <w:t xml:space="preserve">Submissions received after this date will </w:t>
      </w:r>
      <w:r w:rsidR="00351B07" w:rsidRPr="009A6AAA">
        <w:rPr>
          <w:sz w:val="20"/>
          <w:szCs w:val="20"/>
        </w:rPr>
        <w:t>not</w:t>
      </w:r>
      <w:r w:rsidRPr="009A6AAA">
        <w:rPr>
          <w:sz w:val="20"/>
          <w:szCs w:val="20"/>
        </w:rPr>
        <w:t xml:space="preserve"> be considered </w:t>
      </w:r>
      <w:r w:rsidR="00351B07" w:rsidRPr="009A6AAA">
        <w:rPr>
          <w:sz w:val="20"/>
          <w:szCs w:val="20"/>
        </w:rPr>
        <w:t>unless</w:t>
      </w:r>
      <w:r w:rsidRPr="009A6AAA">
        <w:rPr>
          <w:sz w:val="20"/>
          <w:szCs w:val="20"/>
        </w:rPr>
        <w:t xml:space="preserve"> an extension ha</w:t>
      </w:r>
      <w:r w:rsidR="00D22F3C" w:rsidRPr="009A6AAA">
        <w:rPr>
          <w:sz w:val="20"/>
          <w:szCs w:val="20"/>
        </w:rPr>
        <w:t>d</w:t>
      </w:r>
      <w:r w:rsidRPr="009A6AAA">
        <w:rPr>
          <w:sz w:val="20"/>
          <w:szCs w:val="20"/>
        </w:rPr>
        <w:t xml:space="preserve"> been given </w:t>
      </w:r>
      <w:r w:rsidR="0037520F" w:rsidRPr="009A6AAA">
        <w:rPr>
          <w:sz w:val="20"/>
          <w:szCs w:val="20"/>
        </w:rPr>
        <w:t xml:space="preserve">before </w:t>
      </w:r>
      <w:r w:rsidRPr="009A6AAA">
        <w:rPr>
          <w:sz w:val="20"/>
          <w:szCs w:val="20"/>
        </w:rPr>
        <w:t>th</w:t>
      </w:r>
      <w:r w:rsidR="00351B07" w:rsidRPr="009A6AAA">
        <w:rPr>
          <w:sz w:val="20"/>
          <w:szCs w:val="20"/>
        </w:rPr>
        <w:t>e</w:t>
      </w:r>
      <w:r w:rsidRPr="009A6AAA">
        <w:rPr>
          <w:sz w:val="20"/>
          <w:szCs w:val="20"/>
        </w:rPr>
        <w:t xml:space="preserve"> closing date</w:t>
      </w:r>
      <w:r w:rsidR="003309A8" w:rsidRPr="009A6AAA">
        <w:rPr>
          <w:sz w:val="20"/>
          <w:szCs w:val="20"/>
        </w:rPr>
        <w:t xml:space="preserve">. </w:t>
      </w:r>
      <w:r w:rsidR="0037520F" w:rsidRPr="009A6AAA">
        <w:rPr>
          <w:sz w:val="20"/>
          <w:szCs w:val="20"/>
        </w:rPr>
        <w:t xml:space="preserve">Extensions will only be granted due to </w:t>
      </w:r>
      <w:r w:rsidRPr="009A6AAA">
        <w:rPr>
          <w:sz w:val="20"/>
          <w:szCs w:val="20"/>
        </w:rPr>
        <w:t xml:space="preserve">extraordinary circumstances </w:t>
      </w:r>
      <w:r w:rsidR="0037520F" w:rsidRPr="009A6AAA">
        <w:rPr>
          <w:sz w:val="20"/>
          <w:szCs w:val="20"/>
        </w:rPr>
        <w:t xml:space="preserve">during the </w:t>
      </w:r>
      <w:r w:rsidRPr="009A6AAA">
        <w:rPr>
          <w:sz w:val="20"/>
          <w:szCs w:val="20"/>
        </w:rPr>
        <w:t>submission period</w:t>
      </w:r>
      <w:r w:rsidR="003309A8" w:rsidRPr="009A6AAA">
        <w:rPr>
          <w:sz w:val="20"/>
          <w:szCs w:val="20"/>
        </w:rPr>
        <w:t xml:space="preserve">. </w:t>
      </w:r>
      <w:r w:rsidRPr="009A6AAA">
        <w:rPr>
          <w:sz w:val="20"/>
          <w:szCs w:val="20"/>
        </w:rPr>
        <w:t>Any agreed extension will be notified on the FSANZ website and will apply to all submitters.</w:t>
      </w:r>
    </w:p>
    <w:p w14:paraId="7D451C40" w14:textId="77777777" w:rsidR="00E203C2" w:rsidRPr="000F3947" w:rsidRDefault="00E203C2" w:rsidP="00E203C2">
      <w:pPr>
        <w:rPr>
          <w:sz w:val="18"/>
          <w:szCs w:val="20"/>
        </w:rPr>
      </w:pPr>
    </w:p>
    <w:p w14:paraId="7D451C41" w14:textId="77777777" w:rsidR="00E063C6" w:rsidRPr="009A6AAA" w:rsidRDefault="0037520F" w:rsidP="00E203C2">
      <w:pPr>
        <w:rPr>
          <w:bCs/>
          <w:sz w:val="20"/>
          <w:szCs w:val="20"/>
        </w:rPr>
      </w:pPr>
      <w:r w:rsidRPr="009A6AAA">
        <w:rPr>
          <w:sz w:val="20"/>
          <w:szCs w:val="20"/>
        </w:rPr>
        <w:t>Questions about</w:t>
      </w:r>
      <w:r w:rsidR="00E063C6" w:rsidRPr="009A6AAA">
        <w:rPr>
          <w:sz w:val="20"/>
          <w:szCs w:val="20"/>
        </w:rPr>
        <w:t xml:space="preserve"> making submissions or the application process can be </w:t>
      </w:r>
      <w:r w:rsidRPr="009A6AAA">
        <w:rPr>
          <w:sz w:val="20"/>
          <w:szCs w:val="20"/>
        </w:rPr>
        <w:t>sent to</w:t>
      </w:r>
      <w:r w:rsidR="00E063C6" w:rsidRPr="009A6AAA">
        <w:rPr>
          <w:sz w:val="20"/>
          <w:szCs w:val="20"/>
        </w:rPr>
        <w:t xml:space="preserve"> </w:t>
      </w:r>
      <w:hyperlink r:id="rId14" w:history="1">
        <w:r w:rsidR="00E063C6" w:rsidRPr="009A6AAA">
          <w:rPr>
            <w:rStyle w:val="Hyperlink"/>
            <w:rFonts w:cs="Arial"/>
            <w:sz w:val="20"/>
            <w:szCs w:val="20"/>
          </w:rPr>
          <w:t>standards.management@foodstandards.gov.au</w:t>
        </w:r>
      </w:hyperlink>
      <w:r w:rsidR="00E063C6" w:rsidRPr="009A6AAA">
        <w:rPr>
          <w:sz w:val="20"/>
          <w:szCs w:val="20"/>
        </w:rPr>
        <w:t xml:space="preserve">. </w:t>
      </w:r>
    </w:p>
    <w:p w14:paraId="7D451C42" w14:textId="77777777" w:rsidR="00E203C2" w:rsidRPr="000F3947" w:rsidRDefault="00E203C2" w:rsidP="003A7725">
      <w:pPr>
        <w:rPr>
          <w:sz w:val="18"/>
        </w:rPr>
      </w:pPr>
    </w:p>
    <w:p w14:paraId="7D451C43" w14:textId="77777777" w:rsidR="00E063C6" w:rsidRPr="009A6AAA" w:rsidRDefault="00351B07" w:rsidP="00E203C2">
      <w:pPr>
        <w:rPr>
          <w:sz w:val="20"/>
          <w:szCs w:val="20"/>
        </w:rPr>
      </w:pPr>
      <w:r w:rsidRPr="009A6AAA">
        <w:rPr>
          <w:sz w:val="20"/>
          <w:szCs w:val="20"/>
        </w:rPr>
        <w:t>Hard</w:t>
      </w:r>
      <w:r w:rsidR="00E063C6" w:rsidRPr="009A6AAA">
        <w:rPr>
          <w:sz w:val="20"/>
          <w:szCs w:val="20"/>
        </w:rPr>
        <w:t xml:space="preserve"> copy submissions may be sent to one of the following addresses:</w:t>
      </w:r>
    </w:p>
    <w:p w14:paraId="7D451C44" w14:textId="77777777" w:rsidR="00E203C2" w:rsidRPr="000F3947" w:rsidRDefault="00E203C2" w:rsidP="00E203C2">
      <w:pPr>
        <w:rPr>
          <w:sz w:val="18"/>
          <w:szCs w:val="20"/>
        </w:rPr>
      </w:pPr>
    </w:p>
    <w:p w14:paraId="7D451C45" w14:textId="77777777" w:rsidR="00E203C2" w:rsidRPr="0093355E" w:rsidRDefault="00E063C6" w:rsidP="00E203C2">
      <w:pPr>
        <w:tabs>
          <w:tab w:val="left" w:pos="4536"/>
        </w:tabs>
        <w:rPr>
          <w:sz w:val="20"/>
          <w:szCs w:val="20"/>
        </w:rPr>
      </w:pPr>
      <w:r w:rsidRPr="0093355E">
        <w:rPr>
          <w:sz w:val="20"/>
          <w:szCs w:val="20"/>
        </w:rPr>
        <w:t>Food Standards Australia New Zealand</w:t>
      </w:r>
      <w:r w:rsidRPr="0093355E">
        <w:rPr>
          <w:sz w:val="20"/>
          <w:szCs w:val="20"/>
        </w:rPr>
        <w:tab/>
      </w:r>
      <w:r w:rsidRPr="0093355E">
        <w:rPr>
          <w:sz w:val="20"/>
          <w:szCs w:val="20"/>
        </w:rPr>
        <w:tab/>
        <w:t>Food Standards Australia New Zealand</w:t>
      </w:r>
    </w:p>
    <w:p w14:paraId="7D451C46" w14:textId="77777777" w:rsidR="00E203C2" w:rsidRPr="0093355E" w:rsidRDefault="00E063C6" w:rsidP="00E203C2">
      <w:pPr>
        <w:tabs>
          <w:tab w:val="left" w:pos="4536"/>
        </w:tabs>
        <w:rPr>
          <w:sz w:val="20"/>
          <w:szCs w:val="20"/>
        </w:rPr>
      </w:pPr>
      <w:r w:rsidRPr="0093355E">
        <w:rPr>
          <w:sz w:val="20"/>
          <w:szCs w:val="20"/>
        </w:rPr>
        <w:t>PO Box 7186</w:t>
      </w:r>
      <w:r w:rsidRPr="0093355E">
        <w:rPr>
          <w:sz w:val="20"/>
          <w:szCs w:val="20"/>
        </w:rPr>
        <w:tab/>
      </w:r>
      <w:r w:rsidRPr="0093355E">
        <w:rPr>
          <w:sz w:val="20"/>
          <w:szCs w:val="20"/>
        </w:rPr>
        <w:tab/>
        <w:t>PO Box 10559</w:t>
      </w:r>
    </w:p>
    <w:p w14:paraId="7D451C47" w14:textId="77777777" w:rsidR="00E203C2" w:rsidRPr="0093355E" w:rsidRDefault="00310E84" w:rsidP="00E203C2">
      <w:pPr>
        <w:tabs>
          <w:tab w:val="left" w:pos="4536"/>
        </w:tabs>
        <w:rPr>
          <w:sz w:val="20"/>
          <w:szCs w:val="20"/>
        </w:rPr>
      </w:pPr>
      <w:r w:rsidRPr="0093355E">
        <w:rPr>
          <w:sz w:val="20"/>
          <w:szCs w:val="20"/>
        </w:rPr>
        <w:t>CANBERRA</w:t>
      </w:r>
      <w:r w:rsidR="00E063C6" w:rsidRPr="0093355E">
        <w:rPr>
          <w:sz w:val="20"/>
          <w:szCs w:val="20"/>
        </w:rPr>
        <w:t xml:space="preserve"> </w:t>
      </w:r>
      <w:proofErr w:type="gramStart"/>
      <w:r w:rsidR="00E063C6" w:rsidRPr="0093355E">
        <w:rPr>
          <w:sz w:val="20"/>
          <w:szCs w:val="20"/>
        </w:rPr>
        <w:t xml:space="preserve">BC </w:t>
      </w:r>
      <w:r w:rsidR="0037520F" w:rsidRPr="0093355E">
        <w:rPr>
          <w:sz w:val="20"/>
          <w:szCs w:val="20"/>
        </w:rPr>
        <w:t xml:space="preserve"> </w:t>
      </w:r>
      <w:r w:rsidR="00E063C6" w:rsidRPr="0093355E">
        <w:rPr>
          <w:sz w:val="20"/>
          <w:szCs w:val="20"/>
        </w:rPr>
        <w:t>ACT</w:t>
      </w:r>
      <w:proofErr w:type="gramEnd"/>
      <w:r w:rsidR="0037520F" w:rsidRPr="0093355E">
        <w:rPr>
          <w:sz w:val="20"/>
          <w:szCs w:val="20"/>
        </w:rPr>
        <w:t xml:space="preserve"> </w:t>
      </w:r>
      <w:r w:rsidR="00E063C6" w:rsidRPr="0093355E">
        <w:rPr>
          <w:sz w:val="20"/>
          <w:szCs w:val="20"/>
        </w:rPr>
        <w:t xml:space="preserve"> 2610</w:t>
      </w:r>
      <w:r w:rsidR="00E063C6" w:rsidRPr="0093355E">
        <w:rPr>
          <w:sz w:val="20"/>
          <w:szCs w:val="20"/>
        </w:rPr>
        <w:tab/>
      </w:r>
      <w:r w:rsidR="00E063C6" w:rsidRPr="0093355E">
        <w:rPr>
          <w:sz w:val="20"/>
          <w:szCs w:val="20"/>
        </w:rPr>
        <w:tab/>
        <w:t>The Terrace WELLINGTON 6143</w:t>
      </w:r>
    </w:p>
    <w:p w14:paraId="7D451C48" w14:textId="77777777" w:rsidR="00E063C6" w:rsidRPr="0093355E" w:rsidRDefault="00E063C6" w:rsidP="00E203C2">
      <w:pPr>
        <w:tabs>
          <w:tab w:val="left" w:pos="4536"/>
        </w:tabs>
        <w:rPr>
          <w:sz w:val="20"/>
          <w:szCs w:val="20"/>
        </w:rPr>
      </w:pPr>
      <w:r w:rsidRPr="0093355E">
        <w:rPr>
          <w:sz w:val="20"/>
          <w:szCs w:val="20"/>
        </w:rPr>
        <w:t>AUSTRALIA</w:t>
      </w:r>
      <w:r w:rsidRPr="0093355E">
        <w:rPr>
          <w:sz w:val="20"/>
          <w:szCs w:val="20"/>
        </w:rPr>
        <w:tab/>
      </w:r>
      <w:r w:rsidRPr="0093355E">
        <w:rPr>
          <w:sz w:val="20"/>
          <w:szCs w:val="20"/>
        </w:rPr>
        <w:tab/>
        <w:t>NEW ZEALAND</w:t>
      </w:r>
    </w:p>
    <w:p w14:paraId="7D451C4A" w14:textId="21162D91" w:rsidR="00D22F3C" w:rsidRPr="0093355E" w:rsidRDefault="00E063C6" w:rsidP="00203540">
      <w:pPr>
        <w:tabs>
          <w:tab w:val="left" w:pos="4536"/>
        </w:tabs>
        <w:rPr>
          <w:rFonts w:cs="Arial"/>
          <w:bCs/>
          <w:color w:val="FF0000"/>
          <w:sz w:val="20"/>
          <w:szCs w:val="20"/>
        </w:rPr>
      </w:pPr>
      <w:r w:rsidRPr="0093355E">
        <w:rPr>
          <w:sz w:val="20"/>
          <w:szCs w:val="20"/>
        </w:rPr>
        <w:t xml:space="preserve">Tel </w:t>
      </w:r>
      <w:r w:rsidR="00DD3C5E" w:rsidRPr="0093355E">
        <w:rPr>
          <w:sz w:val="20"/>
          <w:szCs w:val="20"/>
        </w:rPr>
        <w:t>+61 2</w:t>
      </w:r>
      <w:r w:rsidRPr="0093355E">
        <w:rPr>
          <w:sz w:val="20"/>
          <w:szCs w:val="20"/>
        </w:rPr>
        <w:t xml:space="preserve"> 6271 2222  </w:t>
      </w:r>
      <w:r w:rsidRPr="0093355E">
        <w:rPr>
          <w:sz w:val="20"/>
          <w:szCs w:val="20"/>
        </w:rPr>
        <w:tab/>
      </w:r>
      <w:r w:rsidRPr="0093355E">
        <w:rPr>
          <w:sz w:val="20"/>
          <w:szCs w:val="20"/>
        </w:rPr>
        <w:tab/>
        <w:t xml:space="preserve">Tel </w:t>
      </w:r>
      <w:r w:rsidR="00DD3C5E" w:rsidRPr="0093355E">
        <w:rPr>
          <w:sz w:val="20"/>
          <w:szCs w:val="20"/>
        </w:rPr>
        <w:t>+64 4</w:t>
      </w:r>
      <w:r w:rsidR="0037520F" w:rsidRPr="0093355E">
        <w:rPr>
          <w:sz w:val="20"/>
          <w:szCs w:val="20"/>
        </w:rPr>
        <w:t xml:space="preserve"> 978 5630</w:t>
      </w:r>
    </w:p>
    <w:p w14:paraId="7D451C4B" w14:textId="77777777" w:rsidR="00413CA8" w:rsidRPr="0093355E" w:rsidRDefault="00413CA8" w:rsidP="00E203C2">
      <w:pPr>
        <w:spacing w:line="280" w:lineRule="exact"/>
        <w:jc w:val="center"/>
        <w:rPr>
          <w:rFonts w:cs="Arial"/>
          <w:bCs/>
          <w:sz w:val="28"/>
          <w:szCs w:val="28"/>
        </w:rPr>
        <w:sectPr w:rsidR="00413CA8" w:rsidRPr="0093355E" w:rsidSect="00B9694C">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709" w:gutter="0"/>
          <w:pgNumType w:fmt="lowerRoman" w:start="1"/>
          <w:cols w:space="708"/>
          <w:docGrid w:linePitch="360"/>
        </w:sectPr>
      </w:pPr>
    </w:p>
    <w:p w14:paraId="7D451C4C" w14:textId="77777777" w:rsidR="00562917" w:rsidRPr="0093355E" w:rsidRDefault="00562917" w:rsidP="00E40ED4">
      <w:pPr>
        <w:jc w:val="center"/>
        <w:rPr>
          <w:sz w:val="28"/>
          <w:szCs w:val="28"/>
        </w:rPr>
      </w:pPr>
      <w:r w:rsidRPr="0093355E">
        <w:rPr>
          <w:sz w:val="28"/>
          <w:szCs w:val="28"/>
        </w:rPr>
        <w:lastRenderedPageBreak/>
        <w:t xml:space="preserve">Table of </w:t>
      </w:r>
      <w:r w:rsidR="00456B54" w:rsidRPr="0093355E">
        <w:rPr>
          <w:sz w:val="28"/>
          <w:szCs w:val="28"/>
        </w:rPr>
        <w:t>C</w:t>
      </w:r>
      <w:r w:rsidRPr="0093355E">
        <w:rPr>
          <w:sz w:val="28"/>
          <w:szCs w:val="28"/>
        </w:rPr>
        <w:t>ontents</w:t>
      </w:r>
    </w:p>
    <w:p w14:paraId="7D451C4D" w14:textId="77777777" w:rsidR="00562917" w:rsidRPr="0093355E" w:rsidRDefault="00562917" w:rsidP="00051ED9">
      <w:pPr>
        <w:rPr>
          <w:rFonts w:cs="Arial"/>
        </w:rPr>
      </w:pPr>
    </w:p>
    <w:p w14:paraId="1C8F61BD" w14:textId="77777777" w:rsidR="00CA44F3" w:rsidRDefault="00051ED9">
      <w:pPr>
        <w:pStyle w:val="TOC1"/>
        <w:tabs>
          <w:tab w:val="right" w:leader="dot" w:pos="9060"/>
        </w:tabs>
        <w:rPr>
          <w:rFonts w:eastAsiaTheme="minorEastAsia" w:cstheme="minorBidi"/>
          <w:b w:val="0"/>
          <w:bCs w:val="0"/>
          <w:caps w:val="0"/>
          <w:noProof/>
          <w:sz w:val="22"/>
          <w:szCs w:val="22"/>
          <w:lang w:val="en-NZ" w:eastAsia="en-NZ" w:bidi="ar-SA"/>
        </w:rPr>
      </w:pPr>
      <w:r w:rsidRPr="0093355E">
        <w:rPr>
          <w:rFonts w:ascii="Arial" w:hAnsi="Arial" w:cs="Arial"/>
        </w:rPr>
        <w:fldChar w:fldCharType="begin"/>
      </w:r>
      <w:r w:rsidRPr="0093355E">
        <w:rPr>
          <w:rFonts w:ascii="Arial" w:hAnsi="Arial" w:cs="Arial"/>
        </w:rPr>
        <w:instrText xml:space="preserve"> TOC \o "1-3" \h \z \u </w:instrText>
      </w:r>
      <w:r w:rsidRPr="0093355E">
        <w:rPr>
          <w:rFonts w:ascii="Arial" w:hAnsi="Arial" w:cs="Arial"/>
        </w:rPr>
        <w:fldChar w:fldCharType="separate"/>
      </w:r>
      <w:hyperlink w:anchor="_Toc423079095" w:history="1">
        <w:r w:rsidR="00CA44F3" w:rsidRPr="009B2F01">
          <w:rPr>
            <w:rStyle w:val="Hyperlink"/>
            <w:noProof/>
          </w:rPr>
          <w:t>Executive summary</w:t>
        </w:r>
        <w:r w:rsidR="00CA44F3">
          <w:rPr>
            <w:noProof/>
            <w:webHidden/>
          </w:rPr>
          <w:tab/>
        </w:r>
        <w:r w:rsidR="00CA44F3">
          <w:rPr>
            <w:noProof/>
            <w:webHidden/>
          </w:rPr>
          <w:fldChar w:fldCharType="begin"/>
        </w:r>
        <w:r w:rsidR="00CA44F3">
          <w:rPr>
            <w:noProof/>
            <w:webHidden/>
          </w:rPr>
          <w:instrText xml:space="preserve"> PAGEREF _Toc423079095 \h </w:instrText>
        </w:r>
        <w:r w:rsidR="00CA44F3">
          <w:rPr>
            <w:noProof/>
            <w:webHidden/>
          </w:rPr>
        </w:r>
        <w:r w:rsidR="00CA44F3">
          <w:rPr>
            <w:noProof/>
            <w:webHidden/>
          </w:rPr>
          <w:fldChar w:fldCharType="separate"/>
        </w:r>
        <w:r w:rsidR="00AA4D1B">
          <w:rPr>
            <w:noProof/>
            <w:webHidden/>
          </w:rPr>
          <w:t>2</w:t>
        </w:r>
        <w:r w:rsidR="00CA44F3">
          <w:rPr>
            <w:noProof/>
            <w:webHidden/>
          </w:rPr>
          <w:fldChar w:fldCharType="end"/>
        </w:r>
      </w:hyperlink>
    </w:p>
    <w:p w14:paraId="43A56142" w14:textId="77777777" w:rsidR="00CA44F3" w:rsidRDefault="00B0015B">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23079096" w:history="1">
        <w:r w:rsidR="00CA44F3" w:rsidRPr="009B2F01">
          <w:rPr>
            <w:rStyle w:val="Hyperlink"/>
            <w:noProof/>
          </w:rPr>
          <w:t>1</w:t>
        </w:r>
        <w:r w:rsidR="00CA44F3">
          <w:rPr>
            <w:rFonts w:eastAsiaTheme="minorEastAsia" w:cstheme="minorBidi"/>
            <w:b w:val="0"/>
            <w:bCs w:val="0"/>
            <w:caps w:val="0"/>
            <w:noProof/>
            <w:sz w:val="22"/>
            <w:szCs w:val="22"/>
            <w:lang w:val="en-NZ" w:eastAsia="en-NZ" w:bidi="ar-SA"/>
          </w:rPr>
          <w:tab/>
        </w:r>
        <w:r w:rsidR="00CA44F3" w:rsidRPr="009B2F01">
          <w:rPr>
            <w:rStyle w:val="Hyperlink"/>
            <w:noProof/>
          </w:rPr>
          <w:t>Introduction</w:t>
        </w:r>
        <w:r w:rsidR="00CA44F3">
          <w:rPr>
            <w:noProof/>
            <w:webHidden/>
          </w:rPr>
          <w:tab/>
        </w:r>
        <w:r w:rsidR="00CA44F3">
          <w:rPr>
            <w:noProof/>
            <w:webHidden/>
          </w:rPr>
          <w:fldChar w:fldCharType="begin"/>
        </w:r>
        <w:r w:rsidR="00CA44F3">
          <w:rPr>
            <w:noProof/>
            <w:webHidden/>
          </w:rPr>
          <w:instrText xml:space="preserve"> PAGEREF _Toc423079096 \h </w:instrText>
        </w:r>
        <w:r w:rsidR="00CA44F3">
          <w:rPr>
            <w:noProof/>
            <w:webHidden/>
          </w:rPr>
        </w:r>
        <w:r w:rsidR="00CA44F3">
          <w:rPr>
            <w:noProof/>
            <w:webHidden/>
          </w:rPr>
          <w:fldChar w:fldCharType="separate"/>
        </w:r>
        <w:r w:rsidR="00AA4D1B">
          <w:rPr>
            <w:noProof/>
            <w:webHidden/>
          </w:rPr>
          <w:t>4</w:t>
        </w:r>
        <w:r w:rsidR="00CA44F3">
          <w:rPr>
            <w:noProof/>
            <w:webHidden/>
          </w:rPr>
          <w:fldChar w:fldCharType="end"/>
        </w:r>
      </w:hyperlink>
    </w:p>
    <w:p w14:paraId="3A90FEE6" w14:textId="77777777" w:rsidR="00CA44F3" w:rsidRDefault="00B0015B">
      <w:pPr>
        <w:pStyle w:val="TOC2"/>
        <w:tabs>
          <w:tab w:val="left" w:pos="880"/>
          <w:tab w:val="right" w:leader="dot" w:pos="9060"/>
        </w:tabs>
        <w:rPr>
          <w:rFonts w:eastAsiaTheme="minorEastAsia" w:cstheme="minorBidi"/>
          <w:smallCaps w:val="0"/>
          <w:noProof/>
          <w:sz w:val="22"/>
          <w:szCs w:val="22"/>
          <w:lang w:val="en-NZ" w:eastAsia="en-NZ" w:bidi="ar-SA"/>
        </w:rPr>
      </w:pPr>
      <w:hyperlink w:anchor="_Toc423079097" w:history="1">
        <w:r w:rsidR="00CA44F3" w:rsidRPr="009B2F01">
          <w:rPr>
            <w:rStyle w:val="Hyperlink"/>
            <w:noProof/>
          </w:rPr>
          <w:t>1.1</w:t>
        </w:r>
        <w:r w:rsidR="00CA44F3">
          <w:rPr>
            <w:rFonts w:eastAsiaTheme="minorEastAsia" w:cstheme="minorBidi"/>
            <w:smallCaps w:val="0"/>
            <w:noProof/>
            <w:sz w:val="22"/>
            <w:szCs w:val="22"/>
            <w:lang w:val="en-NZ" w:eastAsia="en-NZ" w:bidi="ar-SA"/>
          </w:rPr>
          <w:tab/>
        </w:r>
        <w:r w:rsidR="00CA44F3" w:rsidRPr="009B2F01">
          <w:rPr>
            <w:rStyle w:val="Hyperlink"/>
            <w:noProof/>
          </w:rPr>
          <w:t>Procedure for assessment</w:t>
        </w:r>
        <w:r w:rsidR="00CA44F3">
          <w:rPr>
            <w:noProof/>
            <w:webHidden/>
          </w:rPr>
          <w:tab/>
        </w:r>
        <w:r w:rsidR="00CA44F3">
          <w:rPr>
            <w:noProof/>
            <w:webHidden/>
          </w:rPr>
          <w:fldChar w:fldCharType="begin"/>
        </w:r>
        <w:r w:rsidR="00CA44F3">
          <w:rPr>
            <w:noProof/>
            <w:webHidden/>
          </w:rPr>
          <w:instrText xml:space="preserve"> PAGEREF _Toc423079097 \h </w:instrText>
        </w:r>
        <w:r w:rsidR="00CA44F3">
          <w:rPr>
            <w:noProof/>
            <w:webHidden/>
          </w:rPr>
        </w:r>
        <w:r w:rsidR="00CA44F3">
          <w:rPr>
            <w:noProof/>
            <w:webHidden/>
          </w:rPr>
          <w:fldChar w:fldCharType="separate"/>
        </w:r>
        <w:r w:rsidR="00AA4D1B">
          <w:rPr>
            <w:noProof/>
            <w:webHidden/>
          </w:rPr>
          <w:t>4</w:t>
        </w:r>
        <w:r w:rsidR="00CA44F3">
          <w:rPr>
            <w:noProof/>
            <w:webHidden/>
          </w:rPr>
          <w:fldChar w:fldCharType="end"/>
        </w:r>
      </w:hyperlink>
    </w:p>
    <w:p w14:paraId="678F9E96" w14:textId="77777777" w:rsidR="00CA44F3" w:rsidRDefault="00B0015B">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23079098" w:history="1">
        <w:r w:rsidR="00CA44F3" w:rsidRPr="009B2F01">
          <w:rPr>
            <w:rStyle w:val="Hyperlink"/>
            <w:noProof/>
          </w:rPr>
          <w:t>2</w:t>
        </w:r>
        <w:r w:rsidR="00CA44F3">
          <w:rPr>
            <w:rFonts w:eastAsiaTheme="minorEastAsia" w:cstheme="minorBidi"/>
            <w:b w:val="0"/>
            <w:bCs w:val="0"/>
            <w:caps w:val="0"/>
            <w:noProof/>
            <w:sz w:val="22"/>
            <w:szCs w:val="22"/>
            <w:lang w:val="en-NZ" w:eastAsia="en-NZ" w:bidi="ar-SA"/>
          </w:rPr>
          <w:tab/>
        </w:r>
        <w:r w:rsidR="00CA44F3" w:rsidRPr="009B2F01">
          <w:rPr>
            <w:rStyle w:val="Hyperlink"/>
            <w:noProof/>
          </w:rPr>
          <w:t>Vitamin and mineral nutrition content claims</w:t>
        </w:r>
        <w:r w:rsidR="00CA44F3">
          <w:rPr>
            <w:noProof/>
            <w:webHidden/>
          </w:rPr>
          <w:tab/>
        </w:r>
        <w:r w:rsidR="00CA44F3">
          <w:rPr>
            <w:noProof/>
            <w:webHidden/>
          </w:rPr>
          <w:fldChar w:fldCharType="begin"/>
        </w:r>
        <w:r w:rsidR="00CA44F3">
          <w:rPr>
            <w:noProof/>
            <w:webHidden/>
          </w:rPr>
          <w:instrText xml:space="preserve"> PAGEREF _Toc423079098 \h </w:instrText>
        </w:r>
        <w:r w:rsidR="00CA44F3">
          <w:rPr>
            <w:noProof/>
            <w:webHidden/>
          </w:rPr>
        </w:r>
        <w:r w:rsidR="00CA44F3">
          <w:rPr>
            <w:noProof/>
            <w:webHidden/>
          </w:rPr>
          <w:fldChar w:fldCharType="separate"/>
        </w:r>
        <w:r w:rsidR="00AA4D1B">
          <w:rPr>
            <w:noProof/>
            <w:webHidden/>
          </w:rPr>
          <w:t>4</w:t>
        </w:r>
        <w:r w:rsidR="00CA44F3">
          <w:rPr>
            <w:noProof/>
            <w:webHidden/>
          </w:rPr>
          <w:fldChar w:fldCharType="end"/>
        </w:r>
      </w:hyperlink>
    </w:p>
    <w:p w14:paraId="0BC3C2F4" w14:textId="77777777" w:rsidR="00CA44F3" w:rsidRDefault="00B0015B">
      <w:pPr>
        <w:pStyle w:val="TOC2"/>
        <w:tabs>
          <w:tab w:val="left" w:pos="880"/>
          <w:tab w:val="right" w:leader="dot" w:pos="9060"/>
        </w:tabs>
        <w:rPr>
          <w:rFonts w:eastAsiaTheme="minorEastAsia" w:cstheme="minorBidi"/>
          <w:smallCaps w:val="0"/>
          <w:noProof/>
          <w:sz w:val="22"/>
          <w:szCs w:val="22"/>
          <w:lang w:val="en-NZ" w:eastAsia="en-NZ" w:bidi="ar-SA"/>
        </w:rPr>
      </w:pPr>
      <w:hyperlink w:anchor="_Toc423079099" w:history="1">
        <w:r w:rsidR="00CA44F3" w:rsidRPr="009B2F01">
          <w:rPr>
            <w:rStyle w:val="Hyperlink"/>
            <w:noProof/>
          </w:rPr>
          <w:t>2.1</w:t>
        </w:r>
        <w:r w:rsidR="00CA44F3">
          <w:rPr>
            <w:rFonts w:eastAsiaTheme="minorEastAsia" w:cstheme="minorBidi"/>
            <w:smallCaps w:val="0"/>
            <w:noProof/>
            <w:sz w:val="22"/>
            <w:szCs w:val="22"/>
            <w:lang w:val="en-NZ" w:eastAsia="en-NZ" w:bidi="ar-SA"/>
          </w:rPr>
          <w:tab/>
        </w:r>
        <w:r w:rsidR="00CA44F3" w:rsidRPr="009B2F01">
          <w:rPr>
            <w:rStyle w:val="Hyperlink"/>
            <w:noProof/>
          </w:rPr>
          <w:t>The current Standard</w:t>
        </w:r>
        <w:r w:rsidR="00CA44F3">
          <w:rPr>
            <w:noProof/>
            <w:webHidden/>
          </w:rPr>
          <w:tab/>
        </w:r>
        <w:r w:rsidR="00CA44F3">
          <w:rPr>
            <w:noProof/>
            <w:webHidden/>
          </w:rPr>
          <w:fldChar w:fldCharType="begin"/>
        </w:r>
        <w:r w:rsidR="00CA44F3">
          <w:rPr>
            <w:noProof/>
            <w:webHidden/>
          </w:rPr>
          <w:instrText xml:space="preserve"> PAGEREF _Toc423079099 \h </w:instrText>
        </w:r>
        <w:r w:rsidR="00CA44F3">
          <w:rPr>
            <w:noProof/>
            <w:webHidden/>
          </w:rPr>
        </w:r>
        <w:r w:rsidR="00CA44F3">
          <w:rPr>
            <w:noProof/>
            <w:webHidden/>
          </w:rPr>
          <w:fldChar w:fldCharType="separate"/>
        </w:r>
        <w:r w:rsidR="00AA4D1B">
          <w:rPr>
            <w:noProof/>
            <w:webHidden/>
          </w:rPr>
          <w:t>4</w:t>
        </w:r>
        <w:r w:rsidR="00CA44F3">
          <w:rPr>
            <w:noProof/>
            <w:webHidden/>
          </w:rPr>
          <w:fldChar w:fldCharType="end"/>
        </w:r>
      </w:hyperlink>
    </w:p>
    <w:p w14:paraId="701AB1AD" w14:textId="77777777" w:rsidR="00CA44F3" w:rsidRDefault="00B0015B">
      <w:pPr>
        <w:pStyle w:val="TOC2"/>
        <w:tabs>
          <w:tab w:val="left" w:pos="880"/>
          <w:tab w:val="right" w:leader="dot" w:pos="9060"/>
        </w:tabs>
        <w:rPr>
          <w:rFonts w:eastAsiaTheme="minorEastAsia" w:cstheme="minorBidi"/>
          <w:smallCaps w:val="0"/>
          <w:noProof/>
          <w:sz w:val="22"/>
          <w:szCs w:val="22"/>
          <w:lang w:val="en-NZ" w:eastAsia="en-NZ" w:bidi="ar-SA"/>
        </w:rPr>
      </w:pPr>
      <w:hyperlink w:anchor="_Toc423079100" w:history="1">
        <w:r w:rsidR="00CA44F3" w:rsidRPr="009B2F01">
          <w:rPr>
            <w:rStyle w:val="Hyperlink"/>
            <w:noProof/>
          </w:rPr>
          <w:t>2.2</w:t>
        </w:r>
        <w:r w:rsidR="00CA44F3">
          <w:rPr>
            <w:rFonts w:eastAsiaTheme="minorEastAsia" w:cstheme="minorBidi"/>
            <w:smallCaps w:val="0"/>
            <w:noProof/>
            <w:sz w:val="22"/>
            <w:szCs w:val="22"/>
            <w:lang w:val="en-NZ" w:eastAsia="en-NZ" w:bidi="ar-SA"/>
          </w:rPr>
          <w:tab/>
        </w:r>
        <w:r w:rsidR="00CA44F3" w:rsidRPr="009B2F01">
          <w:rPr>
            <w:rStyle w:val="Hyperlink"/>
            <w:noProof/>
          </w:rPr>
          <w:t>Reasons for preparing the Proposal</w:t>
        </w:r>
        <w:r w:rsidR="00CA44F3">
          <w:rPr>
            <w:noProof/>
            <w:webHidden/>
          </w:rPr>
          <w:tab/>
        </w:r>
        <w:r w:rsidR="00CA44F3">
          <w:rPr>
            <w:noProof/>
            <w:webHidden/>
          </w:rPr>
          <w:fldChar w:fldCharType="begin"/>
        </w:r>
        <w:r w:rsidR="00CA44F3">
          <w:rPr>
            <w:noProof/>
            <w:webHidden/>
          </w:rPr>
          <w:instrText xml:space="preserve"> PAGEREF _Toc423079100 \h </w:instrText>
        </w:r>
        <w:r w:rsidR="00CA44F3">
          <w:rPr>
            <w:noProof/>
            <w:webHidden/>
          </w:rPr>
        </w:r>
        <w:r w:rsidR="00CA44F3">
          <w:rPr>
            <w:noProof/>
            <w:webHidden/>
          </w:rPr>
          <w:fldChar w:fldCharType="separate"/>
        </w:r>
        <w:r w:rsidR="00AA4D1B">
          <w:rPr>
            <w:noProof/>
            <w:webHidden/>
          </w:rPr>
          <w:t>5</w:t>
        </w:r>
        <w:r w:rsidR="00CA44F3">
          <w:rPr>
            <w:noProof/>
            <w:webHidden/>
          </w:rPr>
          <w:fldChar w:fldCharType="end"/>
        </w:r>
      </w:hyperlink>
    </w:p>
    <w:p w14:paraId="4B1F2C0A" w14:textId="77777777" w:rsidR="00CA44F3" w:rsidRDefault="00B0015B">
      <w:pPr>
        <w:pStyle w:val="TOC2"/>
        <w:tabs>
          <w:tab w:val="left" w:pos="880"/>
          <w:tab w:val="right" w:leader="dot" w:pos="9060"/>
        </w:tabs>
        <w:rPr>
          <w:rFonts w:eastAsiaTheme="minorEastAsia" w:cstheme="minorBidi"/>
          <w:smallCaps w:val="0"/>
          <w:noProof/>
          <w:sz w:val="22"/>
          <w:szCs w:val="22"/>
          <w:lang w:val="en-NZ" w:eastAsia="en-NZ" w:bidi="ar-SA"/>
        </w:rPr>
      </w:pPr>
      <w:hyperlink w:anchor="_Toc423079101" w:history="1">
        <w:r w:rsidR="00CA44F3" w:rsidRPr="009B2F01">
          <w:rPr>
            <w:rStyle w:val="Hyperlink"/>
            <w:noProof/>
          </w:rPr>
          <w:t>2.3</w:t>
        </w:r>
        <w:r w:rsidR="00CA44F3">
          <w:rPr>
            <w:rFonts w:eastAsiaTheme="minorEastAsia" w:cstheme="minorBidi"/>
            <w:smallCaps w:val="0"/>
            <w:noProof/>
            <w:sz w:val="22"/>
            <w:szCs w:val="22"/>
            <w:lang w:val="en-NZ" w:eastAsia="en-NZ" w:bidi="ar-SA"/>
          </w:rPr>
          <w:tab/>
        </w:r>
        <w:r w:rsidR="00CA44F3" w:rsidRPr="009B2F01">
          <w:rPr>
            <w:rStyle w:val="Hyperlink"/>
            <w:noProof/>
          </w:rPr>
          <w:t>Summary of the assessment</w:t>
        </w:r>
        <w:r w:rsidR="00CA44F3">
          <w:rPr>
            <w:noProof/>
            <w:webHidden/>
          </w:rPr>
          <w:tab/>
        </w:r>
        <w:r w:rsidR="00CA44F3">
          <w:rPr>
            <w:noProof/>
            <w:webHidden/>
          </w:rPr>
          <w:fldChar w:fldCharType="begin"/>
        </w:r>
        <w:r w:rsidR="00CA44F3">
          <w:rPr>
            <w:noProof/>
            <w:webHidden/>
          </w:rPr>
          <w:instrText xml:space="preserve"> PAGEREF _Toc423079101 \h </w:instrText>
        </w:r>
        <w:r w:rsidR="00CA44F3">
          <w:rPr>
            <w:noProof/>
            <w:webHidden/>
          </w:rPr>
        </w:r>
        <w:r w:rsidR="00CA44F3">
          <w:rPr>
            <w:noProof/>
            <w:webHidden/>
          </w:rPr>
          <w:fldChar w:fldCharType="separate"/>
        </w:r>
        <w:r w:rsidR="00AA4D1B">
          <w:rPr>
            <w:noProof/>
            <w:webHidden/>
          </w:rPr>
          <w:t>6</w:t>
        </w:r>
        <w:r w:rsidR="00CA44F3">
          <w:rPr>
            <w:noProof/>
            <w:webHidden/>
          </w:rPr>
          <w:fldChar w:fldCharType="end"/>
        </w:r>
      </w:hyperlink>
    </w:p>
    <w:p w14:paraId="05E94E95" w14:textId="77777777" w:rsidR="00CA44F3" w:rsidRDefault="00B0015B">
      <w:pPr>
        <w:pStyle w:val="TOC3"/>
        <w:tabs>
          <w:tab w:val="left" w:pos="1100"/>
          <w:tab w:val="right" w:leader="dot" w:pos="9060"/>
        </w:tabs>
        <w:rPr>
          <w:rFonts w:eastAsiaTheme="minorEastAsia" w:cstheme="minorBidi"/>
          <w:i w:val="0"/>
          <w:iCs w:val="0"/>
          <w:noProof/>
          <w:sz w:val="22"/>
          <w:szCs w:val="22"/>
          <w:lang w:val="en-NZ" w:eastAsia="en-NZ" w:bidi="ar-SA"/>
        </w:rPr>
      </w:pPr>
      <w:hyperlink w:anchor="_Toc423079102" w:history="1">
        <w:r w:rsidR="00CA44F3" w:rsidRPr="009B2F01">
          <w:rPr>
            <w:rStyle w:val="Hyperlink"/>
            <w:noProof/>
          </w:rPr>
          <w:t>2.3.1</w:t>
        </w:r>
        <w:r w:rsidR="00CA44F3">
          <w:rPr>
            <w:rFonts w:eastAsiaTheme="minorEastAsia" w:cstheme="minorBidi"/>
            <w:i w:val="0"/>
            <w:iCs w:val="0"/>
            <w:noProof/>
            <w:sz w:val="22"/>
            <w:szCs w:val="22"/>
            <w:lang w:val="en-NZ" w:eastAsia="en-NZ" w:bidi="ar-SA"/>
          </w:rPr>
          <w:tab/>
        </w:r>
        <w:r w:rsidR="00CA44F3" w:rsidRPr="009B2F01">
          <w:rPr>
            <w:rStyle w:val="Hyperlink"/>
            <w:noProof/>
          </w:rPr>
          <w:t>Risk assessment</w:t>
        </w:r>
        <w:r w:rsidR="00CA44F3">
          <w:rPr>
            <w:noProof/>
            <w:webHidden/>
          </w:rPr>
          <w:tab/>
        </w:r>
        <w:r w:rsidR="00CA44F3">
          <w:rPr>
            <w:noProof/>
            <w:webHidden/>
          </w:rPr>
          <w:fldChar w:fldCharType="begin"/>
        </w:r>
        <w:r w:rsidR="00CA44F3">
          <w:rPr>
            <w:noProof/>
            <w:webHidden/>
          </w:rPr>
          <w:instrText xml:space="preserve"> PAGEREF _Toc423079102 \h </w:instrText>
        </w:r>
        <w:r w:rsidR="00CA44F3">
          <w:rPr>
            <w:noProof/>
            <w:webHidden/>
          </w:rPr>
        </w:r>
        <w:r w:rsidR="00CA44F3">
          <w:rPr>
            <w:noProof/>
            <w:webHidden/>
          </w:rPr>
          <w:fldChar w:fldCharType="separate"/>
        </w:r>
        <w:r w:rsidR="00AA4D1B">
          <w:rPr>
            <w:noProof/>
            <w:webHidden/>
          </w:rPr>
          <w:t>6</w:t>
        </w:r>
        <w:r w:rsidR="00CA44F3">
          <w:rPr>
            <w:noProof/>
            <w:webHidden/>
          </w:rPr>
          <w:fldChar w:fldCharType="end"/>
        </w:r>
      </w:hyperlink>
    </w:p>
    <w:p w14:paraId="62786086" w14:textId="77777777" w:rsidR="00CA44F3" w:rsidRDefault="00B0015B">
      <w:pPr>
        <w:pStyle w:val="TOC3"/>
        <w:tabs>
          <w:tab w:val="left" w:pos="1100"/>
          <w:tab w:val="right" w:leader="dot" w:pos="9060"/>
        </w:tabs>
        <w:rPr>
          <w:rFonts w:eastAsiaTheme="minorEastAsia" w:cstheme="minorBidi"/>
          <w:i w:val="0"/>
          <w:iCs w:val="0"/>
          <w:noProof/>
          <w:sz w:val="22"/>
          <w:szCs w:val="22"/>
          <w:lang w:val="en-NZ" w:eastAsia="en-NZ" w:bidi="ar-SA"/>
        </w:rPr>
      </w:pPr>
      <w:hyperlink w:anchor="_Toc423079103" w:history="1">
        <w:r w:rsidR="00CA44F3" w:rsidRPr="009B2F01">
          <w:rPr>
            <w:rStyle w:val="Hyperlink"/>
            <w:noProof/>
          </w:rPr>
          <w:t>2.3.2</w:t>
        </w:r>
        <w:r w:rsidR="00CA44F3">
          <w:rPr>
            <w:rFonts w:eastAsiaTheme="minorEastAsia" w:cstheme="minorBidi"/>
            <w:i w:val="0"/>
            <w:iCs w:val="0"/>
            <w:noProof/>
            <w:sz w:val="22"/>
            <w:szCs w:val="22"/>
            <w:lang w:val="en-NZ" w:eastAsia="en-NZ" w:bidi="ar-SA"/>
          </w:rPr>
          <w:tab/>
        </w:r>
        <w:r w:rsidR="00CA44F3" w:rsidRPr="009B2F01">
          <w:rPr>
            <w:rStyle w:val="Hyperlink"/>
            <w:noProof/>
          </w:rPr>
          <w:t>Number of claims affected</w:t>
        </w:r>
        <w:r w:rsidR="00CA44F3">
          <w:rPr>
            <w:noProof/>
            <w:webHidden/>
          </w:rPr>
          <w:tab/>
        </w:r>
        <w:r w:rsidR="00CA44F3">
          <w:rPr>
            <w:noProof/>
            <w:webHidden/>
          </w:rPr>
          <w:fldChar w:fldCharType="begin"/>
        </w:r>
        <w:r w:rsidR="00CA44F3">
          <w:rPr>
            <w:noProof/>
            <w:webHidden/>
          </w:rPr>
          <w:instrText xml:space="preserve"> PAGEREF _Toc423079103 \h </w:instrText>
        </w:r>
        <w:r w:rsidR="00CA44F3">
          <w:rPr>
            <w:noProof/>
            <w:webHidden/>
          </w:rPr>
        </w:r>
        <w:r w:rsidR="00CA44F3">
          <w:rPr>
            <w:noProof/>
            <w:webHidden/>
          </w:rPr>
          <w:fldChar w:fldCharType="separate"/>
        </w:r>
        <w:r w:rsidR="00AA4D1B">
          <w:rPr>
            <w:noProof/>
            <w:webHidden/>
          </w:rPr>
          <w:t>6</w:t>
        </w:r>
        <w:r w:rsidR="00CA44F3">
          <w:rPr>
            <w:noProof/>
            <w:webHidden/>
          </w:rPr>
          <w:fldChar w:fldCharType="end"/>
        </w:r>
      </w:hyperlink>
    </w:p>
    <w:p w14:paraId="3F1BEFF0" w14:textId="77777777" w:rsidR="00CA44F3" w:rsidRDefault="00B0015B">
      <w:pPr>
        <w:pStyle w:val="TOC3"/>
        <w:tabs>
          <w:tab w:val="left" w:pos="1100"/>
          <w:tab w:val="right" w:leader="dot" w:pos="9060"/>
        </w:tabs>
        <w:rPr>
          <w:rFonts w:eastAsiaTheme="minorEastAsia" w:cstheme="minorBidi"/>
          <w:i w:val="0"/>
          <w:iCs w:val="0"/>
          <w:noProof/>
          <w:sz w:val="22"/>
          <w:szCs w:val="22"/>
          <w:lang w:val="en-NZ" w:eastAsia="en-NZ" w:bidi="ar-SA"/>
        </w:rPr>
      </w:pPr>
      <w:hyperlink w:anchor="_Toc423079104" w:history="1">
        <w:r w:rsidR="00CA44F3" w:rsidRPr="009B2F01">
          <w:rPr>
            <w:rStyle w:val="Hyperlink"/>
            <w:noProof/>
          </w:rPr>
          <w:t>2.3.3</w:t>
        </w:r>
        <w:r w:rsidR="00CA44F3">
          <w:rPr>
            <w:rFonts w:eastAsiaTheme="minorEastAsia" w:cstheme="minorBidi"/>
            <w:i w:val="0"/>
            <w:iCs w:val="0"/>
            <w:noProof/>
            <w:sz w:val="22"/>
            <w:szCs w:val="22"/>
            <w:lang w:val="en-NZ" w:eastAsia="en-NZ" w:bidi="ar-SA"/>
          </w:rPr>
          <w:tab/>
        </w:r>
        <w:r w:rsidR="00CA44F3" w:rsidRPr="009B2F01">
          <w:rPr>
            <w:rStyle w:val="Hyperlink"/>
            <w:noProof/>
          </w:rPr>
          <w:t>Proposed solution</w:t>
        </w:r>
        <w:r w:rsidR="00CA44F3">
          <w:rPr>
            <w:noProof/>
            <w:webHidden/>
          </w:rPr>
          <w:tab/>
        </w:r>
        <w:r w:rsidR="00CA44F3">
          <w:rPr>
            <w:noProof/>
            <w:webHidden/>
          </w:rPr>
          <w:fldChar w:fldCharType="begin"/>
        </w:r>
        <w:r w:rsidR="00CA44F3">
          <w:rPr>
            <w:noProof/>
            <w:webHidden/>
          </w:rPr>
          <w:instrText xml:space="preserve"> PAGEREF _Toc423079104 \h </w:instrText>
        </w:r>
        <w:r w:rsidR="00CA44F3">
          <w:rPr>
            <w:noProof/>
            <w:webHidden/>
          </w:rPr>
        </w:r>
        <w:r w:rsidR="00CA44F3">
          <w:rPr>
            <w:noProof/>
            <w:webHidden/>
          </w:rPr>
          <w:fldChar w:fldCharType="separate"/>
        </w:r>
        <w:r w:rsidR="00AA4D1B">
          <w:rPr>
            <w:noProof/>
            <w:webHidden/>
          </w:rPr>
          <w:t>7</w:t>
        </w:r>
        <w:r w:rsidR="00CA44F3">
          <w:rPr>
            <w:noProof/>
            <w:webHidden/>
          </w:rPr>
          <w:fldChar w:fldCharType="end"/>
        </w:r>
      </w:hyperlink>
    </w:p>
    <w:p w14:paraId="2DD09C4F" w14:textId="77777777" w:rsidR="00CA44F3" w:rsidRDefault="00B0015B">
      <w:pPr>
        <w:pStyle w:val="TOC2"/>
        <w:tabs>
          <w:tab w:val="left" w:pos="880"/>
          <w:tab w:val="right" w:leader="dot" w:pos="9060"/>
        </w:tabs>
        <w:rPr>
          <w:rFonts w:eastAsiaTheme="minorEastAsia" w:cstheme="minorBidi"/>
          <w:smallCaps w:val="0"/>
          <w:noProof/>
          <w:sz w:val="22"/>
          <w:szCs w:val="22"/>
          <w:lang w:val="en-NZ" w:eastAsia="en-NZ" w:bidi="ar-SA"/>
        </w:rPr>
      </w:pPr>
      <w:hyperlink w:anchor="_Toc423079105" w:history="1">
        <w:r w:rsidR="00CA44F3" w:rsidRPr="009B2F01">
          <w:rPr>
            <w:rStyle w:val="Hyperlink"/>
            <w:noProof/>
          </w:rPr>
          <w:t>2.4</w:t>
        </w:r>
        <w:r w:rsidR="00CA44F3">
          <w:rPr>
            <w:rFonts w:eastAsiaTheme="minorEastAsia" w:cstheme="minorBidi"/>
            <w:smallCaps w:val="0"/>
            <w:noProof/>
            <w:sz w:val="22"/>
            <w:szCs w:val="22"/>
            <w:lang w:val="en-NZ" w:eastAsia="en-NZ" w:bidi="ar-SA"/>
          </w:rPr>
          <w:tab/>
        </w:r>
        <w:r w:rsidR="00CA44F3" w:rsidRPr="009B2F01">
          <w:rPr>
            <w:rStyle w:val="Hyperlink"/>
            <w:noProof/>
          </w:rPr>
          <w:t>FSANZ Act assessment requirements</w:t>
        </w:r>
        <w:r w:rsidR="00CA44F3">
          <w:rPr>
            <w:noProof/>
            <w:webHidden/>
          </w:rPr>
          <w:tab/>
        </w:r>
        <w:r w:rsidR="00CA44F3">
          <w:rPr>
            <w:noProof/>
            <w:webHidden/>
          </w:rPr>
          <w:fldChar w:fldCharType="begin"/>
        </w:r>
        <w:r w:rsidR="00CA44F3">
          <w:rPr>
            <w:noProof/>
            <w:webHidden/>
          </w:rPr>
          <w:instrText xml:space="preserve"> PAGEREF _Toc423079105 \h </w:instrText>
        </w:r>
        <w:r w:rsidR="00CA44F3">
          <w:rPr>
            <w:noProof/>
            <w:webHidden/>
          </w:rPr>
        </w:r>
        <w:r w:rsidR="00CA44F3">
          <w:rPr>
            <w:noProof/>
            <w:webHidden/>
          </w:rPr>
          <w:fldChar w:fldCharType="separate"/>
        </w:r>
        <w:r w:rsidR="00AA4D1B">
          <w:rPr>
            <w:noProof/>
            <w:webHidden/>
          </w:rPr>
          <w:t>8</w:t>
        </w:r>
        <w:r w:rsidR="00CA44F3">
          <w:rPr>
            <w:noProof/>
            <w:webHidden/>
          </w:rPr>
          <w:fldChar w:fldCharType="end"/>
        </w:r>
      </w:hyperlink>
    </w:p>
    <w:p w14:paraId="37095F89" w14:textId="77777777" w:rsidR="00CA44F3" w:rsidRDefault="00B0015B">
      <w:pPr>
        <w:pStyle w:val="TOC3"/>
        <w:tabs>
          <w:tab w:val="left" w:pos="1100"/>
          <w:tab w:val="right" w:leader="dot" w:pos="9060"/>
        </w:tabs>
        <w:rPr>
          <w:rFonts w:eastAsiaTheme="minorEastAsia" w:cstheme="minorBidi"/>
          <w:i w:val="0"/>
          <w:iCs w:val="0"/>
          <w:noProof/>
          <w:sz w:val="22"/>
          <w:szCs w:val="22"/>
          <w:lang w:val="en-NZ" w:eastAsia="en-NZ" w:bidi="ar-SA"/>
        </w:rPr>
      </w:pPr>
      <w:hyperlink w:anchor="_Toc423079106" w:history="1">
        <w:r w:rsidR="00CA44F3" w:rsidRPr="009B2F01">
          <w:rPr>
            <w:rStyle w:val="Hyperlink"/>
            <w:noProof/>
          </w:rPr>
          <w:t>2.4.1</w:t>
        </w:r>
        <w:r w:rsidR="00CA44F3">
          <w:rPr>
            <w:rFonts w:eastAsiaTheme="minorEastAsia" w:cstheme="minorBidi"/>
            <w:i w:val="0"/>
            <w:iCs w:val="0"/>
            <w:noProof/>
            <w:sz w:val="22"/>
            <w:szCs w:val="22"/>
            <w:lang w:val="en-NZ" w:eastAsia="en-NZ" w:bidi="ar-SA"/>
          </w:rPr>
          <w:tab/>
        </w:r>
        <w:r w:rsidR="00CA44F3" w:rsidRPr="009B2F01">
          <w:rPr>
            <w:rStyle w:val="Hyperlink"/>
            <w:noProof/>
          </w:rPr>
          <w:t>Section 59</w:t>
        </w:r>
        <w:r w:rsidR="00CA44F3">
          <w:rPr>
            <w:noProof/>
            <w:webHidden/>
          </w:rPr>
          <w:tab/>
        </w:r>
        <w:r w:rsidR="00CA44F3">
          <w:rPr>
            <w:noProof/>
            <w:webHidden/>
          </w:rPr>
          <w:fldChar w:fldCharType="begin"/>
        </w:r>
        <w:r w:rsidR="00CA44F3">
          <w:rPr>
            <w:noProof/>
            <w:webHidden/>
          </w:rPr>
          <w:instrText xml:space="preserve"> PAGEREF _Toc423079106 \h </w:instrText>
        </w:r>
        <w:r w:rsidR="00CA44F3">
          <w:rPr>
            <w:noProof/>
            <w:webHidden/>
          </w:rPr>
        </w:r>
        <w:r w:rsidR="00CA44F3">
          <w:rPr>
            <w:noProof/>
            <w:webHidden/>
          </w:rPr>
          <w:fldChar w:fldCharType="separate"/>
        </w:r>
        <w:r w:rsidR="00AA4D1B">
          <w:rPr>
            <w:noProof/>
            <w:webHidden/>
          </w:rPr>
          <w:t>8</w:t>
        </w:r>
        <w:r w:rsidR="00CA44F3">
          <w:rPr>
            <w:noProof/>
            <w:webHidden/>
          </w:rPr>
          <w:fldChar w:fldCharType="end"/>
        </w:r>
      </w:hyperlink>
    </w:p>
    <w:p w14:paraId="7DA2E6A1" w14:textId="77777777" w:rsidR="00CA44F3" w:rsidRDefault="00B0015B">
      <w:pPr>
        <w:pStyle w:val="TOC3"/>
        <w:tabs>
          <w:tab w:val="left" w:pos="1100"/>
          <w:tab w:val="right" w:leader="dot" w:pos="9060"/>
        </w:tabs>
        <w:rPr>
          <w:rFonts w:eastAsiaTheme="minorEastAsia" w:cstheme="minorBidi"/>
          <w:i w:val="0"/>
          <w:iCs w:val="0"/>
          <w:noProof/>
          <w:sz w:val="22"/>
          <w:szCs w:val="22"/>
          <w:lang w:val="en-NZ" w:eastAsia="en-NZ" w:bidi="ar-SA"/>
        </w:rPr>
      </w:pPr>
      <w:hyperlink w:anchor="_Toc423079107" w:history="1">
        <w:r w:rsidR="00CA44F3" w:rsidRPr="009B2F01">
          <w:rPr>
            <w:rStyle w:val="Hyperlink"/>
            <w:noProof/>
          </w:rPr>
          <w:t>2.4.2</w:t>
        </w:r>
        <w:r w:rsidR="00CA44F3">
          <w:rPr>
            <w:rFonts w:eastAsiaTheme="minorEastAsia" w:cstheme="minorBidi"/>
            <w:i w:val="0"/>
            <w:iCs w:val="0"/>
            <w:noProof/>
            <w:sz w:val="22"/>
            <w:szCs w:val="22"/>
            <w:lang w:val="en-NZ" w:eastAsia="en-NZ" w:bidi="ar-SA"/>
          </w:rPr>
          <w:tab/>
        </w:r>
        <w:r w:rsidR="00CA44F3" w:rsidRPr="009B2F01">
          <w:rPr>
            <w:rStyle w:val="Hyperlink"/>
            <w:noProof/>
          </w:rPr>
          <w:t>Subsection 18(1)</w:t>
        </w:r>
        <w:r w:rsidR="00CA44F3">
          <w:rPr>
            <w:noProof/>
            <w:webHidden/>
          </w:rPr>
          <w:tab/>
        </w:r>
        <w:r w:rsidR="00CA44F3">
          <w:rPr>
            <w:noProof/>
            <w:webHidden/>
          </w:rPr>
          <w:fldChar w:fldCharType="begin"/>
        </w:r>
        <w:r w:rsidR="00CA44F3">
          <w:rPr>
            <w:noProof/>
            <w:webHidden/>
          </w:rPr>
          <w:instrText xml:space="preserve"> PAGEREF _Toc423079107 \h </w:instrText>
        </w:r>
        <w:r w:rsidR="00CA44F3">
          <w:rPr>
            <w:noProof/>
            <w:webHidden/>
          </w:rPr>
        </w:r>
        <w:r w:rsidR="00CA44F3">
          <w:rPr>
            <w:noProof/>
            <w:webHidden/>
          </w:rPr>
          <w:fldChar w:fldCharType="separate"/>
        </w:r>
        <w:r w:rsidR="00AA4D1B">
          <w:rPr>
            <w:noProof/>
            <w:webHidden/>
          </w:rPr>
          <w:t>9</w:t>
        </w:r>
        <w:r w:rsidR="00CA44F3">
          <w:rPr>
            <w:noProof/>
            <w:webHidden/>
          </w:rPr>
          <w:fldChar w:fldCharType="end"/>
        </w:r>
      </w:hyperlink>
    </w:p>
    <w:p w14:paraId="6D76A2D9" w14:textId="77777777" w:rsidR="00CA44F3" w:rsidRDefault="00B0015B">
      <w:pPr>
        <w:pStyle w:val="TOC3"/>
        <w:tabs>
          <w:tab w:val="left" w:pos="1100"/>
          <w:tab w:val="right" w:leader="dot" w:pos="9060"/>
        </w:tabs>
        <w:rPr>
          <w:rFonts w:eastAsiaTheme="minorEastAsia" w:cstheme="minorBidi"/>
          <w:i w:val="0"/>
          <w:iCs w:val="0"/>
          <w:noProof/>
          <w:sz w:val="22"/>
          <w:szCs w:val="22"/>
          <w:lang w:val="en-NZ" w:eastAsia="en-NZ" w:bidi="ar-SA"/>
        </w:rPr>
      </w:pPr>
      <w:hyperlink w:anchor="_Toc423079108" w:history="1">
        <w:r w:rsidR="00CA44F3" w:rsidRPr="009B2F01">
          <w:rPr>
            <w:rStyle w:val="Hyperlink"/>
            <w:noProof/>
          </w:rPr>
          <w:t>2.4.3</w:t>
        </w:r>
        <w:r w:rsidR="00CA44F3">
          <w:rPr>
            <w:rFonts w:eastAsiaTheme="minorEastAsia" w:cstheme="minorBidi"/>
            <w:i w:val="0"/>
            <w:iCs w:val="0"/>
            <w:noProof/>
            <w:sz w:val="22"/>
            <w:szCs w:val="22"/>
            <w:lang w:val="en-NZ" w:eastAsia="en-NZ" w:bidi="ar-SA"/>
          </w:rPr>
          <w:tab/>
        </w:r>
        <w:r w:rsidR="00CA44F3" w:rsidRPr="009B2F01">
          <w:rPr>
            <w:rStyle w:val="Hyperlink"/>
            <w:noProof/>
          </w:rPr>
          <w:t>Subsection 18(2) considerations</w:t>
        </w:r>
        <w:r w:rsidR="00CA44F3">
          <w:rPr>
            <w:noProof/>
            <w:webHidden/>
          </w:rPr>
          <w:tab/>
        </w:r>
        <w:r w:rsidR="00CA44F3">
          <w:rPr>
            <w:noProof/>
            <w:webHidden/>
          </w:rPr>
          <w:fldChar w:fldCharType="begin"/>
        </w:r>
        <w:r w:rsidR="00CA44F3">
          <w:rPr>
            <w:noProof/>
            <w:webHidden/>
          </w:rPr>
          <w:instrText xml:space="preserve"> PAGEREF _Toc423079108 \h </w:instrText>
        </w:r>
        <w:r w:rsidR="00CA44F3">
          <w:rPr>
            <w:noProof/>
            <w:webHidden/>
          </w:rPr>
        </w:r>
        <w:r w:rsidR="00CA44F3">
          <w:rPr>
            <w:noProof/>
            <w:webHidden/>
          </w:rPr>
          <w:fldChar w:fldCharType="separate"/>
        </w:r>
        <w:r w:rsidR="00AA4D1B">
          <w:rPr>
            <w:noProof/>
            <w:webHidden/>
          </w:rPr>
          <w:t>10</w:t>
        </w:r>
        <w:r w:rsidR="00CA44F3">
          <w:rPr>
            <w:noProof/>
            <w:webHidden/>
          </w:rPr>
          <w:fldChar w:fldCharType="end"/>
        </w:r>
      </w:hyperlink>
    </w:p>
    <w:p w14:paraId="7B52627A" w14:textId="77777777" w:rsidR="00CA44F3" w:rsidRDefault="00B0015B">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23079109" w:history="1">
        <w:r w:rsidR="00CA44F3" w:rsidRPr="009B2F01">
          <w:rPr>
            <w:rStyle w:val="Hyperlink"/>
            <w:noProof/>
          </w:rPr>
          <w:t>3</w:t>
        </w:r>
        <w:r w:rsidR="00CA44F3">
          <w:rPr>
            <w:rFonts w:eastAsiaTheme="minorEastAsia" w:cstheme="minorBidi"/>
            <w:b w:val="0"/>
            <w:bCs w:val="0"/>
            <w:caps w:val="0"/>
            <w:noProof/>
            <w:sz w:val="22"/>
            <w:szCs w:val="22"/>
            <w:lang w:val="en-NZ" w:eastAsia="en-NZ" w:bidi="ar-SA"/>
          </w:rPr>
          <w:tab/>
        </w:r>
        <w:r w:rsidR="00CA44F3" w:rsidRPr="009B2F01">
          <w:rPr>
            <w:rStyle w:val="Hyperlink"/>
            <w:noProof/>
          </w:rPr>
          <w:t>Sodium claims about foods containing alcohol</w:t>
        </w:r>
        <w:r w:rsidR="00CA44F3">
          <w:rPr>
            <w:noProof/>
            <w:webHidden/>
          </w:rPr>
          <w:tab/>
        </w:r>
        <w:r w:rsidR="00CA44F3">
          <w:rPr>
            <w:noProof/>
            <w:webHidden/>
          </w:rPr>
          <w:fldChar w:fldCharType="begin"/>
        </w:r>
        <w:r w:rsidR="00CA44F3">
          <w:rPr>
            <w:noProof/>
            <w:webHidden/>
          </w:rPr>
          <w:instrText xml:space="preserve"> PAGEREF _Toc423079109 \h </w:instrText>
        </w:r>
        <w:r w:rsidR="00CA44F3">
          <w:rPr>
            <w:noProof/>
            <w:webHidden/>
          </w:rPr>
        </w:r>
        <w:r w:rsidR="00CA44F3">
          <w:rPr>
            <w:noProof/>
            <w:webHidden/>
          </w:rPr>
          <w:fldChar w:fldCharType="separate"/>
        </w:r>
        <w:r w:rsidR="00AA4D1B">
          <w:rPr>
            <w:noProof/>
            <w:webHidden/>
          </w:rPr>
          <w:t>11</w:t>
        </w:r>
        <w:r w:rsidR="00CA44F3">
          <w:rPr>
            <w:noProof/>
            <w:webHidden/>
          </w:rPr>
          <w:fldChar w:fldCharType="end"/>
        </w:r>
      </w:hyperlink>
    </w:p>
    <w:p w14:paraId="2298E812" w14:textId="77777777" w:rsidR="00CA44F3" w:rsidRDefault="00B0015B">
      <w:pPr>
        <w:pStyle w:val="TOC2"/>
        <w:tabs>
          <w:tab w:val="left" w:pos="880"/>
          <w:tab w:val="right" w:leader="dot" w:pos="9060"/>
        </w:tabs>
        <w:rPr>
          <w:rFonts w:eastAsiaTheme="minorEastAsia" w:cstheme="minorBidi"/>
          <w:smallCaps w:val="0"/>
          <w:noProof/>
          <w:sz w:val="22"/>
          <w:szCs w:val="22"/>
          <w:lang w:val="en-NZ" w:eastAsia="en-NZ" w:bidi="ar-SA"/>
        </w:rPr>
      </w:pPr>
      <w:hyperlink w:anchor="_Toc423079110" w:history="1">
        <w:r w:rsidR="00CA44F3" w:rsidRPr="009B2F01">
          <w:rPr>
            <w:rStyle w:val="Hyperlink"/>
            <w:noProof/>
          </w:rPr>
          <w:t>3.1</w:t>
        </w:r>
        <w:r w:rsidR="00CA44F3">
          <w:rPr>
            <w:rFonts w:eastAsiaTheme="minorEastAsia" w:cstheme="minorBidi"/>
            <w:smallCaps w:val="0"/>
            <w:noProof/>
            <w:sz w:val="22"/>
            <w:szCs w:val="22"/>
            <w:lang w:val="en-NZ" w:eastAsia="en-NZ" w:bidi="ar-SA"/>
          </w:rPr>
          <w:tab/>
        </w:r>
        <w:r w:rsidR="00CA44F3" w:rsidRPr="009B2F01">
          <w:rPr>
            <w:rStyle w:val="Hyperlink"/>
            <w:noProof/>
          </w:rPr>
          <w:t>The current Standard</w:t>
        </w:r>
        <w:r w:rsidR="00CA44F3">
          <w:rPr>
            <w:noProof/>
            <w:webHidden/>
          </w:rPr>
          <w:tab/>
        </w:r>
        <w:r w:rsidR="00CA44F3">
          <w:rPr>
            <w:noProof/>
            <w:webHidden/>
          </w:rPr>
          <w:fldChar w:fldCharType="begin"/>
        </w:r>
        <w:r w:rsidR="00CA44F3">
          <w:rPr>
            <w:noProof/>
            <w:webHidden/>
          </w:rPr>
          <w:instrText xml:space="preserve"> PAGEREF _Toc423079110 \h </w:instrText>
        </w:r>
        <w:r w:rsidR="00CA44F3">
          <w:rPr>
            <w:noProof/>
            <w:webHidden/>
          </w:rPr>
        </w:r>
        <w:r w:rsidR="00CA44F3">
          <w:rPr>
            <w:noProof/>
            <w:webHidden/>
          </w:rPr>
          <w:fldChar w:fldCharType="separate"/>
        </w:r>
        <w:r w:rsidR="00AA4D1B">
          <w:rPr>
            <w:noProof/>
            <w:webHidden/>
          </w:rPr>
          <w:t>11</w:t>
        </w:r>
        <w:r w:rsidR="00CA44F3">
          <w:rPr>
            <w:noProof/>
            <w:webHidden/>
          </w:rPr>
          <w:fldChar w:fldCharType="end"/>
        </w:r>
      </w:hyperlink>
    </w:p>
    <w:p w14:paraId="5F0BB6DB" w14:textId="77777777" w:rsidR="00CA44F3" w:rsidRDefault="00B0015B">
      <w:pPr>
        <w:pStyle w:val="TOC2"/>
        <w:tabs>
          <w:tab w:val="left" w:pos="880"/>
          <w:tab w:val="right" w:leader="dot" w:pos="9060"/>
        </w:tabs>
        <w:rPr>
          <w:rFonts w:eastAsiaTheme="minorEastAsia" w:cstheme="minorBidi"/>
          <w:smallCaps w:val="0"/>
          <w:noProof/>
          <w:sz w:val="22"/>
          <w:szCs w:val="22"/>
          <w:lang w:val="en-NZ" w:eastAsia="en-NZ" w:bidi="ar-SA"/>
        </w:rPr>
      </w:pPr>
      <w:hyperlink w:anchor="_Toc423079111" w:history="1">
        <w:r w:rsidR="00CA44F3" w:rsidRPr="009B2F01">
          <w:rPr>
            <w:rStyle w:val="Hyperlink"/>
            <w:noProof/>
          </w:rPr>
          <w:t>3.2</w:t>
        </w:r>
        <w:r w:rsidR="00CA44F3">
          <w:rPr>
            <w:rFonts w:eastAsiaTheme="minorEastAsia" w:cstheme="minorBidi"/>
            <w:smallCaps w:val="0"/>
            <w:noProof/>
            <w:sz w:val="22"/>
            <w:szCs w:val="22"/>
            <w:lang w:val="en-NZ" w:eastAsia="en-NZ" w:bidi="ar-SA"/>
          </w:rPr>
          <w:tab/>
        </w:r>
        <w:r w:rsidR="00CA44F3" w:rsidRPr="009B2F01">
          <w:rPr>
            <w:rStyle w:val="Hyperlink"/>
            <w:noProof/>
          </w:rPr>
          <w:t>Reasons for preparing the proposal</w:t>
        </w:r>
        <w:r w:rsidR="00CA44F3">
          <w:rPr>
            <w:noProof/>
            <w:webHidden/>
          </w:rPr>
          <w:tab/>
        </w:r>
        <w:r w:rsidR="00CA44F3">
          <w:rPr>
            <w:noProof/>
            <w:webHidden/>
          </w:rPr>
          <w:fldChar w:fldCharType="begin"/>
        </w:r>
        <w:r w:rsidR="00CA44F3">
          <w:rPr>
            <w:noProof/>
            <w:webHidden/>
          </w:rPr>
          <w:instrText xml:space="preserve"> PAGEREF _Toc423079111 \h </w:instrText>
        </w:r>
        <w:r w:rsidR="00CA44F3">
          <w:rPr>
            <w:noProof/>
            <w:webHidden/>
          </w:rPr>
        </w:r>
        <w:r w:rsidR="00CA44F3">
          <w:rPr>
            <w:noProof/>
            <w:webHidden/>
          </w:rPr>
          <w:fldChar w:fldCharType="separate"/>
        </w:r>
        <w:r w:rsidR="00AA4D1B">
          <w:rPr>
            <w:noProof/>
            <w:webHidden/>
          </w:rPr>
          <w:t>11</w:t>
        </w:r>
        <w:r w:rsidR="00CA44F3">
          <w:rPr>
            <w:noProof/>
            <w:webHidden/>
          </w:rPr>
          <w:fldChar w:fldCharType="end"/>
        </w:r>
      </w:hyperlink>
    </w:p>
    <w:p w14:paraId="5F72D1DD" w14:textId="77777777" w:rsidR="00CA44F3" w:rsidRDefault="00B0015B">
      <w:pPr>
        <w:pStyle w:val="TOC2"/>
        <w:tabs>
          <w:tab w:val="left" w:pos="880"/>
          <w:tab w:val="right" w:leader="dot" w:pos="9060"/>
        </w:tabs>
        <w:rPr>
          <w:rFonts w:eastAsiaTheme="minorEastAsia" w:cstheme="minorBidi"/>
          <w:smallCaps w:val="0"/>
          <w:noProof/>
          <w:sz w:val="22"/>
          <w:szCs w:val="22"/>
          <w:lang w:val="en-NZ" w:eastAsia="en-NZ" w:bidi="ar-SA"/>
        </w:rPr>
      </w:pPr>
      <w:hyperlink w:anchor="_Toc423079112" w:history="1">
        <w:r w:rsidR="00CA44F3" w:rsidRPr="009B2F01">
          <w:rPr>
            <w:rStyle w:val="Hyperlink"/>
            <w:noProof/>
          </w:rPr>
          <w:t>3.3</w:t>
        </w:r>
        <w:r w:rsidR="00CA44F3">
          <w:rPr>
            <w:rFonts w:eastAsiaTheme="minorEastAsia" w:cstheme="minorBidi"/>
            <w:smallCaps w:val="0"/>
            <w:noProof/>
            <w:sz w:val="22"/>
            <w:szCs w:val="22"/>
            <w:lang w:val="en-NZ" w:eastAsia="en-NZ" w:bidi="ar-SA"/>
          </w:rPr>
          <w:tab/>
        </w:r>
        <w:r w:rsidR="00CA44F3" w:rsidRPr="009B2F01">
          <w:rPr>
            <w:rStyle w:val="Hyperlink"/>
            <w:noProof/>
          </w:rPr>
          <w:t>Summary of the assessment</w:t>
        </w:r>
        <w:r w:rsidR="00CA44F3">
          <w:rPr>
            <w:noProof/>
            <w:webHidden/>
          </w:rPr>
          <w:tab/>
        </w:r>
        <w:r w:rsidR="00CA44F3">
          <w:rPr>
            <w:noProof/>
            <w:webHidden/>
          </w:rPr>
          <w:fldChar w:fldCharType="begin"/>
        </w:r>
        <w:r w:rsidR="00CA44F3">
          <w:rPr>
            <w:noProof/>
            <w:webHidden/>
          </w:rPr>
          <w:instrText xml:space="preserve"> PAGEREF _Toc423079112 \h </w:instrText>
        </w:r>
        <w:r w:rsidR="00CA44F3">
          <w:rPr>
            <w:noProof/>
            <w:webHidden/>
          </w:rPr>
        </w:r>
        <w:r w:rsidR="00CA44F3">
          <w:rPr>
            <w:noProof/>
            <w:webHidden/>
          </w:rPr>
          <w:fldChar w:fldCharType="separate"/>
        </w:r>
        <w:r w:rsidR="00AA4D1B">
          <w:rPr>
            <w:noProof/>
            <w:webHidden/>
          </w:rPr>
          <w:t>12</w:t>
        </w:r>
        <w:r w:rsidR="00CA44F3">
          <w:rPr>
            <w:noProof/>
            <w:webHidden/>
          </w:rPr>
          <w:fldChar w:fldCharType="end"/>
        </w:r>
      </w:hyperlink>
    </w:p>
    <w:p w14:paraId="52E9F11D" w14:textId="77777777" w:rsidR="00CA44F3" w:rsidRDefault="00B0015B">
      <w:pPr>
        <w:pStyle w:val="TOC3"/>
        <w:tabs>
          <w:tab w:val="left" w:pos="1100"/>
          <w:tab w:val="right" w:leader="dot" w:pos="9060"/>
        </w:tabs>
        <w:rPr>
          <w:rFonts w:eastAsiaTheme="minorEastAsia" w:cstheme="minorBidi"/>
          <w:i w:val="0"/>
          <w:iCs w:val="0"/>
          <w:noProof/>
          <w:sz w:val="22"/>
          <w:szCs w:val="22"/>
          <w:lang w:val="en-NZ" w:eastAsia="en-NZ" w:bidi="ar-SA"/>
        </w:rPr>
      </w:pPr>
      <w:hyperlink w:anchor="_Toc423079113" w:history="1">
        <w:r w:rsidR="00CA44F3" w:rsidRPr="009B2F01">
          <w:rPr>
            <w:rStyle w:val="Hyperlink"/>
            <w:noProof/>
          </w:rPr>
          <w:t>3.3.1</w:t>
        </w:r>
        <w:r w:rsidR="00CA44F3">
          <w:rPr>
            <w:rFonts w:eastAsiaTheme="minorEastAsia" w:cstheme="minorBidi"/>
            <w:i w:val="0"/>
            <w:iCs w:val="0"/>
            <w:noProof/>
            <w:sz w:val="22"/>
            <w:szCs w:val="22"/>
            <w:lang w:val="en-NZ" w:eastAsia="en-NZ" w:bidi="ar-SA"/>
          </w:rPr>
          <w:tab/>
        </w:r>
        <w:r w:rsidR="00CA44F3" w:rsidRPr="009B2F01">
          <w:rPr>
            <w:rStyle w:val="Hyperlink"/>
            <w:noProof/>
          </w:rPr>
          <w:t>Risk Assessment</w:t>
        </w:r>
        <w:r w:rsidR="00CA44F3">
          <w:rPr>
            <w:noProof/>
            <w:webHidden/>
          </w:rPr>
          <w:tab/>
        </w:r>
        <w:r w:rsidR="00CA44F3">
          <w:rPr>
            <w:noProof/>
            <w:webHidden/>
          </w:rPr>
          <w:fldChar w:fldCharType="begin"/>
        </w:r>
        <w:r w:rsidR="00CA44F3">
          <w:rPr>
            <w:noProof/>
            <w:webHidden/>
          </w:rPr>
          <w:instrText xml:space="preserve"> PAGEREF _Toc423079113 \h </w:instrText>
        </w:r>
        <w:r w:rsidR="00CA44F3">
          <w:rPr>
            <w:noProof/>
            <w:webHidden/>
          </w:rPr>
        </w:r>
        <w:r w:rsidR="00CA44F3">
          <w:rPr>
            <w:noProof/>
            <w:webHidden/>
          </w:rPr>
          <w:fldChar w:fldCharType="separate"/>
        </w:r>
        <w:r w:rsidR="00AA4D1B">
          <w:rPr>
            <w:noProof/>
            <w:webHidden/>
          </w:rPr>
          <w:t>12</w:t>
        </w:r>
        <w:r w:rsidR="00CA44F3">
          <w:rPr>
            <w:noProof/>
            <w:webHidden/>
          </w:rPr>
          <w:fldChar w:fldCharType="end"/>
        </w:r>
      </w:hyperlink>
    </w:p>
    <w:p w14:paraId="73D3B99A" w14:textId="77777777" w:rsidR="00CA44F3" w:rsidRDefault="00B0015B">
      <w:pPr>
        <w:pStyle w:val="TOC3"/>
        <w:tabs>
          <w:tab w:val="left" w:pos="1100"/>
          <w:tab w:val="right" w:leader="dot" w:pos="9060"/>
        </w:tabs>
        <w:rPr>
          <w:rFonts w:eastAsiaTheme="minorEastAsia" w:cstheme="minorBidi"/>
          <w:i w:val="0"/>
          <w:iCs w:val="0"/>
          <w:noProof/>
          <w:sz w:val="22"/>
          <w:szCs w:val="22"/>
          <w:lang w:val="en-NZ" w:eastAsia="en-NZ" w:bidi="ar-SA"/>
        </w:rPr>
      </w:pPr>
      <w:hyperlink w:anchor="_Toc423079114" w:history="1">
        <w:r w:rsidR="00CA44F3" w:rsidRPr="009B2F01">
          <w:rPr>
            <w:rStyle w:val="Hyperlink"/>
            <w:noProof/>
          </w:rPr>
          <w:t>3.3.2</w:t>
        </w:r>
        <w:r w:rsidR="00CA44F3">
          <w:rPr>
            <w:rFonts w:eastAsiaTheme="minorEastAsia" w:cstheme="minorBidi"/>
            <w:i w:val="0"/>
            <w:iCs w:val="0"/>
            <w:noProof/>
            <w:sz w:val="22"/>
            <w:szCs w:val="22"/>
            <w:lang w:val="en-NZ" w:eastAsia="en-NZ" w:bidi="ar-SA"/>
          </w:rPr>
          <w:tab/>
        </w:r>
        <w:r w:rsidR="00CA44F3" w:rsidRPr="009B2F01">
          <w:rPr>
            <w:rStyle w:val="Hyperlink"/>
            <w:noProof/>
          </w:rPr>
          <w:t>Risk Management</w:t>
        </w:r>
        <w:r w:rsidR="00CA44F3">
          <w:rPr>
            <w:noProof/>
            <w:webHidden/>
          </w:rPr>
          <w:tab/>
        </w:r>
        <w:r w:rsidR="00CA44F3">
          <w:rPr>
            <w:noProof/>
            <w:webHidden/>
          </w:rPr>
          <w:fldChar w:fldCharType="begin"/>
        </w:r>
        <w:r w:rsidR="00CA44F3">
          <w:rPr>
            <w:noProof/>
            <w:webHidden/>
          </w:rPr>
          <w:instrText xml:space="preserve"> PAGEREF _Toc423079114 \h </w:instrText>
        </w:r>
        <w:r w:rsidR="00CA44F3">
          <w:rPr>
            <w:noProof/>
            <w:webHidden/>
          </w:rPr>
        </w:r>
        <w:r w:rsidR="00CA44F3">
          <w:rPr>
            <w:noProof/>
            <w:webHidden/>
          </w:rPr>
          <w:fldChar w:fldCharType="separate"/>
        </w:r>
        <w:r w:rsidR="00AA4D1B">
          <w:rPr>
            <w:noProof/>
            <w:webHidden/>
          </w:rPr>
          <w:t>12</w:t>
        </w:r>
        <w:r w:rsidR="00CA44F3">
          <w:rPr>
            <w:noProof/>
            <w:webHidden/>
          </w:rPr>
          <w:fldChar w:fldCharType="end"/>
        </w:r>
      </w:hyperlink>
    </w:p>
    <w:p w14:paraId="1C844182" w14:textId="77777777" w:rsidR="00CA44F3" w:rsidRDefault="00B0015B">
      <w:pPr>
        <w:pStyle w:val="TOC2"/>
        <w:tabs>
          <w:tab w:val="left" w:pos="880"/>
          <w:tab w:val="right" w:leader="dot" w:pos="9060"/>
        </w:tabs>
        <w:rPr>
          <w:rFonts w:eastAsiaTheme="minorEastAsia" w:cstheme="minorBidi"/>
          <w:smallCaps w:val="0"/>
          <w:noProof/>
          <w:sz w:val="22"/>
          <w:szCs w:val="22"/>
          <w:lang w:val="en-NZ" w:eastAsia="en-NZ" w:bidi="ar-SA"/>
        </w:rPr>
      </w:pPr>
      <w:hyperlink w:anchor="_Toc423079115" w:history="1">
        <w:r w:rsidR="00CA44F3" w:rsidRPr="009B2F01">
          <w:rPr>
            <w:rStyle w:val="Hyperlink"/>
            <w:noProof/>
          </w:rPr>
          <w:t>3.4</w:t>
        </w:r>
        <w:r w:rsidR="00CA44F3">
          <w:rPr>
            <w:rFonts w:eastAsiaTheme="minorEastAsia" w:cstheme="minorBidi"/>
            <w:smallCaps w:val="0"/>
            <w:noProof/>
            <w:sz w:val="22"/>
            <w:szCs w:val="22"/>
            <w:lang w:val="en-NZ" w:eastAsia="en-NZ" w:bidi="ar-SA"/>
          </w:rPr>
          <w:tab/>
        </w:r>
        <w:r w:rsidR="00CA44F3" w:rsidRPr="009B2F01">
          <w:rPr>
            <w:rStyle w:val="Hyperlink"/>
            <w:noProof/>
          </w:rPr>
          <w:t>FSANZ Act assessment requirements</w:t>
        </w:r>
        <w:r w:rsidR="00CA44F3">
          <w:rPr>
            <w:noProof/>
            <w:webHidden/>
          </w:rPr>
          <w:tab/>
        </w:r>
        <w:r w:rsidR="00CA44F3">
          <w:rPr>
            <w:noProof/>
            <w:webHidden/>
          </w:rPr>
          <w:fldChar w:fldCharType="begin"/>
        </w:r>
        <w:r w:rsidR="00CA44F3">
          <w:rPr>
            <w:noProof/>
            <w:webHidden/>
          </w:rPr>
          <w:instrText xml:space="preserve"> PAGEREF _Toc423079115 \h </w:instrText>
        </w:r>
        <w:r w:rsidR="00CA44F3">
          <w:rPr>
            <w:noProof/>
            <w:webHidden/>
          </w:rPr>
        </w:r>
        <w:r w:rsidR="00CA44F3">
          <w:rPr>
            <w:noProof/>
            <w:webHidden/>
          </w:rPr>
          <w:fldChar w:fldCharType="separate"/>
        </w:r>
        <w:r w:rsidR="00AA4D1B">
          <w:rPr>
            <w:noProof/>
            <w:webHidden/>
          </w:rPr>
          <w:t>12</w:t>
        </w:r>
        <w:r w:rsidR="00CA44F3">
          <w:rPr>
            <w:noProof/>
            <w:webHidden/>
          </w:rPr>
          <w:fldChar w:fldCharType="end"/>
        </w:r>
      </w:hyperlink>
    </w:p>
    <w:p w14:paraId="18D1D5BF" w14:textId="77777777" w:rsidR="00CA44F3" w:rsidRDefault="00B0015B">
      <w:pPr>
        <w:pStyle w:val="TOC3"/>
        <w:tabs>
          <w:tab w:val="left" w:pos="1100"/>
          <w:tab w:val="right" w:leader="dot" w:pos="9060"/>
        </w:tabs>
        <w:rPr>
          <w:rFonts w:eastAsiaTheme="minorEastAsia" w:cstheme="minorBidi"/>
          <w:i w:val="0"/>
          <w:iCs w:val="0"/>
          <w:noProof/>
          <w:sz w:val="22"/>
          <w:szCs w:val="22"/>
          <w:lang w:val="en-NZ" w:eastAsia="en-NZ" w:bidi="ar-SA"/>
        </w:rPr>
      </w:pPr>
      <w:hyperlink w:anchor="_Toc423079116" w:history="1">
        <w:r w:rsidR="00CA44F3" w:rsidRPr="009B2F01">
          <w:rPr>
            <w:rStyle w:val="Hyperlink"/>
            <w:noProof/>
          </w:rPr>
          <w:t>3.4.1</w:t>
        </w:r>
        <w:r w:rsidR="00CA44F3">
          <w:rPr>
            <w:rFonts w:eastAsiaTheme="minorEastAsia" w:cstheme="minorBidi"/>
            <w:i w:val="0"/>
            <w:iCs w:val="0"/>
            <w:noProof/>
            <w:sz w:val="22"/>
            <w:szCs w:val="22"/>
            <w:lang w:val="en-NZ" w:eastAsia="en-NZ" w:bidi="ar-SA"/>
          </w:rPr>
          <w:tab/>
        </w:r>
        <w:r w:rsidR="00CA44F3" w:rsidRPr="009B2F01">
          <w:rPr>
            <w:rStyle w:val="Hyperlink"/>
            <w:noProof/>
          </w:rPr>
          <w:t>Section 59</w:t>
        </w:r>
        <w:r w:rsidR="00CA44F3">
          <w:rPr>
            <w:noProof/>
            <w:webHidden/>
          </w:rPr>
          <w:tab/>
        </w:r>
        <w:r w:rsidR="00CA44F3">
          <w:rPr>
            <w:noProof/>
            <w:webHidden/>
          </w:rPr>
          <w:fldChar w:fldCharType="begin"/>
        </w:r>
        <w:r w:rsidR="00CA44F3">
          <w:rPr>
            <w:noProof/>
            <w:webHidden/>
          </w:rPr>
          <w:instrText xml:space="preserve"> PAGEREF _Toc423079116 \h </w:instrText>
        </w:r>
        <w:r w:rsidR="00CA44F3">
          <w:rPr>
            <w:noProof/>
            <w:webHidden/>
          </w:rPr>
        </w:r>
        <w:r w:rsidR="00CA44F3">
          <w:rPr>
            <w:noProof/>
            <w:webHidden/>
          </w:rPr>
          <w:fldChar w:fldCharType="separate"/>
        </w:r>
        <w:r w:rsidR="00AA4D1B">
          <w:rPr>
            <w:noProof/>
            <w:webHidden/>
          </w:rPr>
          <w:t>13</w:t>
        </w:r>
        <w:r w:rsidR="00CA44F3">
          <w:rPr>
            <w:noProof/>
            <w:webHidden/>
          </w:rPr>
          <w:fldChar w:fldCharType="end"/>
        </w:r>
      </w:hyperlink>
    </w:p>
    <w:p w14:paraId="4501B8BC" w14:textId="77777777" w:rsidR="00CA44F3" w:rsidRDefault="00B0015B">
      <w:pPr>
        <w:pStyle w:val="TOC3"/>
        <w:tabs>
          <w:tab w:val="left" w:pos="1100"/>
          <w:tab w:val="right" w:leader="dot" w:pos="9060"/>
        </w:tabs>
        <w:rPr>
          <w:rFonts w:eastAsiaTheme="minorEastAsia" w:cstheme="minorBidi"/>
          <w:i w:val="0"/>
          <w:iCs w:val="0"/>
          <w:noProof/>
          <w:sz w:val="22"/>
          <w:szCs w:val="22"/>
          <w:lang w:val="en-NZ" w:eastAsia="en-NZ" w:bidi="ar-SA"/>
        </w:rPr>
      </w:pPr>
      <w:hyperlink w:anchor="_Toc423079117" w:history="1">
        <w:r w:rsidR="00CA44F3" w:rsidRPr="009B2F01">
          <w:rPr>
            <w:rStyle w:val="Hyperlink"/>
            <w:noProof/>
          </w:rPr>
          <w:t>3.4.2</w:t>
        </w:r>
        <w:r w:rsidR="00CA44F3">
          <w:rPr>
            <w:rFonts w:eastAsiaTheme="minorEastAsia" w:cstheme="minorBidi"/>
            <w:i w:val="0"/>
            <w:iCs w:val="0"/>
            <w:noProof/>
            <w:sz w:val="22"/>
            <w:szCs w:val="22"/>
            <w:lang w:val="en-NZ" w:eastAsia="en-NZ" w:bidi="ar-SA"/>
          </w:rPr>
          <w:tab/>
        </w:r>
        <w:r w:rsidR="00CA44F3" w:rsidRPr="009B2F01">
          <w:rPr>
            <w:rStyle w:val="Hyperlink"/>
            <w:noProof/>
          </w:rPr>
          <w:t>Subsection 18(1)</w:t>
        </w:r>
        <w:r w:rsidR="00CA44F3">
          <w:rPr>
            <w:noProof/>
            <w:webHidden/>
          </w:rPr>
          <w:tab/>
        </w:r>
        <w:r w:rsidR="00CA44F3">
          <w:rPr>
            <w:noProof/>
            <w:webHidden/>
          </w:rPr>
          <w:fldChar w:fldCharType="begin"/>
        </w:r>
        <w:r w:rsidR="00CA44F3">
          <w:rPr>
            <w:noProof/>
            <w:webHidden/>
          </w:rPr>
          <w:instrText xml:space="preserve"> PAGEREF _Toc423079117 \h </w:instrText>
        </w:r>
        <w:r w:rsidR="00CA44F3">
          <w:rPr>
            <w:noProof/>
            <w:webHidden/>
          </w:rPr>
        </w:r>
        <w:r w:rsidR="00CA44F3">
          <w:rPr>
            <w:noProof/>
            <w:webHidden/>
          </w:rPr>
          <w:fldChar w:fldCharType="separate"/>
        </w:r>
        <w:r w:rsidR="00AA4D1B">
          <w:rPr>
            <w:noProof/>
            <w:webHidden/>
          </w:rPr>
          <w:t>13</w:t>
        </w:r>
        <w:r w:rsidR="00CA44F3">
          <w:rPr>
            <w:noProof/>
            <w:webHidden/>
          </w:rPr>
          <w:fldChar w:fldCharType="end"/>
        </w:r>
      </w:hyperlink>
    </w:p>
    <w:p w14:paraId="6E18CE8C" w14:textId="77777777" w:rsidR="00CA44F3" w:rsidRDefault="00B0015B">
      <w:pPr>
        <w:pStyle w:val="TOC3"/>
        <w:tabs>
          <w:tab w:val="left" w:pos="1100"/>
          <w:tab w:val="right" w:leader="dot" w:pos="9060"/>
        </w:tabs>
        <w:rPr>
          <w:rFonts w:eastAsiaTheme="minorEastAsia" w:cstheme="minorBidi"/>
          <w:i w:val="0"/>
          <w:iCs w:val="0"/>
          <w:noProof/>
          <w:sz w:val="22"/>
          <w:szCs w:val="22"/>
          <w:lang w:val="en-NZ" w:eastAsia="en-NZ" w:bidi="ar-SA"/>
        </w:rPr>
      </w:pPr>
      <w:hyperlink w:anchor="_Toc423079118" w:history="1">
        <w:r w:rsidR="00CA44F3" w:rsidRPr="009B2F01">
          <w:rPr>
            <w:rStyle w:val="Hyperlink"/>
            <w:noProof/>
          </w:rPr>
          <w:t>3.4.3</w:t>
        </w:r>
        <w:r w:rsidR="00CA44F3">
          <w:rPr>
            <w:rFonts w:eastAsiaTheme="minorEastAsia" w:cstheme="minorBidi"/>
            <w:i w:val="0"/>
            <w:iCs w:val="0"/>
            <w:noProof/>
            <w:sz w:val="22"/>
            <w:szCs w:val="22"/>
            <w:lang w:val="en-NZ" w:eastAsia="en-NZ" w:bidi="ar-SA"/>
          </w:rPr>
          <w:tab/>
        </w:r>
        <w:r w:rsidR="00CA44F3" w:rsidRPr="009B2F01">
          <w:rPr>
            <w:rStyle w:val="Hyperlink"/>
            <w:noProof/>
          </w:rPr>
          <w:t>Subsection 18(2) considerations</w:t>
        </w:r>
        <w:r w:rsidR="00CA44F3">
          <w:rPr>
            <w:noProof/>
            <w:webHidden/>
          </w:rPr>
          <w:tab/>
        </w:r>
        <w:r w:rsidR="00CA44F3">
          <w:rPr>
            <w:noProof/>
            <w:webHidden/>
          </w:rPr>
          <w:fldChar w:fldCharType="begin"/>
        </w:r>
        <w:r w:rsidR="00CA44F3">
          <w:rPr>
            <w:noProof/>
            <w:webHidden/>
          </w:rPr>
          <w:instrText xml:space="preserve"> PAGEREF _Toc423079118 \h </w:instrText>
        </w:r>
        <w:r w:rsidR="00CA44F3">
          <w:rPr>
            <w:noProof/>
            <w:webHidden/>
          </w:rPr>
        </w:r>
        <w:r w:rsidR="00CA44F3">
          <w:rPr>
            <w:noProof/>
            <w:webHidden/>
          </w:rPr>
          <w:fldChar w:fldCharType="separate"/>
        </w:r>
        <w:r w:rsidR="00AA4D1B">
          <w:rPr>
            <w:noProof/>
            <w:webHidden/>
          </w:rPr>
          <w:t>14</w:t>
        </w:r>
        <w:r w:rsidR="00CA44F3">
          <w:rPr>
            <w:noProof/>
            <w:webHidden/>
          </w:rPr>
          <w:fldChar w:fldCharType="end"/>
        </w:r>
      </w:hyperlink>
    </w:p>
    <w:p w14:paraId="48B8D149" w14:textId="77777777" w:rsidR="00CA44F3" w:rsidRDefault="00B0015B">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23079119" w:history="1">
        <w:r w:rsidR="00CA44F3" w:rsidRPr="009B2F01">
          <w:rPr>
            <w:rStyle w:val="Hyperlink"/>
            <w:noProof/>
          </w:rPr>
          <w:t>4</w:t>
        </w:r>
        <w:r w:rsidR="00CA44F3">
          <w:rPr>
            <w:rFonts w:eastAsiaTheme="minorEastAsia" w:cstheme="minorBidi"/>
            <w:b w:val="0"/>
            <w:bCs w:val="0"/>
            <w:caps w:val="0"/>
            <w:noProof/>
            <w:sz w:val="22"/>
            <w:szCs w:val="22"/>
            <w:lang w:val="en-NZ" w:eastAsia="en-NZ" w:bidi="ar-SA"/>
          </w:rPr>
          <w:tab/>
        </w:r>
        <w:r w:rsidR="00CA44F3" w:rsidRPr="009B2F01">
          <w:rPr>
            <w:rStyle w:val="Hyperlink"/>
            <w:noProof/>
          </w:rPr>
          <w:t>Risk communication</w:t>
        </w:r>
        <w:r w:rsidR="00CA44F3">
          <w:rPr>
            <w:noProof/>
            <w:webHidden/>
          </w:rPr>
          <w:tab/>
        </w:r>
        <w:r w:rsidR="00CA44F3">
          <w:rPr>
            <w:noProof/>
            <w:webHidden/>
          </w:rPr>
          <w:fldChar w:fldCharType="begin"/>
        </w:r>
        <w:r w:rsidR="00CA44F3">
          <w:rPr>
            <w:noProof/>
            <w:webHidden/>
          </w:rPr>
          <w:instrText xml:space="preserve"> PAGEREF _Toc423079119 \h </w:instrText>
        </w:r>
        <w:r w:rsidR="00CA44F3">
          <w:rPr>
            <w:noProof/>
            <w:webHidden/>
          </w:rPr>
        </w:r>
        <w:r w:rsidR="00CA44F3">
          <w:rPr>
            <w:noProof/>
            <w:webHidden/>
          </w:rPr>
          <w:fldChar w:fldCharType="separate"/>
        </w:r>
        <w:r w:rsidR="00AA4D1B">
          <w:rPr>
            <w:noProof/>
            <w:webHidden/>
          </w:rPr>
          <w:t>15</w:t>
        </w:r>
        <w:r w:rsidR="00CA44F3">
          <w:rPr>
            <w:noProof/>
            <w:webHidden/>
          </w:rPr>
          <w:fldChar w:fldCharType="end"/>
        </w:r>
      </w:hyperlink>
    </w:p>
    <w:p w14:paraId="7541C418" w14:textId="77777777" w:rsidR="00CA44F3" w:rsidRDefault="00B0015B">
      <w:pPr>
        <w:pStyle w:val="TOC2"/>
        <w:tabs>
          <w:tab w:val="left" w:pos="880"/>
          <w:tab w:val="right" w:leader="dot" w:pos="9060"/>
        </w:tabs>
        <w:rPr>
          <w:rFonts w:eastAsiaTheme="minorEastAsia" w:cstheme="minorBidi"/>
          <w:smallCaps w:val="0"/>
          <w:noProof/>
          <w:sz w:val="22"/>
          <w:szCs w:val="22"/>
          <w:lang w:val="en-NZ" w:eastAsia="en-NZ" w:bidi="ar-SA"/>
        </w:rPr>
      </w:pPr>
      <w:hyperlink w:anchor="_Toc423079120" w:history="1">
        <w:r w:rsidR="00CA44F3" w:rsidRPr="009B2F01">
          <w:rPr>
            <w:rStyle w:val="Hyperlink"/>
            <w:noProof/>
          </w:rPr>
          <w:t>4.1</w:t>
        </w:r>
        <w:r w:rsidR="00CA44F3">
          <w:rPr>
            <w:rFonts w:eastAsiaTheme="minorEastAsia" w:cstheme="minorBidi"/>
            <w:smallCaps w:val="0"/>
            <w:noProof/>
            <w:sz w:val="22"/>
            <w:szCs w:val="22"/>
            <w:lang w:val="en-NZ" w:eastAsia="en-NZ" w:bidi="ar-SA"/>
          </w:rPr>
          <w:tab/>
        </w:r>
        <w:r w:rsidR="00CA44F3" w:rsidRPr="009B2F01">
          <w:rPr>
            <w:rStyle w:val="Hyperlink"/>
            <w:noProof/>
          </w:rPr>
          <w:t>Consultation</w:t>
        </w:r>
        <w:r w:rsidR="00CA44F3">
          <w:rPr>
            <w:noProof/>
            <w:webHidden/>
          </w:rPr>
          <w:tab/>
        </w:r>
        <w:r w:rsidR="00CA44F3">
          <w:rPr>
            <w:noProof/>
            <w:webHidden/>
          </w:rPr>
          <w:fldChar w:fldCharType="begin"/>
        </w:r>
        <w:r w:rsidR="00CA44F3">
          <w:rPr>
            <w:noProof/>
            <w:webHidden/>
          </w:rPr>
          <w:instrText xml:space="preserve"> PAGEREF _Toc423079120 \h </w:instrText>
        </w:r>
        <w:r w:rsidR="00CA44F3">
          <w:rPr>
            <w:noProof/>
            <w:webHidden/>
          </w:rPr>
        </w:r>
        <w:r w:rsidR="00CA44F3">
          <w:rPr>
            <w:noProof/>
            <w:webHidden/>
          </w:rPr>
          <w:fldChar w:fldCharType="separate"/>
        </w:r>
        <w:r w:rsidR="00AA4D1B">
          <w:rPr>
            <w:noProof/>
            <w:webHidden/>
          </w:rPr>
          <w:t>15</w:t>
        </w:r>
        <w:r w:rsidR="00CA44F3">
          <w:rPr>
            <w:noProof/>
            <w:webHidden/>
          </w:rPr>
          <w:fldChar w:fldCharType="end"/>
        </w:r>
      </w:hyperlink>
    </w:p>
    <w:p w14:paraId="770CC01B" w14:textId="77777777" w:rsidR="00CA44F3" w:rsidRDefault="00B0015B">
      <w:pPr>
        <w:pStyle w:val="TOC2"/>
        <w:tabs>
          <w:tab w:val="left" w:pos="880"/>
          <w:tab w:val="right" w:leader="dot" w:pos="9060"/>
        </w:tabs>
        <w:rPr>
          <w:rFonts w:eastAsiaTheme="minorEastAsia" w:cstheme="minorBidi"/>
          <w:smallCaps w:val="0"/>
          <w:noProof/>
          <w:sz w:val="22"/>
          <w:szCs w:val="22"/>
          <w:lang w:val="en-NZ" w:eastAsia="en-NZ" w:bidi="ar-SA"/>
        </w:rPr>
      </w:pPr>
      <w:hyperlink w:anchor="_Toc423079121" w:history="1">
        <w:r w:rsidR="00CA44F3" w:rsidRPr="009B2F01">
          <w:rPr>
            <w:rStyle w:val="Hyperlink"/>
            <w:noProof/>
          </w:rPr>
          <w:t>4.2</w:t>
        </w:r>
        <w:r w:rsidR="00CA44F3">
          <w:rPr>
            <w:rFonts w:eastAsiaTheme="minorEastAsia" w:cstheme="minorBidi"/>
            <w:smallCaps w:val="0"/>
            <w:noProof/>
            <w:sz w:val="22"/>
            <w:szCs w:val="22"/>
            <w:lang w:val="en-NZ" w:eastAsia="en-NZ" w:bidi="ar-SA"/>
          </w:rPr>
          <w:tab/>
        </w:r>
        <w:r w:rsidR="00CA44F3" w:rsidRPr="009B2F01">
          <w:rPr>
            <w:rStyle w:val="Hyperlink"/>
            <w:noProof/>
          </w:rPr>
          <w:t>World Trade Organization (WTO)</w:t>
        </w:r>
        <w:r w:rsidR="00CA44F3">
          <w:rPr>
            <w:noProof/>
            <w:webHidden/>
          </w:rPr>
          <w:tab/>
        </w:r>
        <w:r w:rsidR="00CA44F3">
          <w:rPr>
            <w:noProof/>
            <w:webHidden/>
          </w:rPr>
          <w:fldChar w:fldCharType="begin"/>
        </w:r>
        <w:r w:rsidR="00CA44F3">
          <w:rPr>
            <w:noProof/>
            <w:webHidden/>
          </w:rPr>
          <w:instrText xml:space="preserve"> PAGEREF _Toc423079121 \h </w:instrText>
        </w:r>
        <w:r w:rsidR="00CA44F3">
          <w:rPr>
            <w:noProof/>
            <w:webHidden/>
          </w:rPr>
        </w:r>
        <w:r w:rsidR="00CA44F3">
          <w:rPr>
            <w:noProof/>
            <w:webHidden/>
          </w:rPr>
          <w:fldChar w:fldCharType="separate"/>
        </w:r>
        <w:r w:rsidR="00AA4D1B">
          <w:rPr>
            <w:noProof/>
            <w:webHidden/>
          </w:rPr>
          <w:t>15</w:t>
        </w:r>
        <w:r w:rsidR="00CA44F3">
          <w:rPr>
            <w:noProof/>
            <w:webHidden/>
          </w:rPr>
          <w:fldChar w:fldCharType="end"/>
        </w:r>
      </w:hyperlink>
    </w:p>
    <w:p w14:paraId="3F32C185" w14:textId="77777777" w:rsidR="00CA44F3" w:rsidRDefault="00B0015B">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23079122" w:history="1">
        <w:r w:rsidR="00CA44F3" w:rsidRPr="009B2F01">
          <w:rPr>
            <w:rStyle w:val="Hyperlink"/>
            <w:noProof/>
          </w:rPr>
          <w:t>5</w:t>
        </w:r>
        <w:r w:rsidR="00CA44F3">
          <w:rPr>
            <w:rFonts w:eastAsiaTheme="minorEastAsia" w:cstheme="minorBidi"/>
            <w:b w:val="0"/>
            <w:bCs w:val="0"/>
            <w:caps w:val="0"/>
            <w:noProof/>
            <w:sz w:val="22"/>
            <w:szCs w:val="22"/>
            <w:lang w:val="en-NZ" w:eastAsia="en-NZ" w:bidi="ar-SA"/>
          </w:rPr>
          <w:tab/>
        </w:r>
        <w:r w:rsidR="00CA44F3" w:rsidRPr="009B2F01">
          <w:rPr>
            <w:rStyle w:val="Hyperlink"/>
            <w:noProof/>
          </w:rPr>
          <w:t>Draft variation</w:t>
        </w:r>
        <w:r w:rsidR="00CA44F3">
          <w:rPr>
            <w:noProof/>
            <w:webHidden/>
          </w:rPr>
          <w:tab/>
        </w:r>
        <w:r w:rsidR="00CA44F3">
          <w:rPr>
            <w:noProof/>
            <w:webHidden/>
          </w:rPr>
          <w:fldChar w:fldCharType="begin"/>
        </w:r>
        <w:r w:rsidR="00CA44F3">
          <w:rPr>
            <w:noProof/>
            <w:webHidden/>
          </w:rPr>
          <w:instrText xml:space="preserve"> PAGEREF _Toc423079122 \h </w:instrText>
        </w:r>
        <w:r w:rsidR="00CA44F3">
          <w:rPr>
            <w:noProof/>
            <w:webHidden/>
          </w:rPr>
        </w:r>
        <w:r w:rsidR="00CA44F3">
          <w:rPr>
            <w:noProof/>
            <w:webHidden/>
          </w:rPr>
          <w:fldChar w:fldCharType="separate"/>
        </w:r>
        <w:r w:rsidR="00AA4D1B">
          <w:rPr>
            <w:noProof/>
            <w:webHidden/>
          </w:rPr>
          <w:t>15</w:t>
        </w:r>
        <w:r w:rsidR="00CA44F3">
          <w:rPr>
            <w:noProof/>
            <w:webHidden/>
          </w:rPr>
          <w:fldChar w:fldCharType="end"/>
        </w:r>
      </w:hyperlink>
    </w:p>
    <w:p w14:paraId="1936F2F2" w14:textId="77777777" w:rsidR="00CA44F3" w:rsidRDefault="00B0015B">
      <w:pPr>
        <w:pStyle w:val="TOC2"/>
        <w:tabs>
          <w:tab w:val="left" w:pos="880"/>
          <w:tab w:val="right" w:leader="dot" w:pos="9060"/>
        </w:tabs>
        <w:rPr>
          <w:rFonts w:eastAsiaTheme="minorEastAsia" w:cstheme="minorBidi"/>
          <w:smallCaps w:val="0"/>
          <w:noProof/>
          <w:sz w:val="22"/>
          <w:szCs w:val="22"/>
          <w:lang w:val="en-NZ" w:eastAsia="en-NZ" w:bidi="ar-SA"/>
        </w:rPr>
      </w:pPr>
      <w:hyperlink w:anchor="_Toc423079123" w:history="1">
        <w:r w:rsidR="00CA44F3" w:rsidRPr="009B2F01">
          <w:rPr>
            <w:rStyle w:val="Hyperlink"/>
            <w:noProof/>
          </w:rPr>
          <w:t>5.1</w:t>
        </w:r>
        <w:r w:rsidR="00CA44F3">
          <w:rPr>
            <w:rFonts w:eastAsiaTheme="minorEastAsia" w:cstheme="minorBidi"/>
            <w:smallCaps w:val="0"/>
            <w:noProof/>
            <w:sz w:val="22"/>
            <w:szCs w:val="22"/>
            <w:lang w:val="en-NZ" w:eastAsia="en-NZ" w:bidi="ar-SA"/>
          </w:rPr>
          <w:tab/>
        </w:r>
        <w:r w:rsidR="00CA44F3" w:rsidRPr="009B2F01">
          <w:rPr>
            <w:rStyle w:val="Hyperlink"/>
            <w:noProof/>
          </w:rPr>
          <w:t>Transitional arrangements</w:t>
        </w:r>
        <w:r w:rsidR="00CA44F3">
          <w:rPr>
            <w:noProof/>
            <w:webHidden/>
          </w:rPr>
          <w:tab/>
        </w:r>
        <w:r w:rsidR="00CA44F3">
          <w:rPr>
            <w:noProof/>
            <w:webHidden/>
          </w:rPr>
          <w:fldChar w:fldCharType="begin"/>
        </w:r>
        <w:r w:rsidR="00CA44F3">
          <w:rPr>
            <w:noProof/>
            <w:webHidden/>
          </w:rPr>
          <w:instrText xml:space="preserve"> PAGEREF _Toc423079123 \h </w:instrText>
        </w:r>
        <w:r w:rsidR="00CA44F3">
          <w:rPr>
            <w:noProof/>
            <w:webHidden/>
          </w:rPr>
        </w:r>
        <w:r w:rsidR="00CA44F3">
          <w:rPr>
            <w:noProof/>
            <w:webHidden/>
          </w:rPr>
          <w:fldChar w:fldCharType="separate"/>
        </w:r>
        <w:r w:rsidR="00AA4D1B">
          <w:rPr>
            <w:noProof/>
            <w:webHidden/>
          </w:rPr>
          <w:t>16</w:t>
        </w:r>
        <w:r w:rsidR="00CA44F3">
          <w:rPr>
            <w:noProof/>
            <w:webHidden/>
          </w:rPr>
          <w:fldChar w:fldCharType="end"/>
        </w:r>
      </w:hyperlink>
    </w:p>
    <w:p w14:paraId="6C12E968" w14:textId="77777777" w:rsidR="00CA44F3" w:rsidRDefault="00B0015B">
      <w:pPr>
        <w:pStyle w:val="TOC3"/>
        <w:tabs>
          <w:tab w:val="left" w:pos="1100"/>
          <w:tab w:val="right" w:leader="dot" w:pos="9060"/>
        </w:tabs>
        <w:rPr>
          <w:rFonts w:eastAsiaTheme="minorEastAsia" w:cstheme="minorBidi"/>
          <w:i w:val="0"/>
          <w:iCs w:val="0"/>
          <w:noProof/>
          <w:sz w:val="22"/>
          <w:szCs w:val="22"/>
          <w:lang w:val="en-NZ" w:eastAsia="en-NZ" w:bidi="ar-SA"/>
        </w:rPr>
      </w:pPr>
      <w:hyperlink w:anchor="_Toc423079124" w:history="1">
        <w:r w:rsidR="00CA44F3" w:rsidRPr="009B2F01">
          <w:rPr>
            <w:rStyle w:val="Hyperlink"/>
            <w:noProof/>
          </w:rPr>
          <w:t>5.1.1</w:t>
        </w:r>
        <w:r w:rsidR="00CA44F3">
          <w:rPr>
            <w:rFonts w:eastAsiaTheme="minorEastAsia" w:cstheme="minorBidi"/>
            <w:i w:val="0"/>
            <w:iCs w:val="0"/>
            <w:noProof/>
            <w:sz w:val="22"/>
            <w:szCs w:val="22"/>
            <w:lang w:val="en-NZ" w:eastAsia="en-NZ" w:bidi="ar-SA"/>
          </w:rPr>
          <w:tab/>
        </w:r>
        <w:r w:rsidR="00CA44F3" w:rsidRPr="009B2F01">
          <w:rPr>
            <w:rStyle w:val="Hyperlink"/>
            <w:noProof/>
          </w:rPr>
          <w:t>Transitional arrangements for Code Revision</w:t>
        </w:r>
        <w:r w:rsidR="00CA44F3">
          <w:rPr>
            <w:noProof/>
            <w:webHidden/>
          </w:rPr>
          <w:tab/>
        </w:r>
        <w:r w:rsidR="00CA44F3">
          <w:rPr>
            <w:noProof/>
            <w:webHidden/>
          </w:rPr>
          <w:fldChar w:fldCharType="begin"/>
        </w:r>
        <w:r w:rsidR="00CA44F3">
          <w:rPr>
            <w:noProof/>
            <w:webHidden/>
          </w:rPr>
          <w:instrText xml:space="preserve"> PAGEREF _Toc423079124 \h </w:instrText>
        </w:r>
        <w:r w:rsidR="00CA44F3">
          <w:rPr>
            <w:noProof/>
            <w:webHidden/>
          </w:rPr>
        </w:r>
        <w:r w:rsidR="00CA44F3">
          <w:rPr>
            <w:noProof/>
            <w:webHidden/>
          </w:rPr>
          <w:fldChar w:fldCharType="separate"/>
        </w:r>
        <w:r w:rsidR="00AA4D1B">
          <w:rPr>
            <w:noProof/>
            <w:webHidden/>
          </w:rPr>
          <w:t>16</w:t>
        </w:r>
        <w:r w:rsidR="00CA44F3">
          <w:rPr>
            <w:noProof/>
            <w:webHidden/>
          </w:rPr>
          <w:fldChar w:fldCharType="end"/>
        </w:r>
      </w:hyperlink>
    </w:p>
    <w:p w14:paraId="2C911D2A" w14:textId="77777777" w:rsidR="00CA44F3" w:rsidRDefault="00B0015B">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423079125" w:history="1">
        <w:r w:rsidR="00CA44F3" w:rsidRPr="009B2F01">
          <w:rPr>
            <w:rStyle w:val="Hyperlink"/>
            <w:noProof/>
          </w:rPr>
          <w:t>6</w:t>
        </w:r>
        <w:r w:rsidR="00CA44F3">
          <w:rPr>
            <w:rFonts w:eastAsiaTheme="minorEastAsia" w:cstheme="minorBidi"/>
            <w:b w:val="0"/>
            <w:bCs w:val="0"/>
            <w:caps w:val="0"/>
            <w:noProof/>
            <w:sz w:val="22"/>
            <w:szCs w:val="22"/>
            <w:lang w:val="en-NZ" w:eastAsia="en-NZ" w:bidi="ar-SA"/>
          </w:rPr>
          <w:tab/>
        </w:r>
        <w:r w:rsidR="00CA44F3" w:rsidRPr="009B2F01">
          <w:rPr>
            <w:rStyle w:val="Hyperlink"/>
            <w:noProof/>
          </w:rPr>
          <w:t>References</w:t>
        </w:r>
        <w:r w:rsidR="00CA44F3">
          <w:rPr>
            <w:noProof/>
            <w:webHidden/>
          </w:rPr>
          <w:tab/>
        </w:r>
        <w:r w:rsidR="00CA44F3">
          <w:rPr>
            <w:noProof/>
            <w:webHidden/>
          </w:rPr>
          <w:fldChar w:fldCharType="begin"/>
        </w:r>
        <w:r w:rsidR="00CA44F3">
          <w:rPr>
            <w:noProof/>
            <w:webHidden/>
          </w:rPr>
          <w:instrText xml:space="preserve"> PAGEREF _Toc423079125 \h </w:instrText>
        </w:r>
        <w:r w:rsidR="00CA44F3">
          <w:rPr>
            <w:noProof/>
            <w:webHidden/>
          </w:rPr>
        </w:r>
        <w:r w:rsidR="00CA44F3">
          <w:rPr>
            <w:noProof/>
            <w:webHidden/>
          </w:rPr>
          <w:fldChar w:fldCharType="separate"/>
        </w:r>
        <w:r w:rsidR="00AA4D1B">
          <w:rPr>
            <w:noProof/>
            <w:webHidden/>
          </w:rPr>
          <w:t>16</w:t>
        </w:r>
        <w:r w:rsidR="00CA44F3">
          <w:rPr>
            <w:noProof/>
            <w:webHidden/>
          </w:rPr>
          <w:fldChar w:fldCharType="end"/>
        </w:r>
      </w:hyperlink>
    </w:p>
    <w:p w14:paraId="56189AC4" w14:textId="77777777" w:rsidR="00CA44F3" w:rsidRDefault="00B0015B">
      <w:pPr>
        <w:pStyle w:val="TOC2"/>
        <w:tabs>
          <w:tab w:val="right" w:leader="dot" w:pos="9060"/>
        </w:tabs>
        <w:rPr>
          <w:rFonts w:eastAsiaTheme="minorEastAsia" w:cstheme="minorBidi"/>
          <w:smallCaps w:val="0"/>
          <w:noProof/>
          <w:sz w:val="22"/>
          <w:szCs w:val="22"/>
          <w:lang w:val="en-NZ" w:eastAsia="en-NZ" w:bidi="ar-SA"/>
        </w:rPr>
      </w:pPr>
      <w:hyperlink w:anchor="_Toc423079126" w:history="1">
        <w:r w:rsidR="00CA44F3" w:rsidRPr="009B2F01">
          <w:rPr>
            <w:rStyle w:val="Hyperlink"/>
            <w:noProof/>
          </w:rPr>
          <w:t xml:space="preserve">Attachment A –Draft variations to the </w:t>
        </w:r>
        <w:r w:rsidR="00CA44F3" w:rsidRPr="009B2F01">
          <w:rPr>
            <w:rStyle w:val="Hyperlink"/>
            <w:i/>
            <w:noProof/>
          </w:rPr>
          <w:t>Australia New Zealand Food Standards Code</w:t>
        </w:r>
        <w:r w:rsidR="00CA44F3">
          <w:rPr>
            <w:noProof/>
            <w:webHidden/>
          </w:rPr>
          <w:tab/>
        </w:r>
        <w:r w:rsidR="00CA44F3">
          <w:rPr>
            <w:noProof/>
            <w:webHidden/>
          </w:rPr>
          <w:fldChar w:fldCharType="begin"/>
        </w:r>
        <w:r w:rsidR="00CA44F3">
          <w:rPr>
            <w:noProof/>
            <w:webHidden/>
          </w:rPr>
          <w:instrText xml:space="preserve"> PAGEREF _Toc423079126 \h </w:instrText>
        </w:r>
        <w:r w:rsidR="00CA44F3">
          <w:rPr>
            <w:noProof/>
            <w:webHidden/>
          </w:rPr>
        </w:r>
        <w:r w:rsidR="00CA44F3">
          <w:rPr>
            <w:noProof/>
            <w:webHidden/>
          </w:rPr>
          <w:fldChar w:fldCharType="separate"/>
        </w:r>
        <w:r w:rsidR="00AA4D1B">
          <w:rPr>
            <w:noProof/>
            <w:webHidden/>
          </w:rPr>
          <w:t>17</w:t>
        </w:r>
        <w:r w:rsidR="00CA44F3">
          <w:rPr>
            <w:noProof/>
            <w:webHidden/>
          </w:rPr>
          <w:fldChar w:fldCharType="end"/>
        </w:r>
      </w:hyperlink>
    </w:p>
    <w:p w14:paraId="08F62820" w14:textId="77777777" w:rsidR="00CA44F3" w:rsidRDefault="00B0015B">
      <w:pPr>
        <w:pStyle w:val="TOC2"/>
        <w:tabs>
          <w:tab w:val="right" w:leader="dot" w:pos="9060"/>
        </w:tabs>
        <w:rPr>
          <w:rFonts w:eastAsiaTheme="minorEastAsia" w:cstheme="minorBidi"/>
          <w:smallCaps w:val="0"/>
          <w:noProof/>
          <w:sz w:val="22"/>
          <w:szCs w:val="22"/>
          <w:lang w:val="en-NZ" w:eastAsia="en-NZ" w:bidi="ar-SA"/>
        </w:rPr>
      </w:pPr>
      <w:hyperlink w:anchor="_Toc423079127" w:history="1">
        <w:r w:rsidR="00CA44F3" w:rsidRPr="009B2F01">
          <w:rPr>
            <w:rStyle w:val="Hyperlink"/>
            <w:noProof/>
          </w:rPr>
          <w:t>Draft Explanatory Statement</w:t>
        </w:r>
        <w:r w:rsidR="00CA44F3">
          <w:rPr>
            <w:noProof/>
            <w:webHidden/>
          </w:rPr>
          <w:tab/>
        </w:r>
        <w:r w:rsidR="00CA44F3">
          <w:rPr>
            <w:noProof/>
            <w:webHidden/>
          </w:rPr>
          <w:fldChar w:fldCharType="begin"/>
        </w:r>
        <w:r w:rsidR="00CA44F3">
          <w:rPr>
            <w:noProof/>
            <w:webHidden/>
          </w:rPr>
          <w:instrText xml:space="preserve"> PAGEREF _Toc423079127 \h </w:instrText>
        </w:r>
        <w:r w:rsidR="00CA44F3">
          <w:rPr>
            <w:noProof/>
            <w:webHidden/>
          </w:rPr>
        </w:r>
        <w:r w:rsidR="00CA44F3">
          <w:rPr>
            <w:noProof/>
            <w:webHidden/>
          </w:rPr>
          <w:fldChar w:fldCharType="separate"/>
        </w:r>
        <w:r w:rsidR="00AA4D1B">
          <w:rPr>
            <w:noProof/>
            <w:webHidden/>
          </w:rPr>
          <w:t>20</w:t>
        </w:r>
        <w:r w:rsidR="00CA44F3">
          <w:rPr>
            <w:noProof/>
            <w:webHidden/>
          </w:rPr>
          <w:fldChar w:fldCharType="end"/>
        </w:r>
      </w:hyperlink>
    </w:p>
    <w:p w14:paraId="666DFBB6" w14:textId="77777777" w:rsidR="00CA44F3" w:rsidRDefault="00B0015B">
      <w:pPr>
        <w:pStyle w:val="TOC2"/>
        <w:tabs>
          <w:tab w:val="right" w:leader="dot" w:pos="9060"/>
        </w:tabs>
        <w:rPr>
          <w:rFonts w:eastAsiaTheme="minorEastAsia" w:cstheme="minorBidi"/>
          <w:smallCaps w:val="0"/>
          <w:noProof/>
          <w:sz w:val="22"/>
          <w:szCs w:val="22"/>
          <w:lang w:val="en-NZ" w:eastAsia="en-NZ" w:bidi="ar-SA"/>
        </w:rPr>
      </w:pPr>
      <w:hyperlink w:anchor="_Toc423079128" w:history="1">
        <w:r w:rsidR="00CA44F3" w:rsidRPr="009B2F01">
          <w:rPr>
            <w:rStyle w:val="Hyperlink"/>
            <w:noProof/>
          </w:rPr>
          <w:t xml:space="preserve">Attachment B – Draft variations to the revised </w:t>
        </w:r>
        <w:r w:rsidR="00CA44F3" w:rsidRPr="009B2F01">
          <w:rPr>
            <w:rStyle w:val="Hyperlink"/>
            <w:i/>
            <w:noProof/>
          </w:rPr>
          <w:t>Australia New Zealand Food Standards Code</w:t>
        </w:r>
        <w:r w:rsidR="00CA44F3" w:rsidRPr="009B2F01">
          <w:rPr>
            <w:rStyle w:val="Hyperlink"/>
            <w:noProof/>
          </w:rPr>
          <w:t xml:space="preserve"> (commencing 1 March 2016)</w:t>
        </w:r>
        <w:r w:rsidR="00CA44F3">
          <w:rPr>
            <w:noProof/>
            <w:webHidden/>
          </w:rPr>
          <w:tab/>
        </w:r>
        <w:r w:rsidR="00CA44F3">
          <w:rPr>
            <w:noProof/>
            <w:webHidden/>
          </w:rPr>
          <w:fldChar w:fldCharType="begin"/>
        </w:r>
        <w:r w:rsidR="00CA44F3">
          <w:rPr>
            <w:noProof/>
            <w:webHidden/>
          </w:rPr>
          <w:instrText xml:space="preserve"> PAGEREF _Toc423079128 \h </w:instrText>
        </w:r>
        <w:r w:rsidR="00CA44F3">
          <w:rPr>
            <w:noProof/>
            <w:webHidden/>
          </w:rPr>
        </w:r>
        <w:r w:rsidR="00CA44F3">
          <w:rPr>
            <w:noProof/>
            <w:webHidden/>
          </w:rPr>
          <w:fldChar w:fldCharType="separate"/>
        </w:r>
        <w:r w:rsidR="00AA4D1B">
          <w:rPr>
            <w:noProof/>
            <w:webHidden/>
          </w:rPr>
          <w:t>22</w:t>
        </w:r>
        <w:r w:rsidR="00CA44F3">
          <w:rPr>
            <w:noProof/>
            <w:webHidden/>
          </w:rPr>
          <w:fldChar w:fldCharType="end"/>
        </w:r>
      </w:hyperlink>
    </w:p>
    <w:p w14:paraId="245E55C7" w14:textId="77777777" w:rsidR="00CA44F3" w:rsidRDefault="00B0015B">
      <w:pPr>
        <w:pStyle w:val="TOC2"/>
        <w:tabs>
          <w:tab w:val="right" w:leader="dot" w:pos="9060"/>
        </w:tabs>
        <w:rPr>
          <w:rFonts w:eastAsiaTheme="minorEastAsia" w:cstheme="minorBidi"/>
          <w:smallCaps w:val="0"/>
          <w:noProof/>
          <w:sz w:val="22"/>
          <w:szCs w:val="22"/>
          <w:lang w:val="en-NZ" w:eastAsia="en-NZ" w:bidi="ar-SA"/>
        </w:rPr>
      </w:pPr>
      <w:hyperlink w:anchor="_Toc423079129" w:history="1">
        <w:r w:rsidR="00CA44F3" w:rsidRPr="009B2F01">
          <w:rPr>
            <w:rStyle w:val="Hyperlink"/>
            <w:noProof/>
          </w:rPr>
          <w:t>Draft Explanatory Statement</w:t>
        </w:r>
        <w:r w:rsidR="00CA44F3">
          <w:rPr>
            <w:noProof/>
            <w:webHidden/>
          </w:rPr>
          <w:tab/>
        </w:r>
        <w:r w:rsidR="00CA44F3">
          <w:rPr>
            <w:noProof/>
            <w:webHidden/>
          </w:rPr>
          <w:fldChar w:fldCharType="begin"/>
        </w:r>
        <w:r w:rsidR="00CA44F3">
          <w:rPr>
            <w:noProof/>
            <w:webHidden/>
          </w:rPr>
          <w:instrText xml:space="preserve"> PAGEREF _Toc423079129 \h </w:instrText>
        </w:r>
        <w:r w:rsidR="00CA44F3">
          <w:rPr>
            <w:noProof/>
            <w:webHidden/>
          </w:rPr>
        </w:r>
        <w:r w:rsidR="00CA44F3">
          <w:rPr>
            <w:noProof/>
            <w:webHidden/>
          </w:rPr>
          <w:fldChar w:fldCharType="separate"/>
        </w:r>
        <w:r w:rsidR="00AA4D1B">
          <w:rPr>
            <w:noProof/>
            <w:webHidden/>
          </w:rPr>
          <w:t>25</w:t>
        </w:r>
        <w:r w:rsidR="00CA44F3">
          <w:rPr>
            <w:noProof/>
            <w:webHidden/>
          </w:rPr>
          <w:fldChar w:fldCharType="end"/>
        </w:r>
      </w:hyperlink>
    </w:p>
    <w:p w14:paraId="7D451C6A" w14:textId="77777777" w:rsidR="00051ED9" w:rsidRPr="0093355E" w:rsidRDefault="00051ED9" w:rsidP="00051ED9">
      <w:pPr>
        <w:rPr>
          <w:rFonts w:cs="Arial"/>
        </w:rPr>
      </w:pPr>
      <w:r w:rsidRPr="0093355E">
        <w:rPr>
          <w:rFonts w:cs="Arial"/>
        </w:rPr>
        <w:fldChar w:fldCharType="end"/>
      </w:r>
    </w:p>
    <w:p w14:paraId="7D451C71" w14:textId="77777777" w:rsidR="00051ED9" w:rsidRPr="0093355E" w:rsidRDefault="00562917" w:rsidP="00772BDC">
      <w:r w:rsidRPr="0093355E">
        <w:br w:type="page"/>
      </w:r>
    </w:p>
    <w:p w14:paraId="7D451C72" w14:textId="77777777" w:rsidR="00E063C6" w:rsidRPr="0093355E" w:rsidRDefault="00F33BB8" w:rsidP="000A5DF8">
      <w:pPr>
        <w:pStyle w:val="Heading1"/>
      </w:pPr>
      <w:bookmarkStart w:id="1" w:name="_Toc286391001"/>
      <w:bookmarkStart w:id="2" w:name="_Toc300933414"/>
      <w:bookmarkStart w:id="3" w:name="_Toc423079095"/>
      <w:bookmarkStart w:id="4" w:name="_Toc11735627"/>
      <w:bookmarkStart w:id="5" w:name="_Toc29883110"/>
      <w:bookmarkStart w:id="6" w:name="_Toc41906797"/>
      <w:bookmarkStart w:id="7" w:name="_Toc41907544"/>
      <w:bookmarkStart w:id="8" w:name="_Toc120358575"/>
      <w:r w:rsidRPr="0093355E">
        <w:lastRenderedPageBreak/>
        <w:t>E</w:t>
      </w:r>
      <w:r w:rsidR="0037520F" w:rsidRPr="0093355E">
        <w:t>xecutive s</w:t>
      </w:r>
      <w:r w:rsidR="00E063C6" w:rsidRPr="0093355E">
        <w:t>ummary</w:t>
      </w:r>
      <w:bookmarkEnd w:id="1"/>
      <w:bookmarkEnd w:id="2"/>
      <w:bookmarkEnd w:id="3"/>
    </w:p>
    <w:p w14:paraId="1F4D3B0A" w14:textId="627DF3B4" w:rsidR="00272436" w:rsidRPr="0093355E" w:rsidRDefault="00272436" w:rsidP="00272436">
      <w:bookmarkStart w:id="9" w:name="_Toc286391003"/>
      <w:r w:rsidRPr="0093355E">
        <w:t xml:space="preserve">Standard 1.2.7 – Nutrition, Health and Related Claims, which regulates nutrition content and health claims, was included in the </w:t>
      </w:r>
      <w:r w:rsidRPr="0093355E">
        <w:rPr>
          <w:i/>
        </w:rPr>
        <w:t>Australia New Zealand Food Standards Code</w:t>
      </w:r>
      <w:r w:rsidRPr="0093355E">
        <w:t xml:space="preserve"> on 18 January 2013. This Proposal was prepared to consider two issues that have been brought to the attention of FSANZ since </w:t>
      </w:r>
      <w:r w:rsidR="00BA06F2" w:rsidRPr="0093355E">
        <w:t>the S</w:t>
      </w:r>
      <w:r w:rsidRPr="0093355E">
        <w:t xml:space="preserve">tandard was gazetted. </w:t>
      </w:r>
    </w:p>
    <w:p w14:paraId="12C9A3F1" w14:textId="705BC111" w:rsidR="00272436" w:rsidRPr="0093355E" w:rsidRDefault="00272436" w:rsidP="00272436">
      <w:pPr>
        <w:pStyle w:val="Heading5"/>
        <w:rPr>
          <w:b/>
        </w:rPr>
      </w:pPr>
      <w:r w:rsidRPr="0093355E">
        <w:rPr>
          <w:b/>
        </w:rPr>
        <w:t>Vitamin and mineral claims</w:t>
      </w:r>
    </w:p>
    <w:p w14:paraId="13287BAF" w14:textId="0A822058" w:rsidR="00340326" w:rsidRPr="0093355E" w:rsidRDefault="00BA06F2" w:rsidP="00272436">
      <w:pPr>
        <w:rPr>
          <w:lang w:bidi="ar-SA"/>
        </w:rPr>
      </w:pPr>
      <w:r w:rsidRPr="0093355E">
        <w:rPr>
          <w:lang w:bidi="ar-SA"/>
        </w:rPr>
        <w:t>The g</w:t>
      </w:r>
      <w:r w:rsidR="00340326" w:rsidRPr="0093355E">
        <w:rPr>
          <w:lang w:bidi="ar-SA"/>
        </w:rPr>
        <w:t>azettal of Standard 1.2.7</w:t>
      </w:r>
      <w:r w:rsidRPr="0093355E">
        <w:rPr>
          <w:lang w:bidi="ar-SA"/>
        </w:rPr>
        <w:t xml:space="preserve"> created a discrepancy between </w:t>
      </w:r>
      <w:r w:rsidR="00340326" w:rsidRPr="0093355E">
        <w:rPr>
          <w:lang w:bidi="ar-SA"/>
        </w:rPr>
        <w:t xml:space="preserve">the requirements </w:t>
      </w:r>
      <w:r w:rsidR="00EF6A06" w:rsidRPr="0093355E">
        <w:rPr>
          <w:lang w:bidi="ar-SA"/>
        </w:rPr>
        <w:t xml:space="preserve">for nutrition content claims about vitamins and minerals </w:t>
      </w:r>
      <w:r w:rsidRPr="0093355E">
        <w:rPr>
          <w:lang w:bidi="ar-SA"/>
        </w:rPr>
        <w:t xml:space="preserve">in </w:t>
      </w:r>
      <w:r w:rsidR="00340326" w:rsidRPr="0093355E">
        <w:rPr>
          <w:lang w:bidi="ar-SA"/>
        </w:rPr>
        <w:t xml:space="preserve">Standard 1.2.7 and </w:t>
      </w:r>
      <w:r w:rsidRPr="0093355E">
        <w:rPr>
          <w:lang w:bidi="ar-SA"/>
        </w:rPr>
        <w:t xml:space="preserve">Standard </w:t>
      </w:r>
      <w:r w:rsidR="00340326" w:rsidRPr="0093355E">
        <w:rPr>
          <w:lang w:bidi="ar-SA"/>
        </w:rPr>
        <w:t xml:space="preserve">1.3.2 – Vitamins and Minerals. This is because the </w:t>
      </w:r>
      <w:r w:rsidR="00ED0372" w:rsidRPr="0093355E">
        <w:rPr>
          <w:lang w:bidi="ar-SA"/>
        </w:rPr>
        <w:t>minimum amounts required</w:t>
      </w:r>
      <w:r w:rsidR="00340326" w:rsidRPr="0093355E">
        <w:rPr>
          <w:lang w:bidi="ar-SA"/>
        </w:rPr>
        <w:t xml:space="preserve"> for making claim</w:t>
      </w:r>
      <w:r w:rsidR="00ED0372" w:rsidRPr="0093355E">
        <w:rPr>
          <w:lang w:bidi="ar-SA"/>
        </w:rPr>
        <w:t>s about vitamins and minerals</w:t>
      </w:r>
      <w:r w:rsidR="00340326" w:rsidRPr="0093355E">
        <w:rPr>
          <w:lang w:bidi="ar-SA"/>
        </w:rPr>
        <w:t xml:space="preserve"> </w:t>
      </w:r>
      <w:r w:rsidRPr="0093355E">
        <w:rPr>
          <w:lang w:bidi="ar-SA"/>
        </w:rPr>
        <w:t xml:space="preserve">(Standard 1.2.7) </w:t>
      </w:r>
      <w:r w:rsidR="00340326" w:rsidRPr="0093355E">
        <w:rPr>
          <w:lang w:bidi="ar-SA"/>
        </w:rPr>
        <w:t xml:space="preserve">rely on the actual serving size of the food, whereas the maximum amount permitted to be claimed </w:t>
      </w:r>
      <w:r w:rsidRPr="0093355E">
        <w:rPr>
          <w:lang w:bidi="ar-SA"/>
        </w:rPr>
        <w:t xml:space="preserve">(Standard 1.3.2) </w:t>
      </w:r>
      <w:r w:rsidR="00340326" w:rsidRPr="0093355E">
        <w:rPr>
          <w:lang w:bidi="ar-SA"/>
        </w:rPr>
        <w:t xml:space="preserve">is based on a prescribed reference quantity. When a food has a serving size smaller than the prescribed reference quantity, </w:t>
      </w:r>
      <w:r w:rsidR="00FC109D" w:rsidRPr="0093355E">
        <w:rPr>
          <w:lang w:bidi="ar-SA"/>
        </w:rPr>
        <w:t>for some vitamin and mineral claims</w:t>
      </w:r>
      <w:r w:rsidR="00F533CB" w:rsidRPr="0093355E">
        <w:rPr>
          <w:lang w:bidi="ar-SA"/>
        </w:rPr>
        <w:t xml:space="preserve"> it is impossible</w:t>
      </w:r>
      <w:r w:rsidR="00FC109D" w:rsidRPr="0093355E">
        <w:rPr>
          <w:lang w:bidi="ar-SA"/>
        </w:rPr>
        <w:t xml:space="preserve"> </w:t>
      </w:r>
      <w:r w:rsidR="00340326" w:rsidRPr="0093355E">
        <w:rPr>
          <w:lang w:bidi="ar-SA"/>
        </w:rPr>
        <w:t>to meet the minimum amount required to make a claim and not exceed the maximum amount permitted to be claimed.</w:t>
      </w:r>
    </w:p>
    <w:p w14:paraId="6E5D95E0" w14:textId="77777777" w:rsidR="00340326" w:rsidRPr="0093355E" w:rsidRDefault="00340326" w:rsidP="00272436">
      <w:pPr>
        <w:rPr>
          <w:lang w:bidi="ar-SA"/>
        </w:rPr>
      </w:pPr>
    </w:p>
    <w:p w14:paraId="3B0DA638" w14:textId="78992F1D" w:rsidR="00DF690D" w:rsidRPr="0093355E" w:rsidRDefault="00DF690D" w:rsidP="00DF690D">
      <w:r w:rsidRPr="0093355E">
        <w:rPr>
          <w:lang w:bidi="ar-SA"/>
        </w:rPr>
        <w:t xml:space="preserve">For example, </w:t>
      </w:r>
      <w:r w:rsidR="0093355E">
        <w:rPr>
          <w:lang w:bidi="ar-SA"/>
        </w:rPr>
        <w:t xml:space="preserve">for </w:t>
      </w:r>
      <w:r w:rsidR="009A6AAA">
        <w:rPr>
          <w:lang w:bidi="ar-SA"/>
        </w:rPr>
        <w:t xml:space="preserve">the following </w:t>
      </w:r>
      <w:r w:rsidRPr="0093355E">
        <w:rPr>
          <w:lang w:bidi="ar-SA"/>
        </w:rPr>
        <w:t>y</w:t>
      </w:r>
      <w:r w:rsidRPr="0093355E">
        <w:t>oghurt</w:t>
      </w:r>
      <w:r w:rsidR="009A6AAA">
        <w:t xml:space="preserve">, </w:t>
      </w:r>
      <w:r w:rsidR="0093355E">
        <w:t>i</w:t>
      </w:r>
      <w:r w:rsidR="0093355E" w:rsidRPr="0093355E">
        <w:t xml:space="preserve">t is impossible to meet both a minimum of 1 µg and a maximum of 0.47 µg </w:t>
      </w:r>
      <w:r w:rsidR="009A6AAA">
        <w:t xml:space="preserve">of vitamin D </w:t>
      </w:r>
      <w:r w:rsidR="0093355E" w:rsidRPr="0093355E">
        <w:t>per serving</w:t>
      </w:r>
      <w:r w:rsidRPr="0093355E">
        <w:t xml:space="preserve">:  </w:t>
      </w:r>
    </w:p>
    <w:p w14:paraId="15AE75C8" w14:textId="77777777" w:rsidR="00DF690D" w:rsidRPr="0093355E" w:rsidRDefault="00DF690D" w:rsidP="00DF690D"/>
    <w:tbl>
      <w:tblPr>
        <w:tblStyle w:val="TableGrid"/>
        <w:tblW w:w="0" w:type="auto"/>
        <w:tblLook w:val="04A0" w:firstRow="1" w:lastRow="0" w:firstColumn="1" w:lastColumn="0" w:noHBand="0" w:noVBand="1"/>
      </w:tblPr>
      <w:tblGrid>
        <w:gridCol w:w="5211"/>
        <w:gridCol w:w="4075"/>
      </w:tblGrid>
      <w:tr w:rsidR="00DF690D" w:rsidRPr="0093355E" w14:paraId="1D6E2DE2" w14:textId="77777777" w:rsidTr="00DF690D">
        <w:tc>
          <w:tcPr>
            <w:tcW w:w="5211" w:type="dxa"/>
            <w:tcBorders>
              <w:top w:val="nil"/>
              <w:left w:val="nil"/>
              <w:bottom w:val="nil"/>
              <w:right w:val="nil"/>
            </w:tcBorders>
          </w:tcPr>
          <w:p w14:paraId="5A061A8E" w14:textId="56D6F692" w:rsidR="00DF690D" w:rsidRPr="009A6AAA" w:rsidRDefault="00DF690D" w:rsidP="00272436">
            <w:pPr>
              <w:rPr>
                <w:sz w:val="20"/>
                <w:lang w:bidi="ar-SA"/>
              </w:rPr>
            </w:pPr>
            <w:r w:rsidRPr="009A6AAA">
              <w:rPr>
                <w:sz w:val="20"/>
              </w:rPr>
              <w:t>Servi</w:t>
            </w:r>
            <w:r w:rsidR="009D745A" w:rsidRPr="009A6AAA">
              <w:rPr>
                <w:sz w:val="20"/>
              </w:rPr>
              <w:t>ng size determined by suppli</w:t>
            </w:r>
            <w:r w:rsidRPr="009A6AAA">
              <w:rPr>
                <w:sz w:val="20"/>
              </w:rPr>
              <w:t>er:</w:t>
            </w:r>
          </w:p>
        </w:tc>
        <w:tc>
          <w:tcPr>
            <w:tcW w:w="4075" w:type="dxa"/>
            <w:tcBorders>
              <w:top w:val="nil"/>
              <w:left w:val="nil"/>
              <w:bottom w:val="nil"/>
              <w:right w:val="nil"/>
            </w:tcBorders>
          </w:tcPr>
          <w:p w14:paraId="490EF684" w14:textId="77777777" w:rsidR="00DF690D" w:rsidRPr="009A6AAA" w:rsidRDefault="00DF690D" w:rsidP="00272436">
            <w:pPr>
              <w:rPr>
                <w:sz w:val="20"/>
              </w:rPr>
            </w:pPr>
            <w:r w:rsidRPr="009A6AAA">
              <w:rPr>
                <w:sz w:val="20"/>
              </w:rPr>
              <w:t>70 g</w:t>
            </w:r>
          </w:p>
          <w:p w14:paraId="373593A7" w14:textId="2041A95B" w:rsidR="00DF690D" w:rsidRPr="009A6AAA" w:rsidRDefault="00DF690D" w:rsidP="00272436">
            <w:pPr>
              <w:rPr>
                <w:sz w:val="20"/>
                <w:lang w:bidi="ar-SA"/>
              </w:rPr>
            </w:pPr>
          </w:p>
        </w:tc>
      </w:tr>
      <w:tr w:rsidR="00DF690D" w:rsidRPr="0093355E" w14:paraId="31650BCB" w14:textId="77777777" w:rsidTr="00DF690D">
        <w:tc>
          <w:tcPr>
            <w:tcW w:w="5211" w:type="dxa"/>
            <w:tcBorders>
              <w:top w:val="nil"/>
              <w:left w:val="nil"/>
              <w:bottom w:val="nil"/>
              <w:right w:val="nil"/>
            </w:tcBorders>
          </w:tcPr>
          <w:p w14:paraId="26E30421" w14:textId="18EF557B" w:rsidR="00DF690D" w:rsidRPr="009A6AAA" w:rsidRDefault="00DF690D" w:rsidP="00272436">
            <w:pPr>
              <w:rPr>
                <w:sz w:val="20"/>
                <w:lang w:bidi="ar-SA"/>
              </w:rPr>
            </w:pPr>
            <w:r w:rsidRPr="009A6AAA">
              <w:rPr>
                <w:sz w:val="20"/>
              </w:rPr>
              <w:t>Reference quantity specified in Standard 1.3.2:</w:t>
            </w:r>
          </w:p>
        </w:tc>
        <w:tc>
          <w:tcPr>
            <w:tcW w:w="4075" w:type="dxa"/>
            <w:tcBorders>
              <w:top w:val="nil"/>
              <w:left w:val="nil"/>
              <w:bottom w:val="nil"/>
              <w:right w:val="nil"/>
            </w:tcBorders>
          </w:tcPr>
          <w:p w14:paraId="52207D89" w14:textId="77777777" w:rsidR="00DF690D" w:rsidRPr="009A6AAA" w:rsidRDefault="00DF690D" w:rsidP="00272436">
            <w:pPr>
              <w:rPr>
                <w:sz w:val="20"/>
              </w:rPr>
            </w:pPr>
            <w:r w:rsidRPr="009A6AAA">
              <w:rPr>
                <w:sz w:val="20"/>
              </w:rPr>
              <w:t>150 g</w:t>
            </w:r>
          </w:p>
          <w:p w14:paraId="6E223556" w14:textId="3D6EDAFF" w:rsidR="00DF690D" w:rsidRPr="009A6AAA" w:rsidRDefault="00DF690D" w:rsidP="00272436">
            <w:pPr>
              <w:rPr>
                <w:sz w:val="20"/>
                <w:lang w:bidi="ar-SA"/>
              </w:rPr>
            </w:pPr>
          </w:p>
        </w:tc>
      </w:tr>
      <w:tr w:rsidR="00DF690D" w:rsidRPr="0093355E" w14:paraId="7682EF1D" w14:textId="77777777" w:rsidTr="00DF690D">
        <w:tc>
          <w:tcPr>
            <w:tcW w:w="5211" w:type="dxa"/>
            <w:tcBorders>
              <w:top w:val="nil"/>
              <w:left w:val="nil"/>
              <w:bottom w:val="nil"/>
              <w:right w:val="nil"/>
            </w:tcBorders>
          </w:tcPr>
          <w:p w14:paraId="215158CF" w14:textId="61AFB374" w:rsidR="00DF690D" w:rsidRPr="009A6AAA" w:rsidRDefault="00DF690D" w:rsidP="00DF690D">
            <w:pPr>
              <w:rPr>
                <w:sz w:val="20"/>
              </w:rPr>
            </w:pPr>
            <w:r w:rsidRPr="009A6AAA">
              <w:rPr>
                <w:sz w:val="20"/>
              </w:rPr>
              <w:t xml:space="preserve">Maximum amount </w:t>
            </w:r>
            <w:r w:rsidR="00F65E0D" w:rsidRPr="009A6AAA">
              <w:rPr>
                <w:sz w:val="20"/>
              </w:rPr>
              <w:t xml:space="preserve">of vitamin D </w:t>
            </w:r>
            <w:r w:rsidRPr="009A6AAA">
              <w:rPr>
                <w:sz w:val="20"/>
              </w:rPr>
              <w:t xml:space="preserve">permitted to be claimed (Standard 1.3.2):  </w:t>
            </w:r>
          </w:p>
          <w:p w14:paraId="0C8245A3" w14:textId="77777777" w:rsidR="00DF690D" w:rsidRPr="009A6AAA" w:rsidRDefault="00DF690D" w:rsidP="00272436">
            <w:pPr>
              <w:rPr>
                <w:sz w:val="20"/>
                <w:lang w:bidi="ar-SA"/>
              </w:rPr>
            </w:pPr>
          </w:p>
        </w:tc>
        <w:tc>
          <w:tcPr>
            <w:tcW w:w="4075" w:type="dxa"/>
            <w:tcBorders>
              <w:top w:val="nil"/>
              <w:left w:val="nil"/>
              <w:bottom w:val="nil"/>
              <w:right w:val="nil"/>
            </w:tcBorders>
          </w:tcPr>
          <w:p w14:paraId="5E1414D8" w14:textId="77777777" w:rsidR="00DF690D" w:rsidRPr="009A6AAA" w:rsidRDefault="00DF690D" w:rsidP="00272436">
            <w:pPr>
              <w:rPr>
                <w:sz w:val="20"/>
              </w:rPr>
            </w:pPr>
            <w:r w:rsidRPr="009A6AAA">
              <w:rPr>
                <w:sz w:val="20"/>
              </w:rPr>
              <w:t xml:space="preserve">1 µg/150 g which scales down to </w:t>
            </w:r>
          </w:p>
          <w:p w14:paraId="7CB63E5A" w14:textId="43709C14" w:rsidR="00DF690D" w:rsidRPr="009A6AAA" w:rsidRDefault="00DF690D" w:rsidP="00272436">
            <w:pPr>
              <w:rPr>
                <w:sz w:val="20"/>
                <w:lang w:bidi="ar-SA"/>
              </w:rPr>
            </w:pPr>
            <w:r w:rsidRPr="009A6AAA">
              <w:rPr>
                <w:sz w:val="20"/>
              </w:rPr>
              <w:t>0.47 µg in 70 g</w:t>
            </w:r>
          </w:p>
        </w:tc>
      </w:tr>
      <w:tr w:rsidR="00DF690D" w:rsidRPr="0093355E" w14:paraId="34288E53" w14:textId="77777777" w:rsidTr="00DF690D">
        <w:tc>
          <w:tcPr>
            <w:tcW w:w="5211" w:type="dxa"/>
            <w:tcBorders>
              <w:top w:val="nil"/>
              <w:left w:val="nil"/>
              <w:bottom w:val="nil"/>
              <w:right w:val="nil"/>
            </w:tcBorders>
          </w:tcPr>
          <w:p w14:paraId="3D1F7C1A" w14:textId="77777777" w:rsidR="003C6265" w:rsidRDefault="00DF690D" w:rsidP="00F65E0D">
            <w:pPr>
              <w:rPr>
                <w:sz w:val="20"/>
              </w:rPr>
            </w:pPr>
            <w:r w:rsidRPr="009A6AAA">
              <w:rPr>
                <w:sz w:val="20"/>
              </w:rPr>
              <w:t xml:space="preserve">Amount of vitamin D required to make a claim </w:t>
            </w:r>
          </w:p>
          <w:p w14:paraId="181C2572" w14:textId="7BE8CAC2" w:rsidR="00DF690D" w:rsidRPr="009A6AAA" w:rsidRDefault="00DF690D" w:rsidP="00F65E0D">
            <w:pPr>
              <w:rPr>
                <w:sz w:val="20"/>
                <w:lang w:bidi="ar-SA"/>
              </w:rPr>
            </w:pPr>
            <w:r w:rsidRPr="009A6AAA">
              <w:rPr>
                <w:sz w:val="20"/>
              </w:rPr>
              <w:t>(</w:t>
            </w:r>
            <w:r w:rsidR="00F65E0D" w:rsidRPr="009A6AAA">
              <w:rPr>
                <w:sz w:val="20"/>
              </w:rPr>
              <w:t>Standard 1.2.7)</w:t>
            </w:r>
          </w:p>
        </w:tc>
        <w:tc>
          <w:tcPr>
            <w:tcW w:w="4075" w:type="dxa"/>
            <w:tcBorders>
              <w:top w:val="nil"/>
              <w:left w:val="nil"/>
              <w:bottom w:val="nil"/>
              <w:right w:val="nil"/>
            </w:tcBorders>
          </w:tcPr>
          <w:p w14:paraId="0AD54E46" w14:textId="10C7FEEB" w:rsidR="00DF690D" w:rsidRPr="009A6AAA" w:rsidRDefault="00DF690D" w:rsidP="00272436">
            <w:pPr>
              <w:rPr>
                <w:sz w:val="20"/>
                <w:lang w:bidi="ar-SA"/>
              </w:rPr>
            </w:pPr>
            <w:r w:rsidRPr="009A6AAA">
              <w:rPr>
                <w:sz w:val="20"/>
              </w:rPr>
              <w:t>1 µg per 70 g serving</w:t>
            </w:r>
          </w:p>
        </w:tc>
      </w:tr>
    </w:tbl>
    <w:p w14:paraId="632EB8F9" w14:textId="39C1CFEC" w:rsidR="0093355E" w:rsidRPr="0093355E" w:rsidRDefault="0093355E" w:rsidP="0093355E"/>
    <w:p w14:paraId="432DB1AB" w14:textId="17264728" w:rsidR="00340326" w:rsidRPr="0093355E" w:rsidRDefault="00340326" w:rsidP="00340326">
      <w:pPr>
        <w:rPr>
          <w:lang w:bidi="ar-SA"/>
        </w:rPr>
      </w:pPr>
      <w:r w:rsidRPr="0093355E">
        <w:rPr>
          <w:lang w:bidi="ar-SA"/>
        </w:rPr>
        <w:t>To address this</w:t>
      </w:r>
      <w:r w:rsidR="00BA06F2" w:rsidRPr="0093355E">
        <w:rPr>
          <w:lang w:bidi="ar-SA"/>
        </w:rPr>
        <w:t xml:space="preserve"> discrepancy</w:t>
      </w:r>
      <w:r w:rsidRPr="0093355E">
        <w:rPr>
          <w:lang w:bidi="ar-SA"/>
        </w:rPr>
        <w:t xml:space="preserve">, FSANZ proposes to amend the general claim conditions in Standard 1.2.7 to permit claims about vitamin and mineral content to be based on the prescribed reference quantity, </w:t>
      </w:r>
      <w:r w:rsidR="00E334BB" w:rsidRPr="0093355E">
        <w:rPr>
          <w:lang w:bidi="ar-SA"/>
        </w:rPr>
        <w:t xml:space="preserve">but </w:t>
      </w:r>
      <w:r w:rsidRPr="0093355E">
        <w:rPr>
          <w:lang w:bidi="ar-SA"/>
        </w:rPr>
        <w:t xml:space="preserve">only if the maximum claimable amount is less than the minimum amount required to make a claim (due to the serving size specified by the food supplier). </w:t>
      </w:r>
      <w:r w:rsidR="00ED0372" w:rsidRPr="0093355E">
        <w:rPr>
          <w:lang w:bidi="ar-SA"/>
        </w:rPr>
        <w:t>This means that v</w:t>
      </w:r>
      <w:r w:rsidRPr="0093355E">
        <w:rPr>
          <w:lang w:bidi="ar-SA"/>
        </w:rPr>
        <w:t>itamin and mineral</w:t>
      </w:r>
      <w:r w:rsidR="00FF21A3" w:rsidRPr="0093355E">
        <w:rPr>
          <w:lang w:bidi="ar-SA"/>
        </w:rPr>
        <w:t xml:space="preserve"> content</w:t>
      </w:r>
      <w:r w:rsidRPr="0093355E">
        <w:rPr>
          <w:lang w:bidi="ar-SA"/>
        </w:rPr>
        <w:t xml:space="preserve"> c</w:t>
      </w:r>
      <w:r w:rsidR="004A276A" w:rsidRPr="0093355E">
        <w:rPr>
          <w:lang w:bidi="ar-SA"/>
        </w:rPr>
        <w:t>laims about foods</w:t>
      </w:r>
      <w:r w:rsidR="00FF21A3" w:rsidRPr="0093355E">
        <w:rPr>
          <w:lang w:bidi="ar-SA"/>
        </w:rPr>
        <w:t xml:space="preserve"> fortified with vitamins or minerals</w:t>
      </w:r>
      <w:r w:rsidR="004A276A" w:rsidRPr="0093355E">
        <w:rPr>
          <w:lang w:bidi="ar-SA"/>
        </w:rPr>
        <w:t xml:space="preserve"> </w:t>
      </w:r>
      <w:r w:rsidR="00EF6A06" w:rsidRPr="0093355E">
        <w:rPr>
          <w:lang w:bidi="ar-SA"/>
        </w:rPr>
        <w:t xml:space="preserve">that are affected by the </w:t>
      </w:r>
      <w:r w:rsidR="00BA06F2" w:rsidRPr="0093355E">
        <w:rPr>
          <w:lang w:bidi="ar-SA"/>
        </w:rPr>
        <w:t xml:space="preserve">discrepancy </w:t>
      </w:r>
      <w:r w:rsidR="004A276A" w:rsidRPr="0093355E">
        <w:rPr>
          <w:lang w:bidi="ar-SA"/>
        </w:rPr>
        <w:t>would</w:t>
      </w:r>
      <w:r w:rsidRPr="0093355E">
        <w:rPr>
          <w:lang w:bidi="ar-SA"/>
        </w:rPr>
        <w:t xml:space="preserve"> </w:t>
      </w:r>
      <w:r w:rsidR="001F1801" w:rsidRPr="0093355E">
        <w:rPr>
          <w:lang w:bidi="ar-SA"/>
        </w:rPr>
        <w:t>continue to be permitted</w:t>
      </w:r>
      <w:r w:rsidR="00ED0372" w:rsidRPr="0093355E">
        <w:rPr>
          <w:lang w:bidi="ar-SA"/>
        </w:rPr>
        <w:t xml:space="preserve"> as they were before Standard 1.2.7 was gazetted</w:t>
      </w:r>
      <w:r w:rsidR="001F1801" w:rsidRPr="0093355E">
        <w:rPr>
          <w:lang w:bidi="ar-SA"/>
        </w:rPr>
        <w:t>.</w:t>
      </w:r>
    </w:p>
    <w:p w14:paraId="4B05B56D" w14:textId="77777777" w:rsidR="00340326" w:rsidRPr="0093355E" w:rsidRDefault="00340326" w:rsidP="00340326">
      <w:pPr>
        <w:rPr>
          <w:lang w:bidi="ar-SA"/>
        </w:rPr>
      </w:pPr>
    </w:p>
    <w:p w14:paraId="174B91B0" w14:textId="40DF6AC3" w:rsidR="00340326" w:rsidRPr="0093355E" w:rsidRDefault="00340326" w:rsidP="00340326">
      <w:pPr>
        <w:rPr>
          <w:lang w:bidi="ar-SA"/>
        </w:rPr>
      </w:pPr>
      <w:r w:rsidRPr="0093355E">
        <w:rPr>
          <w:lang w:bidi="ar-SA"/>
        </w:rPr>
        <w:t>The proposed amendment would not apply to other vitamin and mineral content claims (including on the same food)</w:t>
      </w:r>
      <w:r w:rsidR="00EF6A06" w:rsidRPr="0093355E">
        <w:rPr>
          <w:lang w:bidi="ar-SA"/>
        </w:rPr>
        <w:t>,</w:t>
      </w:r>
      <w:r w:rsidRPr="0093355E">
        <w:rPr>
          <w:lang w:bidi="ar-SA"/>
        </w:rPr>
        <w:t xml:space="preserve"> where the maximum claimable amount is more than the minimum amount required to make a claim, i.e. for these claims, the minimum amount required to make the claim would remain on a </w:t>
      </w:r>
      <w:r w:rsidR="00FD095F">
        <w:rPr>
          <w:lang w:bidi="ar-SA"/>
        </w:rPr>
        <w:t xml:space="preserve">per </w:t>
      </w:r>
      <w:r w:rsidRPr="0093355E">
        <w:rPr>
          <w:lang w:bidi="ar-SA"/>
        </w:rPr>
        <w:t>serving basis.</w:t>
      </w:r>
      <w:r w:rsidR="00F65E0D" w:rsidRPr="0093355E">
        <w:t xml:space="preserve"> The proposed amendment would also not apply to </w:t>
      </w:r>
      <w:r w:rsidR="00F65E0D" w:rsidRPr="0093355E">
        <w:rPr>
          <w:lang w:bidi="ar-SA"/>
        </w:rPr>
        <w:t xml:space="preserve">the conditions for claims using a specific descriptor such as </w:t>
      </w:r>
      <w:r w:rsidR="00F65E0D" w:rsidRPr="0093355E">
        <w:rPr>
          <w:i/>
          <w:lang w:bidi="ar-SA"/>
        </w:rPr>
        <w:t>good source</w:t>
      </w:r>
      <w:r w:rsidR="00F65E0D" w:rsidRPr="0093355E">
        <w:rPr>
          <w:lang w:bidi="ar-SA"/>
        </w:rPr>
        <w:t xml:space="preserve"> or </w:t>
      </w:r>
      <w:r w:rsidR="00F65E0D" w:rsidRPr="0093355E">
        <w:rPr>
          <w:i/>
          <w:lang w:bidi="ar-SA"/>
        </w:rPr>
        <w:t>high</w:t>
      </w:r>
      <w:r w:rsidR="00F65E0D" w:rsidRPr="0093355E">
        <w:rPr>
          <w:lang w:bidi="ar-SA"/>
        </w:rPr>
        <w:t xml:space="preserve">. </w:t>
      </w:r>
    </w:p>
    <w:p w14:paraId="0B0A8FD5" w14:textId="49B3AA96" w:rsidR="00272436" w:rsidRPr="0093355E" w:rsidRDefault="00272436" w:rsidP="00272436">
      <w:pPr>
        <w:pStyle w:val="Heading5"/>
        <w:rPr>
          <w:b/>
        </w:rPr>
      </w:pPr>
      <w:r w:rsidRPr="0093355E">
        <w:rPr>
          <w:b/>
        </w:rPr>
        <w:t>Sodium claims about food containing alcohol</w:t>
      </w:r>
    </w:p>
    <w:p w14:paraId="3F7BBCB0" w14:textId="5BA353D1" w:rsidR="00272436" w:rsidRPr="0093355E" w:rsidRDefault="00272436" w:rsidP="00272436">
      <w:r w:rsidRPr="0093355E">
        <w:t xml:space="preserve">When Standard 1.2.7 becomes mandatory on 18 January 2016, nutrition content claims about sodium and salt in relation to food containing more than 1.15% alcohol by volume (including beverages) will be prohibited. </w:t>
      </w:r>
      <w:r w:rsidR="00340326" w:rsidRPr="0093355E">
        <w:t>U</w:t>
      </w:r>
      <w:r w:rsidRPr="0093355E">
        <w:t xml:space="preserve">ntil </w:t>
      </w:r>
      <w:r w:rsidR="00340326" w:rsidRPr="0093355E">
        <w:t>then however</w:t>
      </w:r>
      <w:r w:rsidRPr="0093355E">
        <w:t>, under the transitional arrangements for Standard 1.2.7, nutrition content claims about sodium and salt content in relation to such foods are permitted</w:t>
      </w:r>
      <w:r w:rsidR="004916D3" w:rsidRPr="0093355E">
        <w:t>.</w:t>
      </w:r>
    </w:p>
    <w:p w14:paraId="38BC912C" w14:textId="77777777" w:rsidR="0093355E" w:rsidRDefault="0093355E" w:rsidP="004A276A">
      <w:r>
        <w:br w:type="page"/>
      </w:r>
    </w:p>
    <w:p w14:paraId="45D70313" w14:textId="3B726470" w:rsidR="004A276A" w:rsidRPr="0093355E" w:rsidRDefault="004A276A" w:rsidP="004A276A">
      <w:r w:rsidRPr="0093355E">
        <w:lastRenderedPageBreak/>
        <w:t>Some foods containing alcohol, particularly soy sauces, are currently marketed</w:t>
      </w:r>
      <w:r w:rsidR="006C1182" w:rsidRPr="0093355E">
        <w:t xml:space="preserve"> with nutrition content claims about </w:t>
      </w:r>
      <w:r w:rsidRPr="0093355E">
        <w:t>sodium</w:t>
      </w:r>
      <w:r w:rsidR="006C1182" w:rsidRPr="0093355E">
        <w:t xml:space="preserve"> or </w:t>
      </w:r>
      <w:r w:rsidRPr="0093355E">
        <w:t xml:space="preserve">salt </w:t>
      </w:r>
      <w:r w:rsidR="006C1182" w:rsidRPr="0093355E">
        <w:t xml:space="preserve">(usually </w:t>
      </w:r>
      <w:r w:rsidR="006C1182" w:rsidRPr="0093355E">
        <w:rPr>
          <w:i/>
        </w:rPr>
        <w:t>reduced sodium/salt</w:t>
      </w:r>
      <w:r w:rsidR="006C1182" w:rsidRPr="0093355E">
        <w:t>)</w:t>
      </w:r>
      <w:r w:rsidR="006C1182" w:rsidRPr="0093355E">
        <w:rPr>
          <w:i/>
        </w:rPr>
        <w:t xml:space="preserve"> </w:t>
      </w:r>
      <w:r w:rsidRPr="0093355E">
        <w:t xml:space="preserve">in both Australia and New Zealand under the regulatory arrangements for claims in place before gazettal of Standard 1.2.7. Submitters to the </w:t>
      </w:r>
      <w:r w:rsidR="001F1801" w:rsidRPr="0093355E">
        <w:t xml:space="preserve">Call for Submissions for </w:t>
      </w:r>
      <w:r w:rsidRPr="0093355E">
        <w:t xml:space="preserve">P1035 – Gluten </w:t>
      </w:r>
      <w:r w:rsidR="0003265F">
        <w:t>Claims about Foods c</w:t>
      </w:r>
      <w:r w:rsidRPr="0093355E">
        <w:t>ontaining Alcohol</w:t>
      </w:r>
      <w:r w:rsidR="00EF6A06" w:rsidRPr="0093355E">
        <w:t>,</w:t>
      </w:r>
      <w:r w:rsidRPr="0093355E">
        <w:t xml:space="preserve"> requested that in addition to permitting gluten claims, sodium and salt </w:t>
      </w:r>
      <w:r w:rsidR="00F65E0D" w:rsidRPr="0093355E">
        <w:t xml:space="preserve">content </w:t>
      </w:r>
      <w:r w:rsidRPr="0093355E">
        <w:t>claims should be permitted on foods containing alcohol. Of particular concern was soy sauce, as certain fermented soy sauce products containing more than 1.15% alcoh</w:t>
      </w:r>
      <w:r w:rsidR="006C1182" w:rsidRPr="0093355E">
        <w:t xml:space="preserve">ol by volume currently make </w:t>
      </w:r>
      <w:r w:rsidR="00EF6A06" w:rsidRPr="0093355E">
        <w:t xml:space="preserve">sodium or </w:t>
      </w:r>
      <w:r w:rsidRPr="0093355E">
        <w:t>salt claims.</w:t>
      </w:r>
    </w:p>
    <w:p w14:paraId="649DC8C4" w14:textId="77777777" w:rsidR="004A276A" w:rsidRPr="0093355E" w:rsidRDefault="004A276A" w:rsidP="004A276A"/>
    <w:p w14:paraId="464D31F1" w14:textId="05B99965" w:rsidR="001819C2" w:rsidRPr="0093355E" w:rsidRDefault="004A276A" w:rsidP="004A276A">
      <w:r w:rsidRPr="0093355E">
        <w:t xml:space="preserve">FSANZ is proposing to amend Standard 1.2.7 so that nutrition content claims about sodium </w:t>
      </w:r>
      <w:r w:rsidR="00EF6A06" w:rsidRPr="0093355E">
        <w:t>and</w:t>
      </w:r>
      <w:r w:rsidRPr="0093355E">
        <w:t xml:space="preserve"> salt in relation to food </w:t>
      </w:r>
      <w:r w:rsidR="004916D3" w:rsidRPr="0093355E">
        <w:t xml:space="preserve">(but not beverages) </w:t>
      </w:r>
      <w:r w:rsidRPr="0093355E">
        <w:t xml:space="preserve">containing more than 1.15% alcohol by volume continue to be permitted after January 2016. This will enable suppliers to continue to alert consumers to </w:t>
      </w:r>
      <w:r w:rsidRPr="0093355E">
        <w:rPr>
          <w:i/>
        </w:rPr>
        <w:t>reduced</w:t>
      </w:r>
      <w:r w:rsidRPr="0093355E">
        <w:t xml:space="preserve"> </w:t>
      </w:r>
      <w:r w:rsidR="008A0AAF" w:rsidRPr="0093355E">
        <w:t xml:space="preserve">or </w:t>
      </w:r>
      <w:r w:rsidR="008A0AAF" w:rsidRPr="0093355E">
        <w:rPr>
          <w:i/>
        </w:rPr>
        <w:t xml:space="preserve">low </w:t>
      </w:r>
      <w:r w:rsidRPr="0093355E">
        <w:rPr>
          <w:i/>
        </w:rPr>
        <w:t>sodium/salt</w:t>
      </w:r>
      <w:r w:rsidRPr="0093355E">
        <w:t xml:space="preserve"> varieties of these foods. This approach is supported by the </w:t>
      </w:r>
      <w:r w:rsidR="006C1182" w:rsidRPr="0093355E">
        <w:t>national</w:t>
      </w:r>
      <w:r w:rsidRPr="0093355E">
        <w:t xml:space="preserve"> dietary guidelines, which recommend limiting intake of foods containing added salt and choos</w:t>
      </w:r>
      <w:r w:rsidR="006C1182" w:rsidRPr="0093355E">
        <w:t>ing</w:t>
      </w:r>
      <w:r w:rsidRPr="0093355E">
        <w:t xml:space="preserve"> lower</w:t>
      </w:r>
      <w:r w:rsidR="006C1182" w:rsidRPr="0093355E">
        <w:t>/low</w:t>
      </w:r>
      <w:r w:rsidRPr="0093355E">
        <w:t xml:space="preserve"> sodium options</w:t>
      </w:r>
      <w:r w:rsidR="006C1182" w:rsidRPr="0093355E">
        <w:t xml:space="preserve">. </w:t>
      </w:r>
    </w:p>
    <w:p w14:paraId="7D2A5B16" w14:textId="77777777" w:rsidR="001819C2" w:rsidRPr="0093355E" w:rsidRDefault="001819C2" w:rsidP="004A276A"/>
    <w:p w14:paraId="113F8897" w14:textId="23FB109B" w:rsidR="00272436" w:rsidRPr="0093355E" w:rsidRDefault="001819C2" w:rsidP="00272436">
      <w:r w:rsidRPr="0093355E">
        <w:t>The prohibition of nutrition content claims about sodium or salt in relation to beverages containing more than 1.15% alcohol by volume and health claims about all foods containing more t</w:t>
      </w:r>
      <w:r w:rsidR="004916D3" w:rsidRPr="0093355E">
        <w:t>h</w:t>
      </w:r>
      <w:r w:rsidRPr="0093355E">
        <w:t xml:space="preserve">an 1.15% alcohol by volume </w:t>
      </w:r>
      <w:r w:rsidR="00EF6A06" w:rsidRPr="0093355E">
        <w:t xml:space="preserve">(including beverages) </w:t>
      </w:r>
      <w:r w:rsidRPr="0093355E">
        <w:t>will remain in Standard 1.2.7, in accordance with the</w:t>
      </w:r>
      <w:r w:rsidR="00877263" w:rsidRPr="0093355E">
        <w:rPr>
          <w:lang w:bidi="ar-SA"/>
        </w:rPr>
        <w:t xml:space="preserve"> </w:t>
      </w:r>
      <w:r w:rsidR="00877263" w:rsidRPr="0093355E">
        <w:rPr>
          <w:i/>
          <w:lang w:bidi="ar-SA"/>
        </w:rPr>
        <w:t>Policy Guideline on Nutrition, Health and Related Claims</w:t>
      </w:r>
      <w:r w:rsidR="00877263" w:rsidRPr="0093355E">
        <w:rPr>
          <w:rStyle w:val="FootnoteReference"/>
          <w:i/>
          <w:lang w:bidi="ar-SA"/>
        </w:rPr>
        <w:footnoteReference w:id="2"/>
      </w:r>
      <w:r w:rsidR="00D70200" w:rsidRPr="0093355E">
        <w:t>.</w:t>
      </w:r>
    </w:p>
    <w:p w14:paraId="624758A8" w14:textId="77777777" w:rsidR="006D4433" w:rsidRPr="0093355E" w:rsidRDefault="006D4433" w:rsidP="006D4433">
      <w:pPr>
        <w:keepNext/>
        <w:spacing w:before="240" w:after="240"/>
        <w:ind w:left="851" w:hanging="851"/>
        <w:outlineLvl w:val="4"/>
        <w:rPr>
          <w:b/>
          <w:i/>
          <w:szCs w:val="22"/>
          <w:lang w:bidi="ar-SA"/>
        </w:rPr>
      </w:pPr>
      <w:r w:rsidRPr="0093355E">
        <w:rPr>
          <w:b/>
          <w:i/>
          <w:szCs w:val="22"/>
          <w:lang w:bidi="ar-SA"/>
        </w:rPr>
        <w:t>Revised Code</w:t>
      </w:r>
    </w:p>
    <w:p w14:paraId="66211C51" w14:textId="718FAF88" w:rsidR="006D4433" w:rsidRPr="0093355E" w:rsidRDefault="006D4433" w:rsidP="006D4433">
      <w:pPr>
        <w:widowControl/>
      </w:pPr>
      <w:r w:rsidRPr="0093355E">
        <w:t>A revision of the Code via Proposal P1025</w:t>
      </w:r>
      <w:r w:rsidRPr="0093355E">
        <w:rPr>
          <w:lang w:bidi="ar-SA"/>
        </w:rPr>
        <w:t xml:space="preserve"> – Code Revision</w:t>
      </w:r>
      <w:r w:rsidRPr="0093355E">
        <w:t xml:space="preserve">, will replace the existing Code on 1 March 2016. FSANZ has therefore </w:t>
      </w:r>
      <w:r w:rsidR="001819C2" w:rsidRPr="0093355E">
        <w:t>provided</w:t>
      </w:r>
      <w:r w:rsidRPr="0093355E">
        <w:t xml:space="preserve"> draft amendments to both the current and the revised Code, to implement the changes outlined above</w:t>
      </w:r>
      <w:r w:rsidRPr="0093355E">
        <w:rPr>
          <w:lang w:bidi="ar-SA"/>
        </w:rPr>
        <w:t>.</w:t>
      </w:r>
    </w:p>
    <w:p w14:paraId="57653FA4" w14:textId="77777777" w:rsidR="006D4433" w:rsidRPr="0093355E" w:rsidRDefault="006D4433" w:rsidP="00A56E34"/>
    <w:p w14:paraId="7D451C74" w14:textId="77777777" w:rsidR="0053464E" w:rsidRPr="0093355E" w:rsidRDefault="0053464E" w:rsidP="00A56E34">
      <w:r w:rsidRPr="0093355E">
        <w:br w:type="page"/>
      </w:r>
    </w:p>
    <w:p w14:paraId="7D451C75" w14:textId="77777777" w:rsidR="002A5F8B" w:rsidRPr="0093355E" w:rsidRDefault="00F33BB8" w:rsidP="000B6AF2">
      <w:pPr>
        <w:pStyle w:val="Heading1"/>
      </w:pPr>
      <w:bookmarkStart w:id="10" w:name="_Toc300933417"/>
      <w:bookmarkStart w:id="11" w:name="_Toc423079096"/>
      <w:r w:rsidRPr="0093355E">
        <w:lastRenderedPageBreak/>
        <w:t>1</w:t>
      </w:r>
      <w:r w:rsidR="001542D8" w:rsidRPr="0093355E">
        <w:tab/>
      </w:r>
      <w:r w:rsidR="002A5F8B" w:rsidRPr="0093355E">
        <w:t>Introduction</w:t>
      </w:r>
      <w:bookmarkEnd w:id="9"/>
      <w:bookmarkEnd w:id="10"/>
      <w:bookmarkEnd w:id="11"/>
    </w:p>
    <w:p w14:paraId="479D71DB" w14:textId="71B8DC34" w:rsidR="00EF6A06" w:rsidRPr="0093355E" w:rsidRDefault="00BC2754" w:rsidP="00463082">
      <w:bookmarkStart w:id="12" w:name="_Toc300761892"/>
      <w:bookmarkStart w:id="13" w:name="_Toc300933421"/>
      <w:r w:rsidRPr="0093355E">
        <w:rPr>
          <w:lang w:bidi="ar-SA"/>
        </w:rPr>
        <w:t xml:space="preserve">This </w:t>
      </w:r>
      <w:r w:rsidR="00D70200" w:rsidRPr="0093355E">
        <w:rPr>
          <w:lang w:bidi="ar-SA"/>
        </w:rPr>
        <w:t>P</w:t>
      </w:r>
      <w:r w:rsidRPr="0093355E">
        <w:rPr>
          <w:lang w:bidi="ar-SA"/>
        </w:rPr>
        <w:t xml:space="preserve">roposal has been prepared to consider the following two issues associated with the gazettal of Standard 1.2.7 – Nutrition, Health and Related Claims: </w:t>
      </w:r>
    </w:p>
    <w:p w14:paraId="0659C72A" w14:textId="77777777" w:rsidR="00EF6A06" w:rsidRPr="0093355E" w:rsidRDefault="00EF6A06" w:rsidP="00463082"/>
    <w:p w14:paraId="0A24423B" w14:textId="4538AE9C" w:rsidR="00EF6A06" w:rsidRPr="0093355E" w:rsidRDefault="001E229C" w:rsidP="001A381B">
      <w:pPr>
        <w:pStyle w:val="FSBullet1"/>
      </w:pPr>
      <w:r w:rsidRPr="0093355E">
        <w:t>a</w:t>
      </w:r>
      <w:r w:rsidR="00377E35" w:rsidRPr="0093355E">
        <w:t xml:space="preserve"> discrepancy i</w:t>
      </w:r>
      <w:r w:rsidRPr="0093355E">
        <w:t xml:space="preserve">n the </w:t>
      </w:r>
      <w:r w:rsidR="001A381B" w:rsidRPr="0093355E">
        <w:t xml:space="preserve">conditions for vitamin and mineral content claims about foods </w:t>
      </w:r>
      <w:r w:rsidR="00FF21A3" w:rsidRPr="0093355E">
        <w:t xml:space="preserve">fortified with vitamins or minerals, </w:t>
      </w:r>
      <w:r w:rsidR="001A381B" w:rsidRPr="0093355E">
        <w:t>between Standards 1.2.7 and 1.3.2</w:t>
      </w:r>
      <w:r w:rsidR="00D70200" w:rsidRPr="0093355E">
        <w:t xml:space="preserve"> – Vitamins and Minerals </w:t>
      </w:r>
    </w:p>
    <w:p w14:paraId="1235AD52" w14:textId="02B2BDCF" w:rsidR="00463082" w:rsidRPr="0093355E" w:rsidRDefault="00463082" w:rsidP="00EF6A06">
      <w:pPr>
        <w:pStyle w:val="FSBullet1"/>
      </w:pPr>
      <w:proofErr w:type="gramStart"/>
      <w:r w:rsidRPr="0093355E">
        <w:t>permission</w:t>
      </w:r>
      <w:proofErr w:type="gramEnd"/>
      <w:r w:rsidRPr="0093355E">
        <w:t xml:space="preserve"> for nutrition content claims about sodium</w:t>
      </w:r>
      <w:r w:rsidR="00CA40F2" w:rsidRPr="0093355E">
        <w:t xml:space="preserve"> and salt</w:t>
      </w:r>
      <w:r w:rsidRPr="0093355E">
        <w:t xml:space="preserve"> in relation to foods containing more than 1.15% alcohol by volume.</w:t>
      </w:r>
    </w:p>
    <w:p w14:paraId="213CC684" w14:textId="77777777" w:rsidR="00BC2754" w:rsidRPr="0093355E" w:rsidRDefault="00BC2754" w:rsidP="00BC2754">
      <w:pPr>
        <w:rPr>
          <w:lang w:bidi="ar-SA"/>
        </w:rPr>
      </w:pPr>
    </w:p>
    <w:p w14:paraId="0D5653B8" w14:textId="0BA47A54" w:rsidR="001A381B" w:rsidRPr="0093355E" w:rsidRDefault="00BC2754" w:rsidP="00BC2754">
      <w:pPr>
        <w:rPr>
          <w:lang w:bidi="ar-SA"/>
        </w:rPr>
      </w:pPr>
      <w:r w:rsidRPr="0093355E">
        <w:rPr>
          <w:lang w:bidi="ar-SA"/>
        </w:rPr>
        <w:t>Standard 1.2.7 sets out the claims that can be made on labels or in advertisements about the nutritional content of food (described as nutrition content claims) or the relationship between a food or a property of food and a health effect (described as health claims). Standard 1.2.7 was developed under Proposal P293 – Nutrition, Health &amp; Related Claims. It was gazetted in January 2013 and will take full effect when the transition period ends in January 2016.</w:t>
      </w:r>
    </w:p>
    <w:p w14:paraId="16DE956D" w14:textId="02697535" w:rsidR="001A381B" w:rsidRPr="0093355E" w:rsidRDefault="001A381B" w:rsidP="001A381B">
      <w:pPr>
        <w:pStyle w:val="Heading2"/>
      </w:pPr>
      <w:bookmarkStart w:id="14" w:name="_Toc423079097"/>
      <w:r w:rsidRPr="0093355E">
        <w:t>1.1</w:t>
      </w:r>
      <w:r w:rsidRPr="0093355E">
        <w:tab/>
        <w:t>Procedure for assessment</w:t>
      </w:r>
      <w:bookmarkEnd w:id="14"/>
    </w:p>
    <w:p w14:paraId="43D67F4D" w14:textId="22C21B77" w:rsidR="001A381B" w:rsidRPr="0093355E" w:rsidRDefault="001A381B" w:rsidP="00BC2754">
      <w:pPr>
        <w:rPr>
          <w:lang w:bidi="ar-SA"/>
        </w:rPr>
      </w:pPr>
      <w:r w:rsidRPr="0093355E">
        <w:t>The Proposal is being assessed under the General Procedure.</w:t>
      </w:r>
    </w:p>
    <w:p w14:paraId="5FF2B9DD" w14:textId="77777777" w:rsidR="00BC2754" w:rsidRPr="0093355E" w:rsidRDefault="00BC2754" w:rsidP="00BC2754">
      <w:pPr>
        <w:rPr>
          <w:lang w:bidi="ar-SA"/>
        </w:rPr>
      </w:pPr>
    </w:p>
    <w:p w14:paraId="7DB91DBD" w14:textId="047B9C09" w:rsidR="00BC2754" w:rsidRPr="0093355E" w:rsidRDefault="008D5DED" w:rsidP="00BC2754">
      <w:pPr>
        <w:pStyle w:val="Heading1"/>
      </w:pPr>
      <w:bookmarkStart w:id="15" w:name="_Toc423079098"/>
      <w:r w:rsidRPr="0093355E">
        <w:t>2</w:t>
      </w:r>
      <w:r w:rsidRPr="0093355E">
        <w:tab/>
      </w:r>
      <w:r w:rsidR="00BC2754" w:rsidRPr="0093355E">
        <w:t>Vitamin and mineral nutrition content claims</w:t>
      </w:r>
      <w:bookmarkEnd w:id="15"/>
    </w:p>
    <w:p w14:paraId="7D451C7A" w14:textId="2E2BC13E" w:rsidR="00373B75" w:rsidRPr="0093355E" w:rsidRDefault="008D5DED" w:rsidP="00A56E34">
      <w:pPr>
        <w:pStyle w:val="Heading2"/>
      </w:pPr>
      <w:bookmarkStart w:id="16" w:name="_Toc423079099"/>
      <w:r w:rsidRPr="0093355E">
        <w:t>2</w:t>
      </w:r>
      <w:r w:rsidR="00A56E34" w:rsidRPr="0093355E">
        <w:t>.</w:t>
      </w:r>
      <w:r w:rsidR="00EF6A06" w:rsidRPr="0093355E">
        <w:t>1</w:t>
      </w:r>
      <w:r w:rsidR="00A56E34" w:rsidRPr="0093355E">
        <w:tab/>
      </w:r>
      <w:r w:rsidR="00AB149B" w:rsidRPr="0093355E">
        <w:t>The current Standard</w:t>
      </w:r>
      <w:bookmarkEnd w:id="16"/>
    </w:p>
    <w:bookmarkEnd w:id="12"/>
    <w:bookmarkEnd w:id="13"/>
    <w:p w14:paraId="52E0C766" w14:textId="2F57F13B" w:rsidR="00B07ECF" w:rsidRPr="0093355E" w:rsidRDefault="00B07ECF" w:rsidP="00AB149B">
      <w:r w:rsidRPr="0093355E">
        <w:t xml:space="preserve">A revision of the Code via Proposal P1025 – Code Revision, will replace the existing Code on 1 March 2016. The references in this section are applicable to both the </w:t>
      </w:r>
      <w:r w:rsidR="0093355E">
        <w:t>current</w:t>
      </w:r>
      <w:r w:rsidR="0093355E" w:rsidRPr="0093355E">
        <w:t xml:space="preserve"> </w:t>
      </w:r>
      <w:r w:rsidRPr="0093355E">
        <w:t>and revised Code</w:t>
      </w:r>
      <w:r w:rsidR="00EC0A24" w:rsidRPr="0093355E">
        <w:t>s</w:t>
      </w:r>
      <w:r w:rsidRPr="0093355E">
        <w:t xml:space="preserve">. </w:t>
      </w:r>
    </w:p>
    <w:p w14:paraId="144E7491" w14:textId="77777777" w:rsidR="00B07ECF" w:rsidRPr="0093355E" w:rsidRDefault="00B07ECF" w:rsidP="00AB149B"/>
    <w:p w14:paraId="02EC5A8D" w14:textId="47CA1AC1" w:rsidR="00F12D7A" w:rsidRPr="0093355E" w:rsidRDefault="00AB149B" w:rsidP="00AB149B">
      <w:r w:rsidRPr="0093355E">
        <w:t xml:space="preserve">Standard </w:t>
      </w:r>
      <w:r w:rsidR="00D124BB" w:rsidRPr="0093355E">
        <w:t xml:space="preserve">1.2.7 </w:t>
      </w:r>
      <w:r w:rsidRPr="0093355E">
        <w:t xml:space="preserve">describes the conditions under which </w:t>
      </w:r>
      <w:r w:rsidR="0047507A" w:rsidRPr="0093355E">
        <w:t>nutrition content</w:t>
      </w:r>
      <w:r w:rsidRPr="0093355E">
        <w:t xml:space="preserve"> claims can be made, including </w:t>
      </w:r>
      <w:r w:rsidR="00F65E0D" w:rsidRPr="0093355E">
        <w:t xml:space="preserve">general claim </w:t>
      </w:r>
      <w:r w:rsidRPr="0093355E">
        <w:t>conditions for the minimum amount of a vitamin or mineral required</w:t>
      </w:r>
      <w:r w:rsidR="00D124BB" w:rsidRPr="0093355E">
        <w:t xml:space="preserve"> in a serving of food</w:t>
      </w:r>
      <w:r w:rsidRPr="0093355E">
        <w:t xml:space="preserve"> to </w:t>
      </w:r>
      <w:r w:rsidR="0047507A" w:rsidRPr="0093355E">
        <w:t>make a nutrition content claim</w:t>
      </w:r>
      <w:r w:rsidR="00F12D7A" w:rsidRPr="0093355E">
        <w:t xml:space="preserve"> (e.g</w:t>
      </w:r>
      <w:r w:rsidR="007035A7" w:rsidRPr="0093355E">
        <w:t>.</w:t>
      </w:r>
      <w:r w:rsidR="00F12D7A" w:rsidRPr="0093355E">
        <w:t xml:space="preserve"> </w:t>
      </w:r>
      <w:r w:rsidR="00F12D7A" w:rsidRPr="0093355E">
        <w:rPr>
          <w:i/>
        </w:rPr>
        <w:t>source</w:t>
      </w:r>
      <w:r w:rsidR="00F12D7A" w:rsidRPr="0093355E">
        <w:t xml:space="preserve"> or </w:t>
      </w:r>
      <w:r w:rsidR="00F12D7A" w:rsidRPr="0093355E">
        <w:rPr>
          <w:i/>
        </w:rPr>
        <w:t>contains</w:t>
      </w:r>
      <w:r w:rsidR="00F12D7A" w:rsidRPr="0093355E">
        <w:t xml:space="preserve"> type claims)</w:t>
      </w:r>
      <w:r w:rsidR="0047507A" w:rsidRPr="0093355E">
        <w:t xml:space="preserve"> i.e. a serving of the food must contain at least 10% of the </w:t>
      </w:r>
      <w:r w:rsidR="00F04DBF" w:rsidRPr="0093355E">
        <w:t xml:space="preserve">regulatory </w:t>
      </w:r>
      <w:r w:rsidR="0047507A" w:rsidRPr="0093355E">
        <w:t>RDI (Recommended Dietary Intake) or ESADDI (Estimated Safe and Adequate Daily Dietary Intake)</w:t>
      </w:r>
      <w:r w:rsidR="00F65E0D" w:rsidRPr="0093355E">
        <w:rPr>
          <w:rStyle w:val="FootnoteReference"/>
        </w:rPr>
        <w:footnoteReference w:id="3"/>
      </w:r>
      <w:r w:rsidR="0047507A" w:rsidRPr="0093355E">
        <w:t xml:space="preserve"> for that vitamin or mineral. The serving size is determined by the supplier of the food. </w:t>
      </w:r>
    </w:p>
    <w:p w14:paraId="6ABDA068" w14:textId="77777777" w:rsidR="00F12D7A" w:rsidRPr="0093355E" w:rsidRDefault="00F12D7A" w:rsidP="00AB149B"/>
    <w:p w14:paraId="5CB92DCD" w14:textId="2A8F602E" w:rsidR="009E379E" w:rsidRPr="0093355E" w:rsidRDefault="009E379E" w:rsidP="009E379E">
      <w:r w:rsidRPr="0093355E">
        <w:t>For health claims about vitamins and minerals that are pre</w:t>
      </w:r>
      <w:r w:rsidR="00FC109D" w:rsidRPr="0093355E">
        <w:t>-</w:t>
      </w:r>
      <w:r w:rsidRPr="0093355E">
        <w:t>approved in the Code, the food must meet the general claim conditions for making a nutrition content claim about the vitamin or mineral that is the subject of the claim</w:t>
      </w:r>
      <w:r w:rsidR="00D70200" w:rsidRPr="0093355E">
        <w:t xml:space="preserve"> (as outlined above)</w:t>
      </w:r>
      <w:r w:rsidRPr="0093355E">
        <w:t xml:space="preserve">. </w:t>
      </w:r>
    </w:p>
    <w:p w14:paraId="471EEEC2" w14:textId="77777777" w:rsidR="009E379E" w:rsidRPr="0093355E" w:rsidRDefault="009E379E" w:rsidP="009E379E"/>
    <w:p w14:paraId="4DAC947E" w14:textId="63EE2C50" w:rsidR="00D124BB" w:rsidRPr="0093355E" w:rsidRDefault="00BD74D3" w:rsidP="00AB149B">
      <w:r w:rsidRPr="0093355E">
        <w:t>For</w:t>
      </w:r>
      <w:r w:rsidR="00F65E0D" w:rsidRPr="0093355E">
        <w:t xml:space="preserve"> nutrition content</w:t>
      </w:r>
      <w:r w:rsidRPr="0093355E">
        <w:t xml:space="preserve"> claims that </w:t>
      </w:r>
      <w:r w:rsidR="00F65E0D" w:rsidRPr="0093355E">
        <w:t xml:space="preserve">use a descriptor to describe the level of the vitamin or mineral in the </w:t>
      </w:r>
      <w:r w:rsidRPr="0093355E">
        <w:t>food</w:t>
      </w:r>
      <w:r w:rsidR="00F65E0D" w:rsidRPr="0093355E">
        <w:t>, e.g.</w:t>
      </w:r>
      <w:r w:rsidRPr="0093355E">
        <w:t xml:space="preserve"> </w:t>
      </w:r>
      <w:r w:rsidRPr="0093355E">
        <w:rPr>
          <w:i/>
        </w:rPr>
        <w:t>good source</w:t>
      </w:r>
      <w:r w:rsidRPr="0093355E">
        <w:t xml:space="preserve">, a serving of the food must contain no less than 25% of the </w:t>
      </w:r>
      <w:r w:rsidR="00F04DBF" w:rsidRPr="0093355E">
        <w:t xml:space="preserve">regulatory </w:t>
      </w:r>
      <w:r w:rsidRPr="0093355E">
        <w:t xml:space="preserve">RDI or ESADDI for that vitamin or mineral. The conditions for </w:t>
      </w:r>
      <w:r w:rsidRPr="0093355E">
        <w:rPr>
          <w:i/>
        </w:rPr>
        <w:t xml:space="preserve">good source </w:t>
      </w:r>
      <w:r w:rsidRPr="0093355E">
        <w:t>claims are not under consideration in this Proposal</w:t>
      </w:r>
      <w:r w:rsidR="00FC109D" w:rsidRPr="0093355E">
        <w:t xml:space="preserve"> as the </w:t>
      </w:r>
      <w:r w:rsidR="00377E35" w:rsidRPr="0093355E">
        <w:t xml:space="preserve">discrepancy </w:t>
      </w:r>
      <w:r w:rsidR="00FC109D" w:rsidRPr="0093355E">
        <w:t xml:space="preserve">is </w:t>
      </w:r>
      <w:r w:rsidR="003C6265" w:rsidRPr="003C6265">
        <w:t>not expected to occur in relation to these kinds of claims.</w:t>
      </w:r>
    </w:p>
    <w:p w14:paraId="7F4823A6" w14:textId="77777777" w:rsidR="00D124BB" w:rsidRPr="0093355E" w:rsidRDefault="00D124BB" w:rsidP="00AB149B"/>
    <w:p w14:paraId="428F3274" w14:textId="77777777" w:rsidR="00D87B03" w:rsidRDefault="00D87B03" w:rsidP="009A6AAA">
      <w:pPr>
        <w:widowControl/>
      </w:pPr>
      <w:r>
        <w:br w:type="page"/>
      </w:r>
    </w:p>
    <w:p w14:paraId="7D451C7E" w14:textId="7647FBAE" w:rsidR="00AB149B" w:rsidRPr="0093355E" w:rsidRDefault="00AB149B" w:rsidP="009A6AAA">
      <w:pPr>
        <w:widowControl/>
      </w:pPr>
      <w:r w:rsidRPr="0093355E">
        <w:lastRenderedPageBreak/>
        <w:t>Standard 1.3.2</w:t>
      </w:r>
      <w:r w:rsidR="00D124BB" w:rsidRPr="0093355E">
        <w:t xml:space="preserve"> regulates the addition of vitamins and minerals to foods. For vitamins and minerals that </w:t>
      </w:r>
      <w:r w:rsidR="00377E35" w:rsidRPr="0093355E">
        <w:t>are permitted to be added to food</w:t>
      </w:r>
      <w:r w:rsidR="00F533CB" w:rsidRPr="0093355E">
        <w:t xml:space="preserve"> according to this Standard</w:t>
      </w:r>
      <w:r w:rsidR="0047507A" w:rsidRPr="0093355E">
        <w:t>,</w:t>
      </w:r>
      <w:r w:rsidR="00D124BB" w:rsidRPr="0093355E">
        <w:t xml:space="preserve"> the Standard also sets the maximum amount of that vitamin or mineral that can be claimed, per </w:t>
      </w:r>
      <w:r w:rsidR="00D124BB" w:rsidRPr="0093355E">
        <w:rPr>
          <w:i/>
        </w:rPr>
        <w:t>reference quantity</w:t>
      </w:r>
      <w:r w:rsidR="00D124BB" w:rsidRPr="0093355E">
        <w:t xml:space="preserve"> of the food</w:t>
      </w:r>
      <w:r w:rsidR="00F65E0D" w:rsidRPr="0093355E">
        <w:t xml:space="preserve"> (ranging from 10–50% of the RDI)</w:t>
      </w:r>
      <w:r w:rsidR="009D745A" w:rsidRPr="0093355E">
        <w:rPr>
          <w:rStyle w:val="FootnoteReference"/>
        </w:rPr>
        <w:footnoteReference w:id="4"/>
      </w:r>
      <w:r w:rsidR="00D124BB" w:rsidRPr="0093355E">
        <w:t xml:space="preserve">. </w:t>
      </w:r>
      <w:r w:rsidR="0047507A" w:rsidRPr="0093355E">
        <w:t xml:space="preserve">Reference quantities are prescribed in the </w:t>
      </w:r>
      <w:r w:rsidR="009E379E" w:rsidRPr="0093355E">
        <w:t>Code</w:t>
      </w:r>
      <w:r w:rsidR="001F1801" w:rsidRPr="0093355E">
        <w:t>, f</w:t>
      </w:r>
      <w:r w:rsidR="0047507A" w:rsidRPr="0093355E">
        <w:t xml:space="preserve">or example, the prescribed reference quantity for yoghurt is 150 g. </w:t>
      </w:r>
    </w:p>
    <w:p w14:paraId="5EB07ACC" w14:textId="77777777" w:rsidR="00866AD6" w:rsidRPr="0093355E" w:rsidRDefault="00866AD6" w:rsidP="00AB149B"/>
    <w:p w14:paraId="3363BB41" w14:textId="36D3AF20" w:rsidR="00866AD6" w:rsidRPr="0093355E" w:rsidRDefault="00A25562" w:rsidP="00AB149B">
      <w:r w:rsidRPr="0093355E">
        <w:t xml:space="preserve">There are also permissions in </w:t>
      </w:r>
      <w:r w:rsidR="00866AD6" w:rsidRPr="0093355E">
        <w:t xml:space="preserve">Part 2.9 (Special Purpose Foods) </w:t>
      </w:r>
      <w:r w:rsidRPr="0093355E">
        <w:t xml:space="preserve">for certain foods to contain added vitamins and minerals. </w:t>
      </w:r>
      <w:proofErr w:type="gramStart"/>
      <w:r w:rsidRPr="0093355E">
        <w:t xml:space="preserve">The claim </w:t>
      </w:r>
      <w:r w:rsidR="009976A2" w:rsidRPr="0093355E">
        <w:t>conditions</w:t>
      </w:r>
      <w:r w:rsidRPr="0093355E">
        <w:t xml:space="preserve"> for these foods are </w:t>
      </w:r>
      <w:r w:rsidR="009976A2" w:rsidRPr="0093355E">
        <w:t>prescribed</w:t>
      </w:r>
      <w:r w:rsidRPr="0093355E">
        <w:t xml:space="preserve"> in Part 2.9 and are based on serving</w:t>
      </w:r>
      <w:r w:rsidR="009976A2" w:rsidRPr="0093355E">
        <w:t xml:space="preserve"> or one-day quantities rather than prescribed reference quantities and are therefore not </w:t>
      </w:r>
      <w:r w:rsidR="00377E35" w:rsidRPr="0093355E">
        <w:t xml:space="preserve">being considered </w:t>
      </w:r>
      <w:r w:rsidR="009976A2" w:rsidRPr="0093355E">
        <w:t>in this Proposal.</w:t>
      </w:r>
      <w:proofErr w:type="gramEnd"/>
      <w:r w:rsidR="009976A2" w:rsidRPr="0093355E">
        <w:t xml:space="preserve"> </w:t>
      </w:r>
    </w:p>
    <w:p w14:paraId="7D451C80" w14:textId="48C5796A" w:rsidR="00373B75" w:rsidRPr="0093355E" w:rsidRDefault="008D5DED" w:rsidP="00373B75">
      <w:pPr>
        <w:pStyle w:val="Heading2"/>
      </w:pPr>
      <w:bookmarkStart w:id="17" w:name="_Toc423079100"/>
      <w:r w:rsidRPr="0093355E">
        <w:t>2</w:t>
      </w:r>
      <w:r w:rsidR="00373B75" w:rsidRPr="0093355E">
        <w:t>.</w:t>
      </w:r>
      <w:r w:rsidR="00EF6A06" w:rsidRPr="0093355E">
        <w:t>2</w:t>
      </w:r>
      <w:r w:rsidR="00373B75" w:rsidRPr="0093355E">
        <w:tab/>
      </w:r>
      <w:r w:rsidR="00AB149B" w:rsidRPr="0093355E">
        <w:t>Reasons for preparing the Proposal</w:t>
      </w:r>
      <w:bookmarkEnd w:id="17"/>
      <w:r w:rsidR="00AB149B" w:rsidRPr="0093355E">
        <w:t xml:space="preserve"> </w:t>
      </w:r>
    </w:p>
    <w:p w14:paraId="486AEEAB" w14:textId="3C3E79EE" w:rsidR="002D289A" w:rsidRPr="0093355E" w:rsidRDefault="002D289A" w:rsidP="002D289A">
      <w:r w:rsidRPr="0093355E">
        <w:t xml:space="preserve">The minimum amount required to make a nutrition content claim was </w:t>
      </w:r>
      <w:r w:rsidR="00F65E0D" w:rsidRPr="0093355E">
        <w:t xml:space="preserve">previously </w:t>
      </w:r>
      <w:r w:rsidRPr="0093355E">
        <w:t xml:space="preserve">set at 10% of the RDI </w:t>
      </w:r>
      <w:r w:rsidR="00D22778" w:rsidRPr="0093355E">
        <w:t xml:space="preserve">or ESADDI </w:t>
      </w:r>
      <w:r w:rsidRPr="0093355E">
        <w:t xml:space="preserve">per </w:t>
      </w:r>
      <w:r w:rsidRPr="0093355E">
        <w:rPr>
          <w:b/>
        </w:rPr>
        <w:t>reference quantity</w:t>
      </w:r>
      <w:r w:rsidRPr="0093355E">
        <w:t xml:space="preserve"> but has been changed to 10% of the RDI </w:t>
      </w:r>
      <w:r w:rsidR="00D22778" w:rsidRPr="0093355E">
        <w:t xml:space="preserve">or ESADDI </w:t>
      </w:r>
      <w:r w:rsidRPr="0093355E">
        <w:t xml:space="preserve">per </w:t>
      </w:r>
      <w:r w:rsidRPr="0093355E">
        <w:rPr>
          <w:b/>
        </w:rPr>
        <w:t>serving</w:t>
      </w:r>
      <w:r w:rsidRPr="0093355E">
        <w:t xml:space="preserve"> in Standard 1.2.7 (Schedule 1). </w:t>
      </w:r>
      <w:r w:rsidR="00F65E0D" w:rsidRPr="0093355E">
        <w:t xml:space="preserve">As outlined above, </w:t>
      </w:r>
      <w:r w:rsidR="009D745A" w:rsidRPr="0093355E">
        <w:t xml:space="preserve">the maximum amount of a vitamin or mineral that can be claimed is based on a </w:t>
      </w:r>
      <w:r w:rsidR="009D745A" w:rsidRPr="0093355E">
        <w:rPr>
          <w:b/>
        </w:rPr>
        <w:t xml:space="preserve">reference quantity. </w:t>
      </w:r>
      <w:r w:rsidRPr="0093355E">
        <w:t>For foods</w:t>
      </w:r>
      <w:r w:rsidR="009D745A" w:rsidRPr="0093355E">
        <w:t xml:space="preserve"> fortified with vitamins or minerals</w:t>
      </w:r>
      <w:r w:rsidR="00EC1B46" w:rsidRPr="0093355E">
        <w:t xml:space="preserve"> according to permission</w:t>
      </w:r>
      <w:r w:rsidR="006C5127" w:rsidRPr="0093355E">
        <w:t>s</w:t>
      </w:r>
      <w:r w:rsidR="00EC1B46" w:rsidRPr="0093355E">
        <w:t xml:space="preserve"> in Standard 1.3.2</w:t>
      </w:r>
      <w:r w:rsidRPr="0093355E">
        <w:t xml:space="preserve">, the reference quantity is prescribed and for other foods, the reference quantity is a ‘normal serving’. The change from a reference quantity basis to a </w:t>
      </w:r>
      <w:r w:rsidR="00FD095F">
        <w:t xml:space="preserve">per </w:t>
      </w:r>
      <w:r w:rsidRPr="0093355E">
        <w:t xml:space="preserve">serving basis in Standard 1.2.7 therefore only affects </w:t>
      </w:r>
      <w:r w:rsidR="006C5127" w:rsidRPr="0093355E">
        <w:t xml:space="preserve">these </w:t>
      </w:r>
      <w:r w:rsidRPr="0093355E">
        <w:t xml:space="preserve">fortified foods. The </w:t>
      </w:r>
      <w:r w:rsidR="00B019B5">
        <w:t xml:space="preserve">intended effect of the </w:t>
      </w:r>
      <w:r w:rsidRPr="0093355E">
        <w:t xml:space="preserve">amendment was to prevent nutrition content claims about vitamins or minerals being made on foods containing less than 10% RDI or ESADDI per serving. </w:t>
      </w:r>
    </w:p>
    <w:p w14:paraId="4952ED56" w14:textId="77777777" w:rsidR="002D289A" w:rsidRPr="0093355E" w:rsidRDefault="002D289A" w:rsidP="002D289A"/>
    <w:p w14:paraId="0D67E692" w14:textId="6039ED18" w:rsidR="002D289A" w:rsidRPr="0093355E" w:rsidRDefault="002D289A" w:rsidP="002D289A">
      <w:r w:rsidRPr="0093355E">
        <w:t>Since gazettal of Standard 1.2.7, FSANZ has been advised that</w:t>
      </w:r>
      <w:r w:rsidR="00FC109D" w:rsidRPr="0093355E">
        <w:t>,</w:t>
      </w:r>
      <w:r w:rsidRPr="0093355E">
        <w:t xml:space="preserve"> with the change from </w:t>
      </w:r>
      <w:r w:rsidR="00D70200" w:rsidRPr="0093355E">
        <w:t xml:space="preserve">a </w:t>
      </w:r>
      <w:r w:rsidRPr="0093355E">
        <w:t xml:space="preserve">reference quantity to </w:t>
      </w:r>
      <w:r w:rsidR="007F5A76">
        <w:t xml:space="preserve">a per </w:t>
      </w:r>
      <w:r w:rsidRPr="0093355E">
        <w:t>serving</w:t>
      </w:r>
      <w:r w:rsidR="00D70200" w:rsidRPr="0093355E">
        <w:t xml:space="preserve"> basis</w:t>
      </w:r>
      <w:r w:rsidRPr="0093355E">
        <w:t xml:space="preserve">, it is impossible </w:t>
      </w:r>
      <w:r w:rsidR="00FC109D" w:rsidRPr="0093355E">
        <w:t xml:space="preserve">for some vitamin and mineral claims </w:t>
      </w:r>
      <w:r w:rsidRPr="0093355E">
        <w:t xml:space="preserve">to meet the minimum amount required to make a </w:t>
      </w:r>
      <w:r w:rsidR="007F5A76">
        <w:t xml:space="preserve">nutrition content </w:t>
      </w:r>
      <w:r w:rsidRPr="0093355E">
        <w:t xml:space="preserve">claim (Standard 1.2.7) and not exceed the maximum claimable amount (Standard 1.3.2). This can sometimes occur for fortified foods </w:t>
      </w:r>
      <w:r w:rsidR="007F5A76">
        <w:t>where</w:t>
      </w:r>
      <w:r w:rsidRPr="0093355E">
        <w:t xml:space="preserve"> the serving size specified by the supplier is smaller than the prescribed reference quantity. This is because the </w:t>
      </w:r>
      <w:r w:rsidR="00ED0372" w:rsidRPr="0093355E">
        <w:t>minimum amounts</w:t>
      </w:r>
      <w:r w:rsidRPr="0093355E">
        <w:t xml:space="preserve"> </w:t>
      </w:r>
      <w:r w:rsidR="00ED0372" w:rsidRPr="0093355E">
        <w:t xml:space="preserve">required </w:t>
      </w:r>
      <w:r w:rsidRPr="0093355E">
        <w:t xml:space="preserve">for making claims about vitamins and minerals </w:t>
      </w:r>
      <w:r w:rsidR="00ED0372" w:rsidRPr="0093355E">
        <w:t xml:space="preserve">in Standard 1.2.7 </w:t>
      </w:r>
      <w:r w:rsidRPr="0093355E">
        <w:t xml:space="preserve">rely on the serving size of the food, whereas the maximum amounts permitted to be claimed are based on prescribed reference quantities. </w:t>
      </w:r>
    </w:p>
    <w:p w14:paraId="660518D9" w14:textId="77777777" w:rsidR="002D289A" w:rsidRPr="0093355E" w:rsidRDefault="002D289A" w:rsidP="002D289A"/>
    <w:p w14:paraId="6C97244E" w14:textId="25849B39" w:rsidR="002D289A" w:rsidRPr="0093355E" w:rsidRDefault="002D289A" w:rsidP="002D289A">
      <w:r w:rsidRPr="0093355E">
        <w:t xml:space="preserve">Dairy Australia has provided an example of the problem as follows. </w:t>
      </w:r>
    </w:p>
    <w:p w14:paraId="14FCA630" w14:textId="77777777" w:rsidR="009D745A" w:rsidRPr="0093355E" w:rsidRDefault="009D745A" w:rsidP="009D745A"/>
    <w:tbl>
      <w:tblPr>
        <w:tblStyle w:val="TableGrid"/>
        <w:tblW w:w="907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6477"/>
        <w:gridCol w:w="2595"/>
      </w:tblGrid>
      <w:tr w:rsidR="009D745A" w:rsidRPr="0093355E" w14:paraId="2A6138D3" w14:textId="77777777" w:rsidTr="009A6AAA">
        <w:trPr>
          <w:cantSplit/>
        </w:trPr>
        <w:tc>
          <w:tcPr>
            <w:tcW w:w="0" w:type="auto"/>
          </w:tcPr>
          <w:p w14:paraId="109A807D" w14:textId="7908FF87" w:rsidR="009D745A" w:rsidRPr="009A6AAA" w:rsidRDefault="009D745A" w:rsidP="009A6AAA">
            <w:pPr>
              <w:pBdr>
                <w:top w:val="single" w:sz="4" w:space="1" w:color="auto"/>
                <w:left w:val="single" w:sz="4" w:space="4" w:color="auto"/>
              </w:pBdr>
              <w:rPr>
                <w:i/>
                <w:sz w:val="20"/>
              </w:rPr>
            </w:pPr>
            <w:r w:rsidRPr="009A6AAA">
              <w:rPr>
                <w:i/>
                <w:sz w:val="20"/>
              </w:rPr>
              <w:t xml:space="preserve">Yoghurt </w:t>
            </w:r>
            <w:r w:rsidR="009A6AAA">
              <w:rPr>
                <w:i/>
                <w:sz w:val="20"/>
              </w:rPr>
              <w:t xml:space="preserve">fortified with </w:t>
            </w:r>
            <w:r w:rsidRPr="009A6AAA">
              <w:rPr>
                <w:i/>
                <w:sz w:val="20"/>
              </w:rPr>
              <w:t xml:space="preserve">vitamin D </w:t>
            </w:r>
          </w:p>
          <w:p w14:paraId="3C68A344" w14:textId="77777777" w:rsidR="009D745A" w:rsidRPr="009A6AAA" w:rsidRDefault="009D745A" w:rsidP="00C51AA7">
            <w:pPr>
              <w:rPr>
                <w:sz w:val="20"/>
              </w:rPr>
            </w:pPr>
          </w:p>
        </w:tc>
        <w:tc>
          <w:tcPr>
            <w:tcW w:w="0" w:type="auto"/>
          </w:tcPr>
          <w:p w14:paraId="154C478A" w14:textId="77777777" w:rsidR="009D745A" w:rsidRPr="009A6AAA" w:rsidRDefault="009D745A" w:rsidP="00C51AA7">
            <w:pPr>
              <w:rPr>
                <w:sz w:val="20"/>
              </w:rPr>
            </w:pPr>
          </w:p>
        </w:tc>
      </w:tr>
      <w:tr w:rsidR="009D745A" w:rsidRPr="0093355E" w14:paraId="750176D0" w14:textId="77777777" w:rsidTr="009A6AAA">
        <w:trPr>
          <w:cantSplit/>
        </w:trPr>
        <w:tc>
          <w:tcPr>
            <w:tcW w:w="0" w:type="auto"/>
          </w:tcPr>
          <w:p w14:paraId="47740523" w14:textId="4FE52396" w:rsidR="009D745A" w:rsidRDefault="009D745A" w:rsidP="009D745A">
            <w:pPr>
              <w:rPr>
                <w:sz w:val="20"/>
              </w:rPr>
            </w:pPr>
            <w:r w:rsidRPr="009A6AAA">
              <w:rPr>
                <w:sz w:val="20"/>
              </w:rPr>
              <w:t>Serving size determined by supplier</w:t>
            </w:r>
            <w:r w:rsidR="009A6AAA">
              <w:rPr>
                <w:sz w:val="20"/>
              </w:rPr>
              <w:t>:</w:t>
            </w:r>
          </w:p>
          <w:p w14:paraId="3B804F3D" w14:textId="3F8576C6" w:rsidR="0093355E" w:rsidRPr="009A6AAA" w:rsidRDefault="0093355E" w:rsidP="009D745A">
            <w:pPr>
              <w:rPr>
                <w:sz w:val="20"/>
                <w:lang w:bidi="ar-SA"/>
              </w:rPr>
            </w:pPr>
          </w:p>
        </w:tc>
        <w:tc>
          <w:tcPr>
            <w:tcW w:w="0" w:type="auto"/>
          </w:tcPr>
          <w:p w14:paraId="15A1A346" w14:textId="3FEA20F1" w:rsidR="009D745A" w:rsidRPr="009A6AAA" w:rsidRDefault="009D745A" w:rsidP="00C51AA7">
            <w:pPr>
              <w:rPr>
                <w:sz w:val="20"/>
                <w:lang w:bidi="ar-SA"/>
              </w:rPr>
            </w:pPr>
            <w:r w:rsidRPr="009A6AAA">
              <w:rPr>
                <w:sz w:val="20"/>
              </w:rPr>
              <w:t>70 g</w:t>
            </w:r>
          </w:p>
        </w:tc>
      </w:tr>
      <w:tr w:rsidR="009D745A" w:rsidRPr="0093355E" w14:paraId="7D964F6C" w14:textId="77777777" w:rsidTr="009A6AAA">
        <w:trPr>
          <w:cantSplit/>
        </w:trPr>
        <w:tc>
          <w:tcPr>
            <w:tcW w:w="0" w:type="auto"/>
          </w:tcPr>
          <w:p w14:paraId="0C798E25" w14:textId="77777777" w:rsidR="009D745A" w:rsidRPr="009A6AAA" w:rsidRDefault="009D745A" w:rsidP="00C51AA7">
            <w:pPr>
              <w:rPr>
                <w:sz w:val="20"/>
              </w:rPr>
            </w:pPr>
            <w:r w:rsidRPr="009A6AAA">
              <w:rPr>
                <w:sz w:val="20"/>
              </w:rPr>
              <w:t>Reference quantity for yoghurt specified in Standard 1.3.2:</w:t>
            </w:r>
          </w:p>
          <w:p w14:paraId="54380737" w14:textId="0FBE240C" w:rsidR="009D745A" w:rsidRPr="009A6AAA" w:rsidRDefault="009D745A" w:rsidP="00C51AA7">
            <w:pPr>
              <w:rPr>
                <w:sz w:val="20"/>
                <w:lang w:bidi="ar-SA"/>
              </w:rPr>
            </w:pPr>
          </w:p>
        </w:tc>
        <w:tc>
          <w:tcPr>
            <w:tcW w:w="0" w:type="auto"/>
          </w:tcPr>
          <w:p w14:paraId="4CEEBB5A" w14:textId="13FE899B" w:rsidR="009D745A" w:rsidRPr="009A6AAA" w:rsidRDefault="009D745A" w:rsidP="00C51AA7">
            <w:pPr>
              <w:rPr>
                <w:sz w:val="20"/>
                <w:lang w:bidi="ar-SA"/>
              </w:rPr>
            </w:pPr>
            <w:r w:rsidRPr="009A6AAA">
              <w:rPr>
                <w:sz w:val="20"/>
              </w:rPr>
              <w:t>150 g</w:t>
            </w:r>
          </w:p>
        </w:tc>
      </w:tr>
      <w:tr w:rsidR="009D745A" w:rsidRPr="0093355E" w14:paraId="5D63707C" w14:textId="77777777" w:rsidTr="009A6AAA">
        <w:trPr>
          <w:cantSplit/>
        </w:trPr>
        <w:tc>
          <w:tcPr>
            <w:tcW w:w="0" w:type="auto"/>
          </w:tcPr>
          <w:p w14:paraId="38112A5E" w14:textId="05931D50" w:rsidR="009D745A" w:rsidRPr="009A6AAA" w:rsidRDefault="009D745A" w:rsidP="00C51AA7">
            <w:pPr>
              <w:rPr>
                <w:sz w:val="20"/>
              </w:rPr>
            </w:pPr>
            <w:r w:rsidRPr="009A6AAA">
              <w:rPr>
                <w:sz w:val="20"/>
              </w:rPr>
              <w:t>Maximum amount of vitamin D permitted to be claimed (10% RDI per reference quantity)</w:t>
            </w:r>
          </w:p>
          <w:p w14:paraId="4CACE402" w14:textId="26F1C0CC" w:rsidR="009D745A" w:rsidRPr="009A6AAA" w:rsidRDefault="009D745A" w:rsidP="00C51AA7">
            <w:pPr>
              <w:rPr>
                <w:sz w:val="20"/>
                <w:lang w:bidi="ar-SA"/>
              </w:rPr>
            </w:pPr>
            <w:r w:rsidRPr="009A6AAA">
              <w:rPr>
                <w:sz w:val="20"/>
              </w:rPr>
              <w:t xml:space="preserve">(Standard 1.3.2):  </w:t>
            </w:r>
          </w:p>
        </w:tc>
        <w:tc>
          <w:tcPr>
            <w:tcW w:w="0" w:type="auto"/>
          </w:tcPr>
          <w:p w14:paraId="1FB3FA0B" w14:textId="77777777" w:rsidR="009D745A" w:rsidRPr="009A6AAA" w:rsidRDefault="009D745A" w:rsidP="00C51AA7">
            <w:pPr>
              <w:rPr>
                <w:sz w:val="20"/>
              </w:rPr>
            </w:pPr>
            <w:r w:rsidRPr="009A6AAA">
              <w:rPr>
                <w:sz w:val="20"/>
              </w:rPr>
              <w:t xml:space="preserve">1 µg/150 g which scales down to </w:t>
            </w:r>
          </w:p>
          <w:p w14:paraId="48F5F9E3" w14:textId="77777777" w:rsidR="009D745A" w:rsidRDefault="009D745A" w:rsidP="00C51AA7">
            <w:pPr>
              <w:rPr>
                <w:sz w:val="20"/>
              </w:rPr>
            </w:pPr>
            <w:r w:rsidRPr="009A6AAA">
              <w:rPr>
                <w:sz w:val="20"/>
              </w:rPr>
              <w:t>0.47 µg in 70 g</w:t>
            </w:r>
          </w:p>
          <w:p w14:paraId="568C3F40" w14:textId="77777777" w:rsidR="0093355E" w:rsidRPr="009A6AAA" w:rsidRDefault="0093355E" w:rsidP="00C51AA7">
            <w:pPr>
              <w:rPr>
                <w:sz w:val="20"/>
                <w:lang w:bidi="ar-SA"/>
              </w:rPr>
            </w:pPr>
          </w:p>
        </w:tc>
      </w:tr>
      <w:tr w:rsidR="009D745A" w:rsidRPr="0093355E" w14:paraId="07BF94E7" w14:textId="77777777" w:rsidTr="009A6AAA">
        <w:trPr>
          <w:cantSplit/>
        </w:trPr>
        <w:tc>
          <w:tcPr>
            <w:tcW w:w="0" w:type="auto"/>
          </w:tcPr>
          <w:p w14:paraId="1F806211" w14:textId="24931C31" w:rsidR="0093355E" w:rsidRDefault="009D745A" w:rsidP="009D745A">
            <w:pPr>
              <w:rPr>
                <w:sz w:val="20"/>
              </w:rPr>
            </w:pPr>
            <w:r w:rsidRPr="009A6AAA">
              <w:rPr>
                <w:sz w:val="20"/>
              </w:rPr>
              <w:t>Amount of vitamin D required to make a claim (10% RDI per serving) (Standard 1.2.7)</w:t>
            </w:r>
            <w:r w:rsidR="009A6AAA">
              <w:rPr>
                <w:sz w:val="20"/>
              </w:rPr>
              <w:t>:</w:t>
            </w:r>
          </w:p>
          <w:p w14:paraId="4ADF3703" w14:textId="237E2282" w:rsidR="0093355E" w:rsidRPr="009A6AAA" w:rsidRDefault="0093355E" w:rsidP="009D745A">
            <w:pPr>
              <w:rPr>
                <w:sz w:val="20"/>
              </w:rPr>
            </w:pPr>
          </w:p>
        </w:tc>
        <w:tc>
          <w:tcPr>
            <w:tcW w:w="0" w:type="auto"/>
          </w:tcPr>
          <w:p w14:paraId="3AAD5074" w14:textId="77777777" w:rsidR="009A6AAA" w:rsidRDefault="009A6AAA" w:rsidP="00C51AA7">
            <w:pPr>
              <w:rPr>
                <w:sz w:val="20"/>
              </w:rPr>
            </w:pPr>
          </w:p>
          <w:p w14:paraId="704E527E" w14:textId="77777777" w:rsidR="009D745A" w:rsidRPr="009A6AAA" w:rsidRDefault="009D745A" w:rsidP="00C51AA7">
            <w:pPr>
              <w:rPr>
                <w:sz w:val="20"/>
                <w:lang w:bidi="ar-SA"/>
              </w:rPr>
            </w:pPr>
            <w:r w:rsidRPr="009A6AAA">
              <w:rPr>
                <w:sz w:val="20"/>
              </w:rPr>
              <w:t>1 µg per 70 g serving</w:t>
            </w:r>
          </w:p>
        </w:tc>
      </w:tr>
      <w:tr w:rsidR="009D745A" w:rsidRPr="0093355E" w14:paraId="080A7E6E" w14:textId="3FEB38F3" w:rsidTr="009A6AAA">
        <w:tc>
          <w:tcPr>
            <w:tcW w:w="0" w:type="auto"/>
            <w:gridSpan w:val="2"/>
          </w:tcPr>
          <w:p w14:paraId="721B9FB5" w14:textId="0A27304B" w:rsidR="009D745A" w:rsidRPr="009A6AAA" w:rsidRDefault="009D745A" w:rsidP="00C51AA7">
            <w:pPr>
              <w:rPr>
                <w:sz w:val="20"/>
                <w:szCs w:val="20"/>
              </w:rPr>
            </w:pPr>
            <w:r w:rsidRPr="009A6AAA">
              <w:rPr>
                <w:sz w:val="20"/>
                <w:szCs w:val="20"/>
              </w:rPr>
              <w:t xml:space="preserve">It is impossible to meet both a minimum of 1 µg and a maximum of 0.47 µg per serving. </w:t>
            </w:r>
          </w:p>
          <w:p w14:paraId="28CAD2EC" w14:textId="1C747135" w:rsidR="009D745A" w:rsidRPr="0093355E" w:rsidRDefault="009D745A" w:rsidP="00C51AA7">
            <w:pPr>
              <w:rPr>
                <w:lang w:bidi="ar-SA"/>
              </w:rPr>
            </w:pPr>
          </w:p>
        </w:tc>
      </w:tr>
    </w:tbl>
    <w:p w14:paraId="7D451C92" w14:textId="5ACFA9A1" w:rsidR="00AF387F" w:rsidRPr="0093355E" w:rsidRDefault="00D3171B" w:rsidP="0093355E">
      <w:pPr>
        <w:pStyle w:val="Heading2"/>
        <w:keepNext w:val="0"/>
        <w:pageBreakBefore/>
      </w:pPr>
      <w:bookmarkStart w:id="18" w:name="_Toc286391008"/>
      <w:bookmarkStart w:id="19" w:name="_Toc300933424"/>
      <w:bookmarkStart w:id="20" w:name="_Toc423079101"/>
      <w:bookmarkStart w:id="21" w:name="_Toc11735630"/>
      <w:bookmarkStart w:id="22" w:name="_Toc29883114"/>
      <w:bookmarkStart w:id="23" w:name="_Toc41906801"/>
      <w:bookmarkStart w:id="24" w:name="_Toc41907548"/>
      <w:bookmarkStart w:id="25" w:name="_Toc120358578"/>
      <w:bookmarkStart w:id="26" w:name="_Toc175381435"/>
      <w:bookmarkEnd w:id="4"/>
      <w:bookmarkEnd w:id="5"/>
      <w:bookmarkEnd w:id="6"/>
      <w:bookmarkEnd w:id="7"/>
      <w:bookmarkEnd w:id="8"/>
      <w:r w:rsidRPr="0093355E">
        <w:lastRenderedPageBreak/>
        <w:t>2</w:t>
      </w:r>
      <w:r w:rsidR="008D5DED" w:rsidRPr="0093355E">
        <w:t>.3</w:t>
      </w:r>
      <w:r w:rsidR="001542D8" w:rsidRPr="0093355E">
        <w:tab/>
      </w:r>
      <w:r w:rsidR="00350DBD" w:rsidRPr="0093355E">
        <w:t>S</w:t>
      </w:r>
      <w:r w:rsidR="00FB1533" w:rsidRPr="0093355E">
        <w:t>ummary of the a</w:t>
      </w:r>
      <w:r w:rsidR="00FD2FBE" w:rsidRPr="0093355E">
        <w:t>ssessment</w:t>
      </w:r>
      <w:bookmarkEnd w:id="18"/>
      <w:bookmarkEnd w:id="19"/>
      <w:bookmarkEnd w:id="20"/>
    </w:p>
    <w:p w14:paraId="09E46554" w14:textId="28E7E604" w:rsidR="00743179" w:rsidRPr="0093355E" w:rsidRDefault="00D3171B" w:rsidP="008C38DC">
      <w:pPr>
        <w:pStyle w:val="Heading3"/>
      </w:pPr>
      <w:bookmarkStart w:id="27" w:name="_Toc423079102"/>
      <w:bookmarkStart w:id="28" w:name="_Toc286391009"/>
      <w:bookmarkStart w:id="29" w:name="_Toc300933425"/>
      <w:bookmarkStart w:id="30" w:name="_Toc120358583"/>
      <w:bookmarkStart w:id="31" w:name="_Toc175381440"/>
      <w:r w:rsidRPr="0093355E">
        <w:t>2</w:t>
      </w:r>
      <w:r w:rsidR="00271F00" w:rsidRPr="0093355E">
        <w:t>.</w:t>
      </w:r>
      <w:r w:rsidR="008D5DED" w:rsidRPr="0093355E">
        <w:t>3</w:t>
      </w:r>
      <w:r w:rsidR="00BD74D3" w:rsidRPr="0093355E">
        <w:t>.1</w:t>
      </w:r>
      <w:r w:rsidR="00271F00" w:rsidRPr="0093355E">
        <w:tab/>
      </w:r>
      <w:r w:rsidR="00743179" w:rsidRPr="0093355E">
        <w:t>Risk assessment</w:t>
      </w:r>
      <w:bookmarkEnd w:id="27"/>
    </w:p>
    <w:p w14:paraId="462B31C9" w14:textId="38B91DE8" w:rsidR="00C52547" w:rsidRPr="0093355E" w:rsidRDefault="00C52547" w:rsidP="00743179">
      <w:r w:rsidRPr="00C52547">
        <w:t xml:space="preserve">FSANZ has concluded that a scientific risk assessment was not required </w:t>
      </w:r>
      <w:r w:rsidR="00FA0197">
        <w:t xml:space="preserve">for this part of the proposal, </w:t>
      </w:r>
      <w:r w:rsidRPr="00C52547">
        <w:t>given the purpose and effect of the amendments. That is, they are intended to remove a discrepancy within the Code and thereby permit claims that can currently be made to continue to be made, provided certain conditions are met. The amendments proposed only make a change to the permission to make vitamin and mineral claims in limited circumstances. They do not affect permissions to fortify foods with vitamins and minerals and, as such do not directly affect intake.</w:t>
      </w:r>
    </w:p>
    <w:p w14:paraId="0568A5C4" w14:textId="5928405A" w:rsidR="00AA71EA" w:rsidRPr="0093355E" w:rsidRDefault="002D53EE" w:rsidP="002D289A">
      <w:pPr>
        <w:pStyle w:val="Heading3"/>
      </w:pPr>
      <w:bookmarkStart w:id="32" w:name="_Toc423079103"/>
      <w:bookmarkEnd w:id="28"/>
      <w:bookmarkEnd w:id="29"/>
      <w:bookmarkEnd w:id="30"/>
      <w:bookmarkEnd w:id="31"/>
      <w:r w:rsidRPr="0093355E">
        <w:t>2.</w:t>
      </w:r>
      <w:r w:rsidR="008D5DED" w:rsidRPr="0093355E">
        <w:t>3</w:t>
      </w:r>
      <w:r w:rsidRPr="0093355E">
        <w:t>.</w:t>
      </w:r>
      <w:r w:rsidR="001F1801" w:rsidRPr="0093355E">
        <w:t>2</w:t>
      </w:r>
      <w:r w:rsidRPr="0093355E">
        <w:tab/>
      </w:r>
      <w:r w:rsidR="00AA71EA" w:rsidRPr="0093355E">
        <w:t>Number of claims affected</w:t>
      </w:r>
      <w:bookmarkEnd w:id="32"/>
    </w:p>
    <w:p w14:paraId="3A86FA8F" w14:textId="54275A4D" w:rsidR="00C21065" w:rsidRPr="0093355E" w:rsidRDefault="00AA71EA" w:rsidP="00AA71EA">
      <w:r w:rsidRPr="0093355E">
        <w:t>FSANZ considers that the number of claims likely to be affected by</w:t>
      </w:r>
      <w:r w:rsidR="002D289A" w:rsidRPr="0093355E">
        <w:t xml:space="preserve"> </w:t>
      </w:r>
      <w:r w:rsidR="001E229C" w:rsidRPr="0093355E">
        <w:t xml:space="preserve">the </w:t>
      </w:r>
      <w:r w:rsidR="00377E35" w:rsidRPr="0093355E">
        <w:t xml:space="preserve">discrepancy </w:t>
      </w:r>
      <w:r w:rsidR="001E229C" w:rsidRPr="0093355E">
        <w:t xml:space="preserve">in </w:t>
      </w:r>
      <w:r w:rsidR="002D289A" w:rsidRPr="0093355E">
        <w:t>conditions for vitamin and mineral content claims about fortified foods between Standards 1.2.7 and 1.3.2</w:t>
      </w:r>
      <w:r w:rsidRPr="0093355E">
        <w:t xml:space="preserve"> is </w:t>
      </w:r>
      <w:r w:rsidR="001430E7" w:rsidRPr="0093355E">
        <w:t>limited</w:t>
      </w:r>
      <w:r w:rsidRPr="0093355E">
        <w:t>, for the following reasons</w:t>
      </w:r>
      <w:r w:rsidR="00C21065" w:rsidRPr="0093355E">
        <w:t xml:space="preserve">: </w:t>
      </w:r>
    </w:p>
    <w:p w14:paraId="2DF74915" w14:textId="77777777" w:rsidR="00C21065" w:rsidRPr="0093355E" w:rsidRDefault="00C21065" w:rsidP="00AA71EA"/>
    <w:p w14:paraId="5C0C6BC4" w14:textId="2949A363" w:rsidR="00C21065" w:rsidRPr="0093355E" w:rsidRDefault="00AA71EA" w:rsidP="00C21065">
      <w:pPr>
        <w:pStyle w:val="FSBullet1"/>
      </w:pPr>
      <w:r w:rsidRPr="0093355E">
        <w:t xml:space="preserve">The problem can </w:t>
      </w:r>
      <w:r w:rsidR="007F5A76">
        <w:t xml:space="preserve">only </w:t>
      </w:r>
      <w:r w:rsidRPr="0093355E">
        <w:t>occur</w:t>
      </w:r>
      <w:r w:rsidR="004C400B" w:rsidRPr="0093355E">
        <w:t xml:space="preserve"> for claims about</w:t>
      </w:r>
      <w:r w:rsidRPr="0093355E">
        <w:t xml:space="preserve"> foods that are permitted to be fortified</w:t>
      </w:r>
      <w:r w:rsidR="00E0771B" w:rsidRPr="0093355E">
        <w:t xml:space="preserve"> with vitamins or minerals</w:t>
      </w:r>
      <w:r w:rsidRPr="0093355E">
        <w:t xml:space="preserve"> </w:t>
      </w:r>
      <w:r w:rsidR="00A25562" w:rsidRPr="0093355E">
        <w:t xml:space="preserve">in Standard 1.3.2 </w:t>
      </w:r>
      <w:r w:rsidR="001430E7" w:rsidRPr="0093355E">
        <w:t xml:space="preserve">and when the claim is about a vitamin or mineral that has been added to the food, </w:t>
      </w:r>
      <w:r w:rsidRPr="0093355E">
        <w:t xml:space="preserve">as these are the only </w:t>
      </w:r>
      <w:r w:rsidR="001430E7" w:rsidRPr="0093355E">
        <w:t>claims</w:t>
      </w:r>
      <w:r w:rsidRPr="0093355E">
        <w:t xml:space="preserve"> for which a maximum cla</w:t>
      </w:r>
      <w:r w:rsidR="004C400B" w:rsidRPr="0093355E">
        <w:t>im and reference quantity are</w:t>
      </w:r>
      <w:r w:rsidRPr="0093355E">
        <w:t xml:space="preserve"> prescribed.</w:t>
      </w:r>
    </w:p>
    <w:p w14:paraId="038330B5" w14:textId="77777777" w:rsidR="00C21065" w:rsidRPr="0093355E" w:rsidRDefault="00C21065" w:rsidP="00C21065">
      <w:pPr>
        <w:pStyle w:val="FSBullet1"/>
        <w:numPr>
          <w:ilvl w:val="0"/>
          <w:numId w:val="0"/>
        </w:numPr>
      </w:pPr>
    </w:p>
    <w:p w14:paraId="56074582" w14:textId="7FAE5C9B" w:rsidR="00AA71EA" w:rsidRPr="0093355E" w:rsidRDefault="00C21065" w:rsidP="00AA71EA">
      <w:pPr>
        <w:pStyle w:val="FSBullet1"/>
      </w:pPr>
      <w:r w:rsidRPr="0093355E">
        <w:t>T</w:t>
      </w:r>
      <w:r w:rsidR="00AA71EA" w:rsidRPr="0093355E">
        <w:t xml:space="preserve">he problem occurs </w:t>
      </w:r>
      <w:r w:rsidR="00AE0E94" w:rsidRPr="0093355E">
        <w:t xml:space="preserve">only </w:t>
      </w:r>
      <w:r w:rsidR="00AA71EA" w:rsidRPr="0093355E">
        <w:t>where foods</w:t>
      </w:r>
      <w:r w:rsidR="00E0771B" w:rsidRPr="0093355E">
        <w:t xml:space="preserve"> permitted to be fortified</w:t>
      </w:r>
      <w:r w:rsidR="00F04DBF" w:rsidRPr="0093355E">
        <w:t xml:space="preserve"> </w:t>
      </w:r>
      <w:r w:rsidR="00866AD6" w:rsidRPr="0093355E">
        <w:t xml:space="preserve">with vitamins or minerals </w:t>
      </w:r>
      <w:r w:rsidR="00F04DBF" w:rsidRPr="0093355E">
        <w:t>have</w:t>
      </w:r>
      <w:r w:rsidR="00AA71EA" w:rsidRPr="0093355E">
        <w:t xml:space="preserve">: </w:t>
      </w:r>
    </w:p>
    <w:p w14:paraId="70027593" w14:textId="5F23932E" w:rsidR="00AA71EA" w:rsidRPr="0093355E" w:rsidRDefault="00AA71EA" w:rsidP="00853910"/>
    <w:p w14:paraId="29657114" w14:textId="2EAD1238" w:rsidR="00AA71EA" w:rsidRPr="0093355E" w:rsidRDefault="00AA71EA" w:rsidP="00C21065">
      <w:pPr>
        <w:pStyle w:val="FSBullet2"/>
      </w:pPr>
      <w:r w:rsidRPr="0093355E">
        <w:t xml:space="preserve">a prescribed maximum claimable amount of a vitamin(s) or mineral(s) </w:t>
      </w:r>
    </w:p>
    <w:p w14:paraId="33AFDCAA" w14:textId="40A0B06E" w:rsidR="00AA71EA" w:rsidRPr="0093355E" w:rsidRDefault="00AA71EA" w:rsidP="00C21065">
      <w:pPr>
        <w:pStyle w:val="FSBullet2"/>
      </w:pPr>
      <w:proofErr w:type="gramStart"/>
      <w:r w:rsidRPr="0093355E">
        <w:t>a</w:t>
      </w:r>
      <w:proofErr w:type="gramEnd"/>
      <w:r w:rsidRPr="0093355E">
        <w:t xml:space="preserve"> serving size (nominated by the </w:t>
      </w:r>
      <w:r w:rsidR="009D745A" w:rsidRPr="0093355E">
        <w:t>supplier</w:t>
      </w:r>
      <w:r w:rsidRPr="0093355E">
        <w:t>) that is smaller than the prescribed reference quantity in Standard 1.3.2.</w:t>
      </w:r>
    </w:p>
    <w:p w14:paraId="7CB13BC6" w14:textId="77777777" w:rsidR="00AA71EA" w:rsidRPr="0093355E" w:rsidRDefault="00AA71EA" w:rsidP="00AA71EA"/>
    <w:p w14:paraId="757B1C9A" w14:textId="2C56015C" w:rsidR="007D5881" w:rsidRPr="0093355E" w:rsidRDefault="007F5896" w:rsidP="00C21065">
      <w:pPr>
        <w:pStyle w:val="FSBullet1"/>
      </w:pPr>
      <w:r w:rsidRPr="0093355E">
        <w:t>Further</w:t>
      </w:r>
      <w:r w:rsidR="00F04DBF" w:rsidRPr="0093355E">
        <w:t xml:space="preserve">more, </w:t>
      </w:r>
      <w:r w:rsidRPr="0093355E">
        <w:t>t</w:t>
      </w:r>
      <w:r w:rsidR="00AA71EA" w:rsidRPr="0093355E">
        <w:t>he likelihood of the problem oc</w:t>
      </w:r>
      <w:r w:rsidR="009D745A" w:rsidRPr="0093355E">
        <w:t>curring then depends on how low</w:t>
      </w:r>
      <w:r w:rsidR="00AA71EA" w:rsidRPr="0093355E">
        <w:t xml:space="preserve"> the maximum claim</w:t>
      </w:r>
      <w:r w:rsidR="00E0771B" w:rsidRPr="0093355E">
        <w:t>able amount</w:t>
      </w:r>
      <w:r w:rsidR="00AA71EA" w:rsidRPr="0093355E">
        <w:t xml:space="preserve"> is, i.e. it is more likely to occur for claims about vitamins and minerals with a maximum claimable amount of only 10</w:t>
      </w:r>
      <w:r w:rsidR="00F04DBF" w:rsidRPr="0093355E">
        <w:t>–</w:t>
      </w:r>
      <w:r w:rsidR="00AA71EA" w:rsidRPr="0093355E">
        <w:t xml:space="preserve">15% </w:t>
      </w:r>
      <w:r w:rsidR="00BA2328">
        <w:t xml:space="preserve">of the </w:t>
      </w:r>
      <w:r w:rsidR="00AA71EA" w:rsidRPr="0093355E">
        <w:t>RDI, as at this amount</w:t>
      </w:r>
      <w:r w:rsidR="001430E7" w:rsidRPr="0093355E">
        <w:t xml:space="preserve">, unless </w:t>
      </w:r>
      <w:r w:rsidR="00AA71EA" w:rsidRPr="0093355E">
        <w:t xml:space="preserve">the serving size </w:t>
      </w:r>
      <w:r w:rsidR="001430E7" w:rsidRPr="0093355E">
        <w:t xml:space="preserve">is </w:t>
      </w:r>
      <w:r w:rsidR="00AA71EA" w:rsidRPr="0093355E">
        <w:t>either the same as the reference quantity (if 10%</w:t>
      </w:r>
      <w:r w:rsidR="00F04DBF" w:rsidRPr="0093355E">
        <w:t xml:space="preserve"> </w:t>
      </w:r>
      <w:r w:rsidR="00AA71EA" w:rsidRPr="0093355E">
        <w:t xml:space="preserve">RDI) or slightly smaller (if 15% RDI), </w:t>
      </w:r>
      <w:r w:rsidRPr="0093355E">
        <w:t xml:space="preserve">it would not be possible to meet </w:t>
      </w:r>
      <w:r w:rsidR="00AA71EA" w:rsidRPr="0093355E">
        <w:t>both criteria.</w:t>
      </w:r>
      <w:r w:rsidRPr="0093355E">
        <w:t xml:space="preserve"> </w:t>
      </w:r>
    </w:p>
    <w:p w14:paraId="534D73A9" w14:textId="77777777" w:rsidR="007D5881" w:rsidRPr="0093355E" w:rsidRDefault="007D5881" w:rsidP="007D5881">
      <w:pPr>
        <w:pStyle w:val="FSBullet1"/>
        <w:numPr>
          <w:ilvl w:val="0"/>
          <w:numId w:val="0"/>
        </w:numPr>
      </w:pPr>
    </w:p>
    <w:p w14:paraId="5DA0E0FB" w14:textId="49458EAD" w:rsidR="00F12D7A" w:rsidRPr="0093355E" w:rsidRDefault="0099686D" w:rsidP="00F04DBF">
      <w:pPr>
        <w:pStyle w:val="FSBullet1"/>
      </w:pPr>
      <w:r w:rsidRPr="0093355E">
        <w:t>For some foods</w:t>
      </w:r>
      <w:r w:rsidR="00901F49" w:rsidRPr="0093355E">
        <w:t xml:space="preserve"> with a maximum claimable amount of only 10</w:t>
      </w:r>
      <w:r w:rsidR="00F04DBF" w:rsidRPr="0093355E">
        <w:t>–15%</w:t>
      </w:r>
      <w:r w:rsidR="00BA2328">
        <w:t xml:space="preserve"> of the RDI</w:t>
      </w:r>
      <w:r w:rsidRPr="0093355E">
        <w:t>, the prescribed reference quantity is relatively small</w:t>
      </w:r>
      <w:r w:rsidR="00647069" w:rsidRPr="0093355E">
        <w:t xml:space="preserve"> and </w:t>
      </w:r>
      <w:r w:rsidR="009739C3" w:rsidRPr="0093355E">
        <w:t xml:space="preserve">it may not be practical or necessary </w:t>
      </w:r>
      <w:r w:rsidR="00901F49" w:rsidRPr="0093355E">
        <w:t xml:space="preserve">for the food supplier to </w:t>
      </w:r>
      <w:r w:rsidRPr="0093355E">
        <w:t>specify a smaller serving size</w:t>
      </w:r>
      <w:r w:rsidR="0010796A" w:rsidRPr="0093355E">
        <w:t>. T</w:t>
      </w:r>
      <w:r w:rsidR="00647069" w:rsidRPr="0093355E">
        <w:t xml:space="preserve">herefore the </w:t>
      </w:r>
      <w:r w:rsidR="009739C3" w:rsidRPr="0093355E">
        <w:t>problem will not occur.</w:t>
      </w:r>
      <w:r w:rsidR="007D5881" w:rsidRPr="0093355E">
        <w:t xml:space="preserve"> </w:t>
      </w:r>
    </w:p>
    <w:p w14:paraId="669C863B" w14:textId="77777777" w:rsidR="00F12D7A" w:rsidRPr="0093355E" w:rsidRDefault="00F12D7A" w:rsidP="00F12D7A">
      <w:pPr>
        <w:pStyle w:val="FSBullet1"/>
        <w:numPr>
          <w:ilvl w:val="0"/>
          <w:numId w:val="0"/>
        </w:numPr>
      </w:pPr>
    </w:p>
    <w:p w14:paraId="773CC0C7" w14:textId="46483F72" w:rsidR="00C21065" w:rsidRPr="0093355E" w:rsidRDefault="00F12D7A" w:rsidP="00F12D7A">
      <w:pPr>
        <w:pStyle w:val="FSBullet1"/>
        <w:numPr>
          <w:ilvl w:val="0"/>
          <w:numId w:val="0"/>
        </w:numPr>
      </w:pPr>
      <w:r w:rsidRPr="0093355E">
        <w:t xml:space="preserve">The above points are illustrated </w:t>
      </w:r>
      <w:r w:rsidR="007D5881" w:rsidRPr="0093355E">
        <w:t>in Table 1, which lists the vitamins and minerals with a maximum claimable amount of 10</w:t>
      </w:r>
      <w:r w:rsidR="00F04DBF" w:rsidRPr="0093355E">
        <w:t>–</w:t>
      </w:r>
      <w:r w:rsidR="007D5881" w:rsidRPr="0093355E">
        <w:t xml:space="preserve">15% </w:t>
      </w:r>
      <w:r w:rsidR="00BA2328">
        <w:t xml:space="preserve">of the </w:t>
      </w:r>
      <w:r w:rsidR="007D5881" w:rsidRPr="0093355E">
        <w:t>RDI and the corresponding foods and reference quantities prescribed in Standard 1.3.2. For example, for margarine, the only vitamins and minerals with a maximum claimable amount of 10</w:t>
      </w:r>
      <w:r w:rsidR="00F04DBF" w:rsidRPr="0093355E">
        <w:t>–</w:t>
      </w:r>
      <w:r w:rsidR="007D5881" w:rsidRPr="0093355E">
        <w:t xml:space="preserve">15% </w:t>
      </w:r>
      <w:r w:rsidR="003C6265">
        <w:t xml:space="preserve">of the </w:t>
      </w:r>
      <w:r w:rsidR="007D5881" w:rsidRPr="0093355E">
        <w:t>RDI are vitamins A and D and the prescribed reference quantity i</w:t>
      </w:r>
      <w:r w:rsidR="0010796A" w:rsidRPr="0093355E">
        <w:t>s</w:t>
      </w:r>
      <w:r w:rsidR="007D5881" w:rsidRPr="0093355E">
        <w:t xml:space="preserve"> 10 g. For the problem to occur, the serving size </w:t>
      </w:r>
      <w:r w:rsidR="00E0771B" w:rsidRPr="0093355E">
        <w:t xml:space="preserve">of margarine </w:t>
      </w:r>
      <w:r w:rsidR="007D5881" w:rsidRPr="0093355E">
        <w:t xml:space="preserve">specified by the </w:t>
      </w:r>
      <w:r w:rsidR="00E0771B" w:rsidRPr="0093355E">
        <w:t xml:space="preserve">supplier </w:t>
      </w:r>
      <w:r w:rsidR="007D5881" w:rsidRPr="0093355E">
        <w:t xml:space="preserve">would need to be less than 10 g. </w:t>
      </w:r>
    </w:p>
    <w:p w14:paraId="0C1391E9" w14:textId="77777777" w:rsidR="00C21065" w:rsidRPr="0093355E" w:rsidRDefault="00C21065" w:rsidP="00C21065">
      <w:pPr>
        <w:pStyle w:val="FSBullet1"/>
        <w:numPr>
          <w:ilvl w:val="0"/>
          <w:numId w:val="0"/>
        </w:numPr>
      </w:pPr>
    </w:p>
    <w:p w14:paraId="709E340C" w14:textId="6FEC280D" w:rsidR="00FF751B" w:rsidRPr="0093355E" w:rsidRDefault="00811314" w:rsidP="00C21065">
      <w:pPr>
        <w:pStyle w:val="FSBullet1"/>
        <w:numPr>
          <w:ilvl w:val="0"/>
          <w:numId w:val="0"/>
        </w:numPr>
      </w:pPr>
      <w:r w:rsidRPr="0093355E">
        <w:t>Dairy Australia has informed FSANZ that</w:t>
      </w:r>
      <w:r w:rsidR="00AE0E94" w:rsidRPr="0093355E">
        <w:t>,</w:t>
      </w:r>
      <w:r w:rsidRPr="0093355E">
        <w:t xml:space="preserve"> currently within the dairy industry, the issue affects mainly single serve yoghurts and dairy desserts. </w:t>
      </w:r>
    </w:p>
    <w:p w14:paraId="12FF4594" w14:textId="77777777" w:rsidR="00EE6123" w:rsidRPr="0093355E" w:rsidRDefault="00EE6123">
      <w:pPr>
        <w:widowControl/>
        <w:rPr>
          <w:rFonts w:cs="Arial"/>
          <w:b/>
        </w:rPr>
      </w:pPr>
      <w:r w:rsidRPr="0093355E">
        <w:br w:type="page"/>
      </w:r>
    </w:p>
    <w:p w14:paraId="79D37A3C" w14:textId="49357392" w:rsidR="00FF751B" w:rsidRDefault="009739C3" w:rsidP="009739C3">
      <w:pPr>
        <w:pStyle w:val="FSTableTitle"/>
      </w:pPr>
      <w:r w:rsidRPr="0093355E">
        <w:lastRenderedPageBreak/>
        <w:t xml:space="preserve">Table 1:  </w:t>
      </w:r>
      <w:r w:rsidR="007C6AD8" w:rsidRPr="0093355E">
        <w:t>Vitamins and minerals with a maximum claimable amount of 10</w:t>
      </w:r>
      <w:r w:rsidR="00F04DBF" w:rsidRPr="0093355E">
        <w:t>–</w:t>
      </w:r>
      <w:r w:rsidR="007C6AD8" w:rsidRPr="0093355E">
        <w:t xml:space="preserve">15% </w:t>
      </w:r>
      <w:r w:rsidR="00BA2328">
        <w:t xml:space="preserve">of the </w:t>
      </w:r>
      <w:r w:rsidR="007C6AD8" w:rsidRPr="0093355E">
        <w:t>RDI, with corresponding foods and prescribed reference quantities (Standard 1.3.2)</w:t>
      </w:r>
    </w:p>
    <w:p w14:paraId="713F0686" w14:textId="77777777" w:rsidR="0093355E" w:rsidRPr="0093355E" w:rsidRDefault="0093355E" w:rsidP="00C52547"/>
    <w:tbl>
      <w:tblPr>
        <w:tblStyle w:val="LightGrid-Accent3"/>
        <w:tblW w:w="9287" w:type="dxa"/>
        <w:tblLook w:val="04A0" w:firstRow="1" w:lastRow="0" w:firstColumn="1" w:lastColumn="0" w:noHBand="0" w:noVBand="1"/>
      </w:tblPr>
      <w:tblGrid>
        <w:gridCol w:w="3095"/>
        <w:gridCol w:w="3096"/>
        <w:gridCol w:w="3096"/>
      </w:tblGrid>
      <w:tr w:rsidR="00901F49" w:rsidRPr="0093355E" w14:paraId="687B180F" w14:textId="77777777" w:rsidTr="00AE0E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95" w:type="dxa"/>
          </w:tcPr>
          <w:p w14:paraId="4405274E" w14:textId="7FA77723" w:rsidR="00901F49" w:rsidRPr="0093355E" w:rsidRDefault="00901F49" w:rsidP="009739C3">
            <w:pPr>
              <w:pStyle w:val="FSTableHeading"/>
              <w:jc w:val="left"/>
            </w:pPr>
            <w:r w:rsidRPr="0093355E">
              <w:t xml:space="preserve">Vitamin or mineral </w:t>
            </w:r>
          </w:p>
        </w:tc>
        <w:tc>
          <w:tcPr>
            <w:tcW w:w="3096" w:type="dxa"/>
          </w:tcPr>
          <w:p w14:paraId="74321649" w14:textId="2829C585" w:rsidR="00901F49" w:rsidRPr="0093355E" w:rsidRDefault="00901F49" w:rsidP="009739C3">
            <w:pPr>
              <w:pStyle w:val="FSTableHeading"/>
              <w:jc w:val="left"/>
              <w:cnfStyle w:val="100000000000" w:firstRow="1" w:lastRow="0" w:firstColumn="0" w:lastColumn="0" w:oddVBand="0" w:evenVBand="0" w:oddHBand="0" w:evenHBand="0" w:firstRowFirstColumn="0" w:firstRowLastColumn="0" w:lastRowFirstColumn="0" w:lastRowLastColumn="0"/>
            </w:pPr>
            <w:r w:rsidRPr="0093355E">
              <w:t>Food</w:t>
            </w:r>
          </w:p>
        </w:tc>
        <w:tc>
          <w:tcPr>
            <w:tcW w:w="3096" w:type="dxa"/>
          </w:tcPr>
          <w:p w14:paraId="14C1C3A4" w14:textId="5FE5210F" w:rsidR="00901F49" w:rsidRPr="0093355E" w:rsidRDefault="00901F49" w:rsidP="009739C3">
            <w:pPr>
              <w:pStyle w:val="FSTableHeading"/>
              <w:jc w:val="left"/>
              <w:cnfStyle w:val="100000000000" w:firstRow="1" w:lastRow="0" w:firstColumn="0" w:lastColumn="0" w:oddVBand="0" w:evenVBand="0" w:oddHBand="0" w:evenHBand="0" w:firstRowFirstColumn="0" w:firstRowLastColumn="0" w:lastRowFirstColumn="0" w:lastRowLastColumn="0"/>
            </w:pPr>
            <w:r w:rsidRPr="0093355E">
              <w:t>Prescribed reference quantity</w:t>
            </w:r>
          </w:p>
        </w:tc>
      </w:tr>
      <w:tr w:rsidR="00901F49" w:rsidRPr="0093355E" w14:paraId="7C6C2C9B" w14:textId="77777777" w:rsidTr="00901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vMerge w:val="restart"/>
          </w:tcPr>
          <w:p w14:paraId="0020649E" w14:textId="48AE3B98" w:rsidR="00901F49" w:rsidRPr="0093355E" w:rsidRDefault="00901F49" w:rsidP="00901F49">
            <w:pPr>
              <w:pStyle w:val="FSTableText"/>
              <w:rPr>
                <w:b w:val="0"/>
              </w:rPr>
            </w:pPr>
            <w:r w:rsidRPr="0093355E">
              <w:rPr>
                <w:b w:val="0"/>
              </w:rPr>
              <w:t>Zinc</w:t>
            </w:r>
          </w:p>
        </w:tc>
        <w:tc>
          <w:tcPr>
            <w:tcW w:w="3096" w:type="dxa"/>
          </w:tcPr>
          <w:p w14:paraId="1ED2AEFA" w14:textId="61D829CA" w:rsidR="00901F49" w:rsidRPr="0093355E" w:rsidRDefault="00901F49" w:rsidP="00901F49">
            <w:pPr>
              <w:pStyle w:val="FSTableText"/>
              <w:cnfStyle w:val="000000100000" w:firstRow="0" w:lastRow="0" w:firstColumn="0" w:lastColumn="0" w:oddVBand="0" w:evenVBand="0" w:oddHBand="1" w:evenHBand="0" w:firstRowFirstColumn="0" w:firstRowLastColumn="0" w:lastRowFirstColumn="0" w:lastRowLastColumn="0"/>
            </w:pPr>
            <w:r w:rsidRPr="0093355E">
              <w:t>Biscuits, cereal flours</w:t>
            </w:r>
          </w:p>
        </w:tc>
        <w:tc>
          <w:tcPr>
            <w:tcW w:w="3096" w:type="dxa"/>
          </w:tcPr>
          <w:p w14:paraId="75C0B1A6" w14:textId="408DE68E" w:rsidR="00901F49" w:rsidRPr="0093355E" w:rsidRDefault="00901F49" w:rsidP="00901F49">
            <w:pPr>
              <w:pStyle w:val="FSTableText"/>
              <w:cnfStyle w:val="000000100000" w:firstRow="0" w:lastRow="0" w:firstColumn="0" w:lastColumn="0" w:oddVBand="0" w:evenVBand="0" w:oddHBand="1" w:evenHBand="0" w:firstRowFirstColumn="0" w:firstRowLastColumn="0" w:lastRowFirstColumn="0" w:lastRowLastColumn="0"/>
            </w:pPr>
            <w:r w:rsidRPr="0093355E">
              <w:t>35 g</w:t>
            </w:r>
          </w:p>
        </w:tc>
      </w:tr>
      <w:tr w:rsidR="00901F49" w:rsidRPr="0093355E" w14:paraId="70E0EC05" w14:textId="77777777" w:rsidTr="00901F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vMerge/>
          </w:tcPr>
          <w:p w14:paraId="393352A1" w14:textId="77777777" w:rsidR="00901F49" w:rsidRPr="0093355E" w:rsidRDefault="00901F49" w:rsidP="00901F49">
            <w:pPr>
              <w:pStyle w:val="FSTableText"/>
              <w:rPr>
                <w:b w:val="0"/>
              </w:rPr>
            </w:pPr>
          </w:p>
        </w:tc>
        <w:tc>
          <w:tcPr>
            <w:tcW w:w="3096" w:type="dxa"/>
          </w:tcPr>
          <w:p w14:paraId="0270471E" w14:textId="2B6A01EA" w:rsidR="00901F49" w:rsidRPr="0093355E" w:rsidRDefault="00901F49" w:rsidP="00901F49">
            <w:pPr>
              <w:pStyle w:val="FSTableText"/>
              <w:cnfStyle w:val="000000010000" w:firstRow="0" w:lastRow="0" w:firstColumn="0" w:lastColumn="0" w:oddVBand="0" w:evenVBand="0" w:oddHBand="0" w:evenHBand="1" w:firstRowFirstColumn="0" w:firstRowLastColumn="0" w:lastRowFirstColumn="0" w:lastRowLastColumn="0"/>
            </w:pPr>
            <w:r w:rsidRPr="0093355E">
              <w:t>Breads</w:t>
            </w:r>
          </w:p>
        </w:tc>
        <w:tc>
          <w:tcPr>
            <w:tcW w:w="3096" w:type="dxa"/>
          </w:tcPr>
          <w:p w14:paraId="00F5CDB3" w14:textId="138F7B0C" w:rsidR="00901F49" w:rsidRPr="0093355E" w:rsidRDefault="00901F49" w:rsidP="00901F49">
            <w:pPr>
              <w:pStyle w:val="FSTableText"/>
              <w:cnfStyle w:val="000000010000" w:firstRow="0" w:lastRow="0" w:firstColumn="0" w:lastColumn="0" w:oddVBand="0" w:evenVBand="0" w:oddHBand="0" w:evenHBand="1" w:firstRowFirstColumn="0" w:firstRowLastColumn="0" w:lastRowFirstColumn="0" w:lastRowLastColumn="0"/>
            </w:pPr>
            <w:r w:rsidRPr="0093355E">
              <w:t>50 g</w:t>
            </w:r>
          </w:p>
        </w:tc>
      </w:tr>
      <w:tr w:rsidR="00901F49" w:rsidRPr="0093355E" w14:paraId="4A81C3CF" w14:textId="77777777" w:rsidTr="00901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vMerge/>
          </w:tcPr>
          <w:p w14:paraId="0A6482B7" w14:textId="77777777" w:rsidR="00901F49" w:rsidRPr="0093355E" w:rsidRDefault="00901F49" w:rsidP="00901F49">
            <w:pPr>
              <w:pStyle w:val="FSTableText"/>
              <w:rPr>
                <w:b w:val="0"/>
              </w:rPr>
            </w:pPr>
          </w:p>
        </w:tc>
        <w:tc>
          <w:tcPr>
            <w:tcW w:w="3096" w:type="dxa"/>
          </w:tcPr>
          <w:p w14:paraId="7D85B142" w14:textId="2F57AC5E" w:rsidR="00901F49" w:rsidRPr="0093355E" w:rsidRDefault="00901F49" w:rsidP="00901F49">
            <w:pPr>
              <w:pStyle w:val="FSTableText"/>
              <w:cnfStyle w:val="000000100000" w:firstRow="0" w:lastRow="0" w:firstColumn="0" w:lastColumn="0" w:oddVBand="0" w:evenVBand="0" w:oddHBand="1" w:evenHBand="0" w:firstRowFirstColumn="0" w:firstRowLastColumn="0" w:lastRowFirstColumn="0" w:lastRowLastColumn="0"/>
            </w:pPr>
            <w:r w:rsidRPr="0093355E">
              <w:t>Pasta</w:t>
            </w:r>
          </w:p>
        </w:tc>
        <w:tc>
          <w:tcPr>
            <w:tcW w:w="3096" w:type="dxa"/>
          </w:tcPr>
          <w:p w14:paraId="4CF768F1" w14:textId="55ECEE7A" w:rsidR="00901F49" w:rsidRPr="0093355E" w:rsidRDefault="00901F49" w:rsidP="00901F49">
            <w:pPr>
              <w:pStyle w:val="FSTableText"/>
              <w:cnfStyle w:val="000000100000" w:firstRow="0" w:lastRow="0" w:firstColumn="0" w:lastColumn="0" w:oddVBand="0" w:evenVBand="0" w:oddHBand="1" w:evenHBand="0" w:firstRowFirstColumn="0" w:firstRowLastColumn="0" w:lastRowFirstColumn="0" w:lastRowLastColumn="0"/>
            </w:pPr>
            <w:r w:rsidRPr="0093355E">
              <w:t>35 g (uncooked, dried)</w:t>
            </w:r>
          </w:p>
        </w:tc>
      </w:tr>
      <w:tr w:rsidR="00901F49" w:rsidRPr="0093355E" w14:paraId="36E8C07E" w14:textId="77777777" w:rsidTr="00901F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vMerge w:val="restart"/>
          </w:tcPr>
          <w:p w14:paraId="3CBC5137" w14:textId="236B7602" w:rsidR="00901F49" w:rsidRPr="0093355E" w:rsidRDefault="00901F49" w:rsidP="00901F49">
            <w:pPr>
              <w:pStyle w:val="FSTableText"/>
              <w:rPr>
                <w:b w:val="0"/>
              </w:rPr>
            </w:pPr>
            <w:r w:rsidRPr="0093355E">
              <w:rPr>
                <w:b w:val="0"/>
              </w:rPr>
              <w:t>Vitamin A</w:t>
            </w:r>
          </w:p>
        </w:tc>
        <w:tc>
          <w:tcPr>
            <w:tcW w:w="3096" w:type="dxa"/>
          </w:tcPr>
          <w:p w14:paraId="26CADB84" w14:textId="517C6C70" w:rsidR="00901F49" w:rsidRPr="0093355E" w:rsidRDefault="00901F49" w:rsidP="00901F49">
            <w:pPr>
              <w:pStyle w:val="FSTableText"/>
              <w:cnfStyle w:val="000000010000" w:firstRow="0" w:lastRow="0" w:firstColumn="0" w:lastColumn="0" w:oddVBand="0" w:evenVBand="0" w:oddHBand="0" w:evenHBand="1" w:firstRowFirstColumn="0" w:firstRowLastColumn="0" w:lastRowFirstColumn="0" w:lastRowLastColumn="0"/>
            </w:pPr>
            <w:r w:rsidRPr="0093355E">
              <w:t>Dried milk</w:t>
            </w:r>
          </w:p>
        </w:tc>
        <w:tc>
          <w:tcPr>
            <w:tcW w:w="3096" w:type="dxa"/>
          </w:tcPr>
          <w:p w14:paraId="1F8470D1" w14:textId="0CEE233F" w:rsidR="00901F49" w:rsidRPr="0093355E" w:rsidRDefault="00901F49" w:rsidP="00901F49">
            <w:pPr>
              <w:pStyle w:val="FSTableText"/>
              <w:cnfStyle w:val="000000010000" w:firstRow="0" w:lastRow="0" w:firstColumn="0" w:lastColumn="0" w:oddVBand="0" w:evenVBand="0" w:oddHBand="0" w:evenHBand="1" w:firstRowFirstColumn="0" w:firstRowLastColumn="0" w:lastRowFirstColumn="0" w:lastRowLastColumn="0"/>
            </w:pPr>
            <w:r w:rsidRPr="0093355E">
              <w:t xml:space="preserve">200 mL (after reconstitution) </w:t>
            </w:r>
          </w:p>
        </w:tc>
      </w:tr>
      <w:tr w:rsidR="00901F49" w:rsidRPr="0093355E" w14:paraId="083769F4" w14:textId="77777777" w:rsidTr="00901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vMerge/>
          </w:tcPr>
          <w:p w14:paraId="4E66DC9E" w14:textId="77777777" w:rsidR="00901F49" w:rsidRPr="0093355E" w:rsidRDefault="00901F49" w:rsidP="00901F49">
            <w:pPr>
              <w:pStyle w:val="FSTableText"/>
              <w:rPr>
                <w:b w:val="0"/>
              </w:rPr>
            </w:pPr>
          </w:p>
        </w:tc>
        <w:tc>
          <w:tcPr>
            <w:tcW w:w="3096" w:type="dxa"/>
          </w:tcPr>
          <w:p w14:paraId="66FE45AC" w14:textId="2D58D9CF" w:rsidR="00901F49" w:rsidRPr="0093355E" w:rsidRDefault="00901F49" w:rsidP="00901F49">
            <w:pPr>
              <w:pStyle w:val="FSTableText"/>
              <w:cnfStyle w:val="000000100000" w:firstRow="0" w:lastRow="0" w:firstColumn="0" w:lastColumn="0" w:oddVBand="0" w:evenVBand="0" w:oddHBand="1" w:evenHBand="0" w:firstRowFirstColumn="0" w:firstRowLastColumn="0" w:lastRowFirstColumn="0" w:lastRowLastColumn="0"/>
            </w:pPr>
            <w:r w:rsidRPr="0093355E">
              <w:t>Cream and cream products (no more than 30% milkfat)</w:t>
            </w:r>
          </w:p>
        </w:tc>
        <w:tc>
          <w:tcPr>
            <w:tcW w:w="3096" w:type="dxa"/>
          </w:tcPr>
          <w:p w14:paraId="5B2A7E2D" w14:textId="4F541033" w:rsidR="00901F49" w:rsidRPr="0093355E" w:rsidRDefault="00901F49" w:rsidP="00901F49">
            <w:pPr>
              <w:pStyle w:val="FSTableText"/>
              <w:cnfStyle w:val="000000100000" w:firstRow="0" w:lastRow="0" w:firstColumn="0" w:lastColumn="0" w:oddVBand="0" w:evenVBand="0" w:oddHBand="1" w:evenHBand="0" w:firstRowFirstColumn="0" w:firstRowLastColumn="0" w:lastRowFirstColumn="0" w:lastRowLastColumn="0"/>
            </w:pPr>
            <w:r w:rsidRPr="0093355E">
              <w:t>30 mL</w:t>
            </w:r>
          </w:p>
        </w:tc>
      </w:tr>
      <w:tr w:rsidR="00901F49" w:rsidRPr="0093355E" w14:paraId="33A0FC7E" w14:textId="77777777" w:rsidTr="00901F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vMerge w:val="restart"/>
          </w:tcPr>
          <w:p w14:paraId="1FA07D50" w14:textId="1E575D97" w:rsidR="00901F49" w:rsidRPr="0093355E" w:rsidRDefault="00901F49" w:rsidP="00901F49">
            <w:pPr>
              <w:pStyle w:val="FSTableText"/>
              <w:rPr>
                <w:b w:val="0"/>
              </w:rPr>
            </w:pPr>
            <w:r w:rsidRPr="0093355E">
              <w:rPr>
                <w:b w:val="0"/>
              </w:rPr>
              <w:t>Vitamin A, Vitamin D</w:t>
            </w:r>
          </w:p>
        </w:tc>
        <w:tc>
          <w:tcPr>
            <w:tcW w:w="3096" w:type="dxa"/>
          </w:tcPr>
          <w:p w14:paraId="49957F5D" w14:textId="44A89ADD" w:rsidR="00901F49" w:rsidRPr="0093355E" w:rsidRDefault="00901F49" w:rsidP="00901F49">
            <w:pPr>
              <w:pStyle w:val="FSTableText"/>
              <w:cnfStyle w:val="000000010000" w:firstRow="0" w:lastRow="0" w:firstColumn="0" w:lastColumn="0" w:oddVBand="0" w:evenVBand="0" w:oddHBand="0" w:evenHBand="1" w:firstRowFirstColumn="0" w:firstRowLastColumn="0" w:lastRowFirstColumn="0" w:lastRowLastColumn="0"/>
            </w:pPr>
            <w:r w:rsidRPr="0093355E">
              <w:t>Modified milks and skim milk</w:t>
            </w:r>
          </w:p>
        </w:tc>
        <w:tc>
          <w:tcPr>
            <w:tcW w:w="3096" w:type="dxa"/>
          </w:tcPr>
          <w:p w14:paraId="6AF4279F" w14:textId="43C3CCD2" w:rsidR="00901F49" w:rsidRPr="0093355E" w:rsidRDefault="00901F49" w:rsidP="00901F49">
            <w:pPr>
              <w:pStyle w:val="FSTableText"/>
              <w:cnfStyle w:val="000000010000" w:firstRow="0" w:lastRow="0" w:firstColumn="0" w:lastColumn="0" w:oddVBand="0" w:evenVBand="0" w:oddHBand="0" w:evenHBand="1" w:firstRowFirstColumn="0" w:firstRowLastColumn="0" w:lastRowFirstColumn="0" w:lastRowLastColumn="0"/>
            </w:pPr>
            <w:r w:rsidRPr="0093355E">
              <w:t>200 mL</w:t>
            </w:r>
          </w:p>
        </w:tc>
      </w:tr>
      <w:tr w:rsidR="00901F49" w:rsidRPr="0093355E" w14:paraId="7E5F40C9" w14:textId="77777777" w:rsidTr="00901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vMerge/>
          </w:tcPr>
          <w:p w14:paraId="0ED95576" w14:textId="77777777" w:rsidR="00901F49" w:rsidRPr="0093355E" w:rsidRDefault="00901F49" w:rsidP="00901F49">
            <w:pPr>
              <w:pStyle w:val="FSTableText"/>
              <w:rPr>
                <w:b w:val="0"/>
              </w:rPr>
            </w:pPr>
          </w:p>
        </w:tc>
        <w:tc>
          <w:tcPr>
            <w:tcW w:w="3096" w:type="dxa"/>
          </w:tcPr>
          <w:p w14:paraId="515884A3" w14:textId="1349E0C3" w:rsidR="00901F49" w:rsidRPr="0093355E" w:rsidRDefault="00901F49" w:rsidP="00901F49">
            <w:pPr>
              <w:pStyle w:val="FSTableText"/>
              <w:cnfStyle w:val="000000100000" w:firstRow="0" w:lastRow="0" w:firstColumn="0" w:lastColumn="0" w:oddVBand="0" w:evenVBand="0" w:oddHBand="1" w:evenHBand="0" w:firstRowFirstColumn="0" w:firstRowLastColumn="0" w:lastRowFirstColumn="0" w:lastRowLastColumn="0"/>
            </w:pPr>
            <w:r w:rsidRPr="0093355E">
              <w:t xml:space="preserve">Cheese and cheese products </w:t>
            </w:r>
          </w:p>
        </w:tc>
        <w:tc>
          <w:tcPr>
            <w:tcW w:w="3096" w:type="dxa"/>
          </w:tcPr>
          <w:p w14:paraId="42B03E9F" w14:textId="0743DBEB" w:rsidR="00901F49" w:rsidRPr="0093355E" w:rsidRDefault="00901F49" w:rsidP="00901F49">
            <w:pPr>
              <w:pStyle w:val="FSTableText"/>
              <w:cnfStyle w:val="000000100000" w:firstRow="0" w:lastRow="0" w:firstColumn="0" w:lastColumn="0" w:oddVBand="0" w:evenVBand="0" w:oddHBand="1" w:evenHBand="0" w:firstRowFirstColumn="0" w:firstRowLastColumn="0" w:lastRowFirstColumn="0" w:lastRowLastColumn="0"/>
            </w:pPr>
            <w:r w:rsidRPr="0093355E">
              <w:t>25 g</w:t>
            </w:r>
          </w:p>
        </w:tc>
      </w:tr>
      <w:tr w:rsidR="00901F49" w:rsidRPr="0093355E" w14:paraId="2A72D182" w14:textId="77777777" w:rsidTr="00901F49">
        <w:trPr>
          <w:cnfStyle w:val="000000010000" w:firstRow="0" w:lastRow="0" w:firstColumn="0" w:lastColumn="0" w:oddVBand="0" w:evenVBand="0" w:oddHBand="0" w:evenHBand="1" w:firstRowFirstColumn="0" w:firstRowLastColumn="0" w:lastRowFirstColumn="0" w:lastRowLastColumn="0"/>
          <w:trHeight w:val="212"/>
        </w:trPr>
        <w:tc>
          <w:tcPr>
            <w:cnfStyle w:val="001000000000" w:firstRow="0" w:lastRow="0" w:firstColumn="1" w:lastColumn="0" w:oddVBand="0" w:evenVBand="0" w:oddHBand="0" w:evenHBand="0" w:firstRowFirstColumn="0" w:firstRowLastColumn="0" w:lastRowFirstColumn="0" w:lastRowLastColumn="0"/>
            <w:tcW w:w="3095" w:type="dxa"/>
            <w:vMerge/>
          </w:tcPr>
          <w:p w14:paraId="385DD21C" w14:textId="77777777" w:rsidR="00901F49" w:rsidRPr="0093355E" w:rsidRDefault="00901F49" w:rsidP="00901F49">
            <w:pPr>
              <w:pStyle w:val="FSTableText"/>
              <w:rPr>
                <w:b w:val="0"/>
              </w:rPr>
            </w:pPr>
          </w:p>
        </w:tc>
        <w:tc>
          <w:tcPr>
            <w:tcW w:w="3096" w:type="dxa"/>
          </w:tcPr>
          <w:p w14:paraId="33C3FD82" w14:textId="14404F77" w:rsidR="00901F49" w:rsidRPr="0093355E" w:rsidRDefault="00901F49" w:rsidP="00901F49">
            <w:pPr>
              <w:pStyle w:val="FSTableText"/>
              <w:cnfStyle w:val="000000010000" w:firstRow="0" w:lastRow="0" w:firstColumn="0" w:lastColumn="0" w:oddVBand="0" w:evenVBand="0" w:oddHBand="0" w:evenHBand="1" w:firstRowFirstColumn="0" w:firstRowLastColumn="0" w:lastRowFirstColumn="0" w:lastRowLastColumn="0"/>
            </w:pPr>
            <w:r w:rsidRPr="0093355E">
              <w:t xml:space="preserve">Yoghurts, dairy desserts </w:t>
            </w:r>
          </w:p>
        </w:tc>
        <w:tc>
          <w:tcPr>
            <w:tcW w:w="3096" w:type="dxa"/>
          </w:tcPr>
          <w:p w14:paraId="02524D79" w14:textId="4BE538E1" w:rsidR="00901F49" w:rsidRPr="0093355E" w:rsidRDefault="00901F49" w:rsidP="00901F49">
            <w:pPr>
              <w:pStyle w:val="FSTableText"/>
              <w:cnfStyle w:val="000000010000" w:firstRow="0" w:lastRow="0" w:firstColumn="0" w:lastColumn="0" w:oddVBand="0" w:evenVBand="0" w:oddHBand="0" w:evenHBand="1" w:firstRowFirstColumn="0" w:firstRowLastColumn="0" w:lastRowFirstColumn="0" w:lastRowLastColumn="0"/>
            </w:pPr>
            <w:r w:rsidRPr="0093355E">
              <w:t>150 g</w:t>
            </w:r>
          </w:p>
        </w:tc>
      </w:tr>
      <w:tr w:rsidR="00901F49" w:rsidRPr="0093355E" w14:paraId="703B1DEB" w14:textId="77777777" w:rsidTr="00901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291484A6" w14:textId="420F5A8D" w:rsidR="00901F49" w:rsidRPr="0093355E" w:rsidRDefault="00901F49" w:rsidP="00901F49">
            <w:pPr>
              <w:pStyle w:val="FSTableText"/>
              <w:rPr>
                <w:b w:val="0"/>
              </w:rPr>
            </w:pPr>
            <w:r w:rsidRPr="0093355E">
              <w:rPr>
                <w:b w:val="0"/>
              </w:rPr>
              <w:t>Vitamin A, vitamin D</w:t>
            </w:r>
          </w:p>
        </w:tc>
        <w:tc>
          <w:tcPr>
            <w:tcW w:w="3096" w:type="dxa"/>
          </w:tcPr>
          <w:p w14:paraId="75E06024" w14:textId="707F2DF1" w:rsidR="00901F49" w:rsidRPr="0093355E" w:rsidRDefault="00901F49" w:rsidP="00901F49">
            <w:pPr>
              <w:pStyle w:val="FSTableText"/>
              <w:cnfStyle w:val="000000100000" w:firstRow="0" w:lastRow="0" w:firstColumn="0" w:lastColumn="0" w:oddVBand="0" w:evenVBand="0" w:oddHBand="1" w:evenHBand="0" w:firstRowFirstColumn="0" w:firstRowLastColumn="0" w:lastRowFirstColumn="0" w:lastRowLastColumn="0"/>
            </w:pPr>
            <w:r w:rsidRPr="0093355E">
              <w:t>Butter, edible oil spreads, edible oils and margarine</w:t>
            </w:r>
          </w:p>
        </w:tc>
        <w:tc>
          <w:tcPr>
            <w:tcW w:w="3096" w:type="dxa"/>
          </w:tcPr>
          <w:p w14:paraId="13319558" w14:textId="49C3C16D" w:rsidR="00901F49" w:rsidRPr="0093355E" w:rsidRDefault="00901F49" w:rsidP="00901F49">
            <w:pPr>
              <w:pStyle w:val="FSTableText"/>
              <w:cnfStyle w:val="000000100000" w:firstRow="0" w:lastRow="0" w:firstColumn="0" w:lastColumn="0" w:oddVBand="0" w:evenVBand="0" w:oddHBand="1" w:evenHBand="0" w:firstRowFirstColumn="0" w:firstRowLastColumn="0" w:lastRowFirstColumn="0" w:lastRowLastColumn="0"/>
            </w:pPr>
            <w:r w:rsidRPr="0093355E">
              <w:t xml:space="preserve">10g </w:t>
            </w:r>
          </w:p>
        </w:tc>
      </w:tr>
      <w:tr w:rsidR="00901F49" w:rsidRPr="0093355E" w14:paraId="70F8629C" w14:textId="77777777" w:rsidTr="00901F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3A8FA6BC" w14:textId="121C3B6F" w:rsidR="00901F49" w:rsidRPr="0093355E" w:rsidRDefault="00901F49" w:rsidP="00901F49">
            <w:pPr>
              <w:pStyle w:val="FSTableText"/>
              <w:rPr>
                <w:b w:val="0"/>
              </w:rPr>
            </w:pPr>
            <w:r w:rsidRPr="0093355E">
              <w:rPr>
                <w:b w:val="0"/>
              </w:rPr>
              <w:t>Iron</w:t>
            </w:r>
          </w:p>
        </w:tc>
        <w:tc>
          <w:tcPr>
            <w:tcW w:w="3096" w:type="dxa"/>
          </w:tcPr>
          <w:p w14:paraId="7D460A21" w14:textId="345629B4" w:rsidR="00901F49" w:rsidRPr="0093355E" w:rsidRDefault="00901F49" w:rsidP="00901F49">
            <w:pPr>
              <w:pStyle w:val="FSTableText"/>
              <w:cnfStyle w:val="000000010000" w:firstRow="0" w:lastRow="0" w:firstColumn="0" w:lastColumn="0" w:oddVBand="0" w:evenVBand="0" w:oddHBand="0" w:evenHBand="1" w:firstRowFirstColumn="0" w:firstRowLastColumn="0" w:lastRowFirstColumn="0" w:lastRowLastColumn="0"/>
            </w:pPr>
            <w:r w:rsidRPr="0093355E">
              <w:t>Extracts of meat, vegetables or yeast and foods containing no less than 800g/kg of these extracts</w:t>
            </w:r>
          </w:p>
        </w:tc>
        <w:tc>
          <w:tcPr>
            <w:tcW w:w="3096" w:type="dxa"/>
          </w:tcPr>
          <w:p w14:paraId="33FC4BE5" w14:textId="3BD53459" w:rsidR="00901F49" w:rsidRPr="0093355E" w:rsidRDefault="00901F49" w:rsidP="00901F49">
            <w:pPr>
              <w:pStyle w:val="FSTableText"/>
              <w:cnfStyle w:val="000000010000" w:firstRow="0" w:lastRow="0" w:firstColumn="0" w:lastColumn="0" w:oddVBand="0" w:evenVBand="0" w:oddHBand="0" w:evenHBand="1" w:firstRowFirstColumn="0" w:firstRowLastColumn="0" w:lastRowFirstColumn="0" w:lastRowLastColumn="0"/>
            </w:pPr>
            <w:r w:rsidRPr="0093355E">
              <w:t>5 g</w:t>
            </w:r>
          </w:p>
        </w:tc>
      </w:tr>
      <w:tr w:rsidR="00901F49" w:rsidRPr="0093355E" w14:paraId="545FBBA8" w14:textId="77777777" w:rsidTr="00901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7E646EDF" w14:textId="1B2AF04D" w:rsidR="00901F49" w:rsidRPr="0093355E" w:rsidRDefault="00901F49" w:rsidP="00901F49">
            <w:pPr>
              <w:pStyle w:val="FSTableText"/>
              <w:rPr>
                <w:b w:val="0"/>
              </w:rPr>
            </w:pPr>
            <w:r w:rsidRPr="0093355E">
              <w:rPr>
                <w:b w:val="0"/>
              </w:rPr>
              <w:t>Vitamin A, vitamin D and iodine</w:t>
            </w:r>
          </w:p>
        </w:tc>
        <w:tc>
          <w:tcPr>
            <w:tcW w:w="3096" w:type="dxa"/>
          </w:tcPr>
          <w:p w14:paraId="1EB77213" w14:textId="688AA053" w:rsidR="00901F49" w:rsidRPr="0093355E" w:rsidRDefault="00901F49" w:rsidP="00901F49">
            <w:pPr>
              <w:pStyle w:val="FSTableText"/>
              <w:cnfStyle w:val="000000100000" w:firstRow="0" w:lastRow="0" w:firstColumn="0" w:lastColumn="0" w:oddVBand="0" w:evenVBand="0" w:oddHBand="1" w:evenHBand="0" w:firstRowFirstColumn="0" w:firstRowLastColumn="0" w:lastRowFirstColumn="0" w:lastRowLastColumn="0"/>
            </w:pPr>
            <w:r w:rsidRPr="0093355E">
              <w:t>Beverages derived from legumes</w:t>
            </w:r>
          </w:p>
        </w:tc>
        <w:tc>
          <w:tcPr>
            <w:tcW w:w="3096" w:type="dxa"/>
          </w:tcPr>
          <w:p w14:paraId="6DFE6B1A" w14:textId="02FF7EFD" w:rsidR="00901F49" w:rsidRPr="0093355E" w:rsidRDefault="00901F49" w:rsidP="00901F49">
            <w:pPr>
              <w:pStyle w:val="FSTableText"/>
              <w:cnfStyle w:val="000000100000" w:firstRow="0" w:lastRow="0" w:firstColumn="0" w:lastColumn="0" w:oddVBand="0" w:evenVBand="0" w:oddHBand="1" w:evenHBand="0" w:firstRowFirstColumn="0" w:firstRowLastColumn="0" w:lastRowFirstColumn="0" w:lastRowLastColumn="0"/>
            </w:pPr>
            <w:r w:rsidRPr="0093355E">
              <w:t xml:space="preserve">200 mL </w:t>
            </w:r>
          </w:p>
        </w:tc>
      </w:tr>
      <w:tr w:rsidR="00901F49" w:rsidRPr="0093355E" w14:paraId="08363A69" w14:textId="77777777" w:rsidTr="00901F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33F46548" w14:textId="6F435636" w:rsidR="00901F49" w:rsidRPr="0093355E" w:rsidRDefault="00901F49" w:rsidP="00901F49">
            <w:pPr>
              <w:pStyle w:val="FSTableText"/>
              <w:rPr>
                <w:b w:val="0"/>
              </w:rPr>
            </w:pPr>
            <w:proofErr w:type="spellStart"/>
            <w:r w:rsidRPr="0093355E">
              <w:rPr>
                <w:b w:val="0"/>
              </w:rPr>
              <w:t>Thiamin</w:t>
            </w:r>
            <w:proofErr w:type="spellEnd"/>
            <w:r w:rsidRPr="0093355E">
              <w:rPr>
                <w:b w:val="0"/>
              </w:rPr>
              <w:t>, riboflavin</w:t>
            </w:r>
          </w:p>
        </w:tc>
        <w:tc>
          <w:tcPr>
            <w:tcW w:w="3096" w:type="dxa"/>
          </w:tcPr>
          <w:p w14:paraId="5BF7D62D" w14:textId="29358A5D" w:rsidR="00901F49" w:rsidRPr="0093355E" w:rsidRDefault="00901F49" w:rsidP="00901F49">
            <w:pPr>
              <w:pStyle w:val="FSTableText"/>
              <w:cnfStyle w:val="000000010000" w:firstRow="0" w:lastRow="0" w:firstColumn="0" w:lastColumn="0" w:oddVBand="0" w:evenVBand="0" w:oddHBand="0" w:evenHBand="1" w:firstRowFirstColumn="0" w:firstRowLastColumn="0" w:lastRowFirstColumn="0" w:lastRowLastColumn="0"/>
            </w:pPr>
            <w:r w:rsidRPr="0093355E">
              <w:t>Analogues of meat derived from legumes</w:t>
            </w:r>
          </w:p>
        </w:tc>
        <w:tc>
          <w:tcPr>
            <w:tcW w:w="3096" w:type="dxa"/>
          </w:tcPr>
          <w:p w14:paraId="41DE4CD4" w14:textId="7EA0054A" w:rsidR="00901F49" w:rsidRPr="0093355E" w:rsidRDefault="00901F49" w:rsidP="00901F49">
            <w:pPr>
              <w:pStyle w:val="FSTableText"/>
              <w:cnfStyle w:val="000000010000" w:firstRow="0" w:lastRow="0" w:firstColumn="0" w:lastColumn="0" w:oddVBand="0" w:evenVBand="0" w:oddHBand="0" w:evenHBand="1" w:firstRowFirstColumn="0" w:firstRowLastColumn="0" w:lastRowFirstColumn="0" w:lastRowLastColumn="0"/>
            </w:pPr>
            <w:r w:rsidRPr="0093355E">
              <w:t>100 g</w:t>
            </w:r>
          </w:p>
        </w:tc>
      </w:tr>
      <w:tr w:rsidR="00901F49" w:rsidRPr="0093355E" w14:paraId="1F5FDA7A" w14:textId="77777777" w:rsidTr="00901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3D232337" w14:textId="24B83CC0" w:rsidR="00901F49" w:rsidRPr="0093355E" w:rsidRDefault="00901F49" w:rsidP="00901F49">
            <w:pPr>
              <w:pStyle w:val="FSTableText"/>
              <w:rPr>
                <w:b w:val="0"/>
              </w:rPr>
            </w:pPr>
            <w:r w:rsidRPr="0093355E">
              <w:rPr>
                <w:b w:val="0"/>
              </w:rPr>
              <w:t>Vitamin A, vitamin B12, vitamin D, folate and iodine</w:t>
            </w:r>
          </w:p>
        </w:tc>
        <w:tc>
          <w:tcPr>
            <w:tcW w:w="3096" w:type="dxa"/>
          </w:tcPr>
          <w:p w14:paraId="347F2848" w14:textId="0609CF15" w:rsidR="00901F49" w:rsidRPr="0093355E" w:rsidRDefault="00901F49" w:rsidP="00901F49">
            <w:pPr>
              <w:pStyle w:val="FSTableText"/>
              <w:cnfStyle w:val="000000100000" w:firstRow="0" w:lastRow="0" w:firstColumn="0" w:lastColumn="0" w:oddVBand="0" w:evenVBand="0" w:oddHBand="1" w:evenHBand="0" w:firstRowFirstColumn="0" w:firstRowLastColumn="0" w:lastRowFirstColumn="0" w:lastRowLastColumn="0"/>
            </w:pPr>
            <w:r w:rsidRPr="0093355E">
              <w:t>Analogues of yoghurt and dairy desserts derived from legumes</w:t>
            </w:r>
          </w:p>
        </w:tc>
        <w:tc>
          <w:tcPr>
            <w:tcW w:w="3096" w:type="dxa"/>
          </w:tcPr>
          <w:p w14:paraId="080ABF77" w14:textId="4DE06493" w:rsidR="00901F49" w:rsidRPr="0093355E" w:rsidRDefault="00901F49" w:rsidP="00901F49">
            <w:pPr>
              <w:pStyle w:val="FSTableText"/>
              <w:cnfStyle w:val="000000100000" w:firstRow="0" w:lastRow="0" w:firstColumn="0" w:lastColumn="0" w:oddVBand="0" w:evenVBand="0" w:oddHBand="1" w:evenHBand="0" w:firstRowFirstColumn="0" w:firstRowLastColumn="0" w:lastRowFirstColumn="0" w:lastRowLastColumn="0"/>
            </w:pPr>
            <w:r w:rsidRPr="0093355E">
              <w:t>150 g</w:t>
            </w:r>
          </w:p>
        </w:tc>
      </w:tr>
      <w:tr w:rsidR="00901F49" w:rsidRPr="0093355E" w14:paraId="6DF60203" w14:textId="77777777" w:rsidTr="00901F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7867FB16" w14:textId="436AB60E" w:rsidR="00901F49" w:rsidRPr="0093355E" w:rsidRDefault="00901F49" w:rsidP="00901F49">
            <w:pPr>
              <w:pStyle w:val="FSTableText"/>
              <w:rPr>
                <w:b w:val="0"/>
              </w:rPr>
            </w:pPr>
            <w:r w:rsidRPr="0093355E">
              <w:rPr>
                <w:b w:val="0"/>
              </w:rPr>
              <w:t>Vitamin A, riboflavin and vitamin B12</w:t>
            </w:r>
          </w:p>
        </w:tc>
        <w:tc>
          <w:tcPr>
            <w:tcW w:w="3096" w:type="dxa"/>
          </w:tcPr>
          <w:p w14:paraId="61B09178" w14:textId="4159FC12" w:rsidR="00901F49" w:rsidRPr="0093355E" w:rsidRDefault="00901F49" w:rsidP="00901F49">
            <w:pPr>
              <w:pStyle w:val="FSTableText"/>
              <w:cnfStyle w:val="000000010000" w:firstRow="0" w:lastRow="0" w:firstColumn="0" w:lastColumn="0" w:oddVBand="0" w:evenVBand="0" w:oddHBand="0" w:evenHBand="1" w:firstRowFirstColumn="0" w:firstRowLastColumn="0" w:lastRowFirstColumn="0" w:lastRowLastColumn="0"/>
            </w:pPr>
            <w:r w:rsidRPr="0093355E">
              <w:t>Analogues of ice cream derived from legumes</w:t>
            </w:r>
          </w:p>
        </w:tc>
        <w:tc>
          <w:tcPr>
            <w:tcW w:w="3096" w:type="dxa"/>
          </w:tcPr>
          <w:p w14:paraId="48187965" w14:textId="0D391392" w:rsidR="00901F49" w:rsidRPr="0093355E" w:rsidRDefault="00901F49" w:rsidP="00901F49">
            <w:pPr>
              <w:pStyle w:val="FSTableText"/>
              <w:cnfStyle w:val="000000010000" w:firstRow="0" w:lastRow="0" w:firstColumn="0" w:lastColumn="0" w:oddVBand="0" w:evenVBand="0" w:oddHBand="0" w:evenHBand="1" w:firstRowFirstColumn="0" w:firstRowLastColumn="0" w:lastRowFirstColumn="0" w:lastRowLastColumn="0"/>
            </w:pPr>
            <w:r w:rsidRPr="0093355E">
              <w:t>75 g</w:t>
            </w:r>
          </w:p>
        </w:tc>
      </w:tr>
      <w:tr w:rsidR="00901F49" w:rsidRPr="0093355E" w14:paraId="521E90A5" w14:textId="77777777" w:rsidTr="00901F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31BDEF54" w14:textId="085F995A" w:rsidR="00901F49" w:rsidRPr="0093355E" w:rsidRDefault="00901F49" w:rsidP="00901F49">
            <w:pPr>
              <w:pStyle w:val="FSTableText"/>
              <w:rPr>
                <w:b w:val="0"/>
              </w:rPr>
            </w:pPr>
            <w:r w:rsidRPr="0093355E">
              <w:rPr>
                <w:b w:val="0"/>
              </w:rPr>
              <w:t>Vitamin A, riboflavin, vitamin B12, vitamin D and phosphorus</w:t>
            </w:r>
          </w:p>
        </w:tc>
        <w:tc>
          <w:tcPr>
            <w:tcW w:w="3096" w:type="dxa"/>
          </w:tcPr>
          <w:p w14:paraId="46A92D7B" w14:textId="34281528" w:rsidR="00901F49" w:rsidRPr="0093355E" w:rsidRDefault="00901F49" w:rsidP="00901F49">
            <w:pPr>
              <w:pStyle w:val="FSTableText"/>
              <w:cnfStyle w:val="000000100000" w:firstRow="0" w:lastRow="0" w:firstColumn="0" w:lastColumn="0" w:oddVBand="0" w:evenVBand="0" w:oddHBand="1" w:evenHBand="0" w:firstRowFirstColumn="0" w:firstRowLastColumn="0" w:lastRowFirstColumn="0" w:lastRowLastColumn="0"/>
            </w:pPr>
            <w:r w:rsidRPr="0093355E">
              <w:t>Analogues of cheese derived from legumes</w:t>
            </w:r>
          </w:p>
        </w:tc>
        <w:tc>
          <w:tcPr>
            <w:tcW w:w="3096" w:type="dxa"/>
          </w:tcPr>
          <w:p w14:paraId="5E934081" w14:textId="4DC982BB" w:rsidR="00901F49" w:rsidRPr="0093355E" w:rsidRDefault="00901F49" w:rsidP="00901F49">
            <w:pPr>
              <w:pStyle w:val="FSTableText"/>
              <w:cnfStyle w:val="000000100000" w:firstRow="0" w:lastRow="0" w:firstColumn="0" w:lastColumn="0" w:oddVBand="0" w:evenVBand="0" w:oddHBand="1" w:evenHBand="0" w:firstRowFirstColumn="0" w:firstRowLastColumn="0" w:lastRowFirstColumn="0" w:lastRowLastColumn="0"/>
            </w:pPr>
            <w:r w:rsidRPr="0093355E">
              <w:t>25 g</w:t>
            </w:r>
          </w:p>
        </w:tc>
      </w:tr>
      <w:tr w:rsidR="00901F49" w:rsidRPr="0093355E" w14:paraId="7B55CC55" w14:textId="77777777" w:rsidTr="00901F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tcPr>
          <w:p w14:paraId="4C210643" w14:textId="273E5674" w:rsidR="00901F49" w:rsidRPr="0093355E" w:rsidRDefault="00901F49" w:rsidP="00901F49">
            <w:pPr>
              <w:pStyle w:val="FSTableText"/>
              <w:rPr>
                <w:b w:val="0"/>
              </w:rPr>
            </w:pPr>
            <w:r w:rsidRPr="0093355E">
              <w:rPr>
                <w:b w:val="0"/>
              </w:rPr>
              <w:t>Vitamin A, vitamin D and iodine</w:t>
            </w:r>
          </w:p>
        </w:tc>
        <w:tc>
          <w:tcPr>
            <w:tcW w:w="3096" w:type="dxa"/>
          </w:tcPr>
          <w:p w14:paraId="0BB1C095" w14:textId="00C0787A" w:rsidR="00901F49" w:rsidRPr="0093355E" w:rsidRDefault="00901F49" w:rsidP="00901F49">
            <w:pPr>
              <w:pStyle w:val="FSTableText"/>
              <w:cnfStyle w:val="000000010000" w:firstRow="0" w:lastRow="0" w:firstColumn="0" w:lastColumn="0" w:oddVBand="0" w:evenVBand="0" w:oddHBand="0" w:evenHBand="1" w:firstRowFirstColumn="0" w:firstRowLastColumn="0" w:lastRowFirstColumn="0" w:lastRowLastColumn="0"/>
            </w:pPr>
            <w:r w:rsidRPr="0093355E">
              <w:t>Beverages derived from cereals</w:t>
            </w:r>
          </w:p>
        </w:tc>
        <w:tc>
          <w:tcPr>
            <w:tcW w:w="3096" w:type="dxa"/>
          </w:tcPr>
          <w:p w14:paraId="29FA1DCB" w14:textId="63429096" w:rsidR="00901F49" w:rsidRPr="0093355E" w:rsidRDefault="00901F49" w:rsidP="00901F49">
            <w:pPr>
              <w:pStyle w:val="FSTableText"/>
              <w:cnfStyle w:val="000000010000" w:firstRow="0" w:lastRow="0" w:firstColumn="0" w:lastColumn="0" w:oddVBand="0" w:evenVBand="0" w:oddHBand="0" w:evenHBand="1" w:firstRowFirstColumn="0" w:firstRowLastColumn="0" w:lastRowFirstColumn="0" w:lastRowLastColumn="0"/>
            </w:pPr>
            <w:r w:rsidRPr="0093355E">
              <w:t>200 mL</w:t>
            </w:r>
          </w:p>
        </w:tc>
      </w:tr>
    </w:tbl>
    <w:p w14:paraId="7D451CB1" w14:textId="77775435" w:rsidR="00767EB9" w:rsidRPr="0093355E" w:rsidRDefault="00250866" w:rsidP="00767EB9">
      <w:pPr>
        <w:pStyle w:val="Heading3"/>
      </w:pPr>
      <w:bookmarkStart w:id="33" w:name="_Toc423079104"/>
      <w:bookmarkStart w:id="34" w:name="_Toc300761910"/>
      <w:r w:rsidRPr="0093355E">
        <w:t>2.</w:t>
      </w:r>
      <w:r w:rsidR="00814B27" w:rsidRPr="0093355E">
        <w:t>3.3</w:t>
      </w:r>
      <w:r w:rsidR="00767EB9" w:rsidRPr="0093355E">
        <w:tab/>
      </w:r>
      <w:r w:rsidR="00743179" w:rsidRPr="0093355E">
        <w:t>Proposed solution</w:t>
      </w:r>
      <w:bookmarkEnd w:id="33"/>
    </w:p>
    <w:p w14:paraId="684874A1" w14:textId="32B29C30" w:rsidR="009E379E" w:rsidRPr="0093355E" w:rsidRDefault="00477D71" w:rsidP="008C72F2">
      <w:r w:rsidRPr="0093355E">
        <w:t xml:space="preserve">FSANZ proposes </w:t>
      </w:r>
      <w:r w:rsidR="00377E35" w:rsidRPr="0093355E">
        <w:t xml:space="preserve">amending </w:t>
      </w:r>
      <w:r w:rsidR="00163E90" w:rsidRPr="0093355E">
        <w:t xml:space="preserve">the general claim conditions in </w:t>
      </w:r>
      <w:r w:rsidRPr="0093355E">
        <w:t>Standard 1.2.7 to permit claims about</w:t>
      </w:r>
      <w:r w:rsidR="00340326" w:rsidRPr="0093355E">
        <w:t xml:space="preserve"> vitamin and mineral content to </w:t>
      </w:r>
      <w:r w:rsidRPr="0093355E">
        <w:t>be based on the prescribed reference quantity</w:t>
      </w:r>
      <w:r w:rsidR="00EC1B46" w:rsidRPr="0093355E">
        <w:t>,</w:t>
      </w:r>
      <w:r w:rsidR="00875BC2" w:rsidRPr="0093355E">
        <w:t xml:space="preserve"> </w:t>
      </w:r>
      <w:r w:rsidR="0010796A" w:rsidRPr="0093355E">
        <w:t xml:space="preserve">but </w:t>
      </w:r>
      <w:r w:rsidR="004C400B" w:rsidRPr="0093355E">
        <w:t xml:space="preserve">only </w:t>
      </w:r>
      <w:r w:rsidR="00376F3F">
        <w:t xml:space="preserve">where </w:t>
      </w:r>
      <w:r w:rsidR="008C72F2" w:rsidRPr="0093355E">
        <w:t xml:space="preserve">the maximum </w:t>
      </w:r>
      <w:r w:rsidR="00163E90" w:rsidRPr="0093355E">
        <w:t xml:space="preserve">claimable </w:t>
      </w:r>
      <w:r w:rsidR="008C72F2" w:rsidRPr="0093355E">
        <w:t xml:space="preserve">amount </w:t>
      </w:r>
      <w:r w:rsidR="007C5E4B">
        <w:t xml:space="preserve">(Standard 1.3.2) </w:t>
      </w:r>
      <w:r w:rsidR="008C72F2" w:rsidRPr="0003265F">
        <w:rPr>
          <w:b/>
        </w:rPr>
        <w:t>is less</w:t>
      </w:r>
      <w:r w:rsidR="008C72F2" w:rsidRPr="0093355E">
        <w:t xml:space="preserve"> than the minimum amount required to make a claim</w:t>
      </w:r>
      <w:r w:rsidR="002D53EE" w:rsidRPr="0093355E">
        <w:t xml:space="preserve"> (</w:t>
      </w:r>
      <w:r w:rsidR="008C72F2" w:rsidRPr="0093355E">
        <w:t xml:space="preserve">due to </w:t>
      </w:r>
      <w:r w:rsidRPr="0093355E">
        <w:t>the</w:t>
      </w:r>
      <w:r w:rsidR="008C72F2" w:rsidRPr="0093355E">
        <w:t xml:space="preserve"> serving size</w:t>
      </w:r>
      <w:r w:rsidRPr="0093355E">
        <w:t xml:space="preserve"> specified by the </w:t>
      </w:r>
      <w:r w:rsidR="007C6AD8" w:rsidRPr="0093355E">
        <w:t>food supplier</w:t>
      </w:r>
      <w:r w:rsidR="002D53EE" w:rsidRPr="0093355E">
        <w:t>)</w:t>
      </w:r>
      <w:r w:rsidR="008C72F2" w:rsidRPr="0093355E">
        <w:t>.</w:t>
      </w:r>
      <w:r w:rsidR="00163E90" w:rsidRPr="0093355E">
        <w:t xml:space="preserve"> This would be </w:t>
      </w:r>
      <w:r w:rsidR="007C6AD8" w:rsidRPr="0093355E">
        <w:t xml:space="preserve">achieved by </w:t>
      </w:r>
      <w:r w:rsidR="00163E90" w:rsidRPr="0093355E">
        <w:t xml:space="preserve">an amendment to the </w:t>
      </w:r>
      <w:r w:rsidR="002D53EE" w:rsidRPr="0093355E">
        <w:t xml:space="preserve">general claim </w:t>
      </w:r>
      <w:r w:rsidR="00F12D7A" w:rsidRPr="0093355E">
        <w:t xml:space="preserve">conditions for making </w:t>
      </w:r>
      <w:r w:rsidR="00163E90" w:rsidRPr="0093355E">
        <w:rPr>
          <w:i/>
        </w:rPr>
        <w:t>source</w:t>
      </w:r>
      <w:r w:rsidR="00F12D7A" w:rsidRPr="0093355E">
        <w:t xml:space="preserve"> or </w:t>
      </w:r>
      <w:r w:rsidR="00163E90" w:rsidRPr="0093355E">
        <w:rPr>
          <w:i/>
        </w:rPr>
        <w:t>contains</w:t>
      </w:r>
      <w:r w:rsidR="00163E90" w:rsidRPr="0093355E">
        <w:t xml:space="preserve"> type claims</w:t>
      </w:r>
      <w:r w:rsidR="00773B86" w:rsidRPr="0093355E">
        <w:rPr>
          <w:rStyle w:val="FootnoteReference"/>
        </w:rPr>
        <w:footnoteReference w:id="5"/>
      </w:r>
      <w:r w:rsidR="00B84817" w:rsidRPr="0093355E">
        <w:t xml:space="preserve">. </w:t>
      </w:r>
      <w:r w:rsidR="00340326" w:rsidRPr="0093355E">
        <w:t>For these claims, this approach would retain the conditions for making vitamin and mineral claims that were in place before Standard 1.2.7 was gazetted.</w:t>
      </w:r>
    </w:p>
    <w:p w14:paraId="6144D600" w14:textId="77777777" w:rsidR="009E379E" w:rsidRPr="0093355E" w:rsidRDefault="009E379E" w:rsidP="008C72F2"/>
    <w:p w14:paraId="7D451CB2" w14:textId="090DD580" w:rsidR="00767EB9" w:rsidRPr="0093355E" w:rsidRDefault="00252C8A" w:rsidP="008C72F2">
      <w:r w:rsidRPr="0093355E">
        <w:t xml:space="preserve">The proposed amendment would also apply </w:t>
      </w:r>
      <w:r w:rsidR="00C51AA7" w:rsidRPr="0093355E">
        <w:t xml:space="preserve">to </w:t>
      </w:r>
      <w:r w:rsidRPr="0093355E">
        <w:t>health claims about vitamins and minerals that are pre</w:t>
      </w:r>
      <w:r w:rsidR="00AE0E94" w:rsidRPr="0093355E">
        <w:t>-</w:t>
      </w:r>
      <w:r w:rsidRPr="0093355E">
        <w:t xml:space="preserve">approved in the Code, when the food must meet the general claim conditions for making a nutrition content claim about the vitamin or mineral that is the subject of the </w:t>
      </w:r>
      <w:r w:rsidR="0003265F">
        <w:t xml:space="preserve">health </w:t>
      </w:r>
      <w:r w:rsidRPr="0093355E">
        <w:t>claim.</w:t>
      </w:r>
      <w:r w:rsidR="00AE0E94" w:rsidRPr="0093355E">
        <w:t xml:space="preserve"> </w:t>
      </w:r>
      <w:r w:rsidR="00F638DD" w:rsidRPr="0093355E">
        <w:t xml:space="preserve">The </w:t>
      </w:r>
      <w:r w:rsidR="004C400B" w:rsidRPr="0093355E">
        <w:t xml:space="preserve">proposed amendment </w:t>
      </w:r>
      <w:r w:rsidR="00F638DD" w:rsidRPr="0093355E">
        <w:t>would</w:t>
      </w:r>
      <w:r w:rsidR="004101FA" w:rsidRPr="0093355E">
        <w:t xml:space="preserve"> not apply to other </w:t>
      </w:r>
      <w:r w:rsidR="00524566" w:rsidRPr="0093355E">
        <w:t xml:space="preserve">vitamin and mineral content </w:t>
      </w:r>
      <w:r w:rsidR="004101FA" w:rsidRPr="0093355E">
        <w:t xml:space="preserve">claims </w:t>
      </w:r>
      <w:r w:rsidR="002D53EE" w:rsidRPr="0093355E">
        <w:t xml:space="preserve">(including </w:t>
      </w:r>
      <w:r w:rsidR="004101FA" w:rsidRPr="0093355E">
        <w:t>on the same food</w:t>
      </w:r>
      <w:r w:rsidR="00F638DD" w:rsidRPr="0093355E">
        <w:t>)</w:t>
      </w:r>
      <w:r w:rsidR="001F1801" w:rsidRPr="0093355E">
        <w:t>,</w:t>
      </w:r>
      <w:r w:rsidR="004101FA" w:rsidRPr="0093355E">
        <w:t xml:space="preserve"> where the maximum claimable amount </w:t>
      </w:r>
      <w:r w:rsidR="004101FA" w:rsidRPr="0003265F">
        <w:rPr>
          <w:b/>
        </w:rPr>
        <w:t>is more</w:t>
      </w:r>
      <w:r w:rsidR="004101FA" w:rsidRPr="0093355E">
        <w:t xml:space="preserve"> than the minimum amount required to make a claim</w:t>
      </w:r>
      <w:r w:rsidR="00524566" w:rsidRPr="0093355E">
        <w:t xml:space="preserve">, i.e. for these claims, the minimum amount required to make the claim would remain </w:t>
      </w:r>
      <w:r w:rsidR="00875BC2" w:rsidRPr="0093355E">
        <w:t xml:space="preserve">on </w:t>
      </w:r>
      <w:r w:rsidR="00524566" w:rsidRPr="0093355E">
        <w:t xml:space="preserve">a </w:t>
      </w:r>
      <w:r w:rsidR="00FD095F">
        <w:t xml:space="preserve">per </w:t>
      </w:r>
      <w:r w:rsidR="00524566" w:rsidRPr="0093355E">
        <w:t xml:space="preserve">serving basis. </w:t>
      </w:r>
    </w:p>
    <w:p w14:paraId="624A1FD0" w14:textId="77777777" w:rsidR="00F12D7A" w:rsidRPr="0093355E" w:rsidRDefault="00F12D7A" w:rsidP="008C72F2"/>
    <w:p w14:paraId="01EA4AA7" w14:textId="77777777" w:rsidR="00EE6123" w:rsidRPr="0093355E" w:rsidRDefault="00EE6123">
      <w:pPr>
        <w:widowControl/>
        <w:rPr>
          <w:b/>
        </w:rPr>
      </w:pPr>
      <w:r w:rsidRPr="0093355E">
        <w:rPr>
          <w:b/>
        </w:rPr>
        <w:br w:type="page"/>
      </w:r>
    </w:p>
    <w:p w14:paraId="1F0E0B1E" w14:textId="661D0233" w:rsidR="004101FA" w:rsidRPr="0093355E" w:rsidRDefault="004101FA" w:rsidP="008C72F2">
      <w:pPr>
        <w:rPr>
          <w:b/>
        </w:rPr>
      </w:pPr>
      <w:r w:rsidRPr="0093355E">
        <w:rPr>
          <w:b/>
        </w:rPr>
        <w:lastRenderedPageBreak/>
        <w:t>EXAMPLE</w:t>
      </w:r>
    </w:p>
    <w:p w14:paraId="02EB800F" w14:textId="77777777" w:rsidR="004C07A5" w:rsidRPr="0093355E" w:rsidRDefault="004C07A5" w:rsidP="008C72F2"/>
    <w:tbl>
      <w:tblPr>
        <w:tblStyle w:val="TableGrid"/>
        <w:tblW w:w="0" w:type="auto"/>
        <w:tblLook w:val="04A0" w:firstRow="1" w:lastRow="0" w:firstColumn="1" w:lastColumn="0" w:noHBand="0" w:noVBand="1"/>
      </w:tblPr>
      <w:tblGrid>
        <w:gridCol w:w="3085"/>
        <w:gridCol w:w="3119"/>
        <w:gridCol w:w="3082"/>
      </w:tblGrid>
      <w:tr w:rsidR="00F5275C" w:rsidRPr="0093355E" w14:paraId="6D2A339B" w14:textId="77777777" w:rsidTr="00AE0E94">
        <w:trPr>
          <w:cantSplit/>
        </w:trPr>
        <w:tc>
          <w:tcPr>
            <w:tcW w:w="9286" w:type="dxa"/>
            <w:gridSpan w:val="3"/>
          </w:tcPr>
          <w:p w14:paraId="56B8FE9A" w14:textId="77777777" w:rsidR="00F5275C" w:rsidRPr="0093355E" w:rsidRDefault="00F5275C" w:rsidP="00AE0E94">
            <w:pPr>
              <w:widowControl/>
              <w:rPr>
                <w:b/>
                <w:i/>
                <w:sz w:val="20"/>
              </w:rPr>
            </w:pPr>
            <w:r w:rsidRPr="0093355E">
              <w:rPr>
                <w:b/>
                <w:i/>
                <w:sz w:val="20"/>
              </w:rPr>
              <w:t>Yoghurt fortified with vitamin D and with calcium</w:t>
            </w:r>
          </w:p>
          <w:p w14:paraId="7B2B20AB" w14:textId="65F28793" w:rsidR="00F5275C" w:rsidRPr="0093355E" w:rsidRDefault="00F5275C" w:rsidP="00AE0E94">
            <w:pPr>
              <w:widowControl/>
              <w:rPr>
                <w:sz w:val="20"/>
              </w:rPr>
            </w:pPr>
            <w:r w:rsidRPr="0093355E">
              <w:rPr>
                <w:sz w:val="20"/>
              </w:rPr>
              <w:t xml:space="preserve">Serving size determined by supplier: </w:t>
            </w:r>
            <w:r w:rsidRPr="0093355E">
              <w:rPr>
                <w:sz w:val="20"/>
              </w:rPr>
              <w:tab/>
            </w:r>
            <w:r w:rsidRPr="0093355E">
              <w:rPr>
                <w:sz w:val="20"/>
              </w:rPr>
              <w:tab/>
            </w:r>
            <w:r w:rsidRPr="0093355E">
              <w:rPr>
                <w:sz w:val="20"/>
              </w:rPr>
              <w:tab/>
              <w:t>70 g</w:t>
            </w:r>
          </w:p>
          <w:p w14:paraId="5389EBDC" w14:textId="05B747EB" w:rsidR="00F5275C" w:rsidRPr="0093355E" w:rsidRDefault="00F5275C" w:rsidP="00AE0E94">
            <w:pPr>
              <w:widowControl/>
            </w:pPr>
            <w:r w:rsidRPr="0093355E">
              <w:rPr>
                <w:sz w:val="20"/>
              </w:rPr>
              <w:t xml:space="preserve">Reference quantity </w:t>
            </w:r>
            <w:r w:rsidR="007C6AD8" w:rsidRPr="0093355E">
              <w:rPr>
                <w:sz w:val="20"/>
              </w:rPr>
              <w:t>prescribed</w:t>
            </w:r>
            <w:r w:rsidRPr="0093355E">
              <w:rPr>
                <w:sz w:val="20"/>
              </w:rPr>
              <w:t xml:space="preserve"> in Standard 1.3.2: </w:t>
            </w:r>
            <w:r w:rsidRPr="0093355E">
              <w:rPr>
                <w:sz w:val="20"/>
              </w:rPr>
              <w:tab/>
              <w:t>150 g</w:t>
            </w:r>
          </w:p>
        </w:tc>
      </w:tr>
      <w:tr w:rsidR="00F5275C" w:rsidRPr="0093355E" w14:paraId="09C7AB8A" w14:textId="77777777" w:rsidTr="00AE0E94">
        <w:trPr>
          <w:cantSplit/>
        </w:trPr>
        <w:tc>
          <w:tcPr>
            <w:tcW w:w="3085" w:type="dxa"/>
          </w:tcPr>
          <w:p w14:paraId="7CF10171" w14:textId="05A63527" w:rsidR="00F5275C" w:rsidRPr="0093355E" w:rsidRDefault="00F5275C" w:rsidP="00AE0E94">
            <w:pPr>
              <w:pStyle w:val="FSTableHeading"/>
              <w:widowControl/>
              <w:jc w:val="left"/>
            </w:pPr>
          </w:p>
        </w:tc>
        <w:tc>
          <w:tcPr>
            <w:tcW w:w="3119" w:type="dxa"/>
          </w:tcPr>
          <w:p w14:paraId="44D140B7" w14:textId="27C68192" w:rsidR="00F5275C" w:rsidRPr="0093355E" w:rsidRDefault="00F5275C" w:rsidP="00AE0E94">
            <w:pPr>
              <w:pStyle w:val="FSTableHeading"/>
              <w:widowControl/>
            </w:pPr>
            <w:r w:rsidRPr="0093355E">
              <w:t>Vitamin D claim</w:t>
            </w:r>
          </w:p>
        </w:tc>
        <w:tc>
          <w:tcPr>
            <w:tcW w:w="3082" w:type="dxa"/>
          </w:tcPr>
          <w:p w14:paraId="369B959E" w14:textId="7FAEB774" w:rsidR="00F5275C" w:rsidRPr="0093355E" w:rsidRDefault="00F5275C" w:rsidP="00AE0E94">
            <w:pPr>
              <w:pStyle w:val="FSTableHeading"/>
              <w:widowControl/>
            </w:pPr>
            <w:r w:rsidRPr="0093355E">
              <w:t>Calcium claim</w:t>
            </w:r>
          </w:p>
        </w:tc>
      </w:tr>
      <w:tr w:rsidR="00F5275C" w:rsidRPr="0093355E" w14:paraId="52C9015C" w14:textId="77777777" w:rsidTr="00AE0E94">
        <w:trPr>
          <w:cantSplit/>
        </w:trPr>
        <w:tc>
          <w:tcPr>
            <w:tcW w:w="3085" w:type="dxa"/>
          </w:tcPr>
          <w:p w14:paraId="4C0C7824" w14:textId="5451D197" w:rsidR="00F5275C" w:rsidRPr="0093355E" w:rsidRDefault="00F5275C" w:rsidP="00AE0E94">
            <w:pPr>
              <w:pStyle w:val="FSTableText"/>
              <w:widowControl/>
              <w:rPr>
                <w:b/>
              </w:rPr>
            </w:pPr>
            <w:r w:rsidRPr="0093355E">
              <w:rPr>
                <w:b/>
              </w:rPr>
              <w:t xml:space="preserve">Current conditions </w:t>
            </w:r>
          </w:p>
        </w:tc>
        <w:tc>
          <w:tcPr>
            <w:tcW w:w="3119" w:type="dxa"/>
          </w:tcPr>
          <w:p w14:paraId="1569E0F6" w14:textId="77777777" w:rsidR="00F5275C" w:rsidRPr="0093355E" w:rsidRDefault="00F5275C" w:rsidP="00AE0E94">
            <w:pPr>
              <w:pStyle w:val="FSTableText"/>
              <w:widowControl/>
            </w:pPr>
          </w:p>
        </w:tc>
        <w:tc>
          <w:tcPr>
            <w:tcW w:w="3082" w:type="dxa"/>
          </w:tcPr>
          <w:p w14:paraId="72CA37BB" w14:textId="77777777" w:rsidR="00F5275C" w:rsidRPr="0093355E" w:rsidRDefault="00F5275C" w:rsidP="00AE0E94">
            <w:pPr>
              <w:pStyle w:val="FSTableText"/>
              <w:widowControl/>
            </w:pPr>
          </w:p>
        </w:tc>
      </w:tr>
      <w:tr w:rsidR="00F5275C" w:rsidRPr="0093355E" w14:paraId="20447F21" w14:textId="77777777" w:rsidTr="00AE0E94">
        <w:trPr>
          <w:cantSplit/>
        </w:trPr>
        <w:tc>
          <w:tcPr>
            <w:tcW w:w="3085" w:type="dxa"/>
          </w:tcPr>
          <w:p w14:paraId="04460D01" w14:textId="31830687" w:rsidR="00F5275C" w:rsidRPr="0093355E" w:rsidRDefault="00F5275C" w:rsidP="00AE0E94">
            <w:pPr>
              <w:pStyle w:val="FSTableText"/>
              <w:widowControl/>
            </w:pPr>
            <w:r w:rsidRPr="0093355E">
              <w:t xml:space="preserve">Maximum claim permitted (Standard 1.3.2) </w:t>
            </w:r>
          </w:p>
        </w:tc>
        <w:tc>
          <w:tcPr>
            <w:tcW w:w="3119" w:type="dxa"/>
          </w:tcPr>
          <w:p w14:paraId="26D7F187" w14:textId="77777777" w:rsidR="00F5275C" w:rsidRPr="0093355E" w:rsidRDefault="00F5275C" w:rsidP="00AE0E94">
            <w:pPr>
              <w:pStyle w:val="FSTableText"/>
              <w:widowControl/>
            </w:pPr>
            <w:r w:rsidRPr="0093355E">
              <w:t xml:space="preserve">1 µg/reference quantity = </w:t>
            </w:r>
          </w:p>
          <w:p w14:paraId="27C14D67" w14:textId="77777777" w:rsidR="00F5275C" w:rsidRPr="0093355E" w:rsidRDefault="00F5275C" w:rsidP="00AE0E94">
            <w:pPr>
              <w:pStyle w:val="FSTableText"/>
              <w:widowControl/>
            </w:pPr>
            <w:r w:rsidRPr="0093355E">
              <w:t xml:space="preserve">1 µg/150 g </w:t>
            </w:r>
          </w:p>
          <w:p w14:paraId="61672AC1" w14:textId="77777777" w:rsidR="00F5275C" w:rsidRPr="0093355E" w:rsidRDefault="00F5275C" w:rsidP="00AE0E94">
            <w:pPr>
              <w:pStyle w:val="FSTableText"/>
              <w:widowControl/>
            </w:pPr>
            <w:r w:rsidRPr="0093355E">
              <w:t xml:space="preserve">(scales down to </w:t>
            </w:r>
          </w:p>
          <w:p w14:paraId="0E6D8608" w14:textId="3A63EF0F" w:rsidR="00F5275C" w:rsidRPr="0093355E" w:rsidRDefault="00F5275C" w:rsidP="00AE0E94">
            <w:pPr>
              <w:pStyle w:val="FSTableText"/>
              <w:widowControl/>
            </w:pPr>
            <w:r w:rsidRPr="0093355E">
              <w:t>0.</w:t>
            </w:r>
            <w:r w:rsidR="00F12D7A" w:rsidRPr="0093355E">
              <w:t>47</w:t>
            </w:r>
            <w:r w:rsidRPr="0093355E">
              <w:t xml:space="preserve"> µg per 70 g)</w:t>
            </w:r>
          </w:p>
        </w:tc>
        <w:tc>
          <w:tcPr>
            <w:tcW w:w="3082" w:type="dxa"/>
          </w:tcPr>
          <w:p w14:paraId="0F2D3DEE" w14:textId="77777777" w:rsidR="00F5275C" w:rsidRPr="0093355E" w:rsidRDefault="00F5275C" w:rsidP="00AE0E94">
            <w:pPr>
              <w:pStyle w:val="FSTableText"/>
              <w:widowControl/>
            </w:pPr>
            <w:r w:rsidRPr="0093355E">
              <w:t>320mg/reference quantity =</w:t>
            </w:r>
          </w:p>
          <w:p w14:paraId="55AD80A4" w14:textId="77777777" w:rsidR="00F5275C" w:rsidRPr="0093355E" w:rsidRDefault="00F5275C" w:rsidP="00AE0E94">
            <w:pPr>
              <w:pStyle w:val="FSTableText"/>
              <w:widowControl/>
            </w:pPr>
            <w:r w:rsidRPr="0093355E">
              <w:t>320 mg/150g</w:t>
            </w:r>
          </w:p>
          <w:p w14:paraId="7C2D01B8" w14:textId="77777777" w:rsidR="00F5275C" w:rsidRPr="0093355E" w:rsidRDefault="00F5275C" w:rsidP="00AE0E94">
            <w:pPr>
              <w:pStyle w:val="FSTableText"/>
              <w:widowControl/>
            </w:pPr>
            <w:r w:rsidRPr="0093355E">
              <w:t>(scales down to</w:t>
            </w:r>
          </w:p>
          <w:p w14:paraId="27A5D761" w14:textId="5954A956" w:rsidR="00F5275C" w:rsidRPr="0093355E" w:rsidRDefault="003C6265" w:rsidP="00AE0E94">
            <w:pPr>
              <w:pStyle w:val="FSTableText"/>
              <w:widowControl/>
            </w:pPr>
            <w:r>
              <w:t>15</w:t>
            </w:r>
            <w:r w:rsidR="00F5275C" w:rsidRPr="0093355E">
              <w:t>0 mg per 70 g)</w:t>
            </w:r>
          </w:p>
        </w:tc>
      </w:tr>
      <w:tr w:rsidR="00F5275C" w:rsidRPr="0093355E" w14:paraId="32D1701B" w14:textId="77777777" w:rsidTr="00AE0E94">
        <w:trPr>
          <w:cantSplit/>
        </w:trPr>
        <w:tc>
          <w:tcPr>
            <w:tcW w:w="3085" w:type="dxa"/>
          </w:tcPr>
          <w:p w14:paraId="7ECDD520" w14:textId="78C59DEF" w:rsidR="00F5275C" w:rsidRPr="0093355E" w:rsidRDefault="00F5275C" w:rsidP="00AE0E94">
            <w:pPr>
              <w:pStyle w:val="FSTableText"/>
              <w:widowControl/>
            </w:pPr>
            <w:r w:rsidRPr="0093355E">
              <w:t>Minimum amount required to make a claim (Standard 1.2.7)</w:t>
            </w:r>
          </w:p>
        </w:tc>
        <w:tc>
          <w:tcPr>
            <w:tcW w:w="3119" w:type="dxa"/>
          </w:tcPr>
          <w:p w14:paraId="284B9F30" w14:textId="77777777" w:rsidR="00F5275C" w:rsidRPr="0093355E" w:rsidRDefault="00F5275C" w:rsidP="00AE0E94">
            <w:pPr>
              <w:pStyle w:val="FSTableText"/>
              <w:widowControl/>
            </w:pPr>
            <w:r w:rsidRPr="0093355E">
              <w:t xml:space="preserve">1 µg/serving = </w:t>
            </w:r>
          </w:p>
          <w:p w14:paraId="3976190C" w14:textId="7C146EBC" w:rsidR="00F5275C" w:rsidRPr="0093355E" w:rsidRDefault="00F5275C" w:rsidP="00AE0E94">
            <w:pPr>
              <w:pStyle w:val="FSTableText"/>
              <w:widowControl/>
            </w:pPr>
            <w:r w:rsidRPr="0093355E">
              <w:t>1 µg/70 g</w:t>
            </w:r>
          </w:p>
        </w:tc>
        <w:tc>
          <w:tcPr>
            <w:tcW w:w="3082" w:type="dxa"/>
          </w:tcPr>
          <w:p w14:paraId="3B4C68EC" w14:textId="77777777" w:rsidR="00F5275C" w:rsidRPr="0093355E" w:rsidRDefault="00F5275C" w:rsidP="00AE0E94">
            <w:pPr>
              <w:pStyle w:val="FSTableText"/>
              <w:widowControl/>
            </w:pPr>
            <w:r w:rsidRPr="0093355E">
              <w:t xml:space="preserve">80 mg/serving = </w:t>
            </w:r>
          </w:p>
          <w:p w14:paraId="1047F011" w14:textId="7D61FD40" w:rsidR="00F5275C" w:rsidRPr="0093355E" w:rsidRDefault="00F5275C" w:rsidP="00AE0E94">
            <w:pPr>
              <w:pStyle w:val="FSTableText"/>
              <w:widowControl/>
            </w:pPr>
            <w:r w:rsidRPr="0093355E">
              <w:t>80 mg/70 g</w:t>
            </w:r>
          </w:p>
        </w:tc>
      </w:tr>
      <w:tr w:rsidR="00F5275C" w:rsidRPr="0093355E" w14:paraId="13AF671B" w14:textId="77777777" w:rsidTr="00AE0E94">
        <w:trPr>
          <w:cantSplit/>
        </w:trPr>
        <w:tc>
          <w:tcPr>
            <w:tcW w:w="3085" w:type="dxa"/>
          </w:tcPr>
          <w:p w14:paraId="35453A58" w14:textId="648CE071" w:rsidR="00F5275C" w:rsidRPr="0093355E" w:rsidRDefault="00F5275C" w:rsidP="00AE0E94">
            <w:pPr>
              <w:pStyle w:val="FSTableText"/>
              <w:widowControl/>
              <w:rPr>
                <w:b/>
              </w:rPr>
            </w:pPr>
            <w:r w:rsidRPr="0093355E">
              <w:rPr>
                <w:b/>
              </w:rPr>
              <w:t>Proposed solution</w:t>
            </w:r>
          </w:p>
        </w:tc>
        <w:tc>
          <w:tcPr>
            <w:tcW w:w="3119" w:type="dxa"/>
          </w:tcPr>
          <w:p w14:paraId="3BDC0D33" w14:textId="77777777" w:rsidR="00F5275C" w:rsidRPr="0093355E" w:rsidRDefault="00F5275C" w:rsidP="00AE0E94">
            <w:pPr>
              <w:pStyle w:val="FSTableText"/>
              <w:widowControl/>
            </w:pPr>
          </w:p>
        </w:tc>
        <w:tc>
          <w:tcPr>
            <w:tcW w:w="3082" w:type="dxa"/>
          </w:tcPr>
          <w:p w14:paraId="20FC8CB9" w14:textId="77777777" w:rsidR="00F5275C" w:rsidRPr="0093355E" w:rsidRDefault="00F5275C" w:rsidP="00AE0E94">
            <w:pPr>
              <w:pStyle w:val="FSTableText"/>
              <w:widowControl/>
            </w:pPr>
          </w:p>
        </w:tc>
      </w:tr>
      <w:tr w:rsidR="00F5275C" w:rsidRPr="0093355E" w14:paraId="5959C544" w14:textId="77777777" w:rsidTr="00AE0E94">
        <w:trPr>
          <w:cantSplit/>
        </w:trPr>
        <w:tc>
          <w:tcPr>
            <w:tcW w:w="3085" w:type="dxa"/>
          </w:tcPr>
          <w:p w14:paraId="7822DF08" w14:textId="6E2AF246" w:rsidR="00F5275C" w:rsidRPr="0093355E" w:rsidRDefault="00F5275C" w:rsidP="00AE0E94">
            <w:pPr>
              <w:pStyle w:val="FSTableText"/>
              <w:widowControl/>
            </w:pPr>
            <w:r w:rsidRPr="0093355E">
              <w:t xml:space="preserve">Maximum claim permitted (Standard 1.3.2) </w:t>
            </w:r>
          </w:p>
        </w:tc>
        <w:tc>
          <w:tcPr>
            <w:tcW w:w="3119" w:type="dxa"/>
          </w:tcPr>
          <w:p w14:paraId="14F61897" w14:textId="77777777" w:rsidR="00F5275C" w:rsidRPr="0093355E" w:rsidRDefault="00F5275C" w:rsidP="00AE0E94">
            <w:pPr>
              <w:pStyle w:val="FSTableText"/>
              <w:widowControl/>
            </w:pPr>
            <w:r w:rsidRPr="0093355E">
              <w:t xml:space="preserve">Remains the same, i.e. </w:t>
            </w:r>
          </w:p>
          <w:p w14:paraId="6CD31B8B" w14:textId="726D9127" w:rsidR="00F5275C" w:rsidRPr="0093355E" w:rsidRDefault="00F5275C" w:rsidP="00AE0E94">
            <w:pPr>
              <w:pStyle w:val="FSTableText"/>
              <w:widowControl/>
            </w:pPr>
            <w:r w:rsidRPr="0093355E">
              <w:t xml:space="preserve">1 µg/150 g </w:t>
            </w:r>
          </w:p>
        </w:tc>
        <w:tc>
          <w:tcPr>
            <w:tcW w:w="3082" w:type="dxa"/>
          </w:tcPr>
          <w:p w14:paraId="7BF04E48" w14:textId="77777777" w:rsidR="00CB7986" w:rsidRPr="0093355E" w:rsidRDefault="00F5275C" w:rsidP="00AE0E94">
            <w:pPr>
              <w:pStyle w:val="FSTableText"/>
              <w:widowControl/>
            </w:pPr>
            <w:r w:rsidRPr="0093355E">
              <w:t xml:space="preserve">Remains the same, i.e. </w:t>
            </w:r>
          </w:p>
          <w:p w14:paraId="6CFDA2C1" w14:textId="3AA0B1AE" w:rsidR="00F5275C" w:rsidRPr="0093355E" w:rsidRDefault="00CB7986" w:rsidP="00AE0E94">
            <w:pPr>
              <w:pStyle w:val="FSTableText"/>
              <w:widowControl/>
            </w:pPr>
            <w:r w:rsidRPr="0093355E">
              <w:t>320 mg/150g</w:t>
            </w:r>
          </w:p>
        </w:tc>
      </w:tr>
      <w:tr w:rsidR="00F5275C" w:rsidRPr="0093355E" w14:paraId="0A49D93E" w14:textId="77777777" w:rsidTr="00AE0E94">
        <w:trPr>
          <w:cantSplit/>
        </w:trPr>
        <w:tc>
          <w:tcPr>
            <w:tcW w:w="3085" w:type="dxa"/>
          </w:tcPr>
          <w:p w14:paraId="703338AB" w14:textId="53E7E34B" w:rsidR="00F5275C" w:rsidRPr="0093355E" w:rsidRDefault="00F5275C" w:rsidP="00AE0E94">
            <w:pPr>
              <w:pStyle w:val="FSTableText"/>
              <w:widowControl/>
            </w:pPr>
            <w:r w:rsidRPr="0093355E">
              <w:t>Minimum amount required to make a claim (Standard 1.2.7)</w:t>
            </w:r>
          </w:p>
        </w:tc>
        <w:tc>
          <w:tcPr>
            <w:tcW w:w="3119" w:type="dxa"/>
          </w:tcPr>
          <w:p w14:paraId="00597257" w14:textId="4897AEC7" w:rsidR="00F5275C" w:rsidRPr="0093355E" w:rsidRDefault="00F5275C" w:rsidP="00AE0E94">
            <w:pPr>
              <w:pStyle w:val="FSTableText"/>
              <w:widowControl/>
            </w:pPr>
            <w:r w:rsidRPr="0093355E">
              <w:t xml:space="preserve">As it is impossible to meet both a minimum of 1 µg and maximum of 0.47 µg per serving, the amount required to make a claim </w:t>
            </w:r>
            <w:r w:rsidR="00853910" w:rsidRPr="0093355E">
              <w:t>is based on</w:t>
            </w:r>
            <w:r w:rsidRPr="0093355E">
              <w:t xml:space="preserve"> a per reference quantity: </w:t>
            </w:r>
          </w:p>
          <w:p w14:paraId="20B43B23" w14:textId="77777777" w:rsidR="00F5275C" w:rsidRPr="0093355E" w:rsidRDefault="00F5275C" w:rsidP="00AE0E94">
            <w:pPr>
              <w:pStyle w:val="FSTableText"/>
              <w:widowControl/>
            </w:pPr>
          </w:p>
          <w:p w14:paraId="7811F6E6" w14:textId="7964FDAA" w:rsidR="00F5275C" w:rsidRPr="0093355E" w:rsidRDefault="00F5275C" w:rsidP="00AE0E94">
            <w:pPr>
              <w:pStyle w:val="FSTableText"/>
              <w:widowControl/>
            </w:pPr>
            <w:r w:rsidRPr="0093355E">
              <w:t>1 µg/150g reference quantity</w:t>
            </w:r>
          </w:p>
        </w:tc>
        <w:tc>
          <w:tcPr>
            <w:tcW w:w="3082" w:type="dxa"/>
          </w:tcPr>
          <w:p w14:paraId="538E125B" w14:textId="0344B3D2" w:rsidR="00F5275C" w:rsidRPr="0093355E" w:rsidRDefault="00B87D2D" w:rsidP="00AE0E94">
            <w:pPr>
              <w:pStyle w:val="FSTableText"/>
              <w:widowControl/>
            </w:pPr>
            <w:r w:rsidRPr="0093355E">
              <w:t>Remains the same (i.e. on a per serving basis), as i</w:t>
            </w:r>
            <w:r w:rsidR="00F5275C" w:rsidRPr="0093355E">
              <w:t xml:space="preserve">t is possible to meet both a minimum of 80 mg and maximum of </w:t>
            </w:r>
            <w:r w:rsidRPr="0093355E">
              <w:t>1</w:t>
            </w:r>
            <w:r w:rsidR="003C6265">
              <w:t>5</w:t>
            </w:r>
            <w:r w:rsidRPr="0093355E">
              <w:t>0 mg per serving</w:t>
            </w:r>
            <w:r w:rsidR="00F5275C" w:rsidRPr="0093355E">
              <w:t xml:space="preserve">: </w:t>
            </w:r>
          </w:p>
          <w:p w14:paraId="0C62FE96" w14:textId="77777777" w:rsidR="00F5275C" w:rsidRPr="0093355E" w:rsidRDefault="00F5275C" w:rsidP="00AE0E94">
            <w:pPr>
              <w:pStyle w:val="FSTableText"/>
              <w:widowControl/>
            </w:pPr>
          </w:p>
          <w:p w14:paraId="0CA7B184" w14:textId="77777777" w:rsidR="00162263" w:rsidRPr="0093355E" w:rsidRDefault="00162263" w:rsidP="00AE0E94">
            <w:pPr>
              <w:pStyle w:val="FSTableText"/>
              <w:widowControl/>
            </w:pPr>
          </w:p>
          <w:p w14:paraId="15F8F132" w14:textId="0B9C77AC" w:rsidR="00F5275C" w:rsidRPr="0093355E" w:rsidRDefault="00F5275C" w:rsidP="00AE0E94">
            <w:pPr>
              <w:pStyle w:val="FSTableText"/>
              <w:widowControl/>
            </w:pPr>
            <w:r w:rsidRPr="0093355E">
              <w:t>80 mg/</w:t>
            </w:r>
            <w:r w:rsidR="00162263" w:rsidRPr="0093355E">
              <w:t xml:space="preserve">70 g </w:t>
            </w:r>
            <w:r w:rsidRPr="0093355E">
              <w:t>serving</w:t>
            </w:r>
          </w:p>
        </w:tc>
      </w:tr>
    </w:tbl>
    <w:p w14:paraId="2DFED395" w14:textId="77777777" w:rsidR="00EC1B46" w:rsidRPr="0093355E" w:rsidRDefault="00EC1B46" w:rsidP="008C72F2"/>
    <w:p w14:paraId="37C0B80B" w14:textId="2A88D840" w:rsidR="00477D71" w:rsidRPr="0093355E" w:rsidRDefault="00F12D7A" w:rsidP="008C72F2">
      <w:r w:rsidRPr="0093355E">
        <w:t>F</w:t>
      </w:r>
      <w:r w:rsidR="002A66AB" w:rsidRPr="0093355E">
        <w:t>or most claims,</w:t>
      </w:r>
      <w:r w:rsidRPr="0093355E">
        <w:t xml:space="preserve"> </w:t>
      </w:r>
      <w:r w:rsidR="00477D71" w:rsidRPr="0093355E">
        <w:t xml:space="preserve">the </w:t>
      </w:r>
      <w:r w:rsidR="00AE0E94" w:rsidRPr="0093355E">
        <w:t xml:space="preserve">current </w:t>
      </w:r>
      <w:r w:rsidR="00477D71" w:rsidRPr="0093355E">
        <w:t xml:space="preserve">approach </w:t>
      </w:r>
      <w:r w:rsidR="002A66AB" w:rsidRPr="0093355E">
        <w:t>in Standard 1.2.7 (where claims are based on a serving)</w:t>
      </w:r>
      <w:r w:rsidRPr="0093355E">
        <w:t xml:space="preserve"> will remain unchanged</w:t>
      </w:r>
      <w:r w:rsidR="002A66AB" w:rsidRPr="0093355E">
        <w:t xml:space="preserve">. </w:t>
      </w:r>
      <w:r w:rsidRPr="0093355E">
        <w:t>However i</w:t>
      </w:r>
      <w:r w:rsidR="004101FA" w:rsidRPr="0093355E">
        <w:t xml:space="preserve">n the </w:t>
      </w:r>
      <w:r w:rsidR="00A43EEC" w:rsidRPr="0093355E">
        <w:t xml:space="preserve">limited </w:t>
      </w:r>
      <w:r w:rsidR="001F1801" w:rsidRPr="0093355E">
        <w:t>case</w:t>
      </w:r>
      <w:r w:rsidR="00A43EEC" w:rsidRPr="0093355E">
        <w:t>s (see section 2.3.2)</w:t>
      </w:r>
      <w:r w:rsidR="001F1801" w:rsidRPr="0093355E">
        <w:t xml:space="preserve"> </w:t>
      </w:r>
      <w:r w:rsidR="00AE0E94" w:rsidRPr="0093355E">
        <w:t>where</w:t>
      </w:r>
      <w:r w:rsidR="004101FA" w:rsidRPr="0093355E">
        <w:t xml:space="preserve"> the maximum claimable amount is less than the minimum amount required to make a claim, claims</w:t>
      </w:r>
      <w:r w:rsidR="002A66AB" w:rsidRPr="0093355E">
        <w:t xml:space="preserve"> will continue to be permitted as they were before Standard 1.2.7 was </w:t>
      </w:r>
      <w:r w:rsidR="00F04DBF" w:rsidRPr="0093355E">
        <w:t>gazetted</w:t>
      </w:r>
      <w:r w:rsidR="004101FA" w:rsidRPr="0093355E">
        <w:t xml:space="preserve">. This approach avoids the need to amend provisions relating to maximum </w:t>
      </w:r>
      <w:r w:rsidR="00D10816" w:rsidRPr="0093355E">
        <w:t>claimable amounts</w:t>
      </w:r>
      <w:r w:rsidR="004101FA" w:rsidRPr="0093355E">
        <w:t xml:space="preserve">, which </w:t>
      </w:r>
      <w:r w:rsidR="00BC3D27" w:rsidRPr="0093355E">
        <w:t>were established</w:t>
      </w:r>
      <w:r w:rsidR="00F04DBF" w:rsidRPr="0093355E">
        <w:t xml:space="preserve"> according to principles now encapsulated in the Ministerial Policy Guideline: </w:t>
      </w:r>
      <w:r w:rsidR="00F04DBF" w:rsidRPr="0093355E">
        <w:rPr>
          <w:i/>
        </w:rPr>
        <w:t>Fortification of food with vitamins and minerals</w:t>
      </w:r>
      <w:r w:rsidR="00A43EEC" w:rsidRPr="0093355E">
        <w:rPr>
          <w:rStyle w:val="FootnoteReference"/>
          <w:i/>
        </w:rPr>
        <w:footnoteReference w:id="6"/>
      </w:r>
      <w:r w:rsidR="00F04DBF" w:rsidRPr="0093355E">
        <w:rPr>
          <w:i/>
        </w:rPr>
        <w:t>.</w:t>
      </w:r>
      <w:r w:rsidR="00F04DBF" w:rsidRPr="0093355E">
        <w:t xml:space="preserve"> </w:t>
      </w:r>
    </w:p>
    <w:p w14:paraId="0788EDDB" w14:textId="77777777" w:rsidR="00F12D7A" w:rsidRPr="0093355E" w:rsidRDefault="00F12D7A" w:rsidP="008C72F2"/>
    <w:p w14:paraId="2B199F76" w14:textId="4D394D38" w:rsidR="00F12D7A" w:rsidRPr="0093355E" w:rsidRDefault="00F12D7A" w:rsidP="008C72F2">
      <w:r w:rsidRPr="0093355E">
        <w:t>FSANZ is not proposing to amend the conditions for</w:t>
      </w:r>
      <w:r w:rsidR="00162263" w:rsidRPr="0093355E">
        <w:t xml:space="preserve"> nutrition content</w:t>
      </w:r>
      <w:r w:rsidRPr="0093355E">
        <w:t xml:space="preserve"> claims using a specific descriptor such as </w:t>
      </w:r>
      <w:r w:rsidRPr="0093355E">
        <w:rPr>
          <w:i/>
        </w:rPr>
        <w:t>good source</w:t>
      </w:r>
      <w:r w:rsidRPr="0093355E">
        <w:t xml:space="preserve"> or </w:t>
      </w:r>
      <w:r w:rsidRPr="0093355E">
        <w:rPr>
          <w:i/>
        </w:rPr>
        <w:t>high</w:t>
      </w:r>
      <w:r w:rsidR="00773B86" w:rsidRPr="0093355E">
        <w:rPr>
          <w:rStyle w:val="FootnoteReference"/>
          <w:i/>
        </w:rPr>
        <w:footnoteReference w:id="7"/>
      </w:r>
      <w:r w:rsidR="00D10816" w:rsidRPr="0093355E">
        <w:rPr>
          <w:i/>
        </w:rPr>
        <w:t xml:space="preserve"> </w:t>
      </w:r>
      <w:r w:rsidR="00D10816" w:rsidRPr="0093355E">
        <w:t>as part of this Proposal</w:t>
      </w:r>
      <w:r w:rsidR="00AE0E94" w:rsidRPr="0093355E">
        <w:t xml:space="preserve"> as the </w:t>
      </w:r>
      <w:r w:rsidR="00D80D3B" w:rsidRPr="0093355E">
        <w:t>discrepancy that has occurred with other claims</w:t>
      </w:r>
      <w:r w:rsidR="00AE0E94" w:rsidRPr="0093355E">
        <w:t xml:space="preserve"> is not expected to </w:t>
      </w:r>
      <w:r w:rsidR="00D80D3B" w:rsidRPr="0093355E">
        <w:t>occur in relation to these kinds of claims</w:t>
      </w:r>
      <w:r w:rsidRPr="0093355E">
        <w:t>.</w:t>
      </w:r>
    </w:p>
    <w:p w14:paraId="7D451CD1" w14:textId="0A81E771" w:rsidR="00E520FE" w:rsidRPr="0093355E" w:rsidRDefault="00022DBC" w:rsidP="00022DBC">
      <w:pPr>
        <w:pStyle w:val="Heading2"/>
      </w:pPr>
      <w:bookmarkStart w:id="35" w:name="_Toc423079105"/>
      <w:r w:rsidRPr="0093355E">
        <w:t>2.</w:t>
      </w:r>
      <w:r w:rsidR="001F1801" w:rsidRPr="0093355E">
        <w:t>4</w:t>
      </w:r>
      <w:r w:rsidRPr="0093355E">
        <w:tab/>
        <w:t>FSANZ Act assessment requirements</w:t>
      </w:r>
      <w:bookmarkEnd w:id="35"/>
    </w:p>
    <w:p w14:paraId="7D451CD2" w14:textId="26F99D86" w:rsidR="00726C2F" w:rsidRPr="0093355E" w:rsidRDefault="00726C2F" w:rsidP="00726C2F">
      <w:r w:rsidRPr="0093355E">
        <w:t xml:space="preserve">When assessing this </w:t>
      </w:r>
      <w:r w:rsidR="001A381B" w:rsidRPr="0093355E">
        <w:t xml:space="preserve">part of the </w:t>
      </w:r>
      <w:r w:rsidRPr="0093355E">
        <w:t xml:space="preserve">Proposal and the subsequent development of a food regulatory measure, FSANZ has had regard to the </w:t>
      </w:r>
      <w:r w:rsidRPr="0093355E" w:rsidDel="00932F14">
        <w:t xml:space="preserve">following </w:t>
      </w:r>
      <w:r w:rsidRPr="0093355E">
        <w:t>matters in section 59 of the FSANZ Act:</w:t>
      </w:r>
    </w:p>
    <w:p w14:paraId="7D451CD3" w14:textId="0E02C020" w:rsidR="00726C2F" w:rsidRPr="0093355E" w:rsidRDefault="001F1801" w:rsidP="00726C2F">
      <w:pPr>
        <w:pStyle w:val="Heading3"/>
        <w:rPr>
          <w:color w:val="auto"/>
        </w:rPr>
      </w:pPr>
      <w:bookmarkStart w:id="36" w:name="_Toc423079106"/>
      <w:r w:rsidRPr="0093355E">
        <w:t>2.4.</w:t>
      </w:r>
      <w:r w:rsidR="00726C2F" w:rsidRPr="0093355E">
        <w:t>1</w:t>
      </w:r>
      <w:r w:rsidR="00726C2F" w:rsidRPr="0093355E">
        <w:tab/>
        <w:t xml:space="preserve">Section </w:t>
      </w:r>
      <w:r w:rsidR="00726C2F" w:rsidRPr="0093355E">
        <w:rPr>
          <w:color w:val="auto"/>
        </w:rPr>
        <w:t>59</w:t>
      </w:r>
      <w:bookmarkEnd w:id="36"/>
    </w:p>
    <w:p w14:paraId="7D451CD4" w14:textId="0D9BF8D3" w:rsidR="00726C2F" w:rsidRPr="0093355E" w:rsidRDefault="001F1801" w:rsidP="00726C2F">
      <w:pPr>
        <w:pStyle w:val="Heading4"/>
      </w:pPr>
      <w:r w:rsidRPr="0093355E">
        <w:t>2.4</w:t>
      </w:r>
      <w:r w:rsidR="00726C2F" w:rsidRPr="0093355E">
        <w:t>.1.1</w:t>
      </w:r>
      <w:r w:rsidR="00726C2F" w:rsidRPr="0093355E">
        <w:tab/>
        <w:t>Cost benefit analysis</w:t>
      </w:r>
    </w:p>
    <w:p w14:paraId="020BD877" w14:textId="1B24DF6A" w:rsidR="00D53BFB" w:rsidRPr="0093355E" w:rsidRDefault="00D53BFB" w:rsidP="00D53BFB">
      <w:r w:rsidRPr="0093355E">
        <w:t>The Office of Best Practice Regulation (OBPR) has advised FSANZ that the proposed changes are of a minor nature and no further analysis (in the form of a Regulation Impact Statement) is required (OBPR ID 19217).</w:t>
      </w:r>
    </w:p>
    <w:p w14:paraId="511CD8DF" w14:textId="77777777" w:rsidR="001A381B" w:rsidRPr="0093355E" w:rsidRDefault="001A381B" w:rsidP="00D53BFB"/>
    <w:p w14:paraId="2169683D" w14:textId="77777777" w:rsidR="00A900BE" w:rsidRDefault="00A900BE">
      <w:pPr>
        <w:widowControl/>
      </w:pPr>
      <w:r>
        <w:br w:type="page"/>
      </w:r>
    </w:p>
    <w:p w14:paraId="1B7BF4B8" w14:textId="6CDACFF9" w:rsidR="00D53BFB" w:rsidRPr="0093355E" w:rsidRDefault="00D53BFB" w:rsidP="00D53BFB">
      <w:r w:rsidRPr="0093355E">
        <w:lastRenderedPageBreak/>
        <w:t>Affected parties include the following:</w:t>
      </w:r>
    </w:p>
    <w:p w14:paraId="7D68061E" w14:textId="77777777" w:rsidR="00D53BFB" w:rsidRPr="0093355E" w:rsidRDefault="00D53BFB" w:rsidP="00D53BFB"/>
    <w:p w14:paraId="37ED07C3" w14:textId="70306ABB" w:rsidR="00376F3F" w:rsidRDefault="00D53BFB" w:rsidP="00D53BFB">
      <w:r w:rsidRPr="0093355E">
        <w:rPr>
          <w:b/>
        </w:rPr>
        <w:t>Industry:</w:t>
      </w:r>
      <w:r w:rsidRPr="0093355E">
        <w:t xml:space="preserve"> </w:t>
      </w:r>
      <w:r w:rsidR="00DC15E5" w:rsidRPr="0093355E">
        <w:t xml:space="preserve">The </w:t>
      </w:r>
      <w:r w:rsidR="00DA24C1" w:rsidRPr="0093355E">
        <w:t>draft variation will maintain</w:t>
      </w:r>
      <w:r w:rsidR="00B07ECF" w:rsidRPr="0093355E">
        <w:t xml:space="preserve"> the conditions for making vitamin and mineral claims that were in place before Standard 1.2.7 was gazetted</w:t>
      </w:r>
      <w:r w:rsidR="00DC15E5" w:rsidRPr="0093355E">
        <w:t xml:space="preserve">, for a limited number of </w:t>
      </w:r>
      <w:r w:rsidR="00BB6E45" w:rsidRPr="0093355E">
        <w:t xml:space="preserve">vitamin and mineral </w:t>
      </w:r>
      <w:r w:rsidR="00DC15E5" w:rsidRPr="0093355E">
        <w:t xml:space="preserve">claims. It will benefit suppliers of certain fortified foods, as they will continue to be able to make claims about vitamins and minerals </w:t>
      </w:r>
      <w:r w:rsidR="003802B8">
        <w:t xml:space="preserve">that would have otherwise been affected by the discrepancy between the conditions in Standards 1.2.7 and 1.3.2. </w:t>
      </w:r>
      <w:r w:rsidR="00376F3F" w:rsidRPr="00376F3F">
        <w:t xml:space="preserve"> </w:t>
      </w:r>
    </w:p>
    <w:p w14:paraId="1B4F8E52" w14:textId="77777777" w:rsidR="00376F3F" w:rsidRPr="0093355E" w:rsidRDefault="00376F3F" w:rsidP="00D53BFB"/>
    <w:p w14:paraId="4FA627E9" w14:textId="73F77990" w:rsidR="00D53BFB" w:rsidRPr="0093355E" w:rsidRDefault="00D53BFB" w:rsidP="00D53BFB">
      <w:r w:rsidRPr="0093355E">
        <w:rPr>
          <w:b/>
        </w:rPr>
        <w:t>Consumers:</w:t>
      </w:r>
      <w:r w:rsidRPr="0093355E">
        <w:t xml:space="preserve"> </w:t>
      </w:r>
      <w:r w:rsidR="00D32162" w:rsidRPr="0093355E">
        <w:t>The draft variation will enable consumers to continue to make informed choices about the vitamin and mineral content of fortified foods in the limited circumstances where</w:t>
      </w:r>
      <w:r w:rsidR="007B7FF5" w:rsidRPr="0093355E">
        <w:t>by claims would</w:t>
      </w:r>
      <w:r w:rsidR="00D32162" w:rsidRPr="0093355E">
        <w:t xml:space="preserve"> have been prohibited by the </w:t>
      </w:r>
      <w:r w:rsidR="00D80D3B" w:rsidRPr="0093355E">
        <w:t xml:space="preserve">discrepancy </w:t>
      </w:r>
      <w:r w:rsidR="001E229C" w:rsidRPr="0093355E">
        <w:t xml:space="preserve">in the </w:t>
      </w:r>
      <w:r w:rsidR="00D32162" w:rsidRPr="0093355E">
        <w:t xml:space="preserve">conditions in Standards 1.2.7 and 1.3.2. </w:t>
      </w:r>
    </w:p>
    <w:p w14:paraId="34560896" w14:textId="77777777" w:rsidR="00D53BFB" w:rsidRPr="0093355E" w:rsidRDefault="00D53BFB" w:rsidP="00D53BFB"/>
    <w:p w14:paraId="6E2927ED" w14:textId="07BD0A15" w:rsidR="007B7FF5" w:rsidRPr="0093355E" w:rsidRDefault="003E0B5F" w:rsidP="00726C2F">
      <w:r w:rsidRPr="0093355E">
        <w:rPr>
          <w:b/>
        </w:rPr>
        <w:t>Government:</w:t>
      </w:r>
      <w:r w:rsidRPr="0093355E">
        <w:t xml:space="preserve"> The draft variation mean</w:t>
      </w:r>
      <w:r w:rsidR="00D32162" w:rsidRPr="0093355E">
        <w:t>s</w:t>
      </w:r>
      <w:r w:rsidRPr="0093355E">
        <w:t xml:space="preserve"> that</w:t>
      </w:r>
      <w:r w:rsidR="007A66B7" w:rsidRPr="0093355E">
        <w:t>,</w:t>
      </w:r>
      <w:r w:rsidRPr="0093355E">
        <w:t xml:space="preserve"> in limited circumstances, nutrition content claims about vitamins and minerals will continue to be permitted as they were before Standard 1.2.7 was developed. Enforcement agencies will need to be aware of the alternative claim conditions when undertaking enforcement activities.  </w:t>
      </w:r>
    </w:p>
    <w:p w14:paraId="7D451CD8" w14:textId="6CF6595F" w:rsidR="00726C2F" w:rsidRPr="0093355E" w:rsidRDefault="00726C2F" w:rsidP="00726C2F">
      <w:pPr>
        <w:pStyle w:val="Heading4"/>
      </w:pPr>
      <w:r w:rsidRPr="0093355E">
        <w:t>2.</w:t>
      </w:r>
      <w:r w:rsidR="001F1801" w:rsidRPr="0093355E">
        <w:t>4</w:t>
      </w:r>
      <w:r w:rsidRPr="0093355E">
        <w:t>.1.2</w:t>
      </w:r>
      <w:r w:rsidRPr="0093355E">
        <w:tab/>
        <w:t>Other measures</w:t>
      </w:r>
    </w:p>
    <w:p w14:paraId="7D451CD9" w14:textId="698A1A93" w:rsidR="00726C2F" w:rsidRPr="0093355E" w:rsidRDefault="00726C2F" w:rsidP="00726C2F">
      <w:r w:rsidRPr="0093355E">
        <w:t>There are no other measures (whether available to FSANZ or not) that would be more cost-effective than a food regulatory measure developed or varied as a result of the Proposal.</w:t>
      </w:r>
    </w:p>
    <w:p w14:paraId="7D451CDA" w14:textId="51D6D982" w:rsidR="00726C2F" w:rsidRPr="0093355E" w:rsidRDefault="008B0075" w:rsidP="008B0075">
      <w:pPr>
        <w:pStyle w:val="Heading4"/>
      </w:pPr>
      <w:r w:rsidRPr="0093355E">
        <w:t>2.</w:t>
      </w:r>
      <w:r w:rsidR="001F1801" w:rsidRPr="0093355E">
        <w:t>4</w:t>
      </w:r>
      <w:r w:rsidRPr="0093355E">
        <w:t>.1.3</w:t>
      </w:r>
      <w:r w:rsidRPr="0093355E">
        <w:tab/>
        <w:t>A</w:t>
      </w:r>
      <w:r w:rsidR="00726C2F" w:rsidRPr="0093355E">
        <w:t>ny relevant New Zealand standards</w:t>
      </w:r>
    </w:p>
    <w:p w14:paraId="7D451CDB" w14:textId="3F756B95" w:rsidR="008B0075" w:rsidRPr="0093355E" w:rsidRDefault="000D4476" w:rsidP="007A66B7">
      <w:pPr>
        <w:widowControl/>
        <w:rPr>
          <w:lang w:bidi="ar-SA"/>
        </w:rPr>
      </w:pPr>
      <w:r w:rsidRPr="0093355E">
        <w:t xml:space="preserve">The draft variations amend joint Australia New Zealand standards. </w:t>
      </w:r>
    </w:p>
    <w:p w14:paraId="7D451CDC" w14:textId="08D045AC" w:rsidR="00726C2F" w:rsidRPr="0093355E" w:rsidRDefault="00BE3818" w:rsidP="00BE3818">
      <w:pPr>
        <w:pStyle w:val="Heading4"/>
      </w:pPr>
      <w:r w:rsidRPr="0093355E">
        <w:t>2.</w:t>
      </w:r>
      <w:r w:rsidR="001F1801" w:rsidRPr="0093355E">
        <w:t>4</w:t>
      </w:r>
      <w:r w:rsidRPr="0093355E">
        <w:t>.1.4</w:t>
      </w:r>
      <w:r w:rsidRPr="0093355E">
        <w:tab/>
      </w:r>
      <w:r w:rsidR="0027513D" w:rsidRPr="0093355E">
        <w:t>A</w:t>
      </w:r>
      <w:r w:rsidRPr="0093355E">
        <w:t>ny other relevant matters</w:t>
      </w:r>
    </w:p>
    <w:p w14:paraId="7D451CDD" w14:textId="4C929D47" w:rsidR="00BE3818" w:rsidRPr="0093355E" w:rsidRDefault="008B0354" w:rsidP="00BE3818">
      <w:pPr>
        <w:rPr>
          <w:lang w:bidi="ar-SA"/>
        </w:rPr>
      </w:pPr>
      <w:r>
        <w:rPr>
          <w:lang w:bidi="ar-SA"/>
        </w:rPr>
        <w:t xml:space="preserve">See </w:t>
      </w:r>
      <w:r w:rsidR="00C91F2A">
        <w:rPr>
          <w:lang w:bidi="ar-SA"/>
        </w:rPr>
        <w:t xml:space="preserve">sections 2.4.2 and 2.4.3 </w:t>
      </w:r>
      <w:r>
        <w:rPr>
          <w:lang w:bidi="ar-SA"/>
        </w:rPr>
        <w:t>below</w:t>
      </w:r>
      <w:r w:rsidR="00BE3818" w:rsidRPr="0093355E">
        <w:rPr>
          <w:lang w:bidi="ar-SA"/>
        </w:rPr>
        <w:t>.</w:t>
      </w:r>
    </w:p>
    <w:p w14:paraId="7D451CDE" w14:textId="63B146C2" w:rsidR="00022DBC" w:rsidRPr="0093355E" w:rsidRDefault="00BE3818" w:rsidP="00022DBC">
      <w:pPr>
        <w:pStyle w:val="Heading3"/>
      </w:pPr>
      <w:bookmarkStart w:id="37" w:name="_Toc423079107"/>
      <w:bookmarkStart w:id="38" w:name="_Toc300761897"/>
      <w:bookmarkStart w:id="39" w:name="_Toc300933440"/>
      <w:r w:rsidRPr="0093355E">
        <w:t>2.</w:t>
      </w:r>
      <w:r w:rsidR="00814B27" w:rsidRPr="0093355E">
        <w:t>4</w:t>
      </w:r>
      <w:r w:rsidRPr="0093355E">
        <w:t>.2</w:t>
      </w:r>
      <w:r w:rsidR="00022DBC" w:rsidRPr="0093355E">
        <w:tab/>
      </w:r>
      <w:r w:rsidRPr="0093355E">
        <w:t>Subsection 18(1)</w:t>
      </w:r>
      <w:bookmarkEnd w:id="37"/>
      <w:r w:rsidRPr="0093355E">
        <w:t xml:space="preserve"> </w:t>
      </w:r>
      <w:bookmarkEnd w:id="38"/>
      <w:bookmarkEnd w:id="39"/>
    </w:p>
    <w:p w14:paraId="7D451CDF" w14:textId="77777777" w:rsidR="00022DBC" w:rsidRPr="0093355E" w:rsidRDefault="00022DBC" w:rsidP="00022DBC">
      <w:r w:rsidRPr="0093355E">
        <w:rPr>
          <w:rFonts w:cs="Arial"/>
        </w:rPr>
        <w:t xml:space="preserve">FSANZ has also </w:t>
      </w:r>
      <w:r w:rsidRPr="0093355E">
        <w:t>considered the three objectives in subsection 18(1) of the FSANZ Act during the assessment.</w:t>
      </w:r>
    </w:p>
    <w:p w14:paraId="7D451CE0" w14:textId="544CB377" w:rsidR="00022DBC" w:rsidRPr="0093355E" w:rsidRDefault="00BE3818" w:rsidP="00022DBC">
      <w:pPr>
        <w:pStyle w:val="Heading4"/>
        <w:rPr>
          <w:lang w:eastAsia="en-AU"/>
        </w:rPr>
      </w:pPr>
      <w:bookmarkStart w:id="40" w:name="_Toc297029117"/>
      <w:bookmarkStart w:id="41" w:name="_Toc300761898"/>
      <w:bookmarkStart w:id="42" w:name="_Toc300933441"/>
      <w:r w:rsidRPr="0093355E">
        <w:rPr>
          <w:lang w:eastAsia="en-AU"/>
        </w:rPr>
        <w:t>2.</w:t>
      </w:r>
      <w:r w:rsidR="00814B27" w:rsidRPr="0093355E">
        <w:rPr>
          <w:lang w:eastAsia="en-AU"/>
        </w:rPr>
        <w:t>4</w:t>
      </w:r>
      <w:r w:rsidRPr="0093355E">
        <w:rPr>
          <w:lang w:eastAsia="en-AU"/>
        </w:rPr>
        <w:t>.2</w:t>
      </w:r>
      <w:r w:rsidR="00022DBC" w:rsidRPr="0093355E">
        <w:rPr>
          <w:lang w:eastAsia="en-AU"/>
        </w:rPr>
        <w:t>.1</w:t>
      </w:r>
      <w:r w:rsidR="00022DBC" w:rsidRPr="0093355E">
        <w:rPr>
          <w:lang w:eastAsia="en-AU"/>
        </w:rPr>
        <w:tab/>
        <w:t>Protection of public health and safety</w:t>
      </w:r>
      <w:bookmarkEnd w:id="40"/>
      <w:bookmarkEnd w:id="41"/>
      <w:bookmarkEnd w:id="42"/>
    </w:p>
    <w:p w14:paraId="454E9A43" w14:textId="72C43C61" w:rsidR="00CD4B33" w:rsidRPr="0093355E" w:rsidRDefault="00134D02" w:rsidP="001A381B">
      <w:r w:rsidRPr="0093355E">
        <w:t xml:space="preserve">The </w:t>
      </w:r>
      <w:r w:rsidR="00653529" w:rsidRPr="0093355E">
        <w:t>draft variation</w:t>
      </w:r>
      <w:r w:rsidRPr="0093355E">
        <w:t xml:space="preserve"> makes a change to the permission to make vitamin and mineral claims in </w:t>
      </w:r>
      <w:r w:rsidR="00435B5A" w:rsidRPr="0093355E">
        <w:t xml:space="preserve">limited </w:t>
      </w:r>
      <w:r w:rsidRPr="0093355E">
        <w:t>circumstances</w:t>
      </w:r>
      <w:r w:rsidR="004C2B5D" w:rsidRPr="0093355E">
        <w:t>,</w:t>
      </w:r>
      <w:r w:rsidR="00653529" w:rsidRPr="0093355E">
        <w:t xml:space="preserve"> rather than </w:t>
      </w:r>
      <w:r w:rsidR="00435B5A" w:rsidRPr="0093355E">
        <w:t>to</w:t>
      </w:r>
      <w:r w:rsidR="004C2B5D" w:rsidRPr="0093355E">
        <w:t xml:space="preserve"> the actual </w:t>
      </w:r>
      <w:r w:rsidR="00E0771B" w:rsidRPr="0093355E">
        <w:t>permissions to fortify with vitamins and minerals</w:t>
      </w:r>
      <w:r w:rsidRPr="0093355E">
        <w:t xml:space="preserve"> and</w:t>
      </w:r>
      <w:r w:rsidR="00653529" w:rsidRPr="0093355E">
        <w:t xml:space="preserve"> therefore</w:t>
      </w:r>
      <w:r w:rsidRPr="0093355E">
        <w:t xml:space="preserve"> is not expected to impact on the protection of public health and safety. </w:t>
      </w:r>
    </w:p>
    <w:p w14:paraId="7D451CE2" w14:textId="639F5EE7" w:rsidR="00022DBC" w:rsidRPr="0093355E" w:rsidRDefault="00BE3818" w:rsidP="00022DBC">
      <w:pPr>
        <w:pStyle w:val="Heading4"/>
        <w:rPr>
          <w:lang w:eastAsia="en-AU"/>
        </w:rPr>
      </w:pPr>
      <w:bookmarkStart w:id="43" w:name="_Toc300761899"/>
      <w:bookmarkStart w:id="44" w:name="_Toc300933442"/>
      <w:r w:rsidRPr="0093355E">
        <w:rPr>
          <w:lang w:eastAsia="en-AU"/>
        </w:rPr>
        <w:t>2.</w:t>
      </w:r>
      <w:r w:rsidR="00814B27" w:rsidRPr="0093355E">
        <w:rPr>
          <w:lang w:eastAsia="en-AU"/>
        </w:rPr>
        <w:t>4</w:t>
      </w:r>
      <w:r w:rsidRPr="0093355E">
        <w:rPr>
          <w:lang w:eastAsia="en-AU"/>
        </w:rPr>
        <w:t>.2</w:t>
      </w:r>
      <w:r w:rsidR="00022DBC" w:rsidRPr="0093355E">
        <w:rPr>
          <w:lang w:eastAsia="en-AU"/>
        </w:rPr>
        <w:t>.2</w:t>
      </w:r>
      <w:r w:rsidR="00022DBC" w:rsidRPr="0093355E">
        <w:rPr>
          <w:lang w:eastAsia="en-AU"/>
        </w:rPr>
        <w:tab/>
        <w:t>The provision of adequate information relating to food to enable consumers to make informed choices</w:t>
      </w:r>
      <w:bookmarkEnd w:id="43"/>
      <w:bookmarkEnd w:id="44"/>
    </w:p>
    <w:p w14:paraId="312FDB56" w14:textId="076C8C04" w:rsidR="00A4655B" w:rsidRPr="0093355E" w:rsidRDefault="00134D02" w:rsidP="00134D02">
      <w:pPr>
        <w:jc w:val="both"/>
      </w:pPr>
      <w:r w:rsidRPr="0093355E">
        <w:t>The proposed amendment will permit vitamin and mineral claims to continue to be made</w:t>
      </w:r>
      <w:r w:rsidR="004A001B" w:rsidRPr="0093355E">
        <w:t xml:space="preserve"> about fortified foods if they meet specified conditions,</w:t>
      </w:r>
      <w:r w:rsidRPr="0093355E">
        <w:t xml:space="preserve"> thus enabling consumers to</w:t>
      </w:r>
      <w:r w:rsidR="00C3226A" w:rsidRPr="0093355E">
        <w:t xml:space="preserve"> continue to</w:t>
      </w:r>
      <w:r w:rsidRPr="0093355E">
        <w:t xml:space="preserve"> make informed choices about </w:t>
      </w:r>
      <w:r w:rsidR="004A001B" w:rsidRPr="0093355E">
        <w:t xml:space="preserve">the vitamin and mineral content of </w:t>
      </w:r>
      <w:r w:rsidRPr="0093355E">
        <w:t xml:space="preserve">fortified foods.  </w:t>
      </w:r>
    </w:p>
    <w:p w14:paraId="7D451CE4" w14:textId="63D0AB79" w:rsidR="00022DBC" w:rsidRPr="0093355E" w:rsidRDefault="00BE3818" w:rsidP="00022DBC">
      <w:pPr>
        <w:pStyle w:val="Heading4"/>
        <w:rPr>
          <w:lang w:eastAsia="en-AU"/>
        </w:rPr>
      </w:pPr>
      <w:bookmarkStart w:id="45" w:name="_Toc300761900"/>
      <w:bookmarkStart w:id="46" w:name="_Toc300933443"/>
      <w:r w:rsidRPr="0093355E">
        <w:rPr>
          <w:lang w:eastAsia="en-AU"/>
        </w:rPr>
        <w:t>2.</w:t>
      </w:r>
      <w:r w:rsidR="00814B27" w:rsidRPr="0093355E">
        <w:rPr>
          <w:lang w:eastAsia="en-AU"/>
        </w:rPr>
        <w:t>4</w:t>
      </w:r>
      <w:r w:rsidRPr="0093355E">
        <w:rPr>
          <w:lang w:eastAsia="en-AU"/>
        </w:rPr>
        <w:t>.2</w:t>
      </w:r>
      <w:r w:rsidR="00022DBC" w:rsidRPr="0093355E">
        <w:rPr>
          <w:lang w:eastAsia="en-AU"/>
        </w:rPr>
        <w:t>.3</w:t>
      </w:r>
      <w:r w:rsidR="00022DBC" w:rsidRPr="0093355E">
        <w:rPr>
          <w:lang w:eastAsia="en-AU"/>
        </w:rPr>
        <w:tab/>
        <w:t>The prevention of misleading or deceptive conduct</w:t>
      </w:r>
      <w:bookmarkEnd w:id="45"/>
      <w:bookmarkEnd w:id="46"/>
    </w:p>
    <w:p w14:paraId="74AB484A" w14:textId="77777777" w:rsidR="00D87B03" w:rsidRDefault="004863FF" w:rsidP="004863FF">
      <w:r w:rsidRPr="0093355E">
        <w:t>The change in claim conditions</w:t>
      </w:r>
      <w:r w:rsidR="007A75EE" w:rsidRPr="0093355E">
        <w:t xml:space="preserve"> </w:t>
      </w:r>
      <w:r w:rsidR="007A66B7" w:rsidRPr="0093355E">
        <w:t>in</w:t>
      </w:r>
      <w:r w:rsidR="007A75EE" w:rsidRPr="0093355E">
        <w:t xml:space="preserve"> Standard 1.2.7 </w:t>
      </w:r>
      <w:r w:rsidRPr="0093355E">
        <w:t xml:space="preserve">from a reference quantity basis to a </w:t>
      </w:r>
      <w:r w:rsidR="00FD095F">
        <w:t xml:space="preserve">per </w:t>
      </w:r>
      <w:r w:rsidRPr="0093355E">
        <w:t>serving basis</w:t>
      </w:r>
      <w:r w:rsidR="007A75EE" w:rsidRPr="0093355E">
        <w:t xml:space="preserve"> </w:t>
      </w:r>
      <w:r w:rsidRPr="0093355E">
        <w:t xml:space="preserve">was to prevent nutrition content claims about vitamins or minerals being made on foods containing less than 10% </w:t>
      </w:r>
      <w:r w:rsidR="00B80CB1" w:rsidRPr="0093355E">
        <w:t xml:space="preserve">or 25% </w:t>
      </w:r>
      <w:r w:rsidR="0003265F">
        <w:t xml:space="preserve">(depending on the wording of the claim) </w:t>
      </w:r>
      <w:r w:rsidR="00B80CB1" w:rsidRPr="0093355E">
        <w:t xml:space="preserve">of the </w:t>
      </w:r>
      <w:r w:rsidRPr="0093355E">
        <w:t>RDI or ESADDI per serving</w:t>
      </w:r>
      <w:r w:rsidR="00B80CB1" w:rsidRPr="0093355E">
        <w:t xml:space="preserve">. </w:t>
      </w:r>
      <w:r w:rsidR="00D87B03">
        <w:br w:type="page"/>
      </w:r>
    </w:p>
    <w:p w14:paraId="3D3F5D2F" w14:textId="6F88F852" w:rsidR="004863FF" w:rsidRPr="0093355E" w:rsidRDefault="00B80CB1" w:rsidP="004863FF">
      <w:r w:rsidRPr="0093355E">
        <w:lastRenderedPageBreak/>
        <w:t xml:space="preserve">It was considered that such claims could </w:t>
      </w:r>
      <w:r w:rsidR="004863FF" w:rsidRPr="0093355E">
        <w:t xml:space="preserve">potentially be misleading as to an actual serving of the food being a </w:t>
      </w:r>
      <w:r w:rsidR="004863FF" w:rsidRPr="0093355E">
        <w:rPr>
          <w:i/>
        </w:rPr>
        <w:t>source</w:t>
      </w:r>
      <w:r w:rsidR="004863FF" w:rsidRPr="0093355E">
        <w:t xml:space="preserve"> </w:t>
      </w:r>
      <w:r w:rsidRPr="0093355E">
        <w:t xml:space="preserve">or </w:t>
      </w:r>
      <w:r w:rsidRPr="0093355E">
        <w:rPr>
          <w:i/>
        </w:rPr>
        <w:t>good source</w:t>
      </w:r>
      <w:r w:rsidRPr="0093355E">
        <w:t xml:space="preserve"> respectively, </w:t>
      </w:r>
      <w:r w:rsidR="004863FF" w:rsidRPr="0093355E">
        <w:t>of the claimed vitamin or mineral.</w:t>
      </w:r>
    </w:p>
    <w:p w14:paraId="2412B98E" w14:textId="77777777" w:rsidR="004863FF" w:rsidRPr="0093355E" w:rsidRDefault="004863FF" w:rsidP="004863FF"/>
    <w:p w14:paraId="045D4A72" w14:textId="4326D3F3" w:rsidR="006B260D" w:rsidRPr="0093355E" w:rsidRDefault="008163D9" w:rsidP="004863FF">
      <w:r w:rsidRPr="0093355E">
        <w:t>T</w:t>
      </w:r>
      <w:r w:rsidR="004863FF" w:rsidRPr="0093355E">
        <w:t xml:space="preserve">he amendment proposed in this Proposal will permit certain vitamin and mineral claims to revert back to being based on </w:t>
      </w:r>
      <w:r w:rsidRPr="0093355E">
        <w:t>a</w:t>
      </w:r>
      <w:r w:rsidR="00DE204A" w:rsidRPr="0093355E">
        <w:t xml:space="preserve"> </w:t>
      </w:r>
      <w:r w:rsidRPr="0093355E">
        <w:t xml:space="preserve">reference quantity. </w:t>
      </w:r>
      <w:r w:rsidR="004863FF" w:rsidRPr="0093355E">
        <w:t xml:space="preserve">FSANZ considers that </w:t>
      </w:r>
      <w:r w:rsidR="001871CC" w:rsidRPr="0093355E">
        <w:t xml:space="preserve">this will </w:t>
      </w:r>
      <w:r w:rsidR="00D80D3B" w:rsidRPr="0093355E">
        <w:t xml:space="preserve">affect </w:t>
      </w:r>
      <w:r w:rsidR="001871CC" w:rsidRPr="0093355E">
        <w:t xml:space="preserve">a limited range of claims only (see section </w:t>
      </w:r>
      <w:r w:rsidR="00435B5A" w:rsidRPr="0093355E">
        <w:t>2.3.2</w:t>
      </w:r>
      <w:r w:rsidR="001871CC" w:rsidRPr="0093355E">
        <w:t>) and allow claims that were permitted before the gazettal of Standard 1.2.7 to continue to be made</w:t>
      </w:r>
      <w:r w:rsidR="00DE204A" w:rsidRPr="0093355E">
        <w:t>.</w:t>
      </w:r>
      <w:r w:rsidR="001871CC" w:rsidRPr="0093355E">
        <w:t xml:space="preserve"> This supports the continu</w:t>
      </w:r>
      <w:r w:rsidR="002F6557" w:rsidRPr="0093355E">
        <w:t xml:space="preserve">ation </w:t>
      </w:r>
      <w:r w:rsidR="001871CC" w:rsidRPr="0093355E">
        <w:t>of claims for f</w:t>
      </w:r>
      <w:r w:rsidR="00156AFC" w:rsidRPr="0093355E">
        <w:t xml:space="preserve">oods </w:t>
      </w:r>
      <w:r w:rsidR="001871CC" w:rsidRPr="0093355E">
        <w:t xml:space="preserve">that </w:t>
      </w:r>
      <w:r w:rsidR="00156AFC" w:rsidRPr="0093355E">
        <w:t>are permitted to be fortified</w:t>
      </w:r>
      <w:r w:rsidR="00866AD6" w:rsidRPr="0093355E">
        <w:t xml:space="preserve"> with vitamins and minerals</w:t>
      </w:r>
      <w:r w:rsidR="001871CC" w:rsidRPr="0093355E">
        <w:t xml:space="preserve">, irrespective of serving size. </w:t>
      </w:r>
      <w:r w:rsidR="004863FF" w:rsidRPr="0093355E">
        <w:t>For claims about other vitamins and minerals</w:t>
      </w:r>
      <w:r w:rsidR="002F6557" w:rsidRPr="0093355E">
        <w:t xml:space="preserve"> not affected by the </w:t>
      </w:r>
      <w:r w:rsidR="00D80D3B" w:rsidRPr="0093355E">
        <w:t>discrepancy</w:t>
      </w:r>
      <w:r w:rsidR="002F6557" w:rsidRPr="0093355E">
        <w:t xml:space="preserve"> between the two Standards, </w:t>
      </w:r>
      <w:r w:rsidR="004863FF" w:rsidRPr="0093355E">
        <w:t xml:space="preserve">the </w:t>
      </w:r>
      <w:r w:rsidRPr="0093355E">
        <w:t xml:space="preserve">minimum amount required to make a </w:t>
      </w:r>
      <w:r w:rsidR="004863FF" w:rsidRPr="0093355E">
        <w:t xml:space="preserve">claim will be </w:t>
      </w:r>
      <w:r w:rsidR="00E0771B" w:rsidRPr="0093355E">
        <w:t xml:space="preserve">on a </w:t>
      </w:r>
      <w:r w:rsidR="00FD095F">
        <w:t xml:space="preserve">per </w:t>
      </w:r>
      <w:r w:rsidR="00E0771B" w:rsidRPr="0093355E">
        <w:t>serving basis</w:t>
      </w:r>
      <w:r w:rsidR="00B80CB1" w:rsidRPr="0093355E">
        <w:t xml:space="preserve">. </w:t>
      </w:r>
    </w:p>
    <w:p w14:paraId="7D451CE6" w14:textId="528EF4FF" w:rsidR="00022DBC" w:rsidRPr="0093355E" w:rsidRDefault="00B51E03" w:rsidP="00B51E03">
      <w:pPr>
        <w:pStyle w:val="Heading3"/>
      </w:pPr>
      <w:bookmarkStart w:id="47" w:name="_Toc300761901"/>
      <w:bookmarkStart w:id="48" w:name="_Toc300933444"/>
      <w:bookmarkStart w:id="49" w:name="_Toc423079108"/>
      <w:r w:rsidRPr="0093355E">
        <w:t>2.</w:t>
      </w:r>
      <w:r w:rsidR="00814B27" w:rsidRPr="0093355E">
        <w:t>4</w:t>
      </w:r>
      <w:r w:rsidRPr="0093355E">
        <w:t>.3</w:t>
      </w:r>
      <w:r w:rsidR="00022DBC" w:rsidRPr="0093355E">
        <w:tab/>
        <w:t xml:space="preserve">Subsection 18(2) </w:t>
      </w:r>
      <w:bookmarkEnd w:id="47"/>
      <w:bookmarkEnd w:id="48"/>
      <w:r w:rsidR="00022DBC" w:rsidRPr="0093355E">
        <w:t>considerations</w:t>
      </w:r>
      <w:bookmarkEnd w:id="49"/>
    </w:p>
    <w:p w14:paraId="7D451CE7" w14:textId="77777777" w:rsidR="00022DBC" w:rsidRPr="0093355E" w:rsidRDefault="00022DBC" w:rsidP="00022DBC">
      <w:pPr>
        <w:rPr>
          <w:rFonts w:cs="Arial"/>
        </w:rPr>
      </w:pPr>
      <w:r w:rsidRPr="0093355E">
        <w:rPr>
          <w:rFonts w:cs="Arial"/>
        </w:rPr>
        <w:t>FSANZ has also had regard to:</w:t>
      </w:r>
    </w:p>
    <w:p w14:paraId="7D451CE8" w14:textId="77777777" w:rsidR="00022DBC" w:rsidRPr="0093355E" w:rsidRDefault="00022DBC" w:rsidP="00022DBC">
      <w:pPr>
        <w:rPr>
          <w:rFonts w:cs="Arial"/>
        </w:rPr>
      </w:pPr>
    </w:p>
    <w:p w14:paraId="7D451CE9" w14:textId="77777777" w:rsidR="00022DBC" w:rsidRPr="0093355E" w:rsidRDefault="00022DBC" w:rsidP="00022DBC">
      <w:pPr>
        <w:pStyle w:val="FSBullet1"/>
        <w:rPr>
          <w:b/>
        </w:rPr>
      </w:pPr>
      <w:r w:rsidRPr="0093355E">
        <w:rPr>
          <w:b/>
        </w:rPr>
        <w:t>the need for standards to be based on risk analysis using the best available scientific evidence</w:t>
      </w:r>
    </w:p>
    <w:p w14:paraId="7D451CEA" w14:textId="77777777" w:rsidR="008828D9" w:rsidRPr="0093355E" w:rsidRDefault="008828D9" w:rsidP="008828D9">
      <w:pPr>
        <w:rPr>
          <w:lang w:bidi="ar-SA"/>
        </w:rPr>
      </w:pPr>
    </w:p>
    <w:p w14:paraId="1ADBEE75" w14:textId="58E4AE3F" w:rsidR="007D57C8" w:rsidRDefault="007D57C8" w:rsidP="008828D9">
      <w:pPr>
        <w:rPr>
          <w:lang w:bidi="ar-SA"/>
        </w:rPr>
      </w:pPr>
      <w:r w:rsidRPr="007D0FD8">
        <w:rPr>
          <w:lang w:bidi="ar-SA"/>
        </w:rPr>
        <w:t>FSANZ</w:t>
      </w:r>
      <w:r w:rsidR="00C91F2A" w:rsidRPr="00C91F2A">
        <w:rPr>
          <w:lang w:bidi="ar-SA"/>
        </w:rPr>
        <w:t xml:space="preserve"> </w:t>
      </w:r>
      <w:r w:rsidR="00C443BF">
        <w:rPr>
          <w:lang w:bidi="ar-SA"/>
        </w:rPr>
        <w:t xml:space="preserve">has </w:t>
      </w:r>
      <w:r w:rsidR="00C91F2A" w:rsidRPr="00C91F2A">
        <w:rPr>
          <w:lang w:bidi="ar-SA"/>
        </w:rPr>
        <w:t>concluded</w:t>
      </w:r>
      <w:r w:rsidRPr="007D0FD8">
        <w:rPr>
          <w:lang w:bidi="ar-SA"/>
        </w:rPr>
        <w:t xml:space="preserve"> that a scientific risk </w:t>
      </w:r>
      <w:r w:rsidR="007D0FD8" w:rsidRPr="007D0FD8">
        <w:rPr>
          <w:lang w:bidi="ar-SA"/>
        </w:rPr>
        <w:t xml:space="preserve">analysis </w:t>
      </w:r>
      <w:r w:rsidRPr="007D0FD8">
        <w:rPr>
          <w:lang w:bidi="ar-SA"/>
        </w:rPr>
        <w:t xml:space="preserve">was not </w:t>
      </w:r>
      <w:r w:rsidR="00C443BF">
        <w:rPr>
          <w:lang w:bidi="ar-SA"/>
        </w:rPr>
        <w:t>considered necessary</w:t>
      </w:r>
      <w:r w:rsidR="00C443BF" w:rsidRPr="007D0FD8">
        <w:rPr>
          <w:lang w:bidi="ar-SA"/>
        </w:rPr>
        <w:t xml:space="preserve"> </w:t>
      </w:r>
      <w:r w:rsidRPr="007D0FD8">
        <w:rPr>
          <w:lang w:bidi="ar-SA"/>
        </w:rPr>
        <w:t>given the purpose and effect of the</w:t>
      </w:r>
      <w:r w:rsidR="0059138B">
        <w:rPr>
          <w:lang w:bidi="ar-SA"/>
        </w:rPr>
        <w:t xml:space="preserve"> proposed</w:t>
      </w:r>
      <w:r w:rsidRPr="007D0FD8">
        <w:rPr>
          <w:lang w:bidi="ar-SA"/>
        </w:rPr>
        <w:t xml:space="preserve"> amendments</w:t>
      </w:r>
      <w:r w:rsidR="007D0FD8" w:rsidRPr="007D0FD8">
        <w:rPr>
          <w:lang w:bidi="ar-SA"/>
        </w:rPr>
        <w:t xml:space="preserve"> (see section 2.3.1)</w:t>
      </w:r>
      <w:r w:rsidRPr="007D0FD8">
        <w:rPr>
          <w:lang w:bidi="ar-SA"/>
        </w:rPr>
        <w:t xml:space="preserve">. </w:t>
      </w:r>
    </w:p>
    <w:p w14:paraId="0257CAA3" w14:textId="77777777" w:rsidR="007D57C8" w:rsidRPr="0093355E" w:rsidRDefault="007D57C8" w:rsidP="008828D9">
      <w:pPr>
        <w:rPr>
          <w:lang w:bidi="ar-SA"/>
        </w:rPr>
      </w:pPr>
    </w:p>
    <w:p w14:paraId="7D451CED" w14:textId="77777777" w:rsidR="00022DBC" w:rsidRPr="0093355E" w:rsidRDefault="00022DBC" w:rsidP="00022DBC">
      <w:pPr>
        <w:pStyle w:val="FSBullet1"/>
        <w:rPr>
          <w:b/>
        </w:rPr>
      </w:pPr>
      <w:r w:rsidRPr="0093355E">
        <w:rPr>
          <w:b/>
        </w:rPr>
        <w:t>the promotion of consistency between domestic and international food standards</w:t>
      </w:r>
    </w:p>
    <w:p w14:paraId="7F0BE804" w14:textId="77777777" w:rsidR="001A381B" w:rsidRPr="00C52547" w:rsidRDefault="001A381B" w:rsidP="002A36C0"/>
    <w:p w14:paraId="152165AE" w14:textId="514534F3" w:rsidR="009A5AAF" w:rsidRPr="00C52547" w:rsidRDefault="009A5AAF" w:rsidP="002A36C0">
      <w:r w:rsidRPr="00C52547">
        <w:t xml:space="preserve">The conditions for making nutrition content claims about vitamins and minerals are </w:t>
      </w:r>
      <w:r w:rsidR="004C2B5D" w:rsidRPr="00C52547">
        <w:t>in</w:t>
      </w:r>
      <w:r w:rsidRPr="00C52547">
        <w:t>consistent across the European Union, Canada</w:t>
      </w:r>
      <w:r w:rsidR="003C6265">
        <w:t xml:space="preserve"> and the</w:t>
      </w:r>
      <w:r w:rsidRPr="00C52547">
        <w:t xml:space="preserve"> United States of America and </w:t>
      </w:r>
      <w:r w:rsidR="00DC2E12" w:rsidRPr="00C52547">
        <w:t xml:space="preserve">in Codex </w:t>
      </w:r>
      <w:proofErr w:type="spellStart"/>
      <w:r w:rsidR="00DC2E12" w:rsidRPr="00C52547">
        <w:t>Alimentarius</w:t>
      </w:r>
      <w:proofErr w:type="spellEnd"/>
      <w:r w:rsidR="00DC2E12" w:rsidRPr="00C52547">
        <w:t xml:space="preserve">. </w:t>
      </w:r>
      <w:r w:rsidR="00686C00" w:rsidRPr="00C52547">
        <w:t xml:space="preserve">It is therefore not possible to achieve consistency with these international food standards. </w:t>
      </w:r>
    </w:p>
    <w:p w14:paraId="4307E09A" w14:textId="77777777" w:rsidR="002A36C0" w:rsidRPr="00C52547" w:rsidRDefault="002A36C0" w:rsidP="00553E07"/>
    <w:p w14:paraId="06ED8B42" w14:textId="77777777" w:rsidR="00686C00" w:rsidRPr="0093355E" w:rsidRDefault="00686C00" w:rsidP="00686C00">
      <w:pPr>
        <w:pStyle w:val="FSBullet1"/>
        <w:rPr>
          <w:b/>
        </w:rPr>
      </w:pPr>
      <w:r w:rsidRPr="0093355E">
        <w:rPr>
          <w:b/>
        </w:rPr>
        <w:t>the desirability of an efficient and internationally competitive food industry</w:t>
      </w:r>
    </w:p>
    <w:p w14:paraId="06D0D645" w14:textId="77777777" w:rsidR="001A381B" w:rsidRPr="00C52547" w:rsidRDefault="001A381B" w:rsidP="00686C00"/>
    <w:p w14:paraId="71D2F5CF" w14:textId="19932120" w:rsidR="005B3564" w:rsidRPr="00C52547" w:rsidRDefault="005B3564" w:rsidP="00686C00">
      <w:r w:rsidRPr="00C52547">
        <w:t>The draft variations are expected to have a positive effect on the efficiency and international competitiveness of the food industry</w:t>
      </w:r>
      <w:r w:rsidR="009470C6" w:rsidRPr="00C52547">
        <w:t>, as they will permit existing claims to continue to be made</w:t>
      </w:r>
      <w:r w:rsidRPr="00C52547">
        <w:t xml:space="preserve">. </w:t>
      </w:r>
    </w:p>
    <w:p w14:paraId="6C3E84DF" w14:textId="77777777" w:rsidR="005B3564" w:rsidRPr="0093355E" w:rsidRDefault="005B3564" w:rsidP="00686C00">
      <w:pPr>
        <w:rPr>
          <w:lang w:bidi="ar-SA"/>
        </w:rPr>
      </w:pPr>
    </w:p>
    <w:p w14:paraId="7D451CF5" w14:textId="77777777" w:rsidR="00022DBC" w:rsidRPr="0093355E" w:rsidRDefault="00022DBC" w:rsidP="00022DBC">
      <w:pPr>
        <w:pStyle w:val="FSBullet1"/>
        <w:rPr>
          <w:b/>
        </w:rPr>
      </w:pPr>
      <w:r w:rsidRPr="0093355E">
        <w:rPr>
          <w:b/>
        </w:rPr>
        <w:t>the promotion of fair trading in food</w:t>
      </w:r>
    </w:p>
    <w:p w14:paraId="14B8CF70" w14:textId="77777777" w:rsidR="001A381B" w:rsidRPr="0093355E" w:rsidRDefault="001A381B" w:rsidP="008828D9">
      <w:pPr>
        <w:rPr>
          <w:lang w:bidi="ar-SA"/>
        </w:rPr>
      </w:pPr>
    </w:p>
    <w:p w14:paraId="7D451CF8" w14:textId="13C28020" w:rsidR="008828D9" w:rsidRPr="0093355E" w:rsidRDefault="00FB6258" w:rsidP="008828D9">
      <w:pPr>
        <w:rPr>
          <w:lang w:bidi="ar-SA"/>
        </w:rPr>
      </w:pPr>
      <w:r w:rsidRPr="0093355E">
        <w:t>If the</w:t>
      </w:r>
      <w:r w:rsidR="00A43EEC" w:rsidRPr="0093355E">
        <w:t xml:space="preserve"> proposed </w:t>
      </w:r>
      <w:r w:rsidRPr="0093355E">
        <w:t xml:space="preserve">changes </w:t>
      </w:r>
      <w:r w:rsidR="00A35D67" w:rsidRPr="0093355E">
        <w:t>are</w:t>
      </w:r>
      <w:r w:rsidRPr="0093355E">
        <w:t xml:space="preserve"> not made, the suppliers of </w:t>
      </w:r>
      <w:r w:rsidR="00522F2C" w:rsidRPr="0093355E">
        <w:t xml:space="preserve">affected </w:t>
      </w:r>
      <w:r w:rsidRPr="0093355E">
        <w:t xml:space="preserve">foods will be disadvantaged as they will not be able to add more of the vitamin or mineral in order to meet claim requirements, </w:t>
      </w:r>
      <w:r w:rsidR="007A66B7" w:rsidRPr="0093355E">
        <w:t>while</w:t>
      </w:r>
      <w:r w:rsidRPr="0093355E">
        <w:t xml:space="preserve"> catering for a range of serving sizes.</w:t>
      </w:r>
      <w:r w:rsidR="008215F8" w:rsidRPr="0093355E">
        <w:t xml:space="preserve"> I</w:t>
      </w:r>
      <w:r w:rsidR="00006849" w:rsidRPr="0093355E">
        <w:t xml:space="preserve">ncreasing serving size in order to meet claim requirements is not always appropriate (as </w:t>
      </w:r>
      <w:r w:rsidR="003078B6" w:rsidRPr="0093355E">
        <w:t xml:space="preserve">it </w:t>
      </w:r>
      <w:r w:rsidR="00006849" w:rsidRPr="0093355E">
        <w:t xml:space="preserve">may not reflect </w:t>
      </w:r>
      <w:r w:rsidR="003078B6" w:rsidRPr="0093355E">
        <w:t xml:space="preserve">a </w:t>
      </w:r>
      <w:r w:rsidR="00006849" w:rsidRPr="0093355E">
        <w:t xml:space="preserve">normal serving) or </w:t>
      </w:r>
      <w:r w:rsidR="008215F8" w:rsidRPr="0093355E">
        <w:t xml:space="preserve">may not </w:t>
      </w:r>
      <w:r w:rsidR="00006849" w:rsidRPr="0093355E">
        <w:t>meet the needs of consumers (</w:t>
      </w:r>
      <w:r w:rsidR="003078B6" w:rsidRPr="0093355E">
        <w:t>e.g.</w:t>
      </w:r>
      <w:r w:rsidR="00006849" w:rsidRPr="0093355E">
        <w:t xml:space="preserve"> small single serve yoghurts). </w:t>
      </w:r>
    </w:p>
    <w:p w14:paraId="066A31D3" w14:textId="77777777" w:rsidR="006B260D" w:rsidRPr="0093355E" w:rsidRDefault="006B260D" w:rsidP="008828D9">
      <w:pPr>
        <w:rPr>
          <w:lang w:bidi="ar-SA"/>
        </w:rPr>
      </w:pPr>
    </w:p>
    <w:p w14:paraId="7D451CF9" w14:textId="77777777" w:rsidR="00022DBC" w:rsidRPr="0093355E" w:rsidRDefault="00022DBC" w:rsidP="00022DBC">
      <w:pPr>
        <w:pStyle w:val="FSBullet1"/>
      </w:pPr>
      <w:r w:rsidRPr="0093355E">
        <w:rPr>
          <w:b/>
        </w:rPr>
        <w:t>any written policy guidelines formulated by the Ministerial Council</w:t>
      </w:r>
      <w:r w:rsidRPr="0093355E">
        <w:rPr>
          <w:rStyle w:val="FootnoteReference"/>
        </w:rPr>
        <w:footnoteReference w:id="8"/>
      </w:r>
    </w:p>
    <w:p w14:paraId="7D451CFA" w14:textId="77777777" w:rsidR="00022DBC" w:rsidRPr="0093355E" w:rsidRDefault="00022DBC" w:rsidP="00022DBC">
      <w:pPr>
        <w:rPr>
          <w:lang w:bidi="ar-SA"/>
        </w:rPr>
      </w:pPr>
    </w:p>
    <w:p w14:paraId="41972201" w14:textId="69F6B38E" w:rsidR="00D87B03" w:rsidRDefault="000D4476">
      <w:pPr>
        <w:widowControl/>
        <w:rPr>
          <w:lang w:bidi="ar-SA"/>
        </w:rPr>
      </w:pPr>
      <w:r w:rsidRPr="0093355E">
        <w:rPr>
          <w:lang w:bidi="ar-SA"/>
        </w:rPr>
        <w:t xml:space="preserve">In December 2003, the Ministerial Council released the </w:t>
      </w:r>
      <w:r w:rsidRPr="0093355E">
        <w:rPr>
          <w:i/>
          <w:lang w:bidi="ar-SA"/>
        </w:rPr>
        <w:t>Policy Guideline on Nutrition, Health and Related Claims</w:t>
      </w:r>
      <w:r w:rsidRPr="0093355E">
        <w:rPr>
          <w:vertAlign w:val="superscript"/>
          <w:lang w:bidi="ar-SA"/>
        </w:rPr>
        <w:footnoteReference w:id="9"/>
      </w:r>
      <w:r w:rsidRPr="0093355E">
        <w:rPr>
          <w:i/>
          <w:lang w:bidi="ar-SA"/>
        </w:rPr>
        <w:t xml:space="preserve">. </w:t>
      </w:r>
      <w:r w:rsidRPr="0093355E">
        <w:rPr>
          <w:lang w:bidi="ar-SA"/>
        </w:rPr>
        <w:t>The Policy Guideline sets out the policy principles underpinning the regulation of nutrition content claims (and health claims) and aims to permit claims and encourage industry to innovate, whilst ensu</w:t>
      </w:r>
      <w:r w:rsidR="008215F8" w:rsidRPr="0093355E">
        <w:rPr>
          <w:lang w:bidi="ar-SA"/>
        </w:rPr>
        <w:t xml:space="preserve">ring consumers are not misled. </w:t>
      </w:r>
      <w:r w:rsidR="00D87B03">
        <w:rPr>
          <w:lang w:bidi="ar-SA"/>
        </w:rPr>
        <w:br w:type="page"/>
      </w:r>
    </w:p>
    <w:p w14:paraId="7D451CFC" w14:textId="143EA045" w:rsidR="00E520FE" w:rsidRPr="0093355E" w:rsidRDefault="00A15034" w:rsidP="00DD3C5E">
      <w:pPr>
        <w:rPr>
          <w:lang w:bidi="ar-SA"/>
        </w:rPr>
      </w:pPr>
      <w:r w:rsidRPr="0093355E">
        <w:rPr>
          <w:lang w:bidi="ar-SA"/>
        </w:rPr>
        <w:lastRenderedPageBreak/>
        <w:t xml:space="preserve">These policy principles have been taken into consideration </w:t>
      </w:r>
      <w:r w:rsidR="00D17BCF" w:rsidRPr="0093355E">
        <w:rPr>
          <w:lang w:bidi="ar-SA"/>
        </w:rPr>
        <w:t>while</w:t>
      </w:r>
      <w:r w:rsidRPr="0093355E">
        <w:rPr>
          <w:lang w:bidi="ar-SA"/>
        </w:rPr>
        <w:t xml:space="preserve"> considering the proposed amendments</w:t>
      </w:r>
      <w:r w:rsidR="008D4676" w:rsidRPr="0093355E">
        <w:rPr>
          <w:lang w:bidi="ar-SA"/>
        </w:rPr>
        <w:t>.</w:t>
      </w:r>
    </w:p>
    <w:p w14:paraId="7015325E" w14:textId="77777777" w:rsidR="008D4676" w:rsidRPr="0093355E" w:rsidRDefault="008D4676" w:rsidP="00DD3C5E">
      <w:pPr>
        <w:rPr>
          <w:lang w:bidi="ar-SA"/>
        </w:rPr>
      </w:pPr>
    </w:p>
    <w:p w14:paraId="783A25F9" w14:textId="3F0A0BC5" w:rsidR="008D4676" w:rsidRPr="0093355E" w:rsidRDefault="008D4676" w:rsidP="00DD3C5E">
      <w:pPr>
        <w:rPr>
          <w:lang w:bidi="ar-SA"/>
        </w:rPr>
      </w:pPr>
      <w:r w:rsidRPr="0093355E">
        <w:rPr>
          <w:lang w:bidi="ar-SA"/>
        </w:rPr>
        <w:t xml:space="preserve">The Ministerial Policy Guideline: </w:t>
      </w:r>
      <w:r w:rsidRPr="0093355E">
        <w:rPr>
          <w:i/>
          <w:lang w:bidi="ar-SA"/>
        </w:rPr>
        <w:t>Fortification of food with vitamins and minerals</w:t>
      </w:r>
      <w:r w:rsidRPr="0093355E">
        <w:rPr>
          <w:lang w:bidi="ar-SA"/>
        </w:rPr>
        <w:t xml:space="preserve"> was also taken into consideration, as indicated in section 2.3.3.</w:t>
      </w:r>
    </w:p>
    <w:p w14:paraId="10FAC246" w14:textId="77777777" w:rsidR="001A381B" w:rsidRPr="0093355E" w:rsidRDefault="001A381B" w:rsidP="001A381B"/>
    <w:p w14:paraId="1AFD931F" w14:textId="5159C40F" w:rsidR="00A15034" w:rsidRPr="0093355E" w:rsidRDefault="00814B27" w:rsidP="001A381B">
      <w:pPr>
        <w:pStyle w:val="Heading1"/>
      </w:pPr>
      <w:bookmarkStart w:id="50" w:name="_Toc423079109"/>
      <w:r w:rsidRPr="0093355E">
        <w:t>3</w:t>
      </w:r>
      <w:r w:rsidRPr="0093355E">
        <w:tab/>
      </w:r>
      <w:r w:rsidR="001A381B" w:rsidRPr="0093355E">
        <w:t>Sodium claims about foods containing alcohol</w:t>
      </w:r>
      <w:bookmarkEnd w:id="50"/>
      <w:r w:rsidR="001A381B" w:rsidRPr="0093355E">
        <w:t xml:space="preserve"> </w:t>
      </w:r>
    </w:p>
    <w:p w14:paraId="15990841" w14:textId="743A6861" w:rsidR="00BC2754" w:rsidRPr="0093355E" w:rsidRDefault="00814B27" w:rsidP="00814B27">
      <w:pPr>
        <w:pStyle w:val="Heading2"/>
      </w:pPr>
      <w:bookmarkStart w:id="51" w:name="_Toc423079110"/>
      <w:r w:rsidRPr="0093355E">
        <w:t>3.</w:t>
      </w:r>
      <w:r w:rsidR="00BC2754" w:rsidRPr="0093355E">
        <w:t>1</w:t>
      </w:r>
      <w:r w:rsidR="00BC2754" w:rsidRPr="0093355E">
        <w:tab/>
      </w:r>
      <w:r w:rsidR="001A381B" w:rsidRPr="0093355E">
        <w:t>The current Standard</w:t>
      </w:r>
      <w:bookmarkEnd w:id="51"/>
    </w:p>
    <w:p w14:paraId="268A5FFC" w14:textId="410FC17B" w:rsidR="00B07ECF" w:rsidRPr="0093355E" w:rsidRDefault="00B07ECF" w:rsidP="00BC2754">
      <w:r w:rsidRPr="0093355E">
        <w:t>A revision of the Code via Proposal P1025 – Code Revision, will replace the existing Code on 1 March 2016. The references in this section are applicable to both the existing and the revised Code</w:t>
      </w:r>
      <w:r w:rsidR="00EC0A24" w:rsidRPr="0093355E">
        <w:t>s</w:t>
      </w:r>
      <w:r w:rsidRPr="0093355E">
        <w:t>.</w:t>
      </w:r>
    </w:p>
    <w:p w14:paraId="25910065" w14:textId="77777777" w:rsidR="00B07ECF" w:rsidRPr="0093355E" w:rsidRDefault="00B07ECF" w:rsidP="00BC2754"/>
    <w:p w14:paraId="2ADE5A37" w14:textId="77777777" w:rsidR="00BC2754" w:rsidRPr="0093355E" w:rsidRDefault="00BC2754" w:rsidP="00BC2754">
      <w:r w:rsidRPr="0093355E">
        <w:t xml:space="preserve">Standard 1.2.7 includes a general prohibition about nutrition content claims (except for claims about energy or carbohydrate content) and health claims for foods containing more than 1.15% alcohol by volume. This prohibits nutrition content claims and health claims about both sodium and salt, in relation to foods containing more than 1.15% alcohol by volume. </w:t>
      </w:r>
    </w:p>
    <w:p w14:paraId="2F37B717" w14:textId="77777777" w:rsidR="00BC2754" w:rsidRPr="0093355E" w:rsidRDefault="00BC2754" w:rsidP="00BC2754"/>
    <w:p w14:paraId="5B852BB5" w14:textId="7FC3387C" w:rsidR="00BC2754" w:rsidRPr="0093355E" w:rsidRDefault="00BC2754" w:rsidP="00DD3C5E">
      <w:r w:rsidRPr="0093355E">
        <w:t>Standard 1.2.8 requires that a nutrition information panel is provided on foods containing alcohol, such as soy sauce (an exemption is provided for beverages containing no less than 0.5% alcohol by volume). The average quantity of sodium is required to be declared in the panel and when a nutrition content claim about sodium is made, the average quantity of potassium must also be declared in the panel.</w:t>
      </w:r>
    </w:p>
    <w:p w14:paraId="385E495B" w14:textId="7F5AF8C9" w:rsidR="001A381B" w:rsidRPr="0093355E" w:rsidRDefault="00814B27" w:rsidP="001A381B">
      <w:pPr>
        <w:pStyle w:val="Heading2"/>
      </w:pPr>
      <w:bookmarkStart w:id="52" w:name="_Toc423079111"/>
      <w:r w:rsidRPr="0093355E">
        <w:t>3.2</w:t>
      </w:r>
      <w:r w:rsidRPr="0093355E">
        <w:tab/>
      </w:r>
      <w:r w:rsidR="001A381B" w:rsidRPr="0093355E">
        <w:t>Reasons for preparing the proposal</w:t>
      </w:r>
      <w:bookmarkEnd w:id="52"/>
    </w:p>
    <w:p w14:paraId="29E57FC3" w14:textId="59B87FF9" w:rsidR="001A381B" w:rsidRPr="0093355E" w:rsidRDefault="001A381B" w:rsidP="001A381B">
      <w:r w:rsidRPr="0093355E">
        <w:t xml:space="preserve">When Standard 1.2.7 becomes mandatory in January 2016, sodium and salt claims about foods that contain more than 1.15% alcohol by volume will no longer be permitted. Consumers will no longer be alerted to </w:t>
      </w:r>
      <w:r w:rsidRPr="0093355E">
        <w:rPr>
          <w:i/>
        </w:rPr>
        <w:t>reduced</w:t>
      </w:r>
      <w:r w:rsidRPr="0093355E">
        <w:t xml:space="preserve"> or </w:t>
      </w:r>
      <w:r w:rsidRPr="0093355E">
        <w:rPr>
          <w:i/>
        </w:rPr>
        <w:t xml:space="preserve">low </w:t>
      </w:r>
      <w:r w:rsidRPr="0093355E">
        <w:t>sodium</w:t>
      </w:r>
      <w:r w:rsidR="001E4611" w:rsidRPr="0093355E">
        <w:t xml:space="preserve"> or </w:t>
      </w:r>
      <w:r w:rsidRPr="0093355E">
        <w:t>salt varieties of these foods.</w:t>
      </w:r>
    </w:p>
    <w:p w14:paraId="63CB5BAD" w14:textId="77777777" w:rsidR="00DE204A" w:rsidRPr="0093355E" w:rsidRDefault="00DE204A" w:rsidP="00DE204A"/>
    <w:p w14:paraId="0C2ADF76" w14:textId="29C13ABB" w:rsidR="00DE204A" w:rsidRPr="0093355E" w:rsidRDefault="00DE204A" w:rsidP="00DE204A">
      <w:r w:rsidRPr="0093355E">
        <w:t xml:space="preserve">Submitters to the Call for Submissions for P1035 – Gluten </w:t>
      </w:r>
      <w:r w:rsidR="001F4214">
        <w:t>C</w:t>
      </w:r>
      <w:r w:rsidRPr="0093355E">
        <w:t xml:space="preserve">laims about Foods </w:t>
      </w:r>
      <w:r w:rsidR="001F4214">
        <w:t>c</w:t>
      </w:r>
      <w:r w:rsidRPr="0093355E">
        <w:t xml:space="preserve">ontaining Alcohol, requested that in addition to permitting gluten claims, sodium and salt claims should be permitted on foods containing alcohol. Of particular concern was soy sauce, as certain fermented soy sauce products containing more than 1.15% alcohol by volume are currently marketed with sodium or salt claims (often </w:t>
      </w:r>
      <w:r w:rsidRPr="0093355E">
        <w:rPr>
          <w:i/>
        </w:rPr>
        <w:t>reduced</w:t>
      </w:r>
      <w:r w:rsidRPr="0093355E">
        <w:t xml:space="preserve"> sodium/salt) under the regulatory arrangements for claims in place before Standard 1.2.7 was gazetted. </w:t>
      </w:r>
    </w:p>
    <w:p w14:paraId="646327AA" w14:textId="77777777" w:rsidR="001A381B" w:rsidRPr="0093355E" w:rsidRDefault="001A381B" w:rsidP="001A381B"/>
    <w:p w14:paraId="4AF59E11" w14:textId="59B0279B" w:rsidR="001A381B" w:rsidRPr="0093355E" w:rsidRDefault="001A381B" w:rsidP="001A381B">
      <w:r w:rsidRPr="0093355E">
        <w:t>The prohibition of nutrition content claims (and health claims) about food containing more than 1.15% alcohol by volume was considered when Standard 1.2.7 was developed under Proposal P293. At that time, in accordance with the Policy Guideline on Nutrition, Health and Related Claims</w:t>
      </w:r>
      <w:r w:rsidR="001E4611" w:rsidRPr="0093355E">
        <w:rPr>
          <w:rStyle w:val="FootnoteReference"/>
        </w:rPr>
        <w:footnoteReference w:id="10"/>
      </w:r>
      <w:r w:rsidR="00DE204A" w:rsidRPr="0093355E">
        <w:t>,</w:t>
      </w:r>
      <w:r w:rsidRPr="0093355E">
        <w:t xml:space="preserve"> FSANZ restricted the use of claims that attribute a health benefit on foods containing alcohol. Nutrition content claims about carbohydrate and energy were permitted to continue as they were </w:t>
      </w:r>
      <w:r w:rsidR="00A44C70">
        <w:t xml:space="preserve">already </w:t>
      </w:r>
      <w:r w:rsidRPr="0093355E">
        <w:t>established in the marketplace. Although permitted, FSANZ was not aware that sodium/salt content claims in relation to food containing alcohol were in the marketplace at that time and therefore nutrition content claims about sodium</w:t>
      </w:r>
      <w:r w:rsidR="001E4611" w:rsidRPr="0093355E">
        <w:t xml:space="preserve"> and </w:t>
      </w:r>
      <w:r w:rsidRPr="0093355E">
        <w:t xml:space="preserve">salt were inadvertently caught within the general prohibition of nutrition content claims and not specifically considered.  </w:t>
      </w:r>
    </w:p>
    <w:p w14:paraId="052ED1C1" w14:textId="77777777" w:rsidR="001A381B" w:rsidRPr="0093355E" w:rsidRDefault="001A381B" w:rsidP="001A381B"/>
    <w:p w14:paraId="3E4A5C4A" w14:textId="77777777" w:rsidR="00D87B03" w:rsidRDefault="00D87B03" w:rsidP="00DD3C5E">
      <w:r>
        <w:br w:type="page"/>
      </w:r>
    </w:p>
    <w:p w14:paraId="1F76C0E5" w14:textId="086FA645" w:rsidR="00BC2754" w:rsidRPr="0093355E" w:rsidRDefault="001A381B" w:rsidP="00DD3C5E">
      <w:r w:rsidRPr="0093355E">
        <w:lastRenderedPageBreak/>
        <w:t xml:space="preserve">The prohibition of sodium and salt claims </w:t>
      </w:r>
      <w:r w:rsidR="00DE204A" w:rsidRPr="0093355E">
        <w:t>currently applies to</w:t>
      </w:r>
      <w:r w:rsidR="001E4611" w:rsidRPr="0093355E">
        <w:t xml:space="preserve"> </w:t>
      </w:r>
      <w:r w:rsidRPr="0093355E">
        <w:t>alcoholic beverages and other foods containing more than 1.15% alcohol by volume, e.g. liqueur chocolates, essences, naturally fermented sauces such as soy sauce.</w:t>
      </w:r>
    </w:p>
    <w:p w14:paraId="48388FD3" w14:textId="10F2A826" w:rsidR="001A381B" w:rsidRPr="0093355E" w:rsidRDefault="00814B27" w:rsidP="001A381B">
      <w:pPr>
        <w:pStyle w:val="Heading2"/>
      </w:pPr>
      <w:bookmarkStart w:id="53" w:name="_Toc423079112"/>
      <w:r w:rsidRPr="0093355E">
        <w:t>3.3</w:t>
      </w:r>
      <w:r w:rsidR="001A381B" w:rsidRPr="0093355E">
        <w:tab/>
      </w:r>
      <w:r w:rsidRPr="0093355E">
        <w:t>Summary of the assessment</w:t>
      </w:r>
      <w:bookmarkEnd w:id="53"/>
    </w:p>
    <w:p w14:paraId="3CF2601A" w14:textId="3945B86C" w:rsidR="001A381B" w:rsidRPr="0093355E" w:rsidRDefault="008D4676" w:rsidP="001A381B">
      <w:pPr>
        <w:pStyle w:val="Heading3"/>
      </w:pPr>
      <w:bookmarkStart w:id="54" w:name="_Toc423079113"/>
      <w:r w:rsidRPr="0093355E">
        <w:t>3</w:t>
      </w:r>
      <w:r w:rsidR="001A381B" w:rsidRPr="0093355E">
        <w:t>.</w:t>
      </w:r>
      <w:r w:rsidR="00814B27" w:rsidRPr="0093355E">
        <w:t>3</w:t>
      </w:r>
      <w:r w:rsidR="001A381B" w:rsidRPr="0093355E">
        <w:t>.1</w:t>
      </w:r>
      <w:r w:rsidR="001A381B" w:rsidRPr="0093355E">
        <w:tab/>
        <w:t>Risk Assessment</w:t>
      </w:r>
      <w:bookmarkEnd w:id="54"/>
      <w:r w:rsidR="001A381B" w:rsidRPr="0093355E">
        <w:t xml:space="preserve"> </w:t>
      </w:r>
    </w:p>
    <w:p w14:paraId="395DA61B" w14:textId="61E64BDE" w:rsidR="001A381B" w:rsidRPr="0093355E" w:rsidRDefault="001A381B" w:rsidP="00D87B03">
      <w:pPr>
        <w:ind w:right="-286"/>
        <w:rPr>
          <w:lang w:eastAsia="en-AU" w:bidi="ar-SA"/>
        </w:rPr>
      </w:pPr>
      <w:r w:rsidRPr="0093355E">
        <w:rPr>
          <w:lang w:eastAsia="en-AU" w:bidi="ar-SA"/>
        </w:rPr>
        <w:t xml:space="preserve">The Australian Dietary Guidelines recommend limiting intake of foods and drinks containing added salt and reading labels to choose lower sodium options among similar foods (National Health &amp; Medical Research Council 2013). These recommendations are based on the assessment that there is convincing evidence that decreasing sodium intake decreases blood pressure in normotensive adults. This conclusion has also been supported by the World Health Organization (2012). New Zealand dietary guidelines recommend preparing foods or choosing pre-prepared foods, drinks and snacks that are low in salt (Ministry of Health, 2003). </w:t>
      </w:r>
    </w:p>
    <w:p w14:paraId="58BA196C" w14:textId="77777777" w:rsidR="001A381B" w:rsidRPr="0093355E" w:rsidRDefault="001A381B" w:rsidP="001A381B">
      <w:pPr>
        <w:rPr>
          <w:lang w:eastAsia="en-AU" w:bidi="ar-SA"/>
        </w:rPr>
      </w:pPr>
    </w:p>
    <w:p w14:paraId="766E263D" w14:textId="5AF97C6E" w:rsidR="001A381B" w:rsidRPr="00C52547" w:rsidRDefault="001A381B" w:rsidP="001A381B">
      <w:pPr>
        <w:rPr>
          <w:rFonts w:eastAsia="UniversLTStd-Light" w:cs="Arial"/>
          <w:szCs w:val="22"/>
          <w:lang w:eastAsia="en-GB" w:bidi="ar-SA"/>
        </w:rPr>
      </w:pPr>
      <w:r w:rsidRPr="0093355E">
        <w:rPr>
          <w:rFonts w:cs="Arial"/>
          <w:szCs w:val="22"/>
          <w:lang w:eastAsia="en-AU" w:bidi="ar-SA"/>
        </w:rPr>
        <w:t xml:space="preserve">The guidelines also recommend </w:t>
      </w:r>
      <w:r w:rsidR="00EC0A24" w:rsidRPr="0093355E">
        <w:rPr>
          <w:rFonts w:cs="Arial"/>
          <w:szCs w:val="22"/>
          <w:lang w:eastAsia="en-AU" w:bidi="ar-SA"/>
        </w:rPr>
        <w:t>limiting alcohol intake</w:t>
      </w:r>
      <w:r w:rsidRPr="0093355E">
        <w:rPr>
          <w:rFonts w:cs="Arial"/>
          <w:szCs w:val="22"/>
          <w:lang w:eastAsia="en-AU" w:bidi="ar-SA"/>
        </w:rPr>
        <w:t xml:space="preserve">. </w:t>
      </w:r>
      <w:r w:rsidRPr="00C52547">
        <w:rPr>
          <w:rFonts w:eastAsia="UniversLTStd-Light" w:cs="Arial"/>
          <w:szCs w:val="22"/>
          <w:lang w:eastAsia="en-GB" w:bidi="ar-SA"/>
        </w:rPr>
        <w:t>One standard drink of alcohol is regarded as 10 g ethanol. In the case of a product such as soy sauce, a typical single serve sachet of 6 g (FSANZ, 2014) would provide less than 0.1 g alcohol and a tablespoon would provide around 0.2 g alcohol.</w:t>
      </w:r>
    </w:p>
    <w:p w14:paraId="7ABDE279" w14:textId="7BFD6DC7" w:rsidR="001A381B" w:rsidRPr="0093355E" w:rsidRDefault="008D4676" w:rsidP="001A381B">
      <w:pPr>
        <w:pStyle w:val="Heading3"/>
      </w:pPr>
      <w:bookmarkStart w:id="55" w:name="_Toc423079114"/>
      <w:r w:rsidRPr="0093355E">
        <w:t>3</w:t>
      </w:r>
      <w:r w:rsidR="001A381B" w:rsidRPr="0093355E">
        <w:t>.</w:t>
      </w:r>
      <w:r w:rsidR="00814B27" w:rsidRPr="0093355E">
        <w:t>3</w:t>
      </w:r>
      <w:r w:rsidR="001A381B" w:rsidRPr="0093355E">
        <w:t>.2</w:t>
      </w:r>
      <w:r w:rsidR="001A381B" w:rsidRPr="0093355E">
        <w:tab/>
        <w:t>Risk Management</w:t>
      </w:r>
      <w:bookmarkEnd w:id="55"/>
      <w:r w:rsidR="001A381B" w:rsidRPr="0093355E">
        <w:t xml:space="preserve"> </w:t>
      </w:r>
    </w:p>
    <w:p w14:paraId="61A646F3" w14:textId="302780AC" w:rsidR="001A381B" w:rsidRPr="0093355E" w:rsidRDefault="001A381B" w:rsidP="001A381B">
      <w:pPr>
        <w:rPr>
          <w:i/>
        </w:rPr>
      </w:pPr>
      <w:r w:rsidRPr="0093355E">
        <w:t xml:space="preserve">FSANZ proposes </w:t>
      </w:r>
      <w:r w:rsidR="00D80D3B" w:rsidRPr="0093355E">
        <w:t xml:space="preserve">amending </w:t>
      </w:r>
      <w:r w:rsidRPr="0093355E">
        <w:t xml:space="preserve">Standard 1.2.7 to permit </w:t>
      </w:r>
      <w:r w:rsidRPr="006851A3">
        <w:rPr>
          <w:b/>
        </w:rPr>
        <w:t>nutrition content claims</w:t>
      </w:r>
      <w:r w:rsidRPr="0093355E">
        <w:t xml:space="preserve"> about sodium and salt in relation to foods (not beverages) containing alcohol. Foods marketed with sodium or salt claims are consistent with national dietary guidelines as they assist consumers to ‘choose lower sodium options’ or foods that are ‘low in salt’. </w:t>
      </w:r>
    </w:p>
    <w:p w14:paraId="42FCB005" w14:textId="77777777" w:rsidR="001A381B" w:rsidRPr="0093355E" w:rsidRDefault="001A381B" w:rsidP="001A381B"/>
    <w:p w14:paraId="72F97E30" w14:textId="3E7EFBC6" w:rsidR="001A381B" w:rsidRPr="0093355E" w:rsidRDefault="001A381B" w:rsidP="001A381B">
      <w:r w:rsidRPr="0093355E">
        <w:t xml:space="preserve">The permission for </w:t>
      </w:r>
      <w:r w:rsidR="001E4611" w:rsidRPr="0093355E">
        <w:t xml:space="preserve">sodium and </w:t>
      </w:r>
      <w:r w:rsidRPr="0093355E">
        <w:t>salt nutrition content claims will not be extended to alcoholic beverages.</w:t>
      </w:r>
      <w:r w:rsidRPr="0093355E">
        <w:rPr>
          <w:lang w:bidi="ar-SA"/>
        </w:rPr>
        <w:t xml:space="preserve"> </w:t>
      </w:r>
      <w:r w:rsidRPr="0093355E">
        <w:t xml:space="preserve">The prohibition on </w:t>
      </w:r>
      <w:r w:rsidRPr="006851A3">
        <w:rPr>
          <w:b/>
        </w:rPr>
        <w:t>health claims</w:t>
      </w:r>
      <w:r w:rsidRPr="0093355E">
        <w:t xml:space="preserve"> about sodium and salt in relation to food</w:t>
      </w:r>
      <w:r w:rsidR="00A900BE">
        <w:t xml:space="preserve"> (including </w:t>
      </w:r>
      <w:r w:rsidR="00A44C70">
        <w:t>beverages</w:t>
      </w:r>
      <w:r w:rsidR="00A900BE">
        <w:t>)</w:t>
      </w:r>
      <w:r w:rsidR="00A44C70">
        <w:t xml:space="preserve"> </w:t>
      </w:r>
      <w:r w:rsidRPr="0093355E">
        <w:t xml:space="preserve">containing more than 1.15% alcohol by volume in Standard 1.2.7 will also be retained. </w:t>
      </w:r>
      <w:r w:rsidR="00B07ECF" w:rsidRPr="0093355E">
        <w:t>For these</w:t>
      </w:r>
      <w:r w:rsidR="00A44C70">
        <w:t xml:space="preserve"> foods </w:t>
      </w:r>
      <w:r w:rsidR="00A900BE">
        <w:t xml:space="preserve">(including </w:t>
      </w:r>
      <w:r w:rsidR="00B07ECF" w:rsidRPr="0093355E">
        <w:t>beverages</w:t>
      </w:r>
      <w:r w:rsidR="00966D84">
        <w:t>)</w:t>
      </w:r>
      <w:r w:rsidR="00B07ECF" w:rsidRPr="0093355E">
        <w:t xml:space="preserve">, this maintains the approach in </w:t>
      </w:r>
      <w:r w:rsidRPr="0093355E">
        <w:rPr>
          <w:lang w:bidi="ar-SA"/>
        </w:rPr>
        <w:t>Standard 1.2.7</w:t>
      </w:r>
      <w:r w:rsidR="00B07ECF" w:rsidRPr="0093355E">
        <w:rPr>
          <w:lang w:bidi="ar-SA"/>
        </w:rPr>
        <w:t xml:space="preserve">, as </w:t>
      </w:r>
      <w:r w:rsidRPr="0093355E">
        <w:rPr>
          <w:lang w:bidi="ar-SA"/>
        </w:rPr>
        <w:t>developed under Proposal P293</w:t>
      </w:r>
      <w:r w:rsidR="00B07ECF" w:rsidRPr="0093355E">
        <w:rPr>
          <w:lang w:bidi="ar-SA"/>
        </w:rPr>
        <w:t xml:space="preserve"> (see section 3.2)</w:t>
      </w:r>
      <w:r w:rsidRPr="0093355E">
        <w:rPr>
          <w:lang w:bidi="ar-SA"/>
        </w:rPr>
        <w:t xml:space="preserve">. </w:t>
      </w:r>
    </w:p>
    <w:p w14:paraId="686AF77D" w14:textId="77777777" w:rsidR="001A381B" w:rsidRPr="0093355E" w:rsidRDefault="001A381B" w:rsidP="001A381B"/>
    <w:p w14:paraId="5D3041D5" w14:textId="12A89A77" w:rsidR="001A381B" w:rsidRDefault="001A381B" w:rsidP="001A381B">
      <w:r w:rsidRPr="0093355E">
        <w:t xml:space="preserve">The requirements for providing a nutrition information panel on foods (not beverages) containing alcohol, including the requirement to declare potassium when a nutrition content claim about sodium is made, will remain. </w:t>
      </w:r>
    </w:p>
    <w:p w14:paraId="7455EF94" w14:textId="77777777" w:rsidR="00085367" w:rsidRDefault="00085367" w:rsidP="001A381B"/>
    <w:p w14:paraId="525957A5" w14:textId="0BCEF365" w:rsidR="00085367" w:rsidRPr="00F42FA2" w:rsidRDefault="00085367" w:rsidP="001A381B">
      <w:r w:rsidRPr="00F42FA2">
        <w:t>The proposed amendments to Standard 1.2.7 referred to above do not reflect the amendments to be made to that Standard by Proposal P1035 – Gluten Claims about Foods containing Alcohol</w:t>
      </w:r>
      <w:r w:rsidR="009A04D2" w:rsidRPr="00F42FA2">
        <w:t xml:space="preserve">. Proposal P1035 has been approved by FSANZ and is under consideration by the </w:t>
      </w:r>
      <w:r w:rsidR="00F42FA2" w:rsidRPr="00F42FA2">
        <w:t xml:space="preserve">Australia and New Zealand </w:t>
      </w:r>
      <w:r w:rsidR="009A04D2" w:rsidRPr="00F42FA2">
        <w:t xml:space="preserve">Ministerial </w:t>
      </w:r>
      <w:r w:rsidR="00F42FA2" w:rsidRPr="00F42FA2">
        <w:t>Forum on Food Regulation</w:t>
      </w:r>
      <w:r w:rsidR="009A04D2" w:rsidRPr="00F42FA2">
        <w:t>. The amendments proposed for this Proposal will be updated if</w:t>
      </w:r>
      <w:r w:rsidR="00F42FA2" w:rsidRPr="00F42FA2">
        <w:t xml:space="preserve"> Proposal</w:t>
      </w:r>
      <w:r w:rsidR="009A04D2" w:rsidRPr="00F42FA2">
        <w:t xml:space="preserve"> P1035 is gazetted before they take effect.</w:t>
      </w:r>
    </w:p>
    <w:p w14:paraId="6B87B838" w14:textId="159BEBC9" w:rsidR="001A381B" w:rsidRPr="0093355E" w:rsidRDefault="00814B27" w:rsidP="001A381B">
      <w:pPr>
        <w:pStyle w:val="Heading2"/>
      </w:pPr>
      <w:bookmarkStart w:id="56" w:name="_Toc423079115"/>
      <w:r w:rsidRPr="0093355E">
        <w:t>3</w:t>
      </w:r>
      <w:r w:rsidR="001A381B" w:rsidRPr="0093355E">
        <w:t>.4</w:t>
      </w:r>
      <w:r w:rsidR="001A381B" w:rsidRPr="0093355E">
        <w:tab/>
        <w:t>FSANZ Act assessment requirements</w:t>
      </w:r>
      <w:bookmarkEnd w:id="56"/>
    </w:p>
    <w:p w14:paraId="50B31EB9" w14:textId="77777777" w:rsidR="001A381B" w:rsidRPr="0093355E" w:rsidRDefault="001A381B" w:rsidP="001A381B">
      <w:r w:rsidRPr="0093355E">
        <w:t xml:space="preserve">When assessing this Proposal and the subsequent development of a food regulatory measure, FSANZ has had regard to the </w:t>
      </w:r>
      <w:r w:rsidRPr="0093355E" w:rsidDel="00932F14">
        <w:t xml:space="preserve">following </w:t>
      </w:r>
      <w:r w:rsidRPr="0093355E">
        <w:t>matters in section 59 of the FSANZ Act:</w:t>
      </w:r>
    </w:p>
    <w:p w14:paraId="12BCEF29" w14:textId="77777777" w:rsidR="00D87B03" w:rsidRDefault="00D87B03" w:rsidP="001A381B">
      <w:pPr>
        <w:pStyle w:val="Heading3"/>
      </w:pPr>
      <w:bookmarkStart w:id="57" w:name="_Toc423079116"/>
      <w:r>
        <w:br w:type="page"/>
      </w:r>
    </w:p>
    <w:p w14:paraId="02AE8C15" w14:textId="67250851" w:rsidR="001A381B" w:rsidRPr="0093355E" w:rsidRDefault="00814B27" w:rsidP="001A381B">
      <w:pPr>
        <w:pStyle w:val="Heading3"/>
        <w:rPr>
          <w:color w:val="auto"/>
        </w:rPr>
      </w:pPr>
      <w:r w:rsidRPr="0093355E">
        <w:lastRenderedPageBreak/>
        <w:t>3</w:t>
      </w:r>
      <w:r w:rsidR="001A381B" w:rsidRPr="0093355E">
        <w:t>.4.1</w:t>
      </w:r>
      <w:r w:rsidR="001A381B" w:rsidRPr="0093355E">
        <w:tab/>
        <w:t xml:space="preserve">Section </w:t>
      </w:r>
      <w:r w:rsidR="001A381B" w:rsidRPr="0093355E">
        <w:rPr>
          <w:color w:val="auto"/>
        </w:rPr>
        <w:t>59</w:t>
      </w:r>
      <w:bookmarkEnd w:id="57"/>
    </w:p>
    <w:p w14:paraId="7D40B22E" w14:textId="37145608" w:rsidR="001A381B" w:rsidRPr="0093355E" w:rsidRDefault="00814B27" w:rsidP="001A381B">
      <w:pPr>
        <w:pStyle w:val="Heading4"/>
      </w:pPr>
      <w:r w:rsidRPr="0093355E">
        <w:t>3</w:t>
      </w:r>
      <w:r w:rsidR="001A381B" w:rsidRPr="0093355E">
        <w:t>.4.1.1</w:t>
      </w:r>
      <w:r w:rsidR="001A381B" w:rsidRPr="0093355E">
        <w:tab/>
        <w:t>Cost benefit analysis</w:t>
      </w:r>
    </w:p>
    <w:p w14:paraId="36008387" w14:textId="77777777" w:rsidR="001A381B" w:rsidRPr="0093355E" w:rsidRDefault="001A381B" w:rsidP="001A381B">
      <w:r w:rsidRPr="0093355E">
        <w:t>The Office of Best Practice Regulation (OBPR) has advised FSANZ that the proposed changes are of a minor nature and no further analysis (in the form of a Regulation Impact Statement) is required (OBPR ID 19217).</w:t>
      </w:r>
    </w:p>
    <w:p w14:paraId="22353E4F" w14:textId="77777777" w:rsidR="00814B27" w:rsidRPr="0093355E" w:rsidRDefault="00814B27" w:rsidP="001A381B"/>
    <w:p w14:paraId="658F63E7" w14:textId="77777777" w:rsidR="001A381B" w:rsidRPr="0093355E" w:rsidRDefault="001A381B" w:rsidP="001A381B">
      <w:r w:rsidRPr="0093355E">
        <w:t>Affected parties include the following:</w:t>
      </w:r>
    </w:p>
    <w:p w14:paraId="48F88DB4" w14:textId="77777777" w:rsidR="001A381B" w:rsidRPr="0093355E" w:rsidRDefault="001A381B" w:rsidP="001A381B"/>
    <w:p w14:paraId="026104BE" w14:textId="1263EDA3" w:rsidR="001A381B" w:rsidRPr="0093355E" w:rsidRDefault="001A381B" w:rsidP="001A381B">
      <w:r w:rsidRPr="0093355E">
        <w:rPr>
          <w:b/>
        </w:rPr>
        <w:t>Industry:</w:t>
      </w:r>
      <w:r w:rsidRPr="0093355E">
        <w:t xml:space="preserve"> The draft variation will benefit </w:t>
      </w:r>
      <w:r w:rsidR="001E4611" w:rsidRPr="0093355E">
        <w:t>suppliers</w:t>
      </w:r>
      <w:r w:rsidRPr="0093355E">
        <w:t xml:space="preserve"> of food (not including beverages) containing more than 1.15% alcohol by volume as they will continue to be permitted to make claims about </w:t>
      </w:r>
      <w:r w:rsidRPr="0093355E">
        <w:rPr>
          <w:i/>
        </w:rPr>
        <w:t xml:space="preserve">reduced </w:t>
      </w:r>
      <w:r w:rsidRPr="0093355E">
        <w:t>or</w:t>
      </w:r>
      <w:r w:rsidRPr="0093355E">
        <w:rPr>
          <w:i/>
        </w:rPr>
        <w:t xml:space="preserve"> low </w:t>
      </w:r>
      <w:r w:rsidRPr="0093355E">
        <w:t>sodium or salt. There are not expected to be any costs resulting fr</w:t>
      </w:r>
      <w:r w:rsidR="001E4611" w:rsidRPr="0093355E">
        <w:t>om this Proposal to suppliers</w:t>
      </w:r>
      <w:r w:rsidRPr="0093355E">
        <w:t xml:space="preserve">. </w:t>
      </w:r>
      <w:r w:rsidR="001E4611" w:rsidRPr="0093355E">
        <w:t>The requirement to declare potassium in the nutrition information panel when a claim about sodium or salt is made remains the same.</w:t>
      </w:r>
    </w:p>
    <w:p w14:paraId="5EFF9209" w14:textId="77777777" w:rsidR="001A381B" w:rsidRPr="0093355E" w:rsidRDefault="001A381B" w:rsidP="001A381B"/>
    <w:p w14:paraId="0D925923" w14:textId="77777777" w:rsidR="001A381B" w:rsidRPr="0093355E" w:rsidRDefault="001A381B" w:rsidP="001A381B">
      <w:r w:rsidRPr="0093355E">
        <w:rPr>
          <w:b/>
        </w:rPr>
        <w:t>Consumers:</w:t>
      </w:r>
      <w:r w:rsidRPr="0093355E">
        <w:t xml:space="preserve"> The draft variation will enable consumers to continue to make informed choices about </w:t>
      </w:r>
      <w:r w:rsidRPr="00966D84">
        <w:rPr>
          <w:i/>
        </w:rPr>
        <w:t>reduced</w:t>
      </w:r>
      <w:r w:rsidRPr="0093355E">
        <w:t xml:space="preserve"> or </w:t>
      </w:r>
      <w:r w:rsidRPr="00966D84">
        <w:rPr>
          <w:i/>
        </w:rPr>
        <w:t xml:space="preserve">low </w:t>
      </w:r>
      <w:r w:rsidRPr="0093355E">
        <w:t xml:space="preserve">sodium or salt in foods containing more than 1.15% alcohol by volume.  </w:t>
      </w:r>
    </w:p>
    <w:p w14:paraId="4272537B" w14:textId="77777777" w:rsidR="001A381B" w:rsidRPr="0093355E" w:rsidRDefault="001A381B" w:rsidP="001A381B"/>
    <w:p w14:paraId="36F95F44" w14:textId="3E873823" w:rsidR="001A381B" w:rsidRPr="0093355E" w:rsidRDefault="001A381B" w:rsidP="001A381B">
      <w:r w:rsidRPr="0093355E">
        <w:rPr>
          <w:b/>
        </w:rPr>
        <w:t>Government:</w:t>
      </w:r>
      <w:r w:rsidRPr="0093355E">
        <w:t xml:space="preserve"> There are no additional costs to government as the draft variation maintains the position before the gazettal of Standard 1.2.7. </w:t>
      </w:r>
      <w:r w:rsidR="00E13AD8" w:rsidRPr="0093355E">
        <w:t>There will be</w:t>
      </w:r>
      <w:r w:rsidR="0086791C" w:rsidRPr="0093355E">
        <w:t xml:space="preserve"> no increase in enforcement costs to ensure that food containing alcohol cease</w:t>
      </w:r>
      <w:r w:rsidR="00E13AD8" w:rsidRPr="0093355E">
        <w:t>s</w:t>
      </w:r>
      <w:r w:rsidR="0086791C" w:rsidRPr="0093355E">
        <w:t xml:space="preserve"> making sodium</w:t>
      </w:r>
      <w:r w:rsidR="00E13AD8" w:rsidRPr="0093355E">
        <w:t xml:space="preserve"> or </w:t>
      </w:r>
      <w:r w:rsidR="0086791C" w:rsidRPr="0093355E">
        <w:t>salt content claims.</w:t>
      </w:r>
      <w:r w:rsidR="0086791C" w:rsidRPr="0093355E" w:rsidDel="0086791C">
        <w:t xml:space="preserve"> </w:t>
      </w:r>
    </w:p>
    <w:p w14:paraId="17C8756B" w14:textId="07B395FE" w:rsidR="001A381B" w:rsidRPr="0093355E" w:rsidRDefault="00814B27" w:rsidP="001A381B">
      <w:pPr>
        <w:pStyle w:val="Heading4"/>
      </w:pPr>
      <w:r w:rsidRPr="0093355E">
        <w:t>3</w:t>
      </w:r>
      <w:r w:rsidR="001A381B" w:rsidRPr="0093355E">
        <w:t>.4.1.2</w:t>
      </w:r>
      <w:r w:rsidR="001A381B" w:rsidRPr="0093355E">
        <w:tab/>
        <w:t>Other measures</w:t>
      </w:r>
    </w:p>
    <w:p w14:paraId="004D48D1" w14:textId="77777777" w:rsidR="001A381B" w:rsidRPr="0093355E" w:rsidRDefault="001A381B" w:rsidP="001A381B">
      <w:r w:rsidRPr="0093355E">
        <w:t>There are no other measures (whether available to FSANZ or not) that would be more cost-effective than a food regulatory measure developed or varied as a result of the Proposal.</w:t>
      </w:r>
    </w:p>
    <w:p w14:paraId="2FEF1D38" w14:textId="5200663F" w:rsidR="001A381B" w:rsidRPr="0093355E" w:rsidRDefault="00814B27" w:rsidP="001A381B">
      <w:pPr>
        <w:pStyle w:val="Heading4"/>
      </w:pPr>
      <w:r w:rsidRPr="0093355E">
        <w:t>3</w:t>
      </w:r>
      <w:r w:rsidR="001A381B" w:rsidRPr="0093355E">
        <w:t>.4.1.3</w:t>
      </w:r>
      <w:r w:rsidR="001A381B" w:rsidRPr="0093355E">
        <w:tab/>
        <w:t>Any relevant New Zealand standards</w:t>
      </w:r>
    </w:p>
    <w:p w14:paraId="0340B608" w14:textId="0213CD84" w:rsidR="001A381B" w:rsidRPr="0093355E" w:rsidRDefault="001A381B" w:rsidP="001A381B">
      <w:pPr>
        <w:rPr>
          <w:lang w:bidi="ar-SA"/>
        </w:rPr>
      </w:pPr>
      <w:r w:rsidRPr="0093355E">
        <w:t xml:space="preserve">The draft variations amend joint Australia New Zealand standards. </w:t>
      </w:r>
    </w:p>
    <w:p w14:paraId="6493F3BF" w14:textId="0CD53B77" w:rsidR="001A381B" w:rsidRPr="0093355E" w:rsidRDefault="00814B27" w:rsidP="001A381B">
      <w:pPr>
        <w:pStyle w:val="Heading4"/>
      </w:pPr>
      <w:r w:rsidRPr="0093355E">
        <w:t>3</w:t>
      </w:r>
      <w:r w:rsidR="001A381B" w:rsidRPr="0093355E">
        <w:t>.4.1.4</w:t>
      </w:r>
      <w:r w:rsidR="001A381B" w:rsidRPr="0093355E">
        <w:tab/>
        <w:t>Any other relevant matters</w:t>
      </w:r>
    </w:p>
    <w:p w14:paraId="1AFAD1FD" w14:textId="77777777" w:rsidR="001A381B" w:rsidRPr="0093355E" w:rsidRDefault="001A381B" w:rsidP="001A381B">
      <w:pPr>
        <w:rPr>
          <w:lang w:bidi="ar-SA"/>
        </w:rPr>
      </w:pPr>
      <w:r w:rsidRPr="0093355E">
        <w:rPr>
          <w:lang w:bidi="ar-SA"/>
        </w:rPr>
        <w:t>There are no other relevant matters.</w:t>
      </w:r>
    </w:p>
    <w:p w14:paraId="23569B19" w14:textId="048DA018" w:rsidR="001A381B" w:rsidRPr="0093355E" w:rsidRDefault="00814B27" w:rsidP="001A381B">
      <w:pPr>
        <w:pStyle w:val="Heading3"/>
      </w:pPr>
      <w:bookmarkStart w:id="58" w:name="_Toc423079117"/>
      <w:r w:rsidRPr="0093355E">
        <w:t>3</w:t>
      </w:r>
      <w:r w:rsidR="001A381B" w:rsidRPr="0093355E">
        <w:t>.</w:t>
      </w:r>
      <w:r w:rsidRPr="0093355E">
        <w:t>4</w:t>
      </w:r>
      <w:r w:rsidR="001A381B" w:rsidRPr="0093355E">
        <w:t>.2</w:t>
      </w:r>
      <w:r w:rsidR="001A381B" w:rsidRPr="0093355E">
        <w:tab/>
        <w:t>Subsection 18(1)</w:t>
      </w:r>
      <w:bookmarkEnd w:id="58"/>
      <w:r w:rsidR="001A381B" w:rsidRPr="0093355E">
        <w:t xml:space="preserve"> </w:t>
      </w:r>
    </w:p>
    <w:p w14:paraId="4C88CCCC" w14:textId="77777777" w:rsidR="001A381B" w:rsidRPr="0093355E" w:rsidRDefault="001A381B" w:rsidP="001A381B">
      <w:r w:rsidRPr="0093355E">
        <w:rPr>
          <w:rFonts w:cs="Arial"/>
        </w:rPr>
        <w:t xml:space="preserve">FSANZ has also </w:t>
      </w:r>
      <w:r w:rsidRPr="0093355E">
        <w:t>considered the three objectives in subsection 18(1) of the FSANZ Act during the assessment.</w:t>
      </w:r>
    </w:p>
    <w:p w14:paraId="37258939" w14:textId="654A9794" w:rsidR="001A381B" w:rsidRPr="0093355E" w:rsidRDefault="00814B27" w:rsidP="001A381B">
      <w:pPr>
        <w:pStyle w:val="Heading4"/>
        <w:rPr>
          <w:lang w:eastAsia="en-AU"/>
        </w:rPr>
      </w:pPr>
      <w:r w:rsidRPr="0093355E">
        <w:rPr>
          <w:lang w:eastAsia="en-AU"/>
        </w:rPr>
        <w:t>3.4</w:t>
      </w:r>
      <w:r w:rsidR="001A381B" w:rsidRPr="0093355E">
        <w:rPr>
          <w:lang w:eastAsia="en-AU"/>
        </w:rPr>
        <w:t>.2.1</w:t>
      </w:r>
      <w:r w:rsidR="001A381B" w:rsidRPr="0093355E">
        <w:rPr>
          <w:lang w:eastAsia="en-AU"/>
        </w:rPr>
        <w:tab/>
        <w:t>Protection of public health and safety</w:t>
      </w:r>
    </w:p>
    <w:p w14:paraId="7E9281AC" w14:textId="77777777" w:rsidR="001A381B" w:rsidRPr="0093355E" w:rsidRDefault="001A381B" w:rsidP="00C52547">
      <w:r w:rsidRPr="0093355E">
        <w:t xml:space="preserve">The proposed approach, to permit nutrition content claims about sodium or salt in relation to foods containing alcohol, but not alcoholic beverages, is consistent with this objective. The prohibition of most nutrition content and health claims about foods containing more than 1.15% alcohol by volume in Standard 1.2.7 was developed given social issues regarding the abuse of alcohol. </w:t>
      </w:r>
    </w:p>
    <w:p w14:paraId="5585ACE7" w14:textId="636377E4" w:rsidR="001A381B" w:rsidRPr="0093355E" w:rsidRDefault="00814B27" w:rsidP="001A381B">
      <w:pPr>
        <w:pStyle w:val="Heading4"/>
        <w:rPr>
          <w:lang w:eastAsia="en-AU"/>
        </w:rPr>
      </w:pPr>
      <w:r w:rsidRPr="0093355E">
        <w:rPr>
          <w:lang w:eastAsia="en-AU"/>
        </w:rPr>
        <w:t>3.4</w:t>
      </w:r>
      <w:r w:rsidR="001A381B" w:rsidRPr="0093355E">
        <w:rPr>
          <w:lang w:eastAsia="en-AU"/>
        </w:rPr>
        <w:t>.2.2</w:t>
      </w:r>
      <w:r w:rsidR="001A381B" w:rsidRPr="0093355E">
        <w:rPr>
          <w:lang w:eastAsia="en-AU"/>
        </w:rPr>
        <w:tab/>
        <w:t>The provision of adequate information relating to food to enable consumers to make informed choices</w:t>
      </w:r>
    </w:p>
    <w:p w14:paraId="34923BC6" w14:textId="443D245E" w:rsidR="001A381B" w:rsidRPr="0093355E" w:rsidRDefault="001A381B" w:rsidP="00C52547">
      <w:r w:rsidRPr="0093355E">
        <w:t xml:space="preserve">The proposed amendment will permit nutrition content claims about sodium and salt to continue to be made in relation to foods containing more than 1.15% alcohol by volume, thus enabling consumers to continue to make informed choices about </w:t>
      </w:r>
      <w:r w:rsidRPr="0093355E">
        <w:rPr>
          <w:i/>
        </w:rPr>
        <w:t xml:space="preserve">reduced </w:t>
      </w:r>
      <w:r w:rsidRPr="0093355E">
        <w:t xml:space="preserve">or </w:t>
      </w:r>
      <w:r w:rsidRPr="0093355E">
        <w:rPr>
          <w:i/>
        </w:rPr>
        <w:t xml:space="preserve">low </w:t>
      </w:r>
      <w:r w:rsidRPr="00966D84">
        <w:t>sodium</w:t>
      </w:r>
      <w:r w:rsidR="00966D84">
        <w:t xml:space="preserve"> or </w:t>
      </w:r>
      <w:r w:rsidRPr="00966D84">
        <w:t>salt</w:t>
      </w:r>
      <w:r w:rsidRPr="0093355E">
        <w:t xml:space="preserve"> varieties of these foods. </w:t>
      </w:r>
    </w:p>
    <w:p w14:paraId="690BE46F" w14:textId="40F1C54C" w:rsidR="001A381B" w:rsidRPr="0093355E" w:rsidRDefault="00814B27" w:rsidP="001A381B">
      <w:pPr>
        <w:pStyle w:val="Heading4"/>
        <w:rPr>
          <w:lang w:eastAsia="en-AU"/>
        </w:rPr>
      </w:pPr>
      <w:r w:rsidRPr="0093355E">
        <w:rPr>
          <w:lang w:eastAsia="en-AU"/>
        </w:rPr>
        <w:lastRenderedPageBreak/>
        <w:t>3.4</w:t>
      </w:r>
      <w:r w:rsidR="001A381B" w:rsidRPr="0093355E">
        <w:rPr>
          <w:lang w:eastAsia="en-AU"/>
        </w:rPr>
        <w:t>.2.3</w:t>
      </w:r>
      <w:r w:rsidR="001A381B" w:rsidRPr="0093355E">
        <w:rPr>
          <w:lang w:eastAsia="en-AU"/>
        </w:rPr>
        <w:tab/>
        <w:t>The prevention of misleading or deceptive conduct</w:t>
      </w:r>
    </w:p>
    <w:p w14:paraId="7B8B5DCF" w14:textId="6C74CCCB" w:rsidR="001A381B" w:rsidRPr="0093355E" w:rsidRDefault="00FE6A6E" w:rsidP="00C52547">
      <w:r w:rsidRPr="0093355E">
        <w:t>This objective is not considered relevant to the issues being considered in this Proposal. Note that t</w:t>
      </w:r>
      <w:r w:rsidR="001A381B" w:rsidRPr="0093355E">
        <w:t>he conditions applying to sodium and salt nutrition content claims</w:t>
      </w:r>
      <w:r w:rsidRPr="0093355E">
        <w:t xml:space="preserve"> in Standard 1.2.7</w:t>
      </w:r>
      <w:r w:rsidR="001A381B" w:rsidRPr="0093355E">
        <w:t xml:space="preserve"> will apply</w:t>
      </w:r>
      <w:r w:rsidRPr="0093355E">
        <w:t>.</w:t>
      </w:r>
    </w:p>
    <w:p w14:paraId="2C9AD6D5" w14:textId="4874F8A3" w:rsidR="001A381B" w:rsidRPr="0093355E" w:rsidRDefault="00814B27" w:rsidP="001A381B">
      <w:pPr>
        <w:pStyle w:val="Heading3"/>
      </w:pPr>
      <w:bookmarkStart w:id="59" w:name="_Toc423079118"/>
      <w:r w:rsidRPr="0093355E">
        <w:t>3</w:t>
      </w:r>
      <w:r w:rsidR="001A381B" w:rsidRPr="0093355E">
        <w:t>.</w:t>
      </w:r>
      <w:r w:rsidR="007B0685" w:rsidRPr="0093355E">
        <w:t>4.3</w:t>
      </w:r>
      <w:r w:rsidR="001A381B" w:rsidRPr="0093355E">
        <w:tab/>
        <w:t>Subsection 18(2) considerations</w:t>
      </w:r>
      <w:bookmarkEnd w:id="59"/>
    </w:p>
    <w:p w14:paraId="4B307894" w14:textId="77777777" w:rsidR="001A381B" w:rsidRPr="0093355E" w:rsidRDefault="001A381B" w:rsidP="001A381B">
      <w:pPr>
        <w:rPr>
          <w:rFonts w:cs="Arial"/>
        </w:rPr>
      </w:pPr>
      <w:r w:rsidRPr="0093355E">
        <w:rPr>
          <w:rFonts w:cs="Arial"/>
        </w:rPr>
        <w:t>FSANZ has also had regard to:</w:t>
      </w:r>
    </w:p>
    <w:p w14:paraId="1D8E9F62" w14:textId="77777777" w:rsidR="001A381B" w:rsidRPr="0093355E" w:rsidRDefault="001A381B" w:rsidP="001A381B">
      <w:pPr>
        <w:rPr>
          <w:rFonts w:cs="Arial"/>
        </w:rPr>
      </w:pPr>
    </w:p>
    <w:p w14:paraId="03852F5F" w14:textId="77777777" w:rsidR="001A381B" w:rsidRPr="0093355E" w:rsidRDefault="001A381B" w:rsidP="001A381B">
      <w:pPr>
        <w:pStyle w:val="FSBullet1"/>
        <w:rPr>
          <w:b/>
        </w:rPr>
      </w:pPr>
      <w:r w:rsidRPr="0093355E">
        <w:rPr>
          <w:b/>
        </w:rPr>
        <w:t>the need for standards to be based on risk analysis using the best available scientific evidence</w:t>
      </w:r>
    </w:p>
    <w:p w14:paraId="27770EE7" w14:textId="77777777" w:rsidR="001A381B" w:rsidRPr="0093355E" w:rsidRDefault="001A381B" w:rsidP="001A381B">
      <w:pPr>
        <w:rPr>
          <w:lang w:bidi="ar-SA"/>
        </w:rPr>
      </w:pPr>
    </w:p>
    <w:p w14:paraId="1D838106" w14:textId="77777777" w:rsidR="001A381B" w:rsidRPr="0093355E" w:rsidRDefault="001A381B" w:rsidP="001A381B">
      <w:pPr>
        <w:rPr>
          <w:lang w:bidi="ar-SA"/>
        </w:rPr>
      </w:pPr>
      <w:r w:rsidRPr="0093355E">
        <w:rPr>
          <w:lang w:bidi="ar-SA"/>
        </w:rPr>
        <w:t xml:space="preserve">Scientific risk analysis appropriate for the issues being considered has been carried out. </w:t>
      </w:r>
    </w:p>
    <w:p w14:paraId="58F97322" w14:textId="77777777" w:rsidR="001A381B" w:rsidRPr="0093355E" w:rsidRDefault="001A381B" w:rsidP="001A381B">
      <w:pPr>
        <w:rPr>
          <w:lang w:bidi="ar-SA"/>
        </w:rPr>
      </w:pPr>
    </w:p>
    <w:p w14:paraId="74C2C2C7" w14:textId="77777777" w:rsidR="001A381B" w:rsidRPr="0093355E" w:rsidRDefault="001A381B" w:rsidP="001A381B">
      <w:pPr>
        <w:pStyle w:val="FSBullet1"/>
        <w:rPr>
          <w:b/>
        </w:rPr>
      </w:pPr>
      <w:r w:rsidRPr="0093355E">
        <w:rPr>
          <w:b/>
        </w:rPr>
        <w:t>the promotion of consistency between domestic and international food standards</w:t>
      </w:r>
    </w:p>
    <w:p w14:paraId="1CCEFC21" w14:textId="77777777" w:rsidR="00814B27" w:rsidRPr="0093355E" w:rsidRDefault="00814B27" w:rsidP="001A381B"/>
    <w:p w14:paraId="72DEC5CD" w14:textId="77777777" w:rsidR="001A381B" w:rsidRPr="0093355E" w:rsidRDefault="001A381B" w:rsidP="001A381B">
      <w:r w:rsidRPr="0093355E">
        <w:t xml:space="preserve">Nutrition content claims about sodium are generally permitted in relation to foods containing alcohol in international food standards. Permission to make such claims in Australia and New Zealand is therefore consistent with these international food standards. </w:t>
      </w:r>
    </w:p>
    <w:p w14:paraId="67574148" w14:textId="77777777" w:rsidR="001A381B" w:rsidRPr="00C52547" w:rsidRDefault="001A381B" w:rsidP="001A381B"/>
    <w:p w14:paraId="19705215" w14:textId="77777777" w:rsidR="001A381B" w:rsidRPr="0093355E" w:rsidRDefault="001A381B" w:rsidP="001A381B">
      <w:pPr>
        <w:pStyle w:val="FSBullet1"/>
        <w:rPr>
          <w:b/>
        </w:rPr>
      </w:pPr>
      <w:r w:rsidRPr="0093355E">
        <w:rPr>
          <w:b/>
        </w:rPr>
        <w:t>the desirability of an efficient and internationally competitive food industry</w:t>
      </w:r>
    </w:p>
    <w:p w14:paraId="4BAB4E76" w14:textId="77777777" w:rsidR="00814B27" w:rsidRPr="00C52547" w:rsidRDefault="00814B27" w:rsidP="001A381B"/>
    <w:p w14:paraId="5EEB2729" w14:textId="77777777" w:rsidR="001A381B" w:rsidRPr="00C52547" w:rsidRDefault="001A381B" w:rsidP="001A381B">
      <w:r w:rsidRPr="00C52547">
        <w:t xml:space="preserve">The draft variations are expected to have a positive effect on the efficiency and international competitiveness of the food industry, as they will permit existing claims to continue to be made. </w:t>
      </w:r>
    </w:p>
    <w:p w14:paraId="7E4A26CF" w14:textId="77777777" w:rsidR="001A381B" w:rsidRPr="0093355E" w:rsidRDefault="001A381B" w:rsidP="001A381B">
      <w:pPr>
        <w:rPr>
          <w:lang w:bidi="ar-SA"/>
        </w:rPr>
      </w:pPr>
    </w:p>
    <w:p w14:paraId="7DBFC802" w14:textId="77777777" w:rsidR="001A381B" w:rsidRPr="0093355E" w:rsidRDefault="001A381B" w:rsidP="001A381B">
      <w:pPr>
        <w:pStyle w:val="FSBullet1"/>
        <w:rPr>
          <w:b/>
        </w:rPr>
      </w:pPr>
      <w:r w:rsidRPr="0093355E">
        <w:rPr>
          <w:b/>
        </w:rPr>
        <w:t>the promotion of fair trading in food</w:t>
      </w:r>
    </w:p>
    <w:p w14:paraId="05EDE1DB" w14:textId="77777777" w:rsidR="00814B27" w:rsidRPr="0093355E" w:rsidRDefault="00814B27" w:rsidP="001A381B">
      <w:pPr>
        <w:rPr>
          <w:lang w:bidi="ar-SA"/>
        </w:rPr>
      </w:pPr>
    </w:p>
    <w:p w14:paraId="427130CB" w14:textId="4C545CF7" w:rsidR="001A381B" w:rsidRPr="0093355E" w:rsidRDefault="001A381B" w:rsidP="001A381B">
      <w:pPr>
        <w:rPr>
          <w:lang w:bidi="ar-SA"/>
        </w:rPr>
      </w:pPr>
      <w:r w:rsidRPr="0093355E">
        <w:rPr>
          <w:lang w:bidi="ar-SA"/>
        </w:rPr>
        <w:t xml:space="preserve">Submitters to the </w:t>
      </w:r>
      <w:r w:rsidR="0069019F" w:rsidRPr="0093355E">
        <w:rPr>
          <w:lang w:bidi="ar-SA"/>
        </w:rPr>
        <w:t xml:space="preserve">Call for Submissions for </w:t>
      </w:r>
      <w:r w:rsidRPr="0093355E">
        <w:rPr>
          <w:lang w:bidi="ar-SA"/>
        </w:rPr>
        <w:t>P1035 noted that the prohibition of sodium claims places naturally brewed soy sauce at a disadvantage to those that are not naturally brewed (therefore not containing alcohol), for no reason of health consequence.</w:t>
      </w:r>
      <w:r w:rsidRPr="0093355E">
        <w:t xml:space="preserve"> </w:t>
      </w:r>
      <w:r w:rsidRPr="0093355E">
        <w:rPr>
          <w:lang w:bidi="ar-SA"/>
        </w:rPr>
        <w:t xml:space="preserve">The proposed amendment means fermented varieties of soy sauce and similar fermented foods will continue to be subject to same conditions and permissions of the non-fermented varieties. </w:t>
      </w:r>
    </w:p>
    <w:p w14:paraId="0B69BD28" w14:textId="77777777" w:rsidR="001A381B" w:rsidRPr="0093355E" w:rsidRDefault="001A381B" w:rsidP="001A381B">
      <w:pPr>
        <w:rPr>
          <w:lang w:bidi="ar-SA"/>
        </w:rPr>
      </w:pPr>
    </w:p>
    <w:p w14:paraId="728A6019" w14:textId="77777777" w:rsidR="001A381B" w:rsidRPr="0093355E" w:rsidRDefault="001A381B" w:rsidP="001A381B">
      <w:pPr>
        <w:pStyle w:val="FSBullet1"/>
      </w:pPr>
      <w:r w:rsidRPr="0093355E">
        <w:rPr>
          <w:b/>
        </w:rPr>
        <w:t>any written policy guidelines formulated by the Ministerial Council</w:t>
      </w:r>
      <w:r w:rsidRPr="0093355E">
        <w:rPr>
          <w:rStyle w:val="FootnoteReference"/>
        </w:rPr>
        <w:footnoteReference w:id="11"/>
      </w:r>
    </w:p>
    <w:p w14:paraId="4195A49B" w14:textId="77777777" w:rsidR="001A381B" w:rsidRPr="0093355E" w:rsidRDefault="001A381B" w:rsidP="001A381B">
      <w:pPr>
        <w:rPr>
          <w:lang w:bidi="ar-SA"/>
        </w:rPr>
      </w:pPr>
    </w:p>
    <w:p w14:paraId="24D89C03" w14:textId="77777777" w:rsidR="001A381B" w:rsidRPr="0093355E" w:rsidRDefault="001A381B" w:rsidP="001A381B">
      <w:pPr>
        <w:rPr>
          <w:lang w:bidi="ar-SA"/>
        </w:rPr>
      </w:pPr>
      <w:r w:rsidRPr="0093355E">
        <w:rPr>
          <w:lang w:bidi="ar-SA"/>
        </w:rPr>
        <w:t xml:space="preserve">In December 2003, the Ministerial Council released the </w:t>
      </w:r>
      <w:r w:rsidRPr="0093355E">
        <w:rPr>
          <w:i/>
          <w:lang w:bidi="ar-SA"/>
        </w:rPr>
        <w:t>Policy Guideline on Nutrition, Health and Related Claims</w:t>
      </w:r>
      <w:r w:rsidRPr="0093355E">
        <w:rPr>
          <w:vertAlign w:val="superscript"/>
          <w:lang w:bidi="ar-SA"/>
        </w:rPr>
        <w:footnoteReference w:id="12"/>
      </w:r>
      <w:r w:rsidRPr="0093355E">
        <w:rPr>
          <w:i/>
          <w:lang w:bidi="ar-SA"/>
        </w:rPr>
        <w:t xml:space="preserve">. </w:t>
      </w:r>
      <w:r w:rsidRPr="0093355E">
        <w:rPr>
          <w:lang w:bidi="ar-SA"/>
        </w:rPr>
        <w:t xml:space="preserve">The Policy Guideline sets out the policy principles underpinning the regulation of nutrition content claims (and health claims) and aims to permit claims and encourage industry to innovate, whilst ensuring consumers are not misled. </w:t>
      </w:r>
    </w:p>
    <w:p w14:paraId="24E5E06E" w14:textId="77777777" w:rsidR="001A381B" w:rsidRPr="0093355E" w:rsidRDefault="001A381B" w:rsidP="001A381B">
      <w:pPr>
        <w:rPr>
          <w:lang w:bidi="ar-SA"/>
        </w:rPr>
      </w:pPr>
    </w:p>
    <w:p w14:paraId="21DF9E6D" w14:textId="5F3B05EF" w:rsidR="001A381B" w:rsidRPr="0093355E" w:rsidRDefault="00966D84" w:rsidP="001A381B">
      <w:pPr>
        <w:rPr>
          <w:i/>
          <w:lang w:bidi="ar-SA"/>
        </w:rPr>
      </w:pPr>
      <w:r>
        <w:rPr>
          <w:lang w:bidi="ar-SA"/>
        </w:rPr>
        <w:t>O</w:t>
      </w:r>
      <w:r w:rsidR="001A381B" w:rsidRPr="0093355E">
        <w:rPr>
          <w:lang w:bidi="ar-SA"/>
        </w:rPr>
        <w:t>verarching policy principle</w:t>
      </w:r>
      <w:r>
        <w:rPr>
          <w:lang w:bidi="ar-SA"/>
        </w:rPr>
        <w:t>s include</w:t>
      </w:r>
      <w:r w:rsidR="001A381B" w:rsidRPr="0093355E">
        <w:rPr>
          <w:lang w:bidi="ar-SA"/>
        </w:rPr>
        <w:t xml:space="preserve"> that claims can be made providing</w:t>
      </w:r>
      <w:r w:rsidR="001A381B" w:rsidRPr="0093355E">
        <w:rPr>
          <w:i/>
          <w:lang w:bidi="ar-SA"/>
        </w:rPr>
        <w:t xml:space="preserve"> the eligibility criteria, including qualifying and/or disqualifying criteria (and any excluded categories of foods, such as alcohol and infant foods), are complied with; </w:t>
      </w:r>
      <w:r w:rsidR="001A381B" w:rsidRPr="0093355E">
        <w:rPr>
          <w:lang w:bidi="ar-SA"/>
        </w:rPr>
        <w:t xml:space="preserve">and </w:t>
      </w:r>
      <w:r w:rsidR="001A381B" w:rsidRPr="0093355E">
        <w:rPr>
          <w:i/>
          <w:lang w:bidi="ar-SA"/>
        </w:rPr>
        <w:t>the claim is socially responsible and does not promote irresponsible food consumption patterns.</w:t>
      </w:r>
    </w:p>
    <w:p w14:paraId="1ACD737F" w14:textId="77777777" w:rsidR="001A381B" w:rsidRPr="0093355E" w:rsidRDefault="001A381B" w:rsidP="001A381B">
      <w:pPr>
        <w:rPr>
          <w:lang w:bidi="ar-SA"/>
        </w:rPr>
      </w:pPr>
    </w:p>
    <w:p w14:paraId="1F5A7002" w14:textId="023BC3CC" w:rsidR="00D87B03" w:rsidRDefault="001A381B" w:rsidP="001A381B">
      <w:pPr>
        <w:rPr>
          <w:lang w:bidi="ar-SA"/>
        </w:rPr>
      </w:pPr>
      <w:r w:rsidRPr="0093355E">
        <w:rPr>
          <w:lang w:bidi="ar-SA"/>
        </w:rPr>
        <w:t>These policy principles have been taken into consideration whilst considering the proposed amendments, as outlined in the sections above.</w:t>
      </w:r>
      <w:r w:rsidR="00D87B03">
        <w:rPr>
          <w:lang w:bidi="ar-SA"/>
        </w:rPr>
        <w:br w:type="page"/>
      </w:r>
    </w:p>
    <w:p w14:paraId="65771CBA" w14:textId="045EE6A4" w:rsidR="001A381B" w:rsidRPr="0093355E" w:rsidRDefault="00A43EEC" w:rsidP="0093355E">
      <w:pPr>
        <w:pStyle w:val="Heading1"/>
      </w:pPr>
      <w:bookmarkStart w:id="60" w:name="_Toc300933435"/>
      <w:bookmarkStart w:id="61" w:name="_Toc423079119"/>
      <w:r w:rsidRPr="0093355E">
        <w:lastRenderedPageBreak/>
        <w:t>4</w:t>
      </w:r>
      <w:r w:rsidR="001A381B" w:rsidRPr="0093355E">
        <w:tab/>
        <w:t>Risk communication</w:t>
      </w:r>
      <w:bookmarkEnd w:id="60"/>
      <w:bookmarkEnd w:id="61"/>
      <w:r w:rsidR="001A381B" w:rsidRPr="0093355E">
        <w:t xml:space="preserve"> </w:t>
      </w:r>
    </w:p>
    <w:p w14:paraId="2595FB4A" w14:textId="2F93919F" w:rsidR="001A381B" w:rsidRPr="0093355E" w:rsidRDefault="00A43EEC" w:rsidP="00ED0372">
      <w:pPr>
        <w:pStyle w:val="Heading2"/>
      </w:pPr>
      <w:bookmarkStart w:id="62" w:name="_Toc300933437"/>
      <w:bookmarkStart w:id="63" w:name="_Toc423079120"/>
      <w:bookmarkStart w:id="64" w:name="_Toc286391012"/>
      <w:r w:rsidRPr="0093355E">
        <w:t>4.1</w:t>
      </w:r>
      <w:r w:rsidR="001A381B" w:rsidRPr="0093355E">
        <w:tab/>
        <w:t>Consultation</w:t>
      </w:r>
      <w:bookmarkEnd w:id="62"/>
      <w:bookmarkEnd w:id="63"/>
    </w:p>
    <w:p w14:paraId="05D6190F" w14:textId="0EB28A34" w:rsidR="001A381B" w:rsidRPr="0093355E" w:rsidRDefault="001A381B" w:rsidP="001A381B">
      <w:pPr>
        <w:rPr>
          <w:szCs w:val="22"/>
        </w:rPr>
      </w:pPr>
      <w:r w:rsidRPr="0093355E">
        <w:rPr>
          <w:szCs w:val="22"/>
        </w:rPr>
        <w:t xml:space="preserve">Consultation is a key part of FSANZ’s standards development process. The process by which FSANZ considers standard development matters is open, accountable, consultative and transparent. Public submissions are called </w:t>
      </w:r>
      <w:r w:rsidR="0093355E">
        <w:rPr>
          <w:szCs w:val="22"/>
        </w:rPr>
        <w:t xml:space="preserve">for </w:t>
      </w:r>
      <w:r w:rsidRPr="0093355E">
        <w:rPr>
          <w:szCs w:val="22"/>
        </w:rPr>
        <w:t xml:space="preserve">to obtain the views of interested parties on issues raised by this Proposal and the effects of regulatory options. Every submission is reviewed by FSANZ staff, </w:t>
      </w:r>
      <w:proofErr w:type="gramStart"/>
      <w:r w:rsidRPr="0093355E">
        <w:rPr>
          <w:szCs w:val="22"/>
        </w:rPr>
        <w:t>who</w:t>
      </w:r>
      <w:proofErr w:type="gramEnd"/>
      <w:r w:rsidRPr="0093355E">
        <w:rPr>
          <w:szCs w:val="22"/>
        </w:rPr>
        <w:t xml:space="preserve"> examine the issues identified and prepare a response to those issues. While not all comments may be taken on board during the process, they are valued and all contribute to the rigour of our assessment. </w:t>
      </w:r>
    </w:p>
    <w:p w14:paraId="018BF965" w14:textId="77777777" w:rsidR="001A381B" w:rsidRPr="0093355E" w:rsidRDefault="001A381B" w:rsidP="001A381B">
      <w:pPr>
        <w:rPr>
          <w:szCs w:val="22"/>
        </w:rPr>
      </w:pPr>
    </w:p>
    <w:p w14:paraId="71EB39DB" w14:textId="77777777" w:rsidR="001A381B" w:rsidRPr="0093355E" w:rsidRDefault="001A381B" w:rsidP="001A381B">
      <w:pPr>
        <w:rPr>
          <w:szCs w:val="22"/>
        </w:rPr>
      </w:pPr>
      <w:r w:rsidRPr="0093355E">
        <w:rPr>
          <w:szCs w:val="22"/>
        </w:rPr>
        <w:t xml:space="preserve">FSANZ develops communication plans to ensure stakeholders are aware of proposed changes to the Code. All calls for submissions are notified via the FSANZ Notification Circular, media release, FSANZ’s social media tools and Food Standards News. </w:t>
      </w:r>
    </w:p>
    <w:p w14:paraId="6817802B" w14:textId="77777777" w:rsidR="001A381B" w:rsidRPr="0093355E" w:rsidRDefault="001A381B" w:rsidP="001A381B">
      <w:pPr>
        <w:rPr>
          <w:szCs w:val="22"/>
        </w:rPr>
      </w:pPr>
    </w:p>
    <w:p w14:paraId="689CCF5B" w14:textId="77777777" w:rsidR="001A381B" w:rsidRPr="0093355E" w:rsidRDefault="001A381B" w:rsidP="001A381B">
      <w:pPr>
        <w:rPr>
          <w:szCs w:val="22"/>
        </w:rPr>
      </w:pPr>
      <w:r w:rsidRPr="0093355E">
        <w:rPr>
          <w:szCs w:val="22"/>
        </w:rPr>
        <w:t xml:space="preserve">The draft variation will be considered for approval by the FSANZ Board taking into account public comments received following this call for submissions. Anyone who is an interested party or who makes a submission will be notified at each stage of the assessment. Subscribers and interested parties are also notified by email about the availability of reports for public comment. </w:t>
      </w:r>
    </w:p>
    <w:p w14:paraId="62CBB8D0" w14:textId="77777777" w:rsidR="001A381B" w:rsidRPr="0093355E" w:rsidRDefault="001A381B" w:rsidP="001A381B">
      <w:pPr>
        <w:rPr>
          <w:szCs w:val="22"/>
        </w:rPr>
      </w:pPr>
    </w:p>
    <w:p w14:paraId="3C7DECD6" w14:textId="77777777" w:rsidR="001A381B" w:rsidRPr="0093355E" w:rsidRDefault="001A381B" w:rsidP="001A381B">
      <w:pPr>
        <w:rPr>
          <w:szCs w:val="22"/>
        </w:rPr>
      </w:pPr>
      <w:r w:rsidRPr="0093355E">
        <w:rPr>
          <w:szCs w:val="22"/>
        </w:rPr>
        <w:t>If the draft variation to the Code is approved by the FSANZ Board, that decision will be notified to the Australia and New Zealand Ministerial Forum on Food Regulation. If the decision is not subject to a request for a review, stakeholders will be notified of the gazettal of the variation to the Code in the national press and on the FSANZ website.</w:t>
      </w:r>
    </w:p>
    <w:p w14:paraId="45F3AF73" w14:textId="654AF4E6" w:rsidR="001A381B" w:rsidRPr="0093355E" w:rsidRDefault="00A43EEC" w:rsidP="00ED0372">
      <w:pPr>
        <w:pStyle w:val="Heading2"/>
      </w:pPr>
      <w:bookmarkStart w:id="65" w:name="_Toc300761912"/>
      <w:bookmarkStart w:id="66" w:name="_Toc300933439"/>
      <w:bookmarkStart w:id="67" w:name="_Toc423079121"/>
      <w:bookmarkEnd w:id="64"/>
      <w:r w:rsidRPr="0093355E">
        <w:t>4.</w:t>
      </w:r>
      <w:r w:rsidR="001A381B" w:rsidRPr="0093355E">
        <w:t>2</w:t>
      </w:r>
      <w:r w:rsidR="001A381B" w:rsidRPr="0093355E">
        <w:tab/>
        <w:t>World Trade Organization (WTO)</w:t>
      </w:r>
      <w:bookmarkEnd w:id="65"/>
      <w:bookmarkEnd w:id="66"/>
      <w:bookmarkEnd w:id="67"/>
    </w:p>
    <w:p w14:paraId="309EA339" w14:textId="77777777" w:rsidR="001A381B" w:rsidRPr="0093355E" w:rsidRDefault="001A381B" w:rsidP="001A381B">
      <w:pPr>
        <w:rPr>
          <w:rFonts w:cs="Arial"/>
          <w:color w:val="000000"/>
        </w:rPr>
      </w:pPr>
      <w:r w:rsidRPr="0093355E">
        <w:rPr>
          <w:rFonts w:cs="Arial"/>
          <w:color w:val="000000"/>
        </w:rPr>
        <w:t>As members of the World Trade Organization (WTO), Australia and New Zealand are obliged to notify WTO members where proposed mandatory regulatory measures are inconsistent with any existing or imminent international standards and the proposed measure may have a significant effect on trade.</w:t>
      </w:r>
    </w:p>
    <w:p w14:paraId="50E89062" w14:textId="77777777" w:rsidR="001A381B" w:rsidRPr="0093355E" w:rsidRDefault="001A381B" w:rsidP="001A381B">
      <w:pPr>
        <w:tabs>
          <w:tab w:val="left" w:pos="1560"/>
        </w:tabs>
        <w:rPr>
          <w:rFonts w:cs="Arial"/>
        </w:rPr>
      </w:pPr>
    </w:p>
    <w:p w14:paraId="04F7CECE" w14:textId="276EBE24" w:rsidR="001A381B" w:rsidRPr="0093355E" w:rsidRDefault="001A381B" w:rsidP="001A381B">
      <w:pPr>
        <w:tabs>
          <w:tab w:val="left" w:pos="1560"/>
        </w:tabs>
        <w:rPr>
          <w:rFonts w:cs="Arial"/>
          <w:iCs/>
        </w:rPr>
      </w:pPr>
      <w:r w:rsidRPr="0093355E">
        <w:rPr>
          <w:rFonts w:cs="Arial"/>
        </w:rPr>
        <w:t>There are</w:t>
      </w:r>
      <w:r w:rsidRPr="0093355E">
        <w:rPr>
          <w:rFonts w:cs="Arial"/>
          <w:color w:val="FF0000"/>
        </w:rPr>
        <w:t xml:space="preserve"> </w:t>
      </w:r>
      <w:r w:rsidRPr="0093355E">
        <w:rPr>
          <w:rFonts w:cs="Arial"/>
        </w:rPr>
        <w:t xml:space="preserve">relevant international standards, however amending the Code as outlined in sections </w:t>
      </w:r>
      <w:r w:rsidR="00D10816" w:rsidRPr="0093355E">
        <w:rPr>
          <w:rFonts w:cs="Arial"/>
        </w:rPr>
        <w:t>2.3.3</w:t>
      </w:r>
      <w:r w:rsidRPr="0093355E">
        <w:rPr>
          <w:rFonts w:cs="Arial"/>
        </w:rPr>
        <w:t xml:space="preserve"> and </w:t>
      </w:r>
      <w:r w:rsidR="00D10816" w:rsidRPr="0093355E">
        <w:rPr>
          <w:rFonts w:cs="Arial"/>
        </w:rPr>
        <w:t>3.3.2</w:t>
      </w:r>
      <w:r w:rsidRPr="0093355E">
        <w:rPr>
          <w:rFonts w:cs="Arial"/>
        </w:rPr>
        <w:t xml:space="preserve"> is unlikely to have a significant effect on international trade. This is because the proposed amendments allow claims to continue to be made, under the same conditions that were in place before Standard 1.2.7 was gazetted. </w:t>
      </w:r>
      <w:r w:rsidRPr="0093355E">
        <w:rPr>
          <w:rFonts w:cs="Arial"/>
          <w:iCs/>
        </w:rPr>
        <w:t xml:space="preserve">Therefore, a notification to the WTO under </w:t>
      </w:r>
      <w:r w:rsidRPr="0093355E">
        <w:rPr>
          <w:rFonts w:cs="Arial"/>
        </w:rPr>
        <w:t>Australia’s and New Zealand’s</w:t>
      </w:r>
      <w:r w:rsidRPr="0093355E">
        <w:rPr>
          <w:rFonts w:cs="Arial"/>
          <w:iCs/>
        </w:rPr>
        <w:t xml:space="preserve"> obligations under the WTO Technical Barriers to Trade or Application of Sanitary and Phytosanitary Measures Agreement was not considered necessary.</w:t>
      </w:r>
    </w:p>
    <w:p w14:paraId="29D2C33F" w14:textId="77777777" w:rsidR="00BC2754" w:rsidRPr="0093355E" w:rsidRDefault="00BC2754" w:rsidP="00DD3C5E"/>
    <w:p w14:paraId="7D451CFD" w14:textId="1C0D6AFA" w:rsidR="005F7342" w:rsidRPr="0093355E" w:rsidRDefault="00A43EEC" w:rsidP="00E203C2">
      <w:pPr>
        <w:pStyle w:val="Heading1"/>
      </w:pPr>
      <w:bookmarkStart w:id="68" w:name="_Toc286391014"/>
      <w:bookmarkStart w:id="69" w:name="_Toc175381455"/>
      <w:bookmarkStart w:id="70" w:name="_Toc300933445"/>
      <w:bookmarkStart w:id="71" w:name="_Toc423079122"/>
      <w:bookmarkEnd w:id="21"/>
      <w:bookmarkEnd w:id="22"/>
      <w:bookmarkEnd w:id="23"/>
      <w:bookmarkEnd w:id="24"/>
      <w:bookmarkEnd w:id="25"/>
      <w:bookmarkEnd w:id="26"/>
      <w:bookmarkEnd w:id="34"/>
      <w:r w:rsidRPr="0093355E">
        <w:t>5</w:t>
      </w:r>
      <w:r w:rsidR="00F604DE" w:rsidRPr="0093355E">
        <w:tab/>
      </w:r>
      <w:bookmarkEnd w:id="68"/>
      <w:bookmarkEnd w:id="69"/>
      <w:bookmarkEnd w:id="70"/>
      <w:r w:rsidR="00D14405" w:rsidRPr="0093355E">
        <w:t>Draft variation</w:t>
      </w:r>
      <w:bookmarkEnd w:id="71"/>
    </w:p>
    <w:p w14:paraId="7D451CFF" w14:textId="0E0AFB28" w:rsidR="00E75054" w:rsidRPr="0093355E" w:rsidRDefault="00A12B44" w:rsidP="00A12B44">
      <w:r w:rsidRPr="0093355E">
        <w:t xml:space="preserve">The draft </w:t>
      </w:r>
      <w:r w:rsidR="000D295F" w:rsidRPr="0093355E">
        <w:t>variation</w:t>
      </w:r>
      <w:r w:rsidRPr="0093355E">
        <w:t xml:space="preserve"> </w:t>
      </w:r>
      <w:r w:rsidR="005358B0" w:rsidRPr="0093355E">
        <w:t xml:space="preserve">to the current Code and related draft explanatory statement are </w:t>
      </w:r>
      <w:r w:rsidRPr="0093355E">
        <w:t xml:space="preserve">at </w:t>
      </w:r>
      <w:r w:rsidR="00D26814" w:rsidRPr="0093355E">
        <w:t xml:space="preserve">Attachment A. </w:t>
      </w:r>
      <w:r w:rsidR="006066BC" w:rsidRPr="0093355E">
        <w:t>The variation is intended to take effect on</w:t>
      </w:r>
      <w:r w:rsidR="0069019F" w:rsidRPr="0093355E">
        <w:t xml:space="preserve"> gazettal. </w:t>
      </w:r>
    </w:p>
    <w:p w14:paraId="5651EEDE" w14:textId="77777777" w:rsidR="0069019F" w:rsidRPr="0093355E" w:rsidRDefault="0069019F" w:rsidP="00A12B44"/>
    <w:p w14:paraId="7D451D00" w14:textId="5E81260C" w:rsidR="005358B0" w:rsidRPr="0093355E" w:rsidRDefault="005358B0" w:rsidP="005358B0">
      <w:r w:rsidRPr="0093355E">
        <w:t xml:space="preserve">The draft variation to the revised Code </w:t>
      </w:r>
      <w:r w:rsidR="00D10816" w:rsidRPr="0093355E">
        <w:t xml:space="preserve">(see section 5.1.1) </w:t>
      </w:r>
      <w:r w:rsidRPr="0093355E">
        <w:t>and related draft explanatory statement are at Attachment B. The variation</w:t>
      </w:r>
      <w:r w:rsidR="009E0B66" w:rsidRPr="0093355E">
        <w:t xml:space="preserve"> is </w:t>
      </w:r>
      <w:r w:rsidRPr="0093355E">
        <w:t>intended to take effect on 1 March 2016.</w:t>
      </w:r>
    </w:p>
    <w:p w14:paraId="7D451D01" w14:textId="77777777" w:rsidR="005358B0" w:rsidRPr="0093355E" w:rsidRDefault="005358B0" w:rsidP="00A12B44"/>
    <w:p w14:paraId="7D451D02" w14:textId="24335D4C" w:rsidR="00D87B03" w:rsidRDefault="00D26814" w:rsidP="00A12B44">
      <w:r w:rsidRPr="0093355E">
        <w:t>An explanatory statement is required to accompany an instrument if it is lodged on the Federal Register of Legislative Instruments</w:t>
      </w:r>
      <w:r w:rsidR="00407DF4" w:rsidRPr="0093355E">
        <w:t xml:space="preserve"> (FRLI)</w:t>
      </w:r>
      <w:r w:rsidRPr="0093355E">
        <w:t xml:space="preserve">. </w:t>
      </w:r>
      <w:r w:rsidR="00D87B03">
        <w:br w:type="page"/>
      </w:r>
    </w:p>
    <w:p w14:paraId="7D451D03" w14:textId="7391032F" w:rsidR="00924C80" w:rsidRPr="0093355E" w:rsidRDefault="00A43EEC" w:rsidP="00C63580">
      <w:pPr>
        <w:pStyle w:val="Heading2"/>
      </w:pPr>
      <w:bookmarkStart w:id="72" w:name="_Toc175381456"/>
      <w:bookmarkStart w:id="73" w:name="_Toc300761917"/>
      <w:bookmarkStart w:id="74" w:name="_Toc300933449"/>
      <w:bookmarkStart w:id="75" w:name="_Toc423079123"/>
      <w:bookmarkStart w:id="76" w:name="_Toc11735643"/>
      <w:bookmarkStart w:id="77" w:name="_Toc29883130"/>
      <w:bookmarkStart w:id="78" w:name="_Toc41906817"/>
      <w:bookmarkStart w:id="79" w:name="_Toc41907564"/>
      <w:bookmarkStart w:id="80" w:name="_Toc43112360"/>
      <w:r w:rsidRPr="0093355E">
        <w:lastRenderedPageBreak/>
        <w:t>5</w:t>
      </w:r>
      <w:r w:rsidR="00F604DE" w:rsidRPr="0093355E">
        <w:t>.</w:t>
      </w:r>
      <w:r w:rsidR="00C95A55" w:rsidRPr="0093355E">
        <w:t>1</w:t>
      </w:r>
      <w:r w:rsidR="00924C80" w:rsidRPr="0093355E">
        <w:tab/>
        <w:t xml:space="preserve">Transitional </w:t>
      </w:r>
      <w:r w:rsidR="006C28E2" w:rsidRPr="0093355E">
        <w:t>a</w:t>
      </w:r>
      <w:r w:rsidR="00924C80" w:rsidRPr="0093355E">
        <w:t>rrangements</w:t>
      </w:r>
      <w:bookmarkEnd w:id="72"/>
      <w:bookmarkEnd w:id="73"/>
      <w:bookmarkEnd w:id="74"/>
      <w:bookmarkEnd w:id="75"/>
    </w:p>
    <w:p w14:paraId="075D1D7E" w14:textId="77777777" w:rsidR="00F70002" w:rsidRPr="0093355E" w:rsidRDefault="00F70002" w:rsidP="00F70002">
      <w:r w:rsidRPr="0093355E">
        <w:t xml:space="preserve">The transition arrangements already in place for Standard 1.2.7 will apply. The transition period for Standard 1.2.7 ends in January 2016. </w:t>
      </w:r>
    </w:p>
    <w:p w14:paraId="1A412E96" w14:textId="77777777" w:rsidR="00F70002" w:rsidRPr="0093355E" w:rsidRDefault="00F70002" w:rsidP="00F70002"/>
    <w:p w14:paraId="51A4F2BA" w14:textId="77777777" w:rsidR="00F70002" w:rsidRPr="0093355E" w:rsidRDefault="00F70002" w:rsidP="00F70002">
      <w:pPr>
        <w:rPr>
          <w:b/>
          <w:bCs/>
        </w:rPr>
      </w:pPr>
      <w:r w:rsidRPr="0093355E">
        <w:t>FSANZ considers that no additional transitional arrangements are required for this Proposal on the basis that the draft variation will take effect before the transitional arrangements for Standard 1.2.7 end.</w:t>
      </w:r>
    </w:p>
    <w:p w14:paraId="7D451D05" w14:textId="6FEF1F2F" w:rsidR="00E24DE8" w:rsidRPr="0093355E" w:rsidRDefault="00A43EEC" w:rsidP="006066BC">
      <w:pPr>
        <w:pStyle w:val="Heading3"/>
      </w:pPr>
      <w:bookmarkStart w:id="81" w:name="_Toc423079124"/>
      <w:r w:rsidRPr="0093355E">
        <w:t>5</w:t>
      </w:r>
      <w:r w:rsidR="00E24DE8" w:rsidRPr="0093355E">
        <w:t>.1</w:t>
      </w:r>
      <w:r w:rsidR="00C95A55" w:rsidRPr="0093355E">
        <w:t>.1</w:t>
      </w:r>
      <w:r w:rsidR="00E24DE8" w:rsidRPr="0093355E">
        <w:tab/>
        <w:t>Transitional arrangements for Code Revision</w:t>
      </w:r>
      <w:bookmarkEnd w:id="81"/>
    </w:p>
    <w:p w14:paraId="7D451D06" w14:textId="6814CC25" w:rsidR="00AB0275" w:rsidRPr="0093355E" w:rsidRDefault="00AB0275" w:rsidP="00AB0275">
      <w:bookmarkStart w:id="82" w:name="_Toc11735642"/>
      <w:bookmarkStart w:id="83" w:name="_Toc29883129"/>
      <w:bookmarkStart w:id="84" w:name="_Toc41906816"/>
      <w:bookmarkStart w:id="85" w:name="_Toc41907563"/>
      <w:bookmarkStart w:id="86" w:name="_Toc120358595"/>
      <w:bookmarkStart w:id="87" w:name="_Toc175381457"/>
      <w:bookmarkStart w:id="88" w:name="_Toc300761918"/>
      <w:bookmarkStart w:id="89" w:name="_Toc300933450"/>
      <w:r w:rsidRPr="0093355E">
        <w:t>FSANZ has completed a review of the Code undertaken under Proposal P1025</w:t>
      </w:r>
      <w:r w:rsidRPr="0093355E">
        <w:rPr>
          <w:vertAlign w:val="superscript"/>
        </w:rPr>
        <w:footnoteReference w:id="13"/>
      </w:r>
      <w:r w:rsidRPr="0093355E">
        <w:t xml:space="preserve"> in order to improve its clarity and legal efficacy. Following approval of the revision and Ministerial consideration, the new Code will commence on 1 March 2016 (following gazettal </w:t>
      </w:r>
      <w:r w:rsidR="00F70EE4">
        <w:t xml:space="preserve">on </w:t>
      </w:r>
      <w:r w:rsidRPr="0093355E">
        <w:t>10</w:t>
      </w:r>
      <w:r w:rsidR="00F70EE4">
        <w:t> </w:t>
      </w:r>
      <w:r w:rsidRPr="0093355E">
        <w:t>April</w:t>
      </w:r>
      <w:r w:rsidR="00F70EE4">
        <w:t> </w:t>
      </w:r>
      <w:r w:rsidRPr="0093355E">
        <w:t>2015 and registration on the Federal Register of Legislative Instruments). The current Code will also be repealed on this date. The approved variation at Attachment B varies the revised Code on 1 March 2016 to ensure that the revised Code is consistent with the current Code as amended by the variation at Attachment A.</w:t>
      </w:r>
    </w:p>
    <w:p w14:paraId="712D022C" w14:textId="77777777" w:rsidR="00B5555C" w:rsidRPr="0093355E" w:rsidRDefault="00B5555C" w:rsidP="00AB0275"/>
    <w:p w14:paraId="7D451D0C" w14:textId="767EC42A" w:rsidR="00924C80" w:rsidRPr="0093355E" w:rsidRDefault="00A43EEC" w:rsidP="00E75054">
      <w:pPr>
        <w:pStyle w:val="Heading1"/>
      </w:pPr>
      <w:bookmarkStart w:id="90" w:name="_Toc300933452"/>
      <w:bookmarkStart w:id="91" w:name="_Toc423079125"/>
      <w:bookmarkEnd w:id="82"/>
      <w:bookmarkEnd w:id="83"/>
      <w:bookmarkEnd w:id="84"/>
      <w:bookmarkEnd w:id="85"/>
      <w:bookmarkEnd w:id="86"/>
      <w:bookmarkEnd w:id="87"/>
      <w:bookmarkEnd w:id="88"/>
      <w:bookmarkEnd w:id="89"/>
      <w:r w:rsidRPr="0093355E">
        <w:t>6</w:t>
      </w:r>
      <w:r w:rsidR="00924C80" w:rsidRPr="0093355E">
        <w:tab/>
        <w:t>R</w:t>
      </w:r>
      <w:bookmarkEnd w:id="90"/>
      <w:r w:rsidR="006C28E2" w:rsidRPr="0093355E">
        <w:t>eferences</w:t>
      </w:r>
      <w:bookmarkEnd w:id="91"/>
    </w:p>
    <w:p w14:paraId="0FCF80B5" w14:textId="6B31CE2E" w:rsidR="00EE72EE" w:rsidRPr="00C52547" w:rsidRDefault="00EE72EE" w:rsidP="003A01E3">
      <w:pPr>
        <w:rPr>
          <w:rFonts w:cs="Arial"/>
          <w:sz w:val="20"/>
          <w:szCs w:val="20"/>
        </w:rPr>
      </w:pPr>
      <w:proofErr w:type="gramStart"/>
      <w:r w:rsidRPr="00C52547">
        <w:rPr>
          <w:rFonts w:cs="Arial"/>
          <w:sz w:val="20"/>
          <w:szCs w:val="20"/>
        </w:rPr>
        <w:t>Food Standards Australia New Zealand (2014) AUSNUT 2011–13 – Australian Food Composition Database.</w:t>
      </w:r>
      <w:proofErr w:type="gramEnd"/>
      <w:r w:rsidRPr="00C52547">
        <w:rPr>
          <w:rFonts w:cs="Arial"/>
          <w:sz w:val="20"/>
          <w:szCs w:val="20"/>
        </w:rPr>
        <w:t xml:space="preserve"> Canberra: FSANZ. Available at </w:t>
      </w:r>
      <w:hyperlink r:id="rId21" w:history="1">
        <w:r w:rsidRPr="00C52547">
          <w:rPr>
            <w:rStyle w:val="Hyperlink"/>
            <w:rFonts w:cs="Arial"/>
            <w:color w:val="auto"/>
            <w:sz w:val="20"/>
            <w:szCs w:val="20"/>
          </w:rPr>
          <w:t>www.foodstandards.gov.au</w:t>
        </w:r>
      </w:hyperlink>
    </w:p>
    <w:p w14:paraId="602CBB78" w14:textId="77777777" w:rsidR="00EE72EE" w:rsidRPr="0093355E" w:rsidRDefault="00EE72EE" w:rsidP="003A01E3">
      <w:pPr>
        <w:rPr>
          <w:sz w:val="20"/>
          <w:szCs w:val="20"/>
        </w:rPr>
      </w:pPr>
    </w:p>
    <w:p w14:paraId="04481B73" w14:textId="5DDBD708" w:rsidR="003A01E3" w:rsidRPr="0093355E" w:rsidRDefault="00EE72EE" w:rsidP="003A01E3">
      <w:pPr>
        <w:rPr>
          <w:sz w:val="20"/>
          <w:szCs w:val="20"/>
        </w:rPr>
      </w:pPr>
      <w:proofErr w:type="gramStart"/>
      <w:r w:rsidRPr="0093355E">
        <w:rPr>
          <w:sz w:val="20"/>
          <w:szCs w:val="20"/>
        </w:rPr>
        <w:t xml:space="preserve">National Health &amp; Medical Research Council (NHMRC) </w:t>
      </w:r>
      <w:r w:rsidR="00B5555C" w:rsidRPr="0093355E">
        <w:rPr>
          <w:sz w:val="20"/>
          <w:szCs w:val="20"/>
        </w:rPr>
        <w:t>(</w:t>
      </w:r>
      <w:r w:rsidRPr="0093355E">
        <w:rPr>
          <w:sz w:val="20"/>
          <w:szCs w:val="20"/>
        </w:rPr>
        <w:t>2013</w:t>
      </w:r>
      <w:r w:rsidR="00B5555C" w:rsidRPr="0093355E">
        <w:rPr>
          <w:sz w:val="20"/>
          <w:szCs w:val="20"/>
        </w:rPr>
        <w:t>)</w:t>
      </w:r>
      <w:r w:rsidRPr="0093355E">
        <w:rPr>
          <w:sz w:val="20"/>
          <w:szCs w:val="20"/>
        </w:rPr>
        <w:t xml:space="preserve"> Eat for health.</w:t>
      </w:r>
      <w:proofErr w:type="gramEnd"/>
      <w:r w:rsidRPr="0093355E">
        <w:rPr>
          <w:sz w:val="20"/>
          <w:szCs w:val="20"/>
        </w:rPr>
        <w:t xml:space="preserve"> </w:t>
      </w:r>
      <w:proofErr w:type="gramStart"/>
      <w:r w:rsidRPr="0093355E">
        <w:rPr>
          <w:sz w:val="20"/>
          <w:szCs w:val="20"/>
        </w:rPr>
        <w:t>Australian dietary guidelines.</w:t>
      </w:r>
      <w:proofErr w:type="gramEnd"/>
      <w:r w:rsidRPr="0093355E">
        <w:rPr>
          <w:sz w:val="20"/>
          <w:szCs w:val="20"/>
        </w:rPr>
        <w:t xml:space="preserve"> </w:t>
      </w:r>
      <w:proofErr w:type="gramStart"/>
      <w:r w:rsidRPr="0093355E">
        <w:rPr>
          <w:sz w:val="20"/>
          <w:szCs w:val="20"/>
        </w:rPr>
        <w:t xml:space="preserve">Available at </w:t>
      </w:r>
      <w:hyperlink r:id="rId22" w:history="1">
        <w:r w:rsidRPr="0093355E">
          <w:rPr>
            <w:rStyle w:val="Hyperlink"/>
            <w:sz w:val="20"/>
            <w:szCs w:val="20"/>
          </w:rPr>
          <w:t>https://www.nhmrc.gov.au/_files_nhmrc/publications/attachments/n55_australian_dietary_guidelines_130530.pdf</w:t>
        </w:r>
      </w:hyperlink>
      <w:r w:rsidR="00B07ECF" w:rsidRPr="0093355E">
        <w:rPr>
          <w:rStyle w:val="Hyperlink"/>
          <w:sz w:val="20"/>
          <w:szCs w:val="20"/>
        </w:rPr>
        <w:t>.</w:t>
      </w:r>
      <w:proofErr w:type="gramEnd"/>
      <w:r w:rsidR="00B07ECF" w:rsidRPr="0093355E">
        <w:rPr>
          <w:rStyle w:val="Hyperlink"/>
          <w:sz w:val="20"/>
          <w:szCs w:val="20"/>
        </w:rPr>
        <w:t xml:space="preserve"> Accessed 3 June 2015 </w:t>
      </w:r>
    </w:p>
    <w:p w14:paraId="40994377" w14:textId="77777777" w:rsidR="00EE72EE" w:rsidRPr="0093355E" w:rsidRDefault="00EE72EE" w:rsidP="003A01E3">
      <w:pPr>
        <w:rPr>
          <w:sz w:val="20"/>
          <w:szCs w:val="20"/>
        </w:rPr>
      </w:pPr>
    </w:p>
    <w:p w14:paraId="72F5DD63" w14:textId="48DB4878" w:rsidR="003A01E3" w:rsidRPr="0093355E" w:rsidRDefault="003A01E3" w:rsidP="003A01E3">
      <w:pPr>
        <w:rPr>
          <w:sz w:val="20"/>
          <w:szCs w:val="20"/>
        </w:rPr>
      </w:pPr>
      <w:r w:rsidRPr="0093355E">
        <w:rPr>
          <w:sz w:val="20"/>
          <w:szCs w:val="20"/>
        </w:rPr>
        <w:t xml:space="preserve">Ministry of Health </w:t>
      </w:r>
      <w:r w:rsidR="00B5555C" w:rsidRPr="0093355E">
        <w:rPr>
          <w:sz w:val="20"/>
          <w:szCs w:val="20"/>
        </w:rPr>
        <w:t>(</w:t>
      </w:r>
      <w:r w:rsidRPr="0093355E">
        <w:rPr>
          <w:sz w:val="20"/>
          <w:szCs w:val="20"/>
        </w:rPr>
        <w:t>2003</w:t>
      </w:r>
      <w:r w:rsidR="00B5555C" w:rsidRPr="0093355E">
        <w:rPr>
          <w:sz w:val="20"/>
          <w:szCs w:val="20"/>
        </w:rPr>
        <w:t>)</w:t>
      </w:r>
      <w:r w:rsidRPr="0093355E">
        <w:rPr>
          <w:sz w:val="20"/>
          <w:szCs w:val="20"/>
        </w:rPr>
        <w:t xml:space="preserve"> Food and Nutrition Guidelines for Health</w:t>
      </w:r>
      <w:r w:rsidR="00EC0A24" w:rsidRPr="0093355E">
        <w:rPr>
          <w:sz w:val="20"/>
          <w:szCs w:val="20"/>
        </w:rPr>
        <w:t>y</w:t>
      </w:r>
      <w:r w:rsidRPr="0093355E">
        <w:rPr>
          <w:sz w:val="20"/>
          <w:szCs w:val="20"/>
        </w:rPr>
        <w:t xml:space="preserve"> Adults: A background paper. Wellington. </w:t>
      </w:r>
      <w:proofErr w:type="gramStart"/>
      <w:r w:rsidRPr="0093355E">
        <w:rPr>
          <w:sz w:val="20"/>
          <w:szCs w:val="20"/>
        </w:rPr>
        <w:t>Ministry of Health.</w:t>
      </w:r>
      <w:proofErr w:type="gramEnd"/>
      <w:r w:rsidRPr="0093355E">
        <w:rPr>
          <w:sz w:val="20"/>
          <w:szCs w:val="20"/>
        </w:rPr>
        <w:t xml:space="preserve"> </w:t>
      </w:r>
      <w:bookmarkEnd w:id="76"/>
      <w:bookmarkEnd w:id="77"/>
      <w:bookmarkEnd w:id="78"/>
      <w:bookmarkEnd w:id="79"/>
      <w:bookmarkEnd w:id="80"/>
    </w:p>
    <w:p w14:paraId="36EBD62D" w14:textId="77777777" w:rsidR="009D4D25" w:rsidRPr="0093355E" w:rsidRDefault="009D4D25" w:rsidP="003A01E3">
      <w:pPr>
        <w:rPr>
          <w:sz w:val="20"/>
          <w:szCs w:val="20"/>
        </w:rPr>
      </w:pPr>
    </w:p>
    <w:p w14:paraId="77DE550D" w14:textId="1BB2E060" w:rsidR="009D4D25" w:rsidRPr="00C52547" w:rsidRDefault="000C6836" w:rsidP="009D4D25">
      <w:pPr>
        <w:widowControl/>
        <w:autoSpaceDE w:val="0"/>
        <w:autoSpaceDN w:val="0"/>
        <w:adjustRightInd w:val="0"/>
        <w:rPr>
          <w:rFonts w:cs="Arial"/>
          <w:sz w:val="20"/>
          <w:szCs w:val="20"/>
          <w:lang w:eastAsia="en-GB" w:bidi="ar-SA"/>
        </w:rPr>
      </w:pPr>
      <w:proofErr w:type="gramStart"/>
      <w:r w:rsidRPr="0093355E">
        <w:rPr>
          <w:rFonts w:cs="Arial"/>
          <w:sz w:val="20"/>
          <w:szCs w:val="20"/>
        </w:rPr>
        <w:t>World Health Organiz</w:t>
      </w:r>
      <w:r w:rsidR="009D4D25" w:rsidRPr="0093355E">
        <w:rPr>
          <w:rFonts w:cs="Arial"/>
          <w:sz w:val="20"/>
          <w:szCs w:val="20"/>
        </w:rPr>
        <w:t xml:space="preserve">ation </w:t>
      </w:r>
      <w:r w:rsidR="00B5555C" w:rsidRPr="0093355E">
        <w:rPr>
          <w:rFonts w:cs="Arial"/>
          <w:sz w:val="20"/>
          <w:szCs w:val="20"/>
        </w:rPr>
        <w:t>(</w:t>
      </w:r>
      <w:r w:rsidR="009D4D25" w:rsidRPr="0093355E">
        <w:rPr>
          <w:rFonts w:cs="Arial"/>
          <w:sz w:val="20"/>
          <w:szCs w:val="20"/>
        </w:rPr>
        <w:t>2012</w:t>
      </w:r>
      <w:r w:rsidR="00B5555C" w:rsidRPr="0093355E">
        <w:rPr>
          <w:rFonts w:cs="Arial"/>
          <w:sz w:val="20"/>
          <w:szCs w:val="20"/>
        </w:rPr>
        <w:t>)</w:t>
      </w:r>
      <w:r w:rsidR="009D4D25" w:rsidRPr="0093355E">
        <w:rPr>
          <w:rFonts w:cs="Arial"/>
          <w:sz w:val="20"/>
          <w:szCs w:val="20"/>
        </w:rPr>
        <w:t xml:space="preserve"> </w:t>
      </w:r>
      <w:r w:rsidR="009D4D25" w:rsidRPr="00C52547">
        <w:rPr>
          <w:rFonts w:cs="Arial"/>
          <w:sz w:val="20"/>
          <w:szCs w:val="20"/>
          <w:lang w:eastAsia="en-GB" w:bidi="ar-SA"/>
        </w:rPr>
        <w:t>Effect of reduced sodium intake on blood pressure, renal function, blood lipids and other potential adverse effects.</w:t>
      </w:r>
      <w:proofErr w:type="gramEnd"/>
      <w:r w:rsidR="009D4D25" w:rsidRPr="00C52547">
        <w:rPr>
          <w:rFonts w:cs="Arial"/>
          <w:sz w:val="20"/>
          <w:szCs w:val="20"/>
          <w:lang w:eastAsia="en-GB" w:bidi="ar-SA"/>
        </w:rPr>
        <w:t xml:space="preserve"> </w:t>
      </w:r>
      <w:proofErr w:type="gramStart"/>
      <w:r w:rsidR="009D4D25" w:rsidRPr="00C52547">
        <w:rPr>
          <w:rFonts w:cs="Arial"/>
          <w:sz w:val="20"/>
          <w:szCs w:val="20"/>
          <w:lang w:eastAsia="en-GB" w:bidi="ar-SA"/>
        </w:rPr>
        <w:t>ISBN 978 92 4 150491 1.</w:t>
      </w:r>
      <w:proofErr w:type="gramEnd"/>
      <w:r w:rsidR="009D4D25" w:rsidRPr="00C52547">
        <w:rPr>
          <w:rFonts w:cs="Arial"/>
          <w:sz w:val="20"/>
          <w:szCs w:val="20"/>
          <w:lang w:eastAsia="en-GB" w:bidi="ar-SA"/>
        </w:rPr>
        <w:t xml:space="preserve"> Available at </w:t>
      </w:r>
      <w:hyperlink r:id="rId23" w:history="1">
        <w:r w:rsidR="009D4D25" w:rsidRPr="00C52547">
          <w:rPr>
            <w:rStyle w:val="Hyperlink"/>
            <w:rFonts w:cs="Arial"/>
            <w:sz w:val="20"/>
            <w:szCs w:val="20"/>
            <w:lang w:eastAsia="en-GB" w:bidi="ar-SA"/>
          </w:rPr>
          <w:t>www.who.int</w:t>
        </w:r>
      </w:hyperlink>
    </w:p>
    <w:p w14:paraId="4FE12411" w14:textId="77777777" w:rsidR="003A01E3" w:rsidRPr="0093355E" w:rsidRDefault="003A01E3" w:rsidP="003A01E3">
      <w:pPr>
        <w:rPr>
          <w:color w:val="00B050"/>
          <w:sz w:val="20"/>
          <w:szCs w:val="20"/>
        </w:rPr>
      </w:pPr>
    </w:p>
    <w:p w14:paraId="7D451D0E" w14:textId="5D3B150D" w:rsidR="003C4969" w:rsidRPr="0093355E" w:rsidRDefault="00924C80" w:rsidP="003A01E3">
      <w:pPr>
        <w:rPr>
          <w:b/>
          <w:sz w:val="28"/>
          <w:szCs w:val="28"/>
        </w:rPr>
      </w:pPr>
      <w:r w:rsidRPr="0093355E">
        <w:rPr>
          <w:b/>
          <w:sz w:val="28"/>
          <w:szCs w:val="28"/>
        </w:rPr>
        <w:t>Attachments</w:t>
      </w:r>
    </w:p>
    <w:p w14:paraId="7D451D0F" w14:textId="77777777" w:rsidR="00A4175D" w:rsidRPr="0093355E" w:rsidRDefault="00A4175D" w:rsidP="00AF06FC"/>
    <w:p w14:paraId="7D451D10" w14:textId="301A4EAD" w:rsidR="00AB0275" w:rsidRPr="0093355E" w:rsidRDefault="00AB0275" w:rsidP="00AB0275">
      <w:pPr>
        <w:ind w:left="567" w:hanging="567"/>
      </w:pPr>
      <w:r w:rsidRPr="0093355E">
        <w:t>A.</w:t>
      </w:r>
      <w:r w:rsidRPr="0093355E">
        <w:tab/>
      </w:r>
      <w:r w:rsidR="00CA44F3">
        <w:t>D</w:t>
      </w:r>
      <w:r w:rsidRPr="0093355E">
        <w:t xml:space="preserve">raft variation to the </w:t>
      </w:r>
      <w:r w:rsidRPr="0093355E">
        <w:rPr>
          <w:i/>
        </w:rPr>
        <w:t xml:space="preserve">Australia New Zealand Food Standards Code </w:t>
      </w:r>
      <w:r w:rsidRPr="0093355E">
        <w:t>and related</w:t>
      </w:r>
      <w:r w:rsidRPr="0093355E">
        <w:rPr>
          <w:i/>
        </w:rPr>
        <w:t xml:space="preserve"> </w:t>
      </w:r>
      <w:r w:rsidRPr="0093355E">
        <w:t>Explanatory Statement</w:t>
      </w:r>
    </w:p>
    <w:p w14:paraId="7D451D13" w14:textId="684533F6" w:rsidR="00AB0275" w:rsidRDefault="00AB0275" w:rsidP="00A900BE">
      <w:pPr>
        <w:ind w:left="567" w:hanging="567"/>
        <w:rPr>
          <w:rStyle w:val="Heading2Char"/>
        </w:rPr>
      </w:pPr>
      <w:r w:rsidRPr="0093355E">
        <w:t>B.</w:t>
      </w:r>
      <w:r w:rsidRPr="0093355E">
        <w:tab/>
      </w:r>
      <w:r w:rsidR="00CA44F3">
        <w:t>D</w:t>
      </w:r>
      <w:r w:rsidRPr="0093355E">
        <w:t xml:space="preserve">raft variation to the revised </w:t>
      </w:r>
      <w:r w:rsidRPr="0093355E">
        <w:rPr>
          <w:i/>
        </w:rPr>
        <w:t xml:space="preserve">Australia New Zealand Food Standards Code </w:t>
      </w:r>
      <w:r w:rsidR="00D87B03" w:rsidRPr="0093355E">
        <w:t>(commencing 1 March 2016)</w:t>
      </w:r>
      <w:r w:rsidR="00D87B03">
        <w:t xml:space="preserve"> </w:t>
      </w:r>
      <w:r w:rsidRPr="0093355E">
        <w:t>and related</w:t>
      </w:r>
      <w:r w:rsidRPr="0093355E">
        <w:rPr>
          <w:i/>
        </w:rPr>
        <w:t xml:space="preserve"> </w:t>
      </w:r>
      <w:r w:rsidRPr="0093355E">
        <w:t xml:space="preserve">Explanatory Statement </w:t>
      </w:r>
      <w:r w:rsidR="003C4969" w:rsidRPr="0093355E">
        <w:br w:type="page"/>
      </w:r>
      <w:bookmarkStart w:id="92" w:name="_Toc300933454"/>
    </w:p>
    <w:p w14:paraId="0AE88566" w14:textId="195A1668" w:rsidR="00FC35FA" w:rsidRPr="00795D86" w:rsidRDefault="00FC35FA" w:rsidP="00FC35FA">
      <w:pPr>
        <w:pStyle w:val="Heading2"/>
        <w:ind w:left="0" w:firstLine="0"/>
      </w:pPr>
      <w:bookmarkStart w:id="93" w:name="_Toc29883131"/>
      <w:bookmarkStart w:id="94" w:name="_Toc41906818"/>
      <w:bookmarkStart w:id="95" w:name="_Toc41907565"/>
      <w:bookmarkStart w:id="96" w:name="_Toc120358596"/>
      <w:bookmarkStart w:id="97" w:name="_Toc175381458"/>
      <w:bookmarkStart w:id="98" w:name="_Toc11735644"/>
      <w:bookmarkStart w:id="99" w:name="_Toc415572037"/>
      <w:bookmarkStart w:id="100" w:name="_Toc419982078"/>
      <w:bookmarkStart w:id="101" w:name="_Toc423079126"/>
      <w:r w:rsidRPr="00932F14">
        <w:lastRenderedPageBreak/>
        <w:t xml:space="preserve">Attachment </w:t>
      </w:r>
      <w:bookmarkEnd w:id="93"/>
      <w:bookmarkEnd w:id="94"/>
      <w:bookmarkEnd w:id="95"/>
      <w:bookmarkEnd w:id="96"/>
      <w:bookmarkEnd w:id="97"/>
      <w:r>
        <w:t>A</w:t>
      </w:r>
      <w:bookmarkStart w:id="102" w:name="_Toc120358597"/>
      <w:bookmarkStart w:id="103" w:name="_Toc175381459"/>
      <w:bookmarkEnd w:id="98"/>
      <w:r>
        <w:t xml:space="preserve"> –</w:t>
      </w:r>
      <w:r w:rsidR="00D87B03">
        <w:t xml:space="preserve"> </w:t>
      </w:r>
      <w:r w:rsidR="00CA44F3">
        <w:t>D</w:t>
      </w:r>
      <w:r>
        <w:t xml:space="preserve">raft </w:t>
      </w:r>
      <w:r w:rsidRPr="00932F14">
        <w:t>variation to the</w:t>
      </w:r>
      <w:r w:rsidRPr="00755F02">
        <w:t xml:space="preserve"> </w:t>
      </w:r>
      <w:r w:rsidRPr="00795D86">
        <w:rPr>
          <w:i/>
        </w:rPr>
        <w:t>Australia New Zealand Food Standards Code</w:t>
      </w:r>
      <w:bookmarkEnd w:id="99"/>
      <w:bookmarkEnd w:id="100"/>
      <w:bookmarkEnd w:id="101"/>
      <w:bookmarkEnd w:id="102"/>
      <w:bookmarkEnd w:id="103"/>
    </w:p>
    <w:p w14:paraId="6FE3E64F" w14:textId="77777777" w:rsidR="005D12E4" w:rsidRPr="00C52547" w:rsidRDefault="005D12E4" w:rsidP="005D12E4">
      <w:pPr>
        <w:tabs>
          <w:tab w:val="left" w:pos="851"/>
        </w:tabs>
        <w:rPr>
          <w:noProof/>
          <w:sz w:val="20"/>
          <w:szCs w:val="20"/>
          <w:lang w:eastAsia="en-AU" w:bidi="ar-SA"/>
        </w:rPr>
      </w:pPr>
      <w:r w:rsidRPr="0093355E">
        <w:rPr>
          <w:noProof/>
          <w:sz w:val="20"/>
          <w:szCs w:val="20"/>
          <w:lang w:eastAsia="en-GB" w:bidi="ar-SA"/>
        </w:rPr>
        <w:drawing>
          <wp:inline distT="0" distB="0" distL="0" distR="0" wp14:anchorId="7F1CBAE8" wp14:editId="0C3B6519">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5074C7A" w14:textId="77777777" w:rsidR="005D12E4" w:rsidRPr="0093355E" w:rsidRDefault="005D12E4" w:rsidP="001933A4">
      <w:pPr>
        <w:pBdr>
          <w:bottom w:val="single" w:sz="4" w:space="1" w:color="auto"/>
        </w:pBdr>
        <w:tabs>
          <w:tab w:val="left" w:pos="851"/>
        </w:tabs>
        <w:jc w:val="center"/>
        <w:rPr>
          <w:sz w:val="20"/>
          <w:szCs w:val="20"/>
          <w:lang w:bidi="ar-SA"/>
        </w:rPr>
      </w:pPr>
    </w:p>
    <w:p w14:paraId="540DADD3" w14:textId="77777777" w:rsidR="005D12E4" w:rsidRPr="0093355E" w:rsidRDefault="005D12E4" w:rsidP="005D12E4">
      <w:pPr>
        <w:pBdr>
          <w:bottom w:val="single" w:sz="4" w:space="1" w:color="auto"/>
        </w:pBdr>
        <w:tabs>
          <w:tab w:val="left" w:pos="851"/>
        </w:tabs>
        <w:rPr>
          <w:b/>
          <w:sz w:val="20"/>
          <w:szCs w:val="20"/>
          <w:lang w:bidi="ar-SA"/>
        </w:rPr>
      </w:pPr>
      <w:r w:rsidRPr="0093355E">
        <w:rPr>
          <w:b/>
          <w:sz w:val="20"/>
          <w:szCs w:val="20"/>
          <w:lang w:bidi="ar-SA"/>
        </w:rPr>
        <w:t>Food Standards (P1038 – Vitamin &amp; Mineral Claims &amp; Sodium Claims about Food containing Alcohol) Variation</w:t>
      </w:r>
    </w:p>
    <w:p w14:paraId="2BD258C3" w14:textId="77777777" w:rsidR="005D12E4" w:rsidRPr="0093355E" w:rsidRDefault="005D12E4" w:rsidP="005D12E4">
      <w:pPr>
        <w:pBdr>
          <w:bottom w:val="single" w:sz="4" w:space="1" w:color="auto"/>
        </w:pBdr>
        <w:tabs>
          <w:tab w:val="left" w:pos="851"/>
        </w:tabs>
        <w:rPr>
          <w:b/>
          <w:sz w:val="20"/>
          <w:szCs w:val="20"/>
          <w:lang w:bidi="ar-SA"/>
        </w:rPr>
      </w:pPr>
    </w:p>
    <w:p w14:paraId="3FA3F3E7" w14:textId="77777777" w:rsidR="005D12E4" w:rsidRPr="0093355E" w:rsidRDefault="005D12E4" w:rsidP="005D12E4">
      <w:pPr>
        <w:tabs>
          <w:tab w:val="left" w:pos="851"/>
        </w:tabs>
        <w:rPr>
          <w:sz w:val="20"/>
          <w:szCs w:val="20"/>
          <w:lang w:bidi="ar-SA"/>
        </w:rPr>
      </w:pPr>
    </w:p>
    <w:p w14:paraId="0FD0AE33" w14:textId="77777777" w:rsidR="005D12E4" w:rsidRPr="0093355E" w:rsidRDefault="005D12E4" w:rsidP="005D12E4">
      <w:pPr>
        <w:tabs>
          <w:tab w:val="left" w:pos="851"/>
        </w:tabs>
        <w:rPr>
          <w:sz w:val="20"/>
          <w:szCs w:val="20"/>
          <w:lang w:bidi="ar-SA"/>
        </w:rPr>
      </w:pPr>
      <w:r w:rsidRPr="0093355E">
        <w:rPr>
          <w:sz w:val="20"/>
          <w:szCs w:val="20"/>
          <w:lang w:bidi="ar-SA"/>
        </w:rPr>
        <w:t xml:space="preserve">The Board of Food Standards Australia New Zealand gives notice of the making of this variation under section 92 of the </w:t>
      </w:r>
      <w:r w:rsidRPr="0093355E">
        <w:rPr>
          <w:i/>
          <w:sz w:val="20"/>
          <w:szCs w:val="20"/>
          <w:lang w:bidi="ar-SA"/>
        </w:rPr>
        <w:t>Food Standards Australia New Zealand Act 1991</w:t>
      </w:r>
      <w:r w:rsidRPr="0093355E">
        <w:rPr>
          <w:sz w:val="20"/>
          <w:szCs w:val="20"/>
          <w:lang w:bidi="ar-SA"/>
        </w:rPr>
        <w:t>.  The Standard commences on the date specified in clause 3 of this variation.</w:t>
      </w:r>
    </w:p>
    <w:p w14:paraId="53B7A6BB" w14:textId="77777777" w:rsidR="005D12E4" w:rsidRPr="0093355E" w:rsidRDefault="005D12E4" w:rsidP="005D12E4">
      <w:pPr>
        <w:tabs>
          <w:tab w:val="left" w:pos="851"/>
        </w:tabs>
        <w:rPr>
          <w:sz w:val="20"/>
          <w:szCs w:val="20"/>
          <w:lang w:bidi="ar-SA"/>
        </w:rPr>
      </w:pPr>
    </w:p>
    <w:p w14:paraId="4784235C" w14:textId="77777777" w:rsidR="005D12E4" w:rsidRPr="0093355E" w:rsidRDefault="005D12E4" w:rsidP="005D12E4">
      <w:pPr>
        <w:tabs>
          <w:tab w:val="left" w:pos="851"/>
        </w:tabs>
        <w:rPr>
          <w:sz w:val="20"/>
          <w:szCs w:val="20"/>
          <w:lang w:bidi="ar-SA"/>
        </w:rPr>
      </w:pPr>
      <w:r w:rsidRPr="0093355E">
        <w:rPr>
          <w:sz w:val="20"/>
          <w:szCs w:val="20"/>
          <w:lang w:bidi="ar-SA"/>
        </w:rPr>
        <w:t>Dated [To be completed by Standards Management Officer]</w:t>
      </w:r>
    </w:p>
    <w:p w14:paraId="334D4894" w14:textId="77777777" w:rsidR="005D12E4" w:rsidRPr="0093355E" w:rsidRDefault="005D12E4" w:rsidP="005D12E4">
      <w:pPr>
        <w:tabs>
          <w:tab w:val="left" w:pos="851"/>
        </w:tabs>
        <w:rPr>
          <w:sz w:val="20"/>
          <w:szCs w:val="20"/>
          <w:lang w:bidi="ar-SA"/>
        </w:rPr>
      </w:pPr>
    </w:p>
    <w:p w14:paraId="36E62C89" w14:textId="77777777" w:rsidR="005D12E4" w:rsidRPr="0093355E" w:rsidRDefault="005D12E4" w:rsidP="005D12E4">
      <w:pPr>
        <w:tabs>
          <w:tab w:val="left" w:pos="851"/>
        </w:tabs>
        <w:rPr>
          <w:sz w:val="20"/>
          <w:szCs w:val="20"/>
          <w:lang w:bidi="ar-SA"/>
        </w:rPr>
      </w:pPr>
    </w:p>
    <w:p w14:paraId="37474449" w14:textId="77777777" w:rsidR="005D12E4" w:rsidRPr="0093355E" w:rsidRDefault="005D12E4" w:rsidP="005D12E4">
      <w:pPr>
        <w:tabs>
          <w:tab w:val="left" w:pos="851"/>
        </w:tabs>
        <w:rPr>
          <w:sz w:val="20"/>
          <w:szCs w:val="20"/>
          <w:lang w:bidi="ar-SA"/>
        </w:rPr>
      </w:pPr>
    </w:p>
    <w:p w14:paraId="4413670E" w14:textId="77777777" w:rsidR="005D12E4" w:rsidRPr="0093355E" w:rsidRDefault="005D12E4" w:rsidP="005D12E4">
      <w:pPr>
        <w:tabs>
          <w:tab w:val="left" w:pos="851"/>
        </w:tabs>
        <w:rPr>
          <w:sz w:val="20"/>
          <w:szCs w:val="20"/>
          <w:lang w:bidi="ar-SA"/>
        </w:rPr>
      </w:pPr>
    </w:p>
    <w:p w14:paraId="37656951" w14:textId="77777777" w:rsidR="005D12E4" w:rsidRPr="0093355E" w:rsidRDefault="005D12E4" w:rsidP="005D12E4">
      <w:pPr>
        <w:tabs>
          <w:tab w:val="left" w:pos="851"/>
        </w:tabs>
        <w:rPr>
          <w:sz w:val="20"/>
          <w:szCs w:val="20"/>
          <w:lang w:bidi="ar-SA"/>
        </w:rPr>
      </w:pPr>
    </w:p>
    <w:p w14:paraId="48860B1D" w14:textId="77777777" w:rsidR="005D12E4" w:rsidRPr="0093355E" w:rsidRDefault="005D12E4" w:rsidP="005D12E4">
      <w:pPr>
        <w:tabs>
          <w:tab w:val="left" w:pos="851"/>
        </w:tabs>
        <w:rPr>
          <w:sz w:val="20"/>
          <w:szCs w:val="20"/>
          <w:lang w:bidi="ar-SA"/>
        </w:rPr>
      </w:pPr>
      <w:r w:rsidRPr="0093355E">
        <w:rPr>
          <w:sz w:val="20"/>
          <w:szCs w:val="20"/>
          <w:lang w:bidi="ar-SA"/>
        </w:rPr>
        <w:t>Standards Management Officer</w:t>
      </w:r>
    </w:p>
    <w:p w14:paraId="59652456" w14:textId="77777777" w:rsidR="005D12E4" w:rsidRPr="0093355E" w:rsidRDefault="005D12E4" w:rsidP="005D12E4">
      <w:pPr>
        <w:tabs>
          <w:tab w:val="left" w:pos="851"/>
        </w:tabs>
        <w:rPr>
          <w:sz w:val="20"/>
          <w:szCs w:val="20"/>
          <w:lang w:bidi="ar-SA"/>
        </w:rPr>
      </w:pPr>
      <w:r w:rsidRPr="0093355E">
        <w:rPr>
          <w:sz w:val="20"/>
          <w:szCs w:val="20"/>
          <w:lang w:bidi="ar-SA"/>
        </w:rPr>
        <w:t>Delegate of the Board of Food Standards Australia New Zealand</w:t>
      </w:r>
    </w:p>
    <w:p w14:paraId="182FD80D" w14:textId="77777777" w:rsidR="005D12E4" w:rsidRPr="0093355E" w:rsidRDefault="005D12E4" w:rsidP="005D12E4">
      <w:pPr>
        <w:tabs>
          <w:tab w:val="left" w:pos="851"/>
        </w:tabs>
        <w:rPr>
          <w:sz w:val="20"/>
          <w:szCs w:val="20"/>
          <w:lang w:bidi="ar-SA"/>
        </w:rPr>
      </w:pPr>
    </w:p>
    <w:p w14:paraId="7E803845" w14:textId="77777777" w:rsidR="005D12E4" w:rsidRPr="0093355E" w:rsidRDefault="005D12E4" w:rsidP="005D12E4">
      <w:pPr>
        <w:tabs>
          <w:tab w:val="left" w:pos="851"/>
        </w:tabs>
        <w:rPr>
          <w:sz w:val="20"/>
          <w:szCs w:val="20"/>
          <w:lang w:bidi="ar-SA"/>
        </w:rPr>
      </w:pPr>
    </w:p>
    <w:p w14:paraId="17FBAF32" w14:textId="77777777" w:rsidR="005D12E4" w:rsidRPr="0093355E" w:rsidRDefault="005D12E4" w:rsidP="005D12E4">
      <w:pPr>
        <w:tabs>
          <w:tab w:val="left" w:pos="851"/>
        </w:tabs>
        <w:rPr>
          <w:sz w:val="20"/>
          <w:szCs w:val="20"/>
          <w:lang w:bidi="ar-SA"/>
        </w:rPr>
      </w:pPr>
    </w:p>
    <w:p w14:paraId="2D7CDBDE" w14:textId="77777777" w:rsidR="005D12E4" w:rsidRPr="0093355E" w:rsidRDefault="005D12E4" w:rsidP="005D12E4">
      <w:pPr>
        <w:tabs>
          <w:tab w:val="left" w:pos="851"/>
        </w:tabs>
        <w:rPr>
          <w:sz w:val="20"/>
          <w:szCs w:val="20"/>
          <w:lang w:bidi="ar-SA"/>
        </w:rPr>
      </w:pPr>
    </w:p>
    <w:p w14:paraId="2A0BB129" w14:textId="77777777" w:rsidR="005D12E4" w:rsidRPr="0093355E" w:rsidRDefault="005D12E4" w:rsidP="005D12E4">
      <w:pPr>
        <w:tabs>
          <w:tab w:val="left" w:pos="851"/>
        </w:tabs>
        <w:rPr>
          <w:sz w:val="20"/>
          <w:szCs w:val="20"/>
          <w:lang w:bidi="ar-SA"/>
        </w:rPr>
      </w:pPr>
    </w:p>
    <w:p w14:paraId="1D983FBF" w14:textId="77777777" w:rsidR="005D12E4" w:rsidRPr="00C52547" w:rsidRDefault="005D12E4" w:rsidP="005D12E4">
      <w:pPr>
        <w:keepNext/>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C52547">
        <w:rPr>
          <w:b/>
          <w:sz w:val="20"/>
          <w:szCs w:val="20"/>
          <w:lang w:bidi="ar-SA"/>
        </w:rPr>
        <w:t xml:space="preserve">Note:  </w:t>
      </w:r>
    </w:p>
    <w:p w14:paraId="74D251A8" w14:textId="77777777" w:rsidR="005D12E4" w:rsidRPr="00C52547" w:rsidRDefault="005D12E4" w:rsidP="005D12E4">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4393A0FA" w14:textId="77777777" w:rsidR="005D12E4" w:rsidRPr="00C52547" w:rsidRDefault="005D12E4" w:rsidP="005D12E4">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C52547">
        <w:rPr>
          <w:sz w:val="20"/>
          <w:szCs w:val="20"/>
          <w:lang w:bidi="ar-SA"/>
        </w:rPr>
        <w:t xml:space="preserve">This variation will be published in the Commonwealth of Australia Gazette No. </w:t>
      </w:r>
      <w:proofErr w:type="gramStart"/>
      <w:r w:rsidRPr="00C52547">
        <w:rPr>
          <w:sz w:val="20"/>
          <w:szCs w:val="20"/>
          <w:lang w:bidi="ar-SA"/>
        </w:rPr>
        <w:t xml:space="preserve">FSC </w:t>
      </w:r>
      <w:r w:rsidRPr="00C52547">
        <w:rPr>
          <w:color w:val="FF0000"/>
          <w:sz w:val="20"/>
          <w:szCs w:val="20"/>
          <w:lang w:bidi="ar-SA"/>
        </w:rPr>
        <w:t>XX on XX Month 20XX</w:t>
      </w:r>
      <w:r w:rsidRPr="00C52547">
        <w:rPr>
          <w:sz w:val="20"/>
          <w:szCs w:val="20"/>
          <w:lang w:bidi="ar-SA"/>
        </w:rPr>
        <w:t>.</w:t>
      </w:r>
      <w:proofErr w:type="gramEnd"/>
      <w:r w:rsidRPr="00C52547">
        <w:rPr>
          <w:sz w:val="20"/>
          <w:szCs w:val="20"/>
          <w:lang w:bidi="ar-SA"/>
        </w:rPr>
        <w:t xml:space="preserve"> This means that this date is the gazettal date for the purposes of clause 3 of the variation. </w:t>
      </w:r>
    </w:p>
    <w:p w14:paraId="119375E8" w14:textId="77777777" w:rsidR="005D12E4" w:rsidRPr="0093355E" w:rsidRDefault="005D12E4" w:rsidP="005D12E4">
      <w:pPr>
        <w:tabs>
          <w:tab w:val="left" w:pos="851"/>
        </w:tabs>
        <w:rPr>
          <w:sz w:val="20"/>
          <w:szCs w:val="20"/>
          <w:lang w:bidi="ar-SA"/>
        </w:rPr>
      </w:pPr>
    </w:p>
    <w:p w14:paraId="611F0C03" w14:textId="77777777" w:rsidR="005D12E4" w:rsidRPr="0093355E" w:rsidRDefault="005D12E4" w:rsidP="005D12E4">
      <w:pPr>
        <w:widowControl/>
        <w:rPr>
          <w:sz w:val="20"/>
          <w:szCs w:val="20"/>
          <w:lang w:bidi="ar-SA"/>
        </w:rPr>
      </w:pPr>
      <w:r w:rsidRPr="0093355E">
        <w:rPr>
          <w:sz w:val="20"/>
          <w:szCs w:val="20"/>
          <w:lang w:bidi="ar-SA"/>
        </w:rPr>
        <w:br w:type="page"/>
      </w:r>
    </w:p>
    <w:p w14:paraId="6424B927" w14:textId="77777777" w:rsidR="005D12E4" w:rsidRPr="0093355E" w:rsidRDefault="005D12E4" w:rsidP="005D12E4">
      <w:pPr>
        <w:keepNext/>
        <w:tabs>
          <w:tab w:val="left" w:pos="851"/>
        </w:tabs>
        <w:rPr>
          <w:b/>
          <w:sz w:val="20"/>
          <w:szCs w:val="20"/>
          <w:lang w:bidi="ar-SA"/>
        </w:rPr>
      </w:pPr>
      <w:r w:rsidRPr="0093355E">
        <w:rPr>
          <w:b/>
          <w:sz w:val="20"/>
          <w:szCs w:val="20"/>
          <w:lang w:bidi="ar-SA"/>
        </w:rPr>
        <w:lastRenderedPageBreak/>
        <w:t>1</w:t>
      </w:r>
      <w:r w:rsidRPr="0093355E">
        <w:rPr>
          <w:b/>
          <w:sz w:val="20"/>
          <w:szCs w:val="20"/>
          <w:lang w:bidi="ar-SA"/>
        </w:rPr>
        <w:tab/>
        <w:t>Name</w:t>
      </w:r>
    </w:p>
    <w:p w14:paraId="6FDFE847" w14:textId="77777777" w:rsidR="005D12E4" w:rsidRPr="0093355E" w:rsidRDefault="005D12E4" w:rsidP="005D12E4">
      <w:pPr>
        <w:tabs>
          <w:tab w:val="left" w:pos="851"/>
        </w:tabs>
        <w:rPr>
          <w:sz w:val="20"/>
          <w:szCs w:val="20"/>
          <w:lang w:bidi="ar-SA"/>
        </w:rPr>
      </w:pPr>
    </w:p>
    <w:p w14:paraId="7BDEE732" w14:textId="77777777" w:rsidR="005D12E4" w:rsidRPr="0093355E" w:rsidRDefault="005D12E4" w:rsidP="005D12E4">
      <w:pPr>
        <w:tabs>
          <w:tab w:val="left" w:pos="851"/>
        </w:tabs>
        <w:rPr>
          <w:sz w:val="20"/>
          <w:szCs w:val="20"/>
          <w:lang w:bidi="ar-SA"/>
        </w:rPr>
      </w:pPr>
      <w:r w:rsidRPr="0093355E">
        <w:rPr>
          <w:sz w:val="20"/>
          <w:szCs w:val="20"/>
          <w:lang w:bidi="ar-SA"/>
        </w:rPr>
        <w:t xml:space="preserve">This instrument is the </w:t>
      </w:r>
      <w:r w:rsidRPr="0093355E">
        <w:rPr>
          <w:i/>
          <w:sz w:val="20"/>
          <w:szCs w:val="20"/>
          <w:lang w:bidi="ar-SA"/>
        </w:rPr>
        <w:t>Food Standards (P1038 – Vitamin &amp; Mineral Claims &amp; Sodium Claims about Food containing Alcohol) Variation</w:t>
      </w:r>
      <w:r w:rsidRPr="0093355E">
        <w:rPr>
          <w:sz w:val="20"/>
          <w:szCs w:val="20"/>
          <w:lang w:bidi="ar-SA"/>
        </w:rPr>
        <w:t>.</w:t>
      </w:r>
    </w:p>
    <w:p w14:paraId="31586FA9" w14:textId="77777777" w:rsidR="005D12E4" w:rsidRPr="0093355E" w:rsidRDefault="005D12E4" w:rsidP="005D12E4">
      <w:pPr>
        <w:tabs>
          <w:tab w:val="left" w:pos="851"/>
        </w:tabs>
        <w:rPr>
          <w:sz w:val="20"/>
          <w:szCs w:val="20"/>
          <w:lang w:bidi="ar-SA"/>
        </w:rPr>
      </w:pPr>
    </w:p>
    <w:p w14:paraId="28C08209" w14:textId="77777777" w:rsidR="005D12E4" w:rsidRPr="0093355E" w:rsidRDefault="005D12E4" w:rsidP="005D12E4">
      <w:pPr>
        <w:keepNext/>
        <w:ind w:left="851" w:hanging="851"/>
        <w:rPr>
          <w:b/>
          <w:sz w:val="20"/>
          <w:szCs w:val="20"/>
          <w:lang w:bidi="ar-SA"/>
        </w:rPr>
      </w:pPr>
      <w:r w:rsidRPr="0093355E">
        <w:rPr>
          <w:b/>
          <w:sz w:val="20"/>
          <w:szCs w:val="20"/>
          <w:lang w:bidi="ar-SA"/>
        </w:rPr>
        <w:t>2</w:t>
      </w:r>
      <w:r w:rsidRPr="0093355E">
        <w:rPr>
          <w:b/>
          <w:sz w:val="20"/>
          <w:szCs w:val="20"/>
          <w:lang w:bidi="ar-SA"/>
        </w:rPr>
        <w:tab/>
        <w:t xml:space="preserve">Variation to Standards in the </w:t>
      </w:r>
      <w:r w:rsidRPr="0093355E">
        <w:rPr>
          <w:b/>
          <w:i/>
          <w:sz w:val="20"/>
          <w:szCs w:val="20"/>
          <w:lang w:bidi="ar-SA"/>
        </w:rPr>
        <w:t>Australia New Zealand Food Standards Code</w:t>
      </w:r>
    </w:p>
    <w:p w14:paraId="7C494C5D" w14:textId="77777777" w:rsidR="005D12E4" w:rsidRPr="0093355E" w:rsidRDefault="005D12E4" w:rsidP="005D12E4">
      <w:pPr>
        <w:tabs>
          <w:tab w:val="left" w:pos="851"/>
        </w:tabs>
        <w:rPr>
          <w:sz w:val="20"/>
          <w:szCs w:val="20"/>
          <w:lang w:bidi="ar-SA"/>
        </w:rPr>
      </w:pPr>
    </w:p>
    <w:p w14:paraId="2303755C" w14:textId="77777777" w:rsidR="005D12E4" w:rsidRPr="0093355E" w:rsidRDefault="005D12E4" w:rsidP="005D12E4">
      <w:pPr>
        <w:tabs>
          <w:tab w:val="left" w:pos="851"/>
        </w:tabs>
        <w:rPr>
          <w:sz w:val="20"/>
          <w:szCs w:val="20"/>
          <w:lang w:bidi="ar-SA"/>
        </w:rPr>
      </w:pPr>
      <w:r w:rsidRPr="0093355E">
        <w:rPr>
          <w:sz w:val="20"/>
          <w:szCs w:val="20"/>
          <w:lang w:bidi="ar-SA"/>
        </w:rPr>
        <w:t xml:space="preserve">The Schedule varies a Standard in the </w:t>
      </w:r>
      <w:r w:rsidRPr="0093355E">
        <w:rPr>
          <w:i/>
          <w:sz w:val="20"/>
          <w:szCs w:val="20"/>
          <w:lang w:bidi="ar-SA"/>
        </w:rPr>
        <w:t>Australia New Zealand Food Standards Code</w:t>
      </w:r>
      <w:r w:rsidRPr="0093355E">
        <w:rPr>
          <w:sz w:val="20"/>
          <w:szCs w:val="20"/>
          <w:lang w:bidi="ar-SA"/>
        </w:rPr>
        <w:t>.</w:t>
      </w:r>
    </w:p>
    <w:p w14:paraId="56BA21B6" w14:textId="77777777" w:rsidR="005D12E4" w:rsidRPr="0093355E" w:rsidRDefault="005D12E4" w:rsidP="005D12E4">
      <w:pPr>
        <w:tabs>
          <w:tab w:val="left" w:pos="851"/>
        </w:tabs>
        <w:rPr>
          <w:sz w:val="20"/>
          <w:szCs w:val="20"/>
          <w:lang w:bidi="ar-SA"/>
        </w:rPr>
      </w:pPr>
    </w:p>
    <w:p w14:paraId="3DAC3469" w14:textId="77777777" w:rsidR="005D12E4" w:rsidRPr="0093355E" w:rsidRDefault="005D12E4" w:rsidP="005D12E4">
      <w:pPr>
        <w:keepNext/>
        <w:tabs>
          <w:tab w:val="left" w:pos="851"/>
        </w:tabs>
        <w:rPr>
          <w:b/>
          <w:sz w:val="20"/>
          <w:szCs w:val="20"/>
          <w:lang w:bidi="ar-SA"/>
        </w:rPr>
      </w:pPr>
      <w:r w:rsidRPr="0093355E">
        <w:rPr>
          <w:b/>
          <w:sz w:val="20"/>
          <w:szCs w:val="20"/>
          <w:lang w:bidi="ar-SA"/>
        </w:rPr>
        <w:t>3</w:t>
      </w:r>
      <w:r w:rsidRPr="0093355E">
        <w:rPr>
          <w:b/>
          <w:sz w:val="20"/>
          <w:szCs w:val="20"/>
          <w:lang w:bidi="ar-SA"/>
        </w:rPr>
        <w:tab/>
        <w:t>Commencement</w:t>
      </w:r>
    </w:p>
    <w:p w14:paraId="12636C33" w14:textId="77777777" w:rsidR="005D12E4" w:rsidRPr="0093355E" w:rsidRDefault="005D12E4" w:rsidP="005D12E4">
      <w:pPr>
        <w:tabs>
          <w:tab w:val="left" w:pos="851"/>
        </w:tabs>
        <w:rPr>
          <w:sz w:val="20"/>
          <w:szCs w:val="20"/>
          <w:lang w:bidi="ar-SA"/>
        </w:rPr>
      </w:pPr>
    </w:p>
    <w:p w14:paraId="0B3AA205" w14:textId="77777777" w:rsidR="005D12E4" w:rsidRPr="0093355E" w:rsidRDefault="005D12E4" w:rsidP="005D12E4">
      <w:pPr>
        <w:tabs>
          <w:tab w:val="left" w:pos="851"/>
        </w:tabs>
        <w:rPr>
          <w:sz w:val="20"/>
          <w:szCs w:val="20"/>
          <w:lang w:bidi="ar-SA"/>
        </w:rPr>
      </w:pPr>
      <w:r w:rsidRPr="0093355E">
        <w:rPr>
          <w:sz w:val="20"/>
          <w:szCs w:val="20"/>
          <w:lang w:bidi="ar-SA"/>
        </w:rPr>
        <w:t>The Schedule commences on the date of gazettal.</w:t>
      </w:r>
    </w:p>
    <w:p w14:paraId="636643D9" w14:textId="77777777" w:rsidR="005D12E4" w:rsidRPr="0093355E" w:rsidRDefault="005D12E4" w:rsidP="005D12E4">
      <w:pPr>
        <w:tabs>
          <w:tab w:val="left" w:pos="851"/>
        </w:tabs>
        <w:jc w:val="center"/>
        <w:rPr>
          <w:b/>
          <w:caps/>
          <w:sz w:val="20"/>
          <w:szCs w:val="20"/>
          <w:lang w:bidi="ar-SA"/>
        </w:rPr>
      </w:pPr>
    </w:p>
    <w:p w14:paraId="6545D836" w14:textId="77777777" w:rsidR="005D12E4" w:rsidRPr="0093355E" w:rsidRDefault="005D12E4" w:rsidP="005D12E4">
      <w:pPr>
        <w:tabs>
          <w:tab w:val="left" w:pos="851"/>
        </w:tabs>
        <w:jc w:val="center"/>
        <w:rPr>
          <w:b/>
          <w:caps/>
          <w:sz w:val="20"/>
          <w:szCs w:val="20"/>
          <w:lang w:bidi="ar-SA"/>
        </w:rPr>
      </w:pPr>
      <w:r w:rsidRPr="0093355E">
        <w:rPr>
          <w:b/>
          <w:caps/>
          <w:sz w:val="20"/>
          <w:szCs w:val="20"/>
          <w:lang w:bidi="ar-SA"/>
        </w:rPr>
        <w:t>SCHEDULE</w:t>
      </w:r>
    </w:p>
    <w:p w14:paraId="43847D89" w14:textId="77777777" w:rsidR="005D12E4" w:rsidRPr="0093355E" w:rsidRDefault="005D12E4" w:rsidP="005D12E4">
      <w:pPr>
        <w:widowControl/>
        <w:rPr>
          <w:sz w:val="20"/>
          <w:szCs w:val="20"/>
          <w:lang w:bidi="ar-SA"/>
        </w:rPr>
      </w:pPr>
    </w:p>
    <w:p w14:paraId="4CD0DC84" w14:textId="77777777" w:rsidR="005D12E4" w:rsidRPr="0093355E" w:rsidRDefault="005D12E4" w:rsidP="005D12E4">
      <w:pPr>
        <w:tabs>
          <w:tab w:val="left" w:pos="851"/>
        </w:tabs>
        <w:rPr>
          <w:sz w:val="20"/>
          <w:szCs w:val="20"/>
          <w:lang w:bidi="ar-SA"/>
        </w:rPr>
      </w:pPr>
      <w:r w:rsidRPr="0093355E">
        <w:rPr>
          <w:b/>
          <w:sz w:val="20"/>
          <w:szCs w:val="20"/>
          <w:lang w:bidi="ar-SA"/>
        </w:rPr>
        <w:t>[1]</w:t>
      </w:r>
      <w:r w:rsidRPr="0093355E">
        <w:rPr>
          <w:b/>
          <w:szCs w:val="20"/>
          <w:lang w:bidi="ar-SA"/>
        </w:rPr>
        <w:tab/>
      </w:r>
      <w:r w:rsidRPr="0093355E">
        <w:rPr>
          <w:b/>
          <w:sz w:val="20"/>
          <w:szCs w:val="20"/>
          <w:lang w:bidi="ar-SA"/>
        </w:rPr>
        <w:t>Standard 1.2.7</w:t>
      </w:r>
      <w:r w:rsidRPr="0093355E">
        <w:rPr>
          <w:sz w:val="20"/>
          <w:szCs w:val="20"/>
          <w:lang w:bidi="ar-SA"/>
        </w:rPr>
        <w:t xml:space="preserve"> is varied by </w:t>
      </w:r>
    </w:p>
    <w:p w14:paraId="03A89570" w14:textId="77777777" w:rsidR="005D12E4" w:rsidRPr="0093355E" w:rsidRDefault="005D12E4" w:rsidP="005D12E4">
      <w:pPr>
        <w:tabs>
          <w:tab w:val="left" w:pos="851"/>
        </w:tabs>
        <w:ind w:left="567" w:hanging="567"/>
        <w:rPr>
          <w:sz w:val="20"/>
          <w:szCs w:val="20"/>
          <w:lang w:bidi="ar-SA"/>
        </w:rPr>
      </w:pPr>
      <w:r w:rsidRPr="0093355E">
        <w:rPr>
          <w:sz w:val="20"/>
          <w:szCs w:val="20"/>
          <w:lang w:bidi="ar-SA"/>
        </w:rPr>
        <w:t xml:space="preserve"> </w:t>
      </w:r>
    </w:p>
    <w:p w14:paraId="7579A939" w14:textId="77777777" w:rsidR="005D12E4" w:rsidRPr="0093355E" w:rsidRDefault="005D12E4" w:rsidP="005D12E4">
      <w:pPr>
        <w:tabs>
          <w:tab w:val="left" w:pos="851"/>
        </w:tabs>
        <w:rPr>
          <w:sz w:val="20"/>
          <w:szCs w:val="20"/>
          <w:lang w:bidi="ar-SA"/>
        </w:rPr>
      </w:pPr>
      <w:r w:rsidRPr="0093355E">
        <w:rPr>
          <w:sz w:val="20"/>
          <w:szCs w:val="20"/>
          <w:lang w:bidi="ar-SA"/>
        </w:rPr>
        <w:t>[1.1]</w:t>
      </w:r>
      <w:r w:rsidRPr="0093355E">
        <w:rPr>
          <w:sz w:val="20"/>
          <w:szCs w:val="20"/>
          <w:lang w:bidi="ar-SA"/>
        </w:rPr>
        <w:tab/>
        <w:t xml:space="preserve">inserting in clause 2 in alphabetical order, the following definitions </w:t>
      </w:r>
    </w:p>
    <w:p w14:paraId="575DF11B" w14:textId="77777777" w:rsidR="005D12E4" w:rsidRPr="0093355E" w:rsidRDefault="005D12E4" w:rsidP="005D12E4">
      <w:pPr>
        <w:tabs>
          <w:tab w:val="left" w:pos="851"/>
        </w:tabs>
        <w:rPr>
          <w:szCs w:val="20"/>
          <w:lang w:bidi="ar-SA"/>
        </w:rPr>
      </w:pPr>
    </w:p>
    <w:p w14:paraId="49F78D52" w14:textId="640F8526" w:rsidR="005D12E4" w:rsidRPr="0093355E" w:rsidRDefault="008B0354" w:rsidP="005D12E4">
      <w:pPr>
        <w:tabs>
          <w:tab w:val="left" w:pos="851"/>
        </w:tabs>
        <w:ind w:left="1701" w:hanging="851"/>
        <w:rPr>
          <w:sz w:val="20"/>
          <w:szCs w:val="20"/>
          <w:lang w:bidi="ar-SA"/>
        </w:rPr>
      </w:pPr>
      <w:r w:rsidRPr="00C52547">
        <w:rPr>
          <w:sz w:val="20"/>
          <w:szCs w:val="20"/>
          <w:lang w:bidi="ar-SA"/>
        </w:rPr>
        <w:t>“</w:t>
      </w:r>
      <w:proofErr w:type="gramStart"/>
      <w:r w:rsidR="005D12E4" w:rsidRPr="0093355E">
        <w:rPr>
          <w:b/>
          <w:sz w:val="20"/>
          <w:szCs w:val="20"/>
          <w:lang w:bidi="ar-SA"/>
        </w:rPr>
        <w:t>maximum</w:t>
      </w:r>
      <w:proofErr w:type="gramEnd"/>
      <w:r w:rsidR="005D12E4" w:rsidRPr="0093355E">
        <w:rPr>
          <w:b/>
          <w:sz w:val="20"/>
          <w:szCs w:val="20"/>
          <w:lang w:bidi="ar-SA"/>
        </w:rPr>
        <w:t xml:space="preserve"> claimable amount </w:t>
      </w:r>
      <w:r>
        <w:rPr>
          <w:rFonts w:eastAsia="Calibri"/>
          <w:sz w:val="20"/>
          <w:szCs w:val="20"/>
          <w:lang w:eastAsia="en-AU" w:bidi="ar-SA"/>
        </w:rPr>
        <w:t>means</w:t>
      </w:r>
      <w:r w:rsidRPr="0093355E">
        <w:rPr>
          <w:rFonts w:eastAsia="Calibri"/>
          <w:sz w:val="20"/>
          <w:szCs w:val="20"/>
          <w:lang w:eastAsia="en-AU" w:bidi="ar-SA"/>
        </w:rPr>
        <w:t xml:space="preserve"> </w:t>
      </w:r>
      <w:r w:rsidR="005D12E4" w:rsidRPr="0093355E">
        <w:rPr>
          <w:rFonts w:eastAsia="Calibri"/>
          <w:sz w:val="20"/>
          <w:szCs w:val="20"/>
          <w:lang w:eastAsia="en-AU" w:bidi="ar-SA"/>
        </w:rPr>
        <w:t>the maximum claimable amount as prescribed by clause 4 or clause 5 of Standard 1.3.2.</w:t>
      </w:r>
      <w:r>
        <w:rPr>
          <w:rFonts w:eastAsia="Calibri"/>
          <w:sz w:val="20"/>
          <w:szCs w:val="20"/>
          <w:lang w:eastAsia="en-AU" w:bidi="ar-SA"/>
        </w:rPr>
        <w:t>”</w:t>
      </w:r>
    </w:p>
    <w:p w14:paraId="38F56DF0" w14:textId="77777777" w:rsidR="005D12E4" w:rsidRPr="0093355E" w:rsidRDefault="005D12E4" w:rsidP="005D12E4">
      <w:pPr>
        <w:tabs>
          <w:tab w:val="left" w:pos="851"/>
        </w:tabs>
        <w:rPr>
          <w:szCs w:val="20"/>
          <w:lang w:bidi="ar-SA"/>
        </w:rPr>
      </w:pPr>
    </w:p>
    <w:p w14:paraId="3A876049" w14:textId="1916DF4C" w:rsidR="005D12E4" w:rsidRPr="0093355E" w:rsidRDefault="008B0354" w:rsidP="005D12E4">
      <w:pPr>
        <w:tabs>
          <w:tab w:val="left" w:pos="851"/>
        </w:tabs>
        <w:ind w:left="1701" w:hanging="851"/>
        <w:rPr>
          <w:b/>
          <w:sz w:val="20"/>
          <w:szCs w:val="20"/>
          <w:lang w:bidi="ar-SA"/>
        </w:rPr>
      </w:pPr>
      <w:r w:rsidRPr="00C91F2A">
        <w:rPr>
          <w:sz w:val="20"/>
          <w:szCs w:val="20"/>
          <w:lang w:bidi="ar-SA"/>
        </w:rPr>
        <w:t>“</w:t>
      </w:r>
      <w:proofErr w:type="gramStart"/>
      <w:r w:rsidR="005D12E4" w:rsidRPr="0093355E">
        <w:rPr>
          <w:b/>
          <w:sz w:val="20"/>
          <w:szCs w:val="20"/>
          <w:lang w:bidi="ar-SA"/>
        </w:rPr>
        <w:t>reference</w:t>
      </w:r>
      <w:proofErr w:type="gramEnd"/>
      <w:r w:rsidR="005D12E4" w:rsidRPr="0093355E">
        <w:rPr>
          <w:b/>
          <w:sz w:val="20"/>
          <w:szCs w:val="20"/>
          <w:lang w:bidi="ar-SA"/>
        </w:rPr>
        <w:t xml:space="preserve"> quantity</w:t>
      </w:r>
      <w:r w:rsidR="005D12E4" w:rsidRPr="0093355E">
        <w:rPr>
          <w:rFonts w:eastAsia="Calibri"/>
          <w:sz w:val="20"/>
          <w:szCs w:val="20"/>
          <w:lang w:eastAsia="en-AU" w:bidi="ar-SA"/>
        </w:rPr>
        <w:t xml:space="preserve"> means the reference </w:t>
      </w:r>
      <w:r w:rsidR="005D12E4" w:rsidRPr="0093355E">
        <w:rPr>
          <w:rFonts w:eastAsia="Calibri"/>
          <w:sz w:val="20"/>
          <w:szCs w:val="20"/>
          <w:lang w:bidi="ar-SA"/>
        </w:rPr>
        <w:t>quantity</w:t>
      </w:r>
      <w:r w:rsidR="005D12E4" w:rsidRPr="0093355E">
        <w:rPr>
          <w:rFonts w:eastAsia="Calibri"/>
          <w:sz w:val="20"/>
          <w:szCs w:val="20"/>
          <w:lang w:eastAsia="en-AU" w:bidi="ar-SA"/>
        </w:rPr>
        <w:t xml:space="preserve"> specified for the food in Column 2 of the Table to clause 3 of Standard 1.3.2.</w:t>
      </w:r>
      <w:r>
        <w:rPr>
          <w:rFonts w:eastAsia="Calibri"/>
          <w:sz w:val="20"/>
          <w:szCs w:val="20"/>
          <w:lang w:eastAsia="en-AU" w:bidi="ar-SA"/>
        </w:rPr>
        <w:t>”</w:t>
      </w:r>
    </w:p>
    <w:p w14:paraId="7685B106" w14:textId="77777777" w:rsidR="005D12E4" w:rsidRPr="0093355E" w:rsidRDefault="005D12E4" w:rsidP="005D12E4">
      <w:pPr>
        <w:tabs>
          <w:tab w:val="left" w:pos="851"/>
        </w:tabs>
        <w:rPr>
          <w:sz w:val="20"/>
          <w:szCs w:val="20"/>
          <w:lang w:bidi="ar-SA"/>
        </w:rPr>
      </w:pPr>
    </w:p>
    <w:p w14:paraId="01E53196" w14:textId="77777777" w:rsidR="005D12E4" w:rsidRPr="0093355E" w:rsidRDefault="005D12E4" w:rsidP="005D12E4">
      <w:pPr>
        <w:tabs>
          <w:tab w:val="left" w:pos="851"/>
        </w:tabs>
        <w:rPr>
          <w:sz w:val="20"/>
          <w:szCs w:val="20"/>
          <w:lang w:bidi="ar-SA"/>
        </w:rPr>
      </w:pPr>
      <w:r w:rsidRPr="0093355E">
        <w:rPr>
          <w:sz w:val="20"/>
          <w:szCs w:val="20"/>
          <w:lang w:bidi="ar-SA"/>
        </w:rPr>
        <w:t>[1.2]</w:t>
      </w:r>
      <w:r w:rsidRPr="0093355E">
        <w:rPr>
          <w:sz w:val="20"/>
          <w:szCs w:val="20"/>
          <w:lang w:bidi="ar-SA"/>
        </w:rPr>
        <w:tab/>
        <w:t xml:space="preserve">deleting paragraph 3(b), substituting </w:t>
      </w:r>
    </w:p>
    <w:p w14:paraId="50AC0B74" w14:textId="77777777" w:rsidR="005D12E4" w:rsidRPr="0093355E" w:rsidRDefault="005D12E4" w:rsidP="005D12E4">
      <w:pPr>
        <w:tabs>
          <w:tab w:val="left" w:pos="851"/>
        </w:tabs>
        <w:rPr>
          <w:szCs w:val="20"/>
          <w:lang w:bidi="ar-SA"/>
        </w:rPr>
      </w:pPr>
    </w:p>
    <w:p w14:paraId="73403150" w14:textId="0EC9873A" w:rsidR="005D12E4" w:rsidRPr="0093355E" w:rsidRDefault="008B0354" w:rsidP="005D12E4">
      <w:pPr>
        <w:ind w:left="1702" w:hanging="851"/>
        <w:rPr>
          <w:sz w:val="20"/>
          <w:szCs w:val="20"/>
          <w:lang w:bidi="ar-SA"/>
        </w:rPr>
      </w:pPr>
      <w:r>
        <w:rPr>
          <w:sz w:val="20"/>
          <w:szCs w:val="20"/>
          <w:lang w:bidi="ar-SA"/>
        </w:rPr>
        <w:t>“</w:t>
      </w:r>
      <w:r w:rsidR="005D12E4" w:rsidRPr="0093355E">
        <w:rPr>
          <w:sz w:val="20"/>
          <w:szCs w:val="20"/>
          <w:lang w:bidi="ar-SA"/>
        </w:rPr>
        <w:t>(b)</w:t>
      </w:r>
      <w:r w:rsidR="005D12E4" w:rsidRPr="0093355E">
        <w:rPr>
          <w:sz w:val="20"/>
          <w:szCs w:val="20"/>
          <w:lang w:bidi="ar-SA"/>
        </w:rPr>
        <w:tab/>
      </w:r>
      <w:proofErr w:type="gramStart"/>
      <w:r w:rsidR="005D12E4" w:rsidRPr="0093355E">
        <w:rPr>
          <w:sz w:val="20"/>
          <w:szCs w:val="20"/>
          <w:lang w:bidi="ar-SA"/>
        </w:rPr>
        <w:t>a</w:t>
      </w:r>
      <w:proofErr w:type="gramEnd"/>
      <w:r w:rsidR="005D12E4" w:rsidRPr="0093355E">
        <w:rPr>
          <w:sz w:val="20"/>
          <w:szCs w:val="20"/>
          <w:lang w:bidi="ar-SA"/>
        </w:rPr>
        <w:t xml:space="preserve"> food that contains more than 1.15% alcohol by volume, other than a nutrition content claim about – </w:t>
      </w:r>
    </w:p>
    <w:p w14:paraId="00B0C88C" w14:textId="77777777" w:rsidR="005D12E4" w:rsidRPr="0093355E" w:rsidRDefault="005D12E4" w:rsidP="005D12E4">
      <w:pPr>
        <w:tabs>
          <w:tab w:val="left" w:pos="851"/>
        </w:tabs>
        <w:rPr>
          <w:szCs w:val="20"/>
          <w:lang w:bidi="ar-SA"/>
        </w:rPr>
      </w:pPr>
    </w:p>
    <w:p w14:paraId="190A475A" w14:textId="77777777" w:rsidR="005D12E4" w:rsidRPr="0093355E" w:rsidRDefault="005D12E4" w:rsidP="005D12E4">
      <w:pPr>
        <w:numPr>
          <w:ilvl w:val="0"/>
          <w:numId w:val="20"/>
        </w:numPr>
        <w:tabs>
          <w:tab w:val="left" w:pos="851"/>
        </w:tabs>
        <w:rPr>
          <w:sz w:val="20"/>
          <w:szCs w:val="20"/>
          <w:lang w:bidi="ar-SA"/>
        </w:rPr>
      </w:pPr>
      <w:r w:rsidRPr="0093355E">
        <w:rPr>
          <w:sz w:val="20"/>
          <w:szCs w:val="20"/>
          <w:lang w:bidi="ar-SA"/>
        </w:rPr>
        <w:t>energy content or carbohydrate content; or</w:t>
      </w:r>
    </w:p>
    <w:p w14:paraId="3A600CC8" w14:textId="00C5DFFC" w:rsidR="005D12E4" w:rsidRPr="0093355E" w:rsidRDefault="005D12E4" w:rsidP="005D12E4">
      <w:pPr>
        <w:ind w:left="2553" w:hanging="851"/>
        <w:rPr>
          <w:sz w:val="20"/>
          <w:szCs w:val="20"/>
          <w:lang w:bidi="ar-SA"/>
        </w:rPr>
      </w:pPr>
      <w:r w:rsidRPr="0093355E">
        <w:rPr>
          <w:sz w:val="20"/>
          <w:szCs w:val="20"/>
          <w:lang w:bidi="ar-SA"/>
        </w:rPr>
        <w:t>ii)</w:t>
      </w:r>
      <w:r w:rsidRPr="0093355E">
        <w:rPr>
          <w:sz w:val="20"/>
          <w:szCs w:val="20"/>
          <w:lang w:bidi="ar-SA"/>
        </w:rPr>
        <w:tab/>
      </w:r>
      <w:proofErr w:type="gramStart"/>
      <w:r w:rsidRPr="0093355E">
        <w:rPr>
          <w:sz w:val="20"/>
          <w:szCs w:val="20"/>
          <w:lang w:bidi="ar-SA"/>
        </w:rPr>
        <w:t>salt</w:t>
      </w:r>
      <w:proofErr w:type="gramEnd"/>
      <w:r w:rsidRPr="0093355E">
        <w:rPr>
          <w:sz w:val="20"/>
          <w:szCs w:val="20"/>
          <w:lang w:bidi="ar-SA"/>
        </w:rPr>
        <w:t xml:space="preserve"> or sodium content about a food that is not a beverage; or</w:t>
      </w:r>
      <w:r w:rsidR="008B0354">
        <w:rPr>
          <w:sz w:val="20"/>
          <w:szCs w:val="20"/>
          <w:lang w:bidi="ar-SA"/>
        </w:rPr>
        <w:t>”</w:t>
      </w:r>
    </w:p>
    <w:p w14:paraId="11D725C5" w14:textId="77777777" w:rsidR="005D12E4" w:rsidRPr="0093355E" w:rsidRDefault="005D12E4" w:rsidP="005D12E4">
      <w:pPr>
        <w:tabs>
          <w:tab w:val="left" w:pos="851"/>
        </w:tabs>
        <w:rPr>
          <w:sz w:val="20"/>
          <w:szCs w:val="20"/>
          <w:lang w:bidi="ar-SA"/>
        </w:rPr>
      </w:pPr>
    </w:p>
    <w:p w14:paraId="05D0AEEB" w14:textId="77777777" w:rsidR="005D12E4" w:rsidRPr="0093355E" w:rsidRDefault="005D12E4" w:rsidP="005D12E4">
      <w:pPr>
        <w:tabs>
          <w:tab w:val="left" w:pos="851"/>
        </w:tabs>
        <w:rPr>
          <w:sz w:val="20"/>
          <w:szCs w:val="20"/>
          <w:lang w:bidi="ar-SA"/>
        </w:rPr>
      </w:pPr>
      <w:r w:rsidRPr="0093355E">
        <w:rPr>
          <w:sz w:val="20"/>
          <w:szCs w:val="20"/>
          <w:lang w:bidi="ar-SA"/>
        </w:rPr>
        <w:t>[1.3]</w:t>
      </w:r>
      <w:r w:rsidRPr="0093355E">
        <w:rPr>
          <w:sz w:val="20"/>
          <w:szCs w:val="20"/>
          <w:lang w:bidi="ar-SA"/>
        </w:rPr>
        <w:tab/>
        <w:t xml:space="preserve">deleting the following from Column 2 of the entry for Vitamin or mineral (not including potassium or sodium) in Schedule 1 </w:t>
      </w:r>
    </w:p>
    <w:p w14:paraId="31D31143" w14:textId="77777777" w:rsidR="005D12E4" w:rsidRPr="0093355E" w:rsidRDefault="005D12E4" w:rsidP="005D12E4">
      <w:pPr>
        <w:tabs>
          <w:tab w:val="left" w:pos="851"/>
        </w:tabs>
        <w:rPr>
          <w:sz w:val="20"/>
          <w:szCs w:val="20"/>
          <w:lang w:bidi="ar-SA"/>
        </w:rPr>
      </w:pPr>
      <w:r w:rsidRPr="0093355E">
        <w:rPr>
          <w:sz w:val="20"/>
          <w:szCs w:val="20"/>
          <w:lang w:bidi="ar-SA"/>
        </w:rPr>
        <w:t xml:space="preserve"> </w:t>
      </w:r>
    </w:p>
    <w:p w14:paraId="094A1168" w14:textId="77777777" w:rsidR="005D12E4" w:rsidRPr="0093355E" w:rsidRDefault="005D12E4" w:rsidP="005D12E4">
      <w:pPr>
        <w:tabs>
          <w:tab w:val="left" w:pos="851"/>
        </w:tabs>
        <w:ind w:left="567" w:hanging="567"/>
        <w:rPr>
          <w:sz w:val="20"/>
          <w:szCs w:val="20"/>
          <w:lang w:bidi="ar-SA"/>
        </w:rPr>
      </w:pPr>
      <w:r w:rsidRPr="0093355E">
        <w:rPr>
          <w:sz w:val="20"/>
          <w:szCs w:val="20"/>
          <w:lang w:bidi="ar-SA"/>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27"/>
        <w:gridCol w:w="2126"/>
        <w:gridCol w:w="3010"/>
      </w:tblGrid>
      <w:tr w:rsidR="005D12E4" w:rsidRPr="0093355E" w14:paraId="183313C0" w14:textId="77777777" w:rsidTr="00ED0372">
        <w:tc>
          <w:tcPr>
            <w:tcW w:w="1809" w:type="dxa"/>
          </w:tcPr>
          <w:p w14:paraId="798A82FE" w14:textId="77777777" w:rsidR="005D12E4" w:rsidRPr="0093355E" w:rsidRDefault="005D12E4" w:rsidP="005D12E4">
            <w:pPr>
              <w:tabs>
                <w:tab w:val="left" w:pos="851"/>
              </w:tabs>
              <w:ind w:left="142" w:hanging="142"/>
              <w:rPr>
                <w:rFonts w:eastAsia="Calibri"/>
                <w:bCs/>
                <w:sz w:val="18"/>
                <w:szCs w:val="20"/>
                <w:lang w:eastAsia="en-AU" w:bidi="ar-SA"/>
              </w:rPr>
            </w:pPr>
            <w:r w:rsidRPr="0093355E">
              <w:rPr>
                <w:rFonts w:eastAsia="Calibri"/>
                <w:bCs/>
                <w:sz w:val="18"/>
                <w:szCs w:val="20"/>
                <w:lang w:bidi="ar-SA"/>
              </w:rPr>
              <w:br w:type="page"/>
            </w:r>
          </w:p>
        </w:tc>
        <w:tc>
          <w:tcPr>
            <w:tcW w:w="2127" w:type="dxa"/>
          </w:tcPr>
          <w:p w14:paraId="51D03DAA" w14:textId="77777777" w:rsidR="005D12E4" w:rsidRPr="0093355E" w:rsidRDefault="005D12E4" w:rsidP="005D12E4">
            <w:pPr>
              <w:ind w:left="284" w:hanging="284"/>
              <w:rPr>
                <w:rFonts w:eastAsia="Calibri"/>
                <w:bCs/>
                <w:sz w:val="18"/>
                <w:szCs w:val="20"/>
                <w:lang w:eastAsia="en-AU" w:bidi="ar-SA"/>
              </w:rPr>
            </w:pPr>
            <w:r w:rsidRPr="0093355E">
              <w:rPr>
                <w:rFonts w:eastAsia="Calibri"/>
                <w:bCs/>
                <w:sz w:val="18"/>
                <w:szCs w:val="20"/>
                <w:lang w:eastAsia="en-AU" w:bidi="ar-SA"/>
              </w:rPr>
              <w:t>(a)</w:t>
            </w:r>
            <w:r w:rsidRPr="0093355E">
              <w:rPr>
                <w:rFonts w:eastAsia="Calibri"/>
                <w:bCs/>
                <w:sz w:val="18"/>
                <w:szCs w:val="20"/>
                <w:lang w:eastAsia="en-AU" w:bidi="ar-SA"/>
              </w:rPr>
              <w:tab/>
              <w:t>the vitamin or mineral is mentioned in column 1 of the Schedule to Standard 1.1.1; and</w:t>
            </w:r>
          </w:p>
          <w:p w14:paraId="3CDA721B" w14:textId="77777777" w:rsidR="005D12E4" w:rsidRPr="0093355E" w:rsidRDefault="005D12E4" w:rsidP="005D12E4">
            <w:pPr>
              <w:ind w:left="284" w:hanging="284"/>
              <w:rPr>
                <w:rFonts w:eastAsia="Calibri"/>
                <w:bCs/>
                <w:sz w:val="18"/>
                <w:szCs w:val="20"/>
                <w:lang w:eastAsia="en-AU" w:bidi="ar-SA"/>
              </w:rPr>
            </w:pPr>
            <w:r w:rsidRPr="0093355E">
              <w:rPr>
                <w:rFonts w:eastAsia="Calibri"/>
                <w:bCs/>
                <w:sz w:val="18"/>
                <w:szCs w:val="20"/>
                <w:lang w:eastAsia="en-AU" w:bidi="ar-SA"/>
              </w:rPr>
              <w:t>(b)</w:t>
            </w:r>
            <w:r w:rsidRPr="0093355E">
              <w:rPr>
                <w:rFonts w:eastAsia="Calibri"/>
                <w:bCs/>
                <w:sz w:val="18"/>
                <w:szCs w:val="20"/>
                <w:lang w:eastAsia="en-AU" w:bidi="ar-SA"/>
              </w:rPr>
              <w:tab/>
              <w:t>a serving of the food contains at least 10% of the RDI or ESADDI for that vitamin or mineral; and</w:t>
            </w:r>
          </w:p>
          <w:p w14:paraId="23585D5D" w14:textId="77777777" w:rsidR="005D12E4" w:rsidRDefault="005D12E4" w:rsidP="005D12E4">
            <w:pPr>
              <w:ind w:left="284" w:hanging="284"/>
              <w:rPr>
                <w:rFonts w:eastAsia="Calibri"/>
                <w:bCs/>
                <w:sz w:val="18"/>
                <w:szCs w:val="20"/>
                <w:lang w:eastAsia="en-AU" w:bidi="ar-SA"/>
              </w:rPr>
            </w:pPr>
            <w:r w:rsidRPr="0093355E">
              <w:rPr>
                <w:rFonts w:eastAsia="Calibri"/>
                <w:bCs/>
                <w:sz w:val="18"/>
                <w:szCs w:val="20"/>
                <w:lang w:eastAsia="en-AU" w:bidi="ar-SA"/>
              </w:rPr>
              <w:t>(c)</w:t>
            </w:r>
            <w:r w:rsidRPr="0093355E">
              <w:rPr>
                <w:rFonts w:eastAsia="Calibri"/>
                <w:bCs/>
                <w:sz w:val="18"/>
                <w:szCs w:val="20"/>
                <w:lang w:eastAsia="en-AU" w:bidi="ar-SA"/>
              </w:rPr>
              <w:tab/>
              <w:t>a claim is not for more of the particular vitamin or mineral than the maximum claimable amount as prescribed by clause 4 or clause 5 of Standard 1.3.2; and</w:t>
            </w:r>
          </w:p>
          <w:p w14:paraId="41E7531D" w14:textId="0A9022FF" w:rsidR="00D87B03" w:rsidRDefault="00D87B03" w:rsidP="005D12E4">
            <w:pPr>
              <w:ind w:left="284" w:hanging="284"/>
              <w:rPr>
                <w:rFonts w:eastAsia="Calibri"/>
                <w:bCs/>
                <w:sz w:val="18"/>
                <w:szCs w:val="20"/>
                <w:lang w:eastAsia="en-AU" w:bidi="ar-SA"/>
              </w:rPr>
            </w:pPr>
          </w:p>
          <w:p w14:paraId="22254336" w14:textId="77777777" w:rsidR="00D87B03" w:rsidRDefault="00D87B03" w:rsidP="005D12E4">
            <w:pPr>
              <w:ind w:left="284" w:hanging="284"/>
              <w:rPr>
                <w:rFonts w:eastAsia="Calibri"/>
                <w:bCs/>
                <w:sz w:val="18"/>
                <w:szCs w:val="20"/>
                <w:lang w:eastAsia="en-AU" w:bidi="ar-SA"/>
              </w:rPr>
            </w:pPr>
          </w:p>
          <w:p w14:paraId="1C41E4B9" w14:textId="77777777" w:rsidR="00D87B03" w:rsidRPr="0093355E" w:rsidRDefault="00D87B03" w:rsidP="005D12E4">
            <w:pPr>
              <w:ind w:left="284" w:hanging="284"/>
              <w:rPr>
                <w:rFonts w:eastAsia="Calibri"/>
                <w:bCs/>
                <w:sz w:val="18"/>
                <w:szCs w:val="20"/>
                <w:lang w:eastAsia="en-AU" w:bidi="ar-SA"/>
              </w:rPr>
            </w:pPr>
          </w:p>
          <w:p w14:paraId="10026D50" w14:textId="77777777" w:rsidR="005D12E4" w:rsidRPr="0093355E" w:rsidRDefault="005D12E4" w:rsidP="005D12E4">
            <w:pPr>
              <w:ind w:left="284" w:hanging="284"/>
              <w:rPr>
                <w:rFonts w:eastAsia="Calibri"/>
                <w:bCs/>
                <w:sz w:val="18"/>
                <w:szCs w:val="20"/>
                <w:lang w:eastAsia="en-AU" w:bidi="ar-SA"/>
              </w:rPr>
            </w:pPr>
            <w:r w:rsidRPr="0093355E">
              <w:rPr>
                <w:rFonts w:eastAsia="Calibri"/>
                <w:bCs/>
                <w:sz w:val="18"/>
                <w:szCs w:val="20"/>
                <w:lang w:eastAsia="en-AU" w:bidi="ar-SA"/>
              </w:rPr>
              <w:lastRenderedPageBreak/>
              <w:t>(d)</w:t>
            </w:r>
            <w:r w:rsidRPr="0093355E">
              <w:rPr>
                <w:rFonts w:eastAsia="Calibri"/>
                <w:bCs/>
                <w:sz w:val="18"/>
                <w:szCs w:val="20"/>
                <w:lang w:eastAsia="en-AU" w:bidi="ar-SA"/>
              </w:rPr>
              <w:tab/>
            </w:r>
            <w:proofErr w:type="gramStart"/>
            <w:r w:rsidRPr="0093355E">
              <w:rPr>
                <w:rFonts w:eastAsia="Calibri"/>
                <w:bCs/>
                <w:sz w:val="18"/>
                <w:szCs w:val="20"/>
                <w:lang w:eastAsia="en-AU" w:bidi="ar-SA"/>
              </w:rPr>
              <w:t>the</w:t>
            </w:r>
            <w:proofErr w:type="gramEnd"/>
            <w:r w:rsidRPr="0093355E">
              <w:rPr>
                <w:rFonts w:eastAsia="Calibri"/>
                <w:bCs/>
                <w:sz w:val="18"/>
                <w:szCs w:val="20"/>
                <w:lang w:eastAsia="en-AU" w:bidi="ar-SA"/>
              </w:rPr>
              <w:t xml:space="preserve"> food is not a food standardised by Standard 2.6.4, Standard 2.9.2, Standard 2.9.3 or Standard 2.9.4.</w:t>
            </w:r>
          </w:p>
        </w:tc>
        <w:tc>
          <w:tcPr>
            <w:tcW w:w="2126" w:type="dxa"/>
          </w:tcPr>
          <w:p w14:paraId="48285633" w14:textId="77777777" w:rsidR="005D12E4" w:rsidRPr="0093355E" w:rsidRDefault="005D12E4" w:rsidP="005D12E4">
            <w:pPr>
              <w:tabs>
                <w:tab w:val="left" w:pos="851"/>
              </w:tabs>
              <w:ind w:left="142" w:hanging="142"/>
              <w:rPr>
                <w:rFonts w:eastAsia="Calibri"/>
                <w:bCs/>
                <w:sz w:val="18"/>
                <w:szCs w:val="20"/>
                <w:lang w:eastAsia="en-AU" w:bidi="ar-SA"/>
              </w:rPr>
            </w:pPr>
          </w:p>
        </w:tc>
        <w:tc>
          <w:tcPr>
            <w:tcW w:w="3010" w:type="dxa"/>
          </w:tcPr>
          <w:p w14:paraId="4E7FCEF3" w14:textId="77777777" w:rsidR="005D12E4" w:rsidRPr="0093355E" w:rsidRDefault="005D12E4" w:rsidP="005D12E4">
            <w:pPr>
              <w:tabs>
                <w:tab w:val="left" w:pos="851"/>
              </w:tabs>
              <w:ind w:left="142" w:hanging="142"/>
              <w:rPr>
                <w:rFonts w:eastAsia="Calibri"/>
                <w:bCs/>
                <w:sz w:val="18"/>
                <w:szCs w:val="20"/>
                <w:lang w:eastAsia="en-AU" w:bidi="ar-SA"/>
              </w:rPr>
            </w:pPr>
          </w:p>
        </w:tc>
      </w:tr>
    </w:tbl>
    <w:p w14:paraId="7A896D8F" w14:textId="77777777" w:rsidR="005D12E4" w:rsidRPr="0093355E" w:rsidRDefault="005D12E4" w:rsidP="005D12E4">
      <w:pPr>
        <w:tabs>
          <w:tab w:val="left" w:pos="851"/>
        </w:tabs>
        <w:ind w:left="567" w:hanging="567"/>
        <w:jc w:val="right"/>
        <w:rPr>
          <w:sz w:val="20"/>
          <w:szCs w:val="20"/>
          <w:lang w:bidi="ar-SA"/>
        </w:rPr>
      </w:pPr>
      <w:r w:rsidRPr="0093355E">
        <w:rPr>
          <w:sz w:val="20"/>
          <w:szCs w:val="20"/>
          <w:lang w:bidi="ar-SA"/>
        </w:rPr>
        <w:lastRenderedPageBreak/>
        <w:t>“</w:t>
      </w:r>
    </w:p>
    <w:p w14:paraId="053D0BBA" w14:textId="77777777" w:rsidR="005D12E4" w:rsidRPr="0093355E" w:rsidRDefault="005D12E4" w:rsidP="005D12E4">
      <w:pPr>
        <w:tabs>
          <w:tab w:val="left" w:pos="851"/>
        </w:tabs>
        <w:ind w:left="567" w:hanging="567"/>
        <w:rPr>
          <w:sz w:val="20"/>
          <w:szCs w:val="20"/>
          <w:lang w:bidi="ar-SA"/>
        </w:rPr>
      </w:pPr>
      <w:proofErr w:type="gramStart"/>
      <w:r w:rsidRPr="0093355E">
        <w:rPr>
          <w:sz w:val="20"/>
          <w:szCs w:val="20"/>
          <w:lang w:bidi="ar-SA"/>
        </w:rPr>
        <w:t>and</w:t>
      </w:r>
      <w:proofErr w:type="gramEnd"/>
      <w:r w:rsidRPr="0093355E">
        <w:rPr>
          <w:sz w:val="20"/>
          <w:szCs w:val="20"/>
          <w:lang w:bidi="ar-SA"/>
        </w:rPr>
        <w:t xml:space="preserve"> substituting – </w:t>
      </w:r>
    </w:p>
    <w:p w14:paraId="11F78CF4" w14:textId="77777777" w:rsidR="005D12E4" w:rsidRPr="0093355E" w:rsidRDefault="005D12E4" w:rsidP="005D12E4">
      <w:pPr>
        <w:tabs>
          <w:tab w:val="left" w:pos="851"/>
        </w:tabs>
        <w:ind w:left="567" w:hanging="567"/>
        <w:rPr>
          <w:sz w:val="20"/>
          <w:szCs w:val="20"/>
          <w:lang w:bidi="ar-SA"/>
        </w:rPr>
      </w:pPr>
    </w:p>
    <w:p w14:paraId="60E730D3" w14:textId="4A204177" w:rsidR="005D12E4" w:rsidRPr="0093355E" w:rsidRDefault="005D12E4" w:rsidP="005D12E4">
      <w:pPr>
        <w:tabs>
          <w:tab w:val="left" w:pos="851"/>
        </w:tabs>
        <w:ind w:left="567" w:hanging="567"/>
        <w:rPr>
          <w:sz w:val="20"/>
          <w:szCs w:val="20"/>
          <w:lang w:bidi="ar-SA"/>
        </w:rPr>
      </w:pPr>
      <w:r w:rsidRPr="0093355E">
        <w:rPr>
          <w:sz w:val="20"/>
          <w:szCs w:val="20"/>
          <w:lang w:bidi="ar-SA"/>
        </w:rPr>
        <w:t>“</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127"/>
        <w:gridCol w:w="2126"/>
        <w:gridCol w:w="3010"/>
      </w:tblGrid>
      <w:tr w:rsidR="005D12E4" w:rsidRPr="0093355E" w14:paraId="2DC35074" w14:textId="77777777" w:rsidTr="00ED0372">
        <w:tc>
          <w:tcPr>
            <w:tcW w:w="1809" w:type="dxa"/>
          </w:tcPr>
          <w:p w14:paraId="2048F3BC" w14:textId="77777777" w:rsidR="005D12E4" w:rsidRPr="0093355E" w:rsidRDefault="005D12E4" w:rsidP="005D12E4">
            <w:pPr>
              <w:tabs>
                <w:tab w:val="left" w:pos="851"/>
              </w:tabs>
              <w:ind w:left="142" w:hanging="142"/>
              <w:rPr>
                <w:rFonts w:eastAsia="Calibri"/>
                <w:bCs/>
                <w:sz w:val="18"/>
                <w:szCs w:val="20"/>
                <w:lang w:eastAsia="en-AU" w:bidi="ar-SA"/>
              </w:rPr>
            </w:pPr>
            <w:r w:rsidRPr="0093355E">
              <w:rPr>
                <w:rFonts w:eastAsia="Calibri"/>
                <w:bCs/>
                <w:sz w:val="18"/>
                <w:szCs w:val="20"/>
                <w:lang w:bidi="ar-SA"/>
              </w:rPr>
              <w:br w:type="page"/>
            </w:r>
          </w:p>
        </w:tc>
        <w:tc>
          <w:tcPr>
            <w:tcW w:w="2127" w:type="dxa"/>
          </w:tcPr>
          <w:p w14:paraId="29BB280C" w14:textId="77777777" w:rsidR="005D12E4" w:rsidRPr="0093355E" w:rsidRDefault="005D12E4" w:rsidP="005D12E4">
            <w:pPr>
              <w:ind w:left="284" w:hanging="284"/>
              <w:rPr>
                <w:rFonts w:eastAsia="Calibri"/>
                <w:bCs/>
                <w:sz w:val="18"/>
                <w:szCs w:val="20"/>
                <w:lang w:eastAsia="en-AU" w:bidi="ar-SA"/>
              </w:rPr>
            </w:pPr>
            <w:r w:rsidRPr="0093355E">
              <w:rPr>
                <w:rFonts w:eastAsia="Calibri"/>
                <w:bCs/>
                <w:sz w:val="18"/>
                <w:szCs w:val="20"/>
                <w:lang w:eastAsia="en-AU" w:bidi="ar-SA"/>
              </w:rPr>
              <w:t>(a)</w:t>
            </w:r>
            <w:r w:rsidRPr="0093355E">
              <w:rPr>
                <w:rFonts w:eastAsia="Calibri"/>
                <w:bCs/>
                <w:sz w:val="18"/>
                <w:szCs w:val="20"/>
                <w:lang w:eastAsia="en-AU" w:bidi="ar-SA"/>
              </w:rPr>
              <w:tab/>
              <w:t>the vitamin or mineral is mentioned in column 1 of the Schedule to Standard 1.1.1; and</w:t>
            </w:r>
          </w:p>
          <w:p w14:paraId="0BFC2968" w14:textId="77777777" w:rsidR="005D12E4" w:rsidRPr="0093355E" w:rsidRDefault="005D12E4" w:rsidP="005D12E4">
            <w:pPr>
              <w:ind w:left="284" w:hanging="284"/>
              <w:rPr>
                <w:rFonts w:eastAsia="Calibri"/>
                <w:bCs/>
                <w:sz w:val="18"/>
                <w:szCs w:val="20"/>
                <w:lang w:eastAsia="en-AU" w:bidi="ar-SA"/>
              </w:rPr>
            </w:pPr>
            <w:r w:rsidRPr="0093355E">
              <w:rPr>
                <w:rFonts w:eastAsia="Calibri"/>
                <w:bCs/>
                <w:sz w:val="18"/>
                <w:szCs w:val="20"/>
                <w:lang w:eastAsia="en-AU" w:bidi="ar-SA"/>
              </w:rPr>
              <w:t>(b)</w:t>
            </w:r>
            <w:r w:rsidRPr="0093355E">
              <w:rPr>
                <w:rFonts w:eastAsia="Calibri"/>
                <w:bCs/>
                <w:sz w:val="18"/>
                <w:szCs w:val="20"/>
                <w:lang w:eastAsia="en-AU" w:bidi="ar-SA"/>
              </w:rPr>
              <w:tab/>
              <w:t>a serving of the food contains at least 10% of the RDI or ESADDI for that vitamin or mineral; and</w:t>
            </w:r>
          </w:p>
          <w:p w14:paraId="63CD3479" w14:textId="77777777" w:rsidR="005D12E4" w:rsidRPr="0093355E" w:rsidRDefault="005D12E4" w:rsidP="005D12E4">
            <w:pPr>
              <w:ind w:left="284" w:hanging="284"/>
              <w:rPr>
                <w:rFonts w:eastAsia="Calibri"/>
                <w:bCs/>
                <w:sz w:val="18"/>
                <w:szCs w:val="20"/>
                <w:lang w:eastAsia="en-AU" w:bidi="ar-SA"/>
              </w:rPr>
            </w:pPr>
            <w:r w:rsidRPr="0093355E">
              <w:rPr>
                <w:rFonts w:eastAsia="Calibri"/>
                <w:bCs/>
                <w:sz w:val="18"/>
                <w:szCs w:val="20"/>
                <w:lang w:eastAsia="en-AU" w:bidi="ar-SA"/>
              </w:rPr>
              <w:t>(c)</w:t>
            </w:r>
            <w:r w:rsidRPr="0093355E">
              <w:rPr>
                <w:rFonts w:eastAsia="Calibri"/>
                <w:bCs/>
                <w:sz w:val="18"/>
                <w:szCs w:val="20"/>
                <w:lang w:eastAsia="en-AU" w:bidi="ar-SA"/>
              </w:rPr>
              <w:tab/>
              <w:t>a claim is not for more of the particular vitamin or mineral than the maximum claimable amount; and</w:t>
            </w:r>
          </w:p>
          <w:p w14:paraId="526300EA" w14:textId="77777777" w:rsidR="005D12E4" w:rsidRPr="0093355E" w:rsidRDefault="005D12E4" w:rsidP="005D12E4">
            <w:pPr>
              <w:ind w:left="284" w:hanging="284"/>
              <w:rPr>
                <w:rFonts w:eastAsia="Calibri"/>
                <w:bCs/>
                <w:sz w:val="18"/>
                <w:szCs w:val="20"/>
                <w:lang w:eastAsia="en-AU" w:bidi="ar-SA"/>
              </w:rPr>
            </w:pPr>
            <w:r w:rsidRPr="0093355E">
              <w:rPr>
                <w:rFonts w:eastAsia="Calibri"/>
                <w:bCs/>
                <w:sz w:val="18"/>
                <w:szCs w:val="20"/>
                <w:lang w:eastAsia="en-AU" w:bidi="ar-SA"/>
              </w:rPr>
              <w:t>(d)</w:t>
            </w:r>
            <w:r w:rsidRPr="0093355E">
              <w:rPr>
                <w:rFonts w:eastAsia="Calibri"/>
                <w:bCs/>
                <w:sz w:val="18"/>
                <w:szCs w:val="20"/>
                <w:lang w:eastAsia="en-AU" w:bidi="ar-SA"/>
              </w:rPr>
              <w:tab/>
            </w:r>
            <w:proofErr w:type="gramStart"/>
            <w:r w:rsidRPr="0093355E">
              <w:rPr>
                <w:rFonts w:eastAsia="Calibri"/>
                <w:bCs/>
                <w:sz w:val="18"/>
                <w:szCs w:val="20"/>
                <w:lang w:eastAsia="en-AU" w:bidi="ar-SA"/>
              </w:rPr>
              <w:t>the</w:t>
            </w:r>
            <w:proofErr w:type="gramEnd"/>
            <w:r w:rsidRPr="0093355E">
              <w:rPr>
                <w:rFonts w:eastAsia="Calibri"/>
                <w:bCs/>
                <w:sz w:val="18"/>
                <w:szCs w:val="20"/>
                <w:lang w:eastAsia="en-AU" w:bidi="ar-SA"/>
              </w:rPr>
              <w:t xml:space="preserve"> food is not a food standardised by Standard 2.6.4, Standard 2.9.2, Standard 2.9.3 or Standard 2.9.4.</w:t>
            </w:r>
          </w:p>
          <w:p w14:paraId="3B26ED9F" w14:textId="77777777" w:rsidR="005D12E4" w:rsidRPr="0093355E" w:rsidRDefault="005D12E4" w:rsidP="005D12E4">
            <w:pPr>
              <w:ind w:left="284" w:hanging="284"/>
              <w:rPr>
                <w:rFonts w:eastAsia="Calibri"/>
                <w:bCs/>
                <w:sz w:val="18"/>
                <w:szCs w:val="20"/>
                <w:lang w:eastAsia="en-AU" w:bidi="ar-SA"/>
              </w:rPr>
            </w:pPr>
          </w:p>
          <w:p w14:paraId="5F76B3B8" w14:textId="77777777" w:rsidR="005D12E4" w:rsidRPr="0093355E" w:rsidRDefault="005D12E4" w:rsidP="005D12E4">
            <w:pPr>
              <w:ind w:left="284" w:hanging="284"/>
              <w:rPr>
                <w:rFonts w:eastAsia="Calibri"/>
                <w:bCs/>
                <w:sz w:val="18"/>
                <w:szCs w:val="20"/>
                <w:lang w:eastAsia="en-AU" w:bidi="ar-SA"/>
              </w:rPr>
            </w:pPr>
            <w:r w:rsidRPr="0093355E">
              <w:rPr>
                <w:rFonts w:eastAsia="Calibri"/>
                <w:bCs/>
                <w:sz w:val="18"/>
                <w:szCs w:val="20"/>
                <w:lang w:eastAsia="en-AU" w:bidi="ar-SA"/>
              </w:rPr>
              <w:t xml:space="preserve">Paragraph (b) does not apply where – </w:t>
            </w:r>
          </w:p>
          <w:p w14:paraId="67D97435" w14:textId="77777777" w:rsidR="005D12E4" w:rsidRPr="0093355E" w:rsidRDefault="005D12E4" w:rsidP="005D12E4">
            <w:pPr>
              <w:ind w:left="284" w:hanging="284"/>
              <w:rPr>
                <w:rFonts w:eastAsia="Calibri"/>
                <w:bCs/>
                <w:sz w:val="18"/>
                <w:szCs w:val="20"/>
                <w:lang w:eastAsia="en-AU" w:bidi="ar-SA"/>
              </w:rPr>
            </w:pPr>
          </w:p>
          <w:p w14:paraId="1C4BF158" w14:textId="77777777" w:rsidR="005D12E4" w:rsidRPr="0093355E" w:rsidRDefault="005D12E4" w:rsidP="005D12E4">
            <w:pPr>
              <w:ind w:left="284" w:hanging="284"/>
              <w:rPr>
                <w:rFonts w:eastAsia="Calibri"/>
                <w:bCs/>
                <w:sz w:val="18"/>
                <w:szCs w:val="20"/>
                <w:lang w:eastAsia="en-AU" w:bidi="ar-SA"/>
              </w:rPr>
            </w:pPr>
            <w:r w:rsidRPr="0093355E">
              <w:rPr>
                <w:rFonts w:eastAsia="Calibri"/>
                <w:bCs/>
                <w:sz w:val="18"/>
                <w:szCs w:val="20"/>
                <w:lang w:eastAsia="en-AU" w:bidi="ar-SA"/>
              </w:rPr>
              <w:t>(</w:t>
            </w:r>
            <w:proofErr w:type="spellStart"/>
            <w:r w:rsidRPr="0093355E">
              <w:rPr>
                <w:rFonts w:eastAsia="Calibri"/>
                <w:bCs/>
                <w:sz w:val="18"/>
                <w:szCs w:val="20"/>
                <w:lang w:eastAsia="en-AU" w:bidi="ar-SA"/>
              </w:rPr>
              <w:t>i</w:t>
            </w:r>
            <w:proofErr w:type="spellEnd"/>
            <w:r w:rsidRPr="0093355E">
              <w:rPr>
                <w:rFonts w:eastAsia="Calibri"/>
                <w:bCs/>
                <w:sz w:val="18"/>
                <w:szCs w:val="20"/>
                <w:lang w:eastAsia="en-AU" w:bidi="ar-SA"/>
              </w:rPr>
              <w:t>)</w:t>
            </w:r>
            <w:r w:rsidRPr="0093355E">
              <w:rPr>
                <w:rFonts w:eastAsia="Calibri"/>
                <w:bCs/>
                <w:sz w:val="18"/>
                <w:szCs w:val="20"/>
                <w:lang w:eastAsia="en-AU" w:bidi="ar-SA"/>
              </w:rPr>
              <w:tab/>
              <w:t>a maximum claimable amount applies in relation to the vitamin or mineral; and</w:t>
            </w:r>
          </w:p>
          <w:p w14:paraId="28767983" w14:textId="77777777" w:rsidR="005D12E4" w:rsidRPr="0093355E" w:rsidRDefault="005D12E4" w:rsidP="005D12E4">
            <w:pPr>
              <w:ind w:left="284" w:hanging="284"/>
              <w:rPr>
                <w:rFonts w:eastAsia="Calibri"/>
                <w:bCs/>
                <w:sz w:val="18"/>
                <w:szCs w:val="20"/>
                <w:lang w:eastAsia="en-AU" w:bidi="ar-SA"/>
              </w:rPr>
            </w:pPr>
            <w:r w:rsidRPr="0093355E">
              <w:rPr>
                <w:rFonts w:eastAsia="Calibri"/>
                <w:bCs/>
                <w:sz w:val="18"/>
                <w:szCs w:val="20"/>
                <w:lang w:eastAsia="en-AU" w:bidi="ar-SA"/>
              </w:rPr>
              <w:t>(ii)</w:t>
            </w:r>
            <w:r w:rsidRPr="0093355E">
              <w:rPr>
                <w:rFonts w:eastAsia="Calibri"/>
                <w:bCs/>
                <w:sz w:val="18"/>
                <w:szCs w:val="20"/>
                <w:lang w:eastAsia="en-AU" w:bidi="ar-SA"/>
              </w:rPr>
              <w:tab/>
              <w:t>the serving size is less than the reference quantity; and</w:t>
            </w:r>
          </w:p>
          <w:p w14:paraId="64206770" w14:textId="77777777" w:rsidR="005D12E4" w:rsidRPr="0093355E" w:rsidRDefault="005D12E4" w:rsidP="005D12E4">
            <w:pPr>
              <w:ind w:left="284" w:hanging="284"/>
              <w:rPr>
                <w:rFonts w:eastAsia="Calibri"/>
                <w:bCs/>
                <w:sz w:val="18"/>
                <w:szCs w:val="20"/>
                <w:lang w:eastAsia="en-AU" w:bidi="ar-SA"/>
              </w:rPr>
            </w:pPr>
            <w:r w:rsidRPr="0093355E">
              <w:rPr>
                <w:rFonts w:eastAsia="Calibri"/>
                <w:bCs/>
                <w:sz w:val="18"/>
                <w:szCs w:val="20"/>
                <w:lang w:eastAsia="en-AU" w:bidi="ar-SA"/>
              </w:rPr>
              <w:t>(iii)</w:t>
            </w:r>
            <w:r w:rsidRPr="0093355E">
              <w:rPr>
                <w:rFonts w:eastAsia="Calibri"/>
                <w:bCs/>
                <w:sz w:val="18"/>
                <w:szCs w:val="20"/>
                <w:lang w:eastAsia="en-AU" w:bidi="ar-SA"/>
              </w:rPr>
              <w:tab/>
              <w:t>the reference quantity contains at least 10% of the RDI or ESADDI for the vitamin or mineral; and</w:t>
            </w:r>
          </w:p>
          <w:p w14:paraId="3D5E665D" w14:textId="6E51BF0E" w:rsidR="005D12E4" w:rsidRPr="0093355E" w:rsidRDefault="005D12E4" w:rsidP="00D87B03">
            <w:pPr>
              <w:ind w:left="284" w:hanging="284"/>
              <w:rPr>
                <w:rFonts w:eastAsia="Calibri"/>
                <w:bCs/>
                <w:sz w:val="18"/>
                <w:szCs w:val="20"/>
                <w:lang w:eastAsia="en-AU" w:bidi="ar-SA"/>
              </w:rPr>
            </w:pPr>
            <w:r w:rsidRPr="0093355E">
              <w:rPr>
                <w:rFonts w:eastAsia="Calibri"/>
                <w:bCs/>
                <w:sz w:val="18"/>
                <w:szCs w:val="20"/>
                <w:lang w:eastAsia="en-AU" w:bidi="ar-SA"/>
              </w:rPr>
              <w:t>(iv)</w:t>
            </w:r>
            <w:r w:rsidRPr="0093355E">
              <w:rPr>
                <w:rFonts w:eastAsia="Calibri"/>
                <w:bCs/>
                <w:sz w:val="18"/>
                <w:szCs w:val="20"/>
                <w:lang w:eastAsia="en-AU" w:bidi="ar-SA"/>
              </w:rPr>
              <w:tab/>
            </w:r>
            <w:proofErr w:type="gramStart"/>
            <w:r w:rsidRPr="0093355E">
              <w:rPr>
                <w:rFonts w:eastAsia="Calibri"/>
                <w:bCs/>
                <w:sz w:val="18"/>
                <w:szCs w:val="20"/>
                <w:lang w:eastAsia="en-AU" w:bidi="ar-SA"/>
              </w:rPr>
              <w:t>the</w:t>
            </w:r>
            <w:proofErr w:type="gramEnd"/>
            <w:r w:rsidRPr="0093355E">
              <w:rPr>
                <w:rFonts w:eastAsia="Calibri"/>
                <w:bCs/>
                <w:sz w:val="18"/>
                <w:szCs w:val="20"/>
                <w:lang w:eastAsia="en-AU" w:bidi="ar-SA"/>
              </w:rPr>
              <w:t xml:space="preserve"> maximum claimable amount is less than 10% of the RDI or ESADDI per serving.</w:t>
            </w:r>
          </w:p>
          <w:p w14:paraId="6989C56A" w14:textId="77777777" w:rsidR="005D12E4" w:rsidRPr="0093355E" w:rsidRDefault="005D12E4" w:rsidP="005D12E4">
            <w:pPr>
              <w:widowControl/>
              <w:ind w:left="284" w:hanging="284"/>
              <w:rPr>
                <w:rFonts w:eastAsia="Calibri"/>
                <w:bCs/>
                <w:sz w:val="18"/>
                <w:szCs w:val="20"/>
                <w:lang w:eastAsia="en-AU" w:bidi="ar-SA"/>
              </w:rPr>
            </w:pPr>
          </w:p>
        </w:tc>
        <w:tc>
          <w:tcPr>
            <w:tcW w:w="2126" w:type="dxa"/>
          </w:tcPr>
          <w:p w14:paraId="65676639" w14:textId="77777777" w:rsidR="005D12E4" w:rsidRPr="0093355E" w:rsidRDefault="005D12E4" w:rsidP="005D12E4">
            <w:pPr>
              <w:tabs>
                <w:tab w:val="left" w:pos="851"/>
              </w:tabs>
              <w:ind w:left="142" w:hanging="142"/>
              <w:rPr>
                <w:rFonts w:eastAsia="Calibri"/>
                <w:bCs/>
                <w:sz w:val="18"/>
                <w:szCs w:val="20"/>
                <w:lang w:eastAsia="en-AU" w:bidi="ar-SA"/>
              </w:rPr>
            </w:pPr>
          </w:p>
        </w:tc>
        <w:tc>
          <w:tcPr>
            <w:tcW w:w="3010" w:type="dxa"/>
          </w:tcPr>
          <w:p w14:paraId="4AC97611" w14:textId="77777777" w:rsidR="005D12E4" w:rsidRPr="0093355E" w:rsidRDefault="005D12E4" w:rsidP="005D12E4">
            <w:pPr>
              <w:tabs>
                <w:tab w:val="left" w:pos="851"/>
              </w:tabs>
              <w:ind w:left="142" w:hanging="142"/>
              <w:rPr>
                <w:rFonts w:eastAsia="Calibri"/>
                <w:bCs/>
                <w:sz w:val="18"/>
                <w:szCs w:val="20"/>
                <w:lang w:eastAsia="en-AU" w:bidi="ar-SA"/>
              </w:rPr>
            </w:pPr>
          </w:p>
        </w:tc>
      </w:tr>
    </w:tbl>
    <w:p w14:paraId="38F249A8" w14:textId="77777777" w:rsidR="005D12E4" w:rsidRPr="0093355E" w:rsidRDefault="005D12E4" w:rsidP="005D12E4">
      <w:pPr>
        <w:tabs>
          <w:tab w:val="left" w:pos="851"/>
        </w:tabs>
        <w:ind w:left="567" w:hanging="567"/>
        <w:jc w:val="right"/>
        <w:rPr>
          <w:sz w:val="20"/>
          <w:szCs w:val="20"/>
          <w:lang w:bidi="ar-SA"/>
        </w:rPr>
      </w:pPr>
      <w:r w:rsidRPr="0093355E">
        <w:rPr>
          <w:sz w:val="20"/>
          <w:szCs w:val="20"/>
          <w:lang w:bidi="ar-SA"/>
        </w:rPr>
        <w:t>“</w:t>
      </w:r>
    </w:p>
    <w:p w14:paraId="420091DD" w14:textId="77777777" w:rsidR="005D12E4" w:rsidRPr="0093355E" w:rsidRDefault="005D12E4" w:rsidP="005D12E4">
      <w:pPr>
        <w:tabs>
          <w:tab w:val="left" w:pos="851"/>
        </w:tabs>
        <w:ind w:left="567" w:hanging="567"/>
        <w:rPr>
          <w:sz w:val="20"/>
          <w:szCs w:val="20"/>
          <w:lang w:bidi="ar-SA"/>
        </w:rPr>
      </w:pPr>
    </w:p>
    <w:p w14:paraId="7D451D14" w14:textId="77777777" w:rsidR="00AB0275" w:rsidRPr="0093355E" w:rsidRDefault="00AB0275" w:rsidP="00AB0275">
      <w:pPr>
        <w:rPr>
          <w:lang w:bidi="ar-SA"/>
        </w:rPr>
      </w:pPr>
    </w:p>
    <w:p w14:paraId="7D451D15" w14:textId="77777777" w:rsidR="00AF06FC" w:rsidRPr="0093355E" w:rsidRDefault="00AB0275" w:rsidP="00AB0275">
      <w:pPr>
        <w:pStyle w:val="Heading2"/>
        <w:ind w:left="0" w:firstLine="0"/>
      </w:pPr>
      <w:r w:rsidRPr="0093355E">
        <w:br w:type="page"/>
      </w:r>
      <w:bookmarkStart w:id="104" w:name="_Toc423079127"/>
      <w:r w:rsidR="00AF06FC" w:rsidRPr="0093355E">
        <w:lastRenderedPageBreak/>
        <w:t>Draft Explanatory Statement</w:t>
      </w:r>
      <w:bookmarkEnd w:id="92"/>
      <w:bookmarkEnd w:id="104"/>
    </w:p>
    <w:p w14:paraId="7D451D16" w14:textId="77777777" w:rsidR="00AF06FC" w:rsidRPr="00C52547" w:rsidRDefault="00AF06FC" w:rsidP="00AF06FC">
      <w:pPr>
        <w:rPr>
          <w:b/>
          <w:lang w:eastAsia="en-GB" w:bidi="ar-SA"/>
        </w:rPr>
      </w:pPr>
      <w:r w:rsidRPr="00C52547">
        <w:rPr>
          <w:b/>
          <w:lang w:eastAsia="en-GB" w:bidi="ar-SA"/>
        </w:rPr>
        <w:t>1.</w:t>
      </w:r>
      <w:r w:rsidRPr="00C52547">
        <w:rPr>
          <w:b/>
          <w:lang w:eastAsia="en-GB" w:bidi="ar-SA"/>
        </w:rPr>
        <w:tab/>
        <w:t>Authority</w:t>
      </w:r>
    </w:p>
    <w:p w14:paraId="7D451D17" w14:textId="77777777" w:rsidR="00AF06FC" w:rsidRPr="00C52547" w:rsidRDefault="00AF06FC" w:rsidP="00AF06FC">
      <w:pPr>
        <w:rPr>
          <w:lang w:eastAsia="en-GB" w:bidi="ar-SA"/>
        </w:rPr>
      </w:pPr>
    </w:p>
    <w:p w14:paraId="7D451D18" w14:textId="77777777" w:rsidR="00AF06FC" w:rsidRPr="00C52547" w:rsidRDefault="00AF06FC" w:rsidP="00AF06FC">
      <w:pPr>
        <w:widowControl/>
        <w:autoSpaceDE w:val="0"/>
        <w:autoSpaceDN w:val="0"/>
        <w:adjustRightInd w:val="0"/>
        <w:rPr>
          <w:rFonts w:eastAsia="Calibri" w:cs="Arial"/>
          <w:bCs/>
          <w:szCs w:val="22"/>
          <w:lang w:bidi="ar-SA"/>
        </w:rPr>
      </w:pPr>
      <w:r w:rsidRPr="00C52547">
        <w:rPr>
          <w:rFonts w:eastAsia="Calibri" w:cs="Arial"/>
          <w:bCs/>
          <w:szCs w:val="22"/>
          <w:lang w:bidi="ar-SA"/>
        </w:rPr>
        <w:t xml:space="preserve">Section 13 of the </w:t>
      </w:r>
      <w:r w:rsidRPr="00C52547">
        <w:rPr>
          <w:rFonts w:eastAsia="Calibri" w:cs="Arial"/>
          <w:bCs/>
          <w:i/>
          <w:szCs w:val="22"/>
          <w:lang w:bidi="ar-SA"/>
        </w:rPr>
        <w:t>Food Standards Australia New Zealand Act 1991</w:t>
      </w:r>
      <w:r w:rsidRPr="00C52547">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C52547">
        <w:rPr>
          <w:rFonts w:eastAsia="Calibri" w:cs="Arial"/>
          <w:bCs/>
          <w:i/>
          <w:szCs w:val="22"/>
          <w:lang w:bidi="ar-SA"/>
        </w:rPr>
        <w:t>Australia New Zealand Food Standards Code</w:t>
      </w:r>
      <w:r w:rsidRPr="00C52547">
        <w:rPr>
          <w:rFonts w:eastAsia="Calibri" w:cs="Arial"/>
          <w:bCs/>
          <w:szCs w:val="22"/>
          <w:lang w:bidi="ar-SA"/>
        </w:rPr>
        <w:t xml:space="preserve"> (the Code).</w:t>
      </w:r>
    </w:p>
    <w:p w14:paraId="429DC1FD" w14:textId="77777777" w:rsidR="000C6836" w:rsidRPr="00C52547" w:rsidRDefault="000C6836" w:rsidP="00AF06FC">
      <w:pPr>
        <w:widowControl/>
        <w:autoSpaceDE w:val="0"/>
        <w:autoSpaceDN w:val="0"/>
        <w:adjustRightInd w:val="0"/>
        <w:rPr>
          <w:rFonts w:eastAsia="Calibri" w:cs="Arial"/>
          <w:bCs/>
          <w:szCs w:val="22"/>
          <w:lang w:bidi="ar-SA"/>
        </w:rPr>
      </w:pPr>
    </w:p>
    <w:p w14:paraId="7D451D1F" w14:textId="77777777" w:rsidR="00AF06FC" w:rsidRPr="00C52547" w:rsidRDefault="00AF06FC" w:rsidP="00AF06FC">
      <w:pPr>
        <w:widowControl/>
        <w:autoSpaceDE w:val="0"/>
        <w:autoSpaceDN w:val="0"/>
        <w:adjustRightInd w:val="0"/>
        <w:rPr>
          <w:rFonts w:eastAsia="Calibri" w:cs="Arial"/>
          <w:bCs/>
          <w:szCs w:val="22"/>
          <w:lang w:bidi="ar-SA"/>
        </w:rPr>
      </w:pPr>
      <w:r w:rsidRPr="00C52547">
        <w:rPr>
          <w:rFonts w:eastAsia="Calibri" w:cs="Arial"/>
          <w:bCs/>
          <w:szCs w:val="22"/>
          <w:lang w:bidi="ar-SA"/>
        </w:rPr>
        <w:t>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w:t>
      </w:r>
      <w:r w:rsidR="006B4BA1" w:rsidRPr="00C52547">
        <w:rPr>
          <w:rFonts w:eastAsia="Calibri" w:cs="Arial"/>
          <w:bCs/>
          <w:szCs w:val="22"/>
          <w:lang w:bidi="ar-SA"/>
        </w:rPr>
        <w:t xml:space="preserve">. </w:t>
      </w:r>
    </w:p>
    <w:p w14:paraId="7D451D20" w14:textId="77777777" w:rsidR="00AF06FC" w:rsidRPr="00C52547" w:rsidRDefault="00AF06FC" w:rsidP="00AF06FC">
      <w:pPr>
        <w:widowControl/>
        <w:autoSpaceDE w:val="0"/>
        <w:autoSpaceDN w:val="0"/>
        <w:adjustRightInd w:val="0"/>
        <w:rPr>
          <w:rFonts w:eastAsia="Calibri" w:cs="Arial"/>
          <w:bCs/>
          <w:szCs w:val="22"/>
          <w:lang w:bidi="ar-SA"/>
        </w:rPr>
      </w:pPr>
    </w:p>
    <w:p w14:paraId="7D451D21" w14:textId="2F19AC23" w:rsidR="00AF06FC" w:rsidRPr="00C52547" w:rsidRDefault="00AF06FC" w:rsidP="00AF06FC">
      <w:pPr>
        <w:widowControl/>
        <w:autoSpaceDE w:val="0"/>
        <w:autoSpaceDN w:val="0"/>
        <w:adjustRightInd w:val="0"/>
        <w:rPr>
          <w:rFonts w:eastAsia="Calibri" w:cs="Arial"/>
          <w:bCs/>
          <w:szCs w:val="22"/>
          <w:lang w:bidi="ar-SA"/>
        </w:rPr>
      </w:pPr>
      <w:r w:rsidRPr="00C52547">
        <w:rPr>
          <w:rFonts w:eastAsia="Calibri" w:cs="Arial"/>
          <w:bCs/>
          <w:szCs w:val="22"/>
          <w:lang w:bidi="ar-SA"/>
        </w:rPr>
        <w:t xml:space="preserve">FSANZ prepared Proposal </w:t>
      </w:r>
      <w:r w:rsidR="00CC36E7" w:rsidRPr="00C52547">
        <w:rPr>
          <w:rFonts w:eastAsia="Calibri" w:cs="Arial"/>
          <w:bCs/>
          <w:szCs w:val="22"/>
          <w:lang w:bidi="ar-SA"/>
        </w:rPr>
        <w:t>P</w:t>
      </w:r>
      <w:r w:rsidR="000C6836" w:rsidRPr="00C52547">
        <w:rPr>
          <w:rFonts w:eastAsia="Calibri" w:cs="Arial"/>
          <w:bCs/>
          <w:szCs w:val="22"/>
          <w:lang w:bidi="ar-SA"/>
        </w:rPr>
        <w:t>1038</w:t>
      </w:r>
      <w:r w:rsidRPr="00C52547">
        <w:rPr>
          <w:rFonts w:eastAsia="Calibri" w:cs="Arial"/>
          <w:bCs/>
          <w:szCs w:val="22"/>
          <w:lang w:bidi="ar-SA"/>
        </w:rPr>
        <w:t xml:space="preserve"> to </w:t>
      </w:r>
      <w:r w:rsidR="000C6836" w:rsidRPr="00C52547">
        <w:rPr>
          <w:rFonts w:eastAsia="Calibri" w:cs="Arial"/>
          <w:bCs/>
          <w:szCs w:val="22"/>
          <w:lang w:bidi="ar-SA"/>
        </w:rPr>
        <w:t xml:space="preserve">address an inconsistency in the conditions for vitamin and mineral claims between Standards 1.2.7 and 1.3.2 and to permit nutrition content claims about salt and sodium in relation to foods (excluding beverages) containing more than 1.15% alcohol by volume. </w:t>
      </w:r>
      <w:r w:rsidRPr="00C52547">
        <w:rPr>
          <w:rFonts w:eastAsia="Calibri" w:cs="Arial"/>
          <w:bCs/>
          <w:szCs w:val="22"/>
          <w:lang w:bidi="ar-SA"/>
        </w:rPr>
        <w:t xml:space="preserve">The Authority considered the Proposal in accordance with Division 2 of Part 3 and has approved a draft Standard. </w:t>
      </w:r>
    </w:p>
    <w:p w14:paraId="7D451D22" w14:textId="77777777" w:rsidR="00AF06FC" w:rsidRPr="00C52547" w:rsidRDefault="00AF06FC" w:rsidP="00AF06FC">
      <w:pPr>
        <w:widowControl/>
        <w:autoSpaceDE w:val="0"/>
        <w:autoSpaceDN w:val="0"/>
        <w:adjustRightInd w:val="0"/>
        <w:rPr>
          <w:rFonts w:eastAsia="Calibri" w:cs="Arial"/>
          <w:bCs/>
          <w:szCs w:val="22"/>
          <w:lang w:bidi="ar-SA"/>
        </w:rPr>
      </w:pPr>
    </w:p>
    <w:p w14:paraId="7D451D23" w14:textId="77777777" w:rsidR="00AF06FC" w:rsidRPr="00C52547" w:rsidRDefault="006C28E2" w:rsidP="00AF06FC">
      <w:pPr>
        <w:rPr>
          <w:b/>
          <w:lang w:eastAsia="en-GB" w:bidi="ar-SA"/>
        </w:rPr>
      </w:pPr>
      <w:r w:rsidRPr="00C52547">
        <w:rPr>
          <w:b/>
          <w:lang w:eastAsia="en-GB" w:bidi="ar-SA"/>
        </w:rPr>
        <w:t>2.</w:t>
      </w:r>
      <w:r w:rsidRPr="00C52547">
        <w:rPr>
          <w:b/>
          <w:lang w:eastAsia="en-GB" w:bidi="ar-SA"/>
        </w:rPr>
        <w:tab/>
        <w:t xml:space="preserve">Purpose </w:t>
      </w:r>
    </w:p>
    <w:p w14:paraId="7D451D24" w14:textId="77777777" w:rsidR="00CB1375" w:rsidRPr="00C52547" w:rsidRDefault="00CB1375" w:rsidP="00AF06FC">
      <w:pPr>
        <w:rPr>
          <w:lang w:eastAsia="en-GB" w:bidi="ar-SA"/>
        </w:rPr>
      </w:pPr>
    </w:p>
    <w:p w14:paraId="4A756256" w14:textId="3262A8C3" w:rsidR="0069019F" w:rsidRPr="00C52547" w:rsidRDefault="0069019F" w:rsidP="0069019F">
      <w:pPr>
        <w:rPr>
          <w:lang w:eastAsia="en-GB" w:bidi="ar-SA"/>
        </w:rPr>
      </w:pPr>
      <w:r w:rsidRPr="00C52547">
        <w:rPr>
          <w:lang w:eastAsia="en-GB" w:bidi="ar-SA"/>
        </w:rPr>
        <w:t xml:space="preserve">The Authority has </w:t>
      </w:r>
      <w:r w:rsidR="00E6645F" w:rsidRPr="00C52547">
        <w:rPr>
          <w:lang w:eastAsia="en-GB" w:bidi="ar-SA"/>
        </w:rPr>
        <w:t xml:space="preserve">prepared </w:t>
      </w:r>
      <w:r w:rsidRPr="00C52547">
        <w:rPr>
          <w:lang w:eastAsia="en-GB" w:bidi="ar-SA"/>
        </w:rPr>
        <w:t xml:space="preserve">a draft variation </w:t>
      </w:r>
      <w:r w:rsidR="00587F40" w:rsidRPr="00C52547">
        <w:rPr>
          <w:lang w:eastAsia="en-GB" w:bidi="ar-SA"/>
        </w:rPr>
        <w:t xml:space="preserve">to rectify a discrepancy in the conditions required to make a nutrition content claim about a vitamin or mineral in food. The current </w:t>
      </w:r>
      <w:r w:rsidR="00D22778" w:rsidRPr="00C52547">
        <w:rPr>
          <w:lang w:eastAsia="en-GB" w:bidi="ar-SA"/>
        </w:rPr>
        <w:t>conditions</w:t>
      </w:r>
      <w:r w:rsidR="00587F40" w:rsidRPr="00C52547">
        <w:rPr>
          <w:lang w:eastAsia="en-GB" w:bidi="ar-SA"/>
        </w:rPr>
        <w:t xml:space="preserve"> require a minimum of 10% of the RDI </w:t>
      </w:r>
      <w:r w:rsidR="00D22778" w:rsidRPr="00C52547">
        <w:rPr>
          <w:lang w:eastAsia="en-GB" w:bidi="ar-SA"/>
        </w:rPr>
        <w:t xml:space="preserve">or ESADDI </w:t>
      </w:r>
      <w:r w:rsidR="00587F40" w:rsidRPr="00C52547">
        <w:rPr>
          <w:lang w:eastAsia="en-GB" w:bidi="ar-SA"/>
        </w:rPr>
        <w:t xml:space="preserve">per serving of the food. The amended </w:t>
      </w:r>
      <w:r w:rsidR="00D22778" w:rsidRPr="00C52547">
        <w:rPr>
          <w:lang w:eastAsia="en-GB" w:bidi="ar-SA"/>
        </w:rPr>
        <w:t>conditions</w:t>
      </w:r>
      <w:r w:rsidR="00587F40" w:rsidRPr="00C52547">
        <w:rPr>
          <w:lang w:eastAsia="en-GB" w:bidi="ar-SA"/>
        </w:rPr>
        <w:t xml:space="preserve"> will allow a mi</w:t>
      </w:r>
      <w:r w:rsidR="00D22778" w:rsidRPr="00C52547">
        <w:rPr>
          <w:lang w:eastAsia="en-GB" w:bidi="ar-SA"/>
        </w:rPr>
        <w:t>ni</w:t>
      </w:r>
      <w:r w:rsidR="00587F40" w:rsidRPr="00C52547">
        <w:rPr>
          <w:lang w:eastAsia="en-GB" w:bidi="ar-SA"/>
        </w:rPr>
        <w:t>mum of</w:t>
      </w:r>
      <w:r w:rsidRPr="00C52547">
        <w:rPr>
          <w:lang w:eastAsia="en-GB" w:bidi="ar-SA"/>
        </w:rPr>
        <w:t xml:space="preserve"> 10% of the RDI or ESADDI </w:t>
      </w:r>
      <w:r w:rsidR="00D22778" w:rsidRPr="00C52547">
        <w:rPr>
          <w:lang w:eastAsia="en-GB" w:bidi="ar-SA"/>
        </w:rPr>
        <w:t xml:space="preserve">per reference quantity of the food, </w:t>
      </w:r>
      <w:r w:rsidRPr="00C52547">
        <w:rPr>
          <w:lang w:eastAsia="en-GB" w:bidi="ar-SA"/>
        </w:rPr>
        <w:t xml:space="preserve">if certain conditions are met.  </w:t>
      </w:r>
    </w:p>
    <w:p w14:paraId="685DF65B" w14:textId="77777777" w:rsidR="00D22778" w:rsidRPr="00C52547" w:rsidRDefault="00D22778" w:rsidP="0069019F">
      <w:pPr>
        <w:rPr>
          <w:lang w:eastAsia="en-GB" w:bidi="ar-SA"/>
        </w:rPr>
      </w:pPr>
    </w:p>
    <w:p w14:paraId="403DC92E" w14:textId="742FE7C1" w:rsidR="002B1180" w:rsidRPr="00C52547" w:rsidRDefault="009E62C3" w:rsidP="00AF06FC">
      <w:pPr>
        <w:rPr>
          <w:lang w:eastAsia="en-GB" w:bidi="ar-SA"/>
        </w:rPr>
      </w:pPr>
      <w:r w:rsidRPr="00C52547">
        <w:rPr>
          <w:lang w:eastAsia="en-GB" w:bidi="ar-SA"/>
        </w:rPr>
        <w:t xml:space="preserve">The Authority has </w:t>
      </w:r>
      <w:r w:rsidR="00D22778" w:rsidRPr="00C52547">
        <w:rPr>
          <w:lang w:eastAsia="en-GB" w:bidi="ar-SA"/>
        </w:rPr>
        <w:t>also prepared</w:t>
      </w:r>
      <w:r w:rsidR="002B1180" w:rsidRPr="0093355E">
        <w:t xml:space="preserve"> </w:t>
      </w:r>
      <w:r w:rsidRPr="0093355E">
        <w:t xml:space="preserve">a </w:t>
      </w:r>
      <w:r w:rsidR="002B1180" w:rsidRPr="00C52547">
        <w:rPr>
          <w:lang w:eastAsia="en-GB" w:bidi="ar-SA"/>
        </w:rPr>
        <w:t xml:space="preserve">draft variation to Standard 1.2.7 to permit nutrition content claims about salt and sodium in relation to food </w:t>
      </w:r>
      <w:r w:rsidR="00B03CB0" w:rsidRPr="00C52547">
        <w:rPr>
          <w:lang w:eastAsia="en-GB" w:bidi="ar-SA"/>
        </w:rPr>
        <w:t>(not beverage</w:t>
      </w:r>
      <w:r w:rsidR="00F70EE4">
        <w:rPr>
          <w:lang w:eastAsia="en-GB" w:bidi="ar-SA"/>
        </w:rPr>
        <w:t>s</w:t>
      </w:r>
      <w:r w:rsidR="00B03CB0" w:rsidRPr="00C52547">
        <w:rPr>
          <w:lang w:eastAsia="en-GB" w:bidi="ar-SA"/>
        </w:rPr>
        <w:t xml:space="preserve">) </w:t>
      </w:r>
      <w:r w:rsidR="004477A4" w:rsidRPr="00C52547">
        <w:rPr>
          <w:lang w:eastAsia="en-GB" w:bidi="ar-SA"/>
        </w:rPr>
        <w:t>containing more than 1.15% alcohol by volume</w:t>
      </w:r>
      <w:r w:rsidR="00B03CB0" w:rsidRPr="00C52547">
        <w:rPr>
          <w:lang w:eastAsia="en-GB" w:bidi="ar-SA"/>
        </w:rPr>
        <w:t xml:space="preserve">. </w:t>
      </w:r>
    </w:p>
    <w:p w14:paraId="7D451D26" w14:textId="77777777" w:rsidR="00AF06FC" w:rsidRPr="00C52547" w:rsidRDefault="00AF06FC" w:rsidP="00AF06FC">
      <w:pPr>
        <w:rPr>
          <w:lang w:eastAsia="en-GB" w:bidi="ar-SA"/>
        </w:rPr>
      </w:pPr>
    </w:p>
    <w:p w14:paraId="7D451D27" w14:textId="77777777" w:rsidR="00AF06FC" w:rsidRPr="00C52547" w:rsidRDefault="00AF06FC" w:rsidP="00AF06FC">
      <w:pPr>
        <w:rPr>
          <w:b/>
          <w:lang w:eastAsia="en-GB" w:bidi="ar-SA"/>
        </w:rPr>
      </w:pPr>
      <w:r w:rsidRPr="00C52547">
        <w:rPr>
          <w:b/>
          <w:lang w:eastAsia="en-GB" w:bidi="ar-SA"/>
        </w:rPr>
        <w:t>3.</w:t>
      </w:r>
      <w:r w:rsidRPr="00C52547">
        <w:rPr>
          <w:b/>
          <w:lang w:eastAsia="en-GB" w:bidi="ar-SA"/>
        </w:rPr>
        <w:tab/>
        <w:t>Documents incorporated by reference</w:t>
      </w:r>
    </w:p>
    <w:p w14:paraId="7D451D28" w14:textId="77777777" w:rsidR="00AF06FC" w:rsidRPr="00C52547" w:rsidRDefault="00AF06FC" w:rsidP="00AF06FC">
      <w:pPr>
        <w:rPr>
          <w:lang w:eastAsia="en-GB" w:bidi="ar-SA"/>
        </w:rPr>
      </w:pPr>
    </w:p>
    <w:p w14:paraId="7D451D29" w14:textId="77777777" w:rsidR="00AF06FC" w:rsidRPr="00C52547" w:rsidRDefault="00AF06FC" w:rsidP="00AF06FC">
      <w:pPr>
        <w:widowControl/>
        <w:autoSpaceDE w:val="0"/>
        <w:autoSpaceDN w:val="0"/>
        <w:adjustRightInd w:val="0"/>
        <w:rPr>
          <w:rFonts w:eastAsia="Calibri" w:cs="Arial"/>
          <w:bCs/>
          <w:szCs w:val="22"/>
          <w:lang w:bidi="ar-SA"/>
        </w:rPr>
      </w:pPr>
      <w:r w:rsidRPr="00C52547">
        <w:rPr>
          <w:rFonts w:eastAsia="Calibri" w:cs="Arial"/>
          <w:bCs/>
          <w:szCs w:val="22"/>
          <w:lang w:bidi="ar-SA"/>
        </w:rPr>
        <w:t>The variations to food regulatory measures do not incorporate any documents by reference.</w:t>
      </w:r>
    </w:p>
    <w:p w14:paraId="7D451D2A" w14:textId="77777777" w:rsidR="00AF06FC" w:rsidRPr="00C52547" w:rsidRDefault="00AF06FC" w:rsidP="00AF06FC">
      <w:pPr>
        <w:rPr>
          <w:lang w:eastAsia="en-GB" w:bidi="ar-SA"/>
        </w:rPr>
      </w:pPr>
    </w:p>
    <w:p w14:paraId="7D451D2B" w14:textId="77777777" w:rsidR="00AF06FC" w:rsidRPr="00C52547" w:rsidRDefault="00AF06FC" w:rsidP="00AF06FC">
      <w:pPr>
        <w:rPr>
          <w:b/>
          <w:lang w:eastAsia="en-GB" w:bidi="ar-SA"/>
        </w:rPr>
      </w:pPr>
      <w:r w:rsidRPr="00C52547">
        <w:rPr>
          <w:b/>
          <w:lang w:eastAsia="en-GB" w:bidi="ar-SA"/>
        </w:rPr>
        <w:t>4.</w:t>
      </w:r>
      <w:r w:rsidRPr="00C52547">
        <w:rPr>
          <w:b/>
          <w:lang w:eastAsia="en-GB" w:bidi="ar-SA"/>
        </w:rPr>
        <w:tab/>
        <w:t>Consultation</w:t>
      </w:r>
    </w:p>
    <w:p w14:paraId="7D451D2C" w14:textId="77777777" w:rsidR="00AF06FC" w:rsidRPr="00C52547" w:rsidRDefault="00AF06FC" w:rsidP="00AF06FC">
      <w:pPr>
        <w:rPr>
          <w:lang w:eastAsia="en-GB" w:bidi="ar-SA"/>
        </w:rPr>
      </w:pPr>
    </w:p>
    <w:p w14:paraId="7D451D2E" w14:textId="319EF508" w:rsidR="00294BAD" w:rsidRPr="0093355E" w:rsidRDefault="00CC36E7" w:rsidP="00F64653">
      <w:pPr>
        <w:rPr>
          <w:szCs w:val="22"/>
        </w:rPr>
      </w:pPr>
      <w:r w:rsidRPr="0093355E">
        <w:rPr>
          <w:szCs w:val="22"/>
        </w:rPr>
        <w:t>In accordance with the procedure in Division</w:t>
      </w:r>
      <w:r w:rsidR="00847F7D" w:rsidRPr="0093355E">
        <w:rPr>
          <w:szCs w:val="22"/>
        </w:rPr>
        <w:t xml:space="preserve"> 2</w:t>
      </w:r>
      <w:r w:rsidRPr="0093355E">
        <w:rPr>
          <w:szCs w:val="22"/>
        </w:rPr>
        <w:t xml:space="preserve"> of Part </w:t>
      </w:r>
      <w:r w:rsidR="00847F7D" w:rsidRPr="0093355E">
        <w:rPr>
          <w:szCs w:val="22"/>
        </w:rPr>
        <w:t>3</w:t>
      </w:r>
      <w:r w:rsidRPr="0093355E">
        <w:rPr>
          <w:szCs w:val="22"/>
        </w:rPr>
        <w:t xml:space="preserve"> of the FSANZ Act, </w:t>
      </w:r>
      <w:r w:rsidRPr="00C52547">
        <w:rPr>
          <w:rFonts w:eastAsia="Calibri" w:cs="Arial"/>
          <w:bCs/>
          <w:szCs w:val="22"/>
          <w:lang w:bidi="ar-SA"/>
        </w:rPr>
        <w:t>the Authority</w:t>
      </w:r>
      <w:r w:rsidRPr="0093355E">
        <w:rPr>
          <w:szCs w:val="22"/>
        </w:rPr>
        <w:t>’s consideration of Proposal P</w:t>
      </w:r>
      <w:r w:rsidR="00847F7D" w:rsidRPr="0093355E">
        <w:rPr>
          <w:szCs w:val="22"/>
        </w:rPr>
        <w:t>1038</w:t>
      </w:r>
      <w:r w:rsidRPr="0093355E">
        <w:rPr>
          <w:szCs w:val="22"/>
        </w:rPr>
        <w:t xml:space="preserve"> will include</w:t>
      </w:r>
      <w:r w:rsidR="00847F7D" w:rsidRPr="0093355E">
        <w:rPr>
          <w:szCs w:val="22"/>
        </w:rPr>
        <w:t xml:space="preserve"> </w:t>
      </w:r>
      <w:r w:rsidRPr="0093355E">
        <w:rPr>
          <w:szCs w:val="22"/>
        </w:rPr>
        <w:t>one round of public consultation following an assessment and the preparation of a draft Standard and associated report</w:t>
      </w:r>
      <w:r w:rsidR="00847F7D" w:rsidRPr="0093355E">
        <w:rPr>
          <w:szCs w:val="22"/>
        </w:rPr>
        <w:t xml:space="preserve">. </w:t>
      </w:r>
    </w:p>
    <w:p w14:paraId="206AADAF" w14:textId="77777777" w:rsidR="00847F7D" w:rsidRPr="00C52547" w:rsidRDefault="00847F7D" w:rsidP="00AF06FC">
      <w:pPr>
        <w:rPr>
          <w:rFonts w:eastAsia="Calibri"/>
          <w:lang w:bidi="ar-SA"/>
        </w:rPr>
      </w:pPr>
    </w:p>
    <w:p w14:paraId="7D451D31" w14:textId="3FCD5E74" w:rsidR="00AF06FC" w:rsidRPr="0093355E" w:rsidRDefault="00AF06FC" w:rsidP="00AF06FC">
      <w:pPr>
        <w:widowControl/>
        <w:autoSpaceDE w:val="0"/>
        <w:autoSpaceDN w:val="0"/>
        <w:adjustRightInd w:val="0"/>
        <w:rPr>
          <w:rFonts w:cs="Arial"/>
          <w:szCs w:val="22"/>
        </w:rPr>
      </w:pPr>
      <w:r w:rsidRPr="00C52547">
        <w:rPr>
          <w:rFonts w:eastAsia="Calibri" w:cs="Arial"/>
          <w:bCs/>
          <w:szCs w:val="22"/>
          <w:lang w:bidi="ar-SA"/>
        </w:rPr>
        <w:t xml:space="preserve">A Regulation Impact Statement was not required because the proposed variations to Standard </w:t>
      </w:r>
      <w:r w:rsidR="00ED2F61" w:rsidRPr="00C52547">
        <w:rPr>
          <w:rFonts w:eastAsia="Calibri" w:cs="Arial"/>
          <w:bCs/>
          <w:szCs w:val="22"/>
          <w:lang w:bidi="ar-SA"/>
        </w:rPr>
        <w:t>1.2.7</w:t>
      </w:r>
      <w:r w:rsidRPr="00C52547">
        <w:rPr>
          <w:rFonts w:eastAsia="Calibri" w:cs="Arial"/>
          <w:bCs/>
          <w:szCs w:val="22"/>
          <w:lang w:bidi="ar-SA"/>
        </w:rPr>
        <w:t xml:space="preserve"> </w:t>
      </w:r>
      <w:r w:rsidRPr="0093355E">
        <w:t xml:space="preserve">are </w:t>
      </w:r>
      <w:r w:rsidR="00ED2F61" w:rsidRPr="0093355E">
        <w:t xml:space="preserve">of a minor nature. </w:t>
      </w:r>
    </w:p>
    <w:p w14:paraId="7D451D32" w14:textId="77777777" w:rsidR="00553969" w:rsidRPr="00C52547" w:rsidRDefault="00553969" w:rsidP="00553969">
      <w:pPr>
        <w:widowControl/>
        <w:rPr>
          <w:rFonts w:eastAsiaTheme="minorHAnsi" w:cs="Arial"/>
          <w:b/>
          <w:bCs/>
          <w:szCs w:val="22"/>
          <w:lang w:bidi="ar-SA"/>
        </w:rPr>
      </w:pPr>
    </w:p>
    <w:p w14:paraId="7D451D33" w14:textId="77777777" w:rsidR="00553969" w:rsidRPr="00C52547" w:rsidRDefault="00553969" w:rsidP="00553969">
      <w:pPr>
        <w:widowControl/>
        <w:rPr>
          <w:rFonts w:eastAsiaTheme="minorHAnsi" w:cs="Arial"/>
          <w:b/>
          <w:bCs/>
          <w:szCs w:val="22"/>
          <w:lang w:bidi="ar-SA"/>
        </w:rPr>
      </w:pPr>
      <w:r w:rsidRPr="00C52547">
        <w:rPr>
          <w:rFonts w:eastAsiaTheme="minorHAnsi" w:cs="Arial"/>
          <w:b/>
          <w:bCs/>
          <w:szCs w:val="22"/>
          <w:lang w:bidi="ar-SA"/>
        </w:rPr>
        <w:t>5.</w:t>
      </w:r>
      <w:r w:rsidRPr="00C52547">
        <w:rPr>
          <w:rFonts w:eastAsiaTheme="minorHAnsi" w:cs="Arial"/>
          <w:b/>
          <w:bCs/>
          <w:szCs w:val="22"/>
          <w:lang w:bidi="ar-SA"/>
        </w:rPr>
        <w:tab/>
        <w:t>Statement of compatibility with human rights</w:t>
      </w:r>
    </w:p>
    <w:p w14:paraId="7D451D34" w14:textId="77777777" w:rsidR="00553969" w:rsidRPr="00C52547" w:rsidRDefault="00553969" w:rsidP="00553969">
      <w:pPr>
        <w:rPr>
          <w:rFonts w:eastAsiaTheme="minorHAnsi"/>
          <w:lang w:bidi="ar-SA"/>
        </w:rPr>
      </w:pPr>
    </w:p>
    <w:p w14:paraId="7D451D35" w14:textId="77777777" w:rsidR="00553969" w:rsidRPr="00C52547" w:rsidRDefault="00553969" w:rsidP="00553969">
      <w:pPr>
        <w:rPr>
          <w:rFonts w:eastAsiaTheme="minorHAnsi"/>
          <w:lang w:bidi="ar-SA"/>
        </w:rPr>
      </w:pPr>
      <w:r w:rsidRPr="00C52547">
        <w:rPr>
          <w:rFonts w:eastAsiaTheme="minorHAnsi"/>
          <w:lang w:bidi="ar-SA"/>
        </w:rPr>
        <w:t>This instrument is exempt from the requirements for a statement of compatibility with human rights as it is a non-disallowable instrument under section 9</w:t>
      </w:r>
      <w:r w:rsidR="00447E67" w:rsidRPr="00C52547">
        <w:rPr>
          <w:rFonts w:eastAsiaTheme="minorHAnsi"/>
          <w:lang w:bidi="ar-SA"/>
        </w:rPr>
        <w:t>4</w:t>
      </w:r>
      <w:r w:rsidRPr="00C52547">
        <w:rPr>
          <w:rFonts w:eastAsiaTheme="minorHAnsi"/>
          <w:lang w:bidi="ar-SA"/>
        </w:rPr>
        <w:t xml:space="preserve"> of the FSANZ Act.</w:t>
      </w:r>
    </w:p>
    <w:p w14:paraId="7D451D36" w14:textId="77777777" w:rsidR="00553969" w:rsidRPr="00C52547" w:rsidRDefault="00553969" w:rsidP="00553969">
      <w:pPr>
        <w:rPr>
          <w:rFonts w:eastAsiaTheme="minorHAnsi"/>
          <w:lang w:bidi="ar-SA"/>
        </w:rPr>
      </w:pPr>
    </w:p>
    <w:p w14:paraId="7D451D37" w14:textId="77777777" w:rsidR="00700239" w:rsidRPr="00C52547" w:rsidRDefault="00700239" w:rsidP="00700239">
      <w:pPr>
        <w:rPr>
          <w:b/>
          <w:lang w:eastAsia="en-GB" w:bidi="ar-SA"/>
        </w:rPr>
      </w:pPr>
      <w:r w:rsidRPr="0093355E">
        <w:rPr>
          <w:b/>
        </w:rPr>
        <w:t>6.</w:t>
      </w:r>
      <w:r w:rsidRPr="0093355E">
        <w:rPr>
          <w:b/>
        </w:rPr>
        <w:tab/>
      </w:r>
      <w:r w:rsidRPr="00C52547">
        <w:rPr>
          <w:b/>
          <w:lang w:eastAsia="en-GB" w:bidi="ar-SA"/>
        </w:rPr>
        <w:t>Variation</w:t>
      </w:r>
    </w:p>
    <w:p w14:paraId="7D451D38" w14:textId="77777777" w:rsidR="00294BAD" w:rsidRPr="0093355E" w:rsidRDefault="00294BAD" w:rsidP="00AF06FC">
      <w:pPr>
        <w:rPr>
          <w:b/>
        </w:rPr>
      </w:pPr>
    </w:p>
    <w:p w14:paraId="158BFBCF" w14:textId="64CA8300" w:rsidR="009377BB" w:rsidRPr="0093355E" w:rsidRDefault="00ED2F61" w:rsidP="00ED2F61">
      <w:r w:rsidRPr="0093355E">
        <w:t xml:space="preserve">Item [1] </w:t>
      </w:r>
      <w:r w:rsidR="000E7647" w:rsidRPr="0093355E">
        <w:t xml:space="preserve">of the Schedule </w:t>
      </w:r>
      <w:r w:rsidRPr="0093355E">
        <w:t xml:space="preserve">amends </w:t>
      </w:r>
      <w:r w:rsidR="009377BB" w:rsidRPr="0093355E">
        <w:t xml:space="preserve">Standard 1.2.7. </w:t>
      </w:r>
    </w:p>
    <w:p w14:paraId="7E64B6F7" w14:textId="77777777" w:rsidR="009377BB" w:rsidRPr="0093355E" w:rsidRDefault="009377BB" w:rsidP="00ED2F61"/>
    <w:p w14:paraId="556497A8" w14:textId="1280DA08" w:rsidR="009377BB" w:rsidRPr="0093355E" w:rsidRDefault="009377BB" w:rsidP="00ED2F61">
      <w:r w:rsidRPr="0093355E">
        <w:lastRenderedPageBreak/>
        <w:t xml:space="preserve">Item [1.1] inserts definitions for maximum claimable amount and reference quantity into clause 2. </w:t>
      </w:r>
      <w:r w:rsidR="00663D52" w:rsidRPr="0093355E">
        <w:t xml:space="preserve">These defined terms are then used in the amended entry for </w:t>
      </w:r>
      <w:r w:rsidR="00721EEB">
        <w:t>‘</w:t>
      </w:r>
      <w:r w:rsidR="00663D52" w:rsidRPr="0093355E">
        <w:t>Vitamin or mineral (not including potassium or sodium)</w:t>
      </w:r>
      <w:r w:rsidR="00721EEB">
        <w:t>’</w:t>
      </w:r>
      <w:r w:rsidR="00663D52" w:rsidRPr="0093355E">
        <w:t xml:space="preserve"> in Schedule 1. </w:t>
      </w:r>
      <w:r w:rsidRPr="0093355E">
        <w:t xml:space="preserve">The </w:t>
      </w:r>
      <w:r w:rsidR="008B0354">
        <w:t>term ‘</w:t>
      </w:r>
      <w:r w:rsidRPr="0093355E">
        <w:t>maximum claimable amount</w:t>
      </w:r>
      <w:r w:rsidR="008B0354">
        <w:t>’</w:t>
      </w:r>
      <w:r w:rsidRPr="0093355E">
        <w:t xml:space="preserve"> is </w:t>
      </w:r>
      <w:r w:rsidR="008B0354">
        <w:t xml:space="preserve">defined to mean </w:t>
      </w:r>
      <w:r w:rsidRPr="0093355E">
        <w:t xml:space="preserve">the </w:t>
      </w:r>
      <w:r w:rsidR="0010397A" w:rsidRPr="0093355E">
        <w:t xml:space="preserve">maximum </w:t>
      </w:r>
      <w:r w:rsidRPr="0093355E">
        <w:t xml:space="preserve">amount </w:t>
      </w:r>
      <w:r w:rsidR="0010397A" w:rsidRPr="0093355E">
        <w:t xml:space="preserve">of a vitamin or mineral that can be claimed, as </w:t>
      </w:r>
      <w:r w:rsidRPr="0093355E">
        <w:t xml:space="preserve">prescribed by clause 4 or clause 5 of Standard </w:t>
      </w:r>
      <w:r w:rsidR="0010397A" w:rsidRPr="0093355E">
        <w:t xml:space="preserve">1.3.2. The </w:t>
      </w:r>
      <w:r w:rsidR="008B0354">
        <w:t>term ‘</w:t>
      </w:r>
      <w:r w:rsidR="0010397A" w:rsidRPr="0093355E">
        <w:t>reference quantity</w:t>
      </w:r>
      <w:r w:rsidR="008B0354">
        <w:t>’</w:t>
      </w:r>
      <w:r w:rsidR="0010397A" w:rsidRPr="0093355E">
        <w:t xml:space="preserve"> is </w:t>
      </w:r>
      <w:r w:rsidR="008B0354">
        <w:t xml:space="preserve">defined to mean </w:t>
      </w:r>
      <w:r w:rsidR="0010397A" w:rsidRPr="0093355E">
        <w:t xml:space="preserve">the reference quantity specified for the food in Column 2 of the Table to clause 3 of Standard 1.3.2. </w:t>
      </w:r>
    </w:p>
    <w:p w14:paraId="0F1AE22C" w14:textId="77777777" w:rsidR="009377BB" w:rsidRPr="0093355E" w:rsidRDefault="009377BB" w:rsidP="00ED2F61"/>
    <w:p w14:paraId="3FC41530" w14:textId="4569134E" w:rsidR="00ED2F61" w:rsidRPr="0093355E" w:rsidRDefault="0010397A" w:rsidP="00ED2F61">
      <w:r w:rsidRPr="0093355E">
        <w:t xml:space="preserve">Item [1.2] amends </w:t>
      </w:r>
      <w:r w:rsidR="00ED2F61" w:rsidRPr="0093355E">
        <w:t xml:space="preserve">paragraph 3(b) of Standard 1.2.7 by inserting a reference to salt or sodium content about a food that is not a beverage. The effect of the amendment is to </w:t>
      </w:r>
      <w:r w:rsidR="000E7647" w:rsidRPr="0093355E">
        <w:t>permit</w:t>
      </w:r>
      <w:r w:rsidR="00534114" w:rsidRPr="0093355E">
        <w:t xml:space="preserve"> </w:t>
      </w:r>
      <w:r w:rsidR="00ED2F61" w:rsidRPr="0093355E">
        <w:t xml:space="preserve">nutrition content claims about salt and sodium content to be made in relation to a food </w:t>
      </w:r>
      <w:r w:rsidR="000E7647" w:rsidRPr="0093355E">
        <w:t xml:space="preserve">(not a beverage) </w:t>
      </w:r>
      <w:r w:rsidR="00ED2F61" w:rsidRPr="0093355E">
        <w:t>that contains more than 1.15% alcohol by volume</w:t>
      </w:r>
      <w:r w:rsidR="000E7647" w:rsidRPr="0093355E">
        <w:t>.</w:t>
      </w:r>
      <w:r w:rsidR="00ED2F61" w:rsidRPr="0093355E">
        <w:t xml:space="preserve"> Any nutrition content claim made about the salt or sodium content of a food would have to be made in accordance with the conditions specified in clause 11 and Schedule 1 of Standard 1.2.7. </w:t>
      </w:r>
    </w:p>
    <w:p w14:paraId="7D451D3C" w14:textId="77777777" w:rsidR="00AF06FC" w:rsidRPr="0093355E" w:rsidRDefault="00AF06FC" w:rsidP="00AF06FC"/>
    <w:p w14:paraId="6A043A35" w14:textId="1D52F476" w:rsidR="00B20A60" w:rsidRPr="0093355E" w:rsidRDefault="00B20A60" w:rsidP="00AF06FC">
      <w:r w:rsidRPr="0093355E">
        <w:t>Item [</w:t>
      </w:r>
      <w:r w:rsidR="0010397A" w:rsidRPr="0093355E">
        <w:t>1.3</w:t>
      </w:r>
      <w:r w:rsidRPr="0093355E">
        <w:t xml:space="preserve">] </w:t>
      </w:r>
      <w:r w:rsidR="008B0354">
        <w:t xml:space="preserve">amends </w:t>
      </w:r>
      <w:r w:rsidR="008B0354" w:rsidRPr="0093355E">
        <w:t xml:space="preserve">Schedule 1 of Standard 1.2.7 </w:t>
      </w:r>
      <w:r w:rsidR="008B0354">
        <w:t>by varying the</w:t>
      </w:r>
      <w:r w:rsidR="008B0354" w:rsidRPr="0093355E">
        <w:t xml:space="preserve"> </w:t>
      </w:r>
      <w:r w:rsidR="00B74697" w:rsidRPr="0093355E">
        <w:t xml:space="preserve">general claim conditions </w:t>
      </w:r>
      <w:r w:rsidR="00D22778" w:rsidRPr="0093355E">
        <w:t xml:space="preserve">for making a nutrition content claim for a vitamin or mineral (not including potassium or sodium). </w:t>
      </w:r>
    </w:p>
    <w:p w14:paraId="3BD3F9FF" w14:textId="77777777" w:rsidR="00B20A60" w:rsidRPr="0093355E" w:rsidRDefault="00B20A60" w:rsidP="00AF06FC"/>
    <w:p w14:paraId="36F277BD" w14:textId="4BA40539" w:rsidR="00B74697" w:rsidRPr="0093355E" w:rsidRDefault="00B20A60" w:rsidP="00B20A60">
      <w:r w:rsidRPr="0093355E">
        <w:t>The effect of the amendment is to</w:t>
      </w:r>
      <w:r w:rsidR="00B74697" w:rsidRPr="0093355E">
        <w:t xml:space="preserve"> provide an exemption from the </w:t>
      </w:r>
      <w:r w:rsidR="00C0615E" w:rsidRPr="0093355E">
        <w:t xml:space="preserve">general claim </w:t>
      </w:r>
      <w:r w:rsidR="00B74697" w:rsidRPr="0093355E">
        <w:t xml:space="preserve">condition at </w:t>
      </w:r>
      <w:r w:rsidR="008B0354">
        <w:t xml:space="preserve">paragraph </w:t>
      </w:r>
      <w:r w:rsidR="00B74697" w:rsidRPr="0093355E">
        <w:t xml:space="preserve">(b) </w:t>
      </w:r>
      <w:r w:rsidR="008B0354">
        <w:t xml:space="preserve">that requires a </w:t>
      </w:r>
      <w:r w:rsidR="00B74697" w:rsidRPr="0093355E">
        <w:t>serving of the food contains at least 10% of the RDI or ESADDI for that vitamin or mineral)</w:t>
      </w:r>
      <w:r w:rsidR="008B0354">
        <w:t>. The exemption applies if each of the following exists</w:t>
      </w:r>
      <w:r w:rsidR="00B74697" w:rsidRPr="0093355E">
        <w:t xml:space="preserve">: </w:t>
      </w:r>
    </w:p>
    <w:p w14:paraId="01289598" w14:textId="77777777" w:rsidR="00B74697" w:rsidRPr="0093355E" w:rsidRDefault="00B74697" w:rsidP="00B20A60"/>
    <w:p w14:paraId="31042C24" w14:textId="657E3083" w:rsidR="00B74697" w:rsidRPr="0093355E" w:rsidRDefault="00B74697" w:rsidP="00B74697">
      <w:pPr>
        <w:pStyle w:val="FSBullet1"/>
      </w:pPr>
      <w:r w:rsidRPr="0093355E">
        <w:t>A maximum claimable amount is prescribed by clause 4 or clause 5 of Standard 1.3.2 for the claimed vitamin or mineral.</w:t>
      </w:r>
    </w:p>
    <w:p w14:paraId="50502E58" w14:textId="77777777" w:rsidR="00B74697" w:rsidRPr="0093355E" w:rsidRDefault="00B74697" w:rsidP="00B74697">
      <w:pPr>
        <w:rPr>
          <w:lang w:bidi="ar-SA"/>
        </w:rPr>
      </w:pPr>
    </w:p>
    <w:p w14:paraId="4D0EE21D" w14:textId="0B8BFCB7" w:rsidR="00C0615E" w:rsidRPr="0093355E" w:rsidRDefault="003925E1" w:rsidP="00C0615E">
      <w:pPr>
        <w:pStyle w:val="FSBullet1"/>
      </w:pPr>
      <w:r w:rsidRPr="0093355E">
        <w:t xml:space="preserve">A </w:t>
      </w:r>
      <w:r w:rsidR="00C0615E" w:rsidRPr="0093355E">
        <w:t xml:space="preserve">serving of the food </w:t>
      </w:r>
      <w:r w:rsidRPr="0093355E">
        <w:t xml:space="preserve">(as specified </w:t>
      </w:r>
      <w:r w:rsidR="00AA3487" w:rsidRPr="0093355E">
        <w:t xml:space="preserve">determined by the </w:t>
      </w:r>
      <w:r w:rsidR="00D22778" w:rsidRPr="0093355E">
        <w:t xml:space="preserve">supplier) </w:t>
      </w:r>
      <w:r w:rsidR="00C0615E" w:rsidRPr="0093355E">
        <w:t xml:space="preserve">is less than the reference quantity for the </w:t>
      </w:r>
      <w:r w:rsidR="0069019F" w:rsidRPr="0093355E">
        <w:t>food</w:t>
      </w:r>
      <w:r w:rsidR="00AA3487" w:rsidRPr="0093355E">
        <w:t xml:space="preserve"> as specified </w:t>
      </w:r>
      <w:r w:rsidR="00C0615E" w:rsidRPr="0093355E">
        <w:t>in Column 2 of the Table to clause 3 of Standard 1.3.2.</w:t>
      </w:r>
    </w:p>
    <w:p w14:paraId="4F054B53" w14:textId="77777777" w:rsidR="00C0615E" w:rsidRPr="0093355E" w:rsidRDefault="00C0615E" w:rsidP="00C0615E">
      <w:pPr>
        <w:rPr>
          <w:lang w:bidi="ar-SA"/>
        </w:rPr>
      </w:pPr>
    </w:p>
    <w:p w14:paraId="081E3CCB" w14:textId="3409747C" w:rsidR="00B74697" w:rsidRPr="0093355E" w:rsidRDefault="00B74697" w:rsidP="00B74697">
      <w:pPr>
        <w:pStyle w:val="FSBullet1"/>
      </w:pPr>
      <w:r w:rsidRPr="0093355E">
        <w:t xml:space="preserve">The maximum claimable amount (per reference quantity) for the claimed vitamin or mineral is less than 10% RDI or ESADDI per serving. </w:t>
      </w:r>
    </w:p>
    <w:p w14:paraId="2CBF5515" w14:textId="77777777" w:rsidR="00B74697" w:rsidRPr="0093355E" w:rsidRDefault="00B74697" w:rsidP="00B74697">
      <w:pPr>
        <w:rPr>
          <w:lang w:bidi="ar-SA"/>
        </w:rPr>
      </w:pPr>
    </w:p>
    <w:p w14:paraId="432FE1E4" w14:textId="6D159C5B" w:rsidR="00B74697" w:rsidRPr="0093355E" w:rsidRDefault="00C0615E" w:rsidP="00C0615E">
      <w:pPr>
        <w:pStyle w:val="FSBullet1"/>
      </w:pPr>
      <w:r w:rsidRPr="0093355E">
        <w:t xml:space="preserve">The reference quantity contains at least 10% of the RDI or ESADDI for the vitamin or mineral. </w:t>
      </w:r>
    </w:p>
    <w:p w14:paraId="4D8C684A" w14:textId="04F260CD" w:rsidR="00E14C67" w:rsidRPr="0093355E" w:rsidRDefault="00E14C67" w:rsidP="00D22778"/>
    <w:p w14:paraId="4F1C1F87" w14:textId="0187647E" w:rsidR="00E14C67" w:rsidRPr="0093355E" w:rsidRDefault="00E14C67" w:rsidP="00D22778">
      <w:r w:rsidRPr="0093355E">
        <w:rPr>
          <w:lang w:bidi="ar-SA"/>
        </w:rPr>
        <w:t>In other words, if the maximum claimable amount is less than the required 10% of the RDI or ESADDI per serving, a nutrition content claim may still be made if the reference quantity of the same food contains 10% of the RDI or ESADDI.</w:t>
      </w:r>
    </w:p>
    <w:p w14:paraId="49E656A3" w14:textId="77777777" w:rsidR="00C0615E" w:rsidRPr="0093355E" w:rsidRDefault="00C0615E" w:rsidP="00C0615E">
      <w:pPr>
        <w:rPr>
          <w:lang w:bidi="ar-SA"/>
        </w:rPr>
      </w:pPr>
    </w:p>
    <w:p w14:paraId="7D451D3D" w14:textId="77777777" w:rsidR="00AB0275" w:rsidRPr="0093355E" w:rsidRDefault="00AB0275" w:rsidP="00AB0275">
      <w:pPr>
        <w:pStyle w:val="Heading2"/>
        <w:ind w:left="0" w:firstLine="0"/>
      </w:pPr>
      <w:bookmarkStart w:id="105" w:name="_Toc415572039"/>
      <w:r w:rsidRPr="0093355E">
        <w:br w:type="page"/>
      </w:r>
    </w:p>
    <w:p w14:paraId="7D451D3E" w14:textId="3B7132D1" w:rsidR="00AB0275" w:rsidRPr="00913109" w:rsidRDefault="00AB0275" w:rsidP="00913109">
      <w:pPr>
        <w:pStyle w:val="Heading2"/>
      </w:pPr>
      <w:bookmarkStart w:id="106" w:name="_Toc423079128"/>
      <w:r w:rsidRPr="00913109">
        <w:lastRenderedPageBreak/>
        <w:t>Attachment B –</w:t>
      </w:r>
      <w:r w:rsidR="00CA44F3">
        <w:t xml:space="preserve"> D</w:t>
      </w:r>
      <w:r w:rsidRPr="00913109">
        <w:t xml:space="preserve">raft variation to the revised </w:t>
      </w:r>
      <w:r w:rsidRPr="00FC35FA">
        <w:rPr>
          <w:i/>
        </w:rPr>
        <w:t>Australia New Zealand Food Standards Code</w:t>
      </w:r>
      <w:r w:rsidRPr="00913109">
        <w:t xml:space="preserve"> (commencing 1 March 2016)</w:t>
      </w:r>
      <w:bookmarkEnd w:id="105"/>
      <w:bookmarkEnd w:id="106"/>
    </w:p>
    <w:p w14:paraId="2663CB32" w14:textId="77777777" w:rsidR="001933A4" w:rsidRPr="00C52547" w:rsidRDefault="001933A4" w:rsidP="001933A4">
      <w:pPr>
        <w:tabs>
          <w:tab w:val="left" w:pos="851"/>
        </w:tabs>
        <w:rPr>
          <w:noProof/>
          <w:sz w:val="20"/>
          <w:szCs w:val="20"/>
          <w:lang w:eastAsia="en-AU" w:bidi="ar-SA"/>
        </w:rPr>
      </w:pPr>
      <w:r w:rsidRPr="0093355E">
        <w:rPr>
          <w:noProof/>
          <w:sz w:val="20"/>
          <w:szCs w:val="20"/>
          <w:lang w:eastAsia="en-GB" w:bidi="ar-SA"/>
        </w:rPr>
        <w:drawing>
          <wp:inline distT="0" distB="0" distL="0" distR="0" wp14:anchorId="01D759D2" wp14:editId="3D9D791F">
            <wp:extent cx="2657475" cy="438150"/>
            <wp:effectExtent l="0" t="0" r="9525" b="0"/>
            <wp:docPr id="2" name="Picture 2"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D77088B" w14:textId="77777777" w:rsidR="001933A4" w:rsidRPr="0093355E" w:rsidRDefault="001933A4" w:rsidP="001933A4">
      <w:pPr>
        <w:pBdr>
          <w:bottom w:val="single" w:sz="4" w:space="1" w:color="auto"/>
        </w:pBdr>
        <w:tabs>
          <w:tab w:val="left" w:pos="851"/>
        </w:tabs>
        <w:jc w:val="center"/>
        <w:rPr>
          <w:sz w:val="20"/>
          <w:szCs w:val="20"/>
          <w:lang w:bidi="ar-SA"/>
        </w:rPr>
      </w:pPr>
    </w:p>
    <w:p w14:paraId="3A8F977F" w14:textId="77777777" w:rsidR="001933A4" w:rsidRPr="0093355E" w:rsidRDefault="001933A4" w:rsidP="001933A4">
      <w:pPr>
        <w:pBdr>
          <w:bottom w:val="single" w:sz="4" w:space="1" w:color="auto"/>
        </w:pBdr>
        <w:tabs>
          <w:tab w:val="left" w:pos="851"/>
        </w:tabs>
        <w:rPr>
          <w:b/>
          <w:sz w:val="20"/>
          <w:szCs w:val="20"/>
          <w:lang w:bidi="ar-SA"/>
        </w:rPr>
      </w:pPr>
      <w:r w:rsidRPr="0093355E">
        <w:rPr>
          <w:rFonts w:cs="Arial"/>
          <w:b/>
          <w:i/>
          <w:sz w:val="20"/>
          <w:szCs w:val="20"/>
          <w:lang w:bidi="ar-SA"/>
        </w:rPr>
        <w:t>Australia New Zealand Food Standards Code</w:t>
      </w:r>
      <w:r w:rsidRPr="0093355E">
        <w:rPr>
          <w:rFonts w:cs="Arial"/>
          <w:b/>
          <w:sz w:val="20"/>
          <w:szCs w:val="20"/>
          <w:lang w:bidi="ar-SA"/>
        </w:rPr>
        <w:t xml:space="preserve"> –</w:t>
      </w:r>
      <w:r w:rsidRPr="0093355E">
        <w:rPr>
          <w:rFonts w:cs="Arial"/>
          <w:b/>
          <w:color w:val="000000"/>
          <w:sz w:val="20"/>
          <w:szCs w:val="20"/>
          <w:lang w:bidi="ar-SA"/>
        </w:rPr>
        <w:t xml:space="preserve"> Transitional Variation</w:t>
      </w:r>
      <w:r w:rsidRPr="0093355E">
        <w:rPr>
          <w:rFonts w:cs="Arial"/>
          <w:b/>
          <w:sz w:val="20"/>
          <w:szCs w:val="20"/>
          <w:lang w:bidi="ar-SA"/>
        </w:rPr>
        <w:t xml:space="preserve"> 2015 (</w:t>
      </w:r>
      <w:r w:rsidRPr="0093355E">
        <w:rPr>
          <w:b/>
          <w:sz w:val="20"/>
          <w:szCs w:val="20"/>
          <w:lang w:bidi="ar-SA"/>
        </w:rPr>
        <w:t>P1038 – Vitamin &amp; Mineral Claims &amp; Sodium Claims about Food containing Alcohol</w:t>
      </w:r>
      <w:r w:rsidRPr="0093355E">
        <w:rPr>
          <w:rFonts w:cs="Arial"/>
          <w:b/>
          <w:sz w:val="20"/>
          <w:szCs w:val="20"/>
          <w:lang w:bidi="ar-SA"/>
        </w:rPr>
        <w:t>)</w:t>
      </w:r>
      <w:r w:rsidRPr="0093355E">
        <w:rPr>
          <w:b/>
          <w:sz w:val="20"/>
          <w:szCs w:val="20"/>
          <w:lang w:bidi="ar-SA"/>
        </w:rPr>
        <w:t xml:space="preserve"> </w:t>
      </w:r>
    </w:p>
    <w:p w14:paraId="31B3C0F3" w14:textId="77777777" w:rsidR="001933A4" w:rsidRPr="0093355E" w:rsidRDefault="001933A4" w:rsidP="001933A4">
      <w:pPr>
        <w:pBdr>
          <w:bottom w:val="single" w:sz="4" w:space="1" w:color="auto"/>
        </w:pBdr>
        <w:tabs>
          <w:tab w:val="left" w:pos="851"/>
        </w:tabs>
        <w:rPr>
          <w:b/>
          <w:sz w:val="20"/>
          <w:szCs w:val="20"/>
          <w:lang w:bidi="ar-SA"/>
        </w:rPr>
      </w:pPr>
    </w:p>
    <w:p w14:paraId="57FDEDA3" w14:textId="77777777" w:rsidR="001933A4" w:rsidRPr="0093355E" w:rsidRDefault="001933A4" w:rsidP="001933A4">
      <w:pPr>
        <w:tabs>
          <w:tab w:val="left" w:pos="851"/>
        </w:tabs>
        <w:rPr>
          <w:sz w:val="20"/>
          <w:szCs w:val="20"/>
          <w:lang w:bidi="ar-SA"/>
        </w:rPr>
      </w:pPr>
    </w:p>
    <w:p w14:paraId="43926B5E" w14:textId="77777777" w:rsidR="001933A4" w:rsidRPr="0093355E" w:rsidRDefault="001933A4" w:rsidP="001933A4">
      <w:pPr>
        <w:tabs>
          <w:tab w:val="left" w:pos="851"/>
        </w:tabs>
        <w:rPr>
          <w:sz w:val="20"/>
          <w:szCs w:val="20"/>
          <w:lang w:bidi="ar-SA"/>
        </w:rPr>
      </w:pPr>
      <w:r w:rsidRPr="0093355E">
        <w:rPr>
          <w:sz w:val="20"/>
          <w:szCs w:val="20"/>
          <w:lang w:bidi="ar-SA"/>
        </w:rPr>
        <w:t xml:space="preserve">The Board of Food Standards Australia New Zealand gives notice of the making of this variation under section 92 of the </w:t>
      </w:r>
      <w:r w:rsidRPr="0093355E">
        <w:rPr>
          <w:i/>
          <w:sz w:val="20"/>
          <w:szCs w:val="20"/>
          <w:lang w:bidi="ar-SA"/>
        </w:rPr>
        <w:t>Food Standards Australia New Zealand Act 1991</w:t>
      </w:r>
      <w:r w:rsidRPr="0093355E">
        <w:rPr>
          <w:sz w:val="20"/>
          <w:szCs w:val="20"/>
          <w:lang w:bidi="ar-SA"/>
        </w:rPr>
        <w:t>.  The Standard commences on the date specified in clause 2 of the variation.</w:t>
      </w:r>
    </w:p>
    <w:p w14:paraId="632DD73A" w14:textId="77777777" w:rsidR="001933A4" w:rsidRPr="0093355E" w:rsidRDefault="001933A4" w:rsidP="001933A4">
      <w:pPr>
        <w:tabs>
          <w:tab w:val="left" w:pos="851"/>
        </w:tabs>
        <w:rPr>
          <w:sz w:val="20"/>
          <w:szCs w:val="20"/>
          <w:lang w:bidi="ar-SA"/>
        </w:rPr>
      </w:pPr>
    </w:p>
    <w:p w14:paraId="70A6C35A" w14:textId="77777777" w:rsidR="001933A4" w:rsidRPr="0093355E" w:rsidRDefault="001933A4" w:rsidP="001933A4">
      <w:pPr>
        <w:tabs>
          <w:tab w:val="left" w:pos="851"/>
        </w:tabs>
        <w:rPr>
          <w:sz w:val="20"/>
          <w:szCs w:val="20"/>
          <w:lang w:bidi="ar-SA"/>
        </w:rPr>
      </w:pPr>
      <w:r w:rsidRPr="0093355E">
        <w:rPr>
          <w:sz w:val="20"/>
          <w:szCs w:val="20"/>
          <w:lang w:bidi="ar-SA"/>
        </w:rPr>
        <w:t>Dated [To be completed by Standards Management Officer]</w:t>
      </w:r>
    </w:p>
    <w:p w14:paraId="48A15A7E" w14:textId="77777777" w:rsidR="001933A4" w:rsidRPr="0093355E" w:rsidRDefault="001933A4" w:rsidP="001933A4">
      <w:pPr>
        <w:tabs>
          <w:tab w:val="left" w:pos="851"/>
        </w:tabs>
        <w:rPr>
          <w:sz w:val="20"/>
          <w:szCs w:val="20"/>
          <w:lang w:bidi="ar-SA"/>
        </w:rPr>
      </w:pPr>
    </w:p>
    <w:p w14:paraId="711964EB" w14:textId="77777777" w:rsidR="001933A4" w:rsidRPr="0093355E" w:rsidRDefault="001933A4" w:rsidP="001933A4">
      <w:pPr>
        <w:tabs>
          <w:tab w:val="left" w:pos="851"/>
        </w:tabs>
        <w:rPr>
          <w:sz w:val="20"/>
          <w:szCs w:val="20"/>
          <w:lang w:bidi="ar-SA"/>
        </w:rPr>
      </w:pPr>
    </w:p>
    <w:p w14:paraId="764180B5" w14:textId="77777777" w:rsidR="001933A4" w:rsidRPr="0093355E" w:rsidRDefault="001933A4" w:rsidP="001933A4">
      <w:pPr>
        <w:tabs>
          <w:tab w:val="left" w:pos="851"/>
        </w:tabs>
        <w:rPr>
          <w:sz w:val="20"/>
          <w:szCs w:val="20"/>
          <w:lang w:bidi="ar-SA"/>
        </w:rPr>
      </w:pPr>
    </w:p>
    <w:p w14:paraId="49F38AD3" w14:textId="77777777" w:rsidR="001933A4" w:rsidRPr="0093355E" w:rsidRDefault="001933A4" w:rsidP="001933A4">
      <w:pPr>
        <w:tabs>
          <w:tab w:val="left" w:pos="851"/>
        </w:tabs>
        <w:rPr>
          <w:sz w:val="20"/>
          <w:szCs w:val="20"/>
          <w:lang w:bidi="ar-SA"/>
        </w:rPr>
      </w:pPr>
    </w:p>
    <w:p w14:paraId="1F21B039" w14:textId="77777777" w:rsidR="001933A4" w:rsidRPr="0093355E" w:rsidRDefault="001933A4" w:rsidP="001933A4">
      <w:pPr>
        <w:tabs>
          <w:tab w:val="left" w:pos="851"/>
        </w:tabs>
        <w:rPr>
          <w:sz w:val="20"/>
          <w:szCs w:val="20"/>
          <w:lang w:bidi="ar-SA"/>
        </w:rPr>
      </w:pPr>
    </w:p>
    <w:p w14:paraId="6A723FF0" w14:textId="77777777" w:rsidR="001933A4" w:rsidRPr="0093355E" w:rsidRDefault="001933A4" w:rsidP="001933A4">
      <w:pPr>
        <w:tabs>
          <w:tab w:val="left" w:pos="851"/>
        </w:tabs>
        <w:rPr>
          <w:sz w:val="20"/>
          <w:szCs w:val="20"/>
          <w:lang w:bidi="ar-SA"/>
        </w:rPr>
      </w:pPr>
      <w:r w:rsidRPr="0093355E">
        <w:rPr>
          <w:sz w:val="20"/>
          <w:szCs w:val="20"/>
          <w:lang w:bidi="ar-SA"/>
        </w:rPr>
        <w:t>Standards Management Officer</w:t>
      </w:r>
    </w:p>
    <w:p w14:paraId="3C0BD419" w14:textId="77777777" w:rsidR="001933A4" w:rsidRPr="0093355E" w:rsidRDefault="001933A4" w:rsidP="001933A4">
      <w:pPr>
        <w:tabs>
          <w:tab w:val="left" w:pos="851"/>
        </w:tabs>
        <w:rPr>
          <w:sz w:val="20"/>
          <w:szCs w:val="20"/>
          <w:lang w:bidi="ar-SA"/>
        </w:rPr>
      </w:pPr>
      <w:r w:rsidRPr="0093355E">
        <w:rPr>
          <w:sz w:val="20"/>
          <w:szCs w:val="20"/>
          <w:lang w:bidi="ar-SA"/>
        </w:rPr>
        <w:t>Delegate of the Board of Food Standards Australia New Zealand</w:t>
      </w:r>
    </w:p>
    <w:p w14:paraId="2CD48ADD" w14:textId="77777777" w:rsidR="001933A4" w:rsidRPr="0093355E" w:rsidRDefault="001933A4" w:rsidP="001933A4">
      <w:pPr>
        <w:tabs>
          <w:tab w:val="left" w:pos="851"/>
        </w:tabs>
        <w:rPr>
          <w:sz w:val="20"/>
          <w:szCs w:val="20"/>
          <w:lang w:bidi="ar-SA"/>
        </w:rPr>
      </w:pPr>
    </w:p>
    <w:p w14:paraId="70E01A92" w14:textId="77777777" w:rsidR="001933A4" w:rsidRPr="0093355E" w:rsidRDefault="001933A4" w:rsidP="001933A4">
      <w:pPr>
        <w:tabs>
          <w:tab w:val="left" w:pos="851"/>
        </w:tabs>
        <w:rPr>
          <w:sz w:val="20"/>
          <w:szCs w:val="20"/>
          <w:lang w:bidi="ar-SA"/>
        </w:rPr>
      </w:pPr>
    </w:p>
    <w:p w14:paraId="60684E85" w14:textId="77777777" w:rsidR="001933A4" w:rsidRPr="0093355E" w:rsidRDefault="001933A4" w:rsidP="001933A4">
      <w:pPr>
        <w:tabs>
          <w:tab w:val="left" w:pos="851"/>
        </w:tabs>
        <w:rPr>
          <w:sz w:val="20"/>
          <w:szCs w:val="20"/>
          <w:lang w:bidi="ar-SA"/>
        </w:rPr>
      </w:pPr>
    </w:p>
    <w:p w14:paraId="1C992B58" w14:textId="77777777" w:rsidR="001933A4" w:rsidRPr="0093355E" w:rsidRDefault="001933A4" w:rsidP="001933A4">
      <w:pPr>
        <w:tabs>
          <w:tab w:val="left" w:pos="851"/>
        </w:tabs>
        <w:rPr>
          <w:sz w:val="20"/>
          <w:szCs w:val="20"/>
          <w:lang w:bidi="ar-SA"/>
        </w:rPr>
      </w:pPr>
    </w:p>
    <w:p w14:paraId="3B209F71" w14:textId="77777777" w:rsidR="001933A4" w:rsidRPr="0093355E" w:rsidRDefault="001933A4" w:rsidP="001933A4">
      <w:pPr>
        <w:tabs>
          <w:tab w:val="left" w:pos="851"/>
        </w:tabs>
        <w:rPr>
          <w:sz w:val="20"/>
          <w:szCs w:val="20"/>
          <w:lang w:bidi="ar-SA"/>
        </w:rPr>
      </w:pPr>
    </w:p>
    <w:p w14:paraId="6D918F09" w14:textId="77777777" w:rsidR="001933A4" w:rsidRPr="00C52547" w:rsidRDefault="001933A4" w:rsidP="001933A4">
      <w:pPr>
        <w:keepNext/>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C52547">
        <w:rPr>
          <w:b/>
          <w:sz w:val="20"/>
          <w:szCs w:val="20"/>
          <w:lang w:bidi="ar-SA"/>
        </w:rPr>
        <w:t xml:space="preserve">Note:  </w:t>
      </w:r>
    </w:p>
    <w:p w14:paraId="04293612" w14:textId="77777777" w:rsidR="001933A4" w:rsidRPr="00C52547" w:rsidRDefault="001933A4" w:rsidP="001933A4">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3C0C164C" w14:textId="77777777" w:rsidR="001933A4" w:rsidRPr="00C52547" w:rsidRDefault="001933A4" w:rsidP="001933A4">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C52547">
        <w:rPr>
          <w:sz w:val="20"/>
          <w:szCs w:val="20"/>
          <w:lang w:bidi="ar-SA"/>
        </w:rPr>
        <w:t xml:space="preserve">This variation will be published in the Commonwealth of Australia Gazette No. </w:t>
      </w:r>
      <w:proofErr w:type="gramStart"/>
      <w:r w:rsidRPr="00C52547">
        <w:rPr>
          <w:sz w:val="20"/>
          <w:szCs w:val="20"/>
          <w:lang w:bidi="ar-SA"/>
        </w:rPr>
        <w:t xml:space="preserve">FSC </w:t>
      </w:r>
      <w:r w:rsidRPr="00C52547">
        <w:rPr>
          <w:color w:val="FF0000"/>
          <w:sz w:val="20"/>
          <w:szCs w:val="20"/>
          <w:lang w:bidi="ar-SA"/>
        </w:rPr>
        <w:t>XX on XX Month 20XX</w:t>
      </w:r>
      <w:r w:rsidRPr="00C52547">
        <w:rPr>
          <w:sz w:val="20"/>
          <w:szCs w:val="20"/>
          <w:lang w:bidi="ar-SA"/>
        </w:rPr>
        <w:t>.</w:t>
      </w:r>
      <w:proofErr w:type="gramEnd"/>
      <w:r w:rsidRPr="00C52547">
        <w:rPr>
          <w:sz w:val="20"/>
          <w:szCs w:val="20"/>
          <w:lang w:bidi="ar-SA"/>
        </w:rPr>
        <w:t xml:space="preserve"> </w:t>
      </w:r>
    </w:p>
    <w:p w14:paraId="36C03F92" w14:textId="77777777" w:rsidR="001933A4" w:rsidRPr="0093355E" w:rsidRDefault="001933A4" w:rsidP="001933A4">
      <w:pPr>
        <w:tabs>
          <w:tab w:val="left" w:pos="851"/>
        </w:tabs>
        <w:rPr>
          <w:sz w:val="20"/>
          <w:szCs w:val="20"/>
          <w:lang w:bidi="ar-SA"/>
        </w:rPr>
      </w:pPr>
    </w:p>
    <w:p w14:paraId="08539557" w14:textId="77777777" w:rsidR="001933A4" w:rsidRPr="00C52547" w:rsidRDefault="001933A4" w:rsidP="001933A4">
      <w:pPr>
        <w:keepNext/>
        <w:keepLines/>
        <w:widowControl/>
        <w:spacing w:before="360"/>
        <w:ind w:left="964" w:hanging="964"/>
        <w:rPr>
          <w:rFonts w:cs="Arial"/>
          <w:b/>
          <w:szCs w:val="22"/>
          <w:lang w:eastAsia="en-AU" w:bidi="ar-SA"/>
        </w:rPr>
      </w:pPr>
      <w:r w:rsidRPr="00C52547">
        <w:rPr>
          <w:rFonts w:cs="Arial"/>
          <w:b/>
          <w:szCs w:val="22"/>
          <w:lang w:eastAsia="en-AU" w:bidi="ar-SA"/>
        </w:rPr>
        <w:br w:type="page"/>
      </w:r>
    </w:p>
    <w:p w14:paraId="0994E128" w14:textId="77777777" w:rsidR="001933A4" w:rsidRPr="00C52547" w:rsidRDefault="001933A4" w:rsidP="001933A4">
      <w:pPr>
        <w:keepNext/>
        <w:keepLines/>
        <w:widowControl/>
        <w:ind w:left="851" w:hanging="851"/>
        <w:rPr>
          <w:b/>
          <w:sz w:val="20"/>
          <w:szCs w:val="20"/>
          <w:lang w:eastAsia="en-AU" w:bidi="ar-SA"/>
        </w:rPr>
      </w:pPr>
      <w:r w:rsidRPr="00C52547">
        <w:rPr>
          <w:b/>
          <w:sz w:val="20"/>
          <w:szCs w:val="20"/>
          <w:lang w:eastAsia="en-AU" w:bidi="ar-SA"/>
        </w:rPr>
        <w:lastRenderedPageBreak/>
        <w:t>1</w:t>
      </w:r>
      <w:r w:rsidRPr="00C52547">
        <w:rPr>
          <w:b/>
          <w:sz w:val="20"/>
          <w:szCs w:val="20"/>
          <w:lang w:eastAsia="en-AU" w:bidi="ar-SA"/>
        </w:rPr>
        <w:tab/>
        <w:t>Name of instrument</w:t>
      </w:r>
    </w:p>
    <w:p w14:paraId="2F8E7800" w14:textId="6E692C1A" w:rsidR="001933A4" w:rsidRPr="00C52547" w:rsidRDefault="001933A4" w:rsidP="00C52547">
      <w:pPr>
        <w:pStyle w:val="Clause"/>
        <w:rPr>
          <w:lang w:eastAsia="en-AU" w:bidi="ar-SA"/>
        </w:rPr>
      </w:pPr>
    </w:p>
    <w:p w14:paraId="079E61E2" w14:textId="53CDDDD3" w:rsidR="001933A4" w:rsidRPr="00C52547" w:rsidRDefault="001933A4" w:rsidP="00C52547">
      <w:pPr>
        <w:pStyle w:val="Clause"/>
        <w:rPr>
          <w:lang w:eastAsia="en-AU" w:bidi="ar-SA"/>
        </w:rPr>
      </w:pPr>
      <w:r w:rsidRPr="00C52547">
        <w:rPr>
          <w:lang w:eastAsia="en-AU" w:bidi="ar-SA"/>
        </w:rPr>
        <w:t xml:space="preserve">This instrument is the </w:t>
      </w:r>
      <w:r w:rsidRPr="00C52547">
        <w:rPr>
          <w:i/>
          <w:lang w:eastAsia="en-AU" w:bidi="ar-SA"/>
        </w:rPr>
        <w:t xml:space="preserve">Australia New Zealand Food Standards Code </w:t>
      </w:r>
      <w:r w:rsidR="00D51C0A" w:rsidRPr="00C45F7C">
        <w:rPr>
          <w:i/>
          <w:color w:val="000000"/>
          <w:lang w:eastAsia="en-AU" w:bidi="ar-SA"/>
        </w:rPr>
        <w:t>–</w:t>
      </w:r>
      <w:r w:rsidRPr="00C52547">
        <w:rPr>
          <w:i/>
          <w:color w:val="000000"/>
          <w:lang w:eastAsia="en-AU" w:bidi="ar-SA"/>
        </w:rPr>
        <w:t xml:space="preserve"> Transitional Variation</w:t>
      </w:r>
      <w:r w:rsidRPr="00C52547">
        <w:rPr>
          <w:i/>
          <w:lang w:eastAsia="en-AU" w:bidi="ar-SA"/>
        </w:rPr>
        <w:t xml:space="preserve"> 2015 (P1038 – Vitamin &amp; Mineral Claims &amp; Sodium Claims about Food Containing Alcohol)</w:t>
      </w:r>
      <w:r w:rsidRPr="00C52547">
        <w:rPr>
          <w:lang w:eastAsia="en-AU" w:bidi="ar-SA"/>
        </w:rPr>
        <w:t>.</w:t>
      </w:r>
    </w:p>
    <w:p w14:paraId="621DD252" w14:textId="77777777" w:rsidR="001933A4" w:rsidRPr="0093355E" w:rsidRDefault="001933A4" w:rsidP="001933A4">
      <w:pPr>
        <w:tabs>
          <w:tab w:val="left" w:pos="851"/>
        </w:tabs>
        <w:rPr>
          <w:szCs w:val="20"/>
          <w:lang w:bidi="ar-SA"/>
        </w:rPr>
      </w:pPr>
    </w:p>
    <w:p w14:paraId="2D1A8EF9" w14:textId="77777777" w:rsidR="001933A4" w:rsidRPr="00C52547" w:rsidRDefault="001933A4" w:rsidP="001933A4">
      <w:pPr>
        <w:keepNext/>
        <w:keepLines/>
        <w:widowControl/>
        <w:ind w:left="851" w:hanging="851"/>
        <w:rPr>
          <w:rFonts w:cs="Arial"/>
          <w:b/>
          <w:sz w:val="20"/>
          <w:szCs w:val="20"/>
          <w:lang w:eastAsia="en-AU" w:bidi="ar-SA"/>
        </w:rPr>
      </w:pPr>
      <w:r w:rsidRPr="00C52547">
        <w:rPr>
          <w:rFonts w:cs="Arial"/>
          <w:b/>
          <w:sz w:val="20"/>
          <w:szCs w:val="20"/>
          <w:lang w:eastAsia="en-AU" w:bidi="ar-SA"/>
        </w:rPr>
        <w:t>2</w:t>
      </w:r>
      <w:r w:rsidRPr="00C52547">
        <w:rPr>
          <w:rFonts w:cs="Arial"/>
          <w:b/>
          <w:sz w:val="20"/>
          <w:szCs w:val="20"/>
          <w:lang w:eastAsia="en-AU" w:bidi="ar-SA"/>
        </w:rPr>
        <w:tab/>
        <w:t>Commencement</w:t>
      </w:r>
    </w:p>
    <w:p w14:paraId="6EEBB19C" w14:textId="77777777" w:rsidR="001933A4" w:rsidRPr="00C52547" w:rsidRDefault="001933A4" w:rsidP="00C52547">
      <w:pPr>
        <w:pStyle w:val="Clause"/>
        <w:rPr>
          <w:lang w:eastAsia="en-AU" w:bidi="ar-SA"/>
        </w:rPr>
      </w:pPr>
    </w:p>
    <w:p w14:paraId="63098EA1" w14:textId="77777777" w:rsidR="001933A4" w:rsidRPr="00C52547" w:rsidRDefault="001933A4" w:rsidP="00C52547">
      <w:pPr>
        <w:pStyle w:val="Clause"/>
        <w:rPr>
          <w:lang w:eastAsia="en-AU" w:bidi="ar-SA"/>
        </w:rPr>
      </w:pPr>
      <w:r w:rsidRPr="00C52547">
        <w:rPr>
          <w:lang w:eastAsia="en-AU" w:bidi="ar-SA"/>
        </w:rPr>
        <w:t>The Schedule commences on 1 March 2016 immediately after the commencement of Standard 5.1.1 – Revocation and transitional provisions — 2014 Revision.</w:t>
      </w:r>
    </w:p>
    <w:p w14:paraId="00B191FB" w14:textId="77777777" w:rsidR="001933A4" w:rsidRPr="0093355E" w:rsidRDefault="001933A4" w:rsidP="001933A4">
      <w:pPr>
        <w:tabs>
          <w:tab w:val="left" w:pos="851"/>
        </w:tabs>
        <w:rPr>
          <w:szCs w:val="20"/>
          <w:lang w:bidi="ar-SA"/>
        </w:rPr>
      </w:pPr>
    </w:p>
    <w:p w14:paraId="3739F558" w14:textId="77777777" w:rsidR="001933A4" w:rsidRPr="00C52547" w:rsidRDefault="001933A4" w:rsidP="001933A4">
      <w:pPr>
        <w:keepNext/>
        <w:keepLines/>
        <w:widowControl/>
        <w:ind w:left="851" w:hanging="851"/>
        <w:rPr>
          <w:rFonts w:cs="Arial"/>
          <w:b/>
          <w:sz w:val="20"/>
          <w:szCs w:val="20"/>
          <w:lang w:eastAsia="en-AU" w:bidi="ar-SA"/>
        </w:rPr>
      </w:pPr>
      <w:r w:rsidRPr="00C52547">
        <w:rPr>
          <w:rFonts w:cs="Arial"/>
          <w:b/>
          <w:sz w:val="20"/>
          <w:szCs w:val="20"/>
          <w:lang w:eastAsia="en-AU" w:bidi="ar-SA"/>
        </w:rPr>
        <w:t>3</w:t>
      </w:r>
      <w:r w:rsidRPr="00C52547">
        <w:rPr>
          <w:rFonts w:cs="Arial"/>
          <w:b/>
          <w:sz w:val="20"/>
          <w:szCs w:val="20"/>
          <w:lang w:eastAsia="en-AU" w:bidi="ar-SA"/>
        </w:rPr>
        <w:tab/>
        <w:t>Variation of Standards</w:t>
      </w:r>
    </w:p>
    <w:p w14:paraId="4585FC6C" w14:textId="77777777" w:rsidR="001933A4" w:rsidRPr="00C52547" w:rsidRDefault="001933A4" w:rsidP="00C52547">
      <w:pPr>
        <w:pStyle w:val="Clause"/>
        <w:rPr>
          <w:lang w:eastAsia="en-AU" w:bidi="ar-SA"/>
        </w:rPr>
      </w:pPr>
    </w:p>
    <w:p w14:paraId="40319D2A" w14:textId="1BC3D593" w:rsidR="001933A4" w:rsidRPr="00C52547" w:rsidRDefault="001933A4" w:rsidP="00C52547">
      <w:pPr>
        <w:pStyle w:val="Clause"/>
        <w:rPr>
          <w:lang w:eastAsia="en-AU" w:bidi="ar-SA"/>
        </w:rPr>
      </w:pPr>
      <w:r w:rsidRPr="00C52547">
        <w:rPr>
          <w:lang w:eastAsia="en-AU" w:bidi="ar-SA"/>
        </w:rPr>
        <w:t xml:space="preserve">The Schedule varies a Standard and a Schedule of the </w:t>
      </w:r>
      <w:r w:rsidRPr="00C52547">
        <w:rPr>
          <w:i/>
          <w:lang w:eastAsia="en-AU" w:bidi="ar-SA"/>
        </w:rPr>
        <w:t>Australia New Zealand Food Standards Code</w:t>
      </w:r>
      <w:r w:rsidRPr="00C52547">
        <w:rPr>
          <w:lang w:eastAsia="en-AU" w:bidi="ar-SA"/>
        </w:rPr>
        <w:t xml:space="preserve">. </w:t>
      </w:r>
    </w:p>
    <w:p w14:paraId="4A673D9B" w14:textId="77777777" w:rsidR="001933A4" w:rsidRPr="00C52547" w:rsidRDefault="001933A4" w:rsidP="001933A4">
      <w:pPr>
        <w:keepNext/>
        <w:keepLines/>
        <w:widowControl/>
        <w:spacing w:before="240"/>
        <w:jc w:val="center"/>
        <w:rPr>
          <w:rFonts w:cs="Arial"/>
          <w:b/>
          <w:color w:val="000000"/>
          <w:sz w:val="20"/>
          <w:szCs w:val="20"/>
          <w:lang w:eastAsia="en-AU" w:bidi="ar-SA"/>
        </w:rPr>
      </w:pPr>
      <w:r w:rsidRPr="00C52547">
        <w:rPr>
          <w:rFonts w:cs="Arial"/>
          <w:b/>
          <w:color w:val="000000"/>
          <w:sz w:val="20"/>
          <w:szCs w:val="20"/>
          <w:lang w:eastAsia="en-AU" w:bidi="ar-SA"/>
        </w:rPr>
        <w:t>Schedule</w:t>
      </w:r>
    </w:p>
    <w:p w14:paraId="75B34BFB" w14:textId="77777777" w:rsidR="001933A4" w:rsidRPr="00C52547" w:rsidRDefault="001933A4" w:rsidP="001933A4">
      <w:pPr>
        <w:tabs>
          <w:tab w:val="left" w:pos="851"/>
        </w:tabs>
        <w:rPr>
          <w:sz w:val="20"/>
          <w:szCs w:val="20"/>
          <w:lang w:eastAsia="en-AU" w:bidi="ar-SA"/>
        </w:rPr>
      </w:pPr>
    </w:p>
    <w:p w14:paraId="7A76D2DE" w14:textId="26E86968" w:rsidR="001933A4" w:rsidRPr="00C52547" w:rsidRDefault="001933A4" w:rsidP="001933A4">
      <w:pPr>
        <w:tabs>
          <w:tab w:val="left" w:pos="851"/>
        </w:tabs>
        <w:rPr>
          <w:sz w:val="20"/>
          <w:szCs w:val="20"/>
          <w:lang w:eastAsia="en-AU" w:bidi="ar-SA"/>
        </w:rPr>
      </w:pPr>
      <w:r w:rsidRPr="00C52547">
        <w:rPr>
          <w:b/>
          <w:sz w:val="20"/>
          <w:szCs w:val="20"/>
          <w:lang w:eastAsia="en-AU" w:bidi="ar-SA"/>
        </w:rPr>
        <w:t>[1]</w:t>
      </w:r>
      <w:r w:rsidRPr="00C52547">
        <w:rPr>
          <w:b/>
          <w:sz w:val="20"/>
          <w:szCs w:val="20"/>
          <w:lang w:eastAsia="en-AU" w:bidi="ar-SA"/>
        </w:rPr>
        <w:tab/>
        <w:t>Standard 1.2.7</w:t>
      </w:r>
      <w:r w:rsidRPr="00C52547">
        <w:rPr>
          <w:sz w:val="20"/>
          <w:szCs w:val="20"/>
          <w:lang w:eastAsia="en-AU" w:bidi="ar-SA"/>
        </w:rPr>
        <w:t xml:space="preserve"> is varied by deleting sub</w:t>
      </w:r>
      <w:r w:rsidR="00A9544D">
        <w:rPr>
          <w:sz w:val="20"/>
          <w:szCs w:val="20"/>
          <w:lang w:eastAsia="en-AU" w:bidi="ar-SA"/>
        </w:rPr>
        <w:t>sections</w:t>
      </w:r>
      <w:r w:rsidRPr="00C52547">
        <w:rPr>
          <w:sz w:val="20"/>
          <w:szCs w:val="20"/>
          <w:lang w:eastAsia="en-AU" w:bidi="ar-SA"/>
        </w:rPr>
        <w:t xml:space="preserve"> 1.2.7—4(1) and (2), substituting </w:t>
      </w:r>
    </w:p>
    <w:p w14:paraId="3B848410" w14:textId="77777777" w:rsidR="001933A4" w:rsidRPr="00D51C0A" w:rsidRDefault="001933A4" w:rsidP="00C52547">
      <w:pPr>
        <w:pStyle w:val="FSCtMain"/>
      </w:pPr>
      <w:r w:rsidRPr="00D51C0A">
        <w:tab/>
      </w:r>
      <w:r w:rsidRPr="00D51C0A">
        <w:tab/>
        <w:t>A *nutrition content claim or *health claim must not be made about:</w:t>
      </w:r>
    </w:p>
    <w:p w14:paraId="65CB2590" w14:textId="77777777" w:rsidR="001933A4" w:rsidRPr="0093355E" w:rsidRDefault="001933A4" w:rsidP="00C52547">
      <w:pPr>
        <w:pStyle w:val="FSCtPara"/>
      </w:pPr>
      <w:r w:rsidRPr="0093355E">
        <w:tab/>
        <w:t>(a)</w:t>
      </w:r>
      <w:r w:rsidRPr="0093355E">
        <w:tab/>
      </w:r>
      <w:proofErr w:type="gramStart"/>
      <w:r w:rsidRPr="0093355E">
        <w:t>kava</w:t>
      </w:r>
      <w:proofErr w:type="gramEnd"/>
      <w:r w:rsidRPr="0093355E">
        <w:t>; or</w:t>
      </w:r>
    </w:p>
    <w:p w14:paraId="3D6CF7A7" w14:textId="77777777" w:rsidR="001933A4" w:rsidRPr="0093355E" w:rsidRDefault="001933A4" w:rsidP="00C52547">
      <w:pPr>
        <w:pStyle w:val="FSCtPara"/>
      </w:pPr>
      <w:r w:rsidRPr="0093355E">
        <w:tab/>
        <w:t>(b)</w:t>
      </w:r>
      <w:r w:rsidRPr="0093355E">
        <w:tab/>
      </w:r>
      <w:proofErr w:type="gramStart"/>
      <w:r w:rsidRPr="0093355E">
        <w:t>an</w:t>
      </w:r>
      <w:proofErr w:type="gramEnd"/>
      <w:r w:rsidRPr="0093355E">
        <w:t xml:space="preserve"> infant formula product; or</w:t>
      </w:r>
    </w:p>
    <w:p w14:paraId="1865A28E" w14:textId="77777777" w:rsidR="001933A4" w:rsidRPr="0093355E" w:rsidRDefault="001933A4" w:rsidP="00C52547">
      <w:pPr>
        <w:pStyle w:val="FSCtPara"/>
      </w:pPr>
      <w:r w:rsidRPr="0093355E">
        <w:tab/>
        <w:t>(c)</w:t>
      </w:r>
      <w:r w:rsidRPr="0093355E">
        <w:tab/>
      </w:r>
      <w:proofErr w:type="gramStart"/>
      <w:r w:rsidRPr="0093355E">
        <w:t>a</w:t>
      </w:r>
      <w:proofErr w:type="gramEnd"/>
      <w:r w:rsidRPr="0093355E">
        <w:t xml:space="preserve"> food that contains more than 1.15% alcohol by volume, other than a *nutrition content claim about:</w:t>
      </w:r>
    </w:p>
    <w:p w14:paraId="0E19CFBF" w14:textId="77777777" w:rsidR="001933A4" w:rsidRPr="00D51C0A" w:rsidRDefault="001933A4" w:rsidP="00C52547">
      <w:pPr>
        <w:pStyle w:val="FSCtSubpara"/>
      </w:pPr>
      <w:r w:rsidRPr="0093355E">
        <w:tab/>
        <w:t>(</w:t>
      </w:r>
      <w:proofErr w:type="spellStart"/>
      <w:r w:rsidRPr="0093355E">
        <w:t>i</w:t>
      </w:r>
      <w:proofErr w:type="spellEnd"/>
      <w:r w:rsidRPr="0093355E">
        <w:t>)</w:t>
      </w:r>
      <w:r w:rsidRPr="0093355E">
        <w:tab/>
      </w:r>
      <w:proofErr w:type="gramStart"/>
      <w:r w:rsidRPr="00D51C0A">
        <w:t>energy</w:t>
      </w:r>
      <w:proofErr w:type="gramEnd"/>
      <w:r w:rsidRPr="00D51C0A">
        <w:t xml:space="preserve"> content or carbohydrate content; or</w:t>
      </w:r>
    </w:p>
    <w:p w14:paraId="78D54D81" w14:textId="5BD14EAC" w:rsidR="001C2FDD" w:rsidRPr="0093355E" w:rsidRDefault="001933A4" w:rsidP="00C52547">
      <w:pPr>
        <w:pStyle w:val="FSCtSubpara"/>
      </w:pPr>
      <w:r w:rsidRPr="00D51C0A">
        <w:tab/>
        <w:t>(ii)</w:t>
      </w:r>
      <w:r w:rsidRPr="00D51C0A">
        <w:tab/>
      </w:r>
      <w:proofErr w:type="gramStart"/>
      <w:r w:rsidRPr="0093355E">
        <w:t>salt</w:t>
      </w:r>
      <w:proofErr w:type="gramEnd"/>
      <w:r w:rsidRPr="0093355E">
        <w:t xml:space="preserve"> or sodium content about a food that is not a beverage.</w:t>
      </w:r>
    </w:p>
    <w:p w14:paraId="2BD24833" w14:textId="77777777" w:rsidR="001933A4" w:rsidRPr="0093355E" w:rsidRDefault="001933A4" w:rsidP="00C52547">
      <w:pPr>
        <w:pStyle w:val="FSCtSubpara"/>
      </w:pPr>
    </w:p>
    <w:p w14:paraId="3D28A684" w14:textId="77777777" w:rsidR="001933A4" w:rsidRPr="0093355E" w:rsidRDefault="001933A4" w:rsidP="001933A4">
      <w:pPr>
        <w:tabs>
          <w:tab w:val="left" w:pos="851"/>
        </w:tabs>
        <w:rPr>
          <w:sz w:val="20"/>
          <w:szCs w:val="20"/>
          <w:lang w:bidi="ar-SA"/>
        </w:rPr>
      </w:pPr>
      <w:r w:rsidRPr="0093355E">
        <w:rPr>
          <w:b/>
          <w:sz w:val="20"/>
          <w:szCs w:val="20"/>
          <w:lang w:bidi="ar-SA"/>
        </w:rPr>
        <w:t>[2]</w:t>
      </w:r>
      <w:r w:rsidRPr="0093355E">
        <w:rPr>
          <w:b/>
          <w:sz w:val="20"/>
          <w:szCs w:val="20"/>
          <w:lang w:bidi="ar-SA"/>
        </w:rPr>
        <w:tab/>
        <w:t xml:space="preserve">Schedule 4 </w:t>
      </w:r>
      <w:r w:rsidRPr="0093355E">
        <w:rPr>
          <w:sz w:val="20"/>
          <w:szCs w:val="20"/>
          <w:lang w:bidi="ar-SA"/>
        </w:rPr>
        <w:t xml:space="preserve">is varied by </w:t>
      </w:r>
    </w:p>
    <w:p w14:paraId="5B88F58F" w14:textId="77777777" w:rsidR="001933A4" w:rsidRPr="0093355E" w:rsidRDefault="001933A4" w:rsidP="001933A4">
      <w:pPr>
        <w:tabs>
          <w:tab w:val="left" w:pos="851"/>
        </w:tabs>
        <w:rPr>
          <w:sz w:val="20"/>
          <w:szCs w:val="20"/>
          <w:lang w:bidi="ar-SA"/>
        </w:rPr>
      </w:pPr>
    </w:p>
    <w:p w14:paraId="30416676" w14:textId="4019E706" w:rsidR="001933A4" w:rsidRPr="0093355E" w:rsidRDefault="001933A4" w:rsidP="001933A4">
      <w:pPr>
        <w:tabs>
          <w:tab w:val="left" w:pos="851"/>
        </w:tabs>
        <w:rPr>
          <w:sz w:val="20"/>
          <w:szCs w:val="20"/>
          <w:lang w:bidi="ar-SA"/>
        </w:rPr>
      </w:pPr>
      <w:r w:rsidRPr="0093355E">
        <w:rPr>
          <w:sz w:val="20"/>
          <w:szCs w:val="20"/>
          <w:lang w:bidi="ar-SA"/>
        </w:rPr>
        <w:t>[2.1]</w:t>
      </w:r>
      <w:r w:rsidRPr="0093355E">
        <w:rPr>
          <w:sz w:val="20"/>
          <w:szCs w:val="20"/>
          <w:lang w:bidi="ar-SA"/>
        </w:rPr>
        <w:tab/>
        <w:t xml:space="preserve">inserting the following at the beginning of </w:t>
      </w:r>
      <w:r w:rsidR="00A9544D">
        <w:rPr>
          <w:sz w:val="20"/>
          <w:szCs w:val="20"/>
          <w:lang w:bidi="ar-SA"/>
        </w:rPr>
        <w:t>section</w:t>
      </w:r>
      <w:r w:rsidR="00A9544D" w:rsidRPr="0093355E">
        <w:rPr>
          <w:sz w:val="20"/>
          <w:szCs w:val="20"/>
          <w:lang w:bidi="ar-SA"/>
        </w:rPr>
        <w:t xml:space="preserve"> </w:t>
      </w:r>
      <w:r w:rsidRPr="0093355E">
        <w:rPr>
          <w:sz w:val="20"/>
          <w:szCs w:val="20"/>
          <w:lang w:bidi="ar-SA"/>
        </w:rPr>
        <w:t xml:space="preserve">S4—2 </w:t>
      </w:r>
    </w:p>
    <w:p w14:paraId="58048BD7" w14:textId="77777777" w:rsidR="001933A4" w:rsidRPr="0093355E" w:rsidRDefault="001933A4" w:rsidP="001933A4">
      <w:pPr>
        <w:tabs>
          <w:tab w:val="left" w:pos="851"/>
        </w:tabs>
        <w:ind w:left="1701" w:hanging="851"/>
        <w:rPr>
          <w:sz w:val="20"/>
          <w:szCs w:val="20"/>
          <w:lang w:bidi="ar-SA"/>
        </w:rPr>
      </w:pPr>
    </w:p>
    <w:p w14:paraId="4175A22E" w14:textId="3B2FC90D" w:rsidR="001933A4" w:rsidRPr="0093355E" w:rsidRDefault="005910DD" w:rsidP="00C45F7C">
      <w:pPr>
        <w:pStyle w:val="FSCtMain"/>
      </w:pPr>
      <w:r>
        <w:tab/>
      </w:r>
      <w:r>
        <w:tab/>
      </w:r>
      <w:r w:rsidR="001933A4" w:rsidRPr="0093355E">
        <w:t>In this Schedule:</w:t>
      </w:r>
    </w:p>
    <w:p w14:paraId="78F727BB" w14:textId="3CC0B91B" w:rsidR="001933A4" w:rsidRPr="0093355E" w:rsidRDefault="001933A4" w:rsidP="00C45F7C">
      <w:pPr>
        <w:pStyle w:val="FSCtDefn"/>
      </w:pPr>
      <w:proofErr w:type="gramStart"/>
      <w:r w:rsidRPr="0093355E">
        <w:rPr>
          <w:b/>
          <w:i/>
        </w:rPr>
        <w:t>maximum</w:t>
      </w:r>
      <w:proofErr w:type="gramEnd"/>
      <w:r w:rsidRPr="0093355E">
        <w:rPr>
          <w:b/>
          <w:i/>
        </w:rPr>
        <w:t xml:space="preserve"> claimable amount</w:t>
      </w:r>
      <w:r w:rsidRPr="0093355E">
        <w:rPr>
          <w:b/>
        </w:rPr>
        <w:t xml:space="preserve"> </w:t>
      </w:r>
      <w:r w:rsidR="0002706E">
        <w:t>means</w:t>
      </w:r>
      <w:r w:rsidR="0002706E" w:rsidRPr="0093355E">
        <w:t xml:space="preserve"> </w:t>
      </w:r>
      <w:r w:rsidRPr="0093355E">
        <w:t xml:space="preserve">the maximum claimable amount as prescribed by 1.3.2—4 or 1.3.2—5. </w:t>
      </w:r>
    </w:p>
    <w:p w14:paraId="1A628124" w14:textId="77777777" w:rsidR="001933A4" w:rsidRDefault="001933A4" w:rsidP="00C45F7C">
      <w:pPr>
        <w:pStyle w:val="FSCtDefn"/>
      </w:pPr>
      <w:proofErr w:type="gramStart"/>
      <w:r w:rsidRPr="0093355E">
        <w:rPr>
          <w:b/>
          <w:i/>
        </w:rPr>
        <w:t>reference</w:t>
      </w:r>
      <w:proofErr w:type="gramEnd"/>
      <w:r w:rsidRPr="0093355E">
        <w:rPr>
          <w:b/>
          <w:i/>
        </w:rPr>
        <w:t xml:space="preserve"> quantity </w:t>
      </w:r>
      <w:r w:rsidRPr="0093355E">
        <w:t>means the reference quantity specified for the food in the Table to S17—4.</w:t>
      </w:r>
    </w:p>
    <w:p w14:paraId="1A550012" w14:textId="77777777" w:rsidR="001C2FDD" w:rsidRPr="0093355E" w:rsidRDefault="001C2FDD" w:rsidP="00C45F7C">
      <w:pPr>
        <w:pStyle w:val="FSCtDefn"/>
      </w:pPr>
    </w:p>
    <w:p w14:paraId="50717367" w14:textId="11AC8C0C" w:rsidR="001933A4" w:rsidRPr="0093355E" w:rsidRDefault="001933A4" w:rsidP="001933A4">
      <w:pPr>
        <w:tabs>
          <w:tab w:val="left" w:pos="851"/>
        </w:tabs>
        <w:rPr>
          <w:sz w:val="20"/>
          <w:szCs w:val="20"/>
          <w:lang w:bidi="ar-SA"/>
        </w:rPr>
      </w:pPr>
      <w:r w:rsidRPr="0093355E">
        <w:rPr>
          <w:sz w:val="20"/>
          <w:szCs w:val="20"/>
          <w:lang w:bidi="ar-SA"/>
        </w:rPr>
        <w:t>[2.2]</w:t>
      </w:r>
      <w:r w:rsidRPr="0093355E">
        <w:rPr>
          <w:sz w:val="20"/>
          <w:szCs w:val="20"/>
          <w:lang w:bidi="ar-SA"/>
        </w:rPr>
        <w:tab/>
        <w:t xml:space="preserve">deleting Column 2 of the entry for Vitamin or mineral (not including potassium or sodium) from the Table to S4—3, and </w:t>
      </w:r>
      <w:r w:rsidR="00D16B75">
        <w:rPr>
          <w:sz w:val="20"/>
          <w:szCs w:val="20"/>
          <w:lang w:bidi="ar-SA"/>
        </w:rPr>
        <w:t>substituting</w:t>
      </w:r>
    </w:p>
    <w:p w14:paraId="2B651B93" w14:textId="77777777" w:rsidR="001933A4" w:rsidRPr="0093355E" w:rsidRDefault="001933A4" w:rsidP="001933A4">
      <w:pPr>
        <w:tabs>
          <w:tab w:val="left" w:pos="851"/>
        </w:tabs>
        <w:rPr>
          <w:sz w:val="20"/>
          <w:szCs w:val="20"/>
          <w:lang w:bidi="ar-SA"/>
        </w:rPr>
      </w:pPr>
    </w:p>
    <w:tbl>
      <w:tblPr>
        <w:tblW w:w="9072" w:type="dxa"/>
        <w:tblBorders>
          <w:top w:val="single" w:sz="6" w:space="0" w:color="auto"/>
          <w:bottom w:val="single" w:sz="6" w:space="0" w:color="auto"/>
          <w:insideH w:val="single" w:sz="6" w:space="0" w:color="auto"/>
        </w:tblBorders>
        <w:tblLayout w:type="fixed"/>
        <w:tblLook w:val="01E0" w:firstRow="1" w:lastRow="1" w:firstColumn="1" w:lastColumn="1" w:noHBand="0" w:noVBand="0"/>
      </w:tblPr>
      <w:tblGrid>
        <w:gridCol w:w="1542"/>
        <w:gridCol w:w="2819"/>
        <w:gridCol w:w="1559"/>
        <w:gridCol w:w="3152"/>
      </w:tblGrid>
      <w:tr w:rsidR="001933A4" w:rsidRPr="0093355E" w14:paraId="257839D5" w14:textId="77777777" w:rsidTr="00ED0372">
        <w:tc>
          <w:tcPr>
            <w:tcW w:w="1542" w:type="dxa"/>
            <w:vMerge w:val="restart"/>
            <w:tcBorders>
              <w:top w:val="nil"/>
              <w:left w:val="nil"/>
              <w:bottom w:val="nil"/>
              <w:right w:val="nil"/>
            </w:tcBorders>
            <w:hideMark/>
          </w:tcPr>
          <w:p w14:paraId="60DF921E" w14:textId="77777777" w:rsidR="001933A4" w:rsidRPr="0093355E" w:rsidRDefault="001933A4" w:rsidP="001933A4">
            <w:pPr>
              <w:keepLines/>
              <w:widowControl/>
              <w:spacing w:before="60" w:after="60"/>
              <w:rPr>
                <w:rFonts w:cs="Arial"/>
                <w:sz w:val="18"/>
                <w:szCs w:val="22"/>
                <w:lang w:eastAsia="en-AU" w:bidi="ar-SA"/>
              </w:rPr>
            </w:pPr>
            <w:r w:rsidRPr="0093355E">
              <w:rPr>
                <w:rFonts w:cs="Arial"/>
                <w:sz w:val="18"/>
                <w:szCs w:val="22"/>
                <w:lang w:eastAsia="en-AU" w:bidi="ar-SA"/>
              </w:rPr>
              <w:br w:type="page"/>
              <w:t xml:space="preserve"> </w:t>
            </w:r>
          </w:p>
        </w:tc>
        <w:tc>
          <w:tcPr>
            <w:tcW w:w="2819" w:type="dxa"/>
            <w:tcBorders>
              <w:top w:val="nil"/>
              <w:left w:val="nil"/>
              <w:bottom w:val="nil"/>
              <w:right w:val="nil"/>
            </w:tcBorders>
            <w:hideMark/>
          </w:tcPr>
          <w:p w14:paraId="7BF5802E" w14:textId="77777777" w:rsidR="001933A4" w:rsidRPr="0093355E" w:rsidRDefault="001933A4" w:rsidP="001933A4">
            <w:pPr>
              <w:keepLines/>
              <w:widowControl/>
              <w:spacing w:before="60" w:after="60"/>
              <w:ind w:left="397" w:hanging="397"/>
              <w:rPr>
                <w:rFonts w:cs="Arial"/>
                <w:sz w:val="18"/>
                <w:szCs w:val="22"/>
                <w:lang w:eastAsia="en-AU" w:bidi="ar-SA"/>
              </w:rPr>
            </w:pPr>
            <w:r w:rsidRPr="0093355E">
              <w:rPr>
                <w:rFonts w:cs="Arial"/>
                <w:sz w:val="18"/>
                <w:szCs w:val="22"/>
                <w:lang w:eastAsia="en-AU" w:bidi="ar-SA"/>
              </w:rPr>
              <w:t>(a)</w:t>
            </w:r>
            <w:r w:rsidRPr="0093355E">
              <w:rPr>
                <w:rFonts w:cs="Arial"/>
                <w:sz w:val="18"/>
                <w:szCs w:val="22"/>
                <w:lang w:eastAsia="en-AU" w:bidi="ar-SA"/>
              </w:rPr>
              <w:tab/>
              <w:t>The vitamin or mineral is mentioned in Column 1 of the table to section S1—2 or S1—3; and</w:t>
            </w:r>
          </w:p>
          <w:p w14:paraId="14436B83" w14:textId="77777777" w:rsidR="001933A4" w:rsidRPr="0093355E" w:rsidRDefault="001933A4" w:rsidP="001933A4">
            <w:pPr>
              <w:keepLines/>
              <w:widowControl/>
              <w:spacing w:before="60" w:after="60"/>
              <w:ind w:left="397" w:hanging="397"/>
              <w:rPr>
                <w:rFonts w:cs="Arial"/>
                <w:sz w:val="18"/>
                <w:szCs w:val="22"/>
                <w:lang w:eastAsia="en-AU" w:bidi="ar-SA"/>
              </w:rPr>
            </w:pPr>
            <w:r w:rsidRPr="0093355E">
              <w:rPr>
                <w:rFonts w:cs="Arial"/>
                <w:sz w:val="18"/>
                <w:szCs w:val="22"/>
                <w:lang w:eastAsia="en-AU" w:bidi="ar-SA"/>
              </w:rPr>
              <w:t>(b)</w:t>
            </w:r>
            <w:r w:rsidRPr="0093355E">
              <w:rPr>
                <w:rFonts w:cs="Arial"/>
                <w:sz w:val="18"/>
                <w:szCs w:val="22"/>
                <w:lang w:eastAsia="en-AU" w:bidi="ar-SA"/>
              </w:rPr>
              <w:tab/>
              <w:t>a serving of the food contains at least 10% *RDI or *ESADDI for that vitamin or mineral; and</w:t>
            </w:r>
          </w:p>
          <w:p w14:paraId="79802B5F" w14:textId="77777777" w:rsidR="001933A4" w:rsidRPr="0093355E" w:rsidRDefault="001933A4" w:rsidP="001933A4">
            <w:pPr>
              <w:keepLines/>
              <w:widowControl/>
              <w:spacing w:before="60" w:after="60"/>
              <w:ind w:left="397" w:hanging="397"/>
              <w:rPr>
                <w:rFonts w:cs="Arial"/>
                <w:sz w:val="18"/>
                <w:szCs w:val="22"/>
                <w:lang w:eastAsia="en-AU" w:bidi="ar-SA"/>
              </w:rPr>
            </w:pPr>
            <w:r w:rsidRPr="0093355E">
              <w:rPr>
                <w:rFonts w:cs="Arial"/>
                <w:sz w:val="18"/>
                <w:szCs w:val="22"/>
                <w:lang w:eastAsia="en-AU" w:bidi="ar-SA"/>
              </w:rPr>
              <w:t>(c)</w:t>
            </w:r>
            <w:r w:rsidRPr="0093355E">
              <w:rPr>
                <w:rFonts w:cs="Arial"/>
                <w:sz w:val="18"/>
                <w:szCs w:val="22"/>
                <w:lang w:eastAsia="en-AU" w:bidi="ar-SA"/>
              </w:rPr>
              <w:tab/>
              <w:t>a claim is not for more of the particular vitamin or mineral than the amount permitted by section 1.3.2—4 or 1.3.2—5; and</w:t>
            </w:r>
          </w:p>
          <w:p w14:paraId="450CD0D9" w14:textId="77777777" w:rsidR="001933A4" w:rsidRPr="0093355E" w:rsidRDefault="001933A4" w:rsidP="001933A4">
            <w:pPr>
              <w:keepLines/>
              <w:widowControl/>
              <w:spacing w:before="60" w:after="60"/>
              <w:ind w:left="397" w:hanging="397"/>
              <w:rPr>
                <w:rFonts w:cs="Arial"/>
                <w:sz w:val="18"/>
                <w:szCs w:val="22"/>
                <w:lang w:eastAsia="en-AU" w:bidi="ar-SA"/>
              </w:rPr>
            </w:pPr>
            <w:r w:rsidRPr="0093355E">
              <w:rPr>
                <w:rFonts w:cs="Arial"/>
                <w:sz w:val="18"/>
                <w:szCs w:val="22"/>
                <w:lang w:eastAsia="en-AU" w:bidi="ar-SA"/>
              </w:rPr>
              <w:t>(d)</w:t>
            </w:r>
            <w:r w:rsidRPr="0093355E">
              <w:rPr>
                <w:rFonts w:cs="Arial"/>
                <w:sz w:val="18"/>
                <w:szCs w:val="22"/>
                <w:lang w:eastAsia="en-AU" w:bidi="ar-SA"/>
              </w:rPr>
              <w:tab/>
              <w:t>the food is not any of the following:</w:t>
            </w:r>
          </w:p>
          <w:p w14:paraId="17B4FFE8" w14:textId="77777777" w:rsidR="001933A4" w:rsidRPr="00C45F7C" w:rsidRDefault="001933A4" w:rsidP="001933A4">
            <w:pPr>
              <w:keepLines/>
              <w:widowControl/>
              <w:spacing w:before="60" w:after="60"/>
              <w:ind w:left="794" w:hanging="397"/>
              <w:rPr>
                <w:rFonts w:cs="Arial"/>
                <w:sz w:val="18"/>
                <w:szCs w:val="22"/>
                <w:lang w:eastAsia="en-AU" w:bidi="ar-SA"/>
              </w:rPr>
            </w:pPr>
            <w:r w:rsidRPr="00C45F7C">
              <w:rPr>
                <w:rFonts w:cs="Arial"/>
                <w:sz w:val="18"/>
                <w:szCs w:val="22"/>
                <w:lang w:eastAsia="en-AU" w:bidi="ar-SA"/>
              </w:rPr>
              <w:t>(</w:t>
            </w:r>
            <w:proofErr w:type="spellStart"/>
            <w:r w:rsidRPr="00C45F7C">
              <w:rPr>
                <w:rFonts w:cs="Arial"/>
                <w:sz w:val="18"/>
                <w:szCs w:val="22"/>
                <w:lang w:eastAsia="en-AU" w:bidi="ar-SA"/>
              </w:rPr>
              <w:t>i</w:t>
            </w:r>
            <w:proofErr w:type="spellEnd"/>
            <w:r w:rsidRPr="00C45F7C">
              <w:rPr>
                <w:rFonts w:cs="Arial"/>
                <w:sz w:val="18"/>
                <w:szCs w:val="22"/>
                <w:lang w:eastAsia="en-AU" w:bidi="ar-SA"/>
              </w:rPr>
              <w:t>)</w:t>
            </w:r>
            <w:r w:rsidRPr="00C45F7C">
              <w:rPr>
                <w:rFonts w:cs="Arial"/>
                <w:sz w:val="18"/>
                <w:szCs w:val="22"/>
                <w:lang w:eastAsia="en-AU" w:bidi="ar-SA"/>
              </w:rPr>
              <w:tab/>
              <w:t>a formulated caffeinated beverage;</w:t>
            </w:r>
          </w:p>
          <w:p w14:paraId="15CA306A" w14:textId="77777777" w:rsidR="001933A4" w:rsidRPr="00C45F7C" w:rsidRDefault="001933A4" w:rsidP="001933A4">
            <w:pPr>
              <w:keepLines/>
              <w:widowControl/>
              <w:spacing w:before="60" w:after="60"/>
              <w:ind w:left="794" w:hanging="397"/>
              <w:rPr>
                <w:rFonts w:cs="Arial"/>
                <w:sz w:val="18"/>
                <w:szCs w:val="22"/>
                <w:lang w:eastAsia="en-AU" w:bidi="ar-SA"/>
              </w:rPr>
            </w:pPr>
            <w:r w:rsidRPr="00C45F7C">
              <w:rPr>
                <w:rFonts w:cs="Arial"/>
                <w:sz w:val="18"/>
                <w:szCs w:val="22"/>
                <w:lang w:eastAsia="en-AU" w:bidi="ar-SA"/>
              </w:rPr>
              <w:lastRenderedPageBreak/>
              <w:t>(ii)</w:t>
            </w:r>
            <w:r w:rsidRPr="00C45F7C">
              <w:rPr>
                <w:rFonts w:cs="Arial"/>
                <w:sz w:val="18"/>
                <w:szCs w:val="22"/>
                <w:lang w:eastAsia="en-AU" w:bidi="ar-SA"/>
              </w:rPr>
              <w:tab/>
              <w:t>food for infants;</w:t>
            </w:r>
          </w:p>
          <w:p w14:paraId="08B010C7" w14:textId="77777777" w:rsidR="001933A4" w:rsidRPr="00C45F7C" w:rsidRDefault="001933A4" w:rsidP="001933A4">
            <w:pPr>
              <w:keepLines/>
              <w:widowControl/>
              <w:spacing w:before="60" w:after="60"/>
              <w:ind w:left="794" w:hanging="397"/>
              <w:rPr>
                <w:rFonts w:cs="Arial"/>
                <w:sz w:val="18"/>
                <w:szCs w:val="22"/>
                <w:lang w:eastAsia="en-AU" w:bidi="ar-SA"/>
              </w:rPr>
            </w:pPr>
            <w:r w:rsidRPr="00C45F7C">
              <w:rPr>
                <w:rFonts w:cs="Arial"/>
                <w:sz w:val="18"/>
                <w:szCs w:val="22"/>
                <w:lang w:eastAsia="en-AU" w:bidi="ar-SA"/>
              </w:rPr>
              <w:t>(iii)</w:t>
            </w:r>
            <w:r w:rsidRPr="00C45F7C">
              <w:rPr>
                <w:rFonts w:cs="Arial"/>
                <w:sz w:val="18"/>
                <w:szCs w:val="22"/>
                <w:lang w:eastAsia="en-AU" w:bidi="ar-SA"/>
              </w:rPr>
              <w:tab/>
              <w:t>a formulated meal replacement;</w:t>
            </w:r>
          </w:p>
          <w:p w14:paraId="65805398" w14:textId="77777777" w:rsidR="001933A4" w:rsidRPr="00C45F7C" w:rsidRDefault="001933A4" w:rsidP="001933A4">
            <w:pPr>
              <w:keepLines/>
              <w:widowControl/>
              <w:spacing w:before="60" w:after="60"/>
              <w:ind w:left="794" w:hanging="397"/>
              <w:rPr>
                <w:rFonts w:cs="Arial"/>
                <w:sz w:val="18"/>
                <w:szCs w:val="22"/>
                <w:lang w:eastAsia="en-AU" w:bidi="ar-SA"/>
              </w:rPr>
            </w:pPr>
            <w:r w:rsidRPr="00C45F7C">
              <w:rPr>
                <w:rFonts w:cs="Arial"/>
                <w:sz w:val="18"/>
                <w:szCs w:val="22"/>
                <w:lang w:eastAsia="en-AU" w:bidi="ar-SA"/>
              </w:rPr>
              <w:t>(iv)</w:t>
            </w:r>
            <w:r w:rsidRPr="00C45F7C">
              <w:rPr>
                <w:rFonts w:cs="Arial"/>
                <w:sz w:val="18"/>
                <w:szCs w:val="22"/>
                <w:lang w:eastAsia="en-AU" w:bidi="ar-SA"/>
              </w:rPr>
              <w:tab/>
              <w:t>a formulated supplementary food;</w:t>
            </w:r>
          </w:p>
          <w:p w14:paraId="0713DBFE" w14:textId="77777777" w:rsidR="001933A4" w:rsidRPr="00C45F7C" w:rsidRDefault="001933A4" w:rsidP="001933A4">
            <w:pPr>
              <w:keepLines/>
              <w:widowControl/>
              <w:spacing w:before="60" w:after="60"/>
              <w:ind w:left="794" w:hanging="397"/>
              <w:rPr>
                <w:rFonts w:cs="Arial"/>
                <w:sz w:val="18"/>
                <w:szCs w:val="22"/>
                <w:lang w:eastAsia="en-AU" w:bidi="ar-SA"/>
              </w:rPr>
            </w:pPr>
            <w:r w:rsidRPr="00C45F7C">
              <w:rPr>
                <w:rFonts w:cs="Arial"/>
                <w:sz w:val="18"/>
                <w:szCs w:val="22"/>
                <w:lang w:eastAsia="en-AU" w:bidi="ar-SA"/>
              </w:rPr>
              <w:t xml:space="preserve">(v) </w:t>
            </w:r>
            <w:r w:rsidRPr="00C45F7C">
              <w:rPr>
                <w:rFonts w:cs="Arial"/>
                <w:sz w:val="18"/>
                <w:szCs w:val="22"/>
                <w:lang w:eastAsia="en-AU" w:bidi="ar-SA"/>
              </w:rPr>
              <w:tab/>
            </w:r>
            <w:proofErr w:type="gramStart"/>
            <w:r w:rsidRPr="00C45F7C">
              <w:rPr>
                <w:rFonts w:cs="Arial"/>
                <w:sz w:val="18"/>
                <w:szCs w:val="22"/>
                <w:lang w:eastAsia="en-AU" w:bidi="ar-SA"/>
              </w:rPr>
              <w:t>a</w:t>
            </w:r>
            <w:proofErr w:type="gramEnd"/>
            <w:r w:rsidRPr="00C45F7C">
              <w:rPr>
                <w:rFonts w:cs="Arial"/>
                <w:sz w:val="18"/>
                <w:szCs w:val="22"/>
                <w:lang w:eastAsia="en-AU" w:bidi="ar-SA"/>
              </w:rPr>
              <w:t xml:space="preserve"> formulated supplementary sports food.</w:t>
            </w:r>
          </w:p>
          <w:p w14:paraId="1FEB56B9" w14:textId="77777777" w:rsidR="001933A4" w:rsidRPr="0093355E" w:rsidRDefault="001933A4" w:rsidP="001933A4">
            <w:pPr>
              <w:keepLines/>
              <w:widowControl/>
              <w:spacing w:before="60" w:after="60"/>
              <w:ind w:left="397" w:hanging="397"/>
              <w:rPr>
                <w:rFonts w:cs="Arial"/>
                <w:sz w:val="18"/>
                <w:szCs w:val="22"/>
                <w:lang w:eastAsia="en-AU" w:bidi="ar-SA"/>
              </w:rPr>
            </w:pPr>
          </w:p>
          <w:p w14:paraId="226ABA92" w14:textId="77777777" w:rsidR="001933A4" w:rsidRPr="0093355E" w:rsidRDefault="001933A4" w:rsidP="001933A4">
            <w:pPr>
              <w:keepLines/>
              <w:widowControl/>
              <w:spacing w:before="60" w:after="60"/>
              <w:ind w:left="397" w:hanging="397"/>
              <w:rPr>
                <w:rFonts w:cs="Arial"/>
                <w:sz w:val="18"/>
                <w:szCs w:val="22"/>
                <w:lang w:eastAsia="en-AU" w:bidi="ar-SA"/>
              </w:rPr>
            </w:pPr>
            <w:r w:rsidRPr="0093355E">
              <w:rPr>
                <w:rFonts w:cs="Arial"/>
                <w:sz w:val="18"/>
                <w:szCs w:val="22"/>
                <w:lang w:eastAsia="en-AU" w:bidi="ar-SA"/>
              </w:rPr>
              <w:t>Paragraph (b) does not apply where:</w:t>
            </w:r>
          </w:p>
          <w:p w14:paraId="738431D3" w14:textId="77777777" w:rsidR="001933A4" w:rsidRPr="00C45F7C" w:rsidRDefault="001933A4" w:rsidP="001933A4">
            <w:pPr>
              <w:keepLines/>
              <w:widowControl/>
              <w:spacing w:before="60" w:after="60"/>
              <w:ind w:left="794" w:hanging="397"/>
              <w:rPr>
                <w:rFonts w:cs="Arial"/>
                <w:sz w:val="18"/>
                <w:szCs w:val="22"/>
                <w:lang w:eastAsia="en-AU" w:bidi="ar-SA"/>
              </w:rPr>
            </w:pPr>
            <w:r w:rsidRPr="00C45F7C">
              <w:rPr>
                <w:rFonts w:cs="Arial"/>
                <w:sz w:val="18"/>
                <w:szCs w:val="22"/>
                <w:lang w:eastAsia="en-AU" w:bidi="ar-SA"/>
              </w:rPr>
              <w:t>(</w:t>
            </w:r>
            <w:proofErr w:type="spellStart"/>
            <w:r w:rsidRPr="00C45F7C">
              <w:rPr>
                <w:rFonts w:cs="Arial"/>
                <w:sz w:val="18"/>
                <w:szCs w:val="22"/>
                <w:lang w:eastAsia="en-AU" w:bidi="ar-SA"/>
              </w:rPr>
              <w:t>i</w:t>
            </w:r>
            <w:proofErr w:type="spellEnd"/>
            <w:r w:rsidRPr="00C45F7C">
              <w:rPr>
                <w:rFonts w:cs="Arial"/>
                <w:sz w:val="18"/>
                <w:szCs w:val="22"/>
                <w:lang w:eastAsia="en-AU" w:bidi="ar-SA"/>
              </w:rPr>
              <w:t>)</w:t>
            </w:r>
            <w:r w:rsidRPr="00C45F7C">
              <w:rPr>
                <w:rFonts w:cs="Arial"/>
                <w:sz w:val="18"/>
                <w:szCs w:val="22"/>
                <w:lang w:eastAsia="en-AU" w:bidi="ar-SA"/>
              </w:rPr>
              <w:tab/>
              <w:t>a maximum claimable amount applies in relation to the mineral or vitamin; and</w:t>
            </w:r>
          </w:p>
          <w:p w14:paraId="31787419" w14:textId="77777777" w:rsidR="001933A4" w:rsidRPr="00C45F7C" w:rsidRDefault="001933A4" w:rsidP="001933A4">
            <w:pPr>
              <w:keepLines/>
              <w:widowControl/>
              <w:spacing w:before="60" w:after="60"/>
              <w:ind w:left="794" w:hanging="397"/>
              <w:rPr>
                <w:rFonts w:cs="Arial"/>
                <w:sz w:val="18"/>
                <w:szCs w:val="22"/>
                <w:lang w:eastAsia="en-AU" w:bidi="ar-SA"/>
              </w:rPr>
            </w:pPr>
            <w:r w:rsidRPr="00C45F7C">
              <w:rPr>
                <w:rFonts w:cs="Arial"/>
                <w:sz w:val="18"/>
                <w:szCs w:val="22"/>
                <w:lang w:eastAsia="en-AU" w:bidi="ar-SA"/>
              </w:rPr>
              <w:t>(ii)</w:t>
            </w:r>
            <w:r w:rsidRPr="00C45F7C">
              <w:rPr>
                <w:rFonts w:cs="Arial"/>
                <w:sz w:val="18"/>
                <w:szCs w:val="22"/>
                <w:lang w:eastAsia="en-AU" w:bidi="ar-SA"/>
              </w:rPr>
              <w:tab/>
              <w:t>the serving size is less than the reference quantity; and</w:t>
            </w:r>
          </w:p>
          <w:p w14:paraId="750AB414" w14:textId="77777777" w:rsidR="001933A4" w:rsidRPr="00C45F7C" w:rsidRDefault="001933A4" w:rsidP="001933A4">
            <w:pPr>
              <w:keepLines/>
              <w:widowControl/>
              <w:spacing w:before="60" w:after="60"/>
              <w:ind w:left="794" w:hanging="397"/>
              <w:rPr>
                <w:rFonts w:cs="Arial"/>
                <w:sz w:val="18"/>
                <w:szCs w:val="22"/>
                <w:lang w:eastAsia="en-AU" w:bidi="ar-SA"/>
              </w:rPr>
            </w:pPr>
            <w:r w:rsidRPr="00C45F7C">
              <w:rPr>
                <w:rFonts w:cs="Arial"/>
                <w:sz w:val="18"/>
                <w:szCs w:val="22"/>
                <w:lang w:eastAsia="en-AU" w:bidi="ar-SA"/>
              </w:rPr>
              <w:t>(iii)</w:t>
            </w:r>
            <w:r w:rsidRPr="00C45F7C">
              <w:rPr>
                <w:rFonts w:cs="Arial"/>
                <w:sz w:val="18"/>
                <w:szCs w:val="22"/>
                <w:lang w:eastAsia="en-AU" w:bidi="ar-SA"/>
              </w:rPr>
              <w:tab/>
              <w:t>the reference quantity contains at least 10% *RDI or *ESADDI for the vitamin or mineral; and</w:t>
            </w:r>
          </w:p>
          <w:p w14:paraId="36AB4AAB" w14:textId="77777777" w:rsidR="001933A4" w:rsidRPr="00C45F7C" w:rsidRDefault="001933A4" w:rsidP="001933A4">
            <w:pPr>
              <w:keepLines/>
              <w:widowControl/>
              <w:spacing w:before="60" w:after="60"/>
              <w:ind w:left="794" w:hanging="397"/>
              <w:rPr>
                <w:rFonts w:cs="Arial"/>
                <w:sz w:val="18"/>
                <w:szCs w:val="22"/>
                <w:lang w:eastAsia="en-AU" w:bidi="ar-SA"/>
              </w:rPr>
            </w:pPr>
            <w:r w:rsidRPr="00C45F7C">
              <w:rPr>
                <w:rFonts w:cs="Arial"/>
                <w:sz w:val="18"/>
                <w:szCs w:val="22"/>
                <w:lang w:eastAsia="en-AU" w:bidi="ar-SA"/>
              </w:rPr>
              <w:t>(iv)</w:t>
            </w:r>
            <w:r w:rsidRPr="00C45F7C">
              <w:rPr>
                <w:rFonts w:cs="Arial"/>
                <w:sz w:val="18"/>
                <w:szCs w:val="22"/>
                <w:lang w:eastAsia="en-AU" w:bidi="ar-SA"/>
              </w:rPr>
              <w:tab/>
            </w:r>
            <w:proofErr w:type="gramStart"/>
            <w:r w:rsidRPr="00C45F7C">
              <w:rPr>
                <w:rFonts w:cs="Arial"/>
                <w:sz w:val="18"/>
                <w:szCs w:val="22"/>
                <w:lang w:eastAsia="en-AU" w:bidi="ar-SA"/>
              </w:rPr>
              <w:t>the</w:t>
            </w:r>
            <w:proofErr w:type="gramEnd"/>
            <w:r w:rsidRPr="00C45F7C">
              <w:rPr>
                <w:rFonts w:cs="Arial"/>
                <w:sz w:val="18"/>
                <w:szCs w:val="22"/>
                <w:lang w:eastAsia="en-AU" w:bidi="ar-SA"/>
              </w:rPr>
              <w:t xml:space="preserve"> maximum claimable amount is less than 10% *RDI or *ESADDI per serving.</w:t>
            </w:r>
          </w:p>
        </w:tc>
        <w:tc>
          <w:tcPr>
            <w:tcW w:w="1559" w:type="dxa"/>
            <w:tcBorders>
              <w:top w:val="nil"/>
              <w:left w:val="nil"/>
              <w:bottom w:val="nil"/>
              <w:right w:val="nil"/>
            </w:tcBorders>
            <w:hideMark/>
          </w:tcPr>
          <w:p w14:paraId="645C4F12" w14:textId="77777777" w:rsidR="001933A4" w:rsidRPr="0093355E" w:rsidRDefault="001933A4" w:rsidP="001933A4">
            <w:pPr>
              <w:keepLines/>
              <w:widowControl/>
              <w:spacing w:before="60" w:after="60"/>
              <w:rPr>
                <w:rFonts w:cs="Arial"/>
                <w:sz w:val="18"/>
                <w:szCs w:val="22"/>
                <w:lang w:eastAsia="en-AU" w:bidi="ar-SA"/>
              </w:rPr>
            </w:pPr>
          </w:p>
        </w:tc>
        <w:tc>
          <w:tcPr>
            <w:tcW w:w="3152" w:type="dxa"/>
            <w:tcBorders>
              <w:top w:val="nil"/>
              <w:left w:val="nil"/>
              <w:bottom w:val="nil"/>
              <w:right w:val="nil"/>
            </w:tcBorders>
            <w:hideMark/>
          </w:tcPr>
          <w:p w14:paraId="44525448" w14:textId="77777777" w:rsidR="001933A4" w:rsidRPr="0093355E" w:rsidRDefault="001933A4" w:rsidP="001933A4">
            <w:pPr>
              <w:keepLines/>
              <w:widowControl/>
              <w:spacing w:before="60" w:after="60"/>
              <w:rPr>
                <w:rFonts w:cs="Arial"/>
                <w:sz w:val="18"/>
                <w:szCs w:val="22"/>
                <w:lang w:eastAsia="en-AU" w:bidi="ar-SA"/>
              </w:rPr>
            </w:pPr>
          </w:p>
        </w:tc>
      </w:tr>
      <w:tr w:rsidR="001933A4" w:rsidRPr="0093355E" w14:paraId="085C73E4" w14:textId="77777777" w:rsidTr="00ED0372">
        <w:tc>
          <w:tcPr>
            <w:tcW w:w="1542" w:type="dxa"/>
            <w:vMerge/>
            <w:tcBorders>
              <w:top w:val="nil"/>
              <w:left w:val="nil"/>
              <w:bottom w:val="nil"/>
              <w:right w:val="nil"/>
            </w:tcBorders>
            <w:vAlign w:val="center"/>
            <w:hideMark/>
          </w:tcPr>
          <w:p w14:paraId="104F5488" w14:textId="77777777" w:rsidR="001933A4" w:rsidRPr="0093355E" w:rsidRDefault="001933A4" w:rsidP="001933A4">
            <w:pPr>
              <w:tabs>
                <w:tab w:val="left" w:pos="851"/>
              </w:tabs>
              <w:rPr>
                <w:rFonts w:cs="Arial"/>
                <w:iCs/>
                <w:szCs w:val="22"/>
                <w:lang w:bidi="ar-SA"/>
              </w:rPr>
            </w:pPr>
          </w:p>
        </w:tc>
        <w:tc>
          <w:tcPr>
            <w:tcW w:w="2819" w:type="dxa"/>
            <w:tcBorders>
              <w:top w:val="nil"/>
              <w:left w:val="nil"/>
              <w:bottom w:val="nil"/>
              <w:right w:val="nil"/>
            </w:tcBorders>
            <w:hideMark/>
          </w:tcPr>
          <w:p w14:paraId="4E6AA911" w14:textId="77777777" w:rsidR="001933A4" w:rsidRPr="0093355E" w:rsidRDefault="001933A4" w:rsidP="001933A4">
            <w:pPr>
              <w:keepLines/>
              <w:widowControl/>
              <w:spacing w:before="60" w:after="60"/>
              <w:rPr>
                <w:rFonts w:cs="Arial"/>
                <w:sz w:val="18"/>
                <w:szCs w:val="22"/>
                <w:lang w:eastAsia="en-AU" w:bidi="ar-SA"/>
              </w:rPr>
            </w:pPr>
            <w:r w:rsidRPr="0093355E">
              <w:rPr>
                <w:rFonts w:cs="Arial"/>
                <w:sz w:val="18"/>
                <w:szCs w:val="22"/>
                <w:lang w:eastAsia="en-AU" w:bidi="ar-SA"/>
              </w:rPr>
              <w:t>For food for infants, the food satisfies the condition for making a claim under subsection 2.9.2—10(2).</w:t>
            </w:r>
          </w:p>
        </w:tc>
        <w:tc>
          <w:tcPr>
            <w:tcW w:w="1559" w:type="dxa"/>
            <w:tcBorders>
              <w:top w:val="nil"/>
              <w:left w:val="nil"/>
              <w:bottom w:val="nil"/>
              <w:right w:val="nil"/>
            </w:tcBorders>
          </w:tcPr>
          <w:p w14:paraId="6CE4CBD6" w14:textId="77777777" w:rsidR="001933A4" w:rsidRPr="0093355E" w:rsidRDefault="001933A4" w:rsidP="001933A4">
            <w:pPr>
              <w:keepLines/>
              <w:widowControl/>
              <w:spacing w:before="60" w:after="60"/>
              <w:rPr>
                <w:rFonts w:cs="Arial"/>
                <w:sz w:val="18"/>
                <w:szCs w:val="22"/>
                <w:lang w:eastAsia="en-AU" w:bidi="ar-SA"/>
              </w:rPr>
            </w:pPr>
          </w:p>
        </w:tc>
        <w:tc>
          <w:tcPr>
            <w:tcW w:w="3152" w:type="dxa"/>
            <w:tcBorders>
              <w:top w:val="nil"/>
              <w:left w:val="nil"/>
              <w:bottom w:val="nil"/>
              <w:right w:val="nil"/>
            </w:tcBorders>
          </w:tcPr>
          <w:p w14:paraId="206CC8B4" w14:textId="77777777" w:rsidR="001933A4" w:rsidRPr="0093355E" w:rsidRDefault="001933A4" w:rsidP="001933A4">
            <w:pPr>
              <w:keepLines/>
              <w:widowControl/>
              <w:spacing w:before="60" w:after="60"/>
              <w:rPr>
                <w:rFonts w:cs="Arial"/>
                <w:sz w:val="18"/>
                <w:szCs w:val="22"/>
                <w:lang w:eastAsia="en-AU" w:bidi="ar-SA"/>
              </w:rPr>
            </w:pPr>
          </w:p>
        </w:tc>
      </w:tr>
      <w:tr w:rsidR="001933A4" w:rsidRPr="0093355E" w14:paraId="0B6DC1CC" w14:textId="77777777" w:rsidTr="00ED0372">
        <w:tc>
          <w:tcPr>
            <w:tcW w:w="1542" w:type="dxa"/>
            <w:vMerge/>
            <w:tcBorders>
              <w:top w:val="nil"/>
              <w:left w:val="nil"/>
              <w:bottom w:val="nil"/>
              <w:right w:val="nil"/>
            </w:tcBorders>
            <w:vAlign w:val="center"/>
          </w:tcPr>
          <w:p w14:paraId="5DD6A4C7" w14:textId="77777777" w:rsidR="001933A4" w:rsidRPr="0093355E" w:rsidRDefault="001933A4" w:rsidP="001933A4">
            <w:pPr>
              <w:tabs>
                <w:tab w:val="left" w:pos="851"/>
              </w:tabs>
              <w:rPr>
                <w:rFonts w:cs="Arial"/>
                <w:iCs/>
                <w:szCs w:val="22"/>
                <w:lang w:bidi="ar-SA"/>
              </w:rPr>
            </w:pPr>
          </w:p>
        </w:tc>
        <w:tc>
          <w:tcPr>
            <w:tcW w:w="2819" w:type="dxa"/>
            <w:tcBorders>
              <w:top w:val="nil"/>
              <w:left w:val="nil"/>
              <w:bottom w:val="nil"/>
              <w:right w:val="nil"/>
            </w:tcBorders>
          </w:tcPr>
          <w:p w14:paraId="0E7C53EB" w14:textId="77777777" w:rsidR="001933A4" w:rsidRPr="0093355E" w:rsidRDefault="001933A4" w:rsidP="001933A4">
            <w:pPr>
              <w:keepLines/>
              <w:widowControl/>
              <w:spacing w:before="60" w:after="60"/>
              <w:rPr>
                <w:rFonts w:cs="Arial"/>
                <w:sz w:val="18"/>
                <w:szCs w:val="22"/>
                <w:lang w:eastAsia="en-AU" w:bidi="ar-SA"/>
              </w:rPr>
            </w:pPr>
            <w:r w:rsidRPr="0093355E">
              <w:rPr>
                <w:rFonts w:cs="Arial"/>
                <w:sz w:val="18"/>
                <w:szCs w:val="22"/>
                <w:lang w:eastAsia="en-AU" w:bidi="ar-SA"/>
              </w:rPr>
              <w:t>For a formulated meal replacement, the food meets the condition for making a claim under subsection 2.9.3—4(2).</w:t>
            </w:r>
          </w:p>
        </w:tc>
        <w:tc>
          <w:tcPr>
            <w:tcW w:w="1559" w:type="dxa"/>
            <w:tcBorders>
              <w:top w:val="nil"/>
              <w:left w:val="nil"/>
              <w:bottom w:val="nil"/>
              <w:right w:val="nil"/>
            </w:tcBorders>
          </w:tcPr>
          <w:p w14:paraId="52AC07E1" w14:textId="77777777" w:rsidR="001933A4" w:rsidRPr="0093355E" w:rsidRDefault="001933A4" w:rsidP="001933A4">
            <w:pPr>
              <w:keepLines/>
              <w:widowControl/>
              <w:spacing w:before="60" w:after="60"/>
              <w:rPr>
                <w:rFonts w:cs="Arial"/>
                <w:sz w:val="18"/>
                <w:szCs w:val="22"/>
                <w:lang w:eastAsia="en-AU" w:bidi="ar-SA"/>
              </w:rPr>
            </w:pPr>
          </w:p>
        </w:tc>
        <w:tc>
          <w:tcPr>
            <w:tcW w:w="3152" w:type="dxa"/>
            <w:tcBorders>
              <w:top w:val="nil"/>
              <w:left w:val="nil"/>
              <w:bottom w:val="nil"/>
              <w:right w:val="nil"/>
            </w:tcBorders>
          </w:tcPr>
          <w:p w14:paraId="2CB734B5" w14:textId="77777777" w:rsidR="001933A4" w:rsidRPr="0093355E" w:rsidRDefault="001933A4" w:rsidP="001933A4">
            <w:pPr>
              <w:keepLines/>
              <w:widowControl/>
              <w:spacing w:before="60" w:after="60"/>
              <w:rPr>
                <w:rFonts w:cs="Arial"/>
                <w:sz w:val="18"/>
                <w:szCs w:val="22"/>
                <w:lang w:eastAsia="en-AU" w:bidi="ar-SA"/>
              </w:rPr>
            </w:pPr>
          </w:p>
        </w:tc>
      </w:tr>
      <w:tr w:rsidR="001933A4" w:rsidRPr="0093355E" w14:paraId="69EAC46E" w14:textId="77777777" w:rsidTr="00ED0372">
        <w:tc>
          <w:tcPr>
            <w:tcW w:w="1542" w:type="dxa"/>
            <w:vMerge/>
            <w:tcBorders>
              <w:top w:val="nil"/>
              <w:left w:val="nil"/>
              <w:bottom w:val="nil"/>
              <w:right w:val="nil"/>
            </w:tcBorders>
            <w:vAlign w:val="center"/>
          </w:tcPr>
          <w:p w14:paraId="0CB071E0" w14:textId="77777777" w:rsidR="001933A4" w:rsidRPr="0093355E" w:rsidRDefault="001933A4" w:rsidP="001933A4">
            <w:pPr>
              <w:tabs>
                <w:tab w:val="left" w:pos="851"/>
              </w:tabs>
              <w:rPr>
                <w:rFonts w:cs="Arial"/>
                <w:iCs/>
                <w:szCs w:val="22"/>
                <w:lang w:bidi="ar-SA"/>
              </w:rPr>
            </w:pPr>
          </w:p>
        </w:tc>
        <w:tc>
          <w:tcPr>
            <w:tcW w:w="2819" w:type="dxa"/>
            <w:tcBorders>
              <w:top w:val="nil"/>
              <w:left w:val="nil"/>
              <w:bottom w:val="nil"/>
              <w:right w:val="nil"/>
            </w:tcBorders>
          </w:tcPr>
          <w:p w14:paraId="680D4BC8" w14:textId="77777777" w:rsidR="001933A4" w:rsidRPr="0093355E" w:rsidRDefault="001933A4" w:rsidP="001933A4">
            <w:pPr>
              <w:keepLines/>
              <w:widowControl/>
              <w:spacing w:before="60" w:after="60"/>
              <w:rPr>
                <w:rFonts w:cs="Arial"/>
                <w:sz w:val="18"/>
                <w:szCs w:val="22"/>
                <w:lang w:eastAsia="en-AU" w:bidi="ar-SA"/>
              </w:rPr>
            </w:pPr>
            <w:r w:rsidRPr="0093355E">
              <w:rPr>
                <w:rFonts w:cs="Arial"/>
                <w:sz w:val="18"/>
                <w:szCs w:val="22"/>
                <w:lang w:eastAsia="en-AU" w:bidi="ar-SA"/>
              </w:rPr>
              <w:t>For a formulated supplementary food, the food meets the conditions for making a claim under subsection 2.9.3—6(2).</w:t>
            </w:r>
          </w:p>
        </w:tc>
        <w:tc>
          <w:tcPr>
            <w:tcW w:w="1559" w:type="dxa"/>
            <w:tcBorders>
              <w:top w:val="nil"/>
              <w:left w:val="nil"/>
              <w:bottom w:val="nil"/>
              <w:right w:val="nil"/>
            </w:tcBorders>
          </w:tcPr>
          <w:p w14:paraId="61211457" w14:textId="77777777" w:rsidR="001933A4" w:rsidRPr="0093355E" w:rsidRDefault="001933A4" w:rsidP="001933A4">
            <w:pPr>
              <w:keepLines/>
              <w:widowControl/>
              <w:spacing w:before="60" w:after="60"/>
              <w:rPr>
                <w:rFonts w:cs="Arial"/>
                <w:sz w:val="18"/>
                <w:szCs w:val="22"/>
                <w:lang w:eastAsia="en-AU" w:bidi="ar-SA"/>
              </w:rPr>
            </w:pPr>
          </w:p>
        </w:tc>
        <w:tc>
          <w:tcPr>
            <w:tcW w:w="3152" w:type="dxa"/>
            <w:tcBorders>
              <w:top w:val="nil"/>
              <w:left w:val="nil"/>
              <w:bottom w:val="nil"/>
              <w:right w:val="nil"/>
            </w:tcBorders>
          </w:tcPr>
          <w:p w14:paraId="4D1641E5" w14:textId="77777777" w:rsidR="001933A4" w:rsidRPr="0093355E" w:rsidRDefault="001933A4" w:rsidP="001933A4">
            <w:pPr>
              <w:keepLines/>
              <w:widowControl/>
              <w:spacing w:before="60" w:after="60"/>
              <w:rPr>
                <w:rFonts w:cs="Arial"/>
                <w:sz w:val="18"/>
                <w:szCs w:val="22"/>
                <w:lang w:eastAsia="en-AU" w:bidi="ar-SA"/>
              </w:rPr>
            </w:pPr>
          </w:p>
        </w:tc>
      </w:tr>
      <w:tr w:rsidR="001933A4" w:rsidRPr="0093355E" w14:paraId="2F26E2CB" w14:textId="77777777" w:rsidTr="00ED0372">
        <w:tc>
          <w:tcPr>
            <w:tcW w:w="1542" w:type="dxa"/>
            <w:vMerge/>
            <w:tcBorders>
              <w:top w:val="nil"/>
              <w:left w:val="nil"/>
              <w:bottom w:val="nil"/>
              <w:right w:val="nil"/>
            </w:tcBorders>
            <w:vAlign w:val="center"/>
          </w:tcPr>
          <w:p w14:paraId="6E7EB2C9" w14:textId="77777777" w:rsidR="001933A4" w:rsidRPr="0093355E" w:rsidRDefault="001933A4" w:rsidP="001933A4">
            <w:pPr>
              <w:tabs>
                <w:tab w:val="left" w:pos="851"/>
              </w:tabs>
              <w:rPr>
                <w:rFonts w:cs="Arial"/>
                <w:iCs/>
                <w:szCs w:val="22"/>
                <w:lang w:bidi="ar-SA"/>
              </w:rPr>
            </w:pPr>
          </w:p>
        </w:tc>
        <w:tc>
          <w:tcPr>
            <w:tcW w:w="2819" w:type="dxa"/>
            <w:tcBorders>
              <w:top w:val="nil"/>
              <w:left w:val="nil"/>
              <w:bottom w:val="nil"/>
              <w:right w:val="nil"/>
            </w:tcBorders>
          </w:tcPr>
          <w:p w14:paraId="0D9DA868" w14:textId="77777777" w:rsidR="001933A4" w:rsidRPr="0093355E" w:rsidRDefault="001933A4" w:rsidP="001933A4">
            <w:pPr>
              <w:keepLines/>
              <w:widowControl/>
              <w:spacing w:before="60" w:after="60"/>
              <w:rPr>
                <w:rFonts w:cs="Arial"/>
                <w:sz w:val="18"/>
                <w:szCs w:val="22"/>
                <w:lang w:eastAsia="en-AU" w:bidi="ar-SA"/>
              </w:rPr>
            </w:pPr>
            <w:r w:rsidRPr="0093355E">
              <w:rPr>
                <w:rFonts w:cs="Arial"/>
                <w:sz w:val="18"/>
                <w:szCs w:val="22"/>
                <w:lang w:eastAsia="en-AU" w:bidi="ar-SA"/>
              </w:rPr>
              <w:t>For a formulated supplementary food for young children, the food meets the conditions for making a claim under 2.9.3—8(2).</w:t>
            </w:r>
          </w:p>
        </w:tc>
        <w:tc>
          <w:tcPr>
            <w:tcW w:w="1559" w:type="dxa"/>
            <w:tcBorders>
              <w:top w:val="nil"/>
              <w:left w:val="nil"/>
              <w:bottom w:val="nil"/>
              <w:right w:val="nil"/>
            </w:tcBorders>
          </w:tcPr>
          <w:p w14:paraId="74525A18" w14:textId="77777777" w:rsidR="001933A4" w:rsidRPr="0093355E" w:rsidRDefault="001933A4" w:rsidP="001933A4">
            <w:pPr>
              <w:keepLines/>
              <w:widowControl/>
              <w:spacing w:before="60" w:after="60"/>
              <w:rPr>
                <w:rFonts w:cs="Arial"/>
                <w:sz w:val="18"/>
                <w:szCs w:val="22"/>
                <w:lang w:eastAsia="en-AU" w:bidi="ar-SA"/>
              </w:rPr>
            </w:pPr>
          </w:p>
        </w:tc>
        <w:tc>
          <w:tcPr>
            <w:tcW w:w="3152" w:type="dxa"/>
            <w:tcBorders>
              <w:top w:val="nil"/>
              <w:left w:val="nil"/>
              <w:bottom w:val="nil"/>
              <w:right w:val="nil"/>
            </w:tcBorders>
          </w:tcPr>
          <w:p w14:paraId="16575364" w14:textId="77777777" w:rsidR="001933A4" w:rsidRPr="0093355E" w:rsidRDefault="001933A4" w:rsidP="001933A4">
            <w:pPr>
              <w:keepLines/>
              <w:widowControl/>
              <w:spacing w:before="60" w:after="60"/>
              <w:rPr>
                <w:rFonts w:cs="Arial"/>
                <w:sz w:val="18"/>
                <w:szCs w:val="22"/>
                <w:lang w:eastAsia="en-AU" w:bidi="ar-SA"/>
              </w:rPr>
            </w:pPr>
          </w:p>
        </w:tc>
      </w:tr>
    </w:tbl>
    <w:p w14:paraId="7D451D3F" w14:textId="77777777" w:rsidR="00AB0275" w:rsidRPr="0093355E" w:rsidRDefault="00AB0275" w:rsidP="00AB0275">
      <w:pPr>
        <w:rPr>
          <w:lang w:bidi="ar-SA"/>
        </w:rPr>
      </w:pPr>
    </w:p>
    <w:p w14:paraId="7D451D40" w14:textId="77777777" w:rsidR="00AF06FC" w:rsidRPr="00C45F7C" w:rsidRDefault="00AB0275" w:rsidP="00AB0275">
      <w:pPr>
        <w:rPr>
          <w:lang w:eastAsia="en-GB" w:bidi="ar-SA"/>
        </w:rPr>
      </w:pPr>
      <w:r w:rsidRPr="0093355E">
        <w:br w:type="page"/>
      </w:r>
    </w:p>
    <w:p w14:paraId="7D451D41" w14:textId="77777777" w:rsidR="00AB0275" w:rsidRPr="0093355E" w:rsidRDefault="00AB0275" w:rsidP="00AB0275">
      <w:pPr>
        <w:pStyle w:val="Heading2"/>
        <w:ind w:left="0" w:firstLine="0"/>
      </w:pPr>
      <w:bookmarkStart w:id="107" w:name="_Toc423079129"/>
      <w:r w:rsidRPr="0093355E">
        <w:lastRenderedPageBreak/>
        <w:t>Draft Explanatory Statement</w:t>
      </w:r>
      <w:bookmarkEnd w:id="107"/>
    </w:p>
    <w:p w14:paraId="7D451D42" w14:textId="77777777" w:rsidR="00AB0275" w:rsidRPr="00C45F7C" w:rsidRDefault="00AB0275" w:rsidP="00AB0275">
      <w:pPr>
        <w:rPr>
          <w:b/>
          <w:lang w:eastAsia="en-GB" w:bidi="ar-SA"/>
        </w:rPr>
      </w:pPr>
      <w:r w:rsidRPr="00C45F7C">
        <w:rPr>
          <w:b/>
          <w:lang w:eastAsia="en-GB" w:bidi="ar-SA"/>
        </w:rPr>
        <w:t>1.</w:t>
      </w:r>
      <w:r w:rsidRPr="00C45F7C">
        <w:rPr>
          <w:b/>
          <w:lang w:eastAsia="en-GB" w:bidi="ar-SA"/>
        </w:rPr>
        <w:tab/>
        <w:t>Authority</w:t>
      </w:r>
    </w:p>
    <w:p w14:paraId="7D451D43" w14:textId="77777777" w:rsidR="00AB0275" w:rsidRPr="00C45F7C" w:rsidRDefault="00AB0275" w:rsidP="00AB0275">
      <w:pPr>
        <w:rPr>
          <w:lang w:eastAsia="en-GB" w:bidi="ar-SA"/>
        </w:rPr>
      </w:pPr>
    </w:p>
    <w:p w14:paraId="7D451D44" w14:textId="77777777" w:rsidR="00AB0275" w:rsidRPr="00C45F7C" w:rsidRDefault="00AB0275" w:rsidP="00AB0275">
      <w:pPr>
        <w:widowControl/>
        <w:autoSpaceDE w:val="0"/>
        <w:autoSpaceDN w:val="0"/>
        <w:adjustRightInd w:val="0"/>
        <w:rPr>
          <w:rFonts w:eastAsia="Calibri" w:cs="Arial"/>
          <w:bCs/>
          <w:szCs w:val="22"/>
          <w:lang w:bidi="ar-SA"/>
        </w:rPr>
      </w:pPr>
      <w:r w:rsidRPr="00C45F7C">
        <w:rPr>
          <w:rFonts w:eastAsia="Calibri" w:cs="Arial"/>
          <w:bCs/>
          <w:szCs w:val="22"/>
          <w:lang w:bidi="ar-SA"/>
        </w:rPr>
        <w:t xml:space="preserve">Section 13 of the </w:t>
      </w:r>
      <w:r w:rsidRPr="00C45F7C">
        <w:rPr>
          <w:rFonts w:eastAsia="Calibri" w:cs="Arial"/>
          <w:bCs/>
          <w:i/>
          <w:szCs w:val="22"/>
          <w:lang w:bidi="ar-SA"/>
        </w:rPr>
        <w:t>Food Standards Australia New Zealand Act 1991</w:t>
      </w:r>
      <w:r w:rsidRPr="00C45F7C">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C45F7C">
        <w:rPr>
          <w:rFonts w:eastAsia="Calibri" w:cs="Arial"/>
          <w:bCs/>
          <w:i/>
          <w:szCs w:val="22"/>
          <w:lang w:bidi="ar-SA"/>
        </w:rPr>
        <w:t>Australia New Zealand Food Standards Code</w:t>
      </w:r>
      <w:r w:rsidRPr="00C45F7C">
        <w:rPr>
          <w:rFonts w:eastAsia="Calibri" w:cs="Arial"/>
          <w:bCs/>
          <w:szCs w:val="22"/>
          <w:lang w:bidi="ar-SA"/>
        </w:rPr>
        <w:t xml:space="preserve"> (the Code).</w:t>
      </w:r>
    </w:p>
    <w:p w14:paraId="7D451D45" w14:textId="77777777" w:rsidR="00AB0275" w:rsidRPr="00C45F7C" w:rsidRDefault="00AB0275" w:rsidP="00AB0275">
      <w:pPr>
        <w:widowControl/>
        <w:autoSpaceDE w:val="0"/>
        <w:autoSpaceDN w:val="0"/>
        <w:adjustRightInd w:val="0"/>
        <w:rPr>
          <w:rFonts w:eastAsia="Calibri" w:cs="Arial"/>
          <w:bCs/>
          <w:szCs w:val="22"/>
          <w:lang w:bidi="ar-SA"/>
        </w:rPr>
      </w:pPr>
    </w:p>
    <w:p w14:paraId="7D451D4B" w14:textId="77777777" w:rsidR="00AB0275" w:rsidRPr="00C45F7C" w:rsidRDefault="00AB0275" w:rsidP="00AB0275">
      <w:pPr>
        <w:widowControl/>
        <w:autoSpaceDE w:val="0"/>
        <w:autoSpaceDN w:val="0"/>
        <w:adjustRightInd w:val="0"/>
        <w:rPr>
          <w:rFonts w:eastAsia="Calibri" w:cs="Arial"/>
          <w:bCs/>
          <w:szCs w:val="22"/>
          <w:lang w:bidi="ar-SA"/>
        </w:rPr>
      </w:pPr>
      <w:r w:rsidRPr="00C45F7C">
        <w:rPr>
          <w:rFonts w:eastAsia="Calibri" w:cs="Arial"/>
          <w:bCs/>
          <w:szCs w:val="22"/>
          <w:lang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7D451D4C" w14:textId="77777777" w:rsidR="00AB0275" w:rsidRPr="00C45F7C" w:rsidRDefault="00AB0275" w:rsidP="00AB0275">
      <w:pPr>
        <w:widowControl/>
        <w:autoSpaceDE w:val="0"/>
        <w:autoSpaceDN w:val="0"/>
        <w:adjustRightInd w:val="0"/>
        <w:rPr>
          <w:rFonts w:eastAsia="Calibri" w:cs="Arial"/>
          <w:bCs/>
          <w:szCs w:val="22"/>
          <w:lang w:bidi="ar-SA"/>
        </w:rPr>
      </w:pPr>
    </w:p>
    <w:p w14:paraId="7D451D4D" w14:textId="5F984F53" w:rsidR="00AB0275" w:rsidRPr="00C45F7C" w:rsidRDefault="00AB0275" w:rsidP="00AB0275">
      <w:pPr>
        <w:widowControl/>
        <w:autoSpaceDE w:val="0"/>
        <w:autoSpaceDN w:val="0"/>
        <w:adjustRightInd w:val="0"/>
        <w:rPr>
          <w:rFonts w:eastAsia="Calibri" w:cs="Arial"/>
          <w:bCs/>
          <w:szCs w:val="22"/>
          <w:lang w:bidi="ar-SA"/>
        </w:rPr>
      </w:pPr>
      <w:r w:rsidRPr="00C45F7C">
        <w:rPr>
          <w:rFonts w:eastAsia="Calibri" w:cs="Arial"/>
          <w:bCs/>
          <w:szCs w:val="22"/>
          <w:lang w:bidi="ar-SA"/>
        </w:rPr>
        <w:t>FSANZ prepared Proposal P</w:t>
      </w:r>
      <w:r w:rsidR="00246BF1" w:rsidRPr="00C45F7C">
        <w:rPr>
          <w:rFonts w:eastAsia="Calibri" w:cs="Arial"/>
          <w:bCs/>
          <w:szCs w:val="22"/>
          <w:lang w:bidi="ar-SA"/>
        </w:rPr>
        <w:t xml:space="preserve">1038 to address an inconsistency in the conditions for vitamin and mineral claims between Standards 1.2.7 and 1.3.2 and to permit nutrition content claims about salt and sodium in relation to foods (excluding beverages) containing more than 1.15% alcohol by volume. </w:t>
      </w:r>
      <w:r w:rsidRPr="00C45F7C">
        <w:rPr>
          <w:rFonts w:eastAsia="Calibri" w:cs="Arial"/>
          <w:bCs/>
          <w:szCs w:val="22"/>
          <w:lang w:bidi="ar-SA"/>
        </w:rPr>
        <w:t xml:space="preserve">The Authority considered the Proposal in accordance with Division 2 of Part 3 and has approved a draft Standard. </w:t>
      </w:r>
    </w:p>
    <w:p w14:paraId="7D451D4E" w14:textId="77777777" w:rsidR="00AB0275" w:rsidRPr="00C45F7C" w:rsidRDefault="00AB0275" w:rsidP="00AB0275">
      <w:pPr>
        <w:widowControl/>
        <w:autoSpaceDE w:val="0"/>
        <w:autoSpaceDN w:val="0"/>
        <w:adjustRightInd w:val="0"/>
        <w:rPr>
          <w:rFonts w:eastAsia="Calibri" w:cs="Arial"/>
          <w:bCs/>
          <w:szCs w:val="22"/>
          <w:lang w:bidi="ar-SA"/>
        </w:rPr>
      </w:pPr>
    </w:p>
    <w:p w14:paraId="7D451D4F" w14:textId="77777777" w:rsidR="00AB0275" w:rsidRPr="00C45F7C" w:rsidRDefault="00AB0275" w:rsidP="00AB0275">
      <w:pPr>
        <w:rPr>
          <w:b/>
          <w:lang w:eastAsia="en-GB" w:bidi="ar-SA"/>
        </w:rPr>
      </w:pPr>
      <w:r w:rsidRPr="00C45F7C">
        <w:rPr>
          <w:b/>
          <w:lang w:eastAsia="en-GB" w:bidi="ar-SA"/>
        </w:rPr>
        <w:t>2.</w:t>
      </w:r>
      <w:r w:rsidRPr="00C45F7C">
        <w:rPr>
          <w:b/>
          <w:lang w:eastAsia="en-GB" w:bidi="ar-SA"/>
        </w:rPr>
        <w:tab/>
        <w:t xml:space="preserve">Purpose </w:t>
      </w:r>
    </w:p>
    <w:p w14:paraId="7D451D50" w14:textId="77777777" w:rsidR="00AB0275" w:rsidRPr="00C45F7C" w:rsidRDefault="00AB0275" w:rsidP="00AB0275">
      <w:pPr>
        <w:rPr>
          <w:lang w:eastAsia="en-GB" w:bidi="ar-SA"/>
        </w:rPr>
      </w:pPr>
    </w:p>
    <w:p w14:paraId="51120F5B" w14:textId="77777777" w:rsidR="00B03CB0" w:rsidRPr="00C45F7C" w:rsidRDefault="00B03CB0" w:rsidP="00B03CB0">
      <w:pPr>
        <w:rPr>
          <w:lang w:eastAsia="en-GB" w:bidi="ar-SA"/>
        </w:rPr>
      </w:pPr>
      <w:r w:rsidRPr="00C45F7C">
        <w:rPr>
          <w:lang w:eastAsia="en-GB" w:bidi="ar-SA"/>
        </w:rPr>
        <w:t xml:space="preserve">The Authority has prepared a draft variation to rectify a discrepancy in the conditions required to make a nutrition content claim about a vitamin or mineral in food. The current conditions require a minimum of 10% of the RDI or ESADDI per serving of the food. The amended conditions will allow a minimum of 10% of the RDI or ESADDI per reference quantity of the food, if certain conditions are met.  </w:t>
      </w:r>
    </w:p>
    <w:p w14:paraId="3CE403FB" w14:textId="77777777" w:rsidR="00B03CB0" w:rsidRPr="00C45F7C" w:rsidRDefault="00B03CB0" w:rsidP="00B03CB0">
      <w:pPr>
        <w:rPr>
          <w:lang w:eastAsia="en-GB" w:bidi="ar-SA"/>
        </w:rPr>
      </w:pPr>
    </w:p>
    <w:p w14:paraId="7EA4317F" w14:textId="477825CA" w:rsidR="00B03CB0" w:rsidRPr="00C45F7C" w:rsidRDefault="00B03CB0" w:rsidP="00246BF1">
      <w:pPr>
        <w:rPr>
          <w:lang w:eastAsia="en-GB" w:bidi="ar-SA"/>
        </w:rPr>
      </w:pPr>
      <w:r w:rsidRPr="00C45F7C">
        <w:rPr>
          <w:lang w:eastAsia="en-GB" w:bidi="ar-SA"/>
        </w:rPr>
        <w:t xml:space="preserve">The Authority has also prepared a draft variation to permit nutrition content claims about salt and sodium in relation to food (not a beverage) containing more than 1.15% alcohol by volume. </w:t>
      </w:r>
    </w:p>
    <w:p w14:paraId="7D451D52" w14:textId="77777777" w:rsidR="00AB0275" w:rsidRPr="00C45F7C" w:rsidRDefault="00AB0275" w:rsidP="00AB0275">
      <w:pPr>
        <w:rPr>
          <w:lang w:eastAsia="en-GB" w:bidi="ar-SA"/>
        </w:rPr>
      </w:pPr>
    </w:p>
    <w:p w14:paraId="7D451D53" w14:textId="77777777" w:rsidR="00AB0275" w:rsidRPr="00C45F7C" w:rsidRDefault="00AB0275" w:rsidP="00AB0275">
      <w:pPr>
        <w:rPr>
          <w:b/>
          <w:lang w:eastAsia="en-GB" w:bidi="ar-SA"/>
        </w:rPr>
      </w:pPr>
      <w:r w:rsidRPr="00C45F7C">
        <w:rPr>
          <w:b/>
          <w:lang w:eastAsia="en-GB" w:bidi="ar-SA"/>
        </w:rPr>
        <w:t>3.</w:t>
      </w:r>
      <w:r w:rsidRPr="00C45F7C">
        <w:rPr>
          <w:b/>
          <w:lang w:eastAsia="en-GB" w:bidi="ar-SA"/>
        </w:rPr>
        <w:tab/>
        <w:t>Documents incorporated by reference</w:t>
      </w:r>
    </w:p>
    <w:p w14:paraId="7D451D54" w14:textId="77777777" w:rsidR="00AB0275" w:rsidRPr="00C45F7C" w:rsidRDefault="00AB0275" w:rsidP="00AB0275">
      <w:pPr>
        <w:rPr>
          <w:lang w:eastAsia="en-GB" w:bidi="ar-SA"/>
        </w:rPr>
      </w:pPr>
    </w:p>
    <w:p w14:paraId="7D451D55" w14:textId="77777777" w:rsidR="00AB0275" w:rsidRPr="00C45F7C" w:rsidRDefault="00AB0275" w:rsidP="00AB0275">
      <w:pPr>
        <w:widowControl/>
        <w:autoSpaceDE w:val="0"/>
        <w:autoSpaceDN w:val="0"/>
        <w:adjustRightInd w:val="0"/>
        <w:rPr>
          <w:rFonts w:eastAsia="Calibri" w:cs="Arial"/>
          <w:bCs/>
          <w:szCs w:val="22"/>
          <w:lang w:bidi="ar-SA"/>
        </w:rPr>
      </w:pPr>
      <w:r w:rsidRPr="00C45F7C">
        <w:rPr>
          <w:rFonts w:eastAsia="Calibri" w:cs="Arial"/>
          <w:bCs/>
          <w:szCs w:val="22"/>
          <w:lang w:bidi="ar-SA"/>
        </w:rPr>
        <w:t>The variations to food regulatory measures do not incorporate any documents by reference.</w:t>
      </w:r>
    </w:p>
    <w:p w14:paraId="7D451D56" w14:textId="77777777" w:rsidR="00AB0275" w:rsidRPr="00C45F7C" w:rsidRDefault="00AB0275" w:rsidP="00AB0275">
      <w:pPr>
        <w:rPr>
          <w:lang w:eastAsia="en-GB" w:bidi="ar-SA"/>
        </w:rPr>
      </w:pPr>
    </w:p>
    <w:p w14:paraId="7D451D57" w14:textId="77777777" w:rsidR="00AB0275" w:rsidRPr="00C45F7C" w:rsidRDefault="00AB0275" w:rsidP="00AB0275">
      <w:pPr>
        <w:rPr>
          <w:b/>
          <w:lang w:eastAsia="en-GB" w:bidi="ar-SA"/>
        </w:rPr>
      </w:pPr>
      <w:r w:rsidRPr="00C45F7C">
        <w:rPr>
          <w:b/>
          <w:lang w:eastAsia="en-GB" w:bidi="ar-SA"/>
        </w:rPr>
        <w:t>4.</w:t>
      </w:r>
      <w:r w:rsidRPr="00C45F7C">
        <w:rPr>
          <w:b/>
          <w:lang w:eastAsia="en-GB" w:bidi="ar-SA"/>
        </w:rPr>
        <w:tab/>
        <w:t>Consultation</w:t>
      </w:r>
    </w:p>
    <w:p w14:paraId="7D451D58" w14:textId="77777777" w:rsidR="00AB0275" w:rsidRPr="00C45F7C" w:rsidRDefault="00AB0275" w:rsidP="00AB0275">
      <w:pPr>
        <w:rPr>
          <w:lang w:eastAsia="en-GB" w:bidi="ar-SA"/>
        </w:rPr>
      </w:pPr>
    </w:p>
    <w:p w14:paraId="7D451D59" w14:textId="7417768C" w:rsidR="00AB0275" w:rsidRPr="00C45F7C" w:rsidRDefault="00AB0275" w:rsidP="00AB0275">
      <w:r w:rsidRPr="0093355E">
        <w:rPr>
          <w:szCs w:val="22"/>
        </w:rPr>
        <w:t xml:space="preserve">In accordance with the procedure in Division </w:t>
      </w:r>
      <w:r w:rsidR="00534114" w:rsidRPr="0093355E">
        <w:rPr>
          <w:szCs w:val="22"/>
        </w:rPr>
        <w:t>2</w:t>
      </w:r>
      <w:r w:rsidRPr="0093355E">
        <w:rPr>
          <w:szCs w:val="22"/>
        </w:rPr>
        <w:t xml:space="preserve"> of Part </w:t>
      </w:r>
      <w:r w:rsidR="00534114" w:rsidRPr="0093355E">
        <w:rPr>
          <w:szCs w:val="22"/>
        </w:rPr>
        <w:t>3</w:t>
      </w:r>
      <w:r w:rsidRPr="0093355E">
        <w:rPr>
          <w:szCs w:val="22"/>
        </w:rPr>
        <w:t xml:space="preserve"> of the FSANZ Act, </w:t>
      </w:r>
      <w:r w:rsidRPr="00C45F7C">
        <w:rPr>
          <w:rFonts w:eastAsia="Calibri" w:cs="Arial"/>
          <w:bCs/>
          <w:szCs w:val="22"/>
          <w:lang w:bidi="ar-SA"/>
        </w:rPr>
        <w:t>the Authority</w:t>
      </w:r>
      <w:r w:rsidRPr="0093355E">
        <w:rPr>
          <w:szCs w:val="22"/>
        </w:rPr>
        <w:t>’s consideration of Proposal P</w:t>
      </w:r>
      <w:r w:rsidR="00534114" w:rsidRPr="0093355E">
        <w:rPr>
          <w:szCs w:val="22"/>
        </w:rPr>
        <w:t>1038</w:t>
      </w:r>
      <w:r w:rsidRPr="0093355E">
        <w:rPr>
          <w:szCs w:val="22"/>
        </w:rPr>
        <w:t xml:space="preserve"> will include</w:t>
      </w:r>
      <w:r w:rsidR="00534114" w:rsidRPr="0093355E">
        <w:rPr>
          <w:szCs w:val="22"/>
        </w:rPr>
        <w:t xml:space="preserve"> </w:t>
      </w:r>
      <w:r w:rsidRPr="0093355E">
        <w:rPr>
          <w:szCs w:val="22"/>
        </w:rPr>
        <w:t>one round of public consultation following an assessment and the preparation of a draft Standard and associated report</w:t>
      </w:r>
      <w:r w:rsidR="00534114" w:rsidRPr="0093355E">
        <w:rPr>
          <w:szCs w:val="22"/>
        </w:rPr>
        <w:t xml:space="preserve">. </w:t>
      </w:r>
      <w:r w:rsidRPr="0093355E">
        <w:rPr>
          <w:szCs w:val="22"/>
        </w:rPr>
        <w:t xml:space="preserve"> </w:t>
      </w:r>
    </w:p>
    <w:p w14:paraId="432BE127" w14:textId="77777777" w:rsidR="00534114" w:rsidRPr="00C45F7C" w:rsidRDefault="00534114" w:rsidP="00AB0275">
      <w:pPr>
        <w:widowControl/>
        <w:autoSpaceDE w:val="0"/>
        <w:autoSpaceDN w:val="0"/>
        <w:adjustRightInd w:val="0"/>
        <w:rPr>
          <w:rFonts w:eastAsia="Calibri" w:cs="Arial"/>
          <w:bCs/>
          <w:szCs w:val="22"/>
          <w:lang w:bidi="ar-SA"/>
        </w:rPr>
      </w:pPr>
    </w:p>
    <w:p w14:paraId="7D451D5D" w14:textId="07AEDB8B" w:rsidR="00AB0275" w:rsidRPr="0093355E" w:rsidRDefault="00AB0275" w:rsidP="00AB0275">
      <w:pPr>
        <w:widowControl/>
        <w:autoSpaceDE w:val="0"/>
        <w:autoSpaceDN w:val="0"/>
        <w:adjustRightInd w:val="0"/>
        <w:rPr>
          <w:rFonts w:cs="Arial"/>
          <w:szCs w:val="22"/>
        </w:rPr>
      </w:pPr>
      <w:r w:rsidRPr="00C45F7C">
        <w:rPr>
          <w:rFonts w:eastAsia="Calibri" w:cs="Arial"/>
          <w:bCs/>
          <w:szCs w:val="22"/>
          <w:lang w:bidi="ar-SA"/>
        </w:rPr>
        <w:t>A Regulation Impact Statement was not required because the proposed variations to Standard</w:t>
      </w:r>
      <w:r w:rsidR="00534114" w:rsidRPr="00C45F7C">
        <w:rPr>
          <w:rFonts w:eastAsia="Calibri" w:cs="Arial"/>
          <w:bCs/>
          <w:szCs w:val="22"/>
          <w:lang w:bidi="ar-SA"/>
        </w:rPr>
        <w:t xml:space="preserve"> 1.2.7</w:t>
      </w:r>
      <w:r w:rsidRPr="00C45F7C">
        <w:rPr>
          <w:rFonts w:eastAsia="Calibri" w:cs="Arial"/>
          <w:bCs/>
          <w:szCs w:val="22"/>
          <w:lang w:bidi="ar-SA"/>
        </w:rPr>
        <w:t xml:space="preserve"> </w:t>
      </w:r>
      <w:r w:rsidRPr="0093355E">
        <w:t xml:space="preserve">are </w:t>
      </w:r>
      <w:r w:rsidR="00534114" w:rsidRPr="0093355E">
        <w:t xml:space="preserve">of a minor nature. </w:t>
      </w:r>
      <w:r w:rsidRPr="0093355E">
        <w:t xml:space="preserve"> </w:t>
      </w:r>
    </w:p>
    <w:p w14:paraId="7D451D5E" w14:textId="77777777" w:rsidR="00AB0275" w:rsidRPr="00C45F7C" w:rsidRDefault="00AB0275" w:rsidP="00AB0275">
      <w:pPr>
        <w:widowControl/>
        <w:rPr>
          <w:rFonts w:eastAsiaTheme="minorHAnsi" w:cs="Arial"/>
          <w:b/>
          <w:bCs/>
          <w:szCs w:val="22"/>
          <w:lang w:bidi="ar-SA"/>
        </w:rPr>
      </w:pPr>
    </w:p>
    <w:p w14:paraId="7D451D5F" w14:textId="77777777" w:rsidR="00AB0275" w:rsidRPr="00C45F7C" w:rsidRDefault="00AB0275" w:rsidP="00AB0275">
      <w:pPr>
        <w:widowControl/>
        <w:rPr>
          <w:rFonts w:eastAsiaTheme="minorHAnsi" w:cs="Arial"/>
          <w:b/>
          <w:bCs/>
          <w:szCs w:val="22"/>
          <w:lang w:bidi="ar-SA"/>
        </w:rPr>
      </w:pPr>
      <w:r w:rsidRPr="00C45F7C">
        <w:rPr>
          <w:rFonts w:eastAsiaTheme="minorHAnsi" w:cs="Arial"/>
          <w:b/>
          <w:bCs/>
          <w:szCs w:val="22"/>
          <w:lang w:bidi="ar-SA"/>
        </w:rPr>
        <w:t>5.</w:t>
      </w:r>
      <w:r w:rsidRPr="00C45F7C">
        <w:rPr>
          <w:rFonts w:eastAsiaTheme="minorHAnsi" w:cs="Arial"/>
          <w:b/>
          <w:bCs/>
          <w:szCs w:val="22"/>
          <w:lang w:bidi="ar-SA"/>
        </w:rPr>
        <w:tab/>
        <w:t>Statement of compatibility with human rights</w:t>
      </w:r>
    </w:p>
    <w:p w14:paraId="7D451D60" w14:textId="77777777" w:rsidR="00AB0275" w:rsidRPr="00C45F7C" w:rsidRDefault="00AB0275" w:rsidP="00AB0275">
      <w:pPr>
        <w:rPr>
          <w:rFonts w:eastAsiaTheme="minorHAnsi"/>
          <w:lang w:bidi="ar-SA"/>
        </w:rPr>
      </w:pPr>
    </w:p>
    <w:p w14:paraId="7D451D61" w14:textId="77777777" w:rsidR="00AB0275" w:rsidRPr="00C45F7C" w:rsidRDefault="00AB0275" w:rsidP="00AB0275">
      <w:pPr>
        <w:rPr>
          <w:rFonts w:eastAsiaTheme="minorHAnsi"/>
          <w:lang w:bidi="ar-SA"/>
        </w:rPr>
      </w:pPr>
      <w:r w:rsidRPr="00C45F7C">
        <w:rPr>
          <w:rFonts w:eastAsiaTheme="minorHAnsi"/>
          <w:lang w:bidi="ar-SA"/>
        </w:rPr>
        <w:t>This instrument is exempt from the requirements for a statement of compatibility with human rights as it is a non-disallowable instrument under section 94 of the FSANZ Act.</w:t>
      </w:r>
    </w:p>
    <w:p w14:paraId="7D451D62" w14:textId="77777777" w:rsidR="00AB0275" w:rsidRPr="00C45F7C" w:rsidRDefault="00AB0275" w:rsidP="00AB0275">
      <w:pPr>
        <w:rPr>
          <w:rFonts w:eastAsiaTheme="minorHAnsi"/>
          <w:lang w:bidi="ar-SA"/>
        </w:rPr>
      </w:pPr>
    </w:p>
    <w:p w14:paraId="14E281B5" w14:textId="77777777" w:rsidR="00D87B03" w:rsidRDefault="00D87B03" w:rsidP="00AB0275">
      <w:pPr>
        <w:rPr>
          <w:b/>
        </w:rPr>
      </w:pPr>
      <w:r>
        <w:rPr>
          <w:b/>
        </w:rPr>
        <w:br w:type="page"/>
      </w:r>
    </w:p>
    <w:p w14:paraId="7D451D63" w14:textId="46786C60" w:rsidR="00AB0275" w:rsidRPr="00C45F7C" w:rsidRDefault="00AB0275" w:rsidP="00AB0275">
      <w:pPr>
        <w:rPr>
          <w:b/>
          <w:lang w:eastAsia="en-GB" w:bidi="ar-SA"/>
        </w:rPr>
      </w:pPr>
      <w:r w:rsidRPr="0093355E">
        <w:rPr>
          <w:b/>
        </w:rPr>
        <w:lastRenderedPageBreak/>
        <w:t>6.</w:t>
      </w:r>
      <w:r w:rsidRPr="0093355E">
        <w:rPr>
          <w:b/>
        </w:rPr>
        <w:tab/>
      </w:r>
      <w:r w:rsidRPr="00C45F7C">
        <w:rPr>
          <w:b/>
          <w:lang w:eastAsia="en-GB" w:bidi="ar-SA"/>
        </w:rPr>
        <w:t>Variation</w:t>
      </w:r>
    </w:p>
    <w:p w14:paraId="7D451D64" w14:textId="77777777" w:rsidR="00AB0275" w:rsidRPr="0093355E" w:rsidRDefault="00AB0275" w:rsidP="00AB0275">
      <w:pPr>
        <w:rPr>
          <w:b/>
        </w:rPr>
      </w:pPr>
    </w:p>
    <w:p w14:paraId="27B5B7D8" w14:textId="4C9CE3DF" w:rsidR="00534114" w:rsidRPr="0093355E" w:rsidRDefault="00534114" w:rsidP="00534114">
      <w:r w:rsidRPr="0093355E">
        <w:t>Item [1] amends sub</w:t>
      </w:r>
      <w:r w:rsidR="0002706E">
        <w:t>sections</w:t>
      </w:r>
      <w:r w:rsidRPr="0093355E">
        <w:t xml:space="preserve"> 1.2.7—4 (1) and (2), by inserting a reference to salt or sodium content about a food that is not a beverage. The effect of the amendment is to add permission for nutrition content claims about salt and sodium content to be made in relation to a food</w:t>
      </w:r>
      <w:r w:rsidR="00B03CB0" w:rsidRPr="0093355E">
        <w:t xml:space="preserve"> (not a beverage)</w:t>
      </w:r>
      <w:r w:rsidRPr="0093355E">
        <w:t xml:space="preserve"> that contains more than 1.15% alcohol by volume. </w:t>
      </w:r>
    </w:p>
    <w:p w14:paraId="015A95DD" w14:textId="77777777" w:rsidR="00534114" w:rsidRPr="0093355E" w:rsidRDefault="00534114" w:rsidP="00534114"/>
    <w:p w14:paraId="0B340233" w14:textId="246662AC" w:rsidR="00534114" w:rsidRPr="0093355E" w:rsidRDefault="00534114" w:rsidP="00534114">
      <w:r w:rsidRPr="0093355E">
        <w:t xml:space="preserve">Any nutrition content claim made about the salt or sodium content of a food would have to be made in accordance with the conditions specified in </w:t>
      </w:r>
      <w:r w:rsidR="0002706E">
        <w:t xml:space="preserve">sections </w:t>
      </w:r>
      <w:r w:rsidRPr="0093355E">
        <w:t xml:space="preserve">1.2.7—12 and S4—3. </w:t>
      </w:r>
    </w:p>
    <w:p w14:paraId="7D451D69" w14:textId="77777777" w:rsidR="007C174F" w:rsidRPr="0093355E" w:rsidRDefault="007C174F" w:rsidP="007C174F">
      <w:pPr>
        <w:rPr>
          <w:highlight w:val="yellow"/>
        </w:rPr>
      </w:pPr>
    </w:p>
    <w:p w14:paraId="0D3D1D72" w14:textId="33AAEB68" w:rsidR="0010397A" w:rsidRPr="0093355E" w:rsidRDefault="0010397A" w:rsidP="0010397A">
      <w:r w:rsidRPr="0093355E">
        <w:t xml:space="preserve">Item [2.1] inserts definitions for maximum claimable amount and reference quantity at the beginning of </w:t>
      </w:r>
      <w:r w:rsidR="0002706E">
        <w:t>section</w:t>
      </w:r>
      <w:r w:rsidR="0002706E" w:rsidRPr="0093355E">
        <w:t xml:space="preserve"> </w:t>
      </w:r>
      <w:r w:rsidRPr="0093355E">
        <w:t xml:space="preserve">S4—2. </w:t>
      </w:r>
      <w:r w:rsidR="00554CF8" w:rsidRPr="0093355E">
        <w:t xml:space="preserve">These defined terms are then used in the amended entry for Vitamin or mineral (not including potassium or sodium) in Schedule 4. </w:t>
      </w:r>
      <w:r w:rsidRPr="0093355E">
        <w:t xml:space="preserve">The maximum claimable amount is the maximum amount of a vitamin or mineral that can be claimed, as prescribed by </w:t>
      </w:r>
      <w:r w:rsidR="0002706E">
        <w:t xml:space="preserve">section </w:t>
      </w:r>
      <w:r w:rsidRPr="0093355E">
        <w:t xml:space="preserve">1.3.2—4 or 1.3.2—5. The reference quantity is the reference quantity specified for the food in the Table to S17—4. </w:t>
      </w:r>
    </w:p>
    <w:p w14:paraId="5AD3FABC" w14:textId="6603E6B4" w:rsidR="0010397A" w:rsidRPr="0093355E" w:rsidRDefault="0010397A" w:rsidP="00534114"/>
    <w:p w14:paraId="74EF496C" w14:textId="32863066" w:rsidR="00534114" w:rsidRPr="0093355E" w:rsidRDefault="00534114" w:rsidP="00534114">
      <w:r w:rsidRPr="0093355E">
        <w:t>Item [2</w:t>
      </w:r>
      <w:r w:rsidR="0010397A" w:rsidRPr="0093355E">
        <w:t>.2</w:t>
      </w:r>
      <w:r w:rsidRPr="0093355E">
        <w:t xml:space="preserve">] </w:t>
      </w:r>
      <w:r w:rsidR="00C52547">
        <w:t xml:space="preserve">amends Schedule 4 by </w:t>
      </w:r>
      <w:r w:rsidRPr="0093355E">
        <w:t>var</w:t>
      </w:r>
      <w:r w:rsidR="00C52547">
        <w:t xml:space="preserve">ying </w:t>
      </w:r>
      <w:r w:rsidRPr="0093355E">
        <w:t xml:space="preserve">the general claim conditions </w:t>
      </w:r>
      <w:r w:rsidR="00554CF8" w:rsidRPr="0093355E">
        <w:t>for making a nutrition content claim for a vitamin or mineral (not including potassium or sodium)</w:t>
      </w:r>
      <w:r w:rsidR="00C52547">
        <w:t>.</w:t>
      </w:r>
    </w:p>
    <w:p w14:paraId="1AE0BA49" w14:textId="77777777" w:rsidR="00534114" w:rsidRPr="0093355E" w:rsidRDefault="00534114" w:rsidP="00534114"/>
    <w:p w14:paraId="3A573459" w14:textId="5251FBB5" w:rsidR="00534114" w:rsidRPr="0093355E" w:rsidRDefault="00534114" w:rsidP="00534114">
      <w:r w:rsidRPr="0093355E">
        <w:t xml:space="preserve">The effect of the amendment is to provide an exemption from the general claim condition at </w:t>
      </w:r>
      <w:r w:rsidR="00C52547">
        <w:t xml:space="preserve">paragraph </w:t>
      </w:r>
      <w:r w:rsidRPr="0093355E">
        <w:t>(b)</w:t>
      </w:r>
      <w:r w:rsidR="00C52547">
        <w:t xml:space="preserve"> that requires </w:t>
      </w:r>
      <w:r w:rsidRPr="0093355E">
        <w:t>a serving of the food contains at least 10% of the RDI or ESADDI for that vitamin or mineral</w:t>
      </w:r>
      <w:r w:rsidR="00C52547">
        <w:t>. The exemption applies if each of the following exists</w:t>
      </w:r>
      <w:r w:rsidRPr="0093355E">
        <w:t xml:space="preserve">: </w:t>
      </w:r>
    </w:p>
    <w:p w14:paraId="3E800C27" w14:textId="77777777" w:rsidR="00534114" w:rsidRPr="0093355E" w:rsidRDefault="00534114" w:rsidP="00534114"/>
    <w:p w14:paraId="515F1B7E" w14:textId="1C78FD7A" w:rsidR="00534114" w:rsidRPr="0093355E" w:rsidRDefault="00534114" w:rsidP="00F62B99">
      <w:pPr>
        <w:pStyle w:val="FSBullet1"/>
      </w:pPr>
      <w:r w:rsidRPr="0093355E">
        <w:t xml:space="preserve">A maximum claimable amount is prescribed by </w:t>
      </w:r>
      <w:r w:rsidR="0002706E">
        <w:t xml:space="preserve">section </w:t>
      </w:r>
      <w:r w:rsidR="00F62B99" w:rsidRPr="0093355E">
        <w:t xml:space="preserve">1.3.2—4 or 1.3.2—5 </w:t>
      </w:r>
      <w:r w:rsidRPr="0093355E">
        <w:t>of Standard 1.3.2 for the claimed vitamin or mineral.</w:t>
      </w:r>
    </w:p>
    <w:p w14:paraId="48AE9D1F" w14:textId="77777777" w:rsidR="00534114" w:rsidRPr="0093355E" w:rsidRDefault="00534114" w:rsidP="00534114">
      <w:pPr>
        <w:rPr>
          <w:lang w:bidi="ar-SA"/>
        </w:rPr>
      </w:pPr>
    </w:p>
    <w:p w14:paraId="6DCE7AC3" w14:textId="6D619D46" w:rsidR="00534114" w:rsidRPr="0093355E" w:rsidRDefault="00534114" w:rsidP="00F62B99">
      <w:pPr>
        <w:pStyle w:val="FSBullet1"/>
      </w:pPr>
      <w:r w:rsidRPr="0093355E">
        <w:t>The serving of the food</w:t>
      </w:r>
      <w:r w:rsidR="00554CF8" w:rsidRPr="0093355E">
        <w:t xml:space="preserve"> (as specified by the supplier)</w:t>
      </w:r>
      <w:r w:rsidRPr="0093355E">
        <w:t xml:space="preserve"> is less than the reference quantity </w:t>
      </w:r>
      <w:r w:rsidR="00F62B99" w:rsidRPr="0093355E">
        <w:t xml:space="preserve">for the </w:t>
      </w:r>
      <w:r w:rsidR="0069019F" w:rsidRPr="0093355E">
        <w:t>food</w:t>
      </w:r>
      <w:r w:rsidR="00F62B99" w:rsidRPr="0093355E">
        <w:t xml:space="preserve"> </w:t>
      </w:r>
      <w:r w:rsidR="00554CF8" w:rsidRPr="0093355E">
        <w:t xml:space="preserve">as specified </w:t>
      </w:r>
      <w:r w:rsidR="00F62B99" w:rsidRPr="0093355E">
        <w:t xml:space="preserve">in the Table to S17—4. </w:t>
      </w:r>
    </w:p>
    <w:p w14:paraId="25487624" w14:textId="77777777" w:rsidR="00534114" w:rsidRPr="0093355E" w:rsidRDefault="00534114" w:rsidP="00534114">
      <w:pPr>
        <w:rPr>
          <w:lang w:bidi="ar-SA"/>
        </w:rPr>
      </w:pPr>
    </w:p>
    <w:p w14:paraId="67E8FABF" w14:textId="77777777" w:rsidR="00534114" w:rsidRPr="0093355E" w:rsidRDefault="00534114" w:rsidP="00534114">
      <w:pPr>
        <w:pStyle w:val="FSBullet1"/>
      </w:pPr>
      <w:r w:rsidRPr="0093355E">
        <w:t xml:space="preserve">The maximum claimable amount (per reference quantity) for the claimed vitamin or mineral is less than 10% RDI or ESADDI per serving. </w:t>
      </w:r>
    </w:p>
    <w:p w14:paraId="6FE87003" w14:textId="77777777" w:rsidR="00534114" w:rsidRPr="0093355E" w:rsidRDefault="00534114" w:rsidP="00534114">
      <w:pPr>
        <w:rPr>
          <w:lang w:bidi="ar-SA"/>
        </w:rPr>
      </w:pPr>
    </w:p>
    <w:p w14:paraId="431E223E" w14:textId="77777777" w:rsidR="00534114" w:rsidRPr="0093355E" w:rsidRDefault="00534114" w:rsidP="00534114">
      <w:pPr>
        <w:pStyle w:val="FSBullet1"/>
      </w:pPr>
      <w:r w:rsidRPr="0093355E">
        <w:t xml:space="preserve">The reference quantity contains at least 10% of the RDI or ESADDI for the vitamin or mineral. </w:t>
      </w:r>
    </w:p>
    <w:p w14:paraId="589CC490" w14:textId="77777777" w:rsidR="00B03CB0" w:rsidRPr="0093355E" w:rsidRDefault="00B03CB0" w:rsidP="00B03CB0"/>
    <w:p w14:paraId="112DB5A3" w14:textId="77777777" w:rsidR="00B03CB0" w:rsidRPr="0093355E" w:rsidRDefault="00B03CB0" w:rsidP="00B03CB0">
      <w:r w:rsidRPr="0093355E">
        <w:rPr>
          <w:lang w:bidi="ar-SA"/>
        </w:rPr>
        <w:t>In other words, if the maximum claimable amount is less than the required 10% of the RDI or ESADDI per serving, a nutrition content claim may still be made if the reference quantity of the same food contains 10% of the RDI or ESADDI.</w:t>
      </w:r>
    </w:p>
    <w:p w14:paraId="521C4A27" w14:textId="77777777" w:rsidR="00B03CB0" w:rsidRDefault="00B03CB0" w:rsidP="007C174F"/>
    <w:p w14:paraId="3D650A1D" w14:textId="77777777" w:rsidR="00C52547" w:rsidRPr="0093355E" w:rsidRDefault="00C52547" w:rsidP="007C174F"/>
    <w:sectPr w:rsidR="00C52547" w:rsidRPr="0093355E" w:rsidSect="009A6AAA">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15822" w14:textId="77777777" w:rsidR="00B0015B" w:rsidRDefault="00B0015B">
      <w:r>
        <w:separator/>
      </w:r>
    </w:p>
  </w:endnote>
  <w:endnote w:type="continuationSeparator" w:id="0">
    <w:p w14:paraId="54CAF3A9" w14:textId="77777777" w:rsidR="00B0015B" w:rsidRDefault="00B0015B">
      <w:r>
        <w:continuationSeparator/>
      </w:r>
    </w:p>
  </w:endnote>
  <w:endnote w:type="continuationNotice" w:id="1">
    <w:p w14:paraId="58A9D03C" w14:textId="77777777" w:rsidR="00B0015B" w:rsidRDefault="00B00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UniversLTStd-Light">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51E54" w14:textId="77777777" w:rsidR="00B51ABA" w:rsidRDefault="00B51AB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451E55" w14:textId="77777777" w:rsidR="00B51ABA" w:rsidRDefault="00B51A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51E56" w14:textId="77777777" w:rsidR="00B51ABA" w:rsidRDefault="00B51AB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4D1B">
      <w:rPr>
        <w:rStyle w:val="PageNumber"/>
        <w:noProof/>
      </w:rPr>
      <w:t>i</w:t>
    </w:r>
    <w:r>
      <w:rPr>
        <w:rStyle w:val="PageNumber"/>
      </w:rPr>
      <w:fldChar w:fldCharType="end"/>
    </w:r>
  </w:p>
  <w:p w14:paraId="7D451E57" w14:textId="77777777" w:rsidR="00B51ABA" w:rsidRDefault="00B51AB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4C98C" w14:textId="77777777" w:rsidR="000D3FC4" w:rsidRDefault="000D3F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B7AA5" w14:textId="77777777" w:rsidR="00B0015B" w:rsidRDefault="00B0015B">
      <w:r>
        <w:separator/>
      </w:r>
    </w:p>
  </w:footnote>
  <w:footnote w:type="continuationSeparator" w:id="0">
    <w:p w14:paraId="29BD8642" w14:textId="77777777" w:rsidR="00B0015B" w:rsidRDefault="00B0015B">
      <w:r>
        <w:continuationSeparator/>
      </w:r>
    </w:p>
  </w:footnote>
  <w:footnote w:type="continuationNotice" w:id="1">
    <w:p w14:paraId="7B33C562" w14:textId="77777777" w:rsidR="00B0015B" w:rsidRDefault="00B0015B"/>
  </w:footnote>
  <w:footnote w:id="2">
    <w:p w14:paraId="27094074" w14:textId="47999F02" w:rsidR="00B51ABA" w:rsidRPr="00877263" w:rsidRDefault="00B51ABA">
      <w:pPr>
        <w:pStyle w:val="FootnoteText"/>
        <w:rPr>
          <w:lang w:val="en-AU"/>
        </w:rPr>
      </w:pPr>
      <w:r>
        <w:rPr>
          <w:rStyle w:val="FootnoteReference"/>
        </w:rPr>
        <w:footnoteRef/>
      </w:r>
      <w:r>
        <w:t xml:space="preserve"> </w:t>
      </w:r>
      <w:r w:rsidRPr="005F33F3">
        <w:rPr>
          <w:sz w:val="18"/>
          <w:szCs w:val="18"/>
        </w:rPr>
        <w:t xml:space="preserve">The Policy Guideline is available at: </w:t>
      </w:r>
      <w:hyperlink r:id="rId1" w:history="1">
        <w:r w:rsidRPr="00641257">
          <w:rPr>
            <w:rStyle w:val="Hyperlink"/>
            <w:sz w:val="18"/>
            <w:szCs w:val="18"/>
          </w:rPr>
          <w:t>http://www.foodstandards.gov.au/code/fofr/fofrpolicy/pages/default.aspx</w:t>
        </w:r>
      </w:hyperlink>
    </w:p>
  </w:footnote>
  <w:footnote w:id="3">
    <w:p w14:paraId="5292045C" w14:textId="541689CB" w:rsidR="00B51ABA" w:rsidRPr="00D70200" w:rsidRDefault="00B51ABA">
      <w:pPr>
        <w:pStyle w:val="FootnoteText"/>
        <w:rPr>
          <w:sz w:val="18"/>
          <w:szCs w:val="18"/>
          <w:lang w:val="en-AU"/>
        </w:rPr>
      </w:pPr>
      <w:r w:rsidRPr="00D70200">
        <w:rPr>
          <w:rStyle w:val="FootnoteReference"/>
          <w:sz w:val="18"/>
          <w:szCs w:val="18"/>
        </w:rPr>
        <w:footnoteRef/>
      </w:r>
      <w:r w:rsidRPr="00D70200">
        <w:rPr>
          <w:sz w:val="18"/>
          <w:szCs w:val="18"/>
        </w:rPr>
        <w:t xml:space="preserve"> </w:t>
      </w:r>
      <w:r w:rsidRPr="00D70200">
        <w:rPr>
          <w:sz w:val="18"/>
          <w:szCs w:val="18"/>
          <w:lang w:val="en-AU"/>
        </w:rPr>
        <w:t xml:space="preserve">The relevant regulatory RDIs and ESADDIs are prescribed in the </w:t>
      </w:r>
      <w:r>
        <w:rPr>
          <w:sz w:val="18"/>
          <w:szCs w:val="18"/>
          <w:lang w:val="en-AU"/>
        </w:rPr>
        <w:t>existing</w:t>
      </w:r>
      <w:r w:rsidRPr="00D70200">
        <w:rPr>
          <w:sz w:val="18"/>
          <w:szCs w:val="18"/>
          <w:lang w:val="en-AU"/>
        </w:rPr>
        <w:t xml:space="preserve"> Code in Standard 1.1.1 </w:t>
      </w:r>
      <w:r>
        <w:rPr>
          <w:sz w:val="18"/>
          <w:szCs w:val="18"/>
          <w:lang w:val="en-AU"/>
        </w:rPr>
        <w:t>–</w:t>
      </w:r>
      <w:r w:rsidRPr="00D70200">
        <w:rPr>
          <w:sz w:val="18"/>
          <w:szCs w:val="18"/>
          <w:lang w:val="en-AU"/>
        </w:rPr>
        <w:t xml:space="preserve"> Preliminary Provisions – Application, Interpretation and General Prohibitions and in Schedule 1 of the revised Code. </w:t>
      </w:r>
    </w:p>
  </w:footnote>
  <w:footnote w:id="4">
    <w:p w14:paraId="10BD3E27" w14:textId="2A205E70" w:rsidR="00B51ABA" w:rsidRPr="00D70200" w:rsidRDefault="00B51ABA">
      <w:pPr>
        <w:pStyle w:val="FootnoteText"/>
        <w:rPr>
          <w:sz w:val="18"/>
          <w:szCs w:val="18"/>
          <w:lang w:val="en-AU"/>
        </w:rPr>
      </w:pPr>
      <w:r w:rsidRPr="00D70200">
        <w:rPr>
          <w:rStyle w:val="FootnoteReference"/>
          <w:sz w:val="18"/>
          <w:szCs w:val="18"/>
        </w:rPr>
        <w:footnoteRef/>
      </w:r>
      <w:r w:rsidRPr="00D70200">
        <w:rPr>
          <w:sz w:val="18"/>
          <w:szCs w:val="18"/>
        </w:rPr>
        <w:t xml:space="preserve"> </w:t>
      </w:r>
      <w:r w:rsidRPr="00D70200">
        <w:rPr>
          <w:sz w:val="18"/>
          <w:szCs w:val="18"/>
          <w:lang w:val="en-AU"/>
        </w:rPr>
        <w:t>If a vitamin or mineral has been added to a food, a claim must not be made that th</w:t>
      </w:r>
      <w:r>
        <w:rPr>
          <w:sz w:val="18"/>
          <w:szCs w:val="18"/>
          <w:lang w:val="en-AU"/>
        </w:rPr>
        <w:t>e</w:t>
      </w:r>
      <w:r w:rsidRPr="00D70200">
        <w:rPr>
          <w:sz w:val="18"/>
          <w:szCs w:val="18"/>
          <w:lang w:val="en-AU"/>
        </w:rPr>
        <w:t xml:space="preserve"> food contains that vitamin or mineral, both added or naturally present, in greater proportions than the specified maximum claim per reference quantity of the food (Standard 1.3.2, clause 4 of the </w:t>
      </w:r>
      <w:r>
        <w:rPr>
          <w:sz w:val="18"/>
          <w:szCs w:val="18"/>
          <w:lang w:val="en-AU"/>
        </w:rPr>
        <w:t>existing</w:t>
      </w:r>
      <w:r w:rsidRPr="00D70200">
        <w:rPr>
          <w:sz w:val="18"/>
          <w:szCs w:val="18"/>
          <w:lang w:val="en-AU"/>
        </w:rPr>
        <w:t xml:space="preserve"> Code and Section 1.3.2—4 of the revised Code).  </w:t>
      </w:r>
    </w:p>
  </w:footnote>
  <w:footnote w:id="5">
    <w:p w14:paraId="269856D1" w14:textId="32E62ABE" w:rsidR="00B51ABA" w:rsidRPr="00853910" w:rsidRDefault="00B51ABA">
      <w:pPr>
        <w:pStyle w:val="FootnoteText"/>
        <w:rPr>
          <w:sz w:val="18"/>
          <w:szCs w:val="18"/>
          <w:lang w:val="en-AU"/>
        </w:rPr>
      </w:pPr>
      <w:r w:rsidRPr="00853910">
        <w:rPr>
          <w:rStyle w:val="FootnoteReference"/>
          <w:sz w:val="18"/>
          <w:szCs w:val="18"/>
        </w:rPr>
        <w:footnoteRef/>
      </w:r>
      <w:r w:rsidRPr="00853910">
        <w:rPr>
          <w:sz w:val="18"/>
          <w:szCs w:val="18"/>
        </w:rPr>
        <w:t xml:space="preserve"> </w:t>
      </w:r>
      <w:proofErr w:type="gramStart"/>
      <w:r w:rsidRPr="00853910">
        <w:rPr>
          <w:sz w:val="18"/>
          <w:szCs w:val="18"/>
          <w:lang w:val="en-AU"/>
        </w:rPr>
        <w:t>Column 2 of Schedule 1 of Standard 1.2.7 of the existing Code and Column 2,</w:t>
      </w:r>
      <w:r w:rsidRPr="00853910">
        <w:rPr>
          <w:sz w:val="18"/>
          <w:szCs w:val="18"/>
        </w:rPr>
        <w:t xml:space="preserve"> </w:t>
      </w:r>
      <w:r w:rsidRPr="00853910">
        <w:rPr>
          <w:sz w:val="18"/>
          <w:szCs w:val="18"/>
          <w:lang w:val="en-AU"/>
        </w:rPr>
        <w:t>S4—3 of Schedule 4 of the revised Code.</w:t>
      </w:r>
      <w:proofErr w:type="gramEnd"/>
    </w:p>
  </w:footnote>
  <w:footnote w:id="6">
    <w:p w14:paraId="3887BCB2" w14:textId="31803228" w:rsidR="00B51ABA" w:rsidRPr="00A43EEC" w:rsidRDefault="00B51ABA">
      <w:pPr>
        <w:pStyle w:val="FootnoteText"/>
        <w:rPr>
          <w:lang w:val="en-AU"/>
        </w:rPr>
      </w:pPr>
      <w:r>
        <w:rPr>
          <w:rStyle w:val="FootnoteReference"/>
        </w:rPr>
        <w:footnoteRef/>
      </w:r>
      <w:r>
        <w:t xml:space="preserve"> The Policy Guideline is at </w:t>
      </w:r>
      <w:hyperlink r:id="rId2" w:history="1">
        <w:r w:rsidRPr="00BA10C4">
          <w:rPr>
            <w:rStyle w:val="Hyperlink"/>
          </w:rPr>
          <w:t>http://www.foodstandards.gov.au/code/fofr/fofrpolicy/pages/default.aspx</w:t>
        </w:r>
      </w:hyperlink>
      <w:r>
        <w:t xml:space="preserve"> </w:t>
      </w:r>
    </w:p>
  </w:footnote>
  <w:footnote w:id="7">
    <w:p w14:paraId="3BA09467" w14:textId="58F24651" w:rsidR="00B51ABA" w:rsidRPr="00773B86" w:rsidRDefault="00B51ABA">
      <w:pPr>
        <w:pStyle w:val="FootnoteText"/>
        <w:rPr>
          <w:lang w:val="en-AU"/>
        </w:rPr>
      </w:pPr>
      <w:r>
        <w:rPr>
          <w:rStyle w:val="FootnoteReference"/>
        </w:rPr>
        <w:footnoteRef/>
      </w:r>
      <w:r>
        <w:t xml:space="preserve"> </w:t>
      </w:r>
      <w:proofErr w:type="gramStart"/>
      <w:r w:rsidRPr="00773B86">
        <w:t xml:space="preserve">Column </w:t>
      </w:r>
      <w:r>
        <w:t>4</w:t>
      </w:r>
      <w:r w:rsidRPr="00773B86">
        <w:t xml:space="preserve"> of Schedule 1 of Standard 1.2.7 of the existing Code and Column </w:t>
      </w:r>
      <w:r>
        <w:t>4</w:t>
      </w:r>
      <w:r w:rsidRPr="00773B86">
        <w:t xml:space="preserve">, S4—3 of Schedule 4 </w:t>
      </w:r>
      <w:r>
        <w:t>o</w:t>
      </w:r>
      <w:r w:rsidRPr="00773B86">
        <w:t>f the revised Code.</w:t>
      </w:r>
      <w:proofErr w:type="gramEnd"/>
    </w:p>
  </w:footnote>
  <w:footnote w:id="8">
    <w:p w14:paraId="7D451E59" w14:textId="77777777" w:rsidR="00B51ABA" w:rsidRPr="008828D9" w:rsidRDefault="00B51ABA" w:rsidP="008828D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9">
    <w:p w14:paraId="13161396" w14:textId="77777777" w:rsidR="00B51ABA" w:rsidRPr="005F33F3" w:rsidRDefault="00B51ABA" w:rsidP="000D4476">
      <w:pPr>
        <w:pStyle w:val="FootnoteText"/>
        <w:rPr>
          <w:sz w:val="18"/>
          <w:szCs w:val="18"/>
          <w:lang w:val="en-AU"/>
        </w:rPr>
      </w:pPr>
      <w:r w:rsidRPr="005F33F3">
        <w:rPr>
          <w:rStyle w:val="FootnoteReference"/>
          <w:sz w:val="18"/>
          <w:szCs w:val="18"/>
        </w:rPr>
        <w:footnoteRef/>
      </w:r>
      <w:r w:rsidRPr="005F33F3">
        <w:rPr>
          <w:sz w:val="18"/>
          <w:szCs w:val="18"/>
        </w:rPr>
        <w:t xml:space="preserve"> The Policy Guideline is available at: </w:t>
      </w:r>
      <w:hyperlink r:id="rId3" w:history="1">
        <w:r w:rsidRPr="00641257">
          <w:rPr>
            <w:rStyle w:val="Hyperlink"/>
            <w:sz w:val="18"/>
            <w:szCs w:val="18"/>
          </w:rPr>
          <w:t>http://www.foodstandards.gov.au/code/fofr/fofrpolicy/pages/default.aspx</w:t>
        </w:r>
      </w:hyperlink>
    </w:p>
  </w:footnote>
  <w:footnote w:id="10">
    <w:p w14:paraId="581AC38C" w14:textId="7FB1027D" w:rsidR="00B51ABA" w:rsidRPr="001E4611" w:rsidRDefault="00B51ABA">
      <w:pPr>
        <w:pStyle w:val="FootnoteText"/>
        <w:rPr>
          <w:lang w:val="en-AU"/>
        </w:rPr>
      </w:pPr>
      <w:r>
        <w:rPr>
          <w:rStyle w:val="FootnoteReference"/>
        </w:rPr>
        <w:footnoteRef/>
      </w:r>
      <w:r>
        <w:t xml:space="preserve"> </w:t>
      </w:r>
      <w:r w:rsidRPr="005F33F3">
        <w:rPr>
          <w:sz w:val="18"/>
          <w:szCs w:val="18"/>
        </w:rPr>
        <w:t xml:space="preserve">The Policy Guideline is available at: </w:t>
      </w:r>
      <w:hyperlink r:id="rId4" w:history="1">
        <w:r w:rsidRPr="00641257">
          <w:rPr>
            <w:rStyle w:val="Hyperlink"/>
            <w:sz w:val="18"/>
            <w:szCs w:val="18"/>
          </w:rPr>
          <w:t>http://www.foodstandards.gov.au/code/fofr/fofrpolicy/pages/default.aspx</w:t>
        </w:r>
      </w:hyperlink>
    </w:p>
  </w:footnote>
  <w:footnote w:id="11">
    <w:p w14:paraId="64AE44FA" w14:textId="77777777" w:rsidR="00B51ABA" w:rsidRPr="008828D9" w:rsidRDefault="00B51ABA" w:rsidP="001A381B">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12">
    <w:p w14:paraId="0C992914" w14:textId="77777777" w:rsidR="00B51ABA" w:rsidRPr="005F33F3" w:rsidRDefault="00B51ABA" w:rsidP="001A381B">
      <w:pPr>
        <w:pStyle w:val="FootnoteText"/>
        <w:rPr>
          <w:sz w:val="18"/>
          <w:szCs w:val="18"/>
          <w:lang w:val="en-AU"/>
        </w:rPr>
      </w:pPr>
      <w:r w:rsidRPr="005F33F3">
        <w:rPr>
          <w:rStyle w:val="FootnoteReference"/>
          <w:sz w:val="18"/>
          <w:szCs w:val="18"/>
        </w:rPr>
        <w:footnoteRef/>
      </w:r>
      <w:r w:rsidRPr="005F33F3">
        <w:rPr>
          <w:sz w:val="18"/>
          <w:szCs w:val="18"/>
        </w:rPr>
        <w:t xml:space="preserve"> The Policy Guideline is available at: </w:t>
      </w:r>
      <w:hyperlink r:id="rId5" w:history="1">
        <w:r w:rsidRPr="00641257">
          <w:rPr>
            <w:rStyle w:val="Hyperlink"/>
            <w:sz w:val="18"/>
            <w:szCs w:val="18"/>
          </w:rPr>
          <w:t>http://www.foodstandards.gov.au/code/fofr/fofrpolicy/pages/default.aspx</w:t>
        </w:r>
      </w:hyperlink>
    </w:p>
  </w:footnote>
  <w:footnote w:id="13">
    <w:p w14:paraId="7D451E5A" w14:textId="77777777" w:rsidR="00B51ABA" w:rsidRPr="00E24DE8" w:rsidRDefault="00B51ABA" w:rsidP="00AB0275">
      <w:pPr>
        <w:pStyle w:val="FootnoteText"/>
        <w:rPr>
          <w:lang w:val="en-AU"/>
        </w:rPr>
      </w:pPr>
      <w:r w:rsidRPr="00B91684">
        <w:rPr>
          <w:rStyle w:val="FootnoteReference"/>
        </w:rPr>
        <w:footnoteRef/>
      </w:r>
      <w:r w:rsidRPr="00B91684">
        <w:t xml:space="preserve"> </w:t>
      </w:r>
      <w:hyperlink r:id="rId6" w:history="1">
        <w:r w:rsidRPr="00E04F5B">
          <w:rPr>
            <w:rStyle w:val="Hyperlink"/>
          </w:rPr>
          <w:t>http://www.foodstandards.gov.au/code/proposals/Pages/proposalp1025coderev5755.aspx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E3631" w14:textId="77777777" w:rsidR="000D3FC4" w:rsidRDefault="000D3F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E2FA3" w14:textId="77777777" w:rsidR="000D3FC4" w:rsidRDefault="000D3F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51E58" w14:textId="77777777" w:rsidR="00B51ABA" w:rsidRDefault="00B51AB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BB6C0E"/>
    <w:multiLevelType w:val="hybridMultilevel"/>
    <w:tmpl w:val="66E607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2D01F61"/>
    <w:multiLevelType w:val="hybridMultilevel"/>
    <w:tmpl w:val="1E8C63A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8940EA1"/>
    <w:multiLevelType w:val="hybridMultilevel"/>
    <w:tmpl w:val="ED3805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F96FE5"/>
    <w:multiLevelType w:val="hybridMultilevel"/>
    <w:tmpl w:val="DE168D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2F37D61"/>
    <w:multiLevelType w:val="hybridMultilevel"/>
    <w:tmpl w:val="D6F641D6"/>
    <w:lvl w:ilvl="0" w:tplc="2A7C5A7C">
      <w:start w:val="1"/>
      <w:numFmt w:val="lowerRoman"/>
      <w:lvlText w:val="%1)"/>
      <w:lvlJc w:val="left"/>
      <w:pPr>
        <w:ind w:left="2557" w:hanging="855"/>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7">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8A25F6"/>
    <w:multiLevelType w:val="hybridMultilevel"/>
    <w:tmpl w:val="18DAC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2FA747DA"/>
    <w:multiLevelType w:val="hybridMultilevel"/>
    <w:tmpl w:val="8A66D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3980A3B"/>
    <w:multiLevelType w:val="hybridMultilevel"/>
    <w:tmpl w:val="30E4F6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3D397FF1"/>
    <w:multiLevelType w:val="hybridMultilevel"/>
    <w:tmpl w:val="0596CBD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3">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10405A1"/>
    <w:multiLevelType w:val="hybridMultilevel"/>
    <w:tmpl w:val="1D10524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5">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nsid w:val="65D02780"/>
    <w:multiLevelType w:val="hybridMultilevel"/>
    <w:tmpl w:val="38C67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9">
    <w:nsid w:val="797E3A15"/>
    <w:multiLevelType w:val="hybridMultilevel"/>
    <w:tmpl w:val="ECB4622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
  </w:num>
  <w:num w:numId="2">
    <w:abstractNumId w:val="15"/>
  </w:num>
  <w:num w:numId="3">
    <w:abstractNumId w:val="0"/>
  </w:num>
  <w:num w:numId="4">
    <w:abstractNumId w:val="16"/>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8"/>
  </w:num>
  <w:num w:numId="8">
    <w:abstractNumId w:val="13"/>
  </w:num>
  <w:num w:numId="9">
    <w:abstractNumId w:val="9"/>
  </w:num>
  <w:num w:numId="10">
    <w:abstractNumId w:val="4"/>
  </w:num>
  <w:num w:numId="11">
    <w:abstractNumId w:val="11"/>
  </w:num>
  <w:num w:numId="12">
    <w:abstractNumId w:val="8"/>
  </w:num>
  <w:num w:numId="13">
    <w:abstractNumId w:val="19"/>
  </w:num>
  <w:num w:numId="14">
    <w:abstractNumId w:val="14"/>
  </w:num>
  <w:num w:numId="15">
    <w:abstractNumId w:val="2"/>
  </w:num>
  <w:num w:numId="16">
    <w:abstractNumId w:val="17"/>
  </w:num>
  <w:num w:numId="17">
    <w:abstractNumId w:val="3"/>
  </w:num>
  <w:num w:numId="18">
    <w:abstractNumId w:val="12"/>
  </w:num>
  <w:num w:numId="19">
    <w:abstractNumId w:val="5"/>
  </w:num>
  <w:num w:numId="20">
    <w:abstractNumId w:val="6"/>
  </w:num>
  <w:num w:numId="2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A0E"/>
    <w:rsid w:val="00001CF2"/>
    <w:rsid w:val="0000247B"/>
    <w:rsid w:val="00004274"/>
    <w:rsid w:val="0000469B"/>
    <w:rsid w:val="00006849"/>
    <w:rsid w:val="00016CB6"/>
    <w:rsid w:val="00022DBC"/>
    <w:rsid w:val="0002706E"/>
    <w:rsid w:val="0003190E"/>
    <w:rsid w:val="0003265F"/>
    <w:rsid w:val="00034F87"/>
    <w:rsid w:val="00035FF3"/>
    <w:rsid w:val="000427B2"/>
    <w:rsid w:val="00046240"/>
    <w:rsid w:val="00051021"/>
    <w:rsid w:val="00051ED9"/>
    <w:rsid w:val="00052720"/>
    <w:rsid w:val="000554FC"/>
    <w:rsid w:val="00057181"/>
    <w:rsid w:val="0005719B"/>
    <w:rsid w:val="0006016E"/>
    <w:rsid w:val="000613E3"/>
    <w:rsid w:val="00064B2D"/>
    <w:rsid w:val="0006528B"/>
    <w:rsid w:val="00065F1F"/>
    <w:rsid w:val="00070900"/>
    <w:rsid w:val="0007466A"/>
    <w:rsid w:val="00076D33"/>
    <w:rsid w:val="000778D6"/>
    <w:rsid w:val="00085367"/>
    <w:rsid w:val="00091CC2"/>
    <w:rsid w:val="000A27E9"/>
    <w:rsid w:val="000A3D8B"/>
    <w:rsid w:val="000A5DF8"/>
    <w:rsid w:val="000B6AF2"/>
    <w:rsid w:val="000C250C"/>
    <w:rsid w:val="000C6836"/>
    <w:rsid w:val="000D295F"/>
    <w:rsid w:val="000D3FC4"/>
    <w:rsid w:val="000D4476"/>
    <w:rsid w:val="000D596D"/>
    <w:rsid w:val="000D6FD4"/>
    <w:rsid w:val="000E0AE4"/>
    <w:rsid w:val="000E3DBC"/>
    <w:rsid w:val="000E7647"/>
    <w:rsid w:val="000F3947"/>
    <w:rsid w:val="000F5DAE"/>
    <w:rsid w:val="000F5FD7"/>
    <w:rsid w:val="00101588"/>
    <w:rsid w:val="0010397A"/>
    <w:rsid w:val="001039C5"/>
    <w:rsid w:val="0010796A"/>
    <w:rsid w:val="00113CE3"/>
    <w:rsid w:val="00117522"/>
    <w:rsid w:val="00134176"/>
    <w:rsid w:val="00134D02"/>
    <w:rsid w:val="001430E7"/>
    <w:rsid w:val="001542D8"/>
    <w:rsid w:val="00156AFC"/>
    <w:rsid w:val="00162263"/>
    <w:rsid w:val="00163E90"/>
    <w:rsid w:val="00166E4C"/>
    <w:rsid w:val="00171C51"/>
    <w:rsid w:val="00177C6F"/>
    <w:rsid w:val="00180C41"/>
    <w:rsid w:val="001819C2"/>
    <w:rsid w:val="00182C4C"/>
    <w:rsid w:val="001871CC"/>
    <w:rsid w:val="001878F8"/>
    <w:rsid w:val="001933A4"/>
    <w:rsid w:val="00197D8D"/>
    <w:rsid w:val="001A1A75"/>
    <w:rsid w:val="001A1B7D"/>
    <w:rsid w:val="001A381B"/>
    <w:rsid w:val="001A7E9A"/>
    <w:rsid w:val="001C213A"/>
    <w:rsid w:val="001C27A3"/>
    <w:rsid w:val="001C282C"/>
    <w:rsid w:val="001C2FDD"/>
    <w:rsid w:val="001C3D2F"/>
    <w:rsid w:val="001C525F"/>
    <w:rsid w:val="001C5295"/>
    <w:rsid w:val="001D13AA"/>
    <w:rsid w:val="001E09FA"/>
    <w:rsid w:val="001E229C"/>
    <w:rsid w:val="001E4611"/>
    <w:rsid w:val="001F1801"/>
    <w:rsid w:val="001F4214"/>
    <w:rsid w:val="001F5B9C"/>
    <w:rsid w:val="001F74B2"/>
    <w:rsid w:val="001F7FA9"/>
    <w:rsid w:val="00203540"/>
    <w:rsid w:val="00221D07"/>
    <w:rsid w:val="00227E4A"/>
    <w:rsid w:val="002432EE"/>
    <w:rsid w:val="0024582E"/>
    <w:rsid w:val="00246BF1"/>
    <w:rsid w:val="00250866"/>
    <w:rsid w:val="002515A1"/>
    <w:rsid w:val="00252C8A"/>
    <w:rsid w:val="002547EF"/>
    <w:rsid w:val="00256D65"/>
    <w:rsid w:val="002600D3"/>
    <w:rsid w:val="00271F00"/>
    <w:rsid w:val="00272436"/>
    <w:rsid w:val="00273A80"/>
    <w:rsid w:val="00273BFD"/>
    <w:rsid w:val="0027513D"/>
    <w:rsid w:val="00276026"/>
    <w:rsid w:val="002805ED"/>
    <w:rsid w:val="002851C8"/>
    <w:rsid w:val="0029204E"/>
    <w:rsid w:val="00294BAD"/>
    <w:rsid w:val="0029631C"/>
    <w:rsid w:val="002A0194"/>
    <w:rsid w:val="002A36C0"/>
    <w:rsid w:val="002A5F8B"/>
    <w:rsid w:val="002A66AB"/>
    <w:rsid w:val="002A7F6C"/>
    <w:rsid w:val="002B0D8E"/>
    <w:rsid w:val="002B0E04"/>
    <w:rsid w:val="002B1180"/>
    <w:rsid w:val="002C4E4C"/>
    <w:rsid w:val="002D289A"/>
    <w:rsid w:val="002D53EE"/>
    <w:rsid w:val="002D6809"/>
    <w:rsid w:val="002E086A"/>
    <w:rsid w:val="002F214C"/>
    <w:rsid w:val="002F6488"/>
    <w:rsid w:val="002F6557"/>
    <w:rsid w:val="003078B6"/>
    <w:rsid w:val="00310E84"/>
    <w:rsid w:val="003123D1"/>
    <w:rsid w:val="00313BD0"/>
    <w:rsid w:val="00315A71"/>
    <w:rsid w:val="003213F9"/>
    <w:rsid w:val="00323DBF"/>
    <w:rsid w:val="00324D28"/>
    <w:rsid w:val="003309A8"/>
    <w:rsid w:val="0033187A"/>
    <w:rsid w:val="003328D1"/>
    <w:rsid w:val="00332B12"/>
    <w:rsid w:val="003340F2"/>
    <w:rsid w:val="0033562D"/>
    <w:rsid w:val="00336711"/>
    <w:rsid w:val="00340326"/>
    <w:rsid w:val="00347935"/>
    <w:rsid w:val="00350DBD"/>
    <w:rsid w:val="00351927"/>
    <w:rsid w:val="00351B07"/>
    <w:rsid w:val="0036268A"/>
    <w:rsid w:val="00364841"/>
    <w:rsid w:val="00371B29"/>
    <w:rsid w:val="00372182"/>
    <w:rsid w:val="00373B75"/>
    <w:rsid w:val="0037520F"/>
    <w:rsid w:val="00376F3F"/>
    <w:rsid w:val="00377E35"/>
    <w:rsid w:val="0038021D"/>
    <w:rsid w:val="003802B8"/>
    <w:rsid w:val="00390DD0"/>
    <w:rsid w:val="00391769"/>
    <w:rsid w:val="003925E1"/>
    <w:rsid w:val="003953E1"/>
    <w:rsid w:val="003956B3"/>
    <w:rsid w:val="003A01E3"/>
    <w:rsid w:val="003A11E9"/>
    <w:rsid w:val="003A3D2F"/>
    <w:rsid w:val="003A68BE"/>
    <w:rsid w:val="003A7725"/>
    <w:rsid w:val="003B3C9D"/>
    <w:rsid w:val="003B78E0"/>
    <w:rsid w:val="003C07B0"/>
    <w:rsid w:val="003C3508"/>
    <w:rsid w:val="003C4969"/>
    <w:rsid w:val="003C6265"/>
    <w:rsid w:val="003E0B5F"/>
    <w:rsid w:val="003E36B8"/>
    <w:rsid w:val="003E41D5"/>
    <w:rsid w:val="003E46BA"/>
    <w:rsid w:val="003E7D22"/>
    <w:rsid w:val="003F6A4B"/>
    <w:rsid w:val="003F74C1"/>
    <w:rsid w:val="00403E2B"/>
    <w:rsid w:val="00405B1A"/>
    <w:rsid w:val="00406749"/>
    <w:rsid w:val="00407241"/>
    <w:rsid w:val="0040761E"/>
    <w:rsid w:val="00407DF4"/>
    <w:rsid w:val="004101FA"/>
    <w:rsid w:val="00410C76"/>
    <w:rsid w:val="00411907"/>
    <w:rsid w:val="0041256A"/>
    <w:rsid w:val="00413CA8"/>
    <w:rsid w:val="00413E51"/>
    <w:rsid w:val="00414390"/>
    <w:rsid w:val="00414492"/>
    <w:rsid w:val="00417EE3"/>
    <w:rsid w:val="004207EB"/>
    <w:rsid w:val="00420B52"/>
    <w:rsid w:val="0042269E"/>
    <w:rsid w:val="00435B5A"/>
    <w:rsid w:val="00435FA5"/>
    <w:rsid w:val="00436B8D"/>
    <w:rsid w:val="00437276"/>
    <w:rsid w:val="004477A4"/>
    <w:rsid w:val="00447E67"/>
    <w:rsid w:val="0045556F"/>
    <w:rsid w:val="00456B54"/>
    <w:rsid w:val="00457B7D"/>
    <w:rsid w:val="00463082"/>
    <w:rsid w:val="00464643"/>
    <w:rsid w:val="004646F8"/>
    <w:rsid w:val="00470890"/>
    <w:rsid w:val="0047386C"/>
    <w:rsid w:val="0047507A"/>
    <w:rsid w:val="00477D71"/>
    <w:rsid w:val="00485CC0"/>
    <w:rsid w:val="004863FF"/>
    <w:rsid w:val="00486793"/>
    <w:rsid w:val="00490EDB"/>
    <w:rsid w:val="004916D3"/>
    <w:rsid w:val="004A001B"/>
    <w:rsid w:val="004A2037"/>
    <w:rsid w:val="004A276A"/>
    <w:rsid w:val="004A3685"/>
    <w:rsid w:val="004C07A5"/>
    <w:rsid w:val="004C2B5D"/>
    <w:rsid w:val="004C2CE7"/>
    <w:rsid w:val="004C400B"/>
    <w:rsid w:val="004D056B"/>
    <w:rsid w:val="004D30A6"/>
    <w:rsid w:val="004D70BC"/>
    <w:rsid w:val="004F4F98"/>
    <w:rsid w:val="004F69F6"/>
    <w:rsid w:val="004F79AC"/>
    <w:rsid w:val="005017CF"/>
    <w:rsid w:val="00504DD6"/>
    <w:rsid w:val="00512290"/>
    <w:rsid w:val="005207D8"/>
    <w:rsid w:val="00521F70"/>
    <w:rsid w:val="00522F2C"/>
    <w:rsid w:val="00524566"/>
    <w:rsid w:val="0053004C"/>
    <w:rsid w:val="00534114"/>
    <w:rsid w:val="0053464E"/>
    <w:rsid w:val="005358B0"/>
    <w:rsid w:val="00553969"/>
    <w:rsid w:val="00553E07"/>
    <w:rsid w:val="00554CF8"/>
    <w:rsid w:val="00562702"/>
    <w:rsid w:val="00562917"/>
    <w:rsid w:val="00580682"/>
    <w:rsid w:val="00586228"/>
    <w:rsid w:val="00587F40"/>
    <w:rsid w:val="005910DD"/>
    <w:rsid w:val="0059138B"/>
    <w:rsid w:val="0059227F"/>
    <w:rsid w:val="0059498B"/>
    <w:rsid w:val="005A28CE"/>
    <w:rsid w:val="005A3A03"/>
    <w:rsid w:val="005B01E7"/>
    <w:rsid w:val="005B3564"/>
    <w:rsid w:val="005B615C"/>
    <w:rsid w:val="005B6AF4"/>
    <w:rsid w:val="005B7B8A"/>
    <w:rsid w:val="005C04CB"/>
    <w:rsid w:val="005C71BA"/>
    <w:rsid w:val="005D12E4"/>
    <w:rsid w:val="005D16AD"/>
    <w:rsid w:val="005D72E1"/>
    <w:rsid w:val="005E2F53"/>
    <w:rsid w:val="005E6E16"/>
    <w:rsid w:val="005F400E"/>
    <w:rsid w:val="005F7342"/>
    <w:rsid w:val="00603A08"/>
    <w:rsid w:val="00605B6C"/>
    <w:rsid w:val="006066BC"/>
    <w:rsid w:val="00606C88"/>
    <w:rsid w:val="00610A3C"/>
    <w:rsid w:val="00617E83"/>
    <w:rsid w:val="006235FB"/>
    <w:rsid w:val="00627F48"/>
    <w:rsid w:val="00633ACA"/>
    <w:rsid w:val="006342E0"/>
    <w:rsid w:val="00642A47"/>
    <w:rsid w:val="00645E7A"/>
    <w:rsid w:val="00646FDD"/>
    <w:rsid w:val="00647069"/>
    <w:rsid w:val="00653529"/>
    <w:rsid w:val="00663D52"/>
    <w:rsid w:val="00663FCF"/>
    <w:rsid w:val="006652A2"/>
    <w:rsid w:val="00673800"/>
    <w:rsid w:val="00681754"/>
    <w:rsid w:val="00681D53"/>
    <w:rsid w:val="00683E69"/>
    <w:rsid w:val="006851A3"/>
    <w:rsid w:val="00686C00"/>
    <w:rsid w:val="0069019F"/>
    <w:rsid w:val="006937FF"/>
    <w:rsid w:val="006965BF"/>
    <w:rsid w:val="006A4143"/>
    <w:rsid w:val="006A48A7"/>
    <w:rsid w:val="006B260D"/>
    <w:rsid w:val="006B4BA1"/>
    <w:rsid w:val="006C1182"/>
    <w:rsid w:val="006C28E2"/>
    <w:rsid w:val="006C5127"/>
    <w:rsid w:val="006C5CF5"/>
    <w:rsid w:val="006C7AC2"/>
    <w:rsid w:val="006D4433"/>
    <w:rsid w:val="006D58F4"/>
    <w:rsid w:val="006F4A82"/>
    <w:rsid w:val="006F78DD"/>
    <w:rsid w:val="00700239"/>
    <w:rsid w:val="007035A7"/>
    <w:rsid w:val="0070373B"/>
    <w:rsid w:val="00707E72"/>
    <w:rsid w:val="007113EB"/>
    <w:rsid w:val="0072150F"/>
    <w:rsid w:val="00721EEB"/>
    <w:rsid w:val="00724FA4"/>
    <w:rsid w:val="00726C2F"/>
    <w:rsid w:val="00730800"/>
    <w:rsid w:val="007368AB"/>
    <w:rsid w:val="00737581"/>
    <w:rsid w:val="00737902"/>
    <w:rsid w:val="00741D92"/>
    <w:rsid w:val="00741EFE"/>
    <w:rsid w:val="00743179"/>
    <w:rsid w:val="007602AA"/>
    <w:rsid w:val="007652EF"/>
    <w:rsid w:val="007670BF"/>
    <w:rsid w:val="00767EB9"/>
    <w:rsid w:val="00772BDC"/>
    <w:rsid w:val="00773033"/>
    <w:rsid w:val="00773B86"/>
    <w:rsid w:val="00776697"/>
    <w:rsid w:val="00777884"/>
    <w:rsid w:val="00780792"/>
    <w:rsid w:val="007A44B4"/>
    <w:rsid w:val="007A66B7"/>
    <w:rsid w:val="007A75EE"/>
    <w:rsid w:val="007A7D3D"/>
    <w:rsid w:val="007B0685"/>
    <w:rsid w:val="007B225D"/>
    <w:rsid w:val="007B40F2"/>
    <w:rsid w:val="007B7FF5"/>
    <w:rsid w:val="007C174F"/>
    <w:rsid w:val="007C1C64"/>
    <w:rsid w:val="007C3831"/>
    <w:rsid w:val="007C5E4B"/>
    <w:rsid w:val="007C5F48"/>
    <w:rsid w:val="007C6AD8"/>
    <w:rsid w:val="007D0FD8"/>
    <w:rsid w:val="007D187C"/>
    <w:rsid w:val="007D40A1"/>
    <w:rsid w:val="007D57C8"/>
    <w:rsid w:val="007D5881"/>
    <w:rsid w:val="007E429F"/>
    <w:rsid w:val="007E459B"/>
    <w:rsid w:val="007E48BC"/>
    <w:rsid w:val="007E79F7"/>
    <w:rsid w:val="007F3630"/>
    <w:rsid w:val="007F5896"/>
    <w:rsid w:val="007F5A76"/>
    <w:rsid w:val="00807559"/>
    <w:rsid w:val="008102F5"/>
    <w:rsid w:val="00811314"/>
    <w:rsid w:val="00814B27"/>
    <w:rsid w:val="008163D9"/>
    <w:rsid w:val="008215F8"/>
    <w:rsid w:val="00823A19"/>
    <w:rsid w:val="0083410F"/>
    <w:rsid w:val="00843CA4"/>
    <w:rsid w:val="008450BC"/>
    <w:rsid w:val="00847F7D"/>
    <w:rsid w:val="00851A60"/>
    <w:rsid w:val="0085334B"/>
    <w:rsid w:val="008535A8"/>
    <w:rsid w:val="00853910"/>
    <w:rsid w:val="008565B5"/>
    <w:rsid w:val="00866AD6"/>
    <w:rsid w:val="0086791C"/>
    <w:rsid w:val="00867B23"/>
    <w:rsid w:val="00870214"/>
    <w:rsid w:val="00875BC2"/>
    <w:rsid w:val="00875EAE"/>
    <w:rsid w:val="00876515"/>
    <w:rsid w:val="00877263"/>
    <w:rsid w:val="008828D9"/>
    <w:rsid w:val="00885C51"/>
    <w:rsid w:val="00885EB0"/>
    <w:rsid w:val="0089264A"/>
    <w:rsid w:val="00892AD4"/>
    <w:rsid w:val="00896B85"/>
    <w:rsid w:val="00896B87"/>
    <w:rsid w:val="008A03C6"/>
    <w:rsid w:val="008A0AAF"/>
    <w:rsid w:val="008A22BE"/>
    <w:rsid w:val="008A3221"/>
    <w:rsid w:val="008A35FB"/>
    <w:rsid w:val="008B0075"/>
    <w:rsid w:val="008B0354"/>
    <w:rsid w:val="008B10AF"/>
    <w:rsid w:val="008C0E7A"/>
    <w:rsid w:val="008C1B36"/>
    <w:rsid w:val="008C38DC"/>
    <w:rsid w:val="008C72F2"/>
    <w:rsid w:val="008C7978"/>
    <w:rsid w:val="008D06C6"/>
    <w:rsid w:val="008D4676"/>
    <w:rsid w:val="008D5DED"/>
    <w:rsid w:val="008E6250"/>
    <w:rsid w:val="008E6F70"/>
    <w:rsid w:val="00901F49"/>
    <w:rsid w:val="00902AF6"/>
    <w:rsid w:val="00913109"/>
    <w:rsid w:val="00914030"/>
    <w:rsid w:val="0091597E"/>
    <w:rsid w:val="00920249"/>
    <w:rsid w:val="00924C80"/>
    <w:rsid w:val="0093028B"/>
    <w:rsid w:val="00932F14"/>
    <w:rsid w:val="0093355E"/>
    <w:rsid w:val="009377BB"/>
    <w:rsid w:val="0094247F"/>
    <w:rsid w:val="00942D60"/>
    <w:rsid w:val="00944BA4"/>
    <w:rsid w:val="009470C6"/>
    <w:rsid w:val="009508DE"/>
    <w:rsid w:val="00950EB6"/>
    <w:rsid w:val="00957904"/>
    <w:rsid w:val="00962A90"/>
    <w:rsid w:val="0096523B"/>
    <w:rsid w:val="00966D84"/>
    <w:rsid w:val="00966EE3"/>
    <w:rsid w:val="00972D06"/>
    <w:rsid w:val="009739C3"/>
    <w:rsid w:val="0099686D"/>
    <w:rsid w:val="009976A2"/>
    <w:rsid w:val="009A04D2"/>
    <w:rsid w:val="009A0D83"/>
    <w:rsid w:val="009A391C"/>
    <w:rsid w:val="009A50F2"/>
    <w:rsid w:val="009A5AAF"/>
    <w:rsid w:val="009A6AAA"/>
    <w:rsid w:val="009C4322"/>
    <w:rsid w:val="009D4D25"/>
    <w:rsid w:val="009D64B0"/>
    <w:rsid w:val="009D745A"/>
    <w:rsid w:val="009D790B"/>
    <w:rsid w:val="009E0A61"/>
    <w:rsid w:val="009E0B66"/>
    <w:rsid w:val="009E3010"/>
    <w:rsid w:val="009E379E"/>
    <w:rsid w:val="009E62C3"/>
    <w:rsid w:val="009F007E"/>
    <w:rsid w:val="009F7065"/>
    <w:rsid w:val="00A12B44"/>
    <w:rsid w:val="00A15034"/>
    <w:rsid w:val="00A15DA4"/>
    <w:rsid w:val="00A25093"/>
    <w:rsid w:val="00A25562"/>
    <w:rsid w:val="00A35D67"/>
    <w:rsid w:val="00A40193"/>
    <w:rsid w:val="00A4175D"/>
    <w:rsid w:val="00A431DE"/>
    <w:rsid w:val="00A43EEC"/>
    <w:rsid w:val="00A44C70"/>
    <w:rsid w:val="00A4655B"/>
    <w:rsid w:val="00A54934"/>
    <w:rsid w:val="00A56DC7"/>
    <w:rsid w:val="00A56E34"/>
    <w:rsid w:val="00A74D19"/>
    <w:rsid w:val="00A74FD1"/>
    <w:rsid w:val="00A84A58"/>
    <w:rsid w:val="00A900BE"/>
    <w:rsid w:val="00A91DF1"/>
    <w:rsid w:val="00A9544D"/>
    <w:rsid w:val="00AA1594"/>
    <w:rsid w:val="00AA3487"/>
    <w:rsid w:val="00AA4D1B"/>
    <w:rsid w:val="00AA71EA"/>
    <w:rsid w:val="00AB0275"/>
    <w:rsid w:val="00AB149B"/>
    <w:rsid w:val="00AC4859"/>
    <w:rsid w:val="00AC74CB"/>
    <w:rsid w:val="00AD22F9"/>
    <w:rsid w:val="00AD7A3D"/>
    <w:rsid w:val="00AE0264"/>
    <w:rsid w:val="00AE0E94"/>
    <w:rsid w:val="00AE4E6E"/>
    <w:rsid w:val="00AE5972"/>
    <w:rsid w:val="00AE5B5C"/>
    <w:rsid w:val="00AE766D"/>
    <w:rsid w:val="00AF06FC"/>
    <w:rsid w:val="00AF3391"/>
    <w:rsid w:val="00AF387F"/>
    <w:rsid w:val="00AF4C1B"/>
    <w:rsid w:val="00AF602C"/>
    <w:rsid w:val="00B0015B"/>
    <w:rsid w:val="00B00E7F"/>
    <w:rsid w:val="00B019B5"/>
    <w:rsid w:val="00B03CB0"/>
    <w:rsid w:val="00B07ECF"/>
    <w:rsid w:val="00B121B5"/>
    <w:rsid w:val="00B173DA"/>
    <w:rsid w:val="00B20A60"/>
    <w:rsid w:val="00B21DCC"/>
    <w:rsid w:val="00B21E0E"/>
    <w:rsid w:val="00B25F37"/>
    <w:rsid w:val="00B44422"/>
    <w:rsid w:val="00B46EA0"/>
    <w:rsid w:val="00B51ABA"/>
    <w:rsid w:val="00B51E03"/>
    <w:rsid w:val="00B5555C"/>
    <w:rsid w:val="00B71F51"/>
    <w:rsid w:val="00B731D3"/>
    <w:rsid w:val="00B74697"/>
    <w:rsid w:val="00B74758"/>
    <w:rsid w:val="00B80CB1"/>
    <w:rsid w:val="00B839A3"/>
    <w:rsid w:val="00B84817"/>
    <w:rsid w:val="00B853D2"/>
    <w:rsid w:val="00B87D2D"/>
    <w:rsid w:val="00B902BD"/>
    <w:rsid w:val="00B94729"/>
    <w:rsid w:val="00B9694C"/>
    <w:rsid w:val="00BA06F2"/>
    <w:rsid w:val="00BA2328"/>
    <w:rsid w:val="00BA24E2"/>
    <w:rsid w:val="00BB5930"/>
    <w:rsid w:val="00BB6E45"/>
    <w:rsid w:val="00BC0C70"/>
    <w:rsid w:val="00BC2754"/>
    <w:rsid w:val="00BC3D27"/>
    <w:rsid w:val="00BC7A3C"/>
    <w:rsid w:val="00BD2554"/>
    <w:rsid w:val="00BD2A39"/>
    <w:rsid w:val="00BD2E80"/>
    <w:rsid w:val="00BD74D3"/>
    <w:rsid w:val="00BE11B8"/>
    <w:rsid w:val="00BE3818"/>
    <w:rsid w:val="00BE6B55"/>
    <w:rsid w:val="00BF7FF0"/>
    <w:rsid w:val="00C0615E"/>
    <w:rsid w:val="00C07B74"/>
    <w:rsid w:val="00C12502"/>
    <w:rsid w:val="00C1266C"/>
    <w:rsid w:val="00C14FD2"/>
    <w:rsid w:val="00C1672E"/>
    <w:rsid w:val="00C21065"/>
    <w:rsid w:val="00C25E59"/>
    <w:rsid w:val="00C274CF"/>
    <w:rsid w:val="00C3226A"/>
    <w:rsid w:val="00C324D8"/>
    <w:rsid w:val="00C3605F"/>
    <w:rsid w:val="00C36578"/>
    <w:rsid w:val="00C40AA5"/>
    <w:rsid w:val="00C443BF"/>
    <w:rsid w:val="00C4557E"/>
    <w:rsid w:val="00C45DC3"/>
    <w:rsid w:val="00C45F7C"/>
    <w:rsid w:val="00C46F70"/>
    <w:rsid w:val="00C476D0"/>
    <w:rsid w:val="00C51AA7"/>
    <w:rsid w:val="00C52547"/>
    <w:rsid w:val="00C56F71"/>
    <w:rsid w:val="00C61A48"/>
    <w:rsid w:val="00C63580"/>
    <w:rsid w:val="00C65872"/>
    <w:rsid w:val="00C6763C"/>
    <w:rsid w:val="00C836E3"/>
    <w:rsid w:val="00C86577"/>
    <w:rsid w:val="00C91F2A"/>
    <w:rsid w:val="00C92E07"/>
    <w:rsid w:val="00C94942"/>
    <w:rsid w:val="00C95A55"/>
    <w:rsid w:val="00C96868"/>
    <w:rsid w:val="00C96A50"/>
    <w:rsid w:val="00CA0416"/>
    <w:rsid w:val="00CA40F2"/>
    <w:rsid w:val="00CA44F3"/>
    <w:rsid w:val="00CA7F35"/>
    <w:rsid w:val="00CB1375"/>
    <w:rsid w:val="00CB7986"/>
    <w:rsid w:val="00CC36E7"/>
    <w:rsid w:val="00CC4913"/>
    <w:rsid w:val="00CC560B"/>
    <w:rsid w:val="00CC75E2"/>
    <w:rsid w:val="00CD46EB"/>
    <w:rsid w:val="00CD4B33"/>
    <w:rsid w:val="00CD7EBF"/>
    <w:rsid w:val="00CE0AEB"/>
    <w:rsid w:val="00CE25C8"/>
    <w:rsid w:val="00D0122A"/>
    <w:rsid w:val="00D04529"/>
    <w:rsid w:val="00D056F1"/>
    <w:rsid w:val="00D062E4"/>
    <w:rsid w:val="00D06760"/>
    <w:rsid w:val="00D10816"/>
    <w:rsid w:val="00D11171"/>
    <w:rsid w:val="00D124BB"/>
    <w:rsid w:val="00D14405"/>
    <w:rsid w:val="00D16B75"/>
    <w:rsid w:val="00D17BCF"/>
    <w:rsid w:val="00D22778"/>
    <w:rsid w:val="00D22F3C"/>
    <w:rsid w:val="00D23DB6"/>
    <w:rsid w:val="00D26814"/>
    <w:rsid w:val="00D3171B"/>
    <w:rsid w:val="00D32162"/>
    <w:rsid w:val="00D33F56"/>
    <w:rsid w:val="00D43FE6"/>
    <w:rsid w:val="00D51A95"/>
    <w:rsid w:val="00D51C0A"/>
    <w:rsid w:val="00D53BFB"/>
    <w:rsid w:val="00D60568"/>
    <w:rsid w:val="00D6101C"/>
    <w:rsid w:val="00D70200"/>
    <w:rsid w:val="00D70C7A"/>
    <w:rsid w:val="00D73931"/>
    <w:rsid w:val="00D80D3B"/>
    <w:rsid w:val="00D81D38"/>
    <w:rsid w:val="00D8470F"/>
    <w:rsid w:val="00D8471A"/>
    <w:rsid w:val="00D86B62"/>
    <w:rsid w:val="00D87B03"/>
    <w:rsid w:val="00D91E44"/>
    <w:rsid w:val="00D931F9"/>
    <w:rsid w:val="00DA10A8"/>
    <w:rsid w:val="00DA24C1"/>
    <w:rsid w:val="00DA2A3A"/>
    <w:rsid w:val="00DA43BD"/>
    <w:rsid w:val="00DA4E55"/>
    <w:rsid w:val="00DB1E08"/>
    <w:rsid w:val="00DB2973"/>
    <w:rsid w:val="00DB324A"/>
    <w:rsid w:val="00DB7A08"/>
    <w:rsid w:val="00DC15E5"/>
    <w:rsid w:val="00DC1B56"/>
    <w:rsid w:val="00DC2129"/>
    <w:rsid w:val="00DC2E12"/>
    <w:rsid w:val="00DC3C72"/>
    <w:rsid w:val="00DC6570"/>
    <w:rsid w:val="00DD3C5E"/>
    <w:rsid w:val="00DE204A"/>
    <w:rsid w:val="00DE2C53"/>
    <w:rsid w:val="00DE79D9"/>
    <w:rsid w:val="00DF25C3"/>
    <w:rsid w:val="00DF690D"/>
    <w:rsid w:val="00E0105C"/>
    <w:rsid w:val="00E04062"/>
    <w:rsid w:val="00E05DC2"/>
    <w:rsid w:val="00E063C6"/>
    <w:rsid w:val="00E07188"/>
    <w:rsid w:val="00E0771B"/>
    <w:rsid w:val="00E13AD8"/>
    <w:rsid w:val="00E14C67"/>
    <w:rsid w:val="00E2003B"/>
    <w:rsid w:val="00E203C2"/>
    <w:rsid w:val="00E24DE8"/>
    <w:rsid w:val="00E279D8"/>
    <w:rsid w:val="00E301AA"/>
    <w:rsid w:val="00E319B1"/>
    <w:rsid w:val="00E334BB"/>
    <w:rsid w:val="00E40ED4"/>
    <w:rsid w:val="00E44E0D"/>
    <w:rsid w:val="00E520FE"/>
    <w:rsid w:val="00E5492F"/>
    <w:rsid w:val="00E60F16"/>
    <w:rsid w:val="00E62DEF"/>
    <w:rsid w:val="00E6645F"/>
    <w:rsid w:val="00E70A86"/>
    <w:rsid w:val="00E7121B"/>
    <w:rsid w:val="00E75054"/>
    <w:rsid w:val="00E751D6"/>
    <w:rsid w:val="00E777EC"/>
    <w:rsid w:val="00E8002E"/>
    <w:rsid w:val="00E80FCD"/>
    <w:rsid w:val="00E81F6E"/>
    <w:rsid w:val="00E865C1"/>
    <w:rsid w:val="00E87218"/>
    <w:rsid w:val="00E942D4"/>
    <w:rsid w:val="00EA32B9"/>
    <w:rsid w:val="00EA5315"/>
    <w:rsid w:val="00EA7F2F"/>
    <w:rsid w:val="00EC00DE"/>
    <w:rsid w:val="00EC0A24"/>
    <w:rsid w:val="00EC15A7"/>
    <w:rsid w:val="00EC1B46"/>
    <w:rsid w:val="00EC30E1"/>
    <w:rsid w:val="00EC64AD"/>
    <w:rsid w:val="00EC6F44"/>
    <w:rsid w:val="00ED0372"/>
    <w:rsid w:val="00ED172A"/>
    <w:rsid w:val="00ED2F61"/>
    <w:rsid w:val="00ED45D4"/>
    <w:rsid w:val="00EE0A23"/>
    <w:rsid w:val="00EE6123"/>
    <w:rsid w:val="00EE72EE"/>
    <w:rsid w:val="00EF03A4"/>
    <w:rsid w:val="00EF6A06"/>
    <w:rsid w:val="00EF6C45"/>
    <w:rsid w:val="00F03FCA"/>
    <w:rsid w:val="00F04DBF"/>
    <w:rsid w:val="00F0750B"/>
    <w:rsid w:val="00F10B9E"/>
    <w:rsid w:val="00F12626"/>
    <w:rsid w:val="00F12D7A"/>
    <w:rsid w:val="00F14BEC"/>
    <w:rsid w:val="00F22402"/>
    <w:rsid w:val="00F225C5"/>
    <w:rsid w:val="00F23765"/>
    <w:rsid w:val="00F2587A"/>
    <w:rsid w:val="00F33BB8"/>
    <w:rsid w:val="00F367E7"/>
    <w:rsid w:val="00F3715D"/>
    <w:rsid w:val="00F420C8"/>
    <w:rsid w:val="00F42937"/>
    <w:rsid w:val="00F42A4C"/>
    <w:rsid w:val="00F42FA2"/>
    <w:rsid w:val="00F5275C"/>
    <w:rsid w:val="00F533CB"/>
    <w:rsid w:val="00F53B04"/>
    <w:rsid w:val="00F604DE"/>
    <w:rsid w:val="00F62B99"/>
    <w:rsid w:val="00F638DD"/>
    <w:rsid w:val="00F64086"/>
    <w:rsid w:val="00F64653"/>
    <w:rsid w:val="00F65E0D"/>
    <w:rsid w:val="00F70002"/>
    <w:rsid w:val="00F70EE4"/>
    <w:rsid w:val="00F73C60"/>
    <w:rsid w:val="00F75F36"/>
    <w:rsid w:val="00F931BD"/>
    <w:rsid w:val="00F932BC"/>
    <w:rsid w:val="00FA0197"/>
    <w:rsid w:val="00FB1519"/>
    <w:rsid w:val="00FB1533"/>
    <w:rsid w:val="00FB6258"/>
    <w:rsid w:val="00FB67A3"/>
    <w:rsid w:val="00FB7512"/>
    <w:rsid w:val="00FC109D"/>
    <w:rsid w:val="00FC35FA"/>
    <w:rsid w:val="00FC4C1B"/>
    <w:rsid w:val="00FD095F"/>
    <w:rsid w:val="00FD2FBE"/>
    <w:rsid w:val="00FD5106"/>
    <w:rsid w:val="00FD7547"/>
    <w:rsid w:val="00FE6A6E"/>
    <w:rsid w:val="00FF21A3"/>
    <w:rsid w:val="00FF5F5C"/>
    <w:rsid w:val="00FF7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5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head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2547"/>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uiPriority w:val="99"/>
    <w:rsid w:val="006342E0"/>
    <w:rPr>
      <w:rFonts w:ascii="Arial" w:hAnsi="Arial"/>
      <w:sz w:val="22"/>
      <w:szCs w:val="24"/>
      <w:lang w:eastAsia="en-US" w:bidi="en-US"/>
    </w:rPr>
  </w:style>
  <w:style w:type="character" w:customStyle="1" w:styleId="FootnoteTextChar">
    <w:name w:val="Footnote Text Char"/>
    <w:basedOn w:val="DefaultParagraphFont"/>
    <w:link w:val="FootnoteText"/>
    <w:rsid w:val="00F42937"/>
    <w:rPr>
      <w:rFonts w:ascii="Arial" w:hAnsi="Arial"/>
      <w:lang w:eastAsia="en-US" w:bidi="en-US"/>
    </w:rPr>
  </w:style>
  <w:style w:type="paragraph" w:styleId="ListParagraph">
    <w:name w:val="List Paragraph"/>
    <w:basedOn w:val="Normal"/>
    <w:uiPriority w:val="34"/>
    <w:qFormat/>
    <w:rsid w:val="00273BFD"/>
    <w:pPr>
      <w:widowControl/>
      <w:ind w:left="720"/>
      <w:contextualSpacing/>
    </w:pPr>
    <w:rPr>
      <w:color w:val="000000"/>
      <w:lang w:val="en-AU" w:eastAsia="en-AU" w:bidi="ar-SA"/>
    </w:rPr>
  </w:style>
  <w:style w:type="table" w:styleId="LightGrid-Accent3">
    <w:name w:val="Light Grid Accent 3"/>
    <w:basedOn w:val="TableNormal"/>
    <w:uiPriority w:val="62"/>
    <w:rsid w:val="00901F4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result-url1">
    <w:name w:val="result-url1"/>
    <w:basedOn w:val="DefaultParagraphFont"/>
    <w:rsid w:val="0083410F"/>
    <w:rPr>
      <w:b w:val="0"/>
      <w:bCs w:val="0"/>
      <w:sz w:val="21"/>
      <w:szCs w:val="21"/>
    </w:rPr>
  </w:style>
  <w:style w:type="paragraph" w:customStyle="1" w:styleId="FSCbaseheading">
    <w:name w:val="FSC_base_heading"/>
    <w:rsid w:val="00D51C0A"/>
    <w:pPr>
      <w:keepNext/>
      <w:keepLines/>
      <w:spacing w:before="360"/>
      <w:ind w:left="2835" w:hanging="2835"/>
    </w:pPr>
    <w:rPr>
      <w:rFonts w:ascii="Arial" w:hAnsi="Arial" w:cs="Arial"/>
      <w:b/>
      <w:bCs/>
      <w:kern w:val="32"/>
      <w:sz w:val="24"/>
      <w:szCs w:val="32"/>
      <w:lang w:val="en-AU" w:eastAsia="en-AU"/>
    </w:rPr>
  </w:style>
  <w:style w:type="paragraph" w:customStyle="1" w:styleId="FSCbasepara">
    <w:name w:val="FSC_base_para"/>
    <w:rsid w:val="00D51C0A"/>
    <w:pPr>
      <w:keepLines/>
      <w:spacing w:before="120"/>
      <w:ind w:left="1701" w:hanging="1701"/>
    </w:pPr>
    <w:rPr>
      <w:rFonts w:ascii="Arial" w:hAnsi="Arial" w:cs="Arial"/>
      <w:iCs/>
      <w:szCs w:val="22"/>
      <w:lang w:val="en-AU" w:eastAsia="en-AU"/>
    </w:rPr>
  </w:style>
  <w:style w:type="paragraph" w:customStyle="1" w:styleId="FSCbasetbl">
    <w:name w:val="FSC_base_tbl"/>
    <w:basedOn w:val="FSCbasepara"/>
    <w:qFormat/>
    <w:rsid w:val="00D51C0A"/>
    <w:pPr>
      <w:spacing w:before="60" w:after="60"/>
      <w:ind w:left="0" w:firstLine="0"/>
    </w:pPr>
    <w:rPr>
      <w:sz w:val="18"/>
    </w:rPr>
  </w:style>
  <w:style w:type="paragraph" w:customStyle="1" w:styleId="FSCbaseTOC">
    <w:name w:val="FSC_base_TOC"/>
    <w:rsid w:val="00D51C0A"/>
    <w:pPr>
      <w:tabs>
        <w:tab w:val="right" w:pos="8278"/>
      </w:tabs>
      <w:ind w:left="2126" w:hanging="2126"/>
    </w:pPr>
    <w:rPr>
      <w:rFonts w:ascii="Arial" w:hAnsi="Arial" w:cs="Arial"/>
      <w:noProof/>
      <w:szCs w:val="22"/>
      <w:lang w:val="en-AU" w:eastAsia="en-AU"/>
    </w:rPr>
  </w:style>
  <w:style w:type="paragraph" w:customStyle="1" w:styleId="FSCDraftStrip">
    <w:name w:val="FSC_Draft_Strip"/>
    <w:aliases w:val="tt_Draft_strip"/>
    <w:basedOn w:val="Normal"/>
    <w:qFormat/>
    <w:rsid w:val="00D51C0A"/>
    <w:pPr>
      <w:widowControl/>
      <w:shd w:val="clear" w:color="auto" w:fill="99CCFF"/>
      <w:tabs>
        <w:tab w:val="center" w:pos="4253"/>
        <w:tab w:val="right" w:pos="8505"/>
      </w:tabs>
      <w:spacing w:before="400" w:after="300" w:line="260" w:lineRule="atLeast"/>
    </w:pPr>
    <w:rPr>
      <w:rFonts w:eastAsia="Calibri" w:cs="Arial"/>
      <w:b/>
      <w:sz w:val="32"/>
      <w:szCs w:val="32"/>
      <w:lang w:bidi="ar-SA"/>
    </w:rPr>
  </w:style>
  <w:style w:type="paragraph" w:customStyle="1" w:styleId="FSCfooter">
    <w:name w:val="FSC_footer"/>
    <w:basedOn w:val="Normal"/>
    <w:rsid w:val="00D51C0A"/>
    <w:pPr>
      <w:widowControl/>
      <w:tabs>
        <w:tab w:val="center" w:pos="4536"/>
        <w:tab w:val="right" w:pos="9072"/>
      </w:tabs>
    </w:pPr>
    <w:rPr>
      <w:sz w:val="18"/>
      <w:szCs w:val="20"/>
      <w:lang w:bidi="ar-SA"/>
    </w:rPr>
  </w:style>
  <w:style w:type="paragraph" w:customStyle="1" w:styleId="FSCh1Chap">
    <w:name w:val="FSC_h1_Chap"/>
    <w:aliases w:val="h1_Chap"/>
    <w:basedOn w:val="FSCbaseheading"/>
    <w:next w:val="FSCh2Part"/>
    <w:qFormat/>
    <w:rsid w:val="00D51C0A"/>
    <w:pPr>
      <w:spacing w:before="480"/>
      <w:outlineLvl w:val="0"/>
    </w:pPr>
    <w:rPr>
      <w:bCs w:val="0"/>
      <w:sz w:val="40"/>
    </w:rPr>
  </w:style>
  <w:style w:type="paragraph" w:customStyle="1" w:styleId="FSCh2Part">
    <w:name w:val="FSC_h2_Part"/>
    <w:aliases w:val="h2_Part"/>
    <w:basedOn w:val="FSCbaseheading"/>
    <w:next w:val="FSCh3Standard"/>
    <w:qFormat/>
    <w:rsid w:val="00D51C0A"/>
    <w:pPr>
      <w:outlineLvl w:val="1"/>
    </w:pPr>
    <w:rPr>
      <w:bCs w:val="0"/>
      <w:sz w:val="36"/>
      <w:szCs w:val="22"/>
    </w:rPr>
  </w:style>
  <w:style w:type="paragraph" w:customStyle="1" w:styleId="FSCh3Standard">
    <w:name w:val="FSC_h3_Standard"/>
    <w:aliases w:val="h3_Div,h1_Sch"/>
    <w:basedOn w:val="FSCbaseheading"/>
    <w:next w:val="FSCh5Section"/>
    <w:qFormat/>
    <w:rsid w:val="00D51C0A"/>
    <w:pPr>
      <w:spacing w:before="0" w:after="240"/>
      <w:outlineLvl w:val="2"/>
    </w:pPr>
    <w:rPr>
      <w:sz w:val="32"/>
    </w:rPr>
  </w:style>
  <w:style w:type="paragraph" w:customStyle="1" w:styleId="FSCh3Contents">
    <w:name w:val="FSC_h3_Contents"/>
    <w:aliases w:val="h2_Contents_Intro"/>
    <w:basedOn w:val="FSCh3Standard"/>
    <w:rsid w:val="00D51C0A"/>
    <w:pPr>
      <w:ind w:left="0" w:firstLine="0"/>
      <w:jc w:val="center"/>
    </w:pPr>
  </w:style>
  <w:style w:type="paragraph" w:customStyle="1" w:styleId="FSCh4Div">
    <w:name w:val="FSC_h4_Div"/>
    <w:aliases w:val="h4_Subdiv"/>
    <w:basedOn w:val="FSCbaseheading"/>
    <w:next w:val="FSCh5Section"/>
    <w:qFormat/>
    <w:rsid w:val="00D51C0A"/>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D51C0A"/>
    <w:pPr>
      <w:keepNext/>
      <w:keepLines/>
      <w:widowControl/>
      <w:spacing w:before="360" w:after="60"/>
      <w:ind w:left="2410" w:hanging="2410"/>
    </w:pPr>
    <w:rPr>
      <w:rFonts w:cs="Arial"/>
      <w:b/>
      <w:bCs/>
      <w:kern w:val="32"/>
      <w:sz w:val="24"/>
      <w:szCs w:val="32"/>
      <w:lang w:val="en-AU" w:eastAsia="en-AU" w:bidi="ar-SA"/>
    </w:rPr>
  </w:style>
  <w:style w:type="paragraph" w:customStyle="1" w:styleId="FSCh5SchItem">
    <w:name w:val="FSC_h5_Sch_Item"/>
    <w:basedOn w:val="Normal"/>
    <w:next w:val="FSCtAmendingwords"/>
    <w:qFormat/>
    <w:rsid w:val="00D51C0A"/>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aliases w:val="h5_Section"/>
    <w:basedOn w:val="FSCbaseheading"/>
    <w:next w:val="FSCtMain"/>
    <w:qFormat/>
    <w:rsid w:val="00D51C0A"/>
    <w:pPr>
      <w:keepLines w:val="0"/>
      <w:widowControl w:val="0"/>
      <w:spacing w:before="240" w:after="120"/>
      <w:ind w:left="1701" w:hanging="1701"/>
      <w:outlineLvl w:val="4"/>
    </w:pPr>
    <w:rPr>
      <w:rFonts w:cs="Times New Roman"/>
      <w:sz w:val="22"/>
      <w:szCs w:val="24"/>
    </w:rPr>
  </w:style>
  <w:style w:type="paragraph" w:customStyle="1" w:styleId="FSCh6Subsec">
    <w:name w:val="FSC_h6_Subsec"/>
    <w:aliases w:val="h6_Subsec"/>
    <w:basedOn w:val="FSCbaseheading"/>
    <w:next w:val="FSCtMain"/>
    <w:qFormat/>
    <w:rsid w:val="00D51C0A"/>
    <w:pPr>
      <w:keepLines w:val="0"/>
      <w:widowControl w:val="0"/>
      <w:spacing w:before="120" w:after="60"/>
      <w:ind w:left="1701" w:firstLine="0"/>
    </w:pPr>
    <w:rPr>
      <w:b w:val="0"/>
      <w:i/>
      <w:sz w:val="20"/>
    </w:rPr>
  </w:style>
  <w:style w:type="paragraph" w:customStyle="1" w:styleId="FSCtMain">
    <w:name w:val="FSC_t_Main"/>
    <w:aliases w:val="t1_Main"/>
    <w:basedOn w:val="FSCbasepara"/>
    <w:rsid w:val="00D51C0A"/>
    <w:pPr>
      <w:keepLines w:val="0"/>
      <w:widowControl w:val="0"/>
      <w:tabs>
        <w:tab w:val="left" w:pos="1134"/>
      </w:tabs>
      <w:spacing w:after="120"/>
    </w:pPr>
  </w:style>
  <w:style w:type="paragraph" w:customStyle="1" w:styleId="FSCnatHeading">
    <w:name w:val="FSC_n_at_Heading"/>
    <w:aliases w:val="n_to_Heading"/>
    <w:basedOn w:val="FSCtMain"/>
    <w:qFormat/>
    <w:rsid w:val="00D51C0A"/>
    <w:pPr>
      <w:ind w:left="851" w:hanging="851"/>
    </w:pPr>
    <w:rPr>
      <w:sz w:val="16"/>
    </w:rPr>
  </w:style>
  <w:style w:type="paragraph" w:customStyle="1" w:styleId="FSCtPara">
    <w:name w:val="FSC_t_Para"/>
    <w:aliases w:val="t2_Para"/>
    <w:basedOn w:val="FSCtMain"/>
    <w:qFormat/>
    <w:rsid w:val="00D51C0A"/>
    <w:pPr>
      <w:tabs>
        <w:tab w:val="clear" w:pos="1134"/>
        <w:tab w:val="left" w:pos="1701"/>
      </w:tabs>
      <w:spacing w:before="60" w:after="60"/>
      <w:ind w:left="2268" w:hanging="2268"/>
    </w:pPr>
  </w:style>
  <w:style w:type="paragraph" w:customStyle="1" w:styleId="FSCnMain">
    <w:name w:val="FSC_n_Main"/>
    <w:aliases w:val="n_Main"/>
    <w:basedOn w:val="FSCtPara"/>
    <w:qFormat/>
    <w:rsid w:val="00D51C0A"/>
    <w:rPr>
      <w:iCs w:val="0"/>
      <w:sz w:val="16"/>
      <w:szCs w:val="18"/>
    </w:rPr>
  </w:style>
  <w:style w:type="paragraph" w:customStyle="1" w:styleId="FSCtSubpara">
    <w:name w:val="FSC_t_Subpara"/>
    <w:aliases w:val="t3_Subpara"/>
    <w:basedOn w:val="FSCtMain"/>
    <w:qFormat/>
    <w:rsid w:val="00D51C0A"/>
    <w:pPr>
      <w:tabs>
        <w:tab w:val="clear" w:pos="1134"/>
        <w:tab w:val="left" w:pos="2268"/>
      </w:tabs>
      <w:spacing w:before="60" w:after="60"/>
      <w:ind w:left="2835" w:hanging="2835"/>
    </w:pPr>
  </w:style>
  <w:style w:type="paragraph" w:customStyle="1" w:styleId="FSCnPara">
    <w:name w:val="FSC_n_Para"/>
    <w:aliases w:val="n_Para"/>
    <w:basedOn w:val="FSCtSubpara"/>
    <w:qFormat/>
    <w:rsid w:val="00D51C0A"/>
    <w:rPr>
      <w:sz w:val="16"/>
    </w:rPr>
  </w:style>
  <w:style w:type="paragraph" w:customStyle="1" w:styleId="FSCtSubsub">
    <w:name w:val="FSC_t_Subsub"/>
    <w:aliases w:val="t4_Subsub"/>
    <w:basedOn w:val="FSCtPara"/>
    <w:qFormat/>
    <w:rsid w:val="00D51C0A"/>
    <w:pPr>
      <w:tabs>
        <w:tab w:val="clear" w:pos="1701"/>
        <w:tab w:val="left" w:pos="2835"/>
      </w:tabs>
      <w:ind w:left="3402" w:hanging="3402"/>
    </w:pPr>
  </w:style>
  <w:style w:type="paragraph" w:customStyle="1" w:styleId="FSCnSubpara">
    <w:name w:val="FSC_n_Subpara"/>
    <w:aliases w:val="n_Subpara"/>
    <w:basedOn w:val="FSCtSubsub"/>
    <w:qFormat/>
    <w:rsid w:val="00D51C0A"/>
    <w:rPr>
      <w:sz w:val="16"/>
    </w:rPr>
  </w:style>
  <w:style w:type="paragraph" w:customStyle="1" w:styleId="FSCnSubsub">
    <w:name w:val="FSC_n_Subsub"/>
    <w:aliases w:val="n_Subsubpara"/>
    <w:basedOn w:val="FSCnSubpara"/>
    <w:qFormat/>
    <w:rsid w:val="00D51C0A"/>
    <w:pPr>
      <w:tabs>
        <w:tab w:val="clear" w:pos="2835"/>
        <w:tab w:val="left" w:pos="3402"/>
      </w:tabs>
      <w:ind w:left="3969" w:hanging="3969"/>
    </w:pPr>
  </w:style>
  <w:style w:type="paragraph" w:customStyle="1" w:styleId="FSCoContents">
    <w:name w:val="FSC_o_Contents"/>
    <w:basedOn w:val="FSCh2Part"/>
    <w:rsid w:val="00D51C0A"/>
    <w:pPr>
      <w:ind w:left="0" w:firstLine="0"/>
      <w:jc w:val="center"/>
    </w:pPr>
  </w:style>
  <w:style w:type="paragraph" w:customStyle="1" w:styleId="FSCoDraftstrip">
    <w:name w:val="FSC_o_Draft_strip"/>
    <w:basedOn w:val="Normal"/>
    <w:rsid w:val="00D51C0A"/>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D51C0A"/>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D51C0A"/>
    <w:pPr>
      <w:widowControl/>
      <w:spacing w:before="80"/>
    </w:pPr>
    <w:rPr>
      <w:color w:val="7030A0"/>
      <w:lang w:eastAsia="en-AU" w:bidi="ar-SA"/>
    </w:rPr>
  </w:style>
  <w:style w:type="paragraph" w:customStyle="1" w:styleId="FSCoFooter">
    <w:name w:val="FSC_o_Footer"/>
    <w:basedOn w:val="Normal"/>
    <w:rsid w:val="00D51C0A"/>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D51C0A"/>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D51C0A"/>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D51C0A"/>
    <w:rPr>
      <w:rFonts w:ascii="Arial" w:hAnsi="Arial"/>
      <w:b/>
      <w:noProof/>
      <w:szCs w:val="24"/>
      <w:lang w:eastAsia="en-AU"/>
    </w:rPr>
  </w:style>
  <w:style w:type="paragraph" w:customStyle="1" w:styleId="FSCoParaMark">
    <w:name w:val="FSC_o_Para_Mark"/>
    <w:basedOn w:val="Normal"/>
    <w:next w:val="FSCsbFirstSection"/>
    <w:qFormat/>
    <w:rsid w:val="00D51C0A"/>
    <w:pPr>
      <w:widowControl/>
    </w:pPr>
    <w:rPr>
      <w:sz w:val="16"/>
      <w:lang w:eastAsia="en-AU" w:bidi="ar-SA"/>
    </w:rPr>
  </w:style>
  <w:style w:type="paragraph" w:customStyle="1" w:styleId="FSCoStandardEnd">
    <w:name w:val="FSC_o_Standard_End"/>
    <w:basedOn w:val="FSCtMain"/>
    <w:qFormat/>
    <w:rsid w:val="00D51C0A"/>
    <w:pPr>
      <w:jc w:val="center"/>
    </w:pPr>
    <w:rPr>
      <w:iCs w:val="0"/>
    </w:rPr>
  </w:style>
  <w:style w:type="paragraph" w:customStyle="1" w:styleId="FSCoTitleofInstrument">
    <w:name w:val="FSC_o_Title_of_Instrument"/>
    <w:basedOn w:val="Normal"/>
    <w:rsid w:val="00D51C0A"/>
    <w:pPr>
      <w:widowControl/>
      <w:spacing w:before="200"/>
    </w:pPr>
    <w:rPr>
      <w:b/>
      <w:sz w:val="32"/>
      <w:lang w:eastAsia="en-AU" w:bidi="ar-SA"/>
    </w:rPr>
  </w:style>
  <w:style w:type="paragraph" w:customStyle="1" w:styleId="FSCoutChap">
    <w:name w:val="FSC_out_Chap"/>
    <w:aliases w:val="n_outline_chapter"/>
    <w:basedOn w:val="FSCh4Div"/>
    <w:qFormat/>
    <w:rsid w:val="00D51C0A"/>
    <w:pPr>
      <w:tabs>
        <w:tab w:val="left" w:pos="1701"/>
      </w:tabs>
      <w:spacing w:after="120"/>
      <w:ind w:left="3402" w:hanging="3402"/>
    </w:pPr>
  </w:style>
  <w:style w:type="paragraph" w:customStyle="1" w:styleId="FSCoutPart">
    <w:name w:val="FSC_out_Part"/>
    <w:aliases w:val="n_outline_part"/>
    <w:basedOn w:val="FSCh5Section"/>
    <w:qFormat/>
    <w:rsid w:val="00D51C0A"/>
    <w:pPr>
      <w:keepNext w:val="0"/>
      <w:tabs>
        <w:tab w:val="left" w:pos="1701"/>
      </w:tabs>
      <w:ind w:left="3402" w:hanging="3402"/>
    </w:pPr>
  </w:style>
  <w:style w:type="paragraph" w:customStyle="1" w:styleId="FSCoutStand">
    <w:name w:val="FSC_out_Stand"/>
    <w:aliases w:val="n_outline_standard"/>
    <w:basedOn w:val="FSCtMain"/>
    <w:qFormat/>
    <w:rsid w:val="00D51C0A"/>
    <w:pPr>
      <w:tabs>
        <w:tab w:val="clear" w:pos="1134"/>
        <w:tab w:val="left" w:pos="1701"/>
      </w:tabs>
      <w:ind w:left="3402" w:hanging="3402"/>
    </w:pPr>
  </w:style>
  <w:style w:type="paragraph" w:customStyle="1" w:styleId="FSCpreActref">
    <w:name w:val="FSC_pre_Act_ref"/>
    <w:aliases w:val="tt_Authorising_Act"/>
    <w:basedOn w:val="Normal"/>
    <w:rsid w:val="00D51C0A"/>
    <w:pPr>
      <w:widowControl/>
      <w:spacing w:before="480"/>
    </w:pPr>
    <w:rPr>
      <w:rFonts w:cs="Arial"/>
      <w:i/>
      <w:sz w:val="28"/>
      <w:szCs w:val="28"/>
      <w:lang w:eastAsia="en-AU" w:bidi="ar-SA"/>
    </w:rPr>
  </w:style>
  <w:style w:type="paragraph" w:customStyle="1" w:styleId="FSCpreContents">
    <w:name w:val="FSC_pre_Contents"/>
    <w:aliases w:val="tt_Contents"/>
    <w:basedOn w:val="FSCh2Part"/>
    <w:rsid w:val="00D51C0A"/>
    <w:pPr>
      <w:ind w:left="0" w:firstLine="0"/>
      <w:jc w:val="center"/>
    </w:pPr>
    <w:rPr>
      <w:sz w:val="28"/>
    </w:rPr>
  </w:style>
  <w:style w:type="paragraph" w:customStyle="1" w:styleId="FSCpreDate">
    <w:name w:val="FSC_pre_Date"/>
    <w:aliases w:val="tt_Date_of_Standard"/>
    <w:basedOn w:val="Normal"/>
    <w:rsid w:val="00D51C0A"/>
    <w:pPr>
      <w:widowControl/>
    </w:pPr>
    <w:rPr>
      <w:rFonts w:cs="Arial"/>
      <w:i/>
      <w:sz w:val="20"/>
      <w:szCs w:val="28"/>
      <w:lang w:val="en-US" w:eastAsia="en-AU" w:bidi="ar-SA"/>
    </w:rPr>
  </w:style>
  <w:style w:type="paragraph" w:customStyle="1" w:styleId="FSCpreTitle">
    <w:name w:val="FSC_pre_Title"/>
    <w:aliases w:val="tt_Title_of_Instrument"/>
    <w:basedOn w:val="Normal"/>
    <w:rsid w:val="00D51C0A"/>
    <w:pPr>
      <w:widowControl/>
      <w:spacing w:before="1200"/>
    </w:pPr>
    <w:rPr>
      <w:b/>
      <w:sz w:val="32"/>
      <w:lang w:eastAsia="en-AU" w:bidi="ar-SA"/>
    </w:rPr>
  </w:style>
  <w:style w:type="paragraph" w:customStyle="1" w:styleId="FSCsbFirstSection">
    <w:name w:val="FSC_sb_First_Section"/>
    <w:basedOn w:val="Normal"/>
    <w:qFormat/>
    <w:rsid w:val="00D51C0A"/>
    <w:pPr>
      <w:widowControl/>
      <w:spacing w:line="160" w:lineRule="exact"/>
    </w:pPr>
    <w:rPr>
      <w:sz w:val="16"/>
      <w:lang w:eastAsia="en-AU" w:bidi="ar-SA"/>
    </w:rPr>
  </w:style>
  <w:style w:type="paragraph" w:customStyle="1" w:styleId="FSCsbContents">
    <w:name w:val="FSC_sb_Contents"/>
    <w:basedOn w:val="FSCsbFirstSection"/>
    <w:qFormat/>
    <w:rsid w:val="00D51C0A"/>
  </w:style>
  <w:style w:type="paragraph" w:customStyle="1" w:styleId="FSCsbMainSection">
    <w:name w:val="FSC_sb_Main_Section"/>
    <w:basedOn w:val="FSCsbFirstSection"/>
    <w:qFormat/>
    <w:rsid w:val="00D51C0A"/>
    <w:rPr>
      <w:b/>
      <w:bCs/>
      <w:kern w:val="32"/>
    </w:rPr>
  </w:style>
  <w:style w:type="paragraph" w:customStyle="1" w:styleId="FSCsbSchedules">
    <w:name w:val="FSC_sb_Schedules"/>
    <w:basedOn w:val="FSCsbFirstSection"/>
    <w:qFormat/>
    <w:rsid w:val="00D51C0A"/>
  </w:style>
  <w:style w:type="paragraph" w:customStyle="1" w:styleId="FSCtAmendingwords">
    <w:name w:val="FSC_t_Amending_words"/>
    <w:basedOn w:val="FSCbasepara"/>
    <w:qFormat/>
    <w:rsid w:val="00D51C0A"/>
    <w:pPr>
      <w:ind w:firstLine="0"/>
    </w:pPr>
    <w:rPr>
      <w:i/>
    </w:rPr>
  </w:style>
  <w:style w:type="paragraph" w:customStyle="1" w:styleId="FSCtDefn">
    <w:name w:val="FSC_t_Defn"/>
    <w:aliases w:val="t1_Defn"/>
    <w:basedOn w:val="FSCtMain"/>
    <w:rsid w:val="00D51C0A"/>
    <w:pPr>
      <w:ind w:firstLine="0"/>
    </w:pPr>
  </w:style>
  <w:style w:type="paragraph" w:customStyle="1" w:styleId="FSCtblAh2">
    <w:name w:val="FSC_tbl_A_h2"/>
    <w:aliases w:val="tbA_h2"/>
    <w:basedOn w:val="Normal"/>
    <w:next w:val="Normal"/>
    <w:rsid w:val="00D51C0A"/>
    <w:pPr>
      <w:keepNext/>
      <w:keepLines/>
      <w:widowControl/>
      <w:spacing w:before="200"/>
      <w:jc w:val="center"/>
    </w:pPr>
    <w:rPr>
      <w:rFonts w:cs="Arial"/>
      <w:b/>
      <w:sz w:val="18"/>
      <w:szCs w:val="22"/>
      <w:lang w:eastAsia="en-AU" w:bidi="ar-SA"/>
    </w:rPr>
  </w:style>
  <w:style w:type="paragraph" w:customStyle="1" w:styleId="FSCtblAh3">
    <w:name w:val="FSC_tbl_A_h3"/>
    <w:aliases w:val="tbA_h3"/>
    <w:basedOn w:val="Normal"/>
    <w:next w:val="Normal"/>
    <w:rsid w:val="00D51C0A"/>
    <w:pPr>
      <w:keepNext/>
      <w:keepLines/>
      <w:widowControl/>
      <w:spacing w:before="60" w:after="60"/>
    </w:pPr>
    <w:rPr>
      <w:rFonts w:cs="Arial"/>
      <w:b/>
      <w:i/>
      <w:sz w:val="18"/>
      <w:szCs w:val="22"/>
      <w:lang w:eastAsia="en-AU" w:bidi="ar-SA"/>
    </w:rPr>
  </w:style>
  <w:style w:type="paragraph" w:customStyle="1" w:styleId="FSCtblAh3MRA">
    <w:name w:val="FSC_tbl_A_h3_MRA"/>
    <w:aliases w:val="tba_h3_MRA"/>
    <w:basedOn w:val="FSCtblAh3"/>
    <w:rsid w:val="00D51C0A"/>
    <w:pPr>
      <w:pBdr>
        <w:top w:val="single" w:sz="4" w:space="1" w:color="auto"/>
      </w:pBdr>
      <w:spacing w:before="140"/>
    </w:pPr>
    <w:rPr>
      <w:bCs/>
      <w:i w:val="0"/>
    </w:rPr>
  </w:style>
  <w:style w:type="paragraph" w:customStyle="1" w:styleId="FSCtblAh4">
    <w:name w:val="FSC_tbl_A_h4"/>
    <w:aliases w:val="tbA_h4"/>
    <w:basedOn w:val="Normal"/>
    <w:next w:val="Normal"/>
    <w:rsid w:val="00D51C0A"/>
    <w:pPr>
      <w:keepNext/>
      <w:keepLines/>
      <w:widowControl/>
      <w:spacing w:before="60" w:after="60"/>
    </w:pPr>
    <w:rPr>
      <w:rFonts w:cs="Arial"/>
      <w:i/>
      <w:sz w:val="18"/>
      <w:szCs w:val="22"/>
      <w:lang w:eastAsia="en-AU" w:bidi="ar-SA"/>
    </w:rPr>
  </w:style>
  <w:style w:type="paragraph" w:customStyle="1" w:styleId="FSCtblAh4MRA">
    <w:name w:val="FSC_tbl_A_h4_MRA"/>
    <w:aliases w:val="tbA_h4_MRA"/>
    <w:basedOn w:val="FSCtblAh4"/>
    <w:rsid w:val="00D51C0A"/>
    <w:pPr>
      <w:widowControl w:val="0"/>
      <w:pBdr>
        <w:bottom w:val="single" w:sz="4" w:space="1" w:color="auto"/>
      </w:pBdr>
      <w:jc w:val="center"/>
    </w:pPr>
    <w:rPr>
      <w:iCs/>
    </w:rPr>
  </w:style>
  <w:style w:type="paragraph" w:customStyle="1" w:styleId="FSCtblAMain">
    <w:name w:val="FSC_tbl_A_Main"/>
    <w:aliases w:val="tbA_t1_Item"/>
    <w:basedOn w:val="FSCbasetbl"/>
    <w:qFormat/>
    <w:rsid w:val="00D51C0A"/>
    <w:rPr>
      <w:iCs w:val="0"/>
    </w:rPr>
  </w:style>
  <w:style w:type="paragraph" w:customStyle="1" w:styleId="FSCtblAMainMRA">
    <w:name w:val="FSC_tbl_A_Main_MRA"/>
    <w:aliases w:val="tbA_t1_item_MRA"/>
    <w:basedOn w:val="FSCtblAMain"/>
    <w:rsid w:val="00D51C0A"/>
    <w:pPr>
      <w:tabs>
        <w:tab w:val="right" w:pos="3969"/>
      </w:tabs>
      <w:spacing w:before="0" w:after="0"/>
    </w:pPr>
    <w:rPr>
      <w:szCs w:val="20"/>
    </w:rPr>
  </w:style>
  <w:style w:type="paragraph" w:customStyle="1" w:styleId="FSCtblAPara">
    <w:name w:val="FSC_tbl_A_Para"/>
    <w:aliases w:val="tbA_t2_Para"/>
    <w:basedOn w:val="FSCtblAMain"/>
    <w:rsid w:val="00D51C0A"/>
    <w:pPr>
      <w:ind w:left="397" w:hanging="397"/>
    </w:pPr>
  </w:style>
  <w:style w:type="paragraph" w:customStyle="1" w:styleId="FSCtblASubpara">
    <w:name w:val="FSC_tbl_A_Subpara"/>
    <w:aliases w:val="tbA_t2_Subpara"/>
    <w:basedOn w:val="FSCtblAMain"/>
    <w:rsid w:val="00D51C0A"/>
    <w:pPr>
      <w:ind w:left="794" w:hanging="397"/>
    </w:pPr>
  </w:style>
  <w:style w:type="paragraph" w:customStyle="1" w:styleId="FSCtblBh2">
    <w:name w:val="FSC_tbl_B_h2"/>
    <w:aliases w:val="tbB_h2"/>
    <w:basedOn w:val="FSCtblAh2"/>
    <w:qFormat/>
    <w:rsid w:val="00D51C0A"/>
    <w:pPr>
      <w:spacing w:before="240" w:after="120"/>
    </w:pPr>
    <w:rPr>
      <w:color w:val="000000"/>
    </w:rPr>
  </w:style>
  <w:style w:type="paragraph" w:customStyle="1" w:styleId="FSCtblBh3">
    <w:name w:val="FSC_tbl_B_h3"/>
    <w:aliases w:val="tbB_h3"/>
    <w:basedOn w:val="FSCtblAMain"/>
    <w:next w:val="Normal"/>
    <w:qFormat/>
    <w:rsid w:val="00D51C0A"/>
    <w:pPr>
      <w:ind w:left="1701"/>
    </w:pPr>
    <w:rPr>
      <w:b/>
      <w:i/>
    </w:rPr>
  </w:style>
  <w:style w:type="paragraph" w:customStyle="1" w:styleId="FSCtblBh4">
    <w:name w:val="FSC_tbl_B_h4"/>
    <w:aliases w:val="tbB_h4"/>
    <w:basedOn w:val="FSCtblAMain"/>
    <w:next w:val="Normal"/>
    <w:qFormat/>
    <w:rsid w:val="00D51C0A"/>
    <w:pPr>
      <w:ind w:left="1701"/>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header"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2547"/>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uiPriority w:val="99"/>
    <w:rsid w:val="006342E0"/>
    <w:rPr>
      <w:rFonts w:ascii="Arial" w:hAnsi="Arial"/>
      <w:sz w:val="22"/>
      <w:szCs w:val="24"/>
      <w:lang w:eastAsia="en-US" w:bidi="en-US"/>
    </w:rPr>
  </w:style>
  <w:style w:type="character" w:customStyle="1" w:styleId="FootnoteTextChar">
    <w:name w:val="Footnote Text Char"/>
    <w:basedOn w:val="DefaultParagraphFont"/>
    <w:link w:val="FootnoteText"/>
    <w:rsid w:val="00F42937"/>
    <w:rPr>
      <w:rFonts w:ascii="Arial" w:hAnsi="Arial"/>
      <w:lang w:eastAsia="en-US" w:bidi="en-US"/>
    </w:rPr>
  </w:style>
  <w:style w:type="paragraph" w:styleId="ListParagraph">
    <w:name w:val="List Paragraph"/>
    <w:basedOn w:val="Normal"/>
    <w:uiPriority w:val="34"/>
    <w:qFormat/>
    <w:rsid w:val="00273BFD"/>
    <w:pPr>
      <w:widowControl/>
      <w:ind w:left="720"/>
      <w:contextualSpacing/>
    </w:pPr>
    <w:rPr>
      <w:color w:val="000000"/>
      <w:lang w:val="en-AU" w:eastAsia="en-AU" w:bidi="ar-SA"/>
    </w:rPr>
  </w:style>
  <w:style w:type="table" w:styleId="LightGrid-Accent3">
    <w:name w:val="Light Grid Accent 3"/>
    <w:basedOn w:val="TableNormal"/>
    <w:uiPriority w:val="62"/>
    <w:rsid w:val="00901F4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result-url1">
    <w:name w:val="result-url1"/>
    <w:basedOn w:val="DefaultParagraphFont"/>
    <w:rsid w:val="0083410F"/>
    <w:rPr>
      <w:b w:val="0"/>
      <w:bCs w:val="0"/>
      <w:sz w:val="21"/>
      <w:szCs w:val="21"/>
    </w:rPr>
  </w:style>
  <w:style w:type="paragraph" w:customStyle="1" w:styleId="FSCbaseheading">
    <w:name w:val="FSC_base_heading"/>
    <w:rsid w:val="00D51C0A"/>
    <w:pPr>
      <w:keepNext/>
      <w:keepLines/>
      <w:spacing w:before="360"/>
      <w:ind w:left="2835" w:hanging="2835"/>
    </w:pPr>
    <w:rPr>
      <w:rFonts w:ascii="Arial" w:hAnsi="Arial" w:cs="Arial"/>
      <w:b/>
      <w:bCs/>
      <w:kern w:val="32"/>
      <w:sz w:val="24"/>
      <w:szCs w:val="32"/>
      <w:lang w:val="en-AU" w:eastAsia="en-AU"/>
    </w:rPr>
  </w:style>
  <w:style w:type="paragraph" w:customStyle="1" w:styleId="FSCbasepara">
    <w:name w:val="FSC_base_para"/>
    <w:rsid w:val="00D51C0A"/>
    <w:pPr>
      <w:keepLines/>
      <w:spacing w:before="120"/>
      <w:ind w:left="1701" w:hanging="1701"/>
    </w:pPr>
    <w:rPr>
      <w:rFonts w:ascii="Arial" w:hAnsi="Arial" w:cs="Arial"/>
      <w:iCs/>
      <w:szCs w:val="22"/>
      <w:lang w:val="en-AU" w:eastAsia="en-AU"/>
    </w:rPr>
  </w:style>
  <w:style w:type="paragraph" w:customStyle="1" w:styleId="FSCbasetbl">
    <w:name w:val="FSC_base_tbl"/>
    <w:basedOn w:val="FSCbasepara"/>
    <w:qFormat/>
    <w:rsid w:val="00D51C0A"/>
    <w:pPr>
      <w:spacing w:before="60" w:after="60"/>
      <w:ind w:left="0" w:firstLine="0"/>
    </w:pPr>
    <w:rPr>
      <w:sz w:val="18"/>
    </w:rPr>
  </w:style>
  <w:style w:type="paragraph" w:customStyle="1" w:styleId="FSCbaseTOC">
    <w:name w:val="FSC_base_TOC"/>
    <w:rsid w:val="00D51C0A"/>
    <w:pPr>
      <w:tabs>
        <w:tab w:val="right" w:pos="8278"/>
      </w:tabs>
      <w:ind w:left="2126" w:hanging="2126"/>
    </w:pPr>
    <w:rPr>
      <w:rFonts w:ascii="Arial" w:hAnsi="Arial" w:cs="Arial"/>
      <w:noProof/>
      <w:szCs w:val="22"/>
      <w:lang w:val="en-AU" w:eastAsia="en-AU"/>
    </w:rPr>
  </w:style>
  <w:style w:type="paragraph" w:customStyle="1" w:styleId="FSCDraftStrip">
    <w:name w:val="FSC_Draft_Strip"/>
    <w:aliases w:val="tt_Draft_strip"/>
    <w:basedOn w:val="Normal"/>
    <w:qFormat/>
    <w:rsid w:val="00D51C0A"/>
    <w:pPr>
      <w:widowControl/>
      <w:shd w:val="clear" w:color="auto" w:fill="99CCFF"/>
      <w:tabs>
        <w:tab w:val="center" w:pos="4253"/>
        <w:tab w:val="right" w:pos="8505"/>
      </w:tabs>
      <w:spacing w:before="400" w:after="300" w:line="260" w:lineRule="atLeast"/>
    </w:pPr>
    <w:rPr>
      <w:rFonts w:eastAsia="Calibri" w:cs="Arial"/>
      <w:b/>
      <w:sz w:val="32"/>
      <w:szCs w:val="32"/>
      <w:lang w:bidi="ar-SA"/>
    </w:rPr>
  </w:style>
  <w:style w:type="paragraph" w:customStyle="1" w:styleId="FSCfooter">
    <w:name w:val="FSC_footer"/>
    <w:basedOn w:val="Normal"/>
    <w:rsid w:val="00D51C0A"/>
    <w:pPr>
      <w:widowControl/>
      <w:tabs>
        <w:tab w:val="center" w:pos="4536"/>
        <w:tab w:val="right" w:pos="9072"/>
      </w:tabs>
    </w:pPr>
    <w:rPr>
      <w:sz w:val="18"/>
      <w:szCs w:val="20"/>
      <w:lang w:bidi="ar-SA"/>
    </w:rPr>
  </w:style>
  <w:style w:type="paragraph" w:customStyle="1" w:styleId="FSCh1Chap">
    <w:name w:val="FSC_h1_Chap"/>
    <w:aliases w:val="h1_Chap"/>
    <w:basedOn w:val="FSCbaseheading"/>
    <w:next w:val="FSCh2Part"/>
    <w:qFormat/>
    <w:rsid w:val="00D51C0A"/>
    <w:pPr>
      <w:spacing w:before="480"/>
      <w:outlineLvl w:val="0"/>
    </w:pPr>
    <w:rPr>
      <w:bCs w:val="0"/>
      <w:sz w:val="40"/>
    </w:rPr>
  </w:style>
  <w:style w:type="paragraph" w:customStyle="1" w:styleId="FSCh2Part">
    <w:name w:val="FSC_h2_Part"/>
    <w:aliases w:val="h2_Part"/>
    <w:basedOn w:val="FSCbaseheading"/>
    <w:next w:val="FSCh3Standard"/>
    <w:qFormat/>
    <w:rsid w:val="00D51C0A"/>
    <w:pPr>
      <w:outlineLvl w:val="1"/>
    </w:pPr>
    <w:rPr>
      <w:bCs w:val="0"/>
      <w:sz w:val="36"/>
      <w:szCs w:val="22"/>
    </w:rPr>
  </w:style>
  <w:style w:type="paragraph" w:customStyle="1" w:styleId="FSCh3Standard">
    <w:name w:val="FSC_h3_Standard"/>
    <w:aliases w:val="h3_Div,h1_Sch"/>
    <w:basedOn w:val="FSCbaseheading"/>
    <w:next w:val="FSCh5Section"/>
    <w:qFormat/>
    <w:rsid w:val="00D51C0A"/>
    <w:pPr>
      <w:spacing w:before="0" w:after="240"/>
      <w:outlineLvl w:val="2"/>
    </w:pPr>
    <w:rPr>
      <w:sz w:val="32"/>
    </w:rPr>
  </w:style>
  <w:style w:type="paragraph" w:customStyle="1" w:styleId="FSCh3Contents">
    <w:name w:val="FSC_h3_Contents"/>
    <w:aliases w:val="h2_Contents_Intro"/>
    <w:basedOn w:val="FSCh3Standard"/>
    <w:rsid w:val="00D51C0A"/>
    <w:pPr>
      <w:ind w:left="0" w:firstLine="0"/>
      <w:jc w:val="center"/>
    </w:pPr>
  </w:style>
  <w:style w:type="paragraph" w:customStyle="1" w:styleId="FSCh4Div">
    <w:name w:val="FSC_h4_Div"/>
    <w:aliases w:val="h4_Subdiv"/>
    <w:basedOn w:val="FSCbaseheading"/>
    <w:next w:val="FSCh5Section"/>
    <w:qFormat/>
    <w:rsid w:val="00D51C0A"/>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D51C0A"/>
    <w:pPr>
      <w:keepNext/>
      <w:keepLines/>
      <w:widowControl/>
      <w:spacing w:before="360" w:after="60"/>
      <w:ind w:left="2410" w:hanging="2410"/>
    </w:pPr>
    <w:rPr>
      <w:rFonts w:cs="Arial"/>
      <w:b/>
      <w:bCs/>
      <w:kern w:val="32"/>
      <w:sz w:val="24"/>
      <w:szCs w:val="32"/>
      <w:lang w:val="en-AU" w:eastAsia="en-AU" w:bidi="ar-SA"/>
    </w:rPr>
  </w:style>
  <w:style w:type="paragraph" w:customStyle="1" w:styleId="FSCh5SchItem">
    <w:name w:val="FSC_h5_Sch_Item"/>
    <w:basedOn w:val="Normal"/>
    <w:next w:val="FSCtAmendingwords"/>
    <w:qFormat/>
    <w:rsid w:val="00D51C0A"/>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aliases w:val="h5_Section"/>
    <w:basedOn w:val="FSCbaseheading"/>
    <w:next w:val="FSCtMain"/>
    <w:qFormat/>
    <w:rsid w:val="00D51C0A"/>
    <w:pPr>
      <w:keepLines w:val="0"/>
      <w:widowControl w:val="0"/>
      <w:spacing w:before="240" w:after="120"/>
      <w:ind w:left="1701" w:hanging="1701"/>
      <w:outlineLvl w:val="4"/>
    </w:pPr>
    <w:rPr>
      <w:rFonts w:cs="Times New Roman"/>
      <w:sz w:val="22"/>
      <w:szCs w:val="24"/>
    </w:rPr>
  </w:style>
  <w:style w:type="paragraph" w:customStyle="1" w:styleId="FSCh6Subsec">
    <w:name w:val="FSC_h6_Subsec"/>
    <w:aliases w:val="h6_Subsec"/>
    <w:basedOn w:val="FSCbaseheading"/>
    <w:next w:val="FSCtMain"/>
    <w:qFormat/>
    <w:rsid w:val="00D51C0A"/>
    <w:pPr>
      <w:keepLines w:val="0"/>
      <w:widowControl w:val="0"/>
      <w:spacing w:before="120" w:after="60"/>
      <w:ind w:left="1701" w:firstLine="0"/>
    </w:pPr>
    <w:rPr>
      <w:b w:val="0"/>
      <w:i/>
      <w:sz w:val="20"/>
    </w:rPr>
  </w:style>
  <w:style w:type="paragraph" w:customStyle="1" w:styleId="FSCtMain">
    <w:name w:val="FSC_t_Main"/>
    <w:aliases w:val="t1_Main"/>
    <w:basedOn w:val="FSCbasepara"/>
    <w:rsid w:val="00D51C0A"/>
    <w:pPr>
      <w:keepLines w:val="0"/>
      <w:widowControl w:val="0"/>
      <w:tabs>
        <w:tab w:val="left" w:pos="1134"/>
      </w:tabs>
      <w:spacing w:after="120"/>
    </w:pPr>
  </w:style>
  <w:style w:type="paragraph" w:customStyle="1" w:styleId="FSCnatHeading">
    <w:name w:val="FSC_n_at_Heading"/>
    <w:aliases w:val="n_to_Heading"/>
    <w:basedOn w:val="FSCtMain"/>
    <w:qFormat/>
    <w:rsid w:val="00D51C0A"/>
    <w:pPr>
      <w:ind w:left="851" w:hanging="851"/>
    </w:pPr>
    <w:rPr>
      <w:sz w:val="16"/>
    </w:rPr>
  </w:style>
  <w:style w:type="paragraph" w:customStyle="1" w:styleId="FSCtPara">
    <w:name w:val="FSC_t_Para"/>
    <w:aliases w:val="t2_Para"/>
    <w:basedOn w:val="FSCtMain"/>
    <w:qFormat/>
    <w:rsid w:val="00D51C0A"/>
    <w:pPr>
      <w:tabs>
        <w:tab w:val="clear" w:pos="1134"/>
        <w:tab w:val="left" w:pos="1701"/>
      </w:tabs>
      <w:spacing w:before="60" w:after="60"/>
      <w:ind w:left="2268" w:hanging="2268"/>
    </w:pPr>
  </w:style>
  <w:style w:type="paragraph" w:customStyle="1" w:styleId="FSCnMain">
    <w:name w:val="FSC_n_Main"/>
    <w:aliases w:val="n_Main"/>
    <w:basedOn w:val="FSCtPara"/>
    <w:qFormat/>
    <w:rsid w:val="00D51C0A"/>
    <w:rPr>
      <w:iCs w:val="0"/>
      <w:sz w:val="16"/>
      <w:szCs w:val="18"/>
    </w:rPr>
  </w:style>
  <w:style w:type="paragraph" w:customStyle="1" w:styleId="FSCtSubpara">
    <w:name w:val="FSC_t_Subpara"/>
    <w:aliases w:val="t3_Subpara"/>
    <w:basedOn w:val="FSCtMain"/>
    <w:qFormat/>
    <w:rsid w:val="00D51C0A"/>
    <w:pPr>
      <w:tabs>
        <w:tab w:val="clear" w:pos="1134"/>
        <w:tab w:val="left" w:pos="2268"/>
      </w:tabs>
      <w:spacing w:before="60" w:after="60"/>
      <w:ind w:left="2835" w:hanging="2835"/>
    </w:pPr>
  </w:style>
  <w:style w:type="paragraph" w:customStyle="1" w:styleId="FSCnPara">
    <w:name w:val="FSC_n_Para"/>
    <w:aliases w:val="n_Para"/>
    <w:basedOn w:val="FSCtSubpara"/>
    <w:qFormat/>
    <w:rsid w:val="00D51C0A"/>
    <w:rPr>
      <w:sz w:val="16"/>
    </w:rPr>
  </w:style>
  <w:style w:type="paragraph" w:customStyle="1" w:styleId="FSCtSubsub">
    <w:name w:val="FSC_t_Subsub"/>
    <w:aliases w:val="t4_Subsub"/>
    <w:basedOn w:val="FSCtPara"/>
    <w:qFormat/>
    <w:rsid w:val="00D51C0A"/>
    <w:pPr>
      <w:tabs>
        <w:tab w:val="clear" w:pos="1701"/>
        <w:tab w:val="left" w:pos="2835"/>
      </w:tabs>
      <w:ind w:left="3402" w:hanging="3402"/>
    </w:pPr>
  </w:style>
  <w:style w:type="paragraph" w:customStyle="1" w:styleId="FSCnSubpara">
    <w:name w:val="FSC_n_Subpara"/>
    <w:aliases w:val="n_Subpara"/>
    <w:basedOn w:val="FSCtSubsub"/>
    <w:qFormat/>
    <w:rsid w:val="00D51C0A"/>
    <w:rPr>
      <w:sz w:val="16"/>
    </w:rPr>
  </w:style>
  <w:style w:type="paragraph" w:customStyle="1" w:styleId="FSCnSubsub">
    <w:name w:val="FSC_n_Subsub"/>
    <w:aliases w:val="n_Subsubpara"/>
    <w:basedOn w:val="FSCnSubpara"/>
    <w:qFormat/>
    <w:rsid w:val="00D51C0A"/>
    <w:pPr>
      <w:tabs>
        <w:tab w:val="clear" w:pos="2835"/>
        <w:tab w:val="left" w:pos="3402"/>
      </w:tabs>
      <w:ind w:left="3969" w:hanging="3969"/>
    </w:pPr>
  </w:style>
  <w:style w:type="paragraph" w:customStyle="1" w:styleId="FSCoContents">
    <w:name w:val="FSC_o_Contents"/>
    <w:basedOn w:val="FSCh2Part"/>
    <w:rsid w:val="00D51C0A"/>
    <w:pPr>
      <w:ind w:left="0" w:firstLine="0"/>
      <w:jc w:val="center"/>
    </w:pPr>
  </w:style>
  <w:style w:type="paragraph" w:customStyle="1" w:styleId="FSCoDraftstrip">
    <w:name w:val="FSC_o_Draft_strip"/>
    <w:basedOn w:val="Normal"/>
    <w:rsid w:val="00D51C0A"/>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D51C0A"/>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D51C0A"/>
    <w:pPr>
      <w:widowControl/>
      <w:spacing w:before="80"/>
    </w:pPr>
    <w:rPr>
      <w:color w:val="7030A0"/>
      <w:lang w:eastAsia="en-AU" w:bidi="ar-SA"/>
    </w:rPr>
  </w:style>
  <w:style w:type="paragraph" w:customStyle="1" w:styleId="FSCoFooter">
    <w:name w:val="FSC_o_Footer"/>
    <w:basedOn w:val="Normal"/>
    <w:rsid w:val="00D51C0A"/>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D51C0A"/>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D51C0A"/>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D51C0A"/>
    <w:rPr>
      <w:rFonts w:ascii="Arial" w:hAnsi="Arial"/>
      <w:b/>
      <w:noProof/>
      <w:szCs w:val="24"/>
      <w:lang w:eastAsia="en-AU"/>
    </w:rPr>
  </w:style>
  <w:style w:type="paragraph" w:customStyle="1" w:styleId="FSCoParaMark">
    <w:name w:val="FSC_o_Para_Mark"/>
    <w:basedOn w:val="Normal"/>
    <w:next w:val="FSCsbFirstSection"/>
    <w:qFormat/>
    <w:rsid w:val="00D51C0A"/>
    <w:pPr>
      <w:widowControl/>
    </w:pPr>
    <w:rPr>
      <w:sz w:val="16"/>
      <w:lang w:eastAsia="en-AU" w:bidi="ar-SA"/>
    </w:rPr>
  </w:style>
  <w:style w:type="paragraph" w:customStyle="1" w:styleId="FSCoStandardEnd">
    <w:name w:val="FSC_o_Standard_End"/>
    <w:basedOn w:val="FSCtMain"/>
    <w:qFormat/>
    <w:rsid w:val="00D51C0A"/>
    <w:pPr>
      <w:jc w:val="center"/>
    </w:pPr>
    <w:rPr>
      <w:iCs w:val="0"/>
    </w:rPr>
  </w:style>
  <w:style w:type="paragraph" w:customStyle="1" w:styleId="FSCoTitleofInstrument">
    <w:name w:val="FSC_o_Title_of_Instrument"/>
    <w:basedOn w:val="Normal"/>
    <w:rsid w:val="00D51C0A"/>
    <w:pPr>
      <w:widowControl/>
      <w:spacing w:before="200"/>
    </w:pPr>
    <w:rPr>
      <w:b/>
      <w:sz w:val="32"/>
      <w:lang w:eastAsia="en-AU" w:bidi="ar-SA"/>
    </w:rPr>
  </w:style>
  <w:style w:type="paragraph" w:customStyle="1" w:styleId="FSCoutChap">
    <w:name w:val="FSC_out_Chap"/>
    <w:aliases w:val="n_outline_chapter"/>
    <w:basedOn w:val="FSCh4Div"/>
    <w:qFormat/>
    <w:rsid w:val="00D51C0A"/>
    <w:pPr>
      <w:tabs>
        <w:tab w:val="left" w:pos="1701"/>
      </w:tabs>
      <w:spacing w:after="120"/>
      <w:ind w:left="3402" w:hanging="3402"/>
    </w:pPr>
  </w:style>
  <w:style w:type="paragraph" w:customStyle="1" w:styleId="FSCoutPart">
    <w:name w:val="FSC_out_Part"/>
    <w:aliases w:val="n_outline_part"/>
    <w:basedOn w:val="FSCh5Section"/>
    <w:qFormat/>
    <w:rsid w:val="00D51C0A"/>
    <w:pPr>
      <w:keepNext w:val="0"/>
      <w:tabs>
        <w:tab w:val="left" w:pos="1701"/>
      </w:tabs>
      <w:ind w:left="3402" w:hanging="3402"/>
    </w:pPr>
  </w:style>
  <w:style w:type="paragraph" w:customStyle="1" w:styleId="FSCoutStand">
    <w:name w:val="FSC_out_Stand"/>
    <w:aliases w:val="n_outline_standard"/>
    <w:basedOn w:val="FSCtMain"/>
    <w:qFormat/>
    <w:rsid w:val="00D51C0A"/>
    <w:pPr>
      <w:tabs>
        <w:tab w:val="clear" w:pos="1134"/>
        <w:tab w:val="left" w:pos="1701"/>
      </w:tabs>
      <w:ind w:left="3402" w:hanging="3402"/>
    </w:pPr>
  </w:style>
  <w:style w:type="paragraph" w:customStyle="1" w:styleId="FSCpreActref">
    <w:name w:val="FSC_pre_Act_ref"/>
    <w:aliases w:val="tt_Authorising_Act"/>
    <w:basedOn w:val="Normal"/>
    <w:rsid w:val="00D51C0A"/>
    <w:pPr>
      <w:widowControl/>
      <w:spacing w:before="480"/>
    </w:pPr>
    <w:rPr>
      <w:rFonts w:cs="Arial"/>
      <w:i/>
      <w:sz w:val="28"/>
      <w:szCs w:val="28"/>
      <w:lang w:eastAsia="en-AU" w:bidi="ar-SA"/>
    </w:rPr>
  </w:style>
  <w:style w:type="paragraph" w:customStyle="1" w:styleId="FSCpreContents">
    <w:name w:val="FSC_pre_Contents"/>
    <w:aliases w:val="tt_Contents"/>
    <w:basedOn w:val="FSCh2Part"/>
    <w:rsid w:val="00D51C0A"/>
    <w:pPr>
      <w:ind w:left="0" w:firstLine="0"/>
      <w:jc w:val="center"/>
    </w:pPr>
    <w:rPr>
      <w:sz w:val="28"/>
    </w:rPr>
  </w:style>
  <w:style w:type="paragraph" w:customStyle="1" w:styleId="FSCpreDate">
    <w:name w:val="FSC_pre_Date"/>
    <w:aliases w:val="tt_Date_of_Standard"/>
    <w:basedOn w:val="Normal"/>
    <w:rsid w:val="00D51C0A"/>
    <w:pPr>
      <w:widowControl/>
    </w:pPr>
    <w:rPr>
      <w:rFonts w:cs="Arial"/>
      <w:i/>
      <w:sz w:val="20"/>
      <w:szCs w:val="28"/>
      <w:lang w:val="en-US" w:eastAsia="en-AU" w:bidi="ar-SA"/>
    </w:rPr>
  </w:style>
  <w:style w:type="paragraph" w:customStyle="1" w:styleId="FSCpreTitle">
    <w:name w:val="FSC_pre_Title"/>
    <w:aliases w:val="tt_Title_of_Instrument"/>
    <w:basedOn w:val="Normal"/>
    <w:rsid w:val="00D51C0A"/>
    <w:pPr>
      <w:widowControl/>
      <w:spacing w:before="1200"/>
    </w:pPr>
    <w:rPr>
      <w:b/>
      <w:sz w:val="32"/>
      <w:lang w:eastAsia="en-AU" w:bidi="ar-SA"/>
    </w:rPr>
  </w:style>
  <w:style w:type="paragraph" w:customStyle="1" w:styleId="FSCsbFirstSection">
    <w:name w:val="FSC_sb_First_Section"/>
    <w:basedOn w:val="Normal"/>
    <w:qFormat/>
    <w:rsid w:val="00D51C0A"/>
    <w:pPr>
      <w:widowControl/>
      <w:spacing w:line="160" w:lineRule="exact"/>
    </w:pPr>
    <w:rPr>
      <w:sz w:val="16"/>
      <w:lang w:eastAsia="en-AU" w:bidi="ar-SA"/>
    </w:rPr>
  </w:style>
  <w:style w:type="paragraph" w:customStyle="1" w:styleId="FSCsbContents">
    <w:name w:val="FSC_sb_Contents"/>
    <w:basedOn w:val="FSCsbFirstSection"/>
    <w:qFormat/>
    <w:rsid w:val="00D51C0A"/>
  </w:style>
  <w:style w:type="paragraph" w:customStyle="1" w:styleId="FSCsbMainSection">
    <w:name w:val="FSC_sb_Main_Section"/>
    <w:basedOn w:val="FSCsbFirstSection"/>
    <w:qFormat/>
    <w:rsid w:val="00D51C0A"/>
    <w:rPr>
      <w:b/>
      <w:bCs/>
      <w:kern w:val="32"/>
    </w:rPr>
  </w:style>
  <w:style w:type="paragraph" w:customStyle="1" w:styleId="FSCsbSchedules">
    <w:name w:val="FSC_sb_Schedules"/>
    <w:basedOn w:val="FSCsbFirstSection"/>
    <w:qFormat/>
    <w:rsid w:val="00D51C0A"/>
  </w:style>
  <w:style w:type="paragraph" w:customStyle="1" w:styleId="FSCtAmendingwords">
    <w:name w:val="FSC_t_Amending_words"/>
    <w:basedOn w:val="FSCbasepara"/>
    <w:qFormat/>
    <w:rsid w:val="00D51C0A"/>
    <w:pPr>
      <w:ind w:firstLine="0"/>
    </w:pPr>
    <w:rPr>
      <w:i/>
    </w:rPr>
  </w:style>
  <w:style w:type="paragraph" w:customStyle="1" w:styleId="FSCtDefn">
    <w:name w:val="FSC_t_Defn"/>
    <w:aliases w:val="t1_Defn"/>
    <w:basedOn w:val="FSCtMain"/>
    <w:rsid w:val="00D51C0A"/>
    <w:pPr>
      <w:ind w:firstLine="0"/>
    </w:pPr>
  </w:style>
  <w:style w:type="paragraph" w:customStyle="1" w:styleId="FSCtblAh2">
    <w:name w:val="FSC_tbl_A_h2"/>
    <w:aliases w:val="tbA_h2"/>
    <w:basedOn w:val="Normal"/>
    <w:next w:val="Normal"/>
    <w:rsid w:val="00D51C0A"/>
    <w:pPr>
      <w:keepNext/>
      <w:keepLines/>
      <w:widowControl/>
      <w:spacing w:before="200"/>
      <w:jc w:val="center"/>
    </w:pPr>
    <w:rPr>
      <w:rFonts w:cs="Arial"/>
      <w:b/>
      <w:sz w:val="18"/>
      <w:szCs w:val="22"/>
      <w:lang w:eastAsia="en-AU" w:bidi="ar-SA"/>
    </w:rPr>
  </w:style>
  <w:style w:type="paragraph" w:customStyle="1" w:styleId="FSCtblAh3">
    <w:name w:val="FSC_tbl_A_h3"/>
    <w:aliases w:val="tbA_h3"/>
    <w:basedOn w:val="Normal"/>
    <w:next w:val="Normal"/>
    <w:rsid w:val="00D51C0A"/>
    <w:pPr>
      <w:keepNext/>
      <w:keepLines/>
      <w:widowControl/>
      <w:spacing w:before="60" w:after="60"/>
    </w:pPr>
    <w:rPr>
      <w:rFonts w:cs="Arial"/>
      <w:b/>
      <w:i/>
      <w:sz w:val="18"/>
      <w:szCs w:val="22"/>
      <w:lang w:eastAsia="en-AU" w:bidi="ar-SA"/>
    </w:rPr>
  </w:style>
  <w:style w:type="paragraph" w:customStyle="1" w:styleId="FSCtblAh3MRA">
    <w:name w:val="FSC_tbl_A_h3_MRA"/>
    <w:aliases w:val="tba_h3_MRA"/>
    <w:basedOn w:val="FSCtblAh3"/>
    <w:rsid w:val="00D51C0A"/>
    <w:pPr>
      <w:pBdr>
        <w:top w:val="single" w:sz="4" w:space="1" w:color="auto"/>
      </w:pBdr>
      <w:spacing w:before="140"/>
    </w:pPr>
    <w:rPr>
      <w:bCs/>
      <w:i w:val="0"/>
    </w:rPr>
  </w:style>
  <w:style w:type="paragraph" w:customStyle="1" w:styleId="FSCtblAh4">
    <w:name w:val="FSC_tbl_A_h4"/>
    <w:aliases w:val="tbA_h4"/>
    <w:basedOn w:val="Normal"/>
    <w:next w:val="Normal"/>
    <w:rsid w:val="00D51C0A"/>
    <w:pPr>
      <w:keepNext/>
      <w:keepLines/>
      <w:widowControl/>
      <w:spacing w:before="60" w:after="60"/>
    </w:pPr>
    <w:rPr>
      <w:rFonts w:cs="Arial"/>
      <w:i/>
      <w:sz w:val="18"/>
      <w:szCs w:val="22"/>
      <w:lang w:eastAsia="en-AU" w:bidi="ar-SA"/>
    </w:rPr>
  </w:style>
  <w:style w:type="paragraph" w:customStyle="1" w:styleId="FSCtblAh4MRA">
    <w:name w:val="FSC_tbl_A_h4_MRA"/>
    <w:aliases w:val="tbA_h4_MRA"/>
    <w:basedOn w:val="FSCtblAh4"/>
    <w:rsid w:val="00D51C0A"/>
    <w:pPr>
      <w:widowControl w:val="0"/>
      <w:pBdr>
        <w:bottom w:val="single" w:sz="4" w:space="1" w:color="auto"/>
      </w:pBdr>
      <w:jc w:val="center"/>
    </w:pPr>
    <w:rPr>
      <w:iCs/>
    </w:rPr>
  </w:style>
  <w:style w:type="paragraph" w:customStyle="1" w:styleId="FSCtblAMain">
    <w:name w:val="FSC_tbl_A_Main"/>
    <w:aliases w:val="tbA_t1_Item"/>
    <w:basedOn w:val="FSCbasetbl"/>
    <w:qFormat/>
    <w:rsid w:val="00D51C0A"/>
    <w:rPr>
      <w:iCs w:val="0"/>
    </w:rPr>
  </w:style>
  <w:style w:type="paragraph" w:customStyle="1" w:styleId="FSCtblAMainMRA">
    <w:name w:val="FSC_tbl_A_Main_MRA"/>
    <w:aliases w:val="tbA_t1_item_MRA"/>
    <w:basedOn w:val="FSCtblAMain"/>
    <w:rsid w:val="00D51C0A"/>
    <w:pPr>
      <w:tabs>
        <w:tab w:val="right" w:pos="3969"/>
      </w:tabs>
      <w:spacing w:before="0" w:after="0"/>
    </w:pPr>
    <w:rPr>
      <w:szCs w:val="20"/>
    </w:rPr>
  </w:style>
  <w:style w:type="paragraph" w:customStyle="1" w:styleId="FSCtblAPara">
    <w:name w:val="FSC_tbl_A_Para"/>
    <w:aliases w:val="tbA_t2_Para"/>
    <w:basedOn w:val="FSCtblAMain"/>
    <w:rsid w:val="00D51C0A"/>
    <w:pPr>
      <w:ind w:left="397" w:hanging="397"/>
    </w:pPr>
  </w:style>
  <w:style w:type="paragraph" w:customStyle="1" w:styleId="FSCtblASubpara">
    <w:name w:val="FSC_tbl_A_Subpara"/>
    <w:aliases w:val="tbA_t2_Subpara"/>
    <w:basedOn w:val="FSCtblAMain"/>
    <w:rsid w:val="00D51C0A"/>
    <w:pPr>
      <w:ind w:left="794" w:hanging="397"/>
    </w:pPr>
  </w:style>
  <w:style w:type="paragraph" w:customStyle="1" w:styleId="FSCtblBh2">
    <w:name w:val="FSC_tbl_B_h2"/>
    <w:aliases w:val="tbB_h2"/>
    <w:basedOn w:val="FSCtblAh2"/>
    <w:qFormat/>
    <w:rsid w:val="00D51C0A"/>
    <w:pPr>
      <w:spacing w:before="240" w:after="120"/>
    </w:pPr>
    <w:rPr>
      <w:color w:val="000000"/>
    </w:rPr>
  </w:style>
  <w:style w:type="paragraph" w:customStyle="1" w:styleId="FSCtblBh3">
    <w:name w:val="FSC_tbl_B_h3"/>
    <w:aliases w:val="tbB_h3"/>
    <w:basedOn w:val="FSCtblAMain"/>
    <w:next w:val="Normal"/>
    <w:qFormat/>
    <w:rsid w:val="00D51C0A"/>
    <w:pPr>
      <w:ind w:left="1701"/>
    </w:pPr>
    <w:rPr>
      <w:b/>
      <w:i/>
    </w:rPr>
  </w:style>
  <w:style w:type="paragraph" w:customStyle="1" w:styleId="FSCtblBh4">
    <w:name w:val="FSC_tbl_B_h4"/>
    <w:aliases w:val="tbB_h4"/>
    <w:basedOn w:val="FSCtblAMain"/>
    <w:next w:val="Normal"/>
    <w:qFormat/>
    <w:rsid w:val="00D51C0A"/>
    <w:pPr>
      <w:ind w:left="1701"/>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52784626">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oodstandards.gov.au/"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who.int" TargetMode="External"/><Relationship Id="rId28" Type="http://schemas.openxmlformats.org/officeDocument/2006/relationships/customXml" Target="../customXml/item3.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s://www.nhmrc.gov.au/_files_nhmrc/publications/attachments/n55_australian_dietary_guidelines_130530.pdf" TargetMode="Externa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de/fofr/fofrpolicy/pages/default.aspx" TargetMode="External"/><Relationship Id="rId2" Type="http://schemas.openxmlformats.org/officeDocument/2006/relationships/hyperlink" Target="http://www.foodstandards.gov.au/code/fofr/fofrpolicy/pages/default.aspx" TargetMode="External"/><Relationship Id="rId1" Type="http://schemas.openxmlformats.org/officeDocument/2006/relationships/hyperlink" Target="http://www.foodstandards.gov.au/code/fofr/fofrpolicy/pages/default.aspx" TargetMode="External"/><Relationship Id="rId6" Type="http://schemas.openxmlformats.org/officeDocument/2006/relationships/hyperlink" Target="http://www.foodstandards.gov.au/code/proposals/Pages/proposalp1025coderev5755.aspx" TargetMode="External"/><Relationship Id="rId5" Type="http://schemas.openxmlformats.org/officeDocument/2006/relationships/hyperlink" Target="http://www.foodstandards.gov.au/code/fofr/fofrpolicy/pages/default.aspx" TargetMode="External"/><Relationship Id="rId4"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9FF37B-FBB7-4667-9C65-DFF8CCA2DF4D}"/>
</file>

<file path=customXml/itemProps2.xml><?xml version="1.0" encoding="utf-8"?>
<ds:datastoreItem xmlns:ds="http://schemas.openxmlformats.org/officeDocument/2006/customXml" ds:itemID="{DDABCD65-3788-47BA-93A4-329F488A5AC1}"/>
</file>

<file path=customXml/itemProps3.xml><?xml version="1.0" encoding="utf-8"?>
<ds:datastoreItem xmlns:ds="http://schemas.openxmlformats.org/officeDocument/2006/customXml" ds:itemID="{C9F65E81-9933-473F-B8E4-9A1DFA7DC1CF}"/>
</file>

<file path=customXml/itemProps4.xml><?xml version="1.0" encoding="utf-8"?>
<ds:datastoreItem xmlns:ds="http://schemas.openxmlformats.org/officeDocument/2006/customXml" ds:itemID="{D144CABA-822B-4C00-B6EB-7A727F81CA8C}"/>
</file>

<file path=docProps/app.xml><?xml version="1.0" encoding="utf-8"?>
<Properties xmlns="http://schemas.openxmlformats.org/officeDocument/2006/extended-properties" xmlns:vt="http://schemas.openxmlformats.org/officeDocument/2006/docPropsVTypes">
  <Template>Normal</Template>
  <TotalTime>0</TotalTime>
  <Pages>1</Pages>
  <Words>9324</Words>
  <Characters>53149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62349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P1038-CFS</dc:title>
  <dc:creator/>
  <cp:lastModifiedBy/>
  <cp:revision>1</cp:revision>
  <dcterms:created xsi:type="dcterms:W3CDTF">2015-06-26T00:08:00Z</dcterms:created>
  <dcterms:modified xsi:type="dcterms:W3CDTF">2015-06-26T00:09:00Z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