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9FA9B9" w14:textId="6854C77F" w:rsidR="0012388D" w:rsidRDefault="00772BDC" w:rsidP="00CA5734">
      <w:pPr>
        <w:rPr>
          <w:rFonts w:cs="Arial"/>
        </w:rPr>
      </w:pPr>
      <w:r>
        <w:rPr>
          <w:rFonts w:cs="Arial"/>
          <w:noProof/>
          <w:lang w:eastAsia="en-GB" w:bidi="ar-SA"/>
        </w:rPr>
        <w:drawing>
          <wp:inline distT="0" distB="0" distL="0" distR="0" wp14:anchorId="6E9FABF5" wp14:editId="1776524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bookmarkStart w:id="0" w:name="_GoBack"/>
      <w:bookmarkEnd w:id="0"/>
    </w:p>
    <w:p w14:paraId="6E9FA9BA" w14:textId="77777777" w:rsidR="00A671E6" w:rsidRPr="00A671E6" w:rsidRDefault="00A671E6" w:rsidP="00A671E6">
      <w:pPr>
        <w:rPr>
          <w:color w:val="FF0000"/>
        </w:rPr>
      </w:pPr>
    </w:p>
    <w:p w14:paraId="12A4230A" w14:textId="77777777" w:rsidR="008A01CF" w:rsidRPr="008A01CF" w:rsidRDefault="008A01CF" w:rsidP="008A01CF">
      <w:pPr>
        <w:widowControl/>
        <w:rPr>
          <w:b/>
          <w:sz w:val="28"/>
          <w:szCs w:val="28"/>
          <w:lang w:bidi="ar-SA"/>
        </w:rPr>
      </w:pPr>
      <w:r w:rsidRPr="008A01CF">
        <w:rPr>
          <w:b/>
          <w:sz w:val="28"/>
          <w:szCs w:val="28"/>
          <w:lang w:bidi="ar-SA"/>
        </w:rPr>
        <w:t>17 December 2015</w:t>
      </w:r>
    </w:p>
    <w:p w14:paraId="3DE0E16B" w14:textId="77777777" w:rsidR="008A01CF" w:rsidRPr="008A01CF" w:rsidRDefault="008A01CF" w:rsidP="008A01CF">
      <w:pPr>
        <w:widowControl/>
        <w:rPr>
          <w:b/>
          <w:sz w:val="28"/>
          <w:szCs w:val="28"/>
          <w:lang w:bidi="ar-SA"/>
        </w:rPr>
      </w:pPr>
      <w:r w:rsidRPr="008A01CF">
        <w:rPr>
          <w:b/>
          <w:sz w:val="28"/>
          <w:szCs w:val="28"/>
          <w:lang w:bidi="ar-SA"/>
        </w:rPr>
        <w:t>[32–15]</w:t>
      </w:r>
    </w:p>
    <w:p w14:paraId="6E9FA9BD" w14:textId="77777777" w:rsidR="00A671E6" w:rsidRPr="00A671E6" w:rsidRDefault="00A671E6" w:rsidP="00A671E6"/>
    <w:p w14:paraId="6E9FA9BE" w14:textId="77777777" w:rsidR="0012388D" w:rsidRPr="00EB36C2" w:rsidRDefault="00B425AA" w:rsidP="00B425AA">
      <w:pPr>
        <w:pStyle w:val="FSTitle"/>
      </w:pPr>
      <w:r w:rsidRPr="00EB36C2">
        <w:t>A</w:t>
      </w:r>
      <w:r w:rsidR="00DD265C" w:rsidRPr="00EB36C2">
        <w:t>pproval</w:t>
      </w:r>
      <w:r w:rsidRPr="00EB36C2">
        <w:t xml:space="preserve"> R</w:t>
      </w:r>
      <w:r w:rsidR="00DD265C" w:rsidRPr="00EB36C2">
        <w:t>eport</w:t>
      </w:r>
      <w:r w:rsidRPr="00EB36C2">
        <w:t xml:space="preserve"> –</w:t>
      </w:r>
      <w:r w:rsidR="00CA5734" w:rsidRPr="00EB36C2">
        <w:t>P</w:t>
      </w:r>
      <w:r w:rsidR="00DD265C" w:rsidRPr="00EB36C2">
        <w:t>roposal</w:t>
      </w:r>
      <w:r w:rsidR="00CA5734" w:rsidRPr="00EB36C2">
        <w:t xml:space="preserve"> P</w:t>
      </w:r>
      <w:r w:rsidR="00D13429" w:rsidRPr="00EB36C2">
        <w:t>1040</w:t>
      </w:r>
    </w:p>
    <w:p w14:paraId="6E9FA9BF" w14:textId="77777777" w:rsidR="003A7B84" w:rsidRPr="00CA5734" w:rsidRDefault="003A7B84" w:rsidP="00A671E6"/>
    <w:p w14:paraId="6E9FA9C0" w14:textId="77777777" w:rsidR="0012388D" w:rsidRPr="000B427A" w:rsidRDefault="00EB36C2" w:rsidP="00B425AA">
      <w:pPr>
        <w:pStyle w:val="FSTitle"/>
      </w:pPr>
      <w:r w:rsidRPr="001809EC">
        <w:rPr>
          <w:szCs w:val="32"/>
        </w:rPr>
        <w:t>Code Revision – Consequential &amp; Corrective Amendments</w:t>
      </w:r>
      <w:r>
        <w:rPr>
          <w:szCs w:val="32"/>
        </w:rPr>
        <w:t xml:space="preserve"> II</w:t>
      </w:r>
    </w:p>
    <w:p w14:paraId="6E9FA9C1" w14:textId="77777777" w:rsidR="003A7B84" w:rsidRPr="00E327A6" w:rsidRDefault="003A7B84" w:rsidP="00871116">
      <w:pPr>
        <w:pBdr>
          <w:bottom w:val="single" w:sz="12" w:space="1" w:color="auto"/>
        </w:pBdr>
        <w:tabs>
          <w:tab w:val="left" w:pos="1140"/>
        </w:tabs>
        <w:rPr>
          <w:rFonts w:cs="Arial"/>
          <w:bCs/>
        </w:rPr>
      </w:pPr>
    </w:p>
    <w:p w14:paraId="6E9FA9C2" w14:textId="77777777" w:rsidR="003A7B84" w:rsidRPr="00E327A6" w:rsidRDefault="003A7B84" w:rsidP="003A7B84"/>
    <w:p w14:paraId="6E9FA9C3" w14:textId="77777777" w:rsidR="00EB6590" w:rsidRDefault="000F3CFE" w:rsidP="00CA5734">
      <w:r w:rsidRPr="00D13429">
        <w:rPr>
          <w:szCs w:val="22"/>
        </w:rPr>
        <w:t>Food Standards Australia New Zealand (FSANZ) has</w:t>
      </w:r>
      <w:r w:rsidR="00081B0A" w:rsidRPr="00D13429">
        <w:rPr>
          <w:szCs w:val="22"/>
        </w:rPr>
        <w:t xml:space="preserve"> assessed </w:t>
      </w:r>
      <w:r w:rsidR="00D13429" w:rsidRPr="00D13429">
        <w:rPr>
          <w:szCs w:val="22"/>
        </w:rPr>
        <w:t xml:space="preserve">a proposal </w:t>
      </w:r>
      <w:r w:rsidR="00014F3B" w:rsidRPr="00D13429">
        <w:rPr>
          <w:szCs w:val="22"/>
        </w:rPr>
        <w:t xml:space="preserve">to correct typographical and transcription errors </w:t>
      </w:r>
      <w:r w:rsidR="00014F3B">
        <w:rPr>
          <w:szCs w:val="22"/>
        </w:rPr>
        <w:t xml:space="preserve">in </w:t>
      </w:r>
      <w:r w:rsidR="00D13429" w:rsidRPr="00D13429">
        <w:rPr>
          <w:szCs w:val="22"/>
        </w:rPr>
        <w:t>the version of the Code published following approval of Proposal P1025</w:t>
      </w:r>
      <w:r w:rsidR="00081B0A">
        <w:t>.</w:t>
      </w:r>
    </w:p>
    <w:p w14:paraId="6E9FA9C4" w14:textId="77777777" w:rsidR="00CA5734" w:rsidRDefault="00CA5734" w:rsidP="00CA5734"/>
    <w:p w14:paraId="6E9FA9C5" w14:textId="29ED58E9" w:rsidR="00081B0A" w:rsidRPr="00EB36C2" w:rsidRDefault="00081B0A" w:rsidP="00CA5734">
      <w:r w:rsidRPr="00EB36C2">
        <w:t xml:space="preserve">On </w:t>
      </w:r>
      <w:r w:rsidR="00EB36C2" w:rsidRPr="00EB36C2">
        <w:t>2 October 2015</w:t>
      </w:r>
      <w:r w:rsidR="003A7B84" w:rsidRPr="00EB36C2">
        <w:t>,</w:t>
      </w:r>
      <w:r w:rsidRPr="00EB36C2">
        <w:t xml:space="preserve"> FSANZ sought </w:t>
      </w:r>
      <w:r w:rsidR="003A7B84" w:rsidRPr="00EB36C2">
        <w:t xml:space="preserve">submissions </w:t>
      </w:r>
      <w:r w:rsidR="00A671E6" w:rsidRPr="00EB36C2">
        <w:t xml:space="preserve">on </w:t>
      </w:r>
      <w:r w:rsidR="00F526BD" w:rsidRPr="00EB36C2">
        <w:t xml:space="preserve">a draft </w:t>
      </w:r>
      <w:r w:rsidR="00E30092" w:rsidRPr="00EB36C2">
        <w:t>variation</w:t>
      </w:r>
      <w:r w:rsidR="003A7B84" w:rsidRPr="00EB36C2">
        <w:t xml:space="preserve"> and published an </w:t>
      </w:r>
      <w:r w:rsidR="00EC21DF" w:rsidRPr="00EB36C2">
        <w:t>associated r</w:t>
      </w:r>
      <w:r w:rsidR="003A7B84" w:rsidRPr="00EB36C2">
        <w:t>eport</w:t>
      </w:r>
      <w:r w:rsidRPr="00EB36C2">
        <w:t>.</w:t>
      </w:r>
      <w:r w:rsidR="00F526BD" w:rsidRPr="00EB36C2">
        <w:t xml:space="preserve"> FSANZ received </w:t>
      </w:r>
      <w:r w:rsidR="008A01CF">
        <w:t>five</w:t>
      </w:r>
      <w:r w:rsidR="00EB36C2">
        <w:t xml:space="preserve"> </w:t>
      </w:r>
      <w:r w:rsidR="00F526BD" w:rsidRPr="00EB36C2">
        <w:t>submissions.</w:t>
      </w:r>
    </w:p>
    <w:p w14:paraId="6E9FA9C6" w14:textId="77777777" w:rsidR="00CA5734" w:rsidRDefault="00CA5734" w:rsidP="00CA5734"/>
    <w:p w14:paraId="604ACDCF" w14:textId="77777777" w:rsidR="008A01CF" w:rsidRPr="008A01CF" w:rsidRDefault="00081B0A" w:rsidP="00CA5734">
      <w:r w:rsidRPr="008A01CF">
        <w:t xml:space="preserve">FSANZ approved the draft </w:t>
      </w:r>
      <w:r w:rsidR="00E30092" w:rsidRPr="008A01CF">
        <w:t xml:space="preserve">variation </w:t>
      </w:r>
      <w:r w:rsidR="0012388D" w:rsidRPr="008A01CF">
        <w:t xml:space="preserve">on </w:t>
      </w:r>
      <w:r w:rsidR="008A01CF" w:rsidRPr="008A01CF">
        <w:t>3 December 2015</w:t>
      </w:r>
      <w:r w:rsidRPr="008A01CF">
        <w:t xml:space="preserve">. </w:t>
      </w:r>
      <w:r w:rsidR="003A7B84" w:rsidRPr="008A01CF">
        <w:t xml:space="preserve">The </w:t>
      </w:r>
      <w:r w:rsidR="00011187" w:rsidRPr="008A01CF">
        <w:rPr>
          <w:rFonts w:cs="Helvetica"/>
          <w:lang w:val="en-AU"/>
        </w:rPr>
        <w:t xml:space="preserve">Australia and New Zealand Ministerial Forum on Food </w:t>
      </w:r>
      <w:r w:rsidR="00011187" w:rsidRPr="008A01CF">
        <w:rPr>
          <w:rFonts w:cs="Arial"/>
        </w:rPr>
        <w:t>Regulation</w:t>
      </w:r>
      <w:r w:rsidR="00011187" w:rsidRPr="008A01CF">
        <w:rPr>
          <w:rStyle w:val="FootnoteReference"/>
          <w:rFonts w:cs="Arial"/>
        </w:rPr>
        <w:footnoteReference w:id="2"/>
      </w:r>
      <w:r w:rsidR="00011187" w:rsidRPr="008A01CF">
        <w:rPr>
          <w:rFonts w:cs="Helvetica"/>
          <w:lang w:val="en-AU"/>
        </w:rPr>
        <w:t xml:space="preserve"> </w:t>
      </w:r>
      <w:r w:rsidR="00861C13" w:rsidRPr="008A01CF">
        <w:rPr>
          <w:rFonts w:cs="Arial"/>
        </w:rPr>
        <w:t>(F</w:t>
      </w:r>
      <w:r w:rsidR="00014E34" w:rsidRPr="008A01CF">
        <w:rPr>
          <w:rFonts w:cs="Arial"/>
        </w:rPr>
        <w:t>orum</w:t>
      </w:r>
      <w:r w:rsidR="00861C13" w:rsidRPr="008A01CF">
        <w:rPr>
          <w:rFonts w:cs="Arial"/>
        </w:rPr>
        <w:t>)</w:t>
      </w:r>
      <w:r w:rsidR="003A7B84" w:rsidRPr="008A01CF">
        <w:t xml:space="preserve"> was notified of FSANZ’s decision on </w:t>
      </w:r>
    </w:p>
    <w:p w14:paraId="6E9FA9C7" w14:textId="30C65DA9" w:rsidR="00081B0A" w:rsidRPr="008A01CF" w:rsidRDefault="008A01CF" w:rsidP="00CA5734">
      <w:r w:rsidRPr="008A01CF">
        <w:t>16 December 2015</w:t>
      </w:r>
      <w:r w:rsidR="003A7B84" w:rsidRPr="008A01CF">
        <w:t>.</w:t>
      </w:r>
    </w:p>
    <w:p w14:paraId="6E9FA9C8" w14:textId="77777777" w:rsidR="00CA5734" w:rsidRDefault="00CA5734" w:rsidP="00CA5734"/>
    <w:p w14:paraId="6E9FA9C9" w14:textId="77777777" w:rsidR="00081B0A" w:rsidRDefault="003A7B84" w:rsidP="00CA5734">
      <w:r>
        <w:t>This R</w:t>
      </w:r>
      <w:r w:rsidR="00B425AA">
        <w:t xml:space="preserve">eport is provided pursuant to </w:t>
      </w:r>
      <w:r w:rsidR="009A2699" w:rsidRPr="00EB36C2">
        <w:t>paragraph</w:t>
      </w:r>
      <w:r w:rsidR="00081B0A" w:rsidRPr="00EB36C2">
        <w:t xml:space="preserve"> </w:t>
      </w:r>
      <w:r w:rsidR="00EB36C2">
        <w:t>69</w:t>
      </w:r>
      <w:r w:rsidR="00EB36C2" w:rsidRPr="00EB36C2">
        <w:t>(2</w:t>
      </w:r>
      <w:proofErr w:type="gramStart"/>
      <w:r w:rsidR="00081B0A" w:rsidRPr="00EB36C2">
        <w:t>)(</w:t>
      </w:r>
      <w:proofErr w:type="gramEnd"/>
      <w:r w:rsidR="00081B0A" w:rsidRPr="00EB36C2">
        <w:t xml:space="preserve">b) of the </w:t>
      </w:r>
      <w:r w:rsidR="00081B0A" w:rsidRPr="0012388D">
        <w:rPr>
          <w:i/>
        </w:rPr>
        <w:t>Food Standards Australia New Zealand Act 1991</w:t>
      </w:r>
      <w:r w:rsidR="00081B0A">
        <w:t xml:space="preserve"> (the FSANZ Act).</w:t>
      </w:r>
    </w:p>
    <w:p w14:paraId="6E9FA9CA" w14:textId="77777777" w:rsidR="00F526BD" w:rsidRDefault="00F526BD" w:rsidP="00A671E6"/>
    <w:p w14:paraId="6E9FA9CB" w14:textId="77777777" w:rsidR="00EB6590" w:rsidRDefault="00EB6590" w:rsidP="00F526BD"/>
    <w:p w14:paraId="6E9FA9CC" w14:textId="77777777" w:rsidR="00A671E6" w:rsidRDefault="00A671E6" w:rsidP="00CC5468">
      <w:pPr>
        <w:sectPr w:rsidR="00A671E6" w:rsidSect="00A8540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6E9FA9CD" w14:textId="77777777"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14:paraId="6E9FA9CE" w14:textId="77777777" w:rsidR="00CE59AA" w:rsidRPr="006E10A1" w:rsidRDefault="00CE59AA" w:rsidP="00CE59AA">
      <w:pPr>
        <w:rPr>
          <w:rFonts w:cs="Arial"/>
          <w:sz w:val="20"/>
          <w:szCs w:val="20"/>
        </w:rPr>
      </w:pPr>
    </w:p>
    <w:p w14:paraId="19CEF096" w14:textId="77777777" w:rsidR="008A01CF" w:rsidRPr="008A01CF" w:rsidRDefault="00B55714">
      <w:pPr>
        <w:pStyle w:val="TOC1"/>
        <w:tabs>
          <w:tab w:val="right" w:leader="dot" w:pos="9016"/>
        </w:tabs>
        <w:rPr>
          <w:rFonts w:ascii="Arial" w:eastAsiaTheme="minorEastAsia" w:hAnsi="Arial" w:cs="Arial"/>
          <w:b w:val="0"/>
          <w:bCs w:val="0"/>
          <w:caps w:val="0"/>
          <w:noProof/>
          <w:sz w:val="22"/>
          <w:szCs w:val="22"/>
          <w:lang w:eastAsia="en-GB" w:bidi="ar-SA"/>
        </w:rPr>
      </w:pPr>
      <w:r w:rsidRPr="008A01CF">
        <w:rPr>
          <w:rFonts w:ascii="Arial" w:hAnsi="Arial" w:cs="Arial"/>
          <w:b w:val="0"/>
          <w:bCs w:val="0"/>
          <w:caps w:val="0"/>
          <w:smallCaps/>
        </w:rPr>
        <w:fldChar w:fldCharType="begin"/>
      </w:r>
      <w:r w:rsidRPr="008A01CF">
        <w:rPr>
          <w:rFonts w:ascii="Arial" w:hAnsi="Arial" w:cs="Arial"/>
        </w:rPr>
        <w:instrText xml:space="preserve"> TOC \h \z \t "Heading 1,1,Heading 2,2,Heading 3,3" </w:instrText>
      </w:r>
      <w:r w:rsidRPr="008A01CF">
        <w:rPr>
          <w:rFonts w:ascii="Arial" w:hAnsi="Arial" w:cs="Arial"/>
          <w:b w:val="0"/>
          <w:bCs w:val="0"/>
          <w:caps w:val="0"/>
          <w:smallCaps/>
        </w:rPr>
        <w:fldChar w:fldCharType="separate"/>
      </w:r>
      <w:hyperlink w:anchor="_Toc436823460" w:history="1">
        <w:r w:rsidR="008A01CF" w:rsidRPr="008A01CF">
          <w:rPr>
            <w:rStyle w:val="Hyperlink"/>
            <w:rFonts w:ascii="Arial" w:hAnsi="Arial" w:cs="Arial"/>
            <w:noProof/>
          </w:rPr>
          <w:t>Executive summary</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_Toc436823460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2</w:t>
        </w:r>
        <w:r w:rsidR="008A01CF" w:rsidRPr="008A01CF">
          <w:rPr>
            <w:rFonts w:ascii="Arial" w:hAnsi="Arial" w:cs="Arial"/>
            <w:noProof/>
            <w:webHidden/>
          </w:rPr>
          <w:fldChar w:fldCharType="end"/>
        </w:r>
      </w:hyperlink>
    </w:p>
    <w:p w14:paraId="32F05880" w14:textId="77777777" w:rsidR="008A01CF" w:rsidRPr="008A01CF" w:rsidRDefault="00B66D7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6823461" w:history="1">
        <w:r w:rsidR="008A01CF" w:rsidRPr="008A01CF">
          <w:rPr>
            <w:rStyle w:val="Hyperlink"/>
            <w:rFonts w:ascii="Arial" w:hAnsi="Arial" w:cs="Arial"/>
            <w:noProof/>
          </w:rPr>
          <w:t>1</w:t>
        </w:r>
        <w:r w:rsidR="008A01CF" w:rsidRPr="008A01CF">
          <w:rPr>
            <w:rFonts w:ascii="Arial" w:eastAsiaTheme="minorEastAsia" w:hAnsi="Arial" w:cs="Arial"/>
            <w:b w:val="0"/>
            <w:bCs w:val="0"/>
            <w:caps w:val="0"/>
            <w:noProof/>
            <w:sz w:val="22"/>
            <w:szCs w:val="22"/>
            <w:lang w:eastAsia="en-GB" w:bidi="ar-SA"/>
          </w:rPr>
          <w:tab/>
        </w:r>
        <w:r w:rsidR="008A01CF" w:rsidRPr="008A01CF">
          <w:rPr>
            <w:rStyle w:val="Hyperlink"/>
            <w:rFonts w:ascii="Arial" w:hAnsi="Arial" w:cs="Arial"/>
            <w:noProof/>
          </w:rPr>
          <w:t>Introduction</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_Toc436823461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3</w:t>
        </w:r>
        <w:r w:rsidR="008A01CF" w:rsidRPr="008A01CF">
          <w:rPr>
            <w:rFonts w:ascii="Arial" w:hAnsi="Arial" w:cs="Arial"/>
            <w:noProof/>
            <w:webHidden/>
          </w:rPr>
          <w:fldChar w:fldCharType="end"/>
        </w:r>
      </w:hyperlink>
    </w:p>
    <w:p w14:paraId="497FEE35"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62" w:history="1">
        <w:r w:rsidR="008A01CF" w:rsidRPr="008A01CF">
          <w:rPr>
            <w:rStyle w:val="Hyperlink"/>
            <w:rFonts w:ascii="Arial" w:hAnsi="Arial" w:cs="Arial"/>
            <w:noProof/>
          </w:rPr>
          <w:t>1.1</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rPr>
          <w:t>The current Standard</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_Toc436823462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3</w:t>
        </w:r>
        <w:r w:rsidR="008A01CF" w:rsidRPr="008A01CF">
          <w:rPr>
            <w:rFonts w:ascii="Arial" w:hAnsi="Arial" w:cs="Arial"/>
            <w:noProof/>
            <w:webHidden/>
          </w:rPr>
          <w:fldChar w:fldCharType="end"/>
        </w:r>
      </w:hyperlink>
    </w:p>
    <w:p w14:paraId="4BE23A93"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63" w:history="1">
        <w:r w:rsidR="008A01CF" w:rsidRPr="008A01CF">
          <w:rPr>
            <w:rStyle w:val="Hyperlink"/>
            <w:rFonts w:ascii="Arial" w:hAnsi="Arial" w:cs="Arial"/>
            <w:noProof/>
            <w:u w:color="FFFF00"/>
          </w:rPr>
          <w:t>1.2</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u w:color="FFFF00"/>
          </w:rPr>
          <w:t xml:space="preserve">Reasons for </w:t>
        </w:r>
        <w:r w:rsidR="008A01CF" w:rsidRPr="008A01CF">
          <w:rPr>
            <w:rStyle w:val="Hyperlink"/>
            <w:rFonts w:ascii="Arial" w:hAnsi="Arial" w:cs="Arial"/>
            <w:noProof/>
          </w:rPr>
          <w:t>preparing the Proposal</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_Toc436823463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3</w:t>
        </w:r>
        <w:r w:rsidR="008A01CF" w:rsidRPr="008A01CF">
          <w:rPr>
            <w:rFonts w:ascii="Arial" w:hAnsi="Arial" w:cs="Arial"/>
            <w:noProof/>
            <w:webHidden/>
          </w:rPr>
          <w:fldChar w:fldCharType="end"/>
        </w:r>
      </w:hyperlink>
    </w:p>
    <w:p w14:paraId="40EDF2A4"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64" w:history="1">
        <w:r w:rsidR="008A01CF" w:rsidRPr="008A01CF">
          <w:rPr>
            <w:rStyle w:val="Hyperlink"/>
            <w:rFonts w:ascii="Arial" w:hAnsi="Arial" w:cs="Arial"/>
            <w:noProof/>
          </w:rPr>
          <w:t>1.3</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rPr>
          <w:t>Procedure for assessment</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_Toc436823464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3</w:t>
        </w:r>
        <w:r w:rsidR="008A01CF" w:rsidRPr="008A01CF">
          <w:rPr>
            <w:rFonts w:ascii="Arial" w:hAnsi="Arial" w:cs="Arial"/>
            <w:noProof/>
            <w:webHidden/>
          </w:rPr>
          <w:fldChar w:fldCharType="end"/>
        </w:r>
      </w:hyperlink>
    </w:p>
    <w:p w14:paraId="0382643C"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65" w:history="1">
        <w:r w:rsidR="008A01CF" w:rsidRPr="008A01CF">
          <w:rPr>
            <w:rStyle w:val="Hyperlink"/>
            <w:rFonts w:ascii="Arial" w:hAnsi="Arial" w:cs="Arial"/>
            <w:noProof/>
          </w:rPr>
          <w:t>1.4</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rPr>
          <w:t>Decision</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_Toc436823465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3</w:t>
        </w:r>
        <w:r w:rsidR="008A01CF" w:rsidRPr="008A01CF">
          <w:rPr>
            <w:rFonts w:ascii="Arial" w:hAnsi="Arial" w:cs="Arial"/>
            <w:noProof/>
            <w:webHidden/>
          </w:rPr>
          <w:fldChar w:fldCharType="end"/>
        </w:r>
      </w:hyperlink>
    </w:p>
    <w:p w14:paraId="3C4BFF6E" w14:textId="77777777" w:rsidR="008A01CF" w:rsidRPr="008A01CF" w:rsidRDefault="00B66D76">
      <w:pPr>
        <w:pStyle w:val="TOC1"/>
        <w:tabs>
          <w:tab w:val="left" w:pos="440"/>
          <w:tab w:val="right" w:leader="dot" w:pos="9016"/>
        </w:tabs>
        <w:rPr>
          <w:rFonts w:ascii="Arial" w:eastAsiaTheme="minorEastAsia" w:hAnsi="Arial" w:cs="Arial"/>
          <w:b w:val="0"/>
          <w:bCs w:val="0"/>
          <w:caps w:val="0"/>
          <w:noProof/>
          <w:sz w:val="22"/>
          <w:szCs w:val="22"/>
          <w:lang w:eastAsia="en-GB" w:bidi="ar-SA"/>
        </w:rPr>
      </w:pPr>
      <w:hyperlink w:anchor="_Toc436823466" w:history="1">
        <w:r w:rsidR="008A01CF" w:rsidRPr="008A01CF">
          <w:rPr>
            <w:rStyle w:val="Hyperlink"/>
            <w:rFonts w:ascii="Arial" w:hAnsi="Arial" w:cs="Arial"/>
            <w:noProof/>
          </w:rPr>
          <w:t>2</w:t>
        </w:r>
        <w:r w:rsidR="008A01CF" w:rsidRPr="008A01CF">
          <w:rPr>
            <w:rFonts w:ascii="Arial" w:eastAsiaTheme="minorEastAsia" w:hAnsi="Arial" w:cs="Arial"/>
            <w:b w:val="0"/>
            <w:bCs w:val="0"/>
            <w:caps w:val="0"/>
            <w:noProof/>
            <w:sz w:val="22"/>
            <w:szCs w:val="22"/>
            <w:lang w:eastAsia="en-GB" w:bidi="ar-SA"/>
          </w:rPr>
          <w:tab/>
        </w:r>
        <w:r w:rsidR="008A01CF" w:rsidRPr="008A01CF">
          <w:rPr>
            <w:rStyle w:val="Hyperlink"/>
            <w:rFonts w:ascii="Arial" w:hAnsi="Arial" w:cs="Arial"/>
            <w:noProof/>
          </w:rPr>
          <w:t xml:space="preserve">Summary </w:t>
        </w:r>
        <w:r w:rsidR="008A01CF" w:rsidRPr="008A01CF">
          <w:rPr>
            <w:rStyle w:val="Hyperlink"/>
            <w:rFonts w:ascii="Arial" w:hAnsi="Arial" w:cs="Arial"/>
            <w:noProof/>
            <w:u w:color="FFFF00"/>
          </w:rPr>
          <w:t>of</w:t>
        </w:r>
        <w:r w:rsidR="008A01CF" w:rsidRPr="008A01CF">
          <w:rPr>
            <w:rStyle w:val="Hyperlink"/>
            <w:rFonts w:ascii="Arial" w:hAnsi="Arial" w:cs="Arial"/>
            <w:noProof/>
          </w:rPr>
          <w:t xml:space="preserve"> the findings</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_Toc436823466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3</w:t>
        </w:r>
        <w:r w:rsidR="008A01CF" w:rsidRPr="008A01CF">
          <w:rPr>
            <w:rFonts w:ascii="Arial" w:hAnsi="Arial" w:cs="Arial"/>
            <w:noProof/>
            <w:webHidden/>
          </w:rPr>
          <w:fldChar w:fldCharType="end"/>
        </w:r>
      </w:hyperlink>
    </w:p>
    <w:p w14:paraId="4A92EA30"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67" w:history="1">
        <w:r w:rsidR="008A01CF" w:rsidRPr="008A01CF">
          <w:rPr>
            <w:rStyle w:val="Hyperlink"/>
            <w:rFonts w:ascii="Arial" w:hAnsi="Arial" w:cs="Arial"/>
            <w:noProof/>
          </w:rPr>
          <w:t>2.1</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rPr>
          <w:t>Summary of issues following the call for submissions</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_Toc436823467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3</w:t>
        </w:r>
        <w:r w:rsidR="008A01CF" w:rsidRPr="008A01CF">
          <w:rPr>
            <w:rFonts w:ascii="Arial" w:hAnsi="Arial" w:cs="Arial"/>
            <w:noProof/>
            <w:webHidden/>
          </w:rPr>
          <w:fldChar w:fldCharType="end"/>
        </w:r>
      </w:hyperlink>
    </w:p>
    <w:p w14:paraId="012F1B5E"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68" w:history="1">
        <w:r w:rsidR="008A01CF" w:rsidRPr="008A01CF">
          <w:rPr>
            <w:rStyle w:val="Hyperlink"/>
            <w:rFonts w:ascii="Arial" w:hAnsi="Arial" w:cs="Arial"/>
            <w:noProof/>
          </w:rPr>
          <w:t>2.2</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rPr>
          <w:t>Risk assessment</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_Toc436823468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5</w:t>
        </w:r>
        <w:r w:rsidR="008A01CF" w:rsidRPr="008A01CF">
          <w:rPr>
            <w:rFonts w:ascii="Arial" w:hAnsi="Arial" w:cs="Arial"/>
            <w:noProof/>
            <w:webHidden/>
          </w:rPr>
          <w:fldChar w:fldCharType="end"/>
        </w:r>
      </w:hyperlink>
    </w:p>
    <w:p w14:paraId="07399628"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69" w:history="1">
        <w:r w:rsidR="008A01CF" w:rsidRPr="008A01CF">
          <w:rPr>
            <w:rStyle w:val="Hyperlink"/>
            <w:rFonts w:ascii="Arial" w:hAnsi="Arial" w:cs="Arial"/>
            <w:noProof/>
          </w:rPr>
          <w:t>2.3</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rPr>
          <w:t>Risk management</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_Toc436823469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5</w:t>
        </w:r>
        <w:r w:rsidR="008A01CF" w:rsidRPr="008A01CF">
          <w:rPr>
            <w:rFonts w:ascii="Arial" w:hAnsi="Arial" w:cs="Arial"/>
            <w:noProof/>
            <w:webHidden/>
          </w:rPr>
          <w:fldChar w:fldCharType="end"/>
        </w:r>
      </w:hyperlink>
    </w:p>
    <w:p w14:paraId="47422811"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70" w:history="1">
        <w:r w:rsidR="008A01CF" w:rsidRPr="008A01CF">
          <w:rPr>
            <w:rStyle w:val="Hyperlink"/>
            <w:rFonts w:ascii="Arial" w:hAnsi="Arial" w:cs="Arial"/>
            <w:noProof/>
          </w:rPr>
          <w:t>2.4</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rPr>
          <w:t>Risk communication</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_Toc436823470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5</w:t>
        </w:r>
        <w:r w:rsidR="008A01CF" w:rsidRPr="008A01CF">
          <w:rPr>
            <w:rFonts w:ascii="Arial" w:hAnsi="Arial" w:cs="Arial"/>
            <w:noProof/>
            <w:webHidden/>
          </w:rPr>
          <w:fldChar w:fldCharType="end"/>
        </w:r>
      </w:hyperlink>
    </w:p>
    <w:p w14:paraId="5007E79C" w14:textId="77777777" w:rsidR="008A01CF" w:rsidRPr="008A01CF" w:rsidRDefault="00B66D7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6823471" w:history="1">
        <w:r w:rsidR="008A01CF" w:rsidRPr="008A01CF">
          <w:rPr>
            <w:rStyle w:val="Hyperlink"/>
            <w:rFonts w:ascii="Arial" w:hAnsi="Arial" w:cs="Arial"/>
            <w:noProof/>
          </w:rPr>
          <w:t>2.4.1</w:t>
        </w:r>
        <w:r w:rsidR="008A01CF" w:rsidRPr="008A01CF">
          <w:rPr>
            <w:rFonts w:ascii="Arial" w:eastAsiaTheme="minorEastAsia" w:hAnsi="Arial" w:cs="Arial"/>
            <w:i w:val="0"/>
            <w:iCs w:val="0"/>
            <w:noProof/>
            <w:sz w:val="22"/>
            <w:szCs w:val="22"/>
            <w:lang w:eastAsia="en-GB" w:bidi="ar-SA"/>
          </w:rPr>
          <w:tab/>
        </w:r>
        <w:r w:rsidR="008A01CF" w:rsidRPr="008A01CF">
          <w:rPr>
            <w:rStyle w:val="Hyperlink"/>
            <w:rFonts w:ascii="Arial" w:hAnsi="Arial" w:cs="Arial"/>
            <w:noProof/>
          </w:rPr>
          <w:t>Consultation</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_Toc436823471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5</w:t>
        </w:r>
        <w:r w:rsidR="008A01CF" w:rsidRPr="008A01CF">
          <w:rPr>
            <w:rFonts w:ascii="Arial" w:hAnsi="Arial" w:cs="Arial"/>
            <w:noProof/>
            <w:webHidden/>
          </w:rPr>
          <w:fldChar w:fldCharType="end"/>
        </w:r>
      </w:hyperlink>
    </w:p>
    <w:p w14:paraId="5A4D1C38" w14:textId="77777777" w:rsidR="008A01CF" w:rsidRPr="008A01CF" w:rsidRDefault="00B66D76">
      <w:pPr>
        <w:pStyle w:val="TOC2"/>
        <w:tabs>
          <w:tab w:val="left" w:pos="880"/>
          <w:tab w:val="right" w:leader="dot" w:pos="9016"/>
        </w:tabs>
        <w:rPr>
          <w:rFonts w:ascii="Arial" w:eastAsiaTheme="minorEastAsia" w:hAnsi="Arial" w:cs="Arial"/>
          <w:smallCaps w:val="0"/>
          <w:noProof/>
          <w:sz w:val="22"/>
          <w:szCs w:val="22"/>
          <w:lang w:eastAsia="en-GB" w:bidi="ar-SA"/>
        </w:rPr>
      </w:pPr>
      <w:hyperlink w:anchor="_Toc436823472" w:history="1">
        <w:r w:rsidR="008A01CF" w:rsidRPr="008A01CF">
          <w:rPr>
            <w:rStyle w:val="Hyperlink"/>
            <w:rFonts w:ascii="Arial" w:hAnsi="Arial" w:cs="Arial"/>
            <w:noProof/>
          </w:rPr>
          <w:t>2.5</w:t>
        </w:r>
        <w:r w:rsidR="008A01CF" w:rsidRPr="008A01CF">
          <w:rPr>
            <w:rFonts w:ascii="Arial" w:eastAsiaTheme="minorEastAsia" w:hAnsi="Arial" w:cs="Arial"/>
            <w:smallCaps w:val="0"/>
            <w:noProof/>
            <w:sz w:val="22"/>
            <w:szCs w:val="22"/>
            <w:lang w:eastAsia="en-GB" w:bidi="ar-SA"/>
          </w:rPr>
          <w:tab/>
        </w:r>
        <w:r w:rsidR="008A01CF" w:rsidRPr="008A01CF">
          <w:rPr>
            <w:rStyle w:val="Hyperlink"/>
            <w:rFonts w:ascii="Arial" w:hAnsi="Arial" w:cs="Arial"/>
            <w:noProof/>
          </w:rPr>
          <w:t>FSANZ Act assessment requirements</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_Toc436823472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6</w:t>
        </w:r>
        <w:r w:rsidR="008A01CF" w:rsidRPr="008A01CF">
          <w:rPr>
            <w:rFonts w:ascii="Arial" w:hAnsi="Arial" w:cs="Arial"/>
            <w:noProof/>
            <w:webHidden/>
          </w:rPr>
          <w:fldChar w:fldCharType="end"/>
        </w:r>
      </w:hyperlink>
    </w:p>
    <w:p w14:paraId="5B40744C" w14:textId="77777777" w:rsidR="008A01CF" w:rsidRPr="008A01CF" w:rsidRDefault="00B66D76">
      <w:pPr>
        <w:pStyle w:val="TOC3"/>
        <w:tabs>
          <w:tab w:val="left" w:pos="1100"/>
          <w:tab w:val="right" w:leader="dot" w:pos="9016"/>
        </w:tabs>
        <w:rPr>
          <w:rFonts w:ascii="Arial" w:eastAsiaTheme="minorEastAsia" w:hAnsi="Arial" w:cs="Arial"/>
          <w:i w:val="0"/>
          <w:iCs w:val="0"/>
          <w:noProof/>
          <w:sz w:val="22"/>
          <w:szCs w:val="22"/>
          <w:lang w:eastAsia="en-GB" w:bidi="ar-SA"/>
        </w:rPr>
      </w:pPr>
      <w:hyperlink w:anchor="_Toc436823473" w:history="1">
        <w:r w:rsidR="008A01CF" w:rsidRPr="008A01CF">
          <w:rPr>
            <w:rStyle w:val="Hyperlink"/>
            <w:rFonts w:ascii="Arial" w:hAnsi="Arial" w:cs="Arial"/>
            <w:noProof/>
          </w:rPr>
          <w:t>2.5.1</w:t>
        </w:r>
        <w:r w:rsidR="008A01CF" w:rsidRPr="008A01CF">
          <w:rPr>
            <w:rFonts w:ascii="Arial" w:eastAsiaTheme="minorEastAsia" w:hAnsi="Arial" w:cs="Arial"/>
            <w:i w:val="0"/>
            <w:iCs w:val="0"/>
            <w:noProof/>
            <w:sz w:val="22"/>
            <w:szCs w:val="22"/>
            <w:lang w:eastAsia="en-GB" w:bidi="ar-SA"/>
          </w:rPr>
          <w:tab/>
        </w:r>
        <w:r w:rsidR="008A01CF" w:rsidRPr="008A01CF">
          <w:rPr>
            <w:rStyle w:val="Hyperlink"/>
            <w:rFonts w:ascii="Arial" w:hAnsi="Arial" w:cs="Arial"/>
            <w:noProof/>
          </w:rPr>
          <w:t>Section 59</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_Toc436823473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6</w:t>
        </w:r>
        <w:r w:rsidR="008A01CF" w:rsidRPr="008A01CF">
          <w:rPr>
            <w:rFonts w:ascii="Arial" w:hAnsi="Arial" w:cs="Arial"/>
            <w:noProof/>
            <w:webHidden/>
          </w:rPr>
          <w:fldChar w:fldCharType="end"/>
        </w:r>
      </w:hyperlink>
    </w:p>
    <w:p w14:paraId="52BA6D49" w14:textId="77777777" w:rsidR="008A01CF" w:rsidRPr="008A01CF" w:rsidRDefault="00B66D76">
      <w:pPr>
        <w:pStyle w:val="TOC3"/>
        <w:tabs>
          <w:tab w:val="left" w:pos="1320"/>
          <w:tab w:val="right" w:leader="dot" w:pos="9016"/>
        </w:tabs>
        <w:rPr>
          <w:rFonts w:ascii="Arial" w:eastAsiaTheme="minorEastAsia" w:hAnsi="Arial" w:cs="Arial"/>
          <w:i w:val="0"/>
          <w:iCs w:val="0"/>
          <w:noProof/>
          <w:sz w:val="22"/>
          <w:szCs w:val="22"/>
          <w:lang w:eastAsia="en-GB" w:bidi="ar-SA"/>
        </w:rPr>
      </w:pPr>
      <w:hyperlink w:anchor="_Toc436823474" w:history="1">
        <w:r w:rsidR="008A01CF" w:rsidRPr="008A01CF">
          <w:rPr>
            <w:rStyle w:val="Hyperlink"/>
            <w:rFonts w:ascii="Arial" w:hAnsi="Arial" w:cs="Arial"/>
            <w:noProof/>
          </w:rPr>
          <w:t>2.5.2.</w:t>
        </w:r>
        <w:r w:rsidR="008A01CF" w:rsidRPr="008A01CF">
          <w:rPr>
            <w:rFonts w:ascii="Arial" w:eastAsiaTheme="minorEastAsia" w:hAnsi="Arial" w:cs="Arial"/>
            <w:i w:val="0"/>
            <w:iCs w:val="0"/>
            <w:noProof/>
            <w:sz w:val="22"/>
            <w:szCs w:val="22"/>
            <w:lang w:eastAsia="en-GB" w:bidi="ar-SA"/>
          </w:rPr>
          <w:tab/>
        </w:r>
        <w:r w:rsidR="008A01CF" w:rsidRPr="008A01CF">
          <w:rPr>
            <w:rStyle w:val="Hyperlink"/>
            <w:rFonts w:ascii="Arial" w:hAnsi="Arial" w:cs="Arial"/>
            <w:noProof/>
          </w:rPr>
          <w:t>Subsection 18(1)</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_Toc436823474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6</w:t>
        </w:r>
        <w:r w:rsidR="008A01CF" w:rsidRPr="008A01CF">
          <w:rPr>
            <w:rFonts w:ascii="Arial" w:hAnsi="Arial" w:cs="Arial"/>
            <w:noProof/>
            <w:webHidden/>
          </w:rPr>
          <w:fldChar w:fldCharType="end"/>
        </w:r>
      </w:hyperlink>
    </w:p>
    <w:p w14:paraId="54FF7604" w14:textId="77777777" w:rsidR="008A01CF" w:rsidRPr="008A01CF" w:rsidRDefault="00B66D76">
      <w:pPr>
        <w:pStyle w:val="TOC2"/>
        <w:tabs>
          <w:tab w:val="right" w:leader="dot" w:pos="9016"/>
        </w:tabs>
        <w:rPr>
          <w:rFonts w:ascii="Arial" w:eastAsiaTheme="minorEastAsia" w:hAnsi="Arial" w:cs="Arial"/>
          <w:smallCaps w:val="0"/>
          <w:noProof/>
          <w:sz w:val="22"/>
          <w:szCs w:val="22"/>
          <w:lang w:eastAsia="en-GB" w:bidi="ar-SA"/>
        </w:rPr>
      </w:pPr>
      <w:hyperlink w:anchor="_Toc436823475" w:history="1">
        <w:r w:rsidR="008A01CF" w:rsidRPr="008A01CF">
          <w:rPr>
            <w:rStyle w:val="Hyperlink"/>
            <w:rFonts w:ascii="Arial" w:hAnsi="Arial" w:cs="Arial"/>
            <w:noProof/>
          </w:rPr>
          <w:t xml:space="preserve">Attachment A – Approved draft variation to the revised </w:t>
        </w:r>
        <w:r w:rsidR="008A01CF" w:rsidRPr="008A01CF">
          <w:rPr>
            <w:rStyle w:val="Hyperlink"/>
            <w:rFonts w:ascii="Arial" w:hAnsi="Arial" w:cs="Arial"/>
            <w:i/>
            <w:noProof/>
          </w:rPr>
          <w:t xml:space="preserve">Australia New Zealand Food Standards Code </w:t>
        </w:r>
        <w:r w:rsidR="008A01CF" w:rsidRPr="008A01CF">
          <w:rPr>
            <w:rStyle w:val="Hyperlink"/>
            <w:rFonts w:ascii="Arial" w:hAnsi="Arial" w:cs="Arial"/>
            <w:noProof/>
          </w:rPr>
          <w:t>(commencing 1 March 2016)</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_Toc436823475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8</w:t>
        </w:r>
        <w:r w:rsidR="008A01CF" w:rsidRPr="008A01CF">
          <w:rPr>
            <w:rFonts w:ascii="Arial" w:hAnsi="Arial" w:cs="Arial"/>
            <w:noProof/>
            <w:webHidden/>
          </w:rPr>
          <w:fldChar w:fldCharType="end"/>
        </w:r>
      </w:hyperlink>
    </w:p>
    <w:p w14:paraId="675F51E4" w14:textId="77777777" w:rsidR="008A01CF" w:rsidRPr="008A01CF" w:rsidRDefault="00B66D76">
      <w:pPr>
        <w:pStyle w:val="TOC2"/>
        <w:tabs>
          <w:tab w:val="right" w:leader="dot" w:pos="9016"/>
        </w:tabs>
        <w:rPr>
          <w:rFonts w:ascii="Arial" w:eastAsiaTheme="minorEastAsia" w:hAnsi="Arial" w:cs="Arial"/>
          <w:smallCaps w:val="0"/>
          <w:noProof/>
          <w:sz w:val="22"/>
          <w:szCs w:val="22"/>
          <w:lang w:eastAsia="en-GB" w:bidi="ar-SA"/>
        </w:rPr>
      </w:pPr>
      <w:hyperlink w:anchor="_Toc436823476" w:history="1">
        <w:r w:rsidR="008A01CF" w:rsidRPr="008A01CF">
          <w:rPr>
            <w:rStyle w:val="Hyperlink"/>
            <w:rFonts w:ascii="Arial" w:hAnsi="Arial" w:cs="Arial"/>
            <w:noProof/>
          </w:rPr>
          <w:t>Attachment B – Explanatory Statement</w:t>
        </w:r>
        <w:r w:rsidR="008A01CF" w:rsidRPr="008A01CF">
          <w:rPr>
            <w:rFonts w:ascii="Arial" w:hAnsi="Arial" w:cs="Arial"/>
            <w:noProof/>
            <w:webHidden/>
          </w:rPr>
          <w:tab/>
        </w:r>
        <w:r w:rsidR="008A01CF" w:rsidRPr="008A01CF">
          <w:rPr>
            <w:rFonts w:ascii="Arial" w:hAnsi="Arial" w:cs="Arial"/>
            <w:noProof/>
            <w:webHidden/>
          </w:rPr>
          <w:fldChar w:fldCharType="begin"/>
        </w:r>
        <w:r w:rsidR="008A01CF" w:rsidRPr="008A01CF">
          <w:rPr>
            <w:rFonts w:ascii="Arial" w:hAnsi="Arial" w:cs="Arial"/>
            <w:noProof/>
            <w:webHidden/>
          </w:rPr>
          <w:instrText xml:space="preserve"> PAGEREF _Toc436823476 \h </w:instrText>
        </w:r>
        <w:r w:rsidR="008A01CF" w:rsidRPr="008A01CF">
          <w:rPr>
            <w:rFonts w:ascii="Arial" w:hAnsi="Arial" w:cs="Arial"/>
            <w:noProof/>
            <w:webHidden/>
          </w:rPr>
        </w:r>
        <w:r w:rsidR="008A01CF" w:rsidRPr="008A01CF">
          <w:rPr>
            <w:rFonts w:ascii="Arial" w:hAnsi="Arial" w:cs="Arial"/>
            <w:noProof/>
            <w:webHidden/>
          </w:rPr>
          <w:fldChar w:fldCharType="separate"/>
        </w:r>
        <w:r w:rsidR="00C54396">
          <w:rPr>
            <w:rFonts w:ascii="Arial" w:hAnsi="Arial" w:cs="Arial"/>
            <w:noProof/>
            <w:webHidden/>
          </w:rPr>
          <w:t>14</w:t>
        </w:r>
        <w:r w:rsidR="008A01CF" w:rsidRPr="008A01CF">
          <w:rPr>
            <w:rFonts w:ascii="Arial" w:hAnsi="Arial" w:cs="Arial"/>
            <w:noProof/>
            <w:webHidden/>
          </w:rPr>
          <w:fldChar w:fldCharType="end"/>
        </w:r>
      </w:hyperlink>
    </w:p>
    <w:p w14:paraId="6E9FA9E9" w14:textId="77777777" w:rsidR="0012388D" w:rsidRDefault="00B55714" w:rsidP="00C91C02">
      <w:r w:rsidRPr="008A01CF">
        <w:rPr>
          <w:rFonts w:cs="Arial"/>
          <w:sz w:val="20"/>
          <w:szCs w:val="20"/>
        </w:rPr>
        <w:fldChar w:fldCharType="end"/>
      </w:r>
    </w:p>
    <w:p w14:paraId="6E9FA9EA" w14:textId="77777777" w:rsidR="007F7BF7" w:rsidRDefault="007F7BF7" w:rsidP="00CA5734"/>
    <w:p w14:paraId="6E9FA9EB" w14:textId="77777777" w:rsidR="003C4969" w:rsidRPr="00CA5734" w:rsidRDefault="00D15A08" w:rsidP="009A2699">
      <w:pPr>
        <w:spacing w:line="280" w:lineRule="exact"/>
        <w:ind w:left="851" w:hanging="851"/>
        <w:outlineLvl w:val="3"/>
        <w:rPr>
          <w:vanish/>
          <w:color w:val="FF0000"/>
        </w:rPr>
      </w:pPr>
      <w:r w:rsidRPr="00CA5734">
        <w:br w:type="page"/>
      </w:r>
    </w:p>
    <w:p w14:paraId="6E9FA9EC" w14:textId="77777777" w:rsidR="007A53BF" w:rsidRPr="007A53BF" w:rsidRDefault="007A53BF" w:rsidP="00CE59AA">
      <w:pPr>
        <w:pStyle w:val="Heading1"/>
      </w:pPr>
      <w:bookmarkStart w:id="1" w:name="_Toc286391001"/>
      <w:bookmarkStart w:id="2" w:name="_Toc300933414"/>
      <w:bookmarkStart w:id="3" w:name="_Toc370223463"/>
      <w:bookmarkStart w:id="4" w:name="_Toc436823460"/>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E9FA9ED" w14:textId="0EBBED89" w:rsidR="00EB36C2" w:rsidRPr="00EB36C2" w:rsidRDefault="00EB36C2" w:rsidP="00EB36C2">
      <w:pPr>
        <w:rPr>
          <w:color w:val="000000" w:themeColor="text1"/>
        </w:rPr>
      </w:pPr>
      <w:r w:rsidRPr="00ED60A7">
        <w:t xml:space="preserve">The Board has approved a revision of the </w:t>
      </w:r>
      <w:r w:rsidRPr="00ED60A7">
        <w:rPr>
          <w:i/>
        </w:rPr>
        <w:t>Australia New Zealand Food Standards Code</w:t>
      </w:r>
      <w:r w:rsidRPr="00ED60A7">
        <w:t xml:space="preserve"> (the </w:t>
      </w:r>
      <w:r w:rsidR="00186187">
        <w:t>revised</w:t>
      </w:r>
      <w:r w:rsidRPr="00ED60A7">
        <w:t xml:space="preserve"> Code). The </w:t>
      </w:r>
      <w:r w:rsidR="00186187">
        <w:t>revised</w:t>
      </w:r>
      <w:r w:rsidRPr="00ED60A7">
        <w:t xml:space="preserve"> Code will replace the current </w:t>
      </w:r>
      <w:r w:rsidRPr="00ED60A7">
        <w:rPr>
          <w:i/>
        </w:rPr>
        <w:t>Australia New Zealand Food Standards Code</w:t>
      </w:r>
      <w:r w:rsidRPr="00ED60A7">
        <w:t xml:space="preserve"> (the </w:t>
      </w:r>
      <w:r w:rsidR="00186187">
        <w:t>current</w:t>
      </w:r>
      <w:r w:rsidRPr="00ED60A7">
        <w:t xml:space="preserve"> Code</w:t>
      </w:r>
      <w:r w:rsidRPr="00ED60A7">
        <w:rPr>
          <w:bCs/>
        </w:rPr>
        <w:t>)</w:t>
      </w:r>
      <w:r w:rsidRPr="00ED60A7">
        <w:t xml:space="preserve"> on 1 March 2016, when the </w:t>
      </w:r>
      <w:r w:rsidR="00186187">
        <w:t>current</w:t>
      </w:r>
      <w:r w:rsidRPr="00ED60A7">
        <w:t xml:space="preserve"> Code will be repealed.</w:t>
      </w:r>
    </w:p>
    <w:p w14:paraId="6E9FA9EE" w14:textId="77777777" w:rsidR="00EB36C2" w:rsidRDefault="00EB36C2" w:rsidP="00EB36C2">
      <w:pPr>
        <w:ind w:right="-286"/>
      </w:pPr>
    </w:p>
    <w:p w14:paraId="6E9FA9EF" w14:textId="1F3E43B8" w:rsidR="00EB36C2" w:rsidRDefault="00EB36C2" w:rsidP="00EB36C2">
      <w:pPr>
        <w:ind w:right="-286"/>
      </w:pPr>
      <w:r>
        <w:t xml:space="preserve">This Proposal makes minor variations to the </w:t>
      </w:r>
      <w:r w:rsidR="00186187">
        <w:t xml:space="preserve">revised </w:t>
      </w:r>
      <w:r>
        <w:t>Code in order to correct minor errors.</w:t>
      </w:r>
    </w:p>
    <w:p w14:paraId="6E9FA9F0" w14:textId="77777777" w:rsidR="00EB36C2" w:rsidRDefault="00EB36C2" w:rsidP="00EB36C2">
      <w:pPr>
        <w:ind w:right="-286"/>
      </w:pPr>
    </w:p>
    <w:p w14:paraId="6E9FA9F1" w14:textId="63DE3EFD" w:rsidR="005E06C0" w:rsidRPr="008A01CF" w:rsidRDefault="00EB36C2" w:rsidP="00EB36C2">
      <w:pPr>
        <w:rPr>
          <w:lang w:bidi="ar-SA"/>
        </w:rPr>
      </w:pPr>
      <w:r>
        <w:t xml:space="preserve">The approved </w:t>
      </w:r>
      <w:r w:rsidR="008F3FAD">
        <w:t xml:space="preserve">draft </w:t>
      </w:r>
      <w:r>
        <w:t xml:space="preserve">variation </w:t>
      </w:r>
      <w:r w:rsidR="00014F3B">
        <w:t>differs slightly to the version</w:t>
      </w:r>
      <w:r>
        <w:t xml:space="preserve"> </w:t>
      </w:r>
      <w:r w:rsidR="008F3FAD">
        <w:t xml:space="preserve">that was the subject of the </w:t>
      </w:r>
      <w:r>
        <w:t>call for submissions.</w:t>
      </w:r>
      <w:r w:rsidR="008F3FAD">
        <w:t xml:space="preserve"> </w:t>
      </w:r>
      <w:r w:rsidR="002358B8">
        <w:t>Six</w:t>
      </w:r>
      <w:r w:rsidR="00014F3B">
        <w:t xml:space="preserve"> minor changes were made following the call for submissions. These changes are explained in this </w:t>
      </w:r>
      <w:r w:rsidR="00186187">
        <w:t>r</w:t>
      </w:r>
      <w:r w:rsidR="00014F3B">
        <w:t>epo</w:t>
      </w:r>
      <w:r w:rsidR="00014F3B" w:rsidRPr="008A01CF">
        <w:t>rt.</w:t>
      </w:r>
    </w:p>
    <w:p w14:paraId="6E9FA9F2" w14:textId="77777777" w:rsidR="00C836FF" w:rsidRDefault="00C836FF" w:rsidP="002421C1">
      <w:pPr>
        <w:pStyle w:val="Heading1"/>
      </w:pPr>
      <w:r>
        <w:br w:type="page"/>
      </w:r>
    </w:p>
    <w:p w14:paraId="6E9FA9F3" w14:textId="77777777" w:rsidR="007A53BF" w:rsidRPr="007A53BF" w:rsidRDefault="007A53BF" w:rsidP="00CE59AA">
      <w:pPr>
        <w:pStyle w:val="Heading1"/>
      </w:pPr>
      <w:bookmarkStart w:id="10" w:name="_Toc300933417"/>
      <w:bookmarkStart w:id="11" w:name="_Toc370223464"/>
      <w:bookmarkStart w:id="12" w:name="_Toc436823461"/>
      <w:r w:rsidRPr="007A53BF">
        <w:lastRenderedPageBreak/>
        <w:t>1</w:t>
      </w:r>
      <w:r w:rsidRPr="007A53BF">
        <w:tab/>
        <w:t>Introduction</w:t>
      </w:r>
      <w:bookmarkEnd w:id="10"/>
      <w:bookmarkEnd w:id="11"/>
      <w:bookmarkEnd w:id="12"/>
    </w:p>
    <w:p w14:paraId="6E9FA9F8" w14:textId="03C45F21" w:rsidR="007A53BF" w:rsidRPr="007A53BF" w:rsidRDefault="007A53BF" w:rsidP="00CE59AA">
      <w:pPr>
        <w:pStyle w:val="Heading2"/>
      </w:pPr>
      <w:bookmarkStart w:id="13" w:name="_Toc300761892"/>
      <w:bookmarkStart w:id="14" w:name="_Toc300933421"/>
      <w:bookmarkStart w:id="15" w:name="_Toc370223467"/>
      <w:bookmarkStart w:id="16" w:name="_Toc436823462"/>
      <w:r w:rsidRPr="007A53BF">
        <w:t>1.</w:t>
      </w:r>
      <w:r w:rsidR="001C0A52">
        <w:t>1</w:t>
      </w:r>
      <w:r w:rsidRPr="007A53BF">
        <w:tab/>
        <w:t>The current Standard</w:t>
      </w:r>
      <w:bookmarkEnd w:id="13"/>
      <w:bookmarkEnd w:id="14"/>
      <w:bookmarkEnd w:id="15"/>
      <w:bookmarkEnd w:id="16"/>
    </w:p>
    <w:p w14:paraId="6E9FA9F9" w14:textId="3824F8C3" w:rsidR="00EB36C2" w:rsidRPr="001809EC" w:rsidRDefault="00EB36C2" w:rsidP="00EB36C2">
      <w:bookmarkStart w:id="17" w:name="_Toc286391007"/>
      <w:bookmarkStart w:id="18" w:name="_Toc300933423"/>
      <w:bookmarkStart w:id="19" w:name="_Toc370223468"/>
      <w:bookmarkStart w:id="20" w:name="_Toc175381432"/>
      <w:r w:rsidRPr="001809EC">
        <w:t xml:space="preserve">The </w:t>
      </w:r>
      <w:r w:rsidR="00D63B36">
        <w:t>approved draft variation</w:t>
      </w:r>
      <w:r w:rsidRPr="001809EC">
        <w:t xml:space="preserve"> amends various </w:t>
      </w:r>
      <w:r>
        <w:t>s</w:t>
      </w:r>
      <w:r w:rsidRPr="001809EC">
        <w:t xml:space="preserve">tandards in the </w:t>
      </w:r>
      <w:r>
        <w:t>revised</w:t>
      </w:r>
      <w:r w:rsidRPr="001809EC">
        <w:t xml:space="preserve"> Code</w:t>
      </w:r>
      <w:r w:rsidR="001C0A52">
        <w:t xml:space="preserve"> which takes effect on 1 March 2016</w:t>
      </w:r>
      <w:r w:rsidRPr="001809EC">
        <w:t>.</w:t>
      </w:r>
    </w:p>
    <w:p w14:paraId="6E9FA9FA" w14:textId="1F82173C" w:rsidR="007A53BF" w:rsidRPr="007A53BF" w:rsidRDefault="007A53BF" w:rsidP="00CE59AA">
      <w:pPr>
        <w:pStyle w:val="Heading2"/>
        <w:rPr>
          <w:u w:color="FFFF00"/>
        </w:rPr>
      </w:pPr>
      <w:bookmarkStart w:id="21" w:name="_Toc436823463"/>
      <w:r w:rsidRPr="007A53BF">
        <w:rPr>
          <w:u w:color="FFFF00"/>
        </w:rPr>
        <w:t>1.</w:t>
      </w:r>
      <w:r w:rsidR="001C0A52">
        <w:rPr>
          <w:u w:color="FFFF00"/>
        </w:rPr>
        <w:t>2</w:t>
      </w:r>
      <w:r w:rsidRPr="007A53BF">
        <w:rPr>
          <w:u w:color="FFFF00"/>
        </w:rPr>
        <w:tab/>
      </w:r>
      <w:r w:rsidRPr="00D63B36">
        <w:rPr>
          <w:u w:color="FFFF00"/>
        </w:rPr>
        <w:t xml:space="preserve">Reasons for </w:t>
      </w:r>
      <w:bookmarkEnd w:id="17"/>
      <w:bookmarkEnd w:id="18"/>
      <w:r w:rsidRPr="00D63B36">
        <w:t xml:space="preserve">preparing </w:t>
      </w:r>
      <w:r w:rsidR="001C0A52">
        <w:t xml:space="preserve">the </w:t>
      </w:r>
      <w:r w:rsidRPr="00D63B36">
        <w:t>Proposal</w:t>
      </w:r>
      <w:bookmarkEnd w:id="19"/>
      <w:bookmarkEnd w:id="21"/>
    </w:p>
    <w:bookmarkEnd w:id="20"/>
    <w:p w14:paraId="08991003" w14:textId="47FA77E1" w:rsidR="00875F62" w:rsidRPr="001809EC" w:rsidRDefault="00875F62" w:rsidP="00875F62">
      <w:pPr>
        <w:ind w:right="-286"/>
      </w:pPr>
      <w:r w:rsidRPr="001809EC">
        <w:t xml:space="preserve">The Board approved </w:t>
      </w:r>
      <w:r w:rsidR="00186187">
        <w:t>the revised Code,</w:t>
      </w:r>
      <w:r>
        <w:t xml:space="preserve"> which</w:t>
      </w:r>
      <w:r w:rsidRPr="001809EC">
        <w:t xml:space="preserve"> will replace the </w:t>
      </w:r>
      <w:r w:rsidR="00186187">
        <w:t>current</w:t>
      </w:r>
      <w:r>
        <w:t xml:space="preserve"> </w:t>
      </w:r>
      <w:r w:rsidRPr="001809EC">
        <w:t xml:space="preserve">Code on 1 March 2016, when the </w:t>
      </w:r>
      <w:r>
        <w:t>current</w:t>
      </w:r>
      <w:r w:rsidRPr="001809EC">
        <w:t xml:space="preserve"> Code will be repealed.</w:t>
      </w:r>
    </w:p>
    <w:p w14:paraId="73080B65" w14:textId="77777777" w:rsidR="00875F62" w:rsidRPr="001809EC" w:rsidRDefault="00875F62" w:rsidP="00875F62">
      <w:pPr>
        <w:rPr>
          <w:b/>
          <w:bCs/>
        </w:rPr>
      </w:pPr>
    </w:p>
    <w:p w14:paraId="6E9FA9FB" w14:textId="46D72F5C" w:rsidR="007A53BF" w:rsidRPr="00E53E95" w:rsidRDefault="00875F62" w:rsidP="001C0A52">
      <w:r w:rsidRPr="001809EC">
        <w:t xml:space="preserve">The </w:t>
      </w:r>
      <w:r>
        <w:t xml:space="preserve">revised Code </w:t>
      </w:r>
      <w:r w:rsidRPr="001809EC">
        <w:t xml:space="preserve">contains minor typographical </w:t>
      </w:r>
      <w:r>
        <w:t>and transcription errors</w:t>
      </w:r>
      <w:r w:rsidRPr="001809EC">
        <w:t>.</w:t>
      </w:r>
      <w:r>
        <w:rPr>
          <w:b/>
          <w:bCs/>
        </w:rPr>
        <w:t xml:space="preserve"> </w:t>
      </w:r>
      <w:r>
        <w:rPr>
          <w:bCs/>
        </w:rPr>
        <w:t>The purpose of Proposal P1040</w:t>
      </w:r>
      <w:r w:rsidRPr="001809EC">
        <w:rPr>
          <w:b/>
          <w:bCs/>
        </w:rPr>
        <w:t xml:space="preserve"> </w:t>
      </w:r>
      <w:r>
        <w:rPr>
          <w:bCs/>
        </w:rPr>
        <w:t xml:space="preserve">is to amend the revised Code </w:t>
      </w:r>
      <w:r>
        <w:rPr>
          <w:szCs w:val="22"/>
        </w:rPr>
        <w:t>to correct these</w:t>
      </w:r>
      <w:r w:rsidRPr="001809EC">
        <w:rPr>
          <w:szCs w:val="22"/>
        </w:rPr>
        <w:t xml:space="preserve"> errors</w:t>
      </w:r>
      <w:r w:rsidR="00D63B36" w:rsidRPr="00ED60A7">
        <w:t xml:space="preserve"> to ensure that </w:t>
      </w:r>
      <w:r w:rsidR="00D63B36" w:rsidRPr="00ED60A7">
        <w:rPr>
          <w:rFonts w:eastAsia="Calibri"/>
        </w:rPr>
        <w:t xml:space="preserve">the </w:t>
      </w:r>
      <w:r w:rsidR="005707E5">
        <w:rPr>
          <w:rFonts w:eastAsia="Calibri"/>
        </w:rPr>
        <w:t>revised</w:t>
      </w:r>
      <w:r w:rsidR="005707E5" w:rsidRPr="00ED60A7">
        <w:rPr>
          <w:rFonts w:eastAsia="Calibri"/>
        </w:rPr>
        <w:t xml:space="preserve"> </w:t>
      </w:r>
      <w:r w:rsidR="00D63B36" w:rsidRPr="00ED60A7">
        <w:rPr>
          <w:rFonts w:eastAsia="Calibri"/>
        </w:rPr>
        <w:t xml:space="preserve">Code is consistent with the </w:t>
      </w:r>
      <w:r w:rsidR="005707E5">
        <w:rPr>
          <w:rFonts w:eastAsia="Calibri"/>
        </w:rPr>
        <w:t>current</w:t>
      </w:r>
      <w:r w:rsidR="005707E5" w:rsidRPr="00ED60A7">
        <w:rPr>
          <w:rFonts w:eastAsia="Calibri"/>
        </w:rPr>
        <w:t xml:space="preserve"> </w:t>
      </w:r>
      <w:r w:rsidR="00D63B36" w:rsidRPr="00ED60A7">
        <w:rPr>
          <w:rFonts w:eastAsia="Calibri"/>
        </w:rPr>
        <w:t xml:space="preserve">Code when the </w:t>
      </w:r>
      <w:r w:rsidR="005707E5">
        <w:rPr>
          <w:rFonts w:eastAsia="Calibri"/>
        </w:rPr>
        <w:t xml:space="preserve">revised </w:t>
      </w:r>
      <w:r w:rsidR="00E53E95">
        <w:rPr>
          <w:rFonts w:eastAsia="Calibri"/>
        </w:rPr>
        <w:t>Code commences on 1 </w:t>
      </w:r>
      <w:r w:rsidR="00D63B36" w:rsidRPr="00ED60A7">
        <w:rPr>
          <w:rFonts w:eastAsia="Calibri"/>
        </w:rPr>
        <w:t xml:space="preserve">March </w:t>
      </w:r>
      <w:r w:rsidR="00D63B36" w:rsidRPr="00E53E95">
        <w:rPr>
          <w:rFonts w:eastAsia="Calibri"/>
        </w:rPr>
        <w:t>2016</w:t>
      </w:r>
      <w:r w:rsidR="007A53BF" w:rsidRPr="00E53E95">
        <w:t>.</w:t>
      </w:r>
    </w:p>
    <w:p w14:paraId="6E9FA9FC" w14:textId="34F7C11B" w:rsidR="007A53BF" w:rsidRPr="007A53BF" w:rsidRDefault="007A53BF" w:rsidP="00CE59AA">
      <w:pPr>
        <w:pStyle w:val="Heading2"/>
      </w:pPr>
      <w:bookmarkStart w:id="22" w:name="_Toc370223469"/>
      <w:bookmarkStart w:id="23" w:name="_Toc436823464"/>
      <w:r w:rsidRPr="007A53BF">
        <w:t>1.</w:t>
      </w:r>
      <w:r w:rsidR="005707E5">
        <w:t>3</w:t>
      </w:r>
      <w:r w:rsidRPr="007A53BF">
        <w:tab/>
        <w:t>Procedure for assessment</w:t>
      </w:r>
      <w:bookmarkEnd w:id="22"/>
      <w:bookmarkEnd w:id="23"/>
    </w:p>
    <w:p w14:paraId="6E9FA9FD" w14:textId="77777777" w:rsidR="00AF397D" w:rsidRDefault="00D63B36" w:rsidP="00AF397D">
      <w:r w:rsidRPr="001809EC">
        <w:t xml:space="preserve">The Proposal </w:t>
      </w:r>
      <w:r>
        <w:t>was</w:t>
      </w:r>
      <w:r w:rsidRPr="001809EC">
        <w:t xml:space="preserve"> assessed under the minor procedure.</w:t>
      </w:r>
    </w:p>
    <w:p w14:paraId="6E9FA9FE" w14:textId="1FB7EC79" w:rsidR="00422EC9" w:rsidRDefault="007A53BF" w:rsidP="00422EC9">
      <w:pPr>
        <w:pStyle w:val="Heading2"/>
      </w:pPr>
      <w:bookmarkStart w:id="24" w:name="_Toc436823465"/>
      <w:r>
        <w:t>1</w:t>
      </w:r>
      <w:r w:rsidR="00422EC9">
        <w:t>.</w:t>
      </w:r>
      <w:r w:rsidR="005707E5">
        <w:t>4</w:t>
      </w:r>
      <w:r w:rsidR="00422EC9">
        <w:tab/>
      </w:r>
      <w:r w:rsidR="00422EC9" w:rsidRPr="00932F14">
        <w:t>Decision</w:t>
      </w:r>
      <w:bookmarkEnd w:id="24"/>
    </w:p>
    <w:p w14:paraId="6E9FAA01" w14:textId="1920CEE4" w:rsidR="00D63B36" w:rsidRPr="00ED60A7" w:rsidRDefault="00D63B36" w:rsidP="00D63B36">
      <w:r w:rsidRPr="00ED60A7">
        <w:t>The draft variation</w:t>
      </w:r>
      <w:r w:rsidR="005E4150">
        <w:t>,</w:t>
      </w:r>
      <w:r w:rsidRPr="00ED60A7">
        <w:t xml:space="preserve"> as proposed following assessment</w:t>
      </w:r>
      <w:r w:rsidR="005E4150">
        <w:t>,</w:t>
      </w:r>
      <w:r w:rsidRPr="00ED60A7">
        <w:t xml:space="preserve"> was approved with </w:t>
      </w:r>
      <w:r w:rsidR="00186187">
        <w:t>six</w:t>
      </w:r>
      <w:r w:rsidR="008F3FAD">
        <w:t xml:space="preserve"> minor </w:t>
      </w:r>
      <w:r w:rsidRPr="00ED60A7">
        <w:t xml:space="preserve">amendments. </w:t>
      </w:r>
      <w:r w:rsidR="008F3FAD">
        <w:t xml:space="preserve">These </w:t>
      </w:r>
      <w:r w:rsidR="00186187">
        <w:t xml:space="preserve">six </w:t>
      </w:r>
      <w:r w:rsidR="008F3FAD">
        <w:t>amendments are explained in section 2.1 below.</w:t>
      </w:r>
      <w:r w:rsidR="00D44132">
        <w:t xml:space="preserve"> </w:t>
      </w:r>
      <w:r w:rsidRPr="008F3FAD">
        <w:t xml:space="preserve">The variation </w:t>
      </w:r>
      <w:r w:rsidR="008F3FAD" w:rsidRPr="008F3FAD">
        <w:t>will commence</w:t>
      </w:r>
      <w:r w:rsidRPr="008F3FAD">
        <w:t xml:space="preserve"> on 1 March 2016</w:t>
      </w:r>
      <w:r w:rsidR="008F3FAD" w:rsidRPr="008F3FAD">
        <w:t>, with the exception of items 1 and 4 of the</w:t>
      </w:r>
      <w:r w:rsidR="00014F3B">
        <w:t xml:space="preserve"> Schedule. These two items </w:t>
      </w:r>
      <w:r w:rsidR="008F3FAD" w:rsidRPr="008F3FAD">
        <w:t>will commence on 19 January 2017</w:t>
      </w:r>
      <w:r w:rsidRPr="008F3FAD">
        <w:t>.</w:t>
      </w:r>
    </w:p>
    <w:p w14:paraId="6E9FAA02" w14:textId="77777777" w:rsidR="00D63B36" w:rsidRPr="00ED60A7" w:rsidRDefault="00D63B36" w:rsidP="00D63B36"/>
    <w:p w14:paraId="6E9FAA06" w14:textId="1AADC3D1" w:rsidR="00D63B36" w:rsidRPr="00ED60A7" w:rsidRDefault="00D63B36" w:rsidP="00D63B36">
      <w:pPr>
        <w:rPr>
          <w:u w:val="single"/>
        </w:rPr>
      </w:pPr>
      <w:r w:rsidRPr="00ED60A7">
        <w:t>The approved draft variation, as varied after consideration of submissions</w:t>
      </w:r>
      <w:r w:rsidR="005E4150">
        <w:t>,</w:t>
      </w:r>
      <w:r w:rsidR="00A63F58">
        <w:t xml:space="preserve"> is </w:t>
      </w:r>
      <w:r w:rsidRPr="00ED60A7">
        <w:t>at Attachment A</w:t>
      </w:r>
      <w:r w:rsidR="00A63F58">
        <w:t xml:space="preserve">. The related explanatory statement is at Attachment B. </w:t>
      </w:r>
      <w:r w:rsidRPr="00ED60A7">
        <w:t xml:space="preserve">An explanatory statement is required to accompany an instrument if it is lodged on the Federal Register of Legislative Instruments. </w:t>
      </w:r>
    </w:p>
    <w:p w14:paraId="6E9FAA07" w14:textId="77777777" w:rsidR="0012388D" w:rsidRDefault="007A53BF" w:rsidP="00755F02">
      <w:pPr>
        <w:pStyle w:val="Heading1"/>
      </w:pPr>
      <w:bookmarkStart w:id="25" w:name="_Toc436823466"/>
      <w:bookmarkStart w:id="26" w:name="_Toc11735630"/>
      <w:bookmarkStart w:id="27" w:name="_Toc29883114"/>
      <w:bookmarkStart w:id="28" w:name="_Toc41906801"/>
      <w:bookmarkStart w:id="29" w:name="_Toc41907548"/>
      <w:bookmarkStart w:id="30" w:name="_Toc120358578"/>
      <w:bookmarkStart w:id="31"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25"/>
    </w:p>
    <w:p w14:paraId="6E9FAA08" w14:textId="3D3CAB3A" w:rsidR="007A53BF" w:rsidRPr="002C1A3B" w:rsidRDefault="007A53BF" w:rsidP="007A53BF">
      <w:pPr>
        <w:pStyle w:val="Heading2"/>
      </w:pPr>
      <w:bookmarkStart w:id="32" w:name="_Toc300933438"/>
      <w:bookmarkStart w:id="33" w:name="_Toc370223471"/>
      <w:bookmarkStart w:id="34" w:name="_Toc370225386"/>
      <w:bookmarkStart w:id="35" w:name="_Toc436823467"/>
      <w:bookmarkStart w:id="36" w:name="_Toc286391009"/>
      <w:bookmarkStart w:id="37" w:name="_Toc300933425"/>
      <w:bookmarkStart w:id="38" w:name="_Toc309291838"/>
      <w:bookmarkStart w:id="39" w:name="_Toc309385455"/>
      <w:bookmarkStart w:id="40" w:name="_Toc120358583"/>
      <w:bookmarkStart w:id="41" w:name="_Toc175381440"/>
      <w:r w:rsidRPr="002C1A3B">
        <w:t>2.1</w:t>
      </w:r>
      <w:r w:rsidRPr="002C1A3B">
        <w:tab/>
        <w:t xml:space="preserve">Summary of issues </w:t>
      </w:r>
      <w:bookmarkEnd w:id="32"/>
      <w:r w:rsidR="00041332">
        <w:t>following the call for</w:t>
      </w:r>
      <w:r w:rsidRPr="002C1A3B">
        <w:t xml:space="preserve"> submissions</w:t>
      </w:r>
      <w:bookmarkEnd w:id="33"/>
      <w:bookmarkEnd w:id="34"/>
      <w:bookmarkEnd w:id="35"/>
    </w:p>
    <w:p w14:paraId="6E9FAA0B" w14:textId="692B0088" w:rsidR="007A53BF" w:rsidRDefault="00D63B36" w:rsidP="007A53BF">
      <w:r>
        <w:t xml:space="preserve">FSANZ </w:t>
      </w:r>
      <w:r w:rsidRPr="008F3FAD">
        <w:t xml:space="preserve">received </w:t>
      </w:r>
      <w:r w:rsidR="00316130">
        <w:t>five</w:t>
      </w:r>
      <w:r w:rsidRPr="008F3FAD">
        <w:t xml:space="preserve"> responses</w:t>
      </w:r>
      <w:r>
        <w:t xml:space="preserve"> to the call for submissions. </w:t>
      </w:r>
      <w:r w:rsidR="008F51D4">
        <w:t>None opposed</w:t>
      </w:r>
      <w:r w:rsidR="00716BD1">
        <w:t xml:space="preserve"> the </w:t>
      </w:r>
      <w:r w:rsidR="00316130">
        <w:t>proposed draft variation</w:t>
      </w:r>
      <w:r w:rsidR="00716BD1">
        <w:t xml:space="preserve">. </w:t>
      </w:r>
      <w:r w:rsidRPr="008F3FAD">
        <w:t>Three</w:t>
      </w:r>
      <w:r>
        <w:t xml:space="preserve"> submissions raised </w:t>
      </w:r>
      <w:r w:rsidR="008F51D4">
        <w:t>issues</w:t>
      </w:r>
      <w:r>
        <w:t xml:space="preserve"> that related to the drafting of the</w:t>
      </w:r>
      <w:r w:rsidR="00716BD1">
        <w:t xml:space="preserve"> food regulatory measure</w:t>
      </w:r>
      <w:r>
        <w:t>.</w:t>
      </w:r>
      <w:r w:rsidR="008F51D4">
        <w:t xml:space="preserve"> These issue</w:t>
      </w:r>
      <w:r w:rsidR="00CF7696">
        <w:t>s</w:t>
      </w:r>
      <w:r w:rsidR="008F51D4">
        <w:t xml:space="preserve"> are summarised below.</w:t>
      </w:r>
    </w:p>
    <w:p w14:paraId="6E9FAA0C" w14:textId="77777777" w:rsidR="00716BD1" w:rsidRDefault="00716BD1" w:rsidP="007A53BF"/>
    <w:p w14:paraId="5B81A650" w14:textId="5FF4FCFF" w:rsidR="00041332" w:rsidRDefault="002358B8" w:rsidP="007A53BF">
      <w:r>
        <w:t>Three</w:t>
      </w:r>
      <w:r w:rsidR="00041332">
        <w:t xml:space="preserve"> additional errors in the revised Code were </w:t>
      </w:r>
      <w:r w:rsidR="00186187">
        <w:t xml:space="preserve">also </w:t>
      </w:r>
      <w:r w:rsidR="00041332">
        <w:t xml:space="preserve">identified after the </w:t>
      </w:r>
      <w:r w:rsidR="00316130">
        <w:t>c</w:t>
      </w:r>
      <w:r w:rsidR="00041332">
        <w:t xml:space="preserve">all for </w:t>
      </w:r>
      <w:r w:rsidR="00316130">
        <w:t>s</w:t>
      </w:r>
      <w:r w:rsidR="00041332">
        <w:t>ubmissions was released. These</w:t>
      </w:r>
      <w:r w:rsidR="00186187">
        <w:t xml:space="preserve"> errors</w:t>
      </w:r>
      <w:r w:rsidR="00041332">
        <w:t>, and FSANZ</w:t>
      </w:r>
      <w:r w:rsidR="00316130">
        <w:t>’s</w:t>
      </w:r>
      <w:r w:rsidR="00041332">
        <w:t xml:space="preserve"> response to each</w:t>
      </w:r>
      <w:r w:rsidR="00186187">
        <w:t>,</w:t>
      </w:r>
      <w:r w:rsidR="00041332">
        <w:t xml:space="preserve"> is explained </w:t>
      </w:r>
      <w:r w:rsidR="009969BE">
        <w:t xml:space="preserve">in the last </w:t>
      </w:r>
      <w:r w:rsidR="00186187">
        <w:t>three</w:t>
      </w:r>
      <w:r w:rsidR="009969BE">
        <w:t xml:space="preserve"> entries in the </w:t>
      </w:r>
      <w:r w:rsidR="00316130">
        <w:t>T</w:t>
      </w:r>
      <w:r w:rsidR="009969BE">
        <w:t>able below.</w:t>
      </w:r>
    </w:p>
    <w:p w14:paraId="4B422A94" w14:textId="77777777" w:rsidR="00316130" w:rsidRDefault="00316130" w:rsidP="007A53BF"/>
    <w:p w14:paraId="206EDEA2" w14:textId="77777777" w:rsidR="008A01CF" w:rsidRDefault="008A01CF" w:rsidP="00B245AA">
      <w:pPr>
        <w:pStyle w:val="FSTableTitle"/>
      </w:pPr>
      <w:r>
        <w:br w:type="page"/>
      </w:r>
    </w:p>
    <w:p w14:paraId="283340FF" w14:textId="0EE5C979" w:rsidR="00316130" w:rsidRDefault="00316130" w:rsidP="00B245AA">
      <w:pPr>
        <w:pStyle w:val="FSTableTitle"/>
      </w:pPr>
      <w:r>
        <w:lastRenderedPageBreak/>
        <w:t xml:space="preserve">Table 1: Summary of issues </w:t>
      </w:r>
    </w:p>
    <w:p w14:paraId="1CEA7DB5" w14:textId="77777777" w:rsidR="009969BE" w:rsidRPr="00B853D2" w:rsidRDefault="009969BE"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A53BF" w14:paraId="6E9FAA10" w14:textId="77777777" w:rsidTr="00014F3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14:paraId="6E9FAA0D" w14:textId="77777777" w:rsidR="007A53BF" w:rsidRDefault="007A53BF" w:rsidP="007A53BF">
            <w:pPr>
              <w:spacing w:after="240"/>
            </w:pPr>
            <w:r>
              <w:t>Issue</w:t>
            </w:r>
          </w:p>
        </w:tc>
        <w:tc>
          <w:tcPr>
            <w:tcW w:w="3081" w:type="dxa"/>
            <w:tcBorders>
              <w:top w:val="none" w:sz="0" w:space="0" w:color="auto"/>
              <w:left w:val="none" w:sz="0" w:space="0" w:color="auto"/>
              <w:bottom w:val="none" w:sz="0" w:space="0" w:color="auto"/>
              <w:right w:val="none" w:sz="0" w:space="0" w:color="auto"/>
            </w:tcBorders>
          </w:tcPr>
          <w:p w14:paraId="6E9FAA0E" w14:textId="77777777" w:rsidR="007A53BF" w:rsidRDefault="007A53BF" w:rsidP="007A53BF">
            <w:pPr>
              <w:spacing w:after="240"/>
              <w:cnfStyle w:val="100000000000" w:firstRow="1" w:lastRow="0" w:firstColumn="0" w:lastColumn="0" w:oddVBand="0" w:evenVBand="0" w:oddHBand="0" w:evenHBand="0" w:firstRowFirstColumn="0" w:firstRowLastColumn="0" w:lastRowFirstColumn="0" w:lastRowLastColumn="0"/>
            </w:pPr>
            <w:r>
              <w:t>Raised by</w:t>
            </w:r>
          </w:p>
        </w:tc>
        <w:tc>
          <w:tcPr>
            <w:tcW w:w="3081" w:type="dxa"/>
            <w:tcBorders>
              <w:top w:val="none" w:sz="0" w:space="0" w:color="auto"/>
              <w:left w:val="none" w:sz="0" w:space="0" w:color="auto"/>
              <w:bottom w:val="none" w:sz="0" w:space="0" w:color="auto"/>
              <w:right w:val="none" w:sz="0" w:space="0" w:color="auto"/>
            </w:tcBorders>
          </w:tcPr>
          <w:p w14:paraId="6E9FAA0F" w14:textId="77777777" w:rsidR="001D43F6" w:rsidRDefault="007A53BF" w:rsidP="001D43F6">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(including any amendments to drafting)</w:t>
            </w:r>
          </w:p>
        </w:tc>
      </w:tr>
      <w:tr w:rsidR="00716BD1" w14:paraId="6E9FAA17" w14:textId="77777777" w:rsidTr="00014F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57A48973" w14:textId="57167AE3" w:rsidR="00186187" w:rsidRDefault="008F51D4" w:rsidP="005F28CB">
            <w:pPr>
              <w:pStyle w:val="Table2"/>
            </w:pPr>
            <w:r>
              <w:t>Subcl</w:t>
            </w:r>
            <w:r w:rsidR="00716BD1">
              <w:t>ause 3(2) of the consultation draft variation</w:t>
            </w:r>
            <w:r>
              <w:t>.</w:t>
            </w:r>
          </w:p>
          <w:p w14:paraId="6E9FAA11" w14:textId="08D7DA72" w:rsidR="00716BD1" w:rsidRDefault="00FE735C" w:rsidP="00FE735C">
            <w:pPr>
              <w:pStyle w:val="Table2"/>
            </w:pPr>
            <w:r>
              <w:t xml:space="preserve">The subclause states that Item 1 and 4 of the Schedule commence on 19 January 2017. </w:t>
            </w:r>
            <w:r w:rsidR="008F51D4">
              <w:t>For added clarity, the subclause</w:t>
            </w:r>
            <w:r w:rsidR="00716BD1">
              <w:t xml:space="preserve"> should use the </w:t>
            </w:r>
            <w:r w:rsidR="005F28CB">
              <w:t>phrase</w:t>
            </w:r>
            <w:r w:rsidR="00716BD1">
              <w:t xml:space="preserve"> </w:t>
            </w:r>
            <w:r w:rsidR="00716BD1" w:rsidRPr="00716BD1">
              <w:rPr>
                <w:i/>
              </w:rPr>
              <w:t>take effect</w:t>
            </w:r>
            <w:r w:rsidR="00716BD1">
              <w:t xml:space="preserve"> instead of </w:t>
            </w:r>
            <w:r w:rsidR="00716BD1" w:rsidRPr="00716BD1">
              <w:rPr>
                <w:i/>
              </w:rPr>
              <w:t>commence</w:t>
            </w:r>
            <w:r w:rsidR="00716BD1">
              <w:t>.</w:t>
            </w:r>
          </w:p>
        </w:tc>
        <w:tc>
          <w:tcPr>
            <w:tcW w:w="3081" w:type="dxa"/>
            <w:tcBorders>
              <w:left w:val="none" w:sz="0" w:space="0" w:color="auto"/>
              <w:right w:val="none" w:sz="0" w:space="0" w:color="auto"/>
            </w:tcBorders>
          </w:tcPr>
          <w:p w14:paraId="6E9FAA12" w14:textId="77777777" w:rsidR="00716BD1" w:rsidRDefault="00716BD1" w:rsidP="0086571E">
            <w:pPr>
              <w:pStyle w:val="Table2"/>
              <w:cnfStyle w:val="000000100000" w:firstRow="0" w:lastRow="0" w:firstColumn="0" w:lastColumn="0" w:oddVBand="0" w:evenVBand="0" w:oddHBand="1" w:evenHBand="0" w:firstRowFirstColumn="0" w:firstRowLastColumn="0" w:lastRowFirstColumn="0" w:lastRowLastColumn="0"/>
            </w:pPr>
            <w:r>
              <w:t>MPI</w:t>
            </w:r>
          </w:p>
        </w:tc>
        <w:tc>
          <w:tcPr>
            <w:tcW w:w="3081" w:type="dxa"/>
            <w:tcBorders>
              <w:left w:val="none" w:sz="0" w:space="0" w:color="auto"/>
            </w:tcBorders>
          </w:tcPr>
          <w:p w14:paraId="6E9FAA13" w14:textId="77777777" w:rsidR="00716BD1" w:rsidRDefault="007C24FB" w:rsidP="0086571E">
            <w:pPr>
              <w:pStyle w:val="Table2"/>
              <w:cnfStyle w:val="000000100000" w:firstRow="0" w:lastRow="0" w:firstColumn="0" w:lastColumn="0" w:oddVBand="0" w:evenVBand="0" w:oddHBand="1" w:evenHBand="0" w:firstRowFirstColumn="0" w:firstRowLastColumn="0" w:lastRowFirstColumn="0" w:lastRowLastColumn="0"/>
            </w:pPr>
            <w:r>
              <w:t>No change made.</w:t>
            </w:r>
          </w:p>
          <w:p w14:paraId="6E9FAA14" w14:textId="77777777" w:rsidR="007C24FB" w:rsidRDefault="007C24FB" w:rsidP="0086571E">
            <w:pPr>
              <w:pStyle w:val="Table2"/>
              <w:cnfStyle w:val="000000100000" w:firstRow="0" w:lastRow="0" w:firstColumn="0" w:lastColumn="0" w:oddVBand="0" w:evenVBand="0" w:oddHBand="1" w:evenHBand="0" w:firstRowFirstColumn="0" w:firstRowLastColumn="0" w:lastRowFirstColumn="0" w:lastRowLastColumn="0"/>
            </w:pPr>
          </w:p>
          <w:p w14:paraId="6E9FAA15" w14:textId="77777777" w:rsidR="007C24FB" w:rsidRDefault="007C24FB" w:rsidP="0086571E">
            <w:pPr>
              <w:pStyle w:val="Table2"/>
              <w:cnfStyle w:val="000000100000" w:firstRow="0" w:lastRow="0" w:firstColumn="0" w:lastColumn="0" w:oddVBand="0" w:evenVBand="0" w:oddHBand="1" w:evenHBand="0" w:firstRowFirstColumn="0" w:firstRowLastColumn="0" w:lastRowFirstColumn="0" w:lastRowLastColumn="0"/>
            </w:pPr>
            <w:r>
              <w:t>The</w:t>
            </w:r>
            <w:r w:rsidR="005F28CB">
              <w:t xml:space="preserve"> text of the </w:t>
            </w:r>
            <w:r>
              <w:t>sub</w:t>
            </w:r>
            <w:r w:rsidR="00383A3C">
              <w:t>-</w:t>
            </w:r>
            <w:r>
              <w:t xml:space="preserve">clause </w:t>
            </w:r>
            <w:r w:rsidR="00383A3C">
              <w:t>reflects the language and requirements of the legislation under which the draft variation is being made. The text used is also</w:t>
            </w:r>
            <w:r>
              <w:t xml:space="preserve"> consistent with FSANZ and Commonwealth drafting practice. Its intent and effect is also clear.</w:t>
            </w:r>
          </w:p>
          <w:p w14:paraId="6E9FAA16" w14:textId="77777777" w:rsidR="007C24FB" w:rsidRPr="000778D6" w:rsidRDefault="007C24FB" w:rsidP="0086571E">
            <w:pPr>
              <w:pStyle w:val="Table2"/>
              <w:cnfStyle w:val="000000100000" w:firstRow="0" w:lastRow="0" w:firstColumn="0" w:lastColumn="0" w:oddVBand="0" w:evenVBand="0" w:oddHBand="1" w:evenHBand="0" w:firstRowFirstColumn="0" w:firstRowLastColumn="0" w:lastRowFirstColumn="0" w:lastRowLastColumn="0"/>
            </w:pPr>
          </w:p>
        </w:tc>
      </w:tr>
      <w:tr w:rsidR="00716BD1" w14:paraId="6E9FAA22" w14:textId="77777777" w:rsidTr="00014F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32E1E037" w14:textId="77777777" w:rsidR="00186187" w:rsidRDefault="006230E0" w:rsidP="008F51D4">
            <w:pPr>
              <w:pStyle w:val="Table2"/>
            </w:pPr>
            <w:r>
              <w:t>I</w:t>
            </w:r>
            <w:r w:rsidR="00716BD1">
              <w:t>tem 4 of the Schedule of the consultation draft</w:t>
            </w:r>
            <w:r w:rsidR="005F28CB">
              <w:t xml:space="preserve"> variation</w:t>
            </w:r>
            <w:r w:rsidR="00186187">
              <w:t>.</w:t>
            </w:r>
          </w:p>
          <w:p w14:paraId="6E9FAA18" w14:textId="78965AD3" w:rsidR="00716BD1" w:rsidRDefault="00FE735C" w:rsidP="00110CA5">
            <w:pPr>
              <w:pStyle w:val="Table2"/>
            </w:pPr>
            <w:r>
              <w:t xml:space="preserve">Item 4 will remove the Note </w:t>
            </w:r>
            <w:r w:rsidR="00110CA5">
              <w:t>to section 1.2.7</w:t>
            </w:r>
            <w:r w:rsidR="00110CA5" w:rsidRPr="004E31BA">
              <w:t>—</w:t>
            </w:r>
            <w:r w:rsidR="00110CA5">
              <w:t xml:space="preserve">12 </w:t>
            </w:r>
            <w:r>
              <w:t xml:space="preserve">from the Code on 19 January 2107. </w:t>
            </w:r>
            <w:r w:rsidR="006230E0">
              <w:t xml:space="preserve">The </w:t>
            </w:r>
            <w:r w:rsidR="008F51D4">
              <w:t>proposed amendment is difficult to comprehend</w:t>
            </w:r>
            <w:r w:rsidR="00716BD1">
              <w:t>.</w:t>
            </w:r>
            <w:r w:rsidR="00041332">
              <w:t xml:space="preserve"> The Note </w:t>
            </w:r>
            <w:r w:rsidR="008F51D4">
              <w:t>should be retained and amended to explain clearly that that Note will be removed on 19 January 2016.</w:t>
            </w:r>
          </w:p>
        </w:tc>
        <w:tc>
          <w:tcPr>
            <w:tcW w:w="3081" w:type="dxa"/>
            <w:tcBorders>
              <w:left w:val="none" w:sz="0" w:space="0" w:color="auto"/>
              <w:right w:val="none" w:sz="0" w:space="0" w:color="auto"/>
            </w:tcBorders>
          </w:tcPr>
          <w:p w14:paraId="6E9FAA19" w14:textId="77777777" w:rsidR="00716BD1" w:rsidRDefault="00716BD1" w:rsidP="0086571E">
            <w:pPr>
              <w:pStyle w:val="Table2"/>
              <w:cnfStyle w:val="000000010000" w:firstRow="0" w:lastRow="0" w:firstColumn="0" w:lastColumn="0" w:oddVBand="0" w:evenVBand="0" w:oddHBand="0" w:evenHBand="1" w:firstRowFirstColumn="0" w:firstRowLastColumn="0" w:lastRowFirstColumn="0" w:lastRowLastColumn="0"/>
            </w:pPr>
            <w:r>
              <w:t>FTAA</w:t>
            </w:r>
          </w:p>
        </w:tc>
        <w:tc>
          <w:tcPr>
            <w:tcW w:w="3081" w:type="dxa"/>
            <w:tcBorders>
              <w:left w:val="none" w:sz="0" w:space="0" w:color="auto"/>
            </w:tcBorders>
          </w:tcPr>
          <w:p w14:paraId="6E9FAA1A" w14:textId="77777777" w:rsidR="007C24FB" w:rsidRDefault="007C24FB" w:rsidP="0086571E">
            <w:pPr>
              <w:pStyle w:val="Table2"/>
              <w:cnfStyle w:val="000000010000" w:firstRow="0" w:lastRow="0" w:firstColumn="0" w:lastColumn="0" w:oddVBand="0" w:evenVBand="0" w:oddHBand="0" w:evenHBand="1" w:firstRowFirstColumn="0" w:firstRowLastColumn="0" w:lastRowFirstColumn="0" w:lastRowLastColumn="0"/>
            </w:pPr>
            <w:r>
              <w:t>No change made.</w:t>
            </w:r>
          </w:p>
          <w:p w14:paraId="6E9FAA1B" w14:textId="77777777" w:rsidR="00383A3C" w:rsidRDefault="00383A3C" w:rsidP="00383A3C">
            <w:pPr>
              <w:pStyle w:val="Table2"/>
              <w:ind w:left="0" w:firstLine="0"/>
              <w:cnfStyle w:val="000000010000" w:firstRow="0" w:lastRow="0" w:firstColumn="0" w:lastColumn="0" w:oddVBand="0" w:evenVBand="0" w:oddHBand="0" w:evenHBand="1" w:firstRowFirstColumn="0" w:firstRowLastColumn="0" w:lastRowFirstColumn="0" w:lastRowLastColumn="0"/>
            </w:pPr>
          </w:p>
          <w:p w14:paraId="6E9FAA1C" w14:textId="439663D6" w:rsidR="00716BD1" w:rsidRDefault="00383A3C" w:rsidP="00383A3C">
            <w:pPr>
              <w:pStyle w:val="Table2"/>
              <w:cnfStyle w:val="000000010000" w:firstRow="0" w:lastRow="0" w:firstColumn="0" w:lastColumn="0" w:oddVBand="0" w:evenVBand="0" w:oddHBand="0" w:evenHBand="1" w:firstRowFirstColumn="0" w:firstRowLastColumn="0" w:lastRowFirstColumn="0" w:lastRowLastColumn="0"/>
            </w:pPr>
            <w:r>
              <w:t xml:space="preserve">The amendment removes a Note that draws attention to the operation of a standard that will cease to have effect on 18 </w:t>
            </w:r>
            <w:r w:rsidR="00375A25">
              <w:t>January 2017.  At that point</w:t>
            </w:r>
            <w:r w:rsidR="005E4150">
              <w:t>,</w:t>
            </w:r>
            <w:r w:rsidR="00375A25">
              <w:t xml:space="preserve"> that</w:t>
            </w:r>
            <w:r>
              <w:t xml:space="preserve"> Note </w:t>
            </w:r>
            <w:r w:rsidR="00375A25">
              <w:t>will be</w:t>
            </w:r>
            <w:r>
              <w:t xml:space="preserve"> redundant. The amendment will commence, and remove the Note, on 19 January 2017. </w:t>
            </w:r>
          </w:p>
          <w:p w14:paraId="6E9FAA1D" w14:textId="77777777" w:rsidR="00383A3C" w:rsidRDefault="00383A3C" w:rsidP="00383A3C">
            <w:pPr>
              <w:pStyle w:val="Table2"/>
              <w:cnfStyle w:val="000000010000" w:firstRow="0" w:lastRow="0" w:firstColumn="0" w:lastColumn="0" w:oddVBand="0" w:evenVBand="0" w:oddHBand="0" w:evenHBand="1" w:firstRowFirstColumn="0" w:firstRowLastColumn="0" w:lastRowFirstColumn="0" w:lastRowLastColumn="0"/>
            </w:pPr>
          </w:p>
          <w:p w14:paraId="6E9FAA1E" w14:textId="77777777" w:rsidR="00375A25" w:rsidRDefault="00375A25" w:rsidP="00383A3C">
            <w:pPr>
              <w:pStyle w:val="Table2"/>
              <w:cnfStyle w:val="000000010000" w:firstRow="0" w:lastRow="0" w:firstColumn="0" w:lastColumn="0" w:oddVBand="0" w:evenVBand="0" w:oddHBand="0" w:evenHBand="1" w:firstRowFirstColumn="0" w:firstRowLastColumn="0" w:lastRowFirstColumn="0" w:lastRowLastColumn="0"/>
            </w:pPr>
            <w:r>
              <w:t>FSANZ</w:t>
            </w:r>
            <w:r w:rsidR="00383A3C">
              <w:t xml:space="preserve"> is satisfied that the </w:t>
            </w:r>
            <w:r>
              <w:t xml:space="preserve">intent and effect of the </w:t>
            </w:r>
            <w:r w:rsidR="00383A3C">
              <w:t xml:space="preserve">proposed amendment is </w:t>
            </w:r>
            <w:r>
              <w:t>clear.</w:t>
            </w:r>
          </w:p>
          <w:p w14:paraId="6E9FAA1F" w14:textId="77777777" w:rsidR="00375A25" w:rsidRDefault="00375A25" w:rsidP="00383A3C">
            <w:pPr>
              <w:pStyle w:val="Table2"/>
              <w:cnfStyle w:val="000000010000" w:firstRow="0" w:lastRow="0" w:firstColumn="0" w:lastColumn="0" w:oddVBand="0" w:evenVBand="0" w:oddHBand="0" w:evenHBand="1" w:firstRowFirstColumn="0" w:firstRowLastColumn="0" w:lastRowFirstColumn="0" w:lastRowLastColumn="0"/>
            </w:pPr>
          </w:p>
          <w:p w14:paraId="6E9FAA20" w14:textId="77777777" w:rsidR="00383A3C" w:rsidRDefault="00375A25" w:rsidP="00383A3C">
            <w:pPr>
              <w:pStyle w:val="Table2"/>
              <w:cnfStyle w:val="000000010000" w:firstRow="0" w:lastRow="0" w:firstColumn="0" w:lastColumn="0" w:oddVBand="0" w:evenVBand="0" w:oddHBand="0" w:evenHBand="1" w:firstRowFirstColumn="0" w:firstRowLastColumn="0" w:lastRowFirstColumn="0" w:lastRowLastColumn="0"/>
            </w:pPr>
            <w:r>
              <w:t>FSANZ is also satisfied the current text of the Note is appropriate.</w:t>
            </w:r>
          </w:p>
          <w:p w14:paraId="6E9FAA21" w14:textId="77777777" w:rsidR="00383A3C" w:rsidRPr="000778D6" w:rsidRDefault="00383A3C" w:rsidP="00383A3C">
            <w:pPr>
              <w:pStyle w:val="Table2"/>
              <w:cnfStyle w:val="000000010000" w:firstRow="0" w:lastRow="0" w:firstColumn="0" w:lastColumn="0" w:oddVBand="0" w:evenVBand="0" w:oddHBand="0" w:evenHBand="1" w:firstRowFirstColumn="0" w:firstRowLastColumn="0" w:lastRowFirstColumn="0" w:lastRowLastColumn="0"/>
            </w:pPr>
          </w:p>
        </w:tc>
      </w:tr>
      <w:tr w:rsidR="007A53BF" w14:paraId="6E9FAA27" w14:textId="77777777" w:rsidTr="00014F3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0DFA9E12" w14:textId="628ED933" w:rsidR="00186187" w:rsidRDefault="008F51D4" w:rsidP="008F3FAD">
            <w:pPr>
              <w:pStyle w:val="Table2"/>
            </w:pPr>
            <w:r>
              <w:t>I</w:t>
            </w:r>
            <w:r w:rsidR="00D63B36">
              <w:t>tem 7 of the Schedule of the consultation draft</w:t>
            </w:r>
            <w:r w:rsidR="00BC4C4D">
              <w:t xml:space="preserve"> </w:t>
            </w:r>
            <w:r w:rsidR="00186187">
              <w:t>variation.</w:t>
            </w:r>
          </w:p>
          <w:p w14:paraId="6E9FAA23" w14:textId="2FAC520A" w:rsidR="007A53BF" w:rsidRPr="000778D6" w:rsidRDefault="00186187" w:rsidP="00186187">
            <w:pPr>
              <w:pStyle w:val="Table2"/>
            </w:pPr>
            <w:r>
              <w:t>The Item refers to incorrect sections</w:t>
            </w:r>
            <w:r w:rsidR="00D63B36">
              <w:t>.</w:t>
            </w:r>
          </w:p>
        </w:tc>
        <w:tc>
          <w:tcPr>
            <w:tcW w:w="3081" w:type="dxa"/>
            <w:tcBorders>
              <w:left w:val="none" w:sz="0" w:space="0" w:color="auto"/>
              <w:right w:val="none" w:sz="0" w:space="0" w:color="auto"/>
            </w:tcBorders>
          </w:tcPr>
          <w:p w14:paraId="6E9FAA24" w14:textId="77777777" w:rsidR="007A53BF" w:rsidRPr="000778D6" w:rsidRDefault="00D63B36" w:rsidP="0086571E">
            <w:pPr>
              <w:pStyle w:val="Table2"/>
              <w:cnfStyle w:val="000000100000" w:firstRow="0" w:lastRow="0" w:firstColumn="0" w:lastColumn="0" w:oddVBand="0" w:evenVBand="0" w:oddHBand="1" w:evenHBand="0" w:firstRowFirstColumn="0" w:firstRowLastColumn="0" w:lastRowFirstColumn="0" w:lastRowLastColumn="0"/>
            </w:pPr>
            <w:r>
              <w:t>MPI</w:t>
            </w:r>
          </w:p>
        </w:tc>
        <w:tc>
          <w:tcPr>
            <w:tcW w:w="3081" w:type="dxa"/>
            <w:tcBorders>
              <w:left w:val="none" w:sz="0" w:space="0" w:color="auto"/>
            </w:tcBorders>
          </w:tcPr>
          <w:p w14:paraId="6E9FAA25" w14:textId="0ACC6C90" w:rsidR="007C24FB" w:rsidRDefault="007C24FB" w:rsidP="007C24FB">
            <w:pPr>
              <w:pStyle w:val="Table2"/>
              <w:cnfStyle w:val="000000100000" w:firstRow="0" w:lastRow="0" w:firstColumn="0" w:lastColumn="0" w:oddVBand="0" w:evenVBand="0" w:oddHBand="1" w:evenHBand="0" w:firstRowFirstColumn="0" w:firstRowLastColumn="0" w:lastRowFirstColumn="0" w:lastRowLastColumn="0"/>
            </w:pPr>
            <w:r>
              <w:t xml:space="preserve">Item 7 </w:t>
            </w:r>
            <w:r w:rsidR="005F28CB">
              <w:t>contained a transcription error</w:t>
            </w:r>
            <w:r w:rsidR="002C38C0">
              <w:t>,</w:t>
            </w:r>
            <w:r w:rsidR="005F28CB">
              <w:t xml:space="preserve"> which has now been corrected</w:t>
            </w:r>
            <w:r>
              <w:t>.</w:t>
            </w:r>
          </w:p>
          <w:p w14:paraId="6E9FAA26" w14:textId="77777777" w:rsidR="007A53BF" w:rsidRPr="000778D6" w:rsidRDefault="007A53BF" w:rsidP="007C24FB">
            <w:pPr>
              <w:pStyle w:val="Table2"/>
              <w:cnfStyle w:val="000000100000" w:firstRow="0" w:lastRow="0" w:firstColumn="0" w:lastColumn="0" w:oddVBand="0" w:evenVBand="0" w:oddHBand="1" w:evenHBand="0" w:firstRowFirstColumn="0" w:firstRowLastColumn="0" w:lastRowFirstColumn="0" w:lastRowLastColumn="0"/>
            </w:pPr>
          </w:p>
        </w:tc>
      </w:tr>
      <w:tr w:rsidR="007A53BF" w14:paraId="6E9FAA2E" w14:textId="77777777" w:rsidTr="00014F3B">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14:paraId="16FEE43C" w14:textId="77777777" w:rsidR="00186187" w:rsidRDefault="008F51D4" w:rsidP="008F51D4">
            <w:pPr>
              <w:pStyle w:val="Table2"/>
            </w:pPr>
            <w:r>
              <w:t>I</w:t>
            </w:r>
            <w:r w:rsidR="00D63B36">
              <w:t>tem 8 of the Schedule of the consultation draft</w:t>
            </w:r>
            <w:r w:rsidR="005F28CB">
              <w:t xml:space="preserve"> variation</w:t>
            </w:r>
            <w:r w:rsidR="00186187">
              <w:t>.</w:t>
            </w:r>
          </w:p>
          <w:p w14:paraId="17B8E4AA" w14:textId="2C41783E" w:rsidR="002C38C0" w:rsidRDefault="00186187" w:rsidP="008F51D4">
            <w:pPr>
              <w:pStyle w:val="Table2"/>
            </w:pPr>
            <w:r>
              <w:t xml:space="preserve">Item 8 reformats the words </w:t>
            </w:r>
            <w:r w:rsidRPr="00186187">
              <w:rPr>
                <w:i/>
              </w:rPr>
              <w:t>edible oil spread</w:t>
            </w:r>
            <w:r>
              <w:t xml:space="preserve"> in the Note to section 2.4.2</w:t>
            </w:r>
            <w:r w:rsidRPr="004E31BA">
              <w:t>—</w:t>
            </w:r>
            <w:r>
              <w:t xml:space="preserve">2. Item 8 does not reflect how those words appear in the </w:t>
            </w:r>
            <w:r w:rsidR="008F51D4">
              <w:t xml:space="preserve">version </w:t>
            </w:r>
            <w:r w:rsidR="00FE735C">
              <w:t xml:space="preserve">of the Code </w:t>
            </w:r>
            <w:r w:rsidR="008F51D4">
              <w:t xml:space="preserve">published </w:t>
            </w:r>
            <w:r w:rsidR="00520DD3">
              <w:t xml:space="preserve">online </w:t>
            </w:r>
            <w:r>
              <w:t xml:space="preserve">by Comlaw. That version </w:t>
            </w:r>
            <w:r w:rsidR="00FE735C">
              <w:t xml:space="preserve">contains </w:t>
            </w:r>
            <w:r w:rsidR="008F51D4">
              <w:t>a</w:t>
            </w:r>
            <w:r w:rsidR="00FE735C">
              <w:t>nother</w:t>
            </w:r>
            <w:r w:rsidR="008F51D4">
              <w:t xml:space="preserve"> typographical error</w:t>
            </w:r>
            <w:r w:rsidR="00716BD1">
              <w:t>.</w:t>
            </w:r>
            <w:r w:rsidR="003A4C57">
              <w:t xml:space="preserve"> The word </w:t>
            </w:r>
            <w:r w:rsidR="002C38C0" w:rsidRPr="002C38C0">
              <w:rPr>
                <w:i/>
                <w:szCs w:val="18"/>
              </w:rPr>
              <w:t>spread</w:t>
            </w:r>
            <w:r w:rsidR="002C38C0">
              <w:rPr>
                <w:i/>
                <w:sz w:val="20"/>
              </w:rPr>
              <w:t xml:space="preserve"> </w:t>
            </w:r>
            <w:r w:rsidR="003A4C57" w:rsidRPr="002C38C0">
              <w:t>is</w:t>
            </w:r>
            <w:r w:rsidR="003A4C57">
              <w:t xml:space="preserve"> not bolded and </w:t>
            </w:r>
            <w:r w:rsidR="00520DD3">
              <w:t xml:space="preserve">not </w:t>
            </w:r>
            <w:r w:rsidR="003A4C57">
              <w:t>itali</w:t>
            </w:r>
            <w:r w:rsidR="002C38C0">
              <w:t>ci</w:t>
            </w:r>
            <w:r w:rsidR="003A4C57">
              <w:t>sed.</w:t>
            </w:r>
          </w:p>
          <w:p w14:paraId="6E9FAA28" w14:textId="2B290E33" w:rsidR="007A53BF" w:rsidRPr="000778D6" w:rsidRDefault="007A53BF" w:rsidP="008F51D4">
            <w:pPr>
              <w:pStyle w:val="Table2"/>
            </w:pPr>
          </w:p>
        </w:tc>
        <w:tc>
          <w:tcPr>
            <w:tcW w:w="3081" w:type="dxa"/>
            <w:tcBorders>
              <w:left w:val="none" w:sz="0" w:space="0" w:color="auto"/>
              <w:right w:val="none" w:sz="0" w:space="0" w:color="auto"/>
            </w:tcBorders>
          </w:tcPr>
          <w:p w14:paraId="6E9FAA29" w14:textId="77777777" w:rsidR="007A53BF" w:rsidRPr="000778D6" w:rsidRDefault="00D63B36" w:rsidP="0086571E">
            <w:pPr>
              <w:pStyle w:val="Table2"/>
              <w:cnfStyle w:val="000000010000" w:firstRow="0" w:lastRow="0" w:firstColumn="0" w:lastColumn="0" w:oddVBand="0" w:evenVBand="0" w:oddHBand="0" w:evenHBand="1" w:firstRowFirstColumn="0" w:firstRowLastColumn="0" w:lastRowFirstColumn="0" w:lastRowLastColumn="0"/>
            </w:pPr>
            <w:r>
              <w:t>MPI</w:t>
            </w:r>
          </w:p>
        </w:tc>
        <w:tc>
          <w:tcPr>
            <w:tcW w:w="3081" w:type="dxa"/>
            <w:tcBorders>
              <w:left w:val="none" w:sz="0" w:space="0" w:color="auto"/>
            </w:tcBorders>
          </w:tcPr>
          <w:p w14:paraId="6E9FAA2A" w14:textId="22B927A1" w:rsidR="007C24FB" w:rsidRDefault="003A4C57" w:rsidP="007C24FB">
            <w:pPr>
              <w:pStyle w:val="Table2"/>
              <w:cnfStyle w:val="000000010000" w:firstRow="0" w:lastRow="0" w:firstColumn="0" w:lastColumn="0" w:oddVBand="0" w:evenVBand="0" w:oddHBand="0" w:evenHBand="1" w:firstRowFirstColumn="0" w:firstRowLastColumn="0" w:lastRowFirstColumn="0" w:lastRowLastColumn="0"/>
            </w:pPr>
            <w:r>
              <w:t xml:space="preserve">Item 8 has been amended to </w:t>
            </w:r>
            <w:r w:rsidR="00186187">
              <w:t xml:space="preserve">reflect and </w:t>
            </w:r>
            <w:r>
              <w:t xml:space="preserve">correct the </w:t>
            </w:r>
            <w:r w:rsidR="00EC7926">
              <w:t xml:space="preserve">publication </w:t>
            </w:r>
            <w:r>
              <w:t>error</w:t>
            </w:r>
            <w:r w:rsidR="007C24FB">
              <w:t>.</w:t>
            </w:r>
          </w:p>
          <w:p w14:paraId="6E9FAA2B" w14:textId="77777777" w:rsidR="007C24FB" w:rsidRDefault="007C24FB" w:rsidP="006230E0">
            <w:pPr>
              <w:pStyle w:val="Table2"/>
              <w:cnfStyle w:val="000000010000" w:firstRow="0" w:lastRow="0" w:firstColumn="0" w:lastColumn="0" w:oddVBand="0" w:evenVBand="0" w:oddHBand="0" w:evenHBand="1" w:firstRowFirstColumn="0" w:firstRowLastColumn="0" w:lastRowFirstColumn="0" w:lastRowLastColumn="0"/>
            </w:pPr>
          </w:p>
          <w:p w14:paraId="6E9FAA2D" w14:textId="1D54F5ED" w:rsidR="007C24FB" w:rsidRPr="000778D6" w:rsidRDefault="007C24FB" w:rsidP="003A4C57">
            <w:pPr>
              <w:pStyle w:val="Table2"/>
              <w:cnfStyle w:val="000000010000" w:firstRow="0" w:lastRow="0" w:firstColumn="0" w:lastColumn="0" w:oddVBand="0" w:evenVBand="0" w:oddHBand="0" w:evenHBand="1" w:firstRowFirstColumn="0" w:firstRowLastColumn="0" w:lastRowFirstColumn="0" w:lastRowLastColumn="0"/>
            </w:pPr>
          </w:p>
        </w:tc>
      </w:tr>
      <w:tr w:rsidR="00716BD1" w14:paraId="6E9FAA32" w14:textId="77777777" w:rsidTr="002C38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bottom w:val="single" w:sz="4" w:space="0" w:color="auto"/>
              <w:right w:val="none" w:sz="0" w:space="0" w:color="auto"/>
            </w:tcBorders>
          </w:tcPr>
          <w:p w14:paraId="036E77B3" w14:textId="77777777" w:rsidR="00186187" w:rsidRDefault="00716BD1" w:rsidP="00186187">
            <w:pPr>
              <w:pStyle w:val="Table2"/>
            </w:pPr>
            <w:r>
              <w:t>Item 15 of the Schedule of the consultation draft</w:t>
            </w:r>
            <w:r w:rsidR="005F28CB">
              <w:t xml:space="preserve"> variation</w:t>
            </w:r>
            <w:r>
              <w:t xml:space="preserve">. </w:t>
            </w:r>
          </w:p>
          <w:p w14:paraId="6E9FAA2F" w14:textId="2CD1ADBB" w:rsidR="00716BD1" w:rsidRDefault="00716BD1" w:rsidP="00186187">
            <w:pPr>
              <w:pStyle w:val="Table2"/>
            </w:pPr>
            <w:r>
              <w:t xml:space="preserve">A consequential amendment is required </w:t>
            </w:r>
            <w:r w:rsidR="00186187">
              <w:t xml:space="preserve">to the table to section </w:t>
            </w:r>
            <w:r w:rsidR="00186187" w:rsidRPr="004E31BA">
              <w:t>S1—2</w:t>
            </w:r>
            <w:r w:rsidR="00186187">
              <w:t xml:space="preserve"> </w:t>
            </w:r>
            <w:r>
              <w:t xml:space="preserve">as </w:t>
            </w:r>
            <w:r w:rsidR="006230E0">
              <w:t xml:space="preserve">a result of the </w:t>
            </w:r>
            <w:r w:rsidR="00FE735C">
              <w:t xml:space="preserve">Item’s </w:t>
            </w:r>
            <w:r w:rsidR="006230E0">
              <w:t>pr</w:t>
            </w:r>
            <w:r w:rsidR="00186187">
              <w:t>oposed omission of Note 4 to that</w:t>
            </w:r>
            <w:r w:rsidR="006230E0">
              <w:t xml:space="preserve"> table.</w:t>
            </w:r>
            <w:r>
              <w:t xml:space="preserve"> </w:t>
            </w:r>
          </w:p>
        </w:tc>
        <w:tc>
          <w:tcPr>
            <w:tcW w:w="3081" w:type="dxa"/>
            <w:tcBorders>
              <w:left w:val="none" w:sz="0" w:space="0" w:color="auto"/>
              <w:bottom w:val="single" w:sz="4" w:space="0" w:color="auto"/>
              <w:right w:val="none" w:sz="0" w:space="0" w:color="auto"/>
            </w:tcBorders>
          </w:tcPr>
          <w:p w14:paraId="6E9FAA30" w14:textId="77777777" w:rsidR="00716BD1" w:rsidRDefault="00716BD1" w:rsidP="0086571E">
            <w:pPr>
              <w:pStyle w:val="Table2"/>
              <w:cnfStyle w:val="000000100000" w:firstRow="0" w:lastRow="0" w:firstColumn="0" w:lastColumn="0" w:oddVBand="0" w:evenVBand="0" w:oddHBand="1" w:evenHBand="0" w:firstRowFirstColumn="0" w:firstRowLastColumn="0" w:lastRowFirstColumn="0" w:lastRowLastColumn="0"/>
            </w:pPr>
            <w:r>
              <w:t>Qld Health</w:t>
            </w:r>
          </w:p>
        </w:tc>
        <w:tc>
          <w:tcPr>
            <w:tcW w:w="3081" w:type="dxa"/>
            <w:tcBorders>
              <w:left w:val="none" w:sz="0" w:space="0" w:color="auto"/>
              <w:bottom w:val="single" w:sz="4" w:space="0" w:color="auto"/>
            </w:tcBorders>
          </w:tcPr>
          <w:p w14:paraId="6E9FAA31" w14:textId="31FD480F" w:rsidR="00716BD1" w:rsidRPr="000778D6" w:rsidRDefault="007C24FB" w:rsidP="0086571E">
            <w:pPr>
              <w:pStyle w:val="Table2"/>
              <w:cnfStyle w:val="000000100000" w:firstRow="0" w:lastRow="0" w:firstColumn="0" w:lastColumn="0" w:oddVBand="0" w:evenVBand="0" w:oddHBand="1" w:evenHBand="0" w:firstRowFirstColumn="0" w:firstRowLastColumn="0" w:lastRowFirstColumn="0" w:lastRowLastColumn="0"/>
            </w:pPr>
            <w:r>
              <w:t>Item 15 has been amended</w:t>
            </w:r>
            <w:r w:rsidR="00D2065A">
              <w:t xml:space="preserve"> to include the consequential amendment</w:t>
            </w:r>
            <w:r>
              <w:t>.</w:t>
            </w:r>
            <w:r>
              <w:br/>
            </w:r>
            <w:r>
              <w:br/>
            </w:r>
            <w:r w:rsidR="00716BD1">
              <w:t xml:space="preserve">The superscripts in the </w:t>
            </w:r>
            <w:r w:rsidR="006230E0">
              <w:t>t</w:t>
            </w:r>
            <w:r w:rsidR="00716BD1">
              <w:t xml:space="preserve">able to section </w:t>
            </w:r>
            <w:r w:rsidR="00651430" w:rsidRPr="004E31BA">
              <w:t>S1—2</w:t>
            </w:r>
            <w:r w:rsidR="00651430">
              <w:t xml:space="preserve"> </w:t>
            </w:r>
            <w:r w:rsidR="00716BD1">
              <w:t xml:space="preserve">have </w:t>
            </w:r>
            <w:r w:rsidR="005E4150">
              <w:t xml:space="preserve">been </w:t>
            </w:r>
            <w:r w:rsidR="00716BD1">
              <w:t xml:space="preserve">amended to reflect the omission of Note 4 to that table. </w:t>
            </w:r>
            <w:r w:rsidR="006230E0">
              <w:t xml:space="preserve"> Superscript 3 h</w:t>
            </w:r>
            <w:r w:rsidR="005306D0">
              <w:t xml:space="preserve">as been reassigned to Columns 3, </w:t>
            </w:r>
            <w:r w:rsidR="006230E0">
              <w:t>4 and 5 f</w:t>
            </w:r>
            <w:r w:rsidR="00014F3B">
              <w:t>or the entry in that table for V</w:t>
            </w:r>
            <w:r w:rsidR="006230E0">
              <w:t>itamin E.</w:t>
            </w:r>
            <w:r w:rsidR="009969BE">
              <w:t xml:space="preserve"> See new Items 15 and 15A</w:t>
            </w:r>
            <w:r w:rsidR="008F3FAD">
              <w:t xml:space="preserve"> in Schedule 1.</w:t>
            </w:r>
          </w:p>
        </w:tc>
      </w:tr>
      <w:tr w:rsidR="00041332" w14:paraId="49D25EC3" w14:textId="77777777" w:rsidTr="002C38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bottom w:val="single" w:sz="4" w:space="0" w:color="auto"/>
              <w:right w:val="single" w:sz="4" w:space="0" w:color="auto"/>
            </w:tcBorders>
          </w:tcPr>
          <w:p w14:paraId="1547338A" w14:textId="68CC735F" w:rsidR="00041332" w:rsidRDefault="00A84DEA">
            <w:pPr>
              <w:pStyle w:val="Table2"/>
            </w:pPr>
            <w:r>
              <w:lastRenderedPageBreak/>
              <w:t>Paragraph (2</w:t>
            </w:r>
            <w:proofErr w:type="gramStart"/>
            <w:r>
              <w:t>)(</w:t>
            </w:r>
            <w:proofErr w:type="gramEnd"/>
            <w:r>
              <w:t>b) of the</w:t>
            </w:r>
            <w:r w:rsidR="00041332">
              <w:t xml:space="preserve"> Note to section 1.3.1</w:t>
            </w:r>
            <w:r w:rsidR="00041332" w:rsidRPr="004E31BA">
              <w:t>—</w:t>
            </w:r>
            <w:r>
              <w:t>2</w:t>
            </w:r>
            <w:r w:rsidR="00041332">
              <w:t xml:space="preserve"> contains a typographical error. The word </w:t>
            </w:r>
            <w:r w:rsidR="00041332" w:rsidRPr="00041332">
              <w:rPr>
                <w:i/>
              </w:rPr>
              <w:t>that</w:t>
            </w:r>
            <w:r w:rsidR="00041332">
              <w:t xml:space="preserve"> is repeated twice.</w:t>
            </w:r>
          </w:p>
        </w:tc>
        <w:tc>
          <w:tcPr>
            <w:tcW w:w="3081" w:type="dxa"/>
            <w:tcBorders>
              <w:left w:val="single" w:sz="4" w:space="0" w:color="auto"/>
              <w:bottom w:val="single" w:sz="4" w:space="0" w:color="auto"/>
              <w:right w:val="single" w:sz="4" w:space="0" w:color="auto"/>
            </w:tcBorders>
          </w:tcPr>
          <w:p w14:paraId="6791030E" w14:textId="760E2D11" w:rsidR="00041332" w:rsidRDefault="00041332" w:rsidP="0086571E">
            <w:pPr>
              <w:pStyle w:val="Table2"/>
              <w:cnfStyle w:val="000000010000" w:firstRow="0" w:lastRow="0" w:firstColumn="0" w:lastColumn="0" w:oddVBand="0" w:evenVBand="0" w:oddHBand="0" w:evenHBand="1" w:firstRowFirstColumn="0" w:firstRowLastColumn="0" w:lastRowFirstColumn="0" w:lastRowLastColumn="0"/>
            </w:pPr>
            <w:r>
              <w:t>MPI</w:t>
            </w:r>
          </w:p>
        </w:tc>
        <w:tc>
          <w:tcPr>
            <w:tcW w:w="3081" w:type="dxa"/>
            <w:tcBorders>
              <w:left w:val="single" w:sz="4" w:space="0" w:color="auto"/>
              <w:bottom w:val="single" w:sz="4" w:space="0" w:color="auto"/>
            </w:tcBorders>
          </w:tcPr>
          <w:p w14:paraId="412F2CB1" w14:textId="2DB323B3" w:rsidR="00041332" w:rsidRDefault="00041332" w:rsidP="00A84DEA">
            <w:pPr>
              <w:pStyle w:val="Table2"/>
              <w:cnfStyle w:val="000000010000" w:firstRow="0" w:lastRow="0" w:firstColumn="0" w:lastColumn="0" w:oddVBand="0" w:evenVBand="0" w:oddHBand="0" w:evenHBand="1" w:firstRowFirstColumn="0" w:firstRowLastColumn="0" w:lastRowFirstColumn="0" w:lastRowLastColumn="0"/>
            </w:pPr>
            <w:r>
              <w:t>The error has been corrected</w:t>
            </w:r>
            <w:r w:rsidR="00520DD3">
              <w:t>.</w:t>
            </w:r>
            <w:r>
              <w:t xml:space="preserve"> See Item </w:t>
            </w:r>
            <w:r w:rsidR="00A84DEA">
              <w:t>4A</w:t>
            </w:r>
            <w:r>
              <w:t xml:space="preserve"> of the Schedule.</w:t>
            </w:r>
          </w:p>
        </w:tc>
      </w:tr>
      <w:tr w:rsidR="00041332" w14:paraId="23C30CFB" w14:textId="77777777" w:rsidTr="002C38C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015CCA40" w14:textId="62903A14" w:rsidR="00041332" w:rsidRDefault="00041332" w:rsidP="006230E0">
            <w:pPr>
              <w:pStyle w:val="Table2"/>
            </w:pPr>
            <w:r>
              <w:t xml:space="preserve">Section </w:t>
            </w:r>
            <w:r w:rsidRPr="00137230">
              <w:rPr>
                <w:szCs w:val="18"/>
              </w:rPr>
              <w:t>S3—27</w:t>
            </w:r>
            <w:r>
              <w:rPr>
                <w:szCs w:val="18"/>
              </w:rPr>
              <w:t xml:space="preserve"> contains a transcription error.  It refers to </w:t>
            </w:r>
            <w:r w:rsidRPr="009969BE">
              <w:rPr>
                <w:i/>
                <w:szCs w:val="18"/>
              </w:rPr>
              <w:t>cfu/kg</w:t>
            </w:r>
            <w:r>
              <w:rPr>
                <w:szCs w:val="18"/>
              </w:rPr>
              <w:t xml:space="preserve"> instead of </w:t>
            </w:r>
            <w:r w:rsidRPr="009969BE">
              <w:rPr>
                <w:i/>
                <w:szCs w:val="18"/>
              </w:rPr>
              <w:t>cfu/g</w:t>
            </w:r>
            <w:r>
              <w:rPr>
                <w:szCs w:val="18"/>
              </w:rPr>
              <w:t xml:space="preserve">. </w:t>
            </w:r>
          </w:p>
        </w:tc>
        <w:tc>
          <w:tcPr>
            <w:tcW w:w="3081" w:type="dxa"/>
            <w:tcBorders>
              <w:left w:val="single" w:sz="4" w:space="0" w:color="auto"/>
              <w:right w:val="single" w:sz="4" w:space="0" w:color="auto"/>
            </w:tcBorders>
          </w:tcPr>
          <w:p w14:paraId="5FC7BCC2" w14:textId="64196AA0" w:rsidR="00041332" w:rsidRDefault="00041332" w:rsidP="0086571E">
            <w:pPr>
              <w:pStyle w:val="Table2"/>
              <w:cnfStyle w:val="000000100000" w:firstRow="0" w:lastRow="0" w:firstColumn="0" w:lastColumn="0" w:oddVBand="0" w:evenVBand="0" w:oddHBand="1" w:evenHBand="0" w:firstRowFirstColumn="0" w:firstRowLastColumn="0" w:lastRowFirstColumn="0" w:lastRowLastColumn="0"/>
            </w:pPr>
            <w:r>
              <w:t>FSANZ</w:t>
            </w:r>
          </w:p>
        </w:tc>
        <w:tc>
          <w:tcPr>
            <w:tcW w:w="3081" w:type="dxa"/>
            <w:tcBorders>
              <w:left w:val="single" w:sz="4" w:space="0" w:color="auto"/>
            </w:tcBorders>
          </w:tcPr>
          <w:p w14:paraId="0CA15192" w14:textId="16C6429D" w:rsidR="00041332" w:rsidRDefault="00041332" w:rsidP="009969BE">
            <w:pPr>
              <w:pStyle w:val="Table2"/>
              <w:cnfStyle w:val="000000100000" w:firstRow="0" w:lastRow="0" w:firstColumn="0" w:lastColumn="0" w:oddVBand="0" w:evenVBand="0" w:oddHBand="1" w:evenHBand="0" w:firstRowFirstColumn="0" w:firstRowLastColumn="0" w:lastRowFirstColumn="0" w:lastRowLastColumn="0"/>
            </w:pPr>
            <w:r>
              <w:t>The error has been corrected</w:t>
            </w:r>
            <w:r w:rsidR="00520DD3">
              <w:t>.</w:t>
            </w:r>
            <w:r>
              <w:t xml:space="preserve"> See Item </w:t>
            </w:r>
            <w:r w:rsidR="009969BE">
              <w:t>16A</w:t>
            </w:r>
            <w:r>
              <w:t xml:space="preserve"> of the Schedule</w:t>
            </w:r>
          </w:p>
        </w:tc>
      </w:tr>
      <w:tr w:rsidR="00D96261" w14:paraId="06D38D49" w14:textId="77777777" w:rsidTr="002C38C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single" w:sz="4" w:space="0" w:color="auto"/>
            </w:tcBorders>
          </w:tcPr>
          <w:p w14:paraId="6B50E715" w14:textId="596D5828" w:rsidR="00D96261" w:rsidRDefault="00D96261" w:rsidP="00D96261">
            <w:pPr>
              <w:pStyle w:val="Table2"/>
            </w:pPr>
            <w:r>
              <w:t>Section S29</w:t>
            </w:r>
            <w:r w:rsidRPr="00137230">
              <w:rPr>
                <w:szCs w:val="18"/>
              </w:rPr>
              <w:t>—</w:t>
            </w:r>
            <w:r>
              <w:rPr>
                <w:szCs w:val="18"/>
              </w:rPr>
              <w:t>1</w:t>
            </w:r>
            <w:r w:rsidRPr="00137230">
              <w:rPr>
                <w:szCs w:val="18"/>
              </w:rPr>
              <w:t>7</w:t>
            </w:r>
            <w:r>
              <w:rPr>
                <w:szCs w:val="18"/>
              </w:rPr>
              <w:t xml:space="preserve"> contains a typographical error.  The heading to the table in that section contains the words ‘and intake amounts’. The table does not show intake amounts</w:t>
            </w:r>
            <w:r w:rsidR="005306D0">
              <w:rPr>
                <w:szCs w:val="18"/>
              </w:rPr>
              <w:t>.</w:t>
            </w:r>
          </w:p>
        </w:tc>
        <w:tc>
          <w:tcPr>
            <w:tcW w:w="3081" w:type="dxa"/>
            <w:tcBorders>
              <w:left w:val="single" w:sz="4" w:space="0" w:color="auto"/>
              <w:right w:val="single" w:sz="4" w:space="0" w:color="auto"/>
            </w:tcBorders>
          </w:tcPr>
          <w:p w14:paraId="19BE09DE" w14:textId="25AA9A12" w:rsidR="00D96261" w:rsidRDefault="00D96261" w:rsidP="0086571E">
            <w:pPr>
              <w:pStyle w:val="Table2"/>
              <w:cnfStyle w:val="000000010000" w:firstRow="0" w:lastRow="0" w:firstColumn="0" w:lastColumn="0" w:oddVBand="0" w:evenVBand="0" w:oddHBand="0" w:evenHBand="1" w:firstRowFirstColumn="0" w:firstRowLastColumn="0" w:lastRowFirstColumn="0" w:lastRowLastColumn="0"/>
            </w:pPr>
            <w:r>
              <w:t>FTAA</w:t>
            </w:r>
          </w:p>
        </w:tc>
        <w:tc>
          <w:tcPr>
            <w:tcW w:w="3081" w:type="dxa"/>
            <w:tcBorders>
              <w:left w:val="single" w:sz="4" w:space="0" w:color="auto"/>
            </w:tcBorders>
          </w:tcPr>
          <w:p w14:paraId="2A8D3914" w14:textId="14887953" w:rsidR="00D96261" w:rsidRDefault="00D96261" w:rsidP="00D96261">
            <w:pPr>
              <w:pStyle w:val="Table2"/>
              <w:cnfStyle w:val="000000010000" w:firstRow="0" w:lastRow="0" w:firstColumn="0" w:lastColumn="0" w:oddVBand="0" w:evenVBand="0" w:oddHBand="0" w:evenHBand="1" w:firstRowFirstColumn="0" w:firstRowLastColumn="0" w:lastRowFirstColumn="0" w:lastRowLastColumn="0"/>
            </w:pPr>
            <w:r>
              <w:t>The error has been corrected</w:t>
            </w:r>
            <w:r w:rsidR="00520DD3">
              <w:t>.</w:t>
            </w:r>
            <w:r>
              <w:t xml:space="preserve"> See Item 24 of the Schedule.</w:t>
            </w:r>
          </w:p>
        </w:tc>
      </w:tr>
    </w:tbl>
    <w:p w14:paraId="47B69D99" w14:textId="77777777" w:rsidR="000917DE" w:rsidRPr="00932F14" w:rsidRDefault="000917DE" w:rsidP="000917DE">
      <w:pPr>
        <w:pStyle w:val="Heading2"/>
      </w:pPr>
      <w:bookmarkStart w:id="42" w:name="_Toc433787225"/>
      <w:bookmarkStart w:id="43" w:name="_Toc436823468"/>
      <w:bookmarkStart w:id="44" w:name="_Toc370223472"/>
      <w:bookmarkStart w:id="45" w:name="_Toc370225387"/>
      <w:bookmarkStart w:id="46" w:name="_Toc309291812"/>
      <w:bookmarkStart w:id="47" w:name="_Toc175381442"/>
      <w:bookmarkEnd w:id="36"/>
      <w:bookmarkEnd w:id="37"/>
      <w:bookmarkEnd w:id="38"/>
      <w:bookmarkEnd w:id="39"/>
      <w:bookmarkEnd w:id="40"/>
      <w:bookmarkEnd w:id="41"/>
      <w:r>
        <w:t>2.2</w:t>
      </w:r>
      <w:r>
        <w:tab/>
      </w:r>
      <w:r w:rsidRPr="00932F14">
        <w:t xml:space="preserve">Risk </w:t>
      </w:r>
      <w:r>
        <w:t>a</w:t>
      </w:r>
      <w:r w:rsidRPr="00932F14">
        <w:t>ssessment</w:t>
      </w:r>
      <w:bookmarkEnd w:id="42"/>
      <w:bookmarkEnd w:id="43"/>
      <w:r w:rsidRPr="00932F14">
        <w:t xml:space="preserve"> </w:t>
      </w:r>
    </w:p>
    <w:p w14:paraId="6BEBB644" w14:textId="445595BC" w:rsidR="00FE735C" w:rsidRDefault="000917DE" w:rsidP="000917DE">
      <w:bookmarkStart w:id="48" w:name="_Toc370223473"/>
      <w:bookmarkStart w:id="49" w:name="_Toc370225388"/>
      <w:bookmarkStart w:id="50" w:name="_Toc175381450"/>
      <w:r w:rsidRPr="007B1ED7">
        <w:t xml:space="preserve">The </w:t>
      </w:r>
      <w:r>
        <w:t>revised</w:t>
      </w:r>
      <w:r w:rsidRPr="007B1ED7">
        <w:t xml:space="preserve"> Code </w:t>
      </w:r>
      <w:r>
        <w:t xml:space="preserve">contains a number of minor errors which </w:t>
      </w:r>
      <w:r w:rsidR="00FE735C">
        <w:t>must</w:t>
      </w:r>
      <w:r>
        <w:t xml:space="preserve"> be corrected </w:t>
      </w:r>
      <w:r w:rsidRPr="007B1ED7">
        <w:t>prior to 1 March 2016.</w:t>
      </w:r>
      <w:r>
        <w:t xml:space="preserve"> </w:t>
      </w:r>
      <w:r w:rsidR="00FE735C" w:rsidRPr="00C44299">
        <w:rPr>
          <w:rFonts w:eastAsia="Calibri"/>
        </w:rPr>
        <w:t xml:space="preserve">The </w:t>
      </w:r>
      <w:r w:rsidR="00FE735C">
        <w:rPr>
          <w:rFonts w:eastAsia="Calibri"/>
        </w:rPr>
        <w:t>revised Code</w:t>
      </w:r>
      <w:r w:rsidR="00FE735C" w:rsidRPr="00C44299">
        <w:rPr>
          <w:rFonts w:eastAsia="Calibri"/>
        </w:rPr>
        <w:t xml:space="preserve"> </w:t>
      </w:r>
      <w:r w:rsidR="00FE735C">
        <w:rPr>
          <w:rFonts w:eastAsia="Calibri"/>
        </w:rPr>
        <w:t>would</w:t>
      </w:r>
      <w:r w:rsidR="00FE735C" w:rsidRPr="00C44299">
        <w:rPr>
          <w:rFonts w:eastAsia="Calibri"/>
        </w:rPr>
        <w:t xml:space="preserve"> </w:t>
      </w:r>
      <w:r w:rsidR="00FE735C">
        <w:rPr>
          <w:rFonts w:eastAsia="Calibri"/>
        </w:rPr>
        <w:t>be</w:t>
      </w:r>
      <w:r w:rsidR="00FE735C" w:rsidRPr="00C44299">
        <w:rPr>
          <w:rFonts w:eastAsia="Calibri"/>
        </w:rPr>
        <w:t xml:space="preserve"> inconsistent with the </w:t>
      </w:r>
      <w:r w:rsidR="00FE735C">
        <w:rPr>
          <w:rFonts w:eastAsia="Calibri"/>
        </w:rPr>
        <w:t>current</w:t>
      </w:r>
      <w:r w:rsidR="00FE735C" w:rsidRPr="00C44299">
        <w:rPr>
          <w:rFonts w:eastAsia="Calibri"/>
        </w:rPr>
        <w:t xml:space="preserve"> Code if a draft variation </w:t>
      </w:r>
      <w:r w:rsidR="00FE735C">
        <w:rPr>
          <w:rFonts w:eastAsia="Calibri"/>
        </w:rPr>
        <w:t>had not been</w:t>
      </w:r>
      <w:r w:rsidR="00FE735C" w:rsidRPr="00C44299">
        <w:rPr>
          <w:rFonts w:eastAsia="Calibri"/>
        </w:rPr>
        <w:t xml:space="preserve"> </w:t>
      </w:r>
      <w:r w:rsidR="00FE735C">
        <w:rPr>
          <w:rFonts w:eastAsia="Calibri"/>
        </w:rPr>
        <w:t>approved</w:t>
      </w:r>
      <w:r w:rsidR="00FE735C" w:rsidRPr="00C44299">
        <w:rPr>
          <w:rFonts w:eastAsia="Calibri"/>
        </w:rPr>
        <w:t xml:space="preserve">. That is, the </w:t>
      </w:r>
      <w:r w:rsidR="00FE735C">
        <w:rPr>
          <w:rFonts w:eastAsia="Calibri"/>
        </w:rPr>
        <w:t xml:space="preserve">revised Code </w:t>
      </w:r>
      <w:r w:rsidR="00FE735C" w:rsidRPr="00C44299">
        <w:rPr>
          <w:rFonts w:eastAsia="Calibri"/>
        </w:rPr>
        <w:t>w</w:t>
      </w:r>
      <w:r w:rsidR="00FE735C">
        <w:rPr>
          <w:rFonts w:eastAsia="Calibri"/>
        </w:rPr>
        <w:t>ould</w:t>
      </w:r>
      <w:r w:rsidR="00FE735C" w:rsidRPr="00C44299">
        <w:rPr>
          <w:rFonts w:eastAsia="Calibri"/>
        </w:rPr>
        <w:t xml:space="preserve"> not reflect existing law. This may result in regulatory uncertainty and </w:t>
      </w:r>
      <w:r w:rsidR="00FE735C">
        <w:rPr>
          <w:rFonts w:eastAsia="Calibri"/>
        </w:rPr>
        <w:t xml:space="preserve">consequential </w:t>
      </w:r>
      <w:r w:rsidR="00FE735C" w:rsidRPr="00C44299">
        <w:rPr>
          <w:rFonts w:eastAsia="Calibri"/>
        </w:rPr>
        <w:t xml:space="preserve">increased costs to </w:t>
      </w:r>
      <w:r w:rsidR="00FE735C">
        <w:rPr>
          <w:rFonts w:eastAsia="Calibri"/>
        </w:rPr>
        <w:t xml:space="preserve">government, </w:t>
      </w:r>
      <w:r w:rsidR="00FE735C" w:rsidRPr="00C44299">
        <w:rPr>
          <w:rFonts w:eastAsia="Calibri"/>
        </w:rPr>
        <w:t>industry</w:t>
      </w:r>
      <w:r w:rsidR="00FE735C">
        <w:rPr>
          <w:rFonts w:eastAsia="Calibri"/>
        </w:rPr>
        <w:t xml:space="preserve"> and consumers</w:t>
      </w:r>
    </w:p>
    <w:p w14:paraId="07D42939" w14:textId="77777777" w:rsidR="000917DE" w:rsidRPr="00932F14" w:rsidRDefault="000917DE" w:rsidP="000917DE">
      <w:pPr>
        <w:pStyle w:val="Heading2"/>
      </w:pPr>
      <w:bookmarkStart w:id="51" w:name="_Toc433787226"/>
      <w:bookmarkStart w:id="52" w:name="_Toc436823469"/>
      <w:r>
        <w:t>2.3</w:t>
      </w:r>
      <w:r>
        <w:tab/>
        <w:t>Risk management</w:t>
      </w:r>
      <w:bookmarkEnd w:id="48"/>
      <w:bookmarkEnd w:id="49"/>
      <w:bookmarkEnd w:id="51"/>
      <w:bookmarkEnd w:id="52"/>
    </w:p>
    <w:p w14:paraId="4883C180" w14:textId="395EC116" w:rsidR="000917DE" w:rsidRPr="00C33D2F" w:rsidRDefault="00FE735C" w:rsidP="000917DE">
      <w:pPr>
        <w:rPr>
          <w:rFonts w:eastAsia="Calibri"/>
        </w:rPr>
      </w:pPr>
      <w:bookmarkStart w:id="53" w:name="_Toc309291814"/>
      <w:bookmarkStart w:id="54" w:name="_Toc370225389"/>
      <w:bookmarkStart w:id="55" w:name="_Toc286391012"/>
      <w:bookmarkEnd w:id="50"/>
      <w:r>
        <w:rPr>
          <w:rFonts w:eastAsia="Calibri"/>
        </w:rPr>
        <w:t>Amendment of the revised Code to correct the errors is the only risk management option available.</w:t>
      </w:r>
    </w:p>
    <w:p w14:paraId="01A316A8" w14:textId="77777777" w:rsidR="000917DE" w:rsidRPr="008C301D" w:rsidRDefault="000917DE" w:rsidP="000917DE">
      <w:pPr>
        <w:pStyle w:val="Heading2"/>
      </w:pPr>
      <w:bookmarkStart w:id="56" w:name="_Toc433787227"/>
      <w:bookmarkStart w:id="57" w:name="_Toc436823470"/>
      <w:r>
        <w:t>2</w:t>
      </w:r>
      <w:r w:rsidRPr="008C301D">
        <w:t>.</w:t>
      </w:r>
      <w:r>
        <w:t>4</w:t>
      </w:r>
      <w:r w:rsidRPr="008C301D">
        <w:tab/>
        <w:t>Risk communication</w:t>
      </w:r>
      <w:bookmarkEnd w:id="53"/>
      <w:bookmarkEnd w:id="54"/>
      <w:bookmarkEnd w:id="56"/>
      <w:bookmarkEnd w:id="57"/>
      <w:r w:rsidRPr="008C301D">
        <w:t xml:space="preserve"> </w:t>
      </w:r>
    </w:p>
    <w:p w14:paraId="68A8E59F" w14:textId="77777777" w:rsidR="000917DE" w:rsidRPr="008B389A" w:rsidRDefault="000917DE" w:rsidP="000917DE">
      <w:pPr>
        <w:pStyle w:val="Heading3"/>
      </w:pPr>
      <w:bookmarkStart w:id="58" w:name="_Toc300933437"/>
      <w:bookmarkStart w:id="59" w:name="_Toc370223475"/>
      <w:bookmarkStart w:id="60" w:name="_Toc370225390"/>
      <w:bookmarkStart w:id="61" w:name="_Toc433787228"/>
      <w:bookmarkStart w:id="62" w:name="_Toc436823471"/>
      <w:r w:rsidRPr="008B389A">
        <w:t>2.4.1</w:t>
      </w:r>
      <w:r w:rsidRPr="008B389A">
        <w:tab/>
        <w:t>Consultation</w:t>
      </w:r>
      <w:bookmarkEnd w:id="58"/>
      <w:bookmarkEnd w:id="59"/>
      <w:bookmarkEnd w:id="60"/>
      <w:bookmarkEnd w:id="61"/>
      <w:bookmarkEnd w:id="62"/>
    </w:p>
    <w:p w14:paraId="327E069D" w14:textId="0672E380" w:rsidR="000917DE" w:rsidRPr="007B1ED7" w:rsidRDefault="000917DE" w:rsidP="000917DE">
      <w:pPr>
        <w:rPr>
          <w:szCs w:val="22"/>
        </w:rPr>
      </w:pPr>
      <w:r w:rsidRPr="00A670A7">
        <w:rPr>
          <w:szCs w:val="22"/>
        </w:rPr>
        <w:t xml:space="preserve">Consultation is a key part of FSANZ’s standards development process. </w:t>
      </w:r>
      <w:r>
        <w:rPr>
          <w:szCs w:val="22"/>
        </w:rPr>
        <w:t>However, a</w:t>
      </w:r>
      <w:r w:rsidRPr="007B1ED7">
        <w:rPr>
          <w:szCs w:val="22"/>
        </w:rPr>
        <w:t xml:space="preserve">s </w:t>
      </w:r>
      <w:r>
        <w:rPr>
          <w:szCs w:val="22"/>
        </w:rPr>
        <w:t>P1040</w:t>
      </w:r>
      <w:r w:rsidRPr="007B1ED7">
        <w:rPr>
          <w:szCs w:val="22"/>
        </w:rPr>
        <w:t xml:space="preserve"> </w:t>
      </w:r>
      <w:r>
        <w:rPr>
          <w:szCs w:val="22"/>
        </w:rPr>
        <w:t>was</w:t>
      </w:r>
      <w:r w:rsidRPr="007B1ED7">
        <w:rPr>
          <w:szCs w:val="22"/>
        </w:rPr>
        <w:t xml:space="preserve"> assessed under the minor procedure, it d</w:t>
      </w:r>
      <w:r>
        <w:rPr>
          <w:szCs w:val="22"/>
        </w:rPr>
        <w:t>id</w:t>
      </w:r>
      <w:r w:rsidRPr="007B1ED7">
        <w:rPr>
          <w:szCs w:val="22"/>
        </w:rPr>
        <w:t xml:space="preserve"> not require public consultation. Government agencies </w:t>
      </w:r>
      <w:r>
        <w:rPr>
          <w:szCs w:val="22"/>
        </w:rPr>
        <w:t xml:space="preserve">were </w:t>
      </w:r>
      <w:r w:rsidRPr="007B1ED7">
        <w:rPr>
          <w:szCs w:val="22"/>
        </w:rPr>
        <w:t xml:space="preserve">consulted on the draft variation. However, in line with a commitment given to the Senate in 2007, submissions </w:t>
      </w:r>
      <w:r>
        <w:rPr>
          <w:szCs w:val="22"/>
        </w:rPr>
        <w:t>were</w:t>
      </w:r>
      <w:r w:rsidRPr="007B1ED7">
        <w:rPr>
          <w:szCs w:val="22"/>
        </w:rPr>
        <w:t xml:space="preserve"> also called for from affected stakeholders.</w:t>
      </w:r>
      <w:r w:rsidR="00FE735C">
        <w:rPr>
          <w:szCs w:val="22"/>
        </w:rPr>
        <w:t xml:space="preserve"> A copy of the call for submission</w:t>
      </w:r>
      <w:r w:rsidR="005E4150">
        <w:rPr>
          <w:szCs w:val="22"/>
        </w:rPr>
        <w:t>s</w:t>
      </w:r>
      <w:r w:rsidR="00FE735C">
        <w:rPr>
          <w:szCs w:val="22"/>
        </w:rPr>
        <w:t xml:space="preserve"> was also published online. </w:t>
      </w:r>
      <w:r w:rsidR="005E4150">
        <w:rPr>
          <w:szCs w:val="22"/>
        </w:rPr>
        <w:t>Five</w:t>
      </w:r>
      <w:r w:rsidR="00FE735C">
        <w:rPr>
          <w:szCs w:val="22"/>
        </w:rPr>
        <w:t xml:space="preserve"> submissions were received. </w:t>
      </w:r>
    </w:p>
    <w:p w14:paraId="27D09206" w14:textId="77777777" w:rsidR="000917DE" w:rsidRDefault="000917DE" w:rsidP="000917DE">
      <w:pPr>
        <w:rPr>
          <w:szCs w:val="22"/>
        </w:rPr>
      </w:pPr>
    </w:p>
    <w:p w14:paraId="077EB39E" w14:textId="38690FD5" w:rsidR="008A01CF" w:rsidRDefault="000917DE" w:rsidP="000917DE">
      <w:pPr>
        <w:rPr>
          <w:szCs w:val="22"/>
        </w:rPr>
      </w:pPr>
      <w:r w:rsidRPr="002C1A3B">
        <w:rPr>
          <w:szCs w:val="22"/>
        </w:rPr>
        <w:t xml:space="preserve">FSANZ acknowledges the time taken by individuals and organisations to make submissions </w:t>
      </w:r>
      <w:r w:rsidRPr="008B389A">
        <w:rPr>
          <w:szCs w:val="22"/>
        </w:rPr>
        <w:t xml:space="preserve">on this Proposal. </w:t>
      </w:r>
      <w:r>
        <w:rPr>
          <w:szCs w:val="22"/>
        </w:rPr>
        <w:t>A</w:t>
      </w:r>
      <w:r w:rsidRPr="002C1A3B">
        <w:rPr>
          <w:szCs w:val="22"/>
        </w:rPr>
        <w:t xml:space="preserve">ll comments are valued and contribute to the rigour of our assessment. </w:t>
      </w:r>
      <w:r w:rsidR="008A01CF">
        <w:rPr>
          <w:szCs w:val="22"/>
        </w:rPr>
        <w:br w:type="page"/>
      </w:r>
    </w:p>
    <w:p w14:paraId="6E9FAA35" w14:textId="4E306852" w:rsidR="00054E77" w:rsidRPr="00ED60A7" w:rsidRDefault="00520DD3" w:rsidP="00054E77">
      <w:pPr>
        <w:pStyle w:val="Heading2"/>
      </w:pPr>
      <w:bookmarkStart w:id="63" w:name="_Toc370223477"/>
      <w:bookmarkStart w:id="64" w:name="_Toc370225392"/>
      <w:bookmarkStart w:id="65" w:name="_Toc422468257"/>
      <w:bookmarkStart w:id="66" w:name="_Toc436823472"/>
      <w:bookmarkStart w:id="67" w:name="_Toc309291816"/>
      <w:bookmarkStart w:id="68" w:name="_Toc300933448"/>
      <w:bookmarkStart w:id="69" w:name="_Toc300933577"/>
      <w:bookmarkStart w:id="70" w:name="_Toc301535601"/>
      <w:bookmarkStart w:id="71" w:name="_Toc309385464"/>
      <w:bookmarkStart w:id="72" w:name="_Toc175381456"/>
      <w:bookmarkStart w:id="73" w:name="_Toc11735643"/>
      <w:bookmarkStart w:id="74" w:name="_Toc29883130"/>
      <w:bookmarkStart w:id="75" w:name="_Toc41906817"/>
      <w:bookmarkStart w:id="76" w:name="_Toc41907564"/>
      <w:bookmarkStart w:id="77" w:name="_Toc43112360"/>
      <w:bookmarkEnd w:id="26"/>
      <w:bookmarkEnd w:id="27"/>
      <w:bookmarkEnd w:id="28"/>
      <w:bookmarkEnd w:id="29"/>
      <w:bookmarkEnd w:id="30"/>
      <w:bookmarkEnd w:id="31"/>
      <w:bookmarkEnd w:id="44"/>
      <w:bookmarkEnd w:id="45"/>
      <w:bookmarkEnd w:id="46"/>
      <w:bookmarkEnd w:id="47"/>
      <w:bookmarkEnd w:id="55"/>
      <w:r>
        <w:lastRenderedPageBreak/>
        <w:t>2.5</w:t>
      </w:r>
      <w:r w:rsidR="00054E77" w:rsidRPr="00ED60A7">
        <w:tab/>
        <w:t>FSANZ Act assessment requirements</w:t>
      </w:r>
      <w:bookmarkEnd w:id="63"/>
      <w:bookmarkEnd w:id="64"/>
      <w:bookmarkEnd w:id="65"/>
      <w:bookmarkEnd w:id="66"/>
    </w:p>
    <w:p w14:paraId="4D82A461" w14:textId="77777777" w:rsidR="00FC2FF3" w:rsidRPr="00A22707" w:rsidRDefault="00FC2FF3" w:rsidP="00FC2FF3">
      <w:bookmarkStart w:id="78" w:name="_Toc370223478"/>
      <w:bookmarkStart w:id="79" w:name="_Toc370225393"/>
      <w:bookmarkStart w:id="80" w:name="_Toc422468258"/>
      <w:bookmarkEnd w:id="67"/>
      <w:bookmarkEnd w:id="68"/>
      <w:bookmarkEnd w:id="69"/>
      <w:bookmarkEnd w:id="70"/>
      <w:bookmarkEnd w:id="71"/>
      <w:r w:rsidRPr="00A22707">
        <w:t xml:space="preserve">When assessing this Proposal and the subsequent development of a food regulatory measure, FSANZ has had regard to the </w:t>
      </w:r>
      <w:r w:rsidRPr="00A22707" w:rsidDel="00932F14">
        <w:t xml:space="preserve">following </w:t>
      </w:r>
      <w:r w:rsidRPr="00A22707">
        <w:t>matters in section 59 of the FSANZ Act:</w:t>
      </w:r>
    </w:p>
    <w:p w14:paraId="6E9FAA36" w14:textId="6D1E87F0" w:rsidR="00054E77" w:rsidRPr="00ED60A7" w:rsidRDefault="00D2065A" w:rsidP="00054E77">
      <w:pPr>
        <w:pStyle w:val="Heading3"/>
      </w:pPr>
      <w:bookmarkStart w:id="81" w:name="_Toc436823473"/>
      <w:r>
        <w:t>2.</w:t>
      </w:r>
      <w:r w:rsidR="00520DD3">
        <w:t>5</w:t>
      </w:r>
      <w:r w:rsidR="00054E77" w:rsidRPr="00ED60A7">
        <w:t>.1</w:t>
      </w:r>
      <w:r w:rsidR="00054E77" w:rsidRPr="00ED60A7">
        <w:tab/>
        <w:t>Section 59</w:t>
      </w:r>
      <w:bookmarkEnd w:id="78"/>
      <w:bookmarkEnd w:id="79"/>
      <w:bookmarkEnd w:id="80"/>
      <w:bookmarkEnd w:id="81"/>
    </w:p>
    <w:p w14:paraId="6E9FAA37" w14:textId="446B6CA8" w:rsidR="00054E77" w:rsidRPr="00ED60A7" w:rsidRDefault="00520DD3" w:rsidP="00054E77">
      <w:pPr>
        <w:pStyle w:val="Heading4"/>
      </w:pPr>
      <w:r>
        <w:t>2.5</w:t>
      </w:r>
      <w:r w:rsidR="00054E77" w:rsidRPr="00ED60A7">
        <w:t>.1.1</w:t>
      </w:r>
      <w:r w:rsidR="00054E77" w:rsidRPr="00ED60A7">
        <w:tab/>
        <w:t>Cost benefit analysis</w:t>
      </w:r>
    </w:p>
    <w:p w14:paraId="6E9FAA38" w14:textId="77777777" w:rsidR="00054E77" w:rsidRPr="001809EC" w:rsidRDefault="00054E77" w:rsidP="00054E77">
      <w:r>
        <w:t>Section 59 requires FSANZ to have regard to whether the</w:t>
      </w:r>
      <w:r w:rsidRPr="001809EC">
        <w:t xml:space="preserve"> direct and indirect benefits that would arise from a food regulatory measure </w:t>
      </w:r>
      <w:r>
        <w:t>developed as a result of this</w:t>
      </w:r>
      <w:r w:rsidRPr="001809EC">
        <w:t xml:space="preserve"> Proposal </w:t>
      </w:r>
      <w:r>
        <w:t xml:space="preserve">will </w:t>
      </w:r>
      <w:r w:rsidRPr="001809EC">
        <w:t>outweigh the costs to the community, Government or industry that would arise from the development of th</w:t>
      </w:r>
      <w:r>
        <w:t>at</w:t>
      </w:r>
      <w:r w:rsidRPr="001809EC">
        <w:t xml:space="preserve"> measure.</w:t>
      </w:r>
    </w:p>
    <w:p w14:paraId="6E9FAA39" w14:textId="77777777" w:rsidR="00054E77" w:rsidRDefault="00054E77" w:rsidP="00054E77">
      <w:pPr>
        <w:rPr>
          <w:rFonts w:cs="Arial"/>
        </w:rPr>
      </w:pPr>
      <w:r>
        <w:rPr>
          <w:rFonts w:cs="Arial"/>
        </w:rPr>
        <w:t xml:space="preserve"> </w:t>
      </w:r>
    </w:p>
    <w:p w14:paraId="6E9FAA3A" w14:textId="322AFDF2" w:rsidR="00054E77" w:rsidRDefault="00054E77" w:rsidP="00054E77">
      <w:r>
        <w:rPr>
          <w:rFonts w:cs="Arial"/>
        </w:rPr>
        <w:t>Proposal P1040 will</w:t>
      </w:r>
      <w:r w:rsidRPr="001809EC">
        <w:rPr>
          <w:rFonts w:cs="Arial"/>
        </w:rPr>
        <w:t xml:space="preserve"> not impose any new requirements. </w:t>
      </w:r>
      <w:r>
        <w:rPr>
          <w:rFonts w:cs="Arial"/>
        </w:rPr>
        <w:t xml:space="preserve">Its purpose is to correct typographical and other similar errors in the P1025 Code. None of the proposed amendments will impose any obligations on or vary the rights of any person. As such, the </w:t>
      </w:r>
      <w:r w:rsidRPr="001809EC">
        <w:t xml:space="preserve">draft variation </w:t>
      </w:r>
      <w:r>
        <w:t>is not expected to</w:t>
      </w:r>
      <w:r w:rsidRPr="001809EC">
        <w:t xml:space="preserve"> impose costs </w:t>
      </w:r>
      <w:r>
        <w:t>on</w:t>
      </w:r>
      <w:r w:rsidRPr="001809EC">
        <w:t xml:space="preserve"> the community, </w:t>
      </w:r>
      <w:r>
        <w:t xml:space="preserve">industry or </w:t>
      </w:r>
      <w:r w:rsidRPr="001809EC">
        <w:t xml:space="preserve">Government that are additional to </w:t>
      </w:r>
      <w:r>
        <w:t>those already generated by compliance with or enforcement of</w:t>
      </w:r>
      <w:r w:rsidRPr="001809EC">
        <w:t xml:space="preserve"> the </w:t>
      </w:r>
      <w:r w:rsidR="00186187">
        <w:t>current</w:t>
      </w:r>
      <w:r w:rsidRPr="001809EC">
        <w:t xml:space="preserve"> Code</w:t>
      </w:r>
      <w:r>
        <w:t>.</w:t>
      </w:r>
      <w:r>
        <w:br/>
      </w:r>
    </w:p>
    <w:p w14:paraId="6E9FAA3B" w14:textId="383642C6" w:rsidR="00054E77" w:rsidRPr="001809EC" w:rsidRDefault="00054E77" w:rsidP="00054E77">
      <w:pPr>
        <w:rPr>
          <w:rFonts w:eastAsia="Calibri"/>
        </w:rPr>
      </w:pPr>
      <w:r>
        <w:rPr>
          <w:rFonts w:eastAsia="Calibri"/>
        </w:rPr>
        <w:t xml:space="preserve">Not proceeding with P1040 and the draft variation </w:t>
      </w:r>
      <w:r w:rsidRPr="001809EC">
        <w:rPr>
          <w:rFonts w:eastAsia="Calibri"/>
        </w:rPr>
        <w:t>may result in regulatory uncertainty and increased compliance costs to industry</w:t>
      </w:r>
      <w:r>
        <w:rPr>
          <w:rFonts w:eastAsia="Calibri"/>
        </w:rPr>
        <w:t>. This is because, without the draft variation, the revised</w:t>
      </w:r>
      <w:r w:rsidRPr="001809EC">
        <w:rPr>
          <w:rFonts w:eastAsia="Calibri"/>
        </w:rPr>
        <w:t xml:space="preserve"> Code will remain inconsistent with the </w:t>
      </w:r>
      <w:r w:rsidR="00186187">
        <w:rPr>
          <w:rFonts w:eastAsia="Calibri"/>
        </w:rPr>
        <w:t>current</w:t>
      </w:r>
      <w:r w:rsidRPr="001809EC">
        <w:rPr>
          <w:rFonts w:eastAsia="Calibri"/>
        </w:rPr>
        <w:t xml:space="preserve"> Code</w:t>
      </w:r>
      <w:r>
        <w:rPr>
          <w:rFonts w:eastAsia="Calibri"/>
        </w:rPr>
        <w:t xml:space="preserve"> and not reflect existing law</w:t>
      </w:r>
      <w:r w:rsidRPr="001809EC">
        <w:rPr>
          <w:rFonts w:eastAsia="Calibri"/>
        </w:rPr>
        <w:t>.</w:t>
      </w:r>
    </w:p>
    <w:p w14:paraId="6E9FAA3C" w14:textId="77777777" w:rsidR="00054E77" w:rsidRDefault="00054E77" w:rsidP="00054E77">
      <w:pPr>
        <w:rPr>
          <w:rFonts w:cs="Arial"/>
        </w:rPr>
      </w:pPr>
    </w:p>
    <w:p w14:paraId="6E9FAA3D" w14:textId="77777777" w:rsidR="00054E77" w:rsidRPr="00054E77" w:rsidRDefault="00054E77" w:rsidP="00054E77">
      <w:r>
        <w:t xml:space="preserve">For this reason, one can reasonably conclude that the benefits to </w:t>
      </w:r>
      <w:r w:rsidRPr="001809EC">
        <w:t xml:space="preserve">the community, Government or industry </w:t>
      </w:r>
      <w:r>
        <w:t xml:space="preserve">that will arise from the draft variation will </w:t>
      </w:r>
      <w:r w:rsidRPr="001809EC">
        <w:t>outweigh the costs that would arise from the development of th</w:t>
      </w:r>
      <w:r>
        <w:t>at</w:t>
      </w:r>
      <w:r w:rsidRPr="001809EC">
        <w:t xml:space="preserve"> measure</w:t>
      </w:r>
      <w:r w:rsidRPr="00ED60A7">
        <w:rPr>
          <w:rFonts w:eastAsia="Calibri"/>
        </w:rPr>
        <w:t>.</w:t>
      </w:r>
    </w:p>
    <w:p w14:paraId="6E9FAA3E" w14:textId="78B54A9B" w:rsidR="00054E77" w:rsidRPr="00ED60A7" w:rsidRDefault="00520DD3" w:rsidP="00054E77">
      <w:pPr>
        <w:pStyle w:val="Heading4"/>
      </w:pPr>
      <w:r>
        <w:t>2.5.</w:t>
      </w:r>
      <w:r w:rsidR="00054E77" w:rsidRPr="00ED60A7">
        <w:t>1.2</w:t>
      </w:r>
      <w:r w:rsidR="00054E77" w:rsidRPr="00ED60A7">
        <w:tab/>
        <w:t>Other measures</w:t>
      </w:r>
    </w:p>
    <w:p w14:paraId="6E9FAA3F" w14:textId="77777777" w:rsidR="00054E77" w:rsidRPr="00ED60A7" w:rsidRDefault="00054E77" w:rsidP="00054E77">
      <w:r>
        <w:t>For the reasons explained above, there</w:t>
      </w:r>
      <w:r w:rsidRPr="001809EC">
        <w:t xml:space="preserve"> are no other measures (whether available to FSANZ or not) that would be more cost-effective than a food regulatory measure developed or va</w:t>
      </w:r>
      <w:r>
        <w:t>ried as a result of the Proposal</w:t>
      </w:r>
      <w:r w:rsidRPr="00ED60A7">
        <w:t>.</w:t>
      </w:r>
    </w:p>
    <w:p w14:paraId="6E9FAA40" w14:textId="07C26283" w:rsidR="00054E77" w:rsidRPr="00ED60A7" w:rsidRDefault="00520DD3" w:rsidP="00054E77">
      <w:pPr>
        <w:pStyle w:val="Heading4"/>
      </w:pPr>
      <w:r>
        <w:t>2.5</w:t>
      </w:r>
      <w:r w:rsidR="00054E77" w:rsidRPr="00ED60A7">
        <w:t>.1.3</w:t>
      </w:r>
      <w:r w:rsidR="00054E77" w:rsidRPr="00ED60A7">
        <w:tab/>
        <w:t>Any relevant New Zealand standards</w:t>
      </w:r>
    </w:p>
    <w:p w14:paraId="6E9FAA41" w14:textId="767F78A9" w:rsidR="00054E77" w:rsidRDefault="000A51BE" w:rsidP="00054E77">
      <w:pPr>
        <w:rPr>
          <w:lang w:bidi="ar-SA"/>
        </w:rPr>
      </w:pPr>
      <w:r>
        <w:rPr>
          <w:rFonts w:eastAsia="Calibri"/>
        </w:rPr>
        <w:t>Most</w:t>
      </w:r>
      <w:r w:rsidR="00054E77" w:rsidRPr="008F3FAD">
        <w:rPr>
          <w:rFonts w:eastAsia="Calibri"/>
        </w:rPr>
        <w:t xml:space="preserve"> standards affected by this Proposal are joint </w:t>
      </w:r>
      <w:r w:rsidR="00014F3B">
        <w:rPr>
          <w:rFonts w:eastAsia="Calibri"/>
        </w:rPr>
        <w:t xml:space="preserve">Australia – New Zealand </w:t>
      </w:r>
      <w:r w:rsidR="00054E77" w:rsidRPr="008F3FAD">
        <w:rPr>
          <w:rFonts w:eastAsia="Calibri"/>
        </w:rPr>
        <w:t>standards</w:t>
      </w:r>
      <w:r w:rsidR="00054E77" w:rsidRPr="00ED60A7">
        <w:rPr>
          <w:lang w:bidi="ar-SA"/>
        </w:rPr>
        <w:t>.</w:t>
      </w:r>
    </w:p>
    <w:p w14:paraId="6E9FAA42" w14:textId="3957FD83" w:rsidR="00054E77" w:rsidRPr="00ED60A7" w:rsidRDefault="00520DD3" w:rsidP="00054E77">
      <w:pPr>
        <w:pStyle w:val="Heading4"/>
      </w:pPr>
      <w:r>
        <w:t>2.5</w:t>
      </w:r>
      <w:r w:rsidR="00054E77" w:rsidRPr="00ED60A7">
        <w:t>.1.4</w:t>
      </w:r>
      <w:r w:rsidR="00054E77" w:rsidRPr="00ED60A7">
        <w:tab/>
        <w:t>Any other relevant matters</w:t>
      </w:r>
    </w:p>
    <w:p w14:paraId="606A7F4C" w14:textId="52273972" w:rsidR="00FC2FF3" w:rsidRPr="002C1A3B" w:rsidRDefault="008A5905" w:rsidP="00FC2FF3">
      <w:pPr>
        <w:rPr>
          <w:lang w:bidi="ar-SA"/>
        </w:rPr>
      </w:pPr>
      <w:bookmarkStart w:id="82" w:name="_Toc370223479"/>
      <w:bookmarkStart w:id="83" w:name="_Toc370225394"/>
      <w:bookmarkStart w:id="84" w:name="_Toc300761897"/>
      <w:bookmarkStart w:id="85" w:name="_Toc300933440"/>
      <w:r>
        <w:rPr>
          <w:lang w:bidi="ar-SA"/>
        </w:rPr>
        <w:t>Other relevant matters are considered below</w:t>
      </w:r>
      <w:r w:rsidR="00FC2FF3" w:rsidRPr="002C1A3B">
        <w:rPr>
          <w:szCs w:val="22"/>
        </w:rPr>
        <w:t>.</w:t>
      </w:r>
    </w:p>
    <w:p w14:paraId="6E9FAA44" w14:textId="1D6703EA" w:rsidR="00054E77" w:rsidRPr="00ED60A7" w:rsidRDefault="00520DD3" w:rsidP="00054E77">
      <w:pPr>
        <w:pStyle w:val="Heading3"/>
      </w:pPr>
      <w:bookmarkStart w:id="86" w:name="_Toc422468259"/>
      <w:bookmarkStart w:id="87" w:name="_Toc436823474"/>
      <w:r>
        <w:t>2.5</w:t>
      </w:r>
      <w:r w:rsidR="00054E77" w:rsidRPr="00ED60A7">
        <w:t>.2.</w:t>
      </w:r>
      <w:r w:rsidR="00054E77" w:rsidRPr="00ED60A7">
        <w:tab/>
        <w:t>Subsection 18(1)</w:t>
      </w:r>
      <w:bookmarkEnd w:id="82"/>
      <w:bookmarkEnd w:id="83"/>
      <w:bookmarkEnd w:id="86"/>
      <w:bookmarkEnd w:id="87"/>
      <w:r w:rsidR="00054E77" w:rsidRPr="00ED60A7">
        <w:t xml:space="preserve"> </w:t>
      </w:r>
      <w:bookmarkEnd w:id="84"/>
      <w:bookmarkEnd w:id="85"/>
    </w:p>
    <w:p w14:paraId="6E9FAA45" w14:textId="77777777" w:rsidR="00054E77" w:rsidRPr="00ED60A7" w:rsidRDefault="00054E77" w:rsidP="00054E77">
      <w:r w:rsidRPr="00ED60A7">
        <w:rPr>
          <w:rFonts w:cs="Arial"/>
        </w:rPr>
        <w:t xml:space="preserve">FSANZ has also </w:t>
      </w:r>
      <w:r w:rsidRPr="00ED60A7">
        <w:t>considered the three objectives in subsection 18(1) of the FSANZ Act during the assessment.</w:t>
      </w:r>
    </w:p>
    <w:p w14:paraId="6E9FAA46" w14:textId="061EFFD9" w:rsidR="00054E77" w:rsidRPr="00ED60A7" w:rsidRDefault="00D2065A" w:rsidP="00054E77">
      <w:pPr>
        <w:pStyle w:val="Heading4"/>
        <w:rPr>
          <w:lang w:eastAsia="en-AU"/>
        </w:rPr>
      </w:pPr>
      <w:bookmarkStart w:id="88" w:name="_Toc297029117"/>
      <w:bookmarkStart w:id="89" w:name="_Toc300761898"/>
      <w:bookmarkStart w:id="90" w:name="_Toc300933441"/>
      <w:bookmarkStart w:id="91" w:name="_Toc300761901"/>
      <w:bookmarkStart w:id="92" w:name="_Toc300933444"/>
      <w:bookmarkStart w:id="93" w:name="_Toc370223480"/>
      <w:bookmarkStart w:id="94" w:name="_Toc370225395"/>
      <w:r>
        <w:rPr>
          <w:lang w:eastAsia="en-AU"/>
        </w:rPr>
        <w:t>2.</w:t>
      </w:r>
      <w:r w:rsidR="00520DD3">
        <w:rPr>
          <w:lang w:eastAsia="en-AU"/>
        </w:rPr>
        <w:t>5</w:t>
      </w:r>
      <w:r w:rsidR="00054E77" w:rsidRPr="00ED60A7">
        <w:rPr>
          <w:lang w:eastAsia="en-AU"/>
        </w:rPr>
        <w:t>.2.1</w:t>
      </w:r>
      <w:r w:rsidR="00054E77" w:rsidRPr="00ED60A7">
        <w:rPr>
          <w:lang w:eastAsia="en-AU"/>
        </w:rPr>
        <w:tab/>
        <w:t>Protection of public health and safety</w:t>
      </w:r>
      <w:bookmarkEnd w:id="88"/>
      <w:bookmarkEnd w:id="89"/>
      <w:bookmarkEnd w:id="90"/>
    </w:p>
    <w:p w14:paraId="6E9FAA47" w14:textId="6D9992C3" w:rsidR="008A01CF" w:rsidRDefault="008A5905" w:rsidP="00054E77">
      <w:r>
        <w:t>The purpose of P1040 is to correct minor typographical and transcription errors in the revised Code. The correction of these errors does not make any substantive change to the revised Code and, consequently, the draft variation itself does not raise any public health and safety issues for consideration</w:t>
      </w:r>
      <w:r w:rsidR="00054E77" w:rsidRPr="001809EC">
        <w:t xml:space="preserve">. </w:t>
      </w:r>
      <w:r>
        <w:t>However, by correcting errors and avoiding regulatory uncertainty, the draft variation facilitates th</w:t>
      </w:r>
      <w:r w:rsidR="005E4150">
        <w:t>is</w:t>
      </w:r>
      <w:r>
        <w:t xml:space="preserve"> statutory objective.</w:t>
      </w:r>
      <w:r w:rsidR="008A01CF">
        <w:br w:type="page"/>
      </w:r>
    </w:p>
    <w:p w14:paraId="6E9FAA48" w14:textId="3296802D" w:rsidR="00054E77" w:rsidRPr="00ED60A7" w:rsidRDefault="00520DD3" w:rsidP="00054E77">
      <w:pPr>
        <w:pStyle w:val="Heading4"/>
        <w:rPr>
          <w:lang w:eastAsia="en-AU"/>
        </w:rPr>
      </w:pPr>
      <w:bookmarkStart w:id="95" w:name="_Toc300761899"/>
      <w:bookmarkStart w:id="96" w:name="_Toc300933442"/>
      <w:r>
        <w:rPr>
          <w:lang w:eastAsia="en-AU"/>
        </w:rPr>
        <w:lastRenderedPageBreak/>
        <w:t>2.5</w:t>
      </w:r>
      <w:r w:rsidR="00054E77" w:rsidRPr="00ED60A7">
        <w:rPr>
          <w:lang w:eastAsia="en-AU"/>
        </w:rPr>
        <w:t>.2.2</w:t>
      </w:r>
      <w:r w:rsidR="00054E77" w:rsidRPr="00ED60A7">
        <w:rPr>
          <w:lang w:eastAsia="en-AU"/>
        </w:rPr>
        <w:tab/>
        <w:t>The provision of adequate information relating to food to enable consumers to make informed choices</w:t>
      </w:r>
      <w:bookmarkEnd w:id="95"/>
      <w:bookmarkEnd w:id="96"/>
    </w:p>
    <w:p w14:paraId="6E9FAA49" w14:textId="52143707" w:rsidR="00054E77" w:rsidRPr="00ED60A7" w:rsidRDefault="00054E77" w:rsidP="00054E77">
      <w:pPr>
        <w:rPr>
          <w:rFonts w:eastAsia="Calibri"/>
        </w:rPr>
      </w:pPr>
      <w:bookmarkStart w:id="97" w:name="_Toc300761900"/>
      <w:bookmarkStart w:id="98" w:name="_Toc300933443"/>
      <w:r>
        <w:t xml:space="preserve">By avoiding regulatory uncertainty and in ensuring that the </w:t>
      </w:r>
      <w:r w:rsidRPr="003E430B">
        <w:rPr>
          <w:rFonts w:eastAsia="Calibri"/>
        </w:rPr>
        <w:t>P1025 Code</w:t>
      </w:r>
      <w:r>
        <w:rPr>
          <w:rFonts w:eastAsia="Calibri"/>
        </w:rPr>
        <w:t xml:space="preserve"> will reflect the </w:t>
      </w:r>
      <w:r w:rsidR="00186187">
        <w:rPr>
          <w:rFonts w:eastAsia="Calibri"/>
        </w:rPr>
        <w:t>current</w:t>
      </w:r>
      <w:r>
        <w:rPr>
          <w:rFonts w:eastAsia="Calibri"/>
        </w:rPr>
        <w:t xml:space="preserve"> Code</w:t>
      </w:r>
      <w:r>
        <w:t>, the draft variation will</w:t>
      </w:r>
      <w:r w:rsidRPr="006054CE">
        <w:t xml:space="preserve"> enhance the provision of information </w:t>
      </w:r>
      <w:r>
        <w:t>and the ability of consumers to make informed choices</w:t>
      </w:r>
      <w:r w:rsidRPr="00ED60A7">
        <w:rPr>
          <w:rFonts w:eastAsia="Calibri"/>
        </w:rPr>
        <w:t xml:space="preserve">. </w:t>
      </w:r>
    </w:p>
    <w:p w14:paraId="6E9FAA4A" w14:textId="4A4AE040" w:rsidR="00054E77" w:rsidRPr="00ED60A7" w:rsidRDefault="00520DD3" w:rsidP="00054E77">
      <w:pPr>
        <w:pStyle w:val="Heading4"/>
        <w:rPr>
          <w:lang w:eastAsia="en-AU"/>
        </w:rPr>
      </w:pPr>
      <w:r>
        <w:rPr>
          <w:lang w:eastAsia="en-AU"/>
        </w:rPr>
        <w:t>2.5</w:t>
      </w:r>
      <w:r w:rsidR="00054E77" w:rsidRPr="00ED60A7">
        <w:rPr>
          <w:lang w:eastAsia="en-AU"/>
        </w:rPr>
        <w:t>.2.3</w:t>
      </w:r>
      <w:r w:rsidR="00054E77" w:rsidRPr="00ED60A7">
        <w:rPr>
          <w:lang w:eastAsia="en-AU"/>
        </w:rPr>
        <w:tab/>
        <w:t>The prevention of misleading or deceptive conduct</w:t>
      </w:r>
      <w:bookmarkEnd w:id="97"/>
      <w:bookmarkEnd w:id="98"/>
    </w:p>
    <w:p w14:paraId="6E9FAA4B" w14:textId="77777777" w:rsidR="00054E77" w:rsidRPr="00ED60A7" w:rsidRDefault="00054E77" w:rsidP="00054E77">
      <w:r w:rsidRPr="00ED60A7">
        <w:t>No issues regarding the prevention of misleading and deceptive conduct have been</w:t>
      </w:r>
      <w:r>
        <w:t xml:space="preserve"> identified in relation to P1040</w:t>
      </w:r>
      <w:r w:rsidRPr="00ED60A7">
        <w:t>.</w:t>
      </w:r>
    </w:p>
    <w:p w14:paraId="6E9FAA4C" w14:textId="6A519F86" w:rsidR="00054E77" w:rsidRPr="00ED60A7" w:rsidRDefault="00520DD3" w:rsidP="00054E77">
      <w:pPr>
        <w:keepNext/>
        <w:spacing w:before="240" w:after="240"/>
        <w:ind w:left="851" w:hanging="851"/>
        <w:outlineLvl w:val="2"/>
        <w:rPr>
          <w:b/>
          <w:bCs/>
          <w:lang w:eastAsia="en-AU" w:bidi="ar-SA"/>
        </w:rPr>
      </w:pPr>
      <w:r>
        <w:rPr>
          <w:b/>
          <w:bCs/>
          <w:lang w:eastAsia="en-AU" w:bidi="ar-SA"/>
        </w:rPr>
        <w:t>2.5</w:t>
      </w:r>
      <w:r w:rsidR="00054E77" w:rsidRPr="00ED60A7">
        <w:rPr>
          <w:b/>
          <w:bCs/>
          <w:lang w:eastAsia="en-AU" w:bidi="ar-SA"/>
        </w:rPr>
        <w:t>.3</w:t>
      </w:r>
      <w:r w:rsidR="00054E77" w:rsidRPr="00ED60A7">
        <w:rPr>
          <w:b/>
          <w:bCs/>
          <w:lang w:eastAsia="en-AU" w:bidi="ar-SA"/>
        </w:rPr>
        <w:tab/>
        <w:t xml:space="preserve">Subsection 18(2) </w:t>
      </w:r>
      <w:bookmarkEnd w:id="91"/>
      <w:bookmarkEnd w:id="92"/>
      <w:r w:rsidR="00054E77" w:rsidRPr="00ED60A7">
        <w:rPr>
          <w:b/>
          <w:bCs/>
          <w:lang w:eastAsia="en-AU" w:bidi="ar-SA"/>
        </w:rPr>
        <w:t>considerations</w:t>
      </w:r>
      <w:bookmarkEnd w:id="93"/>
      <w:bookmarkEnd w:id="94"/>
    </w:p>
    <w:p w14:paraId="6E9FAA4D" w14:textId="77777777" w:rsidR="00054E77" w:rsidRDefault="00054E77" w:rsidP="00054E77">
      <w:pPr>
        <w:rPr>
          <w:rFonts w:cs="Arial"/>
        </w:rPr>
      </w:pPr>
      <w:r w:rsidRPr="00ED60A7">
        <w:rPr>
          <w:rFonts w:cs="Arial"/>
        </w:rPr>
        <w:t>FSANZ has also had regard to:</w:t>
      </w:r>
    </w:p>
    <w:p w14:paraId="020A99F7" w14:textId="77777777" w:rsidR="008A5905" w:rsidRPr="00ED60A7" w:rsidRDefault="008A5905" w:rsidP="00054E77">
      <w:pPr>
        <w:rPr>
          <w:rFonts w:cs="Arial"/>
        </w:rPr>
      </w:pPr>
    </w:p>
    <w:p w14:paraId="6E9FAA4F" w14:textId="5F6238A3" w:rsidR="00054E77" w:rsidRPr="00ED60A7" w:rsidRDefault="00054E77" w:rsidP="00054E77">
      <w:pPr>
        <w:pStyle w:val="FSBullet1"/>
        <w:numPr>
          <w:ilvl w:val="0"/>
          <w:numId w:val="48"/>
        </w:numPr>
        <w:ind w:left="567" w:hanging="567"/>
        <w:rPr>
          <w:b/>
        </w:rPr>
      </w:pPr>
      <w:r w:rsidRPr="00ED60A7">
        <w:rPr>
          <w:b/>
        </w:rPr>
        <w:t>the need for standards to be based on risk analysis using the best available scientific evidence</w:t>
      </w:r>
    </w:p>
    <w:p w14:paraId="6E9FAA50" w14:textId="77777777" w:rsidR="00054E77" w:rsidRPr="00ED60A7" w:rsidRDefault="00054E77" w:rsidP="00054E77">
      <w:pPr>
        <w:rPr>
          <w:lang w:bidi="ar-SA"/>
        </w:rPr>
      </w:pPr>
    </w:p>
    <w:p w14:paraId="6E9FAA51" w14:textId="2FE913D0" w:rsidR="00054E77" w:rsidRPr="00ED60A7" w:rsidRDefault="00054E77" w:rsidP="00054E77">
      <w:r w:rsidRPr="00BF04CA">
        <w:t>T</w:t>
      </w:r>
      <w:r w:rsidRPr="00BF04CA">
        <w:rPr>
          <w:szCs w:val="22"/>
        </w:rPr>
        <w:t xml:space="preserve">he purpose of P1040 is to correct </w:t>
      </w:r>
      <w:r w:rsidRPr="00BF04CA">
        <w:t xml:space="preserve">minor errors in the </w:t>
      </w:r>
      <w:r>
        <w:t>revised</w:t>
      </w:r>
      <w:r w:rsidRPr="00BF04CA">
        <w:t xml:space="preserve"> Code and to ensure that </w:t>
      </w:r>
      <w:r>
        <w:t>it</w:t>
      </w:r>
      <w:r w:rsidRPr="00BF04CA">
        <w:t xml:space="preserve"> reflect</w:t>
      </w:r>
      <w:r>
        <w:t>s</w:t>
      </w:r>
      <w:r w:rsidRPr="00BF04CA">
        <w:t xml:space="preserve"> the </w:t>
      </w:r>
      <w:r>
        <w:t>current</w:t>
      </w:r>
      <w:r w:rsidRPr="00BF04CA">
        <w:t xml:space="preserve"> Code. </w:t>
      </w:r>
      <w:r>
        <w:t>The measures contained in</w:t>
      </w:r>
      <w:r w:rsidRPr="00BF04CA">
        <w:t xml:space="preserve"> the </w:t>
      </w:r>
      <w:r>
        <w:t>current</w:t>
      </w:r>
      <w:r w:rsidRPr="00BF04CA">
        <w:t xml:space="preserve"> Code and the </w:t>
      </w:r>
      <w:r>
        <w:t>revised</w:t>
      </w:r>
      <w:r w:rsidRPr="00BF04CA">
        <w:t xml:space="preserve"> Code </w:t>
      </w:r>
      <w:proofErr w:type="gramStart"/>
      <w:r>
        <w:t>were</w:t>
      </w:r>
      <w:proofErr w:type="gramEnd"/>
      <w:r w:rsidRPr="00BF04CA">
        <w:t xml:space="preserve"> based on </w:t>
      </w:r>
      <w:r w:rsidRPr="00640EF2">
        <w:t xml:space="preserve">risk assessments </w:t>
      </w:r>
      <w:r>
        <w:t>that used</w:t>
      </w:r>
      <w:r w:rsidRPr="00640EF2">
        <w:t xml:space="preserve"> the best available scientific evidence</w:t>
      </w:r>
      <w:r w:rsidRPr="00ED60A7">
        <w:t>.</w:t>
      </w:r>
    </w:p>
    <w:p w14:paraId="6E9FAA52" w14:textId="77777777" w:rsidR="00054E77" w:rsidRPr="00ED60A7" w:rsidRDefault="00054E77" w:rsidP="00054E77">
      <w:pPr>
        <w:rPr>
          <w:lang w:bidi="ar-SA"/>
        </w:rPr>
      </w:pPr>
    </w:p>
    <w:p w14:paraId="6E9FAA53" w14:textId="77777777" w:rsidR="00054E77" w:rsidRPr="00ED60A7" w:rsidRDefault="00054E77" w:rsidP="00054E77">
      <w:pPr>
        <w:pStyle w:val="FSBullet1"/>
        <w:numPr>
          <w:ilvl w:val="0"/>
          <w:numId w:val="48"/>
        </w:numPr>
        <w:ind w:left="567" w:hanging="567"/>
        <w:rPr>
          <w:b/>
        </w:rPr>
      </w:pPr>
      <w:r w:rsidRPr="00ED60A7">
        <w:rPr>
          <w:b/>
        </w:rPr>
        <w:t>the promotion of consistency between domestic and international food standards</w:t>
      </w:r>
    </w:p>
    <w:p w14:paraId="6E9FAA54" w14:textId="77777777" w:rsidR="00054E77" w:rsidRPr="00ED60A7" w:rsidRDefault="00054E77" w:rsidP="00054E77">
      <w:pPr>
        <w:rPr>
          <w:lang w:bidi="ar-SA"/>
        </w:rPr>
      </w:pPr>
    </w:p>
    <w:p w14:paraId="6E9FAA55" w14:textId="42390765" w:rsidR="00054E77" w:rsidRDefault="00054E77" w:rsidP="00054E77">
      <w:r>
        <w:t xml:space="preserve">The purpose of P1040 is </w:t>
      </w:r>
      <w:r w:rsidRPr="00374218">
        <w:rPr>
          <w:szCs w:val="22"/>
        </w:rPr>
        <w:t>to correct minor errors</w:t>
      </w:r>
      <w:r>
        <w:rPr>
          <w:szCs w:val="22"/>
        </w:rPr>
        <w:t xml:space="preserve"> to ensure the revise</w:t>
      </w:r>
      <w:r w:rsidR="00014F3B">
        <w:rPr>
          <w:szCs w:val="22"/>
        </w:rPr>
        <w:t>d Code reflects the current Code. That is,</w:t>
      </w:r>
      <w:r>
        <w:rPr>
          <w:szCs w:val="22"/>
        </w:rPr>
        <w:t xml:space="preserve"> the intent is not changed. Therefore</w:t>
      </w:r>
      <w:r w:rsidR="005E4150">
        <w:rPr>
          <w:szCs w:val="22"/>
        </w:rPr>
        <w:t>,</w:t>
      </w:r>
      <w:r>
        <w:rPr>
          <w:szCs w:val="22"/>
        </w:rPr>
        <w:t xml:space="preserve"> this consideration is not relevant</w:t>
      </w:r>
      <w:r w:rsidRPr="00ED60A7">
        <w:t>.</w:t>
      </w:r>
    </w:p>
    <w:p w14:paraId="6E9FAA56" w14:textId="77777777" w:rsidR="00054E77" w:rsidRPr="00ED60A7" w:rsidRDefault="00054E77" w:rsidP="00054E77">
      <w:pPr>
        <w:rPr>
          <w:lang w:bidi="ar-SA"/>
        </w:rPr>
      </w:pPr>
    </w:p>
    <w:p w14:paraId="6E9FAA57" w14:textId="77777777" w:rsidR="00054E77" w:rsidRPr="00ED60A7" w:rsidRDefault="00054E77" w:rsidP="00054E77">
      <w:pPr>
        <w:pStyle w:val="FSBullet1"/>
        <w:numPr>
          <w:ilvl w:val="0"/>
          <w:numId w:val="48"/>
        </w:numPr>
        <w:ind w:left="567" w:hanging="567"/>
        <w:rPr>
          <w:b/>
        </w:rPr>
      </w:pPr>
      <w:r w:rsidRPr="00ED60A7">
        <w:rPr>
          <w:b/>
        </w:rPr>
        <w:t>the desirability of an efficient and internationally competitive food industry</w:t>
      </w:r>
    </w:p>
    <w:p w14:paraId="6E9FAA58" w14:textId="77777777" w:rsidR="00054E77" w:rsidRPr="00ED60A7" w:rsidRDefault="00054E77" w:rsidP="00054E77">
      <w:pPr>
        <w:rPr>
          <w:lang w:bidi="ar-SA"/>
        </w:rPr>
      </w:pPr>
    </w:p>
    <w:p w14:paraId="6E9FAA59" w14:textId="77777777" w:rsidR="00054E77" w:rsidRPr="00ED60A7" w:rsidRDefault="00054E77" w:rsidP="00054E77">
      <w:r w:rsidRPr="00A534FB">
        <w:t xml:space="preserve">By </w:t>
      </w:r>
      <w:r>
        <w:t>avoiding</w:t>
      </w:r>
      <w:r w:rsidRPr="00A534FB">
        <w:t xml:space="preserve"> regulatory </w:t>
      </w:r>
      <w:r>
        <w:t>un</w:t>
      </w:r>
      <w:r w:rsidRPr="00A534FB">
        <w:t xml:space="preserve">certainty, </w:t>
      </w:r>
      <w:r>
        <w:t>the draft variation will</w:t>
      </w:r>
      <w:r w:rsidRPr="00A534FB">
        <w:t xml:space="preserve"> contribute towards supporting an efficient and internationally competitive food industry</w:t>
      </w:r>
      <w:r w:rsidRPr="00ED60A7">
        <w:t>.</w:t>
      </w:r>
    </w:p>
    <w:p w14:paraId="6E9FAA5A" w14:textId="77777777" w:rsidR="00054E77" w:rsidRPr="00ED60A7" w:rsidRDefault="00054E77" w:rsidP="00054E77">
      <w:pPr>
        <w:rPr>
          <w:lang w:bidi="ar-SA"/>
        </w:rPr>
      </w:pPr>
    </w:p>
    <w:p w14:paraId="6E9FAA5B" w14:textId="77777777" w:rsidR="00054E77" w:rsidRPr="00ED60A7" w:rsidRDefault="00054E77" w:rsidP="00054E77">
      <w:pPr>
        <w:pStyle w:val="FSBullet1"/>
        <w:numPr>
          <w:ilvl w:val="0"/>
          <w:numId w:val="48"/>
        </w:numPr>
        <w:ind w:left="567" w:hanging="567"/>
        <w:rPr>
          <w:b/>
        </w:rPr>
      </w:pPr>
      <w:r w:rsidRPr="00ED60A7">
        <w:rPr>
          <w:b/>
        </w:rPr>
        <w:t>the promotion of fair trading in food</w:t>
      </w:r>
    </w:p>
    <w:p w14:paraId="6E9FAA5C" w14:textId="77777777" w:rsidR="00054E77" w:rsidRPr="00ED60A7" w:rsidRDefault="00054E77" w:rsidP="00054E77">
      <w:pPr>
        <w:rPr>
          <w:lang w:bidi="ar-SA"/>
        </w:rPr>
      </w:pPr>
    </w:p>
    <w:p w14:paraId="6E9FAA5D" w14:textId="77777777" w:rsidR="00054E77" w:rsidRPr="00ED60A7" w:rsidRDefault="00054E77" w:rsidP="00054E77">
      <w:r w:rsidRPr="00A534FB">
        <w:t xml:space="preserve">Again, by </w:t>
      </w:r>
      <w:r>
        <w:t>avoiding</w:t>
      </w:r>
      <w:r w:rsidRPr="00A534FB">
        <w:t xml:space="preserve"> regulatory </w:t>
      </w:r>
      <w:r>
        <w:t>un</w:t>
      </w:r>
      <w:r w:rsidRPr="00A534FB">
        <w:t xml:space="preserve">certainty, </w:t>
      </w:r>
      <w:r>
        <w:t xml:space="preserve">the draft variation </w:t>
      </w:r>
      <w:r w:rsidRPr="00A534FB">
        <w:t>would assist in promoting fair trading in food</w:t>
      </w:r>
      <w:r w:rsidRPr="00ED60A7">
        <w:t>.</w:t>
      </w:r>
    </w:p>
    <w:p w14:paraId="6E9FAA5E" w14:textId="77777777" w:rsidR="00054E77" w:rsidRPr="00ED60A7" w:rsidRDefault="00054E77" w:rsidP="00054E77"/>
    <w:p w14:paraId="6E9FAA5F" w14:textId="77777777" w:rsidR="00054E77" w:rsidRPr="00ED60A7" w:rsidRDefault="00054E77" w:rsidP="00054E77">
      <w:pPr>
        <w:pStyle w:val="FSBullet1"/>
        <w:numPr>
          <w:ilvl w:val="0"/>
          <w:numId w:val="48"/>
        </w:numPr>
        <w:ind w:left="567" w:hanging="567"/>
      </w:pPr>
      <w:r w:rsidRPr="00ED60A7">
        <w:rPr>
          <w:b/>
        </w:rPr>
        <w:t>any written policy guidelines formulated by the Ministerial Council</w:t>
      </w:r>
      <w:r w:rsidRPr="00ED60A7">
        <w:rPr>
          <w:rStyle w:val="FootnoteReference"/>
        </w:rPr>
        <w:footnoteReference w:id="3"/>
      </w:r>
    </w:p>
    <w:p w14:paraId="6E9FAA60" w14:textId="77777777" w:rsidR="00054E77" w:rsidRPr="00ED60A7" w:rsidRDefault="00054E77" w:rsidP="00054E77">
      <w:pPr>
        <w:rPr>
          <w:lang w:bidi="ar-SA"/>
        </w:rPr>
      </w:pPr>
    </w:p>
    <w:p w14:paraId="6E9FAA61" w14:textId="77777777" w:rsidR="00054E77" w:rsidRDefault="00054E77" w:rsidP="00054E77">
      <w:r w:rsidRPr="00ED60A7">
        <w:t>No relevant guidelines issued by the Ministerial Council spe</w:t>
      </w:r>
      <w:r>
        <w:t>cifically apply to Proposal 1040</w:t>
      </w:r>
      <w:r w:rsidRPr="00ED60A7">
        <w:t>.</w:t>
      </w:r>
    </w:p>
    <w:p w14:paraId="3282281F" w14:textId="77777777" w:rsidR="008A01CF" w:rsidRPr="00ED60A7" w:rsidRDefault="008A01CF" w:rsidP="00054E77"/>
    <w:bookmarkEnd w:id="72"/>
    <w:p w14:paraId="6E9FAA62" w14:textId="77777777" w:rsidR="0012388D" w:rsidRPr="008A01CF" w:rsidRDefault="00D15A08" w:rsidP="008A01CF">
      <w:pPr>
        <w:rPr>
          <w:b/>
          <w:sz w:val="28"/>
        </w:rPr>
      </w:pPr>
      <w:r w:rsidRPr="008A01CF">
        <w:rPr>
          <w:b/>
          <w:sz w:val="28"/>
        </w:rPr>
        <w:t>A</w:t>
      </w:r>
      <w:bookmarkEnd w:id="73"/>
      <w:bookmarkEnd w:id="74"/>
      <w:bookmarkEnd w:id="75"/>
      <w:bookmarkEnd w:id="76"/>
      <w:bookmarkEnd w:id="77"/>
      <w:r w:rsidR="00B21055" w:rsidRPr="008A01CF">
        <w:rPr>
          <w:b/>
          <w:sz w:val="28"/>
        </w:rPr>
        <w:t>ttachments</w:t>
      </w:r>
    </w:p>
    <w:p w14:paraId="6E9FAA63" w14:textId="77777777" w:rsidR="006C22A7" w:rsidRDefault="006C22A7" w:rsidP="00755F02"/>
    <w:p w14:paraId="6E9FAA64" w14:textId="77777777"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revised</w:t>
      </w:r>
      <w:r w:rsidR="000576EB">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r w:rsidR="005E06C0">
        <w:t>(commencing 1 March 2016)</w:t>
      </w:r>
    </w:p>
    <w:p w14:paraId="6E9FAA65"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6E9FAA66" w14:textId="77777777" w:rsidR="00456BD5" w:rsidRPr="00456BD5" w:rsidRDefault="003C4969" w:rsidP="00456BD5">
      <w:pPr>
        <w:pStyle w:val="Heading2"/>
        <w:ind w:left="0" w:firstLine="0"/>
      </w:pPr>
      <w:r w:rsidRPr="00932F14">
        <w:br w:type="page"/>
      </w:r>
      <w:bookmarkStart w:id="99" w:name="_Toc29883131"/>
      <w:bookmarkStart w:id="100" w:name="_Toc41906818"/>
      <w:bookmarkStart w:id="101" w:name="_Toc41907565"/>
      <w:bookmarkStart w:id="102" w:name="_Toc120358596"/>
      <w:bookmarkStart w:id="103" w:name="_Toc175381458"/>
      <w:bookmarkStart w:id="104" w:name="_Toc11735644"/>
      <w:bookmarkStart w:id="105" w:name="_Toc436823475"/>
      <w:r w:rsidRPr="00932F14">
        <w:lastRenderedPageBreak/>
        <w:t xml:space="preserve">Attachment </w:t>
      </w:r>
      <w:bookmarkEnd w:id="99"/>
      <w:bookmarkEnd w:id="100"/>
      <w:bookmarkEnd w:id="101"/>
      <w:bookmarkEnd w:id="102"/>
      <w:bookmarkEnd w:id="103"/>
      <w:r w:rsidR="00456B54">
        <w:t>A</w:t>
      </w:r>
      <w:bookmarkStart w:id="106" w:name="_Toc120358597"/>
      <w:bookmarkStart w:id="107" w:name="_Toc175381459"/>
      <w:bookmarkEnd w:id="104"/>
      <w:r w:rsidR="00755F02">
        <w:t xml:space="preserve"> –</w:t>
      </w:r>
      <w:bookmarkStart w:id="108" w:name="_Toc120358598"/>
      <w:bookmarkStart w:id="109" w:name="_Toc175381460"/>
      <w:bookmarkEnd w:id="106"/>
      <w:bookmarkEnd w:id="107"/>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t xml:space="preserve">revised </w:t>
      </w:r>
      <w:r w:rsidR="00456BD5" w:rsidRPr="00795D86">
        <w:rPr>
          <w:i/>
        </w:rPr>
        <w:t>Australia New Zealand Food Standards Code</w:t>
      </w:r>
      <w:r w:rsidR="00456BD5">
        <w:rPr>
          <w:i/>
        </w:rPr>
        <w:t xml:space="preserve"> </w:t>
      </w:r>
      <w:r w:rsidR="00456BD5" w:rsidRPr="00456BD5">
        <w:t>(commencing 1 March 2016)</w:t>
      </w:r>
      <w:bookmarkEnd w:id="105"/>
    </w:p>
    <w:p w14:paraId="6E9FAA67" w14:textId="77777777" w:rsidR="00054E77" w:rsidRPr="001809EC" w:rsidRDefault="00054E77" w:rsidP="00054E77">
      <w:pPr>
        <w:tabs>
          <w:tab w:val="left" w:pos="851"/>
        </w:tabs>
        <w:rPr>
          <w:noProof/>
          <w:sz w:val="20"/>
          <w:szCs w:val="20"/>
          <w:lang w:eastAsia="en-AU" w:bidi="ar-SA"/>
        </w:rPr>
      </w:pPr>
      <w:r w:rsidRPr="001809EC">
        <w:rPr>
          <w:noProof/>
          <w:sz w:val="20"/>
          <w:szCs w:val="20"/>
          <w:lang w:eastAsia="en-GB" w:bidi="ar-SA"/>
        </w:rPr>
        <w:drawing>
          <wp:inline distT="0" distB="0" distL="0" distR="0" wp14:anchorId="6E9FABF7" wp14:editId="6E9FABF8">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E9FAA68" w14:textId="77777777" w:rsidR="00054E77" w:rsidRPr="001809EC" w:rsidRDefault="00054E77" w:rsidP="00054E77">
      <w:pPr>
        <w:pBdr>
          <w:bottom w:val="single" w:sz="4" w:space="1" w:color="auto"/>
        </w:pBdr>
        <w:tabs>
          <w:tab w:val="left" w:pos="851"/>
        </w:tabs>
        <w:jc w:val="center"/>
        <w:rPr>
          <w:sz w:val="20"/>
          <w:szCs w:val="20"/>
          <w:lang w:bidi="ar-SA"/>
        </w:rPr>
      </w:pPr>
    </w:p>
    <w:p w14:paraId="6E9FAA69" w14:textId="77777777" w:rsidR="00054E77" w:rsidRPr="001809EC" w:rsidRDefault="00054E77" w:rsidP="00054E77">
      <w:pPr>
        <w:pBdr>
          <w:bottom w:val="single" w:sz="4" w:space="1" w:color="auto"/>
        </w:pBdr>
        <w:tabs>
          <w:tab w:val="left" w:pos="851"/>
        </w:tabs>
        <w:rPr>
          <w:b/>
          <w:sz w:val="20"/>
          <w:szCs w:val="20"/>
          <w:lang w:bidi="ar-SA"/>
        </w:rPr>
      </w:pPr>
      <w:r w:rsidRPr="001809EC">
        <w:rPr>
          <w:b/>
          <w:sz w:val="20"/>
          <w:szCs w:val="20"/>
          <w:lang w:bidi="ar-SA"/>
        </w:rPr>
        <w:t>Food Standards (</w:t>
      </w:r>
      <w:r>
        <w:rPr>
          <w:b/>
          <w:sz w:val="20"/>
          <w:szCs w:val="20"/>
          <w:lang w:bidi="ar-SA"/>
        </w:rPr>
        <w:t>Proposal P1040</w:t>
      </w:r>
      <w:r w:rsidRPr="001809EC">
        <w:rPr>
          <w:b/>
          <w:sz w:val="20"/>
          <w:szCs w:val="20"/>
          <w:lang w:bidi="ar-SA"/>
        </w:rPr>
        <w:t xml:space="preserve"> </w:t>
      </w:r>
      <w:r>
        <w:rPr>
          <w:b/>
          <w:sz w:val="20"/>
          <w:szCs w:val="20"/>
          <w:lang w:bidi="ar-SA"/>
        </w:rPr>
        <w:t>– Code Revision – Consequential</w:t>
      </w:r>
      <w:r w:rsidRPr="001809EC">
        <w:rPr>
          <w:b/>
          <w:sz w:val="20"/>
          <w:szCs w:val="20"/>
          <w:lang w:bidi="ar-SA"/>
        </w:rPr>
        <w:t xml:space="preserve"> &amp; Corrective Amendments</w:t>
      </w:r>
      <w:r>
        <w:rPr>
          <w:b/>
          <w:sz w:val="20"/>
          <w:szCs w:val="20"/>
          <w:lang w:bidi="ar-SA"/>
        </w:rPr>
        <w:t xml:space="preserve"> II</w:t>
      </w:r>
      <w:r w:rsidRPr="001809EC">
        <w:rPr>
          <w:b/>
          <w:sz w:val="20"/>
          <w:szCs w:val="20"/>
          <w:lang w:bidi="ar-SA"/>
        </w:rPr>
        <w:t>) Variation</w:t>
      </w:r>
    </w:p>
    <w:p w14:paraId="6E9FAA6A" w14:textId="77777777" w:rsidR="00054E77" w:rsidRPr="001809EC" w:rsidRDefault="00054E77" w:rsidP="00054E77">
      <w:pPr>
        <w:pBdr>
          <w:bottom w:val="single" w:sz="4" w:space="1" w:color="auto"/>
        </w:pBdr>
        <w:tabs>
          <w:tab w:val="left" w:pos="851"/>
        </w:tabs>
        <w:rPr>
          <w:b/>
          <w:sz w:val="20"/>
          <w:szCs w:val="20"/>
          <w:lang w:bidi="ar-SA"/>
        </w:rPr>
      </w:pPr>
    </w:p>
    <w:p w14:paraId="6E9FAA6B" w14:textId="77777777" w:rsidR="00054E77" w:rsidRPr="001809EC" w:rsidRDefault="00054E77" w:rsidP="00054E77">
      <w:pPr>
        <w:tabs>
          <w:tab w:val="left" w:pos="851"/>
        </w:tabs>
        <w:rPr>
          <w:sz w:val="20"/>
          <w:szCs w:val="20"/>
          <w:lang w:bidi="ar-SA"/>
        </w:rPr>
      </w:pPr>
    </w:p>
    <w:p w14:paraId="6E9FAA6C" w14:textId="77777777" w:rsidR="00054E77" w:rsidRPr="001809EC" w:rsidRDefault="00054E77" w:rsidP="00054E77">
      <w:pPr>
        <w:tabs>
          <w:tab w:val="left" w:pos="851"/>
        </w:tabs>
        <w:rPr>
          <w:sz w:val="20"/>
          <w:szCs w:val="20"/>
          <w:lang w:bidi="ar-SA"/>
        </w:rPr>
      </w:pPr>
      <w:r w:rsidRPr="001809EC">
        <w:rPr>
          <w:sz w:val="20"/>
          <w:szCs w:val="20"/>
          <w:lang w:bidi="ar-SA"/>
        </w:rPr>
        <w:t xml:space="preserve">The Board of Food Standards Australia New Zealand gives notice of the making of this variation under section 92 of the </w:t>
      </w:r>
      <w:r w:rsidRPr="001809EC">
        <w:rPr>
          <w:i/>
          <w:sz w:val="20"/>
          <w:szCs w:val="20"/>
          <w:lang w:bidi="ar-SA"/>
        </w:rPr>
        <w:t>Food Standards Australia New Zealand Act 1991</w:t>
      </w:r>
      <w:r w:rsidRPr="001809EC">
        <w:rPr>
          <w:sz w:val="20"/>
          <w:szCs w:val="20"/>
          <w:lang w:bidi="ar-SA"/>
        </w:rPr>
        <w:t xml:space="preserve">.  The </w:t>
      </w:r>
      <w:r w:rsidR="00014F3B">
        <w:rPr>
          <w:sz w:val="20"/>
          <w:szCs w:val="20"/>
          <w:lang w:bidi="ar-SA"/>
        </w:rPr>
        <w:t>variation</w:t>
      </w:r>
      <w:r w:rsidRPr="001809EC">
        <w:rPr>
          <w:sz w:val="20"/>
          <w:szCs w:val="20"/>
          <w:lang w:bidi="ar-SA"/>
        </w:rPr>
        <w:t xml:space="preserve"> commences on the date</w:t>
      </w:r>
      <w:r w:rsidR="006301BE">
        <w:rPr>
          <w:sz w:val="20"/>
          <w:szCs w:val="20"/>
          <w:lang w:bidi="ar-SA"/>
        </w:rPr>
        <w:t>s</w:t>
      </w:r>
      <w:r w:rsidRPr="001809EC">
        <w:rPr>
          <w:sz w:val="20"/>
          <w:szCs w:val="20"/>
          <w:lang w:bidi="ar-SA"/>
        </w:rPr>
        <w:t xml:space="preserve"> specified in clause 3 of this variation.</w:t>
      </w:r>
    </w:p>
    <w:p w14:paraId="6E9FAA6D" w14:textId="77777777" w:rsidR="00054E77" w:rsidRPr="001809EC" w:rsidRDefault="00054E77" w:rsidP="00054E77">
      <w:pPr>
        <w:tabs>
          <w:tab w:val="left" w:pos="851"/>
        </w:tabs>
        <w:rPr>
          <w:sz w:val="20"/>
          <w:szCs w:val="20"/>
          <w:lang w:bidi="ar-SA"/>
        </w:rPr>
      </w:pPr>
    </w:p>
    <w:p w14:paraId="6E9FAA6E" w14:textId="77777777" w:rsidR="00054E77" w:rsidRPr="001809EC" w:rsidRDefault="00054E77" w:rsidP="00054E77">
      <w:pPr>
        <w:tabs>
          <w:tab w:val="left" w:pos="851"/>
        </w:tabs>
        <w:rPr>
          <w:sz w:val="20"/>
          <w:szCs w:val="20"/>
          <w:lang w:bidi="ar-SA"/>
        </w:rPr>
      </w:pPr>
      <w:r w:rsidRPr="001809EC">
        <w:rPr>
          <w:sz w:val="20"/>
          <w:szCs w:val="20"/>
          <w:lang w:bidi="ar-SA"/>
        </w:rPr>
        <w:t>Dated [To be completed by Standards Management Officer]</w:t>
      </w:r>
    </w:p>
    <w:p w14:paraId="6E9FAA6F" w14:textId="77777777" w:rsidR="00054E77" w:rsidRPr="001809EC" w:rsidRDefault="00054E77" w:rsidP="00054E77">
      <w:pPr>
        <w:tabs>
          <w:tab w:val="left" w:pos="851"/>
        </w:tabs>
        <w:rPr>
          <w:sz w:val="20"/>
          <w:szCs w:val="20"/>
          <w:lang w:bidi="ar-SA"/>
        </w:rPr>
      </w:pPr>
    </w:p>
    <w:p w14:paraId="6E9FAA70" w14:textId="77777777" w:rsidR="00054E77" w:rsidRPr="001809EC" w:rsidRDefault="00054E77" w:rsidP="00054E77">
      <w:pPr>
        <w:tabs>
          <w:tab w:val="left" w:pos="851"/>
        </w:tabs>
        <w:rPr>
          <w:sz w:val="20"/>
          <w:szCs w:val="20"/>
          <w:lang w:bidi="ar-SA"/>
        </w:rPr>
      </w:pPr>
    </w:p>
    <w:p w14:paraId="6E9FAA71" w14:textId="77777777" w:rsidR="00054E77" w:rsidRPr="001809EC" w:rsidRDefault="00054E77" w:rsidP="00054E77">
      <w:pPr>
        <w:tabs>
          <w:tab w:val="left" w:pos="851"/>
        </w:tabs>
        <w:rPr>
          <w:sz w:val="20"/>
          <w:szCs w:val="20"/>
          <w:lang w:bidi="ar-SA"/>
        </w:rPr>
      </w:pPr>
    </w:p>
    <w:p w14:paraId="6E9FAA72" w14:textId="77777777" w:rsidR="00054E77" w:rsidRPr="001809EC" w:rsidRDefault="00054E77" w:rsidP="00054E77">
      <w:pPr>
        <w:tabs>
          <w:tab w:val="left" w:pos="851"/>
        </w:tabs>
        <w:rPr>
          <w:sz w:val="20"/>
          <w:szCs w:val="20"/>
          <w:lang w:bidi="ar-SA"/>
        </w:rPr>
      </w:pPr>
    </w:p>
    <w:p w14:paraId="6E9FAA73" w14:textId="77777777" w:rsidR="00054E77" w:rsidRPr="001809EC" w:rsidRDefault="00054E77" w:rsidP="00054E77">
      <w:pPr>
        <w:tabs>
          <w:tab w:val="left" w:pos="851"/>
        </w:tabs>
        <w:rPr>
          <w:sz w:val="20"/>
          <w:szCs w:val="20"/>
          <w:lang w:bidi="ar-SA"/>
        </w:rPr>
      </w:pPr>
    </w:p>
    <w:p w14:paraId="6E9FAA74" w14:textId="77777777" w:rsidR="00054E77" w:rsidRPr="001809EC" w:rsidRDefault="00054E77" w:rsidP="00054E77">
      <w:pPr>
        <w:tabs>
          <w:tab w:val="left" w:pos="851"/>
        </w:tabs>
        <w:rPr>
          <w:sz w:val="20"/>
          <w:szCs w:val="20"/>
          <w:lang w:bidi="ar-SA"/>
        </w:rPr>
      </w:pPr>
      <w:r w:rsidRPr="001809EC">
        <w:rPr>
          <w:sz w:val="20"/>
          <w:szCs w:val="20"/>
          <w:lang w:bidi="ar-SA"/>
        </w:rPr>
        <w:t>Standards Management Officer</w:t>
      </w:r>
    </w:p>
    <w:p w14:paraId="6E9FAA75" w14:textId="77777777" w:rsidR="00054E77" w:rsidRPr="001809EC" w:rsidRDefault="00054E77" w:rsidP="00054E77">
      <w:pPr>
        <w:tabs>
          <w:tab w:val="left" w:pos="851"/>
        </w:tabs>
        <w:rPr>
          <w:sz w:val="20"/>
          <w:szCs w:val="20"/>
          <w:lang w:bidi="ar-SA"/>
        </w:rPr>
      </w:pPr>
      <w:r w:rsidRPr="001809EC">
        <w:rPr>
          <w:sz w:val="20"/>
          <w:szCs w:val="20"/>
          <w:lang w:bidi="ar-SA"/>
        </w:rPr>
        <w:t>Delegate of the Board of Food Standards Australia New Zealand</w:t>
      </w:r>
    </w:p>
    <w:p w14:paraId="6E9FAA76" w14:textId="77777777" w:rsidR="00054E77" w:rsidRPr="001809EC" w:rsidRDefault="00054E77" w:rsidP="00054E77">
      <w:pPr>
        <w:tabs>
          <w:tab w:val="left" w:pos="851"/>
        </w:tabs>
        <w:rPr>
          <w:sz w:val="20"/>
          <w:szCs w:val="20"/>
          <w:lang w:bidi="ar-SA"/>
        </w:rPr>
      </w:pPr>
    </w:p>
    <w:p w14:paraId="6E9FAA77" w14:textId="77777777" w:rsidR="00054E77" w:rsidRPr="001809EC" w:rsidRDefault="00054E77" w:rsidP="00054E77">
      <w:pPr>
        <w:tabs>
          <w:tab w:val="left" w:pos="851"/>
        </w:tabs>
        <w:rPr>
          <w:sz w:val="20"/>
          <w:szCs w:val="20"/>
          <w:lang w:bidi="ar-SA"/>
        </w:rPr>
      </w:pPr>
    </w:p>
    <w:p w14:paraId="6E9FAA78" w14:textId="77777777" w:rsidR="00054E77" w:rsidRPr="001809EC" w:rsidRDefault="00054E77" w:rsidP="00054E77">
      <w:pPr>
        <w:tabs>
          <w:tab w:val="left" w:pos="851"/>
        </w:tabs>
        <w:rPr>
          <w:sz w:val="20"/>
          <w:szCs w:val="20"/>
          <w:lang w:bidi="ar-SA"/>
        </w:rPr>
      </w:pPr>
    </w:p>
    <w:p w14:paraId="6E9FAA79" w14:textId="77777777" w:rsidR="00054E77" w:rsidRPr="001809EC" w:rsidRDefault="00054E77" w:rsidP="00054E77">
      <w:pPr>
        <w:tabs>
          <w:tab w:val="left" w:pos="851"/>
        </w:tabs>
        <w:rPr>
          <w:sz w:val="20"/>
          <w:szCs w:val="20"/>
          <w:lang w:bidi="ar-SA"/>
        </w:rPr>
      </w:pPr>
    </w:p>
    <w:p w14:paraId="6E9FAA7A" w14:textId="77777777" w:rsidR="00054E77" w:rsidRPr="001809EC" w:rsidRDefault="00054E77" w:rsidP="00054E77">
      <w:pPr>
        <w:tabs>
          <w:tab w:val="left" w:pos="851"/>
        </w:tabs>
        <w:rPr>
          <w:sz w:val="20"/>
          <w:szCs w:val="20"/>
          <w:lang w:bidi="ar-SA"/>
        </w:rPr>
      </w:pPr>
    </w:p>
    <w:p w14:paraId="6E9FAA7B" w14:textId="77777777" w:rsidR="00054E77" w:rsidRPr="001809EC" w:rsidRDefault="00054E77" w:rsidP="00054E77">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1809EC">
        <w:rPr>
          <w:b/>
          <w:sz w:val="20"/>
          <w:szCs w:val="20"/>
          <w:lang w:bidi="ar-SA"/>
        </w:rPr>
        <w:t xml:space="preserve">Note:  </w:t>
      </w:r>
    </w:p>
    <w:p w14:paraId="6E9FAA7C" w14:textId="77777777" w:rsidR="00054E77" w:rsidRPr="001809EC" w:rsidRDefault="00054E77" w:rsidP="00054E77">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6E9FAA7D" w14:textId="77777777" w:rsidR="00054E77" w:rsidRPr="001809EC" w:rsidRDefault="00054E77" w:rsidP="00054E77">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1809EC">
        <w:rPr>
          <w:sz w:val="20"/>
          <w:szCs w:val="20"/>
          <w:lang w:bidi="ar-SA"/>
        </w:rPr>
        <w:t xml:space="preserve">This variation will be published in the Commonwealth of Australia Gazette No. </w:t>
      </w:r>
      <w:proofErr w:type="gramStart"/>
      <w:r w:rsidRPr="001809EC">
        <w:rPr>
          <w:sz w:val="20"/>
          <w:szCs w:val="20"/>
          <w:lang w:bidi="ar-SA"/>
        </w:rPr>
        <w:t xml:space="preserve">FSC </w:t>
      </w:r>
      <w:r w:rsidRPr="001809EC">
        <w:rPr>
          <w:color w:val="FF0000"/>
          <w:sz w:val="20"/>
          <w:szCs w:val="20"/>
          <w:lang w:bidi="ar-SA"/>
        </w:rPr>
        <w:t>XX on XX Month 20XX</w:t>
      </w:r>
      <w:r w:rsidRPr="001809EC">
        <w:rPr>
          <w:sz w:val="20"/>
          <w:szCs w:val="20"/>
          <w:lang w:bidi="ar-SA"/>
        </w:rPr>
        <w:t>.</w:t>
      </w:r>
      <w:proofErr w:type="gramEnd"/>
      <w:r w:rsidRPr="001809EC">
        <w:rPr>
          <w:sz w:val="20"/>
          <w:szCs w:val="20"/>
          <w:lang w:bidi="ar-SA"/>
        </w:rPr>
        <w:t xml:space="preserve"> This means that this date is the gazettal date for the purposes of clause 3 of the variation. </w:t>
      </w:r>
    </w:p>
    <w:p w14:paraId="6E9FAA7E" w14:textId="77777777" w:rsidR="00054E77" w:rsidRPr="001809EC" w:rsidRDefault="00054E77" w:rsidP="00054E77">
      <w:pPr>
        <w:tabs>
          <w:tab w:val="left" w:pos="851"/>
        </w:tabs>
        <w:rPr>
          <w:sz w:val="20"/>
          <w:szCs w:val="20"/>
          <w:lang w:bidi="ar-SA"/>
        </w:rPr>
      </w:pPr>
    </w:p>
    <w:p w14:paraId="6E9FAA7F" w14:textId="77777777" w:rsidR="00054E77" w:rsidRPr="001809EC" w:rsidRDefault="00054E77" w:rsidP="00054E77">
      <w:pPr>
        <w:widowControl/>
        <w:rPr>
          <w:sz w:val="20"/>
          <w:szCs w:val="20"/>
          <w:lang w:bidi="ar-SA"/>
        </w:rPr>
      </w:pPr>
      <w:r w:rsidRPr="001809EC">
        <w:rPr>
          <w:sz w:val="20"/>
          <w:szCs w:val="20"/>
          <w:lang w:bidi="ar-SA"/>
        </w:rPr>
        <w:br w:type="page"/>
      </w:r>
    </w:p>
    <w:p w14:paraId="6E9FAA80" w14:textId="77777777" w:rsidR="00054E77" w:rsidRPr="001809EC" w:rsidRDefault="00054E77" w:rsidP="00054E77">
      <w:pPr>
        <w:pStyle w:val="FSCDraftingitemheading"/>
      </w:pPr>
      <w:r w:rsidRPr="001809EC">
        <w:lastRenderedPageBreak/>
        <w:t>1</w:t>
      </w:r>
      <w:r w:rsidRPr="001809EC">
        <w:tab/>
        <w:t>Name</w:t>
      </w:r>
    </w:p>
    <w:p w14:paraId="6E9FAA81" w14:textId="77777777" w:rsidR="00054E77" w:rsidRPr="001809EC" w:rsidRDefault="00054E77" w:rsidP="00054E77">
      <w:pPr>
        <w:pStyle w:val="FSCDraftingitem"/>
      </w:pPr>
      <w:r w:rsidRPr="001809EC">
        <w:t xml:space="preserve">This instrument is the </w:t>
      </w:r>
      <w:r w:rsidRPr="006A2A01">
        <w:rPr>
          <w:i/>
        </w:rPr>
        <w:t>Food Standards (Proposal P1040 – Code Revision – Consequential &amp; Corrective Amendments II) Variation</w:t>
      </w:r>
      <w:r w:rsidRPr="001809EC">
        <w:t>.</w:t>
      </w:r>
    </w:p>
    <w:p w14:paraId="6E9FAA82" w14:textId="5A6ABE93" w:rsidR="00054E77" w:rsidRPr="001809EC" w:rsidRDefault="008A01CF" w:rsidP="00054E77">
      <w:pPr>
        <w:pStyle w:val="FSCDraftingitemheading"/>
      </w:pPr>
      <w:r>
        <w:t>2</w:t>
      </w:r>
      <w:r>
        <w:tab/>
        <w:t>Variation to s</w:t>
      </w:r>
      <w:r w:rsidR="00054E77" w:rsidRPr="001809EC">
        <w:t xml:space="preserve">tandards in the </w:t>
      </w:r>
      <w:r w:rsidR="00054E77" w:rsidRPr="006A2A01">
        <w:rPr>
          <w:i/>
        </w:rPr>
        <w:t>Australia New Zealand Food Standards Code</w:t>
      </w:r>
    </w:p>
    <w:p w14:paraId="6E9FAA83" w14:textId="7741B767" w:rsidR="00054E77" w:rsidRPr="001809EC" w:rsidRDefault="00054E77" w:rsidP="00054E77">
      <w:pPr>
        <w:pStyle w:val="FSCDraftingitem"/>
      </w:pPr>
      <w:r w:rsidRPr="001809EC">
        <w:t xml:space="preserve">The Schedule varies </w:t>
      </w:r>
      <w:r w:rsidR="008A01CF">
        <w:t>s</w:t>
      </w:r>
      <w:r w:rsidRPr="001809EC">
        <w:t xml:space="preserve">tandards in the </w:t>
      </w:r>
      <w:r w:rsidRPr="001809EC">
        <w:rPr>
          <w:i/>
        </w:rPr>
        <w:t>Australia New Zealand Food Standards Code</w:t>
      </w:r>
      <w:r w:rsidRPr="001809EC">
        <w:t>.</w:t>
      </w:r>
    </w:p>
    <w:p w14:paraId="6E9FAA84" w14:textId="77777777" w:rsidR="00054E77" w:rsidRPr="001809EC" w:rsidRDefault="00054E77" w:rsidP="00054E77">
      <w:pPr>
        <w:pStyle w:val="FSCDraftingitemheading"/>
      </w:pPr>
      <w:r w:rsidRPr="001809EC">
        <w:t>3</w:t>
      </w:r>
      <w:r w:rsidRPr="001809EC">
        <w:tab/>
        <w:t>Commencement</w:t>
      </w:r>
    </w:p>
    <w:p w14:paraId="6E9FAA85" w14:textId="77777777" w:rsidR="00054E77" w:rsidRDefault="00054E77" w:rsidP="00054E77">
      <w:pPr>
        <w:pStyle w:val="FSCDraftingitem"/>
      </w:pPr>
      <w:r>
        <w:t>(1)</w:t>
      </w:r>
      <w:r>
        <w:tab/>
        <w:t>Subject to subsection (2), the variation commences</w:t>
      </w:r>
      <w:r w:rsidRPr="001F60DD">
        <w:t xml:space="preserve"> on 1 March 2016</w:t>
      </w:r>
      <w:r>
        <w:t xml:space="preserve"> </w:t>
      </w:r>
      <w:r w:rsidRPr="00574141">
        <w:rPr>
          <w:rFonts w:cs="Arial"/>
        </w:rPr>
        <w:t>immediately after the commencement of Standard 5.1.1 – Revocati</w:t>
      </w:r>
      <w:r>
        <w:rPr>
          <w:rFonts w:cs="Arial"/>
        </w:rPr>
        <w:t xml:space="preserve">on and transitional provisions – </w:t>
      </w:r>
      <w:r w:rsidRPr="00574141">
        <w:rPr>
          <w:rFonts w:cs="Arial"/>
        </w:rPr>
        <w:t>2014 Revision</w:t>
      </w:r>
      <w:r>
        <w:t xml:space="preserve">. </w:t>
      </w:r>
    </w:p>
    <w:p w14:paraId="6E9FAA86" w14:textId="77777777" w:rsidR="00054E77" w:rsidRPr="001F60DD" w:rsidRDefault="00054E77" w:rsidP="00054E77">
      <w:pPr>
        <w:pStyle w:val="FSCDraftingitem"/>
      </w:pPr>
      <w:r>
        <w:t>(2)</w:t>
      </w:r>
      <w:r>
        <w:tab/>
        <w:t xml:space="preserve">Items 1 and 4 of the Schedule </w:t>
      </w:r>
      <w:r w:rsidRPr="001F60DD">
        <w:t>commence on 19 January 2017.</w:t>
      </w:r>
    </w:p>
    <w:p w14:paraId="6E9FAA87" w14:textId="77777777" w:rsidR="00054E77" w:rsidRPr="001F60DD" w:rsidRDefault="00054E77" w:rsidP="00054E77">
      <w:pPr>
        <w:tabs>
          <w:tab w:val="left" w:pos="851"/>
        </w:tabs>
        <w:jc w:val="center"/>
        <w:rPr>
          <w:b/>
          <w:caps/>
          <w:sz w:val="20"/>
          <w:szCs w:val="20"/>
          <w:lang w:bidi="ar-SA"/>
        </w:rPr>
      </w:pPr>
      <w:r w:rsidRPr="001F60DD">
        <w:rPr>
          <w:b/>
          <w:caps/>
          <w:sz w:val="20"/>
          <w:szCs w:val="20"/>
          <w:lang w:bidi="ar-SA"/>
        </w:rPr>
        <w:t>S</w:t>
      </w:r>
      <w:r w:rsidRPr="009D50CF">
        <w:rPr>
          <w:b/>
          <w:sz w:val="20"/>
          <w:szCs w:val="20"/>
          <w:lang w:bidi="ar-SA"/>
        </w:rPr>
        <w:t>chedule</w:t>
      </w:r>
    </w:p>
    <w:p w14:paraId="6E9FAA88" w14:textId="77777777" w:rsidR="00054E77" w:rsidRPr="004E31BA" w:rsidRDefault="00054E77" w:rsidP="00054E77">
      <w:pPr>
        <w:pStyle w:val="FSCDraftingitemheading"/>
      </w:pPr>
      <w:bookmarkStart w:id="110" w:name="_Toc419117459"/>
      <w:bookmarkStart w:id="111" w:name="_Ref330223170"/>
      <w:bookmarkStart w:id="112" w:name="_Ref331335621"/>
      <w:r w:rsidRPr="004E31BA">
        <w:t>Standard 1.1.1—Structure of the Code and general provisions</w:t>
      </w:r>
      <w:bookmarkEnd w:id="110"/>
    </w:p>
    <w:p w14:paraId="6E9FAA89" w14:textId="77777777" w:rsidR="00054E77" w:rsidRPr="004E31BA" w:rsidRDefault="00054E77" w:rsidP="00054E77">
      <w:pPr>
        <w:pStyle w:val="FSCDraftingitemheading"/>
      </w:pPr>
      <w:r w:rsidRPr="004E31BA">
        <w:t>[</w:t>
      </w:r>
      <w:r w:rsidR="00B66D76">
        <w:fldChar w:fldCharType="begin"/>
      </w:r>
      <w:r w:rsidR="00B66D76">
        <w:instrText xml:space="preserve"> SEQ Items \* MERGEFORMAT </w:instrText>
      </w:r>
      <w:r w:rsidR="00B66D76">
        <w:fldChar w:fldCharType="separate"/>
      </w:r>
      <w:r w:rsidR="00C54396">
        <w:rPr>
          <w:noProof/>
        </w:rPr>
        <w:t>1</w:t>
      </w:r>
      <w:r w:rsidR="00B66D76">
        <w:rPr>
          <w:noProof/>
        </w:rPr>
        <w:fldChar w:fldCharType="end"/>
      </w:r>
      <w:r w:rsidRPr="004E31BA">
        <w:t>]</w:t>
      </w:r>
      <w:r w:rsidRPr="004E31BA">
        <w:tab/>
        <w:t>Subsection 1.1.1—2(2)</w:t>
      </w:r>
    </w:p>
    <w:p w14:paraId="6E9FAA8A" w14:textId="69E0FA30" w:rsidR="00054E77" w:rsidRPr="004E31BA" w:rsidRDefault="00054E77" w:rsidP="00A85408">
      <w:pPr>
        <w:pStyle w:val="FSCDraftingitem"/>
      </w:pPr>
      <w:r w:rsidRPr="004E31BA">
        <w:t xml:space="preserve">Omit ‘Standard 1.2.12 – Transitional standard for dietary </w:t>
      </w:r>
      <w:r w:rsidR="00A85408">
        <w:t>fibre nutrition content claims’</w:t>
      </w:r>
    </w:p>
    <w:p w14:paraId="6E9FAA8B" w14:textId="77777777" w:rsidR="00054E77" w:rsidRPr="004E31BA" w:rsidRDefault="00054E77" w:rsidP="00054E77">
      <w:pPr>
        <w:pStyle w:val="FSCh2Amendmentheading"/>
        <w:spacing w:before="240"/>
        <w:rPr>
          <w:i w:val="0"/>
          <w:sz w:val="20"/>
          <w:szCs w:val="20"/>
        </w:rPr>
      </w:pPr>
      <w:bookmarkStart w:id="113" w:name="_Toc419117460"/>
      <w:r w:rsidRPr="004E31BA">
        <w:rPr>
          <w:i w:val="0"/>
          <w:sz w:val="20"/>
          <w:szCs w:val="20"/>
        </w:rPr>
        <w:t>Standard 1.1.2—Definitions used throughout the Code</w:t>
      </w:r>
      <w:bookmarkEnd w:id="113"/>
    </w:p>
    <w:p w14:paraId="6E9FAA8C" w14:textId="77777777" w:rsidR="00054E77" w:rsidRPr="004E31BA" w:rsidRDefault="00054E77" w:rsidP="00054E77">
      <w:pPr>
        <w:pStyle w:val="FSCDraftingitemheading"/>
      </w:pPr>
      <w:r w:rsidRPr="004E31BA">
        <w:t>[2]</w:t>
      </w:r>
      <w:r w:rsidRPr="004E31BA">
        <w:tab/>
        <w:t xml:space="preserve">Subsection 1.1.2—2(3) (definition of </w:t>
      </w:r>
      <w:r w:rsidRPr="004E31BA">
        <w:rPr>
          <w:i/>
        </w:rPr>
        <w:t>individual portion pack</w:t>
      </w:r>
      <w:r w:rsidRPr="004E31BA">
        <w:t>)</w:t>
      </w:r>
    </w:p>
    <w:p w14:paraId="6E9FAA8D" w14:textId="29C43006" w:rsidR="00054E77" w:rsidRPr="004E31BA" w:rsidRDefault="00A85408" w:rsidP="00A85408">
      <w:pPr>
        <w:pStyle w:val="FSCDraftingitem"/>
      </w:pPr>
      <w:r>
        <w:tab/>
      </w:r>
      <w:r w:rsidR="00054E77" w:rsidRPr="004E31BA">
        <w:t>Omit ‘1.2.1—6(4)’</w:t>
      </w:r>
      <w:r w:rsidR="00054E77">
        <w:t>,</w:t>
      </w:r>
      <w:r>
        <w:t xml:space="preserve"> substitute ‘1.2.1—6(3)’</w:t>
      </w:r>
    </w:p>
    <w:p w14:paraId="6E9FAA8E" w14:textId="77777777" w:rsidR="00054E77" w:rsidRPr="004E31BA" w:rsidRDefault="00054E77" w:rsidP="00054E77">
      <w:pPr>
        <w:pStyle w:val="FSCDraftingitemheading"/>
      </w:pPr>
      <w:r w:rsidRPr="004E31BA">
        <w:t>[3]</w:t>
      </w:r>
      <w:r w:rsidRPr="004E31BA">
        <w:tab/>
        <w:t>Section 1.1.2—12 (Note)</w:t>
      </w:r>
    </w:p>
    <w:p w14:paraId="6E9FAA8F" w14:textId="44874055" w:rsidR="00054E77" w:rsidRPr="004E31BA" w:rsidRDefault="00A85408" w:rsidP="00A85408">
      <w:pPr>
        <w:pStyle w:val="FSCDraftingitem"/>
      </w:pPr>
      <w:r>
        <w:tab/>
      </w:r>
      <w:r w:rsidR="00054E77" w:rsidRPr="004E31BA">
        <w:t>Omit ‘S28—2, 0, S29—</w:t>
      </w:r>
      <w:r>
        <w:t>18’, substitute ‘S28—2, S29—18’</w:t>
      </w:r>
    </w:p>
    <w:p w14:paraId="6E9FAA90" w14:textId="77777777" w:rsidR="00054E77" w:rsidRPr="004E31BA" w:rsidRDefault="00054E77" w:rsidP="00054E77">
      <w:pPr>
        <w:pStyle w:val="FSCDraftingitemheading"/>
      </w:pPr>
      <w:bookmarkStart w:id="114" w:name="_Toc419117463"/>
      <w:r w:rsidRPr="004E31BA">
        <w:t>Standard 1.2.7 – Nutrition, health and related claims</w:t>
      </w:r>
      <w:bookmarkEnd w:id="114"/>
    </w:p>
    <w:p w14:paraId="6E9FAA91" w14:textId="77777777" w:rsidR="00054E77" w:rsidRPr="004E31BA" w:rsidRDefault="00054E77" w:rsidP="00054E77">
      <w:pPr>
        <w:pStyle w:val="FSCDraftingitemheading"/>
      </w:pPr>
      <w:r w:rsidRPr="004E31BA">
        <w:t>[4]</w:t>
      </w:r>
      <w:r w:rsidRPr="004E31BA">
        <w:tab/>
        <w:t>Section 1.2.7—12 (Note)</w:t>
      </w:r>
    </w:p>
    <w:p w14:paraId="6E9FAA92" w14:textId="330E938E" w:rsidR="00054E77" w:rsidRPr="004E31BA" w:rsidRDefault="00A85408" w:rsidP="00A85408">
      <w:pPr>
        <w:pStyle w:val="FSCDraftingitem"/>
      </w:pPr>
      <w:bookmarkStart w:id="115" w:name="_Toc419117464"/>
      <w:r>
        <w:tab/>
        <w:t>Omit the Note</w:t>
      </w:r>
    </w:p>
    <w:p w14:paraId="3F8B26E3" w14:textId="0D684067" w:rsidR="00A84DEA" w:rsidRPr="004E31BA" w:rsidRDefault="00A84DEA" w:rsidP="00A84DEA">
      <w:pPr>
        <w:pStyle w:val="FSCDraftingitemheading"/>
      </w:pPr>
      <w:bookmarkStart w:id="116" w:name="_Toc419117468"/>
      <w:bookmarkEnd w:id="115"/>
      <w:r>
        <w:t>Standard 1.3.1</w:t>
      </w:r>
      <w:r w:rsidRPr="004E31BA">
        <w:t xml:space="preserve"> – </w:t>
      </w:r>
      <w:r>
        <w:t>Food additives</w:t>
      </w:r>
    </w:p>
    <w:p w14:paraId="585F9826" w14:textId="0F8C2B59" w:rsidR="00A84DEA" w:rsidRPr="004E31BA" w:rsidRDefault="00A84DEA" w:rsidP="00A84DEA">
      <w:pPr>
        <w:pStyle w:val="FSCDraftingitemheading"/>
      </w:pPr>
      <w:r w:rsidRPr="004E31BA">
        <w:t>[4</w:t>
      </w:r>
      <w:r>
        <w:t>A]</w:t>
      </w:r>
      <w:r>
        <w:tab/>
        <w:t>Section 1.3.1—</w:t>
      </w:r>
      <w:r w:rsidRPr="004E31BA">
        <w:t>2 (Note)</w:t>
      </w:r>
    </w:p>
    <w:p w14:paraId="665CC0CB" w14:textId="777A6458" w:rsidR="00A84DEA" w:rsidRPr="004E31BA" w:rsidRDefault="00A85408" w:rsidP="00A85408">
      <w:pPr>
        <w:pStyle w:val="FSCDraftingitem"/>
      </w:pPr>
      <w:r>
        <w:tab/>
      </w:r>
      <w:r w:rsidR="00A84DEA" w:rsidRPr="004E31BA">
        <w:t xml:space="preserve">Omit </w:t>
      </w:r>
      <w:r w:rsidR="00A84DEA">
        <w:t>‘that that’, substitute ‘that’</w:t>
      </w:r>
    </w:p>
    <w:p w14:paraId="6E9FAA93" w14:textId="77777777" w:rsidR="00054E77" w:rsidRPr="004E31BA" w:rsidRDefault="00054E77" w:rsidP="00054E77">
      <w:pPr>
        <w:pStyle w:val="FSCDraftingitemheading"/>
      </w:pPr>
      <w:r w:rsidRPr="004E31BA">
        <w:t>Standard 1.4.1 – Contaminants and natural toxicants</w:t>
      </w:r>
      <w:bookmarkEnd w:id="116"/>
    </w:p>
    <w:p w14:paraId="6E9FAA94" w14:textId="77777777" w:rsidR="00054E77" w:rsidRPr="004E31BA" w:rsidRDefault="00054E77" w:rsidP="00054E77">
      <w:pPr>
        <w:pStyle w:val="FSCDraftingitemheading"/>
      </w:pPr>
      <w:r w:rsidRPr="004E31BA">
        <w:t>[5]</w:t>
      </w:r>
      <w:r w:rsidRPr="004E31BA">
        <w:tab/>
        <w:t>Subsection 1.4.1—3(3)</w:t>
      </w:r>
    </w:p>
    <w:p w14:paraId="6E9FAA95" w14:textId="2D687543" w:rsidR="00054E77" w:rsidRDefault="00A85408" w:rsidP="00A85408">
      <w:pPr>
        <w:pStyle w:val="FSCDraftingitem"/>
      </w:pPr>
      <w:r>
        <w:tab/>
      </w:r>
      <w:r w:rsidR="00054E77" w:rsidRPr="004E31BA">
        <w:t>Omit</w:t>
      </w:r>
    </w:p>
    <w:p w14:paraId="6E9FAA96" w14:textId="77777777" w:rsidR="00054E77" w:rsidRDefault="00054E77" w:rsidP="00A85408">
      <w:pPr>
        <w:pStyle w:val="FSCtAmendingwords"/>
        <w:ind w:left="851"/>
        <w:rPr>
          <w:sz w:val="20"/>
          <w:szCs w:val="20"/>
          <w:lang w:val="en-GB"/>
        </w:rPr>
      </w:pPr>
      <w:r w:rsidRPr="004E31BA">
        <w:rPr>
          <w:noProof/>
          <w:lang w:val="en-GB" w:eastAsia="en-GB"/>
        </w:rPr>
        <w:drawing>
          <wp:inline distT="0" distB="0" distL="0" distR="0" wp14:anchorId="6E9FABF9" wp14:editId="6E9FABFA">
            <wp:extent cx="2605178" cy="373323"/>
            <wp:effectExtent l="0" t="0" r="5080" b="8255"/>
            <wp:docPr id="4" name="Picture 4" descr="C:\Users\humphc\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mphc\Desktop\Captur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2115" cy="377183"/>
                    </a:xfrm>
                    <a:prstGeom prst="rect">
                      <a:avLst/>
                    </a:prstGeom>
                    <a:noFill/>
                    <a:ln>
                      <a:noFill/>
                    </a:ln>
                  </pic:spPr>
                </pic:pic>
              </a:graphicData>
            </a:graphic>
          </wp:inline>
        </w:drawing>
      </w:r>
    </w:p>
    <w:p w14:paraId="6E9FAA97" w14:textId="506BD81C" w:rsidR="00054E77" w:rsidRDefault="00A85408" w:rsidP="00A85408">
      <w:pPr>
        <w:pStyle w:val="FSCDraftingitem"/>
      </w:pPr>
      <w:r>
        <w:tab/>
      </w:r>
      <w:proofErr w:type="gramStart"/>
      <w:r w:rsidR="00054E77" w:rsidRPr="004E31BA">
        <w:t>substitute</w:t>
      </w:r>
      <w:proofErr w:type="gramEnd"/>
    </w:p>
    <w:p w14:paraId="6E9FAA98" w14:textId="77777777" w:rsidR="00054E77" w:rsidRPr="004E31BA" w:rsidRDefault="00054E77" w:rsidP="00A85408">
      <w:pPr>
        <w:pStyle w:val="FSCtAmendingwords"/>
        <w:ind w:left="851"/>
        <w:rPr>
          <w:sz w:val="20"/>
          <w:szCs w:val="20"/>
          <w:lang w:val="en-GB"/>
        </w:rPr>
      </w:pPr>
      <w:r w:rsidRPr="004E31BA">
        <w:rPr>
          <w:noProof/>
          <w:lang w:val="en-GB" w:eastAsia="en-GB"/>
        </w:rPr>
        <w:drawing>
          <wp:inline distT="0" distB="0" distL="0" distR="0" wp14:anchorId="6E9FABFB" wp14:editId="6E9FABFC">
            <wp:extent cx="2714625" cy="504825"/>
            <wp:effectExtent l="0" t="0" r="9525" b="9525"/>
            <wp:docPr id="5" name="Picture 5" descr="C:\Users\humphc\Desktop\Capt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mphc\Desktop\Capture.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4625" cy="504825"/>
                    </a:xfrm>
                    <a:prstGeom prst="rect">
                      <a:avLst/>
                    </a:prstGeom>
                    <a:noFill/>
                    <a:ln>
                      <a:noFill/>
                    </a:ln>
                  </pic:spPr>
                </pic:pic>
              </a:graphicData>
            </a:graphic>
          </wp:inline>
        </w:drawing>
      </w:r>
    </w:p>
    <w:p w14:paraId="6E9FAA99" w14:textId="77777777" w:rsidR="00054E77" w:rsidRPr="004E31BA" w:rsidRDefault="00054E77" w:rsidP="00054E77">
      <w:pPr>
        <w:pStyle w:val="FSCDraftingitemheading"/>
      </w:pPr>
      <w:r w:rsidRPr="004E31BA">
        <w:t>Standard 1.4.2 – Agvet chemicals</w:t>
      </w:r>
    </w:p>
    <w:p w14:paraId="6E9FAA9A" w14:textId="5CE3366E" w:rsidR="00054E77" w:rsidRPr="004E31BA" w:rsidRDefault="00054E77" w:rsidP="00A85408">
      <w:pPr>
        <w:pStyle w:val="FSCDraftingitemheading"/>
      </w:pPr>
      <w:r w:rsidRPr="004E31BA">
        <w:t>[6]</w:t>
      </w:r>
      <w:r w:rsidRPr="004E31BA">
        <w:tab/>
      </w:r>
      <w:r w:rsidR="00110CA5">
        <w:t>Standard Heading (</w:t>
      </w:r>
      <w:r w:rsidRPr="004E31BA">
        <w:t>Note 3</w:t>
      </w:r>
      <w:r w:rsidR="00110CA5">
        <w:t>)</w:t>
      </w:r>
    </w:p>
    <w:p w14:paraId="6E9FAA9B" w14:textId="3BC04952" w:rsidR="00054E77" w:rsidRPr="004E31BA" w:rsidRDefault="00A85408" w:rsidP="00A85408">
      <w:pPr>
        <w:pStyle w:val="FSCDraftingitem"/>
      </w:pPr>
      <w:r>
        <w:tab/>
      </w:r>
      <w:r w:rsidR="00054E77" w:rsidRPr="004E31BA">
        <w:t>Omit ‘</w:t>
      </w:r>
      <w:r w:rsidR="00054E77" w:rsidRPr="004E31BA">
        <w:rPr>
          <w:i/>
        </w:rPr>
        <w:t>2014</w:t>
      </w:r>
      <w:r w:rsidR="00054E77" w:rsidRPr="004E31BA">
        <w:t>’, substitute ‘</w:t>
      </w:r>
      <w:r w:rsidR="00054E77" w:rsidRPr="004E31BA">
        <w:rPr>
          <w:i/>
        </w:rPr>
        <w:t>2014</w:t>
      </w:r>
      <w:r>
        <w:t>.’</w:t>
      </w:r>
    </w:p>
    <w:p w14:paraId="6E9FAA9C" w14:textId="77777777" w:rsidR="00054E77" w:rsidRPr="004E31BA" w:rsidRDefault="00054E77" w:rsidP="00054E77">
      <w:pPr>
        <w:pStyle w:val="FSCDraftingitemheading"/>
      </w:pPr>
      <w:bookmarkStart w:id="117" w:name="_Toc419117469"/>
      <w:r w:rsidRPr="007F0C72">
        <w:t>Standard 1.5.2 – Food produced using gene technology</w:t>
      </w:r>
      <w:bookmarkEnd w:id="117"/>
    </w:p>
    <w:p w14:paraId="6E9FAA9D" w14:textId="77777777" w:rsidR="00054E77" w:rsidRPr="002B7371" w:rsidRDefault="00054E77" w:rsidP="00054E77">
      <w:pPr>
        <w:pStyle w:val="FSCh2Amendmentheading"/>
        <w:spacing w:before="240"/>
        <w:ind w:left="0" w:firstLine="0"/>
        <w:rPr>
          <w:sz w:val="20"/>
          <w:szCs w:val="20"/>
        </w:rPr>
      </w:pPr>
      <w:r w:rsidRPr="00640EF2">
        <w:rPr>
          <w:i w:val="0"/>
          <w:sz w:val="20"/>
          <w:szCs w:val="20"/>
        </w:rPr>
        <w:t>[7]</w:t>
      </w:r>
      <w:r w:rsidRPr="002B7371">
        <w:rPr>
          <w:sz w:val="20"/>
          <w:szCs w:val="20"/>
        </w:rPr>
        <w:tab/>
      </w:r>
      <w:r w:rsidR="00651430">
        <w:rPr>
          <w:i w:val="0"/>
          <w:sz w:val="20"/>
          <w:szCs w:val="20"/>
        </w:rPr>
        <w:t xml:space="preserve">Standard Heading </w:t>
      </w:r>
      <w:r w:rsidRPr="00640EF2">
        <w:rPr>
          <w:i w:val="0"/>
          <w:sz w:val="20"/>
          <w:szCs w:val="20"/>
        </w:rPr>
        <w:t>(Note 3)</w:t>
      </w:r>
    </w:p>
    <w:p w14:paraId="6E9FAA9E" w14:textId="41AC17AB" w:rsidR="008A01CF" w:rsidRDefault="00A85408" w:rsidP="00A85408">
      <w:pPr>
        <w:pStyle w:val="FSCDraftingitem"/>
      </w:pPr>
      <w:r>
        <w:tab/>
      </w:r>
      <w:r w:rsidR="00651430">
        <w:t xml:space="preserve">Omit </w:t>
      </w:r>
      <w:r w:rsidR="00651430" w:rsidRPr="002B7371">
        <w:t>‘1.1.1—10(3</w:t>
      </w:r>
      <w:proofErr w:type="gramStart"/>
      <w:r w:rsidR="00651430" w:rsidRPr="002B7371">
        <w:t>)(</w:t>
      </w:r>
      <w:proofErr w:type="gramEnd"/>
      <w:r w:rsidR="00651430" w:rsidRPr="002B7371">
        <w:t>c) and (4)(g)’</w:t>
      </w:r>
      <w:r w:rsidR="00054E77" w:rsidRPr="002B7371">
        <w:t xml:space="preserve">, substitute </w:t>
      </w:r>
      <w:r w:rsidR="00651430" w:rsidRPr="002B7371">
        <w:t>‘1.1.1—10(5)(c) and (6)(g)’</w:t>
      </w:r>
      <w:r w:rsidR="008A01CF">
        <w:br w:type="page"/>
      </w:r>
    </w:p>
    <w:p w14:paraId="6E9FAA9F" w14:textId="77777777" w:rsidR="00054E77" w:rsidRPr="004E31BA" w:rsidRDefault="00054E77" w:rsidP="00054E77">
      <w:pPr>
        <w:pStyle w:val="FSCDraftingitemheading"/>
      </w:pPr>
      <w:bookmarkStart w:id="118" w:name="_Toc419117472"/>
      <w:r w:rsidRPr="004E31BA">
        <w:lastRenderedPageBreak/>
        <w:t xml:space="preserve">Standard 2.4.2 – </w:t>
      </w:r>
      <w:bookmarkEnd w:id="118"/>
      <w:r w:rsidRPr="004E31BA">
        <w:t>Edible oil spreads</w:t>
      </w:r>
    </w:p>
    <w:p w14:paraId="6E9FAAA0" w14:textId="77777777" w:rsidR="00054E77" w:rsidRPr="004E31BA" w:rsidRDefault="00054E77" w:rsidP="00054E77">
      <w:pPr>
        <w:pStyle w:val="FSCDraftingitemheading"/>
      </w:pPr>
      <w:r w:rsidRPr="004E31BA">
        <w:t>[</w:t>
      </w:r>
      <w:r>
        <w:t>8</w:t>
      </w:r>
      <w:r w:rsidRPr="004E31BA">
        <w:t>]</w:t>
      </w:r>
      <w:r w:rsidRPr="004E31BA">
        <w:tab/>
        <w:t>Section 2.4.2—2 (Note)</w:t>
      </w:r>
    </w:p>
    <w:p w14:paraId="6E9FAAA1" w14:textId="07B6813C" w:rsidR="00054E77" w:rsidRDefault="00A85408" w:rsidP="00A85408">
      <w:pPr>
        <w:pStyle w:val="FSCDraftingitem"/>
      </w:pPr>
      <w:r>
        <w:tab/>
      </w:r>
      <w:r w:rsidR="00054E77" w:rsidRPr="004E31BA">
        <w:t>Omit ‘</w:t>
      </w:r>
      <w:r w:rsidR="00054E77" w:rsidRPr="00B245AA">
        <w:rPr>
          <w:b/>
          <w:i/>
        </w:rPr>
        <w:t>edible oil</w:t>
      </w:r>
      <w:r w:rsidR="00054E77" w:rsidRPr="004E31BA">
        <w:rPr>
          <w:b/>
        </w:rPr>
        <w:t xml:space="preserve"> </w:t>
      </w:r>
      <w:r w:rsidR="00054E77" w:rsidRPr="002C38C0">
        <w:t>spread</w:t>
      </w:r>
      <w:r w:rsidR="00054E77" w:rsidRPr="004E31BA">
        <w:t>’, substitute ‘</w:t>
      </w:r>
      <w:r w:rsidR="00054E77" w:rsidRPr="004E31BA">
        <w:rPr>
          <w:b/>
          <w:i/>
        </w:rPr>
        <w:t xml:space="preserve">edible oil </w:t>
      </w:r>
      <w:r w:rsidR="00054E77" w:rsidRPr="00D2065A">
        <w:rPr>
          <w:b/>
          <w:i/>
        </w:rPr>
        <w:t>spread</w:t>
      </w:r>
      <w:r w:rsidR="00054E77" w:rsidRPr="00014F3B">
        <w:t>’</w:t>
      </w:r>
    </w:p>
    <w:p w14:paraId="6E9FAAA2" w14:textId="77777777" w:rsidR="00054E77" w:rsidRPr="004E31BA" w:rsidRDefault="00054E77" w:rsidP="00054E77">
      <w:pPr>
        <w:pStyle w:val="FSCDraftingitemheading"/>
      </w:pPr>
      <w:bookmarkStart w:id="119" w:name="_Toc419117473"/>
      <w:r w:rsidRPr="004E31BA">
        <w:t>Standard 2.7.1—</w:t>
      </w:r>
      <w:proofErr w:type="gramStart"/>
      <w:r w:rsidRPr="004E31BA">
        <w:t>Labelling</w:t>
      </w:r>
      <w:proofErr w:type="gramEnd"/>
      <w:r w:rsidRPr="004E31BA">
        <w:t xml:space="preserve"> of alcoholic beverages and food containing alcohol</w:t>
      </w:r>
      <w:bookmarkEnd w:id="119"/>
    </w:p>
    <w:p w14:paraId="6E9FAAA3" w14:textId="77777777" w:rsidR="00054E77" w:rsidRPr="004E31BA" w:rsidRDefault="00054E77" w:rsidP="00054E77">
      <w:pPr>
        <w:pStyle w:val="FSCDraftingitemheading"/>
      </w:pPr>
      <w:r w:rsidRPr="004E31BA">
        <w:t>[</w:t>
      </w:r>
      <w:r>
        <w:t>9</w:t>
      </w:r>
      <w:r w:rsidRPr="004E31BA">
        <w:t>]</w:t>
      </w:r>
      <w:r w:rsidRPr="004E31BA">
        <w:tab/>
        <w:t>Section 2.7.1—1</w:t>
      </w:r>
    </w:p>
    <w:p w14:paraId="6E9FAAA4" w14:textId="2A6DEE6C" w:rsidR="00054E77" w:rsidRPr="004E31BA" w:rsidRDefault="00A85408" w:rsidP="00A85408">
      <w:pPr>
        <w:pStyle w:val="FSCDraftingitem"/>
      </w:pPr>
      <w:r>
        <w:tab/>
      </w:r>
      <w:r w:rsidR="00054E77" w:rsidRPr="004E31BA">
        <w:t xml:space="preserve">Omit ‘Alcoholic beverages’, substitute </w:t>
      </w:r>
      <w:r w:rsidR="00054E77" w:rsidRPr="004E31BA">
        <w:rPr>
          <w:rFonts w:eastAsiaTheme="minorHAnsi"/>
        </w:rPr>
        <w:t>‘</w:t>
      </w:r>
      <w:r w:rsidR="00054E77" w:rsidRPr="004E31BA">
        <w:t>Labelling of alcoholic beverag</w:t>
      </w:r>
      <w:r>
        <w:t>es and food containing alcohol’</w:t>
      </w:r>
    </w:p>
    <w:p w14:paraId="6E9FAAA5" w14:textId="77777777" w:rsidR="00054E77" w:rsidRPr="004E31BA" w:rsidRDefault="00054E77" w:rsidP="00054E77">
      <w:pPr>
        <w:pStyle w:val="FSCDraftingitemheading"/>
      </w:pPr>
      <w:bookmarkStart w:id="120" w:name="_Toc419117474"/>
      <w:r w:rsidRPr="004E31BA">
        <w:t>Standard 2.7.4—Wine and wine product</w:t>
      </w:r>
      <w:bookmarkEnd w:id="120"/>
    </w:p>
    <w:p w14:paraId="6E9FAAA6" w14:textId="5F5C1160" w:rsidR="00054E77" w:rsidRPr="004E31BA" w:rsidRDefault="00054E77" w:rsidP="00054E77">
      <w:pPr>
        <w:pStyle w:val="FSCDraftingitemheading"/>
      </w:pPr>
      <w:r w:rsidRPr="004E31BA">
        <w:t>[</w:t>
      </w:r>
      <w:r>
        <w:t>10</w:t>
      </w:r>
      <w:r w:rsidRPr="004E31BA">
        <w:t>]</w:t>
      </w:r>
      <w:r w:rsidRPr="004E31BA">
        <w:tab/>
      </w:r>
      <w:r w:rsidR="00110CA5">
        <w:t>Standard Heading (</w:t>
      </w:r>
      <w:r w:rsidRPr="004E31BA">
        <w:t>Note 3</w:t>
      </w:r>
      <w:r w:rsidR="00110CA5">
        <w:t>)</w:t>
      </w:r>
    </w:p>
    <w:p w14:paraId="6E9FAAA7" w14:textId="3079ABD9" w:rsidR="00054E77" w:rsidRPr="004E31BA" w:rsidRDefault="00A85408" w:rsidP="00A85408">
      <w:pPr>
        <w:pStyle w:val="FSCDraftingitem"/>
      </w:pPr>
      <w:r>
        <w:tab/>
      </w:r>
      <w:r w:rsidR="00054E77" w:rsidRPr="004E31BA">
        <w:t xml:space="preserve">Omit ‘the Wine Australia Corporation Act 1980 (Cth)’, substitute </w:t>
      </w:r>
      <w:r w:rsidR="00054E77" w:rsidRPr="004E31BA">
        <w:rPr>
          <w:rFonts w:eastAsiaTheme="minorHAnsi"/>
        </w:rPr>
        <w:t>‘</w:t>
      </w:r>
      <w:r w:rsidR="00054E77" w:rsidRPr="004E31BA">
        <w:t xml:space="preserve">the Australian Grape and Wine Authority Act 2013 </w:t>
      </w:r>
      <w:r>
        <w:t>(Cth)’</w:t>
      </w:r>
    </w:p>
    <w:p w14:paraId="6E9FAAA8" w14:textId="77777777" w:rsidR="00054E77" w:rsidRPr="004E31BA" w:rsidRDefault="00054E77" w:rsidP="00054E77">
      <w:pPr>
        <w:pStyle w:val="FSCDraftingitemheading"/>
      </w:pPr>
      <w:r w:rsidRPr="004E31BA">
        <w:t>Standard 2.9.4 – Formulated supplementary sports foods</w:t>
      </w:r>
    </w:p>
    <w:p w14:paraId="6E9FAAA9" w14:textId="77777777" w:rsidR="00054E77" w:rsidRPr="004E31BA" w:rsidRDefault="00054E77" w:rsidP="00054E77">
      <w:pPr>
        <w:pStyle w:val="FSCDraftingitemheading"/>
      </w:pPr>
      <w:r w:rsidRPr="004E31BA">
        <w:t>[1</w:t>
      </w:r>
      <w:r>
        <w:t>1</w:t>
      </w:r>
      <w:r w:rsidRPr="004E31BA">
        <w:t>]</w:t>
      </w:r>
      <w:r w:rsidRPr="004E31BA">
        <w:tab/>
        <w:t>Paragraph 2.9.4—6(2</w:t>
      </w:r>
      <w:proofErr w:type="gramStart"/>
      <w:r w:rsidRPr="004E31BA">
        <w:t>)(</w:t>
      </w:r>
      <w:proofErr w:type="gramEnd"/>
      <w:r w:rsidRPr="004E31BA">
        <w:t>a)</w:t>
      </w:r>
    </w:p>
    <w:p w14:paraId="6E9FAAAA" w14:textId="4ECD23FC" w:rsidR="00054E77" w:rsidRPr="004E31BA" w:rsidRDefault="00A85408" w:rsidP="00A85408">
      <w:pPr>
        <w:pStyle w:val="FSCDraftingitem"/>
        <w:rPr>
          <w:b/>
        </w:rPr>
      </w:pPr>
      <w:r>
        <w:tab/>
      </w:r>
      <w:r w:rsidR="00054E77" w:rsidRPr="004E31BA">
        <w:t>Omit ‘of reconstitution’, substitute ‘or reconstitution’</w:t>
      </w:r>
    </w:p>
    <w:p w14:paraId="6E9FAAAB" w14:textId="77777777" w:rsidR="00054E77" w:rsidRPr="004E31BA" w:rsidRDefault="00054E77" w:rsidP="00054E77">
      <w:pPr>
        <w:pStyle w:val="FSCDraftingitemheading"/>
      </w:pPr>
      <w:bookmarkStart w:id="121" w:name="_Toc419117478"/>
      <w:r w:rsidRPr="004E31BA">
        <w:t>Standard 2.9.5 – Food for special medical purposes</w:t>
      </w:r>
      <w:bookmarkEnd w:id="121"/>
    </w:p>
    <w:p w14:paraId="6E9FAAAC" w14:textId="77777777" w:rsidR="00054E77" w:rsidRPr="004E31BA" w:rsidRDefault="00054E77" w:rsidP="00054E77">
      <w:pPr>
        <w:pStyle w:val="FSCDraftingitemheading"/>
      </w:pPr>
      <w:r w:rsidRPr="004E31BA">
        <w:t>[1</w:t>
      </w:r>
      <w:r>
        <w:t>2</w:t>
      </w:r>
      <w:r w:rsidRPr="004E31BA">
        <w:t>]</w:t>
      </w:r>
      <w:r w:rsidRPr="004E31BA">
        <w:tab/>
        <w:t>Paragraph 2.9.5—3(b)</w:t>
      </w:r>
    </w:p>
    <w:p w14:paraId="6E9FAAAD" w14:textId="79A24A1A" w:rsidR="00054E77" w:rsidRPr="004E31BA" w:rsidRDefault="00A85408" w:rsidP="00A85408">
      <w:pPr>
        <w:pStyle w:val="FSCDraftingitem"/>
      </w:pPr>
      <w:r>
        <w:tab/>
      </w:r>
      <w:r w:rsidR="00054E77" w:rsidRPr="004E31BA">
        <w:t xml:space="preserve">Omit </w:t>
      </w:r>
      <w:r>
        <w:t>‘Part 2’, substitute ‘Part 1.2’</w:t>
      </w:r>
    </w:p>
    <w:p w14:paraId="6E9FAAAE" w14:textId="77777777" w:rsidR="00054E77" w:rsidRPr="004E31BA" w:rsidRDefault="00054E77" w:rsidP="00054E77">
      <w:pPr>
        <w:pStyle w:val="FSCDraftingitemheading"/>
        <w:ind w:left="0" w:firstLine="0"/>
      </w:pPr>
      <w:r w:rsidRPr="004E31BA">
        <w:t>Standard 2.9.6 – Transitional standard for special purpose foods (including amino acid modified foods)</w:t>
      </w:r>
    </w:p>
    <w:p w14:paraId="6E9FAAAF" w14:textId="77777777" w:rsidR="00054E77" w:rsidRPr="004E31BA" w:rsidRDefault="00054E77" w:rsidP="00054E77">
      <w:pPr>
        <w:pStyle w:val="FSCDraftingitemheading"/>
      </w:pPr>
      <w:r w:rsidRPr="004E31BA">
        <w:t>[1</w:t>
      </w:r>
      <w:r>
        <w:t>3</w:t>
      </w:r>
      <w:r w:rsidRPr="004E31BA">
        <w:t>]</w:t>
      </w:r>
      <w:r w:rsidRPr="004E31BA">
        <w:tab/>
        <w:t>Section 2.9.6—3 (Note)</w:t>
      </w:r>
    </w:p>
    <w:p w14:paraId="6E9FAAB0" w14:textId="65BCB831" w:rsidR="00054E77" w:rsidRPr="004E31BA" w:rsidRDefault="00A85408" w:rsidP="00A85408">
      <w:pPr>
        <w:pStyle w:val="FSCDraftingitem"/>
      </w:pPr>
      <w:r>
        <w:tab/>
      </w:r>
      <w:r w:rsidR="00054E77" w:rsidRPr="004E31BA">
        <w:t>Omit ‘publ</w:t>
      </w:r>
      <w:r>
        <w:t>ished’, substitute ‘published.’</w:t>
      </w:r>
    </w:p>
    <w:p w14:paraId="6E9FAAB1" w14:textId="77777777" w:rsidR="00054E77" w:rsidRPr="004E31BA" w:rsidRDefault="00054E77" w:rsidP="00054E77">
      <w:pPr>
        <w:pStyle w:val="FSCDraftingitemheading"/>
      </w:pPr>
      <w:r w:rsidRPr="004E31BA">
        <w:t>Standard 2.10.2 – Salt and salt products</w:t>
      </w:r>
    </w:p>
    <w:p w14:paraId="6E9FAAB2" w14:textId="77777777" w:rsidR="00054E77" w:rsidRPr="004E31BA" w:rsidRDefault="00054E77" w:rsidP="00054E77">
      <w:pPr>
        <w:pStyle w:val="FSCDraftingitemheading"/>
      </w:pPr>
      <w:r w:rsidRPr="004E31BA">
        <w:t>[1</w:t>
      </w:r>
      <w:r>
        <w:t>4</w:t>
      </w:r>
      <w:r w:rsidRPr="004E31BA">
        <w:t>]</w:t>
      </w:r>
      <w:r w:rsidRPr="004E31BA">
        <w:tab/>
        <w:t>Section 2.10.2—3</w:t>
      </w:r>
    </w:p>
    <w:p w14:paraId="6E9FAAB3" w14:textId="13F31508" w:rsidR="00054E77" w:rsidRPr="004E31BA" w:rsidRDefault="00A85408" w:rsidP="00A85408">
      <w:pPr>
        <w:pStyle w:val="FSCDraftingitem"/>
      </w:pPr>
      <w:r>
        <w:tab/>
      </w:r>
      <w:r w:rsidR="00054E77" w:rsidRPr="001F285C">
        <w:t>Omit all text after the words ‘A food’, substitute</w:t>
      </w:r>
      <w:r w:rsidR="00054E77" w:rsidRPr="004E31BA">
        <w:t xml:space="preserve"> ‘</w:t>
      </w:r>
      <w:r w:rsidR="00054E77" w:rsidRPr="00640EF2">
        <w:t>that is sold as ‘salt’ must be salt and contain no less than 970 g/kg sodium chloride on a dry basis, exclusive of permitted additives.</w:t>
      </w:r>
      <w:r w:rsidR="00054E77" w:rsidRPr="004E31BA">
        <w:t>’</w:t>
      </w:r>
    </w:p>
    <w:p w14:paraId="6E9FAAB4" w14:textId="77777777" w:rsidR="00054E77" w:rsidRPr="004E31BA" w:rsidRDefault="00054E77" w:rsidP="00054E77">
      <w:pPr>
        <w:pStyle w:val="FSCDraftingitemheading"/>
      </w:pPr>
      <w:r w:rsidRPr="004E31BA">
        <w:t>Schedule 1 – RDIs and ESADDIs</w:t>
      </w:r>
    </w:p>
    <w:p w14:paraId="6E9FAAB5" w14:textId="7FE2CE4C" w:rsidR="00651430" w:rsidRDefault="00651430" w:rsidP="00054E77">
      <w:pPr>
        <w:pStyle w:val="FSCDraftingitemheading"/>
      </w:pPr>
      <w:r w:rsidRPr="00467BE1">
        <w:t>[15]</w:t>
      </w:r>
      <w:r>
        <w:tab/>
      </w:r>
      <w:r w:rsidR="00D2065A" w:rsidRPr="004E31BA">
        <w:t>Section S1—2</w:t>
      </w:r>
      <w:r w:rsidR="00D2065A">
        <w:t xml:space="preserve"> </w:t>
      </w:r>
      <w:r w:rsidR="00D2065A" w:rsidRPr="004E31BA">
        <w:t>(table)</w:t>
      </w:r>
    </w:p>
    <w:p w14:paraId="6E9FAAB6" w14:textId="628C45AE" w:rsidR="00651430" w:rsidRPr="004E31BA" w:rsidRDefault="008A01CF" w:rsidP="00A85408">
      <w:pPr>
        <w:pStyle w:val="FSCDraftingitem"/>
        <w:ind w:firstLine="851"/>
      </w:pPr>
      <w:r>
        <w:t>Omit</w:t>
      </w:r>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D2065A" w:rsidRPr="00AD57DA" w14:paraId="6E9FAABC" w14:textId="77777777" w:rsidTr="00D2065A">
        <w:tc>
          <w:tcPr>
            <w:tcW w:w="1814" w:type="dxa"/>
          </w:tcPr>
          <w:p w14:paraId="6E9FAAB7" w14:textId="77777777" w:rsidR="00D2065A" w:rsidRPr="00AD57DA" w:rsidRDefault="00D2065A" w:rsidP="00383A3C">
            <w:pPr>
              <w:pStyle w:val="FSCtblMain"/>
            </w:pPr>
            <w:r w:rsidRPr="001D1563">
              <w:t>Vitamin E</w:t>
            </w:r>
          </w:p>
        </w:tc>
        <w:tc>
          <w:tcPr>
            <w:tcW w:w="1304" w:type="dxa"/>
          </w:tcPr>
          <w:p w14:paraId="6E9FAAB8" w14:textId="77777777" w:rsidR="00D2065A" w:rsidRPr="00AD57DA" w:rsidRDefault="00D2065A" w:rsidP="00383A3C">
            <w:pPr>
              <w:pStyle w:val="FSCtblMain"/>
            </w:pPr>
            <w:r>
              <w:t>RDI</w:t>
            </w:r>
          </w:p>
        </w:tc>
        <w:tc>
          <w:tcPr>
            <w:tcW w:w="1985" w:type="dxa"/>
          </w:tcPr>
          <w:p w14:paraId="6E9FAAB9" w14:textId="77777777" w:rsidR="00D2065A" w:rsidRPr="00AD57DA" w:rsidRDefault="00D2065A" w:rsidP="00383A3C">
            <w:pPr>
              <w:pStyle w:val="FSCtblMain"/>
            </w:pPr>
            <w:r w:rsidRPr="001D1563">
              <w:t>10 mg alpha- tocopherol</w:t>
            </w:r>
            <w:r>
              <w:t xml:space="preserve"> </w:t>
            </w:r>
            <w:r w:rsidRPr="001D1563">
              <w:t>equivalents</w:t>
            </w:r>
            <w:r w:rsidRPr="001D1563">
              <w:rPr>
                <w:vertAlign w:val="superscript"/>
              </w:rPr>
              <w:t>4</w:t>
            </w:r>
          </w:p>
        </w:tc>
        <w:tc>
          <w:tcPr>
            <w:tcW w:w="1984" w:type="dxa"/>
          </w:tcPr>
          <w:p w14:paraId="6E9FAABA" w14:textId="77777777" w:rsidR="00D2065A" w:rsidRPr="00AD57DA" w:rsidRDefault="00D2065A" w:rsidP="00383A3C">
            <w:pPr>
              <w:pStyle w:val="FSCtblMain"/>
            </w:pPr>
            <w:r w:rsidRPr="001D1563">
              <w:t>5 mg alpha- tocopherol</w:t>
            </w:r>
            <w:r>
              <w:t xml:space="preserve"> </w:t>
            </w:r>
            <w:r w:rsidRPr="001D1563">
              <w:t>equivalents</w:t>
            </w:r>
            <w:r w:rsidRPr="001D1563">
              <w:rPr>
                <w:vertAlign w:val="superscript"/>
              </w:rPr>
              <w:t>4</w:t>
            </w:r>
          </w:p>
        </w:tc>
        <w:tc>
          <w:tcPr>
            <w:tcW w:w="1984" w:type="dxa"/>
          </w:tcPr>
          <w:p w14:paraId="6E9FAABB" w14:textId="77777777" w:rsidR="00D2065A" w:rsidRPr="00AD57DA" w:rsidRDefault="00D2065A" w:rsidP="00383A3C">
            <w:pPr>
              <w:pStyle w:val="FSCtblMain"/>
            </w:pPr>
            <w:r w:rsidRPr="001D1563">
              <w:t>4 mg alpha- tocopherol</w:t>
            </w:r>
            <w:r>
              <w:t xml:space="preserve"> </w:t>
            </w:r>
            <w:r w:rsidRPr="001D1563">
              <w:t>equivalents</w:t>
            </w:r>
            <w:r w:rsidRPr="001D1563">
              <w:rPr>
                <w:vertAlign w:val="superscript"/>
              </w:rPr>
              <w:t>4</w:t>
            </w:r>
          </w:p>
        </w:tc>
      </w:tr>
    </w:tbl>
    <w:p w14:paraId="6E9FAABD" w14:textId="30F02AB3" w:rsidR="00D2065A" w:rsidRPr="004E31BA" w:rsidRDefault="00A85408" w:rsidP="00A85408">
      <w:pPr>
        <w:pStyle w:val="FSCDraftingitem"/>
      </w:pPr>
      <w:r>
        <w:tab/>
      </w:r>
      <w:proofErr w:type="gramStart"/>
      <w:r w:rsidR="00D2065A" w:rsidRPr="001F285C">
        <w:t>s</w:t>
      </w:r>
      <w:r w:rsidR="008A01CF">
        <w:t>ubstitute</w:t>
      </w:r>
      <w:proofErr w:type="gramEnd"/>
    </w:p>
    <w:tbl>
      <w:tblPr>
        <w:tblStyle w:val="TableGrid"/>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1304"/>
        <w:gridCol w:w="1985"/>
        <w:gridCol w:w="1984"/>
        <w:gridCol w:w="1984"/>
      </w:tblGrid>
      <w:tr w:rsidR="00D2065A" w:rsidRPr="00AD57DA" w14:paraId="6E9FAAC3" w14:textId="77777777" w:rsidTr="00D2065A">
        <w:tc>
          <w:tcPr>
            <w:tcW w:w="1814" w:type="dxa"/>
          </w:tcPr>
          <w:p w14:paraId="6E9FAABE" w14:textId="77777777" w:rsidR="00D2065A" w:rsidRPr="00AD57DA" w:rsidRDefault="00D2065A" w:rsidP="00383A3C">
            <w:pPr>
              <w:pStyle w:val="FSCtblMain"/>
            </w:pPr>
            <w:r w:rsidRPr="001D1563">
              <w:t>Vitamin E</w:t>
            </w:r>
          </w:p>
        </w:tc>
        <w:tc>
          <w:tcPr>
            <w:tcW w:w="1304" w:type="dxa"/>
          </w:tcPr>
          <w:p w14:paraId="6E9FAABF" w14:textId="77777777" w:rsidR="00D2065A" w:rsidRPr="00AD57DA" w:rsidRDefault="00D2065A" w:rsidP="00383A3C">
            <w:pPr>
              <w:pStyle w:val="FSCtblMain"/>
            </w:pPr>
            <w:r>
              <w:t>RDI</w:t>
            </w:r>
          </w:p>
        </w:tc>
        <w:tc>
          <w:tcPr>
            <w:tcW w:w="1985" w:type="dxa"/>
          </w:tcPr>
          <w:p w14:paraId="6E9FAAC0" w14:textId="77777777" w:rsidR="00D2065A" w:rsidRPr="00AD57DA" w:rsidRDefault="00D2065A" w:rsidP="00383A3C">
            <w:pPr>
              <w:pStyle w:val="FSCtblMain"/>
            </w:pPr>
            <w:r w:rsidRPr="001D1563">
              <w:t>10 mg alpha- tocopherol</w:t>
            </w:r>
            <w:r>
              <w:t xml:space="preserve"> </w:t>
            </w:r>
            <w:r w:rsidRPr="001D1563">
              <w:t>equivalents</w:t>
            </w:r>
            <w:r>
              <w:rPr>
                <w:vertAlign w:val="superscript"/>
              </w:rPr>
              <w:t>3</w:t>
            </w:r>
          </w:p>
        </w:tc>
        <w:tc>
          <w:tcPr>
            <w:tcW w:w="1984" w:type="dxa"/>
          </w:tcPr>
          <w:p w14:paraId="6E9FAAC1" w14:textId="77777777" w:rsidR="00D2065A" w:rsidRPr="00AD57DA" w:rsidRDefault="00D2065A" w:rsidP="00383A3C">
            <w:pPr>
              <w:pStyle w:val="FSCtblMain"/>
            </w:pPr>
            <w:r w:rsidRPr="001D1563">
              <w:t>5 mg alpha- tocopherol</w:t>
            </w:r>
            <w:r>
              <w:t xml:space="preserve"> </w:t>
            </w:r>
            <w:r w:rsidRPr="001D1563">
              <w:t>equivalents</w:t>
            </w:r>
            <w:r>
              <w:rPr>
                <w:vertAlign w:val="superscript"/>
              </w:rPr>
              <w:t>3</w:t>
            </w:r>
          </w:p>
        </w:tc>
        <w:tc>
          <w:tcPr>
            <w:tcW w:w="1984" w:type="dxa"/>
          </w:tcPr>
          <w:p w14:paraId="6E9FAAC2" w14:textId="77777777" w:rsidR="00D2065A" w:rsidRPr="00AD57DA" w:rsidRDefault="00D2065A" w:rsidP="00383A3C">
            <w:pPr>
              <w:pStyle w:val="FSCtblMain"/>
            </w:pPr>
            <w:r w:rsidRPr="001D1563">
              <w:t>4 mg alpha- tocopherol</w:t>
            </w:r>
            <w:r>
              <w:t xml:space="preserve"> </w:t>
            </w:r>
            <w:r w:rsidRPr="001D1563">
              <w:t>equivalents</w:t>
            </w:r>
            <w:r>
              <w:rPr>
                <w:vertAlign w:val="superscript"/>
              </w:rPr>
              <w:t>3</w:t>
            </w:r>
          </w:p>
        </w:tc>
      </w:tr>
    </w:tbl>
    <w:p w14:paraId="6E9FAAC5" w14:textId="55BA4BCA" w:rsidR="00054E77" w:rsidRPr="004E31BA" w:rsidRDefault="00054E77" w:rsidP="00054E77">
      <w:pPr>
        <w:pStyle w:val="FSCDraftingitemheading"/>
      </w:pPr>
      <w:r w:rsidRPr="004E31BA">
        <w:t>[1</w:t>
      </w:r>
      <w:r>
        <w:t>5</w:t>
      </w:r>
      <w:r w:rsidR="003F0B3A">
        <w:t>A</w:t>
      </w:r>
      <w:r w:rsidRPr="004E31BA">
        <w:t>]</w:t>
      </w:r>
      <w:r w:rsidRPr="004E31BA">
        <w:tab/>
        <w:t>Section S1—2 (Notes)</w:t>
      </w:r>
    </w:p>
    <w:p w14:paraId="6E9FAAC6" w14:textId="7F98E8BD" w:rsidR="00054E77" w:rsidRPr="004E31BA" w:rsidRDefault="00A85408" w:rsidP="00A85408">
      <w:pPr>
        <w:pStyle w:val="FSCDraftingitem"/>
      </w:pPr>
      <w:r>
        <w:tab/>
      </w:r>
      <w:r w:rsidR="008A01CF">
        <w:t>Omit</w:t>
      </w:r>
    </w:p>
    <w:p w14:paraId="6E9FAAC7" w14:textId="77777777" w:rsidR="00054E77" w:rsidRPr="004E31BA" w:rsidRDefault="00054E77" w:rsidP="00054E77">
      <w:pPr>
        <w:pStyle w:val="FSCnatHeading"/>
        <w:ind w:left="1985"/>
      </w:pPr>
      <w:r w:rsidRPr="004E31BA">
        <w:rPr>
          <w:b/>
          <w:i/>
        </w:rPr>
        <w:t>Note 1</w:t>
      </w:r>
      <w:r w:rsidRPr="004E31BA">
        <w:tab/>
        <w:t>See paragraph 1.1.2—14(a).</w:t>
      </w:r>
    </w:p>
    <w:p w14:paraId="6E9FAAC8" w14:textId="77777777" w:rsidR="00054E77" w:rsidRPr="004E31BA" w:rsidRDefault="00054E77" w:rsidP="00054E77">
      <w:pPr>
        <w:pStyle w:val="FSCnatHeading"/>
        <w:ind w:left="1985"/>
      </w:pPr>
      <w:r w:rsidRPr="004E31BA">
        <w:rPr>
          <w:b/>
          <w:i/>
        </w:rPr>
        <w:t>Note 2</w:t>
      </w:r>
      <w:r w:rsidRPr="004E31BA">
        <w:tab/>
        <w:t>See paragraph 1.1.2—14(b).</w:t>
      </w:r>
    </w:p>
    <w:p w14:paraId="6E9FAAC9" w14:textId="77777777" w:rsidR="00054E77" w:rsidRPr="004E31BA" w:rsidRDefault="00054E77" w:rsidP="00054E77">
      <w:pPr>
        <w:pStyle w:val="FSCnatHeading"/>
        <w:ind w:left="1985"/>
      </w:pPr>
      <w:r w:rsidRPr="004E31BA">
        <w:rPr>
          <w:b/>
          <w:i/>
        </w:rPr>
        <w:t>Note 3</w:t>
      </w:r>
      <w:r w:rsidRPr="004E31BA">
        <w:tab/>
        <w:t>See paragraph 1.1.2—14(c).</w:t>
      </w:r>
    </w:p>
    <w:p w14:paraId="6E9FAACA" w14:textId="77777777" w:rsidR="00054E77" w:rsidRPr="004E31BA" w:rsidRDefault="00054E77" w:rsidP="00054E77">
      <w:pPr>
        <w:pStyle w:val="FSCnatHeading"/>
        <w:ind w:left="1985"/>
      </w:pPr>
      <w:r w:rsidRPr="004E31BA">
        <w:rPr>
          <w:b/>
          <w:i/>
        </w:rPr>
        <w:t>Note 4</w:t>
      </w:r>
      <w:r w:rsidRPr="004E31BA">
        <w:tab/>
        <w:t>See paragraph 1.1.2—14(d).</w:t>
      </w:r>
      <w:r w:rsidRPr="004E31BA">
        <w:rPr>
          <w:sz w:val="20"/>
          <w:szCs w:val="20"/>
        </w:rPr>
        <w:t xml:space="preserve"> </w:t>
      </w:r>
    </w:p>
    <w:p w14:paraId="6E9FAACB" w14:textId="02AE31F4" w:rsidR="00054E77" w:rsidRPr="004E31BA" w:rsidRDefault="00A85408" w:rsidP="00A85408">
      <w:pPr>
        <w:pStyle w:val="FSCDraftingitem"/>
      </w:pPr>
      <w:r>
        <w:tab/>
      </w:r>
      <w:proofErr w:type="gramStart"/>
      <w:r w:rsidR="00054E77" w:rsidRPr="001F285C">
        <w:t>s</w:t>
      </w:r>
      <w:r w:rsidR="008A01CF">
        <w:t>ubstitute</w:t>
      </w:r>
      <w:proofErr w:type="gramEnd"/>
    </w:p>
    <w:p w14:paraId="6E9FAACC" w14:textId="3C92813E" w:rsidR="00A85408" w:rsidRDefault="00054E77" w:rsidP="00054E77">
      <w:pPr>
        <w:pStyle w:val="FSCnatHeading"/>
        <w:ind w:left="1985"/>
      </w:pPr>
      <w:r w:rsidRPr="004E31BA">
        <w:rPr>
          <w:b/>
          <w:i/>
        </w:rPr>
        <w:t>Note 1</w:t>
      </w:r>
      <w:r w:rsidRPr="004E31BA">
        <w:tab/>
        <w:t>See paragraph 1.1.2—14(3</w:t>
      </w:r>
      <w:proofErr w:type="gramStart"/>
      <w:r w:rsidRPr="004E31BA">
        <w:t>)(</w:t>
      </w:r>
      <w:proofErr w:type="gramEnd"/>
      <w:r w:rsidRPr="004E31BA">
        <w:t>a).</w:t>
      </w:r>
      <w:r w:rsidR="00A85408">
        <w:br w:type="page"/>
      </w:r>
    </w:p>
    <w:p w14:paraId="6E9FAACD" w14:textId="77777777" w:rsidR="00054E77" w:rsidRPr="004E31BA" w:rsidRDefault="00054E77" w:rsidP="00054E77">
      <w:pPr>
        <w:pStyle w:val="FSCnatHeading"/>
        <w:ind w:left="1985"/>
      </w:pPr>
      <w:r w:rsidRPr="004E31BA">
        <w:rPr>
          <w:b/>
          <w:i/>
        </w:rPr>
        <w:lastRenderedPageBreak/>
        <w:t>Note 2</w:t>
      </w:r>
      <w:r w:rsidRPr="004E31BA">
        <w:tab/>
        <w:t>See paragraph 1.1.2—14(3</w:t>
      </w:r>
      <w:proofErr w:type="gramStart"/>
      <w:r w:rsidRPr="004E31BA">
        <w:t>)(</w:t>
      </w:r>
      <w:proofErr w:type="gramEnd"/>
      <w:r w:rsidRPr="004E31BA">
        <w:t>b).</w:t>
      </w:r>
    </w:p>
    <w:p w14:paraId="6E9FAACE" w14:textId="77777777" w:rsidR="00054E77" w:rsidRPr="004E31BA" w:rsidRDefault="00054E77" w:rsidP="00054E77">
      <w:pPr>
        <w:pStyle w:val="FSCnatHeading"/>
        <w:ind w:left="1985"/>
      </w:pPr>
      <w:r w:rsidRPr="004E31BA">
        <w:rPr>
          <w:b/>
          <w:i/>
        </w:rPr>
        <w:t>Note 3</w:t>
      </w:r>
      <w:r w:rsidRPr="004E31BA">
        <w:tab/>
        <w:t>See paragraph 1.1.2—14(3</w:t>
      </w:r>
      <w:proofErr w:type="gramStart"/>
      <w:r w:rsidRPr="004E31BA">
        <w:t>)(</w:t>
      </w:r>
      <w:proofErr w:type="gramEnd"/>
      <w:r w:rsidRPr="004E31BA">
        <w:t>c).</w:t>
      </w:r>
    </w:p>
    <w:p w14:paraId="6E9FAACF" w14:textId="77777777" w:rsidR="00054E77" w:rsidRPr="004E31BA" w:rsidRDefault="00054E77" w:rsidP="00054E77">
      <w:pPr>
        <w:pStyle w:val="FSCDraftingitemheading"/>
      </w:pPr>
      <w:bookmarkStart w:id="122" w:name="_Toc419117479"/>
      <w:r w:rsidRPr="004E31BA">
        <w:t>Schedule 2 – Units of measurement</w:t>
      </w:r>
    </w:p>
    <w:p w14:paraId="6E9FAAD0" w14:textId="77777777" w:rsidR="00054E77" w:rsidRPr="004E31BA" w:rsidRDefault="00054E77" w:rsidP="00054E77">
      <w:pPr>
        <w:pStyle w:val="FSCDraftingitemheading"/>
      </w:pPr>
      <w:r w:rsidRPr="004E31BA">
        <w:t>[1</w:t>
      </w:r>
      <w:r>
        <w:t>6</w:t>
      </w:r>
      <w:r w:rsidRPr="004E31BA">
        <w:t>]</w:t>
      </w:r>
      <w:r w:rsidRPr="004E31BA">
        <w:tab/>
        <w:t>Section S2—2 (table)</w:t>
      </w:r>
    </w:p>
    <w:p w14:paraId="6E9FAAD1" w14:textId="1029BB3A" w:rsidR="00054E77" w:rsidRPr="004E31BA" w:rsidRDefault="00A85408" w:rsidP="00A85408">
      <w:pPr>
        <w:pStyle w:val="FSCDraftingitem"/>
      </w:pPr>
      <w:r>
        <w:tab/>
        <w:t>Omit ‘mJ’, substitute ‘MJ’</w:t>
      </w:r>
    </w:p>
    <w:p w14:paraId="7494DC55" w14:textId="38983D08" w:rsidR="00A84DEA" w:rsidRPr="004E31BA" w:rsidRDefault="00A84DEA" w:rsidP="00A84DEA">
      <w:pPr>
        <w:pStyle w:val="FSCDraftingitemheading"/>
      </w:pPr>
      <w:r>
        <w:t>Schedule 3</w:t>
      </w:r>
      <w:r w:rsidRPr="004E31BA">
        <w:t xml:space="preserve"> – </w:t>
      </w:r>
      <w:r>
        <w:t>Identity and Purity</w:t>
      </w:r>
    </w:p>
    <w:p w14:paraId="0DD59AD9" w14:textId="436A2124" w:rsidR="00A84DEA" w:rsidRPr="004E31BA" w:rsidRDefault="00A84DEA" w:rsidP="00A84DEA">
      <w:pPr>
        <w:pStyle w:val="FSCDraftingitemheading"/>
      </w:pPr>
      <w:r w:rsidRPr="004E31BA">
        <w:t>[1</w:t>
      </w:r>
      <w:r>
        <w:t>6A]</w:t>
      </w:r>
      <w:r>
        <w:tab/>
        <w:t>Section S3</w:t>
      </w:r>
      <w:r w:rsidRPr="004E31BA">
        <w:t>—2</w:t>
      </w:r>
      <w:r>
        <w:t xml:space="preserve">7 </w:t>
      </w:r>
    </w:p>
    <w:p w14:paraId="13EB64C8" w14:textId="2C004EC1" w:rsidR="00A84DEA" w:rsidRPr="00A84DEA" w:rsidRDefault="00A85408" w:rsidP="00A85408">
      <w:pPr>
        <w:pStyle w:val="FSCDraftingitem"/>
        <w:rPr>
          <w:b/>
        </w:rPr>
      </w:pPr>
      <w:r>
        <w:tab/>
      </w:r>
      <w:r w:rsidR="00A84DEA">
        <w:t>Omit ‘cfu/kg’, substitute ‘cfu/g</w:t>
      </w:r>
      <w:r w:rsidR="00A84DEA" w:rsidRPr="00A84DEA">
        <w:t>’</w:t>
      </w:r>
    </w:p>
    <w:p w14:paraId="6E9FAAD2" w14:textId="36092BAC" w:rsidR="00054E77" w:rsidRPr="004E31BA" w:rsidRDefault="00054E77" w:rsidP="00054E77">
      <w:pPr>
        <w:pStyle w:val="FSCDraftingitemheading"/>
      </w:pPr>
      <w:r w:rsidRPr="004E31BA">
        <w:t xml:space="preserve">Schedule 4 – </w:t>
      </w:r>
      <w:bookmarkEnd w:id="122"/>
      <w:r w:rsidRPr="004E31BA">
        <w:t>Nutrition, health and related claims</w:t>
      </w:r>
    </w:p>
    <w:p w14:paraId="6E9FAAD3" w14:textId="77777777" w:rsidR="00054E77" w:rsidRPr="004E31BA" w:rsidRDefault="00054E77" w:rsidP="00054E77">
      <w:pPr>
        <w:pStyle w:val="FSCDraftingitemheading"/>
      </w:pPr>
      <w:r w:rsidRPr="004E31BA">
        <w:t>[1</w:t>
      </w:r>
      <w:r>
        <w:t>7</w:t>
      </w:r>
      <w:r w:rsidRPr="004E31BA">
        <w:t>]</w:t>
      </w:r>
      <w:r w:rsidRPr="004E31BA">
        <w:tab/>
        <w:t xml:space="preserve">Section S4—2 (Note - definition of </w:t>
      </w:r>
      <w:r w:rsidRPr="004E31BA">
        <w:rPr>
          <w:i/>
        </w:rPr>
        <w:t>sugars</w:t>
      </w:r>
      <w:r w:rsidRPr="004E31BA">
        <w:t>)</w:t>
      </w:r>
    </w:p>
    <w:p w14:paraId="6E9FAAD4" w14:textId="7DD400CF" w:rsidR="00054E77" w:rsidRPr="004E31BA" w:rsidRDefault="00A85408" w:rsidP="00A85408">
      <w:pPr>
        <w:pStyle w:val="FSCDraftingitem"/>
      </w:pPr>
      <w:r>
        <w:tab/>
      </w:r>
      <w:r w:rsidR="00054E77" w:rsidRPr="004E31BA">
        <w:t>Omit ‘</w:t>
      </w:r>
      <w:r w:rsidR="00054E77" w:rsidRPr="00640EF2">
        <w:rPr>
          <w:sz w:val="16"/>
          <w:szCs w:val="16"/>
        </w:rPr>
        <w:t>(a)</w:t>
      </w:r>
      <w:r w:rsidR="00054E77" w:rsidRPr="004E31BA">
        <w:t>’ (second occurring)</w:t>
      </w:r>
      <w:proofErr w:type="gramStart"/>
      <w:r w:rsidR="00054E77" w:rsidRPr="004E31BA">
        <w:t>,</w:t>
      </w:r>
      <w:proofErr w:type="gramEnd"/>
      <w:r w:rsidR="00054E77" w:rsidRPr="004E31BA">
        <w:t xml:space="preserve"> substitute ‘</w:t>
      </w:r>
      <w:r w:rsidR="00054E77" w:rsidRPr="00640EF2">
        <w:rPr>
          <w:sz w:val="16"/>
          <w:szCs w:val="16"/>
        </w:rPr>
        <w:t>(b)</w:t>
      </w:r>
      <w:r>
        <w:t>’</w:t>
      </w:r>
    </w:p>
    <w:p w14:paraId="6E9FAAD5" w14:textId="77777777" w:rsidR="00054E77" w:rsidRPr="004E31BA" w:rsidRDefault="00054E77" w:rsidP="00054E77">
      <w:pPr>
        <w:pStyle w:val="FSCDraftingitemheading"/>
      </w:pPr>
      <w:r w:rsidRPr="004E31BA">
        <w:t>[</w:t>
      </w:r>
      <w:r w:rsidRPr="00640EF2">
        <w:t>1</w:t>
      </w:r>
      <w:r>
        <w:t>8</w:t>
      </w:r>
      <w:r w:rsidRPr="004E31BA">
        <w:t>]</w:t>
      </w:r>
      <w:r w:rsidRPr="004E31BA">
        <w:tab/>
        <w:t>Section S4—5 (table)</w:t>
      </w:r>
    </w:p>
    <w:p w14:paraId="6E9FAAD6" w14:textId="492FFC69" w:rsidR="00054E77" w:rsidRDefault="008A01CF" w:rsidP="008A01CF">
      <w:pPr>
        <w:pStyle w:val="FSCDraftingitem"/>
      </w:pPr>
      <w:r>
        <w:tab/>
      </w:r>
      <w:r w:rsidR="00054E77" w:rsidRPr="004E31BA">
        <w:t>(a)</w:t>
      </w:r>
      <w:r w:rsidR="00054E77" w:rsidRPr="004E31BA">
        <w:tab/>
        <w:t>Omit</w:t>
      </w:r>
    </w:p>
    <w:tbl>
      <w:tblPr>
        <w:tblW w:w="9077" w:type="dxa"/>
        <w:tblBorders>
          <w:top w:val="single" w:sz="4" w:space="0" w:color="auto"/>
          <w:bottom w:val="single" w:sz="4" w:space="0" w:color="auto"/>
        </w:tblBorders>
        <w:tblLook w:val="01E0" w:firstRow="1" w:lastRow="1" w:firstColumn="1" w:lastColumn="1" w:noHBand="0" w:noVBand="0"/>
      </w:tblPr>
      <w:tblGrid>
        <w:gridCol w:w="1543"/>
        <w:gridCol w:w="1886"/>
        <w:gridCol w:w="1547"/>
        <w:gridCol w:w="1705"/>
        <w:gridCol w:w="2396"/>
      </w:tblGrid>
      <w:tr w:rsidR="00054E77" w:rsidRPr="004E31BA" w14:paraId="6E9FAADD" w14:textId="77777777" w:rsidTr="00054E77">
        <w:trPr>
          <w:cantSplit/>
        </w:trPr>
        <w:tc>
          <w:tcPr>
            <w:tcW w:w="850" w:type="pct"/>
            <w:hideMark/>
          </w:tcPr>
          <w:p w14:paraId="6E9FAAD8" w14:textId="77777777" w:rsidR="00054E77" w:rsidRPr="004E31BA" w:rsidRDefault="00054E77" w:rsidP="00054E77">
            <w:pPr>
              <w:pStyle w:val="FSCtblAMain"/>
              <w:rPr>
                <w:lang w:val="en-GB"/>
              </w:rPr>
            </w:pPr>
            <w:r w:rsidRPr="004E31BA">
              <w:rPr>
                <w:lang w:val="en-GB"/>
              </w:rPr>
              <w:t xml:space="preserve">Iodine </w:t>
            </w:r>
          </w:p>
        </w:tc>
        <w:tc>
          <w:tcPr>
            <w:tcW w:w="1039" w:type="pct"/>
            <w:hideMark/>
          </w:tcPr>
          <w:p w14:paraId="6E9FAAD9" w14:textId="77777777" w:rsidR="00054E77" w:rsidRPr="004E31BA" w:rsidRDefault="00054E77" w:rsidP="00054E77">
            <w:pPr>
              <w:pStyle w:val="FSCtblAMain"/>
              <w:rPr>
                <w:lang w:val="en-GB"/>
              </w:rPr>
            </w:pPr>
            <w:r w:rsidRPr="004E31BA">
              <w:rPr>
                <w:lang w:val="en-GB"/>
              </w:rPr>
              <w:t>Contributes to normal growth and development</w:t>
            </w:r>
          </w:p>
        </w:tc>
        <w:tc>
          <w:tcPr>
            <w:tcW w:w="852" w:type="pct"/>
            <w:hideMark/>
          </w:tcPr>
          <w:p w14:paraId="6E9FAADA" w14:textId="77777777" w:rsidR="00054E77" w:rsidRPr="004E31BA" w:rsidRDefault="00054E77" w:rsidP="00054E77">
            <w:pPr>
              <w:pStyle w:val="FSCtblAMain"/>
              <w:rPr>
                <w:lang w:val="en-GB"/>
              </w:rPr>
            </w:pPr>
            <w:r w:rsidRPr="004E31BA">
              <w:rPr>
                <w:lang w:val="en-GB"/>
              </w:rPr>
              <w:t xml:space="preserve">Children </w:t>
            </w:r>
          </w:p>
        </w:tc>
        <w:tc>
          <w:tcPr>
            <w:tcW w:w="939" w:type="pct"/>
          </w:tcPr>
          <w:p w14:paraId="6E9FAADB" w14:textId="77777777" w:rsidR="00054E77" w:rsidRPr="004E31BA" w:rsidRDefault="00054E77" w:rsidP="00054E77">
            <w:pPr>
              <w:pStyle w:val="FSCtblAMain"/>
              <w:rPr>
                <w:lang w:val="en-GB"/>
              </w:rPr>
            </w:pPr>
          </w:p>
        </w:tc>
        <w:tc>
          <w:tcPr>
            <w:tcW w:w="1320" w:type="pct"/>
          </w:tcPr>
          <w:p w14:paraId="6E9FAADC" w14:textId="77777777" w:rsidR="00054E77" w:rsidRPr="004E31BA" w:rsidRDefault="00054E77" w:rsidP="00054E77">
            <w:pPr>
              <w:pStyle w:val="FSCtblAMain"/>
              <w:rPr>
                <w:lang w:val="en-GB"/>
              </w:rPr>
            </w:pPr>
          </w:p>
        </w:tc>
      </w:tr>
    </w:tbl>
    <w:p w14:paraId="6E9FAADE" w14:textId="4F166FAD" w:rsidR="00054E77" w:rsidRPr="004E31BA" w:rsidRDefault="00A85408" w:rsidP="00A85408">
      <w:pPr>
        <w:pStyle w:val="FSCDraftingitem"/>
      </w:pPr>
      <w:r>
        <w:tab/>
      </w:r>
      <w:r>
        <w:tab/>
      </w:r>
      <w:proofErr w:type="gramStart"/>
      <w:r w:rsidR="00054E77">
        <w:t>s</w:t>
      </w:r>
      <w:r w:rsidR="00054E77" w:rsidRPr="004E31BA">
        <w:t>ubstitute</w:t>
      </w:r>
      <w:proofErr w:type="gramEnd"/>
    </w:p>
    <w:tbl>
      <w:tblPr>
        <w:tblW w:w="9077" w:type="dxa"/>
        <w:tblBorders>
          <w:bottom w:val="single" w:sz="4" w:space="0" w:color="auto"/>
        </w:tblBorders>
        <w:tblLook w:val="01E0" w:firstRow="1" w:lastRow="1" w:firstColumn="1" w:lastColumn="1" w:noHBand="0" w:noVBand="0"/>
      </w:tblPr>
      <w:tblGrid>
        <w:gridCol w:w="1543"/>
        <w:gridCol w:w="1886"/>
        <w:gridCol w:w="1547"/>
        <w:gridCol w:w="1705"/>
        <w:gridCol w:w="2396"/>
      </w:tblGrid>
      <w:tr w:rsidR="00054E77" w:rsidRPr="004E31BA" w14:paraId="6E9FAAE4" w14:textId="77777777" w:rsidTr="00054E77">
        <w:trPr>
          <w:cantSplit/>
        </w:trPr>
        <w:tc>
          <w:tcPr>
            <w:tcW w:w="850" w:type="pct"/>
            <w:hideMark/>
          </w:tcPr>
          <w:p w14:paraId="6E9FAADF" w14:textId="77777777" w:rsidR="00054E77" w:rsidRPr="004E31BA" w:rsidRDefault="00054E77" w:rsidP="00054E77">
            <w:pPr>
              <w:pStyle w:val="FSCtblAMain"/>
              <w:rPr>
                <w:lang w:val="en-GB"/>
              </w:rPr>
            </w:pPr>
          </w:p>
        </w:tc>
        <w:tc>
          <w:tcPr>
            <w:tcW w:w="1039" w:type="pct"/>
            <w:tcBorders>
              <w:top w:val="single" w:sz="4" w:space="0" w:color="auto"/>
              <w:bottom w:val="single" w:sz="4" w:space="0" w:color="auto"/>
            </w:tcBorders>
            <w:hideMark/>
          </w:tcPr>
          <w:p w14:paraId="6E9FAAE0" w14:textId="77777777" w:rsidR="00054E77" w:rsidRPr="004E31BA" w:rsidRDefault="00054E77" w:rsidP="00054E77">
            <w:pPr>
              <w:pStyle w:val="FSCtblAMain"/>
              <w:rPr>
                <w:lang w:val="en-GB"/>
              </w:rPr>
            </w:pPr>
            <w:r w:rsidRPr="004E31BA">
              <w:rPr>
                <w:lang w:val="en-GB"/>
              </w:rPr>
              <w:t>Contributes to normal growth and development</w:t>
            </w:r>
          </w:p>
        </w:tc>
        <w:tc>
          <w:tcPr>
            <w:tcW w:w="852" w:type="pct"/>
            <w:tcBorders>
              <w:top w:val="single" w:sz="4" w:space="0" w:color="auto"/>
              <w:bottom w:val="single" w:sz="4" w:space="0" w:color="auto"/>
            </w:tcBorders>
            <w:hideMark/>
          </w:tcPr>
          <w:p w14:paraId="6E9FAAE1" w14:textId="77777777" w:rsidR="00054E77" w:rsidRPr="004E31BA" w:rsidRDefault="00054E77" w:rsidP="00054E77">
            <w:pPr>
              <w:pStyle w:val="FSCtblAMain"/>
              <w:rPr>
                <w:lang w:val="en-GB"/>
              </w:rPr>
            </w:pPr>
            <w:r w:rsidRPr="004E31BA">
              <w:rPr>
                <w:lang w:val="en-GB"/>
              </w:rPr>
              <w:t xml:space="preserve">Children </w:t>
            </w:r>
          </w:p>
        </w:tc>
        <w:tc>
          <w:tcPr>
            <w:tcW w:w="939" w:type="pct"/>
          </w:tcPr>
          <w:p w14:paraId="6E9FAAE2" w14:textId="77777777" w:rsidR="00054E77" w:rsidRPr="004E31BA" w:rsidRDefault="00054E77" w:rsidP="00054E77">
            <w:pPr>
              <w:pStyle w:val="FSCtblAMain"/>
              <w:rPr>
                <w:lang w:val="en-GB"/>
              </w:rPr>
            </w:pPr>
          </w:p>
        </w:tc>
        <w:tc>
          <w:tcPr>
            <w:tcW w:w="1320" w:type="pct"/>
          </w:tcPr>
          <w:p w14:paraId="6E9FAAE3" w14:textId="77777777" w:rsidR="00054E77" w:rsidRPr="004E31BA" w:rsidRDefault="00054E77" w:rsidP="00054E77">
            <w:pPr>
              <w:pStyle w:val="FSCtblAMain"/>
              <w:rPr>
                <w:lang w:val="en-GB"/>
              </w:rPr>
            </w:pPr>
          </w:p>
        </w:tc>
      </w:tr>
    </w:tbl>
    <w:p w14:paraId="6E9FAAE5" w14:textId="2AC7193D" w:rsidR="00054E77" w:rsidRPr="004E31BA" w:rsidRDefault="008A01CF" w:rsidP="00A85408">
      <w:pPr>
        <w:pStyle w:val="FSCDraftingitem"/>
      </w:pPr>
      <w:bookmarkStart w:id="123" w:name="_Toc419117480"/>
      <w:r>
        <w:tab/>
      </w:r>
      <w:r w:rsidR="00054E77" w:rsidRPr="004E31BA">
        <w:t>(b)</w:t>
      </w:r>
      <w:r w:rsidR="00054E77" w:rsidRPr="004E31BA">
        <w:tab/>
        <w:t>Omit</w:t>
      </w:r>
    </w:p>
    <w:tbl>
      <w:tblPr>
        <w:tblW w:w="9077" w:type="dxa"/>
        <w:tblBorders>
          <w:top w:val="single" w:sz="4" w:space="0" w:color="auto"/>
          <w:bottom w:val="single" w:sz="4" w:space="0" w:color="auto"/>
        </w:tblBorders>
        <w:tblLook w:val="01E0" w:firstRow="1" w:lastRow="1" w:firstColumn="1" w:lastColumn="1" w:noHBand="0" w:noVBand="0"/>
      </w:tblPr>
      <w:tblGrid>
        <w:gridCol w:w="1543"/>
        <w:gridCol w:w="1886"/>
        <w:gridCol w:w="1547"/>
        <w:gridCol w:w="1705"/>
        <w:gridCol w:w="2396"/>
      </w:tblGrid>
      <w:tr w:rsidR="00054E77" w:rsidRPr="004E31BA" w14:paraId="6E9FAAEB" w14:textId="77777777" w:rsidTr="00054E77">
        <w:trPr>
          <w:cantSplit/>
        </w:trPr>
        <w:tc>
          <w:tcPr>
            <w:tcW w:w="850" w:type="pct"/>
            <w:tcBorders>
              <w:top w:val="single" w:sz="4" w:space="0" w:color="auto"/>
              <w:bottom w:val="nil"/>
            </w:tcBorders>
            <w:hideMark/>
          </w:tcPr>
          <w:p w14:paraId="6E9FAAE6" w14:textId="77777777" w:rsidR="00054E77" w:rsidRPr="004E31BA" w:rsidRDefault="00054E77" w:rsidP="00054E77">
            <w:pPr>
              <w:pStyle w:val="FSCtblAMain"/>
              <w:rPr>
                <w:lang w:val="en-GB"/>
              </w:rPr>
            </w:pPr>
            <w:r w:rsidRPr="004E31BA">
              <w:rPr>
                <w:lang w:val="en-GB"/>
              </w:rPr>
              <w:t xml:space="preserve">Selenium </w:t>
            </w:r>
          </w:p>
        </w:tc>
        <w:tc>
          <w:tcPr>
            <w:tcW w:w="1039" w:type="pct"/>
            <w:hideMark/>
          </w:tcPr>
          <w:p w14:paraId="6E9FAAE7" w14:textId="77777777" w:rsidR="00054E77" w:rsidRPr="004E31BA" w:rsidRDefault="00054E77" w:rsidP="00054E77">
            <w:pPr>
              <w:pStyle w:val="FSCtblAMain"/>
              <w:rPr>
                <w:lang w:val="en-GB"/>
              </w:rPr>
            </w:pPr>
            <w:r w:rsidRPr="004E31BA">
              <w:rPr>
                <w:lang w:val="en-GB"/>
              </w:rPr>
              <w:t>Contributes to the maintenance of normal hair and nails</w:t>
            </w:r>
          </w:p>
        </w:tc>
        <w:tc>
          <w:tcPr>
            <w:tcW w:w="852" w:type="pct"/>
            <w:hideMark/>
          </w:tcPr>
          <w:p w14:paraId="6E9FAAE8" w14:textId="77777777" w:rsidR="00054E77" w:rsidRPr="004E31BA" w:rsidRDefault="00054E77" w:rsidP="00054E77">
            <w:pPr>
              <w:pStyle w:val="FSCtblAMain"/>
              <w:rPr>
                <w:lang w:val="en-GB"/>
              </w:rPr>
            </w:pPr>
          </w:p>
        </w:tc>
        <w:tc>
          <w:tcPr>
            <w:tcW w:w="939" w:type="pct"/>
          </w:tcPr>
          <w:p w14:paraId="6E9FAAE9" w14:textId="77777777" w:rsidR="00054E77" w:rsidRPr="004E31BA" w:rsidRDefault="00054E77" w:rsidP="00054E77">
            <w:pPr>
              <w:pStyle w:val="FSCtblAMain"/>
              <w:rPr>
                <w:lang w:val="en-GB"/>
              </w:rPr>
            </w:pPr>
          </w:p>
        </w:tc>
        <w:tc>
          <w:tcPr>
            <w:tcW w:w="1320" w:type="pct"/>
          </w:tcPr>
          <w:p w14:paraId="6E9FAAEA" w14:textId="77777777" w:rsidR="00054E77" w:rsidRPr="004E31BA" w:rsidRDefault="00054E77" w:rsidP="00054E77">
            <w:pPr>
              <w:pStyle w:val="FSCtblAMain"/>
              <w:rPr>
                <w:lang w:val="en-GB"/>
              </w:rPr>
            </w:pPr>
          </w:p>
        </w:tc>
      </w:tr>
    </w:tbl>
    <w:p w14:paraId="6E9FAAEC" w14:textId="10685AD3" w:rsidR="00054E77" w:rsidRPr="004E31BA" w:rsidRDefault="008A01CF" w:rsidP="008A01CF">
      <w:pPr>
        <w:pStyle w:val="FSCDraftingitem"/>
      </w:pPr>
      <w:r>
        <w:tab/>
      </w:r>
      <w:r>
        <w:tab/>
      </w:r>
      <w:proofErr w:type="gramStart"/>
      <w:r w:rsidR="00054E77">
        <w:t>s</w:t>
      </w:r>
      <w:r w:rsidR="00054E77" w:rsidRPr="004E31BA">
        <w:t>ubstitute</w:t>
      </w:r>
      <w:proofErr w:type="gramEnd"/>
    </w:p>
    <w:tbl>
      <w:tblPr>
        <w:tblW w:w="9077" w:type="dxa"/>
        <w:tblBorders>
          <w:bottom w:val="single" w:sz="4" w:space="0" w:color="auto"/>
        </w:tblBorders>
        <w:tblLook w:val="01E0" w:firstRow="1" w:lastRow="1" w:firstColumn="1" w:lastColumn="1" w:noHBand="0" w:noVBand="0"/>
      </w:tblPr>
      <w:tblGrid>
        <w:gridCol w:w="1543"/>
        <w:gridCol w:w="1886"/>
        <w:gridCol w:w="1547"/>
        <w:gridCol w:w="1705"/>
        <w:gridCol w:w="2396"/>
      </w:tblGrid>
      <w:tr w:rsidR="00054E77" w:rsidRPr="00733092" w14:paraId="6E9FAAF2" w14:textId="77777777" w:rsidTr="00054E77">
        <w:trPr>
          <w:cantSplit/>
        </w:trPr>
        <w:tc>
          <w:tcPr>
            <w:tcW w:w="850" w:type="pct"/>
            <w:tcBorders>
              <w:bottom w:val="nil"/>
            </w:tcBorders>
            <w:hideMark/>
          </w:tcPr>
          <w:p w14:paraId="6E9FAAED" w14:textId="77777777" w:rsidR="00054E77" w:rsidRPr="004E31BA" w:rsidRDefault="00054E77" w:rsidP="00054E77">
            <w:pPr>
              <w:pStyle w:val="FSCtblAMain"/>
              <w:rPr>
                <w:lang w:val="en-GB"/>
              </w:rPr>
            </w:pPr>
          </w:p>
        </w:tc>
        <w:tc>
          <w:tcPr>
            <w:tcW w:w="1039" w:type="pct"/>
            <w:hideMark/>
          </w:tcPr>
          <w:p w14:paraId="6E9FAAEE" w14:textId="77777777" w:rsidR="00054E77" w:rsidRPr="004E31BA" w:rsidRDefault="00054E77" w:rsidP="00054E77">
            <w:pPr>
              <w:pStyle w:val="FSCtblAMain"/>
              <w:rPr>
                <w:lang w:val="en-GB"/>
              </w:rPr>
            </w:pPr>
            <w:r w:rsidRPr="004E31BA">
              <w:rPr>
                <w:lang w:val="en-GB"/>
              </w:rPr>
              <w:t>Contributes to the maintenance of normal hair and nails</w:t>
            </w:r>
          </w:p>
        </w:tc>
        <w:tc>
          <w:tcPr>
            <w:tcW w:w="852" w:type="pct"/>
            <w:hideMark/>
          </w:tcPr>
          <w:p w14:paraId="6E9FAAEF" w14:textId="77777777" w:rsidR="00054E77" w:rsidRPr="001F285C" w:rsidRDefault="00054E77" w:rsidP="00054E77">
            <w:pPr>
              <w:pStyle w:val="FSCtblAMain"/>
              <w:rPr>
                <w:highlight w:val="yellow"/>
                <w:lang w:val="en-GB"/>
              </w:rPr>
            </w:pPr>
          </w:p>
        </w:tc>
        <w:tc>
          <w:tcPr>
            <w:tcW w:w="939" w:type="pct"/>
          </w:tcPr>
          <w:p w14:paraId="6E9FAAF0" w14:textId="77777777" w:rsidR="00054E77" w:rsidRPr="001F285C" w:rsidRDefault="00054E77" w:rsidP="00054E77">
            <w:pPr>
              <w:pStyle w:val="FSCtblAMain"/>
              <w:rPr>
                <w:highlight w:val="yellow"/>
                <w:lang w:val="en-GB"/>
              </w:rPr>
            </w:pPr>
          </w:p>
        </w:tc>
        <w:tc>
          <w:tcPr>
            <w:tcW w:w="1320" w:type="pct"/>
          </w:tcPr>
          <w:p w14:paraId="6E9FAAF1" w14:textId="77777777" w:rsidR="00054E77" w:rsidRPr="001F285C" w:rsidRDefault="00054E77" w:rsidP="00054E77">
            <w:pPr>
              <w:pStyle w:val="FSCtblAMain"/>
              <w:rPr>
                <w:highlight w:val="yellow"/>
                <w:lang w:val="en-GB"/>
              </w:rPr>
            </w:pPr>
          </w:p>
        </w:tc>
      </w:tr>
    </w:tbl>
    <w:p w14:paraId="6E9FAAF3" w14:textId="54170981" w:rsidR="00054E77" w:rsidRPr="004E31BA" w:rsidRDefault="008A01CF" w:rsidP="008A01CF">
      <w:pPr>
        <w:pStyle w:val="FSCDraftingitem"/>
      </w:pPr>
      <w:r>
        <w:tab/>
        <w:t>(c)</w:t>
      </w:r>
      <w:r>
        <w:tab/>
        <w:t>Omit</w:t>
      </w:r>
    </w:p>
    <w:tbl>
      <w:tblPr>
        <w:tblW w:w="9072" w:type="dxa"/>
        <w:tblBorders>
          <w:top w:val="single" w:sz="4" w:space="0" w:color="auto"/>
          <w:bottom w:val="single" w:sz="4" w:space="0" w:color="auto"/>
        </w:tblBorders>
        <w:tblLook w:val="01E0" w:firstRow="1" w:lastRow="1" w:firstColumn="1" w:lastColumn="1" w:noHBand="0" w:noVBand="0"/>
      </w:tblPr>
      <w:tblGrid>
        <w:gridCol w:w="1543"/>
        <w:gridCol w:w="1883"/>
        <w:gridCol w:w="1549"/>
        <w:gridCol w:w="1709"/>
        <w:gridCol w:w="2388"/>
      </w:tblGrid>
      <w:tr w:rsidR="00054E77" w:rsidRPr="004E31BA" w14:paraId="6E9FAAFB" w14:textId="77777777" w:rsidTr="00054E77">
        <w:trPr>
          <w:cantSplit/>
        </w:trPr>
        <w:tc>
          <w:tcPr>
            <w:tcW w:w="850" w:type="pct"/>
            <w:shd w:val="clear" w:color="auto" w:fill="auto"/>
          </w:tcPr>
          <w:p w14:paraId="6E9FAAF4" w14:textId="77777777" w:rsidR="00054E77" w:rsidRPr="004E31BA" w:rsidRDefault="00054E77" w:rsidP="00054E77">
            <w:pPr>
              <w:pStyle w:val="FSCtblAMain"/>
              <w:rPr>
                <w:lang w:val="en-GB"/>
              </w:rPr>
            </w:pPr>
            <w:r w:rsidRPr="004E31BA">
              <w:rPr>
                <w:lang w:val="en-GB"/>
              </w:rPr>
              <w:t xml:space="preserve">Energy </w:t>
            </w:r>
          </w:p>
        </w:tc>
        <w:tc>
          <w:tcPr>
            <w:tcW w:w="1038" w:type="pct"/>
            <w:shd w:val="clear" w:color="auto" w:fill="auto"/>
          </w:tcPr>
          <w:p w14:paraId="6E9FAAF5" w14:textId="77777777" w:rsidR="00054E77" w:rsidRPr="004E31BA" w:rsidRDefault="00054E77" w:rsidP="00054E77">
            <w:pPr>
              <w:pStyle w:val="FSCtblAMain"/>
              <w:rPr>
                <w:lang w:val="en-GB"/>
              </w:rPr>
            </w:pPr>
            <w:r w:rsidRPr="004E31BA">
              <w:rPr>
                <w:lang w:val="en-GB"/>
              </w:rPr>
              <w:t>Contributes to weight loss or weight maintenance</w:t>
            </w:r>
          </w:p>
        </w:tc>
        <w:tc>
          <w:tcPr>
            <w:tcW w:w="854" w:type="pct"/>
            <w:shd w:val="clear" w:color="auto" w:fill="auto"/>
          </w:tcPr>
          <w:p w14:paraId="6E9FAAF6" w14:textId="77777777" w:rsidR="00054E77" w:rsidRPr="004E31BA" w:rsidRDefault="00054E77" w:rsidP="00054E77">
            <w:pPr>
              <w:pStyle w:val="Tblt1Itemsuperceded"/>
              <w:rPr>
                <w:lang w:val="en-GB"/>
              </w:rPr>
            </w:pPr>
          </w:p>
        </w:tc>
        <w:tc>
          <w:tcPr>
            <w:tcW w:w="942" w:type="pct"/>
            <w:shd w:val="clear" w:color="auto" w:fill="auto"/>
          </w:tcPr>
          <w:p w14:paraId="6E9FAAF7" w14:textId="77777777" w:rsidR="00054E77" w:rsidRPr="004E31BA" w:rsidRDefault="00054E77" w:rsidP="00054E77">
            <w:pPr>
              <w:pStyle w:val="FSCtblAMain"/>
              <w:rPr>
                <w:lang w:val="en-GB"/>
              </w:rPr>
            </w:pPr>
            <w:r w:rsidRPr="004E31BA">
              <w:rPr>
                <w:lang w:val="en-GB"/>
              </w:rPr>
              <w:t>Diet reduced in energy and including regular exercise</w:t>
            </w:r>
          </w:p>
        </w:tc>
        <w:tc>
          <w:tcPr>
            <w:tcW w:w="1316" w:type="pct"/>
            <w:shd w:val="clear" w:color="auto" w:fill="auto"/>
          </w:tcPr>
          <w:p w14:paraId="6E9FAAF8" w14:textId="77777777" w:rsidR="00054E77" w:rsidRPr="004E31BA" w:rsidRDefault="00054E77" w:rsidP="00054E77">
            <w:pPr>
              <w:pStyle w:val="FSCtblAMain"/>
              <w:rPr>
                <w:lang w:val="en-GB"/>
              </w:rPr>
            </w:pPr>
            <w:r w:rsidRPr="004E31BA">
              <w:rPr>
                <w:lang w:val="en-GB"/>
              </w:rPr>
              <w:t>The food:</w:t>
            </w:r>
          </w:p>
          <w:p w14:paraId="6E9FAAF9" w14:textId="77777777" w:rsidR="00054E77" w:rsidRPr="004E31BA" w:rsidRDefault="00054E77" w:rsidP="00054E77">
            <w:pPr>
              <w:pStyle w:val="FSCtblAPara"/>
              <w:rPr>
                <w:lang w:val="en-GB"/>
              </w:rPr>
            </w:pPr>
            <w:r w:rsidRPr="004E31BA">
              <w:rPr>
                <w:lang w:val="en-GB"/>
              </w:rPr>
              <w:t>(a)</w:t>
            </w:r>
            <w:r w:rsidRPr="004E31BA">
              <w:rPr>
                <w:lang w:val="en-GB"/>
              </w:rPr>
              <w:tab/>
              <w:t>meets the conditions for making a ‘diet’ nutrition content claim; or</w:t>
            </w:r>
          </w:p>
          <w:p w14:paraId="6E9FAAFA" w14:textId="77777777" w:rsidR="00054E77" w:rsidRPr="004E31BA" w:rsidRDefault="00054E77" w:rsidP="00054E77">
            <w:pPr>
              <w:pStyle w:val="FSCtblAPara"/>
              <w:rPr>
                <w:lang w:val="en-GB"/>
              </w:rPr>
            </w:pPr>
            <w:r w:rsidRPr="004E31BA">
              <w:rPr>
                <w:lang w:val="en-GB"/>
              </w:rPr>
              <w:t>(b)</w:t>
            </w:r>
            <w:r w:rsidRPr="004E31BA">
              <w:rPr>
                <w:lang w:val="en-GB"/>
              </w:rPr>
              <w:tab/>
              <w:t>is a formulated meal replacement and contains no more than 1200 kJ per serving</w:t>
            </w:r>
          </w:p>
        </w:tc>
      </w:tr>
    </w:tbl>
    <w:p w14:paraId="02A84E28" w14:textId="77777777" w:rsidR="00A85408" w:rsidRDefault="008A01CF" w:rsidP="008A01CF">
      <w:pPr>
        <w:pStyle w:val="FSCDraftingitem"/>
      </w:pPr>
      <w:r>
        <w:tab/>
      </w:r>
      <w:r>
        <w:tab/>
      </w:r>
      <w:proofErr w:type="gramStart"/>
      <w:r w:rsidR="00054E77" w:rsidRPr="001F285C">
        <w:t>s</w:t>
      </w:r>
      <w:r>
        <w:t>ubstitute</w:t>
      </w:r>
      <w:proofErr w:type="gramEnd"/>
      <w:r w:rsidR="00A85408">
        <w:br w:type="page"/>
      </w:r>
    </w:p>
    <w:tbl>
      <w:tblPr>
        <w:tblW w:w="9072" w:type="dxa"/>
        <w:tblLook w:val="01E0" w:firstRow="1" w:lastRow="1" w:firstColumn="1" w:lastColumn="1" w:noHBand="0" w:noVBand="0"/>
      </w:tblPr>
      <w:tblGrid>
        <w:gridCol w:w="1543"/>
        <w:gridCol w:w="1883"/>
        <w:gridCol w:w="1549"/>
        <w:gridCol w:w="1709"/>
        <w:gridCol w:w="2388"/>
      </w:tblGrid>
      <w:tr w:rsidR="00054E77" w:rsidRPr="004E31BA" w14:paraId="6E9FAB04" w14:textId="77777777" w:rsidTr="00054E77">
        <w:trPr>
          <w:cantSplit/>
        </w:trPr>
        <w:tc>
          <w:tcPr>
            <w:tcW w:w="850" w:type="pct"/>
            <w:tcBorders>
              <w:bottom w:val="single" w:sz="4" w:space="0" w:color="auto"/>
            </w:tcBorders>
            <w:shd w:val="clear" w:color="auto" w:fill="auto"/>
          </w:tcPr>
          <w:p w14:paraId="6E9FAAFD" w14:textId="77777777" w:rsidR="00054E77" w:rsidRPr="004E31BA" w:rsidRDefault="00054E77" w:rsidP="00054E77">
            <w:pPr>
              <w:pStyle w:val="FSCtblAMain"/>
              <w:rPr>
                <w:lang w:val="en-GB"/>
              </w:rPr>
            </w:pPr>
          </w:p>
        </w:tc>
        <w:tc>
          <w:tcPr>
            <w:tcW w:w="1038" w:type="pct"/>
            <w:tcBorders>
              <w:top w:val="single" w:sz="4" w:space="0" w:color="auto"/>
              <w:bottom w:val="single" w:sz="4" w:space="0" w:color="auto"/>
            </w:tcBorders>
            <w:shd w:val="clear" w:color="auto" w:fill="auto"/>
          </w:tcPr>
          <w:p w14:paraId="6E9FAAFE" w14:textId="77777777" w:rsidR="00054E77" w:rsidRPr="004E31BA" w:rsidRDefault="00054E77" w:rsidP="00054E77">
            <w:pPr>
              <w:pStyle w:val="FSCtblAMain"/>
              <w:rPr>
                <w:lang w:val="en-GB"/>
              </w:rPr>
            </w:pPr>
            <w:r w:rsidRPr="004E31BA">
              <w:rPr>
                <w:lang w:val="en-GB"/>
              </w:rPr>
              <w:t>Contributes to weight loss or weight maintenance</w:t>
            </w:r>
          </w:p>
        </w:tc>
        <w:tc>
          <w:tcPr>
            <w:tcW w:w="854" w:type="pct"/>
            <w:tcBorders>
              <w:top w:val="single" w:sz="4" w:space="0" w:color="auto"/>
              <w:bottom w:val="single" w:sz="4" w:space="0" w:color="auto"/>
            </w:tcBorders>
            <w:shd w:val="clear" w:color="auto" w:fill="auto"/>
          </w:tcPr>
          <w:p w14:paraId="6E9FAAFF" w14:textId="77777777" w:rsidR="00054E77" w:rsidRPr="004E31BA" w:rsidRDefault="00054E77" w:rsidP="00054E77">
            <w:pPr>
              <w:pStyle w:val="Tblt1Itemsuperceded"/>
              <w:rPr>
                <w:lang w:val="en-GB"/>
              </w:rPr>
            </w:pPr>
          </w:p>
        </w:tc>
        <w:tc>
          <w:tcPr>
            <w:tcW w:w="942" w:type="pct"/>
            <w:tcBorders>
              <w:top w:val="single" w:sz="4" w:space="0" w:color="auto"/>
              <w:bottom w:val="single" w:sz="4" w:space="0" w:color="auto"/>
            </w:tcBorders>
            <w:shd w:val="clear" w:color="auto" w:fill="auto"/>
          </w:tcPr>
          <w:p w14:paraId="6E9FAB00" w14:textId="77777777" w:rsidR="00054E77" w:rsidRPr="004E31BA" w:rsidRDefault="00054E77" w:rsidP="00054E77">
            <w:pPr>
              <w:pStyle w:val="FSCtblAMain"/>
              <w:rPr>
                <w:lang w:val="en-GB"/>
              </w:rPr>
            </w:pPr>
            <w:r w:rsidRPr="004E31BA">
              <w:rPr>
                <w:lang w:val="en-GB"/>
              </w:rPr>
              <w:t>Diet reduced in energy and including regular exercise</w:t>
            </w:r>
          </w:p>
        </w:tc>
        <w:tc>
          <w:tcPr>
            <w:tcW w:w="1316" w:type="pct"/>
            <w:tcBorders>
              <w:top w:val="single" w:sz="4" w:space="0" w:color="auto"/>
              <w:bottom w:val="single" w:sz="4" w:space="0" w:color="auto"/>
            </w:tcBorders>
            <w:shd w:val="clear" w:color="auto" w:fill="auto"/>
          </w:tcPr>
          <w:p w14:paraId="6E9FAB01" w14:textId="77777777" w:rsidR="00054E77" w:rsidRPr="004E31BA" w:rsidRDefault="00054E77" w:rsidP="00054E77">
            <w:pPr>
              <w:pStyle w:val="FSCtblAMain"/>
              <w:rPr>
                <w:lang w:val="en-GB"/>
              </w:rPr>
            </w:pPr>
            <w:r w:rsidRPr="004E31BA">
              <w:rPr>
                <w:lang w:val="en-GB"/>
              </w:rPr>
              <w:t>The food:</w:t>
            </w:r>
          </w:p>
          <w:p w14:paraId="6E9FAB02" w14:textId="77777777" w:rsidR="00054E77" w:rsidRPr="004E31BA" w:rsidRDefault="00054E77" w:rsidP="00054E77">
            <w:pPr>
              <w:pStyle w:val="FSCtblAPara"/>
              <w:rPr>
                <w:lang w:val="en-GB"/>
              </w:rPr>
            </w:pPr>
            <w:r w:rsidRPr="004E31BA">
              <w:rPr>
                <w:lang w:val="en-GB"/>
              </w:rPr>
              <w:t>(a)</w:t>
            </w:r>
            <w:r w:rsidRPr="004E31BA">
              <w:rPr>
                <w:lang w:val="en-GB"/>
              </w:rPr>
              <w:tab/>
              <w:t>meets the conditions for making a ‘diet’ nutrition content claim; or</w:t>
            </w:r>
          </w:p>
          <w:p w14:paraId="6E9FAB03" w14:textId="77777777" w:rsidR="00054E77" w:rsidRPr="004E31BA" w:rsidRDefault="00054E77" w:rsidP="00054E77">
            <w:pPr>
              <w:pStyle w:val="FSCtblAPara"/>
              <w:rPr>
                <w:lang w:val="en-GB"/>
              </w:rPr>
            </w:pPr>
            <w:r w:rsidRPr="004E31BA">
              <w:rPr>
                <w:lang w:val="en-GB"/>
              </w:rPr>
              <w:t>(b)</w:t>
            </w:r>
            <w:r w:rsidRPr="004E31BA">
              <w:rPr>
                <w:lang w:val="en-GB"/>
              </w:rPr>
              <w:tab/>
              <w:t>is a formulated meal replacement and contains no more than 1200 kJ per serving</w:t>
            </w:r>
          </w:p>
        </w:tc>
      </w:tr>
    </w:tbl>
    <w:p w14:paraId="6E9FAB05" w14:textId="77777777" w:rsidR="00054E77" w:rsidRPr="004E31BA" w:rsidRDefault="00054E77" w:rsidP="00054E77">
      <w:pPr>
        <w:pStyle w:val="FSCDraftingitemheading"/>
      </w:pPr>
      <w:r w:rsidRPr="004E31BA">
        <w:t>Schedule 12 – Nutrition information panels</w:t>
      </w:r>
    </w:p>
    <w:p w14:paraId="6E9FAB06" w14:textId="77777777" w:rsidR="00054E77" w:rsidRPr="004E31BA" w:rsidRDefault="00054E77" w:rsidP="00054E77">
      <w:pPr>
        <w:pStyle w:val="FSCDraftingitemheading"/>
      </w:pPr>
      <w:r w:rsidRPr="004E31BA">
        <w:t>[1</w:t>
      </w:r>
      <w:r>
        <w:t>9</w:t>
      </w:r>
      <w:r w:rsidRPr="004E31BA">
        <w:t>]</w:t>
      </w:r>
      <w:r w:rsidRPr="004E31BA">
        <w:tab/>
        <w:t>Section S12—4 (table)</w:t>
      </w:r>
    </w:p>
    <w:p w14:paraId="6E9FAB07" w14:textId="46652F79" w:rsidR="00054E77" w:rsidRPr="004E31BA" w:rsidRDefault="00054E77" w:rsidP="008A01CF">
      <w:pPr>
        <w:pStyle w:val="FSCDraftingitem"/>
      </w:pPr>
      <w:r w:rsidRPr="004E31BA">
        <w:tab/>
        <w:t>Omit ‘Your daily intakes may be higher or lower depending on your energy needs.</w:t>
      </w:r>
      <w:r>
        <w:t>’</w:t>
      </w:r>
    </w:p>
    <w:p w14:paraId="6E9FAB08" w14:textId="77777777" w:rsidR="00054E77" w:rsidRPr="004E31BA" w:rsidRDefault="00054E77" w:rsidP="00054E77">
      <w:pPr>
        <w:pStyle w:val="FSCDraftingitemheading"/>
      </w:pPr>
      <w:r w:rsidRPr="004E31BA">
        <w:t xml:space="preserve">Schedule 15 – </w:t>
      </w:r>
      <w:bookmarkEnd w:id="123"/>
      <w:r w:rsidRPr="004E31BA">
        <w:t>Substances that may be used as food additives</w:t>
      </w:r>
    </w:p>
    <w:p w14:paraId="6E9FAB09" w14:textId="4E00CE60" w:rsidR="00054E77" w:rsidRPr="00640EF2" w:rsidRDefault="00054E77" w:rsidP="00054E77">
      <w:pPr>
        <w:pStyle w:val="FSCDraftingitemheading"/>
      </w:pPr>
      <w:r w:rsidRPr="000C560C">
        <w:t>[</w:t>
      </w:r>
      <w:r>
        <w:t>20</w:t>
      </w:r>
      <w:r w:rsidRPr="000C560C">
        <w:t>]</w:t>
      </w:r>
      <w:r w:rsidRPr="000C560C">
        <w:tab/>
        <w:t xml:space="preserve">Section S15—5 (table) </w:t>
      </w:r>
    </w:p>
    <w:p w14:paraId="6E9FAB0A" w14:textId="129D1B9D" w:rsidR="00054E77" w:rsidRPr="000C560C" w:rsidRDefault="00054E77" w:rsidP="008A01CF">
      <w:pPr>
        <w:pStyle w:val="FSCDraftingitem"/>
        <w:ind w:firstLine="851"/>
      </w:pPr>
      <w:r w:rsidRPr="000C560C">
        <w:t>(a)</w:t>
      </w:r>
      <w:r w:rsidRPr="000C560C">
        <w:tab/>
        <w:t xml:space="preserve">Omit the following from item </w:t>
      </w:r>
      <w:r w:rsidR="008A01CF">
        <w:t>1.4.2 (where second occurring)</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54E77" w:rsidRPr="000C560C" w14:paraId="6E9FAB0F" w14:textId="77777777" w:rsidTr="00054E77">
        <w:trPr>
          <w:cantSplit/>
        </w:trPr>
        <w:tc>
          <w:tcPr>
            <w:tcW w:w="1668" w:type="dxa"/>
          </w:tcPr>
          <w:p w14:paraId="6E9FAB0B" w14:textId="77777777" w:rsidR="00054E77" w:rsidRPr="000C560C" w:rsidRDefault="00054E77" w:rsidP="00054E77">
            <w:pPr>
              <w:pStyle w:val="FSCAdditivestext1"/>
            </w:pPr>
            <w:r w:rsidRPr="000C560C">
              <w:t>234</w:t>
            </w:r>
          </w:p>
        </w:tc>
        <w:tc>
          <w:tcPr>
            <w:tcW w:w="4252" w:type="dxa"/>
          </w:tcPr>
          <w:p w14:paraId="6E9FAB0C" w14:textId="77777777" w:rsidR="00054E77" w:rsidRPr="000C560C" w:rsidRDefault="00054E77" w:rsidP="00054E77">
            <w:pPr>
              <w:pStyle w:val="FSCAdditivestext1"/>
            </w:pPr>
            <w:r w:rsidRPr="000C560C">
              <w:t>Nisin</w:t>
            </w:r>
          </w:p>
        </w:tc>
        <w:tc>
          <w:tcPr>
            <w:tcW w:w="992" w:type="dxa"/>
          </w:tcPr>
          <w:p w14:paraId="6E9FAB0D" w14:textId="77777777" w:rsidR="00054E77" w:rsidRPr="000C560C" w:rsidRDefault="00054E77" w:rsidP="00054E77">
            <w:pPr>
              <w:pStyle w:val="FSCAdditivestext2"/>
            </w:pPr>
            <w:r w:rsidRPr="000C560C">
              <w:t>10</w:t>
            </w:r>
          </w:p>
        </w:tc>
        <w:tc>
          <w:tcPr>
            <w:tcW w:w="2160" w:type="dxa"/>
          </w:tcPr>
          <w:p w14:paraId="6E9FAB0E" w14:textId="77777777" w:rsidR="00054E77" w:rsidRPr="000C560C" w:rsidRDefault="00054E77" w:rsidP="00054E77">
            <w:pPr>
              <w:pStyle w:val="FSCAdditivestext1"/>
            </w:pPr>
          </w:p>
        </w:tc>
      </w:tr>
      <w:tr w:rsidR="00054E77" w:rsidRPr="000C560C" w14:paraId="6E9FAB14" w14:textId="77777777" w:rsidTr="00054E77">
        <w:trPr>
          <w:cantSplit/>
        </w:trPr>
        <w:tc>
          <w:tcPr>
            <w:tcW w:w="1668" w:type="dxa"/>
          </w:tcPr>
          <w:p w14:paraId="6E9FAB10" w14:textId="77777777" w:rsidR="00054E77" w:rsidRPr="000C560C" w:rsidRDefault="00054E77" w:rsidP="00054E77">
            <w:pPr>
              <w:pStyle w:val="FSCAdditivestext1"/>
            </w:pPr>
            <w:r w:rsidRPr="000C560C">
              <w:t>475</w:t>
            </w:r>
          </w:p>
        </w:tc>
        <w:tc>
          <w:tcPr>
            <w:tcW w:w="4252" w:type="dxa"/>
          </w:tcPr>
          <w:p w14:paraId="6E9FAB11" w14:textId="77777777" w:rsidR="00054E77" w:rsidRPr="000C560C" w:rsidRDefault="00054E77" w:rsidP="00054E77">
            <w:pPr>
              <w:pStyle w:val="FSCAdditivestext1"/>
            </w:pPr>
            <w:r w:rsidRPr="000C560C">
              <w:t>Polyglycerol esters of fatty acids</w:t>
            </w:r>
          </w:p>
        </w:tc>
        <w:tc>
          <w:tcPr>
            <w:tcW w:w="992" w:type="dxa"/>
          </w:tcPr>
          <w:p w14:paraId="6E9FAB12" w14:textId="77777777" w:rsidR="00054E77" w:rsidRPr="000C560C" w:rsidRDefault="00054E77" w:rsidP="00054E77">
            <w:pPr>
              <w:pStyle w:val="FSCAdditivestext2"/>
            </w:pPr>
            <w:r w:rsidRPr="000C560C">
              <w:t>5 000</w:t>
            </w:r>
          </w:p>
        </w:tc>
        <w:tc>
          <w:tcPr>
            <w:tcW w:w="2160" w:type="dxa"/>
          </w:tcPr>
          <w:p w14:paraId="6E9FAB13" w14:textId="77777777" w:rsidR="00054E77" w:rsidRPr="000C560C" w:rsidRDefault="00054E77" w:rsidP="00054E77">
            <w:pPr>
              <w:pStyle w:val="FSCAdditivestext1"/>
            </w:pPr>
            <w:r w:rsidRPr="000C560C">
              <w:t>Only whipped thickened light cream</w:t>
            </w:r>
          </w:p>
        </w:tc>
      </w:tr>
    </w:tbl>
    <w:p w14:paraId="6E9FAB15" w14:textId="026B5778" w:rsidR="00054E77" w:rsidRPr="001F285C" w:rsidRDefault="008A01CF" w:rsidP="008A01CF">
      <w:pPr>
        <w:pStyle w:val="FSCDraftingitem"/>
      </w:pPr>
      <w:r>
        <w:tab/>
      </w:r>
      <w:r w:rsidR="00054E77">
        <w:t>(b)</w:t>
      </w:r>
      <w:r w:rsidR="00054E77">
        <w:tab/>
      </w:r>
      <w:r w:rsidR="00054E77" w:rsidRPr="000C560C">
        <w:t>Insert i</w:t>
      </w:r>
      <w:r>
        <w:t>n item 2.2.2 in numerical order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54E77" w:rsidRPr="000C560C" w14:paraId="6E9FAB1A" w14:textId="77777777" w:rsidTr="00054E77">
        <w:trPr>
          <w:cantSplit/>
        </w:trPr>
        <w:tc>
          <w:tcPr>
            <w:tcW w:w="1668" w:type="dxa"/>
          </w:tcPr>
          <w:p w14:paraId="6E9FAB16" w14:textId="77777777" w:rsidR="00054E77" w:rsidRPr="000C560C" w:rsidRDefault="00054E77" w:rsidP="00054E77">
            <w:pPr>
              <w:pStyle w:val="FSCAdditivestext1"/>
            </w:pPr>
            <w:r w:rsidRPr="000C560C">
              <w:t>200 201 202 203</w:t>
            </w:r>
          </w:p>
        </w:tc>
        <w:tc>
          <w:tcPr>
            <w:tcW w:w="4252" w:type="dxa"/>
          </w:tcPr>
          <w:p w14:paraId="6E9FAB17" w14:textId="77777777" w:rsidR="00054E77" w:rsidRPr="000C560C" w:rsidRDefault="00054E77" w:rsidP="00054E77">
            <w:pPr>
              <w:pStyle w:val="FSCAdditivestext1"/>
            </w:pPr>
            <w:r w:rsidRPr="000C560C">
              <w:t>Sorbic acid and sodium, potassium and calcium sorbates</w:t>
            </w:r>
          </w:p>
        </w:tc>
        <w:tc>
          <w:tcPr>
            <w:tcW w:w="992" w:type="dxa"/>
          </w:tcPr>
          <w:p w14:paraId="6E9FAB18" w14:textId="77777777" w:rsidR="00054E77" w:rsidRPr="000C560C" w:rsidRDefault="00054E77" w:rsidP="00054E77">
            <w:pPr>
              <w:pStyle w:val="FSCAdditivestext2"/>
            </w:pPr>
            <w:r w:rsidRPr="000C560C">
              <w:t>2 000</w:t>
            </w:r>
          </w:p>
        </w:tc>
        <w:tc>
          <w:tcPr>
            <w:tcW w:w="2160" w:type="dxa"/>
          </w:tcPr>
          <w:p w14:paraId="6E9FAB19" w14:textId="77777777" w:rsidR="00054E77" w:rsidRPr="000C560C" w:rsidRDefault="00054E77" w:rsidP="00054E77">
            <w:pPr>
              <w:pStyle w:val="FSCAdditivestext1"/>
            </w:pPr>
          </w:p>
        </w:tc>
      </w:tr>
    </w:tbl>
    <w:p w14:paraId="6E9FAB1B" w14:textId="77777777" w:rsidR="00054E77" w:rsidRPr="000C560C" w:rsidRDefault="00054E77" w:rsidP="00054E77">
      <w:pPr>
        <w:pStyle w:val="FSCDraftingitemheading"/>
      </w:pPr>
      <w:bookmarkStart w:id="124" w:name="_Toc419117481"/>
      <w:r w:rsidRPr="000C560C">
        <w:t xml:space="preserve">Schedule 18 – </w:t>
      </w:r>
      <w:bookmarkEnd w:id="124"/>
      <w:r w:rsidRPr="000C560C">
        <w:t>Processing aids</w:t>
      </w:r>
    </w:p>
    <w:p w14:paraId="6E9FAB1C" w14:textId="77777777" w:rsidR="00054E77" w:rsidRPr="000C560C" w:rsidRDefault="00054E77" w:rsidP="00054E77">
      <w:pPr>
        <w:pStyle w:val="FSCDraftingitemheading"/>
      </w:pPr>
      <w:r w:rsidRPr="000C560C">
        <w:t>[2</w:t>
      </w:r>
      <w:r>
        <w:t>1</w:t>
      </w:r>
      <w:r w:rsidRPr="000C560C">
        <w:t>]</w:t>
      </w:r>
      <w:r w:rsidRPr="000C560C">
        <w:tab/>
        <w:t>Section S18—3 (table)</w:t>
      </w:r>
    </w:p>
    <w:p w14:paraId="6E9FAB1D" w14:textId="303900F8" w:rsidR="00054E77" w:rsidRPr="000C560C" w:rsidRDefault="00054E77" w:rsidP="008A01CF">
      <w:pPr>
        <w:pStyle w:val="FSCDraftingitem"/>
        <w:ind w:firstLine="851"/>
      </w:pPr>
      <w:r w:rsidRPr="000C560C">
        <w:t>Omit</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054E77" w:rsidRPr="000C560C" w14:paraId="6E9FAB20" w14:textId="77777777" w:rsidTr="00054E77">
        <w:trPr>
          <w:cantSplit/>
          <w:jc w:val="center"/>
        </w:trPr>
        <w:tc>
          <w:tcPr>
            <w:tcW w:w="6391" w:type="dxa"/>
          </w:tcPr>
          <w:p w14:paraId="6E9FAB1E" w14:textId="77777777" w:rsidR="00054E77" w:rsidRPr="000C560C" w:rsidRDefault="00054E77" w:rsidP="00054E77">
            <w:pPr>
              <w:pStyle w:val="FSCtblAMain"/>
              <w:rPr>
                <w:lang w:val="en-GB"/>
              </w:rPr>
            </w:pPr>
            <w:r w:rsidRPr="000C560C">
              <w:rPr>
                <w:lang w:val="en-GB"/>
              </w:rPr>
              <w:t>Diethylenetriamine, triethylene-tetramine, or tetraethylenepentamin cross-linked with epichlorohydrin</w:t>
            </w:r>
          </w:p>
        </w:tc>
        <w:tc>
          <w:tcPr>
            <w:tcW w:w="2681" w:type="dxa"/>
          </w:tcPr>
          <w:p w14:paraId="6E9FAB1F" w14:textId="77777777" w:rsidR="00054E77" w:rsidRPr="000C560C" w:rsidRDefault="00054E77" w:rsidP="00054E77">
            <w:pPr>
              <w:pStyle w:val="FSCtblAMain"/>
              <w:rPr>
                <w:lang w:val="en-GB"/>
              </w:rPr>
            </w:pPr>
            <w:r w:rsidRPr="000C560C">
              <w:rPr>
                <w:lang w:val="en-GB"/>
              </w:rPr>
              <w:t>GMP</w:t>
            </w:r>
          </w:p>
        </w:tc>
      </w:tr>
    </w:tbl>
    <w:p w14:paraId="6E9FAB21" w14:textId="381260EB" w:rsidR="00054E77" w:rsidRPr="001F285C" w:rsidRDefault="008A01CF" w:rsidP="008A01CF">
      <w:pPr>
        <w:pStyle w:val="FSCDraftingitem"/>
        <w:ind w:firstLine="851"/>
      </w:pPr>
      <w:proofErr w:type="gramStart"/>
      <w:r>
        <w:t>s</w:t>
      </w:r>
      <w:r w:rsidR="00054E77" w:rsidRPr="000C560C">
        <w:t>ubstitute</w:t>
      </w:r>
      <w:proofErr w:type="gramEnd"/>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81"/>
      </w:tblGrid>
      <w:tr w:rsidR="00054E77" w:rsidRPr="000C560C" w14:paraId="6E9FAB24" w14:textId="77777777" w:rsidTr="00054E77">
        <w:trPr>
          <w:cantSplit/>
          <w:jc w:val="center"/>
        </w:trPr>
        <w:tc>
          <w:tcPr>
            <w:tcW w:w="6391" w:type="dxa"/>
          </w:tcPr>
          <w:p w14:paraId="6E9FAB22" w14:textId="77777777" w:rsidR="00054E77" w:rsidRPr="000C560C" w:rsidRDefault="00054E77" w:rsidP="00054E77">
            <w:pPr>
              <w:pStyle w:val="FSCtblAMain"/>
              <w:rPr>
                <w:lang w:val="en-GB"/>
              </w:rPr>
            </w:pPr>
            <w:r w:rsidRPr="000C560C">
              <w:rPr>
                <w:lang w:val="en-GB"/>
              </w:rPr>
              <w:t>Diethylenetriamine, triethylene-tetramine, or tetraethylenepentamine cross-linked with epichlorohydrin</w:t>
            </w:r>
          </w:p>
        </w:tc>
        <w:tc>
          <w:tcPr>
            <w:tcW w:w="2681" w:type="dxa"/>
          </w:tcPr>
          <w:p w14:paraId="6E9FAB23" w14:textId="77777777" w:rsidR="00054E77" w:rsidRPr="000C560C" w:rsidRDefault="00054E77" w:rsidP="00054E77">
            <w:pPr>
              <w:pStyle w:val="FSCtblAMain"/>
              <w:rPr>
                <w:lang w:val="en-GB"/>
              </w:rPr>
            </w:pPr>
            <w:r w:rsidRPr="000C560C">
              <w:rPr>
                <w:lang w:val="en-GB"/>
              </w:rPr>
              <w:t>GMP</w:t>
            </w:r>
          </w:p>
        </w:tc>
      </w:tr>
    </w:tbl>
    <w:p w14:paraId="6E9FAB25" w14:textId="19E7B42A" w:rsidR="00054E77" w:rsidRPr="000C560C" w:rsidRDefault="00054E77" w:rsidP="00054E77">
      <w:pPr>
        <w:pStyle w:val="FSCDraftingitemheading"/>
      </w:pPr>
      <w:r w:rsidRPr="000C560C">
        <w:t>Schedule 26 – Food produced using gene technology</w:t>
      </w:r>
    </w:p>
    <w:p w14:paraId="6E9FAB26" w14:textId="6B351759" w:rsidR="00054E77" w:rsidRPr="000C560C" w:rsidRDefault="00054E77" w:rsidP="00054E77">
      <w:pPr>
        <w:pStyle w:val="FSCDraftingitemheading"/>
      </w:pPr>
      <w:r w:rsidRPr="000C560C">
        <w:t>[2</w:t>
      </w:r>
      <w:r>
        <w:t>2</w:t>
      </w:r>
      <w:r w:rsidRPr="000C560C">
        <w:t>]</w:t>
      </w:r>
      <w:r w:rsidRPr="000C560C">
        <w:tab/>
      </w:r>
      <w:r w:rsidR="00110CA5">
        <w:t>Schedule Heading (</w:t>
      </w:r>
      <w:r w:rsidRPr="000C560C">
        <w:t>Note 1</w:t>
      </w:r>
      <w:r w:rsidR="00110CA5">
        <w:t>)</w:t>
      </w:r>
    </w:p>
    <w:p w14:paraId="6E9FAB27" w14:textId="4E7CB477" w:rsidR="00054E77" w:rsidRPr="000C560C" w:rsidRDefault="008A01CF" w:rsidP="008A01CF">
      <w:pPr>
        <w:pStyle w:val="FSCDraftingitem"/>
      </w:pPr>
      <w:r>
        <w:tab/>
      </w:r>
      <w:r w:rsidR="00054E77" w:rsidRPr="000C560C">
        <w:t>Omit ‘1.1.1—10(3</w:t>
      </w:r>
      <w:proofErr w:type="gramStart"/>
      <w:r w:rsidR="00054E77" w:rsidRPr="000C560C">
        <w:t>)(</w:t>
      </w:r>
      <w:proofErr w:type="gramEnd"/>
      <w:r w:rsidR="00054E77" w:rsidRPr="000C560C">
        <w:t xml:space="preserve">c) and (4)(g)’, substitute ‘1.1.1—10(5)(c) and </w:t>
      </w:r>
      <w:r w:rsidR="00A85408">
        <w:t>(6)(g)’</w:t>
      </w:r>
    </w:p>
    <w:p w14:paraId="6E9FAB28" w14:textId="77777777" w:rsidR="00054E77" w:rsidRPr="000C560C" w:rsidRDefault="00054E77" w:rsidP="00054E77">
      <w:pPr>
        <w:pStyle w:val="FSCDraftingitemheading"/>
      </w:pPr>
      <w:bookmarkStart w:id="125" w:name="_Toc419117482"/>
      <w:r w:rsidRPr="000C560C">
        <w:t>[2</w:t>
      </w:r>
      <w:r>
        <w:t>3</w:t>
      </w:r>
      <w:r w:rsidRPr="000C560C">
        <w:t>]</w:t>
      </w:r>
      <w:r w:rsidRPr="000C560C">
        <w:tab/>
        <w:t>Subsection S26—3(4) (table)</w:t>
      </w:r>
      <w:bookmarkEnd w:id="125"/>
    </w:p>
    <w:p w14:paraId="6E9FAB29" w14:textId="1513CF23" w:rsidR="00054E77" w:rsidRPr="000C560C" w:rsidRDefault="008A01CF" w:rsidP="008A01CF">
      <w:pPr>
        <w:pStyle w:val="FSCDraftingitem"/>
      </w:pPr>
      <w:r>
        <w:tab/>
      </w:r>
      <w:r w:rsidR="00054E77" w:rsidRPr="000C560C">
        <w:t>(a)</w:t>
      </w:r>
      <w:r w:rsidR="00054E77" w:rsidRPr="000C560C">
        <w:tab/>
        <w:t>Omit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054E77" w:rsidRPr="000C560C" w14:paraId="6E9FAB2D" w14:textId="77777777" w:rsidTr="00054E77">
        <w:trPr>
          <w:cantSplit/>
        </w:trPr>
        <w:tc>
          <w:tcPr>
            <w:tcW w:w="903" w:type="dxa"/>
            <w:tcBorders>
              <w:top w:val="single" w:sz="4" w:space="0" w:color="auto"/>
            </w:tcBorders>
          </w:tcPr>
          <w:p w14:paraId="6E9FAB2A" w14:textId="77777777" w:rsidR="00054E77" w:rsidRPr="000C560C" w:rsidRDefault="00054E77" w:rsidP="00054E77">
            <w:pPr>
              <w:pStyle w:val="FSCtblAMain"/>
              <w:rPr>
                <w:b/>
              </w:rPr>
            </w:pPr>
            <w:r w:rsidRPr="000C560C">
              <w:rPr>
                <w:b/>
              </w:rPr>
              <w:t>4</w:t>
            </w:r>
          </w:p>
        </w:tc>
        <w:tc>
          <w:tcPr>
            <w:tcW w:w="1190" w:type="dxa"/>
            <w:tcBorders>
              <w:top w:val="single" w:sz="4" w:space="0" w:color="auto"/>
            </w:tcBorders>
          </w:tcPr>
          <w:p w14:paraId="6E9FAB2B" w14:textId="77777777" w:rsidR="00054E77" w:rsidRPr="000C560C" w:rsidRDefault="00054E77" w:rsidP="00054E77">
            <w:pPr>
              <w:pStyle w:val="FSCtblAMain"/>
              <w:rPr>
                <w:b/>
              </w:rPr>
            </w:pPr>
            <w:r w:rsidRPr="000C560C">
              <w:rPr>
                <w:b/>
              </w:rPr>
              <w:t>Lucerne</w:t>
            </w:r>
          </w:p>
        </w:tc>
        <w:tc>
          <w:tcPr>
            <w:tcW w:w="6979" w:type="dxa"/>
            <w:tcBorders>
              <w:top w:val="single" w:sz="4" w:space="0" w:color="auto"/>
            </w:tcBorders>
          </w:tcPr>
          <w:p w14:paraId="6E9FAB2C" w14:textId="77777777" w:rsidR="00054E77" w:rsidRPr="000C560C" w:rsidRDefault="00054E77" w:rsidP="00054E77">
            <w:pPr>
              <w:pStyle w:val="FSCtblAPara"/>
            </w:pPr>
            <w:r w:rsidRPr="000C560C">
              <w:t xml:space="preserve">(a) </w:t>
            </w:r>
            <w:r w:rsidRPr="000C560C">
              <w:rPr>
                <w:lang w:val="en-GB"/>
              </w:rPr>
              <w:tab/>
            </w:r>
            <w:r w:rsidRPr="000C560C">
              <w:t>herbicide-tolerant lucerne lines J101 &amp; J163</w:t>
            </w:r>
          </w:p>
        </w:tc>
      </w:tr>
    </w:tbl>
    <w:p w14:paraId="6E9FAB2E" w14:textId="33FE3D52" w:rsidR="00054E77" w:rsidRPr="000C560C" w:rsidRDefault="00054E77" w:rsidP="008A01CF">
      <w:pPr>
        <w:pStyle w:val="FSCDraftingitem"/>
        <w:ind w:firstLine="851"/>
      </w:pPr>
      <w:proofErr w:type="gramStart"/>
      <w:r w:rsidRPr="001F285C">
        <w:t>s</w:t>
      </w:r>
      <w:r>
        <w:t>ubstitute</w:t>
      </w:r>
      <w:proofErr w:type="gramEnd"/>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054E77" w:rsidRPr="000C560C" w14:paraId="6E9FAB32" w14:textId="77777777" w:rsidTr="00054E77">
        <w:trPr>
          <w:cantSplit/>
        </w:trPr>
        <w:tc>
          <w:tcPr>
            <w:tcW w:w="903" w:type="dxa"/>
            <w:tcBorders>
              <w:top w:val="single" w:sz="4" w:space="0" w:color="auto"/>
            </w:tcBorders>
          </w:tcPr>
          <w:p w14:paraId="6E9FAB2F" w14:textId="77777777" w:rsidR="00054E77" w:rsidRPr="000C560C" w:rsidRDefault="00054E77" w:rsidP="00054E77">
            <w:pPr>
              <w:pStyle w:val="FSCtblAMain"/>
              <w:rPr>
                <w:b/>
              </w:rPr>
            </w:pPr>
            <w:r w:rsidRPr="000C560C">
              <w:rPr>
                <w:b/>
              </w:rPr>
              <w:t>4</w:t>
            </w:r>
          </w:p>
        </w:tc>
        <w:tc>
          <w:tcPr>
            <w:tcW w:w="1190" w:type="dxa"/>
            <w:tcBorders>
              <w:top w:val="single" w:sz="4" w:space="0" w:color="auto"/>
            </w:tcBorders>
          </w:tcPr>
          <w:p w14:paraId="6E9FAB30" w14:textId="77777777" w:rsidR="00054E77" w:rsidRPr="000C560C" w:rsidRDefault="00054E77" w:rsidP="00054E77">
            <w:pPr>
              <w:pStyle w:val="FSCtblAMain"/>
              <w:rPr>
                <w:b/>
              </w:rPr>
            </w:pPr>
            <w:r w:rsidRPr="000C560C">
              <w:rPr>
                <w:b/>
              </w:rPr>
              <w:t>Lucerne</w:t>
            </w:r>
          </w:p>
        </w:tc>
        <w:tc>
          <w:tcPr>
            <w:tcW w:w="6979" w:type="dxa"/>
            <w:tcBorders>
              <w:top w:val="single" w:sz="4" w:space="0" w:color="auto"/>
            </w:tcBorders>
          </w:tcPr>
          <w:p w14:paraId="6E9FAB31" w14:textId="77777777" w:rsidR="00054E77" w:rsidRPr="000C560C" w:rsidRDefault="00054E77" w:rsidP="00054E77">
            <w:pPr>
              <w:pStyle w:val="FSCtblAPara"/>
            </w:pPr>
            <w:r w:rsidRPr="000C560C">
              <w:t xml:space="preserve">(a) </w:t>
            </w:r>
            <w:r w:rsidRPr="000C560C">
              <w:rPr>
                <w:lang w:val="en-GB"/>
              </w:rPr>
              <w:tab/>
            </w:r>
            <w:r w:rsidRPr="000C560C">
              <w:t>herbicide-tolerant lucerne lines J101 and J163</w:t>
            </w:r>
          </w:p>
        </w:tc>
      </w:tr>
    </w:tbl>
    <w:p w14:paraId="6E9FAB33" w14:textId="00921EDA" w:rsidR="00054E77" w:rsidRPr="000C560C" w:rsidRDefault="00054E77" w:rsidP="008A01CF">
      <w:pPr>
        <w:pStyle w:val="FSCDraftingitem"/>
        <w:ind w:firstLine="851"/>
      </w:pPr>
      <w:r>
        <w:t>(b)</w:t>
      </w:r>
      <w:r>
        <w:tab/>
        <w:t>Omit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054E77" w:rsidRPr="000C560C" w14:paraId="6E9FAB37" w14:textId="77777777" w:rsidTr="00054E77">
        <w:trPr>
          <w:cantSplit/>
        </w:trPr>
        <w:tc>
          <w:tcPr>
            <w:tcW w:w="903" w:type="dxa"/>
            <w:tcBorders>
              <w:top w:val="single" w:sz="4" w:space="0" w:color="auto"/>
            </w:tcBorders>
          </w:tcPr>
          <w:p w14:paraId="6E9FAB34" w14:textId="77777777" w:rsidR="00054E77" w:rsidRPr="000C560C" w:rsidRDefault="00054E77" w:rsidP="00054E77">
            <w:pPr>
              <w:pStyle w:val="FSCtblAMain"/>
              <w:rPr>
                <w:b/>
              </w:rPr>
            </w:pPr>
          </w:p>
        </w:tc>
        <w:tc>
          <w:tcPr>
            <w:tcW w:w="1190" w:type="dxa"/>
            <w:tcBorders>
              <w:top w:val="single" w:sz="4" w:space="0" w:color="auto"/>
            </w:tcBorders>
          </w:tcPr>
          <w:p w14:paraId="6E9FAB35" w14:textId="77777777" w:rsidR="00054E77" w:rsidRPr="000C560C" w:rsidRDefault="00054E77" w:rsidP="00054E77">
            <w:pPr>
              <w:pStyle w:val="FSCtblAMain"/>
              <w:rPr>
                <w:b/>
              </w:rPr>
            </w:pPr>
          </w:p>
        </w:tc>
        <w:tc>
          <w:tcPr>
            <w:tcW w:w="6979" w:type="dxa"/>
            <w:tcBorders>
              <w:top w:val="single" w:sz="4" w:space="0" w:color="auto"/>
            </w:tcBorders>
          </w:tcPr>
          <w:p w14:paraId="6E9FAB36" w14:textId="77777777" w:rsidR="00054E77" w:rsidRPr="000C560C" w:rsidRDefault="00054E77" w:rsidP="00054E77">
            <w:pPr>
              <w:pStyle w:val="FSCtblAPara"/>
            </w:pPr>
            <w:r w:rsidRPr="000C560C">
              <w:t xml:space="preserve">(b) </w:t>
            </w:r>
            <w:r w:rsidRPr="000C560C">
              <w:rPr>
                <w:lang w:val="en-GB"/>
              </w:rPr>
              <w:tab/>
            </w:r>
            <w:r w:rsidRPr="000C560C">
              <w:t xml:space="preserve">food derived from reduced lignin lucerne line KK179 </w:t>
            </w:r>
          </w:p>
        </w:tc>
      </w:tr>
    </w:tbl>
    <w:p w14:paraId="6E9FAB38" w14:textId="00DCAEC4" w:rsidR="00A85408" w:rsidRDefault="00054E77" w:rsidP="008A01CF">
      <w:pPr>
        <w:pStyle w:val="FSCDraftingitem"/>
        <w:ind w:left="283" w:firstLine="851"/>
      </w:pPr>
      <w:proofErr w:type="gramStart"/>
      <w:r w:rsidRPr="001F285C">
        <w:t>s</w:t>
      </w:r>
      <w:r>
        <w:t>ubstitute</w:t>
      </w:r>
      <w:proofErr w:type="gramEnd"/>
      <w:r w:rsidR="00A85408">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
        <w:gridCol w:w="1190"/>
        <w:gridCol w:w="6979"/>
      </w:tblGrid>
      <w:tr w:rsidR="00054E77" w:rsidRPr="000C560C" w14:paraId="6E9FAB3C" w14:textId="77777777" w:rsidTr="00054E77">
        <w:trPr>
          <w:cantSplit/>
        </w:trPr>
        <w:tc>
          <w:tcPr>
            <w:tcW w:w="903" w:type="dxa"/>
            <w:tcBorders>
              <w:top w:val="single" w:sz="4" w:space="0" w:color="auto"/>
            </w:tcBorders>
          </w:tcPr>
          <w:p w14:paraId="6E9FAB39" w14:textId="77777777" w:rsidR="00054E77" w:rsidRPr="000C560C" w:rsidRDefault="00054E77" w:rsidP="00054E77">
            <w:pPr>
              <w:pStyle w:val="FSCtblAMain"/>
              <w:rPr>
                <w:b/>
              </w:rPr>
            </w:pPr>
          </w:p>
        </w:tc>
        <w:tc>
          <w:tcPr>
            <w:tcW w:w="1190" w:type="dxa"/>
            <w:tcBorders>
              <w:top w:val="single" w:sz="4" w:space="0" w:color="auto"/>
            </w:tcBorders>
          </w:tcPr>
          <w:p w14:paraId="6E9FAB3A" w14:textId="77777777" w:rsidR="00054E77" w:rsidRPr="000C560C" w:rsidRDefault="00054E77" w:rsidP="00054E77">
            <w:pPr>
              <w:pStyle w:val="FSCtblAMain"/>
              <w:rPr>
                <w:b/>
              </w:rPr>
            </w:pPr>
          </w:p>
        </w:tc>
        <w:tc>
          <w:tcPr>
            <w:tcW w:w="6979" w:type="dxa"/>
            <w:tcBorders>
              <w:top w:val="single" w:sz="4" w:space="0" w:color="auto"/>
            </w:tcBorders>
          </w:tcPr>
          <w:p w14:paraId="6E9FAB3B" w14:textId="77777777" w:rsidR="00054E77" w:rsidRPr="000C560C" w:rsidRDefault="00054E77" w:rsidP="00054E77">
            <w:pPr>
              <w:pStyle w:val="FSCtblAPara"/>
            </w:pPr>
            <w:r w:rsidRPr="000C560C">
              <w:t xml:space="preserve">(b) </w:t>
            </w:r>
            <w:r w:rsidRPr="000C560C">
              <w:rPr>
                <w:lang w:val="en-GB"/>
              </w:rPr>
              <w:tab/>
            </w:r>
            <w:r w:rsidRPr="000C560C">
              <w:t xml:space="preserve">reduced lignin lucerne line KK179 </w:t>
            </w:r>
          </w:p>
        </w:tc>
      </w:tr>
    </w:tbl>
    <w:p w14:paraId="6E9FAB3D" w14:textId="77777777" w:rsidR="00054E77" w:rsidRPr="000C560C" w:rsidRDefault="00054E77" w:rsidP="00054E77">
      <w:pPr>
        <w:pStyle w:val="FSCDraftingitemheading"/>
      </w:pPr>
      <w:r w:rsidRPr="000C560C">
        <w:t>Schedule 29 – Special purpose foods</w:t>
      </w:r>
    </w:p>
    <w:p w14:paraId="7FC50F10" w14:textId="0BF9F127" w:rsidR="009A79C6" w:rsidRPr="000C560C" w:rsidRDefault="009A79C6" w:rsidP="009A79C6">
      <w:pPr>
        <w:pStyle w:val="FSCDraftingitemheading"/>
      </w:pPr>
      <w:r w:rsidRPr="000C560C">
        <w:t>[2</w:t>
      </w:r>
      <w:r w:rsidR="00D96261">
        <w:t>4</w:t>
      </w:r>
      <w:r>
        <w:t>]</w:t>
      </w:r>
      <w:r>
        <w:tab/>
        <w:t>Section S29—17</w:t>
      </w:r>
      <w:r w:rsidRPr="000C560C">
        <w:t xml:space="preserve"> (</w:t>
      </w:r>
      <w:r>
        <w:t>Table heading</w:t>
      </w:r>
      <w:r w:rsidRPr="000C560C">
        <w:t>)</w:t>
      </w:r>
    </w:p>
    <w:p w14:paraId="1E1B9788" w14:textId="07D4B338" w:rsidR="009A79C6" w:rsidRPr="009A79C6" w:rsidRDefault="008A01CF" w:rsidP="008A01CF">
      <w:pPr>
        <w:pStyle w:val="FSCDraftingitem"/>
      </w:pPr>
      <w:r>
        <w:tab/>
      </w:r>
      <w:r w:rsidR="009A79C6" w:rsidRPr="000C560C">
        <w:t>Omit</w:t>
      </w:r>
      <w:r w:rsidR="009A79C6">
        <w:t xml:space="preserve"> ‘and intake amounts’</w:t>
      </w:r>
    </w:p>
    <w:p w14:paraId="6E9FAB3E" w14:textId="0EA522D7" w:rsidR="00054E77" w:rsidRPr="000C560C" w:rsidRDefault="00054E77" w:rsidP="009A79C6">
      <w:pPr>
        <w:pStyle w:val="FSCDraftingitemheading"/>
      </w:pPr>
      <w:r w:rsidRPr="000C560C">
        <w:t>[2</w:t>
      </w:r>
      <w:r>
        <w:t>4</w:t>
      </w:r>
      <w:r w:rsidR="00D96261">
        <w:t>A</w:t>
      </w:r>
      <w:r w:rsidRPr="000C560C">
        <w:t>]</w:t>
      </w:r>
      <w:r w:rsidRPr="000C560C">
        <w:tab/>
        <w:t>Section S29—21 (Notes)</w:t>
      </w:r>
    </w:p>
    <w:p w14:paraId="6E9FAB3F" w14:textId="3C9E2235" w:rsidR="00054E77" w:rsidRPr="000C560C" w:rsidRDefault="008A01CF" w:rsidP="008A01CF">
      <w:pPr>
        <w:pStyle w:val="FSCDraftingitem"/>
      </w:pPr>
      <w:r>
        <w:tab/>
      </w:r>
      <w:r w:rsidR="00054E77" w:rsidRPr="000C560C">
        <w:t>Omit</w:t>
      </w:r>
    </w:p>
    <w:p w14:paraId="6E9FAB40" w14:textId="77777777" w:rsidR="00054E77" w:rsidRPr="000C560C" w:rsidRDefault="00054E77" w:rsidP="00054E77">
      <w:pPr>
        <w:pStyle w:val="FSCnatHeading"/>
        <w:ind w:left="1985"/>
      </w:pPr>
      <w:r w:rsidRPr="000C560C">
        <w:rPr>
          <w:b/>
          <w:i/>
        </w:rPr>
        <w:t>Note 1</w:t>
      </w:r>
      <w:r w:rsidRPr="000C560C">
        <w:tab/>
        <w:t>See paragraph 1.1.2—14(3</w:t>
      </w:r>
      <w:proofErr w:type="gramStart"/>
      <w:r w:rsidRPr="000C560C">
        <w:t>)(</w:t>
      </w:r>
      <w:proofErr w:type="gramEnd"/>
      <w:r w:rsidRPr="000C560C">
        <w:t>a)</w:t>
      </w:r>
    </w:p>
    <w:p w14:paraId="6E9FAB41" w14:textId="77777777" w:rsidR="00054E77" w:rsidRPr="000C560C" w:rsidRDefault="00054E77" w:rsidP="00054E77">
      <w:pPr>
        <w:pStyle w:val="FSCnatHeading"/>
        <w:ind w:left="1985"/>
      </w:pPr>
      <w:r w:rsidRPr="000C560C">
        <w:rPr>
          <w:b/>
          <w:i/>
        </w:rPr>
        <w:t>Note 2</w:t>
      </w:r>
      <w:r w:rsidRPr="000C560C">
        <w:tab/>
        <w:t>For niacin, add niacin and any niacin provided from the conversion of the amino acid tryptophan, using the conversion factor 1:60.</w:t>
      </w:r>
    </w:p>
    <w:p w14:paraId="6E9FAB42" w14:textId="77777777" w:rsidR="00054E77" w:rsidRPr="000C560C" w:rsidRDefault="00054E77" w:rsidP="00054E77">
      <w:pPr>
        <w:pStyle w:val="FSCnatHeading"/>
        <w:ind w:left="1985"/>
      </w:pPr>
      <w:r w:rsidRPr="000C560C">
        <w:rPr>
          <w:b/>
          <w:i/>
        </w:rPr>
        <w:t>Note 3</w:t>
      </w:r>
      <w:r w:rsidRPr="000C560C">
        <w:rPr>
          <w:b/>
          <w:i/>
        </w:rPr>
        <w:tab/>
      </w:r>
      <w:r w:rsidRPr="000C560C">
        <w:t>See paragraph 1.1.2—14(3</w:t>
      </w:r>
      <w:proofErr w:type="gramStart"/>
      <w:r w:rsidRPr="000C560C">
        <w:t>)(</w:t>
      </w:r>
      <w:proofErr w:type="gramEnd"/>
      <w:r w:rsidRPr="000C560C">
        <w:t>d)</w:t>
      </w:r>
    </w:p>
    <w:p w14:paraId="6E9FAB43" w14:textId="20A6638C" w:rsidR="00054E77" w:rsidRPr="000C560C" w:rsidRDefault="00A85408" w:rsidP="00A85408">
      <w:pPr>
        <w:pStyle w:val="FSCDraftingitem"/>
        <w:ind w:firstLine="851"/>
      </w:pPr>
      <w:proofErr w:type="gramStart"/>
      <w:r>
        <w:t>s</w:t>
      </w:r>
      <w:r w:rsidR="00054E77">
        <w:t>ubstitute</w:t>
      </w:r>
      <w:proofErr w:type="gramEnd"/>
    </w:p>
    <w:p w14:paraId="6E9FAB44" w14:textId="77777777" w:rsidR="00054E77" w:rsidRPr="000C560C" w:rsidRDefault="00054E77" w:rsidP="00054E77">
      <w:pPr>
        <w:pStyle w:val="FSCnatHeading"/>
        <w:ind w:left="1985"/>
      </w:pPr>
      <w:r w:rsidRPr="000C560C">
        <w:rPr>
          <w:b/>
          <w:i/>
        </w:rPr>
        <w:t>Note 1</w:t>
      </w:r>
      <w:r w:rsidRPr="000C560C">
        <w:tab/>
        <w:t>See paragraph 1.1.2—14(3</w:t>
      </w:r>
      <w:proofErr w:type="gramStart"/>
      <w:r w:rsidRPr="000C560C">
        <w:t>)(</w:t>
      </w:r>
      <w:proofErr w:type="gramEnd"/>
      <w:r w:rsidRPr="000C560C">
        <w:t>a).</w:t>
      </w:r>
    </w:p>
    <w:p w14:paraId="6E9FAB45" w14:textId="77777777" w:rsidR="00054E77" w:rsidRPr="000C560C" w:rsidRDefault="00054E77" w:rsidP="00054E77">
      <w:pPr>
        <w:pStyle w:val="FSCnatHeading"/>
        <w:ind w:left="1985"/>
      </w:pPr>
      <w:r w:rsidRPr="000C560C">
        <w:rPr>
          <w:b/>
          <w:i/>
        </w:rPr>
        <w:t>Note 2</w:t>
      </w:r>
      <w:r w:rsidRPr="000C560C">
        <w:tab/>
        <w:t>For niacin, add niacin and any niacin provided from the conversion of the amino acid tryptophan, using the conversion factor 1:60.</w:t>
      </w:r>
    </w:p>
    <w:p w14:paraId="6E9FAB46" w14:textId="77777777" w:rsidR="00054E77" w:rsidRPr="000C560C" w:rsidRDefault="00054E77" w:rsidP="00054E77">
      <w:pPr>
        <w:pStyle w:val="FSCnatHeading"/>
        <w:ind w:left="1985"/>
      </w:pPr>
      <w:r w:rsidRPr="000C560C">
        <w:rPr>
          <w:b/>
          <w:i/>
        </w:rPr>
        <w:t>Note 3</w:t>
      </w:r>
      <w:r w:rsidRPr="000C560C">
        <w:rPr>
          <w:b/>
          <w:i/>
        </w:rPr>
        <w:tab/>
      </w:r>
      <w:r w:rsidRPr="000C560C">
        <w:t>See paragraph 1.1.2—14(3</w:t>
      </w:r>
      <w:proofErr w:type="gramStart"/>
      <w:r w:rsidRPr="000C560C">
        <w:t>)(</w:t>
      </w:r>
      <w:proofErr w:type="gramEnd"/>
      <w:r w:rsidRPr="000C560C">
        <w:t>c).</w:t>
      </w:r>
    </w:p>
    <w:bookmarkEnd w:id="111"/>
    <w:bookmarkEnd w:id="112"/>
    <w:p w14:paraId="6E9FAB49" w14:textId="77777777" w:rsidR="00054E77" w:rsidRPr="009C4395" w:rsidRDefault="00054E77" w:rsidP="00054E77">
      <w:pPr>
        <w:rPr>
          <w:highlight w:val="yellow"/>
        </w:rPr>
      </w:pPr>
      <w:r w:rsidRPr="009C4395">
        <w:rPr>
          <w:highlight w:val="yellow"/>
        </w:rPr>
        <w:br w:type="page"/>
      </w:r>
    </w:p>
    <w:p w14:paraId="6E9FAB4A" w14:textId="77777777" w:rsidR="00054E77" w:rsidRPr="00F26A5A" w:rsidRDefault="00054E77" w:rsidP="00054E77">
      <w:pPr>
        <w:pStyle w:val="Heading2"/>
      </w:pPr>
      <w:bookmarkStart w:id="126" w:name="_Toc300933454"/>
      <w:bookmarkStart w:id="127" w:name="_Toc419117488"/>
      <w:bookmarkStart w:id="128" w:name="_Toc436823476"/>
      <w:r w:rsidRPr="00F26A5A">
        <w:lastRenderedPageBreak/>
        <w:t>Attachment B –</w:t>
      </w:r>
      <w:r>
        <w:t xml:space="preserve"> </w:t>
      </w:r>
      <w:r w:rsidRPr="00F26A5A">
        <w:t>Explanatory Statement</w:t>
      </w:r>
      <w:bookmarkEnd w:id="126"/>
      <w:bookmarkEnd w:id="127"/>
      <w:bookmarkEnd w:id="128"/>
    </w:p>
    <w:p w14:paraId="6E9FAB4B" w14:textId="77777777" w:rsidR="00054E77" w:rsidRPr="005D423B" w:rsidRDefault="00054E77" w:rsidP="00054E77">
      <w:pPr>
        <w:rPr>
          <w:b/>
          <w:lang w:eastAsia="en-GB" w:bidi="ar-SA"/>
        </w:rPr>
      </w:pPr>
      <w:r w:rsidRPr="005D423B">
        <w:rPr>
          <w:b/>
          <w:lang w:eastAsia="en-GB" w:bidi="ar-SA"/>
        </w:rPr>
        <w:t>1.</w:t>
      </w:r>
      <w:r w:rsidRPr="005D423B">
        <w:rPr>
          <w:b/>
          <w:lang w:eastAsia="en-GB" w:bidi="ar-SA"/>
        </w:rPr>
        <w:tab/>
        <w:t>Authority</w:t>
      </w:r>
    </w:p>
    <w:p w14:paraId="6E9FAB4C" w14:textId="77777777" w:rsidR="00054E77" w:rsidRPr="005D423B" w:rsidRDefault="00054E77" w:rsidP="00054E77">
      <w:pPr>
        <w:rPr>
          <w:lang w:eastAsia="en-GB" w:bidi="ar-SA"/>
        </w:rPr>
      </w:pPr>
    </w:p>
    <w:p w14:paraId="6E9FAB4D" w14:textId="7FD15323" w:rsidR="00054E77" w:rsidRPr="005D423B" w:rsidRDefault="00054E77" w:rsidP="00054E77">
      <w:pPr>
        <w:widowControl/>
        <w:autoSpaceDE w:val="0"/>
        <w:autoSpaceDN w:val="0"/>
        <w:adjustRightInd w:val="0"/>
        <w:rPr>
          <w:rFonts w:eastAsia="Calibri" w:cs="Arial"/>
          <w:bCs/>
          <w:szCs w:val="22"/>
          <w:lang w:bidi="ar-SA"/>
        </w:rPr>
      </w:pPr>
      <w:r w:rsidRPr="005D423B">
        <w:rPr>
          <w:rFonts w:eastAsia="Calibri" w:cs="Arial"/>
          <w:bCs/>
          <w:szCs w:val="22"/>
          <w:lang w:bidi="ar-SA"/>
        </w:rPr>
        <w:t xml:space="preserve">Section 13 of the </w:t>
      </w:r>
      <w:r w:rsidRPr="005D423B">
        <w:rPr>
          <w:rFonts w:eastAsia="Calibri" w:cs="Arial"/>
          <w:bCs/>
          <w:i/>
          <w:szCs w:val="22"/>
          <w:lang w:bidi="ar-SA"/>
        </w:rPr>
        <w:t>Food Standards Australia New Zealand Act 1991</w:t>
      </w:r>
      <w:r w:rsidRPr="005D423B">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5D423B">
        <w:rPr>
          <w:rFonts w:eastAsia="Calibri" w:cs="Arial"/>
          <w:bCs/>
          <w:i/>
          <w:szCs w:val="22"/>
          <w:lang w:bidi="ar-SA"/>
        </w:rPr>
        <w:t>Australia New Zealand Food Standards Code</w:t>
      </w:r>
      <w:r w:rsidRPr="005D423B">
        <w:rPr>
          <w:rFonts w:eastAsia="Calibri" w:cs="Arial"/>
          <w:bCs/>
          <w:szCs w:val="22"/>
          <w:lang w:bidi="ar-SA"/>
        </w:rPr>
        <w:t xml:space="preserve"> (the </w:t>
      </w:r>
      <w:r w:rsidR="00186187">
        <w:rPr>
          <w:rFonts w:eastAsia="Calibri" w:cs="Arial"/>
          <w:bCs/>
          <w:szCs w:val="22"/>
          <w:lang w:bidi="ar-SA"/>
        </w:rPr>
        <w:t>current</w:t>
      </w:r>
      <w:r w:rsidRPr="005D423B">
        <w:rPr>
          <w:rFonts w:eastAsia="Calibri" w:cs="Arial"/>
          <w:bCs/>
          <w:szCs w:val="22"/>
          <w:lang w:bidi="ar-SA"/>
        </w:rPr>
        <w:t xml:space="preserve"> Code).</w:t>
      </w:r>
    </w:p>
    <w:p w14:paraId="6E9FAB4E" w14:textId="77777777" w:rsidR="00054E77" w:rsidRPr="005D423B" w:rsidRDefault="00054E77" w:rsidP="00054E77">
      <w:pPr>
        <w:widowControl/>
        <w:autoSpaceDE w:val="0"/>
        <w:autoSpaceDN w:val="0"/>
        <w:adjustRightInd w:val="0"/>
        <w:rPr>
          <w:rFonts w:eastAsia="Calibri" w:cs="Arial"/>
          <w:bCs/>
          <w:szCs w:val="22"/>
          <w:lang w:bidi="ar-SA"/>
        </w:rPr>
      </w:pPr>
    </w:p>
    <w:p w14:paraId="6E9FAB4F" w14:textId="77777777" w:rsidR="00054E77" w:rsidRPr="005D423B" w:rsidRDefault="00054E77" w:rsidP="00054E77">
      <w:pPr>
        <w:widowControl/>
        <w:autoSpaceDE w:val="0"/>
        <w:autoSpaceDN w:val="0"/>
        <w:adjustRightInd w:val="0"/>
        <w:rPr>
          <w:rFonts w:eastAsia="Calibri" w:cs="Arial"/>
          <w:bCs/>
          <w:szCs w:val="22"/>
          <w:lang w:bidi="ar-SA"/>
        </w:rPr>
      </w:pPr>
      <w:r w:rsidRPr="005D423B">
        <w:rPr>
          <w:rFonts w:eastAsia="Calibri" w:cs="Arial"/>
          <w:bCs/>
          <w:szCs w:val="22"/>
          <w:lang w:bidi="ar-SA"/>
        </w:rPr>
        <w:t xml:space="preserve">Division 2 of Part 3 of the FSANZ Act specifies that the Authority may prepare a proposal for the development or variation of food regulatory measures, including standards. This Division also stipulates the procedure for considering a proposal for the development or variation of food regulatory measures. </w:t>
      </w:r>
    </w:p>
    <w:p w14:paraId="6E9FAB50" w14:textId="77777777" w:rsidR="00054E77" w:rsidRPr="005D423B" w:rsidRDefault="00054E77" w:rsidP="00054E77">
      <w:pPr>
        <w:widowControl/>
        <w:autoSpaceDE w:val="0"/>
        <w:autoSpaceDN w:val="0"/>
        <w:adjustRightInd w:val="0"/>
        <w:rPr>
          <w:rFonts w:eastAsia="Calibri" w:cs="Arial"/>
          <w:bCs/>
          <w:szCs w:val="22"/>
          <w:lang w:bidi="ar-SA"/>
        </w:rPr>
      </w:pPr>
    </w:p>
    <w:p w14:paraId="6E9FAB51" w14:textId="77777777" w:rsidR="00054E77" w:rsidRPr="005D423B" w:rsidRDefault="00054E77" w:rsidP="00054E77">
      <w:r w:rsidRPr="005D423B">
        <w:t xml:space="preserve">FSANZ has published a revision of the </w:t>
      </w:r>
      <w:r>
        <w:t>current</w:t>
      </w:r>
      <w:r w:rsidRPr="005D423B">
        <w:t xml:space="preserve"> Code </w:t>
      </w:r>
      <w:r>
        <w:t xml:space="preserve">in April 2015 </w:t>
      </w:r>
      <w:r w:rsidRPr="005D423B">
        <w:t xml:space="preserve">(the </w:t>
      </w:r>
      <w:r>
        <w:t>revised</w:t>
      </w:r>
      <w:r w:rsidRPr="005D423B">
        <w:t xml:space="preserve"> Code). The </w:t>
      </w:r>
      <w:r>
        <w:t>revised</w:t>
      </w:r>
      <w:r w:rsidRPr="005D423B">
        <w:t xml:space="preserve"> Code will replace the </w:t>
      </w:r>
      <w:r>
        <w:t>current</w:t>
      </w:r>
      <w:r w:rsidRPr="005D423B">
        <w:t xml:space="preserve"> Code on 1 March 2016, when the </w:t>
      </w:r>
      <w:r>
        <w:t>current</w:t>
      </w:r>
      <w:r w:rsidRPr="005D423B">
        <w:t xml:space="preserve"> Code will be repealed.</w:t>
      </w:r>
    </w:p>
    <w:p w14:paraId="6E9FAB52" w14:textId="77777777" w:rsidR="00054E77" w:rsidRPr="005D423B" w:rsidRDefault="00054E77" w:rsidP="00054E77">
      <w:pPr>
        <w:widowControl/>
        <w:autoSpaceDE w:val="0"/>
        <w:autoSpaceDN w:val="0"/>
        <w:adjustRightInd w:val="0"/>
        <w:rPr>
          <w:rFonts w:eastAsia="Calibri" w:cs="Arial"/>
          <w:bCs/>
          <w:szCs w:val="22"/>
          <w:lang w:bidi="ar-SA"/>
        </w:rPr>
      </w:pPr>
    </w:p>
    <w:p w14:paraId="6E9FAB53" w14:textId="6A112E71" w:rsidR="00054E77" w:rsidRDefault="00054E77" w:rsidP="00054E77">
      <w:pPr>
        <w:widowControl/>
        <w:autoSpaceDE w:val="0"/>
        <w:autoSpaceDN w:val="0"/>
        <w:adjustRightInd w:val="0"/>
        <w:rPr>
          <w:rFonts w:eastAsia="Calibri" w:cs="Arial"/>
          <w:bCs/>
          <w:szCs w:val="22"/>
          <w:lang w:bidi="ar-SA"/>
        </w:rPr>
      </w:pPr>
      <w:r w:rsidRPr="005D423B">
        <w:rPr>
          <w:rFonts w:eastAsia="Calibri" w:cs="Arial"/>
          <w:bCs/>
          <w:szCs w:val="22"/>
          <w:lang w:bidi="ar-SA"/>
        </w:rPr>
        <w:t xml:space="preserve">FSANZ prepared Proposal P1040 </w:t>
      </w:r>
      <w:r w:rsidRPr="005D423B">
        <w:rPr>
          <w:szCs w:val="22"/>
        </w:rPr>
        <w:t xml:space="preserve">to correct minor errors in the published </w:t>
      </w:r>
      <w:r>
        <w:rPr>
          <w:szCs w:val="22"/>
        </w:rPr>
        <w:t xml:space="preserve">revised </w:t>
      </w:r>
      <w:r w:rsidRPr="005D423B">
        <w:rPr>
          <w:szCs w:val="22"/>
        </w:rPr>
        <w:t>Code</w:t>
      </w:r>
      <w:r w:rsidRPr="005D423B">
        <w:rPr>
          <w:rFonts w:eastAsia="Calibri" w:cs="Arial"/>
          <w:bCs/>
          <w:szCs w:val="22"/>
          <w:lang w:bidi="ar-SA"/>
        </w:rPr>
        <w:t xml:space="preserve">. The Authority has considered the Proposal in accordance with Division 2 of Part 3 and has </w:t>
      </w:r>
      <w:r w:rsidR="001747AA">
        <w:rPr>
          <w:rFonts w:eastAsia="Calibri" w:cs="Arial"/>
          <w:bCs/>
          <w:szCs w:val="22"/>
          <w:lang w:bidi="ar-SA"/>
        </w:rPr>
        <w:t>approved</w:t>
      </w:r>
      <w:r w:rsidR="001747AA" w:rsidRPr="005D423B">
        <w:rPr>
          <w:rFonts w:eastAsia="Calibri" w:cs="Arial"/>
          <w:bCs/>
          <w:szCs w:val="22"/>
          <w:lang w:bidi="ar-SA"/>
        </w:rPr>
        <w:t xml:space="preserve"> </w:t>
      </w:r>
      <w:r w:rsidRPr="005D423B">
        <w:rPr>
          <w:rFonts w:eastAsia="Calibri" w:cs="Arial"/>
          <w:bCs/>
          <w:szCs w:val="22"/>
          <w:lang w:bidi="ar-SA"/>
        </w:rPr>
        <w:t xml:space="preserve">a draft variation. </w:t>
      </w:r>
    </w:p>
    <w:p w14:paraId="6DAF25E3" w14:textId="77777777" w:rsidR="001747AA" w:rsidRPr="005D423B" w:rsidRDefault="001747AA" w:rsidP="00054E77">
      <w:pPr>
        <w:widowControl/>
        <w:autoSpaceDE w:val="0"/>
        <w:autoSpaceDN w:val="0"/>
        <w:adjustRightInd w:val="0"/>
        <w:rPr>
          <w:rFonts w:eastAsia="Calibri" w:cs="Arial"/>
          <w:bCs/>
          <w:szCs w:val="22"/>
          <w:lang w:bidi="ar-SA"/>
        </w:rPr>
      </w:pPr>
    </w:p>
    <w:p w14:paraId="33D77502" w14:textId="77777777" w:rsidR="001747AA" w:rsidRPr="00D13E34" w:rsidRDefault="001747AA" w:rsidP="001747A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Pr>
          <w:rStyle w:val="FootnoteReference"/>
          <w:rFonts w:cs="Arial"/>
        </w:rPr>
        <w:footnoteReference w:id="4"/>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6BB09043" w14:textId="77777777" w:rsidR="001747AA" w:rsidRPr="00D13E34" w:rsidRDefault="001747AA" w:rsidP="001747AA">
      <w:pPr>
        <w:widowControl/>
        <w:autoSpaceDE w:val="0"/>
        <w:autoSpaceDN w:val="0"/>
        <w:adjustRightInd w:val="0"/>
        <w:rPr>
          <w:rFonts w:eastAsia="Calibri" w:cs="Arial"/>
          <w:bCs/>
          <w:szCs w:val="22"/>
          <w:lang w:val="en-AU" w:bidi="ar-SA"/>
        </w:rPr>
      </w:pPr>
    </w:p>
    <w:p w14:paraId="6F9B3F91" w14:textId="77777777" w:rsidR="001747AA" w:rsidRPr="00D13E34" w:rsidRDefault="001747AA" w:rsidP="00A85408">
      <w:pPr>
        <w:widowControl/>
        <w:autoSpaceDE w:val="0"/>
        <w:autoSpaceDN w:val="0"/>
        <w:adjustRightInd w:val="0"/>
        <w:ind w:right="-33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14:paraId="6E9FAB54" w14:textId="77777777" w:rsidR="00054E77" w:rsidRPr="0074705B" w:rsidRDefault="00054E77" w:rsidP="00054E77">
      <w:pPr>
        <w:widowControl/>
        <w:autoSpaceDE w:val="0"/>
        <w:autoSpaceDN w:val="0"/>
        <w:adjustRightInd w:val="0"/>
        <w:rPr>
          <w:rFonts w:eastAsia="Calibri" w:cs="Arial"/>
          <w:bCs/>
          <w:szCs w:val="22"/>
          <w:lang w:bidi="ar-SA"/>
        </w:rPr>
      </w:pPr>
    </w:p>
    <w:p w14:paraId="6E9FAB55" w14:textId="77777777" w:rsidR="00054E77" w:rsidRPr="0074705B" w:rsidRDefault="00054E77" w:rsidP="00054E77">
      <w:pPr>
        <w:rPr>
          <w:b/>
          <w:lang w:eastAsia="en-GB" w:bidi="ar-SA"/>
        </w:rPr>
      </w:pPr>
      <w:r w:rsidRPr="0074705B">
        <w:rPr>
          <w:b/>
          <w:lang w:eastAsia="en-GB" w:bidi="ar-SA"/>
        </w:rPr>
        <w:t>2.</w:t>
      </w:r>
      <w:r w:rsidRPr="0074705B">
        <w:rPr>
          <w:b/>
          <w:lang w:eastAsia="en-GB" w:bidi="ar-SA"/>
        </w:rPr>
        <w:tab/>
        <w:t xml:space="preserve">Purpose </w:t>
      </w:r>
    </w:p>
    <w:p w14:paraId="6E9FAB56" w14:textId="77777777" w:rsidR="00054E77" w:rsidRPr="0074705B" w:rsidRDefault="00054E77" w:rsidP="00054E77">
      <w:pPr>
        <w:rPr>
          <w:lang w:eastAsia="en-GB" w:bidi="ar-SA"/>
        </w:rPr>
      </w:pPr>
    </w:p>
    <w:p w14:paraId="6E9FAB57" w14:textId="77777777" w:rsidR="00054E77" w:rsidRPr="0074705B" w:rsidRDefault="00054E77" w:rsidP="00054E77">
      <w:pPr>
        <w:rPr>
          <w:szCs w:val="22"/>
        </w:rPr>
      </w:pPr>
      <w:r w:rsidRPr="0074705B">
        <w:rPr>
          <w:lang w:eastAsia="en-GB" w:bidi="ar-SA"/>
        </w:rPr>
        <w:t xml:space="preserve">The Authority has approved the draft variation </w:t>
      </w:r>
      <w:r w:rsidRPr="0074705B">
        <w:rPr>
          <w:szCs w:val="22"/>
        </w:rPr>
        <w:t xml:space="preserve">to correct </w:t>
      </w:r>
      <w:r w:rsidRPr="0074705B">
        <w:t xml:space="preserve">minor </w:t>
      </w:r>
      <w:r w:rsidRPr="0074705B">
        <w:rPr>
          <w:rFonts w:cs="Arial"/>
        </w:rPr>
        <w:t>typographical and transcription errors</w:t>
      </w:r>
      <w:r w:rsidRPr="0074705B">
        <w:t>.</w:t>
      </w:r>
    </w:p>
    <w:p w14:paraId="6E9FAB58" w14:textId="77777777" w:rsidR="00054E77" w:rsidRPr="009C4395" w:rsidRDefault="00054E77" w:rsidP="00054E77">
      <w:pPr>
        <w:rPr>
          <w:highlight w:val="yellow"/>
          <w:lang w:eastAsia="en-GB" w:bidi="ar-SA"/>
        </w:rPr>
      </w:pPr>
    </w:p>
    <w:p w14:paraId="6E9FAB59" w14:textId="77777777" w:rsidR="00054E77" w:rsidRPr="00F34418" w:rsidRDefault="00054E77" w:rsidP="00054E77">
      <w:pPr>
        <w:rPr>
          <w:b/>
          <w:lang w:eastAsia="en-GB" w:bidi="ar-SA"/>
        </w:rPr>
      </w:pPr>
      <w:r w:rsidRPr="00F34418">
        <w:rPr>
          <w:b/>
          <w:lang w:eastAsia="en-GB" w:bidi="ar-SA"/>
        </w:rPr>
        <w:t>3.</w:t>
      </w:r>
      <w:r w:rsidRPr="00F34418">
        <w:rPr>
          <w:b/>
          <w:lang w:eastAsia="en-GB" w:bidi="ar-SA"/>
        </w:rPr>
        <w:tab/>
        <w:t>Documents incorporated by reference</w:t>
      </w:r>
    </w:p>
    <w:p w14:paraId="6E9FAB5A" w14:textId="77777777" w:rsidR="00054E77" w:rsidRPr="00F34418" w:rsidRDefault="00054E77" w:rsidP="00054E77">
      <w:pPr>
        <w:rPr>
          <w:lang w:eastAsia="en-GB" w:bidi="ar-SA"/>
        </w:rPr>
      </w:pPr>
    </w:p>
    <w:p w14:paraId="6E9FAB5B" w14:textId="30C2A5BA" w:rsidR="00054E77" w:rsidRPr="00F34418" w:rsidRDefault="00054E77" w:rsidP="00054E77">
      <w:pPr>
        <w:widowControl/>
        <w:autoSpaceDE w:val="0"/>
        <w:autoSpaceDN w:val="0"/>
        <w:adjustRightInd w:val="0"/>
        <w:rPr>
          <w:rFonts w:eastAsia="Calibri" w:cs="Arial"/>
          <w:bCs/>
          <w:szCs w:val="22"/>
          <w:lang w:bidi="ar-SA"/>
        </w:rPr>
      </w:pPr>
      <w:r w:rsidRPr="00F34418">
        <w:rPr>
          <w:rFonts w:eastAsia="Calibri" w:cs="Arial"/>
          <w:bCs/>
          <w:szCs w:val="22"/>
          <w:lang w:bidi="ar-SA"/>
        </w:rPr>
        <w:t xml:space="preserve">The variation to the </w:t>
      </w:r>
      <w:r>
        <w:rPr>
          <w:rFonts w:eastAsia="Calibri" w:cs="Arial"/>
          <w:bCs/>
          <w:szCs w:val="22"/>
          <w:lang w:bidi="ar-SA"/>
        </w:rPr>
        <w:t>revised</w:t>
      </w:r>
      <w:r w:rsidRPr="00F34418">
        <w:rPr>
          <w:rFonts w:eastAsia="Calibri" w:cs="Arial"/>
          <w:bCs/>
          <w:szCs w:val="22"/>
          <w:lang w:bidi="ar-SA"/>
        </w:rPr>
        <w:t xml:space="preserve"> Code does not incorporate any documents by reference not already incorporated into the </w:t>
      </w:r>
      <w:r w:rsidR="00186187">
        <w:rPr>
          <w:rFonts w:eastAsia="Calibri" w:cs="Arial"/>
          <w:bCs/>
          <w:szCs w:val="22"/>
          <w:lang w:bidi="ar-SA"/>
        </w:rPr>
        <w:t>current</w:t>
      </w:r>
      <w:r w:rsidRPr="00F34418">
        <w:rPr>
          <w:rFonts w:eastAsia="Calibri" w:cs="Arial"/>
          <w:bCs/>
          <w:szCs w:val="22"/>
          <w:lang w:bidi="ar-SA"/>
        </w:rPr>
        <w:t xml:space="preserve"> Code.</w:t>
      </w:r>
    </w:p>
    <w:p w14:paraId="6E9FAB5C" w14:textId="77777777" w:rsidR="00054E77" w:rsidRPr="009C4395" w:rsidRDefault="00054E77" w:rsidP="00054E77">
      <w:pPr>
        <w:rPr>
          <w:highlight w:val="yellow"/>
          <w:lang w:eastAsia="en-GB" w:bidi="ar-SA"/>
        </w:rPr>
      </w:pPr>
    </w:p>
    <w:p w14:paraId="6E9FAB5D" w14:textId="77777777" w:rsidR="00054E77" w:rsidRPr="007B4E53" w:rsidRDefault="00054E77" w:rsidP="00054E77">
      <w:pPr>
        <w:rPr>
          <w:b/>
          <w:lang w:eastAsia="en-GB" w:bidi="ar-SA"/>
        </w:rPr>
      </w:pPr>
      <w:r w:rsidRPr="007B4E53">
        <w:rPr>
          <w:b/>
          <w:lang w:eastAsia="en-GB" w:bidi="ar-SA"/>
        </w:rPr>
        <w:t>4.</w:t>
      </w:r>
      <w:r w:rsidRPr="007B4E53">
        <w:rPr>
          <w:b/>
          <w:lang w:eastAsia="en-GB" w:bidi="ar-SA"/>
        </w:rPr>
        <w:tab/>
        <w:t>Consultation</w:t>
      </w:r>
    </w:p>
    <w:p w14:paraId="6E9FAB5E" w14:textId="77777777" w:rsidR="00054E77" w:rsidRPr="009C4395" w:rsidRDefault="00054E77" w:rsidP="00054E77">
      <w:pPr>
        <w:rPr>
          <w:highlight w:val="yellow"/>
          <w:lang w:eastAsia="en-GB" w:bidi="ar-SA"/>
        </w:rPr>
      </w:pPr>
    </w:p>
    <w:p w14:paraId="6E9FAB5F" w14:textId="77777777" w:rsidR="00054E77" w:rsidRPr="00687AEA" w:rsidRDefault="00054E77" w:rsidP="00054E77">
      <w:r w:rsidRPr="00687AEA">
        <w:rPr>
          <w:szCs w:val="22"/>
        </w:rPr>
        <w:t xml:space="preserve">In accordance with the procedure in Division 2 of Part 3 of the FSANZ Act, </w:t>
      </w:r>
      <w:r w:rsidRPr="00687AEA">
        <w:rPr>
          <w:rFonts w:eastAsia="Calibri" w:cs="Arial"/>
          <w:bCs/>
          <w:szCs w:val="22"/>
          <w:lang w:bidi="ar-SA"/>
        </w:rPr>
        <w:t>the Authority</w:t>
      </w:r>
      <w:r w:rsidRPr="00687AEA">
        <w:rPr>
          <w:szCs w:val="22"/>
        </w:rPr>
        <w:t>’s consideration of P1040 include</w:t>
      </w:r>
      <w:r w:rsidR="00014F3B">
        <w:rPr>
          <w:szCs w:val="22"/>
        </w:rPr>
        <w:t>d</w:t>
      </w:r>
      <w:r w:rsidRPr="00687AEA">
        <w:rPr>
          <w:szCs w:val="22"/>
        </w:rPr>
        <w:t xml:space="preserve"> one round of consultation with appropriate government agencies following an assessment and the preparation of a draft variation and associated report. </w:t>
      </w:r>
      <w:r>
        <w:rPr>
          <w:szCs w:val="22"/>
        </w:rPr>
        <w:t>T</w:t>
      </w:r>
      <w:r w:rsidRPr="00687AEA">
        <w:rPr>
          <w:szCs w:val="22"/>
        </w:rPr>
        <w:t xml:space="preserve">he call for submissions </w:t>
      </w:r>
      <w:r w:rsidR="001614C4">
        <w:rPr>
          <w:szCs w:val="22"/>
        </w:rPr>
        <w:t>was</w:t>
      </w:r>
      <w:r w:rsidRPr="00687AEA">
        <w:rPr>
          <w:szCs w:val="22"/>
        </w:rPr>
        <w:t xml:space="preserve"> also notified in FSANZ’s Notification Circular to ensure all stakeholders </w:t>
      </w:r>
      <w:r w:rsidR="001614C4">
        <w:rPr>
          <w:szCs w:val="22"/>
        </w:rPr>
        <w:t>were</w:t>
      </w:r>
      <w:r>
        <w:rPr>
          <w:szCs w:val="22"/>
        </w:rPr>
        <w:t xml:space="preserve"> informed and </w:t>
      </w:r>
      <w:r w:rsidR="001614C4">
        <w:rPr>
          <w:szCs w:val="22"/>
        </w:rPr>
        <w:t>had</w:t>
      </w:r>
      <w:r>
        <w:rPr>
          <w:szCs w:val="22"/>
        </w:rPr>
        <w:t xml:space="preserve"> an opportunity to make a submission</w:t>
      </w:r>
      <w:r w:rsidRPr="00687AEA">
        <w:rPr>
          <w:szCs w:val="22"/>
        </w:rPr>
        <w:t>.</w:t>
      </w:r>
    </w:p>
    <w:p w14:paraId="6E9FAB60" w14:textId="77777777" w:rsidR="00054E77" w:rsidRPr="00687AEA" w:rsidRDefault="00054E77" w:rsidP="00054E77"/>
    <w:p w14:paraId="6E9FAB61" w14:textId="77777777" w:rsidR="00054E77" w:rsidRPr="00687AEA" w:rsidRDefault="00054E77" w:rsidP="00054E77">
      <w:pPr>
        <w:widowControl/>
        <w:autoSpaceDE w:val="0"/>
        <w:autoSpaceDN w:val="0"/>
        <w:adjustRightInd w:val="0"/>
        <w:rPr>
          <w:rFonts w:cs="Arial"/>
          <w:szCs w:val="22"/>
        </w:rPr>
      </w:pPr>
      <w:r w:rsidRPr="00687AEA">
        <w:rPr>
          <w:rFonts w:eastAsia="Calibri" w:cs="Arial"/>
          <w:bCs/>
          <w:szCs w:val="22"/>
          <w:lang w:bidi="ar-SA"/>
        </w:rPr>
        <w:t>A Regulation Impact Statement w</w:t>
      </w:r>
      <w:r>
        <w:rPr>
          <w:rFonts w:eastAsia="Calibri" w:cs="Arial"/>
          <w:bCs/>
          <w:szCs w:val="22"/>
          <w:lang w:bidi="ar-SA"/>
        </w:rPr>
        <w:t>a</w:t>
      </w:r>
      <w:r w:rsidRPr="00687AEA">
        <w:rPr>
          <w:rFonts w:eastAsia="Calibri" w:cs="Arial"/>
          <w:bCs/>
          <w:szCs w:val="22"/>
          <w:lang w:bidi="ar-SA"/>
        </w:rPr>
        <w:t xml:space="preserve">s not required because the proposed variation to the </w:t>
      </w:r>
      <w:r>
        <w:rPr>
          <w:rFonts w:eastAsia="Calibri" w:cs="Arial"/>
          <w:bCs/>
          <w:szCs w:val="22"/>
          <w:lang w:bidi="ar-SA"/>
        </w:rPr>
        <w:t>revised</w:t>
      </w:r>
      <w:r w:rsidRPr="00687AEA">
        <w:rPr>
          <w:rFonts w:eastAsia="Calibri" w:cs="Arial"/>
          <w:bCs/>
          <w:szCs w:val="22"/>
          <w:lang w:bidi="ar-SA"/>
        </w:rPr>
        <w:t xml:space="preserve"> Code </w:t>
      </w:r>
      <w:r w:rsidRPr="00687AEA">
        <w:t xml:space="preserve">is likely to have a minor </w:t>
      </w:r>
      <w:r>
        <w:t xml:space="preserve">regulatory </w:t>
      </w:r>
      <w:r w:rsidRPr="00687AEA">
        <w:t>impact on business and individuals</w:t>
      </w:r>
      <w:r w:rsidRPr="00687AEA">
        <w:rPr>
          <w:szCs w:val="22"/>
        </w:rPr>
        <w:t>.</w:t>
      </w:r>
    </w:p>
    <w:p w14:paraId="6E9FAB62" w14:textId="77777777" w:rsidR="00054E77" w:rsidRPr="009C4395" w:rsidRDefault="00054E77" w:rsidP="00054E77">
      <w:pPr>
        <w:widowControl/>
        <w:rPr>
          <w:rFonts w:eastAsiaTheme="minorHAnsi" w:cs="Arial"/>
          <w:b/>
          <w:bCs/>
          <w:szCs w:val="22"/>
          <w:highlight w:val="yellow"/>
          <w:lang w:bidi="ar-SA"/>
        </w:rPr>
      </w:pPr>
    </w:p>
    <w:p w14:paraId="274CBC53" w14:textId="77777777" w:rsidR="00A85408" w:rsidRDefault="00A85408" w:rsidP="00054E77">
      <w:pPr>
        <w:widowControl/>
        <w:rPr>
          <w:rFonts w:eastAsiaTheme="minorHAnsi" w:cs="Arial"/>
          <w:b/>
          <w:bCs/>
          <w:szCs w:val="22"/>
          <w:lang w:bidi="ar-SA"/>
        </w:rPr>
      </w:pPr>
      <w:r>
        <w:rPr>
          <w:rFonts w:eastAsiaTheme="minorHAnsi" w:cs="Arial"/>
          <w:b/>
          <w:bCs/>
          <w:szCs w:val="22"/>
          <w:lang w:bidi="ar-SA"/>
        </w:rPr>
        <w:br w:type="page"/>
      </w:r>
    </w:p>
    <w:p w14:paraId="6E9FAB63" w14:textId="73308434" w:rsidR="00054E77" w:rsidRPr="00F34418" w:rsidRDefault="00054E77" w:rsidP="00054E77">
      <w:pPr>
        <w:widowControl/>
        <w:rPr>
          <w:rFonts w:eastAsiaTheme="minorHAnsi" w:cs="Arial"/>
          <w:b/>
          <w:bCs/>
          <w:szCs w:val="22"/>
          <w:lang w:bidi="ar-SA"/>
        </w:rPr>
      </w:pPr>
      <w:r w:rsidRPr="00F34418">
        <w:rPr>
          <w:rFonts w:eastAsiaTheme="minorHAnsi" w:cs="Arial"/>
          <w:b/>
          <w:bCs/>
          <w:szCs w:val="22"/>
          <w:lang w:bidi="ar-SA"/>
        </w:rPr>
        <w:lastRenderedPageBreak/>
        <w:t>5.</w:t>
      </w:r>
      <w:r w:rsidRPr="00F34418">
        <w:rPr>
          <w:rFonts w:eastAsiaTheme="minorHAnsi" w:cs="Arial"/>
          <w:b/>
          <w:bCs/>
          <w:szCs w:val="22"/>
          <w:lang w:bidi="ar-SA"/>
        </w:rPr>
        <w:tab/>
        <w:t>Statement of compatibility with human rights</w:t>
      </w:r>
    </w:p>
    <w:p w14:paraId="6E9FAB64" w14:textId="77777777" w:rsidR="00054E77" w:rsidRPr="00F34418" w:rsidRDefault="00054E77" w:rsidP="00054E77">
      <w:pPr>
        <w:rPr>
          <w:rFonts w:eastAsiaTheme="minorHAnsi"/>
          <w:lang w:bidi="ar-SA"/>
        </w:rPr>
      </w:pPr>
    </w:p>
    <w:p w14:paraId="6E9FAB65" w14:textId="77777777" w:rsidR="00054E77" w:rsidRPr="00F34418" w:rsidRDefault="00054E77" w:rsidP="00054E77">
      <w:pPr>
        <w:rPr>
          <w:rFonts w:eastAsiaTheme="minorHAnsi"/>
          <w:lang w:bidi="ar-SA"/>
        </w:rPr>
      </w:pPr>
      <w:r w:rsidRPr="00F34418">
        <w:rPr>
          <w:rFonts w:eastAsiaTheme="minorHAnsi"/>
          <w:lang w:bidi="ar-SA"/>
        </w:rPr>
        <w:t>This instrument is exempt from the requirements for a statement of compatibility with human rights as it is a non-disallowable instrument under section 94 of the FSANZ Act.</w:t>
      </w:r>
    </w:p>
    <w:p w14:paraId="6E9FAB66" w14:textId="77777777" w:rsidR="00054E77" w:rsidRPr="00F34418" w:rsidRDefault="00054E77" w:rsidP="00054E77">
      <w:pPr>
        <w:rPr>
          <w:b/>
        </w:rPr>
      </w:pPr>
    </w:p>
    <w:p w14:paraId="6E9FAB67" w14:textId="77777777" w:rsidR="00054E77" w:rsidRPr="00F34418" w:rsidRDefault="00054E77" w:rsidP="00054E77">
      <w:pPr>
        <w:rPr>
          <w:lang w:eastAsia="en-GB" w:bidi="ar-SA"/>
        </w:rPr>
      </w:pPr>
      <w:r w:rsidRPr="00F34418">
        <w:rPr>
          <w:b/>
        </w:rPr>
        <w:t>6.</w:t>
      </w:r>
      <w:r w:rsidRPr="00F34418">
        <w:rPr>
          <w:b/>
        </w:rPr>
        <w:tab/>
      </w:r>
      <w:r w:rsidRPr="00F34418">
        <w:rPr>
          <w:b/>
          <w:lang w:eastAsia="en-GB" w:bidi="ar-SA"/>
        </w:rPr>
        <w:t>Variation</w:t>
      </w:r>
    </w:p>
    <w:p w14:paraId="6E9FAB68" w14:textId="77777777" w:rsidR="00054E77" w:rsidRPr="009C4395" w:rsidRDefault="00054E77" w:rsidP="00054E77">
      <w:pPr>
        <w:rPr>
          <w:highlight w:val="yellow"/>
        </w:rPr>
      </w:pPr>
    </w:p>
    <w:p w14:paraId="6E9FAB69" w14:textId="77777777" w:rsidR="00054E77" w:rsidRPr="00E430B3" w:rsidRDefault="00054E77" w:rsidP="00054E77">
      <w:pPr>
        <w:rPr>
          <w:b/>
          <w:i/>
        </w:rPr>
      </w:pPr>
      <w:r>
        <w:rPr>
          <w:b/>
          <w:i/>
        </w:rPr>
        <w:t>S</w:t>
      </w:r>
      <w:r w:rsidRPr="00E430B3">
        <w:rPr>
          <w:b/>
          <w:i/>
        </w:rPr>
        <w:t>ection 1.1.1—2</w:t>
      </w:r>
    </w:p>
    <w:p w14:paraId="6E9FAB6A" w14:textId="77777777" w:rsidR="00054E77" w:rsidRPr="00E430B3" w:rsidRDefault="00054E77" w:rsidP="00054E77"/>
    <w:p w14:paraId="6E9FAB6B" w14:textId="77777777" w:rsidR="00054E77" w:rsidRDefault="00054E77" w:rsidP="00054E77">
      <w:pPr>
        <w:rPr>
          <w:szCs w:val="20"/>
        </w:rPr>
      </w:pPr>
      <w:r w:rsidRPr="00E430B3">
        <w:t>Item</w:t>
      </w:r>
      <w:r>
        <w:t xml:space="preserve"> [1] deletes </w:t>
      </w:r>
      <w:r>
        <w:rPr>
          <w:szCs w:val="20"/>
        </w:rPr>
        <w:t xml:space="preserve">the reference to </w:t>
      </w:r>
      <w:r w:rsidRPr="001F60DD">
        <w:rPr>
          <w:szCs w:val="20"/>
        </w:rPr>
        <w:t>Standard 1.2.12 – Transitional standard for dietary fibre</w:t>
      </w:r>
      <w:r>
        <w:rPr>
          <w:szCs w:val="20"/>
        </w:rPr>
        <w:t xml:space="preserve"> nutrition content claims. That Standard will cease to have effect on 18 January 2017. Item [1] will take effect and remove the reference on 19 January 2017.</w:t>
      </w:r>
    </w:p>
    <w:p w14:paraId="6E9FAB6C" w14:textId="77777777" w:rsidR="00054E77" w:rsidRDefault="00054E77" w:rsidP="00054E77">
      <w:pPr>
        <w:rPr>
          <w:szCs w:val="20"/>
        </w:rPr>
      </w:pPr>
    </w:p>
    <w:p w14:paraId="6E9FAB6D" w14:textId="77777777" w:rsidR="00054E77" w:rsidRPr="002966ED" w:rsidRDefault="00054E77" w:rsidP="00054E77">
      <w:pPr>
        <w:rPr>
          <w:b/>
          <w:i/>
        </w:rPr>
      </w:pPr>
      <w:r>
        <w:rPr>
          <w:b/>
          <w:i/>
        </w:rPr>
        <w:t>S</w:t>
      </w:r>
      <w:r w:rsidRPr="002966ED">
        <w:rPr>
          <w:b/>
          <w:i/>
        </w:rPr>
        <w:t>ection 1.1.2—</w:t>
      </w:r>
      <w:r>
        <w:rPr>
          <w:b/>
          <w:i/>
        </w:rPr>
        <w:t>2</w:t>
      </w:r>
      <w:r w:rsidRPr="002966ED">
        <w:rPr>
          <w:b/>
          <w:i/>
        </w:rPr>
        <w:t>(3) (definition of individual portion pack)</w:t>
      </w:r>
    </w:p>
    <w:p w14:paraId="6E9FAB6E" w14:textId="77777777" w:rsidR="00054E77" w:rsidRPr="009C4395" w:rsidRDefault="00054E77" w:rsidP="00054E77">
      <w:pPr>
        <w:rPr>
          <w:highlight w:val="yellow"/>
          <w:u w:val="single"/>
        </w:rPr>
      </w:pPr>
    </w:p>
    <w:p w14:paraId="6E9FAB6F" w14:textId="77777777" w:rsidR="00054E77" w:rsidRPr="009C4395" w:rsidRDefault="00054E77" w:rsidP="00054E77">
      <w:pPr>
        <w:rPr>
          <w:highlight w:val="yellow"/>
        </w:rPr>
      </w:pPr>
      <w:r w:rsidRPr="003911EB">
        <w:t>Item [2] replaces</w:t>
      </w:r>
      <w:r>
        <w:t xml:space="preserve"> ‘1.2.1—6(4)’ with ‘1.2.1—6(3)’,</w:t>
      </w:r>
      <w:r w:rsidRPr="003911EB">
        <w:t xml:space="preserve"> to correct a </w:t>
      </w:r>
      <w:r>
        <w:t>referencing</w:t>
      </w:r>
      <w:r w:rsidRPr="00321E8A">
        <w:t xml:space="preserve"> error.</w:t>
      </w:r>
      <w:r w:rsidRPr="009C4395">
        <w:rPr>
          <w:highlight w:val="yellow"/>
        </w:rPr>
        <w:t xml:space="preserve"> </w:t>
      </w:r>
    </w:p>
    <w:p w14:paraId="6E9FAB70" w14:textId="77777777" w:rsidR="00054E77" w:rsidRPr="009C4395" w:rsidRDefault="00054E77" w:rsidP="00054E77">
      <w:pPr>
        <w:rPr>
          <w:highlight w:val="yellow"/>
        </w:rPr>
      </w:pPr>
    </w:p>
    <w:p w14:paraId="6E9FAB71" w14:textId="77777777" w:rsidR="00054E77" w:rsidRPr="004B414F" w:rsidRDefault="00054E77" w:rsidP="00054E77">
      <w:pPr>
        <w:rPr>
          <w:b/>
          <w:i/>
        </w:rPr>
      </w:pPr>
      <w:r>
        <w:rPr>
          <w:b/>
          <w:i/>
        </w:rPr>
        <w:t>S</w:t>
      </w:r>
      <w:r w:rsidRPr="004B414F">
        <w:rPr>
          <w:b/>
          <w:i/>
        </w:rPr>
        <w:t>ection 1.1.2—2 (Note)</w:t>
      </w:r>
    </w:p>
    <w:p w14:paraId="6E9FAB72" w14:textId="77777777" w:rsidR="00054E77" w:rsidRPr="004B414F" w:rsidRDefault="00054E77" w:rsidP="00054E77"/>
    <w:p w14:paraId="6E9FAB73" w14:textId="77777777" w:rsidR="00054E77" w:rsidRPr="009C4395" w:rsidRDefault="00054E77" w:rsidP="00054E77">
      <w:pPr>
        <w:rPr>
          <w:highlight w:val="yellow"/>
        </w:rPr>
      </w:pPr>
      <w:proofErr w:type="gramStart"/>
      <w:r>
        <w:t xml:space="preserve">Item [3] deletes ‘0’ </w:t>
      </w:r>
      <w:r w:rsidRPr="004B414F">
        <w:t>to correct a transcription error.</w:t>
      </w:r>
      <w:proofErr w:type="gramEnd"/>
    </w:p>
    <w:p w14:paraId="6E9FAB74" w14:textId="77777777" w:rsidR="00054E77" w:rsidRPr="009C4395" w:rsidRDefault="00054E77" w:rsidP="00054E77">
      <w:pPr>
        <w:pStyle w:val="FSCh5SchItem"/>
        <w:spacing w:before="0" w:after="0"/>
        <w:ind w:left="0" w:firstLine="0"/>
        <w:rPr>
          <w:b w:val="0"/>
          <w:sz w:val="22"/>
          <w:szCs w:val="22"/>
          <w:highlight w:val="yellow"/>
          <w:u w:val="single"/>
          <w:lang w:val="en-GB"/>
        </w:rPr>
      </w:pPr>
    </w:p>
    <w:p w14:paraId="6E9FAB75" w14:textId="77777777" w:rsidR="00054E77" w:rsidRPr="0012367E" w:rsidRDefault="00054E77" w:rsidP="00054E77">
      <w:pPr>
        <w:pStyle w:val="FSCh5SchItem"/>
        <w:spacing w:before="0" w:after="0"/>
        <w:rPr>
          <w:i/>
          <w:sz w:val="22"/>
          <w:szCs w:val="22"/>
          <w:lang w:val="en-GB"/>
        </w:rPr>
      </w:pPr>
      <w:r>
        <w:rPr>
          <w:i/>
          <w:sz w:val="22"/>
          <w:szCs w:val="22"/>
          <w:lang w:val="en-GB"/>
        </w:rPr>
        <w:t>S</w:t>
      </w:r>
      <w:r w:rsidRPr="0012367E">
        <w:rPr>
          <w:i/>
          <w:sz w:val="22"/>
          <w:szCs w:val="22"/>
          <w:lang w:val="en-GB"/>
        </w:rPr>
        <w:t>ection 1.2.7—12</w:t>
      </w:r>
      <w:r>
        <w:rPr>
          <w:i/>
          <w:sz w:val="22"/>
          <w:szCs w:val="22"/>
          <w:lang w:val="en-GB"/>
        </w:rPr>
        <w:t xml:space="preserve"> </w:t>
      </w:r>
      <w:r w:rsidRPr="0012367E">
        <w:rPr>
          <w:i/>
          <w:sz w:val="22"/>
          <w:szCs w:val="22"/>
          <w:lang w:val="en-GB"/>
        </w:rPr>
        <w:t>(Note)</w:t>
      </w:r>
    </w:p>
    <w:p w14:paraId="6E9FAB76" w14:textId="77777777" w:rsidR="00054E77" w:rsidRPr="009C4395" w:rsidRDefault="00054E77" w:rsidP="00054E77">
      <w:pPr>
        <w:rPr>
          <w:highlight w:val="yellow"/>
        </w:rPr>
      </w:pPr>
    </w:p>
    <w:p w14:paraId="6E9FAB77" w14:textId="77777777" w:rsidR="00054E77" w:rsidRDefault="00054E77" w:rsidP="00054E77">
      <w:pPr>
        <w:pStyle w:val="FSCtAmendingwords"/>
        <w:spacing w:before="0"/>
        <w:ind w:left="0"/>
        <w:rPr>
          <w:sz w:val="22"/>
          <w:lang w:val="en-GB"/>
        </w:rPr>
      </w:pPr>
      <w:r w:rsidRPr="00014C77">
        <w:rPr>
          <w:sz w:val="22"/>
          <w:lang w:val="en-GB"/>
        </w:rPr>
        <w:t>Item [</w:t>
      </w:r>
      <w:r>
        <w:rPr>
          <w:sz w:val="22"/>
          <w:lang w:val="en-GB"/>
        </w:rPr>
        <w:t>4</w:t>
      </w:r>
      <w:r w:rsidRPr="00014C77">
        <w:rPr>
          <w:sz w:val="22"/>
          <w:lang w:val="en-GB"/>
        </w:rPr>
        <w:t xml:space="preserve">] deletes the Note as it refers to </w:t>
      </w:r>
      <w:r w:rsidRPr="00640EF2">
        <w:rPr>
          <w:iCs w:val="0"/>
          <w:sz w:val="22"/>
        </w:rPr>
        <w:t>to Standard 1.2.12 – Transitional standard for dietary fibre nutrition content claims. That Standard will cease to have effect on 18 January 2017. Ite</w:t>
      </w:r>
      <w:r w:rsidRPr="00014C77">
        <w:rPr>
          <w:sz w:val="22"/>
        </w:rPr>
        <w:t>m [</w:t>
      </w:r>
      <w:r>
        <w:rPr>
          <w:sz w:val="22"/>
        </w:rPr>
        <w:t>4</w:t>
      </w:r>
      <w:r w:rsidRPr="00640EF2">
        <w:rPr>
          <w:iCs w:val="0"/>
          <w:sz w:val="22"/>
        </w:rPr>
        <w:t>] will take effect and remove the reference on 19 January 2017</w:t>
      </w:r>
      <w:r w:rsidRPr="00014C77">
        <w:rPr>
          <w:sz w:val="22"/>
          <w:lang w:val="en-GB"/>
        </w:rPr>
        <w:t>.</w:t>
      </w:r>
    </w:p>
    <w:p w14:paraId="6B966AC6" w14:textId="6B9395D2" w:rsidR="00467B15" w:rsidRDefault="00467B15" w:rsidP="00054E77">
      <w:pPr>
        <w:pStyle w:val="FSCtAmendingwords"/>
        <w:spacing w:before="0"/>
        <w:ind w:left="0"/>
        <w:rPr>
          <w:highlight w:val="yellow"/>
        </w:rPr>
      </w:pPr>
    </w:p>
    <w:p w14:paraId="4C64D6F5" w14:textId="7B55AA5A" w:rsidR="00467B15" w:rsidRPr="0012367E" w:rsidRDefault="00467B15" w:rsidP="00467B15">
      <w:pPr>
        <w:pStyle w:val="FSCh5SchItem"/>
        <w:spacing w:before="0" w:after="0"/>
        <w:rPr>
          <w:i/>
          <w:sz w:val="22"/>
          <w:szCs w:val="22"/>
          <w:lang w:val="en-GB"/>
        </w:rPr>
      </w:pPr>
      <w:r>
        <w:rPr>
          <w:i/>
          <w:sz w:val="22"/>
          <w:szCs w:val="22"/>
          <w:lang w:val="en-GB"/>
        </w:rPr>
        <w:t>Section 1.3.1—</w:t>
      </w:r>
      <w:r w:rsidRPr="0012367E">
        <w:rPr>
          <w:i/>
          <w:sz w:val="22"/>
          <w:szCs w:val="22"/>
          <w:lang w:val="en-GB"/>
        </w:rPr>
        <w:t>2</w:t>
      </w:r>
      <w:r>
        <w:rPr>
          <w:i/>
          <w:sz w:val="22"/>
          <w:szCs w:val="22"/>
          <w:lang w:val="en-GB"/>
        </w:rPr>
        <w:t xml:space="preserve"> </w:t>
      </w:r>
      <w:r w:rsidRPr="0012367E">
        <w:rPr>
          <w:i/>
          <w:sz w:val="22"/>
          <w:szCs w:val="22"/>
          <w:lang w:val="en-GB"/>
        </w:rPr>
        <w:t>(Note)</w:t>
      </w:r>
    </w:p>
    <w:p w14:paraId="53975121" w14:textId="77777777" w:rsidR="00467B15" w:rsidRPr="009C4395" w:rsidRDefault="00467B15" w:rsidP="00467B15">
      <w:pPr>
        <w:rPr>
          <w:highlight w:val="yellow"/>
        </w:rPr>
      </w:pPr>
    </w:p>
    <w:p w14:paraId="546348F7" w14:textId="2C0A3E22" w:rsidR="00467B15" w:rsidRDefault="00467B15" w:rsidP="00467B15">
      <w:pPr>
        <w:pStyle w:val="FSCtAmendingwords"/>
        <w:spacing w:before="0"/>
        <w:ind w:left="0"/>
        <w:rPr>
          <w:highlight w:val="yellow"/>
        </w:rPr>
      </w:pPr>
      <w:r w:rsidRPr="00014C77">
        <w:rPr>
          <w:sz w:val="22"/>
          <w:lang w:val="en-GB"/>
        </w:rPr>
        <w:t>Item [</w:t>
      </w:r>
      <w:r>
        <w:rPr>
          <w:sz w:val="22"/>
          <w:lang w:val="en-GB"/>
        </w:rPr>
        <w:t>4A</w:t>
      </w:r>
      <w:r w:rsidRPr="00014C77">
        <w:rPr>
          <w:sz w:val="22"/>
          <w:lang w:val="en-GB"/>
        </w:rPr>
        <w:t xml:space="preserve">] </w:t>
      </w:r>
      <w:r>
        <w:rPr>
          <w:sz w:val="22"/>
          <w:lang w:val="en-GB"/>
        </w:rPr>
        <w:t>replaces the words ‘that that’ with ‘that’ to correct a typographical error.</w:t>
      </w:r>
    </w:p>
    <w:p w14:paraId="6E9FAB78" w14:textId="6292D710" w:rsidR="00054E77" w:rsidRPr="009C4395" w:rsidRDefault="00054E77" w:rsidP="00467B15">
      <w:pPr>
        <w:pStyle w:val="FSCtAmendingwords"/>
        <w:spacing w:before="0"/>
        <w:ind w:left="0"/>
        <w:rPr>
          <w:highlight w:val="yellow"/>
        </w:rPr>
      </w:pPr>
    </w:p>
    <w:p w14:paraId="6E9FAB79" w14:textId="77777777" w:rsidR="00054E77" w:rsidRPr="009C4395" w:rsidRDefault="00054E77" w:rsidP="00054E77">
      <w:pPr>
        <w:rPr>
          <w:b/>
          <w:i/>
          <w:highlight w:val="yellow"/>
        </w:rPr>
      </w:pPr>
      <w:r w:rsidRPr="00685681">
        <w:rPr>
          <w:b/>
          <w:i/>
        </w:rPr>
        <w:t>Section 1.4.1—3(3)</w:t>
      </w:r>
    </w:p>
    <w:p w14:paraId="6E9FAB7A" w14:textId="77777777" w:rsidR="00054E77" w:rsidRPr="009C4395" w:rsidRDefault="00054E77" w:rsidP="00054E77">
      <w:pPr>
        <w:rPr>
          <w:highlight w:val="yellow"/>
        </w:rPr>
      </w:pPr>
    </w:p>
    <w:p w14:paraId="6E9FAB7B" w14:textId="77777777" w:rsidR="00054E77" w:rsidRPr="00685681" w:rsidRDefault="00054E77" w:rsidP="00054E77">
      <w:r w:rsidRPr="00685681">
        <w:rPr>
          <w:szCs w:val="22"/>
        </w:rPr>
        <w:t>Item [</w:t>
      </w:r>
      <w:r>
        <w:rPr>
          <w:szCs w:val="22"/>
        </w:rPr>
        <w:t>5</w:t>
      </w:r>
      <w:r w:rsidRPr="00685681">
        <w:rPr>
          <w:szCs w:val="22"/>
        </w:rPr>
        <w:t xml:space="preserve">] </w:t>
      </w:r>
      <w:r>
        <w:rPr>
          <w:szCs w:val="22"/>
        </w:rPr>
        <w:t xml:space="preserve">replaces the </w:t>
      </w:r>
      <w:r w:rsidRPr="00685681">
        <w:rPr>
          <w:szCs w:val="22"/>
        </w:rPr>
        <w:t xml:space="preserve">formula </w:t>
      </w:r>
      <w:r w:rsidRPr="00685681">
        <w:t>to correct a typographical error.</w:t>
      </w:r>
    </w:p>
    <w:p w14:paraId="6E9FAB7C" w14:textId="77777777" w:rsidR="00054E77" w:rsidRPr="009C4395" w:rsidRDefault="00054E77" w:rsidP="00054E77">
      <w:pPr>
        <w:rPr>
          <w:highlight w:val="yellow"/>
        </w:rPr>
      </w:pPr>
    </w:p>
    <w:p w14:paraId="6E9FAB7D" w14:textId="3FE89643" w:rsidR="00054E77" w:rsidRPr="00110CA5" w:rsidRDefault="00054E77" w:rsidP="00054E77">
      <w:pPr>
        <w:rPr>
          <w:rFonts w:cs="Arial"/>
          <w:b/>
          <w:bCs/>
          <w:i/>
          <w:kern w:val="32"/>
          <w:szCs w:val="22"/>
          <w:lang w:eastAsia="en-AU" w:bidi="ar-SA"/>
        </w:rPr>
      </w:pPr>
      <w:r w:rsidRPr="00105A33">
        <w:rPr>
          <w:b/>
          <w:i/>
        </w:rPr>
        <w:t xml:space="preserve">Section 1.4.2 </w:t>
      </w:r>
      <w:r w:rsidR="00110CA5">
        <w:rPr>
          <w:b/>
          <w:i/>
        </w:rPr>
        <w:t xml:space="preserve"> </w:t>
      </w:r>
      <w:r w:rsidR="00110CA5">
        <w:rPr>
          <w:b/>
          <w:i/>
        </w:rPr>
        <w:tab/>
      </w:r>
      <w:r w:rsidR="00110CA5">
        <w:rPr>
          <w:rFonts w:cs="Arial"/>
          <w:b/>
          <w:bCs/>
          <w:i/>
          <w:kern w:val="32"/>
          <w:szCs w:val="22"/>
          <w:lang w:eastAsia="en-AU" w:bidi="ar-SA"/>
        </w:rPr>
        <w:t xml:space="preserve">Standard Heading </w:t>
      </w:r>
      <w:r w:rsidR="00110CA5" w:rsidRPr="00555B3D">
        <w:rPr>
          <w:rFonts w:cs="Arial"/>
          <w:b/>
          <w:bCs/>
          <w:i/>
          <w:kern w:val="32"/>
          <w:szCs w:val="22"/>
          <w:lang w:eastAsia="en-AU" w:bidi="ar-SA"/>
        </w:rPr>
        <w:t>(Note 3)</w:t>
      </w:r>
    </w:p>
    <w:p w14:paraId="6E9FAB7E" w14:textId="77777777" w:rsidR="00054E77" w:rsidRPr="00105A33" w:rsidRDefault="00054E77" w:rsidP="00054E77"/>
    <w:p w14:paraId="6E9FAB7F" w14:textId="77777777" w:rsidR="00054E77" w:rsidRPr="00105A33" w:rsidRDefault="00054E77" w:rsidP="00054E77">
      <w:proofErr w:type="gramStart"/>
      <w:r w:rsidRPr="00105A33">
        <w:rPr>
          <w:szCs w:val="22"/>
        </w:rPr>
        <w:t>Item [</w:t>
      </w:r>
      <w:r>
        <w:rPr>
          <w:szCs w:val="22"/>
        </w:rPr>
        <w:t>6</w:t>
      </w:r>
      <w:r w:rsidRPr="00105A33">
        <w:rPr>
          <w:szCs w:val="22"/>
        </w:rPr>
        <w:t>] replaces ‘2014’ with ‘2014.’</w:t>
      </w:r>
      <w:r>
        <w:rPr>
          <w:szCs w:val="22"/>
        </w:rPr>
        <w:t>,</w:t>
      </w:r>
      <w:r w:rsidRPr="00105A33">
        <w:rPr>
          <w:szCs w:val="22"/>
        </w:rPr>
        <w:t xml:space="preserve"> </w:t>
      </w:r>
      <w:r w:rsidRPr="00105A33">
        <w:t>to correct a typographical error.</w:t>
      </w:r>
      <w:proofErr w:type="gramEnd"/>
    </w:p>
    <w:p w14:paraId="6E9FAB80" w14:textId="77777777" w:rsidR="00054E77" w:rsidRPr="009C4395" w:rsidRDefault="00054E77" w:rsidP="00054E77">
      <w:pPr>
        <w:rPr>
          <w:highlight w:val="yellow"/>
        </w:rPr>
      </w:pPr>
    </w:p>
    <w:p w14:paraId="6E9FAB81" w14:textId="5969838D" w:rsidR="00054E77" w:rsidRDefault="00110CA5" w:rsidP="00054E77">
      <w:pPr>
        <w:rPr>
          <w:rFonts w:cs="Arial"/>
          <w:b/>
          <w:bCs/>
          <w:i/>
          <w:kern w:val="32"/>
          <w:szCs w:val="22"/>
          <w:lang w:eastAsia="en-AU" w:bidi="ar-SA"/>
        </w:rPr>
      </w:pPr>
      <w:r>
        <w:rPr>
          <w:rFonts w:cs="Arial"/>
          <w:b/>
          <w:bCs/>
          <w:i/>
          <w:kern w:val="32"/>
          <w:szCs w:val="22"/>
          <w:lang w:eastAsia="en-AU" w:bidi="ar-SA"/>
        </w:rPr>
        <w:t>Section 1.5.2</w:t>
      </w:r>
      <w:r>
        <w:rPr>
          <w:rFonts w:cs="Arial"/>
          <w:b/>
          <w:bCs/>
          <w:i/>
          <w:kern w:val="32"/>
          <w:szCs w:val="22"/>
          <w:lang w:eastAsia="en-AU" w:bidi="ar-SA"/>
        </w:rPr>
        <w:tab/>
        <w:t xml:space="preserve">Standard Heading </w:t>
      </w:r>
      <w:r w:rsidR="00054E77" w:rsidRPr="00555B3D">
        <w:rPr>
          <w:rFonts w:cs="Arial"/>
          <w:b/>
          <w:bCs/>
          <w:i/>
          <w:kern w:val="32"/>
          <w:szCs w:val="22"/>
          <w:lang w:eastAsia="en-AU" w:bidi="ar-SA"/>
        </w:rPr>
        <w:t>(Note 3)</w:t>
      </w:r>
    </w:p>
    <w:p w14:paraId="6E9FAB82" w14:textId="77777777" w:rsidR="00054E77" w:rsidRPr="009C4395" w:rsidRDefault="00054E77" w:rsidP="00054E77">
      <w:pPr>
        <w:rPr>
          <w:highlight w:val="yellow"/>
        </w:rPr>
      </w:pPr>
    </w:p>
    <w:p w14:paraId="6E9FAB83" w14:textId="77777777" w:rsidR="00054E77" w:rsidRPr="00555B3D" w:rsidRDefault="00054E77" w:rsidP="00054E77">
      <w:r w:rsidRPr="00555B3D">
        <w:rPr>
          <w:szCs w:val="22"/>
        </w:rPr>
        <w:t>Item [</w:t>
      </w:r>
      <w:r>
        <w:rPr>
          <w:szCs w:val="22"/>
        </w:rPr>
        <w:t>7</w:t>
      </w:r>
      <w:r w:rsidRPr="00555B3D">
        <w:rPr>
          <w:szCs w:val="22"/>
        </w:rPr>
        <w:t xml:space="preserve">] replaces </w:t>
      </w:r>
      <w:r w:rsidRPr="00555B3D">
        <w:t>‘</w:t>
      </w:r>
      <w:r w:rsidR="00375A25" w:rsidRPr="00555B3D">
        <w:t>1.1.1—10(3</w:t>
      </w:r>
      <w:proofErr w:type="gramStart"/>
      <w:r w:rsidR="00375A25" w:rsidRPr="00555B3D">
        <w:t>)(</w:t>
      </w:r>
      <w:proofErr w:type="gramEnd"/>
      <w:r w:rsidR="00375A25" w:rsidRPr="00555B3D">
        <w:t>c) and (4)(g)</w:t>
      </w:r>
      <w:r w:rsidRPr="00555B3D">
        <w:t>’ with ‘</w:t>
      </w:r>
      <w:r w:rsidR="008F3FAD" w:rsidRPr="00555B3D">
        <w:t>1.1.1—10(5)(c) and (6)(g)</w:t>
      </w:r>
      <w:r w:rsidRPr="00555B3D">
        <w:t>’, to correct a referencing error.</w:t>
      </w:r>
    </w:p>
    <w:p w14:paraId="6E9FAB84" w14:textId="77777777" w:rsidR="00054E77" w:rsidRPr="009C4395" w:rsidRDefault="00054E77" w:rsidP="00054E77">
      <w:pPr>
        <w:rPr>
          <w:highlight w:val="yellow"/>
        </w:rPr>
      </w:pPr>
    </w:p>
    <w:p w14:paraId="6E9FAB85" w14:textId="77777777" w:rsidR="00054E77" w:rsidRDefault="00054E77" w:rsidP="00054E77">
      <w:pPr>
        <w:rPr>
          <w:rFonts w:cs="Arial"/>
          <w:b/>
          <w:bCs/>
          <w:i/>
          <w:kern w:val="32"/>
          <w:szCs w:val="22"/>
          <w:lang w:eastAsia="en-AU" w:bidi="ar-SA"/>
        </w:rPr>
      </w:pPr>
      <w:r w:rsidRPr="00077592">
        <w:rPr>
          <w:rFonts w:cs="Arial"/>
          <w:b/>
          <w:bCs/>
          <w:i/>
          <w:kern w:val="32"/>
          <w:szCs w:val="22"/>
          <w:lang w:eastAsia="en-AU" w:bidi="ar-SA"/>
        </w:rPr>
        <w:t>Section 2.4.2—2 (Note)</w:t>
      </w:r>
    </w:p>
    <w:p w14:paraId="6E9FAB86" w14:textId="77777777" w:rsidR="00054E77" w:rsidRPr="00077592" w:rsidRDefault="00054E77" w:rsidP="00054E77"/>
    <w:p w14:paraId="6E9FAB87" w14:textId="77777777" w:rsidR="00054E77" w:rsidRPr="00077592" w:rsidRDefault="00054E77" w:rsidP="00054E77">
      <w:r w:rsidRPr="00077592">
        <w:rPr>
          <w:szCs w:val="22"/>
        </w:rPr>
        <w:t>Item [</w:t>
      </w:r>
      <w:r>
        <w:rPr>
          <w:szCs w:val="22"/>
        </w:rPr>
        <w:t>8</w:t>
      </w:r>
      <w:r w:rsidRPr="00077592">
        <w:rPr>
          <w:szCs w:val="22"/>
        </w:rPr>
        <w:t>] replaces ‘</w:t>
      </w:r>
      <w:r w:rsidRPr="00077592">
        <w:rPr>
          <w:b/>
          <w:szCs w:val="22"/>
        </w:rPr>
        <w:t xml:space="preserve">edible oil </w:t>
      </w:r>
      <w:r w:rsidRPr="00D96261">
        <w:rPr>
          <w:szCs w:val="22"/>
        </w:rPr>
        <w:t>spread’</w:t>
      </w:r>
      <w:r w:rsidRPr="00077592">
        <w:rPr>
          <w:szCs w:val="22"/>
        </w:rPr>
        <w:t xml:space="preserve"> with ‘</w:t>
      </w:r>
      <w:r w:rsidRPr="00077592">
        <w:rPr>
          <w:b/>
          <w:i/>
          <w:szCs w:val="22"/>
        </w:rPr>
        <w:t>edible oil spread</w:t>
      </w:r>
      <w:r w:rsidRPr="005657DB">
        <w:rPr>
          <w:szCs w:val="22"/>
        </w:rPr>
        <w:t>’</w:t>
      </w:r>
      <w:r w:rsidRPr="00077592">
        <w:t>, to correct a typographical error’.</w:t>
      </w:r>
    </w:p>
    <w:p w14:paraId="6E9FAB88" w14:textId="77777777" w:rsidR="00054E77" w:rsidRPr="009C4395" w:rsidRDefault="00054E77" w:rsidP="00054E77">
      <w:pPr>
        <w:rPr>
          <w:highlight w:val="yellow"/>
        </w:rPr>
      </w:pPr>
    </w:p>
    <w:p w14:paraId="6E9FAB89" w14:textId="77777777" w:rsidR="00054E77" w:rsidRDefault="00054E77" w:rsidP="00054E77">
      <w:pPr>
        <w:rPr>
          <w:b/>
          <w:i/>
        </w:rPr>
      </w:pPr>
      <w:r w:rsidRPr="007B0C5D">
        <w:rPr>
          <w:b/>
          <w:i/>
        </w:rPr>
        <w:t>Section 2.7.1—1</w:t>
      </w:r>
    </w:p>
    <w:p w14:paraId="6E9FAB8A" w14:textId="77777777" w:rsidR="00054E77" w:rsidRPr="007B0C5D" w:rsidRDefault="00054E77" w:rsidP="00054E77">
      <w:pPr>
        <w:rPr>
          <w:u w:val="single"/>
        </w:rPr>
      </w:pPr>
    </w:p>
    <w:p w14:paraId="6E9FAB8B" w14:textId="77777777" w:rsidR="00054E77" w:rsidRPr="009C4395" w:rsidRDefault="00054E77" w:rsidP="00054E77">
      <w:pPr>
        <w:rPr>
          <w:highlight w:val="yellow"/>
        </w:rPr>
      </w:pPr>
      <w:r w:rsidRPr="007B0C5D">
        <w:rPr>
          <w:szCs w:val="22"/>
        </w:rPr>
        <w:t>Item [</w:t>
      </w:r>
      <w:r>
        <w:rPr>
          <w:szCs w:val="22"/>
        </w:rPr>
        <w:t>9</w:t>
      </w:r>
      <w:r w:rsidRPr="007B0C5D">
        <w:rPr>
          <w:szCs w:val="22"/>
        </w:rPr>
        <w:t>] replaces ‘Alcoholic beverages’ with ‘Labelling of alcoholic beverages and food containing alcohol’</w:t>
      </w:r>
      <w:r w:rsidRPr="007B0C5D">
        <w:t xml:space="preserve">, to correct a </w:t>
      </w:r>
      <w:r>
        <w:t>transcription</w:t>
      </w:r>
      <w:r w:rsidRPr="007B0C5D">
        <w:t xml:space="preserve"> error.</w:t>
      </w:r>
    </w:p>
    <w:p w14:paraId="6E9FAB8C" w14:textId="509FD8B7" w:rsidR="00A85408" w:rsidRDefault="00A85408" w:rsidP="00054E77">
      <w:pPr>
        <w:rPr>
          <w:highlight w:val="yellow"/>
        </w:rPr>
      </w:pPr>
      <w:r>
        <w:rPr>
          <w:highlight w:val="yellow"/>
        </w:rPr>
        <w:br w:type="page"/>
      </w:r>
    </w:p>
    <w:p w14:paraId="6E9FAB8D" w14:textId="443EED67" w:rsidR="00054E77" w:rsidRPr="00110CA5" w:rsidRDefault="00110CA5" w:rsidP="00054E77">
      <w:pPr>
        <w:rPr>
          <w:rFonts w:cs="Arial"/>
          <w:b/>
          <w:bCs/>
          <w:i/>
          <w:kern w:val="32"/>
          <w:szCs w:val="22"/>
          <w:lang w:eastAsia="en-AU" w:bidi="ar-SA"/>
        </w:rPr>
      </w:pPr>
      <w:r>
        <w:rPr>
          <w:b/>
          <w:i/>
        </w:rPr>
        <w:lastRenderedPageBreak/>
        <w:t>Standard</w:t>
      </w:r>
      <w:r w:rsidR="00054E77" w:rsidRPr="00AD63AA">
        <w:rPr>
          <w:b/>
          <w:i/>
        </w:rPr>
        <w:t xml:space="preserve"> 2.7.4 </w:t>
      </w:r>
      <w:r>
        <w:rPr>
          <w:b/>
          <w:i/>
        </w:rPr>
        <w:tab/>
      </w:r>
      <w:r>
        <w:rPr>
          <w:rFonts w:cs="Arial"/>
          <w:b/>
          <w:bCs/>
          <w:i/>
          <w:kern w:val="32"/>
          <w:szCs w:val="22"/>
          <w:lang w:eastAsia="en-AU" w:bidi="ar-SA"/>
        </w:rPr>
        <w:t xml:space="preserve">Standard Heading </w:t>
      </w:r>
      <w:r w:rsidRPr="00555B3D">
        <w:rPr>
          <w:rFonts w:cs="Arial"/>
          <w:b/>
          <w:bCs/>
          <w:i/>
          <w:kern w:val="32"/>
          <w:szCs w:val="22"/>
          <w:lang w:eastAsia="en-AU" w:bidi="ar-SA"/>
        </w:rPr>
        <w:t>(Note 3)</w:t>
      </w:r>
    </w:p>
    <w:p w14:paraId="6E9FAB8E" w14:textId="77777777" w:rsidR="00054E77" w:rsidRPr="009C4395" w:rsidRDefault="00054E77" w:rsidP="00054E77">
      <w:pPr>
        <w:rPr>
          <w:highlight w:val="yellow"/>
        </w:rPr>
      </w:pPr>
    </w:p>
    <w:p w14:paraId="6E9FAB8F" w14:textId="77777777" w:rsidR="00054E77" w:rsidRPr="00AD63AA" w:rsidRDefault="00054E77" w:rsidP="00054E77">
      <w:r w:rsidRPr="00AD63AA">
        <w:rPr>
          <w:szCs w:val="22"/>
        </w:rPr>
        <w:t>Item [</w:t>
      </w:r>
      <w:r>
        <w:rPr>
          <w:szCs w:val="22"/>
        </w:rPr>
        <w:t>10</w:t>
      </w:r>
      <w:r w:rsidRPr="00AD63AA">
        <w:rPr>
          <w:szCs w:val="22"/>
        </w:rPr>
        <w:t xml:space="preserve">] replaces </w:t>
      </w:r>
      <w:r w:rsidRPr="00AD63AA">
        <w:t xml:space="preserve">‘the Wine Australia Corporation Act 1980 (Cth)’ with ‘the Australian Grape and Wine Authority Act 2013 (Cth)’, </w:t>
      </w:r>
      <w:r>
        <w:t>as the former Act has been repealed and replaced by the latter</w:t>
      </w:r>
      <w:r w:rsidRPr="00AD63AA">
        <w:t>.</w:t>
      </w:r>
    </w:p>
    <w:p w14:paraId="6E9FAB90" w14:textId="77777777" w:rsidR="00054E77" w:rsidRPr="009C4395" w:rsidRDefault="00054E77" w:rsidP="00054E77">
      <w:pPr>
        <w:rPr>
          <w:highlight w:val="yellow"/>
        </w:rPr>
      </w:pPr>
    </w:p>
    <w:p w14:paraId="6E9FAB91" w14:textId="77777777" w:rsidR="00054E77" w:rsidRDefault="00054E77" w:rsidP="00054E77">
      <w:pPr>
        <w:rPr>
          <w:b/>
          <w:i/>
        </w:rPr>
      </w:pPr>
      <w:r w:rsidRPr="00AD63AA">
        <w:rPr>
          <w:b/>
          <w:i/>
        </w:rPr>
        <w:t>Section 2.9.4—6(2</w:t>
      </w:r>
      <w:proofErr w:type="gramStart"/>
      <w:r w:rsidRPr="00AD63AA">
        <w:rPr>
          <w:b/>
          <w:i/>
        </w:rPr>
        <w:t>)(</w:t>
      </w:r>
      <w:proofErr w:type="gramEnd"/>
      <w:r w:rsidRPr="00AD63AA">
        <w:rPr>
          <w:b/>
          <w:i/>
        </w:rPr>
        <w:t>a)</w:t>
      </w:r>
    </w:p>
    <w:p w14:paraId="6E9FAB92" w14:textId="77777777" w:rsidR="00054E77" w:rsidRPr="009C4395" w:rsidRDefault="00054E77" w:rsidP="00054E77">
      <w:pPr>
        <w:rPr>
          <w:highlight w:val="yellow"/>
          <w:u w:val="single"/>
        </w:rPr>
      </w:pPr>
    </w:p>
    <w:p w14:paraId="6E9FAB93" w14:textId="77777777" w:rsidR="00054E77" w:rsidRPr="00AD63AA" w:rsidRDefault="00054E77" w:rsidP="00054E77">
      <w:r w:rsidRPr="00AD63AA">
        <w:rPr>
          <w:szCs w:val="22"/>
        </w:rPr>
        <w:t>Item [1</w:t>
      </w:r>
      <w:r>
        <w:rPr>
          <w:szCs w:val="22"/>
        </w:rPr>
        <w:t>1</w:t>
      </w:r>
      <w:r w:rsidRPr="00AD63AA">
        <w:rPr>
          <w:szCs w:val="22"/>
        </w:rPr>
        <w:t xml:space="preserve">] replaces </w:t>
      </w:r>
      <w:r w:rsidRPr="00AD63AA">
        <w:t xml:space="preserve">‘of reconstitution’ with ‘or </w:t>
      </w:r>
      <w:r w:rsidRPr="00BF1C56">
        <w:t xml:space="preserve">reconstitution’, to correct a </w:t>
      </w:r>
      <w:r w:rsidRPr="00077592">
        <w:t>typographical</w:t>
      </w:r>
      <w:r w:rsidRPr="00BF1C56">
        <w:t xml:space="preserve"> error.</w:t>
      </w:r>
    </w:p>
    <w:p w14:paraId="6E9FAB94" w14:textId="77777777" w:rsidR="00054E77" w:rsidRPr="009C4395" w:rsidRDefault="00054E77" w:rsidP="00054E77">
      <w:pPr>
        <w:rPr>
          <w:highlight w:val="yellow"/>
        </w:rPr>
      </w:pPr>
    </w:p>
    <w:p w14:paraId="6E9FAB95" w14:textId="77777777" w:rsidR="00054E77" w:rsidRDefault="00054E77" w:rsidP="00054E77">
      <w:pPr>
        <w:rPr>
          <w:b/>
          <w:i/>
        </w:rPr>
      </w:pPr>
      <w:r w:rsidRPr="00BF1C56">
        <w:rPr>
          <w:b/>
          <w:i/>
        </w:rPr>
        <w:t>Section 2.9.5—3(b)</w:t>
      </w:r>
    </w:p>
    <w:p w14:paraId="6E9FAB96" w14:textId="77777777" w:rsidR="00054E77" w:rsidRPr="009C4395" w:rsidRDefault="00054E77" w:rsidP="00054E77">
      <w:pPr>
        <w:rPr>
          <w:highlight w:val="yellow"/>
          <w:u w:val="single"/>
        </w:rPr>
      </w:pPr>
    </w:p>
    <w:p w14:paraId="6E9FAB99" w14:textId="2851AE18" w:rsidR="008F3FAD" w:rsidRPr="003F0B3A" w:rsidRDefault="00054E77" w:rsidP="00054E77">
      <w:r w:rsidRPr="00BF1C56">
        <w:rPr>
          <w:szCs w:val="22"/>
        </w:rPr>
        <w:t>Item [1</w:t>
      </w:r>
      <w:r>
        <w:rPr>
          <w:szCs w:val="22"/>
        </w:rPr>
        <w:t>2</w:t>
      </w:r>
      <w:r w:rsidRPr="00BF1C56">
        <w:rPr>
          <w:szCs w:val="22"/>
        </w:rPr>
        <w:t xml:space="preserve">] replaces </w:t>
      </w:r>
      <w:r w:rsidRPr="00BF1C56">
        <w:t>‘Part 2’ with ‘Part 1.2</w:t>
      </w:r>
      <w:r>
        <w:t xml:space="preserve">’, to correct a </w:t>
      </w:r>
      <w:r w:rsidRPr="00105A33">
        <w:t xml:space="preserve">typographical </w:t>
      </w:r>
      <w:r w:rsidRPr="00BF1C56">
        <w:t>error.</w:t>
      </w:r>
    </w:p>
    <w:p w14:paraId="6E9FAB9A" w14:textId="77777777" w:rsidR="008F3FAD" w:rsidRDefault="008F3FAD" w:rsidP="00054E77">
      <w:pPr>
        <w:rPr>
          <w:b/>
          <w:i/>
        </w:rPr>
      </w:pPr>
    </w:p>
    <w:p w14:paraId="6E9FAB9B" w14:textId="77777777" w:rsidR="00054E77" w:rsidRDefault="00054E77" w:rsidP="00054E77">
      <w:pPr>
        <w:rPr>
          <w:b/>
          <w:i/>
        </w:rPr>
      </w:pPr>
      <w:r w:rsidRPr="004149D8">
        <w:rPr>
          <w:b/>
          <w:i/>
        </w:rPr>
        <w:t>Section 2.9.6—3 (Note)</w:t>
      </w:r>
    </w:p>
    <w:p w14:paraId="6E9FAB9C" w14:textId="77777777" w:rsidR="00054E77" w:rsidRPr="004149D8" w:rsidRDefault="00054E77" w:rsidP="00054E77">
      <w:pPr>
        <w:rPr>
          <w:u w:val="single"/>
        </w:rPr>
      </w:pPr>
    </w:p>
    <w:p w14:paraId="6E9FAB9D" w14:textId="77777777" w:rsidR="00054E77" w:rsidRPr="004149D8" w:rsidRDefault="00054E77" w:rsidP="00054E77">
      <w:r w:rsidRPr="004149D8">
        <w:rPr>
          <w:szCs w:val="22"/>
        </w:rPr>
        <w:t>Item [1</w:t>
      </w:r>
      <w:r>
        <w:rPr>
          <w:szCs w:val="22"/>
        </w:rPr>
        <w:t>3</w:t>
      </w:r>
      <w:r w:rsidRPr="004149D8">
        <w:rPr>
          <w:szCs w:val="22"/>
        </w:rPr>
        <w:t>] replaces ‘published’ with ‘published.’</w:t>
      </w:r>
      <w:r w:rsidRPr="004149D8">
        <w:t>, to correct a typographical error.</w:t>
      </w:r>
    </w:p>
    <w:p w14:paraId="6E9FAB9E" w14:textId="77777777" w:rsidR="00054E77" w:rsidRDefault="00054E77" w:rsidP="00054E77"/>
    <w:p w14:paraId="6E9FAB9F" w14:textId="77777777" w:rsidR="00054E77" w:rsidRDefault="00054E77" w:rsidP="00054E77">
      <w:pPr>
        <w:rPr>
          <w:b/>
          <w:i/>
        </w:rPr>
      </w:pPr>
      <w:r w:rsidRPr="004149D8">
        <w:rPr>
          <w:b/>
          <w:i/>
        </w:rPr>
        <w:t>Section 2.10.2—3</w:t>
      </w:r>
    </w:p>
    <w:p w14:paraId="6E9FABA0" w14:textId="77777777" w:rsidR="00054E77" w:rsidRPr="009C4395" w:rsidRDefault="00054E77" w:rsidP="00054E77">
      <w:pPr>
        <w:rPr>
          <w:highlight w:val="yellow"/>
        </w:rPr>
      </w:pPr>
    </w:p>
    <w:p w14:paraId="6E9FABA1" w14:textId="77777777" w:rsidR="00054E77" w:rsidRDefault="00054E77" w:rsidP="00054E77">
      <w:r w:rsidRPr="009447B1">
        <w:rPr>
          <w:szCs w:val="22"/>
        </w:rPr>
        <w:t>Item [1</w:t>
      </w:r>
      <w:r>
        <w:rPr>
          <w:szCs w:val="22"/>
        </w:rPr>
        <w:t>4</w:t>
      </w:r>
      <w:r w:rsidRPr="009447B1">
        <w:rPr>
          <w:szCs w:val="22"/>
        </w:rPr>
        <w:t xml:space="preserve">] </w:t>
      </w:r>
      <w:r>
        <w:rPr>
          <w:szCs w:val="22"/>
        </w:rPr>
        <w:t>amends the text of the section so that it reads ‘</w:t>
      </w:r>
      <w:r w:rsidRPr="00C9426D">
        <w:rPr>
          <w:szCs w:val="22"/>
        </w:rPr>
        <w:t>A food that is sold as ‘salt’ must be salt and contain no less than 970 g/kg sodium chloride on a dry basis, ex</w:t>
      </w:r>
      <w:r>
        <w:rPr>
          <w:szCs w:val="22"/>
        </w:rPr>
        <w:t>clusive of permitted additives.’ This is to correct a typogra</w:t>
      </w:r>
      <w:r w:rsidRPr="004149D8">
        <w:t>phic</w:t>
      </w:r>
      <w:r>
        <w:t>al error.</w:t>
      </w:r>
    </w:p>
    <w:p w14:paraId="6E9FABA2" w14:textId="77777777" w:rsidR="00054E77" w:rsidRDefault="00054E77" w:rsidP="00054E77"/>
    <w:p w14:paraId="6E9FABA3" w14:textId="77777777" w:rsidR="00054E77" w:rsidRPr="00140210" w:rsidRDefault="00054E77" w:rsidP="00054E77">
      <w:pPr>
        <w:keepNext/>
        <w:rPr>
          <w:b/>
          <w:i/>
        </w:rPr>
      </w:pPr>
      <w:r w:rsidRPr="00140210">
        <w:rPr>
          <w:b/>
          <w:i/>
        </w:rPr>
        <w:t>Schedule 1</w:t>
      </w:r>
    </w:p>
    <w:p w14:paraId="6E9FABA4" w14:textId="77777777" w:rsidR="00054E77" w:rsidRPr="009C4395" w:rsidRDefault="00054E77" w:rsidP="00054E77">
      <w:pPr>
        <w:rPr>
          <w:highlight w:val="yellow"/>
        </w:rPr>
      </w:pPr>
    </w:p>
    <w:p w14:paraId="6E9FABA5" w14:textId="77777777" w:rsidR="00375A25" w:rsidRPr="00DE792F" w:rsidRDefault="00375A25" w:rsidP="00375A25">
      <w:pPr>
        <w:rPr>
          <w:i/>
        </w:rPr>
      </w:pPr>
      <w:r w:rsidRPr="00DE792F">
        <w:rPr>
          <w:i/>
        </w:rPr>
        <w:t>Section S1—2 (</w:t>
      </w:r>
      <w:r>
        <w:rPr>
          <w:i/>
        </w:rPr>
        <w:t>Table</w:t>
      </w:r>
      <w:r w:rsidRPr="00DE792F">
        <w:rPr>
          <w:i/>
        </w:rPr>
        <w:t>)</w:t>
      </w:r>
    </w:p>
    <w:p w14:paraId="6E9FABA6" w14:textId="77777777" w:rsidR="00375A25" w:rsidRPr="00140210" w:rsidRDefault="00375A25" w:rsidP="00375A25"/>
    <w:p w14:paraId="6E9FABA7" w14:textId="4798B72B" w:rsidR="00375A25" w:rsidRPr="00375A25" w:rsidRDefault="00467B15" w:rsidP="00375A25">
      <w:pPr>
        <w:rPr>
          <w:szCs w:val="22"/>
        </w:rPr>
      </w:pPr>
      <w:r>
        <w:rPr>
          <w:szCs w:val="22"/>
        </w:rPr>
        <w:t>Item [15</w:t>
      </w:r>
      <w:r w:rsidR="00375A25" w:rsidRPr="00375A25">
        <w:rPr>
          <w:szCs w:val="22"/>
        </w:rPr>
        <w:t xml:space="preserve">] </w:t>
      </w:r>
      <w:r w:rsidR="00375A25">
        <w:rPr>
          <w:szCs w:val="22"/>
        </w:rPr>
        <w:t>amends the entry for Vitamin E</w:t>
      </w:r>
      <w:r w:rsidR="00375A25" w:rsidRPr="00375A25">
        <w:rPr>
          <w:szCs w:val="22"/>
        </w:rPr>
        <w:t xml:space="preserve"> in the table to section </w:t>
      </w:r>
      <w:r w:rsidR="00375A25" w:rsidRPr="00375A25">
        <w:t>S1—2. It replaces each reference in that entry to Note 4 to</w:t>
      </w:r>
      <w:r w:rsidR="00375A25">
        <w:t xml:space="preserve"> a reference to Note 3. This consequential amendment is required by the amendments made by</w:t>
      </w:r>
      <w:r w:rsidR="00375A25" w:rsidRPr="00375A25">
        <w:t xml:space="preserve"> item </w:t>
      </w:r>
      <w:r w:rsidR="00375A25">
        <w:t>[</w:t>
      </w:r>
      <w:r w:rsidR="00375A25" w:rsidRPr="00375A25">
        <w:t>15B</w:t>
      </w:r>
      <w:r w:rsidR="00375A25">
        <w:t>]</w:t>
      </w:r>
      <w:r w:rsidR="00375A25" w:rsidRPr="00375A25">
        <w:t xml:space="preserve"> of this Schedule. </w:t>
      </w:r>
    </w:p>
    <w:p w14:paraId="6E9FABA8" w14:textId="77777777" w:rsidR="00375A25" w:rsidRDefault="00375A25" w:rsidP="00375A25">
      <w:pPr>
        <w:rPr>
          <w:szCs w:val="22"/>
        </w:rPr>
      </w:pPr>
    </w:p>
    <w:p w14:paraId="6E9FABA9" w14:textId="77777777" w:rsidR="00054E77" w:rsidRPr="00DE792F" w:rsidRDefault="00054E77" w:rsidP="00375A25">
      <w:pPr>
        <w:rPr>
          <w:i/>
        </w:rPr>
      </w:pPr>
      <w:r w:rsidRPr="00DE792F">
        <w:rPr>
          <w:i/>
        </w:rPr>
        <w:t>Section S1—2 (Notes)</w:t>
      </w:r>
    </w:p>
    <w:p w14:paraId="6E9FABAA" w14:textId="77777777" w:rsidR="00054E77" w:rsidRPr="00140210" w:rsidRDefault="00054E77" w:rsidP="00054E77"/>
    <w:p w14:paraId="6E9FABAB" w14:textId="5918413A" w:rsidR="00054E77" w:rsidRPr="00140210" w:rsidRDefault="00054E77" w:rsidP="00054E77">
      <w:pPr>
        <w:rPr>
          <w:szCs w:val="22"/>
        </w:rPr>
      </w:pPr>
      <w:r w:rsidRPr="00140210">
        <w:rPr>
          <w:szCs w:val="22"/>
        </w:rPr>
        <w:t>I</w:t>
      </w:r>
      <w:r>
        <w:rPr>
          <w:szCs w:val="22"/>
        </w:rPr>
        <w:t>tem [15</w:t>
      </w:r>
      <w:r w:rsidR="00467B15">
        <w:rPr>
          <w:szCs w:val="22"/>
        </w:rPr>
        <w:t>A</w:t>
      </w:r>
      <w:r>
        <w:rPr>
          <w:szCs w:val="22"/>
        </w:rPr>
        <w:t xml:space="preserve">] omits the Notes and replaces them with </w:t>
      </w:r>
      <w:r w:rsidRPr="00140210">
        <w:rPr>
          <w:szCs w:val="22"/>
        </w:rPr>
        <w:t>the following, to correct a referencing error:</w:t>
      </w:r>
    </w:p>
    <w:p w14:paraId="6E9FABAC" w14:textId="77777777" w:rsidR="00054E77" w:rsidRPr="00140210" w:rsidRDefault="00054E77" w:rsidP="00054E77">
      <w:pPr>
        <w:rPr>
          <w:szCs w:val="22"/>
        </w:rPr>
      </w:pPr>
    </w:p>
    <w:p w14:paraId="6E9FABAD" w14:textId="77777777" w:rsidR="00054E77" w:rsidRPr="00140210" w:rsidRDefault="00054E77" w:rsidP="00054E77">
      <w:pPr>
        <w:ind w:left="567"/>
        <w:rPr>
          <w:szCs w:val="22"/>
        </w:rPr>
      </w:pPr>
      <w:r w:rsidRPr="00140210">
        <w:rPr>
          <w:szCs w:val="22"/>
        </w:rPr>
        <w:t>Note 1</w:t>
      </w:r>
      <w:r w:rsidRPr="00140210">
        <w:rPr>
          <w:szCs w:val="22"/>
        </w:rPr>
        <w:tab/>
        <w:t>See paragraph 1.1.2—14(3</w:t>
      </w:r>
      <w:proofErr w:type="gramStart"/>
      <w:r w:rsidRPr="00140210">
        <w:rPr>
          <w:szCs w:val="22"/>
        </w:rPr>
        <w:t>)(</w:t>
      </w:r>
      <w:proofErr w:type="gramEnd"/>
      <w:r w:rsidRPr="00140210">
        <w:rPr>
          <w:szCs w:val="22"/>
        </w:rPr>
        <w:t>a).</w:t>
      </w:r>
    </w:p>
    <w:p w14:paraId="6E9FABAE" w14:textId="77777777" w:rsidR="00054E77" w:rsidRPr="00140210" w:rsidRDefault="00054E77" w:rsidP="00054E77">
      <w:pPr>
        <w:ind w:left="567"/>
        <w:rPr>
          <w:szCs w:val="22"/>
        </w:rPr>
      </w:pPr>
      <w:r w:rsidRPr="00140210">
        <w:rPr>
          <w:szCs w:val="22"/>
        </w:rPr>
        <w:t>Note 2</w:t>
      </w:r>
      <w:r w:rsidRPr="00140210">
        <w:rPr>
          <w:szCs w:val="22"/>
        </w:rPr>
        <w:tab/>
        <w:t>See paragraph 1.1.2—14(3</w:t>
      </w:r>
      <w:proofErr w:type="gramStart"/>
      <w:r w:rsidRPr="00140210">
        <w:rPr>
          <w:szCs w:val="22"/>
        </w:rPr>
        <w:t>)(</w:t>
      </w:r>
      <w:proofErr w:type="gramEnd"/>
      <w:r w:rsidRPr="00140210">
        <w:rPr>
          <w:szCs w:val="22"/>
        </w:rPr>
        <w:t>b).</w:t>
      </w:r>
    </w:p>
    <w:p w14:paraId="6E9FABAF" w14:textId="77777777" w:rsidR="00054E77" w:rsidRPr="00140210" w:rsidRDefault="00054E77" w:rsidP="00054E77">
      <w:pPr>
        <w:ind w:left="567"/>
        <w:rPr>
          <w:szCs w:val="22"/>
        </w:rPr>
      </w:pPr>
      <w:r w:rsidRPr="00140210">
        <w:rPr>
          <w:szCs w:val="22"/>
        </w:rPr>
        <w:t xml:space="preserve">Note </w:t>
      </w:r>
      <w:r w:rsidR="008F3FAD">
        <w:rPr>
          <w:szCs w:val="22"/>
        </w:rPr>
        <w:t>3</w:t>
      </w:r>
      <w:r w:rsidR="008F3FAD">
        <w:rPr>
          <w:szCs w:val="22"/>
        </w:rPr>
        <w:tab/>
        <w:t>See paragraph 1.1.2—14(3</w:t>
      </w:r>
      <w:proofErr w:type="gramStart"/>
      <w:r w:rsidR="008F3FAD">
        <w:rPr>
          <w:szCs w:val="22"/>
        </w:rPr>
        <w:t>)(</w:t>
      </w:r>
      <w:proofErr w:type="gramEnd"/>
      <w:r w:rsidR="008F3FAD">
        <w:rPr>
          <w:szCs w:val="22"/>
        </w:rPr>
        <w:t>c).</w:t>
      </w:r>
    </w:p>
    <w:p w14:paraId="6E9FABB0" w14:textId="77777777" w:rsidR="00054E77" w:rsidRDefault="00054E77" w:rsidP="00054E77">
      <w:pPr>
        <w:rPr>
          <w:szCs w:val="22"/>
          <w:highlight w:val="yellow"/>
        </w:rPr>
      </w:pPr>
    </w:p>
    <w:p w14:paraId="6E9FABB1" w14:textId="77777777" w:rsidR="00054E77" w:rsidRPr="00140210" w:rsidRDefault="00054E77" w:rsidP="00054E77">
      <w:pPr>
        <w:keepNext/>
        <w:rPr>
          <w:b/>
          <w:i/>
        </w:rPr>
      </w:pPr>
      <w:r w:rsidRPr="00140210">
        <w:rPr>
          <w:b/>
          <w:i/>
        </w:rPr>
        <w:t>Schedule 2</w:t>
      </w:r>
    </w:p>
    <w:p w14:paraId="6E9FABB2" w14:textId="77777777" w:rsidR="00054E77" w:rsidRPr="00140210" w:rsidRDefault="00054E77" w:rsidP="00054E77">
      <w:pPr>
        <w:rPr>
          <w:szCs w:val="22"/>
          <w:highlight w:val="yellow"/>
        </w:rPr>
      </w:pPr>
    </w:p>
    <w:p w14:paraId="6E9FABB3" w14:textId="77777777" w:rsidR="00054E77" w:rsidRPr="00DE792F" w:rsidRDefault="00054E77" w:rsidP="00054E77">
      <w:pPr>
        <w:rPr>
          <w:i/>
        </w:rPr>
      </w:pPr>
      <w:r w:rsidRPr="00DE792F">
        <w:rPr>
          <w:i/>
        </w:rPr>
        <w:t>Section S2—2 (table)</w:t>
      </w:r>
    </w:p>
    <w:p w14:paraId="6E9FABB4" w14:textId="77777777" w:rsidR="00054E77" w:rsidRPr="009C4395" w:rsidRDefault="00054E77" w:rsidP="00054E77">
      <w:pPr>
        <w:rPr>
          <w:highlight w:val="yellow"/>
          <w:u w:val="single"/>
        </w:rPr>
      </w:pPr>
    </w:p>
    <w:p w14:paraId="6E9FABB5" w14:textId="77777777" w:rsidR="00054E77" w:rsidRPr="00243C38" w:rsidRDefault="00054E77" w:rsidP="00054E77">
      <w:r w:rsidRPr="00243C38">
        <w:rPr>
          <w:szCs w:val="22"/>
        </w:rPr>
        <w:t>Item [1</w:t>
      </w:r>
      <w:r>
        <w:rPr>
          <w:szCs w:val="22"/>
        </w:rPr>
        <w:t>6</w:t>
      </w:r>
      <w:r w:rsidRPr="00243C38">
        <w:rPr>
          <w:szCs w:val="22"/>
        </w:rPr>
        <w:t>] replaces ‘mJ’ with ‘MJ’</w:t>
      </w:r>
      <w:r w:rsidRPr="00243C38">
        <w:t>, to correct a typographical error.</w:t>
      </w:r>
    </w:p>
    <w:p w14:paraId="6E9FABB6" w14:textId="77777777" w:rsidR="00054E77" w:rsidRPr="009C4395" w:rsidRDefault="00054E77" w:rsidP="00054E77">
      <w:pPr>
        <w:rPr>
          <w:highlight w:val="yellow"/>
          <w:u w:val="single"/>
        </w:rPr>
      </w:pPr>
    </w:p>
    <w:p w14:paraId="316B9F9D" w14:textId="133B0A96" w:rsidR="00467B15" w:rsidRPr="00140210" w:rsidRDefault="00467B15" w:rsidP="00467B15">
      <w:pPr>
        <w:keepNext/>
        <w:rPr>
          <w:b/>
          <w:i/>
        </w:rPr>
      </w:pPr>
      <w:r>
        <w:rPr>
          <w:b/>
          <w:i/>
        </w:rPr>
        <w:t>Schedule 3</w:t>
      </w:r>
    </w:p>
    <w:p w14:paraId="08D7212E" w14:textId="77777777" w:rsidR="00467B15" w:rsidRPr="00140210" w:rsidRDefault="00467B15" w:rsidP="00467B15">
      <w:pPr>
        <w:rPr>
          <w:szCs w:val="22"/>
          <w:highlight w:val="yellow"/>
        </w:rPr>
      </w:pPr>
    </w:p>
    <w:p w14:paraId="40209EB4" w14:textId="4625EBD5" w:rsidR="00467B15" w:rsidRPr="00DE792F" w:rsidRDefault="003F0B3A" w:rsidP="00467B15">
      <w:pPr>
        <w:rPr>
          <w:i/>
        </w:rPr>
      </w:pPr>
      <w:r>
        <w:rPr>
          <w:i/>
        </w:rPr>
        <w:t>Section S3—27</w:t>
      </w:r>
    </w:p>
    <w:p w14:paraId="3E7533AF" w14:textId="77777777" w:rsidR="00467B15" w:rsidRPr="009C4395" w:rsidRDefault="00467B15" w:rsidP="00467B15">
      <w:pPr>
        <w:rPr>
          <w:highlight w:val="yellow"/>
          <w:u w:val="single"/>
        </w:rPr>
      </w:pPr>
    </w:p>
    <w:p w14:paraId="2FB0BF2C" w14:textId="117D20A7" w:rsidR="00A85408" w:rsidRDefault="00467B15" w:rsidP="00467B15">
      <w:r w:rsidRPr="00243C38">
        <w:rPr>
          <w:szCs w:val="22"/>
        </w:rPr>
        <w:t>Item [1</w:t>
      </w:r>
      <w:r>
        <w:rPr>
          <w:szCs w:val="22"/>
        </w:rPr>
        <w:t>6A</w:t>
      </w:r>
      <w:r w:rsidR="003F0B3A">
        <w:rPr>
          <w:szCs w:val="22"/>
        </w:rPr>
        <w:t>] replaces ‘cfu/kg’ with ‘cfu/g</w:t>
      </w:r>
      <w:r w:rsidRPr="00243C38">
        <w:rPr>
          <w:szCs w:val="22"/>
        </w:rPr>
        <w:t>’</w:t>
      </w:r>
      <w:r w:rsidRPr="00243C38">
        <w:t xml:space="preserve">, to correct a </w:t>
      </w:r>
      <w:r w:rsidR="003F0B3A">
        <w:t>transcription</w:t>
      </w:r>
      <w:r w:rsidRPr="00243C38">
        <w:t xml:space="preserve"> error.</w:t>
      </w:r>
      <w:r w:rsidR="00A85408">
        <w:br w:type="page"/>
      </w:r>
    </w:p>
    <w:p w14:paraId="6E9FABB7" w14:textId="77777777" w:rsidR="00054E77" w:rsidRDefault="00054E77" w:rsidP="00054E77">
      <w:pPr>
        <w:keepNext/>
        <w:rPr>
          <w:b/>
          <w:i/>
        </w:rPr>
      </w:pPr>
      <w:r w:rsidRPr="00140210">
        <w:rPr>
          <w:b/>
          <w:i/>
        </w:rPr>
        <w:lastRenderedPageBreak/>
        <w:t xml:space="preserve">Schedule </w:t>
      </w:r>
      <w:r>
        <w:rPr>
          <w:b/>
          <w:i/>
        </w:rPr>
        <w:t>4</w:t>
      </w:r>
    </w:p>
    <w:p w14:paraId="6E9FABB8" w14:textId="77777777" w:rsidR="00054E77" w:rsidRPr="00140210" w:rsidRDefault="00054E77" w:rsidP="00054E77">
      <w:pPr>
        <w:keepNext/>
        <w:rPr>
          <w:b/>
          <w:i/>
        </w:rPr>
      </w:pPr>
    </w:p>
    <w:p w14:paraId="6E9FABB9" w14:textId="77777777" w:rsidR="00054E77" w:rsidRPr="00DE792F" w:rsidRDefault="00054E77" w:rsidP="00054E77">
      <w:pPr>
        <w:rPr>
          <w:i/>
        </w:rPr>
      </w:pPr>
      <w:r w:rsidRPr="00DE792F">
        <w:rPr>
          <w:i/>
        </w:rPr>
        <w:t>Section S4—2 (definition of sugars)</w:t>
      </w:r>
    </w:p>
    <w:p w14:paraId="6E9FABBA" w14:textId="77777777" w:rsidR="00054E77" w:rsidRPr="009C4395" w:rsidRDefault="00054E77" w:rsidP="00054E77">
      <w:pPr>
        <w:rPr>
          <w:highlight w:val="yellow"/>
        </w:rPr>
      </w:pPr>
    </w:p>
    <w:p w14:paraId="6E9FABBB" w14:textId="77777777" w:rsidR="00054E77" w:rsidRPr="00DE792F" w:rsidRDefault="00054E77" w:rsidP="00054E77">
      <w:r w:rsidRPr="00DE792F">
        <w:rPr>
          <w:szCs w:val="22"/>
        </w:rPr>
        <w:t>Item [1</w:t>
      </w:r>
      <w:r>
        <w:rPr>
          <w:szCs w:val="22"/>
        </w:rPr>
        <w:t>7</w:t>
      </w:r>
      <w:r w:rsidRPr="00DE792F">
        <w:rPr>
          <w:szCs w:val="22"/>
        </w:rPr>
        <w:t xml:space="preserve">] replaces ‘(a)’ (second occurrence) </w:t>
      </w:r>
      <w:r w:rsidRPr="00DE792F">
        <w:t>with ‘(b)’, to correct a numbering error.</w:t>
      </w:r>
    </w:p>
    <w:p w14:paraId="6E9FABBC" w14:textId="77777777" w:rsidR="00054E77" w:rsidRPr="009C4395" w:rsidRDefault="00054E77" w:rsidP="00054E77">
      <w:pPr>
        <w:rPr>
          <w:highlight w:val="yellow"/>
        </w:rPr>
      </w:pPr>
    </w:p>
    <w:p w14:paraId="6E9FABBD" w14:textId="77777777" w:rsidR="00054E77" w:rsidRDefault="00054E77" w:rsidP="00054E77">
      <w:pPr>
        <w:rPr>
          <w:i/>
        </w:rPr>
      </w:pPr>
      <w:r w:rsidRPr="00DE792F">
        <w:rPr>
          <w:i/>
        </w:rPr>
        <w:t>Section S4—5 (table)</w:t>
      </w:r>
    </w:p>
    <w:p w14:paraId="6E9FABBE" w14:textId="77777777" w:rsidR="00054E77" w:rsidRDefault="00054E77" w:rsidP="00054E77"/>
    <w:p w14:paraId="6E9FABBF" w14:textId="77777777" w:rsidR="00054E77" w:rsidRPr="009C4395" w:rsidRDefault="00054E77" w:rsidP="00054E77">
      <w:pPr>
        <w:ind w:left="567" w:hanging="567"/>
        <w:rPr>
          <w:highlight w:val="yellow"/>
        </w:rPr>
      </w:pPr>
      <w:r w:rsidRPr="00DB02A6">
        <w:t>(a)</w:t>
      </w:r>
      <w:r w:rsidRPr="00DB02A6">
        <w:tab/>
      </w:r>
      <w:r w:rsidRPr="00DB02A6">
        <w:rPr>
          <w:szCs w:val="22"/>
        </w:rPr>
        <w:t>Item [</w:t>
      </w:r>
      <w:r>
        <w:rPr>
          <w:szCs w:val="22"/>
        </w:rPr>
        <w:t>18</w:t>
      </w:r>
      <w:r w:rsidRPr="00DB02A6">
        <w:rPr>
          <w:szCs w:val="22"/>
        </w:rPr>
        <w:t xml:space="preserve">] </w:t>
      </w:r>
      <w:r w:rsidRPr="00243C38">
        <w:t>correct</w:t>
      </w:r>
      <w:r>
        <w:t>s</w:t>
      </w:r>
      <w:r w:rsidRPr="00243C38">
        <w:t xml:space="preserve"> a typographical error</w:t>
      </w:r>
      <w:r>
        <w:t xml:space="preserve"> by removing the duplicate reference in column 1 of the table to ‘Iodine’ </w:t>
      </w:r>
      <w:r w:rsidRPr="00DE792F">
        <w:rPr>
          <w:szCs w:val="22"/>
        </w:rPr>
        <w:t>(second occurrence)</w:t>
      </w:r>
      <w:r>
        <w:rPr>
          <w:szCs w:val="22"/>
        </w:rPr>
        <w:t>.</w:t>
      </w:r>
    </w:p>
    <w:p w14:paraId="6E9FABC0" w14:textId="77777777" w:rsidR="00054E77" w:rsidRPr="009C4395" w:rsidRDefault="00054E77" w:rsidP="00054E77">
      <w:pPr>
        <w:rPr>
          <w:highlight w:val="yellow"/>
        </w:rPr>
      </w:pPr>
    </w:p>
    <w:p w14:paraId="6E9FABC1" w14:textId="77777777" w:rsidR="00054E77" w:rsidRPr="009C4395" w:rsidRDefault="00054E77" w:rsidP="00054E77">
      <w:pPr>
        <w:ind w:left="567" w:hanging="567"/>
        <w:rPr>
          <w:highlight w:val="yellow"/>
        </w:rPr>
      </w:pPr>
      <w:r w:rsidRPr="00DB02A6">
        <w:t>(b)</w:t>
      </w:r>
      <w:r w:rsidRPr="00DB02A6">
        <w:tab/>
      </w:r>
      <w:r w:rsidRPr="00DB02A6">
        <w:rPr>
          <w:szCs w:val="22"/>
        </w:rPr>
        <w:t>Item [</w:t>
      </w:r>
      <w:r>
        <w:rPr>
          <w:szCs w:val="22"/>
        </w:rPr>
        <w:t>18</w:t>
      </w:r>
      <w:r w:rsidRPr="00DB02A6">
        <w:rPr>
          <w:szCs w:val="22"/>
        </w:rPr>
        <w:t xml:space="preserve">] </w:t>
      </w:r>
      <w:r w:rsidRPr="00243C38">
        <w:t>correct</w:t>
      </w:r>
      <w:r>
        <w:t>s</w:t>
      </w:r>
      <w:r w:rsidRPr="00243C38">
        <w:t xml:space="preserve"> a typographical error</w:t>
      </w:r>
      <w:r>
        <w:t xml:space="preserve"> by removing the duplicate reference in column 1 of the table to</w:t>
      </w:r>
      <w:r w:rsidRPr="00DB02A6" w:rsidDel="002A7554">
        <w:t xml:space="preserve"> </w:t>
      </w:r>
      <w:r>
        <w:t>‘</w:t>
      </w:r>
      <w:r w:rsidRPr="00DB02A6">
        <w:t>Selenium</w:t>
      </w:r>
      <w:r>
        <w:t xml:space="preserve">’ </w:t>
      </w:r>
      <w:r w:rsidRPr="00DE792F">
        <w:rPr>
          <w:szCs w:val="22"/>
        </w:rPr>
        <w:t>(second occurrence)</w:t>
      </w:r>
      <w:r>
        <w:rPr>
          <w:szCs w:val="22"/>
        </w:rPr>
        <w:t xml:space="preserve"> and by correcting the formatting of the row for that entry</w:t>
      </w:r>
      <w:r w:rsidRPr="00243C38">
        <w:t>.</w:t>
      </w:r>
    </w:p>
    <w:p w14:paraId="6E9FABC2" w14:textId="77777777" w:rsidR="00054E77" w:rsidRPr="009C4395" w:rsidRDefault="00054E77" w:rsidP="00054E77">
      <w:pPr>
        <w:rPr>
          <w:highlight w:val="yellow"/>
        </w:rPr>
      </w:pPr>
    </w:p>
    <w:p w14:paraId="6E9FABC3" w14:textId="77777777" w:rsidR="00054E77" w:rsidRDefault="00054E77" w:rsidP="00054E77">
      <w:pPr>
        <w:ind w:left="567" w:hanging="567"/>
        <w:rPr>
          <w:szCs w:val="22"/>
        </w:rPr>
      </w:pPr>
      <w:r w:rsidRPr="00DB02A6">
        <w:t xml:space="preserve">(c) </w:t>
      </w:r>
      <w:r w:rsidRPr="00DB02A6">
        <w:tab/>
      </w:r>
      <w:r w:rsidRPr="00DB02A6">
        <w:rPr>
          <w:szCs w:val="22"/>
        </w:rPr>
        <w:t>Item</w:t>
      </w:r>
      <w:r>
        <w:rPr>
          <w:szCs w:val="22"/>
        </w:rPr>
        <w:t xml:space="preserve"> [18] </w:t>
      </w:r>
      <w:r w:rsidRPr="00243C38">
        <w:t>correct</w:t>
      </w:r>
      <w:r>
        <w:t>s</w:t>
      </w:r>
      <w:r w:rsidRPr="00243C38">
        <w:t xml:space="preserve"> a typographical error</w:t>
      </w:r>
      <w:r>
        <w:t xml:space="preserve"> by removing the duplicate reference in column 1 of the table to</w:t>
      </w:r>
      <w:r w:rsidRPr="00DB02A6" w:rsidDel="002A7554">
        <w:t xml:space="preserve"> </w:t>
      </w:r>
      <w:r>
        <w:rPr>
          <w:szCs w:val="22"/>
        </w:rPr>
        <w:t>‘Energy</w:t>
      </w:r>
      <w:r w:rsidRPr="00DB02A6">
        <w:rPr>
          <w:szCs w:val="22"/>
        </w:rPr>
        <w:t xml:space="preserve">’ (second occurrence) </w:t>
      </w:r>
      <w:r>
        <w:rPr>
          <w:szCs w:val="22"/>
        </w:rPr>
        <w:t>and by correcting the formatting of the row for that entry</w:t>
      </w:r>
      <w:r w:rsidRPr="00DB02A6">
        <w:rPr>
          <w:szCs w:val="22"/>
        </w:rPr>
        <w:t>.</w:t>
      </w:r>
    </w:p>
    <w:p w14:paraId="6E9FABC4" w14:textId="77777777" w:rsidR="00054E77" w:rsidRDefault="00054E77" w:rsidP="00054E77">
      <w:pPr>
        <w:ind w:left="567" w:hanging="567"/>
        <w:rPr>
          <w:szCs w:val="22"/>
        </w:rPr>
      </w:pPr>
    </w:p>
    <w:p w14:paraId="6E9FABC5" w14:textId="77777777" w:rsidR="00054E77" w:rsidRPr="00DB02A6" w:rsidRDefault="00054E77" w:rsidP="00054E77">
      <w:pPr>
        <w:ind w:left="567" w:hanging="567"/>
        <w:rPr>
          <w:b/>
          <w:i/>
          <w:szCs w:val="22"/>
        </w:rPr>
      </w:pPr>
      <w:r w:rsidRPr="00DB02A6">
        <w:rPr>
          <w:b/>
          <w:i/>
          <w:szCs w:val="22"/>
        </w:rPr>
        <w:t>Schedule 12</w:t>
      </w:r>
    </w:p>
    <w:p w14:paraId="6E9FABC6" w14:textId="77777777" w:rsidR="00054E77" w:rsidRPr="009C4395" w:rsidRDefault="00054E77" w:rsidP="00054E77">
      <w:pPr>
        <w:ind w:left="567" w:hanging="567"/>
        <w:rPr>
          <w:b/>
          <w:i/>
          <w:highlight w:val="yellow"/>
        </w:rPr>
      </w:pPr>
    </w:p>
    <w:p w14:paraId="6E9FABC7" w14:textId="77777777" w:rsidR="00054E77" w:rsidRDefault="00054E77" w:rsidP="00054E77">
      <w:pPr>
        <w:rPr>
          <w:i/>
        </w:rPr>
      </w:pPr>
      <w:r w:rsidRPr="0006797A">
        <w:rPr>
          <w:i/>
        </w:rPr>
        <w:t>Section S12—4 (table)</w:t>
      </w:r>
    </w:p>
    <w:p w14:paraId="6E9FABC8" w14:textId="77777777" w:rsidR="00054E77" w:rsidRPr="009C4395" w:rsidRDefault="00054E77" w:rsidP="00054E77">
      <w:pPr>
        <w:rPr>
          <w:highlight w:val="yellow"/>
          <w:u w:val="single"/>
        </w:rPr>
      </w:pPr>
    </w:p>
    <w:p w14:paraId="6E9FABC9" w14:textId="77777777" w:rsidR="00054E77" w:rsidRPr="0006797A" w:rsidRDefault="00054E77" w:rsidP="00054E77">
      <w:r w:rsidRPr="0006797A">
        <w:rPr>
          <w:szCs w:val="22"/>
        </w:rPr>
        <w:t>Item [</w:t>
      </w:r>
      <w:r>
        <w:rPr>
          <w:szCs w:val="22"/>
        </w:rPr>
        <w:t>19</w:t>
      </w:r>
      <w:r w:rsidRPr="0006797A">
        <w:rPr>
          <w:szCs w:val="22"/>
        </w:rPr>
        <w:t>]</w:t>
      </w:r>
      <w:r>
        <w:rPr>
          <w:szCs w:val="22"/>
        </w:rPr>
        <w:t xml:space="preserve"> deletes the following unnecessary sentence from the table:</w:t>
      </w:r>
      <w:r w:rsidRPr="0006797A">
        <w:rPr>
          <w:szCs w:val="22"/>
        </w:rPr>
        <w:t xml:space="preserve"> ‘Your daily intakes may be higher or lower depending on your energy needs.’ </w:t>
      </w:r>
    </w:p>
    <w:p w14:paraId="6E9FABCA" w14:textId="77777777" w:rsidR="00054E77" w:rsidRDefault="00054E77" w:rsidP="00054E77">
      <w:pPr>
        <w:rPr>
          <w:highlight w:val="yellow"/>
        </w:rPr>
      </w:pPr>
    </w:p>
    <w:p w14:paraId="6E9FABCB" w14:textId="77777777" w:rsidR="00054E77" w:rsidRPr="00DB02A6" w:rsidRDefault="00054E77" w:rsidP="00054E77">
      <w:pPr>
        <w:ind w:left="567" w:hanging="567"/>
        <w:rPr>
          <w:b/>
          <w:i/>
          <w:szCs w:val="22"/>
        </w:rPr>
      </w:pPr>
      <w:r>
        <w:rPr>
          <w:b/>
          <w:i/>
          <w:szCs w:val="22"/>
        </w:rPr>
        <w:t>Schedule 15</w:t>
      </w:r>
    </w:p>
    <w:p w14:paraId="6E9FABCC" w14:textId="77777777" w:rsidR="00054E77" w:rsidRPr="009C4395" w:rsidRDefault="00054E77" w:rsidP="00054E77">
      <w:pPr>
        <w:ind w:left="567" w:hanging="567"/>
        <w:rPr>
          <w:b/>
          <w:i/>
          <w:highlight w:val="yellow"/>
        </w:rPr>
      </w:pPr>
    </w:p>
    <w:p w14:paraId="6E9FABCD" w14:textId="77777777" w:rsidR="00054E77" w:rsidRDefault="00054E77" w:rsidP="00054E77">
      <w:pPr>
        <w:rPr>
          <w:i/>
        </w:rPr>
      </w:pPr>
      <w:r w:rsidRPr="00B45347">
        <w:rPr>
          <w:i/>
        </w:rPr>
        <w:t xml:space="preserve">Section S15—5 (table) </w:t>
      </w:r>
    </w:p>
    <w:p w14:paraId="6E9FABCE" w14:textId="77777777" w:rsidR="00054E77" w:rsidRPr="009C4395" w:rsidRDefault="00054E77" w:rsidP="00054E77">
      <w:pPr>
        <w:rPr>
          <w:highlight w:val="yellow"/>
        </w:rPr>
      </w:pPr>
    </w:p>
    <w:p w14:paraId="37FD2AB5" w14:textId="7F4F36B6" w:rsidR="00DE609B" w:rsidRPr="0019547C" w:rsidRDefault="00054E77" w:rsidP="00054E77">
      <w:pPr>
        <w:ind w:left="567" w:hanging="567"/>
        <w:rPr>
          <w:szCs w:val="22"/>
        </w:rPr>
      </w:pPr>
      <w:r w:rsidRPr="0019547C">
        <w:rPr>
          <w:szCs w:val="22"/>
        </w:rPr>
        <w:t>(a)</w:t>
      </w:r>
      <w:r w:rsidRPr="0019547C">
        <w:rPr>
          <w:szCs w:val="22"/>
        </w:rPr>
        <w:tab/>
        <w:t xml:space="preserve">Item [20] </w:t>
      </w:r>
      <w:r w:rsidR="00DE609B" w:rsidRPr="0019547C">
        <w:rPr>
          <w:szCs w:val="22"/>
        </w:rPr>
        <w:t xml:space="preserve">removes the duplicate entries in </w:t>
      </w:r>
      <w:r w:rsidR="00DE609B" w:rsidRPr="0019547C">
        <w:t>item 1.4.2</w:t>
      </w:r>
      <w:r w:rsidR="00DE609B" w:rsidRPr="0019547C">
        <w:rPr>
          <w:i/>
        </w:rPr>
        <w:t xml:space="preserve"> </w:t>
      </w:r>
      <w:r w:rsidR="00DE609B" w:rsidRPr="0019547C">
        <w:rPr>
          <w:szCs w:val="22"/>
        </w:rPr>
        <w:t>of the table for ‘Nisin’ (second occurrence) and ‘Polyglycerol esters of fatty acids’ (second occurrence)</w:t>
      </w:r>
      <w:r w:rsidR="00DE609B" w:rsidRPr="0019547C">
        <w:t>, to correct a typographical error.</w:t>
      </w:r>
    </w:p>
    <w:p w14:paraId="09F4618E" w14:textId="77777777" w:rsidR="00DE609B" w:rsidRPr="0019547C" w:rsidRDefault="00DE609B" w:rsidP="00054E77">
      <w:pPr>
        <w:ind w:left="567" w:hanging="567"/>
        <w:rPr>
          <w:szCs w:val="22"/>
        </w:rPr>
      </w:pPr>
    </w:p>
    <w:p w14:paraId="6E9FABCF" w14:textId="2284D17B" w:rsidR="00054E77" w:rsidRDefault="00DE609B" w:rsidP="00054E77">
      <w:pPr>
        <w:ind w:left="567" w:hanging="567"/>
      </w:pPr>
      <w:r w:rsidRPr="0019547C">
        <w:t>(b)</w:t>
      </w:r>
      <w:r w:rsidRPr="0019547C">
        <w:tab/>
      </w:r>
      <w:r w:rsidR="00054E77" w:rsidRPr="0019547C">
        <w:rPr>
          <w:szCs w:val="22"/>
        </w:rPr>
        <w:t>Item [20] inserts the following into the item 2.2.2 of the table, in numerical order</w:t>
      </w:r>
      <w:r w:rsidR="00054E77" w:rsidRPr="0019547C">
        <w:t>, to</w:t>
      </w:r>
      <w:r w:rsidR="00054E77" w:rsidRPr="00BD078D">
        <w:t xml:space="preserve"> correct a transcription error.</w:t>
      </w:r>
    </w:p>
    <w:p w14:paraId="6E9FABD0" w14:textId="77777777" w:rsidR="00054E77" w:rsidRDefault="00054E77" w:rsidP="00054E77">
      <w:pPr>
        <w:ind w:left="567" w:hanging="567"/>
      </w:pP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054E77" w:rsidRPr="00FD2CFF" w14:paraId="6E9FABD5" w14:textId="77777777" w:rsidTr="00054E77">
        <w:trPr>
          <w:cantSplit/>
        </w:trPr>
        <w:tc>
          <w:tcPr>
            <w:tcW w:w="1668" w:type="dxa"/>
          </w:tcPr>
          <w:p w14:paraId="6E9FABD1" w14:textId="77777777" w:rsidR="00054E77" w:rsidRPr="00FD2CFF" w:rsidRDefault="00054E77" w:rsidP="00054E77">
            <w:pPr>
              <w:pStyle w:val="FSCAdditivestext1"/>
            </w:pPr>
            <w:r>
              <w:t>200 201 202 20</w:t>
            </w:r>
            <w:r w:rsidRPr="00FD2CFF">
              <w:t>3</w:t>
            </w:r>
          </w:p>
        </w:tc>
        <w:tc>
          <w:tcPr>
            <w:tcW w:w="4252" w:type="dxa"/>
          </w:tcPr>
          <w:p w14:paraId="6E9FABD2" w14:textId="77777777" w:rsidR="00054E77" w:rsidRPr="00FD2CFF" w:rsidRDefault="00054E77" w:rsidP="00054E77">
            <w:pPr>
              <w:pStyle w:val="FSCAdditivestext1"/>
            </w:pPr>
            <w:r>
              <w:t>Sorbic</w:t>
            </w:r>
            <w:r w:rsidRPr="00FD2CFF">
              <w:t xml:space="preserve"> acid and sod</w:t>
            </w:r>
            <w:r>
              <w:t>ium, potassium and calcium sorb</w:t>
            </w:r>
            <w:r w:rsidRPr="00FD2CFF">
              <w:t>ates</w:t>
            </w:r>
          </w:p>
        </w:tc>
        <w:tc>
          <w:tcPr>
            <w:tcW w:w="992" w:type="dxa"/>
          </w:tcPr>
          <w:p w14:paraId="6E9FABD3" w14:textId="77777777" w:rsidR="00054E77" w:rsidRPr="00FD2CFF" w:rsidRDefault="00054E77" w:rsidP="00054E77">
            <w:pPr>
              <w:pStyle w:val="FSCAdditivestext2"/>
            </w:pPr>
            <w:r>
              <w:t>2</w:t>
            </w:r>
            <w:r w:rsidRPr="00FD2CFF">
              <w:t xml:space="preserve"> 000</w:t>
            </w:r>
          </w:p>
        </w:tc>
        <w:tc>
          <w:tcPr>
            <w:tcW w:w="2160" w:type="dxa"/>
          </w:tcPr>
          <w:p w14:paraId="6E9FABD4" w14:textId="77777777" w:rsidR="00054E77" w:rsidRPr="00FD2CFF" w:rsidRDefault="00054E77" w:rsidP="00054E77">
            <w:pPr>
              <w:pStyle w:val="FSCAdditivestext1"/>
            </w:pPr>
          </w:p>
        </w:tc>
      </w:tr>
    </w:tbl>
    <w:p w14:paraId="6E9FABD8" w14:textId="77777777" w:rsidR="00054E77" w:rsidRDefault="00054E77" w:rsidP="00054E77"/>
    <w:p w14:paraId="6E9FABD9" w14:textId="77777777" w:rsidR="00054E77" w:rsidRPr="00DB02A6" w:rsidRDefault="00054E77" w:rsidP="00054E77">
      <w:pPr>
        <w:ind w:left="567" w:hanging="567"/>
        <w:rPr>
          <w:b/>
          <w:i/>
          <w:szCs w:val="22"/>
        </w:rPr>
      </w:pPr>
      <w:r>
        <w:rPr>
          <w:b/>
          <w:i/>
          <w:szCs w:val="22"/>
        </w:rPr>
        <w:t>Schedule 18</w:t>
      </w:r>
    </w:p>
    <w:p w14:paraId="6E9FABDA" w14:textId="77777777" w:rsidR="00054E77" w:rsidRPr="009C4395" w:rsidRDefault="00054E77" w:rsidP="00054E77">
      <w:pPr>
        <w:ind w:left="567" w:hanging="567"/>
        <w:rPr>
          <w:b/>
          <w:i/>
          <w:highlight w:val="yellow"/>
        </w:rPr>
      </w:pPr>
    </w:p>
    <w:p w14:paraId="6E9FABDB" w14:textId="77777777" w:rsidR="00054E77" w:rsidRPr="008247C4" w:rsidRDefault="00054E77" w:rsidP="00054E77">
      <w:r w:rsidRPr="00397858">
        <w:rPr>
          <w:i/>
        </w:rPr>
        <w:t>Section S18—3 (table)</w:t>
      </w:r>
    </w:p>
    <w:p w14:paraId="6E9FABDC" w14:textId="77777777" w:rsidR="00054E77" w:rsidRPr="009C4395" w:rsidRDefault="00054E77" w:rsidP="00054E77">
      <w:pPr>
        <w:rPr>
          <w:highlight w:val="yellow"/>
        </w:rPr>
      </w:pPr>
    </w:p>
    <w:p w14:paraId="6E9FABDD" w14:textId="77777777" w:rsidR="00054E77" w:rsidRDefault="00054E77" w:rsidP="00054E77">
      <w:r w:rsidRPr="00397858">
        <w:rPr>
          <w:szCs w:val="22"/>
        </w:rPr>
        <w:t>Item [</w:t>
      </w:r>
      <w:r>
        <w:rPr>
          <w:szCs w:val="22"/>
        </w:rPr>
        <w:t>21</w:t>
      </w:r>
      <w:r w:rsidRPr="00397858">
        <w:rPr>
          <w:szCs w:val="22"/>
        </w:rPr>
        <w:t xml:space="preserve">] replaces </w:t>
      </w:r>
      <w:r w:rsidRPr="00397858">
        <w:t>‘</w:t>
      </w:r>
      <w:r>
        <w:t>tetraethylenepentamin</w:t>
      </w:r>
      <w:r w:rsidRPr="00397858">
        <w:t>’ with ‘tetraethylenepentamin</w:t>
      </w:r>
      <w:r>
        <w:t>e</w:t>
      </w:r>
      <w:r w:rsidRPr="00397858">
        <w:t>’, to correct a typographical error.</w:t>
      </w:r>
    </w:p>
    <w:p w14:paraId="6E9FABDE" w14:textId="77777777" w:rsidR="00054E77" w:rsidRDefault="00054E77" w:rsidP="00054E77"/>
    <w:p w14:paraId="6E9FABDF" w14:textId="77777777" w:rsidR="00054E77" w:rsidRPr="00DB02A6" w:rsidRDefault="00054E77" w:rsidP="00054E77">
      <w:pPr>
        <w:ind w:left="567" w:hanging="567"/>
        <w:rPr>
          <w:b/>
          <w:i/>
          <w:szCs w:val="22"/>
        </w:rPr>
      </w:pPr>
      <w:r>
        <w:rPr>
          <w:b/>
          <w:i/>
          <w:szCs w:val="22"/>
        </w:rPr>
        <w:t>Schedule 26</w:t>
      </w:r>
    </w:p>
    <w:p w14:paraId="6E9FABE0" w14:textId="77777777" w:rsidR="00054E77" w:rsidRPr="009C4395" w:rsidRDefault="00054E77" w:rsidP="00054E77">
      <w:pPr>
        <w:ind w:left="567" w:hanging="567"/>
        <w:rPr>
          <w:b/>
          <w:i/>
          <w:highlight w:val="yellow"/>
        </w:rPr>
      </w:pPr>
    </w:p>
    <w:p w14:paraId="6E9FABE1" w14:textId="553EB0F5" w:rsidR="00054E77" w:rsidRPr="00397858" w:rsidRDefault="00110CA5" w:rsidP="00054E77">
      <w:r>
        <w:rPr>
          <w:i/>
        </w:rPr>
        <w:t>Schedule Heading (</w:t>
      </w:r>
      <w:r w:rsidR="00054E77" w:rsidRPr="00397858">
        <w:rPr>
          <w:i/>
        </w:rPr>
        <w:t>Note 1</w:t>
      </w:r>
      <w:r>
        <w:rPr>
          <w:i/>
        </w:rPr>
        <w:t>)</w:t>
      </w:r>
    </w:p>
    <w:p w14:paraId="6E9FABE2" w14:textId="77777777" w:rsidR="00054E77" w:rsidRPr="009C4395" w:rsidRDefault="00054E77" w:rsidP="00054E77">
      <w:pPr>
        <w:rPr>
          <w:highlight w:val="yellow"/>
        </w:rPr>
      </w:pPr>
    </w:p>
    <w:p w14:paraId="6E9FABE3" w14:textId="77777777" w:rsidR="00054E77" w:rsidRPr="00397858" w:rsidRDefault="00054E77" w:rsidP="00054E77">
      <w:r w:rsidRPr="00397858">
        <w:rPr>
          <w:szCs w:val="22"/>
        </w:rPr>
        <w:t>Item [</w:t>
      </w:r>
      <w:r>
        <w:rPr>
          <w:szCs w:val="22"/>
        </w:rPr>
        <w:t>22</w:t>
      </w:r>
      <w:r w:rsidRPr="00397858">
        <w:rPr>
          <w:szCs w:val="22"/>
        </w:rPr>
        <w:t xml:space="preserve">] replaces </w:t>
      </w:r>
      <w:r w:rsidRPr="00397858">
        <w:t>‘1.1.1—10(3</w:t>
      </w:r>
      <w:proofErr w:type="gramStart"/>
      <w:r w:rsidRPr="00397858">
        <w:t>)(</w:t>
      </w:r>
      <w:proofErr w:type="gramEnd"/>
      <w:r w:rsidRPr="00397858">
        <w:t>c) and (4)(g)’ with ‘1.1.1—10(5)(c) and (6)(g)’, to correct a referencing error.</w:t>
      </w:r>
    </w:p>
    <w:p w14:paraId="6E9FABE4" w14:textId="77777777" w:rsidR="00054E77" w:rsidRPr="009C4395" w:rsidRDefault="00054E77" w:rsidP="00054E77">
      <w:pPr>
        <w:rPr>
          <w:highlight w:val="yellow"/>
        </w:rPr>
      </w:pPr>
    </w:p>
    <w:p w14:paraId="5541A36D" w14:textId="77777777" w:rsidR="00A85408" w:rsidRDefault="00A85408" w:rsidP="00054E77">
      <w:pPr>
        <w:rPr>
          <w:b/>
          <w:i/>
        </w:rPr>
      </w:pPr>
      <w:r>
        <w:rPr>
          <w:b/>
          <w:i/>
        </w:rPr>
        <w:br w:type="page"/>
      </w:r>
    </w:p>
    <w:p w14:paraId="6E9FABE5" w14:textId="38454A56" w:rsidR="00054E77" w:rsidRDefault="00054E77" w:rsidP="00054E77">
      <w:pPr>
        <w:rPr>
          <w:b/>
          <w:i/>
        </w:rPr>
      </w:pPr>
      <w:r w:rsidRPr="00260397">
        <w:rPr>
          <w:b/>
          <w:i/>
        </w:rPr>
        <w:lastRenderedPageBreak/>
        <w:t>Section S26—3(4) (table)</w:t>
      </w:r>
    </w:p>
    <w:p w14:paraId="6E9FABE6" w14:textId="77777777" w:rsidR="00054E77" w:rsidRDefault="00054E77" w:rsidP="00054E77">
      <w:pPr>
        <w:rPr>
          <w:highlight w:val="yellow"/>
        </w:rPr>
      </w:pPr>
    </w:p>
    <w:p w14:paraId="6E9FABE7" w14:textId="77777777" w:rsidR="00054E77" w:rsidRPr="009C4395" w:rsidRDefault="00054E77" w:rsidP="00054E77">
      <w:pPr>
        <w:ind w:left="567" w:hanging="567"/>
        <w:rPr>
          <w:highlight w:val="yellow"/>
        </w:rPr>
      </w:pPr>
      <w:r w:rsidRPr="00DB02A6">
        <w:t>(a)</w:t>
      </w:r>
      <w:r w:rsidRPr="00DB02A6">
        <w:tab/>
      </w:r>
      <w:r w:rsidRPr="00DB02A6">
        <w:rPr>
          <w:szCs w:val="22"/>
        </w:rPr>
        <w:t>Item [</w:t>
      </w:r>
      <w:r>
        <w:rPr>
          <w:szCs w:val="22"/>
        </w:rPr>
        <w:t>23</w:t>
      </w:r>
      <w:r w:rsidRPr="00DB02A6">
        <w:rPr>
          <w:szCs w:val="22"/>
        </w:rPr>
        <w:t xml:space="preserve">] </w:t>
      </w:r>
      <w:r>
        <w:t xml:space="preserve">replaces ‘&amp;’ with ‘and’ in entry 4(a), </w:t>
      </w:r>
      <w:r w:rsidRPr="00243C38">
        <w:t>to correct a typographical error.</w:t>
      </w:r>
    </w:p>
    <w:p w14:paraId="6E9FABE8" w14:textId="77777777" w:rsidR="00054E77" w:rsidRPr="009C4395" w:rsidRDefault="00054E77" w:rsidP="00054E77">
      <w:pPr>
        <w:rPr>
          <w:highlight w:val="yellow"/>
        </w:rPr>
      </w:pPr>
    </w:p>
    <w:p w14:paraId="6E9FABE9" w14:textId="77777777" w:rsidR="00054E77" w:rsidRPr="009C4395" w:rsidRDefault="00054E77" w:rsidP="00054E77">
      <w:pPr>
        <w:ind w:left="567" w:hanging="567"/>
        <w:rPr>
          <w:highlight w:val="yellow"/>
        </w:rPr>
      </w:pPr>
      <w:r w:rsidRPr="00DB02A6">
        <w:t>(b)</w:t>
      </w:r>
      <w:r w:rsidRPr="00DB02A6">
        <w:tab/>
      </w:r>
      <w:r w:rsidRPr="00DB02A6">
        <w:rPr>
          <w:szCs w:val="22"/>
        </w:rPr>
        <w:t>Item [</w:t>
      </w:r>
      <w:r>
        <w:rPr>
          <w:szCs w:val="22"/>
        </w:rPr>
        <w:t>23</w:t>
      </w:r>
      <w:r w:rsidRPr="00DB02A6">
        <w:rPr>
          <w:szCs w:val="22"/>
        </w:rPr>
        <w:t xml:space="preserve">] </w:t>
      </w:r>
      <w:r w:rsidRPr="00DB02A6">
        <w:t>deletes</w:t>
      </w:r>
      <w:r>
        <w:t xml:space="preserve"> ‘</w:t>
      </w:r>
      <w:r w:rsidRPr="003D530B">
        <w:t>food derived from</w:t>
      </w:r>
      <w:r>
        <w:t xml:space="preserve">’ in entry 4(b), </w:t>
      </w:r>
      <w:r w:rsidRPr="00243C38">
        <w:t>to correct a typographical error.</w:t>
      </w:r>
    </w:p>
    <w:p w14:paraId="6E9FABEA" w14:textId="77777777" w:rsidR="00054E77" w:rsidRPr="009C4395" w:rsidRDefault="00054E77" w:rsidP="00054E77">
      <w:pPr>
        <w:rPr>
          <w:highlight w:val="yellow"/>
        </w:rPr>
      </w:pPr>
    </w:p>
    <w:p w14:paraId="6E9FABEB" w14:textId="77777777" w:rsidR="00054E77" w:rsidRDefault="00054E77" w:rsidP="00054E77">
      <w:pPr>
        <w:ind w:left="567" w:hanging="567"/>
        <w:rPr>
          <w:b/>
          <w:i/>
          <w:szCs w:val="22"/>
        </w:rPr>
      </w:pPr>
      <w:r>
        <w:rPr>
          <w:b/>
          <w:i/>
          <w:szCs w:val="22"/>
        </w:rPr>
        <w:t>Schedule 29</w:t>
      </w:r>
    </w:p>
    <w:p w14:paraId="6E9FABEC" w14:textId="77777777" w:rsidR="00054E77" w:rsidRDefault="00054E77" w:rsidP="00054E77">
      <w:pPr>
        <w:ind w:left="567" w:hanging="567"/>
        <w:rPr>
          <w:b/>
          <w:i/>
          <w:szCs w:val="22"/>
        </w:rPr>
      </w:pPr>
    </w:p>
    <w:p w14:paraId="60C2FCF6" w14:textId="77777777" w:rsidR="009A79C6" w:rsidRPr="007F4BF3" w:rsidRDefault="009A79C6" w:rsidP="009A79C6">
      <w:pPr>
        <w:ind w:left="567" w:hanging="567"/>
        <w:rPr>
          <w:i/>
          <w:szCs w:val="22"/>
        </w:rPr>
      </w:pPr>
      <w:r w:rsidRPr="007F4BF3">
        <w:rPr>
          <w:i/>
          <w:szCs w:val="22"/>
        </w:rPr>
        <w:t>Section S29—</w:t>
      </w:r>
      <w:r>
        <w:rPr>
          <w:i/>
          <w:szCs w:val="22"/>
        </w:rPr>
        <w:t>17</w:t>
      </w:r>
      <w:r w:rsidRPr="007F4BF3">
        <w:rPr>
          <w:i/>
          <w:szCs w:val="22"/>
        </w:rPr>
        <w:t xml:space="preserve"> (</w:t>
      </w:r>
      <w:r>
        <w:rPr>
          <w:i/>
          <w:szCs w:val="22"/>
        </w:rPr>
        <w:t>Table heading</w:t>
      </w:r>
      <w:r w:rsidRPr="007F4BF3">
        <w:rPr>
          <w:i/>
          <w:szCs w:val="22"/>
        </w:rPr>
        <w:t>)</w:t>
      </w:r>
    </w:p>
    <w:p w14:paraId="336F5E1B" w14:textId="77777777" w:rsidR="009A79C6" w:rsidRDefault="009A79C6" w:rsidP="009A79C6">
      <w:pPr>
        <w:rPr>
          <w:szCs w:val="22"/>
        </w:rPr>
      </w:pPr>
    </w:p>
    <w:p w14:paraId="527A0B7F" w14:textId="385BFDD2" w:rsidR="009A79C6" w:rsidRPr="00B93BBE" w:rsidRDefault="009A79C6" w:rsidP="009A79C6">
      <w:pPr>
        <w:rPr>
          <w:szCs w:val="22"/>
        </w:rPr>
      </w:pPr>
      <w:r w:rsidRPr="00DB02A6">
        <w:rPr>
          <w:szCs w:val="22"/>
        </w:rPr>
        <w:t>Item [</w:t>
      </w:r>
      <w:r>
        <w:rPr>
          <w:szCs w:val="22"/>
        </w:rPr>
        <w:t>24</w:t>
      </w:r>
      <w:r w:rsidRPr="00DB02A6">
        <w:rPr>
          <w:szCs w:val="22"/>
        </w:rPr>
        <w:t xml:space="preserve">] </w:t>
      </w:r>
      <w:r>
        <w:rPr>
          <w:szCs w:val="22"/>
        </w:rPr>
        <w:t xml:space="preserve">omits the words ‘and intake amounts’ from the heading to the table in section </w:t>
      </w:r>
      <w:r w:rsidRPr="009A79C6">
        <w:rPr>
          <w:szCs w:val="22"/>
        </w:rPr>
        <w:t>S29—</w:t>
      </w:r>
      <w:r>
        <w:rPr>
          <w:szCs w:val="22"/>
        </w:rPr>
        <w:t>17</w:t>
      </w:r>
      <w:r w:rsidRPr="009A79C6">
        <w:t xml:space="preserve">. </w:t>
      </w:r>
      <w:r>
        <w:t>No intake amounts are shown in the table.</w:t>
      </w:r>
    </w:p>
    <w:p w14:paraId="5B25EC7B" w14:textId="77777777" w:rsidR="009A79C6" w:rsidRDefault="009A79C6" w:rsidP="009A79C6">
      <w:pPr>
        <w:ind w:left="567" w:hanging="567"/>
        <w:rPr>
          <w:i/>
          <w:szCs w:val="22"/>
        </w:rPr>
      </w:pPr>
      <w:r w:rsidRPr="007F4BF3">
        <w:rPr>
          <w:i/>
          <w:szCs w:val="22"/>
        </w:rPr>
        <w:t xml:space="preserve"> </w:t>
      </w:r>
    </w:p>
    <w:p w14:paraId="6E9FABED" w14:textId="58EE1FDF" w:rsidR="00054E77" w:rsidRPr="007F4BF3" w:rsidRDefault="00054E77" w:rsidP="009A79C6">
      <w:pPr>
        <w:ind w:left="567" w:hanging="567"/>
        <w:rPr>
          <w:i/>
          <w:szCs w:val="22"/>
        </w:rPr>
      </w:pPr>
      <w:r w:rsidRPr="007F4BF3">
        <w:rPr>
          <w:i/>
          <w:szCs w:val="22"/>
        </w:rPr>
        <w:t>Section S29—21 (Notes)</w:t>
      </w:r>
    </w:p>
    <w:p w14:paraId="6E9FABEE" w14:textId="77777777" w:rsidR="00054E77" w:rsidRDefault="00054E77" w:rsidP="00054E77">
      <w:pPr>
        <w:ind w:left="567" w:hanging="567"/>
        <w:rPr>
          <w:b/>
          <w:i/>
          <w:szCs w:val="22"/>
        </w:rPr>
      </w:pPr>
    </w:p>
    <w:p w14:paraId="6E9FABEF" w14:textId="3C9C5C3A" w:rsidR="00054E77" w:rsidRPr="00B93BBE" w:rsidRDefault="00054E77" w:rsidP="00054E77">
      <w:pPr>
        <w:rPr>
          <w:szCs w:val="22"/>
        </w:rPr>
      </w:pPr>
      <w:r w:rsidRPr="00DB02A6">
        <w:rPr>
          <w:szCs w:val="22"/>
        </w:rPr>
        <w:t>Item [</w:t>
      </w:r>
      <w:r>
        <w:rPr>
          <w:szCs w:val="22"/>
        </w:rPr>
        <w:t>24</w:t>
      </w:r>
      <w:r w:rsidR="009A79C6">
        <w:rPr>
          <w:szCs w:val="22"/>
        </w:rPr>
        <w:t>A</w:t>
      </w:r>
      <w:r w:rsidRPr="00DB02A6">
        <w:rPr>
          <w:szCs w:val="22"/>
        </w:rPr>
        <w:t xml:space="preserve">] </w:t>
      </w:r>
      <w:r>
        <w:rPr>
          <w:szCs w:val="22"/>
        </w:rPr>
        <w:t>replaces the Notes</w:t>
      </w:r>
      <w:r w:rsidRPr="00685681">
        <w:rPr>
          <w:szCs w:val="22"/>
        </w:rPr>
        <w:t xml:space="preserve"> </w:t>
      </w:r>
      <w:r>
        <w:t xml:space="preserve">with new Notes to correct </w:t>
      </w:r>
      <w:r w:rsidRPr="00685681">
        <w:t>typographical error</w:t>
      </w:r>
      <w:r>
        <w:t>s. That is, by inserting a full stop at the end of Note 1;</w:t>
      </w:r>
      <w:r w:rsidRPr="00DB02A6">
        <w:rPr>
          <w:szCs w:val="22"/>
        </w:rPr>
        <w:t xml:space="preserve"> </w:t>
      </w:r>
      <w:r>
        <w:rPr>
          <w:szCs w:val="22"/>
        </w:rPr>
        <w:t>replacing ‘</w:t>
      </w:r>
      <w:r w:rsidRPr="00DC3FAF">
        <w:rPr>
          <w:szCs w:val="22"/>
        </w:rPr>
        <w:t>1.1.2—14(3</w:t>
      </w:r>
      <w:proofErr w:type="gramStart"/>
      <w:r w:rsidRPr="00DC3FAF">
        <w:rPr>
          <w:szCs w:val="22"/>
        </w:rPr>
        <w:t>)(</w:t>
      </w:r>
      <w:proofErr w:type="gramEnd"/>
      <w:r w:rsidRPr="00DC3FAF">
        <w:rPr>
          <w:szCs w:val="22"/>
        </w:rPr>
        <w:t>d)</w:t>
      </w:r>
      <w:r>
        <w:rPr>
          <w:szCs w:val="22"/>
        </w:rPr>
        <w:t>’ with ‘1.1.2—14(3)(c</w:t>
      </w:r>
      <w:r w:rsidRPr="00DC3FAF">
        <w:rPr>
          <w:szCs w:val="22"/>
        </w:rPr>
        <w:t>)</w:t>
      </w:r>
      <w:r>
        <w:rPr>
          <w:szCs w:val="22"/>
        </w:rPr>
        <w:t>’ in Note 3</w:t>
      </w:r>
      <w:r>
        <w:t>; and inserting a full stop at the end of Note 3</w:t>
      </w:r>
      <w:r w:rsidRPr="00243C38">
        <w:t>.</w:t>
      </w:r>
    </w:p>
    <w:p w14:paraId="28F6AA99" w14:textId="77777777" w:rsidR="009A79C6" w:rsidRDefault="009A79C6" w:rsidP="009A79C6">
      <w:pPr>
        <w:ind w:left="567" w:hanging="567"/>
        <w:rPr>
          <w:b/>
          <w:i/>
          <w:szCs w:val="22"/>
        </w:rPr>
      </w:pPr>
    </w:p>
    <w:bookmarkEnd w:id="108"/>
    <w:bookmarkEnd w:id="109"/>
    <w:p w14:paraId="6E9FABF2" w14:textId="77777777" w:rsidR="00456BD5" w:rsidRDefault="00456BD5" w:rsidP="009A79C6"/>
    <w:sectPr w:rsidR="00456BD5" w:rsidSect="00A85408">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28D07" w14:textId="77777777" w:rsidR="00B66D76" w:rsidRDefault="00B66D76">
      <w:r>
        <w:separator/>
      </w:r>
    </w:p>
  </w:endnote>
  <w:endnote w:type="continuationSeparator" w:id="0">
    <w:p w14:paraId="6A53B5F9" w14:textId="77777777" w:rsidR="00B66D76" w:rsidRDefault="00B66D76">
      <w:r>
        <w:continuationSeparator/>
      </w:r>
    </w:p>
  </w:endnote>
  <w:endnote w:type="continuationNotice" w:id="1">
    <w:p w14:paraId="48148D27" w14:textId="77777777" w:rsidR="00B66D76" w:rsidRDefault="00B66D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FAC16" w14:textId="77777777" w:rsidR="005E4150" w:rsidRDefault="005E4150"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9FAC17" w14:textId="77777777" w:rsidR="005E4150" w:rsidRDefault="005E41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14:paraId="6E9FAC18" w14:textId="77777777" w:rsidR="005E4150" w:rsidRDefault="005E4150" w:rsidP="00A671E6">
        <w:pPr>
          <w:pStyle w:val="Footer"/>
          <w:jc w:val="center"/>
        </w:pPr>
        <w:r>
          <w:fldChar w:fldCharType="begin"/>
        </w:r>
        <w:r>
          <w:instrText xml:space="preserve"> PAGE   \* MERGEFORMAT </w:instrText>
        </w:r>
        <w:r>
          <w:fldChar w:fldCharType="separate"/>
        </w:r>
        <w:r w:rsidR="00C54396">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3A9640" w14:textId="77777777" w:rsidR="00D46703" w:rsidRDefault="00D46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C175D" w14:textId="77777777" w:rsidR="00B66D76" w:rsidRDefault="00B66D76">
      <w:r>
        <w:separator/>
      </w:r>
    </w:p>
  </w:footnote>
  <w:footnote w:type="continuationSeparator" w:id="0">
    <w:p w14:paraId="1C3F2204" w14:textId="77777777" w:rsidR="00B66D76" w:rsidRDefault="00B66D76">
      <w:r>
        <w:continuationSeparator/>
      </w:r>
    </w:p>
  </w:footnote>
  <w:footnote w:type="continuationNotice" w:id="1">
    <w:p w14:paraId="0FE78AE9" w14:textId="77777777" w:rsidR="00B66D76" w:rsidRDefault="00B66D76"/>
  </w:footnote>
  <w:footnote w:id="2">
    <w:p w14:paraId="6E9FAC1A" w14:textId="77777777" w:rsidR="005E4150" w:rsidRPr="0010778D" w:rsidRDefault="005E4150"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3">
    <w:p w14:paraId="6E9FAC1B" w14:textId="77777777" w:rsidR="005E4150" w:rsidRPr="008828D9" w:rsidRDefault="005E4150" w:rsidP="00054E77">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4">
    <w:p w14:paraId="31E286CD" w14:textId="77777777" w:rsidR="005E4150" w:rsidRPr="0010778D" w:rsidRDefault="005E4150" w:rsidP="001747AA">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4D926" w14:textId="77777777" w:rsidR="00D46703" w:rsidRDefault="00D467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4F792" w14:textId="77777777" w:rsidR="00D46703" w:rsidRDefault="00D467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FAC19" w14:textId="77777777" w:rsidR="005E4150" w:rsidRDefault="005E4150">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7">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29">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4">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0"/>
  </w:num>
  <w:num w:numId="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7"/>
  </w:num>
  <w:num w:numId="14">
    <w:abstractNumId w:val="25"/>
  </w:num>
  <w:num w:numId="15">
    <w:abstractNumId w:val="36"/>
  </w:num>
  <w:num w:numId="16">
    <w:abstractNumId w:val="11"/>
  </w:num>
  <w:num w:numId="17">
    <w:abstractNumId w:val="3"/>
  </w:num>
  <w:num w:numId="18">
    <w:abstractNumId w:val="0"/>
  </w:num>
  <w:num w:numId="19">
    <w:abstractNumId w:val="28"/>
  </w:num>
  <w:num w:numId="20">
    <w:abstractNumId w:val="8"/>
  </w:num>
  <w:num w:numId="21">
    <w:abstractNumId w:val="41"/>
  </w:num>
  <w:num w:numId="22">
    <w:abstractNumId w:val="35"/>
  </w:num>
  <w:num w:numId="23">
    <w:abstractNumId w:val="13"/>
  </w:num>
  <w:num w:numId="24">
    <w:abstractNumId w:val="15"/>
  </w:num>
  <w:num w:numId="25">
    <w:abstractNumId w:val="34"/>
  </w:num>
  <w:num w:numId="26">
    <w:abstractNumId w:val="34"/>
  </w:num>
  <w:num w:numId="27">
    <w:abstractNumId w:val="24"/>
  </w:num>
  <w:num w:numId="28">
    <w:abstractNumId w:val="29"/>
  </w:num>
  <w:num w:numId="29">
    <w:abstractNumId w:val="30"/>
  </w:num>
  <w:num w:numId="30">
    <w:abstractNumId w:val="19"/>
  </w:num>
  <w:num w:numId="31">
    <w:abstractNumId w:val="17"/>
  </w:num>
  <w:num w:numId="32">
    <w:abstractNumId w:val="2"/>
  </w:num>
  <w:num w:numId="33">
    <w:abstractNumId w:val="9"/>
  </w:num>
  <w:num w:numId="34">
    <w:abstractNumId w:val="4"/>
  </w:num>
  <w:num w:numId="35">
    <w:abstractNumId w:val="26"/>
  </w:num>
  <w:num w:numId="36">
    <w:abstractNumId w:val="23"/>
  </w:num>
  <w:num w:numId="37">
    <w:abstractNumId w:val="7"/>
  </w:num>
  <w:num w:numId="38">
    <w:abstractNumId w:val="39"/>
  </w:num>
  <w:num w:numId="39">
    <w:abstractNumId w:val="18"/>
  </w:num>
  <w:num w:numId="40">
    <w:abstractNumId w:val="31"/>
  </w:num>
  <w:num w:numId="41">
    <w:abstractNumId w:val="12"/>
  </w:num>
  <w:num w:numId="42">
    <w:abstractNumId w:val="33"/>
  </w:num>
  <w:num w:numId="43">
    <w:abstractNumId w:val="16"/>
  </w:num>
  <w:num w:numId="44">
    <w:abstractNumId w:val="22"/>
  </w:num>
  <w:num w:numId="45">
    <w:abstractNumId w:val="20"/>
  </w:num>
  <w:num w:numId="46">
    <w:abstractNumId w:val="10"/>
  </w:num>
  <w:num w:numId="47">
    <w:abstractNumId w:val="21"/>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14F3B"/>
    <w:rsid w:val="000332AE"/>
    <w:rsid w:val="00035FF3"/>
    <w:rsid w:val="00041332"/>
    <w:rsid w:val="000418F0"/>
    <w:rsid w:val="00051021"/>
    <w:rsid w:val="000524F0"/>
    <w:rsid w:val="00052D54"/>
    <w:rsid w:val="00054E77"/>
    <w:rsid w:val="000576EB"/>
    <w:rsid w:val="00064B2D"/>
    <w:rsid w:val="00065F1F"/>
    <w:rsid w:val="00072066"/>
    <w:rsid w:val="00076D33"/>
    <w:rsid w:val="00076D3B"/>
    <w:rsid w:val="00077859"/>
    <w:rsid w:val="00077AEA"/>
    <w:rsid w:val="00081B0A"/>
    <w:rsid w:val="000917DE"/>
    <w:rsid w:val="000A0E8D"/>
    <w:rsid w:val="000A3D8B"/>
    <w:rsid w:val="000A51BE"/>
    <w:rsid w:val="000B427A"/>
    <w:rsid w:val="000B6AF2"/>
    <w:rsid w:val="000D6FD4"/>
    <w:rsid w:val="000D7B1C"/>
    <w:rsid w:val="000E0AE4"/>
    <w:rsid w:val="000E1EA4"/>
    <w:rsid w:val="000E3DBC"/>
    <w:rsid w:val="000E662F"/>
    <w:rsid w:val="000F3CFE"/>
    <w:rsid w:val="000F6568"/>
    <w:rsid w:val="00102819"/>
    <w:rsid w:val="00104544"/>
    <w:rsid w:val="0010778D"/>
    <w:rsid w:val="00110CA5"/>
    <w:rsid w:val="001122EC"/>
    <w:rsid w:val="0012388D"/>
    <w:rsid w:val="00136B57"/>
    <w:rsid w:val="00150B54"/>
    <w:rsid w:val="0015187A"/>
    <w:rsid w:val="001614C4"/>
    <w:rsid w:val="001747AA"/>
    <w:rsid w:val="00182C4C"/>
    <w:rsid w:val="00186187"/>
    <w:rsid w:val="001878C5"/>
    <w:rsid w:val="0019399D"/>
    <w:rsid w:val="0019547C"/>
    <w:rsid w:val="00197D8D"/>
    <w:rsid w:val="001A1A75"/>
    <w:rsid w:val="001A7E9A"/>
    <w:rsid w:val="001C0779"/>
    <w:rsid w:val="001C0A52"/>
    <w:rsid w:val="001C27A3"/>
    <w:rsid w:val="001D43F6"/>
    <w:rsid w:val="001E09FA"/>
    <w:rsid w:val="00202A6F"/>
    <w:rsid w:val="0022197C"/>
    <w:rsid w:val="00221D07"/>
    <w:rsid w:val="00224E3B"/>
    <w:rsid w:val="00227E4A"/>
    <w:rsid w:val="002358B8"/>
    <w:rsid w:val="002421C1"/>
    <w:rsid w:val="00250197"/>
    <w:rsid w:val="002758A0"/>
    <w:rsid w:val="0029204E"/>
    <w:rsid w:val="002A0194"/>
    <w:rsid w:val="002A5F8B"/>
    <w:rsid w:val="002A7F6C"/>
    <w:rsid w:val="002B0071"/>
    <w:rsid w:val="002C1A3B"/>
    <w:rsid w:val="002C38C0"/>
    <w:rsid w:val="002E16D5"/>
    <w:rsid w:val="002E1820"/>
    <w:rsid w:val="002F0E77"/>
    <w:rsid w:val="002F35EA"/>
    <w:rsid w:val="002F6488"/>
    <w:rsid w:val="00305C54"/>
    <w:rsid w:val="0031016C"/>
    <w:rsid w:val="0031426B"/>
    <w:rsid w:val="00316130"/>
    <w:rsid w:val="003213F9"/>
    <w:rsid w:val="0032298D"/>
    <w:rsid w:val="00323AB6"/>
    <w:rsid w:val="00323DBF"/>
    <w:rsid w:val="00327867"/>
    <w:rsid w:val="00332B12"/>
    <w:rsid w:val="00337A83"/>
    <w:rsid w:val="00337CBC"/>
    <w:rsid w:val="003428FC"/>
    <w:rsid w:val="003507DB"/>
    <w:rsid w:val="00351B07"/>
    <w:rsid w:val="0036533D"/>
    <w:rsid w:val="0037068D"/>
    <w:rsid w:val="00371B29"/>
    <w:rsid w:val="00375A25"/>
    <w:rsid w:val="003766F8"/>
    <w:rsid w:val="00380106"/>
    <w:rsid w:val="003814F0"/>
    <w:rsid w:val="00381E07"/>
    <w:rsid w:val="00383A3C"/>
    <w:rsid w:val="00385788"/>
    <w:rsid w:val="00391769"/>
    <w:rsid w:val="003953E1"/>
    <w:rsid w:val="003956B3"/>
    <w:rsid w:val="003A0A4D"/>
    <w:rsid w:val="003A3D30"/>
    <w:rsid w:val="003A4C57"/>
    <w:rsid w:val="003A68BE"/>
    <w:rsid w:val="003A7B84"/>
    <w:rsid w:val="003C4969"/>
    <w:rsid w:val="003D2CDC"/>
    <w:rsid w:val="003E41D5"/>
    <w:rsid w:val="003E46BA"/>
    <w:rsid w:val="003F0B3A"/>
    <w:rsid w:val="003F74C1"/>
    <w:rsid w:val="00401ADE"/>
    <w:rsid w:val="00405B1A"/>
    <w:rsid w:val="00410C76"/>
    <w:rsid w:val="00411907"/>
    <w:rsid w:val="00417EE3"/>
    <w:rsid w:val="00420416"/>
    <w:rsid w:val="004207EB"/>
    <w:rsid w:val="00421730"/>
    <w:rsid w:val="00422EC9"/>
    <w:rsid w:val="00423AC7"/>
    <w:rsid w:val="00432A42"/>
    <w:rsid w:val="00437276"/>
    <w:rsid w:val="00453646"/>
    <w:rsid w:val="00456B54"/>
    <w:rsid w:val="00456BD5"/>
    <w:rsid w:val="00464643"/>
    <w:rsid w:val="00467B15"/>
    <w:rsid w:val="00467BE1"/>
    <w:rsid w:val="00486793"/>
    <w:rsid w:val="00486C66"/>
    <w:rsid w:val="00494A3F"/>
    <w:rsid w:val="004A2037"/>
    <w:rsid w:val="004A793C"/>
    <w:rsid w:val="004B047B"/>
    <w:rsid w:val="004B4CDC"/>
    <w:rsid w:val="004D121E"/>
    <w:rsid w:val="004D1B1C"/>
    <w:rsid w:val="004F4F98"/>
    <w:rsid w:val="004F69F6"/>
    <w:rsid w:val="004F79AC"/>
    <w:rsid w:val="00506E9B"/>
    <w:rsid w:val="005172CD"/>
    <w:rsid w:val="005207D8"/>
    <w:rsid w:val="00520DD3"/>
    <w:rsid w:val="00523930"/>
    <w:rsid w:val="005244F1"/>
    <w:rsid w:val="005274F0"/>
    <w:rsid w:val="005306D0"/>
    <w:rsid w:val="00537CDC"/>
    <w:rsid w:val="0054189C"/>
    <w:rsid w:val="00560185"/>
    <w:rsid w:val="00562917"/>
    <w:rsid w:val="005707E5"/>
    <w:rsid w:val="00571B8C"/>
    <w:rsid w:val="00580E3D"/>
    <w:rsid w:val="005811B7"/>
    <w:rsid w:val="00586228"/>
    <w:rsid w:val="005946D3"/>
    <w:rsid w:val="00597631"/>
    <w:rsid w:val="005A572E"/>
    <w:rsid w:val="005B6AF4"/>
    <w:rsid w:val="005C04CB"/>
    <w:rsid w:val="005D16AD"/>
    <w:rsid w:val="005D2016"/>
    <w:rsid w:val="005D72E1"/>
    <w:rsid w:val="005E06C0"/>
    <w:rsid w:val="005E4150"/>
    <w:rsid w:val="005E58D3"/>
    <w:rsid w:val="005E6E16"/>
    <w:rsid w:val="005F28CB"/>
    <w:rsid w:val="005F400E"/>
    <w:rsid w:val="005F7342"/>
    <w:rsid w:val="00610A3C"/>
    <w:rsid w:val="006138D7"/>
    <w:rsid w:val="00615E83"/>
    <w:rsid w:val="00616017"/>
    <w:rsid w:val="006230E0"/>
    <w:rsid w:val="00627F48"/>
    <w:rsid w:val="006301BE"/>
    <w:rsid w:val="0063455F"/>
    <w:rsid w:val="00635814"/>
    <w:rsid w:val="00651430"/>
    <w:rsid w:val="00663FCF"/>
    <w:rsid w:val="00664410"/>
    <w:rsid w:val="006652A2"/>
    <w:rsid w:val="00683071"/>
    <w:rsid w:val="00692490"/>
    <w:rsid w:val="006969CC"/>
    <w:rsid w:val="00696A15"/>
    <w:rsid w:val="006A48A7"/>
    <w:rsid w:val="006A5D40"/>
    <w:rsid w:val="006B7D9F"/>
    <w:rsid w:val="006C22A7"/>
    <w:rsid w:val="006C5CF5"/>
    <w:rsid w:val="006D33FF"/>
    <w:rsid w:val="006E10A1"/>
    <w:rsid w:val="006F4A82"/>
    <w:rsid w:val="00710C37"/>
    <w:rsid w:val="00716BD1"/>
    <w:rsid w:val="00724FA4"/>
    <w:rsid w:val="00730800"/>
    <w:rsid w:val="00755F02"/>
    <w:rsid w:val="007602AA"/>
    <w:rsid w:val="007652EF"/>
    <w:rsid w:val="00765DE1"/>
    <w:rsid w:val="00772BDC"/>
    <w:rsid w:val="00777437"/>
    <w:rsid w:val="00780792"/>
    <w:rsid w:val="0078309E"/>
    <w:rsid w:val="00795D86"/>
    <w:rsid w:val="007A44B4"/>
    <w:rsid w:val="007A53BF"/>
    <w:rsid w:val="007A7D3D"/>
    <w:rsid w:val="007B225D"/>
    <w:rsid w:val="007B37B3"/>
    <w:rsid w:val="007C1C64"/>
    <w:rsid w:val="007C22CB"/>
    <w:rsid w:val="007C24FB"/>
    <w:rsid w:val="007D0189"/>
    <w:rsid w:val="007E48BC"/>
    <w:rsid w:val="007E79F7"/>
    <w:rsid w:val="007F3630"/>
    <w:rsid w:val="007F7BF7"/>
    <w:rsid w:val="00807559"/>
    <w:rsid w:val="00813464"/>
    <w:rsid w:val="00831154"/>
    <w:rsid w:val="008450BC"/>
    <w:rsid w:val="00847066"/>
    <w:rsid w:val="00850B09"/>
    <w:rsid w:val="0085334B"/>
    <w:rsid w:val="008537BA"/>
    <w:rsid w:val="00855B9F"/>
    <w:rsid w:val="00860808"/>
    <w:rsid w:val="00861C13"/>
    <w:rsid w:val="00862349"/>
    <w:rsid w:val="0086571E"/>
    <w:rsid w:val="00870214"/>
    <w:rsid w:val="00871116"/>
    <w:rsid w:val="00875F62"/>
    <w:rsid w:val="00885C51"/>
    <w:rsid w:val="00896B85"/>
    <w:rsid w:val="008A01CF"/>
    <w:rsid w:val="008A243D"/>
    <w:rsid w:val="008A5905"/>
    <w:rsid w:val="008D06C6"/>
    <w:rsid w:val="008D5E9D"/>
    <w:rsid w:val="008E6250"/>
    <w:rsid w:val="008F3FAD"/>
    <w:rsid w:val="008F51D4"/>
    <w:rsid w:val="00920249"/>
    <w:rsid w:val="0092433E"/>
    <w:rsid w:val="00932F14"/>
    <w:rsid w:val="0094247F"/>
    <w:rsid w:val="00942D60"/>
    <w:rsid w:val="009460FA"/>
    <w:rsid w:val="00947534"/>
    <w:rsid w:val="009478A1"/>
    <w:rsid w:val="0096523B"/>
    <w:rsid w:val="00972D06"/>
    <w:rsid w:val="0099323D"/>
    <w:rsid w:val="0099623A"/>
    <w:rsid w:val="009969BE"/>
    <w:rsid w:val="009A2699"/>
    <w:rsid w:val="009A2DC9"/>
    <w:rsid w:val="009A391C"/>
    <w:rsid w:val="009A79C6"/>
    <w:rsid w:val="009D33F3"/>
    <w:rsid w:val="009E0A61"/>
    <w:rsid w:val="009E3010"/>
    <w:rsid w:val="009E46F5"/>
    <w:rsid w:val="009F7065"/>
    <w:rsid w:val="00A2449C"/>
    <w:rsid w:val="00A318EB"/>
    <w:rsid w:val="00A551B9"/>
    <w:rsid w:val="00A56DC7"/>
    <w:rsid w:val="00A63F58"/>
    <w:rsid w:val="00A65731"/>
    <w:rsid w:val="00A66FDD"/>
    <w:rsid w:val="00A671E6"/>
    <w:rsid w:val="00A709E5"/>
    <w:rsid w:val="00A74FD1"/>
    <w:rsid w:val="00A84A58"/>
    <w:rsid w:val="00A84DEA"/>
    <w:rsid w:val="00A85408"/>
    <w:rsid w:val="00A929A9"/>
    <w:rsid w:val="00A96594"/>
    <w:rsid w:val="00AA41BA"/>
    <w:rsid w:val="00AA6D0D"/>
    <w:rsid w:val="00AA6FA3"/>
    <w:rsid w:val="00AC428E"/>
    <w:rsid w:val="00AD344F"/>
    <w:rsid w:val="00AE4FFD"/>
    <w:rsid w:val="00AF24FA"/>
    <w:rsid w:val="00AF25B0"/>
    <w:rsid w:val="00AF387F"/>
    <w:rsid w:val="00AF397D"/>
    <w:rsid w:val="00B00E7F"/>
    <w:rsid w:val="00B17112"/>
    <w:rsid w:val="00B21055"/>
    <w:rsid w:val="00B21DCC"/>
    <w:rsid w:val="00B245AA"/>
    <w:rsid w:val="00B25F37"/>
    <w:rsid w:val="00B37158"/>
    <w:rsid w:val="00B425AA"/>
    <w:rsid w:val="00B44422"/>
    <w:rsid w:val="00B46EA0"/>
    <w:rsid w:val="00B518A8"/>
    <w:rsid w:val="00B55714"/>
    <w:rsid w:val="00B66D76"/>
    <w:rsid w:val="00B731D3"/>
    <w:rsid w:val="00B75B57"/>
    <w:rsid w:val="00B811B3"/>
    <w:rsid w:val="00B839A3"/>
    <w:rsid w:val="00B902BD"/>
    <w:rsid w:val="00B92501"/>
    <w:rsid w:val="00BA1009"/>
    <w:rsid w:val="00BB0EC9"/>
    <w:rsid w:val="00BC4C4D"/>
    <w:rsid w:val="00BD2A39"/>
    <w:rsid w:val="00BD2E80"/>
    <w:rsid w:val="00BD49FF"/>
    <w:rsid w:val="00BD4B64"/>
    <w:rsid w:val="00BD77E1"/>
    <w:rsid w:val="00BE11B8"/>
    <w:rsid w:val="00BF7FF0"/>
    <w:rsid w:val="00C02E80"/>
    <w:rsid w:val="00C06B41"/>
    <w:rsid w:val="00C11AEA"/>
    <w:rsid w:val="00C12502"/>
    <w:rsid w:val="00C26B3B"/>
    <w:rsid w:val="00C40AA5"/>
    <w:rsid w:val="00C46F70"/>
    <w:rsid w:val="00C476D0"/>
    <w:rsid w:val="00C54396"/>
    <w:rsid w:val="00C6434A"/>
    <w:rsid w:val="00C74398"/>
    <w:rsid w:val="00C830B9"/>
    <w:rsid w:val="00C836E3"/>
    <w:rsid w:val="00C836FF"/>
    <w:rsid w:val="00C854DC"/>
    <w:rsid w:val="00C86577"/>
    <w:rsid w:val="00C91C02"/>
    <w:rsid w:val="00C92E07"/>
    <w:rsid w:val="00C96868"/>
    <w:rsid w:val="00CA0416"/>
    <w:rsid w:val="00CA5734"/>
    <w:rsid w:val="00CB115C"/>
    <w:rsid w:val="00CC3764"/>
    <w:rsid w:val="00CC3A35"/>
    <w:rsid w:val="00CC5468"/>
    <w:rsid w:val="00CC560B"/>
    <w:rsid w:val="00CC75E2"/>
    <w:rsid w:val="00CD46EB"/>
    <w:rsid w:val="00CD68E4"/>
    <w:rsid w:val="00CD7EBF"/>
    <w:rsid w:val="00CE59AA"/>
    <w:rsid w:val="00CF0E86"/>
    <w:rsid w:val="00CF7696"/>
    <w:rsid w:val="00D00DFA"/>
    <w:rsid w:val="00D056F1"/>
    <w:rsid w:val="00D06616"/>
    <w:rsid w:val="00D13429"/>
    <w:rsid w:val="00D144D7"/>
    <w:rsid w:val="00D15A08"/>
    <w:rsid w:val="00D2065A"/>
    <w:rsid w:val="00D23DB6"/>
    <w:rsid w:val="00D44132"/>
    <w:rsid w:val="00D46703"/>
    <w:rsid w:val="00D51A95"/>
    <w:rsid w:val="00D60568"/>
    <w:rsid w:val="00D63B36"/>
    <w:rsid w:val="00D70C7A"/>
    <w:rsid w:val="00D72A29"/>
    <w:rsid w:val="00D834E5"/>
    <w:rsid w:val="00D96261"/>
    <w:rsid w:val="00D96C9C"/>
    <w:rsid w:val="00DA10A8"/>
    <w:rsid w:val="00DB123A"/>
    <w:rsid w:val="00DB1E08"/>
    <w:rsid w:val="00DB2973"/>
    <w:rsid w:val="00DB5C31"/>
    <w:rsid w:val="00DC0FBA"/>
    <w:rsid w:val="00DC1B56"/>
    <w:rsid w:val="00DC20CC"/>
    <w:rsid w:val="00DC2129"/>
    <w:rsid w:val="00DC6570"/>
    <w:rsid w:val="00DD265C"/>
    <w:rsid w:val="00DD3703"/>
    <w:rsid w:val="00DE5528"/>
    <w:rsid w:val="00DE609B"/>
    <w:rsid w:val="00DF25C3"/>
    <w:rsid w:val="00DF5CFF"/>
    <w:rsid w:val="00DF72BB"/>
    <w:rsid w:val="00E04062"/>
    <w:rsid w:val="00E063C6"/>
    <w:rsid w:val="00E2003B"/>
    <w:rsid w:val="00E26887"/>
    <w:rsid w:val="00E279D8"/>
    <w:rsid w:val="00E30092"/>
    <w:rsid w:val="00E319B1"/>
    <w:rsid w:val="00E327A6"/>
    <w:rsid w:val="00E3684F"/>
    <w:rsid w:val="00E44DAD"/>
    <w:rsid w:val="00E47D3B"/>
    <w:rsid w:val="00E53E95"/>
    <w:rsid w:val="00E5492F"/>
    <w:rsid w:val="00E572B1"/>
    <w:rsid w:val="00E6369A"/>
    <w:rsid w:val="00E70A86"/>
    <w:rsid w:val="00E73E50"/>
    <w:rsid w:val="00E777EC"/>
    <w:rsid w:val="00E80FCD"/>
    <w:rsid w:val="00E87115"/>
    <w:rsid w:val="00EA7DB0"/>
    <w:rsid w:val="00EA7F2F"/>
    <w:rsid w:val="00EB36C2"/>
    <w:rsid w:val="00EB6590"/>
    <w:rsid w:val="00EC00DE"/>
    <w:rsid w:val="00EC21DF"/>
    <w:rsid w:val="00EC30E1"/>
    <w:rsid w:val="00EC3436"/>
    <w:rsid w:val="00EC66BB"/>
    <w:rsid w:val="00EC7926"/>
    <w:rsid w:val="00ED172A"/>
    <w:rsid w:val="00EE01DC"/>
    <w:rsid w:val="00F043A6"/>
    <w:rsid w:val="00F14AB3"/>
    <w:rsid w:val="00F14BEC"/>
    <w:rsid w:val="00F224B7"/>
    <w:rsid w:val="00F225C5"/>
    <w:rsid w:val="00F2587A"/>
    <w:rsid w:val="00F27E96"/>
    <w:rsid w:val="00F33470"/>
    <w:rsid w:val="00F34E02"/>
    <w:rsid w:val="00F3715D"/>
    <w:rsid w:val="00F37A10"/>
    <w:rsid w:val="00F420C8"/>
    <w:rsid w:val="00F42A4C"/>
    <w:rsid w:val="00F526BD"/>
    <w:rsid w:val="00F634A1"/>
    <w:rsid w:val="00FB7512"/>
    <w:rsid w:val="00FC2FF3"/>
    <w:rsid w:val="00FD7547"/>
    <w:rsid w:val="00FE287B"/>
    <w:rsid w:val="00FE6B50"/>
    <w:rsid w:val="00FE735C"/>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F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A01C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natHeading">
    <w:name w:val="FSC_n_at_Heading"/>
    <w:basedOn w:val="Normal"/>
    <w:qFormat/>
    <w:rsid w:val="006230E0"/>
    <w:pPr>
      <w:tabs>
        <w:tab w:val="left" w:pos="1134"/>
      </w:tabs>
      <w:spacing w:before="120" w:after="120"/>
      <w:ind w:left="851" w:hanging="851"/>
    </w:pPr>
    <w:rPr>
      <w:rFonts w:cs="Arial"/>
      <w:iCs/>
      <w:sz w:val="16"/>
      <w:szCs w:val="22"/>
      <w:lang w:eastAsia="en-AU" w:bidi="ar-SA"/>
    </w:rPr>
  </w:style>
  <w:style w:type="paragraph" w:customStyle="1" w:styleId="FSCh5SchItem">
    <w:name w:val="FSC_h5_Sch_Item"/>
    <w:basedOn w:val="Normal"/>
    <w:next w:val="Normal"/>
    <w:qFormat/>
    <w:rsid w:val="00054E77"/>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054E77"/>
    <w:pPr>
      <w:keepLines/>
      <w:widowControl/>
      <w:spacing w:before="120"/>
      <w:ind w:left="1134"/>
    </w:pPr>
    <w:rPr>
      <w:rFonts w:cs="Arial"/>
      <w:iCs/>
      <w:sz w:val="24"/>
      <w:szCs w:val="22"/>
      <w:lang w:val="en-AU" w:eastAsia="en-AU" w:bidi="ar-SA"/>
    </w:rPr>
  </w:style>
  <w:style w:type="paragraph" w:customStyle="1" w:styleId="FSCtblAMain">
    <w:name w:val="FSC_tbl_A_Main"/>
    <w:aliases w:val="tbA_t1_Item"/>
    <w:basedOn w:val="Normal"/>
    <w:qFormat/>
    <w:rsid w:val="00054E77"/>
    <w:pPr>
      <w:keepLines/>
      <w:widowControl/>
      <w:spacing w:before="60" w:after="60"/>
    </w:pPr>
    <w:rPr>
      <w:rFonts w:cs="Arial"/>
      <w:sz w:val="20"/>
      <w:szCs w:val="22"/>
      <w:lang w:val="en-AU" w:eastAsia="en-AU" w:bidi="ar-SA"/>
    </w:rPr>
  </w:style>
  <w:style w:type="paragraph" w:customStyle="1" w:styleId="FSCtblAPara">
    <w:name w:val="FSC_tbl_A_Para"/>
    <w:aliases w:val="tbA_t2_Para"/>
    <w:basedOn w:val="FSCtblAMain"/>
    <w:rsid w:val="00054E77"/>
    <w:pPr>
      <w:ind w:left="397" w:hanging="397"/>
    </w:pPr>
  </w:style>
  <w:style w:type="paragraph" w:customStyle="1" w:styleId="FSCoutStand">
    <w:name w:val="FSC_out_Stand"/>
    <w:basedOn w:val="Normal"/>
    <w:qFormat/>
    <w:rsid w:val="00054E77"/>
    <w:pPr>
      <w:tabs>
        <w:tab w:val="left" w:pos="1701"/>
      </w:tabs>
      <w:spacing w:before="120" w:after="120"/>
      <w:ind w:left="3402" w:hanging="3402"/>
    </w:pPr>
    <w:rPr>
      <w:rFonts w:cs="Arial"/>
      <w:iCs/>
      <w:sz w:val="20"/>
      <w:szCs w:val="22"/>
      <w:lang w:eastAsia="en-AU" w:bidi="ar-SA"/>
    </w:rPr>
  </w:style>
  <w:style w:type="paragraph" w:customStyle="1" w:styleId="FSCh2Amendmentheading">
    <w:name w:val="FSC_h2_Amendment_heading"/>
    <w:basedOn w:val="Normal"/>
    <w:qFormat/>
    <w:rsid w:val="00054E77"/>
    <w:pPr>
      <w:keepNext/>
      <w:keepLines/>
      <w:widowControl/>
      <w:spacing w:before="360" w:after="240"/>
      <w:ind w:left="2835" w:hanging="2835"/>
      <w:outlineLvl w:val="2"/>
    </w:pPr>
    <w:rPr>
      <w:rFonts w:cs="Arial"/>
      <w:b/>
      <w:bCs/>
      <w:i/>
      <w:kern w:val="32"/>
      <w:sz w:val="32"/>
      <w:szCs w:val="32"/>
      <w:lang w:eastAsia="en-AU" w:bidi="ar-SA"/>
    </w:rPr>
  </w:style>
  <w:style w:type="paragraph" w:customStyle="1" w:styleId="Tblt1Itemsuperceded">
    <w:name w:val="Tbl_t1_Item_superceded"/>
    <w:basedOn w:val="Normal"/>
    <w:link w:val="Tblt1ItemsupercededChar"/>
    <w:uiPriority w:val="11"/>
    <w:rsid w:val="00054E77"/>
    <w:pPr>
      <w:keepLines/>
      <w:widowControl/>
      <w:spacing w:before="60" w:after="60"/>
    </w:pPr>
    <w:rPr>
      <w:rFonts w:cs="Arial"/>
      <w:iCs/>
      <w:szCs w:val="22"/>
      <w:lang w:val="en-AU" w:eastAsia="en-AU" w:bidi="ar-SA"/>
    </w:rPr>
  </w:style>
  <w:style w:type="character" w:customStyle="1" w:styleId="Tblt1ItemsupercededChar">
    <w:name w:val="Tbl_t1_Item_superceded Char"/>
    <w:basedOn w:val="DefaultParagraphFont"/>
    <w:link w:val="Tblt1Itemsuperceded"/>
    <w:uiPriority w:val="11"/>
    <w:rsid w:val="00054E77"/>
    <w:rPr>
      <w:rFonts w:ascii="Arial" w:hAnsi="Arial" w:cs="Arial"/>
      <w:iCs/>
      <w:sz w:val="22"/>
      <w:szCs w:val="22"/>
      <w:lang w:val="en-AU" w:eastAsia="en-AU"/>
    </w:rPr>
  </w:style>
  <w:style w:type="table" w:customStyle="1" w:styleId="TableGrid1">
    <w:name w:val="Table Grid1"/>
    <w:basedOn w:val="TableNormal"/>
    <w:next w:val="TableGrid"/>
    <w:uiPriority w:val="59"/>
    <w:rsid w:val="00054E77"/>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Additivestext1">
    <w:name w:val="FSC_Additives_text 1"/>
    <w:basedOn w:val="FSCtblAMain"/>
    <w:qFormat/>
    <w:rsid w:val="00054E77"/>
    <w:pPr>
      <w:spacing w:before="20" w:after="20"/>
    </w:pPr>
    <w:rPr>
      <w:rFonts w:eastAsiaTheme="minorHAnsi"/>
      <w:sz w:val="18"/>
      <w:lang w:eastAsia="en-US"/>
    </w:rPr>
  </w:style>
  <w:style w:type="paragraph" w:customStyle="1" w:styleId="FSCAdditivestext2">
    <w:name w:val="FSC_Additives_text2"/>
    <w:basedOn w:val="FSCtblAMain"/>
    <w:qFormat/>
    <w:rsid w:val="00054E77"/>
    <w:pPr>
      <w:spacing w:before="20" w:after="20"/>
      <w:jc w:val="right"/>
    </w:pPr>
    <w:rPr>
      <w:rFonts w:eastAsiaTheme="minorHAnsi"/>
      <w:sz w:val="18"/>
      <w:lang w:eastAsia="en-US"/>
    </w:rPr>
  </w:style>
  <w:style w:type="paragraph" w:customStyle="1" w:styleId="FSCDraftingitem">
    <w:name w:val="FSC_Drafting_item"/>
    <w:basedOn w:val="Normal"/>
    <w:qFormat/>
    <w:rsid w:val="00054E7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54E77"/>
    <w:pPr>
      <w:spacing w:before="120" w:after="120"/>
      <w:ind w:left="851" w:hanging="851"/>
    </w:pPr>
    <w:rPr>
      <w:b/>
      <w:sz w:val="20"/>
      <w:szCs w:val="20"/>
      <w:lang w:bidi="ar-SA"/>
    </w:rPr>
  </w:style>
  <w:style w:type="paragraph" w:customStyle="1" w:styleId="FSCtblMain">
    <w:name w:val="FSC_tbl_Main"/>
    <w:basedOn w:val="Normal"/>
    <w:rsid w:val="00D2065A"/>
    <w:pPr>
      <w:keepLines/>
      <w:widowControl/>
      <w:tabs>
        <w:tab w:val="right" w:pos="3969"/>
      </w:tabs>
      <w:spacing w:before="60" w:after="60"/>
    </w:pPr>
    <w:rPr>
      <w:rFonts w:cs="Arial"/>
      <w:sz w:val="18"/>
      <w:szCs w:val="20"/>
      <w:lang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A01C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FS Heading 2"/>
    <w:basedOn w:val="Normal"/>
    <w:next w:val="Normal"/>
    <w:link w:val="Heading2Char"/>
    <w:uiPriority w:val="9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FS Heading 3"/>
    <w:basedOn w:val="Normal"/>
    <w:next w:val="Normal"/>
    <w:link w:val="Heading3Char"/>
    <w:uiPriority w:val="9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FS Heading 2 Char"/>
    <w:link w:val="Heading2"/>
    <w:uiPriority w:val="99"/>
    <w:rsid w:val="00381E07"/>
    <w:rPr>
      <w:rFonts w:ascii="Arial" w:hAnsi="Arial" w:cs="Arial"/>
      <w:b/>
      <w:bCs/>
      <w:sz w:val="28"/>
      <w:szCs w:val="22"/>
      <w:lang w:eastAsia="en-US"/>
    </w:rPr>
  </w:style>
  <w:style w:type="character" w:customStyle="1" w:styleId="Heading3Char">
    <w:name w:val="Heading 3 Char"/>
    <w:aliases w:val="FSHeading 3 Char,Subheading 1 Char,FS Heading 3 Char"/>
    <w:link w:val="Heading3"/>
    <w:uiPriority w:val="9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3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45"/>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natHeading">
    <w:name w:val="FSC_n_at_Heading"/>
    <w:basedOn w:val="Normal"/>
    <w:qFormat/>
    <w:rsid w:val="006230E0"/>
    <w:pPr>
      <w:tabs>
        <w:tab w:val="left" w:pos="1134"/>
      </w:tabs>
      <w:spacing w:before="120" w:after="120"/>
      <w:ind w:left="851" w:hanging="851"/>
    </w:pPr>
    <w:rPr>
      <w:rFonts w:cs="Arial"/>
      <w:iCs/>
      <w:sz w:val="16"/>
      <w:szCs w:val="22"/>
      <w:lang w:eastAsia="en-AU" w:bidi="ar-SA"/>
    </w:rPr>
  </w:style>
  <w:style w:type="paragraph" w:customStyle="1" w:styleId="FSCh5SchItem">
    <w:name w:val="FSC_h5_Sch_Item"/>
    <w:basedOn w:val="Normal"/>
    <w:next w:val="Normal"/>
    <w:qFormat/>
    <w:rsid w:val="00054E77"/>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054E77"/>
    <w:pPr>
      <w:keepLines/>
      <w:widowControl/>
      <w:spacing w:before="120"/>
      <w:ind w:left="1134"/>
    </w:pPr>
    <w:rPr>
      <w:rFonts w:cs="Arial"/>
      <w:iCs/>
      <w:sz w:val="24"/>
      <w:szCs w:val="22"/>
      <w:lang w:val="en-AU" w:eastAsia="en-AU" w:bidi="ar-SA"/>
    </w:rPr>
  </w:style>
  <w:style w:type="paragraph" w:customStyle="1" w:styleId="FSCtblAMain">
    <w:name w:val="FSC_tbl_A_Main"/>
    <w:aliases w:val="tbA_t1_Item"/>
    <w:basedOn w:val="Normal"/>
    <w:qFormat/>
    <w:rsid w:val="00054E77"/>
    <w:pPr>
      <w:keepLines/>
      <w:widowControl/>
      <w:spacing w:before="60" w:after="60"/>
    </w:pPr>
    <w:rPr>
      <w:rFonts w:cs="Arial"/>
      <w:sz w:val="20"/>
      <w:szCs w:val="22"/>
      <w:lang w:val="en-AU" w:eastAsia="en-AU" w:bidi="ar-SA"/>
    </w:rPr>
  </w:style>
  <w:style w:type="paragraph" w:customStyle="1" w:styleId="FSCtblAPara">
    <w:name w:val="FSC_tbl_A_Para"/>
    <w:aliases w:val="tbA_t2_Para"/>
    <w:basedOn w:val="FSCtblAMain"/>
    <w:rsid w:val="00054E77"/>
    <w:pPr>
      <w:ind w:left="397" w:hanging="397"/>
    </w:pPr>
  </w:style>
  <w:style w:type="paragraph" w:customStyle="1" w:styleId="FSCoutStand">
    <w:name w:val="FSC_out_Stand"/>
    <w:basedOn w:val="Normal"/>
    <w:qFormat/>
    <w:rsid w:val="00054E77"/>
    <w:pPr>
      <w:tabs>
        <w:tab w:val="left" w:pos="1701"/>
      </w:tabs>
      <w:spacing w:before="120" w:after="120"/>
      <w:ind w:left="3402" w:hanging="3402"/>
    </w:pPr>
    <w:rPr>
      <w:rFonts w:cs="Arial"/>
      <w:iCs/>
      <w:sz w:val="20"/>
      <w:szCs w:val="22"/>
      <w:lang w:eastAsia="en-AU" w:bidi="ar-SA"/>
    </w:rPr>
  </w:style>
  <w:style w:type="paragraph" w:customStyle="1" w:styleId="FSCh2Amendmentheading">
    <w:name w:val="FSC_h2_Amendment_heading"/>
    <w:basedOn w:val="Normal"/>
    <w:qFormat/>
    <w:rsid w:val="00054E77"/>
    <w:pPr>
      <w:keepNext/>
      <w:keepLines/>
      <w:widowControl/>
      <w:spacing w:before="360" w:after="240"/>
      <w:ind w:left="2835" w:hanging="2835"/>
      <w:outlineLvl w:val="2"/>
    </w:pPr>
    <w:rPr>
      <w:rFonts w:cs="Arial"/>
      <w:b/>
      <w:bCs/>
      <w:i/>
      <w:kern w:val="32"/>
      <w:sz w:val="32"/>
      <w:szCs w:val="32"/>
      <w:lang w:eastAsia="en-AU" w:bidi="ar-SA"/>
    </w:rPr>
  </w:style>
  <w:style w:type="paragraph" w:customStyle="1" w:styleId="Tblt1Itemsuperceded">
    <w:name w:val="Tbl_t1_Item_superceded"/>
    <w:basedOn w:val="Normal"/>
    <w:link w:val="Tblt1ItemsupercededChar"/>
    <w:uiPriority w:val="11"/>
    <w:rsid w:val="00054E77"/>
    <w:pPr>
      <w:keepLines/>
      <w:widowControl/>
      <w:spacing w:before="60" w:after="60"/>
    </w:pPr>
    <w:rPr>
      <w:rFonts w:cs="Arial"/>
      <w:iCs/>
      <w:szCs w:val="22"/>
      <w:lang w:val="en-AU" w:eastAsia="en-AU" w:bidi="ar-SA"/>
    </w:rPr>
  </w:style>
  <w:style w:type="character" w:customStyle="1" w:styleId="Tblt1ItemsupercededChar">
    <w:name w:val="Tbl_t1_Item_superceded Char"/>
    <w:basedOn w:val="DefaultParagraphFont"/>
    <w:link w:val="Tblt1Itemsuperceded"/>
    <w:uiPriority w:val="11"/>
    <w:rsid w:val="00054E77"/>
    <w:rPr>
      <w:rFonts w:ascii="Arial" w:hAnsi="Arial" w:cs="Arial"/>
      <w:iCs/>
      <w:sz w:val="22"/>
      <w:szCs w:val="22"/>
      <w:lang w:val="en-AU" w:eastAsia="en-AU"/>
    </w:rPr>
  </w:style>
  <w:style w:type="table" w:customStyle="1" w:styleId="TableGrid1">
    <w:name w:val="Table Grid1"/>
    <w:basedOn w:val="TableNormal"/>
    <w:next w:val="TableGrid"/>
    <w:uiPriority w:val="59"/>
    <w:rsid w:val="00054E77"/>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Additivestext1">
    <w:name w:val="FSC_Additives_text 1"/>
    <w:basedOn w:val="FSCtblAMain"/>
    <w:qFormat/>
    <w:rsid w:val="00054E77"/>
    <w:pPr>
      <w:spacing w:before="20" w:after="20"/>
    </w:pPr>
    <w:rPr>
      <w:rFonts w:eastAsiaTheme="minorHAnsi"/>
      <w:sz w:val="18"/>
      <w:lang w:eastAsia="en-US"/>
    </w:rPr>
  </w:style>
  <w:style w:type="paragraph" w:customStyle="1" w:styleId="FSCAdditivestext2">
    <w:name w:val="FSC_Additives_text2"/>
    <w:basedOn w:val="FSCtblAMain"/>
    <w:qFormat/>
    <w:rsid w:val="00054E77"/>
    <w:pPr>
      <w:spacing w:before="20" w:after="20"/>
      <w:jc w:val="right"/>
    </w:pPr>
    <w:rPr>
      <w:rFonts w:eastAsiaTheme="minorHAnsi"/>
      <w:sz w:val="18"/>
      <w:lang w:eastAsia="en-US"/>
    </w:rPr>
  </w:style>
  <w:style w:type="paragraph" w:customStyle="1" w:styleId="FSCDraftingitem">
    <w:name w:val="FSC_Drafting_item"/>
    <w:basedOn w:val="Normal"/>
    <w:qFormat/>
    <w:rsid w:val="00054E77"/>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054E77"/>
    <w:pPr>
      <w:spacing w:before="120" w:after="120"/>
      <w:ind w:left="851" w:hanging="851"/>
    </w:pPr>
    <w:rPr>
      <w:b/>
      <w:sz w:val="20"/>
      <w:szCs w:val="20"/>
      <w:lang w:bidi="ar-SA"/>
    </w:rPr>
  </w:style>
  <w:style w:type="paragraph" w:customStyle="1" w:styleId="FSCtblMain">
    <w:name w:val="FSC_tbl_Main"/>
    <w:basedOn w:val="Normal"/>
    <w:rsid w:val="00D2065A"/>
    <w:pPr>
      <w:keepLines/>
      <w:widowControl/>
      <w:tabs>
        <w:tab w:val="right" w:pos="3969"/>
      </w:tabs>
      <w:spacing w:before="60" w:after="60"/>
    </w:pPr>
    <w:rPr>
      <w:rFonts w:cs="Arial"/>
      <w:sz w:val="18"/>
      <w:szCs w:val="20"/>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gif"/><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716DFA-0339-41F3-A93A-0E0B5D4E9A50}"/>
</file>

<file path=customXml/itemProps2.xml><?xml version="1.0" encoding="utf-8"?>
<ds:datastoreItem xmlns:ds="http://schemas.openxmlformats.org/officeDocument/2006/customXml" ds:itemID="{12690A56-1652-4E0D-B619-E93742AE31EB}"/>
</file>

<file path=customXml/itemProps3.xml><?xml version="1.0" encoding="utf-8"?>
<ds:datastoreItem xmlns:ds="http://schemas.openxmlformats.org/officeDocument/2006/customXml" ds:itemID="{0465FFF9-BB74-4A6E-8892-D337FFE930AB}"/>
</file>

<file path=customXml/itemProps4.xml><?xml version="1.0" encoding="utf-8"?>
<ds:datastoreItem xmlns:ds="http://schemas.openxmlformats.org/officeDocument/2006/customXml" ds:itemID="{CBB22C42-B4AF-4E1E-8A5A-BC66574ADBEC}"/>
</file>

<file path=docProps/app.xml><?xml version="1.0" encoding="utf-8"?>
<Properties xmlns="http://schemas.openxmlformats.org/officeDocument/2006/extended-properties" xmlns:vt="http://schemas.openxmlformats.org/officeDocument/2006/docPropsVTypes">
  <Template>Normal</Template>
  <TotalTime>0</TotalTime>
  <Pages>1</Pages>
  <Words>4311</Words>
  <Characters>24577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28831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P1040-AppR</dc:title>
  <dc:creator/>
  <cp:lastModifiedBy/>
  <cp:revision>1</cp:revision>
  <dcterms:created xsi:type="dcterms:W3CDTF">2015-12-07T00:56:00Z</dcterms:created>
  <dcterms:modified xsi:type="dcterms:W3CDTF">2015-12-07T00:57:00Z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