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F7785" w14:textId="7EBBCFBD" w:rsidR="0014171C" w:rsidRPr="005C39EC" w:rsidRDefault="0014171C" w:rsidP="00BE7858">
      <w:pPr>
        <w:rPr>
          <w:rFonts w:cs="Arial"/>
        </w:rPr>
      </w:pPr>
      <w:bookmarkStart w:id="0" w:name="_GoBack"/>
      <w:bookmarkEnd w:id="0"/>
      <w:r w:rsidRPr="005C39EC">
        <w:rPr>
          <w:rFonts w:cs="Arial"/>
          <w:noProof/>
          <w:lang w:eastAsia="en-GB"/>
        </w:rPr>
        <w:drawing>
          <wp:inline distT="0" distB="0" distL="0" distR="0" wp14:anchorId="58337F1E" wp14:editId="061D7C4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6992027" w14:textId="77777777" w:rsidR="0014171C" w:rsidRPr="005C39EC" w:rsidRDefault="001C403E" w:rsidP="00BE7858">
      <w:pPr>
        <w:tabs>
          <w:tab w:val="left" w:pos="6810"/>
        </w:tabs>
        <w:rPr>
          <w:rFonts w:cs="Arial"/>
        </w:rPr>
      </w:pPr>
      <w:r w:rsidRPr="005C39EC">
        <w:rPr>
          <w:rFonts w:cs="Arial"/>
        </w:rPr>
        <w:tab/>
      </w:r>
    </w:p>
    <w:p w14:paraId="2B73554E" w14:textId="036D3B34" w:rsidR="0014171C" w:rsidRPr="005C39EC" w:rsidRDefault="0014171C" w:rsidP="00BE7858">
      <w:pPr>
        <w:pStyle w:val="FSTitle"/>
        <w:rPr>
          <w:rFonts w:cs="Arial"/>
        </w:rPr>
      </w:pPr>
      <w:r w:rsidRPr="005C39EC">
        <w:rPr>
          <w:rFonts w:cs="Arial"/>
          <w:b/>
        </w:rPr>
        <w:t>Supporting document</w:t>
      </w:r>
      <w:r w:rsidR="00C8607B" w:rsidRPr="005C39EC">
        <w:rPr>
          <w:rFonts w:cs="Arial"/>
          <w:b/>
        </w:rPr>
        <w:t xml:space="preserve"> </w:t>
      </w:r>
      <w:r w:rsidR="00B76ACF" w:rsidRPr="005C39EC">
        <w:rPr>
          <w:rFonts w:cs="Arial"/>
          <w:b/>
        </w:rPr>
        <w:t>1</w:t>
      </w:r>
      <w:r w:rsidR="00127C9E">
        <w:rPr>
          <w:rFonts w:cs="Arial"/>
          <w:b/>
        </w:rPr>
        <w:t xml:space="preserve"> (at Final Assessment)</w:t>
      </w:r>
    </w:p>
    <w:p w14:paraId="029C62B6" w14:textId="77777777" w:rsidR="0014171C" w:rsidRPr="005C39EC" w:rsidRDefault="0014171C" w:rsidP="00BE7858">
      <w:pPr>
        <w:rPr>
          <w:rFonts w:cs="Arial"/>
        </w:rPr>
      </w:pPr>
    </w:p>
    <w:p w14:paraId="44839DA2" w14:textId="77777777" w:rsidR="0014171C" w:rsidRPr="005C39EC" w:rsidRDefault="0014171C" w:rsidP="00BE7858">
      <w:pPr>
        <w:pStyle w:val="FSTitle"/>
        <w:rPr>
          <w:rFonts w:cs="Arial"/>
        </w:rPr>
      </w:pPr>
      <w:r w:rsidRPr="005C39EC">
        <w:rPr>
          <w:rFonts w:cs="Arial"/>
        </w:rPr>
        <w:t xml:space="preserve">Risk Assessment </w:t>
      </w:r>
      <w:r w:rsidR="00082B43" w:rsidRPr="005C39EC">
        <w:rPr>
          <w:rFonts w:cs="Arial"/>
        </w:rPr>
        <w:t xml:space="preserve">– </w:t>
      </w:r>
      <w:r w:rsidRPr="005C39EC">
        <w:rPr>
          <w:rFonts w:cs="Arial"/>
        </w:rPr>
        <w:t xml:space="preserve">Proposal P274 </w:t>
      </w:r>
    </w:p>
    <w:p w14:paraId="08432E91" w14:textId="77777777" w:rsidR="0014171C" w:rsidRPr="005C39EC" w:rsidRDefault="0014171C" w:rsidP="00BE7858">
      <w:pPr>
        <w:rPr>
          <w:rFonts w:cs="Arial"/>
        </w:rPr>
      </w:pPr>
    </w:p>
    <w:p w14:paraId="145E2B93" w14:textId="77777777" w:rsidR="0014171C" w:rsidRPr="005C39EC" w:rsidRDefault="0014171C" w:rsidP="00BE7858">
      <w:pPr>
        <w:pStyle w:val="FSTitle"/>
        <w:rPr>
          <w:rFonts w:cs="Arial"/>
          <w:bCs w:val="0"/>
        </w:rPr>
      </w:pPr>
      <w:r w:rsidRPr="005C39EC">
        <w:rPr>
          <w:rFonts w:cs="Arial"/>
        </w:rPr>
        <w:t>Review of Minimum Age Labelling of Foods for Infants</w:t>
      </w:r>
    </w:p>
    <w:p w14:paraId="7BBA5109" w14:textId="77777777" w:rsidR="00082B43" w:rsidRPr="005C39EC" w:rsidRDefault="00082B43" w:rsidP="00BE7858">
      <w:pPr>
        <w:pBdr>
          <w:bottom w:val="single" w:sz="12" w:space="1" w:color="auto"/>
        </w:pBdr>
        <w:spacing w:line="280" w:lineRule="exact"/>
        <w:rPr>
          <w:rFonts w:cs="Arial"/>
          <w:bCs/>
        </w:rPr>
      </w:pPr>
    </w:p>
    <w:p w14:paraId="35C3ADAC" w14:textId="77777777" w:rsidR="0014171C" w:rsidRPr="005C39EC" w:rsidRDefault="0014171C" w:rsidP="00BE7858">
      <w:pPr>
        <w:pStyle w:val="Heading1"/>
        <w:numPr>
          <w:ilvl w:val="0"/>
          <w:numId w:val="0"/>
        </w:numPr>
        <w:rPr>
          <w:rFonts w:cs="Arial"/>
        </w:rPr>
      </w:pPr>
      <w:bookmarkStart w:id="1" w:name="_Toc286391001"/>
      <w:bookmarkStart w:id="2" w:name="_Toc300933414"/>
      <w:bookmarkStart w:id="3" w:name="_Toc399945816"/>
      <w:r w:rsidRPr="005C39EC">
        <w:rPr>
          <w:rFonts w:cs="Arial"/>
        </w:rPr>
        <w:t>Executive summary</w:t>
      </w:r>
      <w:bookmarkEnd w:id="1"/>
      <w:bookmarkEnd w:id="2"/>
      <w:bookmarkEnd w:id="3"/>
    </w:p>
    <w:p w14:paraId="2EEA6C70" w14:textId="77777777" w:rsidR="00F91C32" w:rsidRPr="005C39EC" w:rsidRDefault="0014171C" w:rsidP="00BE7858">
      <w:pPr>
        <w:rPr>
          <w:rFonts w:cs="Arial"/>
        </w:rPr>
      </w:pPr>
      <w:r w:rsidRPr="005C39EC">
        <w:rPr>
          <w:rFonts w:cs="Arial"/>
        </w:rPr>
        <w:t xml:space="preserve">The appropriate timing for the introduction of solid foods to infants, also termed complementary feeding, is considered to be an important aspect of meeting an infant’s nutritional requirements in the first year of life. Infants should be introduced to solid foods when </w:t>
      </w:r>
      <w:r w:rsidR="0070346D" w:rsidRPr="005C39EC">
        <w:rPr>
          <w:rFonts w:cs="Arial"/>
        </w:rPr>
        <w:t xml:space="preserve">breastfeeding </w:t>
      </w:r>
      <w:r w:rsidRPr="005C39EC">
        <w:rPr>
          <w:rFonts w:cs="Arial"/>
        </w:rPr>
        <w:t xml:space="preserve">(or </w:t>
      </w:r>
      <w:r w:rsidR="00C93525" w:rsidRPr="005C39EC">
        <w:rPr>
          <w:rFonts w:cs="Arial"/>
        </w:rPr>
        <w:t xml:space="preserve">infant </w:t>
      </w:r>
      <w:r w:rsidRPr="005C39EC">
        <w:rPr>
          <w:rFonts w:cs="Arial"/>
        </w:rPr>
        <w:t xml:space="preserve">formula) no longer provides sufficient nutrients and when developmental cues indicate a readiness to receive solid food. However, the ideal time period </w:t>
      </w:r>
      <w:r w:rsidR="00DF379F" w:rsidRPr="005C39EC">
        <w:rPr>
          <w:rFonts w:cs="Arial"/>
        </w:rPr>
        <w:t xml:space="preserve">to introduce solid foods </w:t>
      </w:r>
      <w:r w:rsidRPr="005C39EC">
        <w:rPr>
          <w:rFonts w:cs="Arial"/>
        </w:rPr>
        <w:t xml:space="preserve">in terms of various long and short term health outcomes has been debated over the past few years. </w:t>
      </w:r>
    </w:p>
    <w:p w14:paraId="724ECD11" w14:textId="77777777" w:rsidR="00F91C32" w:rsidRPr="005C39EC" w:rsidRDefault="00F91C32" w:rsidP="00BE7858">
      <w:pPr>
        <w:rPr>
          <w:rFonts w:cs="Arial"/>
        </w:rPr>
      </w:pPr>
    </w:p>
    <w:p w14:paraId="541DF0D9" w14:textId="77777777" w:rsidR="00F91C32" w:rsidRPr="005C39EC" w:rsidRDefault="0014171C" w:rsidP="00BE7858">
      <w:pPr>
        <w:rPr>
          <w:rFonts w:cs="Arial"/>
        </w:rPr>
      </w:pPr>
      <w:r w:rsidRPr="005C39EC">
        <w:rPr>
          <w:rFonts w:cs="Arial"/>
        </w:rPr>
        <w:t xml:space="preserve">A number of international expert bodies including the World Health Organization (WHO), the European Society for Paediatric Gastroenterology, Hepatology, and Nutrition (ESPGHAN), and the European Food Safety Authority (EFSA) have reported views on timing of </w:t>
      </w:r>
      <w:r w:rsidR="00DF379F" w:rsidRPr="005C39EC">
        <w:rPr>
          <w:rFonts w:cs="Arial"/>
        </w:rPr>
        <w:t xml:space="preserve">introduction of </w:t>
      </w:r>
      <w:r w:rsidRPr="005C39EC">
        <w:rPr>
          <w:rFonts w:cs="Arial"/>
        </w:rPr>
        <w:t xml:space="preserve">complementary feeding. </w:t>
      </w:r>
      <w:r w:rsidR="00E65978" w:rsidRPr="005C39EC">
        <w:rPr>
          <w:rFonts w:cs="Arial"/>
        </w:rPr>
        <w:t>The</w:t>
      </w:r>
      <w:r w:rsidRPr="005C39EC">
        <w:rPr>
          <w:rFonts w:cs="Arial"/>
        </w:rPr>
        <w:t xml:space="preserve"> National Health and Medical Council (NHMRC) and New Zealand Ministry of Health (NZ MOH) have also issued recommendations stating that introduction of solid foods should occur when an infant is </w:t>
      </w:r>
      <w:r w:rsidR="001612A8" w:rsidRPr="005C39EC">
        <w:rPr>
          <w:rFonts w:cs="Arial"/>
        </w:rPr>
        <w:t>‘</w:t>
      </w:r>
      <w:r w:rsidRPr="005C39EC">
        <w:rPr>
          <w:rFonts w:cs="Arial"/>
        </w:rPr>
        <w:t>around 6 months</w:t>
      </w:r>
      <w:r w:rsidR="001612A8" w:rsidRPr="005C39EC">
        <w:rPr>
          <w:rFonts w:cs="Arial"/>
        </w:rPr>
        <w:t>’</w:t>
      </w:r>
      <w:r w:rsidRPr="005C39EC">
        <w:rPr>
          <w:rFonts w:cs="Arial"/>
        </w:rPr>
        <w:t xml:space="preserve"> of age. This recommendation </w:t>
      </w:r>
      <w:r w:rsidR="00E65978" w:rsidRPr="005C39EC">
        <w:rPr>
          <w:rFonts w:cs="Arial"/>
        </w:rPr>
        <w:t>differs from</w:t>
      </w:r>
      <w:r w:rsidRPr="005C39EC">
        <w:rPr>
          <w:rFonts w:cs="Arial"/>
        </w:rPr>
        <w:t xml:space="preserve"> the current </w:t>
      </w:r>
      <w:r w:rsidR="00DF379F" w:rsidRPr="005C39EC">
        <w:rPr>
          <w:rFonts w:cs="Arial"/>
        </w:rPr>
        <w:t>requir</w:t>
      </w:r>
      <w:r w:rsidR="005455E0" w:rsidRPr="005C39EC">
        <w:rPr>
          <w:rFonts w:cs="Arial"/>
        </w:rPr>
        <w:t>e</w:t>
      </w:r>
      <w:r w:rsidR="00DF379F" w:rsidRPr="005C39EC">
        <w:rPr>
          <w:rFonts w:cs="Arial"/>
        </w:rPr>
        <w:t xml:space="preserve">ments in </w:t>
      </w:r>
      <w:r w:rsidRPr="005C39EC">
        <w:rPr>
          <w:rFonts w:cs="Arial"/>
        </w:rPr>
        <w:t xml:space="preserve">Standard 2.9.2 </w:t>
      </w:r>
      <w:r w:rsidR="002E3C31" w:rsidRPr="005C39EC">
        <w:rPr>
          <w:rFonts w:cs="Arial"/>
        </w:rPr>
        <w:t xml:space="preserve">– </w:t>
      </w:r>
      <w:r w:rsidRPr="005C39EC">
        <w:rPr>
          <w:rFonts w:cs="Arial"/>
        </w:rPr>
        <w:t>Foods for Infants which refers to ‘4</w:t>
      </w:r>
      <w:r w:rsidR="00E65978" w:rsidRPr="005C39EC">
        <w:rPr>
          <w:rFonts w:cs="Arial"/>
        </w:rPr>
        <w:t xml:space="preserve"> </w:t>
      </w:r>
      <w:r w:rsidRPr="005C39EC">
        <w:rPr>
          <w:rFonts w:cs="Arial"/>
        </w:rPr>
        <w:t xml:space="preserve">months’ </w:t>
      </w:r>
      <w:r w:rsidR="00E65978" w:rsidRPr="005C39EC">
        <w:rPr>
          <w:rFonts w:cs="Arial"/>
        </w:rPr>
        <w:t xml:space="preserve">as the minimum age </w:t>
      </w:r>
      <w:r w:rsidRPr="005C39EC">
        <w:rPr>
          <w:rFonts w:cs="Arial"/>
        </w:rPr>
        <w:t xml:space="preserve">for labelling infant foods. </w:t>
      </w:r>
    </w:p>
    <w:p w14:paraId="1BAD8F6C" w14:textId="77777777" w:rsidR="00F91C32" w:rsidRPr="005C39EC" w:rsidRDefault="00F91C32" w:rsidP="00BE7858">
      <w:pPr>
        <w:rPr>
          <w:rFonts w:cs="Arial"/>
        </w:rPr>
      </w:pPr>
    </w:p>
    <w:p w14:paraId="6C63ECDC" w14:textId="77777777" w:rsidR="0014171C" w:rsidRPr="005C39EC" w:rsidRDefault="0014171C" w:rsidP="00BE7858">
      <w:pPr>
        <w:rPr>
          <w:rFonts w:cs="Arial"/>
        </w:rPr>
      </w:pPr>
      <w:r w:rsidRPr="005C39EC">
        <w:rPr>
          <w:rFonts w:cs="Arial"/>
        </w:rPr>
        <w:t>Therefore, the main purpose of this assessment is to determine whether any food-related safety risks would be</w:t>
      </w:r>
      <w:r w:rsidR="00DF379F" w:rsidRPr="005C39EC">
        <w:rPr>
          <w:rFonts w:cs="Arial"/>
        </w:rPr>
        <w:t xml:space="preserve"> associated </w:t>
      </w:r>
      <w:r w:rsidR="00417A1E" w:rsidRPr="005C39EC">
        <w:rPr>
          <w:rFonts w:cs="Arial"/>
        </w:rPr>
        <w:t xml:space="preserve">with the introduction of </w:t>
      </w:r>
      <w:r w:rsidR="00DF379F" w:rsidRPr="005C39EC">
        <w:rPr>
          <w:rFonts w:cs="Arial"/>
        </w:rPr>
        <w:t>solid food</w:t>
      </w:r>
      <w:r w:rsidR="00417A1E" w:rsidRPr="005C39EC">
        <w:rPr>
          <w:rFonts w:cs="Arial"/>
        </w:rPr>
        <w:t>s</w:t>
      </w:r>
      <w:r w:rsidR="00DF379F" w:rsidRPr="005C39EC">
        <w:rPr>
          <w:rFonts w:cs="Arial"/>
        </w:rPr>
        <w:t xml:space="preserve"> </w:t>
      </w:r>
      <w:r w:rsidRPr="005C39EC">
        <w:rPr>
          <w:rFonts w:cs="Arial"/>
        </w:rPr>
        <w:t xml:space="preserve">at ‘around 6 months’ </w:t>
      </w:r>
      <w:r w:rsidR="00417A1E" w:rsidRPr="005C39EC">
        <w:rPr>
          <w:rFonts w:cs="Arial"/>
        </w:rPr>
        <w:t xml:space="preserve">relative to </w:t>
      </w:r>
      <w:r w:rsidR="00E65978" w:rsidRPr="005C39EC">
        <w:rPr>
          <w:rFonts w:cs="Arial"/>
        </w:rPr>
        <w:t>‘from</w:t>
      </w:r>
      <w:r w:rsidRPr="005C39EC">
        <w:rPr>
          <w:rFonts w:cs="Arial"/>
        </w:rPr>
        <w:t xml:space="preserve"> 4 months’. </w:t>
      </w:r>
    </w:p>
    <w:p w14:paraId="5082B0D4" w14:textId="77777777" w:rsidR="0014171C" w:rsidRPr="005C39EC" w:rsidRDefault="0014171C" w:rsidP="00BE7858">
      <w:pPr>
        <w:rPr>
          <w:rFonts w:cs="Arial"/>
        </w:rPr>
      </w:pPr>
    </w:p>
    <w:p w14:paraId="40C68710" w14:textId="77777777" w:rsidR="0014171C" w:rsidRPr="005C39EC" w:rsidRDefault="0014171C" w:rsidP="00BE7858">
      <w:pPr>
        <w:rPr>
          <w:rFonts w:cs="Arial"/>
        </w:rPr>
      </w:pPr>
      <w:r w:rsidRPr="005C39EC">
        <w:rPr>
          <w:rFonts w:cs="Arial"/>
        </w:rPr>
        <w:t>Long</w:t>
      </w:r>
      <w:r w:rsidR="00DC5C2C" w:rsidRPr="005C39EC">
        <w:rPr>
          <w:rFonts w:cs="Arial"/>
        </w:rPr>
        <w:t>-</w:t>
      </w:r>
      <w:r w:rsidRPr="005C39EC">
        <w:rPr>
          <w:rFonts w:cs="Arial"/>
        </w:rPr>
        <w:t xml:space="preserve"> and short</w:t>
      </w:r>
      <w:r w:rsidR="00DC5C2C" w:rsidRPr="005C39EC">
        <w:rPr>
          <w:rFonts w:cs="Arial"/>
        </w:rPr>
        <w:t>-</w:t>
      </w:r>
      <w:r w:rsidRPr="005C39EC">
        <w:rPr>
          <w:rFonts w:cs="Arial"/>
        </w:rPr>
        <w:t xml:space="preserve">term health outcomes that have been examined in relation to the timing of </w:t>
      </w:r>
      <w:r w:rsidR="007070DB" w:rsidRPr="005C39EC">
        <w:rPr>
          <w:rFonts w:cs="Arial"/>
        </w:rPr>
        <w:t xml:space="preserve">commencement of </w:t>
      </w:r>
      <w:r w:rsidRPr="005C39EC">
        <w:rPr>
          <w:rFonts w:cs="Arial"/>
        </w:rPr>
        <w:t xml:space="preserve">complementary feeding include nutritional adequacy (including energy intake), growth and overweight, developmental effects (including food preferences), renal function, infectious morbidity and allergic diseases or syndromes. Because of the many </w:t>
      </w:r>
      <w:proofErr w:type="gramStart"/>
      <w:r w:rsidRPr="005C39EC">
        <w:rPr>
          <w:rFonts w:cs="Arial"/>
        </w:rPr>
        <w:t>differences</w:t>
      </w:r>
      <w:proofErr w:type="gramEnd"/>
      <w:r w:rsidRPr="005C39EC">
        <w:rPr>
          <w:rFonts w:cs="Arial"/>
        </w:rPr>
        <w:t xml:space="preserve"> and variables in study designs, it is difficult to link the specific timing (i.e.</w:t>
      </w:r>
      <w:r w:rsidR="001515D3" w:rsidRPr="005C39EC">
        <w:rPr>
          <w:rFonts w:cs="Arial"/>
        </w:rPr>
        <w:t xml:space="preserve"> defined in months of age) to a</w:t>
      </w:r>
      <w:r w:rsidRPr="005C39EC">
        <w:rPr>
          <w:rFonts w:cs="Arial"/>
        </w:rPr>
        <w:t xml:space="preserve"> health outcome. The strength of evidence for many of these associations is inconclusive due to studies where interpretation is complicated by study objectives which are separate to complementary feeding, such as duration of breastfeeding.</w:t>
      </w:r>
    </w:p>
    <w:p w14:paraId="1B3846AF" w14:textId="77777777" w:rsidR="0014171C" w:rsidRPr="005C39EC" w:rsidRDefault="0014171C" w:rsidP="00BE7858">
      <w:pPr>
        <w:rPr>
          <w:rFonts w:cs="Arial"/>
        </w:rPr>
      </w:pPr>
    </w:p>
    <w:p w14:paraId="58FC6131" w14:textId="77777777" w:rsidR="0014171C" w:rsidRPr="005C39EC" w:rsidRDefault="0014171C" w:rsidP="00BE7858">
      <w:pPr>
        <w:rPr>
          <w:rFonts w:cs="Arial"/>
        </w:rPr>
      </w:pPr>
      <w:r w:rsidRPr="005C39EC">
        <w:rPr>
          <w:rFonts w:cs="Arial"/>
        </w:rPr>
        <w:t xml:space="preserve">Because of the increase in the numbers of children observed with food allergy, </w:t>
      </w:r>
      <w:r w:rsidR="00E65978" w:rsidRPr="005C39EC">
        <w:rPr>
          <w:rFonts w:cs="Arial"/>
        </w:rPr>
        <w:t xml:space="preserve">sensitisation </w:t>
      </w:r>
      <w:r w:rsidRPr="005C39EC">
        <w:rPr>
          <w:rFonts w:cs="Arial"/>
        </w:rPr>
        <w:t>and anaphylaxis seen over the past 10</w:t>
      </w:r>
      <w:r w:rsidR="002E3C31" w:rsidRPr="005C39EC">
        <w:rPr>
          <w:rFonts w:cs="Arial"/>
        </w:rPr>
        <w:t>-</w:t>
      </w:r>
      <w:r w:rsidRPr="005C39EC">
        <w:rPr>
          <w:rFonts w:cs="Arial"/>
        </w:rPr>
        <w:t xml:space="preserve">15 years, the association between allergic diseases and the timing of solid food introduction is of much current interest. In 2008, FSANZ reviewed the </w:t>
      </w:r>
      <w:bookmarkStart w:id="4" w:name="_Toc202866448"/>
      <w:r w:rsidRPr="005C39EC">
        <w:rPr>
          <w:rFonts w:cs="Arial"/>
        </w:rPr>
        <w:t>r</w:t>
      </w:r>
      <w:r w:rsidRPr="005C39EC">
        <w:rPr>
          <w:rFonts w:cs="Arial"/>
          <w:bCs/>
          <w:iCs/>
        </w:rPr>
        <w:t>isk of allergy and other immune-mediated diseases in relation to timing of introduction of solid foods</w:t>
      </w:r>
      <w:bookmarkEnd w:id="4"/>
      <w:r w:rsidRPr="005C39EC">
        <w:rPr>
          <w:rFonts w:cs="Arial"/>
          <w:bCs/>
          <w:iCs/>
        </w:rPr>
        <w:t xml:space="preserve"> </w:t>
      </w:r>
      <w:r w:rsidRPr="005C39EC">
        <w:rPr>
          <w:rFonts w:cs="Arial"/>
        </w:rPr>
        <w:t xml:space="preserve">and concluded that, although </w:t>
      </w:r>
      <w:r w:rsidRPr="005C39EC">
        <w:rPr>
          <w:rFonts w:cs="Arial"/>
          <w:iCs/>
        </w:rPr>
        <w:t xml:space="preserve">preliminary information suggests that a window may exist between 4 and </w:t>
      </w:r>
      <w:r w:rsidR="006E23B3" w:rsidRPr="005C39EC">
        <w:rPr>
          <w:rFonts w:cs="Arial"/>
          <w:iCs/>
        </w:rPr>
        <w:t>7</w:t>
      </w:r>
      <w:r w:rsidRPr="005C39EC">
        <w:rPr>
          <w:rFonts w:cs="Arial"/>
          <w:iCs/>
        </w:rPr>
        <w:t xml:space="preserve"> months to minimise allergy risk, conclusive evidence </w:t>
      </w:r>
      <w:r w:rsidR="00AA1382" w:rsidRPr="005C39EC">
        <w:rPr>
          <w:rFonts w:cs="Arial"/>
          <w:iCs/>
        </w:rPr>
        <w:t xml:space="preserve">was </w:t>
      </w:r>
      <w:r w:rsidRPr="005C39EC">
        <w:rPr>
          <w:rFonts w:cs="Arial"/>
          <w:iCs/>
        </w:rPr>
        <w:t xml:space="preserve">still lacking. </w:t>
      </w:r>
      <w:r w:rsidRPr="005C39EC">
        <w:rPr>
          <w:rFonts w:cs="Arial"/>
        </w:rPr>
        <w:t xml:space="preserve">In 2009, reports published by EFSA and ESPGHAN gave similar conclusions. </w:t>
      </w:r>
    </w:p>
    <w:p w14:paraId="652988CA" w14:textId="77777777" w:rsidR="0014171C" w:rsidRPr="005C39EC" w:rsidRDefault="0014171C" w:rsidP="00BE7858">
      <w:pPr>
        <w:rPr>
          <w:rFonts w:cs="Arial"/>
        </w:rPr>
      </w:pPr>
    </w:p>
    <w:p w14:paraId="7065DB7A" w14:textId="77777777" w:rsidR="00D15971" w:rsidRPr="005C39EC" w:rsidRDefault="007070DB" w:rsidP="00BE7858">
      <w:pPr>
        <w:rPr>
          <w:rFonts w:cs="Arial"/>
        </w:rPr>
      </w:pPr>
      <w:r w:rsidRPr="005C39EC">
        <w:rPr>
          <w:rFonts w:cs="Arial"/>
        </w:rPr>
        <w:lastRenderedPageBreak/>
        <w:t>T</w:t>
      </w:r>
      <w:r w:rsidR="001B7EA0" w:rsidRPr="005C39EC">
        <w:rPr>
          <w:rFonts w:cs="Arial"/>
        </w:rPr>
        <w:t>he</w:t>
      </w:r>
      <w:r w:rsidR="0014171C" w:rsidRPr="005C39EC">
        <w:rPr>
          <w:rFonts w:cs="Arial"/>
        </w:rPr>
        <w:t xml:space="preserve"> risk assessment was </w:t>
      </w:r>
      <w:r w:rsidR="001B7EA0" w:rsidRPr="005C39EC">
        <w:rPr>
          <w:rFonts w:cs="Arial"/>
        </w:rPr>
        <w:t xml:space="preserve">therefore </w:t>
      </w:r>
      <w:r w:rsidRPr="005C39EC">
        <w:rPr>
          <w:rFonts w:cs="Arial"/>
        </w:rPr>
        <w:t>revised</w:t>
      </w:r>
      <w:r w:rsidR="0014171C" w:rsidRPr="005C39EC">
        <w:rPr>
          <w:rFonts w:cs="Arial"/>
        </w:rPr>
        <w:t xml:space="preserve"> </w:t>
      </w:r>
      <w:r w:rsidR="00AA1382" w:rsidRPr="005C39EC">
        <w:rPr>
          <w:rFonts w:cs="Arial"/>
        </w:rPr>
        <w:t xml:space="preserve">by FSANZ </w:t>
      </w:r>
      <w:r w:rsidR="001B7EA0" w:rsidRPr="005C39EC">
        <w:rPr>
          <w:rFonts w:cs="Arial"/>
        </w:rPr>
        <w:t xml:space="preserve">in 2013 </w:t>
      </w:r>
      <w:r w:rsidR="0014171C" w:rsidRPr="005C39EC">
        <w:rPr>
          <w:rFonts w:cs="Arial"/>
        </w:rPr>
        <w:t xml:space="preserve">to review the evidence for the appropriate timing for solid food introduction, focussing on reports and data published since 2008. </w:t>
      </w:r>
    </w:p>
    <w:p w14:paraId="0EA1DB92" w14:textId="77777777" w:rsidR="00D15971" w:rsidRPr="005C39EC" w:rsidRDefault="00D15971" w:rsidP="00BE7858">
      <w:pPr>
        <w:rPr>
          <w:rFonts w:cs="Arial"/>
        </w:rPr>
      </w:pPr>
    </w:p>
    <w:p w14:paraId="72713A71" w14:textId="77777777" w:rsidR="0014171C" w:rsidRPr="005C39EC" w:rsidRDefault="0014171C" w:rsidP="00BE7858">
      <w:pPr>
        <w:rPr>
          <w:rFonts w:cs="Arial"/>
        </w:rPr>
      </w:pPr>
      <w:r w:rsidRPr="005C39EC">
        <w:rPr>
          <w:rFonts w:cs="Arial"/>
        </w:rPr>
        <w:t xml:space="preserve">The main objectives </w:t>
      </w:r>
      <w:r w:rsidR="001B7EA0" w:rsidRPr="005C39EC">
        <w:rPr>
          <w:rFonts w:cs="Arial"/>
        </w:rPr>
        <w:t xml:space="preserve">of the 2013 assessment </w:t>
      </w:r>
      <w:r w:rsidRPr="005C39EC">
        <w:rPr>
          <w:rFonts w:cs="Arial"/>
        </w:rPr>
        <w:t>were to identify adverse health outcomes associated with timing of solid food introduction relevant to the proposed change for the labelling of infant foods as appropriate for infants ‘around 6 months’. Food allergy risks were reviewed in detail because of current concerns</w:t>
      </w:r>
      <w:r w:rsidR="00AA1382" w:rsidRPr="005C39EC">
        <w:rPr>
          <w:rFonts w:cs="Arial"/>
        </w:rPr>
        <w:t>,</w:t>
      </w:r>
      <w:r w:rsidRPr="005C39EC">
        <w:rPr>
          <w:rFonts w:cs="Arial"/>
        </w:rPr>
        <w:t xml:space="preserve"> which are particularly relevant to the time periods covered in this proposal</w:t>
      </w:r>
      <w:r w:rsidR="00AA1382" w:rsidRPr="005C39EC">
        <w:rPr>
          <w:rFonts w:cs="Arial"/>
        </w:rPr>
        <w:t>,</w:t>
      </w:r>
      <w:r w:rsidR="00031CD5" w:rsidRPr="005C39EC">
        <w:rPr>
          <w:rFonts w:cs="Arial"/>
        </w:rPr>
        <w:t xml:space="preserve"> and also due to the availability of new research in the area</w:t>
      </w:r>
      <w:r w:rsidRPr="005C39EC">
        <w:rPr>
          <w:rFonts w:cs="Arial"/>
        </w:rPr>
        <w:t xml:space="preserve">. </w:t>
      </w:r>
    </w:p>
    <w:p w14:paraId="7CDBE90C" w14:textId="77777777" w:rsidR="0014171C" w:rsidRPr="005C39EC" w:rsidRDefault="0014171C" w:rsidP="00BE7858">
      <w:pPr>
        <w:rPr>
          <w:rFonts w:cs="Arial"/>
        </w:rPr>
      </w:pPr>
    </w:p>
    <w:p w14:paraId="1B88760F" w14:textId="77777777" w:rsidR="0014171C" w:rsidRPr="005C39EC" w:rsidRDefault="0014171C" w:rsidP="00BE7858">
      <w:pPr>
        <w:rPr>
          <w:rFonts w:cs="Arial"/>
        </w:rPr>
      </w:pPr>
      <w:r w:rsidRPr="005C39EC">
        <w:rPr>
          <w:rFonts w:cs="Arial"/>
        </w:rPr>
        <w:t>The main conclusions of this assessment are summarised as follows:</w:t>
      </w:r>
    </w:p>
    <w:p w14:paraId="5D25EB4C" w14:textId="77777777" w:rsidR="0014171C" w:rsidRPr="005C39EC" w:rsidRDefault="0014171C" w:rsidP="00BE7858">
      <w:pPr>
        <w:pStyle w:val="FSBullet10"/>
        <w:numPr>
          <w:ilvl w:val="0"/>
          <w:numId w:val="0"/>
        </w:numPr>
        <w:ind w:left="567"/>
      </w:pPr>
    </w:p>
    <w:p w14:paraId="0B68BF9B" w14:textId="73CF0D50" w:rsidR="0014171C" w:rsidRPr="005C39EC" w:rsidRDefault="0014171C" w:rsidP="00BE7858">
      <w:pPr>
        <w:pStyle w:val="FSBullet10"/>
      </w:pPr>
      <w:r w:rsidRPr="005C39EC">
        <w:t>Solid foods introduced at ‘around 6 months’ compared to ‘</w:t>
      </w:r>
      <w:r w:rsidR="00E65978" w:rsidRPr="005C39EC">
        <w:t>from 4 months</w:t>
      </w:r>
      <w:r w:rsidRPr="005C39EC">
        <w:t xml:space="preserve">’ effectively means that introduction of solid foods could be delayed by </w:t>
      </w:r>
      <w:r w:rsidR="00E65978" w:rsidRPr="005C39EC">
        <w:t xml:space="preserve">as much as </w:t>
      </w:r>
      <w:r w:rsidRPr="005C39EC">
        <w:t xml:space="preserve">up to 2 months. Based on several key review articles, there are no health effects that are clearly linked with adverse outcomes if solid food </w:t>
      </w:r>
      <w:r w:rsidR="00164C70" w:rsidRPr="005C39EC">
        <w:rPr>
          <w:bCs/>
        </w:rPr>
        <w:t xml:space="preserve">is introduced from 4 months compared to delaying until ‘around 6 months’ of age. </w:t>
      </w:r>
      <w:r w:rsidRPr="005C39EC">
        <w:t xml:space="preserve">Allergy risk appears to be associated with solid foods introduced to infants at less than 4 months based on several cohort studies. This association supports the current </w:t>
      </w:r>
      <w:r w:rsidR="001515D3" w:rsidRPr="005C39EC">
        <w:t xml:space="preserve">ESPGHAN and EFSA </w:t>
      </w:r>
      <w:r w:rsidRPr="005C39EC">
        <w:t xml:space="preserve">recommendations that </w:t>
      </w:r>
      <w:r w:rsidR="001515D3" w:rsidRPr="005C39EC">
        <w:t>‘</w:t>
      </w:r>
      <w:r w:rsidR="002609FD" w:rsidRPr="005C39EC">
        <w:t xml:space="preserve">from </w:t>
      </w:r>
      <w:r w:rsidRPr="005C39EC">
        <w:t>4 months</w:t>
      </w:r>
      <w:r w:rsidR="009F2A28" w:rsidRPr="005C39EC">
        <w:t>’</w:t>
      </w:r>
      <w:r w:rsidRPr="005C39EC">
        <w:t xml:space="preserve"> is the appropriate minimum age at which solid foods are introduced.</w:t>
      </w:r>
    </w:p>
    <w:p w14:paraId="4C8B5D12" w14:textId="77777777" w:rsidR="0014171C" w:rsidRPr="005C39EC" w:rsidRDefault="0014171C" w:rsidP="00BE7858">
      <w:pPr>
        <w:pStyle w:val="FSBullet10"/>
        <w:numPr>
          <w:ilvl w:val="0"/>
          <w:numId w:val="0"/>
        </w:numPr>
        <w:ind w:left="567"/>
      </w:pPr>
    </w:p>
    <w:p w14:paraId="197E6B7C" w14:textId="24C68F61" w:rsidR="0014171C" w:rsidRPr="005C39EC" w:rsidRDefault="0014171C" w:rsidP="00BE7858">
      <w:pPr>
        <w:pStyle w:val="FSBullet10"/>
      </w:pPr>
      <w:r w:rsidRPr="005C39EC">
        <w:t xml:space="preserve">Since 2008, there is increasing evidence that the timing of solid food introduction may be related to the development of food-related allergy. The critical period to minimise the risk of allergy development seems to be between the ages of 4 and </w:t>
      </w:r>
      <w:r w:rsidR="00031CD5" w:rsidRPr="005C39EC">
        <w:t>&lt;</w:t>
      </w:r>
      <w:r w:rsidRPr="005C39EC">
        <w:t>7 months. However, because of unclear and inconsistent definitions of age categories</w:t>
      </w:r>
      <w:r w:rsidR="00B9767C">
        <w:t>,</w:t>
      </w:r>
      <w:r w:rsidRPr="005C39EC">
        <w:t xml:space="preserve"> measurement bias in many studies and the contribution of various other factors in the development of allergic disease, the evidence is not conclusive. Currently, there are randomised controlled trials (RCTs) underway which aim to determine whether exposure to food allergens, and not avoidance, is critical during this period to minimise the risk of developing food-related allergy and to determine the optimal timing for introduction of solid foods. </w:t>
      </w:r>
    </w:p>
    <w:p w14:paraId="21EE35C3" w14:textId="77777777" w:rsidR="0014171C" w:rsidRPr="005C39EC" w:rsidRDefault="0014171C" w:rsidP="00BE7858">
      <w:pPr>
        <w:pStyle w:val="FSBullet10"/>
        <w:numPr>
          <w:ilvl w:val="0"/>
          <w:numId w:val="0"/>
        </w:numPr>
        <w:ind w:left="567"/>
      </w:pPr>
    </w:p>
    <w:p w14:paraId="4A9138C7" w14:textId="77777777" w:rsidR="0014171C" w:rsidRPr="005C39EC" w:rsidRDefault="0014171C" w:rsidP="00BE7858">
      <w:pPr>
        <w:rPr>
          <w:rFonts w:cs="Arial"/>
        </w:rPr>
      </w:pPr>
      <w:r w:rsidRPr="005C39EC">
        <w:rPr>
          <w:rFonts w:cs="Arial"/>
        </w:rPr>
        <w:t xml:space="preserve">Therefore, </w:t>
      </w:r>
      <w:r w:rsidR="00031CD5" w:rsidRPr="005C39EC">
        <w:rPr>
          <w:rFonts w:cs="Arial"/>
        </w:rPr>
        <w:t xml:space="preserve">FSANZ concludes that there is a window from 4 to &lt;7 months for introducing solid food which carries </w:t>
      </w:r>
      <w:r w:rsidR="00212CFD" w:rsidRPr="005C39EC">
        <w:rPr>
          <w:rFonts w:cs="Arial"/>
        </w:rPr>
        <w:t xml:space="preserve">a </w:t>
      </w:r>
      <w:r w:rsidR="00031CD5" w:rsidRPr="005C39EC">
        <w:rPr>
          <w:rFonts w:cs="Arial"/>
        </w:rPr>
        <w:t xml:space="preserve">low </w:t>
      </w:r>
      <w:r w:rsidRPr="005C39EC">
        <w:rPr>
          <w:rFonts w:cs="Arial"/>
        </w:rPr>
        <w:t>risk of adverse health outcomes</w:t>
      </w:r>
      <w:r w:rsidR="00031CD5" w:rsidRPr="005C39EC">
        <w:rPr>
          <w:rFonts w:cs="Arial"/>
        </w:rPr>
        <w:t>.</w:t>
      </w:r>
    </w:p>
    <w:p w14:paraId="403C1A50" w14:textId="77777777" w:rsidR="00031CD5" w:rsidRPr="005C39EC" w:rsidRDefault="00031CD5" w:rsidP="00BE7858">
      <w:pPr>
        <w:rPr>
          <w:rFonts w:cs="Arial"/>
        </w:rPr>
      </w:pPr>
    </w:p>
    <w:p w14:paraId="5CCA37BE" w14:textId="44AAAC96" w:rsidR="00031CD5" w:rsidRPr="005C39EC" w:rsidRDefault="00305AD0" w:rsidP="00BE7858">
      <w:pPr>
        <w:rPr>
          <w:rFonts w:cs="Arial"/>
        </w:rPr>
        <w:sectPr w:rsidR="00031CD5" w:rsidRPr="005C39EC" w:rsidSect="002609F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r w:rsidRPr="005C39EC">
        <w:rPr>
          <w:rFonts w:cs="Arial"/>
        </w:rPr>
        <w:t>H</w:t>
      </w:r>
      <w:r w:rsidR="009C6904" w:rsidRPr="005C39EC">
        <w:rPr>
          <w:rFonts w:cs="Arial"/>
        </w:rPr>
        <w:t>ealth surveys conducted i</w:t>
      </w:r>
      <w:r w:rsidRPr="005C39EC">
        <w:rPr>
          <w:rFonts w:cs="Arial"/>
        </w:rPr>
        <w:t xml:space="preserve">n Australia (2010) and New Zealand (2011/2012) show </w:t>
      </w:r>
      <w:r w:rsidR="00800F90" w:rsidRPr="005C39EC">
        <w:rPr>
          <w:rFonts w:cs="Arial"/>
        </w:rPr>
        <w:t xml:space="preserve">that no more </w:t>
      </w:r>
      <w:r w:rsidRPr="005C39EC">
        <w:rPr>
          <w:rFonts w:cs="Arial"/>
        </w:rPr>
        <w:t>tha</w:t>
      </w:r>
      <w:r w:rsidR="00800F90" w:rsidRPr="005C39EC">
        <w:rPr>
          <w:rFonts w:cs="Arial"/>
        </w:rPr>
        <w:t>n</w:t>
      </w:r>
      <w:r w:rsidRPr="005C39EC">
        <w:rPr>
          <w:rFonts w:cs="Arial"/>
        </w:rPr>
        <w:t xml:space="preserve"> 10% </w:t>
      </w:r>
      <w:r w:rsidR="00800F90" w:rsidRPr="005C39EC">
        <w:rPr>
          <w:rFonts w:cs="Arial"/>
        </w:rPr>
        <w:t xml:space="preserve">of </w:t>
      </w:r>
      <w:r w:rsidRPr="005C39EC">
        <w:rPr>
          <w:rFonts w:cs="Arial"/>
        </w:rPr>
        <w:t>infants are introduced to solid</w:t>
      </w:r>
      <w:r w:rsidR="00530036" w:rsidRPr="005C39EC">
        <w:rPr>
          <w:rFonts w:cs="Arial"/>
        </w:rPr>
        <w:t xml:space="preserve"> foods </w:t>
      </w:r>
      <w:r w:rsidRPr="005C39EC">
        <w:rPr>
          <w:rFonts w:cs="Arial"/>
        </w:rPr>
        <w:t xml:space="preserve">before four months of age. </w:t>
      </w:r>
      <w:r w:rsidR="00D06839" w:rsidRPr="005C39EC">
        <w:rPr>
          <w:rFonts w:cs="Arial"/>
        </w:rPr>
        <w:t xml:space="preserve">Of the </w:t>
      </w:r>
      <w:r w:rsidR="00205F80" w:rsidRPr="005C39EC">
        <w:rPr>
          <w:rFonts w:cs="Arial"/>
        </w:rPr>
        <w:t xml:space="preserve">mothers who introduced solids to </w:t>
      </w:r>
      <w:r w:rsidR="00D06839" w:rsidRPr="005C39EC">
        <w:rPr>
          <w:rFonts w:cs="Arial"/>
        </w:rPr>
        <w:t xml:space="preserve">infants </w:t>
      </w:r>
      <w:r w:rsidR="00684849" w:rsidRPr="005C39EC">
        <w:rPr>
          <w:rFonts w:cs="Arial"/>
        </w:rPr>
        <w:t xml:space="preserve">before four months of age </w:t>
      </w:r>
      <w:r w:rsidR="00D06839" w:rsidRPr="005C39EC">
        <w:rPr>
          <w:rFonts w:cs="Arial"/>
        </w:rPr>
        <w:t>t</w:t>
      </w:r>
      <w:r w:rsidRPr="005C39EC">
        <w:rPr>
          <w:rFonts w:cs="Arial"/>
        </w:rPr>
        <w:t xml:space="preserve">he proportion </w:t>
      </w:r>
      <w:r w:rsidR="00205F80" w:rsidRPr="005C39EC">
        <w:rPr>
          <w:rFonts w:cs="Arial"/>
        </w:rPr>
        <w:t>wa</w:t>
      </w:r>
      <w:r w:rsidRPr="005C39EC">
        <w:rPr>
          <w:rFonts w:cs="Arial"/>
        </w:rPr>
        <w:t>s highe</w:t>
      </w:r>
      <w:r w:rsidR="00F663DB" w:rsidRPr="005C39EC">
        <w:rPr>
          <w:rFonts w:cs="Arial"/>
        </w:rPr>
        <w:t>st</w:t>
      </w:r>
      <w:r w:rsidRPr="005C39EC">
        <w:rPr>
          <w:rFonts w:cs="Arial"/>
        </w:rPr>
        <w:t xml:space="preserve"> </w:t>
      </w:r>
      <w:r w:rsidR="00530036" w:rsidRPr="005C39EC">
        <w:rPr>
          <w:rFonts w:cs="Arial"/>
        </w:rPr>
        <w:t>among</w:t>
      </w:r>
      <w:r w:rsidRPr="005C39EC">
        <w:rPr>
          <w:rFonts w:cs="Arial"/>
        </w:rPr>
        <w:t xml:space="preserve"> New Zealand Maori</w:t>
      </w:r>
      <w:r w:rsidR="00673A1B" w:rsidRPr="005C39EC">
        <w:rPr>
          <w:rFonts w:cs="Arial"/>
        </w:rPr>
        <w:t xml:space="preserve">, young Australian mothers </w:t>
      </w:r>
      <w:r w:rsidR="00530036" w:rsidRPr="005C39EC">
        <w:rPr>
          <w:rFonts w:cs="Arial"/>
        </w:rPr>
        <w:t xml:space="preserve">(&lt;25 y) </w:t>
      </w:r>
      <w:r w:rsidR="00673A1B" w:rsidRPr="005C39EC">
        <w:rPr>
          <w:rFonts w:cs="Arial"/>
        </w:rPr>
        <w:t xml:space="preserve">and </w:t>
      </w:r>
      <w:r w:rsidR="00F663DB" w:rsidRPr="005C39EC">
        <w:rPr>
          <w:rFonts w:cs="Arial"/>
        </w:rPr>
        <w:t xml:space="preserve">the </w:t>
      </w:r>
      <w:r w:rsidRPr="005C39EC">
        <w:rPr>
          <w:rFonts w:cs="Arial"/>
        </w:rPr>
        <w:t xml:space="preserve">lower socio-economic groups in Australia. </w:t>
      </w:r>
      <w:r w:rsidR="00876777" w:rsidRPr="005C39EC">
        <w:rPr>
          <w:rFonts w:cs="Arial"/>
        </w:rPr>
        <w:t>T</w:t>
      </w:r>
      <w:r w:rsidRPr="005C39EC">
        <w:rPr>
          <w:rFonts w:cs="Arial"/>
        </w:rPr>
        <w:t xml:space="preserve">here </w:t>
      </w:r>
      <w:r w:rsidR="00205F80" w:rsidRPr="005C39EC">
        <w:rPr>
          <w:rFonts w:cs="Arial"/>
        </w:rPr>
        <w:t xml:space="preserve">appeared to be </w:t>
      </w:r>
      <w:r w:rsidR="00147E17" w:rsidRPr="005C39EC">
        <w:rPr>
          <w:rFonts w:cs="Arial"/>
        </w:rPr>
        <w:t>no</w:t>
      </w:r>
      <w:r w:rsidRPr="005C39EC">
        <w:rPr>
          <w:rFonts w:cs="Arial"/>
        </w:rPr>
        <w:t xml:space="preserve"> association between the introduction of solids and cessation of breastfeeding</w:t>
      </w:r>
      <w:r w:rsidR="00530036" w:rsidRPr="005C39EC">
        <w:rPr>
          <w:rFonts w:cs="Arial"/>
        </w:rPr>
        <w:t>.</w:t>
      </w:r>
      <w:r w:rsidRPr="005C39EC">
        <w:rPr>
          <w:rFonts w:cs="Arial"/>
        </w:rPr>
        <w:t xml:space="preserve"> </w:t>
      </w:r>
    </w:p>
    <w:bookmarkStart w:id="5" w:name="_Toc399945817" w:displacedByCustomXml="next"/>
    <w:bookmarkStart w:id="6" w:name="_Toc365036324" w:displacedByCustomXml="next"/>
    <w:sdt>
      <w:sdtPr>
        <w:rPr>
          <w:rFonts w:eastAsiaTheme="minorHAnsi" w:cs="Arial"/>
          <w:b w:val="0"/>
          <w:bCs w:val="0"/>
          <w:sz w:val="22"/>
          <w:szCs w:val="24"/>
          <w:lang w:bidi="en-US"/>
        </w:rPr>
        <w:id w:val="727569818"/>
        <w:docPartObj>
          <w:docPartGallery w:val="Table of Contents"/>
          <w:docPartUnique/>
        </w:docPartObj>
      </w:sdtPr>
      <w:sdtEndPr>
        <w:rPr>
          <w:noProof/>
          <w:szCs w:val="22"/>
          <w:lang w:bidi="ar-SA"/>
        </w:rPr>
      </w:sdtEndPr>
      <w:sdtContent>
        <w:p w14:paraId="54C95534" w14:textId="77777777" w:rsidR="0014171C" w:rsidRPr="005C39EC" w:rsidRDefault="00B71490" w:rsidP="00127C9E">
          <w:pPr>
            <w:pStyle w:val="Heading1"/>
            <w:numPr>
              <w:ilvl w:val="0"/>
              <w:numId w:val="0"/>
            </w:numPr>
            <w:jc w:val="center"/>
            <w:rPr>
              <w:rFonts w:cs="Arial"/>
            </w:rPr>
          </w:pPr>
          <w:r w:rsidRPr="005C39EC">
            <w:rPr>
              <w:rFonts w:cs="Arial"/>
            </w:rPr>
            <w:t>Table of Contents</w:t>
          </w:r>
          <w:bookmarkEnd w:id="6"/>
          <w:bookmarkEnd w:id="5"/>
        </w:p>
        <w:p w14:paraId="338C8F40" w14:textId="77777777" w:rsidR="00714290" w:rsidRDefault="0014171C">
          <w:pPr>
            <w:pStyle w:val="TOC1"/>
            <w:tabs>
              <w:tab w:val="right" w:leader="dot" w:pos="9016"/>
            </w:tabs>
            <w:rPr>
              <w:rFonts w:eastAsiaTheme="minorEastAsia" w:cstheme="minorBidi"/>
              <w:b w:val="0"/>
              <w:bCs w:val="0"/>
              <w:caps w:val="0"/>
              <w:noProof/>
              <w:sz w:val="22"/>
              <w:szCs w:val="22"/>
              <w:lang w:eastAsia="en-GB"/>
            </w:rPr>
          </w:pPr>
          <w:r w:rsidRPr="005C39EC">
            <w:rPr>
              <w:rFonts w:ascii="Arial" w:hAnsi="Arial" w:cs="Arial"/>
              <w:caps w:val="0"/>
              <w:noProof/>
              <w:sz w:val="22"/>
              <w:szCs w:val="24"/>
            </w:rPr>
            <w:fldChar w:fldCharType="begin"/>
          </w:r>
          <w:r w:rsidRPr="005C39EC">
            <w:rPr>
              <w:rFonts w:ascii="Arial" w:hAnsi="Arial" w:cs="Arial"/>
            </w:rPr>
            <w:instrText xml:space="preserve"> TOC \o "1-3" \h \z \u </w:instrText>
          </w:r>
          <w:r w:rsidRPr="005C39EC">
            <w:rPr>
              <w:rFonts w:ascii="Arial" w:hAnsi="Arial" w:cs="Arial"/>
              <w:caps w:val="0"/>
              <w:noProof/>
              <w:sz w:val="22"/>
              <w:szCs w:val="24"/>
            </w:rPr>
            <w:fldChar w:fldCharType="separate"/>
          </w:r>
          <w:hyperlink w:anchor="_Toc399945816" w:history="1">
            <w:r w:rsidR="00714290" w:rsidRPr="00961E5C">
              <w:rPr>
                <w:rStyle w:val="Hyperlink"/>
                <w:rFonts w:cs="Arial"/>
                <w:noProof/>
              </w:rPr>
              <w:t>Executive summary</w:t>
            </w:r>
            <w:r w:rsidR="00714290">
              <w:rPr>
                <w:noProof/>
                <w:webHidden/>
              </w:rPr>
              <w:tab/>
            </w:r>
            <w:r w:rsidR="00714290">
              <w:rPr>
                <w:noProof/>
                <w:webHidden/>
              </w:rPr>
              <w:fldChar w:fldCharType="begin"/>
            </w:r>
            <w:r w:rsidR="00714290">
              <w:rPr>
                <w:noProof/>
                <w:webHidden/>
              </w:rPr>
              <w:instrText xml:space="preserve"> PAGEREF _Toc399945816 \h </w:instrText>
            </w:r>
            <w:r w:rsidR="00714290">
              <w:rPr>
                <w:noProof/>
                <w:webHidden/>
              </w:rPr>
            </w:r>
            <w:r w:rsidR="00714290">
              <w:rPr>
                <w:noProof/>
                <w:webHidden/>
              </w:rPr>
              <w:fldChar w:fldCharType="separate"/>
            </w:r>
            <w:r w:rsidR="006E675E">
              <w:rPr>
                <w:noProof/>
                <w:webHidden/>
              </w:rPr>
              <w:t>1</w:t>
            </w:r>
            <w:r w:rsidR="00714290">
              <w:rPr>
                <w:noProof/>
                <w:webHidden/>
              </w:rPr>
              <w:fldChar w:fldCharType="end"/>
            </w:r>
          </w:hyperlink>
        </w:p>
        <w:p w14:paraId="32604D76" w14:textId="77777777" w:rsidR="00714290" w:rsidRDefault="006E675E">
          <w:pPr>
            <w:pStyle w:val="TOC1"/>
            <w:tabs>
              <w:tab w:val="right" w:leader="dot" w:pos="9016"/>
            </w:tabs>
            <w:rPr>
              <w:rFonts w:eastAsiaTheme="minorEastAsia" w:cstheme="minorBidi"/>
              <w:b w:val="0"/>
              <w:bCs w:val="0"/>
              <w:caps w:val="0"/>
              <w:noProof/>
              <w:sz w:val="22"/>
              <w:szCs w:val="22"/>
              <w:lang w:eastAsia="en-GB"/>
            </w:rPr>
          </w:pPr>
          <w:hyperlink w:anchor="_Toc399945817" w:history="1">
            <w:r w:rsidR="00714290" w:rsidRPr="00961E5C">
              <w:rPr>
                <w:rStyle w:val="Hyperlink"/>
                <w:rFonts w:cs="Arial"/>
                <w:noProof/>
              </w:rPr>
              <w:t>Table of Contents</w:t>
            </w:r>
            <w:r w:rsidR="00714290">
              <w:rPr>
                <w:noProof/>
                <w:webHidden/>
              </w:rPr>
              <w:tab/>
            </w:r>
            <w:r w:rsidR="00714290">
              <w:rPr>
                <w:noProof/>
                <w:webHidden/>
              </w:rPr>
              <w:fldChar w:fldCharType="begin"/>
            </w:r>
            <w:r w:rsidR="00714290">
              <w:rPr>
                <w:noProof/>
                <w:webHidden/>
              </w:rPr>
              <w:instrText xml:space="preserve"> PAGEREF _Toc399945817 \h </w:instrText>
            </w:r>
            <w:r w:rsidR="00714290">
              <w:rPr>
                <w:noProof/>
                <w:webHidden/>
              </w:rPr>
            </w:r>
            <w:r w:rsidR="00714290">
              <w:rPr>
                <w:noProof/>
                <w:webHidden/>
              </w:rPr>
              <w:fldChar w:fldCharType="separate"/>
            </w:r>
            <w:r>
              <w:rPr>
                <w:noProof/>
                <w:webHidden/>
              </w:rPr>
              <w:t>3</w:t>
            </w:r>
            <w:r w:rsidR="00714290">
              <w:rPr>
                <w:noProof/>
                <w:webHidden/>
              </w:rPr>
              <w:fldChar w:fldCharType="end"/>
            </w:r>
          </w:hyperlink>
        </w:p>
        <w:p w14:paraId="33887F16" w14:textId="77777777" w:rsidR="00714290" w:rsidRDefault="006E675E">
          <w:pPr>
            <w:pStyle w:val="TOC1"/>
            <w:tabs>
              <w:tab w:val="left" w:pos="440"/>
              <w:tab w:val="right" w:leader="dot" w:pos="9016"/>
            </w:tabs>
            <w:rPr>
              <w:rFonts w:eastAsiaTheme="minorEastAsia" w:cstheme="minorBidi"/>
              <w:b w:val="0"/>
              <w:bCs w:val="0"/>
              <w:caps w:val="0"/>
              <w:noProof/>
              <w:sz w:val="22"/>
              <w:szCs w:val="22"/>
              <w:lang w:eastAsia="en-GB"/>
            </w:rPr>
          </w:pPr>
          <w:hyperlink w:anchor="_Toc399945818" w:history="1">
            <w:r w:rsidR="00714290" w:rsidRPr="00961E5C">
              <w:rPr>
                <w:rStyle w:val="Hyperlink"/>
                <w:rFonts w:cs="Arial"/>
                <w:noProof/>
                <w14:scene3d>
                  <w14:camera w14:prst="orthographicFront"/>
                  <w14:lightRig w14:rig="threePt" w14:dir="t">
                    <w14:rot w14:lat="0" w14:lon="0" w14:rev="0"/>
                  </w14:lightRig>
                </w14:scene3d>
              </w:rPr>
              <w:t>1</w:t>
            </w:r>
            <w:r w:rsidR="00714290">
              <w:rPr>
                <w:rFonts w:eastAsiaTheme="minorEastAsia" w:cstheme="minorBidi"/>
                <w:b w:val="0"/>
                <w:bCs w:val="0"/>
                <w:caps w:val="0"/>
                <w:noProof/>
                <w:sz w:val="22"/>
                <w:szCs w:val="22"/>
                <w:lang w:eastAsia="en-GB"/>
              </w:rPr>
              <w:tab/>
            </w:r>
            <w:r w:rsidR="00714290" w:rsidRPr="00961E5C">
              <w:rPr>
                <w:rStyle w:val="Hyperlink"/>
                <w:rFonts w:cs="Arial"/>
                <w:noProof/>
              </w:rPr>
              <w:t>Introduction</w:t>
            </w:r>
            <w:r w:rsidR="00714290">
              <w:rPr>
                <w:noProof/>
                <w:webHidden/>
              </w:rPr>
              <w:tab/>
            </w:r>
            <w:r w:rsidR="00714290">
              <w:rPr>
                <w:noProof/>
                <w:webHidden/>
              </w:rPr>
              <w:fldChar w:fldCharType="begin"/>
            </w:r>
            <w:r w:rsidR="00714290">
              <w:rPr>
                <w:noProof/>
                <w:webHidden/>
              </w:rPr>
              <w:instrText xml:space="preserve"> PAGEREF _Toc399945818 \h </w:instrText>
            </w:r>
            <w:r w:rsidR="00714290">
              <w:rPr>
                <w:noProof/>
                <w:webHidden/>
              </w:rPr>
            </w:r>
            <w:r w:rsidR="00714290">
              <w:rPr>
                <w:noProof/>
                <w:webHidden/>
              </w:rPr>
              <w:fldChar w:fldCharType="separate"/>
            </w:r>
            <w:r>
              <w:rPr>
                <w:noProof/>
                <w:webHidden/>
              </w:rPr>
              <w:t>4</w:t>
            </w:r>
            <w:r w:rsidR="00714290">
              <w:rPr>
                <w:noProof/>
                <w:webHidden/>
              </w:rPr>
              <w:fldChar w:fldCharType="end"/>
            </w:r>
          </w:hyperlink>
        </w:p>
        <w:p w14:paraId="168032F4" w14:textId="77777777" w:rsidR="00714290" w:rsidRDefault="006E675E">
          <w:pPr>
            <w:pStyle w:val="TOC2"/>
            <w:rPr>
              <w:rFonts w:eastAsiaTheme="minorEastAsia" w:cstheme="minorBidi"/>
              <w:smallCaps w:val="0"/>
              <w:noProof/>
              <w:sz w:val="22"/>
              <w:szCs w:val="22"/>
              <w:lang w:eastAsia="en-GB"/>
            </w:rPr>
          </w:pPr>
          <w:hyperlink w:anchor="_Toc399945819" w:history="1">
            <w:r w:rsidR="00714290" w:rsidRPr="00961E5C">
              <w:rPr>
                <w:rStyle w:val="Hyperlink"/>
                <w:noProof/>
              </w:rPr>
              <w:t xml:space="preserve">1.1 </w:t>
            </w:r>
            <w:r w:rsidR="00714290">
              <w:rPr>
                <w:rFonts w:eastAsiaTheme="minorEastAsia" w:cstheme="minorBidi"/>
                <w:smallCaps w:val="0"/>
                <w:noProof/>
                <w:sz w:val="22"/>
                <w:szCs w:val="22"/>
                <w:lang w:eastAsia="en-GB"/>
              </w:rPr>
              <w:tab/>
            </w:r>
            <w:r w:rsidR="00714290" w:rsidRPr="00961E5C">
              <w:rPr>
                <w:rStyle w:val="Hyperlink"/>
                <w:noProof/>
              </w:rPr>
              <w:t>Objective of the assessment</w:t>
            </w:r>
            <w:r w:rsidR="00714290">
              <w:rPr>
                <w:noProof/>
                <w:webHidden/>
              </w:rPr>
              <w:tab/>
            </w:r>
            <w:r w:rsidR="00714290">
              <w:rPr>
                <w:noProof/>
                <w:webHidden/>
              </w:rPr>
              <w:fldChar w:fldCharType="begin"/>
            </w:r>
            <w:r w:rsidR="00714290">
              <w:rPr>
                <w:noProof/>
                <w:webHidden/>
              </w:rPr>
              <w:instrText xml:space="preserve"> PAGEREF _Toc399945819 \h </w:instrText>
            </w:r>
            <w:r w:rsidR="00714290">
              <w:rPr>
                <w:noProof/>
                <w:webHidden/>
              </w:rPr>
            </w:r>
            <w:r w:rsidR="00714290">
              <w:rPr>
                <w:noProof/>
                <w:webHidden/>
              </w:rPr>
              <w:fldChar w:fldCharType="separate"/>
            </w:r>
            <w:r>
              <w:rPr>
                <w:noProof/>
                <w:webHidden/>
              </w:rPr>
              <w:t>4</w:t>
            </w:r>
            <w:r w:rsidR="00714290">
              <w:rPr>
                <w:noProof/>
                <w:webHidden/>
              </w:rPr>
              <w:fldChar w:fldCharType="end"/>
            </w:r>
          </w:hyperlink>
        </w:p>
        <w:p w14:paraId="4F2F8AD0" w14:textId="77777777" w:rsidR="00714290" w:rsidRDefault="006E675E">
          <w:pPr>
            <w:pStyle w:val="TOC2"/>
            <w:rPr>
              <w:rFonts w:eastAsiaTheme="minorEastAsia" w:cstheme="minorBidi"/>
              <w:smallCaps w:val="0"/>
              <w:noProof/>
              <w:sz w:val="22"/>
              <w:szCs w:val="22"/>
              <w:lang w:eastAsia="en-GB"/>
            </w:rPr>
          </w:pPr>
          <w:hyperlink w:anchor="_Toc399945820" w:history="1">
            <w:r w:rsidR="00714290" w:rsidRPr="00961E5C">
              <w:rPr>
                <w:rStyle w:val="Hyperlink"/>
                <w:noProof/>
              </w:rPr>
              <w:t>1.2</w:t>
            </w:r>
            <w:r w:rsidR="00714290">
              <w:rPr>
                <w:rFonts w:eastAsiaTheme="minorEastAsia" w:cstheme="minorBidi"/>
                <w:smallCaps w:val="0"/>
                <w:noProof/>
                <w:sz w:val="22"/>
                <w:szCs w:val="22"/>
                <w:lang w:eastAsia="en-GB"/>
              </w:rPr>
              <w:tab/>
            </w:r>
            <w:r w:rsidR="00714290" w:rsidRPr="00961E5C">
              <w:rPr>
                <w:rStyle w:val="Hyperlink"/>
                <w:noProof/>
              </w:rPr>
              <w:t>Scope of the assessment</w:t>
            </w:r>
            <w:r w:rsidR="00714290">
              <w:rPr>
                <w:noProof/>
                <w:webHidden/>
              </w:rPr>
              <w:tab/>
            </w:r>
            <w:r w:rsidR="00714290">
              <w:rPr>
                <w:noProof/>
                <w:webHidden/>
              </w:rPr>
              <w:fldChar w:fldCharType="begin"/>
            </w:r>
            <w:r w:rsidR="00714290">
              <w:rPr>
                <w:noProof/>
                <w:webHidden/>
              </w:rPr>
              <w:instrText xml:space="preserve"> PAGEREF _Toc399945820 \h </w:instrText>
            </w:r>
            <w:r w:rsidR="00714290">
              <w:rPr>
                <w:noProof/>
                <w:webHidden/>
              </w:rPr>
            </w:r>
            <w:r w:rsidR="00714290">
              <w:rPr>
                <w:noProof/>
                <w:webHidden/>
              </w:rPr>
              <w:fldChar w:fldCharType="separate"/>
            </w:r>
            <w:r>
              <w:rPr>
                <w:noProof/>
                <w:webHidden/>
              </w:rPr>
              <w:t>4</w:t>
            </w:r>
            <w:r w:rsidR="00714290">
              <w:rPr>
                <w:noProof/>
                <w:webHidden/>
              </w:rPr>
              <w:fldChar w:fldCharType="end"/>
            </w:r>
          </w:hyperlink>
        </w:p>
        <w:p w14:paraId="6DED3509" w14:textId="77777777" w:rsidR="00714290" w:rsidRDefault="006E675E">
          <w:pPr>
            <w:pStyle w:val="TOC2"/>
            <w:rPr>
              <w:rFonts w:eastAsiaTheme="minorEastAsia" w:cstheme="minorBidi"/>
              <w:smallCaps w:val="0"/>
              <w:noProof/>
              <w:sz w:val="22"/>
              <w:szCs w:val="22"/>
              <w:lang w:eastAsia="en-GB"/>
            </w:rPr>
          </w:pPr>
          <w:hyperlink w:anchor="_Toc399945821" w:history="1">
            <w:r w:rsidR="00714290" w:rsidRPr="00961E5C">
              <w:rPr>
                <w:rStyle w:val="Hyperlink"/>
                <w:noProof/>
              </w:rPr>
              <w:t>1.3</w:t>
            </w:r>
            <w:r w:rsidR="00714290">
              <w:rPr>
                <w:rFonts w:eastAsiaTheme="minorEastAsia" w:cstheme="minorBidi"/>
                <w:smallCaps w:val="0"/>
                <w:noProof/>
                <w:sz w:val="22"/>
                <w:szCs w:val="22"/>
                <w:lang w:eastAsia="en-GB"/>
              </w:rPr>
              <w:tab/>
            </w:r>
            <w:r w:rsidR="00714290" w:rsidRPr="00961E5C">
              <w:rPr>
                <w:rStyle w:val="Hyperlink"/>
                <w:noProof/>
              </w:rPr>
              <w:t>Risk assessment questions</w:t>
            </w:r>
            <w:r w:rsidR="00714290">
              <w:rPr>
                <w:noProof/>
                <w:webHidden/>
              </w:rPr>
              <w:tab/>
            </w:r>
            <w:r w:rsidR="00714290">
              <w:rPr>
                <w:noProof/>
                <w:webHidden/>
              </w:rPr>
              <w:fldChar w:fldCharType="begin"/>
            </w:r>
            <w:r w:rsidR="00714290">
              <w:rPr>
                <w:noProof/>
                <w:webHidden/>
              </w:rPr>
              <w:instrText xml:space="preserve"> PAGEREF _Toc399945821 \h </w:instrText>
            </w:r>
            <w:r w:rsidR="00714290">
              <w:rPr>
                <w:noProof/>
                <w:webHidden/>
              </w:rPr>
            </w:r>
            <w:r w:rsidR="00714290">
              <w:rPr>
                <w:noProof/>
                <w:webHidden/>
              </w:rPr>
              <w:fldChar w:fldCharType="separate"/>
            </w:r>
            <w:r>
              <w:rPr>
                <w:noProof/>
                <w:webHidden/>
              </w:rPr>
              <w:t>5</w:t>
            </w:r>
            <w:r w:rsidR="00714290">
              <w:rPr>
                <w:noProof/>
                <w:webHidden/>
              </w:rPr>
              <w:fldChar w:fldCharType="end"/>
            </w:r>
          </w:hyperlink>
        </w:p>
        <w:p w14:paraId="4018948E" w14:textId="77777777" w:rsidR="00714290" w:rsidRDefault="006E675E">
          <w:pPr>
            <w:pStyle w:val="TOC2"/>
            <w:rPr>
              <w:rFonts w:eastAsiaTheme="minorEastAsia" w:cstheme="minorBidi"/>
              <w:smallCaps w:val="0"/>
              <w:noProof/>
              <w:sz w:val="22"/>
              <w:szCs w:val="22"/>
              <w:lang w:eastAsia="en-GB"/>
            </w:rPr>
          </w:pPr>
          <w:hyperlink w:anchor="_Toc399945822" w:history="1">
            <w:r w:rsidR="00714290" w:rsidRPr="00961E5C">
              <w:rPr>
                <w:rStyle w:val="Hyperlink"/>
                <w:noProof/>
              </w:rPr>
              <w:t>1.4</w:t>
            </w:r>
            <w:r w:rsidR="00714290">
              <w:rPr>
                <w:rFonts w:eastAsiaTheme="minorEastAsia" w:cstheme="minorBidi"/>
                <w:smallCaps w:val="0"/>
                <w:noProof/>
                <w:sz w:val="22"/>
                <w:szCs w:val="22"/>
                <w:lang w:eastAsia="en-GB"/>
              </w:rPr>
              <w:tab/>
            </w:r>
            <w:r w:rsidR="00714290" w:rsidRPr="00961E5C">
              <w:rPr>
                <w:rStyle w:val="Hyperlink"/>
                <w:noProof/>
              </w:rPr>
              <w:t>Definitions</w:t>
            </w:r>
            <w:r w:rsidR="00714290">
              <w:rPr>
                <w:noProof/>
                <w:webHidden/>
              </w:rPr>
              <w:tab/>
            </w:r>
            <w:r w:rsidR="00714290">
              <w:rPr>
                <w:noProof/>
                <w:webHidden/>
              </w:rPr>
              <w:fldChar w:fldCharType="begin"/>
            </w:r>
            <w:r w:rsidR="00714290">
              <w:rPr>
                <w:noProof/>
                <w:webHidden/>
              </w:rPr>
              <w:instrText xml:space="preserve"> PAGEREF _Toc399945822 \h </w:instrText>
            </w:r>
            <w:r w:rsidR="00714290">
              <w:rPr>
                <w:noProof/>
                <w:webHidden/>
              </w:rPr>
            </w:r>
            <w:r w:rsidR="00714290">
              <w:rPr>
                <w:noProof/>
                <w:webHidden/>
              </w:rPr>
              <w:fldChar w:fldCharType="separate"/>
            </w:r>
            <w:r>
              <w:rPr>
                <w:noProof/>
                <w:webHidden/>
              </w:rPr>
              <w:t>5</w:t>
            </w:r>
            <w:r w:rsidR="00714290">
              <w:rPr>
                <w:noProof/>
                <w:webHidden/>
              </w:rPr>
              <w:fldChar w:fldCharType="end"/>
            </w:r>
          </w:hyperlink>
        </w:p>
        <w:p w14:paraId="0A07CFD9" w14:textId="77777777" w:rsidR="00714290" w:rsidRDefault="006E675E">
          <w:pPr>
            <w:pStyle w:val="TOC1"/>
            <w:tabs>
              <w:tab w:val="left" w:pos="440"/>
              <w:tab w:val="right" w:leader="dot" w:pos="9016"/>
            </w:tabs>
            <w:rPr>
              <w:rFonts w:eastAsiaTheme="minorEastAsia" w:cstheme="minorBidi"/>
              <w:b w:val="0"/>
              <w:bCs w:val="0"/>
              <w:caps w:val="0"/>
              <w:noProof/>
              <w:sz w:val="22"/>
              <w:szCs w:val="22"/>
              <w:lang w:eastAsia="en-GB"/>
            </w:rPr>
          </w:pPr>
          <w:hyperlink w:anchor="_Toc399945823" w:history="1">
            <w:r w:rsidR="00714290" w:rsidRPr="00961E5C">
              <w:rPr>
                <w:rStyle w:val="Hyperlink"/>
                <w:rFonts w:cs="Arial"/>
                <w:noProof/>
                <w14:scene3d>
                  <w14:camera w14:prst="orthographicFront"/>
                  <w14:lightRig w14:rig="threePt" w14:dir="t">
                    <w14:rot w14:lat="0" w14:lon="0" w14:rev="0"/>
                  </w14:lightRig>
                </w14:scene3d>
              </w:rPr>
              <w:t>2</w:t>
            </w:r>
            <w:r w:rsidR="00714290">
              <w:rPr>
                <w:rFonts w:eastAsiaTheme="minorEastAsia" w:cstheme="minorBidi"/>
                <w:b w:val="0"/>
                <w:bCs w:val="0"/>
                <w:caps w:val="0"/>
                <w:noProof/>
                <w:sz w:val="22"/>
                <w:szCs w:val="22"/>
                <w:lang w:eastAsia="en-GB"/>
              </w:rPr>
              <w:tab/>
            </w:r>
            <w:r w:rsidR="00714290" w:rsidRPr="00961E5C">
              <w:rPr>
                <w:rStyle w:val="Hyperlink"/>
                <w:rFonts w:cs="Arial"/>
                <w:noProof/>
              </w:rPr>
              <w:t>Background to this risk assessment</w:t>
            </w:r>
            <w:r w:rsidR="00714290">
              <w:rPr>
                <w:noProof/>
                <w:webHidden/>
              </w:rPr>
              <w:tab/>
            </w:r>
            <w:r w:rsidR="00714290">
              <w:rPr>
                <w:noProof/>
                <w:webHidden/>
              </w:rPr>
              <w:fldChar w:fldCharType="begin"/>
            </w:r>
            <w:r w:rsidR="00714290">
              <w:rPr>
                <w:noProof/>
                <w:webHidden/>
              </w:rPr>
              <w:instrText xml:space="preserve"> PAGEREF _Toc399945823 \h </w:instrText>
            </w:r>
            <w:r w:rsidR="00714290">
              <w:rPr>
                <w:noProof/>
                <w:webHidden/>
              </w:rPr>
            </w:r>
            <w:r w:rsidR="00714290">
              <w:rPr>
                <w:noProof/>
                <w:webHidden/>
              </w:rPr>
              <w:fldChar w:fldCharType="separate"/>
            </w:r>
            <w:r>
              <w:rPr>
                <w:noProof/>
                <w:webHidden/>
              </w:rPr>
              <w:t>5</w:t>
            </w:r>
            <w:r w:rsidR="00714290">
              <w:rPr>
                <w:noProof/>
                <w:webHidden/>
              </w:rPr>
              <w:fldChar w:fldCharType="end"/>
            </w:r>
          </w:hyperlink>
        </w:p>
        <w:p w14:paraId="68BD7D83" w14:textId="77777777" w:rsidR="00714290" w:rsidRDefault="006E675E">
          <w:pPr>
            <w:pStyle w:val="TOC2"/>
            <w:rPr>
              <w:rFonts w:eastAsiaTheme="minorEastAsia" w:cstheme="minorBidi"/>
              <w:smallCaps w:val="0"/>
              <w:noProof/>
              <w:sz w:val="22"/>
              <w:szCs w:val="22"/>
              <w:lang w:eastAsia="en-GB"/>
            </w:rPr>
          </w:pPr>
          <w:hyperlink w:anchor="_Toc399945824" w:history="1">
            <w:r w:rsidR="00714290" w:rsidRPr="00961E5C">
              <w:rPr>
                <w:rStyle w:val="Hyperlink"/>
                <w:noProof/>
              </w:rPr>
              <w:t>2.1</w:t>
            </w:r>
            <w:r w:rsidR="00714290">
              <w:rPr>
                <w:rFonts w:eastAsiaTheme="minorEastAsia" w:cstheme="minorBidi"/>
                <w:smallCaps w:val="0"/>
                <w:noProof/>
                <w:sz w:val="22"/>
                <w:szCs w:val="22"/>
                <w:lang w:eastAsia="en-GB"/>
              </w:rPr>
              <w:tab/>
            </w:r>
            <w:r w:rsidR="00714290" w:rsidRPr="00961E5C">
              <w:rPr>
                <w:rStyle w:val="Hyperlink"/>
                <w:noProof/>
              </w:rPr>
              <w:t>Previous FSANZ assessment</w:t>
            </w:r>
            <w:r w:rsidR="00714290">
              <w:rPr>
                <w:noProof/>
                <w:webHidden/>
              </w:rPr>
              <w:tab/>
            </w:r>
            <w:r w:rsidR="00714290">
              <w:rPr>
                <w:noProof/>
                <w:webHidden/>
              </w:rPr>
              <w:fldChar w:fldCharType="begin"/>
            </w:r>
            <w:r w:rsidR="00714290">
              <w:rPr>
                <w:noProof/>
                <w:webHidden/>
              </w:rPr>
              <w:instrText xml:space="preserve"> PAGEREF _Toc399945824 \h </w:instrText>
            </w:r>
            <w:r w:rsidR="00714290">
              <w:rPr>
                <w:noProof/>
                <w:webHidden/>
              </w:rPr>
            </w:r>
            <w:r w:rsidR="00714290">
              <w:rPr>
                <w:noProof/>
                <w:webHidden/>
              </w:rPr>
              <w:fldChar w:fldCharType="separate"/>
            </w:r>
            <w:r>
              <w:rPr>
                <w:noProof/>
                <w:webHidden/>
              </w:rPr>
              <w:t>5</w:t>
            </w:r>
            <w:r w:rsidR="00714290">
              <w:rPr>
                <w:noProof/>
                <w:webHidden/>
              </w:rPr>
              <w:fldChar w:fldCharType="end"/>
            </w:r>
          </w:hyperlink>
        </w:p>
        <w:p w14:paraId="488507F2" w14:textId="77777777" w:rsidR="00714290" w:rsidRDefault="006E675E">
          <w:pPr>
            <w:pStyle w:val="TOC2"/>
            <w:rPr>
              <w:rFonts w:eastAsiaTheme="minorEastAsia" w:cstheme="minorBidi"/>
              <w:smallCaps w:val="0"/>
              <w:noProof/>
              <w:sz w:val="22"/>
              <w:szCs w:val="22"/>
              <w:lang w:eastAsia="en-GB"/>
            </w:rPr>
          </w:pPr>
          <w:hyperlink w:anchor="_Toc399945825" w:history="1">
            <w:r w:rsidR="00714290" w:rsidRPr="00961E5C">
              <w:rPr>
                <w:rStyle w:val="Hyperlink"/>
                <w:noProof/>
              </w:rPr>
              <w:t>2.2</w:t>
            </w:r>
            <w:r w:rsidR="00714290">
              <w:rPr>
                <w:rFonts w:eastAsiaTheme="minorEastAsia" w:cstheme="minorBidi"/>
                <w:smallCaps w:val="0"/>
                <w:noProof/>
                <w:sz w:val="22"/>
                <w:szCs w:val="22"/>
                <w:lang w:eastAsia="en-GB"/>
              </w:rPr>
              <w:tab/>
            </w:r>
            <w:r w:rsidR="00714290" w:rsidRPr="00961E5C">
              <w:rPr>
                <w:rStyle w:val="Hyperlink"/>
                <w:noProof/>
              </w:rPr>
              <w:t>Recommendations of expert panels and committees</w:t>
            </w:r>
            <w:r w:rsidR="00714290">
              <w:rPr>
                <w:noProof/>
                <w:webHidden/>
              </w:rPr>
              <w:tab/>
            </w:r>
            <w:r w:rsidR="00714290">
              <w:rPr>
                <w:noProof/>
                <w:webHidden/>
              </w:rPr>
              <w:fldChar w:fldCharType="begin"/>
            </w:r>
            <w:r w:rsidR="00714290">
              <w:rPr>
                <w:noProof/>
                <w:webHidden/>
              </w:rPr>
              <w:instrText xml:space="preserve"> PAGEREF _Toc399945825 \h </w:instrText>
            </w:r>
            <w:r w:rsidR="00714290">
              <w:rPr>
                <w:noProof/>
                <w:webHidden/>
              </w:rPr>
            </w:r>
            <w:r w:rsidR="00714290">
              <w:rPr>
                <w:noProof/>
                <w:webHidden/>
              </w:rPr>
              <w:fldChar w:fldCharType="separate"/>
            </w:r>
            <w:r>
              <w:rPr>
                <w:noProof/>
                <w:webHidden/>
              </w:rPr>
              <w:t>6</w:t>
            </w:r>
            <w:r w:rsidR="00714290">
              <w:rPr>
                <w:noProof/>
                <w:webHidden/>
              </w:rPr>
              <w:fldChar w:fldCharType="end"/>
            </w:r>
          </w:hyperlink>
        </w:p>
        <w:p w14:paraId="328EA455" w14:textId="77777777" w:rsidR="00714290" w:rsidRDefault="006E675E">
          <w:pPr>
            <w:pStyle w:val="TOC2"/>
            <w:rPr>
              <w:rFonts w:eastAsiaTheme="minorEastAsia" w:cstheme="minorBidi"/>
              <w:smallCaps w:val="0"/>
              <w:noProof/>
              <w:sz w:val="22"/>
              <w:szCs w:val="22"/>
              <w:lang w:eastAsia="en-GB"/>
            </w:rPr>
          </w:pPr>
          <w:hyperlink w:anchor="_Toc399945826" w:history="1">
            <w:r w:rsidR="00714290" w:rsidRPr="00961E5C">
              <w:rPr>
                <w:rStyle w:val="Hyperlink"/>
                <w:noProof/>
              </w:rPr>
              <w:t>2.3</w:t>
            </w:r>
            <w:r w:rsidR="00714290">
              <w:rPr>
                <w:rFonts w:eastAsiaTheme="minorEastAsia" w:cstheme="minorBidi"/>
                <w:smallCaps w:val="0"/>
                <w:noProof/>
                <w:sz w:val="22"/>
                <w:szCs w:val="22"/>
                <w:lang w:eastAsia="en-GB"/>
              </w:rPr>
              <w:tab/>
            </w:r>
            <w:r w:rsidR="00714290" w:rsidRPr="00961E5C">
              <w:rPr>
                <w:rStyle w:val="Hyperlink"/>
                <w:noProof/>
              </w:rPr>
              <w:t>Summary of health effects associated with timing of the introduction of solid foods</w:t>
            </w:r>
            <w:r w:rsidR="00714290">
              <w:rPr>
                <w:noProof/>
                <w:webHidden/>
              </w:rPr>
              <w:tab/>
            </w:r>
            <w:r w:rsidR="00714290">
              <w:rPr>
                <w:noProof/>
                <w:webHidden/>
              </w:rPr>
              <w:fldChar w:fldCharType="begin"/>
            </w:r>
            <w:r w:rsidR="00714290">
              <w:rPr>
                <w:noProof/>
                <w:webHidden/>
              </w:rPr>
              <w:instrText xml:space="preserve"> PAGEREF _Toc399945826 \h </w:instrText>
            </w:r>
            <w:r w:rsidR="00714290">
              <w:rPr>
                <w:noProof/>
                <w:webHidden/>
              </w:rPr>
            </w:r>
            <w:r w:rsidR="00714290">
              <w:rPr>
                <w:noProof/>
                <w:webHidden/>
              </w:rPr>
              <w:fldChar w:fldCharType="separate"/>
            </w:r>
            <w:r>
              <w:rPr>
                <w:noProof/>
                <w:webHidden/>
              </w:rPr>
              <w:t>7</w:t>
            </w:r>
            <w:r w:rsidR="00714290">
              <w:rPr>
                <w:noProof/>
                <w:webHidden/>
              </w:rPr>
              <w:fldChar w:fldCharType="end"/>
            </w:r>
          </w:hyperlink>
        </w:p>
        <w:p w14:paraId="25432D6B" w14:textId="77777777" w:rsidR="00714290" w:rsidRDefault="006E675E">
          <w:pPr>
            <w:pStyle w:val="TOC1"/>
            <w:tabs>
              <w:tab w:val="left" w:pos="440"/>
              <w:tab w:val="right" w:leader="dot" w:pos="9016"/>
            </w:tabs>
            <w:rPr>
              <w:rFonts w:eastAsiaTheme="minorEastAsia" w:cstheme="minorBidi"/>
              <w:b w:val="0"/>
              <w:bCs w:val="0"/>
              <w:caps w:val="0"/>
              <w:noProof/>
              <w:sz w:val="22"/>
              <w:szCs w:val="22"/>
              <w:lang w:eastAsia="en-GB"/>
            </w:rPr>
          </w:pPr>
          <w:hyperlink w:anchor="_Toc399945827" w:history="1">
            <w:r w:rsidR="00714290" w:rsidRPr="00961E5C">
              <w:rPr>
                <w:rStyle w:val="Hyperlink"/>
                <w:rFonts w:cs="Arial"/>
                <w:noProof/>
                <w14:scene3d>
                  <w14:camera w14:prst="orthographicFront"/>
                  <w14:lightRig w14:rig="threePt" w14:dir="t">
                    <w14:rot w14:lat="0" w14:lon="0" w14:rev="0"/>
                  </w14:lightRig>
                </w14:scene3d>
              </w:rPr>
              <w:t>3</w:t>
            </w:r>
            <w:r w:rsidR="00714290">
              <w:rPr>
                <w:rFonts w:eastAsiaTheme="minorEastAsia" w:cstheme="minorBidi"/>
                <w:b w:val="0"/>
                <w:bCs w:val="0"/>
                <w:caps w:val="0"/>
                <w:noProof/>
                <w:sz w:val="22"/>
                <w:szCs w:val="22"/>
                <w:lang w:eastAsia="en-GB"/>
              </w:rPr>
              <w:tab/>
            </w:r>
            <w:r w:rsidR="00714290" w:rsidRPr="00961E5C">
              <w:rPr>
                <w:rStyle w:val="Hyperlink"/>
                <w:rFonts w:cs="Arial"/>
                <w:noProof/>
              </w:rPr>
              <w:t>Solid food introduction and allergy</w:t>
            </w:r>
            <w:r w:rsidR="00714290">
              <w:rPr>
                <w:noProof/>
                <w:webHidden/>
              </w:rPr>
              <w:tab/>
            </w:r>
            <w:r w:rsidR="00714290">
              <w:rPr>
                <w:noProof/>
                <w:webHidden/>
              </w:rPr>
              <w:fldChar w:fldCharType="begin"/>
            </w:r>
            <w:r w:rsidR="00714290">
              <w:rPr>
                <w:noProof/>
                <w:webHidden/>
              </w:rPr>
              <w:instrText xml:space="preserve"> PAGEREF _Toc399945827 \h </w:instrText>
            </w:r>
            <w:r w:rsidR="00714290">
              <w:rPr>
                <w:noProof/>
                <w:webHidden/>
              </w:rPr>
            </w:r>
            <w:r w:rsidR="00714290">
              <w:rPr>
                <w:noProof/>
                <w:webHidden/>
              </w:rPr>
              <w:fldChar w:fldCharType="separate"/>
            </w:r>
            <w:r>
              <w:rPr>
                <w:noProof/>
                <w:webHidden/>
              </w:rPr>
              <w:t>9</w:t>
            </w:r>
            <w:r w:rsidR="00714290">
              <w:rPr>
                <w:noProof/>
                <w:webHidden/>
              </w:rPr>
              <w:fldChar w:fldCharType="end"/>
            </w:r>
          </w:hyperlink>
        </w:p>
        <w:p w14:paraId="1D3221DD" w14:textId="77777777" w:rsidR="00714290" w:rsidRDefault="006E675E">
          <w:pPr>
            <w:pStyle w:val="TOC2"/>
            <w:rPr>
              <w:rFonts w:eastAsiaTheme="minorEastAsia" w:cstheme="minorBidi"/>
              <w:smallCaps w:val="0"/>
              <w:noProof/>
              <w:sz w:val="22"/>
              <w:szCs w:val="22"/>
              <w:lang w:eastAsia="en-GB"/>
            </w:rPr>
          </w:pPr>
          <w:hyperlink w:anchor="_Toc399945828" w:history="1">
            <w:r w:rsidR="00714290" w:rsidRPr="00961E5C">
              <w:rPr>
                <w:rStyle w:val="Hyperlink"/>
                <w:noProof/>
              </w:rPr>
              <w:t>3.2</w:t>
            </w:r>
            <w:r w:rsidR="00714290">
              <w:rPr>
                <w:rFonts w:eastAsiaTheme="minorEastAsia" w:cstheme="minorBidi"/>
                <w:smallCaps w:val="0"/>
                <w:noProof/>
                <w:sz w:val="22"/>
                <w:szCs w:val="22"/>
                <w:lang w:eastAsia="en-GB"/>
              </w:rPr>
              <w:tab/>
            </w:r>
            <w:r w:rsidR="00714290" w:rsidRPr="00961E5C">
              <w:rPr>
                <w:rStyle w:val="Hyperlink"/>
                <w:noProof/>
              </w:rPr>
              <w:t>FSANZ analysis on the potential association between the age of solid food introduction and allergy</w:t>
            </w:r>
            <w:r w:rsidR="00714290">
              <w:rPr>
                <w:noProof/>
                <w:webHidden/>
              </w:rPr>
              <w:tab/>
            </w:r>
            <w:r w:rsidR="00714290">
              <w:rPr>
                <w:noProof/>
                <w:webHidden/>
              </w:rPr>
              <w:fldChar w:fldCharType="begin"/>
            </w:r>
            <w:r w:rsidR="00714290">
              <w:rPr>
                <w:noProof/>
                <w:webHidden/>
              </w:rPr>
              <w:instrText xml:space="preserve"> PAGEREF _Toc399945828 \h </w:instrText>
            </w:r>
            <w:r w:rsidR="00714290">
              <w:rPr>
                <w:noProof/>
                <w:webHidden/>
              </w:rPr>
            </w:r>
            <w:r w:rsidR="00714290">
              <w:rPr>
                <w:noProof/>
                <w:webHidden/>
              </w:rPr>
              <w:fldChar w:fldCharType="separate"/>
            </w:r>
            <w:r>
              <w:rPr>
                <w:noProof/>
                <w:webHidden/>
              </w:rPr>
              <w:t>10</w:t>
            </w:r>
            <w:r w:rsidR="00714290">
              <w:rPr>
                <w:noProof/>
                <w:webHidden/>
              </w:rPr>
              <w:fldChar w:fldCharType="end"/>
            </w:r>
          </w:hyperlink>
        </w:p>
        <w:p w14:paraId="2749D369" w14:textId="77777777" w:rsidR="00714290" w:rsidRDefault="006E675E">
          <w:pPr>
            <w:pStyle w:val="TOC2"/>
            <w:rPr>
              <w:rFonts w:eastAsiaTheme="minorEastAsia" w:cstheme="minorBidi"/>
              <w:smallCaps w:val="0"/>
              <w:noProof/>
              <w:sz w:val="22"/>
              <w:szCs w:val="22"/>
              <w:lang w:eastAsia="en-GB"/>
            </w:rPr>
          </w:pPr>
          <w:hyperlink w:anchor="_Toc399945829" w:history="1">
            <w:r w:rsidR="00714290" w:rsidRPr="00961E5C">
              <w:rPr>
                <w:rStyle w:val="Hyperlink"/>
                <w:noProof/>
              </w:rPr>
              <w:t>3.3</w:t>
            </w:r>
            <w:r w:rsidR="00714290">
              <w:rPr>
                <w:rFonts w:eastAsiaTheme="minorEastAsia" w:cstheme="minorBidi"/>
                <w:smallCaps w:val="0"/>
                <w:noProof/>
                <w:sz w:val="22"/>
                <w:szCs w:val="22"/>
                <w:lang w:eastAsia="en-GB"/>
              </w:rPr>
              <w:tab/>
            </w:r>
            <w:r w:rsidR="00714290" w:rsidRPr="00961E5C">
              <w:rPr>
                <w:rStyle w:val="Hyperlink"/>
                <w:noProof/>
              </w:rPr>
              <w:t>Studies currently under way (RCTs)</w:t>
            </w:r>
            <w:r w:rsidR="00714290">
              <w:rPr>
                <w:noProof/>
                <w:webHidden/>
              </w:rPr>
              <w:tab/>
            </w:r>
            <w:r w:rsidR="00714290">
              <w:rPr>
                <w:noProof/>
                <w:webHidden/>
              </w:rPr>
              <w:fldChar w:fldCharType="begin"/>
            </w:r>
            <w:r w:rsidR="00714290">
              <w:rPr>
                <w:noProof/>
                <w:webHidden/>
              </w:rPr>
              <w:instrText xml:space="preserve"> PAGEREF _Toc399945829 \h </w:instrText>
            </w:r>
            <w:r w:rsidR="00714290">
              <w:rPr>
                <w:noProof/>
                <w:webHidden/>
              </w:rPr>
            </w:r>
            <w:r w:rsidR="00714290">
              <w:rPr>
                <w:noProof/>
                <w:webHidden/>
              </w:rPr>
              <w:fldChar w:fldCharType="separate"/>
            </w:r>
            <w:r>
              <w:rPr>
                <w:noProof/>
                <w:webHidden/>
              </w:rPr>
              <w:t>13</w:t>
            </w:r>
            <w:r w:rsidR="00714290">
              <w:rPr>
                <w:noProof/>
                <w:webHidden/>
              </w:rPr>
              <w:fldChar w:fldCharType="end"/>
            </w:r>
          </w:hyperlink>
        </w:p>
        <w:p w14:paraId="5640187E" w14:textId="77777777" w:rsidR="00714290" w:rsidRDefault="006E675E">
          <w:pPr>
            <w:pStyle w:val="TOC2"/>
            <w:rPr>
              <w:rFonts w:eastAsiaTheme="minorEastAsia" w:cstheme="minorBidi"/>
              <w:smallCaps w:val="0"/>
              <w:noProof/>
              <w:sz w:val="22"/>
              <w:szCs w:val="22"/>
              <w:lang w:eastAsia="en-GB"/>
            </w:rPr>
          </w:pPr>
          <w:hyperlink w:anchor="_Toc399945830" w:history="1">
            <w:r w:rsidR="00714290" w:rsidRPr="00961E5C">
              <w:rPr>
                <w:rStyle w:val="Hyperlink"/>
                <w:noProof/>
              </w:rPr>
              <w:t>3.4</w:t>
            </w:r>
            <w:r w:rsidR="00714290">
              <w:rPr>
                <w:rFonts w:eastAsiaTheme="minorEastAsia" w:cstheme="minorBidi"/>
                <w:smallCaps w:val="0"/>
                <w:noProof/>
                <w:sz w:val="22"/>
                <w:szCs w:val="22"/>
                <w:lang w:eastAsia="en-GB"/>
              </w:rPr>
              <w:tab/>
            </w:r>
            <w:r w:rsidR="00714290" w:rsidRPr="00961E5C">
              <w:rPr>
                <w:rStyle w:val="Hyperlink"/>
                <w:noProof/>
              </w:rPr>
              <w:t>ASCIA recommendation on timing of solid food introduction</w:t>
            </w:r>
            <w:r w:rsidR="00714290">
              <w:rPr>
                <w:noProof/>
                <w:webHidden/>
              </w:rPr>
              <w:tab/>
            </w:r>
            <w:r w:rsidR="00714290">
              <w:rPr>
                <w:noProof/>
                <w:webHidden/>
              </w:rPr>
              <w:fldChar w:fldCharType="begin"/>
            </w:r>
            <w:r w:rsidR="00714290">
              <w:rPr>
                <w:noProof/>
                <w:webHidden/>
              </w:rPr>
              <w:instrText xml:space="preserve"> PAGEREF _Toc399945830 \h </w:instrText>
            </w:r>
            <w:r w:rsidR="00714290">
              <w:rPr>
                <w:noProof/>
                <w:webHidden/>
              </w:rPr>
            </w:r>
            <w:r w:rsidR="00714290">
              <w:rPr>
                <w:noProof/>
                <w:webHidden/>
              </w:rPr>
              <w:fldChar w:fldCharType="separate"/>
            </w:r>
            <w:r>
              <w:rPr>
                <w:noProof/>
                <w:webHidden/>
              </w:rPr>
              <w:t>13</w:t>
            </w:r>
            <w:r w:rsidR="00714290">
              <w:rPr>
                <w:noProof/>
                <w:webHidden/>
              </w:rPr>
              <w:fldChar w:fldCharType="end"/>
            </w:r>
          </w:hyperlink>
        </w:p>
        <w:p w14:paraId="73F88033" w14:textId="77777777" w:rsidR="00714290" w:rsidRDefault="006E675E">
          <w:pPr>
            <w:pStyle w:val="TOC2"/>
            <w:rPr>
              <w:rFonts w:eastAsiaTheme="minorEastAsia" w:cstheme="minorBidi"/>
              <w:smallCaps w:val="0"/>
              <w:noProof/>
              <w:sz w:val="22"/>
              <w:szCs w:val="22"/>
              <w:lang w:eastAsia="en-GB"/>
            </w:rPr>
          </w:pPr>
          <w:hyperlink w:anchor="_Toc399945831" w:history="1">
            <w:r w:rsidR="00714290" w:rsidRPr="00961E5C">
              <w:rPr>
                <w:rStyle w:val="Hyperlink"/>
                <w:noProof/>
              </w:rPr>
              <w:t>3.5</w:t>
            </w:r>
            <w:r w:rsidR="00714290">
              <w:rPr>
                <w:rFonts w:eastAsiaTheme="minorEastAsia" w:cstheme="minorBidi"/>
                <w:smallCaps w:val="0"/>
                <w:noProof/>
                <w:sz w:val="22"/>
                <w:szCs w:val="22"/>
                <w:lang w:eastAsia="en-GB"/>
              </w:rPr>
              <w:tab/>
            </w:r>
            <w:r w:rsidR="00714290" w:rsidRPr="00961E5C">
              <w:rPr>
                <w:rStyle w:val="Hyperlink"/>
                <w:noProof/>
              </w:rPr>
              <w:t>Prevalence of food-related allergy</w:t>
            </w:r>
            <w:r w:rsidR="00714290">
              <w:rPr>
                <w:noProof/>
                <w:webHidden/>
              </w:rPr>
              <w:tab/>
            </w:r>
            <w:r w:rsidR="00714290">
              <w:rPr>
                <w:noProof/>
                <w:webHidden/>
              </w:rPr>
              <w:fldChar w:fldCharType="begin"/>
            </w:r>
            <w:r w:rsidR="00714290">
              <w:rPr>
                <w:noProof/>
                <w:webHidden/>
              </w:rPr>
              <w:instrText xml:space="preserve"> PAGEREF _Toc399945831 \h </w:instrText>
            </w:r>
            <w:r w:rsidR="00714290">
              <w:rPr>
                <w:noProof/>
                <w:webHidden/>
              </w:rPr>
            </w:r>
            <w:r w:rsidR="00714290">
              <w:rPr>
                <w:noProof/>
                <w:webHidden/>
              </w:rPr>
              <w:fldChar w:fldCharType="separate"/>
            </w:r>
            <w:r>
              <w:rPr>
                <w:noProof/>
                <w:webHidden/>
              </w:rPr>
              <w:t>13</w:t>
            </w:r>
            <w:r w:rsidR="00714290">
              <w:rPr>
                <w:noProof/>
                <w:webHidden/>
              </w:rPr>
              <w:fldChar w:fldCharType="end"/>
            </w:r>
          </w:hyperlink>
        </w:p>
        <w:p w14:paraId="1F5B09FC" w14:textId="77777777" w:rsidR="00714290" w:rsidRDefault="006E675E">
          <w:pPr>
            <w:pStyle w:val="TOC2"/>
            <w:rPr>
              <w:rFonts w:eastAsiaTheme="minorEastAsia" w:cstheme="minorBidi"/>
              <w:smallCaps w:val="0"/>
              <w:noProof/>
              <w:sz w:val="22"/>
              <w:szCs w:val="22"/>
              <w:lang w:eastAsia="en-GB"/>
            </w:rPr>
          </w:pPr>
          <w:hyperlink w:anchor="_Toc399945832" w:history="1">
            <w:r w:rsidR="00714290" w:rsidRPr="00961E5C">
              <w:rPr>
                <w:rStyle w:val="Hyperlink"/>
                <w:noProof/>
              </w:rPr>
              <w:t>3.6</w:t>
            </w:r>
            <w:r w:rsidR="00714290">
              <w:rPr>
                <w:rFonts w:eastAsiaTheme="minorEastAsia" w:cstheme="minorBidi"/>
                <w:smallCaps w:val="0"/>
                <w:noProof/>
                <w:sz w:val="22"/>
                <w:szCs w:val="22"/>
                <w:lang w:eastAsia="en-GB"/>
              </w:rPr>
              <w:tab/>
            </w:r>
            <w:r w:rsidR="00714290" w:rsidRPr="00961E5C">
              <w:rPr>
                <w:rStyle w:val="Hyperlink"/>
                <w:noProof/>
              </w:rPr>
              <w:t>Summary</w:t>
            </w:r>
            <w:r w:rsidR="00714290">
              <w:rPr>
                <w:noProof/>
                <w:webHidden/>
              </w:rPr>
              <w:tab/>
            </w:r>
            <w:r w:rsidR="00714290">
              <w:rPr>
                <w:noProof/>
                <w:webHidden/>
              </w:rPr>
              <w:fldChar w:fldCharType="begin"/>
            </w:r>
            <w:r w:rsidR="00714290">
              <w:rPr>
                <w:noProof/>
                <w:webHidden/>
              </w:rPr>
              <w:instrText xml:space="preserve"> PAGEREF _Toc399945832 \h </w:instrText>
            </w:r>
            <w:r w:rsidR="00714290">
              <w:rPr>
                <w:noProof/>
                <w:webHidden/>
              </w:rPr>
            </w:r>
            <w:r w:rsidR="00714290">
              <w:rPr>
                <w:noProof/>
                <w:webHidden/>
              </w:rPr>
              <w:fldChar w:fldCharType="separate"/>
            </w:r>
            <w:r>
              <w:rPr>
                <w:noProof/>
                <w:webHidden/>
              </w:rPr>
              <w:t>14</w:t>
            </w:r>
            <w:r w:rsidR="00714290">
              <w:rPr>
                <w:noProof/>
                <w:webHidden/>
              </w:rPr>
              <w:fldChar w:fldCharType="end"/>
            </w:r>
          </w:hyperlink>
        </w:p>
        <w:p w14:paraId="029AB9C7" w14:textId="77777777" w:rsidR="00714290" w:rsidRDefault="006E675E">
          <w:pPr>
            <w:pStyle w:val="TOC1"/>
            <w:tabs>
              <w:tab w:val="left" w:pos="440"/>
              <w:tab w:val="right" w:leader="dot" w:pos="9016"/>
            </w:tabs>
            <w:rPr>
              <w:rFonts w:eastAsiaTheme="minorEastAsia" w:cstheme="minorBidi"/>
              <w:b w:val="0"/>
              <w:bCs w:val="0"/>
              <w:caps w:val="0"/>
              <w:noProof/>
              <w:sz w:val="22"/>
              <w:szCs w:val="22"/>
              <w:lang w:eastAsia="en-GB"/>
            </w:rPr>
          </w:pPr>
          <w:hyperlink w:anchor="_Toc399945833" w:history="1">
            <w:r w:rsidR="00714290" w:rsidRPr="00961E5C">
              <w:rPr>
                <w:rStyle w:val="Hyperlink"/>
                <w:rFonts w:cs="Arial"/>
                <w:noProof/>
                <w14:scene3d>
                  <w14:camera w14:prst="orthographicFront"/>
                  <w14:lightRig w14:rig="threePt" w14:dir="t">
                    <w14:rot w14:lat="0" w14:lon="0" w14:rev="0"/>
                  </w14:lightRig>
                </w14:scene3d>
              </w:rPr>
              <w:t>4</w:t>
            </w:r>
            <w:r w:rsidR="00714290">
              <w:rPr>
                <w:rFonts w:eastAsiaTheme="minorEastAsia" w:cstheme="minorBidi"/>
                <w:b w:val="0"/>
                <w:bCs w:val="0"/>
                <w:caps w:val="0"/>
                <w:noProof/>
                <w:sz w:val="22"/>
                <w:szCs w:val="22"/>
                <w:lang w:eastAsia="en-GB"/>
              </w:rPr>
              <w:tab/>
            </w:r>
            <w:r w:rsidR="00714290" w:rsidRPr="00961E5C">
              <w:rPr>
                <w:rStyle w:val="Hyperlink"/>
                <w:rFonts w:cs="Arial"/>
                <w:noProof/>
              </w:rPr>
              <w:t>Introduction of solids in Australia and New Zealand</w:t>
            </w:r>
            <w:r w:rsidR="00714290">
              <w:rPr>
                <w:noProof/>
                <w:webHidden/>
              </w:rPr>
              <w:tab/>
            </w:r>
            <w:r w:rsidR="00714290">
              <w:rPr>
                <w:noProof/>
                <w:webHidden/>
              </w:rPr>
              <w:fldChar w:fldCharType="begin"/>
            </w:r>
            <w:r w:rsidR="00714290">
              <w:rPr>
                <w:noProof/>
                <w:webHidden/>
              </w:rPr>
              <w:instrText xml:space="preserve"> PAGEREF _Toc399945833 \h </w:instrText>
            </w:r>
            <w:r w:rsidR="00714290">
              <w:rPr>
                <w:noProof/>
                <w:webHidden/>
              </w:rPr>
            </w:r>
            <w:r w:rsidR="00714290">
              <w:rPr>
                <w:noProof/>
                <w:webHidden/>
              </w:rPr>
              <w:fldChar w:fldCharType="separate"/>
            </w:r>
            <w:r>
              <w:rPr>
                <w:noProof/>
                <w:webHidden/>
              </w:rPr>
              <w:t>14</w:t>
            </w:r>
            <w:r w:rsidR="00714290">
              <w:rPr>
                <w:noProof/>
                <w:webHidden/>
              </w:rPr>
              <w:fldChar w:fldCharType="end"/>
            </w:r>
          </w:hyperlink>
        </w:p>
        <w:p w14:paraId="04D5C7BC" w14:textId="77777777" w:rsidR="00714290" w:rsidRDefault="006E675E">
          <w:pPr>
            <w:pStyle w:val="TOC2"/>
            <w:rPr>
              <w:rFonts w:eastAsiaTheme="minorEastAsia" w:cstheme="minorBidi"/>
              <w:smallCaps w:val="0"/>
              <w:noProof/>
              <w:sz w:val="22"/>
              <w:szCs w:val="22"/>
              <w:lang w:eastAsia="en-GB"/>
            </w:rPr>
          </w:pPr>
          <w:hyperlink w:anchor="_Toc399945834" w:history="1">
            <w:r w:rsidR="00714290" w:rsidRPr="00961E5C">
              <w:rPr>
                <w:rStyle w:val="Hyperlink"/>
                <w:noProof/>
              </w:rPr>
              <w:t xml:space="preserve">4.1 </w:t>
            </w:r>
            <w:r w:rsidR="00714290">
              <w:rPr>
                <w:rFonts w:eastAsiaTheme="minorEastAsia" w:cstheme="minorBidi"/>
                <w:smallCaps w:val="0"/>
                <w:noProof/>
                <w:sz w:val="22"/>
                <w:szCs w:val="22"/>
                <w:lang w:eastAsia="en-GB"/>
              </w:rPr>
              <w:tab/>
            </w:r>
            <w:r w:rsidR="00714290" w:rsidRPr="00961E5C">
              <w:rPr>
                <w:rStyle w:val="Hyperlink"/>
                <w:noProof/>
              </w:rPr>
              <w:t>New Zealand national data</w:t>
            </w:r>
            <w:r w:rsidR="00714290">
              <w:rPr>
                <w:noProof/>
                <w:webHidden/>
              </w:rPr>
              <w:tab/>
            </w:r>
            <w:r w:rsidR="00714290">
              <w:rPr>
                <w:noProof/>
                <w:webHidden/>
              </w:rPr>
              <w:fldChar w:fldCharType="begin"/>
            </w:r>
            <w:r w:rsidR="00714290">
              <w:rPr>
                <w:noProof/>
                <w:webHidden/>
              </w:rPr>
              <w:instrText xml:space="preserve"> PAGEREF _Toc399945834 \h </w:instrText>
            </w:r>
            <w:r w:rsidR="00714290">
              <w:rPr>
                <w:noProof/>
                <w:webHidden/>
              </w:rPr>
            </w:r>
            <w:r w:rsidR="00714290">
              <w:rPr>
                <w:noProof/>
                <w:webHidden/>
              </w:rPr>
              <w:fldChar w:fldCharType="separate"/>
            </w:r>
            <w:r>
              <w:rPr>
                <w:noProof/>
                <w:webHidden/>
              </w:rPr>
              <w:t>14</w:t>
            </w:r>
            <w:r w:rsidR="00714290">
              <w:rPr>
                <w:noProof/>
                <w:webHidden/>
              </w:rPr>
              <w:fldChar w:fldCharType="end"/>
            </w:r>
          </w:hyperlink>
        </w:p>
        <w:p w14:paraId="185C32DF" w14:textId="77777777" w:rsidR="00714290" w:rsidRDefault="006E675E">
          <w:pPr>
            <w:pStyle w:val="TOC2"/>
            <w:rPr>
              <w:rFonts w:eastAsiaTheme="minorEastAsia" w:cstheme="minorBidi"/>
              <w:smallCaps w:val="0"/>
              <w:noProof/>
              <w:sz w:val="22"/>
              <w:szCs w:val="22"/>
              <w:lang w:eastAsia="en-GB"/>
            </w:rPr>
          </w:pPr>
          <w:hyperlink w:anchor="_Toc399945835" w:history="1">
            <w:r w:rsidR="00714290" w:rsidRPr="00961E5C">
              <w:rPr>
                <w:rStyle w:val="Hyperlink"/>
                <w:noProof/>
              </w:rPr>
              <w:t>4.2</w:t>
            </w:r>
            <w:r w:rsidR="00714290">
              <w:rPr>
                <w:rFonts w:eastAsiaTheme="minorEastAsia" w:cstheme="minorBidi"/>
                <w:smallCaps w:val="0"/>
                <w:noProof/>
                <w:sz w:val="22"/>
                <w:szCs w:val="22"/>
                <w:lang w:eastAsia="en-GB"/>
              </w:rPr>
              <w:tab/>
            </w:r>
            <w:r w:rsidR="00714290" w:rsidRPr="00961E5C">
              <w:rPr>
                <w:rStyle w:val="Hyperlink"/>
                <w:noProof/>
              </w:rPr>
              <w:t>Australian national data</w:t>
            </w:r>
            <w:r w:rsidR="00714290">
              <w:rPr>
                <w:noProof/>
                <w:webHidden/>
              </w:rPr>
              <w:tab/>
            </w:r>
            <w:r w:rsidR="00714290">
              <w:rPr>
                <w:noProof/>
                <w:webHidden/>
              </w:rPr>
              <w:fldChar w:fldCharType="begin"/>
            </w:r>
            <w:r w:rsidR="00714290">
              <w:rPr>
                <w:noProof/>
                <w:webHidden/>
              </w:rPr>
              <w:instrText xml:space="preserve"> PAGEREF _Toc399945835 \h </w:instrText>
            </w:r>
            <w:r w:rsidR="00714290">
              <w:rPr>
                <w:noProof/>
                <w:webHidden/>
              </w:rPr>
            </w:r>
            <w:r w:rsidR="00714290">
              <w:rPr>
                <w:noProof/>
                <w:webHidden/>
              </w:rPr>
              <w:fldChar w:fldCharType="separate"/>
            </w:r>
            <w:r>
              <w:rPr>
                <w:noProof/>
                <w:webHidden/>
              </w:rPr>
              <w:t>14</w:t>
            </w:r>
            <w:r w:rsidR="00714290">
              <w:rPr>
                <w:noProof/>
                <w:webHidden/>
              </w:rPr>
              <w:fldChar w:fldCharType="end"/>
            </w:r>
          </w:hyperlink>
        </w:p>
        <w:p w14:paraId="241848A2" w14:textId="77777777" w:rsidR="00714290" w:rsidRDefault="006E675E">
          <w:pPr>
            <w:pStyle w:val="TOC2"/>
            <w:rPr>
              <w:rFonts w:eastAsiaTheme="minorEastAsia" w:cstheme="minorBidi"/>
              <w:smallCaps w:val="0"/>
              <w:noProof/>
              <w:sz w:val="22"/>
              <w:szCs w:val="22"/>
              <w:lang w:eastAsia="en-GB"/>
            </w:rPr>
          </w:pPr>
          <w:hyperlink w:anchor="_Toc399945836" w:history="1">
            <w:r w:rsidR="00714290" w:rsidRPr="00961E5C">
              <w:rPr>
                <w:rStyle w:val="Hyperlink"/>
                <w:noProof/>
              </w:rPr>
              <w:t>4.3</w:t>
            </w:r>
            <w:r w:rsidR="00714290">
              <w:rPr>
                <w:rFonts w:eastAsiaTheme="minorEastAsia" w:cstheme="minorBidi"/>
                <w:smallCaps w:val="0"/>
                <w:noProof/>
                <w:sz w:val="22"/>
                <w:szCs w:val="22"/>
                <w:lang w:eastAsia="en-GB"/>
              </w:rPr>
              <w:tab/>
            </w:r>
            <w:r w:rsidR="00714290" w:rsidRPr="00961E5C">
              <w:rPr>
                <w:rStyle w:val="Hyperlink"/>
                <w:noProof/>
              </w:rPr>
              <w:t>Introduction of solids vs prevalence of breastfeeding</w:t>
            </w:r>
            <w:r w:rsidR="00714290">
              <w:rPr>
                <w:noProof/>
                <w:webHidden/>
              </w:rPr>
              <w:tab/>
            </w:r>
            <w:r w:rsidR="00714290">
              <w:rPr>
                <w:noProof/>
                <w:webHidden/>
              </w:rPr>
              <w:fldChar w:fldCharType="begin"/>
            </w:r>
            <w:r w:rsidR="00714290">
              <w:rPr>
                <w:noProof/>
                <w:webHidden/>
              </w:rPr>
              <w:instrText xml:space="preserve"> PAGEREF _Toc399945836 \h </w:instrText>
            </w:r>
            <w:r w:rsidR="00714290">
              <w:rPr>
                <w:noProof/>
                <w:webHidden/>
              </w:rPr>
            </w:r>
            <w:r w:rsidR="00714290">
              <w:rPr>
                <w:noProof/>
                <w:webHidden/>
              </w:rPr>
              <w:fldChar w:fldCharType="separate"/>
            </w:r>
            <w:r>
              <w:rPr>
                <w:noProof/>
                <w:webHidden/>
              </w:rPr>
              <w:t>16</w:t>
            </w:r>
            <w:r w:rsidR="00714290">
              <w:rPr>
                <w:noProof/>
                <w:webHidden/>
              </w:rPr>
              <w:fldChar w:fldCharType="end"/>
            </w:r>
          </w:hyperlink>
        </w:p>
        <w:p w14:paraId="52A746D6" w14:textId="77777777" w:rsidR="00714290" w:rsidRDefault="006E675E">
          <w:pPr>
            <w:pStyle w:val="TOC2"/>
            <w:rPr>
              <w:rFonts w:eastAsiaTheme="minorEastAsia" w:cstheme="minorBidi"/>
              <w:smallCaps w:val="0"/>
              <w:noProof/>
              <w:sz w:val="22"/>
              <w:szCs w:val="22"/>
              <w:lang w:eastAsia="en-GB"/>
            </w:rPr>
          </w:pPr>
          <w:hyperlink w:anchor="_Toc399945837" w:history="1">
            <w:r w:rsidR="00714290" w:rsidRPr="00961E5C">
              <w:rPr>
                <w:rStyle w:val="Hyperlink"/>
                <w:noProof/>
              </w:rPr>
              <w:t>4.4</w:t>
            </w:r>
            <w:r w:rsidR="00714290">
              <w:rPr>
                <w:rFonts w:eastAsiaTheme="minorEastAsia" w:cstheme="minorBidi"/>
                <w:smallCaps w:val="0"/>
                <w:noProof/>
                <w:sz w:val="22"/>
                <w:szCs w:val="22"/>
                <w:lang w:eastAsia="en-GB"/>
              </w:rPr>
              <w:tab/>
            </w:r>
            <w:r w:rsidR="00714290" w:rsidRPr="00961E5C">
              <w:rPr>
                <w:rStyle w:val="Hyperlink"/>
                <w:noProof/>
              </w:rPr>
              <w:t>Summary</w:t>
            </w:r>
            <w:r w:rsidR="00714290">
              <w:rPr>
                <w:noProof/>
                <w:webHidden/>
              </w:rPr>
              <w:tab/>
            </w:r>
            <w:r w:rsidR="00714290">
              <w:rPr>
                <w:noProof/>
                <w:webHidden/>
              </w:rPr>
              <w:fldChar w:fldCharType="begin"/>
            </w:r>
            <w:r w:rsidR="00714290">
              <w:rPr>
                <w:noProof/>
                <w:webHidden/>
              </w:rPr>
              <w:instrText xml:space="preserve"> PAGEREF _Toc399945837 \h </w:instrText>
            </w:r>
            <w:r w:rsidR="00714290">
              <w:rPr>
                <w:noProof/>
                <w:webHidden/>
              </w:rPr>
            </w:r>
            <w:r w:rsidR="00714290">
              <w:rPr>
                <w:noProof/>
                <w:webHidden/>
              </w:rPr>
              <w:fldChar w:fldCharType="separate"/>
            </w:r>
            <w:r>
              <w:rPr>
                <w:noProof/>
                <w:webHidden/>
              </w:rPr>
              <w:t>16</w:t>
            </w:r>
            <w:r w:rsidR="00714290">
              <w:rPr>
                <w:noProof/>
                <w:webHidden/>
              </w:rPr>
              <w:fldChar w:fldCharType="end"/>
            </w:r>
          </w:hyperlink>
        </w:p>
        <w:p w14:paraId="76555B30" w14:textId="77777777" w:rsidR="00714290" w:rsidRDefault="006E675E">
          <w:pPr>
            <w:pStyle w:val="TOC1"/>
            <w:tabs>
              <w:tab w:val="left" w:pos="440"/>
              <w:tab w:val="right" w:leader="dot" w:pos="9016"/>
            </w:tabs>
            <w:rPr>
              <w:rFonts w:eastAsiaTheme="minorEastAsia" w:cstheme="minorBidi"/>
              <w:b w:val="0"/>
              <w:bCs w:val="0"/>
              <w:caps w:val="0"/>
              <w:noProof/>
              <w:sz w:val="22"/>
              <w:szCs w:val="22"/>
              <w:lang w:eastAsia="en-GB"/>
            </w:rPr>
          </w:pPr>
          <w:hyperlink w:anchor="_Toc399945838" w:history="1">
            <w:r w:rsidR="00714290" w:rsidRPr="00961E5C">
              <w:rPr>
                <w:rStyle w:val="Hyperlink"/>
                <w:rFonts w:cs="Arial"/>
                <w:noProof/>
                <w14:scene3d>
                  <w14:camera w14:prst="orthographicFront"/>
                  <w14:lightRig w14:rig="threePt" w14:dir="t">
                    <w14:rot w14:lat="0" w14:lon="0" w14:rev="0"/>
                  </w14:lightRig>
                </w14:scene3d>
              </w:rPr>
              <w:t>5</w:t>
            </w:r>
            <w:r w:rsidR="00714290">
              <w:rPr>
                <w:rFonts w:eastAsiaTheme="minorEastAsia" w:cstheme="minorBidi"/>
                <w:b w:val="0"/>
                <w:bCs w:val="0"/>
                <w:caps w:val="0"/>
                <w:noProof/>
                <w:sz w:val="22"/>
                <w:szCs w:val="22"/>
                <w:lang w:eastAsia="en-GB"/>
              </w:rPr>
              <w:tab/>
            </w:r>
            <w:r w:rsidR="00714290" w:rsidRPr="00961E5C">
              <w:rPr>
                <w:rStyle w:val="Hyperlink"/>
                <w:rFonts w:cs="Arial"/>
                <w:noProof/>
              </w:rPr>
              <w:t>Conclusions</w:t>
            </w:r>
            <w:r w:rsidR="00714290">
              <w:rPr>
                <w:noProof/>
                <w:webHidden/>
              </w:rPr>
              <w:tab/>
            </w:r>
            <w:r w:rsidR="00714290">
              <w:rPr>
                <w:noProof/>
                <w:webHidden/>
              </w:rPr>
              <w:fldChar w:fldCharType="begin"/>
            </w:r>
            <w:r w:rsidR="00714290">
              <w:rPr>
                <w:noProof/>
                <w:webHidden/>
              </w:rPr>
              <w:instrText xml:space="preserve"> PAGEREF _Toc399945838 \h </w:instrText>
            </w:r>
            <w:r w:rsidR="00714290">
              <w:rPr>
                <w:noProof/>
                <w:webHidden/>
              </w:rPr>
            </w:r>
            <w:r w:rsidR="00714290">
              <w:rPr>
                <w:noProof/>
                <w:webHidden/>
              </w:rPr>
              <w:fldChar w:fldCharType="separate"/>
            </w:r>
            <w:r>
              <w:rPr>
                <w:noProof/>
                <w:webHidden/>
              </w:rPr>
              <w:t>16</w:t>
            </w:r>
            <w:r w:rsidR="00714290">
              <w:rPr>
                <w:noProof/>
                <w:webHidden/>
              </w:rPr>
              <w:fldChar w:fldCharType="end"/>
            </w:r>
          </w:hyperlink>
        </w:p>
        <w:p w14:paraId="4398480F" w14:textId="77777777" w:rsidR="00714290" w:rsidRDefault="006E675E">
          <w:pPr>
            <w:pStyle w:val="TOC1"/>
            <w:tabs>
              <w:tab w:val="right" w:leader="dot" w:pos="9016"/>
            </w:tabs>
            <w:rPr>
              <w:rFonts w:eastAsiaTheme="minorEastAsia" w:cstheme="minorBidi"/>
              <w:b w:val="0"/>
              <w:bCs w:val="0"/>
              <w:caps w:val="0"/>
              <w:noProof/>
              <w:sz w:val="22"/>
              <w:szCs w:val="22"/>
              <w:lang w:eastAsia="en-GB"/>
            </w:rPr>
          </w:pPr>
          <w:hyperlink w:anchor="_Toc399945839" w:history="1">
            <w:r w:rsidR="00714290" w:rsidRPr="00961E5C">
              <w:rPr>
                <w:rStyle w:val="Hyperlink"/>
                <w:rFonts w:cs="Arial"/>
                <w:noProof/>
                <w:lang w:eastAsia="en-AU"/>
              </w:rPr>
              <w:t>Attachment 1: Health effects associated with age of complementary feeding</w:t>
            </w:r>
            <w:r w:rsidR="00714290">
              <w:rPr>
                <w:noProof/>
                <w:webHidden/>
              </w:rPr>
              <w:tab/>
            </w:r>
            <w:r w:rsidR="00714290">
              <w:rPr>
                <w:noProof/>
                <w:webHidden/>
              </w:rPr>
              <w:fldChar w:fldCharType="begin"/>
            </w:r>
            <w:r w:rsidR="00714290">
              <w:rPr>
                <w:noProof/>
                <w:webHidden/>
              </w:rPr>
              <w:instrText xml:space="preserve"> PAGEREF _Toc399945839 \h </w:instrText>
            </w:r>
            <w:r w:rsidR="00714290">
              <w:rPr>
                <w:noProof/>
                <w:webHidden/>
              </w:rPr>
            </w:r>
            <w:r w:rsidR="00714290">
              <w:rPr>
                <w:noProof/>
                <w:webHidden/>
              </w:rPr>
              <w:fldChar w:fldCharType="separate"/>
            </w:r>
            <w:r>
              <w:rPr>
                <w:noProof/>
                <w:webHidden/>
              </w:rPr>
              <w:t>17</w:t>
            </w:r>
            <w:r w:rsidR="00714290">
              <w:rPr>
                <w:noProof/>
                <w:webHidden/>
              </w:rPr>
              <w:fldChar w:fldCharType="end"/>
            </w:r>
          </w:hyperlink>
        </w:p>
        <w:p w14:paraId="44113872" w14:textId="77777777" w:rsidR="00714290" w:rsidRDefault="006E675E">
          <w:pPr>
            <w:pStyle w:val="TOC1"/>
            <w:tabs>
              <w:tab w:val="right" w:leader="dot" w:pos="9016"/>
            </w:tabs>
            <w:rPr>
              <w:rFonts w:eastAsiaTheme="minorEastAsia" w:cstheme="minorBidi"/>
              <w:b w:val="0"/>
              <w:bCs w:val="0"/>
              <w:caps w:val="0"/>
              <w:noProof/>
              <w:sz w:val="22"/>
              <w:szCs w:val="22"/>
              <w:lang w:eastAsia="en-GB"/>
            </w:rPr>
          </w:pPr>
          <w:hyperlink w:anchor="_Toc399945840" w:history="1">
            <w:r w:rsidR="00714290" w:rsidRPr="00961E5C">
              <w:rPr>
                <w:rStyle w:val="Hyperlink"/>
                <w:rFonts w:cs="Arial"/>
                <w:noProof/>
                <w:lang w:eastAsia="en-AU"/>
              </w:rPr>
              <w:t>Attachment 2: Allergy and association with age of complementary feeding</w:t>
            </w:r>
            <w:r w:rsidR="00714290">
              <w:rPr>
                <w:noProof/>
                <w:webHidden/>
              </w:rPr>
              <w:tab/>
            </w:r>
            <w:r w:rsidR="00714290">
              <w:rPr>
                <w:noProof/>
                <w:webHidden/>
              </w:rPr>
              <w:fldChar w:fldCharType="begin"/>
            </w:r>
            <w:r w:rsidR="00714290">
              <w:rPr>
                <w:noProof/>
                <w:webHidden/>
              </w:rPr>
              <w:instrText xml:space="preserve"> PAGEREF _Toc399945840 \h </w:instrText>
            </w:r>
            <w:r w:rsidR="00714290">
              <w:rPr>
                <w:noProof/>
                <w:webHidden/>
              </w:rPr>
            </w:r>
            <w:r w:rsidR="00714290">
              <w:rPr>
                <w:noProof/>
                <w:webHidden/>
              </w:rPr>
              <w:fldChar w:fldCharType="separate"/>
            </w:r>
            <w:r>
              <w:rPr>
                <w:noProof/>
                <w:webHidden/>
              </w:rPr>
              <w:t>20</w:t>
            </w:r>
            <w:r w:rsidR="00714290">
              <w:rPr>
                <w:noProof/>
                <w:webHidden/>
              </w:rPr>
              <w:fldChar w:fldCharType="end"/>
            </w:r>
          </w:hyperlink>
        </w:p>
        <w:p w14:paraId="63AF54D0" w14:textId="77777777" w:rsidR="00714290" w:rsidRDefault="006E675E">
          <w:pPr>
            <w:pStyle w:val="TOC1"/>
            <w:tabs>
              <w:tab w:val="right" w:leader="dot" w:pos="9016"/>
            </w:tabs>
            <w:rPr>
              <w:rFonts w:eastAsiaTheme="minorEastAsia" w:cstheme="minorBidi"/>
              <w:b w:val="0"/>
              <w:bCs w:val="0"/>
              <w:caps w:val="0"/>
              <w:noProof/>
              <w:sz w:val="22"/>
              <w:szCs w:val="22"/>
              <w:lang w:eastAsia="en-GB"/>
            </w:rPr>
          </w:pPr>
          <w:hyperlink w:anchor="_Toc399945841" w:history="1">
            <w:r w:rsidR="00714290" w:rsidRPr="00961E5C">
              <w:rPr>
                <w:rStyle w:val="Hyperlink"/>
                <w:rFonts w:cs="Arial"/>
                <w:noProof/>
              </w:rPr>
              <w:t>Attachment 3: Summary of issues considered in FSANZ risk assessments relating to the age of introduction of solid foods</w:t>
            </w:r>
            <w:r w:rsidR="00714290">
              <w:rPr>
                <w:noProof/>
                <w:webHidden/>
              </w:rPr>
              <w:tab/>
            </w:r>
            <w:r w:rsidR="00714290">
              <w:rPr>
                <w:noProof/>
                <w:webHidden/>
              </w:rPr>
              <w:fldChar w:fldCharType="begin"/>
            </w:r>
            <w:r w:rsidR="00714290">
              <w:rPr>
                <w:noProof/>
                <w:webHidden/>
              </w:rPr>
              <w:instrText xml:space="preserve"> PAGEREF _Toc399945841 \h </w:instrText>
            </w:r>
            <w:r w:rsidR="00714290">
              <w:rPr>
                <w:noProof/>
                <w:webHidden/>
              </w:rPr>
            </w:r>
            <w:r w:rsidR="00714290">
              <w:rPr>
                <w:noProof/>
                <w:webHidden/>
              </w:rPr>
              <w:fldChar w:fldCharType="separate"/>
            </w:r>
            <w:r>
              <w:rPr>
                <w:noProof/>
                <w:webHidden/>
              </w:rPr>
              <w:t>24</w:t>
            </w:r>
            <w:r w:rsidR="00714290">
              <w:rPr>
                <w:noProof/>
                <w:webHidden/>
              </w:rPr>
              <w:fldChar w:fldCharType="end"/>
            </w:r>
          </w:hyperlink>
        </w:p>
        <w:p w14:paraId="5855A2E0" w14:textId="77777777" w:rsidR="00714290" w:rsidRDefault="006E675E">
          <w:pPr>
            <w:pStyle w:val="TOC1"/>
            <w:tabs>
              <w:tab w:val="right" w:leader="dot" w:pos="9016"/>
            </w:tabs>
            <w:rPr>
              <w:rFonts w:eastAsiaTheme="minorEastAsia" w:cstheme="minorBidi"/>
              <w:b w:val="0"/>
              <w:bCs w:val="0"/>
              <w:caps w:val="0"/>
              <w:noProof/>
              <w:sz w:val="22"/>
              <w:szCs w:val="22"/>
              <w:lang w:eastAsia="en-GB"/>
            </w:rPr>
          </w:pPr>
          <w:hyperlink w:anchor="_Toc399945842" w:history="1">
            <w:r w:rsidR="00714290" w:rsidRPr="00961E5C">
              <w:rPr>
                <w:rStyle w:val="Hyperlink"/>
                <w:rFonts w:cs="Arial"/>
                <w:noProof/>
              </w:rPr>
              <w:t>Attachment 4: Basis of NHMRC guidelines for infant feeding</w:t>
            </w:r>
            <w:r w:rsidR="00714290">
              <w:rPr>
                <w:noProof/>
                <w:webHidden/>
              </w:rPr>
              <w:tab/>
            </w:r>
            <w:r w:rsidR="00714290">
              <w:rPr>
                <w:noProof/>
                <w:webHidden/>
              </w:rPr>
              <w:fldChar w:fldCharType="begin"/>
            </w:r>
            <w:r w:rsidR="00714290">
              <w:rPr>
                <w:noProof/>
                <w:webHidden/>
              </w:rPr>
              <w:instrText xml:space="preserve"> PAGEREF _Toc399945842 \h </w:instrText>
            </w:r>
            <w:r w:rsidR="00714290">
              <w:rPr>
                <w:noProof/>
                <w:webHidden/>
              </w:rPr>
            </w:r>
            <w:r w:rsidR="00714290">
              <w:rPr>
                <w:noProof/>
                <w:webHidden/>
              </w:rPr>
              <w:fldChar w:fldCharType="separate"/>
            </w:r>
            <w:r>
              <w:rPr>
                <w:noProof/>
                <w:webHidden/>
              </w:rPr>
              <w:t>27</w:t>
            </w:r>
            <w:r w:rsidR="00714290">
              <w:rPr>
                <w:noProof/>
                <w:webHidden/>
              </w:rPr>
              <w:fldChar w:fldCharType="end"/>
            </w:r>
          </w:hyperlink>
        </w:p>
        <w:p w14:paraId="68565A1E" w14:textId="77777777" w:rsidR="00714290" w:rsidRDefault="006E675E">
          <w:pPr>
            <w:pStyle w:val="TOC1"/>
            <w:tabs>
              <w:tab w:val="right" w:leader="dot" w:pos="9016"/>
            </w:tabs>
            <w:rPr>
              <w:rFonts w:eastAsiaTheme="minorEastAsia" w:cstheme="minorBidi"/>
              <w:b w:val="0"/>
              <w:bCs w:val="0"/>
              <w:caps w:val="0"/>
              <w:noProof/>
              <w:sz w:val="22"/>
              <w:szCs w:val="22"/>
              <w:lang w:eastAsia="en-GB"/>
            </w:rPr>
          </w:pPr>
          <w:hyperlink w:anchor="_Toc399945843" w:history="1">
            <w:r w:rsidR="00714290" w:rsidRPr="00961E5C">
              <w:rPr>
                <w:rStyle w:val="Hyperlink"/>
                <w:rFonts w:cs="Arial"/>
                <w:noProof/>
              </w:rPr>
              <w:t>References</w:t>
            </w:r>
            <w:r w:rsidR="00714290">
              <w:rPr>
                <w:noProof/>
                <w:webHidden/>
              </w:rPr>
              <w:tab/>
            </w:r>
            <w:r w:rsidR="00714290">
              <w:rPr>
                <w:noProof/>
                <w:webHidden/>
              </w:rPr>
              <w:fldChar w:fldCharType="begin"/>
            </w:r>
            <w:r w:rsidR="00714290">
              <w:rPr>
                <w:noProof/>
                <w:webHidden/>
              </w:rPr>
              <w:instrText xml:space="preserve"> PAGEREF _Toc399945843 \h </w:instrText>
            </w:r>
            <w:r w:rsidR="00714290">
              <w:rPr>
                <w:noProof/>
                <w:webHidden/>
              </w:rPr>
            </w:r>
            <w:r w:rsidR="00714290">
              <w:rPr>
                <w:noProof/>
                <w:webHidden/>
              </w:rPr>
              <w:fldChar w:fldCharType="separate"/>
            </w:r>
            <w:r>
              <w:rPr>
                <w:noProof/>
                <w:webHidden/>
              </w:rPr>
              <w:t>29</w:t>
            </w:r>
            <w:r w:rsidR="00714290">
              <w:rPr>
                <w:noProof/>
                <w:webHidden/>
              </w:rPr>
              <w:fldChar w:fldCharType="end"/>
            </w:r>
          </w:hyperlink>
        </w:p>
        <w:p w14:paraId="69B7B0D2" w14:textId="77777777" w:rsidR="0014171C" w:rsidRPr="005C39EC" w:rsidRDefault="0014171C" w:rsidP="00BE7858">
          <w:pPr>
            <w:rPr>
              <w:rFonts w:cs="Arial"/>
            </w:rPr>
          </w:pPr>
          <w:r w:rsidRPr="005C39EC">
            <w:rPr>
              <w:rFonts w:cs="Arial"/>
              <w:b/>
              <w:bCs/>
              <w:noProof/>
            </w:rPr>
            <w:fldChar w:fldCharType="end"/>
          </w:r>
        </w:p>
      </w:sdtContent>
    </w:sdt>
    <w:p w14:paraId="429FDCC1" w14:textId="77777777" w:rsidR="0014171C" w:rsidRPr="005C39EC" w:rsidRDefault="0014171C" w:rsidP="00BE7858">
      <w:pPr>
        <w:rPr>
          <w:rFonts w:cs="Arial"/>
        </w:rPr>
      </w:pPr>
      <w:r w:rsidRPr="005C39EC">
        <w:rPr>
          <w:rFonts w:cs="Arial"/>
        </w:rPr>
        <w:br w:type="page"/>
      </w:r>
    </w:p>
    <w:p w14:paraId="09E4B7A7" w14:textId="7890CF54" w:rsidR="0014171C" w:rsidRPr="005C39EC" w:rsidRDefault="0014171C" w:rsidP="00BE7858">
      <w:pPr>
        <w:pStyle w:val="Heading1"/>
        <w:numPr>
          <w:ilvl w:val="0"/>
          <w:numId w:val="11"/>
        </w:numPr>
        <w:ind w:left="567" w:hanging="567"/>
        <w:rPr>
          <w:rFonts w:cs="Arial"/>
        </w:rPr>
      </w:pPr>
      <w:bookmarkStart w:id="7" w:name="_Toc399945818"/>
      <w:r w:rsidRPr="005C39EC">
        <w:rPr>
          <w:rFonts w:cs="Arial"/>
        </w:rPr>
        <w:lastRenderedPageBreak/>
        <w:t>Introduction</w:t>
      </w:r>
      <w:bookmarkEnd w:id="7"/>
    </w:p>
    <w:p w14:paraId="2666257C" w14:textId="712F31D9" w:rsidR="0014171C" w:rsidRPr="005C39EC" w:rsidRDefault="0014171C" w:rsidP="00BE7858">
      <w:pPr>
        <w:rPr>
          <w:rFonts w:cs="Arial"/>
        </w:rPr>
      </w:pPr>
      <w:r w:rsidRPr="005C39EC">
        <w:rPr>
          <w:rFonts w:cs="Arial"/>
        </w:rPr>
        <w:t xml:space="preserve">Proposal P274 </w:t>
      </w:r>
      <w:r w:rsidR="00332AFD" w:rsidRPr="005C39EC">
        <w:rPr>
          <w:rFonts w:cs="Arial"/>
        </w:rPr>
        <w:t xml:space="preserve">– </w:t>
      </w:r>
      <w:r w:rsidRPr="005C39EC">
        <w:rPr>
          <w:rFonts w:cs="Arial"/>
        </w:rPr>
        <w:t xml:space="preserve">Review of Minimum Age Labelling of Foods for Infants concerns </w:t>
      </w:r>
      <w:r w:rsidR="000B2A29" w:rsidRPr="005C39EC">
        <w:rPr>
          <w:rFonts w:cs="Arial"/>
        </w:rPr>
        <w:t xml:space="preserve">a proposed </w:t>
      </w:r>
      <w:r w:rsidRPr="005C39EC">
        <w:rPr>
          <w:rFonts w:cs="Arial"/>
        </w:rPr>
        <w:t>amendment to Standard 2.9.2</w:t>
      </w:r>
      <w:r w:rsidR="002609FD" w:rsidRPr="005C39EC">
        <w:rPr>
          <w:rFonts w:cs="Arial"/>
        </w:rPr>
        <w:t xml:space="preserve"> – </w:t>
      </w:r>
      <w:r w:rsidRPr="005C39EC">
        <w:rPr>
          <w:rFonts w:cs="Arial"/>
        </w:rPr>
        <w:t xml:space="preserve">Foods for Infants </w:t>
      </w:r>
      <w:r w:rsidR="00135570" w:rsidRPr="005C39EC">
        <w:rPr>
          <w:rFonts w:cs="Arial"/>
        </w:rPr>
        <w:t xml:space="preserve">that sets </w:t>
      </w:r>
      <w:r w:rsidRPr="005C39EC">
        <w:rPr>
          <w:rFonts w:cs="Arial"/>
        </w:rPr>
        <w:t>the labelling requirements for solid foods intended for infants.</w:t>
      </w:r>
      <w:r w:rsidR="00F37DDB" w:rsidRPr="005C39EC">
        <w:rPr>
          <w:rFonts w:cs="Arial"/>
        </w:rPr>
        <w:t xml:space="preserve"> </w:t>
      </w:r>
    </w:p>
    <w:p w14:paraId="37B8D925" w14:textId="77777777" w:rsidR="0014171C" w:rsidRPr="005C39EC" w:rsidRDefault="0014171C" w:rsidP="00BE7858">
      <w:pPr>
        <w:rPr>
          <w:rFonts w:cs="Arial"/>
        </w:rPr>
      </w:pPr>
    </w:p>
    <w:p w14:paraId="496F24C7" w14:textId="0AEAF5DA" w:rsidR="0014171C" w:rsidRPr="005C39EC" w:rsidRDefault="0014171C" w:rsidP="00BE7858">
      <w:pPr>
        <w:rPr>
          <w:rFonts w:eastAsia="Arial Unicode MS" w:cs="Arial"/>
        </w:rPr>
      </w:pPr>
      <w:r w:rsidRPr="005C39EC">
        <w:rPr>
          <w:rFonts w:cs="Arial"/>
        </w:rPr>
        <w:t xml:space="preserve">The revised Australian Infant Feeding Guidelines, launched by the NHMRC in February 2013, recommended that solid foods be introduced to infants at ‘around 6 months’ </w:t>
      </w:r>
      <w:r w:rsidRPr="005C39EC">
        <w:rPr>
          <w:rFonts w:cs="Arial"/>
          <w:noProof/>
        </w:rPr>
        <w:t>(NHMRC 201</w:t>
      </w:r>
      <w:r w:rsidR="00360FBD">
        <w:rPr>
          <w:rFonts w:cs="Arial"/>
          <w:noProof/>
        </w:rPr>
        <w:t>2</w:t>
      </w:r>
      <w:r w:rsidRPr="005C39EC">
        <w:rPr>
          <w:rFonts w:cs="Arial"/>
          <w:noProof/>
        </w:rPr>
        <w:t>a)</w:t>
      </w:r>
      <w:r w:rsidRPr="005C39EC">
        <w:rPr>
          <w:rFonts w:cs="Arial"/>
        </w:rPr>
        <w:t xml:space="preserve">. This recommendation is unchanged from the previous guideline issued in 2003 </w:t>
      </w:r>
      <w:r w:rsidRPr="005C39EC">
        <w:rPr>
          <w:rFonts w:cs="Arial"/>
          <w:noProof/>
        </w:rPr>
        <w:t>(NHMRC 2003)</w:t>
      </w:r>
      <w:r w:rsidRPr="005C39EC">
        <w:rPr>
          <w:rFonts w:cs="Arial"/>
        </w:rPr>
        <w:t>. Likewise</w:t>
      </w:r>
      <w:r w:rsidR="00C8607B" w:rsidRPr="005C39EC">
        <w:rPr>
          <w:rFonts w:cs="Arial"/>
        </w:rPr>
        <w:t>, the</w:t>
      </w:r>
      <w:r w:rsidRPr="005C39EC">
        <w:rPr>
          <w:rFonts w:eastAsia="Arial Unicode MS" w:cs="Arial"/>
        </w:rPr>
        <w:t xml:space="preserve"> New Zealand Food and Nutrition Guidelines for Healthy Infants and Toddlers also </w:t>
      </w:r>
      <w:r w:rsidR="00135570" w:rsidRPr="005C39EC">
        <w:rPr>
          <w:rFonts w:eastAsia="Arial Unicode MS" w:cs="Arial"/>
        </w:rPr>
        <w:t xml:space="preserve">recommended </w:t>
      </w:r>
      <w:r w:rsidRPr="005C39EC">
        <w:rPr>
          <w:rFonts w:eastAsia="Arial Unicode MS" w:cs="Arial"/>
        </w:rPr>
        <w:t xml:space="preserve">introduction of solid foods at ‘around 6 months’ </w:t>
      </w:r>
      <w:r w:rsidRPr="005C39EC">
        <w:rPr>
          <w:rFonts w:eastAsia="Arial Unicode MS" w:cs="Arial"/>
          <w:noProof/>
        </w:rPr>
        <w:t>(New Zealand Ministry of Health 2008)</w:t>
      </w:r>
      <w:r w:rsidRPr="005C39EC">
        <w:rPr>
          <w:rFonts w:eastAsia="Arial Unicode MS" w:cs="Arial"/>
        </w:rPr>
        <w:t xml:space="preserve">. The timing for the introduction of solid foods in both guidelines is </w:t>
      </w:r>
      <w:r w:rsidR="00FB379F" w:rsidRPr="005C39EC">
        <w:rPr>
          <w:rFonts w:eastAsia="Arial Unicode MS" w:cs="Arial"/>
        </w:rPr>
        <w:t>centred</w:t>
      </w:r>
      <w:r w:rsidRPr="005C39EC">
        <w:rPr>
          <w:rFonts w:eastAsia="Arial Unicode MS" w:cs="Arial"/>
        </w:rPr>
        <w:t xml:space="preserve"> on ensuring adequate nutrient intake to infants when breast milk (or infant formula) may no longer be sufficient. </w:t>
      </w:r>
    </w:p>
    <w:p w14:paraId="47E2B2F2" w14:textId="0A45BF4B" w:rsidR="0014171C" w:rsidRPr="005C39EC" w:rsidRDefault="00BE4719" w:rsidP="00127C9E">
      <w:pPr>
        <w:pStyle w:val="Heading2"/>
      </w:pPr>
      <w:bookmarkStart w:id="8" w:name="_Toc399945819"/>
      <w:r w:rsidRPr="005C39EC">
        <w:t xml:space="preserve">1.1 </w:t>
      </w:r>
      <w:r w:rsidRPr="005C39EC">
        <w:tab/>
      </w:r>
      <w:r w:rsidR="0014171C" w:rsidRPr="005C39EC">
        <w:t xml:space="preserve">Objective of the </w:t>
      </w:r>
      <w:r w:rsidR="00342C4A" w:rsidRPr="005C39EC">
        <w:t>assessment</w:t>
      </w:r>
      <w:bookmarkEnd w:id="8"/>
      <w:r w:rsidR="00342C4A" w:rsidRPr="005C39EC">
        <w:t xml:space="preserve"> </w:t>
      </w:r>
    </w:p>
    <w:p w14:paraId="5EF7C0C8" w14:textId="73D28C38" w:rsidR="0014171C" w:rsidRPr="005C39EC" w:rsidRDefault="0014171C" w:rsidP="00BE7858">
      <w:pPr>
        <w:rPr>
          <w:rFonts w:cs="Arial"/>
        </w:rPr>
      </w:pPr>
      <w:r w:rsidRPr="005C39EC">
        <w:rPr>
          <w:rFonts w:cs="Arial"/>
        </w:rPr>
        <w:t>This assessment provides an update of risk assessment work completed in 2008 and</w:t>
      </w:r>
      <w:r w:rsidR="00F37DDB" w:rsidRPr="005C39EC">
        <w:rPr>
          <w:rFonts w:cs="Arial"/>
        </w:rPr>
        <w:t xml:space="preserve"> </w:t>
      </w:r>
      <w:r w:rsidRPr="005C39EC">
        <w:rPr>
          <w:rFonts w:cs="Arial"/>
        </w:rPr>
        <w:t xml:space="preserve">published as part of the Preliminary Final Assessment Report (PFAR) associated with Proposal P274 </w:t>
      </w:r>
      <w:r w:rsidRPr="005C39EC">
        <w:rPr>
          <w:rFonts w:cs="Arial"/>
          <w:noProof/>
        </w:rPr>
        <w:t>(FSANZ 2008)</w:t>
      </w:r>
      <w:r w:rsidRPr="005C39EC">
        <w:rPr>
          <w:rFonts w:cs="Arial"/>
        </w:rPr>
        <w:t xml:space="preserve"> </w:t>
      </w:r>
      <w:r w:rsidR="00B15E66" w:rsidRPr="005C39EC">
        <w:rPr>
          <w:rFonts w:cs="Arial"/>
        </w:rPr>
        <w:t xml:space="preserve">in </w:t>
      </w:r>
      <w:r w:rsidRPr="005C39EC">
        <w:rPr>
          <w:rFonts w:cs="Arial"/>
        </w:rPr>
        <w:t>relation to the timing of solid food introduction to infants</w:t>
      </w:r>
      <w:r w:rsidR="00AE6CA4" w:rsidRPr="005C39EC">
        <w:rPr>
          <w:rFonts w:cs="Arial"/>
        </w:rPr>
        <w:t xml:space="preserve">. This </w:t>
      </w:r>
      <w:r w:rsidRPr="005C39EC">
        <w:rPr>
          <w:rFonts w:cs="Arial"/>
        </w:rPr>
        <w:t>assessment aims to:</w:t>
      </w:r>
    </w:p>
    <w:p w14:paraId="61ABB4D0" w14:textId="77777777" w:rsidR="00FB379F" w:rsidRPr="005C39EC" w:rsidRDefault="00FB379F" w:rsidP="00BE7858">
      <w:pPr>
        <w:rPr>
          <w:rFonts w:cs="Arial"/>
        </w:rPr>
      </w:pPr>
    </w:p>
    <w:p w14:paraId="13446895" w14:textId="77777777" w:rsidR="0014171C" w:rsidRPr="005C39EC" w:rsidRDefault="0014171C" w:rsidP="00BE7858">
      <w:pPr>
        <w:pStyle w:val="FSBullet"/>
      </w:pPr>
      <w:r w:rsidRPr="005C39EC">
        <w:t xml:space="preserve">summarise the key conclusions of the PFAR </w:t>
      </w:r>
    </w:p>
    <w:p w14:paraId="426CC783" w14:textId="77777777" w:rsidR="00D93FAF" w:rsidRPr="005C39EC" w:rsidRDefault="0014171C" w:rsidP="00BE7858">
      <w:pPr>
        <w:pStyle w:val="FSBullet"/>
      </w:pPr>
      <w:r w:rsidRPr="005C39EC">
        <w:t xml:space="preserve">summarise reviews or reports of international expert panels which have considered </w:t>
      </w:r>
      <w:r w:rsidR="00D93FAF" w:rsidRPr="005C39EC">
        <w:t xml:space="preserve">timing of complementary feeding </w:t>
      </w:r>
      <w:r w:rsidRPr="005C39EC">
        <w:t>f</w:t>
      </w:r>
      <w:r w:rsidR="00D93FAF" w:rsidRPr="005C39EC">
        <w:t>or</w:t>
      </w:r>
      <w:r w:rsidRPr="005C39EC">
        <w:t xml:space="preserve"> infants </w:t>
      </w:r>
    </w:p>
    <w:p w14:paraId="622ECCF2" w14:textId="46C53EA3" w:rsidR="0014171C" w:rsidRPr="005C39EC" w:rsidRDefault="00D93FAF" w:rsidP="00BE7858">
      <w:pPr>
        <w:pStyle w:val="FSBullet"/>
      </w:pPr>
      <w:proofErr w:type="gramStart"/>
      <w:r w:rsidRPr="005C39EC">
        <w:t>review</w:t>
      </w:r>
      <w:proofErr w:type="gramEnd"/>
      <w:r w:rsidRPr="005C39EC">
        <w:t xml:space="preserve"> published scientific data (particularly since </w:t>
      </w:r>
      <w:r w:rsidR="0014171C" w:rsidRPr="005C39EC">
        <w:t>2008</w:t>
      </w:r>
      <w:r w:rsidRPr="005C39EC">
        <w:t>)</w:t>
      </w:r>
      <w:r w:rsidR="0014171C" w:rsidRPr="005C39EC">
        <w:t xml:space="preserve"> that underlies Australian and New Zealand national infant feeding guidelines with emphasis on the induction of food allergy and/or gluten intolerance.</w:t>
      </w:r>
      <w:r w:rsidR="00F37DDB" w:rsidRPr="005C39EC">
        <w:t xml:space="preserve"> </w:t>
      </w:r>
    </w:p>
    <w:p w14:paraId="38795062" w14:textId="03723A12" w:rsidR="0014171C" w:rsidRPr="005C39EC" w:rsidRDefault="006C1DF9" w:rsidP="00127C9E">
      <w:pPr>
        <w:pStyle w:val="Heading2"/>
      </w:pPr>
      <w:bookmarkStart w:id="9" w:name="_Toc399945820"/>
      <w:r w:rsidRPr="005C39EC">
        <w:t>1.2</w:t>
      </w:r>
      <w:r w:rsidRPr="005C39EC">
        <w:tab/>
      </w:r>
      <w:r w:rsidR="0014171C" w:rsidRPr="005C39EC">
        <w:t xml:space="preserve">Scope </w:t>
      </w:r>
      <w:r w:rsidR="00342C4A" w:rsidRPr="005C39EC">
        <w:t>of the assessment</w:t>
      </w:r>
      <w:bookmarkEnd w:id="9"/>
    </w:p>
    <w:p w14:paraId="210D8BBB" w14:textId="77777777" w:rsidR="0014171C" w:rsidRPr="005C39EC" w:rsidRDefault="0014171C" w:rsidP="00BE7858">
      <w:pPr>
        <w:rPr>
          <w:rFonts w:cs="Arial"/>
        </w:rPr>
      </w:pPr>
      <w:r w:rsidRPr="005C39EC">
        <w:rPr>
          <w:rFonts w:cs="Arial"/>
        </w:rPr>
        <w:t>Infant as defined under Standard 2.9.2</w:t>
      </w:r>
      <w:r w:rsidR="002609FD" w:rsidRPr="005C39EC">
        <w:rPr>
          <w:rFonts w:cs="Arial"/>
        </w:rPr>
        <w:t xml:space="preserve"> </w:t>
      </w:r>
      <w:r w:rsidRPr="005C39EC">
        <w:rPr>
          <w:rFonts w:cs="Arial"/>
        </w:rPr>
        <w:t xml:space="preserve">means a person up to the age of 12 months. Infant feeding practices up to the age of 12 months include breastfeeding, </w:t>
      </w:r>
      <w:r w:rsidR="0070346D" w:rsidRPr="005C39EC">
        <w:rPr>
          <w:rFonts w:cs="Arial"/>
        </w:rPr>
        <w:t>formula-feeding</w:t>
      </w:r>
      <w:r w:rsidRPr="005C39EC">
        <w:rPr>
          <w:rFonts w:cs="Arial"/>
        </w:rPr>
        <w:t xml:space="preserve"> and, at an appropriate age, solid foods. Proposal P274 is relevant to the labelling requirements of foods intended for infants and this assessment will be directed at health effects associated with </w:t>
      </w:r>
      <w:r w:rsidR="00AE6CA4" w:rsidRPr="005C39EC">
        <w:rPr>
          <w:rFonts w:cs="Arial"/>
        </w:rPr>
        <w:t xml:space="preserve">the </w:t>
      </w:r>
      <w:r w:rsidRPr="005C39EC">
        <w:rPr>
          <w:rFonts w:cs="Arial"/>
        </w:rPr>
        <w:t>time period</w:t>
      </w:r>
      <w:r w:rsidR="00AE6CA4" w:rsidRPr="005C39EC">
        <w:rPr>
          <w:rFonts w:cs="Arial"/>
        </w:rPr>
        <w:t xml:space="preserve"> over which solids are first introduced</w:t>
      </w:r>
      <w:r w:rsidRPr="005C39EC">
        <w:rPr>
          <w:rFonts w:cs="Arial"/>
        </w:rPr>
        <w:t xml:space="preserve">. The health benefits of </w:t>
      </w:r>
      <w:r w:rsidR="0070346D" w:rsidRPr="005C39EC">
        <w:rPr>
          <w:rFonts w:cs="Arial"/>
        </w:rPr>
        <w:t xml:space="preserve">breastfeeding </w:t>
      </w:r>
      <w:r w:rsidRPr="005C39EC">
        <w:rPr>
          <w:rFonts w:cs="Arial"/>
        </w:rPr>
        <w:t xml:space="preserve">(exclusive or mixed with </w:t>
      </w:r>
      <w:r w:rsidR="0070346D" w:rsidRPr="005C39EC">
        <w:rPr>
          <w:rFonts w:cs="Arial"/>
        </w:rPr>
        <w:t>formula-feeding</w:t>
      </w:r>
      <w:r w:rsidRPr="005C39EC">
        <w:rPr>
          <w:rFonts w:cs="Arial"/>
        </w:rPr>
        <w:t>) for infants up to 6 months of age are well recognised and will not be addressed. Similarly, the inadvisability of introducing solids before 4 months of age is well recognised and will not be addressed.</w:t>
      </w:r>
    </w:p>
    <w:p w14:paraId="1FB64D64" w14:textId="77777777" w:rsidR="004B57DB" w:rsidRPr="005C39EC" w:rsidRDefault="004B57DB" w:rsidP="00BE7858">
      <w:pPr>
        <w:rPr>
          <w:rFonts w:cs="Arial"/>
        </w:rPr>
      </w:pPr>
    </w:p>
    <w:p w14:paraId="2FC3C19B" w14:textId="037F01D1" w:rsidR="00857EF4" w:rsidRPr="005C39EC" w:rsidRDefault="004B57DB" w:rsidP="00BE7858">
      <w:pPr>
        <w:rPr>
          <w:rFonts w:cs="Arial"/>
        </w:rPr>
      </w:pPr>
      <w:r w:rsidRPr="005C39EC">
        <w:rPr>
          <w:rFonts w:cs="Arial"/>
        </w:rPr>
        <w:t xml:space="preserve">Previously, FSANZ </w:t>
      </w:r>
      <w:r w:rsidR="0092760E" w:rsidRPr="005C39EC">
        <w:rPr>
          <w:rFonts w:cs="Arial"/>
        </w:rPr>
        <w:t>considered</w:t>
      </w:r>
      <w:r w:rsidRPr="005C39EC">
        <w:rPr>
          <w:rFonts w:cs="Arial"/>
        </w:rPr>
        <w:t xml:space="preserve"> whether delaying solid food introduction to around 6 months of age would have an adverse impact on </w:t>
      </w:r>
      <w:r w:rsidR="00801242" w:rsidRPr="005C39EC">
        <w:rPr>
          <w:rFonts w:cs="Arial"/>
        </w:rPr>
        <w:t>a range of</w:t>
      </w:r>
      <w:r w:rsidRPr="005C39EC">
        <w:rPr>
          <w:rFonts w:cs="Arial"/>
        </w:rPr>
        <w:t xml:space="preserve"> nutritional and developmental outcomes for infants</w:t>
      </w:r>
      <w:r w:rsidR="00801242" w:rsidRPr="005C39EC">
        <w:rPr>
          <w:rFonts w:cs="Arial"/>
        </w:rPr>
        <w:t xml:space="preserve"> (see Section 2.1)</w:t>
      </w:r>
      <w:r w:rsidR="0095033D" w:rsidRPr="005C39EC">
        <w:rPr>
          <w:rFonts w:cs="Arial"/>
        </w:rPr>
        <w:t xml:space="preserve"> (FSANZ 2008). </w:t>
      </w:r>
      <w:r w:rsidR="00857EF4" w:rsidRPr="005C39EC">
        <w:rPr>
          <w:rFonts w:cs="Arial"/>
        </w:rPr>
        <w:t>Th</w:t>
      </w:r>
      <w:r w:rsidR="0092760E" w:rsidRPr="005C39EC">
        <w:rPr>
          <w:rFonts w:cs="Arial"/>
        </w:rPr>
        <w:t>is</w:t>
      </w:r>
      <w:r w:rsidR="00857EF4" w:rsidRPr="005C39EC">
        <w:rPr>
          <w:rFonts w:cs="Arial"/>
        </w:rPr>
        <w:t xml:space="preserve"> assessment </w:t>
      </w:r>
      <w:r w:rsidR="0092760E" w:rsidRPr="005C39EC">
        <w:rPr>
          <w:rFonts w:cs="Arial"/>
        </w:rPr>
        <w:t>applied</w:t>
      </w:r>
      <w:r w:rsidR="00857EF4" w:rsidRPr="005C39EC">
        <w:rPr>
          <w:rFonts w:cs="Arial"/>
        </w:rPr>
        <w:t xml:space="preserve"> a tiered approach to determine whether there </w:t>
      </w:r>
      <w:r w:rsidR="0092760E" w:rsidRPr="005C39EC">
        <w:rPr>
          <w:rFonts w:cs="Arial"/>
        </w:rPr>
        <w:t xml:space="preserve">was </w:t>
      </w:r>
      <w:r w:rsidR="00AE6CA4" w:rsidRPr="005C39EC">
        <w:rPr>
          <w:rFonts w:cs="Arial"/>
        </w:rPr>
        <w:t xml:space="preserve">recent </w:t>
      </w:r>
      <w:r w:rsidR="00857EF4" w:rsidRPr="005C39EC">
        <w:rPr>
          <w:rFonts w:cs="Arial"/>
        </w:rPr>
        <w:t xml:space="preserve">research </w:t>
      </w:r>
      <w:r w:rsidR="0092760E" w:rsidRPr="005C39EC">
        <w:rPr>
          <w:rFonts w:cs="Arial"/>
        </w:rPr>
        <w:t xml:space="preserve">that </w:t>
      </w:r>
      <w:r w:rsidR="00857EF4" w:rsidRPr="005C39EC">
        <w:rPr>
          <w:rFonts w:cs="Arial"/>
        </w:rPr>
        <w:t xml:space="preserve">might alter </w:t>
      </w:r>
      <w:r w:rsidR="0092760E" w:rsidRPr="005C39EC">
        <w:rPr>
          <w:rFonts w:cs="Arial"/>
        </w:rPr>
        <w:t>the previous</w:t>
      </w:r>
      <w:r w:rsidR="00857EF4" w:rsidRPr="005C39EC">
        <w:rPr>
          <w:rFonts w:cs="Arial"/>
        </w:rPr>
        <w:t xml:space="preserve"> conclusions. </w:t>
      </w:r>
      <w:r w:rsidR="0092760E" w:rsidRPr="005C39EC">
        <w:rPr>
          <w:rFonts w:cs="Arial"/>
        </w:rPr>
        <w:t>We</w:t>
      </w:r>
      <w:r w:rsidR="00857EF4" w:rsidRPr="005C39EC">
        <w:rPr>
          <w:rFonts w:cs="Arial"/>
        </w:rPr>
        <w:t xml:space="preserve"> </w:t>
      </w:r>
      <w:r w:rsidR="0092760E" w:rsidRPr="005C39EC">
        <w:rPr>
          <w:rFonts w:cs="Arial"/>
        </w:rPr>
        <w:t xml:space="preserve">considered several </w:t>
      </w:r>
      <w:r w:rsidR="00857EF4" w:rsidRPr="005C39EC">
        <w:rPr>
          <w:rFonts w:cs="Arial"/>
        </w:rPr>
        <w:t>reviews of a broad range of health outcomes that were claimed to be linked to the timing of solid food introduction (see Section 2.3) and conclude</w:t>
      </w:r>
      <w:r w:rsidR="0092760E" w:rsidRPr="005C39EC">
        <w:rPr>
          <w:rFonts w:cs="Arial"/>
        </w:rPr>
        <w:t>d</w:t>
      </w:r>
      <w:r w:rsidR="00857EF4" w:rsidRPr="005C39EC">
        <w:rPr>
          <w:rFonts w:cs="Arial"/>
        </w:rPr>
        <w:t xml:space="preserve"> that most were related to the introduction of solids before </w:t>
      </w:r>
      <w:r w:rsidR="00C81C81" w:rsidRPr="005C39EC">
        <w:rPr>
          <w:rFonts w:cs="Arial"/>
        </w:rPr>
        <w:t>4</w:t>
      </w:r>
      <w:r w:rsidR="00857EF4" w:rsidRPr="005C39EC">
        <w:rPr>
          <w:rFonts w:cs="Arial"/>
        </w:rPr>
        <w:t xml:space="preserve"> months or were related to the use of infant formula. Only</w:t>
      </w:r>
      <w:r w:rsidR="00FA234F" w:rsidRPr="005C39EC">
        <w:rPr>
          <w:rFonts w:cs="Arial"/>
        </w:rPr>
        <w:t xml:space="preserve"> the</w:t>
      </w:r>
      <w:r w:rsidR="00857EF4" w:rsidRPr="005C39EC">
        <w:rPr>
          <w:rFonts w:cs="Arial"/>
        </w:rPr>
        <w:t xml:space="preserve"> risk of developing allergic diseases was identified as an area where newly available literature might change previous conclusions made in 2008.</w:t>
      </w:r>
      <w:r w:rsidR="00F37DDB" w:rsidRPr="005C39EC">
        <w:rPr>
          <w:rFonts w:cs="Arial"/>
        </w:rPr>
        <w:t xml:space="preserve"> </w:t>
      </w:r>
      <w:r w:rsidR="00857EF4" w:rsidRPr="005C39EC">
        <w:rPr>
          <w:rFonts w:cs="Arial"/>
        </w:rPr>
        <w:t>The literature was reviewed to update the previous consideration of this topic</w:t>
      </w:r>
      <w:r w:rsidR="00897172" w:rsidRPr="005C39EC">
        <w:rPr>
          <w:rFonts w:cs="Arial"/>
        </w:rPr>
        <w:t xml:space="preserve"> (See Section 3)</w:t>
      </w:r>
      <w:r w:rsidR="00857EF4" w:rsidRPr="005C39EC">
        <w:rPr>
          <w:rFonts w:cs="Arial"/>
        </w:rPr>
        <w:t xml:space="preserve">. </w:t>
      </w:r>
    </w:p>
    <w:p w14:paraId="502A8175" w14:textId="77777777" w:rsidR="002D3921" w:rsidRPr="005C39EC" w:rsidRDefault="002D3921" w:rsidP="00127C9E">
      <w:pPr>
        <w:pStyle w:val="Heading2"/>
      </w:pPr>
    </w:p>
    <w:p w14:paraId="03E72DB4" w14:textId="159154E3" w:rsidR="0014171C" w:rsidRPr="005C39EC" w:rsidRDefault="006C1DF9" w:rsidP="00127C9E">
      <w:pPr>
        <w:pStyle w:val="Heading2"/>
      </w:pPr>
      <w:bookmarkStart w:id="10" w:name="_Toc399945821"/>
      <w:r w:rsidRPr="005C39EC">
        <w:lastRenderedPageBreak/>
        <w:t>1.3</w:t>
      </w:r>
      <w:r w:rsidRPr="005C39EC">
        <w:tab/>
      </w:r>
      <w:r w:rsidR="0014171C" w:rsidRPr="005C39EC">
        <w:t xml:space="preserve">Risk </w:t>
      </w:r>
      <w:r w:rsidR="00342C4A" w:rsidRPr="005C39EC">
        <w:t>assessment questions</w:t>
      </w:r>
      <w:bookmarkEnd w:id="10"/>
    </w:p>
    <w:p w14:paraId="56D1166D" w14:textId="77777777" w:rsidR="0014171C" w:rsidRPr="005C39EC" w:rsidRDefault="0014171C" w:rsidP="00BE7858">
      <w:pPr>
        <w:rPr>
          <w:rFonts w:cs="Arial"/>
        </w:rPr>
      </w:pPr>
      <w:r w:rsidRPr="005C39EC">
        <w:rPr>
          <w:rFonts w:cs="Arial"/>
        </w:rPr>
        <w:t>The risk assessment question addressed in this assessment (</w:t>
      </w:r>
      <w:r w:rsidR="00492A5C" w:rsidRPr="005C39EC">
        <w:rPr>
          <w:rFonts w:cs="Arial"/>
        </w:rPr>
        <w:t xml:space="preserve">covered in </w:t>
      </w:r>
      <w:r w:rsidRPr="005C39EC">
        <w:rPr>
          <w:rFonts w:cs="Arial"/>
        </w:rPr>
        <w:t>Section 3) is:</w:t>
      </w:r>
    </w:p>
    <w:p w14:paraId="2E562ABE" w14:textId="77777777" w:rsidR="0014171C" w:rsidRPr="005C39EC" w:rsidRDefault="0014171C" w:rsidP="00BE7858">
      <w:pPr>
        <w:rPr>
          <w:rFonts w:cs="Arial"/>
        </w:rPr>
      </w:pPr>
    </w:p>
    <w:p w14:paraId="3AB27804" w14:textId="77777777" w:rsidR="0014171C" w:rsidRPr="005C39EC" w:rsidRDefault="0014171C" w:rsidP="00BE7858">
      <w:pPr>
        <w:ind w:left="567"/>
        <w:rPr>
          <w:rFonts w:cs="Arial"/>
          <w:b/>
          <w:i/>
        </w:rPr>
      </w:pPr>
      <w:r w:rsidRPr="005C39EC">
        <w:rPr>
          <w:rFonts w:cs="Arial"/>
          <w:b/>
          <w:i/>
        </w:rPr>
        <w:t>What conclusions can be drawn from the evidence on the association between the age of introduction of solid food and the development of food-related allergies and/or gluten intolerance in children?</w:t>
      </w:r>
    </w:p>
    <w:p w14:paraId="6BB305BF" w14:textId="77777777" w:rsidR="00492A5C" w:rsidRPr="005C39EC" w:rsidRDefault="00492A5C" w:rsidP="00BE7858">
      <w:pPr>
        <w:ind w:left="567"/>
        <w:rPr>
          <w:rFonts w:cs="Arial"/>
          <w:b/>
          <w:i/>
        </w:rPr>
      </w:pPr>
    </w:p>
    <w:p w14:paraId="4DF0577D" w14:textId="77777777" w:rsidR="001541BB" w:rsidRPr="005C39EC" w:rsidRDefault="00537D06" w:rsidP="00BE7858">
      <w:pPr>
        <w:rPr>
          <w:rFonts w:cs="Arial"/>
        </w:rPr>
      </w:pPr>
      <w:r w:rsidRPr="005C39EC">
        <w:rPr>
          <w:rFonts w:cs="Arial"/>
        </w:rPr>
        <w:t>It also describes the age at which solids are introduced in</w:t>
      </w:r>
      <w:r w:rsidR="00801242" w:rsidRPr="005C39EC">
        <w:rPr>
          <w:rFonts w:cs="Arial"/>
        </w:rPr>
        <w:t xml:space="preserve"> Australia and New Zealand</w:t>
      </w:r>
      <w:r w:rsidRPr="005C39EC">
        <w:rPr>
          <w:rFonts w:cs="Arial"/>
        </w:rPr>
        <w:t xml:space="preserve"> and considers whether this is associated with cessation of breastfeeding (</w:t>
      </w:r>
      <w:r w:rsidR="00801242" w:rsidRPr="005C39EC">
        <w:rPr>
          <w:rFonts w:cs="Arial"/>
        </w:rPr>
        <w:t>S</w:t>
      </w:r>
      <w:r w:rsidRPr="005C39EC">
        <w:rPr>
          <w:rFonts w:cs="Arial"/>
        </w:rPr>
        <w:t>ection 4).</w:t>
      </w:r>
    </w:p>
    <w:p w14:paraId="18592DDB" w14:textId="20632A8B" w:rsidR="0014171C" w:rsidRPr="005C39EC" w:rsidRDefault="006C1DF9" w:rsidP="00127C9E">
      <w:pPr>
        <w:pStyle w:val="Heading2"/>
      </w:pPr>
      <w:bookmarkStart w:id="11" w:name="_Toc399945822"/>
      <w:r w:rsidRPr="005C39EC">
        <w:t>1.4</w:t>
      </w:r>
      <w:r w:rsidRPr="005C39EC">
        <w:tab/>
      </w:r>
      <w:r w:rsidR="0014171C" w:rsidRPr="005C39EC">
        <w:t>Definitions</w:t>
      </w:r>
      <w:bookmarkEnd w:id="11"/>
    </w:p>
    <w:p w14:paraId="3040DD10" w14:textId="77777777" w:rsidR="0014171C" w:rsidRPr="005C39EC" w:rsidRDefault="0014171C" w:rsidP="00BE7858">
      <w:pPr>
        <w:rPr>
          <w:rFonts w:cs="Arial"/>
        </w:rPr>
      </w:pPr>
      <w:r w:rsidRPr="005C39EC">
        <w:rPr>
          <w:rFonts w:cs="Arial"/>
        </w:rPr>
        <w:t>The following definitions apply to this risk assessment:</w:t>
      </w:r>
    </w:p>
    <w:p w14:paraId="436D729F" w14:textId="77777777" w:rsidR="0014171C" w:rsidRPr="005C39EC" w:rsidRDefault="0014171C" w:rsidP="00BE7858">
      <w:pPr>
        <w:rPr>
          <w:rFonts w:cs="Arial"/>
        </w:rPr>
      </w:pPr>
    </w:p>
    <w:p w14:paraId="58D3265C" w14:textId="77777777" w:rsidR="0014171C" w:rsidRPr="005C39EC" w:rsidRDefault="0014171C" w:rsidP="00BE7858">
      <w:pPr>
        <w:rPr>
          <w:rFonts w:cs="Arial"/>
        </w:rPr>
      </w:pPr>
      <w:r w:rsidRPr="005C39EC">
        <w:rPr>
          <w:rFonts w:cs="Arial"/>
          <w:b/>
        </w:rPr>
        <w:t xml:space="preserve">Atopy </w:t>
      </w:r>
      <w:r w:rsidRPr="005C39EC">
        <w:rPr>
          <w:rFonts w:cs="Arial"/>
        </w:rPr>
        <w:t xml:space="preserve">A child with atopy produces IgE antibodies after exposure to common environmental allergens. The atopic diseases (eczema, asthma and rhinoconjunctivitis) are clinical syndromes each defined by a group of symptoms and signs </w:t>
      </w:r>
      <w:r w:rsidRPr="005C39EC">
        <w:rPr>
          <w:rFonts w:cs="Arial"/>
          <w:noProof/>
        </w:rPr>
        <w:t>(Gold and Kemp 2005)</w:t>
      </w:r>
      <w:r w:rsidRPr="005C39EC">
        <w:rPr>
          <w:rFonts w:cs="Arial"/>
        </w:rPr>
        <w:t>.</w:t>
      </w:r>
    </w:p>
    <w:p w14:paraId="37738724" w14:textId="77777777" w:rsidR="0014171C" w:rsidRPr="005C39EC" w:rsidRDefault="0014171C" w:rsidP="00BE7858">
      <w:pPr>
        <w:rPr>
          <w:rFonts w:cs="Arial"/>
        </w:rPr>
      </w:pPr>
    </w:p>
    <w:p w14:paraId="6614433F" w14:textId="77777777" w:rsidR="0014171C" w:rsidRPr="005C39EC" w:rsidRDefault="0014171C" w:rsidP="00BE7858">
      <w:pPr>
        <w:rPr>
          <w:rFonts w:cs="Arial"/>
        </w:rPr>
      </w:pPr>
      <w:r w:rsidRPr="005C39EC">
        <w:rPr>
          <w:rFonts w:cs="Arial"/>
          <w:b/>
        </w:rPr>
        <w:t xml:space="preserve">Complementary feeding </w:t>
      </w:r>
      <w:r w:rsidRPr="005C39EC">
        <w:rPr>
          <w:rFonts w:cs="Arial"/>
        </w:rPr>
        <w:t xml:space="preserve">is defined as the gradual introduction of solid food and fluids along with the usual milk feed (breast milk or infant formula) to an infant’s diet </w:t>
      </w:r>
      <w:r w:rsidRPr="005C39EC">
        <w:rPr>
          <w:rFonts w:cs="Arial"/>
          <w:noProof/>
        </w:rPr>
        <w:t>(New Zealand Ministry of Health 2008)</w:t>
      </w:r>
      <w:r w:rsidRPr="005C39EC">
        <w:rPr>
          <w:rFonts w:cs="Arial"/>
        </w:rPr>
        <w:t>.</w:t>
      </w:r>
    </w:p>
    <w:p w14:paraId="3264B98E" w14:textId="77777777" w:rsidR="0014171C" w:rsidRPr="005C39EC" w:rsidRDefault="0014171C" w:rsidP="00BE7858">
      <w:pPr>
        <w:rPr>
          <w:rFonts w:cs="Arial"/>
        </w:rPr>
      </w:pPr>
    </w:p>
    <w:p w14:paraId="5D2F451D" w14:textId="77777777" w:rsidR="0014171C" w:rsidRPr="005C39EC" w:rsidRDefault="0014171C" w:rsidP="00BE7858">
      <w:pPr>
        <w:rPr>
          <w:rFonts w:cs="Arial"/>
        </w:rPr>
      </w:pPr>
      <w:r w:rsidRPr="005C39EC">
        <w:rPr>
          <w:rFonts w:cs="Arial"/>
          <w:b/>
        </w:rPr>
        <w:t xml:space="preserve">Exclusive breastfeeding </w:t>
      </w:r>
      <w:r w:rsidRPr="005C39EC">
        <w:rPr>
          <w:rFonts w:cs="Arial"/>
        </w:rPr>
        <w:t>refers to the WHO recommended definition which is</w:t>
      </w:r>
      <w:r w:rsidRPr="005C39EC">
        <w:rPr>
          <w:rFonts w:cs="Arial"/>
          <w:b/>
        </w:rPr>
        <w:t xml:space="preserve"> </w:t>
      </w:r>
      <w:r w:rsidRPr="005C39EC">
        <w:rPr>
          <w:rFonts w:cs="Arial"/>
        </w:rPr>
        <w:t xml:space="preserve">breastfeeding with no additional liquid or solid foods other than vitamins and medications </w:t>
      </w:r>
      <w:r w:rsidRPr="005C39EC">
        <w:rPr>
          <w:rFonts w:cs="Arial"/>
          <w:noProof/>
        </w:rPr>
        <w:t>(Binns et al. 2009)</w:t>
      </w:r>
      <w:r w:rsidRPr="005C39EC">
        <w:rPr>
          <w:rFonts w:cs="Arial"/>
        </w:rPr>
        <w:t>.</w:t>
      </w:r>
    </w:p>
    <w:p w14:paraId="797B6324" w14:textId="77777777" w:rsidR="0014171C" w:rsidRPr="005C39EC" w:rsidRDefault="0014171C" w:rsidP="00BE7858">
      <w:pPr>
        <w:rPr>
          <w:rFonts w:cs="Arial"/>
        </w:rPr>
      </w:pPr>
    </w:p>
    <w:p w14:paraId="0D9754B7" w14:textId="77777777" w:rsidR="0014171C" w:rsidRPr="005C39EC" w:rsidRDefault="0014171C" w:rsidP="00BE7858">
      <w:pPr>
        <w:rPr>
          <w:rFonts w:cs="Arial"/>
        </w:rPr>
      </w:pPr>
      <w:r w:rsidRPr="005C39EC">
        <w:rPr>
          <w:rFonts w:cs="Arial"/>
          <w:b/>
        </w:rPr>
        <w:t>Food allergy</w:t>
      </w:r>
      <w:r w:rsidRPr="005C39EC">
        <w:rPr>
          <w:rFonts w:cs="Arial"/>
        </w:rPr>
        <w:t xml:space="preserve"> (or food-related allergy) refers to food-mediated adverse reactions that involve the immune system resulting from oral exposure to food </w:t>
      </w:r>
      <w:r w:rsidRPr="005C39EC">
        <w:rPr>
          <w:rFonts w:cs="Arial"/>
          <w:noProof/>
        </w:rPr>
        <w:t>(Hayder et al. 2011)</w:t>
      </w:r>
      <w:r w:rsidRPr="005C39EC">
        <w:rPr>
          <w:rFonts w:cs="Arial"/>
        </w:rPr>
        <w:t>.</w:t>
      </w:r>
    </w:p>
    <w:p w14:paraId="0199B50B" w14:textId="77777777" w:rsidR="0014171C" w:rsidRPr="005C39EC" w:rsidRDefault="0014171C" w:rsidP="00BE7858">
      <w:pPr>
        <w:rPr>
          <w:rFonts w:cs="Arial"/>
        </w:rPr>
      </w:pPr>
    </w:p>
    <w:p w14:paraId="00C32232" w14:textId="77777777" w:rsidR="0014171C" w:rsidRPr="005C39EC" w:rsidRDefault="0014171C" w:rsidP="00BE7858">
      <w:pPr>
        <w:rPr>
          <w:rFonts w:cs="Arial"/>
        </w:rPr>
      </w:pPr>
      <w:r w:rsidRPr="005C39EC">
        <w:rPr>
          <w:rFonts w:cs="Arial"/>
          <w:b/>
        </w:rPr>
        <w:t>Food sensitisation</w:t>
      </w:r>
      <w:r w:rsidRPr="005C39EC">
        <w:rPr>
          <w:rFonts w:cs="Arial"/>
        </w:rPr>
        <w:t xml:space="preserve"> is an immune response to food allergen exposure which precedes development of food allergy</w:t>
      </w:r>
      <w:r w:rsidR="00FA234F" w:rsidRPr="005C39EC">
        <w:rPr>
          <w:rFonts w:cs="Arial"/>
        </w:rPr>
        <w:t>.</w:t>
      </w:r>
    </w:p>
    <w:p w14:paraId="5903784F" w14:textId="77777777" w:rsidR="0014171C" w:rsidRPr="005C39EC" w:rsidRDefault="0014171C" w:rsidP="00BE7858">
      <w:pPr>
        <w:pStyle w:val="Heading1"/>
        <w:rPr>
          <w:rFonts w:cs="Arial"/>
        </w:rPr>
      </w:pPr>
      <w:bookmarkStart w:id="12" w:name="_Toc399945823"/>
      <w:r w:rsidRPr="005C39EC">
        <w:rPr>
          <w:rFonts w:cs="Arial"/>
        </w:rPr>
        <w:t>Background to this risk assessment</w:t>
      </w:r>
      <w:bookmarkEnd w:id="12"/>
    </w:p>
    <w:p w14:paraId="752B511D" w14:textId="0F699857" w:rsidR="0014171C" w:rsidRPr="005C39EC" w:rsidRDefault="006C1DF9" w:rsidP="00127C9E">
      <w:pPr>
        <w:pStyle w:val="Heading2"/>
      </w:pPr>
      <w:bookmarkStart w:id="13" w:name="_Toc399945824"/>
      <w:r w:rsidRPr="005C39EC">
        <w:t>2.1</w:t>
      </w:r>
      <w:r w:rsidRPr="005C39EC">
        <w:tab/>
      </w:r>
      <w:r w:rsidR="0014171C" w:rsidRPr="005C39EC">
        <w:t>Previous FSANZ assessment</w:t>
      </w:r>
      <w:bookmarkEnd w:id="13"/>
    </w:p>
    <w:p w14:paraId="19D3B209" w14:textId="01DFCF40" w:rsidR="0014171C" w:rsidRPr="005C39EC" w:rsidRDefault="0014171C" w:rsidP="00BE7858">
      <w:pPr>
        <w:rPr>
          <w:rFonts w:cs="Arial"/>
        </w:rPr>
      </w:pPr>
      <w:r w:rsidRPr="005C39EC">
        <w:rPr>
          <w:rFonts w:cs="Arial"/>
        </w:rPr>
        <w:t xml:space="preserve">The previous </w:t>
      </w:r>
      <w:r w:rsidR="003C2B3B" w:rsidRPr="005C39EC">
        <w:rPr>
          <w:rFonts w:cs="Arial"/>
        </w:rPr>
        <w:t xml:space="preserve">Proposal </w:t>
      </w:r>
      <w:r w:rsidRPr="005C39EC">
        <w:rPr>
          <w:rFonts w:cs="Arial"/>
        </w:rPr>
        <w:t xml:space="preserve">P274 nutrition assessment </w:t>
      </w:r>
      <w:r w:rsidRPr="005C39EC">
        <w:rPr>
          <w:rFonts w:cs="Arial"/>
          <w:noProof/>
        </w:rPr>
        <w:t>(FSANZ 2008)</w:t>
      </w:r>
      <w:r w:rsidRPr="005C39EC">
        <w:rPr>
          <w:rFonts w:cs="Arial"/>
        </w:rPr>
        <w:t xml:space="preserve"> examined the following nutritional and developmental outcomes if introduction of solid foods were delayed to ‘around 6 months’: </w:t>
      </w:r>
    </w:p>
    <w:p w14:paraId="6961B758" w14:textId="77777777" w:rsidR="0014171C" w:rsidRPr="005C39EC" w:rsidRDefault="0014171C" w:rsidP="00BE7858">
      <w:pPr>
        <w:rPr>
          <w:rFonts w:cs="Arial"/>
        </w:rPr>
      </w:pPr>
    </w:p>
    <w:p w14:paraId="64C38E06" w14:textId="77777777" w:rsidR="0014171C" w:rsidRPr="005C39EC" w:rsidRDefault="0014171C" w:rsidP="00BE7858">
      <w:pPr>
        <w:pStyle w:val="FSBullet"/>
      </w:pPr>
      <w:r w:rsidRPr="005C39EC">
        <w:t>the potential for displacement of human breast milk and/or infant formula, any changes in energy intake, and whether growth outcomes are adversely affected</w:t>
      </w:r>
    </w:p>
    <w:p w14:paraId="3D2C5AF7" w14:textId="77777777" w:rsidR="0014171C" w:rsidRPr="005C39EC" w:rsidRDefault="0014171C" w:rsidP="00BE7858">
      <w:pPr>
        <w:pStyle w:val="FSBullet"/>
      </w:pPr>
      <w:r w:rsidRPr="005C39EC">
        <w:t>the capacity of infant kidneys to deal with the higher solute load of solid foods prior to 6 months of age</w:t>
      </w:r>
    </w:p>
    <w:p w14:paraId="69AA86F3" w14:textId="77777777" w:rsidR="0014171C" w:rsidRPr="005C39EC" w:rsidRDefault="0014171C" w:rsidP="00BE7858">
      <w:pPr>
        <w:pStyle w:val="FSBullet"/>
      </w:pPr>
      <w:r w:rsidRPr="005C39EC">
        <w:t>the impact on iron and zinc status, particularly in pre-term infants</w:t>
      </w:r>
    </w:p>
    <w:p w14:paraId="4E081495" w14:textId="77777777" w:rsidR="0014171C" w:rsidRPr="005C39EC" w:rsidRDefault="0014171C" w:rsidP="00BE7858">
      <w:pPr>
        <w:pStyle w:val="FSBullet"/>
        <w:spacing w:after="240"/>
      </w:pPr>
      <w:proofErr w:type="gramStart"/>
      <w:r w:rsidRPr="005C39EC">
        <w:t>the</w:t>
      </w:r>
      <w:proofErr w:type="gramEnd"/>
      <w:r w:rsidRPr="005C39EC">
        <w:t xml:space="preserve"> influence of feeding practices during infancy on later food preferences.</w:t>
      </w:r>
    </w:p>
    <w:p w14:paraId="270A7F15" w14:textId="63063F27" w:rsidR="0014171C" w:rsidRPr="005C39EC" w:rsidRDefault="0014171C" w:rsidP="00BE7858">
      <w:pPr>
        <w:rPr>
          <w:rFonts w:cs="Arial"/>
        </w:rPr>
      </w:pPr>
      <w:r w:rsidRPr="005C39EC">
        <w:rPr>
          <w:rFonts w:cs="Arial"/>
        </w:rPr>
        <w:t xml:space="preserve">The assessment concluded that in terms of infant growth, kidney function, and iron/zinc status, </w:t>
      </w:r>
      <w:r w:rsidR="000E021D" w:rsidRPr="005C39EC">
        <w:rPr>
          <w:rFonts w:cs="Arial"/>
        </w:rPr>
        <w:t xml:space="preserve">it </w:t>
      </w:r>
      <w:r w:rsidRPr="005C39EC">
        <w:rPr>
          <w:rFonts w:cs="Arial"/>
        </w:rPr>
        <w:t>is</w:t>
      </w:r>
      <w:r w:rsidRPr="005C39EC">
        <w:rPr>
          <w:rFonts w:cs="Arial"/>
          <w:sz w:val="24"/>
        </w:rPr>
        <w:t xml:space="preserve"> </w:t>
      </w:r>
      <w:r w:rsidRPr="005C39EC">
        <w:rPr>
          <w:rFonts w:cs="Arial"/>
        </w:rPr>
        <w:t xml:space="preserve">unlikely </w:t>
      </w:r>
      <w:r w:rsidR="000E021D" w:rsidRPr="005C39EC">
        <w:rPr>
          <w:rFonts w:cs="Arial"/>
        </w:rPr>
        <w:t>that there are</w:t>
      </w:r>
      <w:r w:rsidRPr="005C39EC">
        <w:rPr>
          <w:rFonts w:cs="Arial"/>
        </w:rPr>
        <w:t xml:space="preserve"> differences in the nutritional and developmental outcomes for infants that receive solids at an early (close to 4 months) versus a late</w:t>
      </w:r>
      <w:r w:rsidR="00195B9D" w:rsidRPr="005C39EC">
        <w:rPr>
          <w:rFonts w:cs="Arial"/>
        </w:rPr>
        <w:t>r</w:t>
      </w:r>
      <w:r w:rsidRPr="005C39EC">
        <w:rPr>
          <w:rFonts w:cs="Arial"/>
        </w:rPr>
        <w:t xml:space="preserve"> (close to 6 months) age.</w:t>
      </w:r>
    </w:p>
    <w:p w14:paraId="75568375" w14:textId="77777777" w:rsidR="0014171C" w:rsidRPr="005C39EC" w:rsidRDefault="0014171C" w:rsidP="00BE7858">
      <w:pPr>
        <w:rPr>
          <w:rFonts w:cs="Arial"/>
        </w:rPr>
      </w:pPr>
      <w:r w:rsidRPr="005C39EC">
        <w:rPr>
          <w:rFonts w:cs="Arial"/>
        </w:rPr>
        <w:lastRenderedPageBreak/>
        <w:t xml:space="preserve">In addition, the relationship between age of introduction of solid foods and the development of allergies was assessed. Conclusions in this assessment, however, were more uncertain with some evidence suggesting that the delay in the introduction of solid food to infants’ diet may contribute to the risk of developing allergy and other immune-mediated diseases. FSANZ noted </w:t>
      </w:r>
      <w:r w:rsidR="000539D2" w:rsidRPr="005C39EC">
        <w:rPr>
          <w:rFonts w:cs="Arial"/>
        </w:rPr>
        <w:t xml:space="preserve">in the 2008 report </w:t>
      </w:r>
      <w:r w:rsidRPr="005C39EC">
        <w:rPr>
          <w:rFonts w:cs="Arial"/>
        </w:rPr>
        <w:t>that this was an active area of research that</w:t>
      </w:r>
      <w:r w:rsidR="000539D2" w:rsidRPr="005C39EC">
        <w:rPr>
          <w:rFonts w:cs="Arial"/>
        </w:rPr>
        <w:t xml:space="preserve">, once published, </w:t>
      </w:r>
      <w:r w:rsidRPr="005C39EC">
        <w:rPr>
          <w:rFonts w:cs="Arial"/>
        </w:rPr>
        <w:t>was likely to increase the confidence around the optimal age for complementary feeding.</w:t>
      </w:r>
    </w:p>
    <w:p w14:paraId="12FE08EE" w14:textId="61060CE8" w:rsidR="0014171C" w:rsidRPr="005C39EC" w:rsidRDefault="006C1DF9" w:rsidP="00127C9E">
      <w:pPr>
        <w:pStyle w:val="Heading2"/>
      </w:pPr>
      <w:bookmarkStart w:id="14" w:name="_Toc399945825"/>
      <w:r w:rsidRPr="005C39EC">
        <w:t>2.2</w:t>
      </w:r>
      <w:r w:rsidRPr="005C39EC">
        <w:tab/>
      </w:r>
      <w:r w:rsidR="0014171C" w:rsidRPr="005C39EC">
        <w:t xml:space="preserve">Recommendations of </w:t>
      </w:r>
      <w:r w:rsidR="00342C4A" w:rsidRPr="005C39EC">
        <w:t>expert panels and committees</w:t>
      </w:r>
      <w:bookmarkEnd w:id="14"/>
      <w:r w:rsidR="00342C4A" w:rsidRPr="005C39EC">
        <w:t xml:space="preserve"> </w:t>
      </w:r>
    </w:p>
    <w:p w14:paraId="36A95BD1" w14:textId="77777777" w:rsidR="0014171C" w:rsidRPr="005C39EC" w:rsidRDefault="0014171C" w:rsidP="00BE7858">
      <w:pPr>
        <w:rPr>
          <w:rFonts w:cs="Arial"/>
        </w:rPr>
      </w:pPr>
      <w:r w:rsidRPr="005C39EC">
        <w:rPr>
          <w:rFonts w:cs="Arial"/>
        </w:rPr>
        <w:t>Recommendations on the appropriate age for the introduction of solid foods to infants have been issued by the World Health Organization (WHO) and several international scientific panels including the European Society for Paediatric Gastroenterology, Hepatology, and Nutrition (ESPGHAN) and the European Food Safety Agency (EFSA). The views of these expert panels are based on consideration of several health outcomes and consensus on the benefits of breastfeeding for the first 6 months</w:t>
      </w:r>
      <w:r w:rsidRPr="005C39EC">
        <w:rPr>
          <w:rFonts w:cs="Arial"/>
          <w:vertAlign w:val="superscript"/>
        </w:rPr>
        <w:t>1</w:t>
      </w:r>
      <w:r w:rsidRPr="005C39EC">
        <w:rPr>
          <w:rFonts w:cs="Arial"/>
        </w:rPr>
        <w:t>. However, recommendations are somewhat inconsistent for starting complementary feeding where timing of solid food introduction varies from 4 months compared to ‘around’ or ‘at’ 6 months of age (Table 1). These are subtle differences but may be important for certain health outcomes (addressed in Section 2.3).</w:t>
      </w:r>
    </w:p>
    <w:p w14:paraId="1A343419" w14:textId="77777777" w:rsidR="0014171C" w:rsidRPr="005C39EC" w:rsidRDefault="0014171C" w:rsidP="00BE7858">
      <w:pPr>
        <w:rPr>
          <w:rFonts w:cs="Arial"/>
        </w:rPr>
      </w:pPr>
    </w:p>
    <w:p w14:paraId="5FBF6E62" w14:textId="363EE009" w:rsidR="0014171C" w:rsidRPr="005C39EC" w:rsidRDefault="0014171C" w:rsidP="00BE7858">
      <w:pPr>
        <w:pStyle w:val="FSTableText"/>
        <w:rPr>
          <w:b/>
          <w:sz w:val="22"/>
        </w:rPr>
      </w:pPr>
      <w:r w:rsidRPr="005C39EC">
        <w:rPr>
          <w:b/>
          <w:sz w:val="22"/>
        </w:rPr>
        <w:t>Table 1</w:t>
      </w:r>
      <w:r w:rsidR="00F37DDB" w:rsidRPr="005C39EC">
        <w:rPr>
          <w:b/>
          <w:sz w:val="22"/>
        </w:rPr>
        <w:t xml:space="preserve">: </w:t>
      </w:r>
      <w:r w:rsidRPr="005C39EC">
        <w:rPr>
          <w:b/>
          <w:sz w:val="22"/>
        </w:rPr>
        <w:t>Comparison of recommendations for age of complementary feeding from Expert Panels and Committees</w:t>
      </w:r>
    </w:p>
    <w:tbl>
      <w:tblPr>
        <w:tblStyle w:val="LightList"/>
        <w:tblW w:w="0" w:type="auto"/>
        <w:tblLook w:val="04A0" w:firstRow="1" w:lastRow="0" w:firstColumn="1" w:lastColumn="0" w:noHBand="0" w:noVBand="1"/>
      </w:tblPr>
      <w:tblGrid>
        <w:gridCol w:w="1479"/>
        <w:gridCol w:w="7763"/>
      </w:tblGrid>
      <w:tr w:rsidR="0014171C" w:rsidRPr="005C39EC" w14:paraId="048909CA" w14:textId="77777777" w:rsidTr="00E9079D">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000000" w:themeColor="text1"/>
            </w:tcBorders>
            <w:vAlign w:val="center"/>
          </w:tcPr>
          <w:p w14:paraId="211F9F62" w14:textId="77777777" w:rsidR="0014171C" w:rsidRPr="005C39EC" w:rsidRDefault="0014171C" w:rsidP="00BE7858">
            <w:pPr>
              <w:rPr>
                <w:rFonts w:ascii="Arial" w:hAnsi="Arial" w:cs="Arial"/>
              </w:rPr>
            </w:pPr>
            <w:r w:rsidRPr="005C39EC">
              <w:rPr>
                <w:rFonts w:ascii="Arial" w:hAnsi="Arial" w:cs="Arial"/>
              </w:rPr>
              <w:t>Expert Body</w:t>
            </w:r>
          </w:p>
        </w:tc>
        <w:tc>
          <w:tcPr>
            <w:tcW w:w="0" w:type="auto"/>
            <w:tcBorders>
              <w:bottom w:val="single" w:sz="8" w:space="0" w:color="000000" w:themeColor="text1"/>
            </w:tcBorders>
            <w:vAlign w:val="center"/>
          </w:tcPr>
          <w:p w14:paraId="553244DF" w14:textId="77777777" w:rsidR="0014171C" w:rsidRPr="005C39EC" w:rsidRDefault="0014171C" w:rsidP="00BE785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C39EC">
              <w:rPr>
                <w:rFonts w:ascii="Arial" w:hAnsi="Arial" w:cs="Arial"/>
              </w:rPr>
              <w:t>Recommendation</w:t>
            </w:r>
          </w:p>
        </w:tc>
      </w:tr>
      <w:tr w:rsidR="0014171C" w:rsidRPr="005C39EC" w14:paraId="2C5135AF" w14:textId="77777777" w:rsidTr="00E9079D">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184937A4" w14:textId="77777777" w:rsidR="0014171C" w:rsidRPr="005C39EC" w:rsidRDefault="0014171C" w:rsidP="00BE7858">
            <w:pPr>
              <w:rPr>
                <w:rFonts w:ascii="Arial" w:hAnsi="Arial" w:cs="Arial"/>
              </w:rPr>
            </w:pPr>
            <w:r w:rsidRPr="005C39EC">
              <w:rPr>
                <w:rFonts w:ascii="Arial" w:hAnsi="Arial" w:cs="Arial"/>
              </w:rPr>
              <w:t>WHO (2003)</w:t>
            </w:r>
            <w:r w:rsidRPr="005C39EC">
              <w:rPr>
                <w:rStyle w:val="FootnoteReference"/>
                <w:rFonts w:ascii="Arial" w:hAnsi="Arial" w:cs="Arial"/>
              </w:rPr>
              <w:footnoteReference w:id="1"/>
            </w:r>
          </w:p>
        </w:tc>
        <w:tc>
          <w:tcPr>
            <w:tcW w:w="0" w:type="auto"/>
            <w:tcBorders>
              <w:left w:val="single" w:sz="4" w:space="0" w:color="auto"/>
            </w:tcBorders>
          </w:tcPr>
          <w:p w14:paraId="4BE85D54" w14:textId="77777777" w:rsidR="0014171C" w:rsidRPr="005C39EC" w:rsidRDefault="0014171C" w:rsidP="00BE7858">
            <w:pPr>
              <w:ind w:left="33"/>
              <w:cnfStyle w:val="000000100000" w:firstRow="0" w:lastRow="0" w:firstColumn="0" w:lastColumn="0" w:oddVBand="0" w:evenVBand="0" w:oddHBand="1" w:evenHBand="0" w:firstRowFirstColumn="0" w:firstRowLastColumn="0" w:lastRowFirstColumn="0" w:lastRowLastColumn="0"/>
              <w:rPr>
                <w:rFonts w:ascii="Arial" w:hAnsi="Arial" w:cs="Arial"/>
              </w:rPr>
            </w:pPr>
            <w:r w:rsidRPr="005C39EC">
              <w:rPr>
                <w:rFonts w:ascii="Arial" w:hAnsi="Arial" w:cs="Arial"/>
              </w:rPr>
              <w:t>Recommends infants start receiving complementary foods at 6 months of age in addition to breast milk</w:t>
            </w:r>
          </w:p>
        </w:tc>
      </w:tr>
      <w:tr w:rsidR="0014171C" w:rsidRPr="005C39EC" w14:paraId="10F81872" w14:textId="77777777" w:rsidTr="00E9079D">
        <w:trPr>
          <w:trHeight w:val="759"/>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bottom w:val="single" w:sz="8" w:space="0" w:color="000000" w:themeColor="text1"/>
              <w:right w:val="single" w:sz="4" w:space="0" w:color="auto"/>
            </w:tcBorders>
          </w:tcPr>
          <w:p w14:paraId="42855011" w14:textId="77777777" w:rsidR="0014171C" w:rsidRPr="005C39EC" w:rsidRDefault="0014171C" w:rsidP="00BE7858">
            <w:pPr>
              <w:rPr>
                <w:rFonts w:ascii="Arial" w:hAnsi="Arial" w:cs="Arial"/>
              </w:rPr>
            </w:pPr>
            <w:r w:rsidRPr="005C39EC">
              <w:rPr>
                <w:rFonts w:ascii="Arial" w:hAnsi="Arial" w:cs="Arial"/>
              </w:rPr>
              <w:t>ESPGHAN (2009)</w:t>
            </w:r>
          </w:p>
        </w:tc>
        <w:tc>
          <w:tcPr>
            <w:tcW w:w="0" w:type="auto"/>
            <w:tcBorders>
              <w:top w:val="single" w:sz="8" w:space="0" w:color="000000" w:themeColor="text1"/>
              <w:left w:val="single" w:sz="4" w:space="0" w:color="auto"/>
              <w:bottom w:val="single" w:sz="8" w:space="0" w:color="000000" w:themeColor="text1"/>
            </w:tcBorders>
          </w:tcPr>
          <w:p w14:paraId="0F5D7FAF" w14:textId="77777777" w:rsidR="0014171C" w:rsidRPr="005C39EC" w:rsidRDefault="0014171C" w:rsidP="00BE78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C39EC">
              <w:rPr>
                <w:rFonts w:ascii="Arial" w:hAnsi="Arial" w:cs="Arial"/>
              </w:rPr>
              <w:t>Complementary feeding should not be introduced in any infant before 17 weeks and all infants should start complementary feeding by 26 weeks.</w:t>
            </w:r>
          </w:p>
        </w:tc>
      </w:tr>
      <w:tr w:rsidR="0014171C" w:rsidRPr="005C39EC" w14:paraId="6FCCDDA3" w14:textId="77777777" w:rsidTr="00E9079D">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18CE85EA" w14:textId="77777777" w:rsidR="0014171C" w:rsidRPr="005C39EC" w:rsidRDefault="0014171C" w:rsidP="00BE7858">
            <w:pPr>
              <w:rPr>
                <w:rFonts w:ascii="Arial" w:hAnsi="Arial" w:cs="Arial"/>
              </w:rPr>
            </w:pPr>
            <w:r w:rsidRPr="005C39EC">
              <w:rPr>
                <w:rFonts w:ascii="Arial" w:hAnsi="Arial" w:cs="Arial"/>
              </w:rPr>
              <w:t>EFSA</w:t>
            </w:r>
          </w:p>
          <w:p w14:paraId="45F413D6" w14:textId="77777777" w:rsidR="0014171C" w:rsidRPr="005C39EC" w:rsidRDefault="0014171C" w:rsidP="00BE7858">
            <w:pPr>
              <w:rPr>
                <w:rFonts w:ascii="Arial" w:hAnsi="Arial" w:cs="Arial"/>
              </w:rPr>
            </w:pPr>
            <w:r w:rsidRPr="005C39EC">
              <w:rPr>
                <w:rFonts w:ascii="Arial" w:hAnsi="Arial" w:cs="Arial"/>
              </w:rPr>
              <w:t>(2009)</w:t>
            </w:r>
          </w:p>
        </w:tc>
        <w:tc>
          <w:tcPr>
            <w:tcW w:w="0" w:type="auto"/>
            <w:tcBorders>
              <w:left w:val="single" w:sz="4" w:space="0" w:color="auto"/>
            </w:tcBorders>
          </w:tcPr>
          <w:p w14:paraId="3FA9CA90" w14:textId="77777777" w:rsidR="0014171C" w:rsidRPr="005C39EC" w:rsidRDefault="0014171C" w:rsidP="00BE78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C39EC">
              <w:rPr>
                <w:rFonts w:ascii="Arial" w:hAnsi="Arial" w:cs="Arial"/>
              </w:rPr>
              <w:t>Complementary food introduced between the age of 4 and 6 months is safe and does not pose a risk for adverse health effects.</w:t>
            </w:r>
          </w:p>
        </w:tc>
      </w:tr>
      <w:tr w:rsidR="0014171C" w:rsidRPr="005C39EC" w14:paraId="144E31E4" w14:textId="77777777" w:rsidTr="00E9079D">
        <w:trPr>
          <w:trHeight w:val="759"/>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bottom w:val="single" w:sz="8" w:space="0" w:color="000000" w:themeColor="text1"/>
              <w:right w:val="single" w:sz="4" w:space="0" w:color="auto"/>
            </w:tcBorders>
          </w:tcPr>
          <w:p w14:paraId="215FA290" w14:textId="77777777" w:rsidR="0014171C" w:rsidRPr="005C39EC" w:rsidRDefault="0014171C" w:rsidP="00BE7858">
            <w:pPr>
              <w:rPr>
                <w:rFonts w:ascii="Arial" w:hAnsi="Arial" w:cs="Arial"/>
              </w:rPr>
            </w:pPr>
            <w:r w:rsidRPr="005C39EC">
              <w:rPr>
                <w:rFonts w:ascii="Arial" w:hAnsi="Arial" w:cs="Arial"/>
              </w:rPr>
              <w:t xml:space="preserve">NZ MOH </w:t>
            </w:r>
          </w:p>
          <w:p w14:paraId="6CEC3AF6" w14:textId="77777777" w:rsidR="0014171C" w:rsidRPr="005C39EC" w:rsidRDefault="0014171C" w:rsidP="00BE7858">
            <w:pPr>
              <w:rPr>
                <w:rFonts w:ascii="Arial" w:hAnsi="Arial" w:cs="Arial"/>
              </w:rPr>
            </w:pPr>
            <w:r w:rsidRPr="005C39EC">
              <w:rPr>
                <w:rFonts w:ascii="Arial" w:hAnsi="Arial" w:cs="Arial"/>
              </w:rPr>
              <w:t>(2008)</w:t>
            </w:r>
          </w:p>
        </w:tc>
        <w:tc>
          <w:tcPr>
            <w:tcW w:w="0" w:type="auto"/>
            <w:tcBorders>
              <w:top w:val="single" w:sz="8" w:space="0" w:color="000000" w:themeColor="text1"/>
              <w:left w:val="single" w:sz="4" w:space="0" w:color="auto"/>
              <w:bottom w:val="single" w:sz="8" w:space="0" w:color="000000" w:themeColor="text1"/>
            </w:tcBorders>
          </w:tcPr>
          <w:p w14:paraId="3D9EE89A" w14:textId="77777777" w:rsidR="0014171C" w:rsidRPr="005C39EC" w:rsidRDefault="0014171C" w:rsidP="00BE78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C39EC">
              <w:rPr>
                <w:rFonts w:ascii="Arial" w:hAnsi="Arial" w:cs="Arial"/>
              </w:rPr>
              <w:t>Recommends that infants be fed exclusively on breast milk to around six months of age, at which time complementary foods can be introduced with continued breastfeeding.</w:t>
            </w:r>
          </w:p>
        </w:tc>
      </w:tr>
      <w:tr w:rsidR="0014171C" w:rsidRPr="005C39EC" w14:paraId="48C6579C" w14:textId="77777777" w:rsidTr="00E9079D">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16DCB86B" w14:textId="77777777" w:rsidR="0014171C" w:rsidRPr="005C39EC" w:rsidRDefault="0014171C" w:rsidP="00BE7858">
            <w:pPr>
              <w:rPr>
                <w:rFonts w:ascii="Arial" w:hAnsi="Arial" w:cs="Arial"/>
              </w:rPr>
            </w:pPr>
            <w:r w:rsidRPr="005C39EC">
              <w:rPr>
                <w:rFonts w:ascii="Arial" w:hAnsi="Arial" w:cs="Arial"/>
              </w:rPr>
              <w:t>NHMRC</w:t>
            </w:r>
          </w:p>
          <w:p w14:paraId="2C9BAA61" w14:textId="77777777" w:rsidR="0014171C" w:rsidRPr="005C39EC" w:rsidRDefault="0014171C" w:rsidP="00BE7858">
            <w:pPr>
              <w:rPr>
                <w:rFonts w:ascii="Arial" w:hAnsi="Arial" w:cs="Arial"/>
              </w:rPr>
            </w:pPr>
            <w:r w:rsidRPr="005C39EC">
              <w:rPr>
                <w:rFonts w:ascii="Arial" w:hAnsi="Arial" w:cs="Arial"/>
              </w:rPr>
              <w:t>(2013)</w:t>
            </w:r>
          </w:p>
        </w:tc>
        <w:tc>
          <w:tcPr>
            <w:tcW w:w="0" w:type="auto"/>
            <w:tcBorders>
              <w:left w:val="single" w:sz="4" w:space="0" w:color="auto"/>
            </w:tcBorders>
          </w:tcPr>
          <w:p w14:paraId="6AE405FB" w14:textId="77777777" w:rsidR="0014171C" w:rsidRPr="005C39EC" w:rsidRDefault="0014171C" w:rsidP="00BE78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C39EC">
              <w:rPr>
                <w:rFonts w:ascii="Arial" w:hAnsi="Arial" w:cs="Arial"/>
              </w:rPr>
              <w:t>Recommends introduction of solid foods at around 6 months of age.</w:t>
            </w:r>
          </w:p>
        </w:tc>
      </w:tr>
    </w:tbl>
    <w:p w14:paraId="7C1BC506" w14:textId="77777777" w:rsidR="004B074F" w:rsidRPr="005C39EC" w:rsidRDefault="004B074F" w:rsidP="00BE7858">
      <w:pPr>
        <w:rPr>
          <w:rFonts w:cs="Arial"/>
          <w:lang w:eastAsia="en-AU"/>
        </w:rPr>
      </w:pPr>
    </w:p>
    <w:p w14:paraId="506270B6" w14:textId="0B0545C2" w:rsidR="0014171C" w:rsidRPr="005C39EC" w:rsidRDefault="0014171C" w:rsidP="00BE7858">
      <w:pPr>
        <w:rPr>
          <w:rFonts w:cs="Arial"/>
          <w:lang w:eastAsia="en-AU"/>
        </w:rPr>
      </w:pPr>
      <w:r w:rsidRPr="005C39EC">
        <w:rPr>
          <w:rFonts w:cs="Arial"/>
          <w:lang w:eastAsia="en-AU"/>
        </w:rPr>
        <w:t xml:space="preserve">The NHMRC recommendation is based on systematic reviews </w:t>
      </w:r>
      <w:r w:rsidR="006120CA" w:rsidRPr="005C39EC">
        <w:rPr>
          <w:rFonts w:cs="Arial"/>
          <w:noProof/>
          <w:lang w:eastAsia="en-AU"/>
        </w:rPr>
        <w:t xml:space="preserve">(NHMRC 2011) </w:t>
      </w:r>
      <w:r w:rsidRPr="005C39EC">
        <w:rPr>
          <w:rFonts w:cs="Arial"/>
          <w:lang w:eastAsia="en-AU"/>
        </w:rPr>
        <w:t xml:space="preserve">conducted as part of the review for the Australian Dietary Guidelines. The findings of the systematic reviews were used to inform the </w:t>
      </w:r>
      <w:r w:rsidR="006120CA" w:rsidRPr="005C39EC">
        <w:rPr>
          <w:rFonts w:cs="Arial"/>
          <w:lang w:eastAsia="en-AU"/>
        </w:rPr>
        <w:t xml:space="preserve">2013 NHMRC </w:t>
      </w:r>
      <w:r w:rsidRPr="005C39EC">
        <w:rPr>
          <w:rFonts w:cs="Arial"/>
          <w:lang w:eastAsia="en-AU"/>
        </w:rPr>
        <w:t>Infant Feeding Guidelines which were published at the same time</w:t>
      </w:r>
      <w:r w:rsidR="00FD1942" w:rsidRPr="005C39EC">
        <w:rPr>
          <w:rFonts w:cs="Arial"/>
          <w:lang w:eastAsia="en-AU"/>
        </w:rPr>
        <w:t xml:space="preserve"> </w:t>
      </w:r>
      <w:r w:rsidR="00FD1942" w:rsidRPr="005C39EC">
        <w:rPr>
          <w:rFonts w:cs="Arial"/>
          <w:noProof/>
        </w:rPr>
        <w:t>(NHMRC 201</w:t>
      </w:r>
      <w:r w:rsidR="00360FBD">
        <w:rPr>
          <w:rFonts w:cs="Arial"/>
          <w:noProof/>
        </w:rPr>
        <w:t>2</w:t>
      </w:r>
      <w:r w:rsidR="00FD1942" w:rsidRPr="005C39EC">
        <w:rPr>
          <w:rFonts w:cs="Arial"/>
          <w:noProof/>
        </w:rPr>
        <w:t>a)</w:t>
      </w:r>
      <w:r w:rsidRPr="005C39EC">
        <w:rPr>
          <w:rFonts w:cs="Arial"/>
          <w:lang w:eastAsia="en-AU"/>
        </w:rPr>
        <w:t xml:space="preserve">. </w:t>
      </w:r>
      <w:r w:rsidR="007E48B8">
        <w:rPr>
          <w:rFonts w:cs="Arial"/>
          <w:lang w:eastAsia="en-AU"/>
        </w:rPr>
        <w:t xml:space="preserve">A detailed summary of the </w:t>
      </w:r>
      <w:r w:rsidR="00FA2ABD">
        <w:rPr>
          <w:rFonts w:cs="Arial"/>
          <w:lang w:eastAsia="en-AU"/>
        </w:rPr>
        <w:t xml:space="preserve">evidence base of the NHMRC guidelines is provided at </w:t>
      </w:r>
      <w:r w:rsidR="00714290">
        <w:rPr>
          <w:rFonts w:cs="Arial"/>
          <w:lang w:eastAsia="en-AU"/>
        </w:rPr>
        <w:t>Attachment</w:t>
      </w:r>
      <w:r w:rsidR="00FA2ABD">
        <w:rPr>
          <w:rFonts w:cs="Arial"/>
          <w:lang w:eastAsia="en-AU"/>
        </w:rPr>
        <w:t xml:space="preserve"> 4.</w:t>
      </w:r>
    </w:p>
    <w:p w14:paraId="6BFBB691" w14:textId="77777777" w:rsidR="00360FBD" w:rsidRDefault="00360FBD" w:rsidP="00BE7858">
      <w:pPr>
        <w:rPr>
          <w:rFonts w:cs="Arial"/>
          <w:lang w:eastAsia="en-AU"/>
        </w:rPr>
      </w:pPr>
    </w:p>
    <w:p w14:paraId="4AF0924B" w14:textId="77777777" w:rsidR="002D2E55" w:rsidRPr="005C39EC" w:rsidRDefault="0014171C" w:rsidP="00BE7858">
      <w:pPr>
        <w:rPr>
          <w:rFonts w:cs="Arial"/>
          <w:lang w:eastAsia="en-AU"/>
        </w:rPr>
      </w:pPr>
      <w:r w:rsidRPr="005C39EC">
        <w:rPr>
          <w:rFonts w:cs="Arial"/>
          <w:lang w:eastAsia="en-AU"/>
        </w:rPr>
        <w:lastRenderedPageBreak/>
        <w:t xml:space="preserve">The initial literature search for the Australian Dietary Guidelines revealed evidence on the relationships between age of introduction of solid foods and development of overweight and development of allergic symptoms. </w:t>
      </w:r>
    </w:p>
    <w:p w14:paraId="0A291267" w14:textId="77777777" w:rsidR="002D2E55" w:rsidRPr="005C39EC" w:rsidRDefault="002D2E55" w:rsidP="00BE7858">
      <w:pPr>
        <w:rPr>
          <w:rFonts w:cs="Arial"/>
          <w:lang w:eastAsia="en-AU"/>
        </w:rPr>
      </w:pPr>
    </w:p>
    <w:p w14:paraId="64B3B403" w14:textId="77777777" w:rsidR="0014171C" w:rsidRPr="005C39EC" w:rsidRDefault="0014171C" w:rsidP="00BE7858">
      <w:pPr>
        <w:rPr>
          <w:rFonts w:cs="Arial"/>
          <w:lang w:eastAsia="en-AU"/>
        </w:rPr>
      </w:pPr>
      <w:r w:rsidRPr="005C39EC">
        <w:rPr>
          <w:rFonts w:cs="Arial"/>
          <w:lang w:eastAsia="en-AU"/>
        </w:rPr>
        <w:t>Subsequent systematic reviews on these two relationships indicated that:</w:t>
      </w:r>
    </w:p>
    <w:p w14:paraId="5D0DB293" w14:textId="77777777" w:rsidR="0014171C" w:rsidRPr="005C39EC" w:rsidRDefault="0014171C" w:rsidP="00BE7858">
      <w:pPr>
        <w:rPr>
          <w:rFonts w:cs="Arial"/>
          <w:lang w:eastAsia="en-AU"/>
        </w:rPr>
      </w:pPr>
    </w:p>
    <w:p w14:paraId="7188A949" w14:textId="77777777" w:rsidR="0014171C" w:rsidRPr="005C39EC" w:rsidRDefault="0014171C" w:rsidP="00BE7858">
      <w:pPr>
        <w:pStyle w:val="ListParagraph"/>
        <w:numPr>
          <w:ilvl w:val="0"/>
          <w:numId w:val="4"/>
        </w:numPr>
        <w:ind w:left="567" w:hanging="567"/>
        <w:rPr>
          <w:rFonts w:cs="Arial"/>
          <w:lang w:eastAsia="en-AU"/>
        </w:rPr>
      </w:pPr>
      <w:r w:rsidRPr="005C39EC">
        <w:rPr>
          <w:rFonts w:cs="Arial"/>
          <w:lang w:eastAsia="en-AU"/>
        </w:rPr>
        <w:t>Overweight or obesity in children younger than 7 years of age, based on limited information (1 systematic review and 2 cohort studies; Grade D evidence</w:t>
      </w:r>
      <w:r w:rsidRPr="005C39EC">
        <w:rPr>
          <w:rStyle w:val="FootnoteReference"/>
          <w:rFonts w:cs="Arial"/>
          <w:lang w:eastAsia="en-AU"/>
        </w:rPr>
        <w:footnoteReference w:id="2"/>
      </w:r>
      <w:r w:rsidRPr="005C39EC">
        <w:rPr>
          <w:rFonts w:cs="Arial"/>
          <w:lang w:eastAsia="en-AU"/>
        </w:rPr>
        <w:t>) showed “no relationship between the age of weaning and development of infant or child overweight”.</w:t>
      </w:r>
    </w:p>
    <w:p w14:paraId="22D34756" w14:textId="77777777" w:rsidR="0014171C" w:rsidRPr="005C39EC" w:rsidRDefault="0014171C" w:rsidP="00BE7858">
      <w:pPr>
        <w:pStyle w:val="ListParagraph"/>
        <w:ind w:left="567" w:hanging="567"/>
        <w:rPr>
          <w:rFonts w:cs="Arial"/>
          <w:lang w:eastAsia="en-AU"/>
        </w:rPr>
      </w:pPr>
    </w:p>
    <w:p w14:paraId="1E6484C9" w14:textId="77777777" w:rsidR="0014171C" w:rsidRPr="005C39EC" w:rsidRDefault="0014171C" w:rsidP="00BE7858">
      <w:pPr>
        <w:pStyle w:val="ListParagraph"/>
        <w:numPr>
          <w:ilvl w:val="0"/>
          <w:numId w:val="4"/>
        </w:numPr>
        <w:ind w:left="567" w:hanging="567"/>
        <w:rPr>
          <w:rFonts w:cs="Arial"/>
          <w:lang w:eastAsia="en-AU"/>
        </w:rPr>
      </w:pPr>
      <w:r w:rsidRPr="005C39EC">
        <w:rPr>
          <w:rFonts w:cs="Arial"/>
          <w:lang w:eastAsia="en-AU"/>
        </w:rPr>
        <w:t xml:space="preserve">Development of allergic disease, based on limited information (1 systematic review, 2 RCTs, and 4 cohort studies; Grade D evidence), may be associated with the risk of allergic disease with some evidence that delaying the introduction until after 6 months may increase the risk of certain allergies. Details on the NHMRC review covering allergic syndromes is summarised in Section 3. </w:t>
      </w:r>
    </w:p>
    <w:p w14:paraId="1146E4FF" w14:textId="77777777" w:rsidR="0014171C" w:rsidRPr="005C39EC" w:rsidRDefault="0014171C" w:rsidP="00BE7858">
      <w:pPr>
        <w:rPr>
          <w:rFonts w:cs="Arial"/>
          <w:lang w:eastAsia="en-AU"/>
        </w:rPr>
      </w:pPr>
    </w:p>
    <w:p w14:paraId="67CBB32C" w14:textId="5A5EE4C1" w:rsidR="001541BB" w:rsidRPr="005C39EC" w:rsidRDefault="0014171C" w:rsidP="00BE7858">
      <w:pPr>
        <w:rPr>
          <w:rFonts w:cs="Arial"/>
          <w:lang w:eastAsia="en-AU"/>
        </w:rPr>
      </w:pPr>
      <w:r w:rsidRPr="005C39EC">
        <w:rPr>
          <w:rFonts w:cs="Arial"/>
          <w:lang w:eastAsia="en-AU"/>
        </w:rPr>
        <w:t xml:space="preserve">The NHMRC Infant Feeding Guidelines recommend introduction of solid foods at around 6 months based </w:t>
      </w:r>
      <w:r w:rsidR="00B15E66" w:rsidRPr="005C39EC">
        <w:rPr>
          <w:rFonts w:cs="Arial"/>
          <w:lang w:eastAsia="en-AU"/>
        </w:rPr>
        <w:t xml:space="preserve">on </w:t>
      </w:r>
      <w:r w:rsidRPr="005C39EC">
        <w:rPr>
          <w:rFonts w:cs="Arial"/>
          <w:lang w:eastAsia="en-AU"/>
        </w:rPr>
        <w:t>the nutritional sufficiency of breast milk until 6 months of age, development of feeding behaviour to allow chewing and swallowing and maturity of the digestive system</w:t>
      </w:r>
      <w:r w:rsidR="00D97BFF">
        <w:rPr>
          <w:rFonts w:cs="Arial"/>
          <w:lang w:eastAsia="en-AU"/>
        </w:rPr>
        <w:t xml:space="preserve"> (see Attachment</w:t>
      </w:r>
      <w:r w:rsidR="004275AA">
        <w:rPr>
          <w:rFonts w:cs="Arial"/>
          <w:lang w:eastAsia="en-AU"/>
        </w:rPr>
        <w:t xml:space="preserve"> 4)</w:t>
      </w:r>
      <w:r w:rsidRPr="005C39EC">
        <w:rPr>
          <w:rFonts w:cs="Arial"/>
          <w:lang w:eastAsia="en-AU"/>
        </w:rPr>
        <w:t>.</w:t>
      </w:r>
    </w:p>
    <w:p w14:paraId="0CA58318" w14:textId="402A0F2D" w:rsidR="0014171C" w:rsidRPr="005C39EC" w:rsidRDefault="006C1DF9" w:rsidP="00127C9E">
      <w:pPr>
        <w:pStyle w:val="Heading2"/>
      </w:pPr>
      <w:bookmarkStart w:id="15" w:name="_Toc399945826"/>
      <w:r w:rsidRPr="005C39EC">
        <w:t>2.3</w:t>
      </w:r>
      <w:r w:rsidRPr="005C39EC">
        <w:tab/>
      </w:r>
      <w:r w:rsidR="0014171C" w:rsidRPr="005C39EC">
        <w:t>Summary of health eff</w:t>
      </w:r>
      <w:r w:rsidR="001806A1" w:rsidRPr="005C39EC">
        <w:t xml:space="preserve">ects associated with </w:t>
      </w:r>
      <w:r w:rsidR="0014171C" w:rsidRPr="005C39EC">
        <w:t>timing of the introduction of solid foods</w:t>
      </w:r>
      <w:bookmarkEnd w:id="15"/>
    </w:p>
    <w:p w14:paraId="44A2D69B" w14:textId="77777777" w:rsidR="0014171C" w:rsidRPr="005C39EC" w:rsidRDefault="0014171C" w:rsidP="00BE7858">
      <w:pPr>
        <w:rPr>
          <w:rFonts w:cs="Arial"/>
        </w:rPr>
      </w:pPr>
      <w:r w:rsidRPr="005C39EC">
        <w:rPr>
          <w:rFonts w:cs="Arial"/>
        </w:rPr>
        <w:t xml:space="preserve">ESPGHAN and EFSA published comprehensive reviews on timing of complementary feeding in relation to a number of potential health effects </w:t>
      </w:r>
      <w:r w:rsidRPr="005C39EC">
        <w:rPr>
          <w:rFonts w:cs="Arial"/>
          <w:noProof/>
        </w:rPr>
        <w:t>(Agostoni et al. 2008; EFSA Panel on Dietetic Products Nutrition and Allergies (NDA) 2009)</w:t>
      </w:r>
      <w:r w:rsidRPr="005C39EC">
        <w:rPr>
          <w:rFonts w:cs="Arial"/>
        </w:rPr>
        <w:t xml:space="preserve">. In addition, Hornell et al recently published a systematic review on infant feeding practices and covering similar health effects </w:t>
      </w:r>
      <w:r w:rsidRPr="005C39EC">
        <w:rPr>
          <w:rFonts w:cs="Arial"/>
          <w:noProof/>
        </w:rPr>
        <w:t>(Hornell et al. 2013)</w:t>
      </w:r>
      <w:r w:rsidRPr="005C39EC">
        <w:rPr>
          <w:rFonts w:cs="Arial"/>
        </w:rPr>
        <w:t xml:space="preserve">. </w:t>
      </w:r>
      <w:r w:rsidR="001A64EF" w:rsidRPr="005C39EC">
        <w:rPr>
          <w:rFonts w:cs="Arial"/>
        </w:rPr>
        <w:t>Attachment</w:t>
      </w:r>
      <w:r w:rsidRPr="005C39EC">
        <w:rPr>
          <w:rFonts w:cs="Arial"/>
        </w:rPr>
        <w:t xml:space="preserve"> 1 lists the key findings from each review. Specific health outcomes examined included nutrient adequacy (including energy), growth (including obesity and overweight), allergic diseases and infectious morbidity. The combined findings of these reviews indicate that:</w:t>
      </w:r>
    </w:p>
    <w:p w14:paraId="360FDC90" w14:textId="77777777" w:rsidR="0014171C" w:rsidRPr="005C39EC" w:rsidRDefault="0014171C" w:rsidP="00BE7858">
      <w:pPr>
        <w:rPr>
          <w:rFonts w:cs="Arial"/>
        </w:rPr>
      </w:pPr>
    </w:p>
    <w:p w14:paraId="198D5B81" w14:textId="021E781C" w:rsidR="0014171C" w:rsidRPr="005C39EC" w:rsidRDefault="0014171C" w:rsidP="00BE7858">
      <w:pPr>
        <w:pStyle w:val="FSBullet10"/>
      </w:pPr>
      <w:r w:rsidRPr="005C39EC">
        <w:t>Deficiency of iron or zinc is unlikely if solid foods are introduced in the period of 4</w:t>
      </w:r>
      <w:r w:rsidR="002E3C31" w:rsidRPr="005C39EC">
        <w:t>-</w:t>
      </w:r>
      <w:r w:rsidRPr="005C39EC">
        <w:t xml:space="preserve">6 months. However, data </w:t>
      </w:r>
      <w:r w:rsidR="002609FD" w:rsidRPr="005C39EC">
        <w:t xml:space="preserve">are </w:t>
      </w:r>
      <w:r w:rsidRPr="005C39EC">
        <w:t xml:space="preserve">lacking </w:t>
      </w:r>
      <w:r w:rsidR="00600D5A" w:rsidRPr="005C39EC">
        <w:t xml:space="preserve">on </w:t>
      </w:r>
      <w:r w:rsidRPr="005C39EC">
        <w:t>nutrient intake</w:t>
      </w:r>
      <w:r w:rsidR="00600D5A" w:rsidRPr="005C39EC">
        <w:t xml:space="preserve">s and hence </w:t>
      </w:r>
      <w:r w:rsidR="00936260" w:rsidRPr="005C39EC">
        <w:t>nutritional</w:t>
      </w:r>
      <w:r w:rsidRPr="005C39EC">
        <w:t xml:space="preserve"> </w:t>
      </w:r>
      <w:r w:rsidR="00936260" w:rsidRPr="005C39EC">
        <w:t xml:space="preserve">status </w:t>
      </w:r>
      <w:r w:rsidRPr="005C39EC">
        <w:t xml:space="preserve">if solids are introduced after 6 months. </w:t>
      </w:r>
    </w:p>
    <w:p w14:paraId="5EFC1983" w14:textId="77777777" w:rsidR="0014171C" w:rsidRPr="005C39EC" w:rsidRDefault="0014171C" w:rsidP="00BE7858">
      <w:pPr>
        <w:pStyle w:val="FSBullet10"/>
        <w:numPr>
          <w:ilvl w:val="0"/>
          <w:numId w:val="0"/>
        </w:numPr>
        <w:ind w:left="567"/>
      </w:pPr>
    </w:p>
    <w:p w14:paraId="086B9288" w14:textId="77777777" w:rsidR="0014171C" w:rsidRPr="005C39EC" w:rsidRDefault="0014171C" w:rsidP="00BE7858">
      <w:pPr>
        <w:pStyle w:val="FSBullet10"/>
      </w:pPr>
      <w:r w:rsidRPr="005C39EC">
        <w:t xml:space="preserve">Age at which solid food is introduced does not have a strong impact on growth rates (weight or length) but data </w:t>
      </w:r>
      <w:r w:rsidR="002609FD" w:rsidRPr="005C39EC">
        <w:t xml:space="preserve">are </w:t>
      </w:r>
      <w:r w:rsidRPr="005C39EC">
        <w:t>lacking for solid foods introduced after 6 months. Interpretation of studies is complicated by differences in growth that result from changes in dietary composition (e.g. different complementary foods or increased milk protein).</w:t>
      </w:r>
    </w:p>
    <w:p w14:paraId="21E11A04" w14:textId="77777777" w:rsidR="0014171C" w:rsidRPr="005C39EC" w:rsidRDefault="0014171C" w:rsidP="00BE7858">
      <w:pPr>
        <w:pStyle w:val="FSBullet10"/>
        <w:numPr>
          <w:ilvl w:val="0"/>
          <w:numId w:val="0"/>
        </w:numPr>
        <w:ind w:left="567"/>
      </w:pPr>
    </w:p>
    <w:p w14:paraId="53AFBE2E" w14:textId="6392BDA2" w:rsidR="0014171C" w:rsidRPr="005C39EC" w:rsidRDefault="0014171C" w:rsidP="00BE7858">
      <w:pPr>
        <w:pStyle w:val="FSBullet10"/>
      </w:pPr>
      <w:r w:rsidRPr="005C39EC">
        <w:t xml:space="preserve">The evidence is insufficient to demonstrate that the timing of solid food introduction affects the risk of obesity or overweight. </w:t>
      </w:r>
      <w:r w:rsidR="0053495D" w:rsidRPr="005C39EC">
        <w:t>A subsequent</w:t>
      </w:r>
      <w:r w:rsidR="00F37DDB" w:rsidRPr="005C39EC">
        <w:t xml:space="preserve"> </w:t>
      </w:r>
      <w:r w:rsidR="0053495D" w:rsidRPr="005C39EC">
        <w:t>systematic review on the timing of complementary foods and obesity risk concluded that there is no increased risk if foods are introduced at 4–6 months or &gt;6 months but that there is some evidence that very early introduction (before 4 months) may increase the risk of childhood overweight</w:t>
      </w:r>
      <w:r w:rsidR="003C2B3B" w:rsidRPr="005C39EC">
        <w:t xml:space="preserve"> </w:t>
      </w:r>
      <w:r w:rsidR="003C2B3B" w:rsidRPr="005C39EC">
        <w:fldChar w:fldCharType="begin"/>
      </w:r>
      <w:r w:rsidR="000E7587" w:rsidRPr="005C39EC">
        <w:instrText xml:space="preserve"> ADDIN REFMGR.CITE &lt;Refman&gt;&lt;Cite&gt;&lt;Author&gt;Pearce&lt;/Author&gt;&lt;Year&gt;2013&lt;/Year&gt;&lt;RecNum&gt;102&lt;/RecNum&gt;&lt;IDText&gt;Timing of the introduction of complementary feeding and risk of childhood obesity: a systematic review&lt;/IDText&gt;&lt;MDL Ref_Type="Journal"&gt;&lt;Ref_Type&gt;Journal&lt;/Ref_Type&gt;&lt;Ref_ID&gt;102&lt;/Ref_ID&gt;&lt;Title_Primary&gt;Timing of the introduction of complementary feeding and risk of childhood obesity: a systematic review&lt;/Title_Primary&gt;&lt;Authors_Primary&gt;Pearce,J.&lt;/Authors_Primary&gt;&lt;Authors_Primary&gt;Taylor,M.A.&lt;/Authors_Primary&gt;&lt;Authors_Primary&gt;Langley-Evans,S.C.&lt;/Authors_Primary&gt;&lt;Date_Primary&gt;2013/10&lt;/Date_Primary&gt;&lt;Keywords&gt;Body Composition&lt;/Keywords&gt;&lt;Keywords&gt;Body Mass Index&lt;/Keywords&gt;&lt;Keywords&gt;Developing Countries&lt;/Keywords&gt;&lt;Keywords&gt;Food&lt;/Keywords&gt;&lt;Keywords&gt;Growth&lt;/Keywords&gt;&lt;Keywords&gt;Infant&lt;/Keywords&gt;&lt;Keywords&gt;Obesity&lt;/Keywords&gt;&lt;Keywords&gt;Risk&lt;/Keywords&gt;&lt;Reprint&gt;Not in File&lt;/Reprint&gt;&lt;Start_Page&gt;1295&lt;/Start_Page&gt;&lt;End_Page&gt;1306&lt;/End_Page&gt;&lt;Periodical&gt;Int.J.Obes.(Lond)&lt;/Periodical&gt;&lt;Volume&gt;37&lt;/Volume&gt;&lt;Issue&gt;10&lt;/Issue&gt;&lt;Misc_3&gt;ijo201399 [pii];10.1038/ijo.2013.99 [doi]&lt;/Misc_3&gt;&lt;Address&gt;Division of Nutritional Sciences, School of Biosciences, University of Nottingham, Sutton Bonington, Loughborough, UK&lt;/Address&gt;&lt;Web_URL&gt;PM:23736360&lt;/Web_URL&gt;&lt;ZZ_JournalStdAbbrev&gt;&lt;f name="System"&gt;Int.J.Obes.(Lond)&lt;/f&gt;&lt;/ZZ_JournalStdAbbrev&gt;&lt;ZZ_WorkformID&gt;1&lt;/ZZ_WorkformID&gt;&lt;/MDL&gt;&lt;/Cite&gt;&lt;/Refman&gt;</w:instrText>
      </w:r>
      <w:r w:rsidR="003C2B3B" w:rsidRPr="005C39EC">
        <w:fldChar w:fldCharType="separate"/>
      </w:r>
      <w:r w:rsidR="003C2B3B" w:rsidRPr="005C39EC">
        <w:rPr>
          <w:noProof/>
        </w:rPr>
        <w:t>(Pearce et al. 2013)</w:t>
      </w:r>
      <w:r w:rsidR="003C2B3B" w:rsidRPr="005C39EC">
        <w:fldChar w:fldCharType="end"/>
      </w:r>
      <w:r w:rsidR="0053495D" w:rsidRPr="005C39EC">
        <w:t>.</w:t>
      </w:r>
    </w:p>
    <w:p w14:paraId="181FC36E" w14:textId="77777777" w:rsidR="0014171C" w:rsidRPr="005C39EC" w:rsidRDefault="0014171C" w:rsidP="00BE7858">
      <w:pPr>
        <w:pStyle w:val="FSBullet10"/>
        <w:numPr>
          <w:ilvl w:val="0"/>
          <w:numId w:val="0"/>
        </w:numPr>
        <w:ind w:left="567"/>
      </w:pPr>
    </w:p>
    <w:p w14:paraId="7475F84E" w14:textId="77777777" w:rsidR="000F6208" w:rsidRPr="005C39EC" w:rsidRDefault="0014171C" w:rsidP="00BE7858">
      <w:pPr>
        <w:pStyle w:val="FSBullet10"/>
      </w:pPr>
      <w:r w:rsidRPr="005C39EC">
        <w:lastRenderedPageBreak/>
        <w:t>Solid food introduction before 6 months of age is a significant risk factor for infectious diseases in developing countries</w:t>
      </w:r>
      <w:r w:rsidR="0053495D" w:rsidRPr="005C39EC">
        <w:t xml:space="preserve">. In </w:t>
      </w:r>
      <w:r w:rsidRPr="005C39EC">
        <w:t>developed countries this association has</w:t>
      </w:r>
      <w:r w:rsidR="008F6383" w:rsidRPr="005C39EC">
        <w:t xml:space="preserve"> been examined in terms of non-exclusive breastfeeding rathe</w:t>
      </w:r>
      <w:r w:rsidR="0084102B" w:rsidRPr="005C39EC">
        <w:t xml:space="preserve">r than introduction of solids. </w:t>
      </w:r>
    </w:p>
    <w:p w14:paraId="159908D6" w14:textId="6CC3AF5C" w:rsidR="0014171C" w:rsidRPr="005C39EC" w:rsidRDefault="008F6383" w:rsidP="000F6208">
      <w:pPr>
        <w:pStyle w:val="FSBullet10"/>
        <w:numPr>
          <w:ilvl w:val="0"/>
          <w:numId w:val="0"/>
        </w:numPr>
        <w:ind w:left="567"/>
      </w:pPr>
      <w:r w:rsidRPr="005C39EC">
        <w:t>An association with introduction of solids</w:t>
      </w:r>
      <w:r w:rsidR="00F37DDB" w:rsidRPr="005C39EC">
        <w:t xml:space="preserve"> </w:t>
      </w:r>
      <w:r w:rsidRPr="005C39EC">
        <w:t>to</w:t>
      </w:r>
      <w:r w:rsidR="0014171C" w:rsidRPr="005C39EC">
        <w:t xml:space="preserve"> infants less than 4 months of age</w:t>
      </w:r>
      <w:r w:rsidRPr="005C39EC">
        <w:t xml:space="preserve"> has been observed in one cohort study conducted in Belarus (Kramer et al</w:t>
      </w:r>
      <w:r w:rsidR="001541BB" w:rsidRPr="005C39EC">
        <w:t>.</w:t>
      </w:r>
      <w:r w:rsidRPr="005C39EC">
        <w:t xml:space="preserve"> 2003</w:t>
      </w:r>
      <w:r w:rsidR="004E49A8" w:rsidRPr="005C39EC">
        <w:t>)</w:t>
      </w:r>
      <w:r w:rsidRPr="005C39EC">
        <w:t xml:space="preserve"> but not in </w:t>
      </w:r>
      <w:r w:rsidR="003C2B3B" w:rsidRPr="005C39EC">
        <w:t xml:space="preserve">a </w:t>
      </w:r>
      <w:r w:rsidRPr="005C39EC">
        <w:t>study conducted in the UK</w:t>
      </w:r>
      <w:r w:rsidR="001541BB" w:rsidRPr="005C39EC">
        <w:t xml:space="preserve"> </w:t>
      </w:r>
      <w:r w:rsidR="00EC043F" w:rsidRPr="005C39EC">
        <w:rPr>
          <w:noProof/>
        </w:rPr>
        <w:t>(Quigley et al. 2009)</w:t>
      </w:r>
      <w:r w:rsidR="00EC043F" w:rsidRPr="005C39EC">
        <w:t>.</w:t>
      </w:r>
      <w:r w:rsidR="0014171C" w:rsidRPr="005C39EC">
        <w:br/>
      </w:r>
    </w:p>
    <w:p w14:paraId="2AF4C439" w14:textId="77777777" w:rsidR="0014171C" w:rsidRPr="005C39EC" w:rsidRDefault="0014171C" w:rsidP="00BE7858">
      <w:pPr>
        <w:pStyle w:val="FSBullet10"/>
      </w:pPr>
      <w:r w:rsidRPr="005C39EC">
        <w:t xml:space="preserve">Increased risk of allergic syndromes (food allergy, atopy, gluten intolerance and/or celiac disease, and asthma) may be associated with the timing of complementary feeding, particularly if solid foods are introduced outside the 4–6 month period. </w:t>
      </w:r>
    </w:p>
    <w:p w14:paraId="0B188751" w14:textId="77777777" w:rsidR="0014171C" w:rsidRPr="005C39EC" w:rsidRDefault="0014171C" w:rsidP="00BE7858">
      <w:pPr>
        <w:pStyle w:val="FSBullet"/>
        <w:numPr>
          <w:ilvl w:val="0"/>
          <w:numId w:val="0"/>
        </w:numPr>
        <w:ind w:left="567"/>
      </w:pPr>
    </w:p>
    <w:p w14:paraId="470BE247" w14:textId="77777777" w:rsidR="0014171C" w:rsidRPr="005C39EC" w:rsidRDefault="0014171C" w:rsidP="00BE7858">
      <w:pPr>
        <w:rPr>
          <w:rFonts w:cs="Arial"/>
        </w:rPr>
      </w:pPr>
      <w:r w:rsidRPr="005C39EC">
        <w:rPr>
          <w:rFonts w:cs="Arial"/>
        </w:rPr>
        <w:t>For the purposes of Proposal P274, analysis of studies on links between infant feeding practices and certain long</w:t>
      </w:r>
      <w:r w:rsidR="002E3C31" w:rsidRPr="005C39EC">
        <w:rPr>
          <w:rFonts w:cs="Arial"/>
        </w:rPr>
        <w:t>-</w:t>
      </w:r>
      <w:r w:rsidRPr="005C39EC">
        <w:rPr>
          <w:rFonts w:cs="Arial"/>
        </w:rPr>
        <w:t xml:space="preserve"> and </w:t>
      </w:r>
      <w:r w:rsidR="002E3C31" w:rsidRPr="005C39EC">
        <w:rPr>
          <w:rFonts w:cs="Arial"/>
        </w:rPr>
        <w:t>short-</w:t>
      </w:r>
      <w:r w:rsidRPr="005C39EC">
        <w:rPr>
          <w:rFonts w:cs="Arial"/>
        </w:rPr>
        <w:t xml:space="preserve">term health outcomes is not straightforward. Studies frequently consist of double-barrelled questions and/or definitions so that health effects may be related to more than one issue. For example, studies focussed on determining the optimal duration of </w:t>
      </w:r>
      <w:r w:rsidR="0070346D" w:rsidRPr="005C39EC">
        <w:rPr>
          <w:rFonts w:cs="Arial"/>
        </w:rPr>
        <w:t xml:space="preserve">breastfeeding </w:t>
      </w:r>
      <w:r w:rsidRPr="005C39EC">
        <w:rPr>
          <w:rFonts w:cs="Arial"/>
        </w:rPr>
        <w:t xml:space="preserve">are important for understanding numerous infant health issues. However these same studies do not necessarily reveal the appropriate age for the introduction of solid foods. Very few studies have assessed the timing of complementary feeding as an independent risk factor. Specific factors contributing to definitional problems in studies examining the timing of solid food introduction include </w:t>
      </w:r>
      <w:r w:rsidR="0084102B" w:rsidRPr="005C39EC">
        <w:rPr>
          <w:rFonts w:cs="Arial"/>
        </w:rPr>
        <w:t xml:space="preserve">the </w:t>
      </w:r>
      <w:r w:rsidRPr="005C39EC">
        <w:rPr>
          <w:rFonts w:cs="Arial"/>
        </w:rPr>
        <w:t xml:space="preserve">classification of formula as a complementary food, studies conducted solely on </w:t>
      </w:r>
      <w:r w:rsidR="0070346D" w:rsidRPr="005C39EC">
        <w:rPr>
          <w:rFonts w:cs="Arial"/>
        </w:rPr>
        <w:t>breastfed</w:t>
      </w:r>
      <w:r w:rsidRPr="005C39EC">
        <w:rPr>
          <w:rFonts w:cs="Arial"/>
        </w:rPr>
        <w:t xml:space="preserve"> infants with no comparison with formula</w:t>
      </w:r>
      <w:r w:rsidR="0070346D" w:rsidRPr="005C39EC">
        <w:rPr>
          <w:rFonts w:cs="Arial"/>
        </w:rPr>
        <w:t>-</w:t>
      </w:r>
      <w:r w:rsidRPr="005C39EC">
        <w:rPr>
          <w:rFonts w:cs="Arial"/>
        </w:rPr>
        <w:t>fed infants, and extrapolation of evidence from studies in developing countries to developed countries.</w:t>
      </w:r>
    </w:p>
    <w:p w14:paraId="2DF48BF2" w14:textId="77777777" w:rsidR="0014171C" w:rsidRPr="005C39EC" w:rsidRDefault="0014171C" w:rsidP="00BE7858">
      <w:pPr>
        <w:rPr>
          <w:rFonts w:cs="Arial"/>
        </w:rPr>
      </w:pPr>
    </w:p>
    <w:p w14:paraId="19A987B3" w14:textId="77777777" w:rsidR="00EC043F" w:rsidRPr="005C39EC" w:rsidRDefault="0014171C" w:rsidP="00BE7858">
      <w:pPr>
        <w:rPr>
          <w:rFonts w:cs="Arial"/>
        </w:rPr>
      </w:pPr>
      <w:r w:rsidRPr="005C39EC">
        <w:rPr>
          <w:rFonts w:cs="Arial"/>
        </w:rPr>
        <w:t xml:space="preserve">As an example of such definitional problems, the current WHO infant feeding guidelines are based in part on the ‘PROBIT’ observational cohort study which found lower gastrointestinal rates </w:t>
      </w:r>
      <w:r w:rsidR="001C0BDB" w:rsidRPr="005C39EC">
        <w:rPr>
          <w:rFonts w:cs="Arial"/>
        </w:rPr>
        <w:t xml:space="preserve">infection </w:t>
      </w:r>
      <w:r w:rsidRPr="005C39EC">
        <w:rPr>
          <w:rFonts w:cs="Arial"/>
        </w:rPr>
        <w:t xml:space="preserve">in infants exclusively </w:t>
      </w:r>
      <w:r w:rsidR="0070346D" w:rsidRPr="005C39EC">
        <w:rPr>
          <w:rFonts w:cs="Arial"/>
        </w:rPr>
        <w:t>breastfed</w:t>
      </w:r>
      <w:r w:rsidRPr="005C39EC">
        <w:rPr>
          <w:rFonts w:cs="Arial"/>
        </w:rPr>
        <w:t xml:space="preserve"> for at least 6 months </w:t>
      </w:r>
      <w:r w:rsidRPr="005C39EC">
        <w:rPr>
          <w:rFonts w:cs="Arial"/>
          <w:noProof/>
        </w:rPr>
        <w:t>(Kramer et al. 2003)</w:t>
      </w:r>
      <w:r w:rsidRPr="005C39EC">
        <w:rPr>
          <w:rFonts w:cs="Arial"/>
        </w:rPr>
        <w:t xml:space="preserve">. However, in relation to solid food introduction, the ‘PROBIT’ study only examined two populations: infants exclusively </w:t>
      </w:r>
      <w:r w:rsidR="0070346D" w:rsidRPr="005C39EC">
        <w:rPr>
          <w:rFonts w:cs="Arial"/>
        </w:rPr>
        <w:t>breastfed</w:t>
      </w:r>
      <w:r w:rsidRPr="005C39EC">
        <w:rPr>
          <w:rFonts w:cs="Arial"/>
        </w:rPr>
        <w:t xml:space="preserve"> for 6 months and solid food introduced thereafter compared to infants exclusively </w:t>
      </w:r>
      <w:r w:rsidR="0070346D" w:rsidRPr="005C39EC">
        <w:rPr>
          <w:rFonts w:cs="Arial"/>
        </w:rPr>
        <w:t>breastfed</w:t>
      </w:r>
      <w:r w:rsidRPr="005C39EC">
        <w:rPr>
          <w:rFonts w:cs="Arial"/>
        </w:rPr>
        <w:t xml:space="preserve"> for 3-4 months then solid foods and/or formula introduced. The incidence of gastrointestinal infection in infants who were introduced to solid foods at 3</w:t>
      </w:r>
      <w:r w:rsidR="009204B5" w:rsidRPr="005C39EC">
        <w:rPr>
          <w:rFonts w:cs="Arial"/>
        </w:rPr>
        <w:t>–</w:t>
      </w:r>
      <w:r w:rsidRPr="005C39EC">
        <w:rPr>
          <w:rFonts w:cs="Arial"/>
        </w:rPr>
        <w:t xml:space="preserve">4 months </w:t>
      </w:r>
      <w:r w:rsidRPr="005C39EC">
        <w:rPr>
          <w:rFonts w:cs="Arial"/>
          <w:b/>
        </w:rPr>
        <w:t xml:space="preserve">while continuing to be </w:t>
      </w:r>
      <w:r w:rsidR="0070346D" w:rsidRPr="005C39EC">
        <w:rPr>
          <w:rFonts w:cs="Arial"/>
          <w:b/>
        </w:rPr>
        <w:t>breastfed</w:t>
      </w:r>
      <w:r w:rsidRPr="005C39EC">
        <w:rPr>
          <w:rFonts w:cs="Arial"/>
        </w:rPr>
        <w:t xml:space="preserve"> </w:t>
      </w:r>
      <w:r w:rsidR="00EC043F" w:rsidRPr="005C39EC">
        <w:rPr>
          <w:rFonts w:cs="Arial"/>
        </w:rPr>
        <w:t>or after adjusting for the use of breast</w:t>
      </w:r>
      <w:r w:rsidR="001541BB" w:rsidRPr="005C39EC">
        <w:rPr>
          <w:rFonts w:cs="Arial"/>
        </w:rPr>
        <w:t xml:space="preserve"> </w:t>
      </w:r>
      <w:r w:rsidR="00EC043F" w:rsidRPr="005C39EC">
        <w:rPr>
          <w:rFonts w:cs="Arial"/>
        </w:rPr>
        <w:t xml:space="preserve">milk versus formula </w:t>
      </w:r>
      <w:r w:rsidRPr="005C39EC">
        <w:rPr>
          <w:rFonts w:cs="Arial"/>
        </w:rPr>
        <w:t xml:space="preserve">was not determined in this study. </w:t>
      </w:r>
      <w:r w:rsidR="00EC043F" w:rsidRPr="005C39EC">
        <w:rPr>
          <w:rFonts w:cs="Arial"/>
        </w:rPr>
        <w:t>Therefore it is not possible to separate the effect of solids from the effect of formula on gastrointestinal infection incidence in the group with shorter breastfeeding duration in the PROBIT study.</w:t>
      </w:r>
    </w:p>
    <w:p w14:paraId="17C7AE21" w14:textId="77777777" w:rsidR="00EC043F" w:rsidRPr="005C39EC" w:rsidRDefault="00EC043F" w:rsidP="00BE7858">
      <w:pPr>
        <w:rPr>
          <w:rFonts w:cs="Arial"/>
        </w:rPr>
      </w:pPr>
    </w:p>
    <w:p w14:paraId="626FE222" w14:textId="29AC2F94" w:rsidR="0081397C" w:rsidRPr="005C39EC" w:rsidRDefault="00EC043F" w:rsidP="00BE7858">
      <w:pPr>
        <w:rPr>
          <w:rFonts w:cs="Arial"/>
        </w:rPr>
      </w:pPr>
      <w:r w:rsidRPr="005C39EC">
        <w:rPr>
          <w:rFonts w:cs="Arial"/>
        </w:rPr>
        <w:t xml:space="preserve">By contrast, the UK </w:t>
      </w:r>
      <w:r w:rsidR="004B57DB" w:rsidRPr="005C39EC">
        <w:rPr>
          <w:rFonts w:cs="Arial"/>
        </w:rPr>
        <w:t>Millennium</w:t>
      </w:r>
      <w:r w:rsidRPr="005C39EC">
        <w:rPr>
          <w:rFonts w:cs="Arial"/>
        </w:rPr>
        <w:t xml:space="preserve"> Cohort Study examined hospitalisation rates for gastrointestinal </w:t>
      </w:r>
      <w:r w:rsidR="0081397C" w:rsidRPr="005C39EC">
        <w:rPr>
          <w:rFonts w:cs="Arial"/>
        </w:rPr>
        <w:t xml:space="preserve">and </w:t>
      </w:r>
      <w:r w:rsidR="008035CB" w:rsidRPr="005C39EC">
        <w:rPr>
          <w:rFonts w:cs="Arial"/>
        </w:rPr>
        <w:t xml:space="preserve">lower </w:t>
      </w:r>
      <w:r w:rsidR="0081397C" w:rsidRPr="005C39EC">
        <w:rPr>
          <w:rFonts w:cs="Arial"/>
        </w:rPr>
        <w:t xml:space="preserve">respiratory tract infections separately for age of introduction of solids </w:t>
      </w:r>
      <w:r w:rsidR="0084102B" w:rsidRPr="005C39EC">
        <w:rPr>
          <w:rFonts w:cs="Arial"/>
        </w:rPr>
        <w:t xml:space="preserve">and </w:t>
      </w:r>
      <w:r w:rsidR="0081397C" w:rsidRPr="005C39EC">
        <w:rPr>
          <w:rFonts w:cs="Arial"/>
        </w:rPr>
        <w:t>from use of formula (Quigley et al, 200</w:t>
      </w:r>
      <w:r w:rsidR="003C2B3B" w:rsidRPr="005C39EC">
        <w:rPr>
          <w:rFonts w:cs="Arial"/>
        </w:rPr>
        <w:t>9</w:t>
      </w:r>
      <w:r w:rsidR="00B15E66" w:rsidRPr="005C39EC">
        <w:rPr>
          <w:rFonts w:cs="Arial"/>
        </w:rPr>
        <w:t xml:space="preserve">) and adjusted the analyses. </w:t>
      </w:r>
      <w:r w:rsidR="0081397C" w:rsidRPr="005C39EC">
        <w:rPr>
          <w:rFonts w:cs="Arial"/>
        </w:rPr>
        <w:t xml:space="preserve">The results show </w:t>
      </w:r>
      <w:r w:rsidR="00906042" w:rsidRPr="005C39EC">
        <w:rPr>
          <w:rFonts w:cs="Arial"/>
        </w:rPr>
        <w:t xml:space="preserve">lower </w:t>
      </w:r>
      <w:r w:rsidR="0081397C" w:rsidRPr="005C39EC">
        <w:rPr>
          <w:rFonts w:cs="Arial"/>
        </w:rPr>
        <w:t xml:space="preserve">hospitalisation rates are associated with </w:t>
      </w:r>
      <w:r w:rsidR="00906042" w:rsidRPr="005C39EC">
        <w:rPr>
          <w:rFonts w:cs="Arial"/>
        </w:rPr>
        <w:t xml:space="preserve">breastfeeding compared to </w:t>
      </w:r>
      <w:r w:rsidR="0081397C" w:rsidRPr="005C39EC">
        <w:rPr>
          <w:rFonts w:cs="Arial"/>
        </w:rPr>
        <w:t>use of formula, but there is no association with age of introduction of solids for the two conditions studi</w:t>
      </w:r>
      <w:r w:rsidR="00255767" w:rsidRPr="005C39EC">
        <w:rPr>
          <w:rFonts w:cs="Arial"/>
        </w:rPr>
        <w:t>ed.</w:t>
      </w:r>
      <w:r w:rsidR="00906042" w:rsidRPr="005C39EC">
        <w:rPr>
          <w:rFonts w:cs="Arial"/>
        </w:rPr>
        <w:t xml:space="preserve"> </w:t>
      </w:r>
      <w:r w:rsidR="0081397C" w:rsidRPr="005C39EC">
        <w:rPr>
          <w:rFonts w:cs="Arial"/>
        </w:rPr>
        <w:t>The authors reported:</w:t>
      </w:r>
    </w:p>
    <w:p w14:paraId="79430A64" w14:textId="77777777" w:rsidR="0081397C" w:rsidRPr="005C39EC" w:rsidRDefault="0081397C" w:rsidP="00BE7858">
      <w:pPr>
        <w:rPr>
          <w:rFonts w:cs="Arial"/>
        </w:rPr>
      </w:pPr>
    </w:p>
    <w:p w14:paraId="1BF28894" w14:textId="77777777" w:rsidR="0081397C" w:rsidRPr="005C39EC" w:rsidRDefault="0081397C" w:rsidP="00BE7858">
      <w:pPr>
        <w:autoSpaceDE w:val="0"/>
        <w:autoSpaceDN w:val="0"/>
        <w:adjustRightInd w:val="0"/>
        <w:ind w:left="567"/>
        <w:rPr>
          <w:rFonts w:cs="Arial"/>
          <w:i/>
          <w:sz w:val="20"/>
          <w:szCs w:val="20"/>
        </w:rPr>
      </w:pPr>
      <w:r w:rsidRPr="005C39EC">
        <w:rPr>
          <w:rFonts w:cs="Arial"/>
          <w:i/>
          <w:sz w:val="20"/>
          <w:szCs w:val="20"/>
        </w:rPr>
        <w:t xml:space="preserve">We assessed the independent effects of solids and breastfeeding on the risk of hospitalisation for infection in term, singleton infants in the Millennium Cohort Study (n=15,980). For both diarrhoea and lower respiratory tract infection (LRTI), the monthly risk of hospitalisation was significantly lower in those receiving breast milk compared with those receiving formula. </w:t>
      </w:r>
      <w:r w:rsidRPr="005C39EC">
        <w:rPr>
          <w:rFonts w:cs="Arial"/>
          <w:b/>
          <w:i/>
          <w:sz w:val="20"/>
          <w:szCs w:val="20"/>
        </w:rPr>
        <w:t>The monthly risk of hospitalisation was not significantly higher in those who had received solids compared with those not on solids</w:t>
      </w:r>
      <w:r w:rsidRPr="005C39EC">
        <w:rPr>
          <w:rFonts w:cs="Arial"/>
          <w:i/>
          <w:sz w:val="20"/>
          <w:szCs w:val="20"/>
        </w:rPr>
        <w:t xml:space="preserve"> (for diarrhoea, adjusted odds ratio=1.39, 95% CI: 0.75-2.59; for LRTI, adjusted odds ratio=1.14, 95% CI: 0.76-1.70), and </w:t>
      </w:r>
      <w:r w:rsidRPr="005C39EC">
        <w:rPr>
          <w:rFonts w:cs="Arial"/>
          <w:b/>
          <w:i/>
          <w:sz w:val="20"/>
          <w:szCs w:val="20"/>
        </w:rPr>
        <w:t>the risk did not vary significantly according to the age of starting solids</w:t>
      </w:r>
      <w:r w:rsidRPr="005C39EC">
        <w:rPr>
          <w:rFonts w:cs="Arial"/>
          <w:i/>
          <w:sz w:val="20"/>
          <w:szCs w:val="20"/>
        </w:rPr>
        <w:t>. (Quigley et al, 200</w:t>
      </w:r>
      <w:r w:rsidR="003C2B3B" w:rsidRPr="005C39EC">
        <w:rPr>
          <w:rFonts w:cs="Arial"/>
          <w:i/>
          <w:sz w:val="20"/>
          <w:szCs w:val="20"/>
        </w:rPr>
        <w:t>9</w:t>
      </w:r>
      <w:r w:rsidRPr="005C39EC">
        <w:rPr>
          <w:rFonts w:cs="Arial"/>
          <w:i/>
          <w:sz w:val="20"/>
          <w:szCs w:val="20"/>
        </w:rPr>
        <w:t>, emphasis added).</w:t>
      </w:r>
    </w:p>
    <w:p w14:paraId="426E5F1F" w14:textId="77777777" w:rsidR="001541BB" w:rsidRPr="005C39EC" w:rsidRDefault="001541BB" w:rsidP="00BE7858">
      <w:pPr>
        <w:rPr>
          <w:rFonts w:cs="Arial"/>
          <w:i/>
          <w:sz w:val="20"/>
          <w:szCs w:val="20"/>
        </w:rPr>
      </w:pPr>
    </w:p>
    <w:p w14:paraId="60674DAB" w14:textId="77777777" w:rsidR="00B34931" w:rsidRPr="005C39EC" w:rsidRDefault="0081397C" w:rsidP="00BE7858">
      <w:pPr>
        <w:rPr>
          <w:rFonts w:cs="Arial"/>
        </w:rPr>
      </w:pPr>
      <w:r w:rsidRPr="005C39EC">
        <w:rPr>
          <w:rFonts w:cs="Arial"/>
        </w:rPr>
        <w:t xml:space="preserve">FSANZ has not identified any data that can be examined to determine if there is a difference in gastrointestinal infection rates in Australia and New Zealand according to whether infants were introduced to solid foods </w:t>
      </w:r>
      <w:r w:rsidR="0084102B" w:rsidRPr="005C39EC">
        <w:rPr>
          <w:rFonts w:cs="Arial"/>
        </w:rPr>
        <w:t>from</w:t>
      </w:r>
      <w:r w:rsidRPr="005C39EC">
        <w:rPr>
          <w:rFonts w:cs="Arial"/>
        </w:rPr>
        <w:t xml:space="preserve"> 4 months or around 6 months of age. </w:t>
      </w:r>
    </w:p>
    <w:p w14:paraId="1F43FB6F" w14:textId="7687EB3B" w:rsidR="0081397C" w:rsidRPr="005C39EC" w:rsidRDefault="0081397C" w:rsidP="00BE7858">
      <w:pPr>
        <w:rPr>
          <w:rFonts w:cs="Arial"/>
        </w:rPr>
      </w:pPr>
      <w:r w:rsidRPr="005C39EC">
        <w:rPr>
          <w:rFonts w:cs="Arial"/>
        </w:rPr>
        <w:lastRenderedPageBreak/>
        <w:t xml:space="preserve">Such data would be difficult to interpret in any case, as it would be confounded by </w:t>
      </w:r>
      <w:r w:rsidR="0084102B" w:rsidRPr="005C39EC">
        <w:rPr>
          <w:rFonts w:cs="Arial"/>
        </w:rPr>
        <w:t xml:space="preserve">other </w:t>
      </w:r>
      <w:r w:rsidRPr="005C39EC">
        <w:rPr>
          <w:rFonts w:cs="Arial"/>
        </w:rPr>
        <w:t>factors</w:t>
      </w:r>
      <w:r w:rsidR="0084102B" w:rsidRPr="005C39EC">
        <w:rPr>
          <w:rFonts w:cs="Arial"/>
        </w:rPr>
        <w:t>,</w:t>
      </w:r>
      <w:r w:rsidRPr="005C39EC">
        <w:rPr>
          <w:rFonts w:cs="Arial"/>
        </w:rPr>
        <w:t xml:space="preserve"> such as infants in this ag</w:t>
      </w:r>
      <w:r w:rsidR="00B15E66" w:rsidRPr="005C39EC">
        <w:rPr>
          <w:rFonts w:cs="Arial"/>
        </w:rPr>
        <w:t xml:space="preserve">e group moving into childcare. </w:t>
      </w:r>
      <w:r w:rsidRPr="005C39EC">
        <w:rPr>
          <w:rFonts w:cs="Arial"/>
        </w:rPr>
        <w:t xml:space="preserve">FSANZ believes that the data from the UK Millennium Cohort Study are likely to be more relevant to prevailing conditions in Australia and New Zealand than data from Belarus. </w:t>
      </w:r>
    </w:p>
    <w:p w14:paraId="0E119CA1" w14:textId="77777777" w:rsidR="0014171C" w:rsidRPr="005C39EC" w:rsidRDefault="0014171C" w:rsidP="00BE7858">
      <w:pPr>
        <w:rPr>
          <w:rFonts w:cs="Arial"/>
        </w:rPr>
      </w:pPr>
    </w:p>
    <w:p w14:paraId="54B29505" w14:textId="0DEA3FC8" w:rsidR="0014171C" w:rsidRPr="005C39EC" w:rsidRDefault="0014171C" w:rsidP="00BE7858">
      <w:pPr>
        <w:rPr>
          <w:rFonts w:cs="Arial"/>
        </w:rPr>
      </w:pPr>
      <w:r w:rsidRPr="005C39EC">
        <w:rPr>
          <w:rFonts w:cs="Arial"/>
        </w:rPr>
        <w:t xml:space="preserve">Apart from the potential links to allergic diseases, the three reviews covered in </w:t>
      </w:r>
      <w:r w:rsidR="001A64EF" w:rsidRPr="005C39EC">
        <w:rPr>
          <w:rFonts w:cs="Arial"/>
        </w:rPr>
        <w:t>Attachment</w:t>
      </w:r>
      <w:r w:rsidRPr="005C39EC">
        <w:rPr>
          <w:rFonts w:cs="Arial"/>
        </w:rPr>
        <w:t xml:space="preserve"> 1 indicate that there </w:t>
      </w:r>
      <w:r w:rsidR="00E7481C" w:rsidRPr="005C39EC">
        <w:rPr>
          <w:rFonts w:cs="Arial"/>
        </w:rPr>
        <w:t>are</w:t>
      </w:r>
      <w:r w:rsidRPr="005C39EC">
        <w:rPr>
          <w:rFonts w:cs="Arial"/>
        </w:rPr>
        <w:t xml:space="preserve"> no </w:t>
      </w:r>
      <w:r w:rsidR="0084102B" w:rsidRPr="005C39EC">
        <w:rPr>
          <w:rFonts w:cs="Arial"/>
        </w:rPr>
        <w:t>new data</w:t>
      </w:r>
      <w:r w:rsidR="008F6383" w:rsidRPr="005C39EC">
        <w:rPr>
          <w:rFonts w:cs="Arial"/>
        </w:rPr>
        <w:t xml:space="preserve"> to change the view that there are no </w:t>
      </w:r>
      <w:r w:rsidRPr="005C39EC">
        <w:rPr>
          <w:rFonts w:cs="Arial"/>
        </w:rPr>
        <w:t>health effects clearly linked with adverse outcomes if solid food introduction is delayed to ‘around 6 months’ compared to</w:t>
      </w:r>
      <w:r w:rsidR="00E7481C" w:rsidRPr="005C39EC">
        <w:rPr>
          <w:rFonts w:cs="Arial"/>
        </w:rPr>
        <w:t xml:space="preserve"> from 4 months </w:t>
      </w:r>
      <w:r w:rsidRPr="005C39EC">
        <w:rPr>
          <w:rFonts w:cs="Arial"/>
        </w:rPr>
        <w:t xml:space="preserve">of age (see </w:t>
      </w:r>
      <w:r w:rsidR="001A64EF" w:rsidRPr="005C39EC">
        <w:rPr>
          <w:rFonts w:cs="Arial"/>
        </w:rPr>
        <w:t>Attachment</w:t>
      </w:r>
      <w:r w:rsidRPr="005C39EC">
        <w:rPr>
          <w:rFonts w:cs="Arial"/>
        </w:rPr>
        <w:t xml:space="preserve"> 1). </w:t>
      </w:r>
      <w:r w:rsidR="008F6383" w:rsidRPr="005C39EC">
        <w:rPr>
          <w:rFonts w:cs="Arial"/>
        </w:rPr>
        <w:t xml:space="preserve">There are new </w:t>
      </w:r>
      <w:r w:rsidR="00AF2D3D" w:rsidRPr="005C39EC">
        <w:rPr>
          <w:rFonts w:cs="Arial"/>
        </w:rPr>
        <w:t xml:space="preserve">studies </w:t>
      </w:r>
      <w:r w:rsidR="008F6383" w:rsidRPr="005C39EC">
        <w:rPr>
          <w:rFonts w:cs="Arial"/>
        </w:rPr>
        <w:t>and reviews (Palmer and Prescott 2012) examining the</w:t>
      </w:r>
      <w:r w:rsidRPr="005C39EC">
        <w:rPr>
          <w:rFonts w:cs="Arial"/>
        </w:rPr>
        <w:t xml:space="preserve"> potential association to allergic diseases </w:t>
      </w:r>
      <w:r w:rsidR="008F6383" w:rsidRPr="005C39EC">
        <w:rPr>
          <w:rFonts w:cs="Arial"/>
        </w:rPr>
        <w:t xml:space="preserve">published since </w:t>
      </w:r>
      <w:r w:rsidRPr="005C39EC">
        <w:rPr>
          <w:rFonts w:cs="Arial"/>
        </w:rPr>
        <w:t xml:space="preserve">the </w:t>
      </w:r>
      <w:r w:rsidR="00191987" w:rsidRPr="005C39EC">
        <w:rPr>
          <w:rFonts w:cs="Arial"/>
        </w:rPr>
        <w:t xml:space="preserve">2008 </w:t>
      </w:r>
      <w:r w:rsidRPr="005C39EC">
        <w:rPr>
          <w:rFonts w:cs="Arial"/>
        </w:rPr>
        <w:t>FSANZ assessment (FSANZ 2008)</w:t>
      </w:r>
      <w:r w:rsidR="008F6383" w:rsidRPr="005C39EC">
        <w:rPr>
          <w:rFonts w:cs="Arial"/>
        </w:rPr>
        <w:t xml:space="preserve">. As this is an area of active research with new data which might alter previous conclusions, </w:t>
      </w:r>
      <w:r w:rsidRPr="005C39EC">
        <w:rPr>
          <w:rFonts w:cs="Arial"/>
        </w:rPr>
        <w:t xml:space="preserve">a more detailed analysis of this health effect </w:t>
      </w:r>
      <w:r w:rsidR="00B15E66" w:rsidRPr="005C39EC">
        <w:rPr>
          <w:rFonts w:cs="Arial"/>
        </w:rPr>
        <w:t>is</w:t>
      </w:r>
      <w:r w:rsidRPr="005C39EC">
        <w:rPr>
          <w:rFonts w:cs="Arial"/>
        </w:rPr>
        <w:t xml:space="preserve"> addressed in Section 3.</w:t>
      </w:r>
    </w:p>
    <w:p w14:paraId="620BB40F" w14:textId="77777777" w:rsidR="0014171C" w:rsidRPr="005C39EC" w:rsidRDefault="0014171C" w:rsidP="00BE7858">
      <w:pPr>
        <w:pStyle w:val="Heading1"/>
        <w:rPr>
          <w:rFonts w:cs="Arial"/>
        </w:rPr>
      </w:pPr>
      <w:bookmarkStart w:id="16" w:name="_Toc399945827"/>
      <w:r w:rsidRPr="005C39EC">
        <w:rPr>
          <w:rFonts w:cs="Arial"/>
        </w:rPr>
        <w:t>Solid food introduction and allergy</w:t>
      </w:r>
      <w:bookmarkEnd w:id="16"/>
      <w:r w:rsidRPr="005C39EC">
        <w:rPr>
          <w:rFonts w:cs="Arial"/>
        </w:rPr>
        <w:t xml:space="preserve"> </w:t>
      </w:r>
    </w:p>
    <w:p w14:paraId="76079C15" w14:textId="77777777" w:rsidR="0014171C" w:rsidRPr="005C39EC" w:rsidRDefault="0014171C" w:rsidP="00BE7858">
      <w:pPr>
        <w:rPr>
          <w:rFonts w:cs="Arial"/>
          <w:i/>
        </w:rPr>
      </w:pPr>
      <w:r w:rsidRPr="005C39EC">
        <w:rPr>
          <w:rFonts w:cs="Arial"/>
        </w:rPr>
        <w:t>Allergy is an abnormal immune response to a variety of exogenous proteins such as pollen, insect venom and food proteins. The development of allergic diseases is complex and depends on interactions between a variety of environmental factors and the genetic susceptibility of the individual. For food allergy</w:t>
      </w:r>
      <w:r w:rsidRPr="005C39EC">
        <w:rPr>
          <w:rStyle w:val="FootnoteReference"/>
          <w:rFonts w:cs="Arial"/>
        </w:rPr>
        <w:footnoteReference w:id="3"/>
      </w:r>
      <w:r w:rsidRPr="005C39EC">
        <w:rPr>
          <w:rFonts w:cs="Arial"/>
        </w:rPr>
        <w:t xml:space="preserve">, avoidance of potentially allergenic foods was originally considered to be important for susceptible individuals. Scientific evidence no longer supports this approach and oral </w:t>
      </w:r>
      <w:r w:rsidR="00504E31" w:rsidRPr="005C39EC">
        <w:rPr>
          <w:rFonts w:cs="Arial"/>
        </w:rPr>
        <w:t>tolerance (suppression of orally-induced immune responses in the gut) and timing of introduction and dose of potential food allergens are</w:t>
      </w:r>
      <w:r w:rsidRPr="005C39EC">
        <w:rPr>
          <w:rFonts w:cs="Arial"/>
        </w:rPr>
        <w:t xml:space="preserve"> thought to be critical factors </w:t>
      </w:r>
      <w:r w:rsidRPr="005C39EC">
        <w:rPr>
          <w:rFonts w:cs="Arial"/>
          <w:noProof/>
        </w:rPr>
        <w:t>(Brandtzaeg 2010)</w:t>
      </w:r>
      <w:r w:rsidRPr="005C39EC">
        <w:rPr>
          <w:rFonts w:cs="Arial"/>
        </w:rPr>
        <w:t>.</w:t>
      </w:r>
      <w:r w:rsidRPr="005C39EC">
        <w:rPr>
          <w:rFonts w:cs="Arial"/>
          <w:i/>
        </w:rPr>
        <w:t xml:space="preserve"> </w:t>
      </w:r>
    </w:p>
    <w:p w14:paraId="1CFBBC67" w14:textId="77777777" w:rsidR="0014171C" w:rsidRPr="005C39EC" w:rsidRDefault="0014171C" w:rsidP="00BE7858">
      <w:pPr>
        <w:rPr>
          <w:rFonts w:cs="Arial"/>
          <w:i/>
        </w:rPr>
      </w:pPr>
    </w:p>
    <w:p w14:paraId="00778F1E" w14:textId="77777777" w:rsidR="002D2E55" w:rsidRPr="005C39EC" w:rsidRDefault="0014171C" w:rsidP="00BE7858">
      <w:pPr>
        <w:rPr>
          <w:rFonts w:cs="Arial"/>
        </w:rPr>
      </w:pPr>
      <w:r w:rsidRPr="005C39EC">
        <w:rPr>
          <w:rFonts w:cs="Arial"/>
        </w:rPr>
        <w:t>Common allergenic foods are cows’ milk protein, egg, soya, wheat, nuts and fish. Food allergy is an IgE-mediated immune response which is characterised by clinical outcomes or diagnoses such as atopic eczema (atopic dermatitis), allergic rhinitis and asthma. Food protein sensitisation precedes development of food allergy but does not always lead to an allergic disease for a given food.</w:t>
      </w:r>
    </w:p>
    <w:p w14:paraId="05BA2142" w14:textId="77777777" w:rsidR="00D25B19" w:rsidRPr="005C39EC" w:rsidRDefault="00D25B19" w:rsidP="00BE7858">
      <w:pPr>
        <w:rPr>
          <w:rFonts w:cs="Arial"/>
        </w:rPr>
      </w:pPr>
    </w:p>
    <w:p w14:paraId="509A8CA9" w14:textId="77777777" w:rsidR="0014171C" w:rsidRPr="005C39EC" w:rsidRDefault="0014171C" w:rsidP="00BE7858">
      <w:pPr>
        <w:rPr>
          <w:rFonts w:cs="Arial"/>
        </w:rPr>
      </w:pPr>
      <w:r w:rsidRPr="005C39EC">
        <w:rPr>
          <w:rFonts w:cs="Arial"/>
        </w:rPr>
        <w:t>For example, eczema is also a clinical symptom of food sensitisation, usually appearing in the first 18 months of age, which infants may outgrow in later childhood. Allergies to proteins in milk and egg increase risk of sensitization to pollen and development of asthma so that these health outcomes are also considered as food</w:t>
      </w:r>
      <w:r w:rsidR="002E3C31" w:rsidRPr="005C39EC">
        <w:rPr>
          <w:rFonts w:cs="Arial"/>
        </w:rPr>
        <w:t xml:space="preserve"> </w:t>
      </w:r>
      <w:r w:rsidRPr="005C39EC">
        <w:rPr>
          <w:rFonts w:cs="Arial"/>
        </w:rPr>
        <w:t>related.</w:t>
      </w:r>
    </w:p>
    <w:p w14:paraId="541310C2" w14:textId="77777777" w:rsidR="0014171C" w:rsidRPr="005C39EC" w:rsidRDefault="0014171C" w:rsidP="00BE7858">
      <w:pPr>
        <w:rPr>
          <w:rFonts w:cs="Arial"/>
          <w:i/>
        </w:rPr>
      </w:pPr>
    </w:p>
    <w:p w14:paraId="7A76C980" w14:textId="110687CD" w:rsidR="0014171C" w:rsidRPr="005C39EC" w:rsidRDefault="0014171C" w:rsidP="00BE7858">
      <w:pPr>
        <w:rPr>
          <w:rFonts w:cs="Arial"/>
        </w:rPr>
      </w:pPr>
      <w:r w:rsidRPr="005C39EC">
        <w:rPr>
          <w:rFonts w:cs="Arial"/>
        </w:rPr>
        <w:t xml:space="preserve">The relationship between allergic disease and infant feeding has been covered in several recent reviews papers </w:t>
      </w:r>
      <w:r w:rsidRPr="005C39EC">
        <w:rPr>
          <w:rFonts w:cs="Arial"/>
          <w:noProof/>
        </w:rPr>
        <w:t>(Prescott et al. 2008</w:t>
      </w:r>
      <w:r w:rsidR="00B15E66" w:rsidRPr="005C39EC">
        <w:rPr>
          <w:rFonts w:cs="Arial"/>
          <w:noProof/>
        </w:rPr>
        <w:t>,</w:t>
      </w:r>
      <w:r w:rsidRPr="005C39EC">
        <w:rPr>
          <w:rFonts w:cs="Arial"/>
          <w:noProof/>
        </w:rPr>
        <w:t xml:space="preserve"> Prescott and Nowak-Wegrzyn 2011</w:t>
      </w:r>
      <w:r w:rsidR="00B15E66" w:rsidRPr="005C39EC">
        <w:rPr>
          <w:rFonts w:cs="Arial"/>
          <w:noProof/>
        </w:rPr>
        <w:t>,</w:t>
      </w:r>
      <w:r w:rsidRPr="005C39EC">
        <w:rPr>
          <w:rFonts w:cs="Arial"/>
          <w:noProof/>
        </w:rPr>
        <w:t xml:space="preserve"> Lack and Penagos 2011</w:t>
      </w:r>
      <w:r w:rsidR="00B15E66" w:rsidRPr="005C39EC">
        <w:rPr>
          <w:rFonts w:cs="Arial"/>
          <w:noProof/>
        </w:rPr>
        <w:t>,</w:t>
      </w:r>
      <w:r w:rsidRPr="005C39EC">
        <w:rPr>
          <w:rFonts w:cs="Arial"/>
          <w:noProof/>
        </w:rPr>
        <w:t xml:space="preserve"> Fewtrell et al. 2011</w:t>
      </w:r>
      <w:r w:rsidR="00B15E66" w:rsidRPr="005C39EC">
        <w:rPr>
          <w:rFonts w:cs="Arial"/>
          <w:noProof/>
        </w:rPr>
        <w:t>,</w:t>
      </w:r>
      <w:r w:rsidRPr="005C39EC">
        <w:rPr>
          <w:rFonts w:cs="Arial"/>
          <w:noProof/>
        </w:rPr>
        <w:t xml:space="preserve"> Palmer and Prescott 2012)</w:t>
      </w:r>
      <w:r w:rsidRPr="005C39EC">
        <w:rPr>
          <w:rFonts w:cs="Arial"/>
        </w:rPr>
        <w:t>. The prevalence of allergic diseases and syndromes in children has increased substantially in the past 10</w:t>
      </w:r>
      <w:r w:rsidR="009204B5" w:rsidRPr="005C39EC">
        <w:rPr>
          <w:rFonts w:cs="Arial"/>
        </w:rPr>
        <w:t>–</w:t>
      </w:r>
      <w:r w:rsidRPr="005C39EC">
        <w:rPr>
          <w:rFonts w:cs="Arial"/>
        </w:rPr>
        <w:t>15 years. The cause of this increase is not known but exposure to food proteins is considered to be an underlying risk factor</w:t>
      </w:r>
      <w:r w:rsidR="009F0687" w:rsidRPr="005C39EC">
        <w:rPr>
          <w:rFonts w:cs="Arial"/>
        </w:rPr>
        <w:t>,</w:t>
      </w:r>
      <w:r w:rsidRPr="005C39EC">
        <w:rPr>
          <w:rFonts w:cs="Arial"/>
        </w:rPr>
        <w:t xml:space="preserve"> with the type of food protein, exposure through the maternal diet and the timing of exposure to specific food proteins under investigation. In addition, infants exposed to food proteins too early may develop allergic disease due to inefficient digestion of food proteins, undeveloped gut permeability and degree of gut bacterial colonization </w:t>
      </w:r>
      <w:r w:rsidRPr="005C39EC">
        <w:rPr>
          <w:rFonts w:cs="Arial"/>
          <w:noProof/>
        </w:rPr>
        <w:t>(Shreffler and Radano 2011)</w:t>
      </w:r>
      <w:r w:rsidRPr="005C39EC">
        <w:rPr>
          <w:rFonts w:cs="Arial"/>
        </w:rPr>
        <w:t xml:space="preserve">. </w:t>
      </w:r>
    </w:p>
    <w:p w14:paraId="154EFDC9" w14:textId="77777777" w:rsidR="00127C9E" w:rsidRDefault="00127C9E" w:rsidP="00127C9E">
      <w:pPr>
        <w:pStyle w:val="Heading2"/>
      </w:pPr>
      <w:r>
        <w:br w:type="page"/>
      </w:r>
    </w:p>
    <w:p w14:paraId="3A1D2A56" w14:textId="3A777EFA" w:rsidR="0014171C" w:rsidRPr="005C39EC" w:rsidRDefault="006C1DF9" w:rsidP="00127C9E">
      <w:pPr>
        <w:pStyle w:val="Heading2"/>
      </w:pPr>
      <w:r w:rsidRPr="005C39EC">
        <w:lastRenderedPageBreak/>
        <w:t>3.1</w:t>
      </w:r>
      <w:r w:rsidRPr="005C39EC">
        <w:tab/>
      </w:r>
      <w:r w:rsidR="0014171C" w:rsidRPr="005C39EC">
        <w:t xml:space="preserve">NHMRC </w:t>
      </w:r>
      <w:r w:rsidR="00342C4A" w:rsidRPr="005C39EC">
        <w:t>review on age of introduction of solid foods and allergies</w:t>
      </w:r>
    </w:p>
    <w:p w14:paraId="0BEE0262" w14:textId="575827CD" w:rsidR="0014171C" w:rsidRPr="005C39EC" w:rsidRDefault="0014171C" w:rsidP="00BE7858">
      <w:pPr>
        <w:rPr>
          <w:rFonts w:cs="Arial"/>
        </w:rPr>
      </w:pPr>
      <w:r w:rsidRPr="005C39EC">
        <w:rPr>
          <w:rFonts w:cs="Arial"/>
        </w:rPr>
        <w:t xml:space="preserve">The relationship between development of allergies and appropriate timing for the introduction of solid foods was addressed within both the NHMRC Infant Feeding Guidelines </w:t>
      </w:r>
      <w:r w:rsidRPr="005C39EC">
        <w:rPr>
          <w:rFonts w:cs="Arial"/>
          <w:noProof/>
        </w:rPr>
        <w:t>(NHMRC 201</w:t>
      </w:r>
      <w:r w:rsidR="00360FBD">
        <w:rPr>
          <w:rFonts w:cs="Arial"/>
          <w:noProof/>
        </w:rPr>
        <w:t>2</w:t>
      </w:r>
      <w:r w:rsidRPr="005C39EC">
        <w:rPr>
          <w:rFonts w:cs="Arial"/>
          <w:noProof/>
        </w:rPr>
        <w:t>a)</w:t>
      </w:r>
      <w:r w:rsidRPr="005C39EC">
        <w:rPr>
          <w:rFonts w:cs="Arial"/>
        </w:rPr>
        <w:t xml:space="preserve"> and the Australian Dietary Guidelines </w:t>
      </w:r>
      <w:r w:rsidRPr="005C39EC">
        <w:rPr>
          <w:rFonts w:cs="Arial"/>
          <w:noProof/>
        </w:rPr>
        <w:t>(NHMRC 2013)</w:t>
      </w:r>
      <w:r w:rsidRPr="005C39EC">
        <w:rPr>
          <w:rFonts w:cs="Arial"/>
        </w:rPr>
        <w:t xml:space="preserve">. The underlying scientific data supporting these guidelines was described in the Literature Review </w:t>
      </w:r>
      <w:r w:rsidRPr="005C39EC">
        <w:rPr>
          <w:rFonts w:cs="Arial"/>
          <w:noProof/>
        </w:rPr>
        <w:t>(NHMRC 2012</w:t>
      </w:r>
      <w:r w:rsidR="004105A6">
        <w:rPr>
          <w:rFonts w:cs="Arial"/>
          <w:noProof/>
        </w:rPr>
        <w:t>b</w:t>
      </w:r>
      <w:r w:rsidRPr="005C39EC">
        <w:rPr>
          <w:rFonts w:cs="Arial"/>
          <w:noProof/>
        </w:rPr>
        <w:t>)</w:t>
      </w:r>
      <w:r w:rsidRPr="005C39EC">
        <w:rPr>
          <w:rFonts w:cs="Arial"/>
        </w:rPr>
        <w:t xml:space="preserve"> for the Infant Feeding Guidelines and the Evidence Report </w:t>
      </w:r>
      <w:r w:rsidRPr="005C39EC">
        <w:rPr>
          <w:rFonts w:cs="Arial"/>
          <w:noProof/>
        </w:rPr>
        <w:t>(NHMRC 2011)</w:t>
      </w:r>
      <w:r w:rsidRPr="005C39EC">
        <w:rPr>
          <w:rFonts w:cs="Arial"/>
        </w:rPr>
        <w:t xml:space="preserve"> for the Dietary Guidelines.</w:t>
      </w:r>
    </w:p>
    <w:p w14:paraId="44DE149C" w14:textId="28DF1B08" w:rsidR="0014171C" w:rsidRPr="005C39EC" w:rsidRDefault="0014171C" w:rsidP="00BE7858">
      <w:pPr>
        <w:rPr>
          <w:rFonts w:cs="Arial"/>
        </w:rPr>
      </w:pPr>
    </w:p>
    <w:p w14:paraId="16C9888E" w14:textId="541DAA8E" w:rsidR="0014171C" w:rsidRPr="005C39EC" w:rsidRDefault="0014171C" w:rsidP="00BE7858">
      <w:pPr>
        <w:rPr>
          <w:rFonts w:cs="Arial"/>
        </w:rPr>
      </w:pPr>
      <w:r w:rsidRPr="005C39EC">
        <w:rPr>
          <w:rFonts w:cs="Arial"/>
        </w:rPr>
        <w:t xml:space="preserve">The Literature Review for the Infant Feeding Guidelines considered the relationship of breastfeeding and </w:t>
      </w:r>
      <w:r w:rsidR="0070346D" w:rsidRPr="005C39EC">
        <w:rPr>
          <w:rFonts w:cs="Arial"/>
        </w:rPr>
        <w:t>formula-feeding</w:t>
      </w:r>
      <w:r w:rsidRPr="005C39EC">
        <w:rPr>
          <w:rFonts w:cs="Arial"/>
        </w:rPr>
        <w:t xml:space="preserve"> to the prevention of atopic diseases and not timing of solid food introduction. However, the views and recommendations of various expert groups on the relationship between allergies and solid foods were also reviewed. Final comments suggested that there is no reason to restrict the introduction of any particular foods or groups of food to infants to prevent allergy or promote tolerance. </w:t>
      </w:r>
    </w:p>
    <w:p w14:paraId="4C8867EE" w14:textId="1124E647" w:rsidR="0014171C" w:rsidRPr="005C39EC" w:rsidRDefault="0014171C" w:rsidP="00BE7858">
      <w:pPr>
        <w:rPr>
          <w:rFonts w:cs="Arial"/>
        </w:rPr>
      </w:pPr>
    </w:p>
    <w:p w14:paraId="28080614" w14:textId="2DFF1FA6" w:rsidR="0014171C" w:rsidRPr="005C39EC" w:rsidRDefault="0014171C" w:rsidP="00BE7858">
      <w:pPr>
        <w:rPr>
          <w:rFonts w:cs="Arial"/>
        </w:rPr>
      </w:pPr>
      <w:r w:rsidRPr="005C39EC">
        <w:rPr>
          <w:rFonts w:cs="Arial"/>
        </w:rPr>
        <w:t>The Evidence Report for the Australian Dietary Guidelines was based on systematic reviews addressing specific targeted questions on food, diet and disease/health relationships</w:t>
      </w:r>
      <w:r w:rsidR="00FD1942" w:rsidRPr="005C39EC">
        <w:rPr>
          <w:rFonts w:cs="Arial"/>
        </w:rPr>
        <w:t>,</w:t>
      </w:r>
      <w:r w:rsidRPr="005C39EC">
        <w:rPr>
          <w:rFonts w:cs="Arial"/>
        </w:rPr>
        <w:t xml:space="preserve"> including whether the age of solid food introduction in children is associated with the development of allergic syndromes </w:t>
      </w:r>
      <w:r w:rsidRPr="005C39EC">
        <w:rPr>
          <w:rFonts w:cs="Arial"/>
          <w:noProof/>
        </w:rPr>
        <w:t>(NHMRC 2011)</w:t>
      </w:r>
      <w:r w:rsidRPr="005C39EC">
        <w:rPr>
          <w:rFonts w:cs="Arial"/>
        </w:rPr>
        <w:t xml:space="preserve">. The literature searches identified seven studies of which only four cohort studies and one RCT, all published between 2006 and 2008, </w:t>
      </w:r>
      <w:proofErr w:type="gramStart"/>
      <w:r w:rsidRPr="005C39EC">
        <w:rPr>
          <w:rFonts w:cs="Arial"/>
        </w:rPr>
        <w:t>were</w:t>
      </w:r>
      <w:proofErr w:type="gramEnd"/>
      <w:r w:rsidRPr="005C39EC">
        <w:rPr>
          <w:rFonts w:cs="Arial"/>
        </w:rPr>
        <w:t xml:space="preserve"> judged to be of suitable quality. Only two of the five studies examined introduction of solid foods in the 4–6 month time period and the other three involved introduction of solids after 6 months.</w:t>
      </w:r>
      <w:r w:rsidR="00F37DDB" w:rsidRPr="005C39EC">
        <w:rPr>
          <w:rFonts w:cs="Arial"/>
        </w:rPr>
        <w:t xml:space="preserve"> </w:t>
      </w:r>
      <w:r w:rsidRPr="005C39EC">
        <w:rPr>
          <w:rFonts w:cs="Arial"/>
        </w:rPr>
        <w:t>The review concluded that the data suggests that delaying solid food introduction until after 6 months may increase the risk of certain allergies but acknowledged that the conclusion is based on a limited number of studies (Grade D evidence).</w:t>
      </w:r>
    </w:p>
    <w:p w14:paraId="56DE0754" w14:textId="394DFA91" w:rsidR="0014171C" w:rsidRPr="005C39EC" w:rsidRDefault="006C1DF9" w:rsidP="00127C9E">
      <w:pPr>
        <w:pStyle w:val="Heading2"/>
      </w:pPr>
      <w:bookmarkStart w:id="17" w:name="_Toc399945828"/>
      <w:r w:rsidRPr="005C39EC">
        <w:t>3.2</w:t>
      </w:r>
      <w:r w:rsidRPr="005C39EC">
        <w:tab/>
      </w:r>
      <w:r w:rsidR="001515D3" w:rsidRPr="005C39EC">
        <w:t xml:space="preserve">FSANZ analysis on the potential association between the age of solid food introduction </w:t>
      </w:r>
      <w:r w:rsidR="0014171C" w:rsidRPr="005C39EC">
        <w:t>and allergy</w:t>
      </w:r>
      <w:bookmarkEnd w:id="17"/>
    </w:p>
    <w:p w14:paraId="1ECC0818" w14:textId="77777777" w:rsidR="001C0BDB" w:rsidRPr="005C39EC" w:rsidRDefault="001C0BDB" w:rsidP="00BE7858">
      <w:pPr>
        <w:rPr>
          <w:rFonts w:cs="Arial"/>
        </w:rPr>
      </w:pPr>
      <w:bookmarkStart w:id="18" w:name="_Toc358807096"/>
      <w:r w:rsidRPr="005C39EC">
        <w:rPr>
          <w:rFonts w:cs="Arial"/>
        </w:rPr>
        <w:t xml:space="preserve">The analysis of review papers shown in Attachment 1 indicated that the age of introduction of solid foods is potentially associated with the development of allergic disease. This potential link was also identified in the FSANZ assessment conducted in 2008 (FSANZ 2008) and is consistent with recent published reviews (Palmer and Prescott 2012). </w:t>
      </w:r>
      <w:r w:rsidR="009F2A28" w:rsidRPr="005C39EC">
        <w:rPr>
          <w:rFonts w:cs="Arial"/>
        </w:rPr>
        <w:t xml:space="preserve">Current concerns about food allergy risk are also particularly relevant to the time periods covered in Proposal P274. </w:t>
      </w:r>
      <w:r w:rsidRPr="005C39EC">
        <w:rPr>
          <w:rFonts w:cs="Arial"/>
        </w:rPr>
        <w:t>Therefore, a more detailed analysis of the evidence for this association is described below.</w:t>
      </w:r>
    </w:p>
    <w:p w14:paraId="145F4DBF" w14:textId="77777777" w:rsidR="009F2A28" w:rsidRPr="005C39EC" w:rsidRDefault="009F2A28" w:rsidP="00BE7858">
      <w:pPr>
        <w:rPr>
          <w:rFonts w:cs="Arial"/>
        </w:rPr>
      </w:pPr>
    </w:p>
    <w:p w14:paraId="273667BD" w14:textId="77777777" w:rsidR="0014171C" w:rsidRPr="005C39EC" w:rsidRDefault="0014171C" w:rsidP="00BE7858">
      <w:pPr>
        <w:rPr>
          <w:rFonts w:cs="Arial"/>
          <w:b/>
        </w:rPr>
      </w:pPr>
      <w:r w:rsidRPr="005C39EC">
        <w:rPr>
          <w:rFonts w:cs="Arial"/>
          <w:b/>
        </w:rPr>
        <w:t>Sources of data, search strategy</w:t>
      </w:r>
      <w:bookmarkEnd w:id="18"/>
      <w:r w:rsidRPr="005C39EC">
        <w:rPr>
          <w:rFonts w:cs="Arial"/>
          <w:b/>
        </w:rPr>
        <w:t xml:space="preserve"> </w:t>
      </w:r>
    </w:p>
    <w:p w14:paraId="6D367ED8" w14:textId="77777777" w:rsidR="0014171C" w:rsidRPr="005C39EC" w:rsidRDefault="0014171C" w:rsidP="00BE7858">
      <w:pPr>
        <w:rPr>
          <w:rFonts w:cs="Arial"/>
          <w:b/>
        </w:rPr>
      </w:pPr>
    </w:p>
    <w:p w14:paraId="5EAD25B8" w14:textId="77777777" w:rsidR="0014171C" w:rsidRPr="005C39EC" w:rsidRDefault="0014171C" w:rsidP="00BE7858">
      <w:pPr>
        <w:rPr>
          <w:rFonts w:cs="Arial"/>
        </w:rPr>
      </w:pPr>
      <w:r w:rsidRPr="005C39EC">
        <w:rPr>
          <w:rFonts w:cs="Arial"/>
        </w:rPr>
        <w:t>Primary research (cohort study or RCT) was selected according to the PICO</w:t>
      </w:r>
      <w:r w:rsidRPr="005C39EC">
        <w:rPr>
          <w:rStyle w:val="FootnoteReference"/>
          <w:rFonts w:cs="Arial"/>
        </w:rPr>
        <w:footnoteReference w:id="4"/>
      </w:r>
      <w:r w:rsidRPr="005C39EC">
        <w:rPr>
          <w:rFonts w:cs="Arial"/>
        </w:rPr>
        <w:t xml:space="preserve"> method and included the following study characteristics:</w:t>
      </w:r>
    </w:p>
    <w:p w14:paraId="338CEA6C" w14:textId="77777777" w:rsidR="0014171C" w:rsidRPr="005C39EC" w:rsidRDefault="0014171C" w:rsidP="00BE7858">
      <w:pPr>
        <w:rPr>
          <w:rFonts w:cs="Arial"/>
        </w:rPr>
      </w:pPr>
    </w:p>
    <w:p w14:paraId="4009FE43" w14:textId="77777777" w:rsidR="0014171C" w:rsidRPr="005C39EC" w:rsidRDefault="0014171C" w:rsidP="00BE7858">
      <w:pPr>
        <w:pStyle w:val="ListParagraph"/>
        <w:numPr>
          <w:ilvl w:val="0"/>
          <w:numId w:val="3"/>
        </w:numPr>
        <w:ind w:left="567" w:hanging="567"/>
        <w:rPr>
          <w:rFonts w:cs="Arial"/>
        </w:rPr>
      </w:pPr>
      <w:r w:rsidRPr="005C39EC">
        <w:rPr>
          <w:rFonts w:cs="Arial"/>
        </w:rPr>
        <w:t>Breast</w:t>
      </w:r>
      <w:r w:rsidR="00504E31" w:rsidRPr="005C39EC">
        <w:rPr>
          <w:rFonts w:cs="Arial"/>
        </w:rPr>
        <w:t>fed</w:t>
      </w:r>
      <w:r w:rsidRPr="005C39EC">
        <w:rPr>
          <w:rFonts w:cs="Arial"/>
        </w:rPr>
        <w:t xml:space="preserve"> or formula-fed infants of normal allergy risk or at-risk of allergic disease (parental history, allergic symptoms)</w:t>
      </w:r>
      <w:r w:rsidR="00D51D76" w:rsidRPr="005C39EC">
        <w:rPr>
          <w:rFonts w:cs="Arial"/>
        </w:rPr>
        <w:t>.</w:t>
      </w:r>
      <w:r w:rsidRPr="005C39EC">
        <w:rPr>
          <w:rFonts w:cs="Arial"/>
        </w:rPr>
        <w:t xml:space="preserve"> </w:t>
      </w:r>
    </w:p>
    <w:p w14:paraId="5A6C1FB0" w14:textId="77777777" w:rsidR="0014171C" w:rsidRPr="005C39EC" w:rsidRDefault="0014171C" w:rsidP="00BE7858">
      <w:pPr>
        <w:pStyle w:val="ListParagraph"/>
        <w:numPr>
          <w:ilvl w:val="0"/>
          <w:numId w:val="3"/>
        </w:numPr>
        <w:ind w:left="567" w:hanging="567"/>
        <w:rPr>
          <w:rFonts w:cs="Arial"/>
        </w:rPr>
      </w:pPr>
      <w:r w:rsidRPr="005C39EC">
        <w:rPr>
          <w:rFonts w:cs="Arial"/>
        </w:rPr>
        <w:t>Various solid foods or specific allergenic foods (but not infant formula) introduced from 4 months of age</w:t>
      </w:r>
      <w:r w:rsidR="00D51D76" w:rsidRPr="005C39EC">
        <w:rPr>
          <w:rFonts w:cs="Arial"/>
        </w:rPr>
        <w:t>.</w:t>
      </w:r>
      <w:r w:rsidRPr="005C39EC">
        <w:rPr>
          <w:rFonts w:cs="Arial"/>
        </w:rPr>
        <w:t xml:space="preserve"> </w:t>
      </w:r>
    </w:p>
    <w:p w14:paraId="01088A7E" w14:textId="2634ACC9" w:rsidR="0014171C" w:rsidRPr="005C39EC" w:rsidRDefault="0014171C" w:rsidP="00BE7858">
      <w:pPr>
        <w:pStyle w:val="ListParagraph"/>
        <w:numPr>
          <w:ilvl w:val="0"/>
          <w:numId w:val="3"/>
        </w:numPr>
        <w:ind w:left="567" w:hanging="567"/>
        <w:rPr>
          <w:rFonts w:cs="Arial"/>
        </w:rPr>
      </w:pPr>
      <w:r w:rsidRPr="005C39EC">
        <w:rPr>
          <w:rFonts w:cs="Arial"/>
        </w:rPr>
        <w:t>Depending on the study, age of solid food introduction was compared to another specified age (e.g. introduction at 4 months compared to 6 months) or a non-allergenic food (e.g. egg compared to rice powder).</w:t>
      </w:r>
      <w:r w:rsidR="00F37DDB" w:rsidRPr="005C39EC">
        <w:rPr>
          <w:rFonts w:cs="Arial"/>
        </w:rPr>
        <w:t xml:space="preserve"> </w:t>
      </w:r>
    </w:p>
    <w:p w14:paraId="3FB5B84C" w14:textId="77777777" w:rsidR="0014171C" w:rsidRPr="005C39EC" w:rsidRDefault="0014171C" w:rsidP="00BE7858">
      <w:pPr>
        <w:pStyle w:val="ListParagraph"/>
        <w:numPr>
          <w:ilvl w:val="0"/>
          <w:numId w:val="3"/>
        </w:numPr>
        <w:ind w:left="567" w:hanging="567"/>
        <w:rPr>
          <w:rFonts w:cs="Arial"/>
        </w:rPr>
      </w:pPr>
      <w:r w:rsidRPr="005C39EC">
        <w:rPr>
          <w:rFonts w:cs="Arial"/>
        </w:rPr>
        <w:lastRenderedPageBreak/>
        <w:t xml:space="preserve">Outcomes were clinical diagnoses in infants and children up to age 10 years of food-related allergic diseases or symptoms: asthma, atopy or atopic disease, allergic rhinitis, allergic </w:t>
      </w:r>
      <w:r w:rsidR="00FB379F" w:rsidRPr="005C39EC">
        <w:rPr>
          <w:rFonts w:cs="Arial"/>
        </w:rPr>
        <w:t>sensitisation</w:t>
      </w:r>
      <w:r w:rsidRPr="005C39EC">
        <w:rPr>
          <w:rFonts w:cs="Arial"/>
        </w:rPr>
        <w:t>, c</w:t>
      </w:r>
      <w:r w:rsidR="00FB379F" w:rsidRPr="005C39EC">
        <w:rPr>
          <w:rFonts w:cs="Arial"/>
        </w:rPr>
        <w:t>o</w:t>
      </w:r>
      <w:r w:rsidRPr="005C39EC">
        <w:rPr>
          <w:rFonts w:cs="Arial"/>
        </w:rPr>
        <w:t>eliac disease; Type 1 diabetes mellitus; eczema; food allergy, food sensiti</w:t>
      </w:r>
      <w:r w:rsidR="00FB379F" w:rsidRPr="005C39EC">
        <w:rPr>
          <w:rFonts w:cs="Arial"/>
        </w:rPr>
        <w:t>s</w:t>
      </w:r>
      <w:r w:rsidRPr="005C39EC">
        <w:rPr>
          <w:rFonts w:cs="Arial"/>
        </w:rPr>
        <w:t>ation, and wheezing.</w:t>
      </w:r>
    </w:p>
    <w:p w14:paraId="396C221D" w14:textId="77777777" w:rsidR="0014171C" w:rsidRPr="005C39EC" w:rsidRDefault="0014171C" w:rsidP="00BE7858">
      <w:pPr>
        <w:pStyle w:val="ListParagraph"/>
        <w:numPr>
          <w:ilvl w:val="0"/>
          <w:numId w:val="3"/>
        </w:numPr>
        <w:ind w:left="567" w:hanging="567"/>
        <w:rPr>
          <w:rFonts w:cs="Arial"/>
        </w:rPr>
      </w:pPr>
      <w:r w:rsidRPr="005C39EC">
        <w:rPr>
          <w:rFonts w:cs="Arial"/>
        </w:rPr>
        <w:t>Studies or specific analyses within studies that examined the duration of breastfeeding and association with allergic diseases were excluded.</w:t>
      </w:r>
    </w:p>
    <w:p w14:paraId="04658410" w14:textId="77777777" w:rsidR="0014171C" w:rsidRPr="005C39EC" w:rsidRDefault="0014171C" w:rsidP="00BE7858">
      <w:pPr>
        <w:rPr>
          <w:rFonts w:cs="Arial"/>
        </w:rPr>
      </w:pPr>
    </w:p>
    <w:p w14:paraId="4587FEE7" w14:textId="77777777" w:rsidR="0014171C" w:rsidRPr="005C39EC" w:rsidRDefault="0014171C" w:rsidP="00BE7858">
      <w:pPr>
        <w:rPr>
          <w:rFonts w:cs="Arial"/>
        </w:rPr>
      </w:pPr>
      <w:r w:rsidRPr="005C39EC">
        <w:rPr>
          <w:rFonts w:cs="Arial"/>
        </w:rPr>
        <w:t xml:space="preserve">The following strategy was used to source primary research: </w:t>
      </w:r>
    </w:p>
    <w:p w14:paraId="0D4ABA63" w14:textId="77777777" w:rsidR="0014171C" w:rsidRPr="005C39EC" w:rsidRDefault="0014171C" w:rsidP="00BE7858">
      <w:pPr>
        <w:ind w:left="720"/>
        <w:rPr>
          <w:rFonts w:cs="Arial"/>
        </w:rPr>
      </w:pPr>
    </w:p>
    <w:p w14:paraId="06DD32F9" w14:textId="77777777" w:rsidR="0014171C" w:rsidRPr="005C39EC" w:rsidRDefault="0014171C" w:rsidP="00BE7858">
      <w:pPr>
        <w:pStyle w:val="ListParagraph"/>
        <w:numPr>
          <w:ilvl w:val="0"/>
          <w:numId w:val="6"/>
        </w:numPr>
        <w:ind w:left="567" w:hanging="567"/>
        <w:rPr>
          <w:rFonts w:cs="Arial"/>
        </w:rPr>
      </w:pPr>
      <w:r w:rsidRPr="005C39EC">
        <w:rPr>
          <w:rFonts w:cs="Arial"/>
        </w:rPr>
        <w:t>Studies cited by reviews conducted by expert bodies (EFSA, ESPGHAN, the American Academy of Pediatrics (AAP), NHMRC). These mainly covered the period up to 2008 when these reports were completed or published</w:t>
      </w:r>
      <w:r w:rsidR="00D51D76" w:rsidRPr="005C39EC">
        <w:rPr>
          <w:rFonts w:cs="Arial"/>
        </w:rPr>
        <w:t>.</w:t>
      </w:r>
    </w:p>
    <w:p w14:paraId="6EF9271D" w14:textId="77777777" w:rsidR="0014171C" w:rsidRPr="005C39EC" w:rsidRDefault="0014171C" w:rsidP="00BE7858">
      <w:pPr>
        <w:pStyle w:val="ListParagraph"/>
        <w:numPr>
          <w:ilvl w:val="0"/>
          <w:numId w:val="6"/>
        </w:numPr>
        <w:ind w:left="567" w:hanging="567"/>
        <w:rPr>
          <w:rFonts w:cs="Arial"/>
        </w:rPr>
      </w:pPr>
      <w:r w:rsidRPr="005C39EC">
        <w:rPr>
          <w:rFonts w:cs="Arial"/>
        </w:rPr>
        <w:t>Studies cited by Palmer and Prescott (2012) which covers the period from 2008 to 2012</w:t>
      </w:r>
      <w:r w:rsidR="00D51D76" w:rsidRPr="005C39EC">
        <w:rPr>
          <w:rFonts w:cs="Arial"/>
        </w:rPr>
        <w:t>.</w:t>
      </w:r>
    </w:p>
    <w:p w14:paraId="675E6743" w14:textId="77777777" w:rsidR="0014171C" w:rsidRPr="005C39EC" w:rsidRDefault="0014171C" w:rsidP="00BE7858">
      <w:pPr>
        <w:pStyle w:val="ListParagraph"/>
        <w:numPr>
          <w:ilvl w:val="0"/>
          <w:numId w:val="6"/>
        </w:numPr>
        <w:ind w:left="567" w:hanging="567"/>
        <w:rPr>
          <w:rFonts w:cs="Arial"/>
        </w:rPr>
      </w:pPr>
      <w:r w:rsidRPr="005C39EC">
        <w:rPr>
          <w:rFonts w:cs="Arial"/>
        </w:rPr>
        <w:t>Studies identified by searching PubMed database using search terms infant feeding, allergy, solid foods, complementary feeding plus related terms for the period 2008 to July 2013.</w:t>
      </w:r>
    </w:p>
    <w:p w14:paraId="2BAC6C8D" w14:textId="77777777" w:rsidR="0014171C" w:rsidRPr="005C39EC" w:rsidRDefault="0014171C" w:rsidP="00BE7858">
      <w:pPr>
        <w:pStyle w:val="ListParagraph"/>
        <w:numPr>
          <w:ilvl w:val="0"/>
          <w:numId w:val="6"/>
        </w:numPr>
        <w:ind w:left="567" w:hanging="567"/>
        <w:rPr>
          <w:rFonts w:cs="Arial"/>
        </w:rPr>
      </w:pPr>
      <w:r w:rsidRPr="005C39EC">
        <w:rPr>
          <w:rFonts w:cs="Arial"/>
        </w:rPr>
        <w:t xml:space="preserve">Include only primary studies; position or consensus statements and review articles (apart from Palmer and Prescott, 2012) were excluded. </w:t>
      </w:r>
    </w:p>
    <w:p w14:paraId="10CD36B1" w14:textId="77777777" w:rsidR="0014171C" w:rsidRPr="005C39EC" w:rsidRDefault="0014171C" w:rsidP="00BE7858">
      <w:pPr>
        <w:rPr>
          <w:rFonts w:cs="Arial"/>
        </w:rPr>
      </w:pPr>
    </w:p>
    <w:p w14:paraId="2BB7D322" w14:textId="20EF0753" w:rsidR="0014171C" w:rsidRPr="005C39EC" w:rsidRDefault="0014171C" w:rsidP="00BE7858">
      <w:pPr>
        <w:rPr>
          <w:rFonts w:cs="Arial"/>
        </w:rPr>
      </w:pPr>
      <w:r w:rsidRPr="005C39EC">
        <w:rPr>
          <w:rFonts w:cs="Arial"/>
        </w:rPr>
        <w:t xml:space="preserve">Studies identified through this approach are listed in </w:t>
      </w:r>
      <w:r w:rsidR="001A64EF" w:rsidRPr="005C39EC">
        <w:rPr>
          <w:rFonts w:cs="Arial"/>
        </w:rPr>
        <w:t xml:space="preserve">Attachment </w:t>
      </w:r>
      <w:r w:rsidRPr="005C39EC">
        <w:rPr>
          <w:rFonts w:cs="Arial"/>
        </w:rPr>
        <w:t>2. In summary, 27 studies covering the period of 1981–2013 were reviewed. Most were prospective cohort studies including infants of normal or increased allergy risk. The studies measured numerous allergic disease outcomes in infants and children spanning 1</w:t>
      </w:r>
      <w:r w:rsidR="00D23A94" w:rsidRPr="005C39EC">
        <w:rPr>
          <w:rFonts w:cs="Arial"/>
        </w:rPr>
        <w:t>–</w:t>
      </w:r>
      <w:r w:rsidRPr="005C39EC">
        <w:rPr>
          <w:rFonts w:cs="Arial"/>
        </w:rPr>
        <w:t xml:space="preserve">10 years of age. The search of the PubMed database identified four additional studies published in 2013 not included in the other reviews </w:t>
      </w:r>
      <w:r w:rsidRPr="005C39EC">
        <w:rPr>
          <w:rFonts w:cs="Arial"/>
          <w:noProof/>
        </w:rPr>
        <w:t>(Palmer et al. 2013; Frederiksen et al. 2013; Nwaru et al. 2013a; Nwaru et al. 2013b)</w:t>
      </w:r>
      <w:r w:rsidRPr="005C39EC">
        <w:rPr>
          <w:rFonts w:cs="Arial"/>
        </w:rPr>
        <w:t>.</w:t>
      </w:r>
    </w:p>
    <w:p w14:paraId="462B86FC" w14:textId="77777777" w:rsidR="0014171C" w:rsidRPr="005C39EC" w:rsidRDefault="0014171C" w:rsidP="00BE7858">
      <w:pPr>
        <w:rPr>
          <w:rFonts w:cs="Arial"/>
        </w:rPr>
      </w:pPr>
      <w:r w:rsidRPr="005C39EC">
        <w:rPr>
          <w:rFonts w:cs="Arial"/>
        </w:rPr>
        <w:t xml:space="preserve"> </w:t>
      </w:r>
    </w:p>
    <w:p w14:paraId="0EE63DE7" w14:textId="77777777" w:rsidR="0014171C" w:rsidRPr="005C39EC" w:rsidRDefault="0014171C" w:rsidP="00BE7858">
      <w:pPr>
        <w:rPr>
          <w:rFonts w:cs="Arial"/>
        </w:rPr>
      </w:pPr>
      <w:r w:rsidRPr="005C39EC">
        <w:rPr>
          <w:rFonts w:cs="Arial"/>
        </w:rPr>
        <w:t xml:space="preserve">One systematic review on the association of complementary feeding with the development of allergy was included in </w:t>
      </w:r>
      <w:r w:rsidR="001A64EF" w:rsidRPr="005C39EC">
        <w:rPr>
          <w:rFonts w:cs="Arial"/>
        </w:rPr>
        <w:t>Attachment</w:t>
      </w:r>
      <w:r w:rsidRPr="005C39EC">
        <w:rPr>
          <w:rFonts w:cs="Arial"/>
        </w:rPr>
        <w:t xml:space="preserve"> 2 </w:t>
      </w:r>
      <w:r w:rsidRPr="005C39EC">
        <w:rPr>
          <w:rFonts w:cs="Arial"/>
          <w:noProof/>
        </w:rPr>
        <w:t>(Tarini et al. 2006)</w:t>
      </w:r>
      <w:r w:rsidRPr="005C39EC">
        <w:rPr>
          <w:rFonts w:cs="Arial"/>
        </w:rPr>
        <w:t xml:space="preserve">. The review’s conclusions </w:t>
      </w:r>
      <w:r w:rsidR="00FD1942" w:rsidRPr="005C39EC">
        <w:rPr>
          <w:rFonts w:cs="Arial"/>
        </w:rPr>
        <w:t xml:space="preserve">were </w:t>
      </w:r>
      <w:r w:rsidRPr="005C39EC">
        <w:rPr>
          <w:rFonts w:cs="Arial"/>
        </w:rPr>
        <w:t xml:space="preserve">based on some of the primary research cited in this assessment plus several earlier publications. Allergy outcomes in relation to duration of breastfeeding have </w:t>
      </w:r>
      <w:r w:rsidR="00FD1942" w:rsidRPr="005C39EC">
        <w:rPr>
          <w:rFonts w:cs="Arial"/>
        </w:rPr>
        <w:t xml:space="preserve">also </w:t>
      </w:r>
      <w:r w:rsidRPr="005C39EC">
        <w:rPr>
          <w:rFonts w:cs="Arial"/>
        </w:rPr>
        <w:t xml:space="preserve">been covered in several recent large systematic reviews </w:t>
      </w:r>
      <w:r w:rsidRPr="005C39EC">
        <w:rPr>
          <w:rFonts w:cs="Arial"/>
          <w:noProof/>
        </w:rPr>
        <w:t>(Kramer and Kakuma 2002; Kramer and Kakuma 2012)</w:t>
      </w:r>
      <w:r w:rsidRPr="005C39EC">
        <w:rPr>
          <w:rFonts w:cs="Arial"/>
        </w:rPr>
        <w:t xml:space="preserve"> but, as mentioned in section 2.3, definitional issues mean that these reviews have limited use for </w:t>
      </w:r>
      <w:r w:rsidR="003C2B3B" w:rsidRPr="005C39EC">
        <w:rPr>
          <w:rFonts w:cs="Arial"/>
        </w:rPr>
        <w:t>P</w:t>
      </w:r>
      <w:r w:rsidRPr="005C39EC">
        <w:rPr>
          <w:rFonts w:cs="Arial"/>
        </w:rPr>
        <w:t xml:space="preserve">roposal P274. </w:t>
      </w:r>
    </w:p>
    <w:p w14:paraId="31E17DEB" w14:textId="77777777" w:rsidR="0014171C" w:rsidRPr="005C39EC" w:rsidRDefault="0014171C" w:rsidP="00BE7858">
      <w:pPr>
        <w:rPr>
          <w:rFonts w:cs="Arial"/>
        </w:rPr>
      </w:pPr>
    </w:p>
    <w:p w14:paraId="32A86049" w14:textId="77777777" w:rsidR="0014171C" w:rsidRPr="005C39EC" w:rsidRDefault="0014171C" w:rsidP="00BE7858">
      <w:pPr>
        <w:rPr>
          <w:rFonts w:cs="Arial"/>
          <w:b/>
        </w:rPr>
      </w:pPr>
      <w:bookmarkStart w:id="19" w:name="_Toc358807097"/>
      <w:r w:rsidRPr="005C39EC">
        <w:rPr>
          <w:rFonts w:cs="Arial"/>
          <w:b/>
        </w:rPr>
        <w:t>Results</w:t>
      </w:r>
      <w:bookmarkEnd w:id="19"/>
    </w:p>
    <w:p w14:paraId="0082A80A" w14:textId="77777777" w:rsidR="0014171C" w:rsidRPr="005C39EC" w:rsidRDefault="0014171C" w:rsidP="00BE7858">
      <w:pPr>
        <w:rPr>
          <w:rFonts w:cs="Arial"/>
          <w:b/>
        </w:rPr>
      </w:pPr>
    </w:p>
    <w:p w14:paraId="2F75411B" w14:textId="77777777" w:rsidR="0014171C" w:rsidRPr="005C39EC" w:rsidRDefault="0014171C" w:rsidP="00BE7858">
      <w:pPr>
        <w:rPr>
          <w:rFonts w:cs="Arial"/>
        </w:rPr>
      </w:pPr>
      <w:r w:rsidRPr="005C39EC">
        <w:rPr>
          <w:rFonts w:cs="Arial"/>
        </w:rPr>
        <w:t>Comparing studies is complicated by the variety of foods, timing of solid food introduction, allergy risk, different allergy outc</w:t>
      </w:r>
      <w:r w:rsidR="00FD1942" w:rsidRPr="005C39EC">
        <w:rPr>
          <w:rFonts w:cs="Arial"/>
        </w:rPr>
        <w:t>omes</w:t>
      </w:r>
      <w:r w:rsidRPr="005C39EC">
        <w:rPr>
          <w:rFonts w:cs="Arial"/>
        </w:rPr>
        <w:t xml:space="preserve"> and age at assessment of outcome. To simplify analysis of these studies and address the question about the appropriate timing of solid food introduction, studies in </w:t>
      </w:r>
      <w:r w:rsidR="001A64EF" w:rsidRPr="005C39EC">
        <w:rPr>
          <w:rFonts w:cs="Arial"/>
        </w:rPr>
        <w:t>Attachment</w:t>
      </w:r>
      <w:r w:rsidRPr="005C39EC">
        <w:rPr>
          <w:rFonts w:cs="Arial"/>
        </w:rPr>
        <w:t xml:space="preserve"> 2 are grouped according to outcome: </w:t>
      </w:r>
    </w:p>
    <w:p w14:paraId="404F6880" w14:textId="77777777" w:rsidR="00FB379F" w:rsidRPr="005C39EC" w:rsidRDefault="00FB379F" w:rsidP="00BE7858">
      <w:pPr>
        <w:rPr>
          <w:rFonts w:cs="Arial"/>
        </w:rPr>
      </w:pPr>
    </w:p>
    <w:p w14:paraId="4168C49D" w14:textId="77777777" w:rsidR="0014171C" w:rsidRPr="005C39EC" w:rsidRDefault="0014171C" w:rsidP="00BE7858">
      <w:pPr>
        <w:pStyle w:val="ListParagraph"/>
        <w:numPr>
          <w:ilvl w:val="0"/>
          <w:numId w:val="5"/>
        </w:numPr>
        <w:ind w:left="567" w:hanging="567"/>
        <w:rPr>
          <w:rFonts w:cs="Arial"/>
        </w:rPr>
      </w:pPr>
      <w:r w:rsidRPr="005C39EC">
        <w:rPr>
          <w:rFonts w:cs="Arial"/>
        </w:rPr>
        <w:t>Evidence that introduction before 4 months increases risk of allergic disease compared to introduction after 4 months</w:t>
      </w:r>
      <w:r w:rsidR="00D51D76" w:rsidRPr="005C39EC">
        <w:rPr>
          <w:rFonts w:cs="Arial"/>
        </w:rPr>
        <w:t>.</w:t>
      </w:r>
    </w:p>
    <w:p w14:paraId="6B4B8F8D" w14:textId="77777777" w:rsidR="0014171C" w:rsidRPr="005C39EC" w:rsidRDefault="0014171C" w:rsidP="00BE7858">
      <w:pPr>
        <w:pStyle w:val="ListParagraph"/>
        <w:numPr>
          <w:ilvl w:val="0"/>
          <w:numId w:val="5"/>
        </w:numPr>
        <w:ind w:left="567" w:hanging="567"/>
        <w:rPr>
          <w:rFonts w:cs="Arial"/>
        </w:rPr>
      </w:pPr>
      <w:r w:rsidRPr="005C39EC">
        <w:rPr>
          <w:rFonts w:cs="Arial"/>
        </w:rPr>
        <w:t>Evidence shows no association (protective or adverse) between the timing of solid food introduction and risk of allergic disease</w:t>
      </w:r>
      <w:r w:rsidR="00D51D76" w:rsidRPr="005C39EC">
        <w:rPr>
          <w:rFonts w:cs="Arial"/>
        </w:rPr>
        <w:t>.</w:t>
      </w:r>
      <w:r w:rsidRPr="005C39EC">
        <w:rPr>
          <w:rFonts w:cs="Arial"/>
        </w:rPr>
        <w:t xml:space="preserve"> </w:t>
      </w:r>
    </w:p>
    <w:p w14:paraId="4CCF103B" w14:textId="77777777" w:rsidR="0014171C" w:rsidRPr="005C39EC" w:rsidRDefault="0014171C" w:rsidP="00BE7858">
      <w:pPr>
        <w:pStyle w:val="ListParagraph"/>
        <w:numPr>
          <w:ilvl w:val="0"/>
          <w:numId w:val="5"/>
        </w:numPr>
        <w:ind w:left="567" w:hanging="567"/>
        <w:rPr>
          <w:rFonts w:cs="Arial"/>
        </w:rPr>
      </w:pPr>
      <w:r w:rsidRPr="005C39EC">
        <w:rPr>
          <w:rFonts w:cs="Arial"/>
        </w:rPr>
        <w:t>Evidence that introduction of solid foods at around 6 months (i.e. after 4 months and before 7 months) is associated with decreased risk (or no increased risk) of allergic diseases compared to outside this age range.</w:t>
      </w:r>
    </w:p>
    <w:p w14:paraId="3EAE7296" w14:textId="77777777" w:rsidR="0014171C" w:rsidRPr="005C39EC" w:rsidRDefault="0014171C" w:rsidP="00BE7858">
      <w:pPr>
        <w:pStyle w:val="ListParagraph"/>
        <w:rPr>
          <w:rFonts w:cs="Arial"/>
        </w:rPr>
      </w:pPr>
    </w:p>
    <w:p w14:paraId="69575909" w14:textId="77777777" w:rsidR="00B34931" w:rsidRPr="005C39EC" w:rsidRDefault="0014171C" w:rsidP="00BE7858">
      <w:pPr>
        <w:rPr>
          <w:rFonts w:cs="Arial"/>
        </w:rPr>
      </w:pPr>
      <w:r w:rsidRPr="005C39EC">
        <w:rPr>
          <w:rFonts w:cs="Arial"/>
        </w:rPr>
        <w:t xml:space="preserve">Introduction of solid foods before four months increased the risk of eczema in six cohort studies conducted from 1981 to 1994. These studies were mostly small cohort studies and most were also centred on the protective effects of exclusive breast feeding. </w:t>
      </w:r>
    </w:p>
    <w:p w14:paraId="31634BC5" w14:textId="77777777" w:rsidR="000F6208" w:rsidRPr="005C39EC" w:rsidRDefault="0014171C" w:rsidP="00BE7858">
      <w:pPr>
        <w:rPr>
          <w:rFonts w:cs="Arial"/>
        </w:rPr>
      </w:pPr>
      <w:r w:rsidRPr="005C39EC">
        <w:rPr>
          <w:rFonts w:cs="Arial"/>
        </w:rPr>
        <w:lastRenderedPageBreak/>
        <w:t xml:space="preserve">These results are difficult to interpret because exclusive breastfeeding is often encouraged for at-risk infants (e.g. family history of allergic diseases) and so the results could reflect reverse causation </w:t>
      </w:r>
      <w:r w:rsidRPr="005C39EC">
        <w:rPr>
          <w:rFonts w:cs="Arial"/>
          <w:noProof/>
        </w:rPr>
        <w:t>(Zutavern et al. 2006)</w:t>
      </w:r>
      <w:r w:rsidRPr="005C39EC">
        <w:rPr>
          <w:rFonts w:cs="Arial"/>
        </w:rPr>
        <w:t xml:space="preserve">. </w:t>
      </w:r>
    </w:p>
    <w:p w14:paraId="1B27630B" w14:textId="77777777" w:rsidR="000F6208" w:rsidRPr="005C39EC" w:rsidRDefault="000F6208" w:rsidP="00BE7858">
      <w:pPr>
        <w:rPr>
          <w:rFonts w:cs="Arial"/>
        </w:rPr>
      </w:pPr>
    </w:p>
    <w:p w14:paraId="456EC573" w14:textId="510F69A6" w:rsidR="0014171C" w:rsidRPr="005C39EC" w:rsidRDefault="0014171C" w:rsidP="00BE7858">
      <w:pPr>
        <w:rPr>
          <w:rFonts w:cs="Arial"/>
        </w:rPr>
      </w:pPr>
      <w:r w:rsidRPr="005C39EC">
        <w:rPr>
          <w:rFonts w:cs="Arial"/>
        </w:rPr>
        <w:t>The evidence that allergy risk appears to be associated with solid foods introduced to infants at less than 4 months combined with evidence that risk of infectious morbidity</w:t>
      </w:r>
      <w:r w:rsidR="00585599" w:rsidRPr="005C39EC">
        <w:rPr>
          <w:rFonts w:cs="Arial"/>
        </w:rPr>
        <w:t xml:space="preserve"> (based on evidence of prote</w:t>
      </w:r>
      <w:r w:rsidR="008749D8" w:rsidRPr="005C39EC">
        <w:rPr>
          <w:rFonts w:cs="Arial"/>
        </w:rPr>
        <w:t>ctive effects of breastfeeding)</w:t>
      </w:r>
      <w:r w:rsidRPr="005C39EC">
        <w:rPr>
          <w:rFonts w:cs="Arial"/>
        </w:rPr>
        <w:t xml:space="preserve"> is also increased with this time period</w:t>
      </w:r>
      <w:r w:rsidR="000F6208" w:rsidRPr="005C39EC">
        <w:rPr>
          <w:rFonts w:cs="Arial"/>
        </w:rPr>
        <w:t>,</w:t>
      </w:r>
      <w:r w:rsidRPr="005C39EC">
        <w:rPr>
          <w:rFonts w:cs="Arial"/>
        </w:rPr>
        <w:t xml:space="preserve"> continues to support the current recommendations from ESPGHAN, EFSA, AAP and NHMRC that 4 months of age is the appropriate minimum age at which solid foods are introduced.</w:t>
      </w:r>
    </w:p>
    <w:p w14:paraId="4599A844" w14:textId="77777777" w:rsidR="0014171C" w:rsidRPr="005C39EC" w:rsidRDefault="0014171C" w:rsidP="00BE7858">
      <w:pPr>
        <w:rPr>
          <w:rFonts w:cs="Arial"/>
        </w:rPr>
      </w:pPr>
    </w:p>
    <w:p w14:paraId="32D90A3A" w14:textId="13565133" w:rsidR="0014171C" w:rsidRPr="005C39EC" w:rsidRDefault="0014171C" w:rsidP="00BE7858">
      <w:pPr>
        <w:rPr>
          <w:rFonts w:cs="Arial"/>
        </w:rPr>
      </w:pPr>
      <w:r w:rsidRPr="005C39EC">
        <w:rPr>
          <w:rFonts w:cs="Arial"/>
        </w:rPr>
        <w:t xml:space="preserve">Seven studies carried out from 1983 to 2011 showed neither protective nor adverse effects related to the age of solid food introduction and the risk of allergic disease. The lack of association was measured across various allergic diseases or symptoms and included one systematic review of 13 cohort studies </w:t>
      </w:r>
      <w:r w:rsidRPr="005C39EC">
        <w:rPr>
          <w:rFonts w:cs="Arial"/>
          <w:noProof/>
        </w:rPr>
        <w:t>(Tarini et al. 2006)</w:t>
      </w:r>
      <w:r w:rsidRPr="005C39EC">
        <w:rPr>
          <w:rFonts w:cs="Arial"/>
        </w:rPr>
        <w:t xml:space="preserve"> showing association between the introduction of solids before the age of 3</w:t>
      </w:r>
      <w:r w:rsidR="009204B5" w:rsidRPr="005C39EC">
        <w:rPr>
          <w:rFonts w:cs="Arial"/>
        </w:rPr>
        <w:t>–</w:t>
      </w:r>
      <w:r w:rsidRPr="005C39EC">
        <w:rPr>
          <w:rFonts w:cs="Arial"/>
        </w:rPr>
        <w:t xml:space="preserve">4 months and development of eczema. However, little data </w:t>
      </w:r>
      <w:r w:rsidR="00D51D76" w:rsidRPr="005C39EC">
        <w:rPr>
          <w:rFonts w:cs="Arial"/>
        </w:rPr>
        <w:t xml:space="preserve">were </w:t>
      </w:r>
      <w:r w:rsidRPr="005C39EC">
        <w:rPr>
          <w:rFonts w:cs="Arial"/>
        </w:rPr>
        <w:t xml:space="preserve">available to support an association between early introduction of solid food and other allergic conditions. A comparatively large cohort study </w:t>
      </w:r>
      <w:r w:rsidRPr="005C39EC">
        <w:rPr>
          <w:rFonts w:cs="Arial"/>
          <w:noProof/>
        </w:rPr>
        <w:t>(Chuang et al. 2011)</w:t>
      </w:r>
      <w:r w:rsidRPr="005C39EC">
        <w:rPr>
          <w:rFonts w:cs="Arial"/>
        </w:rPr>
        <w:t xml:space="preserve"> showed that solid food introduction before 4 months, between 4–6 months, and after 6 months was not related to the risk of atopic disease in infants up to 18 months of age. Given the number of participants, this study provides strong support that the timing of solid food introduction across the period of ‘around 6 months’ does not influence the development of atopic diseases. The study recruited participants from the general population of newborn</w:t>
      </w:r>
      <w:r w:rsidR="00007551" w:rsidRPr="005C39EC">
        <w:rPr>
          <w:rFonts w:cs="Arial"/>
        </w:rPr>
        <w:t xml:space="preserve"> infants</w:t>
      </w:r>
      <w:r w:rsidRPr="005C39EC">
        <w:rPr>
          <w:rFonts w:cs="Arial"/>
        </w:rPr>
        <w:t xml:space="preserve"> but excluded those with physician-diagnosed atopic dermatitis in the first 6 months of life to eliminate contribution of reverse causality. The inclusion of children with apparent normal allergy risk, however, may mean that immune-mediated food sensitisation, which underlies development of allergy, may not have occurred in these infants. These issues indicate the complexities in designing and interpreting studies on the development of allergies linked to dietary factors.</w:t>
      </w:r>
    </w:p>
    <w:p w14:paraId="4B6A1E86" w14:textId="77777777" w:rsidR="0014171C" w:rsidRPr="005C39EC" w:rsidRDefault="0014171C" w:rsidP="00BE7858">
      <w:pPr>
        <w:rPr>
          <w:rFonts w:cs="Arial"/>
          <w:i/>
        </w:rPr>
      </w:pPr>
    </w:p>
    <w:p w14:paraId="4121D126" w14:textId="202C5E1F" w:rsidR="0014171C" w:rsidRPr="005C39EC" w:rsidRDefault="0014171C" w:rsidP="00BE7858">
      <w:pPr>
        <w:rPr>
          <w:rFonts w:cs="Arial"/>
        </w:rPr>
      </w:pPr>
      <w:r w:rsidRPr="005C39EC">
        <w:rPr>
          <w:rFonts w:cs="Arial"/>
        </w:rPr>
        <w:t xml:space="preserve">A number of studies (12 as listed in </w:t>
      </w:r>
      <w:r w:rsidR="001A64EF" w:rsidRPr="005C39EC">
        <w:rPr>
          <w:rFonts w:cs="Arial"/>
        </w:rPr>
        <w:t>Attachment</w:t>
      </w:r>
      <w:r w:rsidRPr="005C39EC">
        <w:rPr>
          <w:rFonts w:cs="Arial"/>
        </w:rPr>
        <w:t xml:space="preserve"> 2) published more recently (2006 to present) suggest growing evidence that exposure to allergenic foods between 4–6</w:t>
      </w:r>
      <w:r w:rsidR="00F37DDB" w:rsidRPr="005C39EC">
        <w:rPr>
          <w:rFonts w:cs="Arial"/>
        </w:rPr>
        <w:t xml:space="preserve"> </w:t>
      </w:r>
      <w:r w:rsidRPr="005C39EC">
        <w:rPr>
          <w:rFonts w:cs="Arial"/>
        </w:rPr>
        <w:t>months and/or before 7 months may decrease the risk of allergic diseases. As previously highlighted, mainly prospective, cohort studies have been conducted involving various time points, types of foods, and allergenic outcomes. These studies also support the view that avoidance of food allergens does not prevent allergic disease and that exposure to food in the period between 4 and 7 months may actually result in ‘tolerance’ rather than allergy.</w:t>
      </w:r>
    </w:p>
    <w:p w14:paraId="496169CF" w14:textId="77777777" w:rsidR="006D7C3C" w:rsidRPr="005C39EC" w:rsidRDefault="006D7C3C" w:rsidP="00BE7858">
      <w:pPr>
        <w:rPr>
          <w:rFonts w:cs="Arial"/>
        </w:rPr>
      </w:pPr>
    </w:p>
    <w:p w14:paraId="3924FD38" w14:textId="77777777" w:rsidR="006D7C3C" w:rsidRPr="005C39EC" w:rsidRDefault="006D7C3C" w:rsidP="00BE7858">
      <w:pPr>
        <w:autoSpaceDE w:val="0"/>
        <w:autoSpaceDN w:val="0"/>
        <w:rPr>
          <w:rFonts w:cs="Arial"/>
        </w:rPr>
      </w:pPr>
      <w:r w:rsidRPr="005C39EC">
        <w:rPr>
          <w:rFonts w:cs="Arial"/>
        </w:rPr>
        <w:t xml:space="preserve">The main conclusion from the 2013 assessment was that, aside from the question of allergy, there were no </w:t>
      </w:r>
      <w:r w:rsidR="0026616B" w:rsidRPr="005C39EC">
        <w:rPr>
          <w:rFonts w:cs="Arial"/>
        </w:rPr>
        <w:t xml:space="preserve">adverse </w:t>
      </w:r>
      <w:r w:rsidRPr="005C39EC">
        <w:rPr>
          <w:rFonts w:cs="Arial"/>
        </w:rPr>
        <w:t xml:space="preserve">health effects that are clearly linked </w:t>
      </w:r>
      <w:r w:rsidR="0026616B" w:rsidRPr="005C39EC">
        <w:rPr>
          <w:rFonts w:cs="Arial"/>
        </w:rPr>
        <w:t xml:space="preserve">if </w:t>
      </w:r>
      <w:r w:rsidRPr="005C39EC">
        <w:rPr>
          <w:rFonts w:cs="Arial"/>
        </w:rPr>
        <w:t>solid food introduction is delayed to ‘around 6 months’ compared to ‘from 4 months’. Based on FSANZ’s review of primary research that was published between 1981 and 2013, the critical period for introduction of solids, to minimise the risk of allergy development, seems to be between the ages of 4 and &lt;7 months. However, there are increased risks of allergy with solid foods introduc</w:t>
      </w:r>
      <w:r w:rsidR="00031CD5" w:rsidRPr="005C39EC">
        <w:rPr>
          <w:rFonts w:cs="Arial"/>
        </w:rPr>
        <w:t xml:space="preserve">ed to infants less than 4 month. </w:t>
      </w:r>
      <w:r w:rsidRPr="005C39EC">
        <w:rPr>
          <w:rFonts w:cs="Arial"/>
        </w:rPr>
        <w:t xml:space="preserve">There may also be increased risk of allergy development when solids are introduced at 7 months or later.  This latter conclusion </w:t>
      </w:r>
      <w:r w:rsidR="00185959" w:rsidRPr="005C39EC">
        <w:rPr>
          <w:rFonts w:cs="Arial"/>
        </w:rPr>
        <w:t>is consistent</w:t>
      </w:r>
      <w:r w:rsidRPr="005C39EC">
        <w:rPr>
          <w:rFonts w:cs="Arial"/>
        </w:rPr>
        <w:t xml:space="preserve"> with the </w:t>
      </w:r>
      <w:r w:rsidR="00897172" w:rsidRPr="005C39EC">
        <w:rPr>
          <w:rFonts w:cs="Arial"/>
        </w:rPr>
        <w:t xml:space="preserve">NHMRC </w:t>
      </w:r>
      <w:r w:rsidRPr="005C39EC">
        <w:rPr>
          <w:rFonts w:cs="Arial"/>
        </w:rPr>
        <w:t>evidence statement “Delay in the introduction of solid foods until after the age of 6 months is</w:t>
      </w:r>
      <w:r w:rsidRPr="005C39EC">
        <w:rPr>
          <w:rFonts w:cs="Arial"/>
          <w:sz w:val="24"/>
        </w:rPr>
        <w:t xml:space="preserve"> </w:t>
      </w:r>
      <w:r w:rsidRPr="005C39EC">
        <w:rPr>
          <w:rFonts w:cs="Arial"/>
        </w:rPr>
        <w:t xml:space="preserve">associated with increased risk of developing allergic syndromes. (D)” </w:t>
      </w:r>
      <w:r w:rsidR="00191987" w:rsidRPr="005C39EC">
        <w:rPr>
          <w:rFonts w:cs="Arial"/>
        </w:rPr>
        <w:fldChar w:fldCharType="begin"/>
      </w:r>
      <w:r w:rsidR="000E7587" w:rsidRPr="005C39EC">
        <w:rPr>
          <w:rFonts w:cs="Arial"/>
        </w:rPr>
        <w:instrText xml:space="preserve"> ADDIN REFMGR.CITE &lt;Refman&gt;&lt;Cite&gt;&lt;Author&gt;NHMRC&lt;/Author&gt;&lt;Year&gt;2011&lt;/Year&gt;&lt;RecNum&gt;51&lt;/RecNum&gt;&lt;IDText&gt;A review of the evidence to address targeted questions to inform the revision of the Australian Dietary Guidelines&lt;/IDText&gt;&lt;MDL Ref_Type="Report"&gt;&lt;Ref_Type&gt;Report&lt;/Ref_Type&gt;&lt;Ref_ID&gt;51&lt;/Ref_ID&gt;&lt;Title_Primary&gt;A review of the evidence to address targeted questions to inform the revision of the Australian Dietary Guidelines&lt;/Title_Primary&gt;&lt;Authors_Primary&gt;NHMRC&lt;/Authors_Primary&gt;&lt;Date_Primary&gt;2011&lt;/Date_Primary&gt;&lt;Reprint&gt;Not in File&lt;/Reprint&gt;&lt;Pub_Place&gt;Canberra&lt;/Pub_Place&gt;&lt;Publisher&gt;National Health and Medical Research Council&lt;/Publisher&gt;&lt;ISSN_ISBN&gt;&lt;f name="ITCGaramondStd-Lt"&gt;1864965304&lt;/f&gt;&lt;/ISSN_ISBN&gt;&lt;Date_Secondary&gt;2014/7/31&lt;/Date_Secondary&gt;&lt;Web_URL_Link2&gt;&lt;u&gt;https://www.nhmrc.gov.au/_files_nhmrc/file/publications/n55d_australian_dietary_guidelines_evidence_report.pdf&lt;/u&gt;&lt;/Web_URL_Link2&gt;&lt;ZZ_WorkformID&gt;24&lt;/ZZ_WorkformID&gt;&lt;/MDL&gt;&lt;/Cite&gt;&lt;/Refman&gt;</w:instrText>
      </w:r>
      <w:r w:rsidR="00191987" w:rsidRPr="005C39EC">
        <w:rPr>
          <w:rFonts w:cs="Arial"/>
        </w:rPr>
        <w:fldChar w:fldCharType="separate"/>
      </w:r>
      <w:r w:rsidR="00191987" w:rsidRPr="005C39EC">
        <w:rPr>
          <w:rFonts w:cs="Arial"/>
          <w:noProof/>
        </w:rPr>
        <w:t>(NHMRC 2011)</w:t>
      </w:r>
      <w:r w:rsidR="00191987" w:rsidRPr="005C39EC">
        <w:rPr>
          <w:rFonts w:cs="Arial"/>
        </w:rPr>
        <w:fldChar w:fldCharType="end"/>
      </w:r>
      <w:r w:rsidR="00897172" w:rsidRPr="005C39EC">
        <w:rPr>
          <w:rFonts w:cs="Arial"/>
        </w:rPr>
        <w:t>.</w:t>
      </w:r>
      <w:r w:rsidRPr="005C39EC">
        <w:rPr>
          <w:rFonts w:cs="Arial"/>
        </w:rPr>
        <w:t xml:space="preserve"> The additional studies included in the FSANZ update might even increase the rating of this statement to C (suggestive) from D (inconclusive).  </w:t>
      </w:r>
    </w:p>
    <w:p w14:paraId="5CBFB195" w14:textId="77777777" w:rsidR="00127C9E" w:rsidRDefault="00127C9E" w:rsidP="00127C9E">
      <w:pPr>
        <w:pStyle w:val="Heading2"/>
      </w:pPr>
      <w:bookmarkStart w:id="20" w:name="_Toc399945829"/>
      <w:r>
        <w:br w:type="page"/>
      </w:r>
    </w:p>
    <w:p w14:paraId="5B133112" w14:textId="266DC8DE" w:rsidR="0014171C" w:rsidRPr="005C39EC" w:rsidRDefault="00905C60" w:rsidP="00127C9E">
      <w:pPr>
        <w:pStyle w:val="Heading2"/>
      </w:pPr>
      <w:r w:rsidRPr="005C39EC">
        <w:lastRenderedPageBreak/>
        <w:t>3.3</w:t>
      </w:r>
      <w:r w:rsidR="006C1DF9" w:rsidRPr="005C39EC">
        <w:tab/>
      </w:r>
      <w:r w:rsidR="0014171C" w:rsidRPr="005C39EC">
        <w:t>Studies currently under</w:t>
      </w:r>
      <w:r w:rsidR="00FB379F" w:rsidRPr="005C39EC">
        <w:t xml:space="preserve"> </w:t>
      </w:r>
      <w:r w:rsidR="0014171C" w:rsidRPr="005C39EC">
        <w:t>way (RCTs)</w:t>
      </w:r>
      <w:bookmarkEnd w:id="20"/>
    </w:p>
    <w:p w14:paraId="5754D82D" w14:textId="77777777" w:rsidR="000F6208" w:rsidRPr="005C39EC" w:rsidRDefault="0014171C" w:rsidP="00BE7858">
      <w:pPr>
        <w:rPr>
          <w:rFonts w:cs="Arial"/>
        </w:rPr>
      </w:pPr>
      <w:r w:rsidRPr="005C39EC">
        <w:rPr>
          <w:rFonts w:cs="Arial"/>
        </w:rPr>
        <w:t xml:space="preserve">Prescott and Palmer (2012) highlight the main issues with conclusions based on observational cohort studies conducted to date. Many studies on timing of complementary feeding do not account for ‘reverse causation’ which arises when an allergy outcome influences the exposure. </w:t>
      </w:r>
    </w:p>
    <w:p w14:paraId="363C9A18" w14:textId="77777777" w:rsidR="000F6208" w:rsidRPr="005C39EC" w:rsidRDefault="000F6208" w:rsidP="00BE7858">
      <w:pPr>
        <w:rPr>
          <w:rFonts w:cs="Arial"/>
        </w:rPr>
      </w:pPr>
    </w:p>
    <w:p w14:paraId="0A4E76AE" w14:textId="6CF60C23" w:rsidR="00D25B19" w:rsidRPr="005C39EC" w:rsidRDefault="0014171C" w:rsidP="00BE7858">
      <w:pPr>
        <w:rPr>
          <w:rFonts w:cs="Arial"/>
        </w:rPr>
      </w:pPr>
      <w:r w:rsidRPr="005C39EC">
        <w:rPr>
          <w:rFonts w:cs="Arial"/>
        </w:rPr>
        <w:t xml:space="preserve">For example, the children of allergic parents or infants showing early signs of allergy (eczema, for example) may be prescribed specific feeding practices (e.g. delayed solid food introduction) that are then interpreted as causative for increased risk of allergenic diseases measured at later time points (Zutavern 2006). </w:t>
      </w:r>
    </w:p>
    <w:p w14:paraId="7F2B9D57" w14:textId="77777777" w:rsidR="00D15971" w:rsidRPr="005C39EC" w:rsidRDefault="00D15971" w:rsidP="00BE7858">
      <w:pPr>
        <w:rPr>
          <w:rFonts w:cs="Arial"/>
        </w:rPr>
      </w:pPr>
    </w:p>
    <w:p w14:paraId="47401248" w14:textId="77777777" w:rsidR="008D2576" w:rsidRPr="005C39EC" w:rsidRDefault="0014171C" w:rsidP="00BE7858">
      <w:pPr>
        <w:rPr>
          <w:rFonts w:cs="Arial"/>
        </w:rPr>
      </w:pPr>
      <w:r w:rsidRPr="005C39EC">
        <w:rPr>
          <w:rFonts w:cs="Arial"/>
        </w:rPr>
        <w:t xml:space="preserve">Most recent observational studies attempt to correct for reverse causation (e.g. Chuang et al, 2011) but numerous other factors are also not tested or controlled including timing of specific foods, quantity and quality of solid foods, influence of maternal exposure or environmental factors, and other routes of early allergen exposure that contribute to oral tolerance </w:t>
      </w:r>
      <w:r w:rsidRPr="005C39EC">
        <w:rPr>
          <w:rFonts w:cs="Arial"/>
          <w:noProof/>
        </w:rPr>
        <w:t>(Shreffler and Radano 2011; Lack and Penagos 2011)</w:t>
      </w:r>
      <w:r w:rsidRPr="005C39EC">
        <w:rPr>
          <w:rFonts w:cs="Arial"/>
        </w:rPr>
        <w:t xml:space="preserve">. Several randomised controlled trials are now currently underway which will examine some of these factors and test the hypothesis that ‘early’ regular exposure to food allergens induces oral tolerance and reduces the risk of allergic disease </w:t>
      </w:r>
      <w:r w:rsidRPr="005C39EC">
        <w:rPr>
          <w:rFonts w:cs="Arial"/>
          <w:noProof/>
        </w:rPr>
        <w:t>(Palmer and Prescott 2012; Metcalfe et al. 2013)</w:t>
      </w:r>
      <w:r w:rsidRPr="005C39EC">
        <w:rPr>
          <w:rFonts w:cs="Arial"/>
        </w:rPr>
        <w:t>. Interventions involve introduction of various foods in the range of 3</w:t>
      </w:r>
      <w:r w:rsidR="009204B5" w:rsidRPr="005C39EC">
        <w:rPr>
          <w:rFonts w:cs="Arial"/>
        </w:rPr>
        <w:t>–</w:t>
      </w:r>
      <w:r w:rsidRPr="005C39EC">
        <w:rPr>
          <w:rFonts w:cs="Arial"/>
        </w:rPr>
        <w:t xml:space="preserve">8 months but with a clear focus on the 4–6 month period. Mostly results are yet to be published. In support of the early exposure hypothesis, recent results from a small RCT showed that the incidence of egg allergy at one year was reduced in sensitised infants fed egg protein from 4 months compared to infants on a normal diet with egg introduced at 8 months </w:t>
      </w:r>
      <w:r w:rsidRPr="005C39EC">
        <w:rPr>
          <w:rFonts w:cs="Arial"/>
          <w:noProof/>
        </w:rPr>
        <w:t>(Palmer et al. 2013)</w:t>
      </w:r>
      <w:r w:rsidRPr="005C39EC">
        <w:rPr>
          <w:rFonts w:cs="Arial"/>
        </w:rPr>
        <w:t xml:space="preserve">. </w:t>
      </w:r>
    </w:p>
    <w:p w14:paraId="000A41C8" w14:textId="2DDE2E5A" w:rsidR="0014171C" w:rsidRPr="005C39EC" w:rsidRDefault="006C1DF9" w:rsidP="00127C9E">
      <w:pPr>
        <w:pStyle w:val="Heading2"/>
      </w:pPr>
      <w:bookmarkStart w:id="21" w:name="_Toc399945830"/>
      <w:r w:rsidRPr="005C39EC">
        <w:t>3.4</w:t>
      </w:r>
      <w:r w:rsidRPr="005C39EC">
        <w:tab/>
      </w:r>
      <w:r w:rsidR="0014171C" w:rsidRPr="005C39EC">
        <w:t>ASCIA recommendation on timing of solid food introduction</w:t>
      </w:r>
      <w:bookmarkEnd w:id="21"/>
    </w:p>
    <w:p w14:paraId="248A3F2B" w14:textId="77777777" w:rsidR="001541BB" w:rsidRPr="005C39EC" w:rsidRDefault="0014171C" w:rsidP="00BE7858">
      <w:pPr>
        <w:rPr>
          <w:rFonts w:cs="Arial"/>
        </w:rPr>
      </w:pPr>
      <w:r w:rsidRPr="005C39EC">
        <w:rPr>
          <w:rFonts w:cs="Arial"/>
        </w:rPr>
        <w:t xml:space="preserve">The Australasian Society for Clinical Immunology and Allergy (ASCIA) issued a position statement on allergy and infant feeding based on systematic review of relevant papers and recommendations by </w:t>
      </w:r>
      <w:r w:rsidR="00504E31" w:rsidRPr="005C39EC">
        <w:rPr>
          <w:rFonts w:cs="Arial"/>
        </w:rPr>
        <w:t xml:space="preserve">other </w:t>
      </w:r>
      <w:r w:rsidRPr="005C39EC">
        <w:rPr>
          <w:rFonts w:cs="Arial"/>
        </w:rPr>
        <w:t xml:space="preserve">expert panels (ESPGHAN and AAP) </w:t>
      </w:r>
      <w:r w:rsidRPr="005C39EC">
        <w:rPr>
          <w:rFonts w:cs="Arial"/>
          <w:noProof/>
        </w:rPr>
        <w:t>(ASCIA 2010)</w:t>
      </w:r>
      <w:r w:rsidRPr="005C39EC">
        <w:rPr>
          <w:rFonts w:cs="Arial"/>
        </w:rPr>
        <w:t xml:space="preserve">. Based on current evidence, ASCIA concluded that there is little evidence that delaying introduction of solid foods beyond 6 months reduces the risk of allergy and current expert reviews support the recommendation that solid foods should be introduced from around 4–6 months. The ASCIA statement also suggests that delays in solid food introduction beyond 6 months may actually increase the risk of allergy development but acknowledges that more research is needed to make conclusive recommendations about the timing of introduction of solid foods. ASCIA recommendations are based on primary studies and review articles as cited in </w:t>
      </w:r>
      <w:r w:rsidR="007B2740" w:rsidRPr="005C39EC">
        <w:rPr>
          <w:rFonts w:cs="Arial"/>
        </w:rPr>
        <w:t xml:space="preserve">their </w:t>
      </w:r>
      <w:r w:rsidRPr="005C39EC">
        <w:rPr>
          <w:rFonts w:cs="Arial"/>
        </w:rPr>
        <w:t xml:space="preserve">assessment. </w:t>
      </w:r>
    </w:p>
    <w:p w14:paraId="66A62039" w14:textId="3FA4FC33" w:rsidR="00F716E7" w:rsidRPr="005C39EC" w:rsidRDefault="006C1DF9" w:rsidP="00127C9E">
      <w:pPr>
        <w:pStyle w:val="Heading2"/>
      </w:pPr>
      <w:bookmarkStart w:id="22" w:name="_Toc399945831"/>
      <w:r w:rsidRPr="005C39EC">
        <w:t>3.5</w:t>
      </w:r>
      <w:r w:rsidRPr="005C39EC">
        <w:tab/>
      </w:r>
      <w:r w:rsidR="00F716E7" w:rsidRPr="005C39EC">
        <w:t>Prevalence of food-related allergy</w:t>
      </w:r>
      <w:bookmarkEnd w:id="22"/>
      <w:r w:rsidR="00F716E7" w:rsidRPr="005C39EC">
        <w:t xml:space="preserve">  </w:t>
      </w:r>
    </w:p>
    <w:p w14:paraId="0E2F1CC0" w14:textId="77777777" w:rsidR="00F716E7" w:rsidRPr="005C39EC" w:rsidRDefault="00F716E7" w:rsidP="00BE7858">
      <w:pPr>
        <w:rPr>
          <w:rFonts w:cs="Arial"/>
        </w:rPr>
      </w:pPr>
      <w:r w:rsidRPr="005C39EC">
        <w:rPr>
          <w:rFonts w:cs="Arial"/>
        </w:rPr>
        <w:t xml:space="preserve">As Proposal P274 relates to infant foods which can be fed to all populations of infants, the specific question of effects on at-risk populations was not addressed. However, studies reviewed in SD1 (see Appendix 2 table) covered the association between the timing of solid food introduction and allergy risk in both at-risk (e.g. having allergic symptoms or at least one direct family member with allergic disease) and normal risk populations. Increased risk of allergies in relation to the timing of solid food introduction is found in both populations.  </w:t>
      </w:r>
    </w:p>
    <w:p w14:paraId="406EB6C2" w14:textId="77777777" w:rsidR="00F716E7" w:rsidRPr="005C39EC" w:rsidRDefault="00F716E7" w:rsidP="00BE7858">
      <w:pPr>
        <w:rPr>
          <w:rFonts w:cs="Arial"/>
        </w:rPr>
      </w:pPr>
    </w:p>
    <w:p w14:paraId="2731A806" w14:textId="77777777" w:rsidR="00B34931" w:rsidRPr="005C39EC" w:rsidRDefault="00F716E7" w:rsidP="00BE7858">
      <w:pPr>
        <w:rPr>
          <w:rFonts w:cs="Arial"/>
        </w:rPr>
      </w:pPr>
      <w:r w:rsidRPr="005C39EC">
        <w:rPr>
          <w:rFonts w:cs="Arial"/>
        </w:rPr>
        <w:t>A recent paper from the HealthNuts research program</w:t>
      </w:r>
      <w:r w:rsidR="00191987" w:rsidRPr="005C39EC">
        <w:rPr>
          <w:rFonts w:cs="Arial"/>
        </w:rPr>
        <w:t xml:space="preserve"> </w:t>
      </w:r>
      <w:r w:rsidR="00191987" w:rsidRPr="005C39EC">
        <w:rPr>
          <w:rFonts w:cs="Arial"/>
        </w:rPr>
        <w:fldChar w:fldCharType="begin">
          <w:fldData xml:space="preserve">PFJlZm1hbj48Q2l0ZT48QXV0aG9yPk9zYm9ybmU8L0F1dGhvcj48WWVhcj4yMDExPC9ZZWFyPjxS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</w:fldData>
        </w:fldChar>
      </w:r>
      <w:r w:rsidR="000E7587" w:rsidRPr="005C39EC">
        <w:rPr>
          <w:rFonts w:cs="Arial"/>
        </w:rPr>
        <w:instrText xml:space="preserve"> ADDIN REFMGR.CITE </w:instrText>
      </w:r>
      <w:r w:rsidR="000E7587" w:rsidRPr="005C39EC">
        <w:rPr>
          <w:rFonts w:cs="Arial"/>
        </w:rPr>
        <w:fldChar w:fldCharType="begin">
          <w:fldData xml:space="preserve">PFJlZm1hbj48Q2l0ZT48QXV0aG9yPk9zYm9ybmU8L0F1dGhvcj48WWVhcj4yMDExPC9ZZWFyPjxS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</w:fldData>
        </w:fldChar>
      </w:r>
      <w:r w:rsidR="000E7587" w:rsidRPr="005C39EC">
        <w:rPr>
          <w:rFonts w:cs="Arial"/>
        </w:rPr>
        <w:instrText xml:space="preserve"> ADDIN EN.CITE.DATA </w:instrText>
      </w:r>
      <w:r w:rsidR="000E7587" w:rsidRPr="005C39EC">
        <w:rPr>
          <w:rFonts w:cs="Arial"/>
        </w:rPr>
      </w:r>
      <w:r w:rsidR="000E7587" w:rsidRPr="005C39EC">
        <w:rPr>
          <w:rFonts w:cs="Arial"/>
        </w:rPr>
        <w:fldChar w:fldCharType="end"/>
      </w:r>
      <w:r w:rsidR="00191987" w:rsidRPr="005C39EC">
        <w:rPr>
          <w:rFonts w:cs="Arial"/>
        </w:rPr>
      </w:r>
      <w:r w:rsidR="00191987" w:rsidRPr="005C39EC">
        <w:rPr>
          <w:rFonts w:cs="Arial"/>
        </w:rPr>
        <w:fldChar w:fldCharType="separate"/>
      </w:r>
      <w:r w:rsidR="00191987" w:rsidRPr="005C39EC">
        <w:rPr>
          <w:rFonts w:cs="Arial"/>
          <w:noProof/>
        </w:rPr>
        <w:t>(Osborne et al. 2011)</w:t>
      </w:r>
      <w:r w:rsidR="00191987" w:rsidRPr="005C39EC">
        <w:rPr>
          <w:rFonts w:cs="Arial"/>
        </w:rPr>
        <w:fldChar w:fldCharType="end"/>
      </w:r>
      <w:r w:rsidRPr="005C39EC">
        <w:rPr>
          <w:rFonts w:cs="Arial"/>
        </w:rPr>
        <w:t xml:space="preserve"> measured the prevalence of food-related allergy in one-year old Victorian children, as assessed by the ‘gold standard’ oral challenge test, to be at least 10%. </w:t>
      </w:r>
    </w:p>
    <w:p w14:paraId="0E2B6969" w14:textId="77777777" w:rsidR="00157F5E" w:rsidRPr="005C39EC" w:rsidRDefault="00157F5E" w:rsidP="00BE7858">
      <w:pPr>
        <w:rPr>
          <w:rFonts w:cs="Arial"/>
        </w:rPr>
      </w:pPr>
    </w:p>
    <w:p w14:paraId="4DF05C77" w14:textId="77777777" w:rsidR="000F6208" w:rsidRPr="005C39EC" w:rsidRDefault="00F716E7" w:rsidP="00BE7858">
      <w:pPr>
        <w:rPr>
          <w:rFonts w:cs="Arial"/>
        </w:rPr>
      </w:pPr>
      <w:r w:rsidRPr="005C39EC">
        <w:rPr>
          <w:rFonts w:cs="Arial"/>
        </w:rPr>
        <w:lastRenderedPageBreak/>
        <w:t>Also from this research group, the population prevalence of physician-diagnosed eczema</w:t>
      </w:r>
      <w:r w:rsidRPr="005C39EC">
        <w:rPr>
          <w:rStyle w:val="FootnoteReference"/>
          <w:rFonts w:cs="Arial"/>
        </w:rPr>
        <w:footnoteReference w:id="5"/>
      </w:r>
      <w:r w:rsidRPr="005C39EC">
        <w:rPr>
          <w:rFonts w:cs="Arial"/>
        </w:rPr>
        <w:t xml:space="preserve">  at 12 months was recently reported as 20%</w:t>
      </w:r>
      <w:r w:rsidR="00191987" w:rsidRPr="005C39EC">
        <w:rPr>
          <w:rFonts w:cs="Arial"/>
        </w:rPr>
        <w:t xml:space="preserve"> </w:t>
      </w:r>
      <w:r w:rsidR="00191987" w:rsidRPr="005C39EC">
        <w:rPr>
          <w:rFonts w:cs="Arial"/>
        </w:rPr>
        <w:fldChar w:fldCharType="begin"/>
      </w:r>
      <w:r w:rsidR="000E7587" w:rsidRPr="005C39EC">
        <w:rPr>
          <w:rFonts w:cs="Arial"/>
        </w:rPr>
        <w:instrText xml:space="preserve"> ADDIN REFMGR.CITE &lt;Refman&gt;&lt;Cite&gt;&lt;Author&gt;Martin&lt;/Author&gt;&lt;Year&gt;2013&lt;/Year&gt;&lt;RecNum&gt;135&lt;/RecNum&gt;&lt;IDText&gt;The prevalence and socio-demographic risk factors of clinical eczema in infancy: a population-based observational study&lt;/IDText&gt;&lt;MDL Ref_Type="Journal"&gt;&lt;Ref_Type&gt;Journal&lt;/Ref_Type&gt;&lt;Ref_ID&gt;135&lt;/Ref_ID&gt;&lt;Title_Primary&gt;The prevalence and socio-demographic risk factors of clinical eczema in infancy: a population-based observational study&lt;/Title_Primary&gt;&lt;Authors_Primary&gt;Martin,P.E.&lt;/Authors_Primary&gt;&lt;Authors_Primary&gt;Koplin,J.J.&lt;/Authors_Primary&gt;&lt;Authors_Primary&gt;Eckert,J.K.&lt;/Authors_Primary&gt;&lt;Authors_Primary&gt;Lowe,A.J.&lt;/Authors_Primary&gt;&lt;Authors_Primary&gt;Ponsonby,A.L.&lt;/Authors_Primary&gt;&lt;Authors_Primary&gt;Osborne,N.J.&lt;/Authors_Primary&gt;&lt;Authors_Primary&gt;Gurrin,L.C.&lt;/Authors_Primary&gt;&lt;Authors_Primary&gt;Robinson,M.N.&lt;/Authors_Primary&gt;&lt;Authors_Primary&gt;Hill,D.J.&lt;/Authors_Primary&gt;&lt;Authors_Primary&gt;Tang,M.L.&lt;/Authors_Primary&gt;&lt;Authors_Primary&gt;Dharmage,S.C.&lt;/Authors_Primary&gt;&lt;Authors_Primary&gt;Allen,K.J.&lt;/Authors_Primary&gt;&lt;Date_Primary&gt;2013/6&lt;/Date_Primary&gt;&lt;Keywords&gt;Asthma&lt;/Keywords&gt;&lt;Keywords&gt;Australia&lt;/Keywords&gt;&lt;Keywords&gt;Dermatitis,Atopic&lt;/Keywords&gt;&lt;Keywords&gt;diagnosis&lt;/Keywords&gt;&lt;Keywords&gt;Eczema&lt;/Keywords&gt;&lt;Keywords&gt;epidemiology&lt;/Keywords&gt;&lt;Keywords&gt;Female&lt;/Keywords&gt;&lt;Keywords&gt;Health Surveys&lt;/Keywords&gt;&lt;Keywords&gt;Humans&lt;/Keywords&gt;&lt;Keywords&gt;Infant&lt;/Keywords&gt;&lt;Keywords&gt;Male&lt;/Keywords&gt;&lt;Keywords&gt;methods&lt;/Keywords&gt;&lt;Keywords&gt;Parents&lt;/Keywords&gt;&lt;Keywords&gt;Population Surveillance&lt;/Keywords&gt;&lt;Keywords&gt;Prevalence&lt;/Keywords&gt;&lt;Keywords&gt;Prognosis&lt;/Keywords&gt;&lt;Keywords&gt;Questionnaires&lt;/Keywords&gt;&lt;Keywords&gt;Risk&lt;/Keywords&gt;&lt;Keywords&gt;Risk Factors&lt;/Keywords&gt;&lt;Reprint&gt;Not in File&lt;/Reprint&gt;&lt;Start_Page&gt;642&lt;/Start_Page&gt;&lt;End_Page&gt;651&lt;/End_Page&gt;&lt;Periodical&gt;Clin.Exp.Allergy&lt;/Periodical&gt;&lt;Volume&gt;43&lt;/Volume&gt;&lt;Issue&gt;6&lt;/Issue&gt;&lt;Misc_3&gt;10.1111/cea.12092 [doi]&lt;/Misc_3&gt;&lt;Address&gt;Murdoch Childrens Research Institute, Parkville&lt;/Address&gt;&lt;Web_URL&gt;PM:23711126&lt;/Web_URL&gt;&lt;ZZ_JournalStdAbbrev&gt;&lt;f name="System"&gt;Clin.Exp.Allergy&lt;/f&gt;&lt;/ZZ_JournalStdAbbrev&gt;&lt;ZZ_WorkformID&gt;1&lt;/ZZ_WorkformID&gt;&lt;/MDL&gt;&lt;/Cite&gt;&lt;/Refman&gt;</w:instrText>
      </w:r>
      <w:r w:rsidR="00191987" w:rsidRPr="005C39EC">
        <w:rPr>
          <w:rFonts w:cs="Arial"/>
        </w:rPr>
        <w:fldChar w:fldCharType="separate"/>
      </w:r>
      <w:r w:rsidR="00191987" w:rsidRPr="005C39EC">
        <w:rPr>
          <w:rFonts w:cs="Arial"/>
          <w:noProof/>
        </w:rPr>
        <w:t>(Martin et al. 2013)</w:t>
      </w:r>
      <w:r w:rsidR="00191987" w:rsidRPr="005C39EC">
        <w:rPr>
          <w:rFonts w:cs="Arial"/>
        </w:rPr>
        <w:fldChar w:fldCharType="end"/>
      </w:r>
      <w:r w:rsidRPr="005C39EC">
        <w:rPr>
          <w:rFonts w:cs="Arial"/>
        </w:rPr>
        <w:t xml:space="preserve">  At-risk infants are generally defined as having one immediate family member with a history of any allergic disease</w:t>
      </w:r>
      <w:r w:rsidR="00191987" w:rsidRPr="005C39EC">
        <w:rPr>
          <w:rFonts w:cs="Arial"/>
        </w:rPr>
        <w:t xml:space="preserve"> </w:t>
      </w:r>
      <w:r w:rsidR="00191987" w:rsidRPr="005C39EC">
        <w:rPr>
          <w:rFonts w:cs="Arial"/>
        </w:rPr>
        <w:fldChar w:fldCharType="begin"/>
      </w:r>
      <w:r w:rsidR="000E7587" w:rsidRPr="005C39EC">
        <w:rPr>
          <w:rFonts w:cs="Arial"/>
        </w:rPr>
        <w:instrText xml:space="preserve"> ADDIN REFMGR.CITE &lt;Refman&gt;&lt;Cite&gt;&lt;Author&gt;Koplin&lt;/Author&gt;&lt;Year&gt;2013&lt;/Year&gt;&lt;RecNum&gt;136&lt;/RecNum&gt;&lt;IDText&gt;The impact of family history of allergy on risk of food allergy: a population-based study of infants&lt;/IDText&gt;&lt;MDL Ref_Type="Journal"&gt;&lt;Ref_Type&gt;Journal&lt;/Ref_Type&gt;&lt;Ref_ID&gt;136&lt;/Ref_ID&gt;&lt;Title_Primary&gt;The impact of family history of allergy on risk of food allergy: a population-based study of infants&lt;/Title_Primary&gt;&lt;Authors_Primary&gt;Koplin,J.J.&lt;/Authors_Primary&gt;&lt;Authors_Primary&gt;Allen,K.J.&lt;/Authors_Primary&gt;&lt;Authors_Primary&gt;Gurrin,L.C.&lt;/Authors_Primary&gt;&lt;Authors_Primary&gt;Peters,R.L.&lt;/Authors_Primary&gt;&lt;Authors_Primary&gt;Lowe,A.J.&lt;/Authors_Primary&gt;&lt;Authors_Primary&gt;Tang,M.L.&lt;/Authors_Primary&gt;&lt;Authors_Primary&gt;Dharmage,S.C.&lt;/Authors_Primary&gt;&lt;Date_Primary&gt;2013/11&lt;/Date_Primary&gt;&lt;Keywords&gt;Australia&lt;/Keywords&gt;&lt;Keywords&gt;Child&lt;/Keywords&gt;&lt;Keywords&gt;epidemiology&lt;/Keywords&gt;&lt;Keywords&gt;Family&lt;/Keywords&gt;&lt;Keywords&gt;Food&lt;/Keywords&gt;&lt;Keywords&gt;Infant&lt;/Keywords&gt;&lt;Keywords&gt;Prevalence&lt;/Keywords&gt;&lt;Keywords&gt;Risk&lt;/Keywords&gt;&lt;Reprint&gt;Not in File&lt;/Reprint&gt;&lt;Start_Page&gt;5364&lt;/Start_Page&gt;&lt;End_Page&gt;5377&lt;/End_Page&gt;&lt;Periodical&gt;Int.J.Environ.Res.Public Health&lt;/Periodical&gt;&lt;Volume&gt;10&lt;/Volume&gt;&lt;Issue&gt;11&lt;/Issue&gt;&lt;User_Def_5&gt;PMC3863850&lt;/User_Def_5&gt;&lt;Misc_3&gt;ijerph10115364 [pii];10.3390/ijerph10115364 [doi]&lt;/Misc_3&gt;&lt;Address&gt;Centre for Molecular, Environmental, Genetic and Analytic Epidemiology, University of Melbourne, Parkville, Victoria 3052, Australia. katrina.allen@rch.org.au&lt;/Address&gt;&lt;Web_URL&gt;PM:24284354&lt;/Web_URL&gt;&lt;ZZ_JournalStdAbbrev&gt;&lt;f name="System"&gt;Int.J.Environ.Res.Public Health&lt;/f&gt;&lt;/ZZ_JournalStdAbbrev&gt;&lt;ZZ_WorkformID&gt;1&lt;/ZZ_WorkformID&gt;&lt;/MDL&gt;&lt;/Cite&gt;&lt;/Refman&gt;</w:instrText>
      </w:r>
      <w:r w:rsidR="00191987" w:rsidRPr="005C39EC">
        <w:rPr>
          <w:rFonts w:cs="Arial"/>
        </w:rPr>
        <w:fldChar w:fldCharType="separate"/>
      </w:r>
      <w:r w:rsidR="00191987" w:rsidRPr="005C39EC">
        <w:rPr>
          <w:rFonts w:cs="Arial"/>
          <w:noProof/>
        </w:rPr>
        <w:t>(Koplin et al. 2013)</w:t>
      </w:r>
      <w:r w:rsidR="00191987" w:rsidRPr="005C39EC">
        <w:rPr>
          <w:rFonts w:cs="Arial"/>
        </w:rPr>
        <w:fldChar w:fldCharType="end"/>
      </w:r>
      <w:r w:rsidRPr="005C39EC">
        <w:rPr>
          <w:rFonts w:cs="Arial"/>
        </w:rPr>
        <w:t xml:space="preserve"> On this basis, prevalence of allergy among at-risk infants could be much higher</w:t>
      </w:r>
      <w:r w:rsidR="00191987" w:rsidRPr="005C39EC">
        <w:rPr>
          <w:rFonts w:cs="Arial"/>
        </w:rPr>
        <w:t xml:space="preserve"> </w:t>
      </w:r>
      <w:r w:rsidR="00191987" w:rsidRPr="005C39EC">
        <w:rPr>
          <w:rFonts w:cs="Arial"/>
        </w:rPr>
        <w:fldChar w:fldCharType="begin">
          <w:fldData xml:space="preserve">PFJlZm1hbj48Q2l0ZT48QXV0aG9yPlN1PC9BdXRob3I+PFllYXI+MjAxMjwvWWVhcj48UmVjTnVt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</w:fldData>
        </w:fldChar>
      </w:r>
      <w:r w:rsidR="000E7587" w:rsidRPr="005C39EC">
        <w:rPr>
          <w:rFonts w:cs="Arial"/>
        </w:rPr>
        <w:instrText xml:space="preserve"> ADDIN REFMGR.CITE </w:instrText>
      </w:r>
      <w:r w:rsidR="000E7587" w:rsidRPr="005C39EC">
        <w:rPr>
          <w:rFonts w:cs="Arial"/>
        </w:rPr>
        <w:fldChar w:fldCharType="begin">
          <w:fldData xml:space="preserve">PFJlZm1hbj48Q2l0ZT48QXV0aG9yPlN1PC9BdXRob3I+PFllYXI+MjAxMjwvWWVhcj48UmVjTnVt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</w:fldData>
        </w:fldChar>
      </w:r>
      <w:r w:rsidR="000E7587" w:rsidRPr="005C39EC">
        <w:rPr>
          <w:rFonts w:cs="Arial"/>
        </w:rPr>
        <w:instrText xml:space="preserve"> ADDIN EN.CITE.DATA </w:instrText>
      </w:r>
      <w:r w:rsidR="000E7587" w:rsidRPr="005C39EC">
        <w:rPr>
          <w:rFonts w:cs="Arial"/>
        </w:rPr>
      </w:r>
      <w:r w:rsidR="000E7587" w:rsidRPr="005C39EC">
        <w:rPr>
          <w:rFonts w:cs="Arial"/>
        </w:rPr>
        <w:fldChar w:fldCharType="end"/>
      </w:r>
      <w:r w:rsidR="00191987" w:rsidRPr="005C39EC">
        <w:rPr>
          <w:rFonts w:cs="Arial"/>
        </w:rPr>
      </w:r>
      <w:r w:rsidR="00191987" w:rsidRPr="005C39EC">
        <w:rPr>
          <w:rFonts w:cs="Arial"/>
        </w:rPr>
        <w:fldChar w:fldCharType="separate"/>
      </w:r>
      <w:r w:rsidR="00191987" w:rsidRPr="005C39EC">
        <w:rPr>
          <w:rFonts w:cs="Arial"/>
          <w:noProof/>
        </w:rPr>
        <w:t>(Su et al. 2012)</w:t>
      </w:r>
      <w:r w:rsidR="00191987" w:rsidRPr="005C39EC">
        <w:rPr>
          <w:rFonts w:cs="Arial"/>
        </w:rPr>
        <w:fldChar w:fldCharType="end"/>
      </w:r>
      <w:r w:rsidR="007B2740" w:rsidRPr="005C39EC">
        <w:rPr>
          <w:rFonts w:cs="Arial"/>
        </w:rPr>
        <w:t xml:space="preserve"> </w:t>
      </w:r>
      <w:r w:rsidRPr="005C39EC">
        <w:rPr>
          <w:rFonts w:cs="Arial"/>
        </w:rPr>
        <w:t xml:space="preserve">although an accurate determination of this is difficult due to complex aetiology of allergic diseases. </w:t>
      </w:r>
    </w:p>
    <w:p w14:paraId="7266157A" w14:textId="19182197" w:rsidR="00F716E7" w:rsidRPr="005C39EC" w:rsidRDefault="00F716E7" w:rsidP="00BE7858">
      <w:pPr>
        <w:rPr>
          <w:rFonts w:cs="Arial"/>
        </w:rPr>
      </w:pPr>
      <w:r w:rsidRPr="005C39EC">
        <w:rPr>
          <w:rFonts w:cs="Arial"/>
        </w:rPr>
        <w:t xml:space="preserve">Nevertheless, the development of food-related allergies in infants and children is a significant public health problem. As noted </w:t>
      </w:r>
      <w:r w:rsidR="007B2740" w:rsidRPr="005C39EC">
        <w:rPr>
          <w:rFonts w:cs="Arial"/>
        </w:rPr>
        <w:t>above</w:t>
      </w:r>
      <w:r w:rsidRPr="005C39EC">
        <w:rPr>
          <w:rFonts w:cs="Arial"/>
        </w:rPr>
        <w:t>, several RCTs that are currently underway aim to determine whether ‘early’ regular exposure to food allergens induces oral tolerance and reduces the risk of allergic diseases.</w:t>
      </w:r>
    </w:p>
    <w:p w14:paraId="5152E3D4" w14:textId="376C11A3" w:rsidR="0014171C" w:rsidRPr="005C39EC" w:rsidRDefault="006C1DF9" w:rsidP="00127C9E">
      <w:pPr>
        <w:pStyle w:val="Heading2"/>
      </w:pPr>
      <w:bookmarkStart w:id="23" w:name="_Toc399945832"/>
      <w:r w:rsidRPr="005C39EC">
        <w:t>3.6</w:t>
      </w:r>
      <w:r w:rsidRPr="005C39EC">
        <w:tab/>
      </w:r>
      <w:r w:rsidR="0014171C" w:rsidRPr="005C39EC">
        <w:t>Summary</w:t>
      </w:r>
      <w:bookmarkEnd w:id="23"/>
    </w:p>
    <w:p w14:paraId="73FB1541" w14:textId="77777777" w:rsidR="0014171C" w:rsidRPr="005C39EC" w:rsidRDefault="0014171C" w:rsidP="00BE7858">
      <w:pPr>
        <w:rPr>
          <w:rFonts w:cs="Arial"/>
        </w:rPr>
      </w:pPr>
      <w:r w:rsidRPr="005C39EC">
        <w:rPr>
          <w:rFonts w:cs="Arial"/>
        </w:rPr>
        <w:t xml:space="preserve">Overall the evaluation of the studies listed in </w:t>
      </w:r>
      <w:r w:rsidR="001A64EF" w:rsidRPr="005C39EC">
        <w:rPr>
          <w:rFonts w:cs="Arial"/>
        </w:rPr>
        <w:t>Attachment</w:t>
      </w:r>
      <w:r w:rsidRPr="005C39EC">
        <w:rPr>
          <w:rFonts w:cs="Arial"/>
        </w:rPr>
        <w:t xml:space="preserve"> 2 suggests that the risk of allergic diseases or syndromes in children and infants to food is mainly linked to introduction of solids before 4 months and, possibly, after 7 months of age. </w:t>
      </w:r>
      <w:proofErr w:type="gramStart"/>
      <w:r w:rsidRPr="005C39EC">
        <w:rPr>
          <w:rFonts w:cs="Arial"/>
        </w:rPr>
        <w:t xml:space="preserve">Based on </w:t>
      </w:r>
      <w:r w:rsidR="0018210F" w:rsidRPr="005C39EC">
        <w:rPr>
          <w:rFonts w:cs="Arial"/>
        </w:rPr>
        <w:t>available</w:t>
      </w:r>
      <w:r w:rsidRPr="005C39EC">
        <w:rPr>
          <w:rFonts w:cs="Arial"/>
        </w:rPr>
        <w:t xml:space="preserve"> evidence,</w:t>
      </w:r>
      <w:r w:rsidR="00E6045A" w:rsidRPr="005C39EC">
        <w:rPr>
          <w:rFonts w:cs="Arial"/>
        </w:rPr>
        <w:t xml:space="preserve"> </w:t>
      </w:r>
      <w:r w:rsidR="002250ED" w:rsidRPr="005C39EC">
        <w:rPr>
          <w:rFonts w:cs="Arial"/>
        </w:rPr>
        <w:t xml:space="preserve">the introduction of </w:t>
      </w:r>
      <w:r w:rsidRPr="005C39EC">
        <w:rPr>
          <w:rFonts w:cs="Arial"/>
        </w:rPr>
        <w:t>solid food at ‘around 6 months’ does not appear to present a greater risk of subsequent food allergy</w:t>
      </w:r>
      <w:r w:rsidR="001A0BCF" w:rsidRPr="005C39EC">
        <w:rPr>
          <w:rFonts w:cs="Arial"/>
        </w:rPr>
        <w:t>,</w:t>
      </w:r>
      <w:r w:rsidRPr="005C39EC">
        <w:rPr>
          <w:rFonts w:cs="Arial"/>
        </w:rPr>
        <w:t xml:space="preserve"> </w:t>
      </w:r>
      <w:r w:rsidR="00673A1B" w:rsidRPr="005C39EC">
        <w:rPr>
          <w:rFonts w:cs="Arial"/>
        </w:rPr>
        <w:t xml:space="preserve">relative to </w:t>
      </w:r>
      <w:r w:rsidR="0018210F" w:rsidRPr="005C39EC">
        <w:rPr>
          <w:rFonts w:cs="Arial"/>
        </w:rPr>
        <w:t xml:space="preserve">the introduction of solid food </w:t>
      </w:r>
      <w:r w:rsidR="00E7481C" w:rsidRPr="005C39EC">
        <w:rPr>
          <w:rFonts w:cs="Arial"/>
        </w:rPr>
        <w:t>‘from 4 months’</w:t>
      </w:r>
      <w:r w:rsidR="00E6045A" w:rsidRPr="005C39EC">
        <w:rPr>
          <w:rFonts w:cs="Arial"/>
        </w:rPr>
        <w:t>.</w:t>
      </w:r>
      <w:proofErr w:type="gramEnd"/>
      <w:r w:rsidR="00E7481C" w:rsidRPr="005C39EC">
        <w:rPr>
          <w:rFonts w:cs="Arial"/>
        </w:rPr>
        <w:t xml:space="preserve"> </w:t>
      </w:r>
      <w:r w:rsidRPr="005C39EC">
        <w:rPr>
          <w:rFonts w:cs="Arial"/>
        </w:rPr>
        <w:t xml:space="preserve">This conclusion is consistent with current advice and recommendations issued by several expert bodies.  However, as concluded in the PFAR </w:t>
      </w:r>
      <w:r w:rsidR="00192A62" w:rsidRPr="005C39EC">
        <w:rPr>
          <w:rFonts w:cs="Arial"/>
        </w:rPr>
        <w:t xml:space="preserve">for Proposal P274 </w:t>
      </w:r>
      <w:r w:rsidR="00192A62" w:rsidRPr="005C39EC">
        <w:rPr>
          <w:rFonts w:cs="Arial"/>
        </w:rPr>
        <w:fldChar w:fldCharType="begin"/>
      </w:r>
      <w:r w:rsidR="000E7587" w:rsidRPr="005C39EC">
        <w:rPr>
          <w:rFonts w:cs="Arial"/>
        </w:rPr>
        <w:instrText xml:space="preserve"> ADDIN REFMGR.CITE &lt;Refman&gt;&lt;Cite&gt;&lt;Author&gt;FSANZ&lt;/Author&gt;&lt;Year&gt;2008&lt;/Year&gt;&lt;RecNum&gt;34&lt;/RecNum&gt;&lt;IDText&gt;Proposal P274 Review of Minimum Age of Labelling of Foods for Infants - Preliminary Final Assessment Report&lt;/IDText&gt;&lt;MDL Ref_Type="Report"&gt;&lt;Ref_Type&gt;Report&lt;/Ref_Type&gt;&lt;Ref_ID&gt;34&lt;/Ref_ID&gt;&lt;Title_Primary&gt;Proposal P274 Review of Minimum Age of Labelling of Foods for Infants - Preliminary Final Assessment Report&lt;/Title_Primary&gt;&lt;Authors_Primary&gt;FSANZ&lt;/Authors_Primary&gt;&lt;Date_Primary&gt;2008&lt;/Date_Primary&gt;&lt;Keywords&gt;Infant&lt;/Keywords&gt;&lt;Reprint&gt;Not in File&lt;/Reprint&gt;&lt;Pub_Place&gt;Canberra&lt;/Pub_Place&gt;&lt;Publisher&gt;Food Standards Australia New Zealand&lt;/Publisher&gt;&lt;Date_Secondary&gt;2014/7/31&lt;/Date_Secondary&gt;&lt;Web_URL&gt;&lt;u&gt;http://www.foodstandards.gov.au/code/proposals/Pages/proposalp274reviewofminimumagelabellingoffoodsforinfants/Default.aspx&lt;/u&gt;&lt;/Web_URL&gt;&lt;ZZ_WorkformID&gt;24&lt;/ZZ_WorkformID&gt;&lt;/MDL&gt;&lt;/Cite&gt;&lt;/Refman&gt;</w:instrText>
      </w:r>
      <w:r w:rsidR="00192A62" w:rsidRPr="005C39EC">
        <w:rPr>
          <w:rFonts w:cs="Arial"/>
        </w:rPr>
        <w:fldChar w:fldCharType="separate"/>
      </w:r>
      <w:r w:rsidR="00192A62" w:rsidRPr="005C39EC">
        <w:rPr>
          <w:rFonts w:cs="Arial"/>
          <w:noProof/>
        </w:rPr>
        <w:t>(FSANZ 2008)</w:t>
      </w:r>
      <w:r w:rsidR="00192A62" w:rsidRPr="005C39EC">
        <w:rPr>
          <w:rFonts w:cs="Arial"/>
        </w:rPr>
        <w:fldChar w:fldCharType="end"/>
      </w:r>
      <w:r w:rsidRPr="005C39EC">
        <w:rPr>
          <w:rFonts w:cs="Arial"/>
        </w:rPr>
        <w:t>, evidence continues to emerge that the period of 4</w:t>
      </w:r>
      <w:r w:rsidR="009204B5" w:rsidRPr="005C39EC">
        <w:rPr>
          <w:rFonts w:cs="Arial"/>
        </w:rPr>
        <w:t>–</w:t>
      </w:r>
      <w:r w:rsidRPr="005C39EC">
        <w:rPr>
          <w:rFonts w:cs="Arial"/>
        </w:rPr>
        <w:t>7 months may be the critical window for the prevention of food-related allergy. Most of the evidence is limited to observational cohort studies and current efforts are focussed on appropriate studies designed to address the specific questions of timing of complementary feeding in relation to allergy. These include several RCTs currently underway.</w:t>
      </w:r>
    </w:p>
    <w:p w14:paraId="026B4545" w14:textId="77777777" w:rsidR="0071788E" w:rsidRPr="005C39EC" w:rsidRDefault="0071788E" w:rsidP="00BE7858">
      <w:pPr>
        <w:pStyle w:val="Heading1"/>
        <w:rPr>
          <w:rFonts w:cs="Arial"/>
        </w:rPr>
      </w:pPr>
      <w:bookmarkStart w:id="24" w:name="_Toc399945833"/>
      <w:r w:rsidRPr="005C39EC">
        <w:rPr>
          <w:rFonts w:cs="Arial"/>
        </w:rPr>
        <w:t>Introduction of solids in Australia and New Zealand</w:t>
      </w:r>
      <w:bookmarkEnd w:id="24"/>
    </w:p>
    <w:p w14:paraId="684D15D8" w14:textId="126C04FC" w:rsidR="00A57240" w:rsidRPr="005C39EC" w:rsidRDefault="006C1DF9" w:rsidP="00127C9E">
      <w:pPr>
        <w:pStyle w:val="Heading2"/>
      </w:pPr>
      <w:bookmarkStart w:id="25" w:name="_Toc399945834"/>
      <w:r w:rsidRPr="005C39EC">
        <w:t xml:space="preserve">4.1 </w:t>
      </w:r>
      <w:r w:rsidRPr="005C39EC">
        <w:tab/>
      </w:r>
      <w:r w:rsidR="00A57240" w:rsidRPr="005C39EC">
        <w:t>New Zealand national data</w:t>
      </w:r>
      <w:bookmarkEnd w:id="25"/>
    </w:p>
    <w:p w14:paraId="704BFEFF" w14:textId="5E30A9E7" w:rsidR="00A57240" w:rsidRPr="005C39EC" w:rsidRDefault="00A57240" w:rsidP="00BE7858">
      <w:pPr>
        <w:pStyle w:val="heading"/>
        <w:tabs>
          <w:tab w:val="clear" w:pos="840"/>
        </w:tabs>
        <w:spacing w:before="240"/>
        <w:jc w:val="left"/>
        <w:rPr>
          <w:rFonts w:ascii="Arial" w:hAnsi="Arial" w:cs="Arial"/>
          <w:b w:val="0"/>
          <w:bCs/>
          <w:caps w:val="0"/>
          <w:sz w:val="22"/>
          <w:szCs w:val="22"/>
        </w:rPr>
      </w:pPr>
      <w:r w:rsidRPr="005C39EC">
        <w:rPr>
          <w:rFonts w:ascii="Arial" w:hAnsi="Arial" w:cs="Arial"/>
          <w:b w:val="0"/>
          <w:caps w:val="0"/>
          <w:sz w:val="22"/>
          <w:szCs w:val="22"/>
        </w:rPr>
        <w:t xml:space="preserve">The New Zealand Health Survey 2011/2012 </w:t>
      </w:r>
      <w:r w:rsidR="007B2740" w:rsidRPr="005C39EC">
        <w:rPr>
          <w:rFonts w:ascii="Arial" w:hAnsi="Arial" w:cs="Arial"/>
          <w:b w:val="0"/>
          <w:caps w:val="0"/>
          <w:sz w:val="22"/>
          <w:szCs w:val="22"/>
        </w:rPr>
        <w:t xml:space="preserve">showed </w:t>
      </w:r>
      <w:r w:rsidRPr="005C39EC">
        <w:rPr>
          <w:rFonts w:ascii="Arial" w:hAnsi="Arial" w:cs="Arial"/>
          <w:b w:val="0"/>
          <w:caps w:val="0"/>
          <w:sz w:val="22"/>
          <w:szCs w:val="22"/>
        </w:rPr>
        <w:t xml:space="preserve">fewer infants </w:t>
      </w:r>
      <w:r w:rsidR="007B2740" w:rsidRPr="005C39EC">
        <w:rPr>
          <w:rFonts w:ascii="Arial" w:hAnsi="Arial" w:cs="Arial"/>
          <w:b w:val="0"/>
          <w:caps w:val="0"/>
          <w:sz w:val="22"/>
          <w:szCs w:val="22"/>
        </w:rPr>
        <w:t xml:space="preserve">were </w:t>
      </w:r>
      <w:r w:rsidRPr="005C39EC">
        <w:rPr>
          <w:rFonts w:ascii="Arial" w:hAnsi="Arial" w:cs="Arial"/>
          <w:b w:val="0"/>
          <w:caps w:val="0"/>
          <w:sz w:val="22"/>
          <w:szCs w:val="22"/>
        </w:rPr>
        <w:t>given solid food before 4 months of age (10%) than in 2006/07 (16%)</w:t>
      </w:r>
      <w:r w:rsidR="001A0BCF" w:rsidRPr="005C39EC">
        <w:rPr>
          <w:rFonts w:ascii="Arial" w:hAnsi="Arial" w:cs="Arial"/>
          <w:b w:val="0"/>
          <w:caps w:val="0"/>
          <w:sz w:val="22"/>
          <w:szCs w:val="22"/>
        </w:rPr>
        <w:t xml:space="preserve"> </w:t>
      </w:r>
      <w:r w:rsidRPr="005C39EC">
        <w:rPr>
          <w:rFonts w:ascii="Arial" w:hAnsi="Arial" w:cs="Arial"/>
          <w:b w:val="0"/>
          <w:caps w:val="0"/>
          <w:sz w:val="22"/>
          <w:szCs w:val="22"/>
        </w:rPr>
        <w:fldChar w:fldCharType="begin"/>
      </w:r>
      <w:r w:rsidR="000E7587" w:rsidRPr="005C39EC">
        <w:rPr>
          <w:rFonts w:ascii="Arial" w:hAnsi="Arial" w:cs="Arial"/>
          <w:b w:val="0"/>
          <w:caps w:val="0"/>
          <w:sz w:val="22"/>
          <w:szCs w:val="22"/>
        </w:rPr>
        <w:instrText xml:space="preserve"> ADDIN REFMGR.CITE &lt;Refman&gt;&lt;Cite&gt;&lt;Author&gt;Ministry of Health&lt;/Author&gt;&lt;Year&gt;2012&lt;/Year&gt;&lt;RecNum&gt;144&lt;/RecNum&gt;&lt;IDText&gt;The Health of New Zealand Children: Key findigns of the Nealand Health Survey 2011/12&lt;/IDText&gt;&lt;MDL Ref_Type="Report"&gt;&lt;Ref_Type&gt;Report&lt;/Ref_Type&gt;&lt;Ref_ID&gt;144&lt;/Ref_ID&gt;&lt;Title_Primary&gt;The Health of New Zealand Children: Key findigns of the Nealand Health Survey 2011/12&lt;/Title_Primary&gt;&lt;Authors_Primary&gt;Ministry of Health&lt;/Authors_Primary&gt;&lt;Date_Primary&gt;2012&lt;/Date_Primary&gt;&lt;Reprint&gt;Not in File&lt;/Reprint&gt;&lt;Pub_Place&gt;Wellington&lt;/Pub_Place&gt;&lt;Publisher&gt;Ministry of Health&lt;/Publisher&gt;&lt;ISSN_ISBN&gt;&lt;f name="Times New Roman"&gt;978-0-478-40217-9 (print), 978-0-478-40220-9 (online)&lt;/f&gt;&lt;/ISSN_ISBN&gt;&lt;Date_Secondary&gt;2014/7/31&lt;/Date_Secondary&gt;&lt;Web_URL&gt;&lt;u&gt;http://www.health.govt.nz/publication/health-new-zealand-children-2011-12&lt;/u&gt;&lt;/Web_URL&gt;&lt;ZZ_WorkformID&gt;24&lt;/ZZ_WorkformID&gt;&lt;/MDL&gt;&lt;/Cite&gt;&lt;/Refman&gt;</w:instrText>
      </w:r>
      <w:r w:rsidRPr="005C39EC">
        <w:rPr>
          <w:rFonts w:ascii="Arial" w:hAnsi="Arial" w:cs="Arial"/>
          <w:b w:val="0"/>
          <w:caps w:val="0"/>
          <w:sz w:val="22"/>
          <w:szCs w:val="22"/>
        </w:rPr>
        <w:fldChar w:fldCharType="separate"/>
      </w:r>
      <w:r w:rsidR="003C2B3B" w:rsidRPr="005C39EC">
        <w:rPr>
          <w:rFonts w:ascii="Arial" w:hAnsi="Arial" w:cs="Arial"/>
          <w:b w:val="0"/>
          <w:caps w:val="0"/>
          <w:noProof/>
          <w:sz w:val="22"/>
          <w:szCs w:val="22"/>
        </w:rPr>
        <w:t>(Ministry of Health 2012)</w:t>
      </w:r>
      <w:r w:rsidRPr="005C39EC">
        <w:rPr>
          <w:rFonts w:ascii="Arial" w:hAnsi="Arial" w:cs="Arial"/>
          <w:b w:val="0"/>
          <w:caps w:val="0"/>
          <w:sz w:val="22"/>
          <w:szCs w:val="22"/>
        </w:rPr>
        <w:fldChar w:fldCharType="end"/>
      </w:r>
      <w:r w:rsidRPr="005C39EC">
        <w:rPr>
          <w:rFonts w:ascii="Arial" w:hAnsi="Arial" w:cs="Arial"/>
          <w:b w:val="0"/>
          <w:caps w:val="0"/>
          <w:sz w:val="22"/>
          <w:szCs w:val="22"/>
        </w:rPr>
        <w:t xml:space="preserve">. In addition, the percentage of Maori children that were given solid food before 4 months of age </w:t>
      </w:r>
      <w:r w:rsidR="007B2740" w:rsidRPr="005C39EC">
        <w:rPr>
          <w:rFonts w:ascii="Arial" w:hAnsi="Arial" w:cs="Arial"/>
          <w:b w:val="0"/>
          <w:caps w:val="0"/>
          <w:sz w:val="22"/>
          <w:szCs w:val="22"/>
        </w:rPr>
        <w:t xml:space="preserve">had </w:t>
      </w:r>
      <w:r w:rsidRPr="005C39EC">
        <w:rPr>
          <w:rFonts w:ascii="Arial" w:hAnsi="Arial" w:cs="Arial"/>
          <w:b w:val="0"/>
          <w:caps w:val="0"/>
          <w:sz w:val="22"/>
          <w:szCs w:val="22"/>
        </w:rPr>
        <w:t xml:space="preserve">fallen from 22% in 2006/07 to 16% in 20011/12. </w:t>
      </w:r>
      <w:r w:rsidRPr="005C39EC">
        <w:rPr>
          <w:rFonts w:ascii="Arial" w:hAnsi="Arial" w:cs="Arial"/>
          <w:b w:val="0"/>
          <w:bCs/>
          <w:caps w:val="0"/>
          <w:sz w:val="22"/>
          <w:szCs w:val="22"/>
        </w:rPr>
        <w:t xml:space="preserve">The New Zealand </w:t>
      </w:r>
      <w:r w:rsidR="00003C28" w:rsidRPr="005C39EC">
        <w:rPr>
          <w:rFonts w:ascii="Arial" w:eastAsia="Arial Unicode MS" w:hAnsi="Arial" w:cs="Arial"/>
          <w:b w:val="0"/>
          <w:caps w:val="0"/>
          <w:sz w:val="22"/>
          <w:szCs w:val="22"/>
        </w:rPr>
        <w:t>Food and Nutrition Guidelines for Healthy Infants and Toddlers</w:t>
      </w:r>
      <w:r w:rsidR="00003C28" w:rsidRPr="005C39EC">
        <w:rPr>
          <w:rFonts w:ascii="Arial" w:eastAsia="Arial Unicode MS" w:hAnsi="Arial" w:cs="Arial"/>
          <w:caps w:val="0"/>
          <w:sz w:val="22"/>
          <w:szCs w:val="22"/>
        </w:rPr>
        <w:t xml:space="preserve"> </w:t>
      </w:r>
      <w:r w:rsidR="006A68A3" w:rsidRPr="005C39EC">
        <w:rPr>
          <w:rFonts w:ascii="Arial" w:hAnsi="Arial" w:cs="Arial"/>
          <w:b w:val="0"/>
          <w:bCs/>
          <w:caps w:val="0"/>
          <w:noProof/>
          <w:sz w:val="22"/>
          <w:szCs w:val="22"/>
        </w:rPr>
        <w:t xml:space="preserve">(Ministry of Health 2008) </w:t>
      </w:r>
      <w:r w:rsidRPr="005C39EC">
        <w:rPr>
          <w:rFonts w:ascii="Arial" w:hAnsi="Arial" w:cs="Arial"/>
          <w:b w:val="0"/>
          <w:bCs/>
          <w:caps w:val="0"/>
          <w:sz w:val="22"/>
          <w:szCs w:val="22"/>
        </w:rPr>
        <w:t>recommend that complementary foods be introduced at ‘around 6 months’ (they had previously recommended 4 to 6 months). The Guidelines also recommend that solid foods should be introduced when an infant is at the appropriate stage of development, which will vary from infant to infant.</w:t>
      </w:r>
    </w:p>
    <w:p w14:paraId="2E827353" w14:textId="64D31F7E" w:rsidR="00492A5C" w:rsidRPr="005C39EC" w:rsidRDefault="006C1DF9" w:rsidP="00127C9E">
      <w:pPr>
        <w:pStyle w:val="Heading2"/>
      </w:pPr>
      <w:bookmarkStart w:id="26" w:name="_Toc399945835"/>
      <w:r w:rsidRPr="005C39EC">
        <w:t>4.2</w:t>
      </w:r>
      <w:r w:rsidRPr="005C39EC">
        <w:tab/>
      </w:r>
      <w:r w:rsidR="00A57240" w:rsidRPr="005C39EC">
        <w:t>Australian national data</w:t>
      </w:r>
      <w:bookmarkEnd w:id="26"/>
    </w:p>
    <w:p w14:paraId="125F7931" w14:textId="77777777" w:rsidR="00C2751B" w:rsidRPr="005C39EC" w:rsidRDefault="00A57240" w:rsidP="00BE7858">
      <w:pPr>
        <w:ind w:hanging="11"/>
        <w:rPr>
          <w:rFonts w:cs="Arial"/>
        </w:rPr>
      </w:pPr>
      <w:r w:rsidRPr="005C39EC">
        <w:rPr>
          <w:rFonts w:cs="Arial"/>
        </w:rPr>
        <w:t xml:space="preserve">The 2010 Australian National Infant Feeding Survey </w:t>
      </w:r>
      <w:r w:rsidRPr="005C39EC">
        <w:rPr>
          <w:rFonts w:cs="Arial"/>
        </w:rPr>
        <w:fldChar w:fldCharType="begin"/>
      </w:r>
      <w:r w:rsidR="000E7587" w:rsidRPr="005C39EC">
        <w:rPr>
          <w:rFonts w:cs="Arial"/>
        </w:rPr>
        <w:instrText xml:space="preserve"> ADDIN REFMGR.CITE &lt;Refman&gt;&lt;Cite&gt;&lt;Author&gt;Australian Institute of Health and Welfare&lt;/Author&gt;&lt;Year&gt;2011&lt;/Year&gt;&lt;RecNum&gt;121&lt;/RecNum&gt;&lt;IDText&gt;2010 Australian National Infant Feeding Survey&lt;/IDText&gt;&lt;MDL Ref_Type="Report"&gt;&lt;Ref_Type&gt;Report&lt;/Ref_Type&gt;&lt;Ref_ID&gt;121&lt;/Ref_ID&gt;&lt;Title_Primary&gt;2010 Australian National Infant Feeding Survey&lt;/Title_Primary&gt;&lt;Authors_Primary&gt;Australian Institute of Health and Welfare&lt;/Authors_Primary&gt;&lt;Date_Primary&gt;2011&lt;/Date_Primary&gt;&lt;Keywords&gt;Infant&lt;/Keywords&gt;&lt;Reprint&gt;In File&lt;/Reprint&gt;&lt;Pub_Place&gt;Canberra&lt;/Pub_Place&gt;&lt;Publisher&gt;AIHW&lt;/Publisher&gt;&lt;ZZ_WorkformID&gt;24&lt;/ZZ_WorkformID&gt;&lt;/MDL&gt;&lt;/Cite&gt;&lt;/Refman&gt;</w:instrText>
      </w:r>
      <w:r w:rsidRPr="005C39EC">
        <w:rPr>
          <w:rFonts w:cs="Arial"/>
        </w:rPr>
        <w:fldChar w:fldCharType="separate"/>
      </w:r>
      <w:r w:rsidR="003C2B3B" w:rsidRPr="005C39EC">
        <w:rPr>
          <w:rFonts w:cs="Arial"/>
          <w:noProof/>
        </w:rPr>
        <w:t>(Australian Institute of Health and Welfare 2011a)</w:t>
      </w:r>
      <w:r w:rsidRPr="005C39EC">
        <w:rPr>
          <w:rFonts w:cs="Arial"/>
        </w:rPr>
        <w:fldChar w:fldCharType="end"/>
      </w:r>
      <w:r w:rsidRPr="005C39EC">
        <w:rPr>
          <w:rFonts w:cs="Arial"/>
        </w:rPr>
        <w:t xml:space="preserve"> assessed the age of introduction of solid foods in two different ways (Table 2). First, when asked about the day before the survey, 9.7% of mothers with infants aged </w:t>
      </w:r>
    </w:p>
    <w:p w14:paraId="5D8F0633" w14:textId="73B90AD7" w:rsidR="00A57240" w:rsidRPr="005C39EC" w:rsidRDefault="00A57240" w:rsidP="00BE7858">
      <w:pPr>
        <w:ind w:hanging="11"/>
        <w:rPr>
          <w:rFonts w:cs="Arial"/>
        </w:rPr>
      </w:pPr>
      <w:r w:rsidRPr="005C39EC">
        <w:rPr>
          <w:rFonts w:cs="Arial"/>
        </w:rPr>
        <w:t xml:space="preserve">3–&lt;4 months had fed their infant solids (n=3,887 mothers). In the second method, when asked to recall the age of introduction, 4.3% of respondents with an infant aged 4 months or older reported having introduced solids before 4 months (time-to-event analysis using responses from all mothers). </w:t>
      </w:r>
    </w:p>
    <w:p w14:paraId="4DCD67F6" w14:textId="77777777" w:rsidR="000F6208" w:rsidRPr="005C39EC" w:rsidRDefault="00AA1CC9" w:rsidP="00BE7858">
      <w:pPr>
        <w:ind w:hanging="11"/>
        <w:rPr>
          <w:rFonts w:cs="Arial"/>
        </w:rPr>
      </w:pPr>
      <w:r w:rsidRPr="005C39EC">
        <w:rPr>
          <w:rFonts w:cs="Arial"/>
        </w:rPr>
        <w:lastRenderedPageBreak/>
        <w:t xml:space="preserve">Also shown in Table 2, solids were introduced at 3–&lt;4 months of age in 15.2% of infants with a mother aged 24 years or younger and in only 2.8% of infants whose mother was aged 35 years or older.  There was under sampling of low socioeconomic status (SES) </w:t>
      </w:r>
      <w:r w:rsidR="00451F9C" w:rsidRPr="005C39EC">
        <w:rPr>
          <w:rFonts w:cs="Arial"/>
        </w:rPr>
        <w:t xml:space="preserve">respondents with </w:t>
      </w:r>
      <w:r w:rsidRPr="005C39EC">
        <w:rPr>
          <w:rFonts w:cs="Arial"/>
        </w:rPr>
        <w:t xml:space="preserve">infants and those with low maternal age. If the national average is re-weighted using the national SES and maternal age at birth data </w:t>
      </w:r>
      <w:r w:rsidR="000E7587" w:rsidRPr="005C39EC">
        <w:rPr>
          <w:rFonts w:cs="Arial"/>
        </w:rPr>
        <w:t xml:space="preserve">(see Table 3.1 in: </w:t>
      </w:r>
      <w:r w:rsidRPr="005C39EC">
        <w:rPr>
          <w:rFonts w:cs="Arial"/>
        </w:rPr>
        <w:fldChar w:fldCharType="begin"/>
      </w:r>
      <w:r w:rsidR="000E7587" w:rsidRPr="005C39EC">
        <w:rPr>
          <w:rFonts w:cs="Arial"/>
        </w:rPr>
        <w:instrText xml:space="preserve"> ADDIN REFMGR.CITE &lt;Refman&gt;&lt;Cite&gt;&lt;Author&gt;Australian Institute of Health and Welfare&lt;/Author&gt;&lt;Year&gt;2011&lt;/Year&gt;&lt;RecNum&gt;145&lt;/RecNum&gt;&lt;IDText&gt;2010 Australia&amp;apos;s Mothers and Babies&lt;/IDText&gt;&lt;MDL Ref_Type="Report"&gt;&lt;Ref_Type&gt;Report&lt;/Ref_Type&gt;&lt;Ref_ID&gt;145&lt;/Ref_ID&gt;&lt;Title_Primary&gt;2010 Australia&amp;apos;s Mothers and Babies&lt;/Title_Primary&gt;&lt;Authors_Primary&gt;Australian Institute of Health and Welfare&lt;/Authors_Primary&gt;&lt;Date_Primary&gt;2011&lt;/Date_Primary&gt;&lt;Keywords&gt;Infant&lt;/Keywords&gt;&lt;Keywords&gt;Mothers&lt;/Keywords&gt;&lt;Reprint&gt;In File&lt;/Reprint&gt;&lt;Pub_Place&gt;Canberra&lt;/Pub_Place&gt;&lt;Publisher&gt;AIHW&lt;/Publisher&gt;&lt;ZZ_WorkformID&gt;24&lt;/ZZ_WorkformID&gt;&lt;/MDL&gt;&lt;/Cite&gt;&lt;/Refman&gt;</w:instrText>
      </w:r>
      <w:r w:rsidRPr="005C39EC">
        <w:rPr>
          <w:rFonts w:cs="Arial"/>
        </w:rPr>
        <w:fldChar w:fldCharType="separate"/>
      </w:r>
      <w:r w:rsidR="003C2B3B" w:rsidRPr="005C39EC">
        <w:rPr>
          <w:rFonts w:cs="Arial"/>
          <w:noProof/>
        </w:rPr>
        <w:t>(Australian Institute of Health and Welfare 2011b)</w:t>
      </w:r>
      <w:r w:rsidRPr="005C39EC">
        <w:rPr>
          <w:rFonts w:cs="Arial"/>
        </w:rPr>
        <w:fldChar w:fldCharType="end"/>
      </w:r>
      <w:r w:rsidR="00931868" w:rsidRPr="005C39EC">
        <w:rPr>
          <w:rFonts w:cs="Arial"/>
        </w:rPr>
        <w:t>)</w:t>
      </w:r>
      <w:r w:rsidRPr="005C39EC">
        <w:rPr>
          <w:rFonts w:cs="Arial"/>
        </w:rPr>
        <w:t>, then FSANZ estimates that the revised prevalences of introduction of solids before 4 months is 4.7% (SES weighting) and 6.0% (maternal age weighting). </w:t>
      </w:r>
    </w:p>
    <w:p w14:paraId="069ADA0D" w14:textId="5C1A147E" w:rsidR="00AA1CC9" w:rsidRPr="005C39EC" w:rsidRDefault="00AA1CC9" w:rsidP="00BE7858">
      <w:pPr>
        <w:ind w:hanging="11"/>
        <w:rPr>
          <w:rFonts w:cs="Arial"/>
        </w:rPr>
      </w:pPr>
      <w:r w:rsidRPr="005C39EC">
        <w:rPr>
          <w:rFonts w:cs="Arial"/>
        </w:rPr>
        <w:t xml:space="preserve">Variation by jurisdiction ranged from 5.9% in Queensland to 2.3% in the ACT. FSANZ has confirmed the interpretation of these results with the Australian Institute of Health and Welfare. Therefore FSANZ concludes that </w:t>
      </w:r>
      <w:r w:rsidR="00451F9C" w:rsidRPr="005C39EC">
        <w:rPr>
          <w:rFonts w:cs="Arial"/>
        </w:rPr>
        <w:t xml:space="preserve">for the </w:t>
      </w:r>
      <w:r w:rsidRPr="005C39EC">
        <w:rPr>
          <w:rFonts w:cs="Arial"/>
        </w:rPr>
        <w:t xml:space="preserve">Australian </w:t>
      </w:r>
      <w:r w:rsidR="00451F9C" w:rsidRPr="005C39EC">
        <w:rPr>
          <w:rFonts w:cs="Arial"/>
        </w:rPr>
        <w:t>population, the proportion</w:t>
      </w:r>
      <w:r w:rsidRPr="005C39EC">
        <w:rPr>
          <w:rFonts w:cs="Arial"/>
        </w:rPr>
        <w:t xml:space="preserve"> of infants who </w:t>
      </w:r>
      <w:r w:rsidR="00E10575" w:rsidRPr="005C39EC">
        <w:rPr>
          <w:rFonts w:cs="Arial"/>
        </w:rPr>
        <w:t xml:space="preserve">were </w:t>
      </w:r>
      <w:r w:rsidRPr="005C39EC">
        <w:rPr>
          <w:rFonts w:cs="Arial"/>
        </w:rPr>
        <w:t xml:space="preserve">receiving solids before 4 months of age </w:t>
      </w:r>
      <w:r w:rsidR="00451F9C" w:rsidRPr="005C39EC">
        <w:rPr>
          <w:rFonts w:cs="Arial"/>
        </w:rPr>
        <w:t>range</w:t>
      </w:r>
      <w:r w:rsidR="00E10575" w:rsidRPr="005C39EC">
        <w:rPr>
          <w:rFonts w:cs="Arial"/>
        </w:rPr>
        <w:t>d</w:t>
      </w:r>
      <w:r w:rsidR="00451F9C" w:rsidRPr="005C39EC">
        <w:rPr>
          <w:rFonts w:cs="Arial"/>
        </w:rPr>
        <w:t xml:space="preserve"> from</w:t>
      </w:r>
      <w:r w:rsidRPr="005C39EC">
        <w:rPr>
          <w:rFonts w:cs="Arial"/>
        </w:rPr>
        <w:t xml:space="preserve"> 4–10%, noting that within this range there </w:t>
      </w:r>
      <w:r w:rsidR="00E10575" w:rsidRPr="005C39EC">
        <w:rPr>
          <w:rFonts w:cs="Arial"/>
        </w:rPr>
        <w:t xml:space="preserve">was </w:t>
      </w:r>
      <w:r w:rsidRPr="005C39EC">
        <w:rPr>
          <w:rFonts w:cs="Arial"/>
        </w:rPr>
        <w:t>some variation according to maternal age and SES.</w:t>
      </w:r>
    </w:p>
    <w:p w14:paraId="7DABE35C" w14:textId="77777777" w:rsidR="00A57240" w:rsidRPr="005C39EC" w:rsidRDefault="00A57240" w:rsidP="00BE7858">
      <w:pPr>
        <w:pStyle w:val="heading"/>
        <w:tabs>
          <w:tab w:val="clear" w:pos="840"/>
        </w:tabs>
        <w:jc w:val="left"/>
        <w:rPr>
          <w:rFonts w:ascii="Arial" w:hAnsi="Arial" w:cs="Arial"/>
          <w:b w:val="0"/>
          <w:bCs/>
          <w:caps w:val="0"/>
          <w:sz w:val="22"/>
          <w:szCs w:val="22"/>
        </w:rPr>
      </w:pPr>
    </w:p>
    <w:p w14:paraId="463E3AEE" w14:textId="51A39DF2" w:rsidR="00AA1CC9" w:rsidRPr="005C39EC" w:rsidRDefault="00AA1CC9" w:rsidP="00BE7858">
      <w:pPr>
        <w:pStyle w:val="heading"/>
        <w:tabs>
          <w:tab w:val="clear" w:pos="840"/>
        </w:tabs>
        <w:jc w:val="left"/>
        <w:rPr>
          <w:rFonts w:ascii="Arial" w:hAnsi="Arial" w:cs="Arial"/>
          <w:b w:val="0"/>
          <w:caps w:val="0"/>
          <w:sz w:val="22"/>
          <w:szCs w:val="22"/>
        </w:rPr>
      </w:pPr>
      <w:r w:rsidRPr="005C39EC">
        <w:rPr>
          <w:rFonts w:ascii="Arial" w:hAnsi="Arial" w:cs="Arial"/>
          <w:b w:val="0"/>
          <w:caps w:val="0"/>
          <w:sz w:val="22"/>
          <w:szCs w:val="22"/>
        </w:rPr>
        <w:t xml:space="preserve">Data from the Queensland Infant Nutrition Surveys for 2003 and 2008 (provided by Queensland Department of Health) shows a decrease in the </w:t>
      </w:r>
      <w:r w:rsidR="00A54CBB" w:rsidRPr="005C39EC">
        <w:rPr>
          <w:rFonts w:ascii="Arial" w:hAnsi="Arial" w:cs="Arial"/>
          <w:b w:val="0"/>
          <w:caps w:val="0"/>
          <w:sz w:val="22"/>
          <w:szCs w:val="22"/>
        </w:rPr>
        <w:t>proportion</w:t>
      </w:r>
      <w:r w:rsidRPr="005C39EC">
        <w:rPr>
          <w:rFonts w:ascii="Arial" w:hAnsi="Arial" w:cs="Arial"/>
          <w:b w:val="0"/>
          <w:caps w:val="0"/>
          <w:sz w:val="22"/>
          <w:szCs w:val="22"/>
        </w:rPr>
        <w:t xml:space="preserve"> of infants receiving solid food before 4 months of age (48.5% to 12.3%), over this time period – and also a decrease in the number of infants who were introduced to solids after 6 months of age (12.1 to 8.3%). Before 2003, the recommended age to introduce solids was 4–6 months and this changed to ‘around 6 months’ in 2003. </w:t>
      </w:r>
    </w:p>
    <w:p w14:paraId="5C6795B3" w14:textId="77777777" w:rsidR="004554E7" w:rsidRPr="005C39EC" w:rsidRDefault="004554E7" w:rsidP="00BE7858">
      <w:pPr>
        <w:rPr>
          <w:rFonts w:cs="Arial"/>
        </w:rPr>
      </w:pPr>
    </w:p>
    <w:p w14:paraId="0CE6DAAF" w14:textId="4CC4DF6F" w:rsidR="004554E7" w:rsidRPr="005C39EC" w:rsidRDefault="004554E7" w:rsidP="00BE7858">
      <w:pPr>
        <w:ind w:left="993" w:hanging="993"/>
        <w:rPr>
          <w:rFonts w:cs="Arial"/>
          <w:b/>
        </w:rPr>
      </w:pPr>
      <w:r w:rsidRPr="005C39EC">
        <w:rPr>
          <w:rFonts w:cs="Arial"/>
          <w:b/>
        </w:rPr>
        <w:t>Table 2</w:t>
      </w:r>
      <w:r w:rsidR="00FB379F" w:rsidRPr="005C39EC">
        <w:rPr>
          <w:rFonts w:cs="Arial"/>
          <w:b/>
        </w:rPr>
        <w:t>:</w:t>
      </w:r>
      <w:r w:rsidRPr="005C39EC">
        <w:rPr>
          <w:rFonts w:cs="Arial"/>
          <w:b/>
        </w:rPr>
        <w:t xml:space="preserve"> Selected infant feeding data from the 2010 Australian National Infant Feeding Survey</w:t>
      </w:r>
      <w:r w:rsidRPr="005C39EC">
        <w:rPr>
          <w:rFonts w:cs="Arial"/>
          <w:b/>
          <w:vertAlign w:val="superscript"/>
        </w:rPr>
        <w:t>a</w:t>
      </w:r>
    </w:p>
    <w:tbl>
      <w:tblPr>
        <w:tblStyle w:val="TableGrid"/>
        <w:tblW w:w="9160" w:type="dxa"/>
        <w:tblLayout w:type="fixed"/>
        <w:tblLook w:val="04A0" w:firstRow="1" w:lastRow="0" w:firstColumn="1" w:lastColumn="0" w:noHBand="0" w:noVBand="1"/>
      </w:tblPr>
      <w:tblGrid>
        <w:gridCol w:w="1762"/>
        <w:gridCol w:w="1084"/>
        <w:gridCol w:w="400"/>
        <w:gridCol w:w="685"/>
        <w:gridCol w:w="889"/>
        <w:gridCol w:w="89"/>
        <w:gridCol w:w="996"/>
        <w:gridCol w:w="939"/>
        <w:gridCol w:w="146"/>
        <w:gridCol w:w="1085"/>
        <w:gridCol w:w="1085"/>
      </w:tblGrid>
      <w:tr w:rsidR="004554E7" w:rsidRPr="00623A63" w14:paraId="74B3D17B" w14:textId="77777777" w:rsidTr="00BB77C8">
        <w:trPr>
          <w:trHeight w:val="306"/>
        </w:trPr>
        <w:tc>
          <w:tcPr>
            <w:tcW w:w="9160" w:type="dxa"/>
            <w:gridSpan w:val="11"/>
            <w:vAlign w:val="center"/>
          </w:tcPr>
          <w:p w14:paraId="0F601935" w14:textId="12608F3E" w:rsidR="004554E7" w:rsidRPr="00623A63" w:rsidRDefault="00451F9C" w:rsidP="00BE7858">
            <w:pPr>
              <w:rPr>
                <w:rFonts w:ascii="Arial" w:hAnsi="Arial" w:cs="Arial"/>
                <w:b/>
                <w:i/>
              </w:rPr>
            </w:pPr>
            <w:r w:rsidRPr="00623A63">
              <w:rPr>
                <w:rFonts w:ascii="Arial" w:hAnsi="Arial" w:cs="Arial"/>
                <w:b/>
                <w:i/>
              </w:rPr>
              <w:t xml:space="preserve">Proportion </w:t>
            </w:r>
            <w:r w:rsidR="004554E7" w:rsidRPr="00623A63">
              <w:rPr>
                <w:rFonts w:ascii="Arial" w:hAnsi="Arial" w:cs="Arial"/>
                <w:b/>
                <w:i/>
              </w:rPr>
              <w:t>of infants introduced to solid foods by age</w:t>
            </w:r>
            <w:r w:rsidRPr="00623A63">
              <w:rPr>
                <w:rFonts w:ascii="Arial" w:hAnsi="Arial" w:cs="Arial"/>
                <w:b/>
                <w:i/>
              </w:rPr>
              <w:t xml:space="preserve"> (%)</w:t>
            </w:r>
          </w:p>
        </w:tc>
      </w:tr>
      <w:tr w:rsidR="004554E7" w:rsidRPr="00623A63" w14:paraId="17659A00" w14:textId="77777777" w:rsidTr="00BB77C8">
        <w:trPr>
          <w:trHeight w:val="454"/>
        </w:trPr>
        <w:tc>
          <w:tcPr>
            <w:tcW w:w="1762" w:type="dxa"/>
          </w:tcPr>
          <w:p w14:paraId="3178439C" w14:textId="77777777" w:rsidR="004554E7" w:rsidRPr="00623A63" w:rsidRDefault="004554E7" w:rsidP="00BE7858">
            <w:pPr>
              <w:jc w:val="center"/>
              <w:rPr>
                <w:rFonts w:ascii="Arial" w:hAnsi="Arial" w:cs="Arial"/>
                <w:b/>
                <w:i/>
              </w:rPr>
            </w:pPr>
            <w:r w:rsidRPr="00623A63">
              <w:rPr>
                <w:rFonts w:ascii="Arial" w:hAnsi="Arial" w:cs="Arial"/>
                <w:b/>
                <w:i/>
              </w:rPr>
              <w:t>Among infants aged</w:t>
            </w:r>
          </w:p>
          <w:p w14:paraId="6DC68F1C" w14:textId="77777777" w:rsidR="004554E7" w:rsidRPr="00623A63" w:rsidRDefault="004554E7" w:rsidP="00BE7858">
            <w:pPr>
              <w:jc w:val="center"/>
              <w:rPr>
                <w:rFonts w:ascii="Arial" w:hAnsi="Arial" w:cs="Arial"/>
                <w:b/>
                <w:i/>
              </w:rPr>
            </w:pPr>
            <w:r w:rsidRPr="00623A63">
              <w:rPr>
                <w:rFonts w:ascii="Arial" w:hAnsi="Arial" w:cs="Arial"/>
                <w:b/>
                <w:i/>
              </w:rPr>
              <w:t>(months)</w:t>
            </w:r>
          </w:p>
        </w:tc>
        <w:tc>
          <w:tcPr>
            <w:tcW w:w="1484" w:type="dxa"/>
            <w:gridSpan w:val="2"/>
          </w:tcPr>
          <w:p w14:paraId="756D2466" w14:textId="77777777" w:rsidR="004554E7" w:rsidRPr="00623A63" w:rsidRDefault="004554E7" w:rsidP="00BE7858">
            <w:pPr>
              <w:jc w:val="center"/>
              <w:rPr>
                <w:rFonts w:ascii="Arial" w:hAnsi="Arial" w:cs="Arial"/>
                <w:b/>
                <w:i/>
              </w:rPr>
            </w:pPr>
            <w:r w:rsidRPr="00623A63">
              <w:rPr>
                <w:rFonts w:ascii="Arial" w:hAnsi="Arial" w:cs="Arial"/>
                <w:b/>
                <w:i/>
              </w:rPr>
              <w:t>Age</w:t>
            </w:r>
          </w:p>
          <w:p w14:paraId="771A4760" w14:textId="77777777" w:rsidR="004554E7" w:rsidRPr="00623A63" w:rsidRDefault="004554E7" w:rsidP="00BE7858">
            <w:pPr>
              <w:jc w:val="center"/>
              <w:rPr>
                <w:rFonts w:ascii="Arial" w:hAnsi="Arial" w:cs="Arial"/>
                <w:b/>
                <w:i/>
              </w:rPr>
            </w:pPr>
            <w:r w:rsidRPr="00623A63">
              <w:rPr>
                <w:rFonts w:ascii="Arial" w:hAnsi="Arial" w:cs="Arial"/>
                <w:b/>
                <w:i/>
              </w:rPr>
              <w:t>(completed months)</w:t>
            </w:r>
          </w:p>
        </w:tc>
        <w:tc>
          <w:tcPr>
            <w:tcW w:w="1663" w:type="dxa"/>
            <w:gridSpan w:val="3"/>
          </w:tcPr>
          <w:p w14:paraId="4631247D" w14:textId="1D6400E3" w:rsidR="004554E7" w:rsidRPr="00623A63" w:rsidRDefault="00451F9C" w:rsidP="00BE7858">
            <w:pPr>
              <w:jc w:val="center"/>
              <w:rPr>
                <w:rFonts w:ascii="Arial" w:hAnsi="Arial" w:cs="Arial"/>
                <w:b/>
                <w:i/>
              </w:rPr>
            </w:pPr>
            <w:r w:rsidRPr="00623A63">
              <w:rPr>
                <w:rFonts w:ascii="Arial" w:hAnsi="Arial" w:cs="Arial"/>
                <w:b/>
                <w:i/>
              </w:rPr>
              <w:t xml:space="preserve">Proportion </w:t>
            </w:r>
            <w:r w:rsidR="004554E7" w:rsidRPr="00623A63">
              <w:rPr>
                <w:rFonts w:ascii="Arial" w:hAnsi="Arial" w:cs="Arial"/>
                <w:b/>
                <w:i/>
              </w:rPr>
              <w:t xml:space="preserve">receiving any breast milk </w:t>
            </w:r>
            <w:r w:rsidR="004554E7" w:rsidRPr="00623A63">
              <w:rPr>
                <w:rFonts w:ascii="Arial" w:hAnsi="Arial" w:cs="Arial"/>
                <w:b/>
                <w:i/>
                <w:vertAlign w:val="superscript"/>
              </w:rPr>
              <w:t>b,KM</w:t>
            </w:r>
          </w:p>
        </w:tc>
        <w:tc>
          <w:tcPr>
            <w:tcW w:w="1935" w:type="dxa"/>
            <w:gridSpan w:val="2"/>
          </w:tcPr>
          <w:p w14:paraId="66519790" w14:textId="2082C342" w:rsidR="004554E7" w:rsidRPr="00623A63" w:rsidRDefault="00451F9C" w:rsidP="00BE7858">
            <w:pPr>
              <w:jc w:val="center"/>
              <w:rPr>
                <w:rFonts w:ascii="Arial" w:hAnsi="Arial" w:cs="Arial"/>
                <w:b/>
                <w:i/>
              </w:rPr>
            </w:pPr>
            <w:r w:rsidRPr="00623A63">
              <w:rPr>
                <w:rFonts w:ascii="Arial" w:hAnsi="Arial" w:cs="Arial"/>
                <w:b/>
                <w:i/>
              </w:rPr>
              <w:t xml:space="preserve">Proportion </w:t>
            </w:r>
            <w:r w:rsidR="004554E7" w:rsidRPr="00623A63">
              <w:rPr>
                <w:rFonts w:ascii="Arial" w:hAnsi="Arial" w:cs="Arial"/>
                <w:b/>
                <w:i/>
              </w:rPr>
              <w:t xml:space="preserve">received solid foods in previous 24 hours </w:t>
            </w:r>
            <w:r w:rsidR="004554E7" w:rsidRPr="00623A63">
              <w:rPr>
                <w:rFonts w:ascii="Arial" w:hAnsi="Arial" w:cs="Arial"/>
                <w:b/>
                <w:i/>
                <w:vertAlign w:val="superscript"/>
              </w:rPr>
              <w:t>c,X</w:t>
            </w:r>
          </w:p>
        </w:tc>
        <w:tc>
          <w:tcPr>
            <w:tcW w:w="2316" w:type="dxa"/>
            <w:gridSpan w:val="3"/>
          </w:tcPr>
          <w:p w14:paraId="63306C71" w14:textId="538976B2" w:rsidR="004554E7" w:rsidRPr="00623A63" w:rsidRDefault="00451F9C" w:rsidP="00BE7858">
            <w:pPr>
              <w:jc w:val="center"/>
              <w:rPr>
                <w:rFonts w:ascii="Arial" w:hAnsi="Arial" w:cs="Arial"/>
                <w:b/>
                <w:i/>
              </w:rPr>
            </w:pPr>
            <w:r w:rsidRPr="00623A63">
              <w:rPr>
                <w:rFonts w:ascii="Arial" w:hAnsi="Arial" w:cs="Arial"/>
                <w:b/>
                <w:i/>
              </w:rPr>
              <w:t>Proportion</w:t>
            </w:r>
            <w:r w:rsidR="004554E7" w:rsidRPr="00623A63">
              <w:rPr>
                <w:rFonts w:ascii="Arial" w:hAnsi="Arial" w:cs="Arial"/>
                <w:b/>
                <w:i/>
              </w:rPr>
              <w:t xml:space="preserve"> who </w:t>
            </w:r>
          </w:p>
          <w:p w14:paraId="53BD11ED" w14:textId="77777777" w:rsidR="004554E7" w:rsidRPr="00623A63" w:rsidRDefault="004554E7" w:rsidP="00BE7858">
            <w:pPr>
              <w:jc w:val="center"/>
              <w:rPr>
                <w:rFonts w:ascii="Arial" w:hAnsi="Arial" w:cs="Arial"/>
                <w:b/>
                <w:i/>
              </w:rPr>
            </w:pPr>
            <w:r w:rsidRPr="00623A63">
              <w:rPr>
                <w:rFonts w:ascii="Arial" w:hAnsi="Arial" w:cs="Arial"/>
                <w:b/>
                <w:i/>
              </w:rPr>
              <w:t xml:space="preserve">had ever received solid foods </w:t>
            </w:r>
            <w:r w:rsidRPr="00623A63">
              <w:rPr>
                <w:rFonts w:ascii="Arial" w:hAnsi="Arial" w:cs="Arial"/>
                <w:b/>
                <w:i/>
                <w:vertAlign w:val="superscript"/>
              </w:rPr>
              <w:t>d,KM</w:t>
            </w:r>
          </w:p>
        </w:tc>
      </w:tr>
      <w:tr w:rsidR="004554E7" w:rsidRPr="00623A63" w14:paraId="079B78BC" w14:textId="77777777" w:rsidTr="00BB77C8">
        <w:trPr>
          <w:trHeight w:val="340"/>
        </w:trPr>
        <w:tc>
          <w:tcPr>
            <w:tcW w:w="1762" w:type="dxa"/>
            <w:vAlign w:val="center"/>
          </w:tcPr>
          <w:p w14:paraId="2FD1B0DE" w14:textId="77777777" w:rsidR="004554E7" w:rsidRPr="00623A63" w:rsidRDefault="004554E7" w:rsidP="00BE7858">
            <w:pPr>
              <w:jc w:val="center"/>
              <w:rPr>
                <w:rFonts w:ascii="Arial" w:hAnsi="Arial" w:cs="Arial"/>
              </w:rPr>
            </w:pPr>
            <w:r w:rsidRPr="00623A63">
              <w:rPr>
                <w:rFonts w:ascii="Arial" w:hAnsi="Arial" w:cs="Arial"/>
              </w:rPr>
              <w:t>Birth-&lt;1</w:t>
            </w:r>
          </w:p>
        </w:tc>
        <w:tc>
          <w:tcPr>
            <w:tcW w:w="1484" w:type="dxa"/>
            <w:gridSpan w:val="2"/>
            <w:vAlign w:val="center"/>
          </w:tcPr>
          <w:p w14:paraId="1A7AF756" w14:textId="77777777" w:rsidR="004554E7" w:rsidRPr="00623A63" w:rsidRDefault="004554E7" w:rsidP="00BE7858">
            <w:pPr>
              <w:jc w:val="center"/>
              <w:rPr>
                <w:rFonts w:ascii="Arial" w:hAnsi="Arial" w:cs="Arial"/>
              </w:rPr>
            </w:pPr>
            <w:r w:rsidRPr="00623A63">
              <w:rPr>
                <w:rFonts w:ascii="Arial" w:hAnsi="Arial" w:cs="Arial"/>
              </w:rPr>
              <w:t>0 (&lt; 1 month)</w:t>
            </w:r>
          </w:p>
        </w:tc>
        <w:tc>
          <w:tcPr>
            <w:tcW w:w="1663" w:type="dxa"/>
            <w:gridSpan w:val="3"/>
            <w:vAlign w:val="center"/>
          </w:tcPr>
          <w:p w14:paraId="7A6F6B0A" w14:textId="77777777" w:rsidR="004554E7" w:rsidRPr="00623A63" w:rsidRDefault="004554E7" w:rsidP="00BE7858">
            <w:pPr>
              <w:jc w:val="center"/>
              <w:rPr>
                <w:rFonts w:ascii="Arial" w:hAnsi="Arial" w:cs="Arial"/>
              </w:rPr>
            </w:pPr>
            <w:r w:rsidRPr="00623A63">
              <w:rPr>
                <w:rFonts w:ascii="Arial" w:hAnsi="Arial" w:cs="Arial"/>
              </w:rPr>
              <w:t>90.2</w:t>
            </w:r>
          </w:p>
        </w:tc>
        <w:tc>
          <w:tcPr>
            <w:tcW w:w="1935" w:type="dxa"/>
            <w:gridSpan w:val="2"/>
            <w:vAlign w:val="center"/>
          </w:tcPr>
          <w:p w14:paraId="1F6A65CE" w14:textId="77777777" w:rsidR="004554E7" w:rsidRPr="00623A63" w:rsidRDefault="004554E7" w:rsidP="00BE7858">
            <w:pPr>
              <w:ind w:left="53"/>
              <w:jc w:val="center"/>
              <w:rPr>
                <w:rFonts w:ascii="Arial" w:hAnsi="Arial" w:cs="Arial"/>
              </w:rPr>
            </w:pPr>
            <w:r w:rsidRPr="00623A63">
              <w:rPr>
                <w:rFonts w:ascii="Arial" w:hAnsi="Arial" w:cs="Arial"/>
              </w:rPr>
              <w:t>0.0</w:t>
            </w:r>
          </w:p>
        </w:tc>
        <w:tc>
          <w:tcPr>
            <w:tcW w:w="2316" w:type="dxa"/>
            <w:gridSpan w:val="3"/>
            <w:vAlign w:val="center"/>
          </w:tcPr>
          <w:p w14:paraId="4FD05D63" w14:textId="77777777" w:rsidR="004554E7" w:rsidRPr="00623A63" w:rsidRDefault="004554E7" w:rsidP="00BE7858">
            <w:pPr>
              <w:ind w:left="102"/>
              <w:jc w:val="center"/>
              <w:rPr>
                <w:rFonts w:ascii="Arial" w:hAnsi="Arial" w:cs="Arial"/>
              </w:rPr>
            </w:pPr>
            <w:r w:rsidRPr="00623A63">
              <w:rPr>
                <w:rFonts w:ascii="Arial" w:hAnsi="Arial" w:cs="Arial"/>
              </w:rPr>
              <w:t>0.1</w:t>
            </w:r>
          </w:p>
        </w:tc>
      </w:tr>
      <w:tr w:rsidR="004554E7" w:rsidRPr="00623A63" w14:paraId="2C1A7436" w14:textId="77777777" w:rsidTr="00BB77C8">
        <w:trPr>
          <w:trHeight w:val="340"/>
        </w:trPr>
        <w:tc>
          <w:tcPr>
            <w:tcW w:w="1762" w:type="dxa"/>
            <w:vAlign w:val="center"/>
          </w:tcPr>
          <w:p w14:paraId="727368A2" w14:textId="77777777" w:rsidR="004554E7" w:rsidRPr="00623A63" w:rsidRDefault="004554E7" w:rsidP="00BE7858">
            <w:pPr>
              <w:jc w:val="center"/>
              <w:rPr>
                <w:rFonts w:ascii="Arial" w:hAnsi="Arial" w:cs="Arial"/>
              </w:rPr>
            </w:pPr>
            <w:r w:rsidRPr="00623A63">
              <w:rPr>
                <w:rFonts w:ascii="Arial" w:hAnsi="Arial" w:cs="Arial"/>
              </w:rPr>
              <w:t>1.0-&lt;2</w:t>
            </w:r>
          </w:p>
        </w:tc>
        <w:tc>
          <w:tcPr>
            <w:tcW w:w="1484" w:type="dxa"/>
            <w:gridSpan w:val="2"/>
            <w:vAlign w:val="center"/>
          </w:tcPr>
          <w:p w14:paraId="508212BA" w14:textId="77777777" w:rsidR="004554E7" w:rsidRPr="00623A63" w:rsidRDefault="004554E7" w:rsidP="00BE7858">
            <w:pPr>
              <w:jc w:val="center"/>
              <w:rPr>
                <w:rFonts w:ascii="Arial" w:hAnsi="Arial" w:cs="Arial"/>
              </w:rPr>
            </w:pPr>
            <w:r w:rsidRPr="00623A63">
              <w:rPr>
                <w:rFonts w:ascii="Arial" w:hAnsi="Arial" w:cs="Arial"/>
              </w:rPr>
              <w:t>1</w:t>
            </w:r>
          </w:p>
        </w:tc>
        <w:tc>
          <w:tcPr>
            <w:tcW w:w="1663" w:type="dxa"/>
            <w:gridSpan w:val="3"/>
            <w:vAlign w:val="center"/>
          </w:tcPr>
          <w:p w14:paraId="2915376C" w14:textId="77777777" w:rsidR="004554E7" w:rsidRPr="00623A63" w:rsidRDefault="004554E7" w:rsidP="00BE7858">
            <w:pPr>
              <w:jc w:val="center"/>
              <w:rPr>
                <w:rFonts w:ascii="Arial" w:hAnsi="Arial" w:cs="Arial"/>
              </w:rPr>
            </w:pPr>
            <w:r w:rsidRPr="00623A63">
              <w:rPr>
                <w:rFonts w:ascii="Arial" w:hAnsi="Arial" w:cs="Arial"/>
              </w:rPr>
              <w:t>74.6</w:t>
            </w:r>
          </w:p>
        </w:tc>
        <w:tc>
          <w:tcPr>
            <w:tcW w:w="1935" w:type="dxa"/>
            <w:gridSpan w:val="2"/>
            <w:vAlign w:val="center"/>
          </w:tcPr>
          <w:p w14:paraId="2DFBF983" w14:textId="77777777" w:rsidR="004554E7" w:rsidRPr="00623A63" w:rsidRDefault="004554E7" w:rsidP="00BE7858">
            <w:pPr>
              <w:ind w:left="53"/>
              <w:jc w:val="center"/>
              <w:rPr>
                <w:rFonts w:ascii="Arial" w:hAnsi="Arial" w:cs="Arial"/>
              </w:rPr>
            </w:pPr>
            <w:r w:rsidRPr="00623A63">
              <w:rPr>
                <w:rFonts w:ascii="Arial" w:hAnsi="Arial" w:cs="Arial"/>
              </w:rPr>
              <w:t>0.7</w:t>
            </w:r>
          </w:p>
        </w:tc>
        <w:tc>
          <w:tcPr>
            <w:tcW w:w="2316" w:type="dxa"/>
            <w:gridSpan w:val="3"/>
            <w:vAlign w:val="center"/>
          </w:tcPr>
          <w:p w14:paraId="369FD0CF" w14:textId="77777777" w:rsidR="004554E7" w:rsidRPr="00623A63" w:rsidRDefault="004554E7" w:rsidP="00BE7858">
            <w:pPr>
              <w:ind w:left="102"/>
              <w:jc w:val="center"/>
              <w:rPr>
                <w:rFonts w:ascii="Arial" w:hAnsi="Arial" w:cs="Arial"/>
              </w:rPr>
            </w:pPr>
            <w:r w:rsidRPr="00623A63">
              <w:rPr>
                <w:rFonts w:ascii="Arial" w:hAnsi="Arial" w:cs="Arial"/>
              </w:rPr>
              <w:t>0.1</w:t>
            </w:r>
          </w:p>
        </w:tc>
      </w:tr>
      <w:tr w:rsidR="004554E7" w:rsidRPr="00623A63" w14:paraId="4969CAE1" w14:textId="77777777" w:rsidTr="00BB77C8">
        <w:trPr>
          <w:trHeight w:val="340"/>
        </w:trPr>
        <w:tc>
          <w:tcPr>
            <w:tcW w:w="1762" w:type="dxa"/>
            <w:vAlign w:val="center"/>
          </w:tcPr>
          <w:p w14:paraId="0DE8FB62" w14:textId="77777777" w:rsidR="004554E7" w:rsidRPr="00623A63" w:rsidRDefault="004554E7" w:rsidP="00BE7858">
            <w:pPr>
              <w:jc w:val="center"/>
              <w:rPr>
                <w:rFonts w:ascii="Arial" w:hAnsi="Arial" w:cs="Arial"/>
              </w:rPr>
            </w:pPr>
            <w:r w:rsidRPr="00623A63">
              <w:rPr>
                <w:rFonts w:ascii="Arial" w:hAnsi="Arial" w:cs="Arial"/>
              </w:rPr>
              <w:t>2.0-&lt;3</w:t>
            </w:r>
          </w:p>
        </w:tc>
        <w:tc>
          <w:tcPr>
            <w:tcW w:w="1484" w:type="dxa"/>
            <w:gridSpan w:val="2"/>
            <w:vAlign w:val="center"/>
          </w:tcPr>
          <w:p w14:paraId="3E00A82E" w14:textId="77777777" w:rsidR="004554E7" w:rsidRPr="00623A63" w:rsidRDefault="004554E7" w:rsidP="00BE7858">
            <w:pPr>
              <w:jc w:val="center"/>
              <w:rPr>
                <w:rFonts w:ascii="Arial" w:hAnsi="Arial" w:cs="Arial"/>
              </w:rPr>
            </w:pPr>
            <w:r w:rsidRPr="00623A63">
              <w:rPr>
                <w:rFonts w:ascii="Arial" w:hAnsi="Arial" w:cs="Arial"/>
              </w:rPr>
              <w:t>2</w:t>
            </w:r>
          </w:p>
        </w:tc>
        <w:tc>
          <w:tcPr>
            <w:tcW w:w="1663" w:type="dxa"/>
            <w:gridSpan w:val="3"/>
            <w:vAlign w:val="center"/>
          </w:tcPr>
          <w:p w14:paraId="3A40D4C9" w14:textId="77777777" w:rsidR="004554E7" w:rsidRPr="00623A63" w:rsidRDefault="004554E7" w:rsidP="00BE7858">
            <w:pPr>
              <w:jc w:val="center"/>
              <w:rPr>
                <w:rFonts w:ascii="Arial" w:hAnsi="Arial" w:cs="Arial"/>
              </w:rPr>
            </w:pPr>
            <w:r w:rsidRPr="00623A63">
              <w:rPr>
                <w:rFonts w:ascii="Arial" w:hAnsi="Arial" w:cs="Arial"/>
              </w:rPr>
              <w:t>72.7</w:t>
            </w:r>
          </w:p>
        </w:tc>
        <w:tc>
          <w:tcPr>
            <w:tcW w:w="1935" w:type="dxa"/>
            <w:gridSpan w:val="2"/>
            <w:vAlign w:val="center"/>
          </w:tcPr>
          <w:p w14:paraId="64300852" w14:textId="77777777" w:rsidR="004554E7" w:rsidRPr="00623A63" w:rsidRDefault="004554E7" w:rsidP="00BE7858">
            <w:pPr>
              <w:ind w:left="53"/>
              <w:jc w:val="center"/>
              <w:rPr>
                <w:rFonts w:ascii="Arial" w:hAnsi="Arial" w:cs="Arial"/>
              </w:rPr>
            </w:pPr>
            <w:r w:rsidRPr="00623A63">
              <w:rPr>
                <w:rFonts w:ascii="Arial" w:hAnsi="Arial" w:cs="Arial"/>
              </w:rPr>
              <w:t>2.2</w:t>
            </w:r>
          </w:p>
        </w:tc>
        <w:tc>
          <w:tcPr>
            <w:tcW w:w="2316" w:type="dxa"/>
            <w:gridSpan w:val="3"/>
            <w:vAlign w:val="center"/>
          </w:tcPr>
          <w:p w14:paraId="21BC21CF" w14:textId="77777777" w:rsidR="004554E7" w:rsidRPr="00623A63" w:rsidRDefault="004554E7" w:rsidP="00BE7858">
            <w:pPr>
              <w:ind w:left="102"/>
              <w:jc w:val="center"/>
              <w:rPr>
                <w:rFonts w:ascii="Arial" w:hAnsi="Arial" w:cs="Arial"/>
              </w:rPr>
            </w:pPr>
            <w:r w:rsidRPr="00623A63">
              <w:rPr>
                <w:rFonts w:ascii="Arial" w:hAnsi="Arial" w:cs="Arial"/>
              </w:rPr>
              <w:t>0.8</w:t>
            </w:r>
          </w:p>
        </w:tc>
      </w:tr>
      <w:tr w:rsidR="004554E7" w:rsidRPr="00623A63" w14:paraId="0993C1DB" w14:textId="77777777" w:rsidTr="00BB77C8">
        <w:trPr>
          <w:trHeight w:val="340"/>
        </w:trPr>
        <w:tc>
          <w:tcPr>
            <w:tcW w:w="1762" w:type="dxa"/>
            <w:vAlign w:val="center"/>
          </w:tcPr>
          <w:p w14:paraId="7A98FAEB" w14:textId="77777777" w:rsidR="004554E7" w:rsidRPr="00623A63" w:rsidRDefault="004554E7" w:rsidP="00BE7858">
            <w:pPr>
              <w:jc w:val="center"/>
              <w:rPr>
                <w:rFonts w:ascii="Arial" w:hAnsi="Arial" w:cs="Arial"/>
              </w:rPr>
            </w:pPr>
            <w:r w:rsidRPr="00623A63">
              <w:rPr>
                <w:rFonts w:ascii="Arial" w:hAnsi="Arial" w:cs="Arial"/>
              </w:rPr>
              <w:t>3.0-&lt;4</w:t>
            </w:r>
          </w:p>
        </w:tc>
        <w:tc>
          <w:tcPr>
            <w:tcW w:w="1484" w:type="dxa"/>
            <w:gridSpan w:val="2"/>
            <w:vAlign w:val="center"/>
          </w:tcPr>
          <w:p w14:paraId="59DEF9C3" w14:textId="77777777" w:rsidR="004554E7" w:rsidRPr="00623A63" w:rsidRDefault="004554E7" w:rsidP="00BE7858">
            <w:pPr>
              <w:jc w:val="center"/>
              <w:rPr>
                <w:rFonts w:ascii="Arial" w:hAnsi="Arial" w:cs="Arial"/>
              </w:rPr>
            </w:pPr>
            <w:r w:rsidRPr="00623A63">
              <w:rPr>
                <w:rFonts w:ascii="Arial" w:hAnsi="Arial" w:cs="Arial"/>
              </w:rPr>
              <w:t>3</w:t>
            </w:r>
          </w:p>
        </w:tc>
        <w:tc>
          <w:tcPr>
            <w:tcW w:w="1663" w:type="dxa"/>
            <w:gridSpan w:val="3"/>
            <w:vAlign w:val="center"/>
          </w:tcPr>
          <w:p w14:paraId="5A20995C" w14:textId="77777777" w:rsidR="004554E7" w:rsidRPr="00623A63" w:rsidRDefault="004554E7" w:rsidP="00BE7858">
            <w:pPr>
              <w:jc w:val="center"/>
              <w:rPr>
                <w:rFonts w:ascii="Arial" w:hAnsi="Arial" w:cs="Arial"/>
              </w:rPr>
            </w:pPr>
            <w:r w:rsidRPr="00623A63">
              <w:rPr>
                <w:rFonts w:ascii="Arial" w:hAnsi="Arial" w:cs="Arial"/>
              </w:rPr>
              <w:t>70.3</w:t>
            </w:r>
          </w:p>
        </w:tc>
        <w:tc>
          <w:tcPr>
            <w:tcW w:w="1935" w:type="dxa"/>
            <w:gridSpan w:val="2"/>
            <w:vAlign w:val="center"/>
          </w:tcPr>
          <w:p w14:paraId="2FA8515D" w14:textId="77777777" w:rsidR="004554E7" w:rsidRPr="00623A63" w:rsidRDefault="004554E7" w:rsidP="00BE7858">
            <w:pPr>
              <w:ind w:left="53"/>
              <w:jc w:val="center"/>
              <w:rPr>
                <w:rFonts w:ascii="Arial" w:hAnsi="Arial" w:cs="Arial"/>
              </w:rPr>
            </w:pPr>
            <w:r w:rsidRPr="00623A63">
              <w:rPr>
                <w:rFonts w:ascii="Arial" w:hAnsi="Arial" w:cs="Arial"/>
              </w:rPr>
              <w:t>9.7</w:t>
            </w:r>
          </w:p>
        </w:tc>
        <w:tc>
          <w:tcPr>
            <w:tcW w:w="2316" w:type="dxa"/>
            <w:gridSpan w:val="3"/>
            <w:vAlign w:val="center"/>
          </w:tcPr>
          <w:p w14:paraId="674628AF" w14:textId="77777777" w:rsidR="004554E7" w:rsidRPr="00623A63" w:rsidRDefault="004554E7" w:rsidP="00BE7858">
            <w:pPr>
              <w:ind w:left="102"/>
              <w:jc w:val="center"/>
              <w:rPr>
                <w:rFonts w:ascii="Arial" w:hAnsi="Arial" w:cs="Arial"/>
              </w:rPr>
            </w:pPr>
            <w:r w:rsidRPr="00623A63">
              <w:rPr>
                <w:rFonts w:ascii="Arial" w:hAnsi="Arial" w:cs="Arial"/>
              </w:rPr>
              <w:t>4.3</w:t>
            </w:r>
          </w:p>
        </w:tc>
      </w:tr>
      <w:tr w:rsidR="004554E7" w:rsidRPr="00623A63" w14:paraId="642A64D5" w14:textId="77777777" w:rsidTr="00BB77C8">
        <w:trPr>
          <w:trHeight w:val="340"/>
        </w:trPr>
        <w:tc>
          <w:tcPr>
            <w:tcW w:w="1762" w:type="dxa"/>
            <w:vAlign w:val="center"/>
          </w:tcPr>
          <w:p w14:paraId="0480A0D7" w14:textId="77777777" w:rsidR="004554E7" w:rsidRPr="00623A63" w:rsidRDefault="004554E7" w:rsidP="00BE7858">
            <w:pPr>
              <w:jc w:val="center"/>
              <w:rPr>
                <w:rFonts w:ascii="Arial" w:hAnsi="Arial" w:cs="Arial"/>
              </w:rPr>
            </w:pPr>
            <w:r w:rsidRPr="00623A63">
              <w:rPr>
                <w:rFonts w:ascii="Arial" w:hAnsi="Arial" w:cs="Arial"/>
              </w:rPr>
              <w:t>4.0-&lt;5</w:t>
            </w:r>
          </w:p>
        </w:tc>
        <w:tc>
          <w:tcPr>
            <w:tcW w:w="1484" w:type="dxa"/>
            <w:gridSpan w:val="2"/>
            <w:vAlign w:val="center"/>
          </w:tcPr>
          <w:p w14:paraId="55A70702" w14:textId="77777777" w:rsidR="004554E7" w:rsidRPr="00623A63" w:rsidRDefault="004554E7" w:rsidP="00BE7858">
            <w:pPr>
              <w:jc w:val="center"/>
              <w:rPr>
                <w:rFonts w:ascii="Arial" w:hAnsi="Arial" w:cs="Arial"/>
              </w:rPr>
            </w:pPr>
            <w:r w:rsidRPr="00623A63">
              <w:rPr>
                <w:rFonts w:ascii="Arial" w:hAnsi="Arial" w:cs="Arial"/>
              </w:rPr>
              <w:t>4</w:t>
            </w:r>
          </w:p>
        </w:tc>
        <w:tc>
          <w:tcPr>
            <w:tcW w:w="1663" w:type="dxa"/>
            <w:gridSpan w:val="3"/>
            <w:vAlign w:val="center"/>
          </w:tcPr>
          <w:p w14:paraId="03C4CCB2" w14:textId="77777777" w:rsidR="004554E7" w:rsidRPr="00623A63" w:rsidRDefault="004554E7" w:rsidP="00BE7858">
            <w:pPr>
              <w:jc w:val="center"/>
              <w:rPr>
                <w:rFonts w:ascii="Arial" w:hAnsi="Arial" w:cs="Arial"/>
              </w:rPr>
            </w:pPr>
            <w:r w:rsidRPr="00623A63">
              <w:rPr>
                <w:rFonts w:ascii="Arial" w:hAnsi="Arial" w:cs="Arial"/>
              </w:rPr>
              <w:t>68.7</w:t>
            </w:r>
          </w:p>
        </w:tc>
        <w:tc>
          <w:tcPr>
            <w:tcW w:w="1935" w:type="dxa"/>
            <w:gridSpan w:val="2"/>
            <w:vAlign w:val="center"/>
          </w:tcPr>
          <w:p w14:paraId="2FED6A88" w14:textId="77777777" w:rsidR="004554E7" w:rsidRPr="00623A63" w:rsidRDefault="004554E7" w:rsidP="00BE7858">
            <w:pPr>
              <w:ind w:left="53"/>
              <w:jc w:val="center"/>
              <w:rPr>
                <w:rFonts w:ascii="Arial" w:hAnsi="Arial" w:cs="Arial"/>
              </w:rPr>
            </w:pPr>
            <w:r w:rsidRPr="00623A63">
              <w:rPr>
                <w:rFonts w:ascii="Arial" w:hAnsi="Arial" w:cs="Arial"/>
              </w:rPr>
              <w:t>35.3</w:t>
            </w:r>
          </w:p>
        </w:tc>
        <w:tc>
          <w:tcPr>
            <w:tcW w:w="2316" w:type="dxa"/>
            <w:gridSpan w:val="3"/>
            <w:vAlign w:val="center"/>
          </w:tcPr>
          <w:p w14:paraId="421CC124" w14:textId="77777777" w:rsidR="004554E7" w:rsidRPr="00623A63" w:rsidRDefault="004554E7" w:rsidP="00BE7858">
            <w:pPr>
              <w:ind w:left="102"/>
              <w:jc w:val="center"/>
              <w:rPr>
                <w:rFonts w:ascii="Arial" w:hAnsi="Arial" w:cs="Arial"/>
              </w:rPr>
            </w:pPr>
            <w:r w:rsidRPr="00623A63">
              <w:rPr>
                <w:rFonts w:ascii="Arial" w:hAnsi="Arial" w:cs="Arial"/>
              </w:rPr>
              <w:t>28.4</w:t>
            </w:r>
          </w:p>
        </w:tc>
      </w:tr>
      <w:tr w:rsidR="004554E7" w:rsidRPr="00623A63" w14:paraId="1A614494" w14:textId="77777777" w:rsidTr="00BB77C8">
        <w:trPr>
          <w:trHeight w:val="340"/>
        </w:trPr>
        <w:tc>
          <w:tcPr>
            <w:tcW w:w="1762" w:type="dxa"/>
            <w:vAlign w:val="center"/>
          </w:tcPr>
          <w:p w14:paraId="496B28A7" w14:textId="77777777" w:rsidR="004554E7" w:rsidRPr="00623A63" w:rsidRDefault="004554E7" w:rsidP="00BE7858">
            <w:pPr>
              <w:jc w:val="center"/>
              <w:rPr>
                <w:rFonts w:ascii="Arial" w:hAnsi="Arial" w:cs="Arial"/>
              </w:rPr>
            </w:pPr>
            <w:r w:rsidRPr="00623A63">
              <w:rPr>
                <w:rFonts w:ascii="Arial" w:hAnsi="Arial" w:cs="Arial"/>
              </w:rPr>
              <w:t>5.0-&lt;6</w:t>
            </w:r>
          </w:p>
        </w:tc>
        <w:tc>
          <w:tcPr>
            <w:tcW w:w="1484" w:type="dxa"/>
            <w:gridSpan w:val="2"/>
            <w:vAlign w:val="center"/>
          </w:tcPr>
          <w:p w14:paraId="2F037060" w14:textId="77777777" w:rsidR="004554E7" w:rsidRPr="00623A63" w:rsidRDefault="004554E7" w:rsidP="00BE7858">
            <w:pPr>
              <w:jc w:val="center"/>
              <w:rPr>
                <w:rFonts w:ascii="Arial" w:hAnsi="Arial" w:cs="Arial"/>
              </w:rPr>
            </w:pPr>
            <w:r w:rsidRPr="00623A63">
              <w:rPr>
                <w:rFonts w:ascii="Arial" w:hAnsi="Arial" w:cs="Arial"/>
              </w:rPr>
              <w:t>5</w:t>
            </w:r>
          </w:p>
        </w:tc>
        <w:tc>
          <w:tcPr>
            <w:tcW w:w="1663" w:type="dxa"/>
            <w:gridSpan w:val="3"/>
            <w:vAlign w:val="center"/>
          </w:tcPr>
          <w:p w14:paraId="31FAE752" w14:textId="77777777" w:rsidR="004554E7" w:rsidRPr="00623A63" w:rsidRDefault="004554E7" w:rsidP="00BE7858">
            <w:pPr>
              <w:jc w:val="center"/>
              <w:rPr>
                <w:rFonts w:ascii="Arial" w:hAnsi="Arial" w:cs="Arial"/>
              </w:rPr>
            </w:pPr>
            <w:r w:rsidRPr="00623A63">
              <w:rPr>
                <w:rFonts w:ascii="Arial" w:hAnsi="Arial" w:cs="Arial"/>
              </w:rPr>
              <w:t>62.9</w:t>
            </w:r>
          </w:p>
        </w:tc>
        <w:tc>
          <w:tcPr>
            <w:tcW w:w="1935" w:type="dxa"/>
            <w:gridSpan w:val="2"/>
            <w:vAlign w:val="center"/>
          </w:tcPr>
          <w:p w14:paraId="01890378" w14:textId="77777777" w:rsidR="004554E7" w:rsidRPr="00623A63" w:rsidRDefault="004554E7" w:rsidP="00BE7858">
            <w:pPr>
              <w:ind w:left="53"/>
              <w:jc w:val="center"/>
              <w:rPr>
                <w:rFonts w:ascii="Arial" w:hAnsi="Arial" w:cs="Arial"/>
              </w:rPr>
            </w:pPr>
            <w:r w:rsidRPr="00623A63">
              <w:rPr>
                <w:rFonts w:ascii="Arial" w:hAnsi="Arial" w:cs="Arial"/>
              </w:rPr>
              <w:t>70.2</w:t>
            </w:r>
          </w:p>
        </w:tc>
        <w:tc>
          <w:tcPr>
            <w:tcW w:w="2316" w:type="dxa"/>
            <w:gridSpan w:val="3"/>
            <w:vAlign w:val="center"/>
          </w:tcPr>
          <w:p w14:paraId="0056BB6F" w14:textId="77777777" w:rsidR="004554E7" w:rsidRPr="00623A63" w:rsidRDefault="004554E7" w:rsidP="00BE7858">
            <w:pPr>
              <w:ind w:left="102"/>
              <w:jc w:val="center"/>
              <w:rPr>
                <w:rFonts w:ascii="Arial" w:hAnsi="Arial" w:cs="Arial"/>
              </w:rPr>
            </w:pPr>
            <w:r w:rsidRPr="00623A63">
              <w:rPr>
                <w:rFonts w:ascii="Arial" w:hAnsi="Arial" w:cs="Arial"/>
              </w:rPr>
              <w:t>56.2</w:t>
            </w:r>
          </w:p>
        </w:tc>
      </w:tr>
      <w:tr w:rsidR="004554E7" w:rsidRPr="00623A63" w14:paraId="661B4B5E" w14:textId="77777777" w:rsidTr="00BB77C8">
        <w:trPr>
          <w:trHeight w:val="340"/>
        </w:trPr>
        <w:tc>
          <w:tcPr>
            <w:tcW w:w="1762" w:type="dxa"/>
            <w:vAlign w:val="center"/>
          </w:tcPr>
          <w:p w14:paraId="2090AA09" w14:textId="77777777" w:rsidR="004554E7" w:rsidRPr="00623A63" w:rsidRDefault="004554E7" w:rsidP="00BE7858">
            <w:pPr>
              <w:jc w:val="center"/>
              <w:rPr>
                <w:rFonts w:ascii="Arial" w:hAnsi="Arial" w:cs="Arial"/>
              </w:rPr>
            </w:pPr>
            <w:r w:rsidRPr="00623A63">
              <w:rPr>
                <w:rFonts w:ascii="Arial" w:hAnsi="Arial" w:cs="Arial"/>
              </w:rPr>
              <w:t>6.0-&lt;7</w:t>
            </w:r>
          </w:p>
        </w:tc>
        <w:tc>
          <w:tcPr>
            <w:tcW w:w="1484" w:type="dxa"/>
            <w:gridSpan w:val="2"/>
            <w:vAlign w:val="center"/>
          </w:tcPr>
          <w:p w14:paraId="68D7D530" w14:textId="77777777" w:rsidR="004554E7" w:rsidRPr="00623A63" w:rsidRDefault="004554E7" w:rsidP="00BE7858">
            <w:pPr>
              <w:jc w:val="center"/>
              <w:rPr>
                <w:rFonts w:ascii="Arial" w:hAnsi="Arial" w:cs="Arial"/>
              </w:rPr>
            </w:pPr>
            <w:r w:rsidRPr="00623A63">
              <w:rPr>
                <w:rFonts w:ascii="Arial" w:hAnsi="Arial" w:cs="Arial"/>
              </w:rPr>
              <w:t>6</w:t>
            </w:r>
          </w:p>
        </w:tc>
        <w:tc>
          <w:tcPr>
            <w:tcW w:w="1663" w:type="dxa"/>
            <w:gridSpan w:val="3"/>
            <w:vAlign w:val="center"/>
          </w:tcPr>
          <w:p w14:paraId="3B1A7BF0" w14:textId="77777777" w:rsidR="004554E7" w:rsidRPr="00623A63" w:rsidRDefault="004554E7" w:rsidP="00BE7858">
            <w:pPr>
              <w:jc w:val="center"/>
              <w:rPr>
                <w:rFonts w:ascii="Arial" w:hAnsi="Arial" w:cs="Arial"/>
              </w:rPr>
            </w:pPr>
            <w:r w:rsidRPr="00623A63">
              <w:rPr>
                <w:rFonts w:ascii="Arial" w:hAnsi="Arial" w:cs="Arial"/>
              </w:rPr>
              <w:t>60.1</w:t>
            </w:r>
          </w:p>
        </w:tc>
        <w:tc>
          <w:tcPr>
            <w:tcW w:w="1935" w:type="dxa"/>
            <w:gridSpan w:val="2"/>
            <w:vAlign w:val="center"/>
          </w:tcPr>
          <w:p w14:paraId="02117671" w14:textId="77777777" w:rsidR="004554E7" w:rsidRPr="00623A63" w:rsidRDefault="004554E7" w:rsidP="00BE7858">
            <w:pPr>
              <w:ind w:left="53"/>
              <w:jc w:val="center"/>
              <w:rPr>
                <w:rFonts w:ascii="Arial" w:hAnsi="Arial" w:cs="Arial"/>
              </w:rPr>
            </w:pPr>
            <w:r w:rsidRPr="00623A63">
              <w:rPr>
                <w:rFonts w:ascii="Arial" w:hAnsi="Arial" w:cs="Arial"/>
              </w:rPr>
              <w:t>91.5</w:t>
            </w:r>
          </w:p>
        </w:tc>
        <w:tc>
          <w:tcPr>
            <w:tcW w:w="2316" w:type="dxa"/>
            <w:gridSpan w:val="3"/>
            <w:vAlign w:val="center"/>
          </w:tcPr>
          <w:p w14:paraId="72F96EC4" w14:textId="77777777" w:rsidR="004554E7" w:rsidRPr="00623A63" w:rsidRDefault="004554E7" w:rsidP="00BE7858">
            <w:pPr>
              <w:ind w:left="102"/>
              <w:jc w:val="center"/>
              <w:rPr>
                <w:rFonts w:ascii="Arial" w:hAnsi="Arial" w:cs="Arial"/>
              </w:rPr>
            </w:pPr>
            <w:r w:rsidRPr="00623A63">
              <w:rPr>
                <w:rFonts w:ascii="Arial" w:hAnsi="Arial" w:cs="Arial"/>
              </w:rPr>
              <w:t>91.6</w:t>
            </w:r>
          </w:p>
        </w:tc>
      </w:tr>
      <w:tr w:rsidR="004554E7" w:rsidRPr="00623A63" w14:paraId="3A876E7B" w14:textId="77777777" w:rsidTr="00BB77C8">
        <w:trPr>
          <w:trHeight w:val="285"/>
        </w:trPr>
        <w:tc>
          <w:tcPr>
            <w:tcW w:w="9160" w:type="dxa"/>
            <w:gridSpan w:val="11"/>
            <w:vAlign w:val="center"/>
          </w:tcPr>
          <w:p w14:paraId="402730C9" w14:textId="5B9B5B96" w:rsidR="004554E7" w:rsidRPr="00623A63" w:rsidRDefault="00451F9C" w:rsidP="00BE7858">
            <w:pPr>
              <w:rPr>
                <w:rFonts w:ascii="Arial" w:hAnsi="Arial" w:cs="Arial"/>
                <w:b/>
                <w:i/>
              </w:rPr>
            </w:pPr>
            <w:r w:rsidRPr="00623A63">
              <w:rPr>
                <w:rFonts w:ascii="Arial" w:hAnsi="Arial" w:cs="Arial"/>
                <w:b/>
                <w:i/>
              </w:rPr>
              <w:t xml:space="preserve">Proportion </w:t>
            </w:r>
            <w:r w:rsidR="004554E7" w:rsidRPr="00623A63">
              <w:rPr>
                <w:rFonts w:ascii="Arial" w:hAnsi="Arial" w:cs="Arial"/>
                <w:b/>
                <w:i/>
              </w:rPr>
              <w:t xml:space="preserve">of infants introduced to solid foods by maternal age </w:t>
            </w:r>
            <w:r w:rsidR="004554E7" w:rsidRPr="00623A63">
              <w:rPr>
                <w:rFonts w:ascii="Arial" w:hAnsi="Arial" w:cs="Arial"/>
                <w:b/>
                <w:i/>
                <w:vertAlign w:val="superscript"/>
              </w:rPr>
              <w:t>c</w:t>
            </w:r>
            <w:r w:rsidRPr="00623A63">
              <w:rPr>
                <w:rFonts w:ascii="Arial" w:hAnsi="Arial" w:cs="Arial"/>
                <w:b/>
                <w:i/>
                <w:vertAlign w:val="superscript"/>
              </w:rPr>
              <w:t xml:space="preserve"> </w:t>
            </w:r>
            <w:r w:rsidRPr="00623A63">
              <w:rPr>
                <w:rFonts w:ascii="Arial" w:hAnsi="Arial" w:cs="Arial"/>
                <w:b/>
                <w:i/>
              </w:rPr>
              <w:t>(%)</w:t>
            </w:r>
            <w:r w:rsidR="004554E7" w:rsidRPr="00623A63">
              <w:rPr>
                <w:rFonts w:ascii="Arial" w:hAnsi="Arial" w:cs="Arial"/>
                <w:b/>
                <w:i/>
              </w:rPr>
              <w:t>:</w:t>
            </w:r>
          </w:p>
        </w:tc>
      </w:tr>
      <w:tr w:rsidR="004554E7" w:rsidRPr="00623A63" w14:paraId="796DA71A" w14:textId="77777777" w:rsidTr="00BB77C8">
        <w:trPr>
          <w:trHeight w:val="454"/>
        </w:trPr>
        <w:tc>
          <w:tcPr>
            <w:tcW w:w="1762" w:type="dxa"/>
            <w:vMerge w:val="restart"/>
            <w:vAlign w:val="center"/>
          </w:tcPr>
          <w:p w14:paraId="78A627E4" w14:textId="77777777" w:rsidR="004554E7" w:rsidRPr="00623A63" w:rsidRDefault="004554E7" w:rsidP="00BE7858">
            <w:pPr>
              <w:rPr>
                <w:rFonts w:ascii="Arial" w:hAnsi="Arial" w:cs="Arial"/>
                <w:b/>
                <w:i/>
              </w:rPr>
            </w:pPr>
            <w:r w:rsidRPr="00623A63">
              <w:rPr>
                <w:rFonts w:ascii="Arial" w:hAnsi="Arial" w:cs="Arial"/>
                <w:b/>
                <w:i/>
              </w:rPr>
              <w:t>Mother’s/carer’s age (years)</w:t>
            </w:r>
          </w:p>
        </w:tc>
        <w:tc>
          <w:tcPr>
            <w:tcW w:w="7398" w:type="dxa"/>
            <w:gridSpan w:val="10"/>
            <w:vAlign w:val="center"/>
          </w:tcPr>
          <w:p w14:paraId="19555369" w14:textId="77777777" w:rsidR="004554E7" w:rsidRPr="00623A63" w:rsidRDefault="004554E7" w:rsidP="00BE7858">
            <w:pPr>
              <w:ind w:left="549"/>
              <w:jc w:val="center"/>
              <w:rPr>
                <w:rFonts w:ascii="Arial" w:hAnsi="Arial" w:cs="Arial"/>
                <w:b/>
                <w:i/>
              </w:rPr>
            </w:pPr>
            <w:r w:rsidRPr="00623A63">
              <w:rPr>
                <w:rFonts w:ascii="Arial" w:hAnsi="Arial" w:cs="Arial"/>
                <w:b/>
                <w:i/>
              </w:rPr>
              <w:t>Infants age at which solid food was introduced (months of age)</w:t>
            </w:r>
          </w:p>
        </w:tc>
      </w:tr>
      <w:tr w:rsidR="004554E7" w:rsidRPr="00623A63" w14:paraId="46886B1B" w14:textId="77777777" w:rsidTr="00BB77C8">
        <w:trPr>
          <w:trHeight w:val="249"/>
        </w:trPr>
        <w:tc>
          <w:tcPr>
            <w:tcW w:w="1762" w:type="dxa"/>
            <w:vMerge/>
          </w:tcPr>
          <w:p w14:paraId="7EB086FA" w14:textId="77777777" w:rsidR="004554E7" w:rsidRPr="00623A63" w:rsidRDefault="004554E7" w:rsidP="00BE7858">
            <w:pPr>
              <w:rPr>
                <w:rFonts w:ascii="Arial" w:hAnsi="Arial" w:cs="Arial"/>
              </w:rPr>
            </w:pPr>
          </w:p>
        </w:tc>
        <w:tc>
          <w:tcPr>
            <w:tcW w:w="1084" w:type="dxa"/>
            <w:vAlign w:val="center"/>
          </w:tcPr>
          <w:p w14:paraId="553732CF" w14:textId="77777777" w:rsidR="004554E7" w:rsidRPr="00623A63" w:rsidRDefault="004554E7" w:rsidP="00BE7858">
            <w:pPr>
              <w:jc w:val="center"/>
              <w:rPr>
                <w:rFonts w:ascii="Arial" w:hAnsi="Arial" w:cs="Arial"/>
              </w:rPr>
            </w:pPr>
            <w:r w:rsidRPr="00623A63">
              <w:rPr>
                <w:rFonts w:ascii="Arial" w:hAnsi="Arial" w:cs="Arial"/>
              </w:rPr>
              <w:t>&lt;1</w:t>
            </w:r>
          </w:p>
        </w:tc>
        <w:tc>
          <w:tcPr>
            <w:tcW w:w="1085" w:type="dxa"/>
            <w:gridSpan w:val="2"/>
            <w:vAlign w:val="center"/>
          </w:tcPr>
          <w:p w14:paraId="41A51121" w14:textId="77777777" w:rsidR="004554E7" w:rsidRPr="00623A63" w:rsidRDefault="004554E7" w:rsidP="00BE7858">
            <w:pPr>
              <w:jc w:val="center"/>
              <w:rPr>
                <w:rFonts w:ascii="Arial" w:hAnsi="Arial" w:cs="Arial"/>
              </w:rPr>
            </w:pPr>
            <w:r w:rsidRPr="00623A63">
              <w:rPr>
                <w:rFonts w:ascii="Arial" w:hAnsi="Arial" w:cs="Arial"/>
              </w:rPr>
              <w:t>1–&lt;2</w:t>
            </w:r>
          </w:p>
        </w:tc>
        <w:tc>
          <w:tcPr>
            <w:tcW w:w="889" w:type="dxa"/>
            <w:vAlign w:val="center"/>
          </w:tcPr>
          <w:p w14:paraId="748F0856" w14:textId="77777777" w:rsidR="004554E7" w:rsidRPr="00623A63" w:rsidRDefault="004554E7" w:rsidP="00BE7858">
            <w:pPr>
              <w:ind w:left="72"/>
              <w:jc w:val="center"/>
              <w:rPr>
                <w:rFonts w:ascii="Arial" w:hAnsi="Arial" w:cs="Arial"/>
              </w:rPr>
            </w:pPr>
            <w:r w:rsidRPr="00623A63">
              <w:rPr>
                <w:rFonts w:ascii="Arial" w:hAnsi="Arial" w:cs="Arial"/>
              </w:rPr>
              <w:t>2–&lt;3</w:t>
            </w:r>
          </w:p>
        </w:tc>
        <w:tc>
          <w:tcPr>
            <w:tcW w:w="1085" w:type="dxa"/>
            <w:gridSpan w:val="2"/>
            <w:vAlign w:val="center"/>
          </w:tcPr>
          <w:p w14:paraId="2E3FB3EB" w14:textId="77777777" w:rsidR="004554E7" w:rsidRPr="00623A63" w:rsidRDefault="004554E7" w:rsidP="00BE7858">
            <w:pPr>
              <w:ind w:left="175"/>
              <w:jc w:val="center"/>
              <w:rPr>
                <w:rFonts w:ascii="Arial" w:hAnsi="Arial" w:cs="Arial"/>
              </w:rPr>
            </w:pPr>
            <w:r w:rsidRPr="00623A63">
              <w:rPr>
                <w:rFonts w:ascii="Arial" w:hAnsi="Arial" w:cs="Arial"/>
              </w:rPr>
              <w:t>3–&lt;4</w:t>
            </w:r>
          </w:p>
        </w:tc>
        <w:tc>
          <w:tcPr>
            <w:tcW w:w="1085" w:type="dxa"/>
            <w:gridSpan w:val="2"/>
            <w:vAlign w:val="center"/>
          </w:tcPr>
          <w:p w14:paraId="5CE60EC5" w14:textId="77777777" w:rsidR="004554E7" w:rsidRPr="00623A63" w:rsidRDefault="004554E7" w:rsidP="00BE7858">
            <w:pPr>
              <w:ind w:left="170"/>
              <w:jc w:val="center"/>
              <w:rPr>
                <w:rFonts w:ascii="Arial" w:hAnsi="Arial" w:cs="Arial"/>
              </w:rPr>
            </w:pPr>
            <w:r w:rsidRPr="00623A63">
              <w:rPr>
                <w:rFonts w:ascii="Arial" w:hAnsi="Arial" w:cs="Arial"/>
              </w:rPr>
              <w:t>4–&lt;5</w:t>
            </w:r>
          </w:p>
        </w:tc>
        <w:tc>
          <w:tcPr>
            <w:tcW w:w="1085" w:type="dxa"/>
            <w:vAlign w:val="center"/>
          </w:tcPr>
          <w:p w14:paraId="00D17197" w14:textId="77777777" w:rsidR="004554E7" w:rsidRPr="00623A63" w:rsidRDefault="004554E7" w:rsidP="00BE7858">
            <w:pPr>
              <w:ind w:left="77"/>
              <w:jc w:val="center"/>
              <w:rPr>
                <w:rFonts w:ascii="Arial" w:hAnsi="Arial" w:cs="Arial"/>
              </w:rPr>
            </w:pPr>
            <w:r w:rsidRPr="00623A63">
              <w:rPr>
                <w:rFonts w:ascii="Arial" w:hAnsi="Arial" w:cs="Arial"/>
              </w:rPr>
              <w:t>5–&lt;6</w:t>
            </w:r>
          </w:p>
        </w:tc>
        <w:tc>
          <w:tcPr>
            <w:tcW w:w="1085" w:type="dxa"/>
            <w:vAlign w:val="center"/>
          </w:tcPr>
          <w:p w14:paraId="7DFF4F0C" w14:textId="77777777" w:rsidR="004554E7" w:rsidRPr="00623A63" w:rsidRDefault="004554E7" w:rsidP="00BE7858">
            <w:pPr>
              <w:ind w:left="126"/>
              <w:jc w:val="center"/>
              <w:rPr>
                <w:rFonts w:ascii="Arial" w:hAnsi="Arial" w:cs="Arial"/>
              </w:rPr>
            </w:pPr>
            <w:r w:rsidRPr="00623A63">
              <w:rPr>
                <w:rFonts w:ascii="Arial" w:hAnsi="Arial" w:cs="Arial"/>
              </w:rPr>
              <w:t>6–&lt;7</w:t>
            </w:r>
          </w:p>
        </w:tc>
      </w:tr>
      <w:tr w:rsidR="004554E7" w:rsidRPr="00623A63" w14:paraId="4258CD60" w14:textId="77777777" w:rsidTr="00BB77C8">
        <w:trPr>
          <w:trHeight w:val="397"/>
        </w:trPr>
        <w:tc>
          <w:tcPr>
            <w:tcW w:w="1762" w:type="dxa"/>
            <w:vAlign w:val="center"/>
          </w:tcPr>
          <w:p w14:paraId="7A81D7D3" w14:textId="77777777" w:rsidR="004554E7" w:rsidRPr="00623A63" w:rsidRDefault="004554E7" w:rsidP="00BE7858">
            <w:pPr>
              <w:rPr>
                <w:rFonts w:ascii="Arial" w:hAnsi="Arial" w:cs="Arial"/>
              </w:rPr>
            </w:pPr>
            <w:r w:rsidRPr="00623A63">
              <w:rPr>
                <w:rFonts w:ascii="Arial" w:hAnsi="Arial" w:cs="Arial"/>
              </w:rPr>
              <w:t>24 or younger</w:t>
            </w:r>
          </w:p>
        </w:tc>
        <w:tc>
          <w:tcPr>
            <w:tcW w:w="1084" w:type="dxa"/>
            <w:vAlign w:val="center"/>
          </w:tcPr>
          <w:p w14:paraId="6241C4DE" w14:textId="77777777" w:rsidR="004554E7" w:rsidRPr="00623A63" w:rsidRDefault="004554E7" w:rsidP="00BE7858">
            <w:pPr>
              <w:jc w:val="center"/>
              <w:rPr>
                <w:rFonts w:ascii="Arial" w:hAnsi="Arial" w:cs="Arial"/>
              </w:rPr>
            </w:pPr>
            <w:r w:rsidRPr="00623A63">
              <w:rPr>
                <w:rFonts w:ascii="Arial" w:hAnsi="Arial" w:cs="Arial"/>
              </w:rPr>
              <w:t>0.3</w:t>
            </w:r>
          </w:p>
        </w:tc>
        <w:tc>
          <w:tcPr>
            <w:tcW w:w="1085" w:type="dxa"/>
            <w:gridSpan w:val="2"/>
            <w:vAlign w:val="center"/>
          </w:tcPr>
          <w:p w14:paraId="102A655F" w14:textId="77777777" w:rsidR="004554E7" w:rsidRPr="00623A63" w:rsidRDefault="004554E7" w:rsidP="00BE7858">
            <w:pPr>
              <w:jc w:val="center"/>
              <w:rPr>
                <w:rFonts w:ascii="Arial" w:hAnsi="Arial" w:cs="Arial"/>
              </w:rPr>
            </w:pPr>
            <w:r w:rsidRPr="00623A63">
              <w:rPr>
                <w:rFonts w:ascii="Arial" w:hAnsi="Arial" w:cs="Arial"/>
              </w:rPr>
              <w:t>0.4</w:t>
            </w:r>
          </w:p>
        </w:tc>
        <w:tc>
          <w:tcPr>
            <w:tcW w:w="889" w:type="dxa"/>
            <w:vAlign w:val="center"/>
          </w:tcPr>
          <w:p w14:paraId="457FB67E" w14:textId="77777777" w:rsidR="004554E7" w:rsidRPr="00623A63" w:rsidRDefault="004554E7" w:rsidP="00BE7858">
            <w:pPr>
              <w:ind w:left="72"/>
              <w:jc w:val="center"/>
              <w:rPr>
                <w:rFonts w:ascii="Arial" w:hAnsi="Arial" w:cs="Arial"/>
              </w:rPr>
            </w:pPr>
            <w:r w:rsidRPr="00623A63">
              <w:rPr>
                <w:rFonts w:ascii="Arial" w:hAnsi="Arial" w:cs="Arial"/>
              </w:rPr>
              <w:t>3.1</w:t>
            </w:r>
          </w:p>
        </w:tc>
        <w:tc>
          <w:tcPr>
            <w:tcW w:w="1085" w:type="dxa"/>
            <w:gridSpan w:val="2"/>
            <w:vAlign w:val="center"/>
          </w:tcPr>
          <w:p w14:paraId="4F88D677" w14:textId="77777777" w:rsidR="004554E7" w:rsidRPr="00623A63" w:rsidRDefault="004554E7" w:rsidP="00BE7858">
            <w:pPr>
              <w:ind w:left="175"/>
              <w:jc w:val="center"/>
              <w:rPr>
                <w:rFonts w:ascii="Arial" w:hAnsi="Arial" w:cs="Arial"/>
              </w:rPr>
            </w:pPr>
            <w:r w:rsidRPr="00623A63">
              <w:rPr>
                <w:rFonts w:ascii="Arial" w:hAnsi="Arial" w:cs="Arial"/>
              </w:rPr>
              <w:t>15.2</w:t>
            </w:r>
          </w:p>
        </w:tc>
        <w:tc>
          <w:tcPr>
            <w:tcW w:w="1085" w:type="dxa"/>
            <w:gridSpan w:val="2"/>
            <w:vAlign w:val="center"/>
          </w:tcPr>
          <w:p w14:paraId="4F987323" w14:textId="77777777" w:rsidR="004554E7" w:rsidRPr="00623A63" w:rsidRDefault="004554E7" w:rsidP="00BE7858">
            <w:pPr>
              <w:ind w:left="170"/>
              <w:jc w:val="center"/>
              <w:rPr>
                <w:rFonts w:ascii="Arial" w:hAnsi="Arial" w:cs="Arial"/>
              </w:rPr>
            </w:pPr>
            <w:r w:rsidRPr="00623A63">
              <w:rPr>
                <w:rFonts w:ascii="Arial" w:hAnsi="Arial" w:cs="Arial"/>
              </w:rPr>
              <w:t>54.6</w:t>
            </w:r>
          </w:p>
        </w:tc>
        <w:tc>
          <w:tcPr>
            <w:tcW w:w="1085" w:type="dxa"/>
            <w:vAlign w:val="center"/>
          </w:tcPr>
          <w:p w14:paraId="2685F2BD" w14:textId="77777777" w:rsidR="004554E7" w:rsidRPr="00623A63" w:rsidRDefault="004554E7" w:rsidP="00BE7858">
            <w:pPr>
              <w:ind w:left="77"/>
              <w:jc w:val="center"/>
              <w:rPr>
                <w:rFonts w:ascii="Arial" w:hAnsi="Arial" w:cs="Arial"/>
              </w:rPr>
            </w:pPr>
            <w:r w:rsidRPr="00623A63">
              <w:rPr>
                <w:rFonts w:ascii="Arial" w:hAnsi="Arial" w:cs="Arial"/>
              </w:rPr>
              <w:t>71.9</w:t>
            </w:r>
          </w:p>
        </w:tc>
        <w:tc>
          <w:tcPr>
            <w:tcW w:w="1085" w:type="dxa"/>
            <w:vAlign w:val="center"/>
          </w:tcPr>
          <w:p w14:paraId="7BBDFB26" w14:textId="77777777" w:rsidR="004554E7" w:rsidRPr="00623A63" w:rsidRDefault="004554E7" w:rsidP="00BE7858">
            <w:pPr>
              <w:ind w:left="126"/>
              <w:jc w:val="center"/>
              <w:rPr>
                <w:rFonts w:ascii="Arial" w:hAnsi="Arial" w:cs="Arial"/>
              </w:rPr>
            </w:pPr>
            <w:r w:rsidRPr="00623A63">
              <w:rPr>
                <w:rFonts w:ascii="Arial" w:hAnsi="Arial" w:cs="Arial"/>
              </w:rPr>
              <w:t>94.1</w:t>
            </w:r>
          </w:p>
        </w:tc>
      </w:tr>
      <w:tr w:rsidR="004554E7" w:rsidRPr="00623A63" w14:paraId="1D1D03E5" w14:textId="77777777" w:rsidTr="00BB77C8">
        <w:trPr>
          <w:trHeight w:val="397"/>
        </w:trPr>
        <w:tc>
          <w:tcPr>
            <w:tcW w:w="1762" w:type="dxa"/>
            <w:vAlign w:val="center"/>
          </w:tcPr>
          <w:p w14:paraId="63CBBD5B" w14:textId="77777777" w:rsidR="004554E7" w:rsidRPr="00623A63" w:rsidRDefault="004554E7" w:rsidP="00BE7858">
            <w:pPr>
              <w:rPr>
                <w:rFonts w:ascii="Arial" w:hAnsi="Arial" w:cs="Arial"/>
              </w:rPr>
            </w:pPr>
            <w:r w:rsidRPr="00623A63">
              <w:rPr>
                <w:rFonts w:ascii="Arial" w:hAnsi="Arial" w:cs="Arial"/>
              </w:rPr>
              <w:t>25 – 29</w:t>
            </w:r>
          </w:p>
        </w:tc>
        <w:tc>
          <w:tcPr>
            <w:tcW w:w="1084" w:type="dxa"/>
            <w:vAlign w:val="center"/>
          </w:tcPr>
          <w:p w14:paraId="1A2C31F7" w14:textId="77777777" w:rsidR="004554E7" w:rsidRPr="00623A63" w:rsidRDefault="004554E7" w:rsidP="00BE7858">
            <w:pPr>
              <w:jc w:val="center"/>
              <w:rPr>
                <w:rFonts w:ascii="Arial" w:hAnsi="Arial" w:cs="Arial"/>
              </w:rPr>
            </w:pPr>
            <w:r w:rsidRPr="00623A63">
              <w:rPr>
                <w:rFonts w:ascii="Arial" w:hAnsi="Arial" w:cs="Arial"/>
              </w:rPr>
              <w:t>0.1</w:t>
            </w:r>
          </w:p>
        </w:tc>
        <w:tc>
          <w:tcPr>
            <w:tcW w:w="1085" w:type="dxa"/>
            <w:gridSpan w:val="2"/>
            <w:vAlign w:val="center"/>
          </w:tcPr>
          <w:p w14:paraId="2C858568" w14:textId="77777777" w:rsidR="004554E7" w:rsidRPr="00623A63" w:rsidRDefault="004554E7" w:rsidP="00BE7858">
            <w:pPr>
              <w:jc w:val="center"/>
              <w:rPr>
                <w:rFonts w:ascii="Arial" w:hAnsi="Arial" w:cs="Arial"/>
              </w:rPr>
            </w:pPr>
            <w:r w:rsidRPr="00623A63">
              <w:rPr>
                <w:rFonts w:ascii="Arial" w:hAnsi="Arial" w:cs="Arial"/>
              </w:rPr>
              <w:t>0.2</w:t>
            </w:r>
          </w:p>
        </w:tc>
        <w:tc>
          <w:tcPr>
            <w:tcW w:w="889" w:type="dxa"/>
            <w:vAlign w:val="center"/>
          </w:tcPr>
          <w:p w14:paraId="195BB4DC" w14:textId="77777777" w:rsidR="004554E7" w:rsidRPr="00623A63" w:rsidRDefault="004554E7" w:rsidP="00BE7858">
            <w:pPr>
              <w:ind w:left="72"/>
              <w:jc w:val="center"/>
              <w:rPr>
                <w:rFonts w:ascii="Arial" w:hAnsi="Arial" w:cs="Arial"/>
              </w:rPr>
            </w:pPr>
            <w:r w:rsidRPr="00623A63">
              <w:rPr>
                <w:rFonts w:ascii="Arial" w:hAnsi="Arial" w:cs="Arial"/>
              </w:rPr>
              <w:t>1.0</w:t>
            </w:r>
          </w:p>
        </w:tc>
        <w:tc>
          <w:tcPr>
            <w:tcW w:w="1085" w:type="dxa"/>
            <w:gridSpan w:val="2"/>
            <w:vAlign w:val="center"/>
          </w:tcPr>
          <w:p w14:paraId="6E3619BC" w14:textId="77777777" w:rsidR="004554E7" w:rsidRPr="00623A63" w:rsidRDefault="004554E7" w:rsidP="00BE7858">
            <w:pPr>
              <w:ind w:left="175"/>
              <w:jc w:val="center"/>
              <w:rPr>
                <w:rFonts w:ascii="Arial" w:hAnsi="Arial" w:cs="Arial"/>
              </w:rPr>
            </w:pPr>
            <w:r w:rsidRPr="00623A63">
              <w:rPr>
                <w:rFonts w:ascii="Arial" w:hAnsi="Arial" w:cs="Arial"/>
              </w:rPr>
              <w:t>6.0</w:t>
            </w:r>
          </w:p>
        </w:tc>
        <w:tc>
          <w:tcPr>
            <w:tcW w:w="1085" w:type="dxa"/>
            <w:gridSpan w:val="2"/>
            <w:vAlign w:val="center"/>
          </w:tcPr>
          <w:p w14:paraId="2C863BE2" w14:textId="77777777" w:rsidR="004554E7" w:rsidRPr="00623A63" w:rsidRDefault="004554E7" w:rsidP="00BE7858">
            <w:pPr>
              <w:ind w:left="170"/>
              <w:jc w:val="center"/>
              <w:rPr>
                <w:rFonts w:ascii="Arial" w:hAnsi="Arial" w:cs="Arial"/>
              </w:rPr>
            </w:pPr>
            <w:r w:rsidRPr="00623A63">
              <w:rPr>
                <w:rFonts w:ascii="Arial" w:hAnsi="Arial" w:cs="Arial"/>
              </w:rPr>
              <w:t>34.4</w:t>
            </w:r>
          </w:p>
        </w:tc>
        <w:tc>
          <w:tcPr>
            <w:tcW w:w="1085" w:type="dxa"/>
            <w:vAlign w:val="center"/>
          </w:tcPr>
          <w:p w14:paraId="34B406DF" w14:textId="77777777" w:rsidR="004554E7" w:rsidRPr="00623A63" w:rsidRDefault="004554E7" w:rsidP="00BE7858">
            <w:pPr>
              <w:ind w:left="77"/>
              <w:jc w:val="center"/>
              <w:rPr>
                <w:rFonts w:ascii="Arial" w:hAnsi="Arial" w:cs="Arial"/>
              </w:rPr>
            </w:pPr>
            <w:r w:rsidRPr="00623A63">
              <w:rPr>
                <w:rFonts w:ascii="Arial" w:hAnsi="Arial" w:cs="Arial"/>
              </w:rPr>
              <w:t>63.4</w:t>
            </w:r>
          </w:p>
        </w:tc>
        <w:tc>
          <w:tcPr>
            <w:tcW w:w="1085" w:type="dxa"/>
            <w:vAlign w:val="center"/>
          </w:tcPr>
          <w:p w14:paraId="79787492" w14:textId="77777777" w:rsidR="004554E7" w:rsidRPr="00623A63" w:rsidRDefault="004554E7" w:rsidP="00BE7858">
            <w:pPr>
              <w:ind w:left="126"/>
              <w:jc w:val="center"/>
              <w:rPr>
                <w:rFonts w:ascii="Arial" w:hAnsi="Arial" w:cs="Arial"/>
              </w:rPr>
            </w:pPr>
            <w:r w:rsidRPr="00623A63">
              <w:rPr>
                <w:rFonts w:ascii="Arial" w:hAnsi="Arial" w:cs="Arial"/>
              </w:rPr>
              <w:t>93.4</w:t>
            </w:r>
          </w:p>
        </w:tc>
      </w:tr>
      <w:tr w:rsidR="004554E7" w:rsidRPr="00623A63" w14:paraId="6344C83D" w14:textId="77777777" w:rsidTr="00BB77C8">
        <w:trPr>
          <w:trHeight w:val="397"/>
        </w:trPr>
        <w:tc>
          <w:tcPr>
            <w:tcW w:w="1762" w:type="dxa"/>
            <w:vAlign w:val="center"/>
          </w:tcPr>
          <w:p w14:paraId="7D2B2F98" w14:textId="77777777" w:rsidR="004554E7" w:rsidRPr="00623A63" w:rsidRDefault="004554E7" w:rsidP="00BE7858">
            <w:pPr>
              <w:rPr>
                <w:rFonts w:ascii="Arial" w:hAnsi="Arial" w:cs="Arial"/>
              </w:rPr>
            </w:pPr>
            <w:r w:rsidRPr="00623A63">
              <w:rPr>
                <w:rFonts w:ascii="Arial" w:hAnsi="Arial" w:cs="Arial"/>
              </w:rPr>
              <w:t>30 –  34</w:t>
            </w:r>
          </w:p>
        </w:tc>
        <w:tc>
          <w:tcPr>
            <w:tcW w:w="1084" w:type="dxa"/>
            <w:vAlign w:val="center"/>
          </w:tcPr>
          <w:p w14:paraId="7CCDDE64" w14:textId="77777777" w:rsidR="004554E7" w:rsidRPr="00623A63" w:rsidRDefault="004554E7" w:rsidP="00BE7858">
            <w:pPr>
              <w:jc w:val="center"/>
              <w:rPr>
                <w:rFonts w:ascii="Arial" w:hAnsi="Arial" w:cs="Arial"/>
              </w:rPr>
            </w:pPr>
            <w:r w:rsidRPr="00623A63">
              <w:rPr>
                <w:rFonts w:ascii="Arial" w:hAnsi="Arial" w:cs="Arial"/>
              </w:rPr>
              <w:t>_</w:t>
            </w:r>
          </w:p>
        </w:tc>
        <w:tc>
          <w:tcPr>
            <w:tcW w:w="1085" w:type="dxa"/>
            <w:gridSpan w:val="2"/>
            <w:vAlign w:val="center"/>
          </w:tcPr>
          <w:p w14:paraId="00D98C0E" w14:textId="77777777" w:rsidR="004554E7" w:rsidRPr="00623A63" w:rsidRDefault="004554E7" w:rsidP="00BE7858">
            <w:pPr>
              <w:jc w:val="center"/>
              <w:rPr>
                <w:rFonts w:ascii="Arial" w:hAnsi="Arial" w:cs="Arial"/>
              </w:rPr>
            </w:pPr>
            <w:r w:rsidRPr="00623A63">
              <w:rPr>
                <w:rFonts w:ascii="Arial" w:hAnsi="Arial" w:cs="Arial"/>
              </w:rPr>
              <w:t>0.1</w:t>
            </w:r>
          </w:p>
        </w:tc>
        <w:tc>
          <w:tcPr>
            <w:tcW w:w="889" w:type="dxa"/>
            <w:vAlign w:val="center"/>
          </w:tcPr>
          <w:p w14:paraId="34DEB3F4" w14:textId="77777777" w:rsidR="004554E7" w:rsidRPr="00623A63" w:rsidRDefault="004554E7" w:rsidP="00BE7858">
            <w:pPr>
              <w:ind w:left="72"/>
              <w:jc w:val="center"/>
              <w:rPr>
                <w:rFonts w:ascii="Arial" w:hAnsi="Arial" w:cs="Arial"/>
              </w:rPr>
            </w:pPr>
            <w:r w:rsidRPr="00623A63">
              <w:rPr>
                <w:rFonts w:ascii="Arial" w:hAnsi="Arial" w:cs="Arial"/>
              </w:rPr>
              <w:t>0.5</w:t>
            </w:r>
          </w:p>
        </w:tc>
        <w:tc>
          <w:tcPr>
            <w:tcW w:w="1085" w:type="dxa"/>
            <w:gridSpan w:val="2"/>
            <w:vAlign w:val="center"/>
          </w:tcPr>
          <w:p w14:paraId="5EAA5A54" w14:textId="77777777" w:rsidR="004554E7" w:rsidRPr="00623A63" w:rsidRDefault="004554E7" w:rsidP="00BE7858">
            <w:pPr>
              <w:ind w:left="175"/>
              <w:jc w:val="center"/>
              <w:rPr>
                <w:rFonts w:ascii="Arial" w:hAnsi="Arial" w:cs="Arial"/>
              </w:rPr>
            </w:pPr>
            <w:r w:rsidRPr="00623A63">
              <w:rPr>
                <w:rFonts w:ascii="Arial" w:hAnsi="Arial" w:cs="Arial"/>
              </w:rPr>
              <w:t>2.9</w:t>
            </w:r>
          </w:p>
        </w:tc>
        <w:tc>
          <w:tcPr>
            <w:tcW w:w="1085" w:type="dxa"/>
            <w:gridSpan w:val="2"/>
            <w:vAlign w:val="center"/>
          </w:tcPr>
          <w:p w14:paraId="485820D2" w14:textId="77777777" w:rsidR="004554E7" w:rsidRPr="00623A63" w:rsidRDefault="004554E7" w:rsidP="00BE7858">
            <w:pPr>
              <w:ind w:left="170"/>
              <w:jc w:val="center"/>
              <w:rPr>
                <w:rFonts w:ascii="Arial" w:hAnsi="Arial" w:cs="Arial"/>
              </w:rPr>
            </w:pPr>
            <w:r w:rsidRPr="00623A63">
              <w:rPr>
                <w:rFonts w:ascii="Arial" w:hAnsi="Arial" w:cs="Arial"/>
              </w:rPr>
              <w:t>26.6</w:t>
            </w:r>
          </w:p>
        </w:tc>
        <w:tc>
          <w:tcPr>
            <w:tcW w:w="1085" w:type="dxa"/>
            <w:vAlign w:val="center"/>
          </w:tcPr>
          <w:p w14:paraId="77EFE16A" w14:textId="77777777" w:rsidR="004554E7" w:rsidRPr="00623A63" w:rsidRDefault="004554E7" w:rsidP="00BE7858">
            <w:pPr>
              <w:ind w:left="77"/>
              <w:jc w:val="center"/>
              <w:rPr>
                <w:rFonts w:ascii="Arial" w:hAnsi="Arial" w:cs="Arial"/>
              </w:rPr>
            </w:pPr>
            <w:r w:rsidRPr="00623A63">
              <w:rPr>
                <w:rFonts w:ascii="Arial" w:hAnsi="Arial" w:cs="Arial"/>
              </w:rPr>
              <w:t>57.0</w:t>
            </w:r>
          </w:p>
        </w:tc>
        <w:tc>
          <w:tcPr>
            <w:tcW w:w="1085" w:type="dxa"/>
            <w:vAlign w:val="center"/>
          </w:tcPr>
          <w:p w14:paraId="48A7AA80" w14:textId="77777777" w:rsidR="004554E7" w:rsidRPr="00623A63" w:rsidRDefault="004554E7" w:rsidP="00BE7858">
            <w:pPr>
              <w:ind w:left="126"/>
              <w:jc w:val="center"/>
              <w:rPr>
                <w:rFonts w:ascii="Arial" w:hAnsi="Arial" w:cs="Arial"/>
              </w:rPr>
            </w:pPr>
            <w:r w:rsidRPr="00623A63">
              <w:rPr>
                <w:rFonts w:ascii="Arial" w:hAnsi="Arial" w:cs="Arial"/>
              </w:rPr>
              <w:t>92.2</w:t>
            </w:r>
          </w:p>
        </w:tc>
      </w:tr>
      <w:tr w:rsidR="004554E7" w:rsidRPr="00623A63" w14:paraId="594F9A18" w14:textId="77777777" w:rsidTr="00BB77C8">
        <w:trPr>
          <w:trHeight w:val="397"/>
        </w:trPr>
        <w:tc>
          <w:tcPr>
            <w:tcW w:w="1762" w:type="dxa"/>
            <w:vAlign w:val="center"/>
          </w:tcPr>
          <w:p w14:paraId="60C2C0E6" w14:textId="77777777" w:rsidR="004554E7" w:rsidRPr="00623A63" w:rsidRDefault="004554E7" w:rsidP="00BE7858">
            <w:pPr>
              <w:rPr>
                <w:rFonts w:ascii="Arial" w:hAnsi="Arial" w:cs="Arial"/>
              </w:rPr>
            </w:pPr>
            <w:r w:rsidRPr="00623A63">
              <w:rPr>
                <w:rFonts w:ascii="Arial" w:hAnsi="Arial" w:cs="Arial"/>
              </w:rPr>
              <w:t xml:space="preserve">35 or older </w:t>
            </w:r>
          </w:p>
        </w:tc>
        <w:tc>
          <w:tcPr>
            <w:tcW w:w="1084" w:type="dxa"/>
            <w:vAlign w:val="center"/>
          </w:tcPr>
          <w:p w14:paraId="2A6F113F" w14:textId="77777777" w:rsidR="004554E7" w:rsidRPr="00623A63" w:rsidRDefault="004554E7" w:rsidP="00BE7858">
            <w:pPr>
              <w:jc w:val="center"/>
              <w:rPr>
                <w:rFonts w:ascii="Arial" w:hAnsi="Arial" w:cs="Arial"/>
              </w:rPr>
            </w:pPr>
            <w:r w:rsidRPr="00623A63">
              <w:rPr>
                <w:rFonts w:ascii="Arial" w:hAnsi="Arial" w:cs="Arial"/>
              </w:rPr>
              <w:t>0.1</w:t>
            </w:r>
          </w:p>
        </w:tc>
        <w:tc>
          <w:tcPr>
            <w:tcW w:w="1085" w:type="dxa"/>
            <w:gridSpan w:val="2"/>
            <w:vAlign w:val="center"/>
          </w:tcPr>
          <w:p w14:paraId="01F561A0" w14:textId="77777777" w:rsidR="004554E7" w:rsidRPr="00623A63" w:rsidRDefault="004554E7" w:rsidP="00BE7858">
            <w:pPr>
              <w:jc w:val="center"/>
              <w:rPr>
                <w:rFonts w:ascii="Arial" w:hAnsi="Arial" w:cs="Arial"/>
              </w:rPr>
            </w:pPr>
            <w:r w:rsidRPr="00623A63">
              <w:rPr>
                <w:rFonts w:ascii="Arial" w:hAnsi="Arial" w:cs="Arial"/>
              </w:rPr>
              <w:t>0.2</w:t>
            </w:r>
          </w:p>
        </w:tc>
        <w:tc>
          <w:tcPr>
            <w:tcW w:w="889" w:type="dxa"/>
            <w:vAlign w:val="center"/>
          </w:tcPr>
          <w:p w14:paraId="3DAEF265" w14:textId="77777777" w:rsidR="004554E7" w:rsidRPr="00623A63" w:rsidRDefault="004554E7" w:rsidP="00BE7858">
            <w:pPr>
              <w:ind w:left="72"/>
              <w:jc w:val="center"/>
              <w:rPr>
                <w:rFonts w:ascii="Arial" w:hAnsi="Arial" w:cs="Arial"/>
              </w:rPr>
            </w:pPr>
            <w:r w:rsidRPr="00623A63">
              <w:rPr>
                <w:rFonts w:ascii="Arial" w:hAnsi="Arial" w:cs="Arial"/>
              </w:rPr>
              <w:t>0.5</w:t>
            </w:r>
          </w:p>
        </w:tc>
        <w:tc>
          <w:tcPr>
            <w:tcW w:w="1085" w:type="dxa"/>
            <w:gridSpan w:val="2"/>
            <w:vAlign w:val="center"/>
          </w:tcPr>
          <w:p w14:paraId="7B95DA2B" w14:textId="77777777" w:rsidR="004554E7" w:rsidRPr="00623A63" w:rsidRDefault="004554E7" w:rsidP="00BE7858">
            <w:pPr>
              <w:ind w:left="175"/>
              <w:jc w:val="center"/>
              <w:rPr>
                <w:rFonts w:ascii="Arial" w:hAnsi="Arial" w:cs="Arial"/>
              </w:rPr>
            </w:pPr>
            <w:r w:rsidRPr="00623A63">
              <w:rPr>
                <w:rFonts w:ascii="Arial" w:hAnsi="Arial" w:cs="Arial"/>
              </w:rPr>
              <w:t>2.8</w:t>
            </w:r>
          </w:p>
        </w:tc>
        <w:tc>
          <w:tcPr>
            <w:tcW w:w="1085" w:type="dxa"/>
            <w:gridSpan w:val="2"/>
            <w:vAlign w:val="center"/>
          </w:tcPr>
          <w:p w14:paraId="3EDF8D6C" w14:textId="77777777" w:rsidR="004554E7" w:rsidRPr="00623A63" w:rsidRDefault="004554E7" w:rsidP="00BE7858">
            <w:pPr>
              <w:ind w:left="170"/>
              <w:jc w:val="center"/>
              <w:rPr>
                <w:rFonts w:ascii="Arial" w:hAnsi="Arial" w:cs="Arial"/>
              </w:rPr>
            </w:pPr>
            <w:r w:rsidRPr="00623A63">
              <w:rPr>
                <w:rFonts w:ascii="Arial" w:hAnsi="Arial" w:cs="Arial"/>
              </w:rPr>
              <w:t>22.4</w:t>
            </w:r>
          </w:p>
        </w:tc>
        <w:tc>
          <w:tcPr>
            <w:tcW w:w="1085" w:type="dxa"/>
            <w:vAlign w:val="center"/>
          </w:tcPr>
          <w:p w14:paraId="21412DFF" w14:textId="77777777" w:rsidR="004554E7" w:rsidRPr="00623A63" w:rsidRDefault="004554E7" w:rsidP="00BE7858">
            <w:pPr>
              <w:ind w:left="77"/>
              <w:jc w:val="center"/>
              <w:rPr>
                <w:rFonts w:ascii="Arial" w:hAnsi="Arial" w:cs="Arial"/>
              </w:rPr>
            </w:pPr>
            <w:r w:rsidRPr="00623A63">
              <w:rPr>
                <w:rFonts w:ascii="Arial" w:hAnsi="Arial" w:cs="Arial"/>
              </w:rPr>
              <w:t>48.9</w:t>
            </w:r>
          </w:p>
        </w:tc>
        <w:tc>
          <w:tcPr>
            <w:tcW w:w="1085" w:type="dxa"/>
            <w:vAlign w:val="center"/>
          </w:tcPr>
          <w:p w14:paraId="5C8E473B" w14:textId="77777777" w:rsidR="004554E7" w:rsidRPr="00623A63" w:rsidRDefault="004554E7" w:rsidP="00BE7858">
            <w:pPr>
              <w:ind w:left="126"/>
              <w:jc w:val="center"/>
              <w:rPr>
                <w:rFonts w:ascii="Arial" w:hAnsi="Arial" w:cs="Arial"/>
              </w:rPr>
            </w:pPr>
            <w:r w:rsidRPr="00623A63">
              <w:rPr>
                <w:rFonts w:ascii="Arial" w:hAnsi="Arial" w:cs="Arial"/>
              </w:rPr>
              <w:t>89.9</w:t>
            </w:r>
          </w:p>
        </w:tc>
      </w:tr>
      <w:tr w:rsidR="004554E7" w:rsidRPr="00623A63" w14:paraId="5CF17811" w14:textId="77777777" w:rsidTr="00BB77C8">
        <w:trPr>
          <w:trHeight w:val="397"/>
        </w:trPr>
        <w:tc>
          <w:tcPr>
            <w:tcW w:w="1762" w:type="dxa"/>
            <w:vAlign w:val="center"/>
          </w:tcPr>
          <w:p w14:paraId="5DD767A1" w14:textId="721569EC" w:rsidR="004554E7" w:rsidRPr="00623A63" w:rsidRDefault="00F60958" w:rsidP="00BE7858">
            <w:pPr>
              <w:rPr>
                <w:rFonts w:ascii="Arial" w:hAnsi="Arial" w:cs="Arial"/>
              </w:rPr>
            </w:pPr>
            <w:r w:rsidRPr="00623A63">
              <w:rPr>
                <w:rFonts w:ascii="Arial" w:hAnsi="Arial" w:cs="Arial"/>
              </w:rPr>
              <w:t xml:space="preserve">All </w:t>
            </w:r>
            <w:r w:rsidR="004554E7" w:rsidRPr="00623A63">
              <w:rPr>
                <w:rFonts w:ascii="Arial" w:hAnsi="Arial" w:cs="Arial"/>
              </w:rPr>
              <w:t>ages</w:t>
            </w:r>
          </w:p>
        </w:tc>
        <w:tc>
          <w:tcPr>
            <w:tcW w:w="1084" w:type="dxa"/>
            <w:vAlign w:val="center"/>
          </w:tcPr>
          <w:p w14:paraId="2BAF6E52" w14:textId="77777777" w:rsidR="004554E7" w:rsidRPr="00623A63" w:rsidRDefault="004554E7" w:rsidP="00BE7858">
            <w:pPr>
              <w:jc w:val="center"/>
              <w:rPr>
                <w:rFonts w:ascii="Arial" w:hAnsi="Arial" w:cs="Arial"/>
              </w:rPr>
            </w:pPr>
            <w:r w:rsidRPr="00623A63">
              <w:rPr>
                <w:rFonts w:ascii="Arial" w:hAnsi="Arial" w:cs="Arial"/>
              </w:rPr>
              <w:t>0.1</w:t>
            </w:r>
          </w:p>
        </w:tc>
        <w:tc>
          <w:tcPr>
            <w:tcW w:w="1085" w:type="dxa"/>
            <w:gridSpan w:val="2"/>
            <w:vAlign w:val="center"/>
          </w:tcPr>
          <w:p w14:paraId="042809AC" w14:textId="77777777" w:rsidR="004554E7" w:rsidRPr="00623A63" w:rsidRDefault="004554E7" w:rsidP="00BE7858">
            <w:pPr>
              <w:jc w:val="center"/>
              <w:rPr>
                <w:rFonts w:ascii="Arial" w:hAnsi="Arial" w:cs="Arial"/>
              </w:rPr>
            </w:pPr>
            <w:r w:rsidRPr="00623A63">
              <w:rPr>
                <w:rFonts w:ascii="Arial" w:hAnsi="Arial" w:cs="Arial"/>
              </w:rPr>
              <w:t>0.1</w:t>
            </w:r>
          </w:p>
        </w:tc>
        <w:tc>
          <w:tcPr>
            <w:tcW w:w="889" w:type="dxa"/>
            <w:vAlign w:val="center"/>
          </w:tcPr>
          <w:p w14:paraId="0F07C2B6" w14:textId="77777777" w:rsidR="004554E7" w:rsidRPr="00623A63" w:rsidRDefault="004554E7" w:rsidP="00BE7858">
            <w:pPr>
              <w:ind w:left="72"/>
              <w:jc w:val="center"/>
              <w:rPr>
                <w:rFonts w:ascii="Arial" w:hAnsi="Arial" w:cs="Arial"/>
              </w:rPr>
            </w:pPr>
            <w:r w:rsidRPr="00623A63">
              <w:rPr>
                <w:rFonts w:ascii="Arial" w:hAnsi="Arial" w:cs="Arial"/>
              </w:rPr>
              <w:t>0.8</w:t>
            </w:r>
          </w:p>
        </w:tc>
        <w:tc>
          <w:tcPr>
            <w:tcW w:w="1085" w:type="dxa"/>
            <w:gridSpan w:val="2"/>
            <w:vAlign w:val="center"/>
          </w:tcPr>
          <w:p w14:paraId="37C56E93" w14:textId="77777777" w:rsidR="004554E7" w:rsidRPr="00623A63" w:rsidRDefault="004554E7" w:rsidP="00BE7858">
            <w:pPr>
              <w:ind w:left="175"/>
              <w:jc w:val="center"/>
              <w:rPr>
                <w:rFonts w:ascii="Arial" w:hAnsi="Arial" w:cs="Arial"/>
              </w:rPr>
            </w:pPr>
            <w:r w:rsidRPr="00623A63">
              <w:rPr>
                <w:rFonts w:ascii="Arial" w:hAnsi="Arial" w:cs="Arial"/>
              </w:rPr>
              <w:t>4.3</w:t>
            </w:r>
          </w:p>
        </w:tc>
        <w:tc>
          <w:tcPr>
            <w:tcW w:w="1085" w:type="dxa"/>
            <w:gridSpan w:val="2"/>
            <w:vAlign w:val="center"/>
          </w:tcPr>
          <w:p w14:paraId="2C2FC88F" w14:textId="77777777" w:rsidR="004554E7" w:rsidRPr="00623A63" w:rsidRDefault="004554E7" w:rsidP="00BE7858">
            <w:pPr>
              <w:ind w:left="170"/>
              <w:jc w:val="center"/>
              <w:rPr>
                <w:rFonts w:ascii="Arial" w:hAnsi="Arial" w:cs="Arial"/>
              </w:rPr>
            </w:pPr>
            <w:r w:rsidRPr="00623A63">
              <w:rPr>
                <w:rFonts w:ascii="Arial" w:hAnsi="Arial" w:cs="Arial"/>
              </w:rPr>
              <w:t>28.4</w:t>
            </w:r>
          </w:p>
        </w:tc>
        <w:tc>
          <w:tcPr>
            <w:tcW w:w="1085" w:type="dxa"/>
            <w:vAlign w:val="center"/>
          </w:tcPr>
          <w:p w14:paraId="402DD08B" w14:textId="77777777" w:rsidR="004554E7" w:rsidRPr="00623A63" w:rsidRDefault="004554E7" w:rsidP="00BE7858">
            <w:pPr>
              <w:ind w:left="77"/>
              <w:jc w:val="center"/>
              <w:rPr>
                <w:rFonts w:ascii="Arial" w:hAnsi="Arial" w:cs="Arial"/>
              </w:rPr>
            </w:pPr>
            <w:r w:rsidRPr="00623A63">
              <w:rPr>
                <w:rFonts w:ascii="Arial" w:hAnsi="Arial" w:cs="Arial"/>
              </w:rPr>
              <w:t>56.2</w:t>
            </w:r>
          </w:p>
        </w:tc>
        <w:tc>
          <w:tcPr>
            <w:tcW w:w="1085" w:type="dxa"/>
            <w:vAlign w:val="center"/>
          </w:tcPr>
          <w:p w14:paraId="38A63FFC" w14:textId="77777777" w:rsidR="004554E7" w:rsidRPr="00623A63" w:rsidRDefault="004554E7" w:rsidP="00BE7858">
            <w:pPr>
              <w:ind w:left="126"/>
              <w:jc w:val="center"/>
              <w:rPr>
                <w:rFonts w:ascii="Arial" w:hAnsi="Arial" w:cs="Arial"/>
              </w:rPr>
            </w:pPr>
            <w:r w:rsidRPr="00623A63">
              <w:rPr>
                <w:rFonts w:ascii="Arial" w:hAnsi="Arial" w:cs="Arial"/>
              </w:rPr>
              <w:t>91.6</w:t>
            </w:r>
          </w:p>
        </w:tc>
      </w:tr>
    </w:tbl>
    <w:p w14:paraId="369815FE" w14:textId="77777777" w:rsidR="004554E7" w:rsidRPr="00127C9E" w:rsidRDefault="004554E7" w:rsidP="00BE7858">
      <w:pPr>
        <w:ind w:left="142" w:hanging="142"/>
        <w:rPr>
          <w:rFonts w:cs="Arial"/>
          <w:sz w:val="16"/>
          <w:szCs w:val="20"/>
        </w:rPr>
      </w:pPr>
      <w:r w:rsidRPr="00127C9E">
        <w:rPr>
          <w:rFonts w:cs="Arial"/>
          <w:sz w:val="16"/>
          <w:szCs w:val="20"/>
          <w:vertAlign w:val="superscript"/>
        </w:rPr>
        <w:t>a</w:t>
      </w:r>
      <w:r w:rsidRPr="00127C9E">
        <w:rPr>
          <w:rFonts w:cs="Arial"/>
          <w:sz w:val="16"/>
          <w:szCs w:val="20"/>
        </w:rPr>
        <w:t xml:space="preserve"> Source: </w:t>
      </w:r>
      <w:r w:rsidRPr="00127C9E">
        <w:rPr>
          <w:rFonts w:cs="Arial"/>
          <w:sz w:val="16"/>
          <w:szCs w:val="20"/>
        </w:rPr>
        <w:fldChar w:fldCharType="begin"/>
      </w:r>
      <w:r w:rsidRPr="00127C9E">
        <w:rPr>
          <w:rFonts w:cs="Arial"/>
          <w:sz w:val="16"/>
          <w:szCs w:val="20"/>
        </w:rPr>
        <w:instrText xml:space="preserve"> ADDIN REFMGR.CITE &lt;Refman&gt;&lt;Cite&gt;&lt;Author&gt;Australian Institute of Health and Welfare&lt;/Author&gt;&lt;Year&gt;2011&lt;/Year&gt;&lt;RecNum&gt;121&lt;/RecNum&gt;&lt;IDText&gt;2010 Australian National Infant Feeding Survey&lt;/IDText&gt;&lt;MDL Ref_Type="Report"&gt;&lt;Ref_Type&gt;Report&lt;/Ref_Type&gt;&lt;Ref_ID&gt;121&lt;/Ref_ID&gt;&lt;Title_Primary&gt;2010 Australian National Infant Feeding Survey&lt;/Title_Primary&gt;&lt;Authors_Primary&gt;Australian Institute of Health and Welfare&lt;/Authors_Primary&gt;&lt;Date_Primary&gt;2011&lt;/Date_Primary&gt;&lt;Keywords&gt;Infant&lt;/Keywords&gt;&lt;Reprint&gt;In File&lt;/Reprint&gt;&lt;Pub_Place&gt;Canberra&lt;/Pub_Place&gt;&lt;Publisher&gt;AIHW&lt;/Publisher&gt;&lt;ZZ_WorkformID&gt;24&lt;/ZZ_WorkformID&gt;&lt;/MDL&gt;&lt;/Cite&gt;&lt;/Refman&gt;</w:instrText>
      </w:r>
      <w:r w:rsidRPr="00127C9E">
        <w:rPr>
          <w:rFonts w:cs="Arial"/>
          <w:sz w:val="16"/>
          <w:szCs w:val="20"/>
        </w:rPr>
        <w:fldChar w:fldCharType="separate"/>
      </w:r>
      <w:r w:rsidRPr="00127C9E">
        <w:rPr>
          <w:rFonts w:cs="Arial"/>
          <w:noProof/>
          <w:sz w:val="16"/>
          <w:szCs w:val="20"/>
        </w:rPr>
        <w:t>(Australian Institute of Health and Welfare 2011a)</w:t>
      </w:r>
      <w:r w:rsidRPr="00127C9E">
        <w:rPr>
          <w:rFonts w:cs="Arial"/>
          <w:sz w:val="16"/>
          <w:szCs w:val="20"/>
        </w:rPr>
        <w:fldChar w:fldCharType="end"/>
      </w:r>
    </w:p>
    <w:p w14:paraId="039087BF" w14:textId="77777777" w:rsidR="004554E7" w:rsidRPr="00127C9E" w:rsidRDefault="004554E7" w:rsidP="00BE7858">
      <w:pPr>
        <w:ind w:left="142" w:hanging="142"/>
        <w:rPr>
          <w:rFonts w:cs="Arial"/>
          <w:sz w:val="16"/>
          <w:szCs w:val="20"/>
        </w:rPr>
      </w:pPr>
      <w:proofErr w:type="gramStart"/>
      <w:r w:rsidRPr="00127C9E">
        <w:rPr>
          <w:rFonts w:cs="Arial"/>
          <w:sz w:val="16"/>
          <w:szCs w:val="20"/>
          <w:vertAlign w:val="superscript"/>
        </w:rPr>
        <w:t>b</w:t>
      </w:r>
      <w:proofErr w:type="gramEnd"/>
      <w:r w:rsidRPr="00127C9E">
        <w:rPr>
          <w:rFonts w:cs="Arial"/>
          <w:sz w:val="16"/>
          <w:szCs w:val="20"/>
        </w:rPr>
        <w:t xml:space="preserve"> From: Table 2.1 Proportion of children receiving any breast milk, by age.</w:t>
      </w:r>
    </w:p>
    <w:p w14:paraId="5AB44F06" w14:textId="77777777" w:rsidR="004554E7" w:rsidRPr="00127C9E" w:rsidRDefault="004554E7" w:rsidP="00BE7858">
      <w:pPr>
        <w:ind w:left="142" w:hanging="142"/>
        <w:rPr>
          <w:rFonts w:cs="Arial"/>
          <w:sz w:val="16"/>
          <w:szCs w:val="20"/>
        </w:rPr>
      </w:pPr>
      <w:proofErr w:type="gramStart"/>
      <w:r w:rsidRPr="00127C9E">
        <w:rPr>
          <w:rFonts w:cs="Arial"/>
          <w:sz w:val="16"/>
          <w:szCs w:val="20"/>
          <w:vertAlign w:val="superscript"/>
        </w:rPr>
        <w:t>c</w:t>
      </w:r>
      <w:proofErr w:type="gramEnd"/>
      <w:r w:rsidRPr="00127C9E">
        <w:rPr>
          <w:rFonts w:cs="Arial"/>
          <w:sz w:val="16"/>
          <w:szCs w:val="20"/>
        </w:rPr>
        <w:t xml:space="preserve"> From: Table 2.4 Proportion of children who had received soft/semi-solid/solid food in the last 24 hours, by current age. </w:t>
      </w:r>
    </w:p>
    <w:p w14:paraId="52489290" w14:textId="77777777" w:rsidR="004554E7" w:rsidRPr="00127C9E" w:rsidRDefault="004554E7" w:rsidP="00BE7858">
      <w:pPr>
        <w:ind w:left="142" w:hanging="142"/>
        <w:rPr>
          <w:rFonts w:cs="Arial"/>
          <w:sz w:val="16"/>
          <w:szCs w:val="20"/>
        </w:rPr>
      </w:pPr>
      <w:proofErr w:type="gramStart"/>
      <w:r w:rsidRPr="00127C9E">
        <w:rPr>
          <w:rFonts w:cs="Arial"/>
          <w:sz w:val="16"/>
          <w:szCs w:val="20"/>
          <w:vertAlign w:val="superscript"/>
        </w:rPr>
        <w:t>d</w:t>
      </w:r>
      <w:proofErr w:type="gramEnd"/>
      <w:r w:rsidRPr="00127C9E">
        <w:rPr>
          <w:rFonts w:cs="Arial"/>
          <w:sz w:val="16"/>
          <w:szCs w:val="20"/>
        </w:rPr>
        <w:t xml:space="preserve"> From: Table 3.13 Proportion of children who were introduced to soft/semi-solid/solid food by month of age.</w:t>
      </w:r>
    </w:p>
    <w:p w14:paraId="3128B0C5" w14:textId="1FA837CA" w:rsidR="004554E7" w:rsidRPr="00127C9E" w:rsidRDefault="004554E7" w:rsidP="005E366E">
      <w:pPr>
        <w:ind w:left="142" w:hanging="142"/>
        <w:rPr>
          <w:rFonts w:cs="Arial"/>
          <w:sz w:val="16"/>
        </w:rPr>
      </w:pPr>
      <w:r w:rsidRPr="00127C9E">
        <w:rPr>
          <w:rFonts w:cs="Arial"/>
          <w:sz w:val="16"/>
          <w:szCs w:val="20"/>
          <w:vertAlign w:val="superscript"/>
        </w:rPr>
        <w:t>X</w:t>
      </w:r>
      <w:r w:rsidRPr="00127C9E">
        <w:rPr>
          <w:rFonts w:cs="Arial"/>
          <w:sz w:val="16"/>
          <w:szCs w:val="20"/>
        </w:rPr>
        <w:t xml:space="preserve"> Cross-sectional analysis of children of this age on the day of the survey.</w:t>
      </w:r>
      <w:r w:rsidRPr="00127C9E">
        <w:rPr>
          <w:rFonts w:cs="Arial"/>
          <w:sz w:val="16"/>
          <w:vertAlign w:val="superscript"/>
        </w:rPr>
        <w:t>KM</w:t>
      </w:r>
      <w:r w:rsidRPr="00127C9E">
        <w:rPr>
          <w:rFonts w:cs="Arial"/>
          <w:sz w:val="16"/>
        </w:rPr>
        <w:t xml:space="preserve"> </w:t>
      </w:r>
      <w:r w:rsidRPr="00127C9E">
        <w:rPr>
          <w:rFonts w:cs="Arial"/>
          <w:sz w:val="16"/>
          <w:szCs w:val="18"/>
        </w:rPr>
        <w:t>Kaplan-Meier time-to-event analysis using data from all respondents</w:t>
      </w:r>
      <w:r w:rsidRPr="00127C9E">
        <w:rPr>
          <w:rFonts w:cs="Arial"/>
          <w:sz w:val="16"/>
        </w:rPr>
        <w:t>.</w:t>
      </w:r>
    </w:p>
    <w:p w14:paraId="01124811" w14:textId="5507F3B7" w:rsidR="00A57240" w:rsidRPr="005C39EC" w:rsidRDefault="006C1DF9" w:rsidP="00127C9E">
      <w:pPr>
        <w:pStyle w:val="Heading2"/>
      </w:pPr>
      <w:bookmarkStart w:id="27" w:name="_Toc399945836"/>
      <w:r w:rsidRPr="005C39EC">
        <w:lastRenderedPageBreak/>
        <w:t>4.3</w:t>
      </w:r>
      <w:r w:rsidRPr="005C39EC">
        <w:tab/>
      </w:r>
      <w:r w:rsidR="00A57240" w:rsidRPr="005C39EC">
        <w:t>Introduction of solids vs prevalence of breastfeeding</w:t>
      </w:r>
      <w:bookmarkEnd w:id="27"/>
    </w:p>
    <w:p w14:paraId="6F911497" w14:textId="77777777" w:rsidR="000F6208" w:rsidRPr="005C39EC" w:rsidRDefault="00AA1CC9" w:rsidP="00BE7858">
      <w:pPr>
        <w:rPr>
          <w:rFonts w:cs="Arial"/>
        </w:rPr>
      </w:pPr>
      <w:r w:rsidRPr="005C39EC">
        <w:rPr>
          <w:rFonts w:cs="Arial"/>
        </w:rPr>
        <w:t>When examining this question it is important not to use the self-referential definiti</w:t>
      </w:r>
      <w:r w:rsidR="00195B9D" w:rsidRPr="005C39EC">
        <w:rPr>
          <w:rFonts w:cs="Arial"/>
        </w:rPr>
        <w:t xml:space="preserve">on of exclusive breastfeeding. </w:t>
      </w:r>
      <w:r w:rsidRPr="005C39EC">
        <w:rPr>
          <w:rFonts w:cs="Arial"/>
        </w:rPr>
        <w:t xml:space="preserve">Exclusive breastfeeding is defined by the WHO as </w:t>
      </w:r>
      <w:r w:rsidRPr="005C39EC">
        <w:rPr>
          <w:rFonts w:cs="Arial"/>
          <w:i/>
          <w:iCs/>
        </w:rPr>
        <w:t xml:space="preserve">no other food or drink, not even water, except breast milk (including milk expressed or from a wet nurse) </w:t>
      </w:r>
      <w:r w:rsidRPr="005C39EC">
        <w:rPr>
          <w:rFonts w:cs="Arial"/>
          <w:i/>
          <w:iCs/>
        </w:rPr>
        <w:fldChar w:fldCharType="begin"/>
      </w:r>
      <w:r w:rsidR="000E7587" w:rsidRPr="005C39EC">
        <w:rPr>
          <w:rFonts w:cs="Arial"/>
          <w:i/>
          <w:iCs/>
        </w:rPr>
        <w:instrText xml:space="preserve"> ADDIN REFMGR.CITE &lt;Refman&gt;&lt;Cite&gt;&lt;Author&gt;WHO&lt;/Author&gt;&lt;Year&gt;2014&lt;/Year&gt;&lt;RecNum&gt;143&lt;/RecNum&gt;&lt;IDText&gt;Data sources and inclusion criteria&lt;/IDText&gt;&lt;MDL Ref_Type="Online Source"&gt;&lt;Ref_Type&gt;Online Source&lt;/Ref_Type&gt;&lt;Ref_ID&gt;143&lt;/Ref_ID&gt;&lt;Title_Primary&gt;Data sources and inclusion criteria&lt;/Title_Primary&gt;&lt;Authors_Primary&gt;WHO&lt;/Authors_Primary&gt;&lt;Date_Primary&gt;2014&lt;/Date_Primary&gt;&lt;Reprint&gt;Not in File&lt;/Reprint&gt;&lt;Pub_Place&gt;Geneva&lt;/Pub_Place&gt;&lt;Publisher&gt;World Health Organisation&lt;/Publisher&gt;&lt;Date_Secondary&gt;2014/7/31&lt;/Date_Secondary&gt;&lt;Web_URL&gt;&lt;u&gt;http://www.who.int/nutrition/databases/infantfeeding/data_source_inclusion_criteria/en/index.html&lt;/u&gt;&lt;/Web_URL&gt;&lt;ZZ_WorkformID&gt;31&lt;/ZZ_WorkformID&gt;&lt;/MDL&gt;&lt;/Cite&gt;&lt;/Refman&gt;</w:instrText>
      </w:r>
      <w:r w:rsidRPr="005C39EC">
        <w:rPr>
          <w:rFonts w:cs="Arial"/>
          <w:i/>
          <w:iCs/>
        </w:rPr>
        <w:fldChar w:fldCharType="separate"/>
      </w:r>
      <w:r w:rsidR="00CA0A2C" w:rsidRPr="005C39EC">
        <w:rPr>
          <w:rFonts w:cs="Arial"/>
          <w:i/>
          <w:iCs/>
          <w:noProof/>
        </w:rPr>
        <w:t>(WHO 2014)</w:t>
      </w:r>
      <w:r w:rsidRPr="005C39EC">
        <w:rPr>
          <w:rFonts w:cs="Arial"/>
          <w:i/>
          <w:iCs/>
        </w:rPr>
        <w:fldChar w:fldCharType="end"/>
      </w:r>
      <w:r w:rsidRPr="005C39EC">
        <w:rPr>
          <w:rFonts w:cs="Arial"/>
        </w:rPr>
        <w:t>. Once solid foods are introduced, by definition, the period of excl</w:t>
      </w:r>
      <w:r w:rsidR="00195B9D" w:rsidRPr="005C39EC">
        <w:rPr>
          <w:rFonts w:cs="Arial"/>
        </w:rPr>
        <w:t xml:space="preserve">usive breastfeeding is ceased. </w:t>
      </w:r>
    </w:p>
    <w:p w14:paraId="35636721" w14:textId="2BCFD77F" w:rsidR="00AA1CC9" w:rsidRPr="005C39EC" w:rsidRDefault="00AA1CC9" w:rsidP="00BE7858">
      <w:pPr>
        <w:rPr>
          <w:rFonts w:cs="Arial"/>
        </w:rPr>
      </w:pPr>
      <w:r w:rsidRPr="005C39EC">
        <w:rPr>
          <w:rFonts w:cs="Arial"/>
        </w:rPr>
        <w:t>However this does not mean that risks associated with replacement of breast</w:t>
      </w:r>
      <w:r w:rsidR="00192A62" w:rsidRPr="005C39EC">
        <w:rPr>
          <w:rFonts w:cs="Arial"/>
        </w:rPr>
        <w:t xml:space="preserve"> </w:t>
      </w:r>
      <w:r w:rsidRPr="005C39EC">
        <w:rPr>
          <w:rFonts w:cs="Arial"/>
        </w:rPr>
        <w:t xml:space="preserve">milk with formula also apply to the addition of solids to </w:t>
      </w:r>
      <w:r w:rsidR="00657DD7" w:rsidRPr="005C39EC">
        <w:rPr>
          <w:rFonts w:cs="Arial"/>
        </w:rPr>
        <w:t xml:space="preserve">the diet for infants consuming </w:t>
      </w:r>
      <w:r w:rsidRPr="005C39EC">
        <w:rPr>
          <w:rFonts w:cs="Arial"/>
        </w:rPr>
        <w:t>breast</w:t>
      </w:r>
      <w:r w:rsidR="00192A62" w:rsidRPr="005C39EC">
        <w:rPr>
          <w:rFonts w:cs="Arial"/>
        </w:rPr>
        <w:t xml:space="preserve"> </w:t>
      </w:r>
      <w:r w:rsidRPr="005C39EC">
        <w:rPr>
          <w:rFonts w:cs="Arial"/>
        </w:rPr>
        <w:t>milk</w:t>
      </w:r>
      <w:r w:rsidR="00EC043F" w:rsidRPr="005C39EC">
        <w:rPr>
          <w:rFonts w:cs="Arial"/>
        </w:rPr>
        <w:t>. The</w:t>
      </w:r>
      <w:r w:rsidRPr="005C39EC">
        <w:rPr>
          <w:rFonts w:cs="Arial"/>
        </w:rPr>
        <w:t xml:space="preserve"> two reasons why exclusivity of breastfeeding might cease need to be assessed separately</w:t>
      </w:r>
      <w:r w:rsidR="00EC043F" w:rsidRPr="005C39EC">
        <w:rPr>
          <w:rFonts w:cs="Arial"/>
        </w:rPr>
        <w:t xml:space="preserve"> because they do not necessarily have the same risks</w:t>
      </w:r>
      <w:r w:rsidR="00657DD7" w:rsidRPr="005C39EC">
        <w:rPr>
          <w:rFonts w:cs="Arial"/>
        </w:rPr>
        <w:t xml:space="preserve">. </w:t>
      </w:r>
      <w:r w:rsidRPr="005C39EC">
        <w:rPr>
          <w:rFonts w:cs="Arial"/>
        </w:rPr>
        <w:t>For the current proposal, only cessation of exclusivity due to intro</w:t>
      </w:r>
      <w:r w:rsidR="00657DD7" w:rsidRPr="005C39EC">
        <w:rPr>
          <w:rFonts w:cs="Arial"/>
        </w:rPr>
        <w:t xml:space="preserve">duction of solids is relevant. </w:t>
      </w:r>
      <w:r w:rsidRPr="005C39EC">
        <w:rPr>
          <w:rFonts w:cs="Arial"/>
        </w:rPr>
        <w:t xml:space="preserve">This section examines whether introduction of solids is associated with cessation of any breastfeeding (i.e. switching to using formula) which would be an indirect effect of introduction of solids on health.  </w:t>
      </w:r>
    </w:p>
    <w:p w14:paraId="4178243F" w14:textId="77777777" w:rsidR="00AA1CC9" w:rsidRPr="005C39EC" w:rsidRDefault="00AA1CC9" w:rsidP="00BE7858">
      <w:pPr>
        <w:rPr>
          <w:rFonts w:cs="Arial"/>
        </w:rPr>
      </w:pPr>
    </w:p>
    <w:p w14:paraId="3913603A" w14:textId="77777777" w:rsidR="00A57240" w:rsidRPr="005C39EC" w:rsidRDefault="00A57240" w:rsidP="00BE7858">
      <w:pPr>
        <w:rPr>
          <w:rFonts w:cs="Arial"/>
        </w:rPr>
      </w:pPr>
      <w:r w:rsidRPr="005C39EC">
        <w:rPr>
          <w:rFonts w:cs="Arial"/>
        </w:rPr>
        <w:t xml:space="preserve">Data on infant feeding practices in Australia indicate that there is little association between the introduction of solid foods and continuation </w:t>
      </w:r>
      <w:r w:rsidR="00FA234F" w:rsidRPr="005C39EC">
        <w:rPr>
          <w:rFonts w:cs="Arial"/>
        </w:rPr>
        <w:t xml:space="preserve">of </w:t>
      </w:r>
      <w:r w:rsidRPr="005C39EC">
        <w:rPr>
          <w:rFonts w:cs="Arial"/>
        </w:rPr>
        <w:t xml:space="preserve">breastfeeding (Table 2). Between 4–6 months of age, the prevalence of any breastfeeding declines from 69% to 60% while the prevalence of feeding solids rises to over 90%. Similarly, before 4 months of age, the decline in </w:t>
      </w:r>
      <w:r w:rsidR="00FA234F" w:rsidRPr="005C39EC">
        <w:rPr>
          <w:rFonts w:cs="Arial"/>
        </w:rPr>
        <w:t xml:space="preserve">the </w:t>
      </w:r>
      <w:r w:rsidRPr="005C39EC">
        <w:rPr>
          <w:rFonts w:cs="Arial"/>
        </w:rPr>
        <w:t xml:space="preserve">prevalence of breastfeeding is double the prevalence of introducing solids. </w:t>
      </w:r>
      <w:r w:rsidR="00127B61" w:rsidRPr="005C39EC">
        <w:rPr>
          <w:rFonts w:cs="Arial"/>
        </w:rPr>
        <w:t xml:space="preserve">Similar data was not available from the New Zealand children’s health survey </w:t>
      </w:r>
      <w:r w:rsidR="00127B61" w:rsidRPr="005C39EC">
        <w:rPr>
          <w:rFonts w:cs="Arial"/>
        </w:rPr>
        <w:fldChar w:fldCharType="begin"/>
      </w:r>
      <w:r w:rsidR="000E7587" w:rsidRPr="005C39EC">
        <w:rPr>
          <w:rFonts w:cs="Arial"/>
        </w:rPr>
        <w:instrText xml:space="preserve"> ADDIN REFMGR.CITE &lt;Refman&gt;&lt;Cite&gt;&lt;Author&gt;Ministry of Health&lt;/Author&gt;&lt;Year&gt;2012&lt;/Year&gt;&lt;RecNum&gt;144&lt;/RecNum&gt;&lt;IDText&gt;The Health of New Zealand Children: Key findigns of the Nealand Health Survey 2011/12&lt;/IDText&gt;&lt;MDL Ref_Type="Report"&gt;&lt;Ref_Type&gt;Report&lt;/Ref_Type&gt;&lt;Ref_ID&gt;144&lt;/Ref_ID&gt;&lt;Title_Primary&gt;The Health of New Zealand Children: Key findigns of the Nealand Health Survey 2011/12&lt;/Title_Primary&gt;&lt;Authors_Primary&gt;Ministry of Health&lt;/Authors_Primary&gt;&lt;Date_Primary&gt;2012&lt;/Date_Primary&gt;&lt;Reprint&gt;Not in File&lt;/Reprint&gt;&lt;Pub_Place&gt;Wellington&lt;/Pub_Place&gt;&lt;Publisher&gt;Ministry of Health&lt;/Publisher&gt;&lt;ISSN_ISBN&gt;&lt;f name="Times New Roman"&gt;978-0-478-40217-9 (print), 978-0-478-40220-9 (online)&lt;/f&gt;&lt;/ISSN_ISBN&gt;&lt;Date_Secondary&gt;2014/7/31&lt;/Date_Secondary&gt;&lt;Web_URL&gt;&lt;u&gt;http://www.health.govt.nz/publication/health-new-zealand-children-2011-12&lt;/u&gt;&lt;/Web_URL&gt;&lt;ZZ_WorkformID&gt;24&lt;/ZZ_WorkformID&gt;&lt;/MDL&gt;&lt;/Cite&gt;&lt;/Refman&gt;</w:instrText>
      </w:r>
      <w:r w:rsidR="00127B61" w:rsidRPr="005C39EC">
        <w:rPr>
          <w:rFonts w:cs="Arial"/>
        </w:rPr>
        <w:fldChar w:fldCharType="separate"/>
      </w:r>
      <w:r w:rsidR="00127B61" w:rsidRPr="005C39EC">
        <w:rPr>
          <w:rFonts w:cs="Arial"/>
          <w:noProof/>
        </w:rPr>
        <w:t>(Ministry of Health 2012)</w:t>
      </w:r>
      <w:r w:rsidR="00127B61" w:rsidRPr="005C39EC">
        <w:rPr>
          <w:rFonts w:cs="Arial"/>
        </w:rPr>
        <w:fldChar w:fldCharType="end"/>
      </w:r>
      <w:r w:rsidR="00127B61" w:rsidRPr="005C39EC">
        <w:rPr>
          <w:rFonts w:cs="Arial"/>
        </w:rPr>
        <w:t xml:space="preserve">. </w:t>
      </w:r>
    </w:p>
    <w:p w14:paraId="375F54A8" w14:textId="2D1D87DA" w:rsidR="00492A5C" w:rsidRPr="005C39EC" w:rsidRDefault="006C1DF9" w:rsidP="00127C9E">
      <w:pPr>
        <w:pStyle w:val="Heading2"/>
      </w:pPr>
      <w:bookmarkStart w:id="28" w:name="_Toc399945837"/>
      <w:r w:rsidRPr="005C39EC">
        <w:t>4.4</w:t>
      </w:r>
      <w:r w:rsidRPr="005C39EC">
        <w:tab/>
      </w:r>
      <w:r w:rsidR="00492A5C" w:rsidRPr="005C39EC">
        <w:t>Summary</w:t>
      </w:r>
      <w:bookmarkEnd w:id="28"/>
    </w:p>
    <w:p w14:paraId="5F3F84B9" w14:textId="13710000" w:rsidR="005D08C5" w:rsidRPr="005C39EC" w:rsidRDefault="005D08C5" w:rsidP="00BE7858">
      <w:pPr>
        <w:pStyle w:val="heading"/>
        <w:tabs>
          <w:tab w:val="clear" w:pos="840"/>
        </w:tabs>
        <w:spacing w:after="240"/>
        <w:jc w:val="left"/>
        <w:rPr>
          <w:rFonts w:ascii="Arial" w:hAnsi="Arial" w:cs="Arial"/>
          <w:b w:val="0"/>
          <w:bCs/>
          <w:caps w:val="0"/>
          <w:sz w:val="22"/>
          <w:szCs w:val="22"/>
        </w:rPr>
      </w:pPr>
      <w:r w:rsidRPr="005C39EC">
        <w:rPr>
          <w:rFonts w:ascii="Arial" w:hAnsi="Arial" w:cs="Arial"/>
          <w:b w:val="0"/>
          <w:bCs/>
          <w:caps w:val="0"/>
          <w:sz w:val="22"/>
          <w:szCs w:val="22"/>
        </w:rPr>
        <w:t>In both countries, 10% or fewer infants are introduced to sol</w:t>
      </w:r>
      <w:r w:rsidR="00657DD7" w:rsidRPr="005C39EC">
        <w:rPr>
          <w:rFonts w:ascii="Arial" w:hAnsi="Arial" w:cs="Arial"/>
          <w:b w:val="0"/>
          <w:bCs/>
          <w:caps w:val="0"/>
          <w:sz w:val="22"/>
          <w:szCs w:val="22"/>
        </w:rPr>
        <w:t xml:space="preserve">ids before four months of age. </w:t>
      </w:r>
      <w:r w:rsidRPr="005C39EC">
        <w:rPr>
          <w:rFonts w:ascii="Arial" w:hAnsi="Arial" w:cs="Arial"/>
          <w:b w:val="0"/>
          <w:bCs/>
          <w:caps w:val="0"/>
          <w:sz w:val="22"/>
          <w:szCs w:val="22"/>
        </w:rPr>
        <w:t xml:space="preserve">This proportion appears to have declined compared to earlier surveys.  The proportion </w:t>
      </w:r>
      <w:r w:rsidR="00195B9D" w:rsidRPr="005C39EC">
        <w:rPr>
          <w:rFonts w:ascii="Arial" w:hAnsi="Arial" w:cs="Arial"/>
          <w:b w:val="0"/>
          <w:bCs/>
          <w:caps w:val="0"/>
          <w:sz w:val="22"/>
          <w:szCs w:val="22"/>
        </w:rPr>
        <w:t>was</w:t>
      </w:r>
      <w:r w:rsidRPr="005C39EC">
        <w:rPr>
          <w:rFonts w:ascii="Arial" w:hAnsi="Arial" w:cs="Arial"/>
          <w:b w:val="0"/>
          <w:bCs/>
          <w:caps w:val="0"/>
          <w:sz w:val="22"/>
          <w:szCs w:val="22"/>
        </w:rPr>
        <w:t xml:space="preserve"> higher in Maori in New Zealand (16%) and in lower socio-economic groups in Australia (23%)</w:t>
      </w:r>
      <w:r w:rsidR="004B57DB" w:rsidRPr="005C39EC">
        <w:rPr>
          <w:rFonts w:ascii="Arial" w:hAnsi="Arial" w:cs="Arial"/>
          <w:b w:val="0"/>
          <w:bCs/>
          <w:caps w:val="0"/>
          <w:sz w:val="22"/>
          <w:szCs w:val="22"/>
        </w:rPr>
        <w:t xml:space="preserve"> or </w:t>
      </w:r>
      <w:r w:rsidR="00657DD7" w:rsidRPr="005C39EC">
        <w:rPr>
          <w:rFonts w:ascii="Arial" w:hAnsi="Arial" w:cs="Arial"/>
          <w:b w:val="0"/>
          <w:bCs/>
          <w:caps w:val="0"/>
          <w:sz w:val="22"/>
          <w:szCs w:val="22"/>
        </w:rPr>
        <w:t xml:space="preserve">for </w:t>
      </w:r>
      <w:r w:rsidR="004B57DB" w:rsidRPr="005C39EC">
        <w:rPr>
          <w:rFonts w:ascii="Arial" w:hAnsi="Arial" w:cs="Arial"/>
          <w:b w:val="0"/>
          <w:bCs/>
          <w:caps w:val="0"/>
          <w:sz w:val="22"/>
          <w:szCs w:val="22"/>
        </w:rPr>
        <w:t>mothers aged less than 25 years</w:t>
      </w:r>
      <w:r w:rsidR="00195B9D" w:rsidRPr="005C39EC">
        <w:rPr>
          <w:rFonts w:ascii="Arial" w:hAnsi="Arial" w:cs="Arial"/>
          <w:b w:val="0"/>
          <w:bCs/>
          <w:caps w:val="0"/>
          <w:sz w:val="22"/>
          <w:szCs w:val="22"/>
        </w:rPr>
        <w:t>.</w:t>
      </w:r>
      <w:r w:rsidRPr="005C39EC">
        <w:rPr>
          <w:rFonts w:ascii="Arial" w:hAnsi="Arial" w:cs="Arial"/>
          <w:b w:val="0"/>
          <w:bCs/>
          <w:caps w:val="0"/>
          <w:sz w:val="22"/>
          <w:szCs w:val="22"/>
        </w:rPr>
        <w:t xml:space="preserve"> Adjusting the Australian data for lower response rates in the latter group does not alter the na</w:t>
      </w:r>
      <w:r w:rsidR="00657DD7" w:rsidRPr="005C39EC">
        <w:rPr>
          <w:rFonts w:ascii="Arial" w:hAnsi="Arial" w:cs="Arial"/>
          <w:b w:val="0"/>
          <w:bCs/>
          <w:caps w:val="0"/>
          <w:sz w:val="22"/>
          <w:szCs w:val="22"/>
        </w:rPr>
        <w:t xml:space="preserve">tional prevalence. </w:t>
      </w:r>
      <w:r w:rsidRPr="005C39EC">
        <w:rPr>
          <w:rFonts w:ascii="Arial" w:hAnsi="Arial" w:cs="Arial"/>
          <w:b w:val="0"/>
          <w:bCs/>
          <w:caps w:val="0"/>
          <w:sz w:val="22"/>
          <w:szCs w:val="22"/>
        </w:rPr>
        <w:t xml:space="preserve">There is little association between the introduction of solids and cessation </w:t>
      </w:r>
      <w:r w:rsidR="00657DD7" w:rsidRPr="005C39EC">
        <w:rPr>
          <w:rFonts w:ascii="Arial" w:hAnsi="Arial" w:cs="Arial"/>
          <w:b w:val="0"/>
          <w:bCs/>
          <w:caps w:val="0"/>
          <w:sz w:val="22"/>
          <w:szCs w:val="22"/>
        </w:rPr>
        <w:t>of breastfeeding in Australia.</w:t>
      </w:r>
    </w:p>
    <w:p w14:paraId="22D3A94A" w14:textId="38263363" w:rsidR="0014171C" w:rsidRPr="005C39EC" w:rsidRDefault="0014171C" w:rsidP="00BE7858">
      <w:pPr>
        <w:pStyle w:val="Heading1"/>
        <w:rPr>
          <w:rFonts w:cs="Arial"/>
        </w:rPr>
      </w:pPr>
      <w:bookmarkStart w:id="29" w:name="_Toc399945838"/>
      <w:r w:rsidRPr="005C39EC">
        <w:rPr>
          <w:rFonts w:cs="Arial"/>
        </w:rPr>
        <w:t>Conclusions</w:t>
      </w:r>
      <w:bookmarkEnd w:id="29"/>
    </w:p>
    <w:p w14:paraId="2D124DEE" w14:textId="5063A69F" w:rsidR="0014171C" w:rsidRPr="005C39EC" w:rsidRDefault="0014171C" w:rsidP="00BE7858">
      <w:pPr>
        <w:rPr>
          <w:rFonts w:cs="Arial"/>
        </w:rPr>
      </w:pPr>
      <w:r w:rsidRPr="005C39EC">
        <w:rPr>
          <w:rFonts w:cs="Arial"/>
        </w:rPr>
        <w:t xml:space="preserve">Australian and New Zealand authorities </w:t>
      </w:r>
      <w:r w:rsidRPr="005C39EC">
        <w:rPr>
          <w:rFonts w:cs="Arial"/>
          <w:noProof/>
        </w:rPr>
        <w:t>(New Zealand Ministry of Health 2008; NHMRC 201</w:t>
      </w:r>
      <w:r w:rsidR="00360FBD">
        <w:rPr>
          <w:rFonts w:cs="Arial"/>
          <w:noProof/>
        </w:rPr>
        <w:t>2</w:t>
      </w:r>
      <w:r w:rsidRPr="005C39EC">
        <w:rPr>
          <w:rFonts w:cs="Arial"/>
          <w:noProof/>
        </w:rPr>
        <w:t>a)</w:t>
      </w:r>
      <w:r w:rsidRPr="005C39EC">
        <w:rPr>
          <w:rFonts w:cs="Arial"/>
        </w:rPr>
        <w:t xml:space="preserve"> recommend introduction of solid foods to the infant diet at ‘around 6 months’ of age, largely based on assessment of the benefits of breastfeeding to this age. </w:t>
      </w:r>
    </w:p>
    <w:p w14:paraId="32447954" w14:textId="77777777" w:rsidR="0014171C" w:rsidRPr="005C39EC" w:rsidRDefault="0014171C" w:rsidP="00BE7858">
      <w:pPr>
        <w:rPr>
          <w:rFonts w:cs="Arial"/>
        </w:rPr>
      </w:pPr>
    </w:p>
    <w:p w14:paraId="1864743D" w14:textId="77777777" w:rsidR="00071A24" w:rsidRPr="005C39EC" w:rsidRDefault="0014171C" w:rsidP="00BE7858">
      <w:pPr>
        <w:rPr>
          <w:rFonts w:cs="Arial"/>
        </w:rPr>
      </w:pPr>
      <w:r w:rsidRPr="005C39EC">
        <w:rPr>
          <w:rFonts w:cs="Arial"/>
        </w:rPr>
        <w:t>A FSANZ review in 2008 found that</w:t>
      </w:r>
      <w:r w:rsidR="00E7481C" w:rsidRPr="005C39EC">
        <w:rPr>
          <w:rFonts w:cs="Arial"/>
        </w:rPr>
        <w:t xml:space="preserve"> there are unlikely to be differences in the nutritional and developmental outcomes for infants that receive solids at an early (close to four months) versus a late (close to six months) age. This is consistent with the </w:t>
      </w:r>
      <w:r w:rsidR="008D2576" w:rsidRPr="005C39EC">
        <w:rPr>
          <w:rFonts w:cs="Arial"/>
        </w:rPr>
        <w:t>updated</w:t>
      </w:r>
      <w:r w:rsidR="00E7481C" w:rsidRPr="005C39EC">
        <w:rPr>
          <w:rFonts w:cs="Arial"/>
        </w:rPr>
        <w:t xml:space="preserve"> assessment </w:t>
      </w:r>
    </w:p>
    <w:p w14:paraId="02DE7329" w14:textId="325BE328" w:rsidR="002D3921" w:rsidRPr="005C39EC" w:rsidRDefault="00071A24" w:rsidP="00BE7858">
      <w:pPr>
        <w:rPr>
          <w:rFonts w:cs="Arial"/>
        </w:rPr>
      </w:pPr>
      <w:proofErr w:type="gramStart"/>
      <w:r w:rsidRPr="005C39EC">
        <w:rPr>
          <w:rFonts w:cs="Arial"/>
        </w:rPr>
        <w:t>that</w:t>
      </w:r>
      <w:proofErr w:type="gramEnd"/>
      <w:r w:rsidRPr="005C39EC">
        <w:rPr>
          <w:rFonts w:cs="Arial"/>
        </w:rPr>
        <w:t xml:space="preserve"> there are no health effects that are clearly linked with adverse outcomes if solid food </w:t>
      </w:r>
      <w:r w:rsidRPr="005C39EC">
        <w:rPr>
          <w:rFonts w:cs="Arial"/>
          <w:bCs/>
        </w:rPr>
        <w:t xml:space="preserve">is introduced from 4 months compared to delaying until ‘around 6 months’ of age, </w:t>
      </w:r>
      <w:r w:rsidR="0014171C" w:rsidRPr="005C39EC">
        <w:rPr>
          <w:rFonts w:cs="Arial"/>
        </w:rPr>
        <w:t>across a range of health outcomes including infectious morbidity, growth and micronutrient intake.</w:t>
      </w:r>
      <w:r w:rsidR="002D3921" w:rsidRPr="005C39EC">
        <w:rPr>
          <w:rFonts w:cs="Arial"/>
        </w:rPr>
        <w:t xml:space="preserve"> </w:t>
      </w:r>
    </w:p>
    <w:p w14:paraId="06FBDB21" w14:textId="77777777" w:rsidR="00E7481C" w:rsidRPr="005C39EC" w:rsidRDefault="00E7481C" w:rsidP="00BE7858">
      <w:pPr>
        <w:rPr>
          <w:rFonts w:cs="Arial"/>
        </w:rPr>
      </w:pPr>
    </w:p>
    <w:p w14:paraId="07123B5C" w14:textId="77777777" w:rsidR="008D2576" w:rsidRPr="005C39EC" w:rsidRDefault="0014171C" w:rsidP="00BE7858">
      <w:pPr>
        <w:rPr>
          <w:rFonts w:cs="Arial"/>
        </w:rPr>
      </w:pPr>
      <w:r w:rsidRPr="005C39EC">
        <w:rPr>
          <w:rFonts w:cs="Arial"/>
        </w:rPr>
        <w:t>The evidence in relation to age of introduction of solids and subsequent development of allergic disease is uncertain but, based on current evidence, there does not appear to be any difference in risk of allergic disease when solids are introduced at any time within a critical window of 4</w:t>
      </w:r>
      <w:r w:rsidR="00A847F1" w:rsidRPr="005C39EC">
        <w:rPr>
          <w:rFonts w:cs="Arial"/>
        </w:rPr>
        <w:t>–</w:t>
      </w:r>
      <w:r w:rsidRPr="005C39EC">
        <w:rPr>
          <w:rFonts w:cs="Arial"/>
        </w:rPr>
        <w:t>&lt;7 months of age. There is some evidence that introduction before 4 months of age, and possibly after 7 months of age, is associated with increased allergy risk. Ongoing research in this area may help to clarify this relationship, when the research becomes available.</w:t>
      </w:r>
    </w:p>
    <w:p w14:paraId="0F67F418" w14:textId="77777777" w:rsidR="00905C60" w:rsidRPr="005C39EC" w:rsidRDefault="00905C60" w:rsidP="00BE7858">
      <w:pPr>
        <w:rPr>
          <w:rFonts w:cs="Arial"/>
        </w:rPr>
        <w:sectPr w:rsidR="00905C60" w:rsidRPr="005C39EC" w:rsidSect="002C4642">
          <w:pgSz w:w="11906" w:h="16838"/>
          <w:pgMar w:top="1440" w:right="1440" w:bottom="1440" w:left="1440" w:header="709" w:footer="709" w:gutter="0"/>
          <w:cols w:space="708"/>
          <w:docGrid w:linePitch="360"/>
        </w:sectPr>
      </w:pPr>
    </w:p>
    <w:p w14:paraId="34070C94" w14:textId="77777777" w:rsidR="0014171C" w:rsidRPr="005C39EC" w:rsidRDefault="001A64EF" w:rsidP="00BE7858">
      <w:pPr>
        <w:pStyle w:val="Heading1"/>
        <w:numPr>
          <w:ilvl w:val="0"/>
          <w:numId w:val="0"/>
        </w:numPr>
        <w:rPr>
          <w:rFonts w:cs="Arial"/>
          <w:lang w:eastAsia="en-AU"/>
        </w:rPr>
      </w:pPr>
      <w:bookmarkStart w:id="30" w:name="_Toc399945839"/>
      <w:r w:rsidRPr="005C39EC">
        <w:rPr>
          <w:rFonts w:cs="Arial"/>
          <w:lang w:eastAsia="en-AU"/>
        </w:rPr>
        <w:lastRenderedPageBreak/>
        <w:t>Attachment</w:t>
      </w:r>
      <w:r w:rsidR="0014171C" w:rsidRPr="005C39EC">
        <w:rPr>
          <w:rFonts w:cs="Arial"/>
          <w:lang w:eastAsia="en-AU"/>
        </w:rPr>
        <w:t xml:space="preserve"> 1</w:t>
      </w:r>
      <w:r w:rsidR="00CC5F30" w:rsidRPr="005C39EC">
        <w:rPr>
          <w:rFonts w:cs="Arial"/>
          <w:lang w:eastAsia="en-AU"/>
        </w:rPr>
        <w:t>:</w:t>
      </w:r>
      <w:r w:rsidR="0051542F" w:rsidRPr="005C39EC">
        <w:rPr>
          <w:rFonts w:cs="Arial"/>
          <w:lang w:eastAsia="en-AU"/>
        </w:rPr>
        <w:t xml:space="preserve"> </w:t>
      </w:r>
      <w:r w:rsidR="0014171C" w:rsidRPr="005C39EC">
        <w:rPr>
          <w:rFonts w:cs="Arial"/>
          <w:lang w:eastAsia="en-AU"/>
        </w:rPr>
        <w:t>Health effects associated with age of complementary feeding</w:t>
      </w:r>
      <w:bookmarkEnd w:id="30"/>
      <w:r w:rsidR="0014171C" w:rsidRPr="005C39EC">
        <w:rPr>
          <w:rFonts w:cs="Arial"/>
          <w:lang w:eastAsia="en-AU"/>
        </w:rPr>
        <w:t xml:space="preserve"> </w:t>
      </w:r>
    </w:p>
    <w:p w14:paraId="0D7A6ACD" w14:textId="77777777" w:rsidR="0014171C" w:rsidRPr="005C39EC" w:rsidRDefault="0014171C" w:rsidP="00BE7858">
      <w:pPr>
        <w:pStyle w:val="FSTableTitle"/>
        <w:rPr>
          <w:b w:val="0"/>
          <w:lang w:eastAsia="en-AU"/>
        </w:rPr>
      </w:pPr>
      <w:r w:rsidRPr="005C39EC">
        <w:rPr>
          <w:lang w:eastAsia="en-AU"/>
        </w:rPr>
        <w:t>Table</w:t>
      </w:r>
      <w:r w:rsidR="00E35E51" w:rsidRPr="005C39EC">
        <w:rPr>
          <w:lang w:eastAsia="en-AU"/>
        </w:rPr>
        <w:t xml:space="preserve"> A1. </w:t>
      </w:r>
      <w:r w:rsidR="00E35E51" w:rsidRPr="005C39EC">
        <w:rPr>
          <w:b w:val="0"/>
          <w:lang w:eastAsia="en-AU"/>
        </w:rPr>
        <w:tab/>
      </w:r>
      <w:proofErr w:type="gramStart"/>
      <w:r w:rsidR="00E35E51" w:rsidRPr="005C39EC">
        <w:rPr>
          <w:b w:val="0"/>
          <w:lang w:eastAsia="en-AU"/>
        </w:rPr>
        <w:t xml:space="preserve">Summary of the </w:t>
      </w:r>
      <w:r w:rsidRPr="005C39EC">
        <w:rPr>
          <w:b w:val="0"/>
          <w:lang w:eastAsia="en-AU"/>
        </w:rPr>
        <w:t>key findings and conclusion</w:t>
      </w:r>
      <w:r w:rsidR="00E35E51" w:rsidRPr="005C39EC">
        <w:rPr>
          <w:b w:val="0"/>
          <w:lang w:eastAsia="en-AU"/>
        </w:rPr>
        <w:t>s</w:t>
      </w:r>
      <w:r w:rsidRPr="005C39EC">
        <w:rPr>
          <w:b w:val="0"/>
          <w:lang w:eastAsia="en-AU"/>
        </w:rPr>
        <w:t xml:space="preserve"> from three recent reviews on the timing of solid food introduction to infants and risk of adverse health outcomes.</w:t>
      </w:r>
      <w:proofErr w:type="gramEnd"/>
      <w:r w:rsidRPr="005C39EC">
        <w:rPr>
          <w:b w:val="0"/>
          <w:lang w:eastAsia="en-AU"/>
        </w:rPr>
        <w:t xml:space="preserve"> BF = breast feeding; EBF = exclusive breastfeeding; FF = </w:t>
      </w:r>
      <w:r w:rsidR="0070346D" w:rsidRPr="005C39EC">
        <w:rPr>
          <w:b w:val="0"/>
          <w:lang w:eastAsia="en-AU"/>
        </w:rPr>
        <w:t>formula-feeding</w:t>
      </w:r>
      <w:r w:rsidRPr="005C39EC">
        <w:rPr>
          <w:b w:val="0"/>
          <w:lang w:eastAsia="en-AU"/>
        </w:rPr>
        <w:t>; CF = complementary feeding</w:t>
      </w:r>
      <w:r w:rsidR="00E35E51" w:rsidRPr="005C39EC">
        <w:rPr>
          <w:b w:val="0"/>
          <w:lang w:eastAsia="en-AU"/>
        </w:rPr>
        <w:t>.</w:t>
      </w:r>
    </w:p>
    <w:p w14:paraId="2C5FF691" w14:textId="77777777" w:rsidR="0014171C" w:rsidRPr="005C39EC" w:rsidRDefault="0014171C" w:rsidP="00BE7858">
      <w:pPr>
        <w:rPr>
          <w:rFonts w:cs="Arial"/>
          <w:sz w:val="20"/>
          <w:szCs w:val="20"/>
          <w:lang w:eastAsia="en-AU"/>
        </w:rPr>
      </w:pPr>
    </w:p>
    <w:tbl>
      <w:tblPr>
        <w:tblStyle w:val="TableElegant1"/>
        <w:tblW w:w="0" w:type="auto"/>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526"/>
        <w:gridCol w:w="3162"/>
        <w:gridCol w:w="3162"/>
        <w:gridCol w:w="3162"/>
        <w:gridCol w:w="3162"/>
      </w:tblGrid>
      <w:tr w:rsidR="0014171C" w:rsidRPr="005C39EC" w14:paraId="50C15918" w14:textId="77777777" w:rsidTr="00771B0E">
        <w:trPr>
          <w:cnfStyle w:val="100000000000" w:firstRow="1" w:lastRow="0" w:firstColumn="0" w:lastColumn="0" w:oddVBand="0" w:evenVBand="0" w:oddHBand="0" w:evenHBand="0" w:firstRowFirstColumn="0" w:firstRowLastColumn="0" w:lastRowFirstColumn="0" w:lastRowLastColumn="0"/>
          <w:trHeight w:val="400"/>
          <w:tblHeader/>
        </w:trPr>
        <w:tc>
          <w:tcPr>
            <w:tcW w:w="14174" w:type="dxa"/>
            <w:gridSpan w:val="5"/>
            <w:shd w:val="clear" w:color="auto" w:fill="000000" w:themeFill="text1"/>
            <w:vAlign w:val="center"/>
          </w:tcPr>
          <w:p w14:paraId="7882E613" w14:textId="77777777" w:rsidR="0014171C" w:rsidRPr="005C39EC" w:rsidRDefault="0014171C" w:rsidP="00BE7858">
            <w:pPr>
              <w:widowControl/>
              <w:ind w:left="1735" w:hanging="1701"/>
              <w:jc w:val="center"/>
              <w:rPr>
                <w:rFonts w:ascii="Arial" w:hAnsi="Arial" w:cs="Arial"/>
                <w:b/>
                <w:lang w:eastAsia="en-AU"/>
              </w:rPr>
            </w:pPr>
            <w:r w:rsidRPr="005C39EC">
              <w:rPr>
                <w:rFonts w:ascii="Arial" w:hAnsi="Arial" w:cs="Arial"/>
                <w:b/>
                <w:color w:val="FFFFFF"/>
                <w:lang w:eastAsia="en-AU"/>
              </w:rPr>
              <w:t xml:space="preserve">KEY FINDINGS: evidence that solid food introduction at ‘around 6 months’ </w:t>
            </w:r>
            <w:r w:rsidR="00CA022F" w:rsidRPr="005C39EC">
              <w:rPr>
                <w:rFonts w:ascii="Arial" w:hAnsi="Arial" w:cs="Arial"/>
                <w:b/>
                <w:color w:val="FFFFFF"/>
                <w:lang w:eastAsia="en-AU"/>
              </w:rPr>
              <w:t xml:space="preserve">May </w:t>
            </w:r>
            <w:r w:rsidRPr="005C39EC">
              <w:rPr>
                <w:rFonts w:ascii="Arial" w:hAnsi="Arial" w:cs="Arial"/>
                <w:b/>
                <w:color w:val="FFFFFF"/>
                <w:lang w:eastAsia="en-AU"/>
              </w:rPr>
              <w:t xml:space="preserve">contribute to adverse </w:t>
            </w:r>
            <w:r w:rsidR="00FB379F" w:rsidRPr="005C39EC">
              <w:rPr>
                <w:rFonts w:ascii="Arial" w:hAnsi="Arial" w:cs="Arial"/>
                <w:b/>
                <w:color w:val="FFFFFF"/>
                <w:lang w:eastAsia="en-AU"/>
              </w:rPr>
              <w:t>HEALTH</w:t>
            </w:r>
            <w:r w:rsidRPr="005C39EC">
              <w:rPr>
                <w:rFonts w:ascii="Arial" w:hAnsi="Arial" w:cs="Arial"/>
                <w:b/>
                <w:color w:val="FFFFFF"/>
                <w:lang w:eastAsia="en-AU"/>
              </w:rPr>
              <w:t xml:space="preserve"> outcomes</w:t>
            </w:r>
          </w:p>
        </w:tc>
      </w:tr>
      <w:tr w:rsidR="0014171C" w:rsidRPr="005C39EC" w14:paraId="4DA116E4" w14:textId="77777777" w:rsidTr="00771B0E">
        <w:trPr>
          <w:cnfStyle w:val="100000000000" w:firstRow="1" w:lastRow="0" w:firstColumn="0" w:lastColumn="0" w:oddVBand="0" w:evenVBand="0" w:oddHBand="0" w:evenHBand="0" w:firstRowFirstColumn="0" w:firstRowLastColumn="0" w:lastRowFirstColumn="0" w:lastRowLastColumn="0"/>
          <w:trHeight w:val="309"/>
          <w:tblHeader/>
        </w:trPr>
        <w:tc>
          <w:tcPr>
            <w:tcW w:w="1526" w:type="dxa"/>
          </w:tcPr>
          <w:p w14:paraId="2483C0AB" w14:textId="77777777" w:rsidR="0014171C" w:rsidRPr="005C39EC" w:rsidRDefault="0014171C" w:rsidP="00BE7858">
            <w:pPr>
              <w:widowControl/>
              <w:jc w:val="center"/>
              <w:rPr>
                <w:rFonts w:ascii="Arial" w:hAnsi="Arial" w:cs="Arial"/>
                <w:lang w:eastAsia="en-AU"/>
              </w:rPr>
            </w:pPr>
          </w:p>
        </w:tc>
        <w:tc>
          <w:tcPr>
            <w:tcW w:w="3162" w:type="dxa"/>
            <w:vAlign w:val="center"/>
          </w:tcPr>
          <w:p w14:paraId="6D831684" w14:textId="77777777" w:rsidR="0014171C" w:rsidRPr="005C39EC" w:rsidRDefault="0014171C" w:rsidP="00BE7858">
            <w:pPr>
              <w:widowControl/>
              <w:jc w:val="center"/>
              <w:rPr>
                <w:rFonts w:ascii="Arial" w:hAnsi="Arial" w:cs="Arial"/>
                <w:b/>
                <w:lang w:eastAsia="en-AU"/>
              </w:rPr>
            </w:pPr>
            <w:r w:rsidRPr="005C39EC">
              <w:rPr>
                <w:rFonts w:ascii="Arial" w:hAnsi="Arial" w:cs="Arial"/>
                <w:b/>
                <w:lang w:eastAsia="en-AU"/>
              </w:rPr>
              <w:t>ESPGHAN</w:t>
            </w:r>
            <w:r w:rsidRPr="005C39EC">
              <w:rPr>
                <w:rFonts w:ascii="Arial" w:hAnsi="Arial" w:cs="Arial"/>
                <w:b/>
                <w:vertAlign w:val="superscript"/>
                <w:lang w:eastAsia="en-AU"/>
              </w:rPr>
              <w:t>1</w:t>
            </w:r>
          </w:p>
        </w:tc>
        <w:tc>
          <w:tcPr>
            <w:tcW w:w="3162" w:type="dxa"/>
            <w:vAlign w:val="center"/>
          </w:tcPr>
          <w:p w14:paraId="5903C135" w14:textId="77777777" w:rsidR="0014171C" w:rsidRPr="005C39EC" w:rsidRDefault="0014171C" w:rsidP="00BE7858">
            <w:pPr>
              <w:widowControl/>
              <w:jc w:val="center"/>
              <w:rPr>
                <w:rFonts w:ascii="Arial" w:hAnsi="Arial" w:cs="Arial"/>
                <w:b/>
                <w:lang w:eastAsia="en-AU"/>
              </w:rPr>
            </w:pPr>
            <w:r w:rsidRPr="005C39EC">
              <w:rPr>
                <w:rFonts w:ascii="Arial" w:hAnsi="Arial" w:cs="Arial"/>
                <w:b/>
                <w:lang w:eastAsia="en-AU"/>
              </w:rPr>
              <w:t>EFSA (2009)</w:t>
            </w:r>
            <w:r w:rsidRPr="005C39EC">
              <w:rPr>
                <w:rFonts w:ascii="Arial" w:hAnsi="Arial" w:cs="Arial"/>
                <w:b/>
                <w:vertAlign w:val="superscript"/>
                <w:lang w:eastAsia="en-AU"/>
              </w:rPr>
              <w:t>1</w:t>
            </w:r>
          </w:p>
        </w:tc>
        <w:tc>
          <w:tcPr>
            <w:tcW w:w="3162" w:type="dxa"/>
            <w:vAlign w:val="center"/>
          </w:tcPr>
          <w:p w14:paraId="001806D1" w14:textId="77777777" w:rsidR="0014171C" w:rsidRPr="005C39EC" w:rsidRDefault="0014171C" w:rsidP="00BE7858">
            <w:pPr>
              <w:widowControl/>
              <w:jc w:val="center"/>
              <w:rPr>
                <w:rFonts w:ascii="Arial" w:hAnsi="Arial" w:cs="Arial"/>
                <w:b/>
                <w:lang w:eastAsia="en-AU"/>
              </w:rPr>
            </w:pPr>
            <w:r w:rsidRPr="005C39EC">
              <w:rPr>
                <w:rFonts w:ascii="Arial" w:hAnsi="Arial" w:cs="Arial"/>
                <w:b/>
                <w:lang w:eastAsia="en-AU"/>
              </w:rPr>
              <w:t>Hornell et al (2013)</w:t>
            </w:r>
            <w:r w:rsidRPr="005C39EC">
              <w:rPr>
                <w:rFonts w:ascii="Arial" w:hAnsi="Arial" w:cs="Arial"/>
                <w:b/>
                <w:vertAlign w:val="superscript"/>
                <w:lang w:eastAsia="en-AU"/>
              </w:rPr>
              <w:t>2</w:t>
            </w:r>
          </w:p>
        </w:tc>
        <w:tc>
          <w:tcPr>
            <w:tcW w:w="3162" w:type="dxa"/>
            <w:vAlign w:val="center"/>
          </w:tcPr>
          <w:p w14:paraId="34CA3D5E" w14:textId="77777777" w:rsidR="0014171C" w:rsidRPr="005C39EC" w:rsidRDefault="0014171C" w:rsidP="00BE7858">
            <w:pPr>
              <w:widowControl/>
              <w:jc w:val="center"/>
              <w:rPr>
                <w:rFonts w:ascii="Arial" w:hAnsi="Arial" w:cs="Arial"/>
                <w:b/>
                <w:lang w:eastAsia="en-AU"/>
              </w:rPr>
            </w:pPr>
            <w:r w:rsidRPr="005C39EC">
              <w:rPr>
                <w:rFonts w:ascii="Arial" w:hAnsi="Arial" w:cs="Arial"/>
                <w:b/>
                <w:lang w:eastAsia="en-AU"/>
              </w:rPr>
              <w:t>Conclusion based on combined findings of these reviews</w:t>
            </w:r>
          </w:p>
        </w:tc>
      </w:tr>
      <w:tr w:rsidR="0014171C" w:rsidRPr="005C39EC" w14:paraId="3EBB959A" w14:textId="77777777" w:rsidTr="002609FD">
        <w:trPr>
          <w:trHeight w:val="297"/>
        </w:trPr>
        <w:tc>
          <w:tcPr>
            <w:tcW w:w="1526" w:type="dxa"/>
          </w:tcPr>
          <w:p w14:paraId="37F804D7"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t>Review Type</w:t>
            </w:r>
          </w:p>
        </w:tc>
        <w:tc>
          <w:tcPr>
            <w:tcW w:w="3162" w:type="dxa"/>
          </w:tcPr>
          <w:p w14:paraId="40DE880B" w14:textId="77777777" w:rsidR="0014171C" w:rsidRPr="005C39EC" w:rsidRDefault="0014171C" w:rsidP="00BE7858">
            <w:pPr>
              <w:widowControl/>
              <w:rPr>
                <w:rFonts w:ascii="Arial" w:hAnsi="Arial" w:cs="Arial"/>
                <w:lang w:eastAsia="en-AU"/>
              </w:rPr>
            </w:pPr>
            <w:r w:rsidRPr="005C39EC">
              <w:rPr>
                <w:rFonts w:ascii="Arial" w:hAnsi="Arial" w:cs="Arial"/>
                <w:lang w:eastAsia="en-AU"/>
              </w:rPr>
              <w:t xml:space="preserve">Medical Position </w:t>
            </w:r>
          </w:p>
        </w:tc>
        <w:tc>
          <w:tcPr>
            <w:tcW w:w="3162" w:type="dxa"/>
          </w:tcPr>
          <w:p w14:paraId="3415E2F7" w14:textId="77777777" w:rsidR="0014171C" w:rsidRPr="005C39EC" w:rsidRDefault="0014171C" w:rsidP="00BE7858">
            <w:pPr>
              <w:widowControl/>
              <w:rPr>
                <w:rFonts w:ascii="Arial" w:hAnsi="Arial" w:cs="Arial"/>
                <w:lang w:eastAsia="en-AU"/>
              </w:rPr>
            </w:pPr>
            <w:r w:rsidRPr="005C39EC">
              <w:rPr>
                <w:rFonts w:ascii="Arial" w:hAnsi="Arial" w:cs="Arial"/>
                <w:lang w:eastAsia="en-AU"/>
              </w:rPr>
              <w:t>Scientific Opinion</w:t>
            </w:r>
          </w:p>
        </w:tc>
        <w:tc>
          <w:tcPr>
            <w:tcW w:w="3162" w:type="dxa"/>
          </w:tcPr>
          <w:p w14:paraId="46B0F6D2" w14:textId="77777777" w:rsidR="0014171C" w:rsidRPr="005C39EC" w:rsidRDefault="0014171C" w:rsidP="00BE7858">
            <w:pPr>
              <w:widowControl/>
              <w:rPr>
                <w:rFonts w:ascii="Arial" w:hAnsi="Arial" w:cs="Arial"/>
                <w:lang w:eastAsia="en-AU"/>
              </w:rPr>
            </w:pPr>
            <w:r w:rsidRPr="005C39EC">
              <w:rPr>
                <w:rFonts w:ascii="Arial" w:hAnsi="Arial" w:cs="Arial"/>
                <w:lang w:eastAsia="en-AU"/>
              </w:rPr>
              <w:t xml:space="preserve">Systematic review </w:t>
            </w:r>
          </w:p>
        </w:tc>
        <w:tc>
          <w:tcPr>
            <w:tcW w:w="3162" w:type="dxa"/>
          </w:tcPr>
          <w:p w14:paraId="0DF9AF02" w14:textId="77777777" w:rsidR="0014171C" w:rsidRPr="005C39EC" w:rsidRDefault="0014171C" w:rsidP="00BE7858">
            <w:pPr>
              <w:widowControl/>
              <w:rPr>
                <w:rFonts w:ascii="Arial" w:hAnsi="Arial" w:cs="Arial"/>
                <w:lang w:eastAsia="en-AU"/>
              </w:rPr>
            </w:pPr>
          </w:p>
        </w:tc>
      </w:tr>
      <w:tr w:rsidR="0014171C" w:rsidRPr="005C39EC" w14:paraId="005AAD45" w14:textId="77777777" w:rsidTr="002609FD">
        <w:trPr>
          <w:trHeight w:val="278"/>
        </w:trPr>
        <w:tc>
          <w:tcPr>
            <w:tcW w:w="1526" w:type="dxa"/>
          </w:tcPr>
          <w:p w14:paraId="3D66FF6D"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t>Main focus</w:t>
            </w:r>
          </w:p>
        </w:tc>
        <w:tc>
          <w:tcPr>
            <w:tcW w:w="3162" w:type="dxa"/>
          </w:tcPr>
          <w:p w14:paraId="3361C134" w14:textId="77777777" w:rsidR="0014171C" w:rsidRPr="005C39EC" w:rsidRDefault="0014171C" w:rsidP="00BE7858">
            <w:pPr>
              <w:widowControl/>
              <w:rPr>
                <w:rFonts w:ascii="Arial" w:hAnsi="Arial" w:cs="Arial"/>
                <w:lang w:eastAsia="en-AU"/>
              </w:rPr>
            </w:pPr>
            <w:r w:rsidRPr="005C39EC">
              <w:rPr>
                <w:rFonts w:ascii="Arial" w:hAnsi="Arial" w:cs="Arial"/>
                <w:lang w:eastAsia="en-AU"/>
              </w:rPr>
              <w:t>Complementary feeding</w:t>
            </w:r>
          </w:p>
        </w:tc>
        <w:tc>
          <w:tcPr>
            <w:tcW w:w="3162" w:type="dxa"/>
          </w:tcPr>
          <w:p w14:paraId="483DC21B" w14:textId="77777777" w:rsidR="0014171C" w:rsidRPr="005C39EC" w:rsidRDefault="0014171C" w:rsidP="00BE7858">
            <w:pPr>
              <w:widowControl/>
              <w:rPr>
                <w:rFonts w:ascii="Arial" w:hAnsi="Arial" w:cs="Arial"/>
                <w:lang w:eastAsia="en-AU"/>
              </w:rPr>
            </w:pPr>
            <w:r w:rsidRPr="005C39EC">
              <w:rPr>
                <w:rFonts w:ascii="Arial" w:hAnsi="Arial" w:cs="Arial"/>
                <w:lang w:eastAsia="en-AU"/>
              </w:rPr>
              <w:t>Complementary feeding</w:t>
            </w:r>
          </w:p>
        </w:tc>
        <w:tc>
          <w:tcPr>
            <w:tcW w:w="3162" w:type="dxa"/>
          </w:tcPr>
          <w:p w14:paraId="044C53F6" w14:textId="77777777" w:rsidR="0014171C" w:rsidRPr="005C39EC" w:rsidRDefault="0014171C" w:rsidP="00BE7858">
            <w:pPr>
              <w:widowControl/>
              <w:rPr>
                <w:rFonts w:ascii="Arial" w:hAnsi="Arial" w:cs="Arial"/>
                <w:lang w:eastAsia="en-AU"/>
              </w:rPr>
            </w:pPr>
            <w:r w:rsidRPr="005C39EC">
              <w:rPr>
                <w:rFonts w:ascii="Arial" w:hAnsi="Arial" w:cs="Arial"/>
                <w:lang w:eastAsia="en-AU"/>
              </w:rPr>
              <w:t>Duration of exclusive breast feeding</w:t>
            </w:r>
          </w:p>
        </w:tc>
        <w:tc>
          <w:tcPr>
            <w:tcW w:w="3162" w:type="dxa"/>
          </w:tcPr>
          <w:p w14:paraId="7F3DC926" w14:textId="77777777" w:rsidR="0014171C" w:rsidRPr="005C39EC" w:rsidRDefault="0014171C" w:rsidP="00BE7858">
            <w:pPr>
              <w:widowControl/>
              <w:rPr>
                <w:rFonts w:ascii="Arial" w:hAnsi="Arial" w:cs="Arial"/>
                <w:lang w:eastAsia="en-AU"/>
              </w:rPr>
            </w:pPr>
          </w:p>
        </w:tc>
      </w:tr>
      <w:tr w:rsidR="0014171C" w:rsidRPr="005C39EC" w14:paraId="56835D33" w14:textId="77777777" w:rsidTr="002609FD">
        <w:trPr>
          <w:trHeight w:val="204"/>
        </w:trPr>
        <w:tc>
          <w:tcPr>
            <w:tcW w:w="1526" w:type="dxa"/>
            <w:shd w:val="clear" w:color="auto" w:fill="D9D9D9" w:themeFill="background1" w:themeFillShade="D9"/>
          </w:tcPr>
          <w:p w14:paraId="31B5EA49"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t xml:space="preserve">Health </w:t>
            </w:r>
            <w:r w:rsidR="00E35E51" w:rsidRPr="005C39EC">
              <w:rPr>
                <w:rFonts w:ascii="Arial" w:hAnsi="Arial" w:cs="Arial"/>
                <w:b/>
                <w:lang w:eastAsia="en-AU"/>
              </w:rPr>
              <w:t>effect</w:t>
            </w:r>
            <w:r w:rsidRPr="005C39EC">
              <w:rPr>
                <w:rFonts w:ascii="Arial" w:hAnsi="Arial" w:cs="Arial"/>
                <w:b/>
                <w:lang w:eastAsia="en-AU"/>
              </w:rPr>
              <w:t>:</w:t>
            </w:r>
          </w:p>
        </w:tc>
        <w:tc>
          <w:tcPr>
            <w:tcW w:w="3162" w:type="dxa"/>
            <w:shd w:val="clear" w:color="auto" w:fill="D9D9D9" w:themeFill="background1" w:themeFillShade="D9"/>
          </w:tcPr>
          <w:p w14:paraId="2AE9D188" w14:textId="77777777" w:rsidR="0014171C" w:rsidRPr="005C39EC" w:rsidRDefault="0014171C" w:rsidP="00BE7858">
            <w:pPr>
              <w:widowControl/>
              <w:rPr>
                <w:rFonts w:ascii="Arial" w:hAnsi="Arial" w:cs="Arial"/>
                <w:lang w:eastAsia="en-AU"/>
              </w:rPr>
            </w:pPr>
          </w:p>
        </w:tc>
        <w:tc>
          <w:tcPr>
            <w:tcW w:w="3162" w:type="dxa"/>
            <w:shd w:val="clear" w:color="auto" w:fill="D9D9D9" w:themeFill="background1" w:themeFillShade="D9"/>
          </w:tcPr>
          <w:p w14:paraId="67181C8E" w14:textId="77777777" w:rsidR="0014171C" w:rsidRPr="005C39EC" w:rsidRDefault="0014171C" w:rsidP="00BE7858">
            <w:pPr>
              <w:widowControl/>
              <w:rPr>
                <w:rFonts w:ascii="Arial" w:hAnsi="Arial" w:cs="Arial"/>
                <w:lang w:eastAsia="en-AU"/>
              </w:rPr>
            </w:pPr>
          </w:p>
        </w:tc>
        <w:tc>
          <w:tcPr>
            <w:tcW w:w="3162" w:type="dxa"/>
            <w:shd w:val="clear" w:color="auto" w:fill="D9D9D9" w:themeFill="background1" w:themeFillShade="D9"/>
          </w:tcPr>
          <w:p w14:paraId="230C5EBC" w14:textId="77777777" w:rsidR="0014171C" w:rsidRPr="005C39EC" w:rsidRDefault="0014171C" w:rsidP="00BE7858">
            <w:pPr>
              <w:widowControl/>
              <w:rPr>
                <w:rFonts w:ascii="Arial" w:hAnsi="Arial" w:cs="Arial"/>
                <w:lang w:eastAsia="en-AU"/>
              </w:rPr>
            </w:pPr>
          </w:p>
        </w:tc>
        <w:tc>
          <w:tcPr>
            <w:tcW w:w="3162" w:type="dxa"/>
            <w:shd w:val="clear" w:color="auto" w:fill="D9D9D9" w:themeFill="background1" w:themeFillShade="D9"/>
          </w:tcPr>
          <w:p w14:paraId="2C9B2266" w14:textId="77777777" w:rsidR="0014171C" w:rsidRPr="005C39EC" w:rsidRDefault="0014171C" w:rsidP="00BE7858">
            <w:pPr>
              <w:widowControl/>
              <w:rPr>
                <w:rFonts w:ascii="Arial" w:hAnsi="Arial" w:cs="Arial"/>
                <w:lang w:eastAsia="en-AU"/>
              </w:rPr>
            </w:pPr>
          </w:p>
        </w:tc>
      </w:tr>
      <w:tr w:rsidR="0014171C" w:rsidRPr="005C39EC" w14:paraId="73D3C945" w14:textId="77777777" w:rsidTr="002609FD">
        <w:trPr>
          <w:trHeight w:val="727"/>
        </w:trPr>
        <w:tc>
          <w:tcPr>
            <w:tcW w:w="1526" w:type="dxa"/>
          </w:tcPr>
          <w:p w14:paraId="089B4592"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t>Energy intake</w:t>
            </w:r>
          </w:p>
        </w:tc>
        <w:tc>
          <w:tcPr>
            <w:tcW w:w="3162" w:type="dxa"/>
          </w:tcPr>
          <w:p w14:paraId="47C8B5ED" w14:textId="77777777" w:rsidR="0014171C" w:rsidRPr="005C39EC" w:rsidRDefault="0014171C" w:rsidP="00BE7858">
            <w:pPr>
              <w:widowControl/>
              <w:rPr>
                <w:rFonts w:ascii="Arial" w:hAnsi="Arial" w:cs="Arial"/>
                <w:lang w:eastAsia="en-AU"/>
              </w:rPr>
            </w:pPr>
            <w:r w:rsidRPr="005C39EC">
              <w:rPr>
                <w:rFonts w:ascii="Arial" w:hAnsi="Arial" w:cs="Arial"/>
                <w:lang w:eastAsia="en-AU"/>
              </w:rPr>
              <w:t xml:space="preserve">Age of CF not specifically addressed. </w:t>
            </w:r>
          </w:p>
        </w:tc>
        <w:tc>
          <w:tcPr>
            <w:tcW w:w="3162" w:type="dxa"/>
          </w:tcPr>
          <w:p w14:paraId="79F80E4D" w14:textId="77777777" w:rsidR="0014171C" w:rsidRPr="005C39EC" w:rsidRDefault="0014171C" w:rsidP="00BE7858">
            <w:pPr>
              <w:widowControl/>
              <w:rPr>
                <w:rFonts w:ascii="Arial" w:hAnsi="Arial" w:cs="Arial"/>
                <w:lang w:eastAsia="en-AU"/>
              </w:rPr>
            </w:pPr>
            <w:r w:rsidRPr="005C39EC">
              <w:rPr>
                <w:rFonts w:ascii="Arial" w:hAnsi="Arial" w:cs="Arial"/>
                <w:lang w:eastAsia="en-AU"/>
              </w:rPr>
              <w:t>Insufficient data – age of CF in terms of energy intake needs to be decided for individual infant (larger infants have greater energy requirements</w:t>
            </w:r>
            <w:r w:rsidR="00EA37A6" w:rsidRPr="005C39EC">
              <w:rPr>
                <w:rFonts w:ascii="Arial" w:hAnsi="Arial" w:cs="Arial"/>
                <w:lang w:eastAsia="en-AU"/>
              </w:rPr>
              <w:t>)</w:t>
            </w:r>
            <w:r w:rsidRPr="005C39EC">
              <w:rPr>
                <w:rFonts w:ascii="Arial" w:hAnsi="Arial" w:cs="Arial"/>
                <w:lang w:eastAsia="en-AU"/>
              </w:rPr>
              <w:t>.</w:t>
            </w:r>
          </w:p>
        </w:tc>
        <w:tc>
          <w:tcPr>
            <w:tcW w:w="3162" w:type="dxa"/>
          </w:tcPr>
          <w:p w14:paraId="3C498B92" w14:textId="77777777" w:rsidR="0014171C" w:rsidRPr="005C39EC" w:rsidRDefault="0014171C" w:rsidP="00BE7858">
            <w:pPr>
              <w:widowControl/>
              <w:rPr>
                <w:rFonts w:ascii="Arial" w:hAnsi="Arial" w:cs="Arial"/>
                <w:lang w:eastAsia="en-AU"/>
              </w:rPr>
            </w:pPr>
            <w:r w:rsidRPr="005C39EC">
              <w:rPr>
                <w:rFonts w:ascii="Arial" w:hAnsi="Arial" w:cs="Arial"/>
                <w:lang w:eastAsia="en-AU"/>
              </w:rPr>
              <w:t>Association to duration of EBF examined: EBF to 6 months meets energy requirements and does not compromise infant growth.</w:t>
            </w:r>
          </w:p>
        </w:tc>
        <w:tc>
          <w:tcPr>
            <w:tcW w:w="3162" w:type="dxa"/>
          </w:tcPr>
          <w:p w14:paraId="6C7C3395" w14:textId="77777777" w:rsidR="0014171C" w:rsidRPr="005C39EC" w:rsidRDefault="0014171C" w:rsidP="00BE7858">
            <w:pPr>
              <w:widowControl/>
              <w:rPr>
                <w:rFonts w:ascii="Arial" w:hAnsi="Arial" w:cs="Arial"/>
                <w:lang w:eastAsia="en-AU"/>
              </w:rPr>
            </w:pPr>
            <w:r w:rsidRPr="005C39EC">
              <w:rPr>
                <w:rFonts w:ascii="Arial" w:hAnsi="Arial" w:cs="Arial"/>
                <w:lang w:eastAsia="en-AU"/>
              </w:rPr>
              <w:t>Either no association or insufficient data to indicate the energy intake is compromised by age of</w:t>
            </w:r>
            <w:r w:rsidR="00E7481C" w:rsidRPr="005C39EC">
              <w:rPr>
                <w:rFonts w:ascii="Arial" w:hAnsi="Arial" w:cs="Arial"/>
                <w:lang w:eastAsia="en-AU"/>
              </w:rPr>
              <w:t xml:space="preserve"> introducing </w:t>
            </w:r>
            <w:r w:rsidRPr="005C39EC">
              <w:rPr>
                <w:rFonts w:ascii="Arial" w:hAnsi="Arial" w:cs="Arial"/>
                <w:lang w:eastAsia="en-AU"/>
              </w:rPr>
              <w:t xml:space="preserve"> CF.</w:t>
            </w:r>
          </w:p>
        </w:tc>
      </w:tr>
      <w:tr w:rsidR="0014171C" w:rsidRPr="005C39EC" w14:paraId="05C5FB82" w14:textId="77777777" w:rsidTr="002609FD">
        <w:trPr>
          <w:trHeight w:val="709"/>
        </w:trPr>
        <w:tc>
          <w:tcPr>
            <w:tcW w:w="1526" w:type="dxa"/>
          </w:tcPr>
          <w:p w14:paraId="1EDD5CDF"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t>Nutritional adequacy</w:t>
            </w:r>
          </w:p>
        </w:tc>
        <w:tc>
          <w:tcPr>
            <w:tcW w:w="3162" w:type="dxa"/>
          </w:tcPr>
          <w:p w14:paraId="2D4093C8" w14:textId="77777777" w:rsidR="0014171C" w:rsidRPr="005C39EC" w:rsidRDefault="0014171C" w:rsidP="00BE7858">
            <w:pPr>
              <w:widowControl/>
              <w:rPr>
                <w:rFonts w:ascii="Arial" w:hAnsi="Arial" w:cs="Arial"/>
                <w:lang w:eastAsia="en-AU"/>
              </w:rPr>
            </w:pPr>
            <w:r w:rsidRPr="005C39EC">
              <w:rPr>
                <w:rFonts w:ascii="Arial" w:hAnsi="Arial" w:cs="Arial"/>
                <w:lang w:eastAsia="en-AU"/>
              </w:rPr>
              <w:t xml:space="preserve">Timing of CF not specifically addressed although concluded that nutritional deficiencies during CF period (defined as after 17 weeks and before 26 weeks) are unlikely. </w:t>
            </w:r>
          </w:p>
        </w:tc>
        <w:tc>
          <w:tcPr>
            <w:tcW w:w="3162" w:type="dxa"/>
          </w:tcPr>
          <w:p w14:paraId="21721F0C" w14:textId="77777777" w:rsidR="0014171C" w:rsidRPr="005C39EC" w:rsidRDefault="0014171C" w:rsidP="00BE7858">
            <w:pPr>
              <w:widowControl/>
              <w:rPr>
                <w:rFonts w:ascii="Arial" w:hAnsi="Arial" w:cs="Arial"/>
                <w:lang w:eastAsia="en-AU"/>
              </w:rPr>
            </w:pPr>
            <w:r w:rsidRPr="005C39EC">
              <w:rPr>
                <w:rFonts w:ascii="Arial" w:hAnsi="Arial" w:cs="Arial"/>
                <w:lang w:eastAsia="en-AU"/>
              </w:rPr>
              <w:t>Reviewed studies on whether EBF provides adequate nutrients to 6 months; concludes that some infants need CF at 4–6 months for Fe and Zn sufficiency.</w:t>
            </w:r>
          </w:p>
        </w:tc>
        <w:tc>
          <w:tcPr>
            <w:tcW w:w="3162" w:type="dxa"/>
          </w:tcPr>
          <w:p w14:paraId="321DDC76" w14:textId="77777777" w:rsidR="0014171C" w:rsidRPr="005C39EC" w:rsidRDefault="0014171C" w:rsidP="00BE7858">
            <w:pPr>
              <w:widowControl/>
              <w:rPr>
                <w:rFonts w:ascii="Arial" w:hAnsi="Arial" w:cs="Arial"/>
                <w:lang w:eastAsia="en-AU"/>
              </w:rPr>
            </w:pPr>
            <w:r w:rsidRPr="005C39EC">
              <w:rPr>
                <w:rFonts w:ascii="Arial" w:hAnsi="Arial" w:cs="Arial"/>
                <w:lang w:eastAsia="en-AU"/>
              </w:rPr>
              <w:t>Not addressed.</w:t>
            </w:r>
          </w:p>
        </w:tc>
        <w:tc>
          <w:tcPr>
            <w:tcW w:w="3162" w:type="dxa"/>
          </w:tcPr>
          <w:p w14:paraId="3E9F712F" w14:textId="77777777" w:rsidR="0014171C" w:rsidRPr="005C39EC" w:rsidRDefault="0014171C" w:rsidP="00BE7858">
            <w:pPr>
              <w:widowControl/>
              <w:rPr>
                <w:rFonts w:ascii="Arial" w:hAnsi="Arial" w:cs="Arial"/>
                <w:lang w:eastAsia="en-AU"/>
              </w:rPr>
            </w:pPr>
            <w:r w:rsidRPr="005C39EC">
              <w:rPr>
                <w:rFonts w:ascii="Arial" w:hAnsi="Arial" w:cs="Arial"/>
                <w:lang w:eastAsia="en-AU"/>
              </w:rPr>
              <w:t>No association but some infants may require solid foods at 4–6 months for Fe and Zn sufficiency.</w:t>
            </w:r>
          </w:p>
        </w:tc>
      </w:tr>
      <w:tr w:rsidR="0014171C" w:rsidRPr="005C39EC" w14:paraId="41A7DC05" w14:textId="77777777" w:rsidTr="002609FD">
        <w:trPr>
          <w:trHeight w:val="678"/>
        </w:trPr>
        <w:tc>
          <w:tcPr>
            <w:tcW w:w="1526" w:type="dxa"/>
          </w:tcPr>
          <w:p w14:paraId="174E5F21"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t>Growth</w:t>
            </w:r>
          </w:p>
        </w:tc>
        <w:tc>
          <w:tcPr>
            <w:tcW w:w="3162" w:type="dxa"/>
          </w:tcPr>
          <w:p w14:paraId="34A4319B" w14:textId="77777777" w:rsidR="0014171C" w:rsidRPr="005C39EC" w:rsidRDefault="0014171C" w:rsidP="00BE7858">
            <w:pPr>
              <w:widowControl/>
              <w:rPr>
                <w:rFonts w:ascii="Arial" w:hAnsi="Arial" w:cs="Arial"/>
                <w:lang w:eastAsia="en-AU"/>
              </w:rPr>
            </w:pPr>
            <w:r w:rsidRPr="005C39EC">
              <w:rPr>
                <w:rFonts w:ascii="Arial" w:hAnsi="Arial" w:cs="Arial"/>
                <w:lang w:eastAsia="en-AU"/>
              </w:rPr>
              <w:t xml:space="preserve">Minimal evidence that solid foods introduced at 4–6 months affects growth. </w:t>
            </w:r>
          </w:p>
        </w:tc>
        <w:tc>
          <w:tcPr>
            <w:tcW w:w="3162" w:type="dxa"/>
          </w:tcPr>
          <w:p w14:paraId="1A0FDF21" w14:textId="77777777" w:rsidR="0014171C" w:rsidRPr="005C39EC" w:rsidRDefault="0014171C" w:rsidP="00BE7858">
            <w:pPr>
              <w:widowControl/>
              <w:rPr>
                <w:rFonts w:ascii="Arial" w:hAnsi="Arial" w:cs="Arial"/>
                <w:lang w:eastAsia="en-AU"/>
              </w:rPr>
            </w:pPr>
            <w:r w:rsidRPr="005C39EC">
              <w:rPr>
                <w:rFonts w:ascii="Arial" w:hAnsi="Arial" w:cs="Arial"/>
                <w:lang w:eastAsia="en-AU"/>
              </w:rPr>
              <w:t>CF introduced before 6 months does not have strong impact on growth rate. Late introduction (after 6 months) may reduce length and weight gain.</w:t>
            </w:r>
          </w:p>
        </w:tc>
        <w:tc>
          <w:tcPr>
            <w:tcW w:w="3162" w:type="dxa"/>
          </w:tcPr>
          <w:p w14:paraId="6DEFA3F7" w14:textId="77777777" w:rsidR="0014171C" w:rsidRPr="005C39EC" w:rsidRDefault="0014171C" w:rsidP="00BE7858">
            <w:pPr>
              <w:widowControl/>
              <w:rPr>
                <w:rFonts w:ascii="Arial" w:hAnsi="Arial" w:cs="Arial"/>
                <w:lang w:eastAsia="en-AU"/>
              </w:rPr>
            </w:pPr>
            <w:r w:rsidRPr="005C39EC">
              <w:rPr>
                <w:rFonts w:ascii="Arial" w:hAnsi="Arial" w:cs="Arial"/>
                <w:lang w:eastAsia="en-AU"/>
              </w:rPr>
              <w:t>EBF for 4 mo</w:t>
            </w:r>
            <w:r w:rsidR="00E7481C" w:rsidRPr="005C39EC">
              <w:rPr>
                <w:rFonts w:ascii="Arial" w:hAnsi="Arial" w:cs="Arial"/>
                <w:lang w:eastAsia="en-AU"/>
              </w:rPr>
              <w:t>nths gives similar growth rates compared to EBF for 6 months.</w:t>
            </w:r>
            <w:r w:rsidRPr="005C39EC">
              <w:rPr>
                <w:rFonts w:ascii="Arial" w:hAnsi="Arial" w:cs="Arial"/>
                <w:lang w:eastAsia="en-AU"/>
              </w:rPr>
              <w:t xml:space="preserve"> </w:t>
            </w:r>
          </w:p>
        </w:tc>
        <w:tc>
          <w:tcPr>
            <w:tcW w:w="3162" w:type="dxa"/>
          </w:tcPr>
          <w:p w14:paraId="1D7236AA" w14:textId="77777777" w:rsidR="0014171C" w:rsidRPr="005C39EC" w:rsidRDefault="00E7481C" w:rsidP="00BE7858">
            <w:pPr>
              <w:widowControl/>
              <w:rPr>
                <w:rFonts w:ascii="Arial" w:hAnsi="Arial" w:cs="Arial"/>
                <w:lang w:eastAsia="en-AU"/>
              </w:rPr>
            </w:pPr>
            <w:r w:rsidRPr="005C39EC">
              <w:rPr>
                <w:rFonts w:ascii="Arial" w:hAnsi="Arial" w:cs="Arial"/>
                <w:lang w:eastAsia="en-AU"/>
              </w:rPr>
              <w:t>N</w:t>
            </w:r>
            <w:r w:rsidR="0014171C" w:rsidRPr="005C39EC">
              <w:rPr>
                <w:rFonts w:ascii="Arial" w:hAnsi="Arial" w:cs="Arial"/>
                <w:lang w:eastAsia="en-AU"/>
              </w:rPr>
              <w:t xml:space="preserve">o </w:t>
            </w:r>
            <w:r w:rsidRPr="005C39EC">
              <w:rPr>
                <w:rFonts w:ascii="Arial" w:hAnsi="Arial" w:cs="Arial"/>
                <w:lang w:eastAsia="en-AU"/>
              </w:rPr>
              <w:t xml:space="preserve">evidence of </w:t>
            </w:r>
            <w:r w:rsidR="0014171C" w:rsidRPr="005C39EC">
              <w:rPr>
                <w:rFonts w:ascii="Arial" w:hAnsi="Arial" w:cs="Arial"/>
                <w:lang w:eastAsia="en-AU"/>
              </w:rPr>
              <w:t xml:space="preserve">association between CF </w:t>
            </w:r>
            <w:r w:rsidRPr="005C39EC">
              <w:rPr>
                <w:rFonts w:ascii="Arial" w:hAnsi="Arial" w:cs="Arial"/>
                <w:lang w:eastAsia="en-AU"/>
              </w:rPr>
              <w:t xml:space="preserve">introduced </w:t>
            </w:r>
            <w:r w:rsidR="0014171C" w:rsidRPr="005C39EC">
              <w:rPr>
                <w:rFonts w:ascii="Arial" w:hAnsi="Arial" w:cs="Arial"/>
                <w:lang w:eastAsia="en-AU"/>
              </w:rPr>
              <w:t>at 4–6 months and growth rate.</w:t>
            </w:r>
          </w:p>
        </w:tc>
      </w:tr>
      <w:tr w:rsidR="0014171C" w:rsidRPr="005C39EC" w14:paraId="02AAC3B5" w14:textId="77777777" w:rsidTr="002609FD">
        <w:trPr>
          <w:trHeight w:val="701"/>
        </w:trPr>
        <w:tc>
          <w:tcPr>
            <w:tcW w:w="1526" w:type="dxa"/>
          </w:tcPr>
          <w:p w14:paraId="5FB07180"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t>Neurodevelopment</w:t>
            </w:r>
          </w:p>
        </w:tc>
        <w:tc>
          <w:tcPr>
            <w:tcW w:w="3162" w:type="dxa"/>
          </w:tcPr>
          <w:p w14:paraId="0EFF127F" w14:textId="77777777" w:rsidR="0014171C" w:rsidRPr="005C39EC" w:rsidRDefault="0014171C" w:rsidP="00BE7858">
            <w:pPr>
              <w:widowControl/>
              <w:rPr>
                <w:rFonts w:ascii="Arial" w:hAnsi="Arial" w:cs="Arial"/>
                <w:lang w:eastAsia="en-AU"/>
              </w:rPr>
            </w:pPr>
            <w:r w:rsidRPr="005C39EC">
              <w:rPr>
                <w:rFonts w:ascii="Arial" w:hAnsi="Arial" w:cs="Arial"/>
                <w:lang w:eastAsia="en-AU"/>
              </w:rPr>
              <w:t>No specific data on age of CF reviewed but limited evidence that low intake of LCPUFA (oily fish) and Fe may have adverse effect on neurodevelopment.</w:t>
            </w:r>
          </w:p>
        </w:tc>
        <w:tc>
          <w:tcPr>
            <w:tcW w:w="3162" w:type="dxa"/>
          </w:tcPr>
          <w:p w14:paraId="6A754130" w14:textId="77777777" w:rsidR="0014171C" w:rsidRPr="005C39EC" w:rsidRDefault="0014171C" w:rsidP="00BE7858">
            <w:pPr>
              <w:widowControl/>
              <w:rPr>
                <w:rFonts w:ascii="Arial" w:hAnsi="Arial" w:cs="Arial"/>
                <w:lang w:eastAsia="en-AU"/>
              </w:rPr>
            </w:pPr>
            <w:r w:rsidRPr="005C39EC">
              <w:rPr>
                <w:rFonts w:ascii="Arial" w:hAnsi="Arial" w:cs="Arial"/>
                <w:lang w:eastAsia="en-AU"/>
              </w:rPr>
              <w:t>Insufficient data to make conclusion</w:t>
            </w:r>
          </w:p>
        </w:tc>
        <w:tc>
          <w:tcPr>
            <w:tcW w:w="3162" w:type="dxa"/>
          </w:tcPr>
          <w:p w14:paraId="2F52D157" w14:textId="77777777" w:rsidR="0014171C" w:rsidRPr="005C39EC" w:rsidRDefault="0014171C" w:rsidP="00BE7858">
            <w:pPr>
              <w:widowControl/>
              <w:rPr>
                <w:rFonts w:ascii="Arial" w:hAnsi="Arial" w:cs="Arial"/>
                <w:lang w:eastAsia="en-AU"/>
              </w:rPr>
            </w:pPr>
            <w:r w:rsidRPr="005C39EC">
              <w:rPr>
                <w:rFonts w:ascii="Arial" w:hAnsi="Arial" w:cs="Arial"/>
                <w:lang w:eastAsia="en-AU"/>
              </w:rPr>
              <w:t>Not addressed.</w:t>
            </w:r>
          </w:p>
        </w:tc>
        <w:tc>
          <w:tcPr>
            <w:tcW w:w="3162" w:type="dxa"/>
          </w:tcPr>
          <w:p w14:paraId="1735B699" w14:textId="77777777" w:rsidR="0014171C" w:rsidRPr="005C39EC" w:rsidRDefault="0014171C" w:rsidP="00BE7858">
            <w:pPr>
              <w:widowControl/>
              <w:rPr>
                <w:rFonts w:ascii="Arial" w:hAnsi="Arial" w:cs="Arial"/>
                <w:lang w:eastAsia="en-AU"/>
              </w:rPr>
            </w:pPr>
            <w:r w:rsidRPr="005C39EC">
              <w:rPr>
                <w:rFonts w:ascii="Arial" w:hAnsi="Arial" w:cs="Arial"/>
                <w:lang w:eastAsia="en-AU"/>
              </w:rPr>
              <w:t>Insufficient data to make conclusion</w:t>
            </w:r>
          </w:p>
        </w:tc>
      </w:tr>
      <w:tr w:rsidR="0014171C" w:rsidRPr="005C39EC" w14:paraId="2411989D" w14:textId="77777777" w:rsidTr="002609FD">
        <w:trPr>
          <w:trHeight w:val="683"/>
        </w:trPr>
        <w:tc>
          <w:tcPr>
            <w:tcW w:w="1526" w:type="dxa"/>
          </w:tcPr>
          <w:p w14:paraId="6C22AC1A"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lastRenderedPageBreak/>
              <w:t xml:space="preserve">Food preferences </w:t>
            </w:r>
          </w:p>
        </w:tc>
        <w:tc>
          <w:tcPr>
            <w:tcW w:w="3162" w:type="dxa"/>
          </w:tcPr>
          <w:p w14:paraId="093147E1" w14:textId="77777777" w:rsidR="0014171C" w:rsidRPr="005C39EC" w:rsidRDefault="0014171C" w:rsidP="00BE7858">
            <w:pPr>
              <w:widowControl/>
              <w:ind w:left="34"/>
              <w:rPr>
                <w:rFonts w:ascii="Arial" w:hAnsi="Arial" w:cs="Arial"/>
                <w:lang w:eastAsia="en-AU"/>
              </w:rPr>
            </w:pPr>
            <w:r w:rsidRPr="005C39EC">
              <w:rPr>
                <w:rFonts w:ascii="Arial" w:hAnsi="Arial" w:cs="Arial"/>
                <w:lang w:eastAsia="en-AU"/>
              </w:rPr>
              <w:t>Age of CF not addressed but CF without added sugars and salt recommended.</w:t>
            </w:r>
          </w:p>
        </w:tc>
        <w:tc>
          <w:tcPr>
            <w:tcW w:w="3162" w:type="dxa"/>
          </w:tcPr>
          <w:p w14:paraId="429F3278" w14:textId="77777777" w:rsidR="0014171C" w:rsidRPr="005C39EC" w:rsidRDefault="0014171C" w:rsidP="00BE7858">
            <w:pPr>
              <w:widowControl/>
              <w:rPr>
                <w:rFonts w:ascii="Arial" w:hAnsi="Arial" w:cs="Arial"/>
                <w:lang w:eastAsia="en-AU"/>
              </w:rPr>
            </w:pPr>
            <w:r w:rsidRPr="005C39EC">
              <w:rPr>
                <w:rFonts w:ascii="Arial" w:hAnsi="Arial" w:cs="Arial"/>
                <w:lang w:eastAsia="en-AU"/>
              </w:rPr>
              <w:t>Insufficient data to make conclusion</w:t>
            </w:r>
          </w:p>
        </w:tc>
        <w:tc>
          <w:tcPr>
            <w:tcW w:w="3162" w:type="dxa"/>
          </w:tcPr>
          <w:p w14:paraId="705FF41E" w14:textId="77777777" w:rsidR="0014171C" w:rsidRPr="005C39EC" w:rsidRDefault="0014171C" w:rsidP="00BE7858">
            <w:pPr>
              <w:widowControl/>
              <w:rPr>
                <w:rFonts w:ascii="Arial" w:hAnsi="Arial" w:cs="Arial"/>
                <w:lang w:eastAsia="en-AU"/>
              </w:rPr>
            </w:pPr>
            <w:r w:rsidRPr="005C39EC">
              <w:rPr>
                <w:rFonts w:ascii="Arial" w:hAnsi="Arial" w:cs="Arial"/>
                <w:lang w:eastAsia="en-AU"/>
              </w:rPr>
              <w:t>Not addressed.</w:t>
            </w:r>
          </w:p>
        </w:tc>
        <w:tc>
          <w:tcPr>
            <w:tcW w:w="3162" w:type="dxa"/>
          </w:tcPr>
          <w:p w14:paraId="2C250A87" w14:textId="77777777" w:rsidR="0014171C" w:rsidRPr="005C39EC" w:rsidRDefault="0014171C" w:rsidP="00BE7858">
            <w:pPr>
              <w:widowControl/>
              <w:rPr>
                <w:rFonts w:ascii="Arial" w:hAnsi="Arial" w:cs="Arial"/>
                <w:lang w:eastAsia="en-AU"/>
              </w:rPr>
            </w:pPr>
            <w:r w:rsidRPr="005C39EC">
              <w:rPr>
                <w:rFonts w:ascii="Arial" w:hAnsi="Arial" w:cs="Arial"/>
                <w:lang w:eastAsia="en-AU"/>
              </w:rPr>
              <w:t>Insufficient data to make conclusion</w:t>
            </w:r>
          </w:p>
        </w:tc>
      </w:tr>
      <w:tr w:rsidR="0014171C" w:rsidRPr="005C39EC" w14:paraId="74D05160" w14:textId="77777777" w:rsidTr="002609FD">
        <w:trPr>
          <w:trHeight w:val="683"/>
        </w:trPr>
        <w:tc>
          <w:tcPr>
            <w:tcW w:w="1526" w:type="dxa"/>
          </w:tcPr>
          <w:p w14:paraId="52188205"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t>Renal function</w:t>
            </w:r>
          </w:p>
        </w:tc>
        <w:tc>
          <w:tcPr>
            <w:tcW w:w="3162" w:type="dxa"/>
          </w:tcPr>
          <w:p w14:paraId="1140E27F" w14:textId="77777777" w:rsidR="0014171C" w:rsidRPr="005C39EC" w:rsidRDefault="0014171C" w:rsidP="00BE7858">
            <w:pPr>
              <w:widowControl/>
              <w:ind w:left="34"/>
              <w:rPr>
                <w:rFonts w:ascii="Arial" w:hAnsi="Arial" w:cs="Arial"/>
                <w:lang w:eastAsia="en-AU"/>
              </w:rPr>
            </w:pPr>
            <w:r w:rsidRPr="005C39EC">
              <w:rPr>
                <w:rFonts w:ascii="Arial" w:hAnsi="Arial" w:cs="Arial"/>
                <w:lang w:eastAsia="en-AU"/>
              </w:rPr>
              <w:t>Evidence indicates that renal function is sufficiently mature to metabolise nutrients from CF by the age of 4 months.</w:t>
            </w:r>
          </w:p>
        </w:tc>
        <w:tc>
          <w:tcPr>
            <w:tcW w:w="3162" w:type="dxa"/>
          </w:tcPr>
          <w:p w14:paraId="013DCC1A" w14:textId="77777777" w:rsidR="0014171C" w:rsidRPr="005C39EC" w:rsidRDefault="0014171C" w:rsidP="00BE7858">
            <w:pPr>
              <w:widowControl/>
              <w:rPr>
                <w:rFonts w:ascii="Arial" w:hAnsi="Arial" w:cs="Arial"/>
                <w:lang w:eastAsia="en-AU"/>
              </w:rPr>
            </w:pPr>
            <w:r w:rsidRPr="005C39EC">
              <w:rPr>
                <w:rFonts w:ascii="Arial" w:hAnsi="Arial" w:cs="Arial"/>
                <w:lang w:eastAsia="en-AU"/>
              </w:rPr>
              <w:t>CF introduced after 4 months does not impact on renal function.</w:t>
            </w:r>
          </w:p>
        </w:tc>
        <w:tc>
          <w:tcPr>
            <w:tcW w:w="3162" w:type="dxa"/>
          </w:tcPr>
          <w:p w14:paraId="3ACBAA22" w14:textId="77777777" w:rsidR="0014171C" w:rsidRPr="005C39EC" w:rsidRDefault="0014171C" w:rsidP="00BE7858">
            <w:pPr>
              <w:widowControl/>
              <w:rPr>
                <w:rFonts w:ascii="Arial" w:hAnsi="Arial" w:cs="Arial"/>
                <w:lang w:eastAsia="en-AU"/>
              </w:rPr>
            </w:pPr>
            <w:r w:rsidRPr="005C39EC">
              <w:rPr>
                <w:rFonts w:ascii="Arial" w:hAnsi="Arial" w:cs="Arial"/>
                <w:lang w:eastAsia="en-AU"/>
              </w:rPr>
              <w:t>Not addressed.</w:t>
            </w:r>
          </w:p>
        </w:tc>
        <w:tc>
          <w:tcPr>
            <w:tcW w:w="3162" w:type="dxa"/>
          </w:tcPr>
          <w:p w14:paraId="324AA608" w14:textId="77777777" w:rsidR="0014171C" w:rsidRPr="005C39EC" w:rsidRDefault="0014171C" w:rsidP="00BE7858">
            <w:pPr>
              <w:widowControl/>
              <w:rPr>
                <w:rFonts w:ascii="Arial" w:hAnsi="Arial" w:cs="Arial"/>
                <w:lang w:eastAsia="en-AU"/>
              </w:rPr>
            </w:pPr>
            <w:r w:rsidRPr="005C39EC">
              <w:rPr>
                <w:rFonts w:ascii="Arial" w:hAnsi="Arial" w:cs="Arial"/>
                <w:lang w:eastAsia="en-AU"/>
              </w:rPr>
              <w:t>CF introduced from 4 months is not associated with adverse renal function</w:t>
            </w:r>
          </w:p>
        </w:tc>
      </w:tr>
      <w:tr w:rsidR="0014171C" w:rsidRPr="005C39EC" w14:paraId="1633D30E" w14:textId="77777777" w:rsidTr="002609FD">
        <w:trPr>
          <w:trHeight w:val="411"/>
        </w:trPr>
        <w:tc>
          <w:tcPr>
            <w:tcW w:w="1526" w:type="dxa"/>
          </w:tcPr>
          <w:p w14:paraId="76CED339"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t>Obesity, cardiovascular disease (CVD), and/or Type II diabetes (T2D)</w:t>
            </w:r>
          </w:p>
        </w:tc>
        <w:tc>
          <w:tcPr>
            <w:tcW w:w="3162" w:type="dxa"/>
          </w:tcPr>
          <w:p w14:paraId="778A1B94" w14:textId="77777777" w:rsidR="0014171C" w:rsidRPr="005C39EC" w:rsidRDefault="0014171C" w:rsidP="00BE7858">
            <w:pPr>
              <w:widowControl/>
              <w:rPr>
                <w:rFonts w:ascii="Arial" w:hAnsi="Arial" w:cs="Arial"/>
                <w:lang w:eastAsia="en-AU"/>
              </w:rPr>
            </w:pPr>
            <w:r w:rsidRPr="005C39EC">
              <w:rPr>
                <w:rFonts w:ascii="Arial" w:hAnsi="Arial" w:cs="Arial"/>
                <w:lang w:eastAsia="en-AU"/>
              </w:rPr>
              <w:t>Reviewed data on energy-dense complementary foods and protein intake in relation to obesity risk. No convincing evidence that age of CF is related to obesity risk or CVD</w:t>
            </w:r>
            <w:r w:rsidR="00EA37A6" w:rsidRPr="005C39EC">
              <w:rPr>
                <w:rFonts w:ascii="Arial" w:hAnsi="Arial" w:cs="Arial"/>
                <w:lang w:eastAsia="en-AU"/>
              </w:rPr>
              <w:t xml:space="preserve"> risk</w:t>
            </w:r>
            <w:r w:rsidRPr="005C39EC">
              <w:rPr>
                <w:rFonts w:ascii="Arial" w:hAnsi="Arial" w:cs="Arial"/>
                <w:lang w:eastAsia="en-AU"/>
              </w:rPr>
              <w:t>.</w:t>
            </w:r>
          </w:p>
        </w:tc>
        <w:tc>
          <w:tcPr>
            <w:tcW w:w="3162" w:type="dxa"/>
          </w:tcPr>
          <w:p w14:paraId="0850EFEF" w14:textId="77777777" w:rsidR="0014171C" w:rsidRPr="005C39EC" w:rsidRDefault="0014171C" w:rsidP="00BE7858">
            <w:pPr>
              <w:widowControl/>
              <w:rPr>
                <w:rFonts w:ascii="Arial" w:hAnsi="Arial" w:cs="Arial"/>
                <w:lang w:eastAsia="en-AU"/>
              </w:rPr>
            </w:pPr>
            <w:r w:rsidRPr="005C39EC">
              <w:rPr>
                <w:rFonts w:ascii="Arial" w:hAnsi="Arial" w:cs="Arial"/>
                <w:lang w:eastAsia="en-AU"/>
              </w:rPr>
              <w:t>Insufficient evidence to show that age of introduction of CF impacts on risk of obesity; no evidence that age of CF has effect on risk for T2D.</w:t>
            </w:r>
          </w:p>
        </w:tc>
        <w:tc>
          <w:tcPr>
            <w:tcW w:w="3162" w:type="dxa"/>
          </w:tcPr>
          <w:p w14:paraId="24115E58" w14:textId="77777777" w:rsidR="0014171C" w:rsidRPr="005C39EC" w:rsidRDefault="0014171C" w:rsidP="00BE7858">
            <w:pPr>
              <w:widowControl/>
              <w:rPr>
                <w:rFonts w:ascii="Arial" w:hAnsi="Arial" w:cs="Arial"/>
                <w:lang w:eastAsia="en-AU"/>
              </w:rPr>
            </w:pPr>
            <w:r w:rsidRPr="005C39EC">
              <w:rPr>
                <w:rFonts w:ascii="Arial" w:hAnsi="Arial" w:cs="Arial"/>
                <w:lang w:eastAsia="en-AU"/>
              </w:rPr>
              <w:t>Any BF (including EBF) for longer than 4 months is protective against overweight and obesity in childhood.</w:t>
            </w:r>
          </w:p>
        </w:tc>
        <w:tc>
          <w:tcPr>
            <w:tcW w:w="3162" w:type="dxa"/>
          </w:tcPr>
          <w:p w14:paraId="495D2A7D" w14:textId="77777777" w:rsidR="0014171C" w:rsidRPr="005C39EC" w:rsidRDefault="0014171C" w:rsidP="00BE7858">
            <w:pPr>
              <w:widowControl/>
              <w:rPr>
                <w:rFonts w:ascii="Arial" w:hAnsi="Arial" w:cs="Arial"/>
                <w:lang w:eastAsia="en-AU"/>
              </w:rPr>
            </w:pPr>
            <w:r w:rsidRPr="005C39EC">
              <w:rPr>
                <w:rFonts w:ascii="Arial" w:hAnsi="Arial" w:cs="Arial"/>
                <w:lang w:eastAsia="en-AU"/>
              </w:rPr>
              <w:t>Insufficient data to make conclusion on age of CF and risk of obesity, CVD, T2D. Some evidence that BF has protective effect.</w:t>
            </w:r>
          </w:p>
        </w:tc>
      </w:tr>
      <w:tr w:rsidR="0014171C" w:rsidRPr="005C39EC" w14:paraId="5D7FE4B7" w14:textId="77777777" w:rsidTr="002609FD">
        <w:trPr>
          <w:trHeight w:val="689"/>
        </w:trPr>
        <w:tc>
          <w:tcPr>
            <w:tcW w:w="1526" w:type="dxa"/>
          </w:tcPr>
          <w:p w14:paraId="5D348B2A"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t xml:space="preserve">Allergy, atopic disease, and/or asthma </w:t>
            </w:r>
          </w:p>
        </w:tc>
        <w:tc>
          <w:tcPr>
            <w:tcW w:w="3162" w:type="dxa"/>
          </w:tcPr>
          <w:p w14:paraId="43CBA43F" w14:textId="111F47AF" w:rsidR="0014171C" w:rsidRPr="005C39EC" w:rsidRDefault="0014171C" w:rsidP="00BE7858">
            <w:pPr>
              <w:widowControl/>
              <w:rPr>
                <w:rFonts w:ascii="Arial" w:hAnsi="Arial" w:cs="Arial"/>
                <w:lang w:eastAsia="en-AU"/>
              </w:rPr>
            </w:pPr>
            <w:r w:rsidRPr="005C39EC">
              <w:rPr>
                <w:rFonts w:ascii="Arial" w:hAnsi="Arial" w:cs="Arial"/>
                <w:lang w:eastAsia="en-AU"/>
              </w:rPr>
              <w:t>Some evidence but limited that delayed introduction of CF beyond 4–6</w:t>
            </w:r>
            <w:r w:rsidR="00F37DDB" w:rsidRPr="005C39EC">
              <w:rPr>
                <w:rFonts w:ascii="Arial" w:hAnsi="Arial" w:cs="Arial"/>
                <w:lang w:eastAsia="en-AU"/>
              </w:rPr>
              <w:t xml:space="preserve"> </w:t>
            </w:r>
            <w:r w:rsidRPr="005C39EC">
              <w:rPr>
                <w:rFonts w:ascii="Arial" w:hAnsi="Arial" w:cs="Arial"/>
                <w:lang w:eastAsia="en-AU"/>
              </w:rPr>
              <w:t>months reduces allergies in infants (both normal and high risk infants)</w:t>
            </w:r>
          </w:p>
        </w:tc>
        <w:tc>
          <w:tcPr>
            <w:tcW w:w="3162" w:type="dxa"/>
          </w:tcPr>
          <w:p w14:paraId="7668E47E" w14:textId="77777777" w:rsidR="0014171C" w:rsidRPr="005C39EC" w:rsidRDefault="0014171C" w:rsidP="00BE7858">
            <w:pPr>
              <w:widowControl/>
              <w:rPr>
                <w:rFonts w:ascii="Arial" w:hAnsi="Arial" w:cs="Arial"/>
                <w:lang w:eastAsia="en-AU"/>
              </w:rPr>
            </w:pPr>
            <w:r w:rsidRPr="005C39EC">
              <w:rPr>
                <w:rFonts w:ascii="Arial" w:hAnsi="Arial" w:cs="Arial"/>
                <w:lang w:eastAsia="en-AU"/>
              </w:rPr>
              <w:t>Few studies examining the age of CF as independent risk factor for atopic diseases. No conclusion on appropriate age for CF.</w:t>
            </w:r>
          </w:p>
        </w:tc>
        <w:tc>
          <w:tcPr>
            <w:tcW w:w="3162" w:type="dxa"/>
          </w:tcPr>
          <w:p w14:paraId="3112AD49" w14:textId="77777777" w:rsidR="0014171C" w:rsidRPr="005C39EC" w:rsidRDefault="0014171C" w:rsidP="00BE7858">
            <w:pPr>
              <w:widowControl/>
              <w:rPr>
                <w:rFonts w:ascii="Arial" w:hAnsi="Arial" w:cs="Arial"/>
                <w:lang w:eastAsia="en-AU"/>
              </w:rPr>
            </w:pPr>
            <w:r w:rsidRPr="005C39EC">
              <w:rPr>
                <w:rFonts w:ascii="Arial" w:hAnsi="Arial" w:cs="Arial"/>
                <w:lang w:eastAsia="en-AU"/>
              </w:rPr>
              <w:t>Increased risk of eczema if CF introduced at &lt;4 months. Insufficient or limited evidence that risk of asthma and gluten intolerance are associated with timing of CF.</w:t>
            </w:r>
          </w:p>
        </w:tc>
        <w:tc>
          <w:tcPr>
            <w:tcW w:w="3162" w:type="dxa"/>
          </w:tcPr>
          <w:p w14:paraId="348E9892" w14:textId="77777777" w:rsidR="0014171C" w:rsidRPr="005C39EC" w:rsidRDefault="0014171C" w:rsidP="00BE7858">
            <w:pPr>
              <w:widowControl/>
              <w:rPr>
                <w:rFonts w:ascii="Arial" w:hAnsi="Arial" w:cs="Arial"/>
                <w:lang w:eastAsia="en-AU"/>
              </w:rPr>
            </w:pPr>
            <w:r w:rsidRPr="005C39EC">
              <w:rPr>
                <w:rFonts w:ascii="Arial" w:hAnsi="Arial" w:cs="Arial"/>
                <w:lang w:eastAsia="en-AU"/>
              </w:rPr>
              <w:t>Yes, possible increased risk of allergy with introduction of solids outside the 4–6 month period.</w:t>
            </w:r>
          </w:p>
        </w:tc>
      </w:tr>
      <w:tr w:rsidR="0014171C" w:rsidRPr="005C39EC" w14:paraId="5F4172D7" w14:textId="77777777" w:rsidTr="002609FD">
        <w:trPr>
          <w:trHeight w:val="694"/>
        </w:trPr>
        <w:tc>
          <w:tcPr>
            <w:tcW w:w="1526" w:type="dxa"/>
          </w:tcPr>
          <w:p w14:paraId="0E762BDB"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t>Celiac disease (CD) and/or Type I diabetes mellitus (T1DM)</w:t>
            </w:r>
          </w:p>
        </w:tc>
        <w:tc>
          <w:tcPr>
            <w:tcW w:w="3162" w:type="dxa"/>
          </w:tcPr>
          <w:p w14:paraId="667D2F32" w14:textId="77777777" w:rsidR="0014171C" w:rsidRPr="005C39EC" w:rsidRDefault="0014171C" w:rsidP="00BE7858">
            <w:pPr>
              <w:widowControl/>
              <w:rPr>
                <w:rFonts w:ascii="Arial" w:hAnsi="Arial" w:cs="Arial"/>
                <w:lang w:eastAsia="en-AU"/>
              </w:rPr>
            </w:pPr>
            <w:r w:rsidRPr="005C39EC">
              <w:rPr>
                <w:rFonts w:ascii="Arial" w:hAnsi="Arial" w:cs="Arial"/>
                <w:lang w:eastAsia="en-AU"/>
              </w:rPr>
              <w:t xml:space="preserve">Introduction of gluten and other food allergens at 4–6 months (while breastfeeding) may have protective effects against CD and T1DM. </w:t>
            </w:r>
          </w:p>
        </w:tc>
        <w:tc>
          <w:tcPr>
            <w:tcW w:w="3162" w:type="dxa"/>
          </w:tcPr>
          <w:p w14:paraId="6B888BAB" w14:textId="77777777" w:rsidR="0014171C" w:rsidRPr="005C39EC" w:rsidRDefault="0014171C" w:rsidP="00BE7858">
            <w:pPr>
              <w:widowControl/>
              <w:rPr>
                <w:rFonts w:ascii="Arial" w:hAnsi="Arial" w:cs="Arial"/>
                <w:lang w:eastAsia="en-AU"/>
              </w:rPr>
            </w:pPr>
            <w:r w:rsidRPr="005C39EC">
              <w:rPr>
                <w:rFonts w:ascii="Arial" w:hAnsi="Arial" w:cs="Arial"/>
                <w:lang w:eastAsia="en-AU"/>
              </w:rPr>
              <w:t>Progressive introduction of gluten between 4 and 6 months (while BF) may reduce risk of CD and T1DM.</w:t>
            </w:r>
          </w:p>
        </w:tc>
        <w:tc>
          <w:tcPr>
            <w:tcW w:w="3162" w:type="dxa"/>
          </w:tcPr>
          <w:p w14:paraId="70631EA5" w14:textId="77777777" w:rsidR="0014171C" w:rsidRPr="005C39EC" w:rsidRDefault="0014171C" w:rsidP="00BE7858">
            <w:pPr>
              <w:widowControl/>
              <w:rPr>
                <w:rFonts w:ascii="Arial" w:hAnsi="Arial" w:cs="Arial"/>
                <w:lang w:eastAsia="en-AU"/>
              </w:rPr>
            </w:pPr>
            <w:r w:rsidRPr="005C39EC">
              <w:rPr>
                <w:rFonts w:ascii="Arial" w:hAnsi="Arial" w:cs="Arial"/>
                <w:lang w:eastAsia="en-AU"/>
              </w:rPr>
              <w:t>Not addressed.</w:t>
            </w:r>
          </w:p>
        </w:tc>
        <w:tc>
          <w:tcPr>
            <w:tcW w:w="3162" w:type="dxa"/>
          </w:tcPr>
          <w:p w14:paraId="259BA624" w14:textId="77777777" w:rsidR="0014171C" w:rsidRPr="005C39EC" w:rsidRDefault="0014171C" w:rsidP="00BE7858">
            <w:pPr>
              <w:widowControl/>
              <w:rPr>
                <w:rFonts w:ascii="Arial" w:hAnsi="Arial" w:cs="Arial"/>
                <w:lang w:eastAsia="en-AU"/>
              </w:rPr>
            </w:pPr>
            <w:r w:rsidRPr="005C39EC">
              <w:rPr>
                <w:rFonts w:ascii="Arial" w:hAnsi="Arial" w:cs="Arial"/>
                <w:lang w:eastAsia="en-AU"/>
              </w:rPr>
              <w:t xml:space="preserve">Yes, possible increased risk of allergy with delayed introduction </w:t>
            </w:r>
            <w:r w:rsidR="00512D25" w:rsidRPr="005C39EC">
              <w:rPr>
                <w:rFonts w:ascii="Arial" w:hAnsi="Arial" w:cs="Arial"/>
                <w:lang w:eastAsia="en-AU"/>
              </w:rPr>
              <w:t xml:space="preserve">of solids (i.e. later than 4–6 </w:t>
            </w:r>
            <w:r w:rsidRPr="005C39EC">
              <w:rPr>
                <w:rFonts w:ascii="Arial" w:hAnsi="Arial" w:cs="Arial"/>
                <w:lang w:eastAsia="en-AU"/>
              </w:rPr>
              <w:t>months)</w:t>
            </w:r>
          </w:p>
        </w:tc>
      </w:tr>
      <w:tr w:rsidR="0014171C" w:rsidRPr="005C39EC" w14:paraId="68E6D5A5" w14:textId="77777777" w:rsidTr="002609FD">
        <w:trPr>
          <w:trHeight w:val="1087"/>
        </w:trPr>
        <w:tc>
          <w:tcPr>
            <w:tcW w:w="1526" w:type="dxa"/>
          </w:tcPr>
          <w:p w14:paraId="6CDF920C"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t>Infectious morbidity: acute otitis media (AOM) and/or gastrointestinal</w:t>
            </w:r>
          </w:p>
        </w:tc>
        <w:tc>
          <w:tcPr>
            <w:tcW w:w="3162" w:type="dxa"/>
          </w:tcPr>
          <w:p w14:paraId="57F2BE6F" w14:textId="77777777" w:rsidR="0014171C" w:rsidRPr="005C39EC" w:rsidRDefault="0014171C" w:rsidP="00BE7858">
            <w:pPr>
              <w:widowControl/>
              <w:rPr>
                <w:rFonts w:ascii="Arial" w:hAnsi="Arial" w:cs="Arial"/>
                <w:lang w:eastAsia="en-AU"/>
              </w:rPr>
            </w:pPr>
            <w:r w:rsidRPr="005C39EC">
              <w:rPr>
                <w:rFonts w:ascii="Arial" w:hAnsi="Arial" w:cs="Arial"/>
                <w:lang w:eastAsia="en-AU"/>
              </w:rPr>
              <w:t xml:space="preserve">Age of CF not specially addressed. Infectious outcomes considered in terms of exclusive versus partial BF </w:t>
            </w:r>
          </w:p>
        </w:tc>
        <w:tc>
          <w:tcPr>
            <w:tcW w:w="3162" w:type="dxa"/>
          </w:tcPr>
          <w:p w14:paraId="16808DB4" w14:textId="77777777" w:rsidR="0014171C" w:rsidRPr="005C39EC" w:rsidRDefault="0014171C" w:rsidP="00BE7858">
            <w:pPr>
              <w:widowControl/>
              <w:rPr>
                <w:rFonts w:ascii="Arial" w:hAnsi="Arial" w:cs="Arial"/>
                <w:lang w:eastAsia="en-AU"/>
              </w:rPr>
            </w:pPr>
            <w:r w:rsidRPr="005C39EC">
              <w:rPr>
                <w:rFonts w:ascii="Arial" w:hAnsi="Arial" w:cs="Arial"/>
                <w:lang w:eastAsia="en-AU"/>
              </w:rPr>
              <w:t>Breastfeeding protects against infectious morbidity. Introduction of CF at 3 months or less may increase risk of infectious morbidity.</w:t>
            </w:r>
          </w:p>
        </w:tc>
        <w:tc>
          <w:tcPr>
            <w:tcW w:w="3162" w:type="dxa"/>
          </w:tcPr>
          <w:p w14:paraId="5CC90303" w14:textId="77777777" w:rsidR="0014171C" w:rsidRPr="005C39EC" w:rsidRDefault="0014171C" w:rsidP="00BE7858">
            <w:pPr>
              <w:widowControl/>
              <w:rPr>
                <w:rFonts w:ascii="Arial" w:hAnsi="Arial" w:cs="Arial"/>
                <w:lang w:eastAsia="en-AU"/>
              </w:rPr>
            </w:pPr>
            <w:r w:rsidRPr="005C39EC">
              <w:rPr>
                <w:rFonts w:ascii="Arial" w:hAnsi="Arial" w:cs="Arial"/>
                <w:lang w:eastAsia="en-AU"/>
              </w:rPr>
              <w:t>Any BF (including EBF) is protective against AOM</w:t>
            </w:r>
          </w:p>
        </w:tc>
        <w:tc>
          <w:tcPr>
            <w:tcW w:w="3162" w:type="dxa"/>
          </w:tcPr>
          <w:p w14:paraId="26857504" w14:textId="77777777" w:rsidR="0014171C" w:rsidRPr="005C39EC" w:rsidRDefault="0014171C" w:rsidP="00BE7858">
            <w:pPr>
              <w:widowControl/>
              <w:rPr>
                <w:rFonts w:ascii="Arial" w:hAnsi="Arial" w:cs="Arial"/>
                <w:lang w:eastAsia="en-AU"/>
              </w:rPr>
            </w:pPr>
            <w:r w:rsidRPr="005C39EC">
              <w:rPr>
                <w:rFonts w:ascii="Arial" w:hAnsi="Arial" w:cs="Arial"/>
                <w:lang w:eastAsia="en-AU"/>
              </w:rPr>
              <w:t>Insufficient evidence to make conclusion on association of CF and infectious disease. Evidence of association primarily based of protective effects of BF.</w:t>
            </w:r>
          </w:p>
        </w:tc>
      </w:tr>
      <w:tr w:rsidR="0014171C" w:rsidRPr="005C39EC" w14:paraId="1BADD466" w14:textId="77777777" w:rsidTr="002609FD">
        <w:trPr>
          <w:trHeight w:val="705"/>
        </w:trPr>
        <w:tc>
          <w:tcPr>
            <w:tcW w:w="1526" w:type="dxa"/>
          </w:tcPr>
          <w:p w14:paraId="7A9F07CF" w14:textId="77777777" w:rsidR="0014171C" w:rsidRPr="005C39EC" w:rsidRDefault="0014171C" w:rsidP="00BE7858">
            <w:pPr>
              <w:widowControl/>
              <w:rPr>
                <w:rFonts w:ascii="Arial" w:hAnsi="Arial" w:cs="Arial"/>
                <w:b/>
                <w:lang w:eastAsia="en-AU"/>
              </w:rPr>
            </w:pPr>
            <w:r w:rsidRPr="005C39EC">
              <w:rPr>
                <w:rFonts w:ascii="Arial" w:hAnsi="Arial" w:cs="Arial"/>
                <w:b/>
                <w:lang w:eastAsia="en-AU"/>
              </w:rPr>
              <w:lastRenderedPageBreak/>
              <w:t>Dental health</w:t>
            </w:r>
          </w:p>
        </w:tc>
        <w:tc>
          <w:tcPr>
            <w:tcW w:w="3162" w:type="dxa"/>
          </w:tcPr>
          <w:p w14:paraId="41FB8D7B" w14:textId="77777777" w:rsidR="0014171C" w:rsidRPr="005C39EC" w:rsidRDefault="0014171C" w:rsidP="00BE7858">
            <w:pPr>
              <w:widowControl/>
              <w:rPr>
                <w:rFonts w:ascii="Arial" w:hAnsi="Arial" w:cs="Arial"/>
                <w:lang w:eastAsia="en-AU"/>
              </w:rPr>
            </w:pPr>
            <w:r w:rsidRPr="005C39EC">
              <w:rPr>
                <w:rFonts w:ascii="Arial" w:hAnsi="Arial" w:cs="Arial"/>
                <w:lang w:eastAsia="en-AU"/>
              </w:rPr>
              <w:t>No conclusions on risk of caries and age of CF</w:t>
            </w:r>
          </w:p>
        </w:tc>
        <w:tc>
          <w:tcPr>
            <w:tcW w:w="3162" w:type="dxa"/>
          </w:tcPr>
          <w:p w14:paraId="6A6F7622" w14:textId="77777777" w:rsidR="0014171C" w:rsidRPr="005C39EC" w:rsidRDefault="0014171C" w:rsidP="00BE7858">
            <w:pPr>
              <w:widowControl/>
              <w:rPr>
                <w:rFonts w:ascii="Arial" w:hAnsi="Arial" w:cs="Arial"/>
                <w:lang w:eastAsia="en-AU"/>
              </w:rPr>
            </w:pPr>
            <w:r w:rsidRPr="005C39EC">
              <w:rPr>
                <w:rFonts w:ascii="Arial" w:hAnsi="Arial" w:cs="Arial"/>
                <w:lang w:eastAsia="en-AU"/>
              </w:rPr>
              <w:t>No evidence that age of CF is related to having caries.</w:t>
            </w:r>
          </w:p>
        </w:tc>
        <w:tc>
          <w:tcPr>
            <w:tcW w:w="3162" w:type="dxa"/>
          </w:tcPr>
          <w:p w14:paraId="5113D702" w14:textId="77777777" w:rsidR="0014171C" w:rsidRPr="005C39EC" w:rsidRDefault="0014171C" w:rsidP="00BE7858">
            <w:pPr>
              <w:widowControl/>
              <w:rPr>
                <w:rFonts w:ascii="Arial" w:hAnsi="Arial" w:cs="Arial"/>
                <w:lang w:eastAsia="en-AU"/>
              </w:rPr>
            </w:pPr>
            <w:r w:rsidRPr="005C39EC">
              <w:rPr>
                <w:rFonts w:ascii="Arial" w:hAnsi="Arial" w:cs="Arial"/>
                <w:lang w:eastAsia="en-AU"/>
              </w:rPr>
              <w:t>Not addressed.</w:t>
            </w:r>
          </w:p>
        </w:tc>
        <w:tc>
          <w:tcPr>
            <w:tcW w:w="3162" w:type="dxa"/>
          </w:tcPr>
          <w:p w14:paraId="012C4DB5" w14:textId="0AE2701B" w:rsidR="0014171C" w:rsidRPr="005C39EC" w:rsidRDefault="0014171C" w:rsidP="00BE7858">
            <w:pPr>
              <w:widowControl/>
              <w:rPr>
                <w:rFonts w:ascii="Arial" w:hAnsi="Arial" w:cs="Arial"/>
                <w:lang w:eastAsia="en-AU"/>
              </w:rPr>
            </w:pPr>
            <w:r w:rsidRPr="005C39EC">
              <w:rPr>
                <w:rFonts w:ascii="Arial" w:hAnsi="Arial" w:cs="Arial"/>
                <w:lang w:eastAsia="en-AU"/>
              </w:rPr>
              <w:t>Insufficient data to make conclusion</w:t>
            </w:r>
            <w:r w:rsidR="00F37DDB" w:rsidRPr="005C39EC">
              <w:rPr>
                <w:rFonts w:ascii="Arial" w:hAnsi="Arial" w:cs="Arial"/>
                <w:lang w:eastAsia="en-AU"/>
              </w:rPr>
              <w:t xml:space="preserve"> </w:t>
            </w:r>
          </w:p>
        </w:tc>
      </w:tr>
    </w:tbl>
    <w:p w14:paraId="76BA1702" w14:textId="77777777" w:rsidR="0014171C" w:rsidRPr="005C39EC" w:rsidRDefault="0014171C" w:rsidP="00BE7858">
      <w:pPr>
        <w:rPr>
          <w:rFonts w:cs="Arial"/>
          <w:sz w:val="18"/>
          <w:szCs w:val="20"/>
          <w:lang w:eastAsia="en-AU"/>
        </w:rPr>
      </w:pPr>
      <w:r w:rsidRPr="005C39EC">
        <w:rPr>
          <w:rFonts w:cs="Arial"/>
          <w:sz w:val="18"/>
          <w:szCs w:val="20"/>
          <w:vertAlign w:val="superscript"/>
          <w:lang w:eastAsia="en-AU"/>
        </w:rPr>
        <w:t>1</w:t>
      </w:r>
      <w:r w:rsidRPr="005C39EC">
        <w:rPr>
          <w:rFonts w:cs="Arial"/>
          <w:sz w:val="18"/>
          <w:szCs w:val="20"/>
          <w:lang w:eastAsia="en-AU"/>
        </w:rPr>
        <w:t xml:space="preserve"> Both ESPGHAN and EFSA define CF as the period when complementary foods are given together with either human milk or a breast</w:t>
      </w:r>
      <w:r w:rsidR="00504E31" w:rsidRPr="005C39EC">
        <w:rPr>
          <w:rFonts w:cs="Arial"/>
          <w:sz w:val="18"/>
          <w:szCs w:val="20"/>
          <w:lang w:eastAsia="en-AU"/>
        </w:rPr>
        <w:t xml:space="preserve"> </w:t>
      </w:r>
      <w:r w:rsidRPr="005C39EC">
        <w:rPr>
          <w:rFonts w:cs="Arial"/>
          <w:sz w:val="18"/>
          <w:szCs w:val="20"/>
          <w:lang w:eastAsia="en-AU"/>
        </w:rPr>
        <w:t>milk substitute.</w:t>
      </w:r>
    </w:p>
    <w:p w14:paraId="5C1197C8" w14:textId="77777777" w:rsidR="0014171C" w:rsidRPr="005C39EC" w:rsidRDefault="0014171C" w:rsidP="00BE7858">
      <w:pPr>
        <w:ind w:left="142" w:hanging="142"/>
        <w:rPr>
          <w:rFonts w:cs="Arial"/>
          <w:sz w:val="18"/>
          <w:szCs w:val="20"/>
        </w:rPr>
      </w:pPr>
      <w:r w:rsidRPr="005C39EC">
        <w:rPr>
          <w:rFonts w:cs="Arial"/>
          <w:sz w:val="18"/>
          <w:szCs w:val="20"/>
          <w:vertAlign w:val="superscript"/>
          <w:lang w:eastAsia="en-AU"/>
        </w:rPr>
        <w:t xml:space="preserve">2 </w:t>
      </w:r>
      <w:r w:rsidRPr="005C39EC">
        <w:rPr>
          <w:rFonts w:cs="Arial"/>
          <w:sz w:val="18"/>
          <w:szCs w:val="20"/>
          <w:lang w:eastAsia="en-AU"/>
        </w:rPr>
        <w:t>Atopic disease, asthma and allergy were the only health outcomes that were examined specifically in relation to introduction of CF (other health outcomes examined were in relation to duration of breastfeeding, as noted).</w:t>
      </w:r>
      <w:r w:rsidRPr="005C39EC">
        <w:rPr>
          <w:rFonts w:cs="Arial"/>
          <w:sz w:val="18"/>
          <w:szCs w:val="20"/>
        </w:rPr>
        <w:br w:type="page"/>
      </w:r>
    </w:p>
    <w:p w14:paraId="29F8B30B" w14:textId="77777777" w:rsidR="0014171C" w:rsidRPr="005C39EC" w:rsidRDefault="001A64EF" w:rsidP="00BE7858">
      <w:pPr>
        <w:pStyle w:val="Heading1"/>
        <w:numPr>
          <w:ilvl w:val="0"/>
          <w:numId w:val="0"/>
        </w:numPr>
        <w:rPr>
          <w:rFonts w:cs="Arial"/>
          <w:lang w:eastAsia="en-AU"/>
        </w:rPr>
      </w:pPr>
      <w:bookmarkStart w:id="31" w:name="_Toc399945840"/>
      <w:r w:rsidRPr="005C39EC">
        <w:rPr>
          <w:rFonts w:cs="Arial"/>
          <w:lang w:eastAsia="en-AU"/>
        </w:rPr>
        <w:lastRenderedPageBreak/>
        <w:t>Attachment</w:t>
      </w:r>
      <w:r w:rsidR="0014171C" w:rsidRPr="005C39EC">
        <w:rPr>
          <w:rFonts w:cs="Arial"/>
          <w:lang w:eastAsia="en-AU"/>
        </w:rPr>
        <w:t xml:space="preserve"> 2</w:t>
      </w:r>
      <w:r w:rsidR="00CC5F30" w:rsidRPr="005C39EC">
        <w:rPr>
          <w:rFonts w:cs="Arial"/>
          <w:lang w:eastAsia="en-AU"/>
        </w:rPr>
        <w:t>:</w:t>
      </w:r>
      <w:r w:rsidR="0051542F" w:rsidRPr="005C39EC">
        <w:rPr>
          <w:rFonts w:cs="Arial"/>
          <w:lang w:eastAsia="en-AU"/>
        </w:rPr>
        <w:t xml:space="preserve"> </w:t>
      </w:r>
      <w:r w:rsidR="0014171C" w:rsidRPr="005C39EC">
        <w:rPr>
          <w:rFonts w:cs="Arial"/>
          <w:lang w:eastAsia="en-AU"/>
        </w:rPr>
        <w:t>Allergy and association with age of complementary feeding</w:t>
      </w:r>
      <w:bookmarkEnd w:id="31"/>
    </w:p>
    <w:p w14:paraId="44F9693D" w14:textId="77777777" w:rsidR="0014171C" w:rsidRPr="005C39EC" w:rsidRDefault="00C15D6A" w:rsidP="00BE7858">
      <w:pPr>
        <w:pStyle w:val="FSTableText"/>
        <w:rPr>
          <w:lang w:eastAsia="en-AU"/>
        </w:rPr>
      </w:pPr>
      <w:proofErr w:type="gramStart"/>
      <w:r w:rsidRPr="005C39EC">
        <w:rPr>
          <w:b/>
          <w:lang w:eastAsia="en-AU"/>
        </w:rPr>
        <w:t>Table A2.1</w:t>
      </w:r>
      <w:r w:rsidRPr="005C39EC">
        <w:rPr>
          <w:lang w:eastAsia="en-AU"/>
        </w:rPr>
        <w:t xml:space="preserve"> </w:t>
      </w:r>
      <w:r w:rsidR="00E35E51" w:rsidRPr="005C39EC">
        <w:rPr>
          <w:lang w:eastAsia="en-AU"/>
        </w:rPr>
        <w:tab/>
        <w:t>Summary of</w:t>
      </w:r>
      <w:r w:rsidR="0014171C" w:rsidRPr="005C39EC">
        <w:rPr>
          <w:lang w:eastAsia="en-AU"/>
        </w:rPr>
        <w:t xml:space="preserve"> primary studies investigating the link between age of introduction of solid foods and risk of food-related allergy, allergic diseases and syndromes.</w:t>
      </w:r>
      <w:proofErr w:type="gramEnd"/>
      <w:r w:rsidR="0014171C" w:rsidRPr="005C39EC">
        <w:rPr>
          <w:lang w:eastAsia="en-AU"/>
        </w:rPr>
        <w:t xml:space="preserve"> Studies were selected as described in Section 3.</w:t>
      </w:r>
      <w:r w:rsidR="008D5B6D" w:rsidRPr="005C39EC">
        <w:rPr>
          <w:lang w:eastAsia="en-AU"/>
        </w:rPr>
        <w:t>2</w:t>
      </w:r>
      <w:r w:rsidR="0014171C" w:rsidRPr="005C39EC">
        <w:rPr>
          <w:lang w:eastAsia="en-AU"/>
        </w:rPr>
        <w:t xml:space="preserve">. Columns on far right indicate where study has been cited by major review publications. See References for citation details. BF = any breast feeding; EBF = exclusive breastfeeding; FF = </w:t>
      </w:r>
      <w:r w:rsidR="0070346D" w:rsidRPr="005C39EC">
        <w:rPr>
          <w:lang w:eastAsia="en-AU"/>
        </w:rPr>
        <w:t>formula-feeding</w:t>
      </w:r>
      <w:r w:rsidR="0014171C" w:rsidRPr="005C39EC">
        <w:rPr>
          <w:lang w:eastAsia="en-AU"/>
        </w:rPr>
        <w:t>; CF = complementary feeding.</w:t>
      </w:r>
    </w:p>
    <w:tbl>
      <w:tblPr>
        <w:tblStyle w:val="TableGrid1"/>
        <w:tblW w:w="14567" w:type="dxa"/>
        <w:tblLayout w:type="fixed"/>
        <w:tblLook w:val="04A0" w:firstRow="1" w:lastRow="0" w:firstColumn="1" w:lastColumn="0" w:noHBand="0" w:noVBand="1"/>
      </w:tblPr>
      <w:tblGrid>
        <w:gridCol w:w="1526"/>
        <w:gridCol w:w="1559"/>
        <w:gridCol w:w="716"/>
        <w:gridCol w:w="850"/>
        <w:gridCol w:w="851"/>
        <w:gridCol w:w="3388"/>
        <w:gridCol w:w="4243"/>
        <w:gridCol w:w="8"/>
        <w:gridCol w:w="8"/>
        <w:gridCol w:w="272"/>
        <w:gridCol w:w="12"/>
        <w:gridCol w:w="278"/>
        <w:gridCol w:w="287"/>
        <w:gridCol w:w="284"/>
        <w:gridCol w:w="285"/>
      </w:tblGrid>
      <w:tr w:rsidR="0014171C" w:rsidRPr="005C39EC" w14:paraId="6772DCDD" w14:textId="77777777" w:rsidTr="002609FD">
        <w:trPr>
          <w:tblHeader/>
        </w:trPr>
        <w:tc>
          <w:tcPr>
            <w:tcW w:w="1526" w:type="dxa"/>
            <w:vMerge w:val="restart"/>
            <w:tcBorders>
              <w:bottom w:val="single" w:sz="4" w:space="0" w:color="FFFFFF" w:themeColor="background1"/>
              <w:right w:val="single" w:sz="4" w:space="0" w:color="FFFFFF" w:themeColor="background1"/>
            </w:tcBorders>
            <w:shd w:val="clear" w:color="auto" w:fill="000000" w:themeFill="text1"/>
            <w:vAlign w:val="center"/>
          </w:tcPr>
          <w:p w14:paraId="2F472480" w14:textId="77777777" w:rsidR="0014171C" w:rsidRPr="005C39EC" w:rsidRDefault="0014171C" w:rsidP="00BE7858">
            <w:pPr>
              <w:rPr>
                <w:rFonts w:ascii="Arial" w:hAnsi="Arial" w:cs="Arial"/>
                <w:b/>
                <w:color w:val="FFFFFF"/>
                <w:lang w:eastAsia="en-AU"/>
              </w:rPr>
            </w:pPr>
            <w:r w:rsidRPr="005C39EC">
              <w:rPr>
                <w:rFonts w:ascii="Arial" w:hAnsi="Arial" w:cs="Arial"/>
                <w:b/>
                <w:color w:val="FFFFFF"/>
                <w:lang w:eastAsia="en-AU"/>
              </w:rPr>
              <w:t>Study</w:t>
            </w:r>
          </w:p>
          <w:p w14:paraId="57500616" w14:textId="77777777" w:rsidR="0014171C" w:rsidRPr="005C39EC" w:rsidRDefault="0014171C" w:rsidP="00BE7858">
            <w:pPr>
              <w:rPr>
                <w:rFonts w:ascii="Arial" w:hAnsi="Arial" w:cs="Arial"/>
                <w:b/>
                <w:color w:val="FFFFFF"/>
                <w:lang w:eastAsia="en-AU"/>
              </w:rPr>
            </w:pPr>
            <w:r w:rsidRPr="005C39EC">
              <w:rPr>
                <w:rFonts w:ascii="Arial" w:hAnsi="Arial" w:cs="Arial"/>
                <w:b/>
                <w:color w:val="FFFFFF"/>
                <w:lang w:eastAsia="en-AU"/>
              </w:rPr>
              <w:t>(location)</w:t>
            </w:r>
          </w:p>
        </w:tc>
        <w:tc>
          <w:tcPr>
            <w:tcW w:w="1559"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4064DB0" w14:textId="77777777" w:rsidR="0014171C" w:rsidRPr="005C39EC" w:rsidRDefault="0014171C" w:rsidP="00BE7858">
            <w:pPr>
              <w:rPr>
                <w:rFonts w:ascii="Arial" w:hAnsi="Arial" w:cs="Arial"/>
                <w:b/>
                <w:color w:val="FFFFFF"/>
                <w:lang w:eastAsia="en-AU"/>
              </w:rPr>
            </w:pPr>
            <w:r w:rsidRPr="005C39EC">
              <w:rPr>
                <w:rFonts w:ascii="Arial" w:hAnsi="Arial" w:cs="Arial"/>
                <w:b/>
                <w:color w:val="FFFFFF"/>
                <w:lang w:eastAsia="en-AU"/>
              </w:rPr>
              <w:t>Type &amp; Population</w:t>
            </w:r>
          </w:p>
        </w:tc>
        <w:tc>
          <w:tcPr>
            <w:tcW w:w="716"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0DF2EA7" w14:textId="77777777" w:rsidR="0014171C" w:rsidRPr="005C39EC" w:rsidRDefault="0014171C" w:rsidP="00BE7858">
            <w:pPr>
              <w:rPr>
                <w:rFonts w:ascii="Arial" w:hAnsi="Arial" w:cs="Arial"/>
                <w:b/>
                <w:color w:val="FFFFFF"/>
                <w:lang w:eastAsia="en-AU"/>
              </w:rPr>
            </w:pPr>
            <w:r w:rsidRPr="005C39EC">
              <w:rPr>
                <w:rFonts w:ascii="Arial" w:hAnsi="Arial" w:cs="Arial"/>
                <w:b/>
                <w:color w:val="FFFFFF"/>
                <w:lang w:eastAsia="en-AU"/>
              </w:rPr>
              <w:t>N</w:t>
            </w:r>
          </w:p>
        </w:tc>
        <w:tc>
          <w:tcPr>
            <w:tcW w:w="850"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D0DB514" w14:textId="77777777" w:rsidR="0014171C" w:rsidRPr="005C39EC" w:rsidRDefault="0014171C" w:rsidP="00BE7858">
            <w:pPr>
              <w:rPr>
                <w:rFonts w:ascii="Arial" w:hAnsi="Arial" w:cs="Arial"/>
                <w:b/>
                <w:color w:val="FFFFFF"/>
                <w:lang w:eastAsia="en-AU"/>
              </w:rPr>
            </w:pPr>
            <w:r w:rsidRPr="005C39EC">
              <w:rPr>
                <w:rFonts w:ascii="Arial" w:hAnsi="Arial" w:cs="Arial"/>
                <w:b/>
                <w:color w:val="FFFFFF"/>
                <w:lang w:eastAsia="en-AU"/>
              </w:rPr>
              <w:t>Effect</w:t>
            </w:r>
            <w:r w:rsidRPr="005C39EC">
              <w:rPr>
                <w:rFonts w:ascii="Arial" w:hAnsi="Arial" w:cs="Arial"/>
                <w:b/>
                <w:color w:val="FFFFFF"/>
                <w:vertAlign w:val="superscript"/>
                <w:lang w:eastAsia="en-AU"/>
              </w:rPr>
              <w:t>1</w:t>
            </w:r>
          </w:p>
        </w:tc>
        <w:tc>
          <w:tcPr>
            <w:tcW w:w="851"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1E89635" w14:textId="77777777" w:rsidR="0014171C" w:rsidRPr="005C39EC" w:rsidRDefault="0014171C" w:rsidP="00BE7858">
            <w:pPr>
              <w:ind w:left="-108"/>
              <w:rPr>
                <w:rFonts w:ascii="Arial" w:hAnsi="Arial" w:cs="Arial"/>
                <w:b/>
                <w:color w:val="FFFFFF"/>
                <w:lang w:eastAsia="en-AU"/>
              </w:rPr>
            </w:pPr>
            <w:r w:rsidRPr="005C39EC">
              <w:rPr>
                <w:rFonts w:ascii="Arial" w:hAnsi="Arial" w:cs="Arial"/>
                <w:b/>
                <w:color w:val="FFFFFF"/>
                <w:lang w:eastAsia="en-AU"/>
              </w:rPr>
              <w:t>Age assessed</w:t>
            </w:r>
          </w:p>
        </w:tc>
        <w:tc>
          <w:tcPr>
            <w:tcW w:w="3388"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2D75634" w14:textId="77777777" w:rsidR="0014171C" w:rsidRPr="005C39EC" w:rsidRDefault="0014171C" w:rsidP="00BE7858">
            <w:pPr>
              <w:rPr>
                <w:rFonts w:ascii="Arial" w:hAnsi="Arial" w:cs="Arial"/>
                <w:b/>
                <w:color w:val="FFFFFF"/>
                <w:lang w:eastAsia="en-AU"/>
              </w:rPr>
            </w:pPr>
            <w:r w:rsidRPr="005C39EC">
              <w:rPr>
                <w:rFonts w:ascii="Arial" w:hAnsi="Arial" w:cs="Arial"/>
                <w:b/>
                <w:color w:val="FFFFFF"/>
                <w:lang w:eastAsia="en-AU"/>
              </w:rPr>
              <w:t>Exposure variable</w:t>
            </w:r>
          </w:p>
          <w:p w14:paraId="7A12F8C1" w14:textId="77777777" w:rsidR="0014171C" w:rsidRPr="005C39EC" w:rsidRDefault="0014171C" w:rsidP="00BE7858">
            <w:pPr>
              <w:tabs>
                <w:tab w:val="left" w:pos="3098"/>
              </w:tabs>
              <w:rPr>
                <w:rFonts w:ascii="Arial" w:hAnsi="Arial" w:cs="Arial"/>
                <w:b/>
                <w:color w:val="FFFFFF"/>
                <w:lang w:eastAsia="en-AU"/>
              </w:rPr>
            </w:pPr>
            <w:r w:rsidRPr="005C39EC">
              <w:rPr>
                <w:rFonts w:ascii="Arial" w:hAnsi="Arial" w:cs="Arial"/>
                <w:b/>
                <w:color w:val="FFFFFF"/>
                <w:lang w:eastAsia="en-AU"/>
              </w:rPr>
              <w:t>(foods introduced; time period)</w:t>
            </w:r>
          </w:p>
        </w:tc>
        <w:tc>
          <w:tcPr>
            <w:tcW w:w="4243"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4DE0B95" w14:textId="77777777" w:rsidR="0014171C" w:rsidRPr="005C39EC" w:rsidRDefault="0014171C" w:rsidP="00BE7858">
            <w:pPr>
              <w:rPr>
                <w:rFonts w:ascii="Arial" w:hAnsi="Arial" w:cs="Arial"/>
                <w:b/>
                <w:color w:val="FFFFFF"/>
                <w:lang w:eastAsia="en-AU"/>
              </w:rPr>
            </w:pPr>
            <w:r w:rsidRPr="005C39EC">
              <w:rPr>
                <w:rFonts w:ascii="Arial" w:hAnsi="Arial" w:cs="Arial"/>
                <w:b/>
                <w:color w:val="FFFFFF"/>
                <w:lang w:eastAsia="en-AU"/>
              </w:rPr>
              <w:t>Outcome</w:t>
            </w:r>
          </w:p>
        </w:tc>
        <w:tc>
          <w:tcPr>
            <w:tcW w:w="1434" w:type="dxa"/>
            <w:gridSpan w:val="8"/>
            <w:tcBorders>
              <w:left w:val="single" w:sz="4" w:space="0" w:color="FFFFFF" w:themeColor="background1"/>
              <w:bottom w:val="single" w:sz="4" w:space="0" w:color="FFFFFF" w:themeColor="background1"/>
            </w:tcBorders>
            <w:shd w:val="clear" w:color="auto" w:fill="000000" w:themeFill="text1"/>
            <w:vAlign w:val="center"/>
          </w:tcPr>
          <w:p w14:paraId="156F3C8E" w14:textId="77777777" w:rsidR="0014171C" w:rsidRPr="005C39EC" w:rsidRDefault="0014171C" w:rsidP="00BE7858">
            <w:pPr>
              <w:ind w:left="-108" w:firstLine="108"/>
              <w:jc w:val="center"/>
              <w:rPr>
                <w:rFonts w:ascii="Arial" w:hAnsi="Arial" w:cs="Arial"/>
                <w:b/>
                <w:color w:val="FFFFFF"/>
                <w:lang w:eastAsia="en-AU"/>
              </w:rPr>
            </w:pPr>
            <w:r w:rsidRPr="005C39EC">
              <w:rPr>
                <w:rFonts w:ascii="Arial" w:hAnsi="Arial" w:cs="Arial"/>
                <w:b/>
                <w:color w:val="FFFFFF"/>
                <w:lang w:eastAsia="en-AU"/>
              </w:rPr>
              <w:t xml:space="preserve">Cited by </w:t>
            </w:r>
            <w:r w:rsidRPr="005C39EC">
              <w:rPr>
                <w:rFonts w:ascii="Arial" w:hAnsi="Arial" w:cs="Arial"/>
                <w:b/>
                <w:color w:val="FFFFFF"/>
                <w:vertAlign w:val="superscript"/>
                <w:lang w:eastAsia="en-AU"/>
              </w:rPr>
              <w:t>2</w:t>
            </w:r>
          </w:p>
        </w:tc>
      </w:tr>
      <w:tr w:rsidR="0014171C" w:rsidRPr="005C39EC" w14:paraId="14744A1B" w14:textId="77777777" w:rsidTr="002609FD">
        <w:trPr>
          <w:tblHeader/>
        </w:trPr>
        <w:tc>
          <w:tcPr>
            <w:tcW w:w="1526" w:type="dxa"/>
            <w:vMerge/>
            <w:tcBorders>
              <w:top w:val="single" w:sz="4" w:space="0" w:color="FFFFFF" w:themeColor="background1"/>
              <w:right w:val="single" w:sz="4" w:space="0" w:color="FFFFFF" w:themeColor="background1"/>
            </w:tcBorders>
            <w:shd w:val="clear" w:color="auto" w:fill="000000" w:themeFill="text1"/>
          </w:tcPr>
          <w:p w14:paraId="3C8FFCDA" w14:textId="77777777" w:rsidR="0014171C" w:rsidRPr="005C39EC" w:rsidRDefault="0014171C" w:rsidP="00BE7858">
            <w:pPr>
              <w:rPr>
                <w:rFonts w:ascii="Arial" w:hAnsi="Arial" w:cs="Arial"/>
                <w:color w:val="FFFFFF"/>
                <w:lang w:eastAsia="en-AU"/>
              </w:rPr>
            </w:pPr>
          </w:p>
        </w:tc>
        <w:tc>
          <w:tcPr>
            <w:tcW w:w="1559" w:type="dxa"/>
            <w:vMerge/>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7AE4069E" w14:textId="77777777" w:rsidR="0014171C" w:rsidRPr="005C39EC" w:rsidRDefault="0014171C" w:rsidP="00BE7858">
            <w:pPr>
              <w:rPr>
                <w:rFonts w:ascii="Arial" w:hAnsi="Arial" w:cs="Arial"/>
                <w:color w:val="FFFFFF"/>
                <w:lang w:eastAsia="en-AU"/>
              </w:rPr>
            </w:pPr>
          </w:p>
        </w:tc>
        <w:tc>
          <w:tcPr>
            <w:tcW w:w="716" w:type="dxa"/>
            <w:vMerge/>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18DEC9EC" w14:textId="77777777" w:rsidR="0014171C" w:rsidRPr="005C39EC" w:rsidRDefault="0014171C" w:rsidP="00BE7858">
            <w:pPr>
              <w:rPr>
                <w:rFonts w:ascii="Arial" w:hAnsi="Arial" w:cs="Arial"/>
                <w:color w:val="FFFFFF"/>
                <w:lang w:eastAsia="en-AU"/>
              </w:rPr>
            </w:pPr>
          </w:p>
        </w:tc>
        <w:tc>
          <w:tcPr>
            <w:tcW w:w="850" w:type="dxa"/>
            <w:vMerge/>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35F51337" w14:textId="77777777" w:rsidR="0014171C" w:rsidRPr="005C39EC" w:rsidRDefault="0014171C" w:rsidP="00BE7858">
            <w:pPr>
              <w:rPr>
                <w:rFonts w:ascii="Arial" w:hAnsi="Arial" w:cs="Arial"/>
                <w:color w:val="FFFFFF"/>
                <w:lang w:eastAsia="en-AU"/>
              </w:rPr>
            </w:pPr>
          </w:p>
        </w:tc>
        <w:tc>
          <w:tcPr>
            <w:tcW w:w="851" w:type="dxa"/>
            <w:vMerge/>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15EEEC77" w14:textId="77777777" w:rsidR="0014171C" w:rsidRPr="005C39EC" w:rsidRDefault="0014171C" w:rsidP="00BE7858">
            <w:pPr>
              <w:rPr>
                <w:rFonts w:ascii="Arial" w:hAnsi="Arial" w:cs="Arial"/>
                <w:color w:val="FFFFFF"/>
                <w:lang w:eastAsia="en-AU"/>
              </w:rPr>
            </w:pPr>
          </w:p>
        </w:tc>
        <w:tc>
          <w:tcPr>
            <w:tcW w:w="3388" w:type="dxa"/>
            <w:vMerge/>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09F24FA6" w14:textId="77777777" w:rsidR="0014171C" w:rsidRPr="005C39EC" w:rsidRDefault="0014171C" w:rsidP="00BE7858">
            <w:pPr>
              <w:rPr>
                <w:rFonts w:ascii="Arial" w:hAnsi="Arial" w:cs="Arial"/>
                <w:color w:val="FFFFFF"/>
                <w:lang w:eastAsia="en-AU"/>
              </w:rPr>
            </w:pPr>
          </w:p>
        </w:tc>
        <w:tc>
          <w:tcPr>
            <w:tcW w:w="4243" w:type="dxa"/>
            <w:vMerge/>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2FE6528C" w14:textId="77777777" w:rsidR="0014171C" w:rsidRPr="005C39EC" w:rsidRDefault="0014171C" w:rsidP="00BE7858">
            <w:pPr>
              <w:rPr>
                <w:rFonts w:ascii="Arial" w:hAnsi="Arial" w:cs="Arial"/>
                <w:color w:val="FFFFFF"/>
                <w:lang w:eastAsia="en-AU"/>
              </w:rPr>
            </w:pPr>
          </w:p>
        </w:tc>
        <w:tc>
          <w:tcPr>
            <w:tcW w:w="288" w:type="dxa"/>
            <w:gridSpan w:val="3"/>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31F98406" w14:textId="77777777" w:rsidR="0014171C" w:rsidRPr="005C39EC" w:rsidRDefault="0014171C" w:rsidP="00BE7858">
            <w:pPr>
              <w:ind w:left="-250" w:right="-129" w:firstLine="108"/>
              <w:jc w:val="center"/>
              <w:rPr>
                <w:rFonts w:ascii="Arial" w:hAnsi="Arial" w:cs="Arial"/>
                <w:color w:val="FFFFFF"/>
                <w:lang w:eastAsia="en-AU"/>
              </w:rPr>
            </w:pPr>
            <w:r w:rsidRPr="005C39EC">
              <w:rPr>
                <w:rFonts w:ascii="Arial" w:hAnsi="Arial" w:cs="Arial"/>
                <w:color w:val="FFFFFF"/>
                <w:lang w:eastAsia="en-AU"/>
              </w:rPr>
              <w:t>ES</w:t>
            </w:r>
          </w:p>
        </w:tc>
        <w:tc>
          <w:tcPr>
            <w:tcW w:w="290" w:type="dxa"/>
            <w:gridSpan w:val="2"/>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4C4AB8BD" w14:textId="77777777" w:rsidR="0014171C" w:rsidRPr="005C39EC" w:rsidRDefault="0014171C" w:rsidP="00BE7858">
            <w:pPr>
              <w:ind w:left="-108" w:right="-126"/>
              <w:jc w:val="center"/>
              <w:rPr>
                <w:rFonts w:ascii="Arial" w:hAnsi="Arial" w:cs="Arial"/>
                <w:color w:val="FFFFFF"/>
                <w:lang w:eastAsia="en-AU"/>
              </w:rPr>
            </w:pPr>
            <w:r w:rsidRPr="005C39EC">
              <w:rPr>
                <w:rFonts w:ascii="Arial" w:hAnsi="Arial" w:cs="Arial"/>
                <w:color w:val="FFFFFF"/>
                <w:lang w:eastAsia="en-AU"/>
              </w:rPr>
              <w:t>A</w:t>
            </w:r>
          </w:p>
        </w:tc>
        <w:tc>
          <w:tcPr>
            <w:tcW w:w="287"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699E0D57" w14:textId="77777777" w:rsidR="0014171C" w:rsidRPr="005C39EC" w:rsidRDefault="0014171C" w:rsidP="00BE7858">
            <w:pPr>
              <w:ind w:left="-108" w:right="-126"/>
              <w:jc w:val="center"/>
              <w:rPr>
                <w:rFonts w:ascii="Arial" w:hAnsi="Arial" w:cs="Arial"/>
                <w:color w:val="FFFFFF"/>
                <w:lang w:eastAsia="en-AU"/>
              </w:rPr>
            </w:pPr>
            <w:r w:rsidRPr="005C39EC">
              <w:rPr>
                <w:rFonts w:ascii="Arial" w:hAnsi="Arial" w:cs="Arial"/>
                <w:color w:val="FFFFFF"/>
                <w:lang w:eastAsia="en-AU"/>
              </w:rPr>
              <w:t>N</w:t>
            </w:r>
          </w:p>
        </w:tc>
        <w:tc>
          <w:tcPr>
            <w:tcW w:w="284"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6F72A4E9" w14:textId="77777777" w:rsidR="0014171C" w:rsidRPr="005C39EC" w:rsidRDefault="0014171C" w:rsidP="00BE7858">
            <w:pPr>
              <w:ind w:left="-108" w:right="-126"/>
              <w:jc w:val="center"/>
              <w:rPr>
                <w:rFonts w:ascii="Arial" w:hAnsi="Arial" w:cs="Arial"/>
                <w:color w:val="FFFFFF"/>
                <w:lang w:eastAsia="en-AU"/>
              </w:rPr>
            </w:pPr>
            <w:r w:rsidRPr="005C39EC">
              <w:rPr>
                <w:rFonts w:ascii="Arial" w:hAnsi="Arial" w:cs="Arial"/>
                <w:color w:val="FFFFFF"/>
                <w:lang w:eastAsia="en-AU"/>
              </w:rPr>
              <w:t>EF</w:t>
            </w:r>
          </w:p>
        </w:tc>
        <w:tc>
          <w:tcPr>
            <w:tcW w:w="285" w:type="dxa"/>
            <w:tcBorders>
              <w:top w:val="single" w:sz="4" w:space="0" w:color="FFFFFF" w:themeColor="background1"/>
              <w:left w:val="single" w:sz="4" w:space="0" w:color="FFFFFF" w:themeColor="background1"/>
            </w:tcBorders>
            <w:shd w:val="clear" w:color="auto" w:fill="000000" w:themeFill="text1"/>
            <w:vAlign w:val="center"/>
          </w:tcPr>
          <w:p w14:paraId="1C2D6479" w14:textId="77777777" w:rsidR="0014171C" w:rsidRPr="005C39EC" w:rsidRDefault="0014171C" w:rsidP="00BE7858">
            <w:pPr>
              <w:ind w:left="-108" w:right="-126"/>
              <w:jc w:val="center"/>
              <w:rPr>
                <w:rFonts w:ascii="Arial" w:hAnsi="Arial" w:cs="Arial"/>
                <w:color w:val="FFFFFF"/>
                <w:lang w:eastAsia="en-AU"/>
              </w:rPr>
            </w:pPr>
            <w:r w:rsidRPr="005C39EC">
              <w:rPr>
                <w:rFonts w:ascii="Arial" w:hAnsi="Arial" w:cs="Arial"/>
                <w:color w:val="FFFFFF"/>
                <w:lang w:eastAsia="en-AU"/>
              </w:rPr>
              <w:t>PP</w:t>
            </w:r>
          </w:p>
        </w:tc>
      </w:tr>
      <w:tr w:rsidR="0014171C" w:rsidRPr="005C39EC" w14:paraId="0C5D605C" w14:textId="77777777" w:rsidTr="002609FD">
        <w:trPr>
          <w:trHeight w:val="306"/>
        </w:trPr>
        <w:tc>
          <w:tcPr>
            <w:tcW w:w="14567" w:type="dxa"/>
            <w:gridSpan w:val="15"/>
            <w:shd w:val="clear" w:color="auto" w:fill="D9D9D9" w:themeFill="background1" w:themeFillShade="D9"/>
            <w:vAlign w:val="center"/>
          </w:tcPr>
          <w:p w14:paraId="4C4BA09C" w14:textId="77777777" w:rsidR="0014171C" w:rsidRPr="005C39EC" w:rsidRDefault="0014171C" w:rsidP="00BE7858">
            <w:pPr>
              <w:rPr>
                <w:rFonts w:ascii="Arial" w:hAnsi="Arial" w:cs="Arial"/>
                <w:lang w:eastAsia="en-AU"/>
              </w:rPr>
            </w:pPr>
            <w:r w:rsidRPr="005C39EC">
              <w:rPr>
                <w:rFonts w:ascii="Arial" w:hAnsi="Arial" w:cs="Arial"/>
                <w:lang w:eastAsia="en-AU"/>
              </w:rPr>
              <w:t xml:space="preserve">Evidence shows early (before 4 mo) increases risk of allergic disease </w:t>
            </w:r>
          </w:p>
        </w:tc>
      </w:tr>
      <w:tr w:rsidR="0014171C" w:rsidRPr="005C39EC" w14:paraId="5CDD00A8" w14:textId="77777777" w:rsidTr="002609FD">
        <w:tc>
          <w:tcPr>
            <w:tcW w:w="1526" w:type="dxa"/>
          </w:tcPr>
          <w:p w14:paraId="75465B2C" w14:textId="77777777" w:rsidR="0014171C" w:rsidRPr="005C39EC" w:rsidRDefault="0014171C" w:rsidP="00BE7858">
            <w:pPr>
              <w:rPr>
                <w:rFonts w:ascii="Arial" w:hAnsi="Arial" w:cs="Arial"/>
                <w:lang w:eastAsia="en-AU"/>
              </w:rPr>
            </w:pPr>
            <w:r w:rsidRPr="005C39EC">
              <w:rPr>
                <w:rFonts w:ascii="Arial" w:hAnsi="Arial" w:cs="Arial"/>
                <w:lang w:eastAsia="en-AU"/>
              </w:rPr>
              <w:t xml:space="preserve">1981 Fergusson </w:t>
            </w:r>
          </w:p>
          <w:p w14:paraId="27249834" w14:textId="77777777" w:rsidR="0014171C" w:rsidRPr="005C39EC" w:rsidRDefault="0014171C" w:rsidP="00BE7858">
            <w:pPr>
              <w:rPr>
                <w:rFonts w:ascii="Arial" w:hAnsi="Arial" w:cs="Arial"/>
                <w:lang w:eastAsia="en-AU"/>
              </w:rPr>
            </w:pPr>
            <w:r w:rsidRPr="005C39EC">
              <w:rPr>
                <w:rFonts w:ascii="Arial" w:hAnsi="Arial" w:cs="Arial"/>
                <w:lang w:eastAsia="en-AU"/>
              </w:rPr>
              <w:t>(New Zealand)</w:t>
            </w:r>
          </w:p>
          <w:p w14:paraId="41EFC80D" w14:textId="77777777" w:rsidR="0014171C" w:rsidRPr="005C39EC" w:rsidRDefault="0014171C" w:rsidP="00BE7858">
            <w:pPr>
              <w:rPr>
                <w:rFonts w:ascii="Arial" w:hAnsi="Arial" w:cs="Arial"/>
                <w:lang w:eastAsia="en-AU"/>
              </w:rPr>
            </w:pPr>
          </w:p>
        </w:tc>
        <w:tc>
          <w:tcPr>
            <w:tcW w:w="1559" w:type="dxa"/>
          </w:tcPr>
          <w:p w14:paraId="26DA674D" w14:textId="77777777" w:rsidR="0014171C" w:rsidRPr="005C39EC" w:rsidRDefault="0014171C" w:rsidP="00BE7858">
            <w:pPr>
              <w:rPr>
                <w:rFonts w:ascii="Arial" w:hAnsi="Arial" w:cs="Arial"/>
                <w:lang w:eastAsia="en-AU"/>
              </w:rPr>
            </w:pPr>
            <w:r w:rsidRPr="005C39EC">
              <w:rPr>
                <w:rFonts w:ascii="Arial" w:hAnsi="Arial" w:cs="Arial"/>
                <w:lang w:eastAsia="en-AU"/>
              </w:rPr>
              <w:t>Cohort ± parental history of atopy</w:t>
            </w:r>
          </w:p>
        </w:tc>
        <w:tc>
          <w:tcPr>
            <w:tcW w:w="716" w:type="dxa"/>
          </w:tcPr>
          <w:p w14:paraId="23B9C0E1" w14:textId="77777777" w:rsidR="0014171C" w:rsidRPr="005C39EC" w:rsidRDefault="0014171C" w:rsidP="00BE7858">
            <w:pPr>
              <w:rPr>
                <w:rFonts w:ascii="Arial" w:hAnsi="Arial" w:cs="Arial"/>
                <w:lang w:eastAsia="en-AU"/>
              </w:rPr>
            </w:pPr>
            <w:r w:rsidRPr="005C39EC">
              <w:rPr>
                <w:rFonts w:ascii="Arial" w:hAnsi="Arial" w:cs="Arial"/>
                <w:lang w:eastAsia="en-AU"/>
              </w:rPr>
              <w:t>1265</w:t>
            </w:r>
          </w:p>
        </w:tc>
        <w:tc>
          <w:tcPr>
            <w:tcW w:w="850" w:type="dxa"/>
          </w:tcPr>
          <w:p w14:paraId="28292B4A" w14:textId="77777777" w:rsidR="0014171C" w:rsidRPr="005C39EC" w:rsidRDefault="0014171C" w:rsidP="00BE7858">
            <w:pPr>
              <w:rPr>
                <w:rFonts w:ascii="Arial" w:hAnsi="Arial" w:cs="Arial"/>
                <w:lang w:eastAsia="en-AU"/>
              </w:rPr>
            </w:pPr>
            <w:r w:rsidRPr="005C39EC">
              <w:rPr>
                <w:rFonts w:ascii="Arial" w:hAnsi="Arial" w:cs="Arial"/>
                <w:lang w:eastAsia="en-AU"/>
              </w:rPr>
              <w:t>E</w:t>
            </w:r>
          </w:p>
        </w:tc>
        <w:tc>
          <w:tcPr>
            <w:tcW w:w="851" w:type="dxa"/>
          </w:tcPr>
          <w:p w14:paraId="4E6E8E86" w14:textId="77777777" w:rsidR="0014171C" w:rsidRPr="005C39EC" w:rsidRDefault="0014171C" w:rsidP="00BE7858">
            <w:pPr>
              <w:rPr>
                <w:rFonts w:ascii="Arial" w:hAnsi="Arial" w:cs="Arial"/>
                <w:lang w:eastAsia="en-AU"/>
              </w:rPr>
            </w:pPr>
            <w:r w:rsidRPr="005C39EC">
              <w:rPr>
                <w:rFonts w:ascii="Arial" w:hAnsi="Arial" w:cs="Arial"/>
                <w:lang w:eastAsia="en-AU"/>
              </w:rPr>
              <w:t>2 yr</w:t>
            </w:r>
          </w:p>
        </w:tc>
        <w:tc>
          <w:tcPr>
            <w:tcW w:w="3388" w:type="dxa"/>
            <w:shd w:val="clear" w:color="auto" w:fill="FFFFFF" w:themeFill="background1"/>
          </w:tcPr>
          <w:p w14:paraId="025E7FF4" w14:textId="77777777" w:rsidR="0014171C" w:rsidRPr="005C39EC" w:rsidRDefault="0014171C" w:rsidP="00BE7858">
            <w:pPr>
              <w:rPr>
                <w:rFonts w:ascii="Arial" w:hAnsi="Arial" w:cs="Arial"/>
                <w:lang w:eastAsia="en-AU"/>
              </w:rPr>
            </w:pPr>
            <w:r w:rsidRPr="005C39EC">
              <w:rPr>
                <w:rFonts w:ascii="Arial" w:hAnsi="Arial" w:cs="Arial"/>
                <w:lang w:eastAsia="en-AU"/>
              </w:rPr>
              <w:t>Solid foods at before/afte</w:t>
            </w:r>
            <w:r w:rsidR="0070346D" w:rsidRPr="005C39EC">
              <w:rPr>
                <w:rFonts w:ascii="Arial" w:hAnsi="Arial" w:cs="Arial"/>
                <w:lang w:eastAsia="en-AU"/>
              </w:rPr>
              <w:t>r 4 mo in breastfed and formula-</w:t>
            </w:r>
            <w:r w:rsidRPr="005C39EC">
              <w:rPr>
                <w:rFonts w:ascii="Arial" w:hAnsi="Arial" w:cs="Arial"/>
                <w:lang w:eastAsia="en-AU"/>
              </w:rPr>
              <w:t>fed infants</w:t>
            </w:r>
          </w:p>
        </w:tc>
        <w:tc>
          <w:tcPr>
            <w:tcW w:w="4243" w:type="dxa"/>
          </w:tcPr>
          <w:p w14:paraId="7E5F5BE0" w14:textId="77777777" w:rsidR="0014171C" w:rsidRPr="005C39EC" w:rsidRDefault="0014171C" w:rsidP="00BE7858">
            <w:pPr>
              <w:rPr>
                <w:rFonts w:ascii="Arial" w:hAnsi="Arial" w:cs="Arial"/>
                <w:lang w:eastAsia="en-AU"/>
              </w:rPr>
            </w:pPr>
            <w:r w:rsidRPr="005C39EC">
              <w:rPr>
                <w:rFonts w:ascii="Arial" w:hAnsi="Arial" w:cs="Arial"/>
                <w:lang w:eastAsia="en-AU"/>
              </w:rPr>
              <w:t xml:space="preserve">Solid foods introduced before 4 mo increases risk of E in both </w:t>
            </w:r>
            <w:r w:rsidR="0070346D" w:rsidRPr="005C39EC">
              <w:rPr>
                <w:rFonts w:ascii="Arial" w:hAnsi="Arial" w:cs="Arial"/>
                <w:lang w:eastAsia="en-AU"/>
              </w:rPr>
              <w:t>breastfed and formula-</w:t>
            </w:r>
            <w:r w:rsidRPr="005C39EC">
              <w:rPr>
                <w:rFonts w:ascii="Arial" w:hAnsi="Arial" w:cs="Arial"/>
                <w:lang w:eastAsia="en-AU"/>
              </w:rPr>
              <w:t>fed infants</w:t>
            </w:r>
          </w:p>
        </w:tc>
        <w:tc>
          <w:tcPr>
            <w:tcW w:w="288" w:type="dxa"/>
            <w:gridSpan w:val="3"/>
            <w:vAlign w:val="center"/>
          </w:tcPr>
          <w:p w14:paraId="2B548EF9" w14:textId="77777777" w:rsidR="0014171C" w:rsidRPr="005C39EC" w:rsidRDefault="0014171C" w:rsidP="00BE7858">
            <w:pPr>
              <w:rPr>
                <w:rFonts w:ascii="Arial" w:hAnsi="Arial" w:cs="Arial"/>
                <w:lang w:eastAsia="en-AU"/>
              </w:rPr>
            </w:pPr>
          </w:p>
        </w:tc>
        <w:tc>
          <w:tcPr>
            <w:tcW w:w="290" w:type="dxa"/>
            <w:gridSpan w:val="2"/>
            <w:shd w:val="clear" w:color="auto" w:fill="FFFFFF" w:themeFill="background1"/>
            <w:vAlign w:val="center"/>
          </w:tcPr>
          <w:p w14:paraId="65FDB4E8" w14:textId="77777777" w:rsidR="0014171C" w:rsidRPr="005C39EC" w:rsidRDefault="0014171C" w:rsidP="00BE7858">
            <w:pPr>
              <w:rPr>
                <w:rFonts w:ascii="Arial" w:hAnsi="Arial" w:cs="Arial"/>
                <w:lang w:eastAsia="en-AU"/>
              </w:rPr>
            </w:pPr>
          </w:p>
        </w:tc>
        <w:tc>
          <w:tcPr>
            <w:tcW w:w="287" w:type="dxa"/>
            <w:shd w:val="clear" w:color="auto" w:fill="FFFFFF" w:themeFill="background1"/>
            <w:vAlign w:val="center"/>
          </w:tcPr>
          <w:p w14:paraId="511208F0" w14:textId="77777777" w:rsidR="0014171C" w:rsidRPr="005C39EC" w:rsidRDefault="0014171C" w:rsidP="00BE7858">
            <w:pPr>
              <w:rPr>
                <w:rFonts w:ascii="Arial" w:hAnsi="Arial" w:cs="Arial"/>
                <w:lang w:eastAsia="en-AU"/>
              </w:rPr>
            </w:pPr>
          </w:p>
        </w:tc>
        <w:tc>
          <w:tcPr>
            <w:tcW w:w="284" w:type="dxa"/>
            <w:shd w:val="clear" w:color="auto" w:fill="FDE9D9" w:themeFill="accent6" w:themeFillTint="33"/>
            <w:vAlign w:val="center"/>
          </w:tcPr>
          <w:p w14:paraId="3BEDC52A"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85" w:type="dxa"/>
            <w:shd w:val="clear" w:color="auto" w:fill="FFFFFF" w:themeFill="background1"/>
            <w:vAlign w:val="center"/>
          </w:tcPr>
          <w:p w14:paraId="2BB1BE44" w14:textId="77777777" w:rsidR="0014171C" w:rsidRPr="005C39EC" w:rsidRDefault="0014171C" w:rsidP="00BE7858">
            <w:pPr>
              <w:rPr>
                <w:rFonts w:ascii="Arial" w:hAnsi="Arial" w:cs="Arial"/>
                <w:lang w:eastAsia="en-AU"/>
              </w:rPr>
            </w:pPr>
          </w:p>
        </w:tc>
      </w:tr>
      <w:tr w:rsidR="0014171C" w:rsidRPr="005C39EC" w14:paraId="5E2CF0C0" w14:textId="77777777" w:rsidTr="002609FD">
        <w:tc>
          <w:tcPr>
            <w:tcW w:w="1526" w:type="dxa"/>
          </w:tcPr>
          <w:p w14:paraId="256F1196" w14:textId="77777777" w:rsidR="0014171C" w:rsidRPr="005C39EC" w:rsidRDefault="0014171C" w:rsidP="00BE7858">
            <w:pPr>
              <w:rPr>
                <w:rFonts w:ascii="Arial" w:hAnsi="Arial" w:cs="Arial"/>
                <w:lang w:eastAsia="en-AU"/>
              </w:rPr>
            </w:pPr>
            <w:r w:rsidRPr="005C39EC">
              <w:rPr>
                <w:rFonts w:ascii="Arial" w:hAnsi="Arial" w:cs="Arial"/>
                <w:lang w:eastAsia="en-AU"/>
              </w:rPr>
              <w:t xml:space="preserve">1983 Kajosaari </w:t>
            </w:r>
          </w:p>
          <w:p w14:paraId="31027831" w14:textId="77777777" w:rsidR="0014171C" w:rsidRPr="005C39EC" w:rsidRDefault="0014171C" w:rsidP="00BE7858">
            <w:pPr>
              <w:rPr>
                <w:rFonts w:ascii="Arial" w:hAnsi="Arial" w:cs="Arial"/>
                <w:lang w:eastAsia="en-AU"/>
              </w:rPr>
            </w:pPr>
            <w:r w:rsidRPr="005C39EC">
              <w:rPr>
                <w:rFonts w:ascii="Arial" w:hAnsi="Arial" w:cs="Arial"/>
                <w:lang w:eastAsia="en-AU"/>
              </w:rPr>
              <w:t>(Finland)</w:t>
            </w:r>
          </w:p>
        </w:tc>
        <w:tc>
          <w:tcPr>
            <w:tcW w:w="1559" w:type="dxa"/>
          </w:tcPr>
          <w:p w14:paraId="46C9BB54" w14:textId="77777777" w:rsidR="0014171C" w:rsidRPr="005C39EC" w:rsidRDefault="0014171C" w:rsidP="00BE7858">
            <w:pPr>
              <w:rPr>
                <w:rFonts w:ascii="Arial" w:hAnsi="Arial" w:cs="Arial"/>
                <w:lang w:eastAsia="en-AU"/>
              </w:rPr>
            </w:pPr>
            <w:r w:rsidRPr="005C39EC">
              <w:rPr>
                <w:rFonts w:ascii="Arial" w:hAnsi="Arial" w:cs="Arial"/>
                <w:lang w:eastAsia="en-AU"/>
              </w:rPr>
              <w:t>Cohort w/ history of atopy</w:t>
            </w:r>
          </w:p>
        </w:tc>
        <w:tc>
          <w:tcPr>
            <w:tcW w:w="716" w:type="dxa"/>
          </w:tcPr>
          <w:p w14:paraId="442462F4" w14:textId="77777777" w:rsidR="0014171C" w:rsidRPr="005C39EC" w:rsidRDefault="0014171C" w:rsidP="00BE7858">
            <w:pPr>
              <w:rPr>
                <w:rFonts w:ascii="Arial" w:hAnsi="Arial" w:cs="Arial"/>
                <w:lang w:eastAsia="en-AU"/>
              </w:rPr>
            </w:pPr>
            <w:r w:rsidRPr="005C39EC">
              <w:rPr>
                <w:rFonts w:ascii="Arial" w:hAnsi="Arial" w:cs="Arial"/>
                <w:lang w:eastAsia="en-AU"/>
              </w:rPr>
              <w:t>135</w:t>
            </w:r>
          </w:p>
        </w:tc>
        <w:tc>
          <w:tcPr>
            <w:tcW w:w="850" w:type="dxa"/>
          </w:tcPr>
          <w:p w14:paraId="42F4F186" w14:textId="77777777" w:rsidR="0014171C" w:rsidRPr="005C39EC" w:rsidRDefault="0014171C" w:rsidP="00BE7858">
            <w:pPr>
              <w:rPr>
                <w:rFonts w:ascii="Arial" w:hAnsi="Arial" w:cs="Arial"/>
                <w:lang w:eastAsia="en-AU"/>
              </w:rPr>
            </w:pPr>
            <w:r w:rsidRPr="005C39EC">
              <w:rPr>
                <w:rFonts w:ascii="Arial" w:hAnsi="Arial" w:cs="Arial"/>
                <w:lang w:eastAsia="en-AU"/>
              </w:rPr>
              <w:t>E, FA</w:t>
            </w:r>
          </w:p>
        </w:tc>
        <w:tc>
          <w:tcPr>
            <w:tcW w:w="851" w:type="dxa"/>
          </w:tcPr>
          <w:p w14:paraId="49E27513" w14:textId="77777777" w:rsidR="0014171C" w:rsidRPr="005C39EC" w:rsidRDefault="0014171C" w:rsidP="00BE7858">
            <w:pPr>
              <w:rPr>
                <w:rFonts w:ascii="Arial" w:hAnsi="Arial" w:cs="Arial"/>
                <w:lang w:eastAsia="en-AU"/>
              </w:rPr>
            </w:pPr>
            <w:r w:rsidRPr="005C39EC">
              <w:rPr>
                <w:rFonts w:ascii="Arial" w:hAnsi="Arial" w:cs="Arial"/>
                <w:lang w:eastAsia="en-AU"/>
              </w:rPr>
              <w:t>1 yr</w:t>
            </w:r>
          </w:p>
        </w:tc>
        <w:tc>
          <w:tcPr>
            <w:tcW w:w="3388" w:type="dxa"/>
            <w:shd w:val="clear" w:color="auto" w:fill="FFFFFF" w:themeFill="background1"/>
          </w:tcPr>
          <w:p w14:paraId="0FB23A1D" w14:textId="77777777" w:rsidR="0014171C" w:rsidRPr="005C39EC" w:rsidRDefault="0014171C" w:rsidP="00BE7858">
            <w:pPr>
              <w:rPr>
                <w:rFonts w:ascii="Arial" w:hAnsi="Arial" w:cs="Arial"/>
                <w:lang w:eastAsia="en-AU"/>
              </w:rPr>
            </w:pPr>
            <w:r w:rsidRPr="005C39EC">
              <w:rPr>
                <w:rFonts w:ascii="Arial" w:hAnsi="Arial" w:cs="Arial"/>
                <w:lang w:eastAsia="en-AU"/>
              </w:rPr>
              <w:t>Solid foods introduced at 3 mo compared to 6 mo to EBF infants</w:t>
            </w:r>
          </w:p>
        </w:tc>
        <w:tc>
          <w:tcPr>
            <w:tcW w:w="4243" w:type="dxa"/>
          </w:tcPr>
          <w:p w14:paraId="436C26B4" w14:textId="77777777" w:rsidR="0014171C" w:rsidRPr="005C39EC" w:rsidRDefault="0014171C" w:rsidP="00BE7858">
            <w:pPr>
              <w:rPr>
                <w:rFonts w:ascii="Arial" w:hAnsi="Arial" w:cs="Arial"/>
                <w:lang w:eastAsia="en-AU"/>
              </w:rPr>
            </w:pPr>
            <w:r w:rsidRPr="005C39EC">
              <w:rPr>
                <w:rFonts w:ascii="Arial" w:hAnsi="Arial" w:cs="Arial"/>
                <w:lang w:eastAsia="en-AU"/>
              </w:rPr>
              <w:t xml:space="preserve">Early solid food introduction (3 mo compared to 6 mo) increases risk of E, FA </w:t>
            </w:r>
          </w:p>
        </w:tc>
        <w:tc>
          <w:tcPr>
            <w:tcW w:w="288" w:type="dxa"/>
            <w:gridSpan w:val="3"/>
            <w:vAlign w:val="center"/>
          </w:tcPr>
          <w:p w14:paraId="27159BC3" w14:textId="77777777" w:rsidR="0014171C" w:rsidRPr="005C39EC" w:rsidRDefault="0014171C" w:rsidP="00BE7858">
            <w:pPr>
              <w:rPr>
                <w:rFonts w:ascii="Arial" w:hAnsi="Arial" w:cs="Arial"/>
                <w:lang w:eastAsia="en-AU"/>
              </w:rPr>
            </w:pPr>
          </w:p>
        </w:tc>
        <w:tc>
          <w:tcPr>
            <w:tcW w:w="290" w:type="dxa"/>
            <w:gridSpan w:val="2"/>
            <w:shd w:val="clear" w:color="auto" w:fill="FFFFFF" w:themeFill="background1"/>
            <w:vAlign w:val="center"/>
          </w:tcPr>
          <w:p w14:paraId="03054F8D" w14:textId="77777777" w:rsidR="0014171C" w:rsidRPr="005C39EC" w:rsidRDefault="0014171C" w:rsidP="00BE7858">
            <w:pPr>
              <w:rPr>
                <w:rFonts w:ascii="Arial" w:hAnsi="Arial" w:cs="Arial"/>
                <w:lang w:eastAsia="en-AU"/>
              </w:rPr>
            </w:pPr>
          </w:p>
        </w:tc>
        <w:tc>
          <w:tcPr>
            <w:tcW w:w="287" w:type="dxa"/>
            <w:shd w:val="clear" w:color="auto" w:fill="FFFFFF" w:themeFill="background1"/>
            <w:vAlign w:val="center"/>
          </w:tcPr>
          <w:p w14:paraId="7DC9812D" w14:textId="77777777" w:rsidR="0014171C" w:rsidRPr="005C39EC" w:rsidRDefault="0014171C" w:rsidP="00BE7858">
            <w:pPr>
              <w:rPr>
                <w:rFonts w:ascii="Arial" w:hAnsi="Arial" w:cs="Arial"/>
                <w:lang w:eastAsia="en-AU"/>
              </w:rPr>
            </w:pPr>
          </w:p>
        </w:tc>
        <w:tc>
          <w:tcPr>
            <w:tcW w:w="284" w:type="dxa"/>
            <w:shd w:val="clear" w:color="auto" w:fill="FDE9D9" w:themeFill="accent6" w:themeFillTint="33"/>
            <w:vAlign w:val="center"/>
          </w:tcPr>
          <w:p w14:paraId="366D9AF4"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85" w:type="dxa"/>
            <w:shd w:val="clear" w:color="auto" w:fill="FFFFFF" w:themeFill="background1"/>
            <w:vAlign w:val="center"/>
          </w:tcPr>
          <w:p w14:paraId="25DE59EF" w14:textId="77777777" w:rsidR="0014171C" w:rsidRPr="005C39EC" w:rsidRDefault="0014171C" w:rsidP="00BE7858">
            <w:pPr>
              <w:rPr>
                <w:rFonts w:ascii="Arial" w:hAnsi="Arial" w:cs="Arial"/>
                <w:lang w:eastAsia="en-AU"/>
              </w:rPr>
            </w:pPr>
          </w:p>
        </w:tc>
      </w:tr>
      <w:tr w:rsidR="0014171C" w:rsidRPr="005C39EC" w14:paraId="3E0B0A7D" w14:textId="77777777" w:rsidTr="002609FD">
        <w:trPr>
          <w:trHeight w:val="558"/>
        </w:trPr>
        <w:tc>
          <w:tcPr>
            <w:tcW w:w="1526" w:type="dxa"/>
          </w:tcPr>
          <w:p w14:paraId="7D1CE829" w14:textId="77777777" w:rsidR="0014171C" w:rsidRPr="005C39EC" w:rsidRDefault="0014171C" w:rsidP="00BE7858">
            <w:pPr>
              <w:rPr>
                <w:rFonts w:ascii="Arial" w:hAnsi="Arial" w:cs="Arial"/>
                <w:lang w:eastAsia="en-AU"/>
              </w:rPr>
            </w:pPr>
            <w:r w:rsidRPr="005C39EC">
              <w:rPr>
                <w:rFonts w:ascii="Arial" w:hAnsi="Arial" w:cs="Arial"/>
                <w:lang w:eastAsia="en-AU"/>
              </w:rPr>
              <w:t xml:space="preserve">1990 Fergusson </w:t>
            </w:r>
          </w:p>
          <w:p w14:paraId="59037B1B" w14:textId="77777777" w:rsidR="0014171C" w:rsidRPr="005C39EC" w:rsidRDefault="0014171C" w:rsidP="00BE7858">
            <w:pPr>
              <w:rPr>
                <w:rFonts w:ascii="Arial" w:hAnsi="Arial" w:cs="Arial"/>
                <w:lang w:eastAsia="en-AU"/>
              </w:rPr>
            </w:pPr>
            <w:r w:rsidRPr="005C39EC">
              <w:rPr>
                <w:rFonts w:ascii="Arial" w:hAnsi="Arial" w:cs="Arial"/>
                <w:lang w:eastAsia="en-AU"/>
              </w:rPr>
              <w:t>(New Zealand)</w:t>
            </w:r>
          </w:p>
        </w:tc>
        <w:tc>
          <w:tcPr>
            <w:tcW w:w="1559" w:type="dxa"/>
          </w:tcPr>
          <w:p w14:paraId="7596B1B8" w14:textId="77777777" w:rsidR="0014171C" w:rsidRPr="005C39EC" w:rsidRDefault="0014171C" w:rsidP="00BE7858">
            <w:pPr>
              <w:rPr>
                <w:rFonts w:ascii="Arial" w:hAnsi="Arial" w:cs="Arial"/>
                <w:lang w:eastAsia="en-AU"/>
              </w:rPr>
            </w:pPr>
            <w:r w:rsidRPr="005C39EC">
              <w:rPr>
                <w:rFonts w:ascii="Arial" w:hAnsi="Arial" w:cs="Arial"/>
                <w:lang w:eastAsia="en-AU"/>
              </w:rPr>
              <w:t>Cohort; Normal allergy risk</w:t>
            </w:r>
          </w:p>
        </w:tc>
        <w:tc>
          <w:tcPr>
            <w:tcW w:w="716" w:type="dxa"/>
          </w:tcPr>
          <w:p w14:paraId="312CC3CD" w14:textId="77777777" w:rsidR="0014171C" w:rsidRPr="005C39EC" w:rsidRDefault="0014171C" w:rsidP="00BE7858">
            <w:pPr>
              <w:rPr>
                <w:rFonts w:ascii="Arial" w:hAnsi="Arial" w:cs="Arial"/>
                <w:lang w:eastAsia="en-AU"/>
              </w:rPr>
            </w:pPr>
            <w:r w:rsidRPr="005C39EC">
              <w:rPr>
                <w:rFonts w:ascii="Arial" w:hAnsi="Arial" w:cs="Arial"/>
                <w:lang w:eastAsia="en-AU"/>
              </w:rPr>
              <w:t>1265</w:t>
            </w:r>
          </w:p>
        </w:tc>
        <w:tc>
          <w:tcPr>
            <w:tcW w:w="850" w:type="dxa"/>
          </w:tcPr>
          <w:p w14:paraId="1D604EF0" w14:textId="77777777" w:rsidR="0014171C" w:rsidRPr="005C39EC" w:rsidRDefault="0014171C" w:rsidP="00BE7858">
            <w:pPr>
              <w:rPr>
                <w:rFonts w:ascii="Arial" w:hAnsi="Arial" w:cs="Arial"/>
                <w:lang w:eastAsia="en-AU"/>
              </w:rPr>
            </w:pPr>
            <w:r w:rsidRPr="005C39EC">
              <w:rPr>
                <w:rFonts w:ascii="Arial" w:hAnsi="Arial" w:cs="Arial"/>
                <w:lang w:eastAsia="en-AU"/>
              </w:rPr>
              <w:t>E</w:t>
            </w:r>
          </w:p>
        </w:tc>
        <w:tc>
          <w:tcPr>
            <w:tcW w:w="851" w:type="dxa"/>
          </w:tcPr>
          <w:p w14:paraId="12C12143" w14:textId="77777777" w:rsidR="0014171C" w:rsidRPr="005C39EC" w:rsidRDefault="0014171C" w:rsidP="00BE7858">
            <w:pPr>
              <w:rPr>
                <w:rFonts w:ascii="Arial" w:hAnsi="Arial" w:cs="Arial"/>
                <w:lang w:eastAsia="en-AU"/>
              </w:rPr>
            </w:pPr>
            <w:r w:rsidRPr="005C39EC">
              <w:rPr>
                <w:rFonts w:ascii="Arial" w:hAnsi="Arial" w:cs="Arial"/>
                <w:lang w:eastAsia="en-AU"/>
              </w:rPr>
              <w:t>0-10 yr</w:t>
            </w:r>
          </w:p>
        </w:tc>
        <w:tc>
          <w:tcPr>
            <w:tcW w:w="3388" w:type="dxa"/>
            <w:shd w:val="clear" w:color="auto" w:fill="FFFFFF" w:themeFill="background1"/>
          </w:tcPr>
          <w:p w14:paraId="1625B32D" w14:textId="77777777" w:rsidR="0014171C" w:rsidRPr="005C39EC" w:rsidRDefault="0014171C" w:rsidP="00BE7858">
            <w:pPr>
              <w:rPr>
                <w:rFonts w:ascii="Arial" w:hAnsi="Arial" w:cs="Arial"/>
                <w:lang w:eastAsia="en-AU"/>
              </w:rPr>
            </w:pPr>
            <w:r w:rsidRPr="005C39EC">
              <w:rPr>
                <w:rFonts w:ascii="Arial" w:hAnsi="Arial" w:cs="Arial"/>
                <w:lang w:eastAsia="en-AU"/>
              </w:rPr>
              <w:t>Various foods at before/after 4 mo</w:t>
            </w:r>
          </w:p>
          <w:p w14:paraId="3F5782CA" w14:textId="77777777" w:rsidR="0014171C" w:rsidRPr="005C39EC" w:rsidRDefault="0014171C" w:rsidP="00BE7858">
            <w:pPr>
              <w:rPr>
                <w:rFonts w:ascii="Arial" w:hAnsi="Arial" w:cs="Arial"/>
                <w:lang w:eastAsia="en-AU"/>
              </w:rPr>
            </w:pPr>
          </w:p>
        </w:tc>
        <w:tc>
          <w:tcPr>
            <w:tcW w:w="4243" w:type="dxa"/>
          </w:tcPr>
          <w:p w14:paraId="1B415720" w14:textId="77777777" w:rsidR="0014171C" w:rsidRPr="005C39EC" w:rsidRDefault="0014171C" w:rsidP="00BE7858">
            <w:pPr>
              <w:rPr>
                <w:rFonts w:ascii="Arial" w:hAnsi="Arial" w:cs="Arial"/>
                <w:lang w:eastAsia="en-AU"/>
              </w:rPr>
            </w:pPr>
            <w:r w:rsidRPr="005C39EC">
              <w:rPr>
                <w:rFonts w:ascii="Arial" w:hAnsi="Arial" w:cs="Arial"/>
                <w:lang w:eastAsia="en-AU"/>
              </w:rPr>
              <w:t>Solids introduced before 4 mo increases risk of E</w:t>
            </w:r>
          </w:p>
        </w:tc>
        <w:tc>
          <w:tcPr>
            <w:tcW w:w="288" w:type="dxa"/>
            <w:gridSpan w:val="3"/>
            <w:shd w:val="clear" w:color="auto" w:fill="DBE5F1" w:themeFill="accent1" w:themeFillTint="33"/>
            <w:vAlign w:val="center"/>
          </w:tcPr>
          <w:p w14:paraId="34B83500" w14:textId="77777777" w:rsidR="0014171C" w:rsidRPr="005C39EC" w:rsidRDefault="0014171C" w:rsidP="00BE7858">
            <w:pPr>
              <w:rPr>
                <w:rFonts w:ascii="Arial" w:hAnsi="Arial" w:cs="Arial"/>
                <w:lang w:eastAsia="en-AU"/>
              </w:rPr>
            </w:pPr>
            <w:r w:rsidRPr="005C39EC">
              <w:rPr>
                <w:rFonts w:ascii="Arial" w:hAnsi="Arial" w:cs="Arial"/>
                <w:lang w:eastAsia="en-AU"/>
              </w:rPr>
              <w:sym w:font="Wingdings" w:char="F0FC"/>
            </w:r>
          </w:p>
        </w:tc>
        <w:tc>
          <w:tcPr>
            <w:tcW w:w="290" w:type="dxa"/>
            <w:gridSpan w:val="2"/>
            <w:shd w:val="clear" w:color="auto" w:fill="F2DBDB" w:themeFill="accent2" w:themeFillTint="33"/>
            <w:vAlign w:val="center"/>
          </w:tcPr>
          <w:p w14:paraId="19D61AB1" w14:textId="77777777" w:rsidR="0014171C" w:rsidRPr="005C39EC" w:rsidRDefault="0014171C" w:rsidP="00BE7858">
            <w:pPr>
              <w:rPr>
                <w:rFonts w:ascii="Arial" w:hAnsi="Arial" w:cs="Arial"/>
                <w:lang w:eastAsia="en-AU"/>
              </w:rPr>
            </w:pPr>
            <w:r w:rsidRPr="005C39EC">
              <w:rPr>
                <w:rFonts w:ascii="Arial" w:hAnsi="Arial" w:cs="Arial"/>
                <w:lang w:eastAsia="en-AU"/>
              </w:rPr>
              <w:sym w:font="Wingdings" w:char="F0FC"/>
            </w:r>
          </w:p>
        </w:tc>
        <w:tc>
          <w:tcPr>
            <w:tcW w:w="287" w:type="dxa"/>
            <w:vAlign w:val="center"/>
          </w:tcPr>
          <w:p w14:paraId="45CABC09" w14:textId="77777777" w:rsidR="0014171C" w:rsidRPr="005C39EC" w:rsidRDefault="0014171C" w:rsidP="00BE7858">
            <w:pPr>
              <w:rPr>
                <w:rFonts w:ascii="Arial" w:hAnsi="Arial" w:cs="Arial"/>
                <w:lang w:eastAsia="en-AU"/>
              </w:rPr>
            </w:pPr>
          </w:p>
        </w:tc>
        <w:tc>
          <w:tcPr>
            <w:tcW w:w="284" w:type="dxa"/>
            <w:shd w:val="clear" w:color="auto" w:fill="FDE9D9" w:themeFill="accent6" w:themeFillTint="33"/>
            <w:vAlign w:val="center"/>
          </w:tcPr>
          <w:p w14:paraId="0D9C86E8" w14:textId="77777777" w:rsidR="0014171C" w:rsidRPr="005C39EC" w:rsidRDefault="0014171C" w:rsidP="00BE7858">
            <w:pPr>
              <w:ind w:right="-136"/>
              <w:rPr>
                <w:rFonts w:ascii="Arial" w:hAnsi="Arial" w:cs="Arial"/>
                <w:lang w:eastAsia="en-AU"/>
              </w:rPr>
            </w:pPr>
            <w:r w:rsidRPr="005C39EC">
              <w:rPr>
                <w:rFonts w:ascii="Arial" w:hAnsi="Arial" w:cs="Arial"/>
                <w:lang w:eastAsia="en-AU"/>
              </w:rPr>
              <w:sym w:font="Wingdings" w:char="F0FC"/>
            </w:r>
          </w:p>
        </w:tc>
        <w:tc>
          <w:tcPr>
            <w:tcW w:w="285" w:type="dxa"/>
            <w:shd w:val="clear" w:color="auto" w:fill="FFFFFF" w:themeFill="background1"/>
            <w:vAlign w:val="center"/>
          </w:tcPr>
          <w:p w14:paraId="48F01965" w14:textId="77777777" w:rsidR="0014171C" w:rsidRPr="005C39EC" w:rsidRDefault="0014171C" w:rsidP="00BE7858">
            <w:pPr>
              <w:rPr>
                <w:rFonts w:ascii="Arial" w:hAnsi="Arial" w:cs="Arial"/>
                <w:lang w:eastAsia="en-AU"/>
              </w:rPr>
            </w:pPr>
          </w:p>
        </w:tc>
      </w:tr>
      <w:tr w:rsidR="0014171C" w:rsidRPr="005C39EC" w14:paraId="7F0D6356" w14:textId="77777777" w:rsidTr="002609FD">
        <w:tc>
          <w:tcPr>
            <w:tcW w:w="1526" w:type="dxa"/>
          </w:tcPr>
          <w:p w14:paraId="489E2C3C" w14:textId="77777777" w:rsidR="0014171C" w:rsidRPr="005C39EC" w:rsidRDefault="0014171C" w:rsidP="00BE7858">
            <w:pPr>
              <w:rPr>
                <w:rFonts w:ascii="Arial" w:hAnsi="Arial" w:cs="Arial"/>
                <w:lang w:eastAsia="en-AU"/>
              </w:rPr>
            </w:pPr>
            <w:r w:rsidRPr="005C39EC">
              <w:rPr>
                <w:rFonts w:ascii="Arial" w:hAnsi="Arial" w:cs="Arial"/>
                <w:lang w:eastAsia="en-AU"/>
              </w:rPr>
              <w:t>1991 Kajosaari</w:t>
            </w:r>
          </w:p>
          <w:p w14:paraId="7713D6EE" w14:textId="77777777" w:rsidR="0014171C" w:rsidRPr="005C39EC" w:rsidRDefault="0014171C" w:rsidP="00BE7858">
            <w:pPr>
              <w:rPr>
                <w:rFonts w:ascii="Arial" w:hAnsi="Arial" w:cs="Arial"/>
                <w:lang w:eastAsia="en-AU"/>
              </w:rPr>
            </w:pPr>
            <w:r w:rsidRPr="005C39EC">
              <w:rPr>
                <w:rFonts w:ascii="Arial" w:hAnsi="Arial" w:cs="Arial"/>
                <w:lang w:eastAsia="en-AU"/>
              </w:rPr>
              <w:t>(Finland)</w:t>
            </w:r>
          </w:p>
        </w:tc>
        <w:tc>
          <w:tcPr>
            <w:tcW w:w="1559" w:type="dxa"/>
          </w:tcPr>
          <w:p w14:paraId="4F296032" w14:textId="77777777" w:rsidR="0014171C" w:rsidRPr="005C39EC" w:rsidRDefault="0014171C" w:rsidP="00BE7858">
            <w:pPr>
              <w:rPr>
                <w:rFonts w:ascii="Arial" w:hAnsi="Arial" w:cs="Arial"/>
                <w:lang w:eastAsia="en-AU"/>
              </w:rPr>
            </w:pPr>
            <w:r w:rsidRPr="005C39EC">
              <w:rPr>
                <w:rFonts w:ascii="Arial" w:hAnsi="Arial" w:cs="Arial"/>
                <w:lang w:eastAsia="en-AU"/>
              </w:rPr>
              <w:t>Cohort w/ history of atopy</w:t>
            </w:r>
          </w:p>
        </w:tc>
        <w:tc>
          <w:tcPr>
            <w:tcW w:w="716" w:type="dxa"/>
          </w:tcPr>
          <w:p w14:paraId="015C4233" w14:textId="77777777" w:rsidR="0014171C" w:rsidRPr="005C39EC" w:rsidRDefault="0014171C" w:rsidP="00BE7858">
            <w:pPr>
              <w:rPr>
                <w:rFonts w:ascii="Arial" w:hAnsi="Arial" w:cs="Arial"/>
                <w:lang w:eastAsia="en-AU"/>
              </w:rPr>
            </w:pPr>
            <w:r w:rsidRPr="005C39EC">
              <w:rPr>
                <w:rFonts w:ascii="Arial" w:hAnsi="Arial" w:cs="Arial"/>
                <w:lang w:eastAsia="en-AU"/>
              </w:rPr>
              <w:t>135</w:t>
            </w:r>
          </w:p>
        </w:tc>
        <w:tc>
          <w:tcPr>
            <w:tcW w:w="850" w:type="dxa"/>
          </w:tcPr>
          <w:p w14:paraId="4B643E72" w14:textId="77777777" w:rsidR="0014171C" w:rsidRPr="005C39EC" w:rsidRDefault="0014171C" w:rsidP="00BE7858">
            <w:pPr>
              <w:rPr>
                <w:rFonts w:ascii="Arial" w:hAnsi="Arial" w:cs="Arial"/>
                <w:lang w:eastAsia="en-AU"/>
              </w:rPr>
            </w:pPr>
            <w:r w:rsidRPr="005C39EC">
              <w:rPr>
                <w:rFonts w:ascii="Arial" w:hAnsi="Arial" w:cs="Arial"/>
                <w:lang w:eastAsia="en-AU"/>
              </w:rPr>
              <w:t>AD, FA</w:t>
            </w:r>
          </w:p>
        </w:tc>
        <w:tc>
          <w:tcPr>
            <w:tcW w:w="851" w:type="dxa"/>
          </w:tcPr>
          <w:p w14:paraId="5FBC83CA" w14:textId="77777777" w:rsidR="0014171C" w:rsidRPr="005C39EC" w:rsidRDefault="0014171C" w:rsidP="00BE7858">
            <w:pPr>
              <w:rPr>
                <w:rFonts w:ascii="Arial" w:hAnsi="Arial" w:cs="Arial"/>
                <w:lang w:eastAsia="en-AU"/>
              </w:rPr>
            </w:pPr>
            <w:r w:rsidRPr="005C39EC">
              <w:rPr>
                <w:rFonts w:ascii="Arial" w:hAnsi="Arial" w:cs="Arial"/>
                <w:lang w:eastAsia="en-AU"/>
              </w:rPr>
              <w:t>5 yr</w:t>
            </w:r>
          </w:p>
        </w:tc>
        <w:tc>
          <w:tcPr>
            <w:tcW w:w="3388" w:type="dxa"/>
            <w:shd w:val="clear" w:color="auto" w:fill="FFFFFF" w:themeFill="background1"/>
          </w:tcPr>
          <w:p w14:paraId="5E18C2A9" w14:textId="77777777" w:rsidR="0014171C" w:rsidRPr="005C39EC" w:rsidRDefault="0014171C" w:rsidP="00BE7858">
            <w:pPr>
              <w:rPr>
                <w:rFonts w:ascii="Arial" w:hAnsi="Arial" w:cs="Arial"/>
                <w:lang w:eastAsia="en-AU"/>
              </w:rPr>
            </w:pPr>
            <w:r w:rsidRPr="005C39EC">
              <w:rPr>
                <w:rFonts w:ascii="Arial" w:hAnsi="Arial" w:cs="Arial"/>
                <w:lang w:eastAsia="en-AU"/>
              </w:rPr>
              <w:t>Solid foods introduced at 3 mo compared to 6 mo to EBF infants</w:t>
            </w:r>
          </w:p>
        </w:tc>
        <w:tc>
          <w:tcPr>
            <w:tcW w:w="4243" w:type="dxa"/>
          </w:tcPr>
          <w:p w14:paraId="76F0A4E8" w14:textId="77777777" w:rsidR="0014171C" w:rsidRPr="005C39EC" w:rsidRDefault="0014171C" w:rsidP="00BE7858">
            <w:pPr>
              <w:rPr>
                <w:rFonts w:ascii="Arial" w:hAnsi="Arial" w:cs="Arial"/>
                <w:lang w:eastAsia="en-AU"/>
              </w:rPr>
            </w:pPr>
            <w:r w:rsidRPr="005C39EC">
              <w:rPr>
                <w:rFonts w:ascii="Arial" w:hAnsi="Arial" w:cs="Arial"/>
                <w:lang w:eastAsia="en-AU"/>
              </w:rPr>
              <w:t>At 1 yr, delayed solid foods to 6 mo (compared to 3 mo) reduces risk of E, FA but no difference at 5 yr.</w:t>
            </w:r>
          </w:p>
        </w:tc>
        <w:tc>
          <w:tcPr>
            <w:tcW w:w="288" w:type="dxa"/>
            <w:gridSpan w:val="3"/>
            <w:vAlign w:val="center"/>
          </w:tcPr>
          <w:p w14:paraId="08F35E7B" w14:textId="77777777" w:rsidR="0014171C" w:rsidRPr="005C39EC" w:rsidRDefault="0014171C" w:rsidP="00BE7858">
            <w:pPr>
              <w:rPr>
                <w:rFonts w:ascii="Arial" w:hAnsi="Arial" w:cs="Arial"/>
                <w:lang w:eastAsia="en-AU"/>
              </w:rPr>
            </w:pPr>
          </w:p>
        </w:tc>
        <w:tc>
          <w:tcPr>
            <w:tcW w:w="290" w:type="dxa"/>
            <w:gridSpan w:val="2"/>
            <w:shd w:val="clear" w:color="auto" w:fill="F2DBDB" w:themeFill="accent2" w:themeFillTint="33"/>
            <w:vAlign w:val="center"/>
          </w:tcPr>
          <w:p w14:paraId="7B7C5472"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87" w:type="dxa"/>
            <w:vAlign w:val="center"/>
          </w:tcPr>
          <w:p w14:paraId="6BC0895B" w14:textId="77777777" w:rsidR="0014171C" w:rsidRPr="005C39EC" w:rsidRDefault="0014171C" w:rsidP="00BE7858">
            <w:pPr>
              <w:rPr>
                <w:rFonts w:ascii="Arial" w:hAnsi="Arial" w:cs="Arial"/>
                <w:lang w:eastAsia="en-AU"/>
              </w:rPr>
            </w:pPr>
          </w:p>
        </w:tc>
        <w:tc>
          <w:tcPr>
            <w:tcW w:w="284" w:type="dxa"/>
            <w:shd w:val="clear" w:color="auto" w:fill="FFFFFF" w:themeFill="background1"/>
            <w:vAlign w:val="center"/>
          </w:tcPr>
          <w:p w14:paraId="54625048" w14:textId="77777777" w:rsidR="0014171C" w:rsidRPr="005C39EC" w:rsidRDefault="0014171C" w:rsidP="00BE7858">
            <w:pPr>
              <w:ind w:right="-136"/>
              <w:rPr>
                <w:rFonts w:ascii="Arial" w:hAnsi="Arial" w:cs="Arial"/>
                <w:lang w:eastAsia="en-AU"/>
              </w:rPr>
            </w:pPr>
          </w:p>
        </w:tc>
        <w:tc>
          <w:tcPr>
            <w:tcW w:w="285" w:type="dxa"/>
            <w:shd w:val="clear" w:color="auto" w:fill="FFFFFF" w:themeFill="background1"/>
            <w:vAlign w:val="center"/>
          </w:tcPr>
          <w:p w14:paraId="5AAECD78" w14:textId="77777777" w:rsidR="0014171C" w:rsidRPr="005C39EC" w:rsidRDefault="0014171C" w:rsidP="00BE7858">
            <w:pPr>
              <w:rPr>
                <w:rFonts w:ascii="Arial" w:hAnsi="Arial" w:cs="Arial"/>
                <w:lang w:eastAsia="en-AU"/>
              </w:rPr>
            </w:pPr>
          </w:p>
        </w:tc>
      </w:tr>
      <w:tr w:rsidR="0014171C" w:rsidRPr="005C39EC" w14:paraId="28E4AD76" w14:textId="77777777" w:rsidTr="002609FD">
        <w:tc>
          <w:tcPr>
            <w:tcW w:w="1526" w:type="dxa"/>
          </w:tcPr>
          <w:p w14:paraId="3FA8C5EA" w14:textId="77777777" w:rsidR="0014171C" w:rsidRPr="005C39EC" w:rsidRDefault="0014171C" w:rsidP="00BE7858">
            <w:pPr>
              <w:rPr>
                <w:rFonts w:ascii="Arial" w:hAnsi="Arial" w:cs="Arial"/>
                <w:lang w:eastAsia="en-AU"/>
              </w:rPr>
            </w:pPr>
            <w:r w:rsidRPr="005C39EC">
              <w:rPr>
                <w:rFonts w:ascii="Arial" w:hAnsi="Arial" w:cs="Arial"/>
                <w:lang w:eastAsia="en-AU"/>
              </w:rPr>
              <w:t xml:space="preserve">1994 Kajosaari </w:t>
            </w:r>
          </w:p>
          <w:p w14:paraId="48BD7C99" w14:textId="77777777" w:rsidR="0014171C" w:rsidRPr="005C39EC" w:rsidRDefault="0014171C" w:rsidP="00BE7858">
            <w:pPr>
              <w:rPr>
                <w:rFonts w:ascii="Arial" w:hAnsi="Arial" w:cs="Arial"/>
                <w:lang w:eastAsia="en-AU"/>
              </w:rPr>
            </w:pPr>
            <w:r w:rsidRPr="005C39EC">
              <w:rPr>
                <w:rFonts w:ascii="Arial" w:hAnsi="Arial" w:cs="Arial"/>
                <w:lang w:eastAsia="en-AU"/>
              </w:rPr>
              <w:t>(Finland)</w:t>
            </w:r>
          </w:p>
        </w:tc>
        <w:tc>
          <w:tcPr>
            <w:tcW w:w="1559" w:type="dxa"/>
          </w:tcPr>
          <w:p w14:paraId="2861C436" w14:textId="77777777" w:rsidR="0014171C" w:rsidRPr="005C39EC" w:rsidRDefault="0014171C" w:rsidP="00BE7858">
            <w:pPr>
              <w:rPr>
                <w:rFonts w:ascii="Arial" w:hAnsi="Arial" w:cs="Arial"/>
                <w:lang w:eastAsia="en-AU"/>
              </w:rPr>
            </w:pPr>
            <w:r w:rsidRPr="005C39EC">
              <w:rPr>
                <w:rFonts w:ascii="Arial" w:hAnsi="Arial" w:cs="Arial"/>
                <w:lang w:eastAsia="en-AU"/>
              </w:rPr>
              <w:t>Cohort w/ history of atopy</w:t>
            </w:r>
          </w:p>
        </w:tc>
        <w:tc>
          <w:tcPr>
            <w:tcW w:w="716" w:type="dxa"/>
          </w:tcPr>
          <w:p w14:paraId="49B12229" w14:textId="77777777" w:rsidR="0014171C" w:rsidRPr="005C39EC" w:rsidRDefault="0014171C" w:rsidP="00BE7858">
            <w:pPr>
              <w:rPr>
                <w:rFonts w:ascii="Arial" w:hAnsi="Arial" w:cs="Arial"/>
                <w:lang w:eastAsia="en-AU"/>
              </w:rPr>
            </w:pPr>
            <w:r w:rsidRPr="005C39EC">
              <w:rPr>
                <w:rFonts w:ascii="Arial" w:hAnsi="Arial" w:cs="Arial"/>
                <w:lang w:eastAsia="en-AU"/>
              </w:rPr>
              <w:t>135</w:t>
            </w:r>
          </w:p>
        </w:tc>
        <w:tc>
          <w:tcPr>
            <w:tcW w:w="850" w:type="dxa"/>
          </w:tcPr>
          <w:p w14:paraId="2B7850DE" w14:textId="77777777" w:rsidR="0014171C" w:rsidRPr="005C39EC" w:rsidRDefault="0014171C" w:rsidP="00BE7858">
            <w:pPr>
              <w:rPr>
                <w:rFonts w:ascii="Arial" w:hAnsi="Arial" w:cs="Arial"/>
                <w:lang w:eastAsia="en-AU"/>
              </w:rPr>
            </w:pPr>
            <w:r w:rsidRPr="005C39EC">
              <w:rPr>
                <w:rFonts w:ascii="Arial" w:hAnsi="Arial" w:cs="Arial"/>
                <w:lang w:eastAsia="en-AU"/>
              </w:rPr>
              <w:t>E, FA</w:t>
            </w:r>
          </w:p>
        </w:tc>
        <w:tc>
          <w:tcPr>
            <w:tcW w:w="851" w:type="dxa"/>
          </w:tcPr>
          <w:p w14:paraId="41C3238C" w14:textId="77777777" w:rsidR="0014171C" w:rsidRPr="005C39EC" w:rsidRDefault="0014171C" w:rsidP="00BE7858">
            <w:pPr>
              <w:rPr>
                <w:rFonts w:ascii="Arial" w:hAnsi="Arial" w:cs="Arial"/>
                <w:lang w:eastAsia="en-AU"/>
              </w:rPr>
            </w:pPr>
            <w:r w:rsidRPr="005C39EC">
              <w:rPr>
                <w:rFonts w:ascii="Arial" w:hAnsi="Arial" w:cs="Arial"/>
                <w:lang w:eastAsia="en-AU"/>
              </w:rPr>
              <w:t>1 yr</w:t>
            </w:r>
          </w:p>
        </w:tc>
        <w:tc>
          <w:tcPr>
            <w:tcW w:w="3388" w:type="dxa"/>
            <w:shd w:val="clear" w:color="auto" w:fill="FFFFFF" w:themeFill="background1"/>
          </w:tcPr>
          <w:p w14:paraId="763795F6" w14:textId="77777777" w:rsidR="0014171C" w:rsidRPr="005C39EC" w:rsidRDefault="0014171C" w:rsidP="00BE7858">
            <w:pPr>
              <w:rPr>
                <w:rFonts w:ascii="Arial" w:hAnsi="Arial" w:cs="Arial"/>
                <w:lang w:eastAsia="en-AU"/>
              </w:rPr>
            </w:pPr>
            <w:r w:rsidRPr="005C39EC">
              <w:rPr>
                <w:rFonts w:ascii="Arial" w:hAnsi="Arial" w:cs="Arial"/>
                <w:lang w:eastAsia="en-AU"/>
              </w:rPr>
              <w:t>Solid foods introduced at 3 mo compared to 6 mo to EBF infants</w:t>
            </w:r>
          </w:p>
        </w:tc>
        <w:tc>
          <w:tcPr>
            <w:tcW w:w="4243" w:type="dxa"/>
          </w:tcPr>
          <w:p w14:paraId="4D80F1FB" w14:textId="77777777" w:rsidR="0014171C" w:rsidRPr="005C39EC" w:rsidRDefault="0014171C" w:rsidP="00BE7858">
            <w:pPr>
              <w:rPr>
                <w:rFonts w:ascii="Arial" w:hAnsi="Arial" w:cs="Arial"/>
                <w:lang w:eastAsia="en-AU"/>
              </w:rPr>
            </w:pPr>
            <w:r w:rsidRPr="005C39EC">
              <w:rPr>
                <w:rFonts w:ascii="Arial" w:hAnsi="Arial" w:cs="Arial"/>
                <w:lang w:eastAsia="en-AU"/>
              </w:rPr>
              <w:t>Delayed solid foods to 6 mo (compared to 3 mo) reduces risk of E, FA</w:t>
            </w:r>
          </w:p>
        </w:tc>
        <w:tc>
          <w:tcPr>
            <w:tcW w:w="288" w:type="dxa"/>
            <w:gridSpan w:val="3"/>
            <w:vAlign w:val="center"/>
          </w:tcPr>
          <w:p w14:paraId="66D00E83" w14:textId="77777777" w:rsidR="0014171C" w:rsidRPr="005C39EC" w:rsidRDefault="0014171C" w:rsidP="00BE7858">
            <w:pPr>
              <w:rPr>
                <w:rFonts w:ascii="Arial" w:hAnsi="Arial" w:cs="Arial"/>
                <w:lang w:eastAsia="en-AU"/>
              </w:rPr>
            </w:pPr>
          </w:p>
        </w:tc>
        <w:tc>
          <w:tcPr>
            <w:tcW w:w="290" w:type="dxa"/>
            <w:gridSpan w:val="2"/>
            <w:shd w:val="clear" w:color="auto" w:fill="FFFFFF" w:themeFill="background1"/>
            <w:vAlign w:val="center"/>
          </w:tcPr>
          <w:p w14:paraId="56C999BF" w14:textId="77777777" w:rsidR="0014171C" w:rsidRPr="005C39EC" w:rsidRDefault="0014171C" w:rsidP="00BE7858">
            <w:pPr>
              <w:rPr>
                <w:rFonts w:ascii="Arial" w:hAnsi="Arial" w:cs="Arial"/>
                <w:lang w:eastAsia="en-AU"/>
              </w:rPr>
            </w:pPr>
          </w:p>
        </w:tc>
        <w:tc>
          <w:tcPr>
            <w:tcW w:w="287" w:type="dxa"/>
            <w:shd w:val="clear" w:color="auto" w:fill="FFFFFF" w:themeFill="background1"/>
            <w:vAlign w:val="center"/>
          </w:tcPr>
          <w:p w14:paraId="0F1C0C48" w14:textId="77777777" w:rsidR="0014171C" w:rsidRPr="005C39EC" w:rsidRDefault="0014171C" w:rsidP="00BE7858">
            <w:pPr>
              <w:rPr>
                <w:rFonts w:ascii="Arial" w:hAnsi="Arial" w:cs="Arial"/>
                <w:lang w:eastAsia="en-AU"/>
              </w:rPr>
            </w:pPr>
          </w:p>
        </w:tc>
        <w:tc>
          <w:tcPr>
            <w:tcW w:w="284" w:type="dxa"/>
            <w:shd w:val="clear" w:color="auto" w:fill="FDE9D9" w:themeFill="accent6" w:themeFillTint="33"/>
            <w:vAlign w:val="center"/>
          </w:tcPr>
          <w:p w14:paraId="420FDC1B"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85" w:type="dxa"/>
            <w:shd w:val="clear" w:color="auto" w:fill="FFFFFF" w:themeFill="background1"/>
            <w:vAlign w:val="center"/>
          </w:tcPr>
          <w:p w14:paraId="757BC941" w14:textId="77777777" w:rsidR="0014171C" w:rsidRPr="005C39EC" w:rsidRDefault="0014171C" w:rsidP="00BE7858">
            <w:pPr>
              <w:rPr>
                <w:rFonts w:ascii="Arial" w:hAnsi="Arial" w:cs="Arial"/>
                <w:lang w:eastAsia="en-AU"/>
              </w:rPr>
            </w:pPr>
          </w:p>
        </w:tc>
      </w:tr>
      <w:tr w:rsidR="0014171C" w:rsidRPr="005C39EC" w14:paraId="33C0A53B" w14:textId="77777777" w:rsidTr="002609FD">
        <w:tc>
          <w:tcPr>
            <w:tcW w:w="1526" w:type="dxa"/>
          </w:tcPr>
          <w:p w14:paraId="67DF629A"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2004 Morgan </w:t>
            </w:r>
          </w:p>
          <w:p w14:paraId="7FD6ACDF" w14:textId="77777777" w:rsidR="0014171C" w:rsidRPr="005C39EC" w:rsidRDefault="0014171C" w:rsidP="00BE7858">
            <w:pPr>
              <w:rPr>
                <w:rFonts w:ascii="Arial" w:hAnsi="Arial" w:cs="Arial"/>
                <w:lang w:eastAsia="en-AU"/>
              </w:rPr>
            </w:pPr>
            <w:r w:rsidRPr="005C39EC">
              <w:rPr>
                <w:rFonts w:ascii="Arial" w:hAnsi="Arial" w:cs="Arial"/>
                <w:lang w:eastAsia="en-AU"/>
              </w:rPr>
              <w:t>(UK)</w:t>
            </w:r>
          </w:p>
        </w:tc>
        <w:tc>
          <w:tcPr>
            <w:tcW w:w="1559" w:type="dxa"/>
          </w:tcPr>
          <w:p w14:paraId="69B2DBAC" w14:textId="77777777" w:rsidR="0014171C" w:rsidRPr="005C39EC" w:rsidRDefault="0014171C" w:rsidP="00BE7858">
            <w:pPr>
              <w:rPr>
                <w:rFonts w:ascii="Arial" w:hAnsi="Arial" w:cs="Arial"/>
                <w:lang w:eastAsia="en-AU"/>
              </w:rPr>
            </w:pPr>
            <w:r w:rsidRPr="005C39EC">
              <w:rPr>
                <w:rFonts w:ascii="Arial" w:hAnsi="Arial" w:cs="Arial"/>
                <w:lang w:eastAsia="en-AU"/>
              </w:rPr>
              <w:t>Cohort; pre-term infants</w:t>
            </w:r>
          </w:p>
        </w:tc>
        <w:tc>
          <w:tcPr>
            <w:tcW w:w="716" w:type="dxa"/>
          </w:tcPr>
          <w:p w14:paraId="0DA24EA6" w14:textId="77777777" w:rsidR="0014171C" w:rsidRPr="005C39EC" w:rsidRDefault="0014171C" w:rsidP="00BE7858">
            <w:pPr>
              <w:rPr>
                <w:rFonts w:ascii="Arial" w:hAnsi="Arial" w:cs="Arial"/>
                <w:lang w:eastAsia="en-AU"/>
              </w:rPr>
            </w:pPr>
            <w:r w:rsidRPr="005C39EC">
              <w:rPr>
                <w:rFonts w:ascii="Arial" w:hAnsi="Arial" w:cs="Arial"/>
                <w:lang w:eastAsia="en-AU"/>
              </w:rPr>
              <w:t>257</w:t>
            </w:r>
          </w:p>
        </w:tc>
        <w:tc>
          <w:tcPr>
            <w:tcW w:w="850" w:type="dxa"/>
          </w:tcPr>
          <w:p w14:paraId="26AFDEC5" w14:textId="77777777" w:rsidR="0014171C" w:rsidRPr="005C39EC" w:rsidRDefault="0014171C" w:rsidP="00BE7858">
            <w:pPr>
              <w:rPr>
                <w:rFonts w:ascii="Arial" w:hAnsi="Arial" w:cs="Arial"/>
                <w:lang w:eastAsia="en-AU"/>
              </w:rPr>
            </w:pPr>
            <w:r w:rsidRPr="005C39EC">
              <w:rPr>
                <w:rFonts w:ascii="Arial" w:hAnsi="Arial" w:cs="Arial"/>
                <w:lang w:eastAsia="en-AU"/>
              </w:rPr>
              <w:t>E</w:t>
            </w:r>
          </w:p>
        </w:tc>
        <w:tc>
          <w:tcPr>
            <w:tcW w:w="851" w:type="dxa"/>
          </w:tcPr>
          <w:p w14:paraId="4401E257" w14:textId="77777777" w:rsidR="0014171C" w:rsidRPr="005C39EC" w:rsidRDefault="0014171C" w:rsidP="00BE7858">
            <w:pPr>
              <w:rPr>
                <w:rFonts w:ascii="Arial" w:hAnsi="Arial" w:cs="Arial"/>
                <w:lang w:eastAsia="en-AU"/>
              </w:rPr>
            </w:pPr>
            <w:r w:rsidRPr="005C39EC">
              <w:rPr>
                <w:rFonts w:ascii="Arial" w:hAnsi="Arial" w:cs="Arial"/>
                <w:lang w:eastAsia="en-AU"/>
              </w:rPr>
              <w:t>1 yr</w:t>
            </w:r>
          </w:p>
        </w:tc>
        <w:tc>
          <w:tcPr>
            <w:tcW w:w="3388" w:type="dxa"/>
            <w:shd w:val="clear" w:color="auto" w:fill="FFFFFF" w:themeFill="background1"/>
          </w:tcPr>
          <w:p w14:paraId="1754F4FB" w14:textId="77777777" w:rsidR="0014171C" w:rsidRPr="005C39EC" w:rsidRDefault="0014171C" w:rsidP="00BE7858">
            <w:pPr>
              <w:rPr>
                <w:rFonts w:ascii="Arial" w:hAnsi="Arial" w:cs="Arial"/>
                <w:lang w:eastAsia="en-AU"/>
              </w:rPr>
            </w:pPr>
            <w:r w:rsidRPr="005C39EC">
              <w:rPr>
                <w:rFonts w:ascii="Arial" w:hAnsi="Arial" w:cs="Arial"/>
                <w:lang w:eastAsia="en-AU"/>
              </w:rPr>
              <w:t xml:space="preserve">Solid foods before 17 weeks compared to after 17 weeks in EBF, BF, and FF infants </w:t>
            </w:r>
          </w:p>
        </w:tc>
        <w:tc>
          <w:tcPr>
            <w:tcW w:w="4243" w:type="dxa"/>
          </w:tcPr>
          <w:p w14:paraId="3146FEB3" w14:textId="77777777" w:rsidR="0014171C" w:rsidRPr="005C39EC" w:rsidRDefault="0014171C" w:rsidP="00BE7858">
            <w:pPr>
              <w:rPr>
                <w:rFonts w:ascii="Arial" w:hAnsi="Arial" w:cs="Arial"/>
                <w:lang w:eastAsia="en-AU"/>
              </w:rPr>
            </w:pPr>
            <w:r w:rsidRPr="005C39EC">
              <w:rPr>
                <w:rFonts w:ascii="Arial" w:hAnsi="Arial" w:cs="Arial"/>
                <w:lang w:eastAsia="en-AU"/>
              </w:rPr>
              <w:t>Introduction of 4 or more solid foods before 17 weeks increased risk of E</w:t>
            </w:r>
          </w:p>
        </w:tc>
        <w:tc>
          <w:tcPr>
            <w:tcW w:w="288" w:type="dxa"/>
            <w:gridSpan w:val="3"/>
            <w:vAlign w:val="center"/>
          </w:tcPr>
          <w:p w14:paraId="0BA5F7BD" w14:textId="77777777" w:rsidR="0014171C" w:rsidRPr="005C39EC" w:rsidRDefault="0014171C" w:rsidP="00BE7858">
            <w:pPr>
              <w:rPr>
                <w:rFonts w:ascii="Arial" w:hAnsi="Arial" w:cs="Arial"/>
                <w:lang w:eastAsia="en-AU"/>
              </w:rPr>
            </w:pPr>
          </w:p>
        </w:tc>
        <w:tc>
          <w:tcPr>
            <w:tcW w:w="290" w:type="dxa"/>
            <w:gridSpan w:val="2"/>
            <w:shd w:val="clear" w:color="auto" w:fill="F2DBDB" w:themeFill="accent2" w:themeFillTint="33"/>
            <w:vAlign w:val="center"/>
          </w:tcPr>
          <w:p w14:paraId="791DD7E9"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87" w:type="dxa"/>
            <w:shd w:val="clear" w:color="auto" w:fill="FFFFFF" w:themeFill="background1"/>
            <w:vAlign w:val="center"/>
          </w:tcPr>
          <w:p w14:paraId="08F10613" w14:textId="77777777" w:rsidR="0014171C" w:rsidRPr="005C39EC" w:rsidRDefault="0014171C" w:rsidP="00BE7858">
            <w:pPr>
              <w:rPr>
                <w:rFonts w:ascii="Arial" w:hAnsi="Arial" w:cs="Arial"/>
                <w:lang w:eastAsia="en-AU"/>
              </w:rPr>
            </w:pPr>
          </w:p>
        </w:tc>
        <w:tc>
          <w:tcPr>
            <w:tcW w:w="284" w:type="dxa"/>
            <w:shd w:val="clear" w:color="auto" w:fill="FFFFFF" w:themeFill="background1"/>
            <w:vAlign w:val="center"/>
          </w:tcPr>
          <w:p w14:paraId="2182C745" w14:textId="77777777" w:rsidR="0014171C" w:rsidRPr="005C39EC" w:rsidRDefault="0014171C" w:rsidP="00BE7858">
            <w:pPr>
              <w:ind w:right="-136"/>
              <w:rPr>
                <w:rFonts w:ascii="Arial" w:hAnsi="Arial" w:cs="Arial"/>
                <w:lang w:eastAsia="en-AU"/>
              </w:rPr>
            </w:pPr>
          </w:p>
        </w:tc>
        <w:tc>
          <w:tcPr>
            <w:tcW w:w="285" w:type="dxa"/>
            <w:shd w:val="clear" w:color="auto" w:fill="FFFFFF" w:themeFill="background1"/>
            <w:vAlign w:val="center"/>
          </w:tcPr>
          <w:p w14:paraId="312356AB" w14:textId="77777777" w:rsidR="0014171C" w:rsidRPr="005C39EC" w:rsidRDefault="0014171C" w:rsidP="00BE7858">
            <w:pPr>
              <w:rPr>
                <w:rFonts w:ascii="Arial" w:hAnsi="Arial" w:cs="Arial"/>
                <w:lang w:eastAsia="en-AU"/>
              </w:rPr>
            </w:pPr>
          </w:p>
        </w:tc>
      </w:tr>
      <w:tr w:rsidR="0014171C" w:rsidRPr="005C39EC" w14:paraId="1DBC325C" w14:textId="77777777" w:rsidTr="002609FD">
        <w:trPr>
          <w:trHeight w:val="308"/>
        </w:trPr>
        <w:tc>
          <w:tcPr>
            <w:tcW w:w="14567" w:type="dxa"/>
            <w:gridSpan w:val="15"/>
            <w:shd w:val="clear" w:color="auto" w:fill="D9D9D9" w:themeFill="background1" w:themeFillShade="D9"/>
            <w:vAlign w:val="center"/>
          </w:tcPr>
          <w:p w14:paraId="008F8A60" w14:textId="31ECF5BE" w:rsidR="0014171C" w:rsidRPr="005C39EC" w:rsidRDefault="0014171C" w:rsidP="00BE7858">
            <w:pPr>
              <w:rPr>
                <w:rFonts w:ascii="Arial" w:hAnsi="Arial" w:cs="Arial"/>
                <w:lang w:eastAsia="en-AU"/>
              </w:rPr>
            </w:pPr>
            <w:r w:rsidRPr="005C39EC">
              <w:rPr>
                <w:rFonts w:ascii="Arial" w:hAnsi="Arial" w:cs="Arial"/>
                <w:lang w:eastAsia="en-AU"/>
              </w:rPr>
              <w:t>Evidence shows no association (protective</w:t>
            </w:r>
            <w:r w:rsidR="00F37DDB" w:rsidRPr="005C39EC">
              <w:rPr>
                <w:rFonts w:ascii="Arial" w:hAnsi="Arial" w:cs="Arial"/>
                <w:lang w:eastAsia="en-AU"/>
              </w:rPr>
              <w:t xml:space="preserve"> </w:t>
            </w:r>
            <w:r w:rsidRPr="005C39EC">
              <w:rPr>
                <w:rFonts w:ascii="Arial" w:hAnsi="Arial" w:cs="Arial"/>
                <w:lang w:eastAsia="en-AU"/>
              </w:rPr>
              <w:t>or adverse effects) between age of introduction and risk of allergic disease</w:t>
            </w:r>
          </w:p>
        </w:tc>
      </w:tr>
      <w:tr w:rsidR="0014171C" w:rsidRPr="005C39EC" w14:paraId="3AB1BD14" w14:textId="77777777" w:rsidTr="002609FD">
        <w:tc>
          <w:tcPr>
            <w:tcW w:w="1526" w:type="dxa"/>
          </w:tcPr>
          <w:p w14:paraId="57E4B0B7" w14:textId="77777777" w:rsidR="0014171C" w:rsidRPr="005C39EC" w:rsidRDefault="0014171C" w:rsidP="00BE7858">
            <w:pPr>
              <w:rPr>
                <w:rFonts w:ascii="Arial" w:hAnsi="Arial" w:cs="Arial"/>
                <w:lang w:eastAsia="en-AU"/>
              </w:rPr>
            </w:pPr>
            <w:r w:rsidRPr="005C39EC">
              <w:rPr>
                <w:rFonts w:ascii="Arial" w:hAnsi="Arial" w:cs="Arial"/>
                <w:lang w:eastAsia="en-AU"/>
              </w:rPr>
              <w:t>1983 Fergusson</w:t>
            </w:r>
          </w:p>
          <w:p w14:paraId="7B5C31C8" w14:textId="77777777" w:rsidR="0014171C" w:rsidRPr="005C39EC" w:rsidRDefault="0014171C" w:rsidP="00BE7858">
            <w:pPr>
              <w:rPr>
                <w:rFonts w:ascii="Arial" w:hAnsi="Arial" w:cs="Arial"/>
                <w:lang w:eastAsia="en-AU"/>
              </w:rPr>
            </w:pPr>
            <w:r w:rsidRPr="005C39EC">
              <w:rPr>
                <w:rFonts w:ascii="Arial" w:hAnsi="Arial" w:cs="Arial"/>
                <w:lang w:eastAsia="en-AU"/>
              </w:rPr>
              <w:t>(New Zealand)</w:t>
            </w:r>
          </w:p>
        </w:tc>
        <w:tc>
          <w:tcPr>
            <w:tcW w:w="1559" w:type="dxa"/>
          </w:tcPr>
          <w:p w14:paraId="1AEED153" w14:textId="77777777" w:rsidR="0014171C" w:rsidRPr="005C39EC" w:rsidRDefault="0014171C" w:rsidP="00BE7858">
            <w:pPr>
              <w:rPr>
                <w:rFonts w:ascii="Arial" w:hAnsi="Arial" w:cs="Arial"/>
                <w:lang w:eastAsia="en-AU"/>
              </w:rPr>
            </w:pPr>
            <w:r w:rsidRPr="005C39EC">
              <w:rPr>
                <w:rFonts w:ascii="Arial" w:hAnsi="Arial" w:cs="Arial"/>
                <w:lang w:eastAsia="en-AU"/>
              </w:rPr>
              <w:t>Cohort; Normal allergy risk</w:t>
            </w:r>
          </w:p>
        </w:tc>
        <w:tc>
          <w:tcPr>
            <w:tcW w:w="716" w:type="dxa"/>
          </w:tcPr>
          <w:p w14:paraId="56E126CE" w14:textId="77777777" w:rsidR="0014171C" w:rsidRPr="005C39EC" w:rsidRDefault="0014171C" w:rsidP="00BE7858">
            <w:pPr>
              <w:rPr>
                <w:rFonts w:ascii="Arial" w:hAnsi="Arial" w:cs="Arial"/>
                <w:lang w:eastAsia="en-AU"/>
              </w:rPr>
            </w:pPr>
            <w:r w:rsidRPr="005C39EC">
              <w:rPr>
                <w:rFonts w:ascii="Arial" w:hAnsi="Arial" w:cs="Arial"/>
                <w:lang w:eastAsia="en-AU"/>
              </w:rPr>
              <w:t>1110</w:t>
            </w:r>
          </w:p>
        </w:tc>
        <w:tc>
          <w:tcPr>
            <w:tcW w:w="850" w:type="dxa"/>
          </w:tcPr>
          <w:p w14:paraId="169A9BE2" w14:textId="77777777" w:rsidR="0014171C" w:rsidRPr="005C39EC" w:rsidRDefault="0014171C" w:rsidP="00BE7858">
            <w:pPr>
              <w:rPr>
                <w:rFonts w:ascii="Arial" w:hAnsi="Arial" w:cs="Arial"/>
                <w:lang w:eastAsia="en-AU"/>
              </w:rPr>
            </w:pPr>
            <w:r w:rsidRPr="005C39EC">
              <w:rPr>
                <w:rFonts w:ascii="Arial" w:hAnsi="Arial" w:cs="Arial"/>
                <w:lang w:eastAsia="en-AU"/>
              </w:rPr>
              <w:t>A, W</w:t>
            </w:r>
          </w:p>
        </w:tc>
        <w:tc>
          <w:tcPr>
            <w:tcW w:w="851" w:type="dxa"/>
          </w:tcPr>
          <w:p w14:paraId="445AE7EC" w14:textId="77777777" w:rsidR="0014171C" w:rsidRPr="005C39EC" w:rsidRDefault="0014171C" w:rsidP="00BE7858">
            <w:pPr>
              <w:rPr>
                <w:rFonts w:ascii="Arial" w:hAnsi="Arial" w:cs="Arial"/>
                <w:lang w:eastAsia="en-AU"/>
              </w:rPr>
            </w:pPr>
            <w:r w:rsidRPr="005C39EC">
              <w:rPr>
                <w:rFonts w:ascii="Arial" w:hAnsi="Arial" w:cs="Arial"/>
                <w:lang w:eastAsia="en-AU"/>
              </w:rPr>
              <w:t>0-4 yr</w:t>
            </w:r>
          </w:p>
        </w:tc>
        <w:tc>
          <w:tcPr>
            <w:tcW w:w="3388" w:type="dxa"/>
            <w:shd w:val="clear" w:color="auto" w:fill="FFFFFF" w:themeFill="background1"/>
          </w:tcPr>
          <w:p w14:paraId="6E8012C3" w14:textId="77777777" w:rsidR="0014171C" w:rsidRPr="005C39EC" w:rsidRDefault="0014171C" w:rsidP="00BE7858">
            <w:pPr>
              <w:rPr>
                <w:rFonts w:ascii="Arial" w:hAnsi="Arial" w:cs="Arial"/>
                <w:lang w:eastAsia="en-AU"/>
              </w:rPr>
            </w:pPr>
            <w:r w:rsidRPr="005C39EC">
              <w:rPr>
                <w:rFonts w:ascii="Arial" w:hAnsi="Arial" w:cs="Arial"/>
                <w:lang w:eastAsia="en-AU"/>
              </w:rPr>
              <w:t>Solid foods before 4 mo compared to after 4 mo in EBF and BF infants</w:t>
            </w:r>
          </w:p>
        </w:tc>
        <w:tc>
          <w:tcPr>
            <w:tcW w:w="4243" w:type="dxa"/>
          </w:tcPr>
          <w:p w14:paraId="425CAE5D" w14:textId="77777777" w:rsidR="0014171C" w:rsidRPr="005C39EC" w:rsidRDefault="0014171C" w:rsidP="00BE7858">
            <w:pPr>
              <w:rPr>
                <w:rFonts w:ascii="Arial" w:hAnsi="Arial" w:cs="Arial"/>
                <w:lang w:eastAsia="en-AU"/>
              </w:rPr>
            </w:pPr>
            <w:r w:rsidRPr="005C39EC">
              <w:rPr>
                <w:rFonts w:ascii="Arial" w:hAnsi="Arial" w:cs="Arial"/>
                <w:lang w:eastAsia="en-AU"/>
              </w:rPr>
              <w:t>No association between solids introduced before 4 mo and risk of A; BF in first 4 mo does not reduce incidence of A.</w:t>
            </w:r>
          </w:p>
        </w:tc>
        <w:tc>
          <w:tcPr>
            <w:tcW w:w="288" w:type="dxa"/>
            <w:gridSpan w:val="3"/>
            <w:vAlign w:val="center"/>
          </w:tcPr>
          <w:p w14:paraId="7899F26F" w14:textId="77777777" w:rsidR="0014171C" w:rsidRPr="005C39EC" w:rsidRDefault="0014171C" w:rsidP="00BE7858">
            <w:pPr>
              <w:rPr>
                <w:rFonts w:ascii="Arial" w:hAnsi="Arial" w:cs="Arial"/>
                <w:lang w:eastAsia="en-AU"/>
              </w:rPr>
            </w:pPr>
          </w:p>
        </w:tc>
        <w:tc>
          <w:tcPr>
            <w:tcW w:w="290" w:type="dxa"/>
            <w:gridSpan w:val="2"/>
            <w:shd w:val="clear" w:color="auto" w:fill="F2DBDB" w:themeFill="accent2" w:themeFillTint="33"/>
            <w:vAlign w:val="center"/>
          </w:tcPr>
          <w:p w14:paraId="44F6858F"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87" w:type="dxa"/>
            <w:shd w:val="clear" w:color="auto" w:fill="FFFFFF" w:themeFill="background1"/>
            <w:vAlign w:val="center"/>
          </w:tcPr>
          <w:p w14:paraId="406E94E4" w14:textId="77777777" w:rsidR="0014171C" w:rsidRPr="005C39EC" w:rsidRDefault="0014171C" w:rsidP="00BE7858">
            <w:pPr>
              <w:rPr>
                <w:rFonts w:ascii="Arial" w:hAnsi="Arial" w:cs="Arial"/>
                <w:lang w:eastAsia="en-AU"/>
              </w:rPr>
            </w:pPr>
          </w:p>
        </w:tc>
        <w:tc>
          <w:tcPr>
            <w:tcW w:w="284" w:type="dxa"/>
            <w:shd w:val="clear" w:color="auto" w:fill="FFFFFF" w:themeFill="background1"/>
            <w:vAlign w:val="center"/>
          </w:tcPr>
          <w:p w14:paraId="6D52D5C7" w14:textId="77777777" w:rsidR="0014171C" w:rsidRPr="005C39EC" w:rsidRDefault="0014171C" w:rsidP="00BE7858">
            <w:pPr>
              <w:ind w:right="-136"/>
              <w:rPr>
                <w:rFonts w:ascii="Arial" w:hAnsi="Arial" w:cs="Arial"/>
                <w:lang w:eastAsia="en-AU"/>
              </w:rPr>
            </w:pPr>
          </w:p>
        </w:tc>
        <w:tc>
          <w:tcPr>
            <w:tcW w:w="285" w:type="dxa"/>
            <w:shd w:val="clear" w:color="auto" w:fill="FFFFFF" w:themeFill="background1"/>
            <w:vAlign w:val="center"/>
          </w:tcPr>
          <w:p w14:paraId="1DE0232A" w14:textId="77777777" w:rsidR="0014171C" w:rsidRPr="005C39EC" w:rsidRDefault="0014171C" w:rsidP="00BE7858">
            <w:pPr>
              <w:rPr>
                <w:rFonts w:ascii="Arial" w:hAnsi="Arial" w:cs="Arial"/>
                <w:lang w:eastAsia="en-AU"/>
              </w:rPr>
            </w:pPr>
          </w:p>
        </w:tc>
      </w:tr>
      <w:tr w:rsidR="0014171C" w:rsidRPr="005C39EC" w14:paraId="06C8A203" w14:textId="77777777" w:rsidTr="002609FD">
        <w:tc>
          <w:tcPr>
            <w:tcW w:w="1526" w:type="dxa"/>
          </w:tcPr>
          <w:p w14:paraId="4FAF724B"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2002 Schoetzau </w:t>
            </w:r>
          </w:p>
          <w:p w14:paraId="18C092C5" w14:textId="77777777" w:rsidR="0014171C" w:rsidRPr="005C39EC" w:rsidRDefault="0014171C" w:rsidP="00BE7858">
            <w:pPr>
              <w:rPr>
                <w:rFonts w:ascii="Arial" w:hAnsi="Arial" w:cs="Arial"/>
                <w:lang w:eastAsia="en-AU"/>
              </w:rPr>
            </w:pPr>
          </w:p>
        </w:tc>
        <w:tc>
          <w:tcPr>
            <w:tcW w:w="1559" w:type="dxa"/>
          </w:tcPr>
          <w:p w14:paraId="2ECB5C25" w14:textId="77777777" w:rsidR="0014171C" w:rsidRPr="005C39EC" w:rsidRDefault="0014171C" w:rsidP="00BE7858">
            <w:pPr>
              <w:rPr>
                <w:rFonts w:ascii="Arial" w:hAnsi="Arial" w:cs="Arial"/>
                <w:lang w:eastAsia="en-AU"/>
              </w:rPr>
            </w:pPr>
            <w:r w:rsidRPr="005C39EC">
              <w:rPr>
                <w:rFonts w:ascii="Arial" w:hAnsi="Arial" w:cs="Arial"/>
                <w:lang w:eastAsia="en-AU"/>
              </w:rPr>
              <w:lastRenderedPageBreak/>
              <w:t xml:space="preserve">Cohort; w/ history of </w:t>
            </w:r>
            <w:r w:rsidRPr="005C39EC">
              <w:rPr>
                <w:rFonts w:ascii="Arial" w:hAnsi="Arial" w:cs="Arial"/>
                <w:lang w:eastAsia="en-AU"/>
              </w:rPr>
              <w:lastRenderedPageBreak/>
              <w:t>atopy</w:t>
            </w:r>
          </w:p>
        </w:tc>
        <w:tc>
          <w:tcPr>
            <w:tcW w:w="716" w:type="dxa"/>
          </w:tcPr>
          <w:p w14:paraId="4A9AC358" w14:textId="77777777" w:rsidR="0014171C" w:rsidRPr="005C39EC" w:rsidRDefault="0014171C" w:rsidP="00BE7858">
            <w:pPr>
              <w:rPr>
                <w:rFonts w:ascii="Arial" w:hAnsi="Arial" w:cs="Arial"/>
                <w:lang w:eastAsia="en-AU"/>
              </w:rPr>
            </w:pPr>
            <w:r w:rsidRPr="005C39EC">
              <w:rPr>
                <w:rFonts w:ascii="Arial" w:hAnsi="Arial" w:cs="Arial"/>
                <w:lang w:eastAsia="en-AU"/>
              </w:rPr>
              <w:lastRenderedPageBreak/>
              <w:t>1321</w:t>
            </w:r>
          </w:p>
        </w:tc>
        <w:tc>
          <w:tcPr>
            <w:tcW w:w="850" w:type="dxa"/>
          </w:tcPr>
          <w:p w14:paraId="2E44E0E2" w14:textId="77777777" w:rsidR="0014171C" w:rsidRPr="005C39EC" w:rsidRDefault="0014171C" w:rsidP="00BE7858">
            <w:pPr>
              <w:rPr>
                <w:rFonts w:ascii="Arial" w:hAnsi="Arial" w:cs="Arial"/>
                <w:lang w:eastAsia="en-AU"/>
              </w:rPr>
            </w:pPr>
            <w:r w:rsidRPr="005C39EC">
              <w:rPr>
                <w:rFonts w:ascii="Arial" w:hAnsi="Arial" w:cs="Arial"/>
                <w:lang w:eastAsia="en-AU"/>
              </w:rPr>
              <w:t>AD</w:t>
            </w:r>
          </w:p>
        </w:tc>
        <w:tc>
          <w:tcPr>
            <w:tcW w:w="851" w:type="dxa"/>
          </w:tcPr>
          <w:p w14:paraId="237416BE" w14:textId="77777777" w:rsidR="0014171C" w:rsidRPr="005C39EC" w:rsidRDefault="0014171C" w:rsidP="00BE7858">
            <w:pPr>
              <w:rPr>
                <w:rFonts w:ascii="Arial" w:hAnsi="Arial" w:cs="Arial"/>
                <w:lang w:eastAsia="en-AU"/>
              </w:rPr>
            </w:pPr>
            <w:r w:rsidRPr="005C39EC">
              <w:rPr>
                <w:rFonts w:ascii="Arial" w:hAnsi="Arial" w:cs="Arial"/>
                <w:lang w:eastAsia="en-AU"/>
              </w:rPr>
              <w:t>1 yr</w:t>
            </w:r>
          </w:p>
        </w:tc>
        <w:tc>
          <w:tcPr>
            <w:tcW w:w="3388" w:type="dxa"/>
            <w:shd w:val="clear" w:color="auto" w:fill="FFFFFF" w:themeFill="background1"/>
          </w:tcPr>
          <w:p w14:paraId="37994C4B" w14:textId="77777777" w:rsidR="0014171C" w:rsidRPr="005C39EC" w:rsidRDefault="0014171C" w:rsidP="00BE7858">
            <w:pPr>
              <w:rPr>
                <w:rFonts w:ascii="Arial" w:hAnsi="Arial" w:cs="Arial"/>
                <w:lang w:eastAsia="en-AU"/>
              </w:rPr>
            </w:pPr>
            <w:r w:rsidRPr="005C39EC">
              <w:rPr>
                <w:rFonts w:ascii="Arial" w:hAnsi="Arial" w:cs="Arial"/>
                <w:lang w:eastAsia="en-AU"/>
              </w:rPr>
              <w:t>Egg/milk introduced before 4 mo compared to after 4 mo</w:t>
            </w:r>
          </w:p>
        </w:tc>
        <w:tc>
          <w:tcPr>
            <w:tcW w:w="4243" w:type="dxa"/>
          </w:tcPr>
          <w:p w14:paraId="0F10A7D9" w14:textId="77777777" w:rsidR="0014171C" w:rsidRPr="005C39EC" w:rsidRDefault="0014171C" w:rsidP="00BE7858">
            <w:pPr>
              <w:rPr>
                <w:rFonts w:ascii="Arial" w:hAnsi="Arial" w:cs="Arial"/>
                <w:lang w:eastAsia="en-AU"/>
              </w:rPr>
            </w:pPr>
            <w:r w:rsidRPr="005C39EC">
              <w:rPr>
                <w:rFonts w:ascii="Arial" w:hAnsi="Arial" w:cs="Arial"/>
                <w:lang w:eastAsia="en-AU"/>
              </w:rPr>
              <w:t>Age of introduction of solid foods was not associated with incidence of AD</w:t>
            </w:r>
          </w:p>
        </w:tc>
        <w:tc>
          <w:tcPr>
            <w:tcW w:w="288" w:type="dxa"/>
            <w:gridSpan w:val="3"/>
            <w:vAlign w:val="center"/>
          </w:tcPr>
          <w:p w14:paraId="0D03F811" w14:textId="77777777" w:rsidR="0014171C" w:rsidRPr="005C39EC" w:rsidRDefault="0014171C" w:rsidP="00BE7858">
            <w:pPr>
              <w:rPr>
                <w:rFonts w:ascii="Arial" w:hAnsi="Arial" w:cs="Arial"/>
                <w:lang w:eastAsia="en-AU"/>
              </w:rPr>
            </w:pPr>
          </w:p>
        </w:tc>
        <w:tc>
          <w:tcPr>
            <w:tcW w:w="290" w:type="dxa"/>
            <w:gridSpan w:val="2"/>
            <w:shd w:val="clear" w:color="auto" w:fill="FFFFFF" w:themeFill="background1"/>
            <w:vAlign w:val="center"/>
          </w:tcPr>
          <w:p w14:paraId="6C505B8C" w14:textId="77777777" w:rsidR="0014171C" w:rsidRPr="005C39EC" w:rsidRDefault="0014171C" w:rsidP="00BE7858">
            <w:pPr>
              <w:rPr>
                <w:rFonts w:ascii="Arial" w:hAnsi="Arial" w:cs="Arial"/>
                <w:lang w:eastAsia="en-AU"/>
              </w:rPr>
            </w:pPr>
          </w:p>
        </w:tc>
        <w:tc>
          <w:tcPr>
            <w:tcW w:w="287" w:type="dxa"/>
            <w:shd w:val="clear" w:color="auto" w:fill="FFFFFF" w:themeFill="background1"/>
            <w:vAlign w:val="center"/>
          </w:tcPr>
          <w:p w14:paraId="61D4EC9D" w14:textId="77777777" w:rsidR="0014171C" w:rsidRPr="005C39EC" w:rsidRDefault="0014171C" w:rsidP="00BE7858">
            <w:pPr>
              <w:rPr>
                <w:rFonts w:ascii="Arial" w:hAnsi="Arial" w:cs="Arial"/>
                <w:lang w:eastAsia="en-AU"/>
              </w:rPr>
            </w:pPr>
          </w:p>
        </w:tc>
        <w:tc>
          <w:tcPr>
            <w:tcW w:w="284" w:type="dxa"/>
            <w:shd w:val="clear" w:color="auto" w:fill="FDE9D9" w:themeFill="accent6" w:themeFillTint="33"/>
            <w:vAlign w:val="center"/>
          </w:tcPr>
          <w:p w14:paraId="40862C76"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85" w:type="dxa"/>
            <w:shd w:val="clear" w:color="auto" w:fill="FFFFFF" w:themeFill="background1"/>
            <w:vAlign w:val="center"/>
          </w:tcPr>
          <w:p w14:paraId="76647425" w14:textId="77777777" w:rsidR="0014171C" w:rsidRPr="005C39EC" w:rsidRDefault="0014171C" w:rsidP="00BE7858">
            <w:pPr>
              <w:rPr>
                <w:rFonts w:ascii="Arial" w:hAnsi="Arial" w:cs="Arial"/>
                <w:lang w:eastAsia="en-AU"/>
              </w:rPr>
            </w:pPr>
          </w:p>
        </w:tc>
      </w:tr>
      <w:tr w:rsidR="0014171C" w:rsidRPr="005C39EC" w14:paraId="3495B1E0" w14:textId="77777777" w:rsidTr="002609FD">
        <w:tc>
          <w:tcPr>
            <w:tcW w:w="1526" w:type="dxa"/>
          </w:tcPr>
          <w:p w14:paraId="59FBF639" w14:textId="77777777" w:rsidR="0014171C" w:rsidRPr="005C39EC" w:rsidRDefault="0014171C" w:rsidP="00BE7858">
            <w:pPr>
              <w:rPr>
                <w:rFonts w:ascii="Arial" w:hAnsi="Arial" w:cs="Arial"/>
                <w:lang w:eastAsia="en-AU"/>
              </w:rPr>
            </w:pPr>
            <w:r w:rsidRPr="005C39EC">
              <w:rPr>
                <w:rFonts w:ascii="Arial" w:hAnsi="Arial" w:cs="Arial"/>
                <w:lang w:eastAsia="en-AU"/>
              </w:rPr>
              <w:lastRenderedPageBreak/>
              <w:t xml:space="preserve">2004 Zutavern </w:t>
            </w:r>
          </w:p>
          <w:p w14:paraId="3221DE32" w14:textId="77777777" w:rsidR="0014171C" w:rsidRPr="005C39EC" w:rsidRDefault="0014171C" w:rsidP="00BE7858">
            <w:pPr>
              <w:rPr>
                <w:rFonts w:ascii="Arial" w:hAnsi="Arial" w:cs="Arial"/>
                <w:lang w:eastAsia="en-AU"/>
              </w:rPr>
            </w:pPr>
            <w:r w:rsidRPr="005C39EC">
              <w:rPr>
                <w:rFonts w:ascii="Arial" w:hAnsi="Arial" w:cs="Arial"/>
                <w:lang w:eastAsia="en-AU"/>
              </w:rPr>
              <w:t>(UK)</w:t>
            </w:r>
          </w:p>
        </w:tc>
        <w:tc>
          <w:tcPr>
            <w:tcW w:w="1559" w:type="dxa"/>
          </w:tcPr>
          <w:p w14:paraId="5855F6CF" w14:textId="77777777" w:rsidR="0014171C" w:rsidRPr="005C39EC" w:rsidRDefault="0014171C" w:rsidP="00BE7858">
            <w:pPr>
              <w:rPr>
                <w:rFonts w:ascii="Arial" w:hAnsi="Arial" w:cs="Arial"/>
                <w:lang w:eastAsia="en-AU"/>
              </w:rPr>
            </w:pPr>
            <w:r w:rsidRPr="005C39EC">
              <w:rPr>
                <w:rFonts w:ascii="Arial" w:hAnsi="Arial" w:cs="Arial"/>
                <w:lang w:eastAsia="en-AU"/>
              </w:rPr>
              <w:t>Cohort;</w:t>
            </w:r>
            <w:r w:rsidRPr="005C39EC">
              <w:rPr>
                <w:rFonts w:ascii="Arial" w:eastAsia="Calibri" w:hAnsi="Arial" w:cs="Arial"/>
                <w:lang w:eastAsia="en-AU"/>
              </w:rPr>
              <w:t xml:space="preserve"> </w:t>
            </w:r>
            <w:r w:rsidRPr="005C39EC">
              <w:rPr>
                <w:rFonts w:ascii="Arial" w:hAnsi="Arial" w:cs="Arial"/>
                <w:lang w:eastAsia="en-AU"/>
              </w:rPr>
              <w:t xml:space="preserve">Normal allergy risk </w:t>
            </w:r>
          </w:p>
        </w:tc>
        <w:tc>
          <w:tcPr>
            <w:tcW w:w="716" w:type="dxa"/>
          </w:tcPr>
          <w:p w14:paraId="74EA4A73" w14:textId="77777777" w:rsidR="0014171C" w:rsidRPr="005C39EC" w:rsidRDefault="0014171C" w:rsidP="00BE7858">
            <w:pPr>
              <w:rPr>
                <w:rFonts w:ascii="Arial" w:hAnsi="Arial" w:cs="Arial"/>
                <w:lang w:eastAsia="en-AU"/>
              </w:rPr>
            </w:pPr>
            <w:r w:rsidRPr="005C39EC">
              <w:rPr>
                <w:rFonts w:ascii="Arial" w:hAnsi="Arial" w:cs="Arial"/>
                <w:lang w:eastAsia="en-AU"/>
              </w:rPr>
              <w:t>605</w:t>
            </w:r>
          </w:p>
        </w:tc>
        <w:tc>
          <w:tcPr>
            <w:tcW w:w="850" w:type="dxa"/>
          </w:tcPr>
          <w:p w14:paraId="5B370327" w14:textId="77777777" w:rsidR="0014171C" w:rsidRPr="005C39EC" w:rsidRDefault="0014171C" w:rsidP="00BE7858">
            <w:pPr>
              <w:rPr>
                <w:rFonts w:ascii="Arial" w:hAnsi="Arial" w:cs="Arial"/>
                <w:lang w:eastAsia="en-AU"/>
              </w:rPr>
            </w:pPr>
            <w:r w:rsidRPr="005C39EC">
              <w:rPr>
                <w:rFonts w:ascii="Arial" w:hAnsi="Arial" w:cs="Arial"/>
                <w:lang w:eastAsia="en-AU"/>
              </w:rPr>
              <w:t>W, A, E</w:t>
            </w:r>
          </w:p>
          <w:p w14:paraId="6880E63A" w14:textId="77777777" w:rsidR="0014171C" w:rsidRPr="005C39EC" w:rsidRDefault="0014171C" w:rsidP="00BE7858">
            <w:pPr>
              <w:rPr>
                <w:rFonts w:ascii="Arial" w:hAnsi="Arial" w:cs="Arial"/>
                <w:lang w:eastAsia="en-AU"/>
              </w:rPr>
            </w:pPr>
          </w:p>
        </w:tc>
        <w:tc>
          <w:tcPr>
            <w:tcW w:w="851" w:type="dxa"/>
          </w:tcPr>
          <w:p w14:paraId="340D30F6" w14:textId="77777777" w:rsidR="0014171C" w:rsidRPr="005C39EC" w:rsidRDefault="0014171C" w:rsidP="00BE7858">
            <w:pPr>
              <w:rPr>
                <w:rFonts w:ascii="Arial" w:hAnsi="Arial" w:cs="Arial"/>
                <w:lang w:eastAsia="en-AU"/>
              </w:rPr>
            </w:pPr>
            <w:r w:rsidRPr="005C39EC">
              <w:rPr>
                <w:rFonts w:ascii="Arial" w:hAnsi="Arial" w:cs="Arial"/>
                <w:lang w:eastAsia="en-AU"/>
              </w:rPr>
              <w:t>5.5 yr</w:t>
            </w:r>
          </w:p>
        </w:tc>
        <w:tc>
          <w:tcPr>
            <w:tcW w:w="3388" w:type="dxa"/>
            <w:shd w:val="clear" w:color="auto" w:fill="FFFFFF" w:themeFill="background1"/>
          </w:tcPr>
          <w:p w14:paraId="791C2ACD" w14:textId="77777777" w:rsidR="0014171C" w:rsidRPr="005C39EC" w:rsidRDefault="0014171C" w:rsidP="00BE7858">
            <w:pPr>
              <w:rPr>
                <w:rFonts w:ascii="Arial" w:hAnsi="Arial" w:cs="Arial"/>
                <w:lang w:eastAsia="en-AU"/>
              </w:rPr>
            </w:pPr>
            <w:r w:rsidRPr="005C39EC">
              <w:rPr>
                <w:rFonts w:ascii="Arial" w:hAnsi="Arial" w:cs="Arial"/>
                <w:lang w:eastAsia="en-AU"/>
              </w:rPr>
              <w:t>Various foods at time points between 3 and 9 mo</w:t>
            </w:r>
          </w:p>
        </w:tc>
        <w:tc>
          <w:tcPr>
            <w:tcW w:w="4243" w:type="dxa"/>
          </w:tcPr>
          <w:p w14:paraId="48A2E7B8" w14:textId="77777777" w:rsidR="0014171C" w:rsidRPr="005C39EC" w:rsidRDefault="0014171C" w:rsidP="00BE7858">
            <w:pPr>
              <w:rPr>
                <w:rFonts w:ascii="Arial" w:hAnsi="Arial" w:cs="Arial"/>
                <w:lang w:eastAsia="en-AU"/>
              </w:rPr>
            </w:pPr>
            <w:r w:rsidRPr="005C39EC">
              <w:rPr>
                <w:rFonts w:ascii="Arial" w:hAnsi="Arial" w:cs="Arial"/>
                <w:lang w:eastAsia="en-AU"/>
              </w:rPr>
              <w:t>No evidence that later introduction protects against W, A, E. Increased risk of E with eggs at &gt; 8 mo.</w:t>
            </w:r>
          </w:p>
        </w:tc>
        <w:tc>
          <w:tcPr>
            <w:tcW w:w="288" w:type="dxa"/>
            <w:gridSpan w:val="3"/>
            <w:shd w:val="clear" w:color="auto" w:fill="DBE5F1" w:themeFill="accent1" w:themeFillTint="33"/>
            <w:vAlign w:val="center"/>
          </w:tcPr>
          <w:p w14:paraId="2CA05164"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90" w:type="dxa"/>
            <w:gridSpan w:val="2"/>
            <w:shd w:val="clear" w:color="auto" w:fill="F2DBDB" w:themeFill="accent2" w:themeFillTint="33"/>
            <w:vAlign w:val="center"/>
          </w:tcPr>
          <w:p w14:paraId="1D5F311D"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87" w:type="dxa"/>
            <w:shd w:val="clear" w:color="auto" w:fill="FFFFFF" w:themeFill="background1"/>
            <w:vAlign w:val="center"/>
          </w:tcPr>
          <w:p w14:paraId="67EBD975" w14:textId="77777777" w:rsidR="0014171C" w:rsidRPr="005C39EC" w:rsidRDefault="0014171C" w:rsidP="00BE7858">
            <w:pPr>
              <w:rPr>
                <w:rFonts w:ascii="Arial" w:hAnsi="Arial" w:cs="Arial"/>
                <w:lang w:eastAsia="en-AU"/>
              </w:rPr>
            </w:pPr>
          </w:p>
        </w:tc>
        <w:tc>
          <w:tcPr>
            <w:tcW w:w="284" w:type="dxa"/>
            <w:shd w:val="clear" w:color="auto" w:fill="FDE9D9" w:themeFill="accent6" w:themeFillTint="33"/>
            <w:vAlign w:val="center"/>
          </w:tcPr>
          <w:p w14:paraId="5E0258FC" w14:textId="77777777" w:rsidR="0014171C" w:rsidRPr="005C39EC" w:rsidRDefault="0014171C" w:rsidP="00BE7858">
            <w:pPr>
              <w:ind w:right="-136"/>
              <w:rPr>
                <w:rFonts w:ascii="Arial" w:hAnsi="Arial" w:cs="Arial"/>
                <w:lang w:eastAsia="en-AU"/>
              </w:rPr>
            </w:pPr>
            <w:r w:rsidRPr="005C39EC">
              <w:rPr>
                <w:rFonts w:ascii="Arial" w:hAnsi="Arial" w:cs="Arial"/>
                <w:lang w:eastAsia="en-AU"/>
              </w:rPr>
              <w:sym w:font="Wingdings" w:char="F0FC"/>
            </w:r>
          </w:p>
        </w:tc>
        <w:tc>
          <w:tcPr>
            <w:tcW w:w="285" w:type="dxa"/>
            <w:shd w:val="clear" w:color="auto" w:fill="FFFFFF" w:themeFill="background1"/>
            <w:vAlign w:val="center"/>
          </w:tcPr>
          <w:p w14:paraId="1B1CA293" w14:textId="77777777" w:rsidR="0014171C" w:rsidRPr="005C39EC" w:rsidRDefault="0014171C" w:rsidP="00BE7858">
            <w:pPr>
              <w:rPr>
                <w:rFonts w:ascii="Arial" w:hAnsi="Arial" w:cs="Arial"/>
                <w:lang w:eastAsia="en-AU"/>
              </w:rPr>
            </w:pPr>
          </w:p>
        </w:tc>
      </w:tr>
      <w:tr w:rsidR="0014171C" w:rsidRPr="005C39EC" w14:paraId="53981BB1" w14:textId="77777777" w:rsidTr="002609FD">
        <w:tc>
          <w:tcPr>
            <w:tcW w:w="1526" w:type="dxa"/>
          </w:tcPr>
          <w:p w14:paraId="6DD5BB5C"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2006 Zutavern </w:t>
            </w:r>
          </w:p>
          <w:p w14:paraId="3B81A239" w14:textId="77777777" w:rsidR="0014171C" w:rsidRPr="005C39EC" w:rsidRDefault="0014171C" w:rsidP="00BE7858">
            <w:pPr>
              <w:rPr>
                <w:rFonts w:ascii="Arial" w:hAnsi="Arial" w:cs="Arial"/>
                <w:lang w:eastAsia="en-AU"/>
              </w:rPr>
            </w:pPr>
            <w:r w:rsidRPr="005C39EC">
              <w:rPr>
                <w:rFonts w:ascii="Arial" w:hAnsi="Arial" w:cs="Arial"/>
                <w:lang w:eastAsia="en-AU"/>
              </w:rPr>
              <w:t xml:space="preserve">(UK) </w:t>
            </w:r>
          </w:p>
        </w:tc>
        <w:tc>
          <w:tcPr>
            <w:tcW w:w="1559" w:type="dxa"/>
          </w:tcPr>
          <w:p w14:paraId="77392A76" w14:textId="77777777" w:rsidR="0014171C" w:rsidRPr="005C39EC" w:rsidRDefault="0014171C" w:rsidP="00BE7858">
            <w:pPr>
              <w:rPr>
                <w:rFonts w:ascii="Arial" w:hAnsi="Arial" w:cs="Arial"/>
                <w:lang w:eastAsia="en-AU"/>
              </w:rPr>
            </w:pPr>
            <w:r w:rsidRPr="005C39EC">
              <w:rPr>
                <w:rFonts w:ascii="Arial" w:hAnsi="Arial" w:cs="Arial"/>
                <w:lang w:eastAsia="en-AU"/>
              </w:rPr>
              <w:t>Cohort ± allergic symptoms</w:t>
            </w:r>
          </w:p>
        </w:tc>
        <w:tc>
          <w:tcPr>
            <w:tcW w:w="716" w:type="dxa"/>
          </w:tcPr>
          <w:p w14:paraId="671EF530" w14:textId="77777777" w:rsidR="0014171C" w:rsidRPr="005C39EC" w:rsidRDefault="0014171C" w:rsidP="00BE7858">
            <w:pPr>
              <w:rPr>
                <w:rFonts w:ascii="Arial" w:hAnsi="Arial" w:cs="Arial"/>
                <w:lang w:eastAsia="en-AU"/>
              </w:rPr>
            </w:pPr>
            <w:r w:rsidRPr="005C39EC">
              <w:rPr>
                <w:rFonts w:ascii="Arial" w:hAnsi="Arial" w:cs="Arial"/>
                <w:lang w:eastAsia="en-AU"/>
              </w:rPr>
              <w:t>2612</w:t>
            </w:r>
          </w:p>
        </w:tc>
        <w:tc>
          <w:tcPr>
            <w:tcW w:w="850" w:type="dxa"/>
          </w:tcPr>
          <w:p w14:paraId="29B12A40" w14:textId="77777777" w:rsidR="0014171C" w:rsidRPr="005C39EC" w:rsidRDefault="0014171C" w:rsidP="00BE7858">
            <w:pPr>
              <w:rPr>
                <w:rFonts w:ascii="Arial" w:hAnsi="Arial" w:cs="Arial"/>
                <w:lang w:eastAsia="en-AU"/>
              </w:rPr>
            </w:pPr>
            <w:r w:rsidRPr="005C39EC">
              <w:rPr>
                <w:rFonts w:ascii="Arial" w:hAnsi="Arial" w:cs="Arial"/>
                <w:lang w:eastAsia="en-AU"/>
              </w:rPr>
              <w:t>AD, AS</w:t>
            </w:r>
          </w:p>
          <w:p w14:paraId="0CAE9DBD" w14:textId="77777777" w:rsidR="0014171C" w:rsidRPr="005C39EC" w:rsidRDefault="0014171C" w:rsidP="00BE7858">
            <w:pPr>
              <w:rPr>
                <w:rFonts w:ascii="Arial" w:hAnsi="Arial" w:cs="Arial"/>
                <w:lang w:eastAsia="en-AU"/>
              </w:rPr>
            </w:pPr>
          </w:p>
        </w:tc>
        <w:tc>
          <w:tcPr>
            <w:tcW w:w="851" w:type="dxa"/>
          </w:tcPr>
          <w:p w14:paraId="21E60FE3" w14:textId="77777777" w:rsidR="0014171C" w:rsidRPr="005C39EC" w:rsidRDefault="0014171C" w:rsidP="00BE7858">
            <w:pPr>
              <w:rPr>
                <w:rFonts w:ascii="Arial" w:hAnsi="Arial" w:cs="Arial"/>
                <w:lang w:eastAsia="en-AU"/>
              </w:rPr>
            </w:pPr>
            <w:r w:rsidRPr="005C39EC">
              <w:rPr>
                <w:rFonts w:ascii="Arial" w:hAnsi="Arial" w:cs="Arial"/>
                <w:lang w:eastAsia="en-AU"/>
              </w:rPr>
              <w:t>2 yr</w:t>
            </w:r>
          </w:p>
        </w:tc>
        <w:tc>
          <w:tcPr>
            <w:tcW w:w="3388" w:type="dxa"/>
            <w:shd w:val="clear" w:color="auto" w:fill="FFFFFF" w:themeFill="background1"/>
          </w:tcPr>
          <w:p w14:paraId="11FC4219" w14:textId="77777777" w:rsidR="0014171C" w:rsidRPr="005C39EC" w:rsidRDefault="0014171C" w:rsidP="00BE7858">
            <w:pPr>
              <w:rPr>
                <w:rFonts w:ascii="Arial" w:hAnsi="Arial" w:cs="Arial"/>
                <w:lang w:eastAsia="en-AU"/>
              </w:rPr>
            </w:pPr>
            <w:r w:rsidRPr="005C39EC">
              <w:rPr>
                <w:rFonts w:ascii="Arial" w:hAnsi="Arial" w:cs="Arial"/>
                <w:lang w:eastAsia="en-AU"/>
              </w:rPr>
              <w:t>Egg and milk introduced before 6 mo compared to after 6 mo</w:t>
            </w:r>
          </w:p>
        </w:tc>
        <w:tc>
          <w:tcPr>
            <w:tcW w:w="4243" w:type="dxa"/>
          </w:tcPr>
          <w:p w14:paraId="15806944" w14:textId="77777777" w:rsidR="0014171C" w:rsidRPr="005C39EC" w:rsidRDefault="0014171C" w:rsidP="00BE7858">
            <w:pPr>
              <w:rPr>
                <w:rFonts w:ascii="Arial" w:hAnsi="Arial" w:cs="Arial"/>
                <w:lang w:eastAsia="en-AU"/>
              </w:rPr>
            </w:pPr>
            <w:r w:rsidRPr="005C39EC">
              <w:rPr>
                <w:rFonts w:ascii="Arial" w:hAnsi="Arial" w:cs="Arial"/>
                <w:lang w:eastAsia="en-AU"/>
              </w:rPr>
              <w:t>No evidence that introduction of solids after 6 mo reduces risk of AD, AS</w:t>
            </w:r>
          </w:p>
        </w:tc>
        <w:tc>
          <w:tcPr>
            <w:tcW w:w="288" w:type="dxa"/>
            <w:gridSpan w:val="3"/>
            <w:shd w:val="clear" w:color="auto" w:fill="DBE5F1" w:themeFill="accent1" w:themeFillTint="33"/>
            <w:vAlign w:val="center"/>
          </w:tcPr>
          <w:p w14:paraId="7A53014F"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90" w:type="dxa"/>
            <w:gridSpan w:val="2"/>
            <w:shd w:val="clear" w:color="auto" w:fill="F2DBDB" w:themeFill="accent2" w:themeFillTint="33"/>
            <w:vAlign w:val="center"/>
          </w:tcPr>
          <w:p w14:paraId="5D6628F6"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87" w:type="dxa"/>
            <w:shd w:val="clear" w:color="auto" w:fill="FFFFFF" w:themeFill="background1"/>
            <w:vAlign w:val="center"/>
          </w:tcPr>
          <w:p w14:paraId="333E498C" w14:textId="77777777" w:rsidR="0014171C" w:rsidRPr="005C39EC" w:rsidRDefault="0014171C" w:rsidP="00BE7858">
            <w:pPr>
              <w:rPr>
                <w:rFonts w:ascii="Arial" w:hAnsi="Arial" w:cs="Arial"/>
                <w:lang w:eastAsia="en-AU"/>
              </w:rPr>
            </w:pPr>
          </w:p>
        </w:tc>
        <w:tc>
          <w:tcPr>
            <w:tcW w:w="284" w:type="dxa"/>
            <w:shd w:val="clear" w:color="auto" w:fill="FFFFFF" w:themeFill="background1"/>
            <w:vAlign w:val="center"/>
          </w:tcPr>
          <w:p w14:paraId="77985413" w14:textId="77777777" w:rsidR="0014171C" w:rsidRPr="005C39EC" w:rsidRDefault="0014171C" w:rsidP="00BE7858">
            <w:pPr>
              <w:ind w:right="-136"/>
              <w:rPr>
                <w:rFonts w:ascii="Arial" w:hAnsi="Arial" w:cs="Arial"/>
                <w:lang w:eastAsia="en-AU"/>
              </w:rPr>
            </w:pPr>
          </w:p>
        </w:tc>
        <w:tc>
          <w:tcPr>
            <w:tcW w:w="285" w:type="dxa"/>
            <w:shd w:val="clear" w:color="auto" w:fill="FFFFFF" w:themeFill="background1"/>
            <w:vAlign w:val="center"/>
          </w:tcPr>
          <w:p w14:paraId="29DE6366" w14:textId="77777777" w:rsidR="0014171C" w:rsidRPr="005C39EC" w:rsidRDefault="0014171C" w:rsidP="00BE7858">
            <w:pPr>
              <w:rPr>
                <w:rFonts w:ascii="Arial" w:hAnsi="Arial" w:cs="Arial"/>
                <w:lang w:eastAsia="en-AU"/>
              </w:rPr>
            </w:pPr>
          </w:p>
        </w:tc>
      </w:tr>
      <w:tr w:rsidR="0014171C" w:rsidRPr="005C39EC" w14:paraId="1F2EC2FC" w14:textId="77777777" w:rsidTr="002609FD">
        <w:tc>
          <w:tcPr>
            <w:tcW w:w="1526" w:type="dxa"/>
          </w:tcPr>
          <w:p w14:paraId="0D6B34C3" w14:textId="77777777" w:rsidR="0014171C" w:rsidRPr="005C39EC" w:rsidRDefault="0014171C" w:rsidP="00BE7858">
            <w:pPr>
              <w:rPr>
                <w:rFonts w:ascii="Arial" w:hAnsi="Arial" w:cs="Arial"/>
                <w:lang w:eastAsia="en-AU"/>
              </w:rPr>
            </w:pPr>
            <w:r w:rsidRPr="005C39EC">
              <w:rPr>
                <w:rFonts w:ascii="Arial" w:hAnsi="Arial" w:cs="Arial"/>
                <w:lang w:eastAsia="en-AU"/>
              </w:rPr>
              <w:t>2009 Kramer</w:t>
            </w:r>
          </w:p>
          <w:p w14:paraId="64D3E00C" w14:textId="77777777" w:rsidR="0014171C" w:rsidRPr="005C39EC" w:rsidRDefault="0014171C" w:rsidP="00BE7858">
            <w:pPr>
              <w:rPr>
                <w:rFonts w:ascii="Arial" w:hAnsi="Arial" w:cs="Arial"/>
                <w:lang w:eastAsia="en-AU"/>
              </w:rPr>
            </w:pPr>
            <w:r w:rsidRPr="005C39EC">
              <w:rPr>
                <w:rFonts w:ascii="Arial" w:hAnsi="Arial" w:cs="Arial"/>
                <w:lang w:eastAsia="en-AU"/>
              </w:rPr>
              <w:t>(Belarus)</w:t>
            </w:r>
          </w:p>
        </w:tc>
        <w:tc>
          <w:tcPr>
            <w:tcW w:w="1559" w:type="dxa"/>
          </w:tcPr>
          <w:p w14:paraId="2F4729F1" w14:textId="77777777" w:rsidR="0014171C" w:rsidRPr="005C39EC" w:rsidRDefault="0014171C" w:rsidP="00BE7858">
            <w:pPr>
              <w:rPr>
                <w:rFonts w:ascii="Arial" w:hAnsi="Arial" w:cs="Arial"/>
                <w:lang w:eastAsia="en-AU"/>
              </w:rPr>
            </w:pPr>
            <w:r w:rsidRPr="005C39EC">
              <w:rPr>
                <w:rFonts w:ascii="Arial" w:hAnsi="Arial" w:cs="Arial"/>
                <w:lang w:eastAsia="en-AU"/>
              </w:rPr>
              <w:t>Cohort</w:t>
            </w:r>
          </w:p>
        </w:tc>
        <w:tc>
          <w:tcPr>
            <w:tcW w:w="716" w:type="dxa"/>
          </w:tcPr>
          <w:p w14:paraId="5820C682" w14:textId="77777777" w:rsidR="0014171C" w:rsidRPr="005C39EC" w:rsidRDefault="0014171C" w:rsidP="00BE7858">
            <w:pPr>
              <w:rPr>
                <w:rFonts w:ascii="Arial" w:hAnsi="Arial" w:cs="Arial"/>
                <w:lang w:eastAsia="en-AU"/>
              </w:rPr>
            </w:pPr>
            <w:r w:rsidRPr="005C39EC">
              <w:rPr>
                <w:rFonts w:ascii="Arial" w:hAnsi="Arial" w:cs="Arial"/>
                <w:lang w:eastAsia="en-AU"/>
              </w:rPr>
              <w:t>2951</w:t>
            </w:r>
          </w:p>
        </w:tc>
        <w:tc>
          <w:tcPr>
            <w:tcW w:w="850" w:type="dxa"/>
          </w:tcPr>
          <w:p w14:paraId="7C6C5FC2" w14:textId="77777777" w:rsidR="0014171C" w:rsidRPr="005C39EC" w:rsidRDefault="0014171C" w:rsidP="00BE7858">
            <w:pPr>
              <w:rPr>
                <w:rFonts w:ascii="Arial" w:hAnsi="Arial" w:cs="Arial"/>
                <w:lang w:eastAsia="en-AU"/>
              </w:rPr>
            </w:pPr>
            <w:r w:rsidRPr="005C39EC">
              <w:rPr>
                <w:rFonts w:ascii="Arial" w:hAnsi="Arial" w:cs="Arial"/>
                <w:lang w:eastAsia="en-AU"/>
              </w:rPr>
              <w:t>AD</w:t>
            </w:r>
          </w:p>
        </w:tc>
        <w:tc>
          <w:tcPr>
            <w:tcW w:w="851" w:type="dxa"/>
          </w:tcPr>
          <w:p w14:paraId="64A2A350" w14:textId="77777777" w:rsidR="0014171C" w:rsidRPr="005C39EC" w:rsidRDefault="0014171C" w:rsidP="00BE7858">
            <w:pPr>
              <w:rPr>
                <w:rFonts w:ascii="Arial" w:hAnsi="Arial" w:cs="Arial"/>
                <w:lang w:eastAsia="en-AU"/>
              </w:rPr>
            </w:pPr>
            <w:r w:rsidRPr="005C39EC">
              <w:rPr>
                <w:rFonts w:ascii="Arial" w:hAnsi="Arial" w:cs="Arial"/>
                <w:lang w:eastAsia="en-AU"/>
              </w:rPr>
              <w:t>6.5 yr</w:t>
            </w:r>
          </w:p>
        </w:tc>
        <w:tc>
          <w:tcPr>
            <w:tcW w:w="3388" w:type="dxa"/>
            <w:shd w:val="clear" w:color="auto" w:fill="FFFFFF" w:themeFill="background1"/>
          </w:tcPr>
          <w:p w14:paraId="4E602E6B" w14:textId="77777777" w:rsidR="0014171C" w:rsidRPr="005C39EC" w:rsidRDefault="0014171C" w:rsidP="00BE7858">
            <w:pPr>
              <w:rPr>
                <w:rFonts w:ascii="Arial" w:hAnsi="Arial" w:cs="Arial"/>
                <w:lang w:eastAsia="en-AU"/>
              </w:rPr>
            </w:pPr>
            <w:r w:rsidRPr="005C39EC">
              <w:rPr>
                <w:rFonts w:ascii="Arial" w:hAnsi="Arial" w:cs="Arial"/>
                <w:lang w:eastAsia="en-AU"/>
              </w:rPr>
              <w:t>EBF for 6 mo compared to EBF for 3 mo then introduce solids or milk</w:t>
            </w:r>
          </w:p>
        </w:tc>
        <w:tc>
          <w:tcPr>
            <w:tcW w:w="4243" w:type="dxa"/>
          </w:tcPr>
          <w:p w14:paraId="5AE1B076" w14:textId="77777777" w:rsidR="0014171C" w:rsidRPr="005C39EC" w:rsidRDefault="0014171C" w:rsidP="00BE7858">
            <w:pPr>
              <w:rPr>
                <w:rFonts w:ascii="Arial" w:hAnsi="Arial" w:cs="Arial"/>
                <w:lang w:eastAsia="en-AU"/>
              </w:rPr>
            </w:pPr>
            <w:r w:rsidRPr="005C39EC">
              <w:rPr>
                <w:rFonts w:ascii="Arial" w:hAnsi="Arial" w:cs="Arial"/>
                <w:lang w:eastAsia="en-AU"/>
              </w:rPr>
              <w:t>No association between EBF duration or age of solid food introduction and A</w:t>
            </w:r>
          </w:p>
        </w:tc>
        <w:tc>
          <w:tcPr>
            <w:tcW w:w="288" w:type="dxa"/>
            <w:gridSpan w:val="3"/>
            <w:vAlign w:val="center"/>
          </w:tcPr>
          <w:p w14:paraId="1F3B86CC" w14:textId="77777777" w:rsidR="0014171C" w:rsidRPr="005C39EC" w:rsidRDefault="0014171C" w:rsidP="00BE7858">
            <w:pPr>
              <w:rPr>
                <w:rFonts w:ascii="Arial" w:hAnsi="Arial" w:cs="Arial"/>
                <w:lang w:eastAsia="en-AU"/>
              </w:rPr>
            </w:pPr>
          </w:p>
        </w:tc>
        <w:tc>
          <w:tcPr>
            <w:tcW w:w="290" w:type="dxa"/>
            <w:gridSpan w:val="2"/>
            <w:shd w:val="clear" w:color="auto" w:fill="FFFFFF" w:themeFill="background1"/>
            <w:vAlign w:val="center"/>
          </w:tcPr>
          <w:p w14:paraId="49AEF11D" w14:textId="77777777" w:rsidR="0014171C" w:rsidRPr="005C39EC" w:rsidRDefault="0014171C" w:rsidP="00BE7858">
            <w:pPr>
              <w:rPr>
                <w:rFonts w:ascii="Arial" w:hAnsi="Arial" w:cs="Arial"/>
                <w:lang w:eastAsia="en-AU"/>
              </w:rPr>
            </w:pPr>
          </w:p>
        </w:tc>
        <w:tc>
          <w:tcPr>
            <w:tcW w:w="287" w:type="dxa"/>
            <w:shd w:val="clear" w:color="auto" w:fill="FFFFFF" w:themeFill="background1"/>
            <w:vAlign w:val="center"/>
          </w:tcPr>
          <w:p w14:paraId="5764B76E" w14:textId="77777777" w:rsidR="0014171C" w:rsidRPr="005C39EC" w:rsidRDefault="0014171C" w:rsidP="00BE7858">
            <w:pPr>
              <w:rPr>
                <w:rFonts w:ascii="Arial" w:hAnsi="Arial" w:cs="Arial"/>
                <w:lang w:eastAsia="en-AU"/>
              </w:rPr>
            </w:pPr>
          </w:p>
        </w:tc>
        <w:tc>
          <w:tcPr>
            <w:tcW w:w="284" w:type="dxa"/>
            <w:shd w:val="clear" w:color="auto" w:fill="FDE9D9" w:themeFill="accent6" w:themeFillTint="33"/>
            <w:vAlign w:val="center"/>
          </w:tcPr>
          <w:p w14:paraId="4DDDE541"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85" w:type="dxa"/>
            <w:shd w:val="clear" w:color="auto" w:fill="FFFFFF" w:themeFill="background1"/>
            <w:vAlign w:val="center"/>
          </w:tcPr>
          <w:p w14:paraId="54B0D6D6" w14:textId="77777777" w:rsidR="0014171C" w:rsidRPr="005C39EC" w:rsidRDefault="0014171C" w:rsidP="00BE7858">
            <w:pPr>
              <w:rPr>
                <w:rFonts w:ascii="Arial" w:hAnsi="Arial" w:cs="Arial"/>
                <w:lang w:eastAsia="en-AU"/>
              </w:rPr>
            </w:pPr>
          </w:p>
        </w:tc>
      </w:tr>
      <w:tr w:rsidR="0014171C" w:rsidRPr="005C39EC" w14:paraId="45A977E5" w14:textId="77777777" w:rsidTr="002609FD">
        <w:tc>
          <w:tcPr>
            <w:tcW w:w="1526" w:type="dxa"/>
          </w:tcPr>
          <w:p w14:paraId="5FFAFEF5"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2011 Chuang </w:t>
            </w:r>
          </w:p>
          <w:p w14:paraId="3B13ECCC" w14:textId="77777777" w:rsidR="0014171C" w:rsidRPr="005C39EC" w:rsidRDefault="0014171C" w:rsidP="00BE7858">
            <w:pPr>
              <w:rPr>
                <w:rFonts w:ascii="Arial" w:hAnsi="Arial" w:cs="Arial"/>
                <w:lang w:eastAsia="en-AU"/>
              </w:rPr>
            </w:pPr>
            <w:r w:rsidRPr="005C39EC">
              <w:rPr>
                <w:rFonts w:ascii="Arial" w:hAnsi="Arial" w:cs="Arial"/>
                <w:lang w:eastAsia="en-AU"/>
              </w:rPr>
              <w:t>(Taiwan)</w:t>
            </w:r>
          </w:p>
        </w:tc>
        <w:tc>
          <w:tcPr>
            <w:tcW w:w="1559" w:type="dxa"/>
          </w:tcPr>
          <w:p w14:paraId="06702840" w14:textId="77777777" w:rsidR="0014171C" w:rsidRPr="005C39EC" w:rsidRDefault="0014171C" w:rsidP="00BE7858">
            <w:pPr>
              <w:rPr>
                <w:rFonts w:ascii="Arial" w:hAnsi="Arial" w:cs="Arial"/>
                <w:lang w:eastAsia="en-AU"/>
              </w:rPr>
            </w:pPr>
            <w:r w:rsidRPr="005C39EC">
              <w:rPr>
                <w:rFonts w:ascii="Arial" w:hAnsi="Arial" w:cs="Arial"/>
                <w:lang w:eastAsia="en-AU"/>
              </w:rPr>
              <w:t>Cohort; Normal allergy risk</w:t>
            </w:r>
          </w:p>
        </w:tc>
        <w:tc>
          <w:tcPr>
            <w:tcW w:w="716" w:type="dxa"/>
          </w:tcPr>
          <w:p w14:paraId="17C4E66F" w14:textId="77777777" w:rsidR="0014171C" w:rsidRPr="005C39EC" w:rsidRDefault="0014171C" w:rsidP="00BE7858">
            <w:pPr>
              <w:rPr>
                <w:rFonts w:ascii="Arial" w:hAnsi="Arial" w:cs="Arial"/>
                <w:lang w:eastAsia="en-AU"/>
              </w:rPr>
            </w:pPr>
            <w:r w:rsidRPr="005C39EC">
              <w:rPr>
                <w:rFonts w:ascii="Arial" w:hAnsi="Arial" w:cs="Arial"/>
                <w:lang w:eastAsia="en-AU"/>
              </w:rPr>
              <w:t>18773</w:t>
            </w:r>
          </w:p>
        </w:tc>
        <w:tc>
          <w:tcPr>
            <w:tcW w:w="850" w:type="dxa"/>
          </w:tcPr>
          <w:p w14:paraId="77C8F93A" w14:textId="77777777" w:rsidR="0014171C" w:rsidRPr="005C39EC" w:rsidRDefault="0014171C" w:rsidP="00BE7858">
            <w:pPr>
              <w:rPr>
                <w:rFonts w:ascii="Arial" w:hAnsi="Arial" w:cs="Arial"/>
                <w:lang w:eastAsia="en-AU"/>
              </w:rPr>
            </w:pPr>
            <w:r w:rsidRPr="005C39EC">
              <w:rPr>
                <w:rFonts w:ascii="Arial" w:hAnsi="Arial" w:cs="Arial"/>
                <w:lang w:eastAsia="en-AU"/>
              </w:rPr>
              <w:t>AD</w:t>
            </w:r>
          </w:p>
        </w:tc>
        <w:tc>
          <w:tcPr>
            <w:tcW w:w="851" w:type="dxa"/>
          </w:tcPr>
          <w:p w14:paraId="740E1C28" w14:textId="77777777" w:rsidR="0014171C" w:rsidRPr="005C39EC" w:rsidRDefault="0014171C" w:rsidP="00BE7858">
            <w:pPr>
              <w:rPr>
                <w:rFonts w:ascii="Arial" w:hAnsi="Arial" w:cs="Arial"/>
                <w:lang w:eastAsia="en-AU"/>
              </w:rPr>
            </w:pPr>
            <w:r w:rsidRPr="005C39EC">
              <w:rPr>
                <w:rFonts w:ascii="Arial" w:hAnsi="Arial" w:cs="Arial"/>
                <w:lang w:eastAsia="en-AU"/>
              </w:rPr>
              <w:t>18 mo</w:t>
            </w:r>
          </w:p>
        </w:tc>
        <w:tc>
          <w:tcPr>
            <w:tcW w:w="3388" w:type="dxa"/>
            <w:shd w:val="clear" w:color="auto" w:fill="FFFFFF" w:themeFill="background1"/>
          </w:tcPr>
          <w:p w14:paraId="5C5B0E8F" w14:textId="33193EBD" w:rsidR="0014171C" w:rsidRPr="005C39EC" w:rsidRDefault="0014171C" w:rsidP="00BE7858">
            <w:pPr>
              <w:rPr>
                <w:rFonts w:ascii="Arial" w:hAnsi="Arial" w:cs="Arial"/>
                <w:lang w:eastAsia="en-AU"/>
              </w:rPr>
            </w:pPr>
            <w:r w:rsidRPr="005C39EC">
              <w:rPr>
                <w:rFonts w:ascii="Arial" w:hAnsi="Arial" w:cs="Arial"/>
                <w:lang w:eastAsia="en-AU"/>
              </w:rPr>
              <w:t>Solid foods before 4 mo, between 4–6</w:t>
            </w:r>
            <w:r w:rsidR="00F37DDB" w:rsidRPr="005C39EC">
              <w:rPr>
                <w:rFonts w:ascii="Arial" w:hAnsi="Arial" w:cs="Arial"/>
                <w:lang w:eastAsia="en-AU"/>
              </w:rPr>
              <w:t xml:space="preserve"> </w:t>
            </w:r>
            <w:r w:rsidRPr="005C39EC">
              <w:rPr>
                <w:rFonts w:ascii="Arial" w:hAnsi="Arial" w:cs="Arial"/>
                <w:lang w:eastAsia="en-AU"/>
              </w:rPr>
              <w:t>mo, and after 6 mo.</w:t>
            </w:r>
          </w:p>
        </w:tc>
        <w:tc>
          <w:tcPr>
            <w:tcW w:w="4243" w:type="dxa"/>
          </w:tcPr>
          <w:p w14:paraId="2C4A70AC" w14:textId="77777777" w:rsidR="0014171C" w:rsidRPr="005C39EC" w:rsidRDefault="0014171C" w:rsidP="00BE7858">
            <w:pPr>
              <w:rPr>
                <w:rFonts w:ascii="Arial" w:hAnsi="Arial" w:cs="Arial"/>
                <w:lang w:eastAsia="en-AU"/>
              </w:rPr>
            </w:pPr>
            <w:r w:rsidRPr="005C39EC">
              <w:rPr>
                <w:rFonts w:ascii="Arial" w:hAnsi="Arial" w:cs="Arial"/>
                <w:lang w:eastAsia="en-AU"/>
              </w:rPr>
              <w:t>No association between age of introduction and risk of AD</w:t>
            </w:r>
          </w:p>
        </w:tc>
        <w:tc>
          <w:tcPr>
            <w:tcW w:w="288" w:type="dxa"/>
            <w:gridSpan w:val="3"/>
            <w:vAlign w:val="center"/>
          </w:tcPr>
          <w:p w14:paraId="3ED13F77" w14:textId="77777777" w:rsidR="0014171C" w:rsidRPr="005C39EC" w:rsidRDefault="0014171C" w:rsidP="00BE7858">
            <w:pPr>
              <w:rPr>
                <w:rFonts w:ascii="Arial" w:hAnsi="Arial" w:cs="Arial"/>
                <w:lang w:eastAsia="en-AU"/>
              </w:rPr>
            </w:pPr>
          </w:p>
        </w:tc>
        <w:tc>
          <w:tcPr>
            <w:tcW w:w="290" w:type="dxa"/>
            <w:gridSpan w:val="2"/>
            <w:shd w:val="clear" w:color="auto" w:fill="FFFFFF" w:themeFill="background1"/>
            <w:vAlign w:val="center"/>
          </w:tcPr>
          <w:p w14:paraId="7C7C8EEB" w14:textId="77777777" w:rsidR="0014171C" w:rsidRPr="005C39EC" w:rsidRDefault="0014171C" w:rsidP="00BE7858">
            <w:pPr>
              <w:rPr>
                <w:rFonts w:ascii="Arial" w:hAnsi="Arial" w:cs="Arial"/>
                <w:lang w:eastAsia="en-AU"/>
              </w:rPr>
            </w:pPr>
          </w:p>
        </w:tc>
        <w:tc>
          <w:tcPr>
            <w:tcW w:w="287" w:type="dxa"/>
            <w:shd w:val="clear" w:color="auto" w:fill="FFFFFF" w:themeFill="background1"/>
            <w:vAlign w:val="center"/>
          </w:tcPr>
          <w:p w14:paraId="5183D3A4" w14:textId="77777777" w:rsidR="0014171C" w:rsidRPr="005C39EC" w:rsidRDefault="0014171C" w:rsidP="00BE7858">
            <w:pPr>
              <w:rPr>
                <w:rFonts w:ascii="Arial" w:hAnsi="Arial" w:cs="Arial"/>
                <w:lang w:eastAsia="en-AU"/>
              </w:rPr>
            </w:pPr>
          </w:p>
        </w:tc>
        <w:tc>
          <w:tcPr>
            <w:tcW w:w="284" w:type="dxa"/>
            <w:shd w:val="clear" w:color="auto" w:fill="FFFFFF" w:themeFill="background1"/>
            <w:vAlign w:val="center"/>
          </w:tcPr>
          <w:p w14:paraId="495B2799" w14:textId="77777777" w:rsidR="0014171C" w:rsidRPr="005C39EC" w:rsidRDefault="0014171C" w:rsidP="00BE7858">
            <w:pPr>
              <w:rPr>
                <w:rFonts w:ascii="Arial" w:hAnsi="Arial" w:cs="Arial"/>
                <w:lang w:eastAsia="en-AU"/>
              </w:rPr>
            </w:pPr>
          </w:p>
        </w:tc>
        <w:tc>
          <w:tcPr>
            <w:tcW w:w="285" w:type="dxa"/>
            <w:shd w:val="clear" w:color="auto" w:fill="EAF1DD" w:themeFill="accent3" w:themeFillTint="33"/>
            <w:vAlign w:val="center"/>
          </w:tcPr>
          <w:p w14:paraId="490AFD6F"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r>
      <w:tr w:rsidR="0014171C" w:rsidRPr="005C39EC" w14:paraId="77EBBC1F" w14:textId="77777777" w:rsidTr="002609FD">
        <w:tc>
          <w:tcPr>
            <w:tcW w:w="1526" w:type="dxa"/>
          </w:tcPr>
          <w:p w14:paraId="11696D9A" w14:textId="77777777" w:rsidR="0014171C" w:rsidRPr="005C39EC" w:rsidRDefault="0014171C" w:rsidP="00BE7858">
            <w:pPr>
              <w:rPr>
                <w:rFonts w:ascii="Arial" w:hAnsi="Arial" w:cs="Arial"/>
                <w:lang w:eastAsia="en-AU"/>
              </w:rPr>
            </w:pPr>
            <w:r w:rsidRPr="005C39EC">
              <w:rPr>
                <w:rFonts w:ascii="Arial" w:hAnsi="Arial" w:cs="Arial"/>
                <w:lang w:eastAsia="en-AU"/>
              </w:rPr>
              <w:t>2006 Tarini</w:t>
            </w:r>
          </w:p>
          <w:p w14:paraId="149E6585" w14:textId="77777777" w:rsidR="0014171C" w:rsidRPr="005C39EC" w:rsidRDefault="0014171C" w:rsidP="00BE7858">
            <w:pPr>
              <w:rPr>
                <w:rFonts w:ascii="Arial" w:hAnsi="Arial" w:cs="Arial"/>
                <w:lang w:eastAsia="en-AU"/>
              </w:rPr>
            </w:pPr>
          </w:p>
        </w:tc>
        <w:tc>
          <w:tcPr>
            <w:tcW w:w="1559" w:type="dxa"/>
          </w:tcPr>
          <w:p w14:paraId="1BA9581D" w14:textId="77777777" w:rsidR="0014171C" w:rsidRPr="005C39EC" w:rsidRDefault="0014171C" w:rsidP="00BE7858">
            <w:pPr>
              <w:rPr>
                <w:rFonts w:ascii="Arial" w:hAnsi="Arial" w:cs="Arial"/>
                <w:lang w:eastAsia="en-AU"/>
              </w:rPr>
            </w:pPr>
            <w:r w:rsidRPr="005C39EC">
              <w:rPr>
                <w:rFonts w:ascii="Arial" w:hAnsi="Arial" w:cs="Arial"/>
                <w:lang w:eastAsia="en-AU"/>
              </w:rPr>
              <w:t>Systematic review</w:t>
            </w:r>
          </w:p>
        </w:tc>
        <w:tc>
          <w:tcPr>
            <w:tcW w:w="716" w:type="dxa"/>
          </w:tcPr>
          <w:p w14:paraId="4AA61E3C" w14:textId="77777777" w:rsidR="0014171C" w:rsidRPr="005C39EC" w:rsidRDefault="0014171C" w:rsidP="00BE7858">
            <w:pPr>
              <w:rPr>
                <w:rFonts w:ascii="Arial" w:hAnsi="Arial" w:cs="Arial"/>
                <w:lang w:eastAsia="en-AU"/>
              </w:rPr>
            </w:pPr>
            <w:r w:rsidRPr="005C39EC">
              <w:rPr>
                <w:rFonts w:ascii="Arial" w:hAnsi="Arial" w:cs="Arial"/>
                <w:lang w:eastAsia="en-AU"/>
              </w:rPr>
              <w:t>N/A</w:t>
            </w:r>
          </w:p>
        </w:tc>
        <w:tc>
          <w:tcPr>
            <w:tcW w:w="850" w:type="dxa"/>
          </w:tcPr>
          <w:p w14:paraId="61E2CB7F" w14:textId="77777777" w:rsidR="0014171C" w:rsidRPr="005C39EC" w:rsidRDefault="0014171C" w:rsidP="00BE7858">
            <w:pPr>
              <w:rPr>
                <w:rFonts w:ascii="Arial" w:hAnsi="Arial" w:cs="Arial"/>
                <w:lang w:eastAsia="en-AU"/>
              </w:rPr>
            </w:pPr>
            <w:r w:rsidRPr="005C39EC">
              <w:rPr>
                <w:rFonts w:ascii="Arial" w:hAnsi="Arial" w:cs="Arial"/>
                <w:lang w:eastAsia="en-AU"/>
              </w:rPr>
              <w:t>E, AS, W, FA, AR, AD</w:t>
            </w:r>
          </w:p>
        </w:tc>
        <w:tc>
          <w:tcPr>
            <w:tcW w:w="851" w:type="dxa"/>
          </w:tcPr>
          <w:p w14:paraId="54A5AFF6" w14:textId="77777777" w:rsidR="0014171C" w:rsidRPr="005C39EC" w:rsidRDefault="0014171C" w:rsidP="00BE7858">
            <w:pPr>
              <w:rPr>
                <w:rFonts w:ascii="Arial" w:hAnsi="Arial" w:cs="Arial"/>
                <w:lang w:eastAsia="en-AU"/>
              </w:rPr>
            </w:pPr>
            <w:r w:rsidRPr="005C39EC">
              <w:rPr>
                <w:rFonts w:ascii="Arial" w:hAnsi="Arial" w:cs="Arial"/>
                <w:lang w:eastAsia="en-AU"/>
              </w:rPr>
              <w:t>1-10 yr</w:t>
            </w:r>
          </w:p>
        </w:tc>
        <w:tc>
          <w:tcPr>
            <w:tcW w:w="3388" w:type="dxa"/>
            <w:shd w:val="clear" w:color="auto" w:fill="FFFFFF" w:themeFill="background1"/>
          </w:tcPr>
          <w:p w14:paraId="735C4EA0" w14:textId="77777777" w:rsidR="0014171C" w:rsidRPr="005C39EC" w:rsidRDefault="0014171C" w:rsidP="00BE7858">
            <w:pPr>
              <w:rPr>
                <w:rFonts w:ascii="Arial" w:hAnsi="Arial" w:cs="Arial"/>
                <w:lang w:eastAsia="en-AU"/>
              </w:rPr>
            </w:pPr>
            <w:r w:rsidRPr="005C39EC">
              <w:rPr>
                <w:rFonts w:ascii="Arial" w:hAnsi="Arial" w:cs="Arial"/>
                <w:lang w:eastAsia="en-AU"/>
              </w:rPr>
              <w:t>13 cohort studies; some with family history of allergy</w:t>
            </w:r>
          </w:p>
        </w:tc>
        <w:tc>
          <w:tcPr>
            <w:tcW w:w="4243" w:type="dxa"/>
          </w:tcPr>
          <w:p w14:paraId="37413D4C" w14:textId="77777777" w:rsidR="0014171C" w:rsidRPr="005C39EC" w:rsidRDefault="0014171C" w:rsidP="00BE7858">
            <w:pPr>
              <w:rPr>
                <w:rFonts w:ascii="Arial" w:hAnsi="Arial" w:cs="Arial"/>
                <w:lang w:eastAsia="en-AU"/>
              </w:rPr>
            </w:pPr>
            <w:r w:rsidRPr="005C39EC">
              <w:rPr>
                <w:rFonts w:ascii="Arial" w:hAnsi="Arial" w:cs="Arial"/>
                <w:lang w:eastAsia="en-AU"/>
              </w:rPr>
              <w:t>Evidence for risk of allergy with solids at &lt; 4 mo</w:t>
            </w:r>
            <w:r w:rsidRPr="005C39EC">
              <w:rPr>
                <w:rFonts w:ascii="Arial" w:eastAsia="Calibri" w:hAnsi="Arial" w:cs="Arial"/>
                <w:lang w:eastAsia="en-AU"/>
              </w:rPr>
              <w:t xml:space="preserve"> </w:t>
            </w:r>
            <w:r w:rsidRPr="005C39EC">
              <w:rPr>
                <w:rFonts w:ascii="Arial" w:hAnsi="Arial" w:cs="Arial"/>
                <w:lang w:eastAsia="en-AU"/>
              </w:rPr>
              <w:t>is inconsistent (possible increased risk for E with solids at &lt; 4 mo)</w:t>
            </w:r>
          </w:p>
        </w:tc>
        <w:tc>
          <w:tcPr>
            <w:tcW w:w="288" w:type="dxa"/>
            <w:gridSpan w:val="3"/>
            <w:vAlign w:val="center"/>
          </w:tcPr>
          <w:p w14:paraId="5CD9591C" w14:textId="77777777" w:rsidR="0014171C" w:rsidRPr="005C39EC" w:rsidRDefault="0014171C" w:rsidP="00BE7858">
            <w:pPr>
              <w:rPr>
                <w:rFonts w:ascii="Arial" w:hAnsi="Arial" w:cs="Arial"/>
                <w:lang w:eastAsia="en-AU"/>
              </w:rPr>
            </w:pPr>
          </w:p>
        </w:tc>
        <w:tc>
          <w:tcPr>
            <w:tcW w:w="290" w:type="dxa"/>
            <w:gridSpan w:val="2"/>
            <w:shd w:val="clear" w:color="auto" w:fill="FFFFFF" w:themeFill="background1"/>
            <w:vAlign w:val="center"/>
          </w:tcPr>
          <w:p w14:paraId="193C7279" w14:textId="77777777" w:rsidR="0014171C" w:rsidRPr="005C39EC" w:rsidRDefault="0014171C" w:rsidP="00BE7858">
            <w:pPr>
              <w:rPr>
                <w:rFonts w:ascii="Arial" w:hAnsi="Arial" w:cs="Arial"/>
                <w:lang w:eastAsia="en-AU"/>
              </w:rPr>
            </w:pPr>
          </w:p>
        </w:tc>
        <w:tc>
          <w:tcPr>
            <w:tcW w:w="287" w:type="dxa"/>
            <w:shd w:val="clear" w:color="auto" w:fill="FFFFFF" w:themeFill="background1"/>
            <w:vAlign w:val="center"/>
          </w:tcPr>
          <w:p w14:paraId="3F0043A1" w14:textId="77777777" w:rsidR="0014171C" w:rsidRPr="005C39EC" w:rsidRDefault="0014171C" w:rsidP="00BE7858">
            <w:pPr>
              <w:rPr>
                <w:rFonts w:ascii="Arial" w:hAnsi="Arial" w:cs="Arial"/>
                <w:lang w:eastAsia="en-AU"/>
              </w:rPr>
            </w:pPr>
          </w:p>
        </w:tc>
        <w:tc>
          <w:tcPr>
            <w:tcW w:w="284" w:type="dxa"/>
            <w:shd w:val="clear" w:color="auto" w:fill="FDE9D9" w:themeFill="accent6" w:themeFillTint="33"/>
            <w:vAlign w:val="center"/>
          </w:tcPr>
          <w:p w14:paraId="082F4FC2"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85" w:type="dxa"/>
            <w:shd w:val="clear" w:color="auto" w:fill="FFFFFF" w:themeFill="background1"/>
            <w:vAlign w:val="center"/>
          </w:tcPr>
          <w:p w14:paraId="1A1377E8" w14:textId="77777777" w:rsidR="0014171C" w:rsidRPr="005C39EC" w:rsidRDefault="0014171C" w:rsidP="00BE7858">
            <w:pPr>
              <w:rPr>
                <w:rFonts w:ascii="Arial" w:hAnsi="Arial" w:cs="Arial"/>
                <w:lang w:eastAsia="en-AU"/>
              </w:rPr>
            </w:pPr>
          </w:p>
        </w:tc>
      </w:tr>
      <w:tr w:rsidR="0014171C" w:rsidRPr="005C39EC" w14:paraId="01FCD59B" w14:textId="77777777" w:rsidTr="002609FD">
        <w:trPr>
          <w:trHeight w:val="275"/>
        </w:trPr>
        <w:tc>
          <w:tcPr>
            <w:tcW w:w="14567" w:type="dxa"/>
            <w:gridSpan w:val="15"/>
            <w:shd w:val="clear" w:color="auto" w:fill="D9D9D9" w:themeFill="background1" w:themeFillShade="D9"/>
            <w:vAlign w:val="center"/>
          </w:tcPr>
          <w:p w14:paraId="299CDDFC" w14:textId="77777777" w:rsidR="0014171C" w:rsidRPr="005C39EC" w:rsidRDefault="0014171C" w:rsidP="00BE7858">
            <w:pPr>
              <w:rPr>
                <w:rFonts w:ascii="Arial" w:hAnsi="Arial" w:cs="Arial"/>
                <w:lang w:eastAsia="en-AU"/>
              </w:rPr>
            </w:pPr>
            <w:r w:rsidRPr="005C39EC">
              <w:rPr>
                <w:rFonts w:ascii="Arial" w:hAnsi="Arial" w:cs="Arial"/>
                <w:lang w:eastAsia="en-AU"/>
              </w:rPr>
              <w:t xml:space="preserve">Evidence that introduction of solid foods at around 6 months (i.e. after 4 mo and before 7 mo) is associated with decreased risk (or no increased risk) of allergic diseases </w:t>
            </w:r>
          </w:p>
        </w:tc>
      </w:tr>
      <w:tr w:rsidR="0014171C" w:rsidRPr="005C39EC" w14:paraId="28477FD5" w14:textId="77777777" w:rsidTr="002609FD">
        <w:tc>
          <w:tcPr>
            <w:tcW w:w="1526" w:type="dxa"/>
          </w:tcPr>
          <w:p w14:paraId="5B9B529B"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2006 Poole </w:t>
            </w:r>
          </w:p>
          <w:p w14:paraId="70BCE018" w14:textId="77777777" w:rsidR="0014171C" w:rsidRPr="005C39EC" w:rsidRDefault="0014171C" w:rsidP="00BE7858">
            <w:pPr>
              <w:rPr>
                <w:rFonts w:ascii="Arial" w:hAnsi="Arial" w:cs="Arial"/>
                <w:lang w:eastAsia="en-AU"/>
              </w:rPr>
            </w:pPr>
            <w:r w:rsidRPr="005C39EC">
              <w:rPr>
                <w:rFonts w:ascii="Arial" w:hAnsi="Arial" w:cs="Arial"/>
                <w:lang w:eastAsia="en-AU"/>
              </w:rPr>
              <w:t>(USA)</w:t>
            </w:r>
          </w:p>
        </w:tc>
        <w:tc>
          <w:tcPr>
            <w:tcW w:w="1559" w:type="dxa"/>
          </w:tcPr>
          <w:p w14:paraId="18EDFD1F" w14:textId="77777777" w:rsidR="0014171C" w:rsidRPr="005C39EC" w:rsidRDefault="0014171C" w:rsidP="00BE7858">
            <w:pPr>
              <w:rPr>
                <w:rFonts w:ascii="Arial" w:hAnsi="Arial" w:cs="Arial"/>
                <w:lang w:eastAsia="en-AU"/>
              </w:rPr>
            </w:pPr>
            <w:r w:rsidRPr="005C39EC">
              <w:rPr>
                <w:rFonts w:ascii="Arial" w:hAnsi="Arial" w:cs="Arial"/>
                <w:lang w:eastAsia="en-AU"/>
              </w:rPr>
              <w:t>Cohort;</w:t>
            </w:r>
            <w:r w:rsidRPr="005C39EC">
              <w:rPr>
                <w:rFonts w:ascii="Arial" w:eastAsia="Calibri" w:hAnsi="Arial" w:cs="Arial"/>
                <w:lang w:eastAsia="en-AU"/>
              </w:rPr>
              <w:t xml:space="preserve"> </w:t>
            </w:r>
            <w:r w:rsidRPr="005C39EC">
              <w:rPr>
                <w:rFonts w:ascii="Arial" w:hAnsi="Arial" w:cs="Arial"/>
                <w:lang w:eastAsia="en-AU"/>
              </w:rPr>
              <w:t>Normal allergy risk</w:t>
            </w:r>
          </w:p>
        </w:tc>
        <w:tc>
          <w:tcPr>
            <w:tcW w:w="716" w:type="dxa"/>
          </w:tcPr>
          <w:p w14:paraId="7D14403C" w14:textId="77777777" w:rsidR="0014171C" w:rsidRPr="005C39EC" w:rsidRDefault="0014171C" w:rsidP="00BE7858">
            <w:pPr>
              <w:rPr>
                <w:rFonts w:ascii="Arial" w:hAnsi="Arial" w:cs="Arial"/>
                <w:lang w:eastAsia="en-AU"/>
              </w:rPr>
            </w:pPr>
            <w:r w:rsidRPr="005C39EC">
              <w:rPr>
                <w:rFonts w:ascii="Arial" w:hAnsi="Arial" w:cs="Arial"/>
                <w:lang w:eastAsia="en-AU"/>
              </w:rPr>
              <w:t>1612</w:t>
            </w:r>
          </w:p>
        </w:tc>
        <w:tc>
          <w:tcPr>
            <w:tcW w:w="850" w:type="dxa"/>
          </w:tcPr>
          <w:p w14:paraId="0CF143EC" w14:textId="77777777" w:rsidR="0014171C" w:rsidRPr="005C39EC" w:rsidRDefault="0014171C" w:rsidP="00BE7858">
            <w:pPr>
              <w:rPr>
                <w:rFonts w:ascii="Arial" w:hAnsi="Arial" w:cs="Arial"/>
                <w:lang w:eastAsia="en-AU"/>
              </w:rPr>
            </w:pPr>
            <w:r w:rsidRPr="005C39EC">
              <w:rPr>
                <w:rFonts w:ascii="Arial" w:hAnsi="Arial" w:cs="Arial"/>
                <w:lang w:eastAsia="en-AU"/>
              </w:rPr>
              <w:t>FA (wheat)</w:t>
            </w:r>
          </w:p>
        </w:tc>
        <w:tc>
          <w:tcPr>
            <w:tcW w:w="851" w:type="dxa"/>
          </w:tcPr>
          <w:p w14:paraId="1EC76D9B" w14:textId="77777777" w:rsidR="0014171C" w:rsidRPr="005C39EC" w:rsidRDefault="0014171C" w:rsidP="00BE7858">
            <w:pPr>
              <w:rPr>
                <w:rFonts w:ascii="Arial" w:hAnsi="Arial" w:cs="Arial"/>
                <w:lang w:eastAsia="en-AU"/>
              </w:rPr>
            </w:pPr>
            <w:r w:rsidRPr="005C39EC">
              <w:rPr>
                <w:rFonts w:ascii="Arial" w:hAnsi="Arial" w:cs="Arial"/>
                <w:lang w:eastAsia="en-AU"/>
              </w:rPr>
              <w:t>1-4yr</w:t>
            </w:r>
          </w:p>
        </w:tc>
        <w:tc>
          <w:tcPr>
            <w:tcW w:w="3388" w:type="dxa"/>
            <w:shd w:val="clear" w:color="auto" w:fill="FFFFFF" w:themeFill="background1"/>
          </w:tcPr>
          <w:p w14:paraId="63C4A7FA" w14:textId="77777777" w:rsidR="0014171C" w:rsidRPr="005C39EC" w:rsidRDefault="0014171C" w:rsidP="00BE7858">
            <w:pPr>
              <w:rPr>
                <w:rFonts w:ascii="Arial" w:hAnsi="Arial" w:cs="Arial"/>
                <w:lang w:eastAsia="en-AU"/>
              </w:rPr>
            </w:pPr>
            <w:r w:rsidRPr="005C39EC">
              <w:rPr>
                <w:rFonts w:ascii="Arial" w:hAnsi="Arial" w:cs="Arial"/>
                <w:lang w:eastAsia="en-AU"/>
              </w:rPr>
              <w:t>Wheat introduced before 6 mo compared to after 6 mo</w:t>
            </w:r>
          </w:p>
        </w:tc>
        <w:tc>
          <w:tcPr>
            <w:tcW w:w="4251" w:type="dxa"/>
            <w:gridSpan w:val="2"/>
          </w:tcPr>
          <w:p w14:paraId="0A6D0567" w14:textId="7EB19D24" w:rsidR="0014171C" w:rsidRPr="005C39EC" w:rsidRDefault="0014171C" w:rsidP="00BE7858">
            <w:pPr>
              <w:rPr>
                <w:rFonts w:ascii="Arial" w:hAnsi="Arial" w:cs="Arial"/>
                <w:lang w:eastAsia="en-AU"/>
              </w:rPr>
            </w:pPr>
            <w:r w:rsidRPr="005C39EC">
              <w:rPr>
                <w:rFonts w:ascii="Arial" w:hAnsi="Arial" w:cs="Arial"/>
                <w:lang w:eastAsia="en-AU"/>
              </w:rPr>
              <w:t>Cereal grain/rice introduced after 6 mo increased risk of wheat allergy</w:t>
            </w:r>
          </w:p>
        </w:tc>
        <w:tc>
          <w:tcPr>
            <w:tcW w:w="280" w:type="dxa"/>
            <w:gridSpan w:val="2"/>
            <w:vAlign w:val="center"/>
          </w:tcPr>
          <w:p w14:paraId="13750342" w14:textId="77777777" w:rsidR="0014171C" w:rsidRPr="005C39EC" w:rsidRDefault="0014171C" w:rsidP="00BE7858">
            <w:pPr>
              <w:jc w:val="center"/>
              <w:rPr>
                <w:rFonts w:ascii="Arial" w:hAnsi="Arial" w:cs="Arial"/>
                <w:lang w:eastAsia="en-AU"/>
              </w:rPr>
            </w:pPr>
          </w:p>
        </w:tc>
        <w:tc>
          <w:tcPr>
            <w:tcW w:w="290" w:type="dxa"/>
            <w:gridSpan w:val="2"/>
            <w:shd w:val="clear" w:color="auto" w:fill="F2DBDB" w:themeFill="accent2" w:themeFillTint="33"/>
            <w:vAlign w:val="center"/>
          </w:tcPr>
          <w:p w14:paraId="0B0AAF5B" w14:textId="77777777" w:rsidR="0014171C" w:rsidRPr="005C39EC" w:rsidRDefault="0014171C" w:rsidP="00BE7858">
            <w:pPr>
              <w:jc w:val="center"/>
              <w:rPr>
                <w:rFonts w:ascii="Arial" w:hAnsi="Arial" w:cs="Arial"/>
              </w:rPr>
            </w:pPr>
            <w:r w:rsidRPr="005C39EC">
              <w:rPr>
                <w:rFonts w:ascii="Arial" w:hAnsi="Arial" w:cs="Arial"/>
                <w:lang w:eastAsia="en-AU"/>
              </w:rPr>
              <w:sym w:font="Wingdings" w:char="F0FC"/>
            </w:r>
          </w:p>
        </w:tc>
        <w:tc>
          <w:tcPr>
            <w:tcW w:w="287" w:type="dxa"/>
            <w:shd w:val="clear" w:color="auto" w:fill="FFFFFF" w:themeFill="background1"/>
            <w:vAlign w:val="center"/>
          </w:tcPr>
          <w:p w14:paraId="33F5E843" w14:textId="77777777" w:rsidR="0014171C" w:rsidRPr="005C39EC" w:rsidRDefault="0014171C" w:rsidP="00BE7858">
            <w:pPr>
              <w:jc w:val="center"/>
              <w:rPr>
                <w:rFonts w:ascii="Arial" w:hAnsi="Arial" w:cs="Arial"/>
                <w:lang w:eastAsia="en-AU"/>
              </w:rPr>
            </w:pPr>
          </w:p>
        </w:tc>
        <w:tc>
          <w:tcPr>
            <w:tcW w:w="284" w:type="dxa"/>
            <w:shd w:val="clear" w:color="auto" w:fill="FFFFFF" w:themeFill="background1"/>
            <w:vAlign w:val="center"/>
          </w:tcPr>
          <w:p w14:paraId="7BDC20A3" w14:textId="77777777" w:rsidR="0014171C" w:rsidRPr="005C39EC" w:rsidRDefault="0014171C" w:rsidP="00BE7858">
            <w:pPr>
              <w:ind w:right="-136"/>
              <w:jc w:val="center"/>
              <w:rPr>
                <w:rFonts w:ascii="Arial" w:hAnsi="Arial" w:cs="Arial"/>
                <w:lang w:eastAsia="en-AU"/>
              </w:rPr>
            </w:pPr>
          </w:p>
        </w:tc>
        <w:tc>
          <w:tcPr>
            <w:tcW w:w="285" w:type="dxa"/>
            <w:shd w:val="clear" w:color="auto" w:fill="FFFFFF" w:themeFill="background1"/>
            <w:vAlign w:val="center"/>
          </w:tcPr>
          <w:p w14:paraId="46DD064D" w14:textId="77777777" w:rsidR="0014171C" w:rsidRPr="005C39EC" w:rsidRDefault="0014171C" w:rsidP="00BE7858">
            <w:pPr>
              <w:jc w:val="center"/>
              <w:rPr>
                <w:rFonts w:ascii="Arial" w:hAnsi="Arial" w:cs="Arial"/>
                <w:lang w:eastAsia="en-AU"/>
              </w:rPr>
            </w:pPr>
          </w:p>
        </w:tc>
      </w:tr>
      <w:tr w:rsidR="0014171C" w:rsidRPr="005C39EC" w14:paraId="773C601C" w14:textId="77777777" w:rsidTr="002609FD">
        <w:tc>
          <w:tcPr>
            <w:tcW w:w="1526" w:type="dxa"/>
          </w:tcPr>
          <w:p w14:paraId="59FFC945"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2008 Snijders </w:t>
            </w:r>
          </w:p>
          <w:p w14:paraId="44D9536D" w14:textId="77777777" w:rsidR="0014171C" w:rsidRPr="005C39EC" w:rsidRDefault="0014171C" w:rsidP="00BE7858">
            <w:pPr>
              <w:rPr>
                <w:rFonts w:ascii="Arial" w:hAnsi="Arial" w:cs="Arial"/>
                <w:lang w:eastAsia="en-AU"/>
              </w:rPr>
            </w:pPr>
            <w:r w:rsidRPr="005C39EC">
              <w:rPr>
                <w:rFonts w:ascii="Arial" w:hAnsi="Arial" w:cs="Arial"/>
                <w:lang w:eastAsia="en-AU"/>
              </w:rPr>
              <w:t>(Netherlands)</w:t>
            </w:r>
          </w:p>
        </w:tc>
        <w:tc>
          <w:tcPr>
            <w:tcW w:w="1559" w:type="dxa"/>
          </w:tcPr>
          <w:p w14:paraId="606263FF" w14:textId="77777777" w:rsidR="0014171C" w:rsidRPr="005C39EC" w:rsidRDefault="0014171C" w:rsidP="00BE7858">
            <w:pPr>
              <w:rPr>
                <w:rFonts w:ascii="Arial" w:hAnsi="Arial" w:cs="Arial"/>
                <w:lang w:eastAsia="en-AU"/>
              </w:rPr>
            </w:pPr>
            <w:r w:rsidRPr="005C39EC">
              <w:rPr>
                <w:rFonts w:ascii="Arial" w:hAnsi="Arial" w:cs="Arial"/>
                <w:lang w:eastAsia="en-AU"/>
              </w:rPr>
              <w:t>Cohort; Normal allergy risk</w:t>
            </w:r>
          </w:p>
        </w:tc>
        <w:tc>
          <w:tcPr>
            <w:tcW w:w="716" w:type="dxa"/>
          </w:tcPr>
          <w:p w14:paraId="39A320F4" w14:textId="77777777" w:rsidR="0014171C" w:rsidRPr="005C39EC" w:rsidRDefault="0014171C" w:rsidP="00BE7858">
            <w:pPr>
              <w:rPr>
                <w:rFonts w:ascii="Arial" w:hAnsi="Arial" w:cs="Arial"/>
                <w:lang w:eastAsia="en-AU"/>
              </w:rPr>
            </w:pPr>
            <w:r w:rsidRPr="005C39EC">
              <w:rPr>
                <w:rFonts w:ascii="Arial" w:hAnsi="Arial" w:cs="Arial"/>
                <w:lang w:eastAsia="en-AU"/>
              </w:rPr>
              <w:t>2558</w:t>
            </w:r>
          </w:p>
        </w:tc>
        <w:tc>
          <w:tcPr>
            <w:tcW w:w="850" w:type="dxa"/>
          </w:tcPr>
          <w:p w14:paraId="4233F906" w14:textId="77777777" w:rsidR="0014171C" w:rsidRPr="005C39EC" w:rsidRDefault="0014171C" w:rsidP="00BE7858">
            <w:pPr>
              <w:rPr>
                <w:rFonts w:ascii="Arial" w:hAnsi="Arial" w:cs="Arial"/>
                <w:lang w:eastAsia="en-AU"/>
              </w:rPr>
            </w:pPr>
            <w:r w:rsidRPr="005C39EC">
              <w:rPr>
                <w:rFonts w:ascii="Arial" w:hAnsi="Arial" w:cs="Arial"/>
                <w:lang w:eastAsia="en-AU"/>
              </w:rPr>
              <w:t>AD, AS</w:t>
            </w:r>
          </w:p>
        </w:tc>
        <w:tc>
          <w:tcPr>
            <w:tcW w:w="851" w:type="dxa"/>
          </w:tcPr>
          <w:p w14:paraId="5EE5207D" w14:textId="77777777" w:rsidR="0014171C" w:rsidRPr="005C39EC" w:rsidRDefault="0014171C" w:rsidP="00BE7858">
            <w:pPr>
              <w:rPr>
                <w:rFonts w:ascii="Arial" w:hAnsi="Arial" w:cs="Arial"/>
                <w:lang w:eastAsia="en-AU"/>
              </w:rPr>
            </w:pPr>
            <w:r w:rsidRPr="005C39EC">
              <w:rPr>
                <w:rFonts w:ascii="Arial" w:hAnsi="Arial" w:cs="Arial"/>
                <w:lang w:eastAsia="en-AU"/>
              </w:rPr>
              <w:t>2 yr</w:t>
            </w:r>
          </w:p>
        </w:tc>
        <w:tc>
          <w:tcPr>
            <w:tcW w:w="3388" w:type="dxa"/>
            <w:shd w:val="clear" w:color="auto" w:fill="FFFFFF" w:themeFill="background1"/>
          </w:tcPr>
          <w:p w14:paraId="171C35ED" w14:textId="77777777" w:rsidR="0014171C" w:rsidRPr="005C39EC" w:rsidRDefault="0014171C" w:rsidP="00BE7858">
            <w:pPr>
              <w:rPr>
                <w:rFonts w:ascii="Arial" w:hAnsi="Arial" w:cs="Arial"/>
                <w:lang w:eastAsia="en-AU"/>
              </w:rPr>
            </w:pPr>
            <w:r w:rsidRPr="005C39EC">
              <w:rPr>
                <w:rFonts w:ascii="Arial" w:hAnsi="Arial" w:cs="Arial"/>
                <w:lang w:eastAsia="en-AU"/>
              </w:rPr>
              <w:t>Solid foods introduced before 7 mo compared to after 7 mo</w:t>
            </w:r>
          </w:p>
        </w:tc>
        <w:tc>
          <w:tcPr>
            <w:tcW w:w="4251" w:type="dxa"/>
            <w:gridSpan w:val="2"/>
          </w:tcPr>
          <w:p w14:paraId="304D88C2" w14:textId="77777777" w:rsidR="0014171C" w:rsidRPr="005C39EC" w:rsidRDefault="0014171C" w:rsidP="00BE7858">
            <w:pPr>
              <w:rPr>
                <w:rFonts w:ascii="Arial" w:hAnsi="Arial" w:cs="Arial"/>
                <w:lang w:eastAsia="en-AU"/>
              </w:rPr>
            </w:pPr>
            <w:r w:rsidRPr="005C39EC">
              <w:rPr>
                <w:rFonts w:ascii="Arial" w:hAnsi="Arial" w:cs="Arial"/>
                <w:lang w:eastAsia="en-AU"/>
              </w:rPr>
              <w:t>Solids introduced after 7 mo increases risk for E, AD, AS, but not FS</w:t>
            </w:r>
          </w:p>
        </w:tc>
        <w:tc>
          <w:tcPr>
            <w:tcW w:w="280" w:type="dxa"/>
            <w:gridSpan w:val="2"/>
            <w:vAlign w:val="center"/>
          </w:tcPr>
          <w:p w14:paraId="29845524" w14:textId="77777777" w:rsidR="0014171C" w:rsidRPr="005C39EC" w:rsidRDefault="0014171C" w:rsidP="00BE7858">
            <w:pPr>
              <w:jc w:val="center"/>
              <w:rPr>
                <w:rFonts w:ascii="Arial" w:hAnsi="Arial" w:cs="Arial"/>
                <w:lang w:eastAsia="en-AU"/>
              </w:rPr>
            </w:pPr>
          </w:p>
        </w:tc>
        <w:tc>
          <w:tcPr>
            <w:tcW w:w="290" w:type="dxa"/>
            <w:gridSpan w:val="2"/>
            <w:shd w:val="clear" w:color="auto" w:fill="FFFFFF" w:themeFill="background1"/>
            <w:vAlign w:val="center"/>
          </w:tcPr>
          <w:p w14:paraId="54C317AD" w14:textId="77777777" w:rsidR="0014171C" w:rsidRPr="005C39EC" w:rsidRDefault="0014171C" w:rsidP="00BE7858">
            <w:pPr>
              <w:jc w:val="center"/>
              <w:rPr>
                <w:rFonts w:ascii="Arial" w:hAnsi="Arial" w:cs="Arial"/>
                <w:lang w:eastAsia="en-AU"/>
              </w:rPr>
            </w:pPr>
          </w:p>
        </w:tc>
        <w:tc>
          <w:tcPr>
            <w:tcW w:w="287" w:type="dxa"/>
            <w:shd w:val="clear" w:color="auto" w:fill="DDD9C3" w:themeFill="background2" w:themeFillShade="E6"/>
            <w:vAlign w:val="center"/>
          </w:tcPr>
          <w:p w14:paraId="5B701A44" w14:textId="77777777" w:rsidR="0014171C" w:rsidRPr="005C39EC" w:rsidRDefault="0014171C" w:rsidP="00BE7858">
            <w:pPr>
              <w:jc w:val="center"/>
              <w:rPr>
                <w:rFonts w:ascii="Arial" w:hAnsi="Arial" w:cs="Arial"/>
              </w:rPr>
            </w:pPr>
            <w:r w:rsidRPr="005C39EC">
              <w:rPr>
                <w:rFonts w:ascii="Arial" w:hAnsi="Arial" w:cs="Arial"/>
                <w:lang w:eastAsia="en-AU"/>
              </w:rPr>
              <w:sym w:font="Wingdings" w:char="F0FC"/>
            </w:r>
          </w:p>
        </w:tc>
        <w:tc>
          <w:tcPr>
            <w:tcW w:w="284" w:type="dxa"/>
            <w:shd w:val="clear" w:color="auto" w:fill="FFFFFF" w:themeFill="background1"/>
            <w:vAlign w:val="center"/>
          </w:tcPr>
          <w:p w14:paraId="76AC9B69" w14:textId="77777777" w:rsidR="0014171C" w:rsidRPr="005C39EC" w:rsidRDefault="0014171C" w:rsidP="00BE7858">
            <w:pPr>
              <w:jc w:val="center"/>
              <w:rPr>
                <w:rFonts w:ascii="Arial" w:hAnsi="Arial" w:cs="Arial"/>
                <w:lang w:eastAsia="en-AU"/>
              </w:rPr>
            </w:pPr>
          </w:p>
        </w:tc>
        <w:tc>
          <w:tcPr>
            <w:tcW w:w="285" w:type="dxa"/>
            <w:shd w:val="clear" w:color="auto" w:fill="EAF1DD" w:themeFill="accent3" w:themeFillTint="33"/>
            <w:vAlign w:val="center"/>
          </w:tcPr>
          <w:p w14:paraId="56D2FCE2" w14:textId="77777777" w:rsidR="0014171C" w:rsidRPr="005C39EC" w:rsidRDefault="0014171C" w:rsidP="00BE7858">
            <w:pPr>
              <w:jc w:val="center"/>
              <w:rPr>
                <w:rFonts w:ascii="Arial" w:hAnsi="Arial" w:cs="Arial"/>
              </w:rPr>
            </w:pPr>
            <w:r w:rsidRPr="005C39EC">
              <w:rPr>
                <w:rFonts w:ascii="Arial" w:hAnsi="Arial" w:cs="Arial"/>
                <w:lang w:eastAsia="en-AU"/>
              </w:rPr>
              <w:sym w:font="Wingdings" w:char="F0FC"/>
            </w:r>
          </w:p>
        </w:tc>
      </w:tr>
      <w:tr w:rsidR="0014171C" w:rsidRPr="005C39EC" w14:paraId="64F35EFE" w14:textId="77777777" w:rsidTr="002609FD">
        <w:tc>
          <w:tcPr>
            <w:tcW w:w="1526" w:type="dxa"/>
          </w:tcPr>
          <w:p w14:paraId="62401598"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2007 Filipiak </w:t>
            </w:r>
          </w:p>
          <w:p w14:paraId="4F895923" w14:textId="77777777" w:rsidR="0014171C" w:rsidRPr="005C39EC" w:rsidRDefault="0014171C" w:rsidP="00BE7858">
            <w:pPr>
              <w:rPr>
                <w:rFonts w:ascii="Arial" w:hAnsi="Arial" w:cs="Arial"/>
                <w:lang w:eastAsia="en-AU"/>
              </w:rPr>
            </w:pPr>
            <w:r w:rsidRPr="005C39EC">
              <w:rPr>
                <w:rFonts w:ascii="Arial" w:hAnsi="Arial" w:cs="Arial"/>
                <w:lang w:eastAsia="en-AU"/>
              </w:rPr>
              <w:t xml:space="preserve"> (Germany)</w:t>
            </w:r>
          </w:p>
        </w:tc>
        <w:tc>
          <w:tcPr>
            <w:tcW w:w="1559" w:type="dxa"/>
          </w:tcPr>
          <w:p w14:paraId="632D6349" w14:textId="77777777" w:rsidR="0014171C" w:rsidRPr="005C39EC" w:rsidRDefault="0014171C" w:rsidP="00BE7858">
            <w:pPr>
              <w:rPr>
                <w:rFonts w:ascii="Arial" w:hAnsi="Arial" w:cs="Arial"/>
                <w:lang w:eastAsia="en-AU"/>
              </w:rPr>
            </w:pPr>
            <w:r w:rsidRPr="005C39EC">
              <w:rPr>
                <w:rFonts w:ascii="Arial" w:hAnsi="Arial" w:cs="Arial"/>
                <w:lang w:eastAsia="en-AU"/>
              </w:rPr>
              <w:t>Cohort, ± allergy risk</w:t>
            </w:r>
          </w:p>
        </w:tc>
        <w:tc>
          <w:tcPr>
            <w:tcW w:w="716" w:type="dxa"/>
          </w:tcPr>
          <w:p w14:paraId="5F46E3F9" w14:textId="77777777" w:rsidR="0014171C" w:rsidRPr="005C39EC" w:rsidRDefault="0014171C" w:rsidP="00BE7858">
            <w:pPr>
              <w:rPr>
                <w:rFonts w:ascii="Arial" w:hAnsi="Arial" w:cs="Arial"/>
                <w:lang w:eastAsia="en-AU"/>
              </w:rPr>
            </w:pPr>
            <w:r w:rsidRPr="005C39EC">
              <w:rPr>
                <w:rFonts w:ascii="Arial" w:hAnsi="Arial" w:cs="Arial"/>
                <w:lang w:eastAsia="en-AU"/>
              </w:rPr>
              <w:t>4753</w:t>
            </w:r>
          </w:p>
        </w:tc>
        <w:tc>
          <w:tcPr>
            <w:tcW w:w="850" w:type="dxa"/>
          </w:tcPr>
          <w:p w14:paraId="3DA4BC58" w14:textId="77777777" w:rsidR="0014171C" w:rsidRPr="005C39EC" w:rsidRDefault="0014171C" w:rsidP="00BE7858">
            <w:pPr>
              <w:rPr>
                <w:rFonts w:ascii="Arial" w:hAnsi="Arial" w:cs="Arial"/>
                <w:lang w:eastAsia="en-AU"/>
              </w:rPr>
            </w:pPr>
            <w:r w:rsidRPr="005C39EC">
              <w:rPr>
                <w:rFonts w:ascii="Arial" w:hAnsi="Arial" w:cs="Arial"/>
                <w:lang w:eastAsia="en-AU"/>
              </w:rPr>
              <w:t>E</w:t>
            </w:r>
          </w:p>
        </w:tc>
        <w:tc>
          <w:tcPr>
            <w:tcW w:w="851" w:type="dxa"/>
          </w:tcPr>
          <w:p w14:paraId="73DA6397" w14:textId="77777777" w:rsidR="0014171C" w:rsidRPr="005C39EC" w:rsidRDefault="0014171C" w:rsidP="00BE7858">
            <w:pPr>
              <w:rPr>
                <w:rFonts w:ascii="Arial" w:hAnsi="Arial" w:cs="Arial"/>
                <w:lang w:eastAsia="en-AU"/>
              </w:rPr>
            </w:pPr>
            <w:r w:rsidRPr="005C39EC">
              <w:rPr>
                <w:rFonts w:ascii="Arial" w:hAnsi="Arial" w:cs="Arial"/>
                <w:lang w:eastAsia="en-AU"/>
              </w:rPr>
              <w:t>4 yr</w:t>
            </w:r>
          </w:p>
        </w:tc>
        <w:tc>
          <w:tcPr>
            <w:tcW w:w="3388" w:type="dxa"/>
            <w:shd w:val="clear" w:color="auto" w:fill="FFFFFF" w:themeFill="background1"/>
          </w:tcPr>
          <w:p w14:paraId="1C2BA014" w14:textId="77777777" w:rsidR="0014171C" w:rsidRPr="005C39EC" w:rsidRDefault="0014171C" w:rsidP="00BE7858">
            <w:pPr>
              <w:rPr>
                <w:rFonts w:ascii="Arial" w:hAnsi="Arial" w:cs="Arial"/>
                <w:lang w:eastAsia="en-AU"/>
              </w:rPr>
            </w:pPr>
            <w:r w:rsidRPr="005C39EC">
              <w:rPr>
                <w:rFonts w:ascii="Arial" w:hAnsi="Arial" w:cs="Arial"/>
                <w:lang w:eastAsia="en-AU"/>
              </w:rPr>
              <w:t>Various foods introduced before 4 mo, during 5-6 mo and after 7 mo</w:t>
            </w:r>
          </w:p>
        </w:tc>
        <w:tc>
          <w:tcPr>
            <w:tcW w:w="4251" w:type="dxa"/>
            <w:gridSpan w:val="2"/>
          </w:tcPr>
          <w:p w14:paraId="50A8DB6F" w14:textId="77777777" w:rsidR="0014171C" w:rsidRPr="005C39EC" w:rsidRDefault="0014171C" w:rsidP="00BE7858">
            <w:pPr>
              <w:rPr>
                <w:rFonts w:ascii="Arial" w:hAnsi="Arial" w:cs="Arial"/>
                <w:lang w:eastAsia="en-AU"/>
              </w:rPr>
            </w:pPr>
            <w:r w:rsidRPr="005C39EC">
              <w:rPr>
                <w:rFonts w:ascii="Arial" w:hAnsi="Arial" w:cs="Arial"/>
                <w:lang w:eastAsia="en-AU"/>
              </w:rPr>
              <w:t>Delayed introduction of solids after 4 months or, for highly allergenic foods (e.g. nuts) after 6 months of age decreases risk of E compared to introduction after 7 months.</w:t>
            </w:r>
          </w:p>
        </w:tc>
        <w:tc>
          <w:tcPr>
            <w:tcW w:w="280" w:type="dxa"/>
            <w:gridSpan w:val="2"/>
            <w:shd w:val="clear" w:color="auto" w:fill="DBE5F1" w:themeFill="accent1" w:themeFillTint="33"/>
            <w:vAlign w:val="center"/>
          </w:tcPr>
          <w:p w14:paraId="78F705B1" w14:textId="77777777" w:rsidR="0014171C" w:rsidRPr="005C39EC" w:rsidRDefault="0014171C" w:rsidP="00BE7858">
            <w:pPr>
              <w:jc w:val="center"/>
              <w:rPr>
                <w:rFonts w:ascii="Arial" w:hAnsi="Arial" w:cs="Arial"/>
              </w:rPr>
            </w:pPr>
            <w:r w:rsidRPr="005C39EC">
              <w:rPr>
                <w:rFonts w:ascii="Arial" w:hAnsi="Arial" w:cs="Arial"/>
                <w:lang w:eastAsia="en-AU"/>
              </w:rPr>
              <w:sym w:font="Wingdings" w:char="F0FC"/>
            </w:r>
          </w:p>
        </w:tc>
        <w:tc>
          <w:tcPr>
            <w:tcW w:w="290" w:type="dxa"/>
            <w:gridSpan w:val="2"/>
            <w:shd w:val="clear" w:color="auto" w:fill="FFFFFF" w:themeFill="background1"/>
            <w:vAlign w:val="center"/>
          </w:tcPr>
          <w:p w14:paraId="37A2455F" w14:textId="77777777" w:rsidR="0014171C" w:rsidRPr="005C39EC" w:rsidRDefault="0014171C" w:rsidP="00BE7858">
            <w:pPr>
              <w:jc w:val="center"/>
              <w:rPr>
                <w:rFonts w:ascii="Arial" w:hAnsi="Arial" w:cs="Arial"/>
                <w:lang w:eastAsia="en-AU"/>
              </w:rPr>
            </w:pPr>
          </w:p>
        </w:tc>
        <w:tc>
          <w:tcPr>
            <w:tcW w:w="287" w:type="dxa"/>
            <w:shd w:val="clear" w:color="auto" w:fill="DDD9C3" w:themeFill="background2" w:themeFillShade="E6"/>
            <w:vAlign w:val="center"/>
          </w:tcPr>
          <w:p w14:paraId="674C20E8" w14:textId="77777777" w:rsidR="0014171C" w:rsidRPr="005C39EC" w:rsidRDefault="0014171C" w:rsidP="00BE7858">
            <w:pPr>
              <w:jc w:val="center"/>
              <w:rPr>
                <w:rFonts w:ascii="Arial" w:hAnsi="Arial" w:cs="Arial"/>
              </w:rPr>
            </w:pPr>
            <w:r w:rsidRPr="005C39EC">
              <w:rPr>
                <w:rFonts w:ascii="Arial" w:hAnsi="Arial" w:cs="Arial"/>
                <w:lang w:eastAsia="en-AU"/>
              </w:rPr>
              <w:sym w:font="Wingdings" w:char="F0FC"/>
            </w:r>
          </w:p>
        </w:tc>
        <w:tc>
          <w:tcPr>
            <w:tcW w:w="284" w:type="dxa"/>
            <w:shd w:val="clear" w:color="auto" w:fill="FDE9D9" w:themeFill="accent6" w:themeFillTint="33"/>
            <w:vAlign w:val="center"/>
          </w:tcPr>
          <w:p w14:paraId="6E97447D" w14:textId="77777777" w:rsidR="0014171C" w:rsidRPr="005C39EC" w:rsidRDefault="0014171C" w:rsidP="00BE7858">
            <w:pPr>
              <w:ind w:right="-136"/>
              <w:jc w:val="center"/>
              <w:rPr>
                <w:rFonts w:ascii="Arial" w:hAnsi="Arial" w:cs="Arial"/>
                <w:lang w:eastAsia="en-AU"/>
              </w:rPr>
            </w:pPr>
            <w:r w:rsidRPr="005C39EC">
              <w:rPr>
                <w:rFonts w:ascii="Arial" w:hAnsi="Arial" w:cs="Arial"/>
                <w:lang w:eastAsia="en-AU"/>
              </w:rPr>
              <w:sym w:font="Wingdings" w:char="F0FC"/>
            </w:r>
          </w:p>
        </w:tc>
        <w:tc>
          <w:tcPr>
            <w:tcW w:w="285" w:type="dxa"/>
            <w:shd w:val="clear" w:color="auto" w:fill="FFFFFF" w:themeFill="background1"/>
            <w:vAlign w:val="center"/>
          </w:tcPr>
          <w:p w14:paraId="3C2B51F1" w14:textId="77777777" w:rsidR="0014171C" w:rsidRPr="005C39EC" w:rsidRDefault="0014171C" w:rsidP="00BE7858">
            <w:pPr>
              <w:jc w:val="center"/>
              <w:rPr>
                <w:rFonts w:ascii="Arial" w:hAnsi="Arial" w:cs="Arial"/>
                <w:lang w:eastAsia="en-AU"/>
              </w:rPr>
            </w:pPr>
          </w:p>
        </w:tc>
      </w:tr>
      <w:tr w:rsidR="0014171C" w:rsidRPr="005C39EC" w14:paraId="05B8968B" w14:textId="77777777" w:rsidTr="002609FD">
        <w:tc>
          <w:tcPr>
            <w:tcW w:w="1526" w:type="dxa"/>
          </w:tcPr>
          <w:p w14:paraId="67902B4F"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2008 Zutavern </w:t>
            </w:r>
          </w:p>
          <w:p w14:paraId="20DA6B44" w14:textId="77777777" w:rsidR="0014171C" w:rsidRPr="005C39EC" w:rsidRDefault="0014171C" w:rsidP="00BE7858">
            <w:pPr>
              <w:rPr>
                <w:rFonts w:ascii="Arial" w:hAnsi="Arial" w:cs="Arial"/>
                <w:lang w:eastAsia="en-AU"/>
              </w:rPr>
            </w:pPr>
            <w:r w:rsidRPr="005C39EC">
              <w:rPr>
                <w:rFonts w:ascii="Arial" w:hAnsi="Arial" w:cs="Arial"/>
                <w:lang w:eastAsia="en-AU"/>
              </w:rPr>
              <w:t>(UK)</w:t>
            </w:r>
          </w:p>
        </w:tc>
        <w:tc>
          <w:tcPr>
            <w:tcW w:w="1559" w:type="dxa"/>
          </w:tcPr>
          <w:p w14:paraId="7651C2F3" w14:textId="77777777" w:rsidR="0014171C" w:rsidRPr="005C39EC" w:rsidRDefault="0014171C" w:rsidP="00BE7858">
            <w:pPr>
              <w:rPr>
                <w:rFonts w:ascii="Arial" w:hAnsi="Arial" w:cs="Arial"/>
                <w:lang w:eastAsia="en-AU"/>
              </w:rPr>
            </w:pPr>
            <w:r w:rsidRPr="005C39EC">
              <w:rPr>
                <w:rFonts w:ascii="Arial" w:hAnsi="Arial" w:cs="Arial"/>
                <w:lang w:eastAsia="en-AU"/>
              </w:rPr>
              <w:t xml:space="preserve">Cohort; ± allergic symptoms </w:t>
            </w:r>
          </w:p>
        </w:tc>
        <w:tc>
          <w:tcPr>
            <w:tcW w:w="716" w:type="dxa"/>
          </w:tcPr>
          <w:p w14:paraId="39B0EDC5" w14:textId="77777777" w:rsidR="0014171C" w:rsidRPr="005C39EC" w:rsidRDefault="0014171C" w:rsidP="00BE7858">
            <w:pPr>
              <w:rPr>
                <w:rFonts w:ascii="Arial" w:hAnsi="Arial" w:cs="Arial"/>
                <w:lang w:eastAsia="en-AU"/>
              </w:rPr>
            </w:pPr>
            <w:r w:rsidRPr="005C39EC">
              <w:rPr>
                <w:rFonts w:ascii="Arial" w:hAnsi="Arial" w:cs="Arial"/>
                <w:lang w:eastAsia="en-AU"/>
              </w:rPr>
              <w:t>2073</w:t>
            </w:r>
          </w:p>
        </w:tc>
        <w:tc>
          <w:tcPr>
            <w:tcW w:w="850" w:type="dxa"/>
          </w:tcPr>
          <w:p w14:paraId="539E8465" w14:textId="77777777" w:rsidR="0014171C" w:rsidRPr="005C39EC" w:rsidRDefault="0014171C" w:rsidP="00BE7858">
            <w:pPr>
              <w:rPr>
                <w:rFonts w:ascii="Arial" w:hAnsi="Arial" w:cs="Arial"/>
                <w:lang w:eastAsia="en-AU"/>
              </w:rPr>
            </w:pPr>
            <w:r w:rsidRPr="005C39EC">
              <w:rPr>
                <w:rFonts w:ascii="Arial" w:hAnsi="Arial" w:cs="Arial"/>
                <w:lang w:eastAsia="en-AU"/>
              </w:rPr>
              <w:t>A, AR, AS</w:t>
            </w:r>
          </w:p>
        </w:tc>
        <w:tc>
          <w:tcPr>
            <w:tcW w:w="851" w:type="dxa"/>
          </w:tcPr>
          <w:p w14:paraId="0349EAC4" w14:textId="77777777" w:rsidR="0014171C" w:rsidRPr="005C39EC" w:rsidRDefault="0014171C" w:rsidP="00BE7858">
            <w:pPr>
              <w:rPr>
                <w:rFonts w:ascii="Arial" w:hAnsi="Arial" w:cs="Arial"/>
                <w:lang w:eastAsia="en-AU"/>
              </w:rPr>
            </w:pPr>
            <w:r w:rsidRPr="005C39EC">
              <w:rPr>
                <w:rFonts w:ascii="Arial" w:hAnsi="Arial" w:cs="Arial"/>
                <w:lang w:eastAsia="en-AU"/>
              </w:rPr>
              <w:t>6 yr</w:t>
            </w:r>
          </w:p>
        </w:tc>
        <w:tc>
          <w:tcPr>
            <w:tcW w:w="3388" w:type="dxa"/>
            <w:shd w:val="clear" w:color="auto" w:fill="FFFFFF" w:themeFill="background1"/>
          </w:tcPr>
          <w:p w14:paraId="45C00D09" w14:textId="6E7B380F" w:rsidR="0014171C" w:rsidRPr="005C39EC" w:rsidRDefault="0014171C" w:rsidP="00BE7858">
            <w:pPr>
              <w:rPr>
                <w:rFonts w:ascii="Arial" w:hAnsi="Arial" w:cs="Arial"/>
                <w:lang w:eastAsia="en-AU"/>
              </w:rPr>
            </w:pPr>
            <w:r w:rsidRPr="005C39EC">
              <w:rPr>
                <w:rFonts w:ascii="Arial" w:hAnsi="Arial" w:cs="Arial"/>
                <w:lang w:eastAsia="en-AU"/>
              </w:rPr>
              <w:t>Solid foods before 4 mo, from 4–6</w:t>
            </w:r>
            <w:r w:rsidR="00F37DDB" w:rsidRPr="005C39EC">
              <w:rPr>
                <w:rFonts w:ascii="Arial" w:hAnsi="Arial" w:cs="Arial"/>
                <w:lang w:eastAsia="en-AU"/>
              </w:rPr>
              <w:t xml:space="preserve"> </w:t>
            </w:r>
            <w:r w:rsidRPr="005C39EC">
              <w:rPr>
                <w:rFonts w:ascii="Arial" w:hAnsi="Arial" w:cs="Arial"/>
                <w:lang w:eastAsia="en-AU"/>
              </w:rPr>
              <w:t>mo, and after 6 mo. (“late introduction” means after 4 or 6 mo)</w:t>
            </w:r>
          </w:p>
        </w:tc>
        <w:tc>
          <w:tcPr>
            <w:tcW w:w="4251" w:type="dxa"/>
            <w:gridSpan w:val="2"/>
          </w:tcPr>
          <w:p w14:paraId="73C0F613" w14:textId="7EE6583F" w:rsidR="0014171C" w:rsidRPr="005C39EC" w:rsidRDefault="0014171C" w:rsidP="00BE7858">
            <w:pPr>
              <w:rPr>
                <w:rFonts w:ascii="Arial" w:hAnsi="Arial" w:cs="Arial"/>
                <w:lang w:eastAsia="en-AU"/>
              </w:rPr>
            </w:pPr>
            <w:r w:rsidRPr="005C39EC">
              <w:rPr>
                <w:rFonts w:ascii="Arial" w:hAnsi="Arial" w:cs="Arial"/>
                <w:lang w:eastAsia="en-AU"/>
              </w:rPr>
              <w:t>Solid foods introduced after 4 mo increases risk of FS, E. No association between solid foods introduced at 4–6 months and risk of A, AR.</w:t>
            </w:r>
          </w:p>
        </w:tc>
        <w:tc>
          <w:tcPr>
            <w:tcW w:w="280" w:type="dxa"/>
            <w:gridSpan w:val="2"/>
            <w:vAlign w:val="center"/>
          </w:tcPr>
          <w:p w14:paraId="4CAD25A5" w14:textId="77777777" w:rsidR="0014171C" w:rsidRPr="005C39EC" w:rsidRDefault="0014171C" w:rsidP="00BE7858">
            <w:pPr>
              <w:jc w:val="center"/>
              <w:rPr>
                <w:rFonts w:ascii="Arial" w:hAnsi="Arial" w:cs="Arial"/>
                <w:lang w:eastAsia="en-AU"/>
              </w:rPr>
            </w:pPr>
          </w:p>
        </w:tc>
        <w:tc>
          <w:tcPr>
            <w:tcW w:w="290" w:type="dxa"/>
            <w:gridSpan w:val="2"/>
            <w:shd w:val="clear" w:color="auto" w:fill="FFFFFF" w:themeFill="background1"/>
            <w:vAlign w:val="center"/>
          </w:tcPr>
          <w:p w14:paraId="298A16C4" w14:textId="77777777" w:rsidR="0014171C" w:rsidRPr="005C39EC" w:rsidRDefault="0014171C" w:rsidP="00BE7858">
            <w:pPr>
              <w:jc w:val="center"/>
              <w:rPr>
                <w:rFonts w:ascii="Arial" w:hAnsi="Arial" w:cs="Arial"/>
                <w:lang w:eastAsia="en-AU"/>
              </w:rPr>
            </w:pPr>
          </w:p>
        </w:tc>
        <w:tc>
          <w:tcPr>
            <w:tcW w:w="287" w:type="dxa"/>
            <w:shd w:val="clear" w:color="auto" w:fill="DDD9C3" w:themeFill="background2" w:themeFillShade="E6"/>
            <w:vAlign w:val="center"/>
          </w:tcPr>
          <w:p w14:paraId="31981F4B" w14:textId="77777777" w:rsidR="0014171C" w:rsidRPr="005C39EC" w:rsidRDefault="0014171C" w:rsidP="00BE7858">
            <w:pPr>
              <w:jc w:val="center"/>
              <w:rPr>
                <w:rFonts w:ascii="Arial" w:hAnsi="Arial" w:cs="Arial"/>
              </w:rPr>
            </w:pPr>
            <w:r w:rsidRPr="005C39EC">
              <w:rPr>
                <w:rFonts w:ascii="Arial" w:hAnsi="Arial" w:cs="Arial"/>
                <w:lang w:eastAsia="en-AU"/>
              </w:rPr>
              <w:sym w:font="Wingdings" w:char="F0FC"/>
            </w:r>
          </w:p>
        </w:tc>
        <w:tc>
          <w:tcPr>
            <w:tcW w:w="284" w:type="dxa"/>
            <w:shd w:val="clear" w:color="auto" w:fill="FFFFFF" w:themeFill="background1"/>
            <w:vAlign w:val="center"/>
          </w:tcPr>
          <w:p w14:paraId="33F53BAA" w14:textId="77777777" w:rsidR="0014171C" w:rsidRPr="005C39EC" w:rsidRDefault="0014171C" w:rsidP="00BE7858">
            <w:pPr>
              <w:jc w:val="center"/>
              <w:rPr>
                <w:rFonts w:ascii="Arial" w:hAnsi="Arial" w:cs="Arial"/>
                <w:lang w:eastAsia="en-AU"/>
              </w:rPr>
            </w:pPr>
          </w:p>
        </w:tc>
        <w:tc>
          <w:tcPr>
            <w:tcW w:w="285" w:type="dxa"/>
            <w:shd w:val="clear" w:color="auto" w:fill="EAF1DD" w:themeFill="accent3" w:themeFillTint="33"/>
            <w:vAlign w:val="center"/>
          </w:tcPr>
          <w:p w14:paraId="61FEC42B" w14:textId="77777777" w:rsidR="0014171C" w:rsidRPr="005C39EC" w:rsidRDefault="0014171C" w:rsidP="00BE7858">
            <w:pPr>
              <w:jc w:val="center"/>
              <w:rPr>
                <w:rFonts w:ascii="Arial" w:hAnsi="Arial" w:cs="Arial"/>
              </w:rPr>
            </w:pPr>
            <w:r w:rsidRPr="005C39EC">
              <w:rPr>
                <w:rFonts w:ascii="Arial" w:hAnsi="Arial" w:cs="Arial"/>
                <w:lang w:eastAsia="en-AU"/>
              </w:rPr>
              <w:sym w:font="Wingdings" w:char="F0FC"/>
            </w:r>
          </w:p>
        </w:tc>
      </w:tr>
      <w:tr w:rsidR="0014171C" w:rsidRPr="005C39EC" w14:paraId="131233BE" w14:textId="77777777" w:rsidTr="002609FD">
        <w:tc>
          <w:tcPr>
            <w:tcW w:w="1526" w:type="dxa"/>
          </w:tcPr>
          <w:p w14:paraId="1573FBB6" w14:textId="77777777" w:rsidR="0014171C" w:rsidRPr="005C39EC" w:rsidRDefault="0014171C" w:rsidP="00BE7858">
            <w:pPr>
              <w:rPr>
                <w:rFonts w:ascii="Arial" w:hAnsi="Arial" w:cs="Arial"/>
                <w:lang w:eastAsia="en-AU"/>
              </w:rPr>
            </w:pPr>
            <w:r w:rsidRPr="005C39EC">
              <w:rPr>
                <w:rFonts w:ascii="Arial" w:hAnsi="Arial" w:cs="Arial"/>
                <w:lang w:eastAsia="en-AU"/>
              </w:rPr>
              <w:t>2010 Koplin (Australia)</w:t>
            </w:r>
          </w:p>
        </w:tc>
        <w:tc>
          <w:tcPr>
            <w:tcW w:w="1559" w:type="dxa"/>
          </w:tcPr>
          <w:p w14:paraId="1D8C24D9" w14:textId="77777777" w:rsidR="0014171C" w:rsidRPr="005C39EC" w:rsidRDefault="0014171C" w:rsidP="00BE7858">
            <w:pPr>
              <w:rPr>
                <w:rFonts w:ascii="Arial" w:hAnsi="Arial" w:cs="Arial"/>
                <w:lang w:eastAsia="en-AU"/>
              </w:rPr>
            </w:pPr>
            <w:r w:rsidRPr="005C39EC">
              <w:rPr>
                <w:rFonts w:ascii="Arial" w:hAnsi="Arial" w:cs="Arial"/>
                <w:lang w:eastAsia="en-AU"/>
              </w:rPr>
              <w:t>Cohort; Normal allergy risk</w:t>
            </w:r>
          </w:p>
        </w:tc>
        <w:tc>
          <w:tcPr>
            <w:tcW w:w="716" w:type="dxa"/>
          </w:tcPr>
          <w:p w14:paraId="246E675C" w14:textId="77777777" w:rsidR="0014171C" w:rsidRPr="005C39EC" w:rsidRDefault="0014171C" w:rsidP="00BE7858">
            <w:pPr>
              <w:rPr>
                <w:rFonts w:ascii="Arial" w:hAnsi="Arial" w:cs="Arial"/>
                <w:lang w:eastAsia="en-AU"/>
              </w:rPr>
            </w:pPr>
            <w:r w:rsidRPr="005C39EC">
              <w:rPr>
                <w:rFonts w:ascii="Arial" w:hAnsi="Arial" w:cs="Arial"/>
                <w:lang w:eastAsia="en-AU"/>
              </w:rPr>
              <w:t>2589</w:t>
            </w:r>
          </w:p>
        </w:tc>
        <w:tc>
          <w:tcPr>
            <w:tcW w:w="850" w:type="dxa"/>
          </w:tcPr>
          <w:p w14:paraId="3A7FF5AF" w14:textId="77777777" w:rsidR="0014171C" w:rsidRPr="005C39EC" w:rsidRDefault="0014171C" w:rsidP="00BE7858">
            <w:pPr>
              <w:rPr>
                <w:rFonts w:ascii="Arial" w:hAnsi="Arial" w:cs="Arial"/>
                <w:lang w:eastAsia="en-AU"/>
              </w:rPr>
            </w:pPr>
            <w:r w:rsidRPr="005C39EC">
              <w:rPr>
                <w:rFonts w:ascii="Arial" w:hAnsi="Arial" w:cs="Arial"/>
                <w:lang w:eastAsia="en-AU"/>
              </w:rPr>
              <w:t>FA</w:t>
            </w:r>
          </w:p>
        </w:tc>
        <w:tc>
          <w:tcPr>
            <w:tcW w:w="851" w:type="dxa"/>
          </w:tcPr>
          <w:p w14:paraId="5A011C6E" w14:textId="77777777" w:rsidR="0014171C" w:rsidRPr="005C39EC" w:rsidRDefault="0014171C" w:rsidP="00BE7858">
            <w:pPr>
              <w:rPr>
                <w:rFonts w:ascii="Arial" w:hAnsi="Arial" w:cs="Arial"/>
                <w:lang w:eastAsia="en-AU"/>
              </w:rPr>
            </w:pPr>
            <w:r w:rsidRPr="005C39EC">
              <w:rPr>
                <w:rFonts w:ascii="Arial" w:hAnsi="Arial" w:cs="Arial"/>
                <w:lang w:eastAsia="en-AU"/>
              </w:rPr>
              <w:t>12 mo</w:t>
            </w:r>
          </w:p>
        </w:tc>
        <w:tc>
          <w:tcPr>
            <w:tcW w:w="3388" w:type="dxa"/>
            <w:shd w:val="clear" w:color="auto" w:fill="FFFFFF" w:themeFill="background1"/>
          </w:tcPr>
          <w:p w14:paraId="77AC8A57" w14:textId="65D477EC" w:rsidR="0014171C" w:rsidRPr="005C39EC" w:rsidRDefault="0014171C" w:rsidP="00BE7858">
            <w:pPr>
              <w:rPr>
                <w:rFonts w:ascii="Arial" w:hAnsi="Arial" w:cs="Arial"/>
                <w:lang w:eastAsia="en-AU"/>
              </w:rPr>
            </w:pPr>
            <w:r w:rsidRPr="005C39EC">
              <w:rPr>
                <w:rFonts w:ascii="Arial" w:hAnsi="Arial" w:cs="Arial"/>
                <w:lang w:eastAsia="en-AU"/>
              </w:rPr>
              <w:t>Egg introduced 4–6 mo compared to after 6 mo</w:t>
            </w:r>
          </w:p>
        </w:tc>
        <w:tc>
          <w:tcPr>
            <w:tcW w:w="4251" w:type="dxa"/>
            <w:gridSpan w:val="2"/>
          </w:tcPr>
          <w:p w14:paraId="31441867" w14:textId="77777777" w:rsidR="0014171C" w:rsidRPr="005C39EC" w:rsidRDefault="0014171C" w:rsidP="00BE7858">
            <w:pPr>
              <w:rPr>
                <w:rFonts w:ascii="Arial" w:hAnsi="Arial" w:cs="Arial"/>
                <w:lang w:eastAsia="en-AU"/>
              </w:rPr>
            </w:pPr>
            <w:r w:rsidRPr="005C39EC">
              <w:rPr>
                <w:rFonts w:ascii="Arial" w:hAnsi="Arial" w:cs="Arial"/>
                <w:lang w:eastAsia="en-AU"/>
              </w:rPr>
              <w:t>Introduction after 6 mo associated with increased risk of egg allergy</w:t>
            </w:r>
          </w:p>
        </w:tc>
        <w:tc>
          <w:tcPr>
            <w:tcW w:w="280" w:type="dxa"/>
            <w:gridSpan w:val="2"/>
            <w:vAlign w:val="center"/>
          </w:tcPr>
          <w:p w14:paraId="1C68F75E" w14:textId="77777777" w:rsidR="0014171C" w:rsidRPr="005C39EC" w:rsidRDefault="0014171C" w:rsidP="00BE7858">
            <w:pPr>
              <w:jc w:val="center"/>
              <w:rPr>
                <w:rFonts w:ascii="Arial" w:hAnsi="Arial" w:cs="Arial"/>
                <w:lang w:eastAsia="en-AU"/>
              </w:rPr>
            </w:pPr>
          </w:p>
        </w:tc>
        <w:tc>
          <w:tcPr>
            <w:tcW w:w="290" w:type="dxa"/>
            <w:gridSpan w:val="2"/>
            <w:shd w:val="clear" w:color="auto" w:fill="FFFFFF" w:themeFill="background1"/>
            <w:vAlign w:val="center"/>
          </w:tcPr>
          <w:p w14:paraId="01E6A3B9" w14:textId="77777777" w:rsidR="0014171C" w:rsidRPr="005C39EC" w:rsidRDefault="0014171C" w:rsidP="00BE7858">
            <w:pPr>
              <w:jc w:val="center"/>
              <w:rPr>
                <w:rFonts w:ascii="Arial" w:hAnsi="Arial" w:cs="Arial"/>
                <w:lang w:eastAsia="en-AU"/>
              </w:rPr>
            </w:pPr>
          </w:p>
        </w:tc>
        <w:tc>
          <w:tcPr>
            <w:tcW w:w="287" w:type="dxa"/>
            <w:vAlign w:val="center"/>
          </w:tcPr>
          <w:p w14:paraId="0823AA21" w14:textId="77777777" w:rsidR="0014171C" w:rsidRPr="005C39EC" w:rsidRDefault="0014171C" w:rsidP="00BE7858">
            <w:pPr>
              <w:jc w:val="center"/>
              <w:rPr>
                <w:rFonts w:ascii="Arial" w:hAnsi="Arial" w:cs="Arial"/>
                <w:lang w:eastAsia="en-AU"/>
              </w:rPr>
            </w:pPr>
          </w:p>
        </w:tc>
        <w:tc>
          <w:tcPr>
            <w:tcW w:w="284" w:type="dxa"/>
            <w:shd w:val="clear" w:color="auto" w:fill="FFFFFF" w:themeFill="background1"/>
            <w:vAlign w:val="center"/>
          </w:tcPr>
          <w:p w14:paraId="5B427720" w14:textId="77777777" w:rsidR="0014171C" w:rsidRPr="005C39EC" w:rsidRDefault="0014171C" w:rsidP="00BE7858">
            <w:pPr>
              <w:jc w:val="center"/>
              <w:rPr>
                <w:rFonts w:ascii="Arial" w:hAnsi="Arial" w:cs="Arial"/>
                <w:lang w:eastAsia="en-AU"/>
              </w:rPr>
            </w:pPr>
          </w:p>
        </w:tc>
        <w:tc>
          <w:tcPr>
            <w:tcW w:w="285" w:type="dxa"/>
            <w:shd w:val="clear" w:color="auto" w:fill="EAF1DD" w:themeFill="accent3" w:themeFillTint="33"/>
            <w:vAlign w:val="center"/>
          </w:tcPr>
          <w:p w14:paraId="1FE0EDDE" w14:textId="77777777" w:rsidR="0014171C" w:rsidRPr="005C39EC" w:rsidRDefault="0014171C" w:rsidP="00BE7858">
            <w:pPr>
              <w:jc w:val="center"/>
              <w:rPr>
                <w:rFonts w:ascii="Arial" w:hAnsi="Arial" w:cs="Arial"/>
              </w:rPr>
            </w:pPr>
            <w:r w:rsidRPr="005C39EC">
              <w:rPr>
                <w:rFonts w:ascii="Arial" w:hAnsi="Arial" w:cs="Arial"/>
                <w:lang w:eastAsia="en-AU"/>
              </w:rPr>
              <w:sym w:font="Wingdings" w:char="F0FC"/>
            </w:r>
          </w:p>
        </w:tc>
      </w:tr>
      <w:tr w:rsidR="0014171C" w:rsidRPr="005C39EC" w14:paraId="55B10A99" w14:textId="77777777" w:rsidTr="002609FD">
        <w:tc>
          <w:tcPr>
            <w:tcW w:w="1526" w:type="dxa"/>
          </w:tcPr>
          <w:p w14:paraId="3C57CE8D" w14:textId="77777777" w:rsidR="0014171C" w:rsidRPr="005C39EC" w:rsidRDefault="0014171C" w:rsidP="00BE7858">
            <w:pPr>
              <w:rPr>
                <w:rFonts w:ascii="Arial" w:hAnsi="Arial" w:cs="Arial"/>
                <w:lang w:eastAsia="en-AU"/>
              </w:rPr>
            </w:pPr>
            <w:r w:rsidRPr="005C39EC">
              <w:rPr>
                <w:rFonts w:ascii="Arial" w:hAnsi="Arial" w:cs="Arial"/>
                <w:lang w:eastAsia="en-AU"/>
              </w:rPr>
              <w:lastRenderedPageBreak/>
              <w:t>2010 Hesselmar (Sweden)</w:t>
            </w:r>
          </w:p>
        </w:tc>
        <w:tc>
          <w:tcPr>
            <w:tcW w:w="1559" w:type="dxa"/>
          </w:tcPr>
          <w:p w14:paraId="0F9BB87D" w14:textId="77777777" w:rsidR="0014171C" w:rsidRPr="005C39EC" w:rsidRDefault="0014171C" w:rsidP="00BE7858">
            <w:pPr>
              <w:rPr>
                <w:rFonts w:ascii="Arial" w:hAnsi="Arial" w:cs="Arial"/>
                <w:lang w:eastAsia="en-AU"/>
              </w:rPr>
            </w:pPr>
            <w:r w:rsidRPr="005C39EC">
              <w:rPr>
                <w:rFonts w:ascii="Arial" w:hAnsi="Arial" w:cs="Arial"/>
                <w:lang w:eastAsia="en-AU"/>
              </w:rPr>
              <w:t>Cohort; Normal allergy risk</w:t>
            </w:r>
          </w:p>
        </w:tc>
        <w:tc>
          <w:tcPr>
            <w:tcW w:w="716" w:type="dxa"/>
          </w:tcPr>
          <w:p w14:paraId="64014EE7" w14:textId="77777777" w:rsidR="0014171C" w:rsidRPr="005C39EC" w:rsidRDefault="0014171C" w:rsidP="00BE7858">
            <w:pPr>
              <w:rPr>
                <w:rFonts w:ascii="Arial" w:hAnsi="Arial" w:cs="Arial"/>
                <w:lang w:eastAsia="en-AU"/>
              </w:rPr>
            </w:pPr>
            <w:r w:rsidRPr="005C39EC">
              <w:rPr>
                <w:rFonts w:ascii="Arial" w:hAnsi="Arial" w:cs="Arial"/>
                <w:lang w:eastAsia="en-AU"/>
              </w:rPr>
              <w:t>184</w:t>
            </w:r>
          </w:p>
        </w:tc>
        <w:tc>
          <w:tcPr>
            <w:tcW w:w="850" w:type="dxa"/>
          </w:tcPr>
          <w:p w14:paraId="213CD64D" w14:textId="77777777" w:rsidR="0014171C" w:rsidRPr="005C39EC" w:rsidRDefault="0014171C" w:rsidP="00BE7858">
            <w:pPr>
              <w:rPr>
                <w:rFonts w:ascii="Arial" w:hAnsi="Arial" w:cs="Arial"/>
                <w:lang w:eastAsia="en-AU"/>
              </w:rPr>
            </w:pPr>
            <w:r w:rsidRPr="005C39EC">
              <w:rPr>
                <w:rFonts w:ascii="Arial" w:hAnsi="Arial" w:cs="Arial"/>
                <w:lang w:eastAsia="en-AU"/>
              </w:rPr>
              <w:t>A, E</w:t>
            </w:r>
          </w:p>
        </w:tc>
        <w:tc>
          <w:tcPr>
            <w:tcW w:w="851" w:type="dxa"/>
          </w:tcPr>
          <w:p w14:paraId="35F60E68" w14:textId="77777777" w:rsidR="0014171C" w:rsidRPr="005C39EC" w:rsidRDefault="0014171C" w:rsidP="00BE7858">
            <w:pPr>
              <w:rPr>
                <w:rFonts w:ascii="Arial" w:hAnsi="Arial" w:cs="Arial"/>
                <w:lang w:eastAsia="en-AU"/>
              </w:rPr>
            </w:pPr>
            <w:r w:rsidRPr="005C39EC">
              <w:rPr>
                <w:rFonts w:ascii="Arial" w:hAnsi="Arial" w:cs="Arial"/>
                <w:lang w:eastAsia="en-AU"/>
              </w:rPr>
              <w:t>18 mo</w:t>
            </w:r>
          </w:p>
        </w:tc>
        <w:tc>
          <w:tcPr>
            <w:tcW w:w="3388" w:type="dxa"/>
            <w:shd w:val="clear" w:color="auto" w:fill="FFFFFF" w:themeFill="background1"/>
          </w:tcPr>
          <w:p w14:paraId="3B937BBB" w14:textId="77777777" w:rsidR="0014171C" w:rsidRPr="005C39EC" w:rsidRDefault="0014171C" w:rsidP="00BE7858">
            <w:pPr>
              <w:rPr>
                <w:rFonts w:ascii="Arial" w:hAnsi="Arial" w:cs="Arial"/>
                <w:lang w:eastAsia="en-AU"/>
              </w:rPr>
            </w:pPr>
            <w:r w:rsidRPr="005C39EC">
              <w:rPr>
                <w:rFonts w:ascii="Arial" w:hAnsi="Arial" w:cs="Arial"/>
                <w:lang w:eastAsia="en-AU"/>
              </w:rPr>
              <w:t>Fish introduced over various ages in first year</w:t>
            </w:r>
          </w:p>
        </w:tc>
        <w:tc>
          <w:tcPr>
            <w:tcW w:w="4251" w:type="dxa"/>
            <w:gridSpan w:val="2"/>
          </w:tcPr>
          <w:p w14:paraId="23FE8782" w14:textId="77777777" w:rsidR="0014171C" w:rsidRPr="005C39EC" w:rsidRDefault="0014171C" w:rsidP="00BE7858">
            <w:pPr>
              <w:rPr>
                <w:rFonts w:ascii="Arial" w:hAnsi="Arial" w:cs="Arial"/>
                <w:lang w:eastAsia="en-AU"/>
              </w:rPr>
            </w:pPr>
            <w:r w:rsidRPr="005C39EC">
              <w:rPr>
                <w:rFonts w:ascii="Arial" w:hAnsi="Arial" w:cs="Arial"/>
                <w:lang w:eastAsia="en-AU"/>
              </w:rPr>
              <w:t>16% increased prevalence of E for every 2 mo delay in fish introduction</w:t>
            </w:r>
          </w:p>
        </w:tc>
        <w:tc>
          <w:tcPr>
            <w:tcW w:w="280" w:type="dxa"/>
            <w:gridSpan w:val="2"/>
            <w:vAlign w:val="center"/>
          </w:tcPr>
          <w:p w14:paraId="76A14025" w14:textId="77777777" w:rsidR="0014171C" w:rsidRPr="005C39EC" w:rsidRDefault="0014171C" w:rsidP="00BE7858">
            <w:pPr>
              <w:jc w:val="center"/>
              <w:rPr>
                <w:rFonts w:ascii="Arial" w:hAnsi="Arial" w:cs="Arial"/>
                <w:lang w:eastAsia="en-AU"/>
              </w:rPr>
            </w:pPr>
          </w:p>
        </w:tc>
        <w:tc>
          <w:tcPr>
            <w:tcW w:w="290" w:type="dxa"/>
            <w:gridSpan w:val="2"/>
            <w:shd w:val="clear" w:color="auto" w:fill="FFFFFF" w:themeFill="background1"/>
            <w:vAlign w:val="center"/>
          </w:tcPr>
          <w:p w14:paraId="2326B4F1" w14:textId="77777777" w:rsidR="0014171C" w:rsidRPr="005C39EC" w:rsidRDefault="0014171C" w:rsidP="00BE7858">
            <w:pPr>
              <w:jc w:val="center"/>
              <w:rPr>
                <w:rFonts w:ascii="Arial" w:hAnsi="Arial" w:cs="Arial"/>
                <w:lang w:eastAsia="en-AU"/>
              </w:rPr>
            </w:pPr>
          </w:p>
        </w:tc>
        <w:tc>
          <w:tcPr>
            <w:tcW w:w="287" w:type="dxa"/>
            <w:vAlign w:val="center"/>
          </w:tcPr>
          <w:p w14:paraId="1EF851CD" w14:textId="77777777" w:rsidR="0014171C" w:rsidRPr="005C39EC" w:rsidRDefault="0014171C" w:rsidP="00BE7858">
            <w:pPr>
              <w:jc w:val="center"/>
              <w:rPr>
                <w:rFonts w:ascii="Arial" w:hAnsi="Arial" w:cs="Arial"/>
                <w:lang w:eastAsia="en-AU"/>
              </w:rPr>
            </w:pPr>
          </w:p>
        </w:tc>
        <w:tc>
          <w:tcPr>
            <w:tcW w:w="284" w:type="dxa"/>
            <w:shd w:val="clear" w:color="auto" w:fill="FFFFFF" w:themeFill="background1"/>
            <w:vAlign w:val="center"/>
          </w:tcPr>
          <w:p w14:paraId="3766ED8E" w14:textId="77777777" w:rsidR="0014171C" w:rsidRPr="005C39EC" w:rsidRDefault="0014171C" w:rsidP="00BE7858">
            <w:pPr>
              <w:jc w:val="center"/>
              <w:rPr>
                <w:rFonts w:ascii="Arial" w:hAnsi="Arial" w:cs="Arial"/>
                <w:lang w:eastAsia="en-AU"/>
              </w:rPr>
            </w:pPr>
          </w:p>
        </w:tc>
        <w:tc>
          <w:tcPr>
            <w:tcW w:w="285" w:type="dxa"/>
            <w:shd w:val="clear" w:color="auto" w:fill="EAF1DD" w:themeFill="accent3" w:themeFillTint="33"/>
            <w:vAlign w:val="center"/>
          </w:tcPr>
          <w:p w14:paraId="02B43063" w14:textId="77777777" w:rsidR="0014171C" w:rsidRPr="005C39EC" w:rsidRDefault="0014171C" w:rsidP="00BE7858">
            <w:pPr>
              <w:jc w:val="center"/>
              <w:rPr>
                <w:rFonts w:ascii="Arial" w:hAnsi="Arial" w:cs="Arial"/>
                <w:lang w:eastAsia="en-AU"/>
              </w:rPr>
            </w:pPr>
            <w:r w:rsidRPr="005C39EC">
              <w:rPr>
                <w:rFonts w:ascii="Arial" w:hAnsi="Arial" w:cs="Arial"/>
                <w:lang w:eastAsia="en-AU"/>
              </w:rPr>
              <w:sym w:font="Wingdings" w:char="F0FC"/>
            </w:r>
          </w:p>
        </w:tc>
      </w:tr>
      <w:tr w:rsidR="0014171C" w:rsidRPr="005C39EC" w14:paraId="1559F669" w14:textId="77777777" w:rsidTr="002609FD">
        <w:tc>
          <w:tcPr>
            <w:tcW w:w="1526" w:type="dxa"/>
          </w:tcPr>
          <w:p w14:paraId="03F0781D" w14:textId="77777777" w:rsidR="0014171C" w:rsidRPr="005C39EC" w:rsidRDefault="0014171C" w:rsidP="00BE7858">
            <w:pPr>
              <w:rPr>
                <w:rFonts w:ascii="Arial" w:hAnsi="Arial" w:cs="Arial"/>
                <w:lang w:eastAsia="en-AU"/>
              </w:rPr>
            </w:pPr>
            <w:r w:rsidRPr="005C39EC">
              <w:rPr>
                <w:rFonts w:ascii="Arial" w:hAnsi="Arial" w:cs="Arial"/>
                <w:lang w:eastAsia="en-AU"/>
              </w:rPr>
              <w:t>2010 Nwaru.</w:t>
            </w:r>
          </w:p>
          <w:p w14:paraId="3B3CA390" w14:textId="77777777" w:rsidR="0014171C" w:rsidRPr="005C39EC" w:rsidRDefault="0014171C" w:rsidP="00BE7858">
            <w:pPr>
              <w:rPr>
                <w:rFonts w:ascii="Arial" w:hAnsi="Arial" w:cs="Arial"/>
                <w:lang w:eastAsia="en-AU"/>
              </w:rPr>
            </w:pPr>
            <w:r w:rsidRPr="005C39EC">
              <w:rPr>
                <w:rFonts w:ascii="Arial" w:hAnsi="Arial" w:cs="Arial"/>
                <w:lang w:eastAsia="en-AU"/>
              </w:rPr>
              <w:t>(Finland)</w:t>
            </w:r>
          </w:p>
        </w:tc>
        <w:tc>
          <w:tcPr>
            <w:tcW w:w="1559" w:type="dxa"/>
          </w:tcPr>
          <w:p w14:paraId="205B998A" w14:textId="77777777" w:rsidR="0014171C" w:rsidRPr="005C39EC" w:rsidRDefault="0014171C" w:rsidP="00BE7858">
            <w:pPr>
              <w:rPr>
                <w:rFonts w:ascii="Arial" w:hAnsi="Arial" w:cs="Arial"/>
                <w:lang w:eastAsia="en-AU"/>
              </w:rPr>
            </w:pPr>
            <w:r w:rsidRPr="005C39EC">
              <w:rPr>
                <w:rFonts w:ascii="Arial" w:hAnsi="Arial" w:cs="Arial"/>
                <w:lang w:eastAsia="en-AU"/>
              </w:rPr>
              <w:t>Cohort; ± diabetes risk</w:t>
            </w:r>
          </w:p>
        </w:tc>
        <w:tc>
          <w:tcPr>
            <w:tcW w:w="716" w:type="dxa"/>
          </w:tcPr>
          <w:p w14:paraId="751E0EE2" w14:textId="77777777" w:rsidR="0014171C" w:rsidRPr="005C39EC" w:rsidRDefault="0014171C" w:rsidP="00BE7858">
            <w:pPr>
              <w:rPr>
                <w:rFonts w:ascii="Arial" w:hAnsi="Arial" w:cs="Arial"/>
                <w:lang w:eastAsia="en-AU"/>
              </w:rPr>
            </w:pPr>
            <w:r w:rsidRPr="005C39EC">
              <w:rPr>
                <w:rFonts w:ascii="Arial" w:hAnsi="Arial" w:cs="Arial"/>
                <w:lang w:eastAsia="en-AU"/>
              </w:rPr>
              <w:t>994</w:t>
            </w:r>
          </w:p>
        </w:tc>
        <w:tc>
          <w:tcPr>
            <w:tcW w:w="850" w:type="dxa"/>
          </w:tcPr>
          <w:p w14:paraId="1D2DE672" w14:textId="77777777" w:rsidR="0014171C" w:rsidRPr="005C39EC" w:rsidRDefault="0014171C" w:rsidP="00BE7858">
            <w:pPr>
              <w:rPr>
                <w:rFonts w:ascii="Arial" w:hAnsi="Arial" w:cs="Arial"/>
                <w:lang w:eastAsia="en-AU"/>
              </w:rPr>
            </w:pPr>
            <w:r w:rsidRPr="005C39EC">
              <w:rPr>
                <w:rFonts w:ascii="Arial" w:hAnsi="Arial" w:cs="Arial"/>
                <w:lang w:eastAsia="en-AU"/>
              </w:rPr>
              <w:t>AS</w:t>
            </w:r>
          </w:p>
        </w:tc>
        <w:tc>
          <w:tcPr>
            <w:tcW w:w="851" w:type="dxa"/>
          </w:tcPr>
          <w:p w14:paraId="04EE5E16" w14:textId="77777777" w:rsidR="0014171C" w:rsidRPr="005C39EC" w:rsidRDefault="0014171C" w:rsidP="00BE7858">
            <w:pPr>
              <w:rPr>
                <w:rFonts w:ascii="Arial" w:hAnsi="Arial" w:cs="Arial"/>
                <w:lang w:eastAsia="en-AU"/>
              </w:rPr>
            </w:pPr>
            <w:r w:rsidRPr="005C39EC">
              <w:rPr>
                <w:rFonts w:ascii="Arial" w:hAnsi="Arial" w:cs="Arial"/>
                <w:lang w:eastAsia="en-AU"/>
              </w:rPr>
              <w:t>5 yr</w:t>
            </w:r>
          </w:p>
        </w:tc>
        <w:tc>
          <w:tcPr>
            <w:tcW w:w="3388" w:type="dxa"/>
            <w:shd w:val="clear" w:color="auto" w:fill="FFFFFF" w:themeFill="background1"/>
          </w:tcPr>
          <w:p w14:paraId="479C2E16" w14:textId="7E5E3203" w:rsidR="0014171C" w:rsidRPr="005C39EC" w:rsidRDefault="0014171C" w:rsidP="00BE7858">
            <w:pPr>
              <w:rPr>
                <w:rFonts w:ascii="Arial" w:hAnsi="Arial" w:cs="Arial"/>
                <w:lang w:eastAsia="en-AU"/>
              </w:rPr>
            </w:pPr>
            <w:r w:rsidRPr="005C39EC">
              <w:rPr>
                <w:rFonts w:ascii="Arial" w:hAnsi="Arial" w:cs="Arial"/>
                <w:lang w:eastAsia="en-AU"/>
              </w:rPr>
              <w:t>Various foods introduced from 4 to 10 months</w:t>
            </w:r>
          </w:p>
        </w:tc>
        <w:tc>
          <w:tcPr>
            <w:tcW w:w="4251" w:type="dxa"/>
            <w:gridSpan w:val="2"/>
          </w:tcPr>
          <w:p w14:paraId="4DA0CF65" w14:textId="77777777" w:rsidR="0014171C" w:rsidRPr="005C39EC" w:rsidRDefault="0014171C" w:rsidP="00BE7858">
            <w:pPr>
              <w:rPr>
                <w:rFonts w:ascii="Arial" w:hAnsi="Arial" w:cs="Arial"/>
                <w:lang w:eastAsia="en-AU"/>
              </w:rPr>
            </w:pPr>
            <w:r w:rsidRPr="005C39EC">
              <w:rPr>
                <w:rFonts w:ascii="Arial" w:hAnsi="Arial" w:cs="Arial"/>
                <w:lang w:eastAsia="en-AU"/>
              </w:rPr>
              <w:t>Late introduction of potatoes (&gt;4 mo), oats (&gt;5 mo), rye (&gt;7 mo), wheat (&gt;6 mo), meat (&gt;5.5 mo), fish (&gt;8.2 mo), and eggs (&gt;10.5 months) increases risk allergic sensitisation.</w:t>
            </w:r>
          </w:p>
        </w:tc>
        <w:tc>
          <w:tcPr>
            <w:tcW w:w="280" w:type="dxa"/>
            <w:gridSpan w:val="2"/>
            <w:vAlign w:val="center"/>
          </w:tcPr>
          <w:p w14:paraId="2D412185" w14:textId="77777777" w:rsidR="0014171C" w:rsidRPr="005C39EC" w:rsidRDefault="0014171C" w:rsidP="00BE7858">
            <w:pPr>
              <w:jc w:val="center"/>
              <w:rPr>
                <w:rFonts w:ascii="Arial" w:hAnsi="Arial" w:cs="Arial"/>
                <w:lang w:eastAsia="en-AU"/>
              </w:rPr>
            </w:pPr>
          </w:p>
        </w:tc>
        <w:tc>
          <w:tcPr>
            <w:tcW w:w="290" w:type="dxa"/>
            <w:gridSpan w:val="2"/>
            <w:shd w:val="clear" w:color="auto" w:fill="FFFFFF" w:themeFill="background1"/>
            <w:vAlign w:val="center"/>
          </w:tcPr>
          <w:p w14:paraId="36AFBE43" w14:textId="77777777" w:rsidR="0014171C" w:rsidRPr="005C39EC" w:rsidRDefault="0014171C" w:rsidP="00BE7858">
            <w:pPr>
              <w:jc w:val="center"/>
              <w:rPr>
                <w:rFonts w:ascii="Arial" w:hAnsi="Arial" w:cs="Arial"/>
                <w:lang w:eastAsia="en-AU"/>
              </w:rPr>
            </w:pPr>
          </w:p>
        </w:tc>
        <w:tc>
          <w:tcPr>
            <w:tcW w:w="287" w:type="dxa"/>
            <w:vAlign w:val="center"/>
          </w:tcPr>
          <w:p w14:paraId="0F22ED1B" w14:textId="77777777" w:rsidR="0014171C" w:rsidRPr="005C39EC" w:rsidRDefault="0014171C" w:rsidP="00BE7858">
            <w:pPr>
              <w:jc w:val="center"/>
              <w:rPr>
                <w:rFonts w:ascii="Arial" w:hAnsi="Arial" w:cs="Arial"/>
                <w:lang w:eastAsia="en-AU"/>
              </w:rPr>
            </w:pPr>
          </w:p>
        </w:tc>
        <w:tc>
          <w:tcPr>
            <w:tcW w:w="284" w:type="dxa"/>
            <w:vAlign w:val="center"/>
          </w:tcPr>
          <w:p w14:paraId="49EED357" w14:textId="77777777" w:rsidR="0014171C" w:rsidRPr="005C39EC" w:rsidRDefault="0014171C" w:rsidP="00BE7858">
            <w:pPr>
              <w:jc w:val="center"/>
              <w:rPr>
                <w:rFonts w:ascii="Arial" w:hAnsi="Arial" w:cs="Arial"/>
                <w:lang w:eastAsia="en-AU"/>
              </w:rPr>
            </w:pPr>
          </w:p>
        </w:tc>
        <w:tc>
          <w:tcPr>
            <w:tcW w:w="285" w:type="dxa"/>
            <w:shd w:val="clear" w:color="auto" w:fill="EAF1DD" w:themeFill="accent3" w:themeFillTint="33"/>
            <w:vAlign w:val="center"/>
          </w:tcPr>
          <w:p w14:paraId="6A2E82BA" w14:textId="77777777" w:rsidR="0014171C" w:rsidRPr="005C39EC" w:rsidRDefault="0014171C" w:rsidP="00BE7858">
            <w:pPr>
              <w:jc w:val="center"/>
              <w:rPr>
                <w:rFonts w:ascii="Arial" w:hAnsi="Arial" w:cs="Arial"/>
              </w:rPr>
            </w:pPr>
            <w:r w:rsidRPr="005C39EC">
              <w:rPr>
                <w:rFonts w:ascii="Arial" w:hAnsi="Arial" w:cs="Arial"/>
                <w:lang w:eastAsia="en-AU"/>
              </w:rPr>
              <w:sym w:font="Wingdings" w:char="F0FC"/>
            </w:r>
          </w:p>
        </w:tc>
      </w:tr>
      <w:tr w:rsidR="0014171C" w:rsidRPr="005C39EC" w14:paraId="64E66283" w14:textId="77777777" w:rsidTr="002609FD">
        <w:tc>
          <w:tcPr>
            <w:tcW w:w="1526" w:type="dxa"/>
          </w:tcPr>
          <w:p w14:paraId="374ECFA5"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2010 Virtanen </w:t>
            </w:r>
          </w:p>
          <w:p w14:paraId="6580BAF1" w14:textId="77777777" w:rsidR="0014171C" w:rsidRPr="005C39EC" w:rsidRDefault="0014171C" w:rsidP="00BE7858">
            <w:pPr>
              <w:rPr>
                <w:rFonts w:ascii="Arial" w:hAnsi="Arial" w:cs="Arial"/>
                <w:lang w:eastAsia="en-AU"/>
              </w:rPr>
            </w:pPr>
            <w:r w:rsidRPr="005C39EC">
              <w:rPr>
                <w:rFonts w:ascii="Arial" w:hAnsi="Arial" w:cs="Arial"/>
                <w:lang w:eastAsia="en-AU"/>
              </w:rPr>
              <w:t>(Finland)</w:t>
            </w:r>
          </w:p>
        </w:tc>
        <w:tc>
          <w:tcPr>
            <w:tcW w:w="1559" w:type="dxa"/>
          </w:tcPr>
          <w:p w14:paraId="16908CC4" w14:textId="77777777" w:rsidR="0014171C" w:rsidRPr="005C39EC" w:rsidRDefault="0014171C" w:rsidP="00BE7858">
            <w:pPr>
              <w:rPr>
                <w:rFonts w:ascii="Arial" w:hAnsi="Arial" w:cs="Arial"/>
                <w:lang w:eastAsia="en-AU"/>
              </w:rPr>
            </w:pPr>
            <w:r w:rsidRPr="005C39EC">
              <w:rPr>
                <w:rFonts w:ascii="Arial" w:hAnsi="Arial" w:cs="Arial"/>
                <w:lang w:eastAsia="en-AU"/>
              </w:rPr>
              <w:t>Cohort; Normal allergy risk</w:t>
            </w:r>
          </w:p>
        </w:tc>
        <w:tc>
          <w:tcPr>
            <w:tcW w:w="716" w:type="dxa"/>
          </w:tcPr>
          <w:p w14:paraId="4274ED2E" w14:textId="77777777" w:rsidR="0014171C" w:rsidRPr="005C39EC" w:rsidRDefault="0014171C" w:rsidP="00BE7858">
            <w:pPr>
              <w:rPr>
                <w:rFonts w:ascii="Arial" w:hAnsi="Arial" w:cs="Arial"/>
                <w:lang w:eastAsia="en-AU"/>
              </w:rPr>
            </w:pPr>
            <w:r w:rsidRPr="005C39EC">
              <w:rPr>
                <w:rFonts w:ascii="Arial" w:hAnsi="Arial" w:cs="Arial"/>
                <w:lang w:eastAsia="en-AU"/>
              </w:rPr>
              <w:t>1293</w:t>
            </w:r>
          </w:p>
        </w:tc>
        <w:tc>
          <w:tcPr>
            <w:tcW w:w="850" w:type="dxa"/>
          </w:tcPr>
          <w:p w14:paraId="1ABBDD79" w14:textId="77777777" w:rsidR="0014171C" w:rsidRPr="005C39EC" w:rsidRDefault="0014171C" w:rsidP="00BE7858">
            <w:pPr>
              <w:rPr>
                <w:rFonts w:ascii="Arial" w:hAnsi="Arial" w:cs="Arial"/>
                <w:lang w:eastAsia="en-AU"/>
              </w:rPr>
            </w:pPr>
            <w:r w:rsidRPr="005C39EC">
              <w:rPr>
                <w:rFonts w:ascii="Arial" w:hAnsi="Arial" w:cs="Arial"/>
                <w:lang w:eastAsia="en-AU"/>
              </w:rPr>
              <w:t>A</w:t>
            </w:r>
          </w:p>
        </w:tc>
        <w:tc>
          <w:tcPr>
            <w:tcW w:w="851" w:type="dxa"/>
          </w:tcPr>
          <w:p w14:paraId="342C23AE" w14:textId="77777777" w:rsidR="0014171C" w:rsidRPr="005C39EC" w:rsidRDefault="0014171C" w:rsidP="00BE7858">
            <w:pPr>
              <w:rPr>
                <w:rFonts w:ascii="Arial" w:hAnsi="Arial" w:cs="Arial"/>
                <w:lang w:eastAsia="en-AU"/>
              </w:rPr>
            </w:pPr>
            <w:r w:rsidRPr="005C39EC">
              <w:rPr>
                <w:rFonts w:ascii="Arial" w:hAnsi="Arial" w:cs="Arial"/>
                <w:lang w:eastAsia="en-AU"/>
              </w:rPr>
              <w:t>5 yr</w:t>
            </w:r>
          </w:p>
        </w:tc>
        <w:tc>
          <w:tcPr>
            <w:tcW w:w="3388" w:type="dxa"/>
            <w:shd w:val="clear" w:color="auto" w:fill="FFFFFF" w:themeFill="background1"/>
          </w:tcPr>
          <w:p w14:paraId="1C6190F2" w14:textId="77777777" w:rsidR="0014171C" w:rsidRPr="005C39EC" w:rsidRDefault="0014171C" w:rsidP="00BE7858">
            <w:pPr>
              <w:rPr>
                <w:rFonts w:ascii="Arial" w:hAnsi="Arial" w:cs="Arial"/>
                <w:lang w:eastAsia="en-AU"/>
              </w:rPr>
            </w:pPr>
            <w:r w:rsidRPr="005C39EC">
              <w:rPr>
                <w:rFonts w:ascii="Arial" w:hAnsi="Arial" w:cs="Arial"/>
                <w:lang w:eastAsia="en-AU"/>
              </w:rPr>
              <w:t>Various foods over first year; Oats introduced before and after 5.5 mo</w:t>
            </w:r>
          </w:p>
        </w:tc>
        <w:tc>
          <w:tcPr>
            <w:tcW w:w="4251" w:type="dxa"/>
            <w:gridSpan w:val="2"/>
          </w:tcPr>
          <w:p w14:paraId="6602595F" w14:textId="77777777" w:rsidR="0014171C" w:rsidRPr="005C39EC" w:rsidRDefault="0014171C" w:rsidP="00BE7858">
            <w:pPr>
              <w:rPr>
                <w:rFonts w:ascii="Arial" w:hAnsi="Arial" w:cs="Arial"/>
                <w:lang w:eastAsia="en-AU"/>
              </w:rPr>
            </w:pPr>
            <w:r w:rsidRPr="005C39EC">
              <w:rPr>
                <w:rFonts w:ascii="Arial" w:hAnsi="Arial" w:cs="Arial"/>
                <w:lang w:eastAsia="en-AU"/>
              </w:rPr>
              <w:t>Early introduction of oats (&lt;5.5 mo) decreases risk of A compared to introduction after 5.5 mo</w:t>
            </w:r>
          </w:p>
        </w:tc>
        <w:tc>
          <w:tcPr>
            <w:tcW w:w="280" w:type="dxa"/>
            <w:gridSpan w:val="2"/>
            <w:vAlign w:val="center"/>
          </w:tcPr>
          <w:p w14:paraId="032B79F7" w14:textId="77777777" w:rsidR="0014171C" w:rsidRPr="005C39EC" w:rsidRDefault="0014171C" w:rsidP="00BE7858">
            <w:pPr>
              <w:rPr>
                <w:rFonts w:ascii="Arial" w:hAnsi="Arial" w:cs="Arial"/>
                <w:lang w:eastAsia="en-AU"/>
              </w:rPr>
            </w:pPr>
          </w:p>
        </w:tc>
        <w:tc>
          <w:tcPr>
            <w:tcW w:w="290" w:type="dxa"/>
            <w:gridSpan w:val="2"/>
            <w:shd w:val="clear" w:color="auto" w:fill="FFFFFF" w:themeFill="background1"/>
            <w:vAlign w:val="center"/>
          </w:tcPr>
          <w:p w14:paraId="35F2B426" w14:textId="77777777" w:rsidR="0014171C" w:rsidRPr="005C39EC" w:rsidRDefault="0014171C" w:rsidP="00BE7858">
            <w:pPr>
              <w:rPr>
                <w:rFonts w:ascii="Arial" w:hAnsi="Arial" w:cs="Arial"/>
                <w:lang w:eastAsia="en-AU"/>
              </w:rPr>
            </w:pPr>
          </w:p>
        </w:tc>
        <w:tc>
          <w:tcPr>
            <w:tcW w:w="287" w:type="dxa"/>
            <w:vAlign w:val="center"/>
          </w:tcPr>
          <w:p w14:paraId="3AF5F138" w14:textId="77777777" w:rsidR="0014171C" w:rsidRPr="005C39EC" w:rsidRDefault="0014171C" w:rsidP="00BE7858">
            <w:pPr>
              <w:rPr>
                <w:rFonts w:ascii="Arial" w:hAnsi="Arial" w:cs="Arial"/>
                <w:lang w:eastAsia="en-AU"/>
              </w:rPr>
            </w:pPr>
          </w:p>
        </w:tc>
        <w:tc>
          <w:tcPr>
            <w:tcW w:w="284" w:type="dxa"/>
            <w:shd w:val="clear" w:color="auto" w:fill="FFFFFF" w:themeFill="background1"/>
            <w:vAlign w:val="center"/>
          </w:tcPr>
          <w:p w14:paraId="0833D2E7" w14:textId="77777777" w:rsidR="0014171C" w:rsidRPr="005C39EC" w:rsidRDefault="0014171C" w:rsidP="00BE7858">
            <w:pPr>
              <w:rPr>
                <w:rFonts w:ascii="Arial" w:hAnsi="Arial" w:cs="Arial"/>
                <w:lang w:eastAsia="en-AU"/>
              </w:rPr>
            </w:pPr>
          </w:p>
        </w:tc>
        <w:tc>
          <w:tcPr>
            <w:tcW w:w="285" w:type="dxa"/>
            <w:shd w:val="clear" w:color="auto" w:fill="EAF1DD" w:themeFill="accent3" w:themeFillTint="33"/>
            <w:vAlign w:val="center"/>
          </w:tcPr>
          <w:p w14:paraId="472EAE6D"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r>
      <w:tr w:rsidR="0014171C" w:rsidRPr="005C39EC" w14:paraId="796E0404" w14:textId="77777777" w:rsidTr="002609FD">
        <w:tc>
          <w:tcPr>
            <w:tcW w:w="1526" w:type="dxa"/>
          </w:tcPr>
          <w:p w14:paraId="755E3066"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2013 Nwaru </w:t>
            </w:r>
          </w:p>
          <w:p w14:paraId="3973C014" w14:textId="77777777" w:rsidR="0014171C" w:rsidRPr="005C39EC" w:rsidRDefault="0014171C" w:rsidP="00BE7858">
            <w:pPr>
              <w:rPr>
                <w:rFonts w:ascii="Arial" w:hAnsi="Arial" w:cs="Arial"/>
                <w:lang w:eastAsia="en-AU"/>
              </w:rPr>
            </w:pPr>
            <w:r w:rsidRPr="005C39EC">
              <w:rPr>
                <w:rFonts w:ascii="Arial" w:hAnsi="Arial" w:cs="Arial"/>
                <w:lang w:eastAsia="en-AU"/>
              </w:rPr>
              <w:t>(Finland)</w:t>
            </w:r>
          </w:p>
        </w:tc>
        <w:tc>
          <w:tcPr>
            <w:tcW w:w="1559" w:type="dxa"/>
          </w:tcPr>
          <w:p w14:paraId="289C7F08" w14:textId="77777777" w:rsidR="0014171C" w:rsidRPr="005C39EC" w:rsidRDefault="0014171C" w:rsidP="00BE7858">
            <w:pPr>
              <w:rPr>
                <w:rFonts w:ascii="Arial" w:hAnsi="Arial" w:cs="Arial"/>
                <w:lang w:eastAsia="en-AU"/>
              </w:rPr>
            </w:pPr>
            <w:r w:rsidRPr="005C39EC">
              <w:rPr>
                <w:rFonts w:ascii="Arial" w:hAnsi="Arial" w:cs="Arial"/>
                <w:lang w:eastAsia="en-AU"/>
              </w:rPr>
              <w:t>Cohort; ± atopic risk</w:t>
            </w:r>
          </w:p>
        </w:tc>
        <w:tc>
          <w:tcPr>
            <w:tcW w:w="716" w:type="dxa"/>
          </w:tcPr>
          <w:p w14:paraId="16C21F7D" w14:textId="77777777" w:rsidR="0014171C" w:rsidRPr="005C39EC" w:rsidRDefault="0014171C" w:rsidP="00BE7858">
            <w:pPr>
              <w:rPr>
                <w:rFonts w:ascii="Arial" w:hAnsi="Arial" w:cs="Arial"/>
                <w:lang w:eastAsia="en-AU"/>
              </w:rPr>
            </w:pPr>
            <w:r w:rsidRPr="005C39EC">
              <w:rPr>
                <w:rFonts w:ascii="Arial" w:hAnsi="Arial" w:cs="Arial"/>
                <w:lang w:eastAsia="en-AU"/>
              </w:rPr>
              <w:t>3781</w:t>
            </w:r>
          </w:p>
        </w:tc>
        <w:tc>
          <w:tcPr>
            <w:tcW w:w="850" w:type="dxa"/>
          </w:tcPr>
          <w:p w14:paraId="303EC020" w14:textId="77777777" w:rsidR="0014171C" w:rsidRPr="005C39EC" w:rsidRDefault="0014171C" w:rsidP="00BE7858">
            <w:pPr>
              <w:rPr>
                <w:rFonts w:ascii="Arial" w:hAnsi="Arial" w:cs="Arial"/>
                <w:lang w:eastAsia="en-AU"/>
              </w:rPr>
            </w:pPr>
            <w:r w:rsidRPr="005C39EC">
              <w:rPr>
                <w:rFonts w:ascii="Arial" w:hAnsi="Arial" w:cs="Arial"/>
                <w:lang w:eastAsia="en-AU"/>
              </w:rPr>
              <w:t>A, AD,E</w:t>
            </w:r>
          </w:p>
        </w:tc>
        <w:tc>
          <w:tcPr>
            <w:tcW w:w="851" w:type="dxa"/>
          </w:tcPr>
          <w:p w14:paraId="725D4A90" w14:textId="77777777" w:rsidR="0014171C" w:rsidRPr="005C39EC" w:rsidRDefault="0014171C" w:rsidP="00BE7858">
            <w:pPr>
              <w:rPr>
                <w:rFonts w:ascii="Arial" w:hAnsi="Arial" w:cs="Arial"/>
                <w:lang w:eastAsia="en-AU"/>
              </w:rPr>
            </w:pPr>
            <w:r w:rsidRPr="005C39EC">
              <w:rPr>
                <w:rFonts w:ascii="Arial" w:hAnsi="Arial" w:cs="Arial"/>
                <w:lang w:eastAsia="en-AU"/>
              </w:rPr>
              <w:t>2 yr &amp; 5 yr</w:t>
            </w:r>
          </w:p>
        </w:tc>
        <w:tc>
          <w:tcPr>
            <w:tcW w:w="3388" w:type="dxa"/>
            <w:shd w:val="clear" w:color="auto" w:fill="FFFFFF" w:themeFill="background1"/>
          </w:tcPr>
          <w:p w14:paraId="00026656" w14:textId="77777777" w:rsidR="0014171C" w:rsidRPr="005C39EC" w:rsidRDefault="0014171C" w:rsidP="00BE7858">
            <w:pPr>
              <w:rPr>
                <w:rFonts w:ascii="Arial" w:hAnsi="Arial" w:cs="Arial"/>
                <w:lang w:eastAsia="en-AU"/>
              </w:rPr>
            </w:pPr>
            <w:r w:rsidRPr="005C39EC">
              <w:rPr>
                <w:rFonts w:ascii="Arial" w:hAnsi="Arial" w:cs="Arial"/>
                <w:lang w:eastAsia="en-AU"/>
              </w:rPr>
              <w:t>Various foods from 3–7 mo.</w:t>
            </w:r>
            <w:r w:rsidRPr="005C39EC">
              <w:rPr>
                <w:rFonts w:ascii="Arial" w:hAnsi="Arial" w:cs="Arial"/>
                <w:i/>
                <w:color w:val="FF0000"/>
                <w:lang w:eastAsia="en-AU"/>
              </w:rPr>
              <w:t xml:space="preserve"> </w:t>
            </w:r>
          </w:p>
        </w:tc>
        <w:tc>
          <w:tcPr>
            <w:tcW w:w="4251" w:type="dxa"/>
            <w:gridSpan w:val="2"/>
          </w:tcPr>
          <w:p w14:paraId="771C93A2" w14:textId="77777777" w:rsidR="0014171C" w:rsidRPr="005C39EC" w:rsidRDefault="0014171C" w:rsidP="00BE7858">
            <w:pPr>
              <w:rPr>
                <w:rFonts w:ascii="Arial" w:hAnsi="Arial" w:cs="Arial"/>
                <w:lang w:eastAsia="en-AU"/>
              </w:rPr>
            </w:pPr>
            <w:r w:rsidRPr="005C39EC">
              <w:rPr>
                <w:rFonts w:ascii="Arial" w:hAnsi="Arial" w:cs="Arial"/>
                <w:lang w:eastAsia="en-AU"/>
              </w:rPr>
              <w:t>Early introduction (time specific to each food) decreases risk of A, AD, E</w:t>
            </w:r>
          </w:p>
        </w:tc>
        <w:tc>
          <w:tcPr>
            <w:tcW w:w="280" w:type="dxa"/>
            <w:gridSpan w:val="2"/>
            <w:vAlign w:val="center"/>
          </w:tcPr>
          <w:p w14:paraId="1E589601" w14:textId="77777777" w:rsidR="0014171C" w:rsidRPr="005C39EC" w:rsidRDefault="0014171C" w:rsidP="00BE7858">
            <w:pPr>
              <w:rPr>
                <w:rFonts w:ascii="Arial" w:hAnsi="Arial" w:cs="Arial"/>
                <w:lang w:eastAsia="en-AU"/>
              </w:rPr>
            </w:pPr>
          </w:p>
        </w:tc>
        <w:tc>
          <w:tcPr>
            <w:tcW w:w="290" w:type="dxa"/>
            <w:gridSpan w:val="2"/>
            <w:shd w:val="clear" w:color="auto" w:fill="FFFFFF" w:themeFill="background1"/>
            <w:vAlign w:val="center"/>
          </w:tcPr>
          <w:p w14:paraId="477F7835" w14:textId="77777777" w:rsidR="0014171C" w:rsidRPr="005C39EC" w:rsidRDefault="0014171C" w:rsidP="00BE7858">
            <w:pPr>
              <w:rPr>
                <w:rFonts w:ascii="Arial" w:hAnsi="Arial" w:cs="Arial"/>
                <w:lang w:eastAsia="en-AU"/>
              </w:rPr>
            </w:pPr>
          </w:p>
        </w:tc>
        <w:tc>
          <w:tcPr>
            <w:tcW w:w="287" w:type="dxa"/>
            <w:vAlign w:val="center"/>
          </w:tcPr>
          <w:p w14:paraId="00336CEA" w14:textId="77777777" w:rsidR="0014171C" w:rsidRPr="005C39EC" w:rsidRDefault="0014171C" w:rsidP="00BE7858">
            <w:pPr>
              <w:rPr>
                <w:rFonts w:ascii="Arial" w:hAnsi="Arial" w:cs="Arial"/>
                <w:lang w:eastAsia="en-AU"/>
              </w:rPr>
            </w:pPr>
          </w:p>
        </w:tc>
        <w:tc>
          <w:tcPr>
            <w:tcW w:w="284" w:type="dxa"/>
            <w:vAlign w:val="center"/>
          </w:tcPr>
          <w:p w14:paraId="4FE5F073" w14:textId="77777777" w:rsidR="0014171C" w:rsidRPr="005C39EC" w:rsidRDefault="0014171C" w:rsidP="00BE7858">
            <w:pPr>
              <w:rPr>
                <w:rFonts w:ascii="Arial" w:hAnsi="Arial" w:cs="Arial"/>
                <w:lang w:eastAsia="en-AU"/>
              </w:rPr>
            </w:pPr>
          </w:p>
        </w:tc>
        <w:tc>
          <w:tcPr>
            <w:tcW w:w="285" w:type="dxa"/>
            <w:shd w:val="clear" w:color="auto" w:fill="FFFFFF" w:themeFill="background1"/>
            <w:vAlign w:val="center"/>
          </w:tcPr>
          <w:p w14:paraId="43464265" w14:textId="77777777" w:rsidR="0014171C" w:rsidRPr="005C39EC" w:rsidRDefault="0014171C" w:rsidP="00BE7858">
            <w:pPr>
              <w:rPr>
                <w:rFonts w:ascii="Arial" w:hAnsi="Arial" w:cs="Arial"/>
              </w:rPr>
            </w:pPr>
          </w:p>
        </w:tc>
      </w:tr>
      <w:tr w:rsidR="0014171C" w:rsidRPr="005C39EC" w14:paraId="1CE5B7BC" w14:textId="77777777" w:rsidTr="002609FD">
        <w:tc>
          <w:tcPr>
            <w:tcW w:w="1526" w:type="dxa"/>
          </w:tcPr>
          <w:p w14:paraId="0C9CF9CE" w14:textId="77777777" w:rsidR="0014171C" w:rsidRPr="005C39EC" w:rsidRDefault="0014171C" w:rsidP="00BE7858">
            <w:pPr>
              <w:rPr>
                <w:rFonts w:ascii="Arial" w:hAnsi="Arial" w:cs="Arial"/>
                <w:lang w:eastAsia="en-AU"/>
              </w:rPr>
            </w:pPr>
            <w:r w:rsidRPr="005C39EC">
              <w:rPr>
                <w:rFonts w:ascii="Arial" w:hAnsi="Arial" w:cs="Arial"/>
                <w:lang w:eastAsia="en-AU"/>
              </w:rPr>
              <w:t>2013 Nwaru</w:t>
            </w:r>
          </w:p>
          <w:p w14:paraId="7D27FA1F" w14:textId="77777777" w:rsidR="0014171C" w:rsidRPr="005C39EC" w:rsidRDefault="0014171C" w:rsidP="00BE7858">
            <w:pPr>
              <w:rPr>
                <w:rFonts w:ascii="Arial" w:hAnsi="Arial" w:cs="Arial"/>
                <w:lang w:eastAsia="en-AU"/>
              </w:rPr>
            </w:pPr>
            <w:r w:rsidRPr="005C39EC">
              <w:rPr>
                <w:rFonts w:ascii="Arial" w:hAnsi="Arial" w:cs="Arial"/>
                <w:lang w:eastAsia="en-AU"/>
              </w:rPr>
              <w:t>(Finland)</w:t>
            </w:r>
          </w:p>
        </w:tc>
        <w:tc>
          <w:tcPr>
            <w:tcW w:w="1559" w:type="dxa"/>
          </w:tcPr>
          <w:p w14:paraId="01B37080" w14:textId="77777777" w:rsidR="0014171C" w:rsidRPr="005C39EC" w:rsidRDefault="0014171C" w:rsidP="00BE7858">
            <w:pPr>
              <w:rPr>
                <w:rFonts w:ascii="Arial" w:hAnsi="Arial" w:cs="Arial"/>
                <w:lang w:eastAsia="en-AU"/>
              </w:rPr>
            </w:pPr>
            <w:r w:rsidRPr="005C39EC">
              <w:rPr>
                <w:rFonts w:ascii="Arial" w:hAnsi="Arial" w:cs="Arial"/>
                <w:lang w:eastAsia="en-AU"/>
              </w:rPr>
              <w:t>Cohort; ± atopic risk</w:t>
            </w:r>
          </w:p>
        </w:tc>
        <w:tc>
          <w:tcPr>
            <w:tcW w:w="716" w:type="dxa"/>
          </w:tcPr>
          <w:p w14:paraId="5BEF8E14" w14:textId="77777777" w:rsidR="0014171C" w:rsidRPr="005C39EC" w:rsidRDefault="0014171C" w:rsidP="00BE7858">
            <w:pPr>
              <w:rPr>
                <w:rFonts w:ascii="Arial" w:hAnsi="Arial" w:cs="Arial"/>
                <w:lang w:eastAsia="en-AU"/>
              </w:rPr>
            </w:pPr>
            <w:r w:rsidRPr="005C39EC">
              <w:rPr>
                <w:rFonts w:ascii="Arial" w:hAnsi="Arial" w:cs="Arial"/>
                <w:lang w:eastAsia="en-AU"/>
              </w:rPr>
              <w:t>3781</w:t>
            </w:r>
          </w:p>
        </w:tc>
        <w:tc>
          <w:tcPr>
            <w:tcW w:w="850" w:type="dxa"/>
          </w:tcPr>
          <w:p w14:paraId="102A7C39" w14:textId="77777777" w:rsidR="0014171C" w:rsidRPr="005C39EC" w:rsidRDefault="0014171C" w:rsidP="00BE7858">
            <w:pPr>
              <w:rPr>
                <w:rFonts w:ascii="Arial" w:hAnsi="Arial" w:cs="Arial"/>
                <w:lang w:eastAsia="en-AU"/>
              </w:rPr>
            </w:pPr>
            <w:r w:rsidRPr="005C39EC">
              <w:rPr>
                <w:rFonts w:ascii="Arial" w:hAnsi="Arial" w:cs="Arial"/>
                <w:lang w:eastAsia="en-AU"/>
              </w:rPr>
              <w:t>AS</w:t>
            </w:r>
          </w:p>
        </w:tc>
        <w:tc>
          <w:tcPr>
            <w:tcW w:w="851" w:type="dxa"/>
          </w:tcPr>
          <w:p w14:paraId="48EC50DA" w14:textId="77777777" w:rsidR="0014171C" w:rsidRPr="005C39EC" w:rsidRDefault="0014171C" w:rsidP="00BE7858">
            <w:pPr>
              <w:rPr>
                <w:rFonts w:ascii="Arial" w:hAnsi="Arial" w:cs="Arial"/>
                <w:lang w:eastAsia="en-AU"/>
              </w:rPr>
            </w:pPr>
            <w:r w:rsidRPr="005C39EC">
              <w:rPr>
                <w:rFonts w:ascii="Arial" w:hAnsi="Arial" w:cs="Arial"/>
                <w:lang w:eastAsia="en-AU"/>
              </w:rPr>
              <w:t>5 yr</w:t>
            </w:r>
          </w:p>
        </w:tc>
        <w:tc>
          <w:tcPr>
            <w:tcW w:w="3388" w:type="dxa"/>
          </w:tcPr>
          <w:p w14:paraId="2CE6933D" w14:textId="77777777" w:rsidR="0014171C" w:rsidRPr="005C39EC" w:rsidRDefault="0014171C" w:rsidP="00BE7858">
            <w:pPr>
              <w:rPr>
                <w:rFonts w:ascii="Arial" w:hAnsi="Arial" w:cs="Arial"/>
                <w:lang w:eastAsia="en-AU"/>
              </w:rPr>
            </w:pPr>
            <w:r w:rsidRPr="005C39EC">
              <w:rPr>
                <w:rFonts w:ascii="Arial" w:hAnsi="Arial" w:cs="Arial"/>
                <w:lang w:eastAsia="en-AU"/>
              </w:rPr>
              <w:t xml:space="preserve">Various foods at 3–11 </w:t>
            </w:r>
            <w:proofErr w:type="gramStart"/>
            <w:r w:rsidRPr="005C39EC">
              <w:rPr>
                <w:rFonts w:ascii="Arial" w:hAnsi="Arial" w:cs="Arial"/>
                <w:lang w:eastAsia="en-AU"/>
              </w:rPr>
              <w:t>mo</w:t>
            </w:r>
            <w:proofErr w:type="gramEnd"/>
            <w:r w:rsidRPr="005C39EC">
              <w:rPr>
                <w:rFonts w:ascii="Arial" w:hAnsi="Arial" w:cs="Arial"/>
                <w:lang w:eastAsia="en-AU"/>
              </w:rPr>
              <w:t xml:space="preserve"> to EBF, BF and FF infants.</w:t>
            </w:r>
          </w:p>
        </w:tc>
        <w:tc>
          <w:tcPr>
            <w:tcW w:w="4251" w:type="dxa"/>
            <w:gridSpan w:val="2"/>
          </w:tcPr>
          <w:p w14:paraId="24AB4F0C" w14:textId="77777777" w:rsidR="0014171C" w:rsidRPr="005C39EC" w:rsidRDefault="0014171C" w:rsidP="00BE7858">
            <w:pPr>
              <w:rPr>
                <w:rFonts w:ascii="Arial" w:hAnsi="Arial" w:cs="Arial"/>
                <w:lang w:eastAsia="en-AU"/>
              </w:rPr>
            </w:pPr>
            <w:r w:rsidRPr="005C39EC">
              <w:rPr>
                <w:rFonts w:ascii="Arial" w:hAnsi="Arial" w:cs="Arial"/>
                <w:lang w:eastAsia="en-AU"/>
              </w:rPr>
              <w:t>Early introduction (time specific to each food) decreases risk of AS</w:t>
            </w:r>
          </w:p>
        </w:tc>
        <w:tc>
          <w:tcPr>
            <w:tcW w:w="280" w:type="dxa"/>
            <w:gridSpan w:val="2"/>
            <w:vAlign w:val="center"/>
          </w:tcPr>
          <w:p w14:paraId="5B044890" w14:textId="77777777" w:rsidR="0014171C" w:rsidRPr="005C39EC" w:rsidRDefault="0014171C" w:rsidP="00BE7858">
            <w:pPr>
              <w:rPr>
                <w:rFonts w:ascii="Arial" w:hAnsi="Arial" w:cs="Arial"/>
                <w:lang w:eastAsia="en-AU"/>
              </w:rPr>
            </w:pPr>
          </w:p>
        </w:tc>
        <w:tc>
          <w:tcPr>
            <w:tcW w:w="290" w:type="dxa"/>
            <w:gridSpan w:val="2"/>
            <w:shd w:val="clear" w:color="auto" w:fill="FFFFFF" w:themeFill="background1"/>
            <w:vAlign w:val="center"/>
          </w:tcPr>
          <w:p w14:paraId="4E60A7E9" w14:textId="77777777" w:rsidR="0014171C" w:rsidRPr="005C39EC" w:rsidRDefault="0014171C" w:rsidP="00BE7858">
            <w:pPr>
              <w:rPr>
                <w:rFonts w:ascii="Arial" w:hAnsi="Arial" w:cs="Arial"/>
                <w:lang w:eastAsia="en-AU"/>
              </w:rPr>
            </w:pPr>
          </w:p>
        </w:tc>
        <w:tc>
          <w:tcPr>
            <w:tcW w:w="287" w:type="dxa"/>
            <w:vAlign w:val="center"/>
          </w:tcPr>
          <w:p w14:paraId="6D166930" w14:textId="77777777" w:rsidR="0014171C" w:rsidRPr="005C39EC" w:rsidRDefault="0014171C" w:rsidP="00BE7858">
            <w:pPr>
              <w:rPr>
                <w:rFonts w:ascii="Arial" w:hAnsi="Arial" w:cs="Arial"/>
                <w:lang w:eastAsia="en-AU"/>
              </w:rPr>
            </w:pPr>
          </w:p>
        </w:tc>
        <w:tc>
          <w:tcPr>
            <w:tcW w:w="284" w:type="dxa"/>
            <w:vAlign w:val="center"/>
          </w:tcPr>
          <w:p w14:paraId="0FCE4496" w14:textId="77777777" w:rsidR="0014171C" w:rsidRPr="005C39EC" w:rsidRDefault="0014171C" w:rsidP="00BE7858">
            <w:pPr>
              <w:rPr>
                <w:rFonts w:ascii="Arial" w:hAnsi="Arial" w:cs="Arial"/>
                <w:lang w:eastAsia="en-AU"/>
              </w:rPr>
            </w:pPr>
          </w:p>
        </w:tc>
        <w:tc>
          <w:tcPr>
            <w:tcW w:w="285" w:type="dxa"/>
            <w:shd w:val="clear" w:color="auto" w:fill="auto"/>
            <w:vAlign w:val="center"/>
          </w:tcPr>
          <w:p w14:paraId="7729E290" w14:textId="77777777" w:rsidR="0014171C" w:rsidRPr="005C39EC" w:rsidRDefault="0014171C" w:rsidP="00BE7858">
            <w:pPr>
              <w:rPr>
                <w:rFonts w:ascii="Arial" w:hAnsi="Arial" w:cs="Arial"/>
                <w:lang w:eastAsia="en-AU"/>
              </w:rPr>
            </w:pPr>
          </w:p>
        </w:tc>
      </w:tr>
      <w:tr w:rsidR="0014171C" w:rsidRPr="005C39EC" w14:paraId="255A7E7A" w14:textId="77777777" w:rsidTr="002609FD">
        <w:tc>
          <w:tcPr>
            <w:tcW w:w="1526" w:type="dxa"/>
          </w:tcPr>
          <w:p w14:paraId="33C65FDE" w14:textId="77777777" w:rsidR="0014171C" w:rsidRPr="005C39EC" w:rsidRDefault="0014171C" w:rsidP="00BE7858">
            <w:pPr>
              <w:rPr>
                <w:rFonts w:ascii="Arial" w:hAnsi="Arial" w:cs="Arial"/>
                <w:lang w:eastAsia="en-AU"/>
              </w:rPr>
            </w:pPr>
            <w:r w:rsidRPr="005C39EC">
              <w:rPr>
                <w:rFonts w:ascii="Arial" w:hAnsi="Arial" w:cs="Arial"/>
                <w:lang w:eastAsia="en-AU"/>
              </w:rPr>
              <w:t>2013Frederiksen</w:t>
            </w:r>
          </w:p>
          <w:p w14:paraId="5C58A6CE" w14:textId="77777777" w:rsidR="0014171C" w:rsidRPr="005C39EC" w:rsidRDefault="0014171C" w:rsidP="00BE7858">
            <w:pPr>
              <w:rPr>
                <w:rFonts w:ascii="Arial" w:hAnsi="Arial" w:cs="Arial"/>
                <w:lang w:eastAsia="en-AU"/>
              </w:rPr>
            </w:pPr>
            <w:r w:rsidRPr="005C39EC">
              <w:rPr>
                <w:rFonts w:ascii="Arial" w:hAnsi="Arial" w:cs="Arial"/>
                <w:lang w:eastAsia="en-AU"/>
              </w:rPr>
              <w:t>(USA)</w:t>
            </w:r>
          </w:p>
        </w:tc>
        <w:tc>
          <w:tcPr>
            <w:tcW w:w="1559" w:type="dxa"/>
          </w:tcPr>
          <w:p w14:paraId="500420E6" w14:textId="77777777" w:rsidR="0014171C" w:rsidRPr="005C39EC" w:rsidRDefault="0014171C" w:rsidP="00BE7858">
            <w:pPr>
              <w:rPr>
                <w:rFonts w:ascii="Arial" w:hAnsi="Arial" w:cs="Arial"/>
                <w:lang w:eastAsia="en-AU"/>
              </w:rPr>
            </w:pPr>
            <w:r w:rsidRPr="005C39EC">
              <w:rPr>
                <w:rFonts w:ascii="Arial" w:hAnsi="Arial" w:cs="Arial"/>
                <w:lang w:eastAsia="en-AU"/>
              </w:rPr>
              <w:t>Cohort; at-risk for T1DM</w:t>
            </w:r>
          </w:p>
        </w:tc>
        <w:tc>
          <w:tcPr>
            <w:tcW w:w="716" w:type="dxa"/>
          </w:tcPr>
          <w:p w14:paraId="496EFF41" w14:textId="77777777" w:rsidR="0014171C" w:rsidRPr="005C39EC" w:rsidRDefault="0014171C" w:rsidP="00BE7858">
            <w:pPr>
              <w:rPr>
                <w:rFonts w:ascii="Arial" w:hAnsi="Arial" w:cs="Arial"/>
                <w:lang w:eastAsia="en-AU"/>
              </w:rPr>
            </w:pPr>
            <w:r w:rsidRPr="005C39EC">
              <w:rPr>
                <w:rFonts w:ascii="Arial" w:hAnsi="Arial" w:cs="Arial"/>
                <w:lang w:eastAsia="en-AU"/>
              </w:rPr>
              <w:t>1835</w:t>
            </w:r>
          </w:p>
        </w:tc>
        <w:tc>
          <w:tcPr>
            <w:tcW w:w="850" w:type="dxa"/>
          </w:tcPr>
          <w:p w14:paraId="42434970" w14:textId="77777777" w:rsidR="0014171C" w:rsidRPr="005C39EC" w:rsidRDefault="0014171C" w:rsidP="00BE7858">
            <w:pPr>
              <w:rPr>
                <w:rFonts w:ascii="Arial" w:hAnsi="Arial" w:cs="Arial"/>
                <w:lang w:eastAsia="en-AU"/>
              </w:rPr>
            </w:pPr>
            <w:r w:rsidRPr="005C39EC">
              <w:rPr>
                <w:rFonts w:ascii="Arial" w:hAnsi="Arial" w:cs="Arial"/>
                <w:lang w:eastAsia="en-AU"/>
              </w:rPr>
              <w:t>D</w:t>
            </w:r>
          </w:p>
        </w:tc>
        <w:tc>
          <w:tcPr>
            <w:tcW w:w="851" w:type="dxa"/>
          </w:tcPr>
          <w:p w14:paraId="2A652BF3" w14:textId="77777777" w:rsidR="0014171C" w:rsidRPr="005C39EC" w:rsidRDefault="0014171C" w:rsidP="00BE7858">
            <w:pPr>
              <w:rPr>
                <w:rFonts w:ascii="Arial" w:hAnsi="Arial" w:cs="Arial"/>
                <w:lang w:eastAsia="en-AU"/>
              </w:rPr>
            </w:pPr>
            <w:r w:rsidRPr="005C39EC">
              <w:rPr>
                <w:rFonts w:ascii="Arial" w:hAnsi="Arial" w:cs="Arial"/>
                <w:lang w:eastAsia="en-AU"/>
              </w:rPr>
              <w:t>From 9 months</w:t>
            </w:r>
          </w:p>
        </w:tc>
        <w:tc>
          <w:tcPr>
            <w:tcW w:w="3388" w:type="dxa"/>
          </w:tcPr>
          <w:p w14:paraId="0653D017" w14:textId="77777777" w:rsidR="0014171C" w:rsidRPr="005C39EC" w:rsidRDefault="0014171C" w:rsidP="00BE7858">
            <w:pPr>
              <w:rPr>
                <w:rFonts w:ascii="Arial" w:hAnsi="Arial" w:cs="Arial"/>
                <w:lang w:eastAsia="en-AU"/>
              </w:rPr>
            </w:pPr>
            <w:r w:rsidRPr="005C39EC">
              <w:rPr>
                <w:rFonts w:ascii="Arial" w:hAnsi="Arial" w:cs="Arial"/>
                <w:lang w:eastAsia="en-AU"/>
              </w:rPr>
              <w:t>Various foods introduced at &lt;4 months and ≥6 months</w:t>
            </w:r>
          </w:p>
        </w:tc>
        <w:tc>
          <w:tcPr>
            <w:tcW w:w="4251" w:type="dxa"/>
            <w:gridSpan w:val="2"/>
          </w:tcPr>
          <w:p w14:paraId="5862A86B" w14:textId="40D2D128" w:rsidR="0014171C" w:rsidRPr="005C39EC" w:rsidRDefault="0014171C" w:rsidP="00BE7858">
            <w:pPr>
              <w:rPr>
                <w:rFonts w:ascii="Arial" w:hAnsi="Arial" w:cs="Arial"/>
                <w:lang w:eastAsia="en-AU"/>
              </w:rPr>
            </w:pPr>
            <w:r w:rsidRPr="005C39EC">
              <w:rPr>
                <w:rFonts w:ascii="Arial" w:hAnsi="Arial" w:cs="Arial"/>
                <w:lang w:eastAsia="en-AU"/>
              </w:rPr>
              <w:t>Risk of T1DM was increased at early (&lt;4 months) or late (≥6 months) exposure times</w:t>
            </w:r>
            <w:r w:rsidR="00F37DDB" w:rsidRPr="005C39EC">
              <w:rPr>
                <w:rFonts w:ascii="Arial" w:hAnsi="Arial" w:cs="Arial"/>
                <w:lang w:eastAsia="en-AU"/>
              </w:rPr>
              <w:t xml:space="preserve"> </w:t>
            </w:r>
            <w:r w:rsidRPr="005C39EC">
              <w:rPr>
                <w:rFonts w:ascii="Arial" w:hAnsi="Arial" w:cs="Arial"/>
                <w:lang w:eastAsia="en-AU"/>
              </w:rPr>
              <w:t>compared to 4-5 months</w:t>
            </w:r>
          </w:p>
        </w:tc>
        <w:tc>
          <w:tcPr>
            <w:tcW w:w="280" w:type="dxa"/>
            <w:gridSpan w:val="2"/>
            <w:vAlign w:val="center"/>
          </w:tcPr>
          <w:p w14:paraId="5BE3F533" w14:textId="77777777" w:rsidR="0014171C" w:rsidRPr="005C39EC" w:rsidRDefault="0014171C" w:rsidP="00BE7858">
            <w:pPr>
              <w:rPr>
                <w:rFonts w:ascii="Arial" w:hAnsi="Arial" w:cs="Arial"/>
                <w:lang w:eastAsia="en-AU"/>
              </w:rPr>
            </w:pPr>
          </w:p>
        </w:tc>
        <w:tc>
          <w:tcPr>
            <w:tcW w:w="290" w:type="dxa"/>
            <w:gridSpan w:val="2"/>
            <w:shd w:val="clear" w:color="auto" w:fill="FFFFFF" w:themeFill="background1"/>
            <w:vAlign w:val="center"/>
          </w:tcPr>
          <w:p w14:paraId="534287AF" w14:textId="77777777" w:rsidR="0014171C" w:rsidRPr="005C39EC" w:rsidRDefault="0014171C" w:rsidP="00BE7858">
            <w:pPr>
              <w:rPr>
                <w:rFonts w:ascii="Arial" w:hAnsi="Arial" w:cs="Arial"/>
                <w:lang w:eastAsia="en-AU"/>
              </w:rPr>
            </w:pPr>
          </w:p>
        </w:tc>
        <w:tc>
          <w:tcPr>
            <w:tcW w:w="287" w:type="dxa"/>
            <w:vAlign w:val="center"/>
          </w:tcPr>
          <w:p w14:paraId="3A5C1C77" w14:textId="77777777" w:rsidR="0014171C" w:rsidRPr="005C39EC" w:rsidRDefault="0014171C" w:rsidP="00BE7858">
            <w:pPr>
              <w:rPr>
                <w:rFonts w:ascii="Arial" w:hAnsi="Arial" w:cs="Arial"/>
                <w:lang w:eastAsia="en-AU"/>
              </w:rPr>
            </w:pPr>
          </w:p>
        </w:tc>
        <w:tc>
          <w:tcPr>
            <w:tcW w:w="284" w:type="dxa"/>
            <w:vAlign w:val="center"/>
          </w:tcPr>
          <w:p w14:paraId="7ABCDD8A" w14:textId="77777777" w:rsidR="0014171C" w:rsidRPr="005C39EC" w:rsidRDefault="0014171C" w:rsidP="00BE7858">
            <w:pPr>
              <w:rPr>
                <w:rFonts w:ascii="Arial" w:hAnsi="Arial" w:cs="Arial"/>
                <w:lang w:eastAsia="en-AU"/>
              </w:rPr>
            </w:pPr>
          </w:p>
        </w:tc>
        <w:tc>
          <w:tcPr>
            <w:tcW w:w="285" w:type="dxa"/>
            <w:shd w:val="clear" w:color="auto" w:fill="auto"/>
            <w:vAlign w:val="center"/>
          </w:tcPr>
          <w:p w14:paraId="3A8BEEF2" w14:textId="77777777" w:rsidR="0014171C" w:rsidRPr="005C39EC" w:rsidRDefault="0014171C" w:rsidP="00BE7858">
            <w:pPr>
              <w:rPr>
                <w:rFonts w:ascii="Arial" w:hAnsi="Arial" w:cs="Arial"/>
                <w:lang w:eastAsia="en-AU"/>
              </w:rPr>
            </w:pPr>
          </w:p>
        </w:tc>
      </w:tr>
      <w:tr w:rsidR="0014171C" w:rsidRPr="005C39EC" w14:paraId="1BA800C5" w14:textId="77777777" w:rsidTr="002609FD">
        <w:tc>
          <w:tcPr>
            <w:tcW w:w="1526" w:type="dxa"/>
          </w:tcPr>
          <w:p w14:paraId="1BB2C984"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2013 Palmer </w:t>
            </w:r>
          </w:p>
          <w:p w14:paraId="34E99376" w14:textId="77777777" w:rsidR="0014171C" w:rsidRPr="005C39EC" w:rsidRDefault="0014171C" w:rsidP="00BE7858">
            <w:pPr>
              <w:rPr>
                <w:rFonts w:ascii="Arial" w:hAnsi="Arial" w:cs="Arial"/>
                <w:lang w:eastAsia="en-AU"/>
              </w:rPr>
            </w:pPr>
            <w:r w:rsidRPr="005C39EC">
              <w:rPr>
                <w:rFonts w:ascii="Arial" w:hAnsi="Arial" w:cs="Arial"/>
                <w:lang w:eastAsia="en-AU"/>
              </w:rPr>
              <w:t>(Australia)</w:t>
            </w:r>
          </w:p>
        </w:tc>
        <w:tc>
          <w:tcPr>
            <w:tcW w:w="1559" w:type="dxa"/>
          </w:tcPr>
          <w:p w14:paraId="7FCAECC8" w14:textId="77777777" w:rsidR="0014171C" w:rsidRPr="005C39EC" w:rsidRDefault="0014171C" w:rsidP="00BE7858">
            <w:pPr>
              <w:rPr>
                <w:rFonts w:ascii="Arial" w:hAnsi="Arial" w:cs="Arial"/>
                <w:lang w:eastAsia="en-AU"/>
              </w:rPr>
            </w:pPr>
            <w:r w:rsidRPr="005C39EC">
              <w:rPr>
                <w:rFonts w:ascii="Arial" w:hAnsi="Arial" w:cs="Arial"/>
                <w:lang w:eastAsia="en-AU"/>
              </w:rPr>
              <w:t>RCT; with mild-severe eczema</w:t>
            </w:r>
          </w:p>
        </w:tc>
        <w:tc>
          <w:tcPr>
            <w:tcW w:w="716" w:type="dxa"/>
          </w:tcPr>
          <w:p w14:paraId="26EAA979" w14:textId="77777777" w:rsidR="0014171C" w:rsidRPr="005C39EC" w:rsidRDefault="0014171C" w:rsidP="00BE7858">
            <w:pPr>
              <w:rPr>
                <w:rFonts w:ascii="Arial" w:hAnsi="Arial" w:cs="Arial"/>
                <w:lang w:eastAsia="en-AU"/>
              </w:rPr>
            </w:pPr>
            <w:r w:rsidRPr="005C39EC">
              <w:rPr>
                <w:rFonts w:ascii="Arial" w:hAnsi="Arial" w:cs="Arial"/>
                <w:lang w:eastAsia="en-AU"/>
              </w:rPr>
              <w:t>86</w:t>
            </w:r>
          </w:p>
        </w:tc>
        <w:tc>
          <w:tcPr>
            <w:tcW w:w="850" w:type="dxa"/>
          </w:tcPr>
          <w:p w14:paraId="13744154" w14:textId="77777777" w:rsidR="0014171C" w:rsidRPr="005C39EC" w:rsidRDefault="0014171C" w:rsidP="00BE7858">
            <w:pPr>
              <w:rPr>
                <w:rFonts w:ascii="Arial" w:hAnsi="Arial" w:cs="Arial"/>
                <w:lang w:eastAsia="en-AU"/>
              </w:rPr>
            </w:pPr>
            <w:r w:rsidRPr="005C39EC">
              <w:rPr>
                <w:rFonts w:ascii="Arial" w:hAnsi="Arial" w:cs="Arial"/>
                <w:lang w:eastAsia="en-AU"/>
              </w:rPr>
              <w:t>FA</w:t>
            </w:r>
          </w:p>
        </w:tc>
        <w:tc>
          <w:tcPr>
            <w:tcW w:w="851" w:type="dxa"/>
          </w:tcPr>
          <w:p w14:paraId="6DFAFA18" w14:textId="77777777" w:rsidR="0014171C" w:rsidRPr="005C39EC" w:rsidRDefault="0014171C" w:rsidP="00BE7858">
            <w:pPr>
              <w:rPr>
                <w:rFonts w:ascii="Arial" w:hAnsi="Arial" w:cs="Arial"/>
                <w:lang w:eastAsia="en-AU"/>
              </w:rPr>
            </w:pPr>
            <w:r w:rsidRPr="005C39EC">
              <w:rPr>
                <w:rFonts w:ascii="Arial" w:hAnsi="Arial" w:cs="Arial"/>
                <w:lang w:eastAsia="en-AU"/>
              </w:rPr>
              <w:t>8 &amp; 12 mo</w:t>
            </w:r>
          </w:p>
        </w:tc>
        <w:tc>
          <w:tcPr>
            <w:tcW w:w="3388" w:type="dxa"/>
          </w:tcPr>
          <w:p w14:paraId="50596EF7" w14:textId="77777777" w:rsidR="0014171C" w:rsidRPr="005C39EC" w:rsidRDefault="0014171C" w:rsidP="00BE7858">
            <w:pPr>
              <w:rPr>
                <w:rFonts w:ascii="Arial" w:hAnsi="Arial" w:cs="Arial"/>
                <w:lang w:eastAsia="en-AU"/>
              </w:rPr>
            </w:pPr>
            <w:r w:rsidRPr="005C39EC">
              <w:rPr>
                <w:rFonts w:ascii="Arial" w:hAnsi="Arial" w:cs="Arial"/>
                <w:lang w:eastAsia="en-AU"/>
              </w:rPr>
              <w:t xml:space="preserve">Daily egg powder compared to rice powder fed between 4–8 months </w:t>
            </w:r>
          </w:p>
        </w:tc>
        <w:tc>
          <w:tcPr>
            <w:tcW w:w="4251" w:type="dxa"/>
            <w:gridSpan w:val="2"/>
          </w:tcPr>
          <w:p w14:paraId="1202EA80" w14:textId="77777777" w:rsidR="0014171C" w:rsidRPr="005C39EC" w:rsidRDefault="0014171C" w:rsidP="00BE7858">
            <w:pPr>
              <w:rPr>
                <w:rFonts w:ascii="Arial" w:hAnsi="Arial" w:cs="Arial"/>
                <w:lang w:eastAsia="en-AU"/>
              </w:rPr>
            </w:pPr>
            <w:r w:rsidRPr="005C39EC">
              <w:rPr>
                <w:rFonts w:ascii="Arial" w:hAnsi="Arial" w:cs="Arial"/>
                <w:lang w:eastAsia="en-AU"/>
              </w:rPr>
              <w:t>Incidence of egg allergy lower with egg exposure from 4 months compared to 8 months.</w:t>
            </w:r>
          </w:p>
        </w:tc>
        <w:tc>
          <w:tcPr>
            <w:tcW w:w="280" w:type="dxa"/>
            <w:gridSpan w:val="2"/>
            <w:vAlign w:val="center"/>
          </w:tcPr>
          <w:p w14:paraId="14EAF224" w14:textId="77777777" w:rsidR="0014171C" w:rsidRPr="005C39EC" w:rsidRDefault="0014171C" w:rsidP="00BE7858">
            <w:pPr>
              <w:rPr>
                <w:rFonts w:ascii="Arial" w:hAnsi="Arial" w:cs="Arial"/>
                <w:lang w:eastAsia="en-AU"/>
              </w:rPr>
            </w:pPr>
          </w:p>
        </w:tc>
        <w:tc>
          <w:tcPr>
            <w:tcW w:w="290" w:type="dxa"/>
            <w:gridSpan w:val="2"/>
            <w:shd w:val="clear" w:color="auto" w:fill="FFFFFF" w:themeFill="background1"/>
            <w:vAlign w:val="center"/>
          </w:tcPr>
          <w:p w14:paraId="1458070D" w14:textId="77777777" w:rsidR="0014171C" w:rsidRPr="005C39EC" w:rsidRDefault="0014171C" w:rsidP="00BE7858">
            <w:pPr>
              <w:rPr>
                <w:rFonts w:ascii="Arial" w:hAnsi="Arial" w:cs="Arial"/>
                <w:lang w:eastAsia="en-AU"/>
              </w:rPr>
            </w:pPr>
          </w:p>
        </w:tc>
        <w:tc>
          <w:tcPr>
            <w:tcW w:w="287" w:type="dxa"/>
            <w:vAlign w:val="center"/>
          </w:tcPr>
          <w:p w14:paraId="10134B80" w14:textId="77777777" w:rsidR="0014171C" w:rsidRPr="005C39EC" w:rsidRDefault="0014171C" w:rsidP="00BE7858">
            <w:pPr>
              <w:rPr>
                <w:rFonts w:ascii="Arial" w:hAnsi="Arial" w:cs="Arial"/>
                <w:lang w:eastAsia="en-AU"/>
              </w:rPr>
            </w:pPr>
          </w:p>
        </w:tc>
        <w:tc>
          <w:tcPr>
            <w:tcW w:w="284" w:type="dxa"/>
            <w:vAlign w:val="center"/>
          </w:tcPr>
          <w:p w14:paraId="4F4435CE" w14:textId="77777777" w:rsidR="0014171C" w:rsidRPr="005C39EC" w:rsidRDefault="0014171C" w:rsidP="00BE7858">
            <w:pPr>
              <w:rPr>
                <w:rFonts w:ascii="Arial" w:hAnsi="Arial" w:cs="Arial"/>
                <w:lang w:eastAsia="en-AU"/>
              </w:rPr>
            </w:pPr>
          </w:p>
        </w:tc>
        <w:tc>
          <w:tcPr>
            <w:tcW w:w="285" w:type="dxa"/>
            <w:shd w:val="clear" w:color="auto" w:fill="auto"/>
            <w:vAlign w:val="center"/>
          </w:tcPr>
          <w:p w14:paraId="06D1048B" w14:textId="77777777" w:rsidR="0014171C" w:rsidRPr="005C39EC" w:rsidRDefault="0014171C" w:rsidP="00BE7858">
            <w:pPr>
              <w:rPr>
                <w:rFonts w:ascii="Arial" w:hAnsi="Arial" w:cs="Arial"/>
                <w:lang w:eastAsia="en-AU"/>
              </w:rPr>
            </w:pPr>
          </w:p>
        </w:tc>
      </w:tr>
      <w:tr w:rsidR="0014171C" w:rsidRPr="005C39EC" w14:paraId="7F21B160" w14:textId="77777777" w:rsidTr="002609FD">
        <w:tc>
          <w:tcPr>
            <w:tcW w:w="14567" w:type="dxa"/>
            <w:gridSpan w:val="15"/>
            <w:shd w:val="clear" w:color="auto" w:fill="D9D9D9" w:themeFill="background1" w:themeFillShade="D9"/>
            <w:vAlign w:val="center"/>
          </w:tcPr>
          <w:p w14:paraId="173248DB" w14:textId="77777777" w:rsidR="0014171C" w:rsidRPr="005C39EC" w:rsidRDefault="0014171C" w:rsidP="00BE7858">
            <w:pPr>
              <w:ind w:right="176"/>
              <w:rPr>
                <w:rFonts w:ascii="Arial" w:hAnsi="Arial" w:cs="Arial"/>
                <w:lang w:eastAsia="en-AU"/>
              </w:rPr>
            </w:pPr>
            <w:r w:rsidRPr="005C39EC">
              <w:rPr>
                <w:rFonts w:ascii="Arial" w:hAnsi="Arial" w:cs="Arial"/>
                <w:lang w:eastAsia="en-AU"/>
              </w:rPr>
              <w:t xml:space="preserve">Evidence or age range for solid food introduction not applicable to P274 assessment </w:t>
            </w:r>
          </w:p>
        </w:tc>
      </w:tr>
      <w:tr w:rsidR="0014171C" w:rsidRPr="005C39EC" w14:paraId="119766CB" w14:textId="77777777" w:rsidTr="002609FD">
        <w:tc>
          <w:tcPr>
            <w:tcW w:w="1526" w:type="dxa"/>
          </w:tcPr>
          <w:p w14:paraId="4A9EBC71"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2006 Kull </w:t>
            </w:r>
          </w:p>
          <w:p w14:paraId="46B00B99" w14:textId="77777777" w:rsidR="0014171C" w:rsidRPr="005C39EC" w:rsidRDefault="0014171C" w:rsidP="00BE7858">
            <w:pPr>
              <w:rPr>
                <w:rFonts w:ascii="Arial" w:hAnsi="Arial" w:cs="Arial"/>
                <w:lang w:eastAsia="en-AU"/>
              </w:rPr>
            </w:pPr>
            <w:r w:rsidRPr="005C39EC">
              <w:rPr>
                <w:rFonts w:ascii="Arial" w:hAnsi="Arial" w:cs="Arial"/>
                <w:lang w:eastAsia="en-AU"/>
              </w:rPr>
              <w:t>(Sweden)</w:t>
            </w:r>
          </w:p>
        </w:tc>
        <w:tc>
          <w:tcPr>
            <w:tcW w:w="1559" w:type="dxa"/>
          </w:tcPr>
          <w:p w14:paraId="6AB9D089" w14:textId="77777777" w:rsidR="0014171C" w:rsidRPr="005C39EC" w:rsidRDefault="0014171C" w:rsidP="00BE7858">
            <w:pPr>
              <w:rPr>
                <w:rFonts w:ascii="Arial" w:hAnsi="Arial" w:cs="Arial"/>
                <w:lang w:eastAsia="en-AU"/>
              </w:rPr>
            </w:pPr>
            <w:r w:rsidRPr="005C39EC">
              <w:rPr>
                <w:rFonts w:ascii="Arial" w:hAnsi="Arial" w:cs="Arial"/>
                <w:lang w:eastAsia="en-AU"/>
              </w:rPr>
              <w:t>Cohort; Normal allergy risk</w:t>
            </w:r>
          </w:p>
        </w:tc>
        <w:tc>
          <w:tcPr>
            <w:tcW w:w="716" w:type="dxa"/>
          </w:tcPr>
          <w:p w14:paraId="7581FD72" w14:textId="77777777" w:rsidR="0014171C" w:rsidRPr="005C39EC" w:rsidRDefault="0014171C" w:rsidP="00BE7858">
            <w:pPr>
              <w:rPr>
                <w:rFonts w:ascii="Arial" w:hAnsi="Arial" w:cs="Arial"/>
                <w:lang w:eastAsia="en-AU"/>
              </w:rPr>
            </w:pPr>
            <w:r w:rsidRPr="005C39EC">
              <w:rPr>
                <w:rFonts w:ascii="Arial" w:hAnsi="Arial" w:cs="Arial"/>
                <w:lang w:eastAsia="en-AU"/>
              </w:rPr>
              <w:t>2614</w:t>
            </w:r>
          </w:p>
        </w:tc>
        <w:tc>
          <w:tcPr>
            <w:tcW w:w="850" w:type="dxa"/>
          </w:tcPr>
          <w:p w14:paraId="16E4EAEA" w14:textId="77777777" w:rsidR="0014171C" w:rsidRPr="005C39EC" w:rsidRDefault="0014171C" w:rsidP="00BE7858">
            <w:pPr>
              <w:rPr>
                <w:rFonts w:ascii="Arial" w:hAnsi="Arial" w:cs="Arial"/>
                <w:lang w:eastAsia="en-AU"/>
              </w:rPr>
            </w:pPr>
            <w:r w:rsidRPr="005C39EC">
              <w:rPr>
                <w:rFonts w:ascii="Arial" w:hAnsi="Arial" w:cs="Arial"/>
                <w:lang w:eastAsia="en-AU"/>
              </w:rPr>
              <w:t>A, AR, AS, E</w:t>
            </w:r>
          </w:p>
        </w:tc>
        <w:tc>
          <w:tcPr>
            <w:tcW w:w="851" w:type="dxa"/>
          </w:tcPr>
          <w:p w14:paraId="6714C715" w14:textId="77777777" w:rsidR="0014171C" w:rsidRPr="005C39EC" w:rsidRDefault="0014171C" w:rsidP="00BE7858">
            <w:pPr>
              <w:rPr>
                <w:rFonts w:ascii="Arial" w:hAnsi="Arial" w:cs="Arial"/>
                <w:lang w:eastAsia="en-AU"/>
              </w:rPr>
            </w:pPr>
            <w:r w:rsidRPr="005C39EC">
              <w:rPr>
                <w:rFonts w:ascii="Arial" w:hAnsi="Arial" w:cs="Arial"/>
                <w:lang w:eastAsia="en-AU"/>
              </w:rPr>
              <w:t>4 yr</w:t>
            </w:r>
          </w:p>
        </w:tc>
        <w:tc>
          <w:tcPr>
            <w:tcW w:w="3388" w:type="dxa"/>
          </w:tcPr>
          <w:p w14:paraId="232653B0" w14:textId="77777777" w:rsidR="0014171C" w:rsidRPr="005C39EC" w:rsidRDefault="0014171C" w:rsidP="00BE7858">
            <w:pPr>
              <w:rPr>
                <w:rFonts w:ascii="Arial" w:hAnsi="Arial" w:cs="Arial"/>
                <w:lang w:eastAsia="en-AU"/>
              </w:rPr>
            </w:pPr>
            <w:r w:rsidRPr="005C39EC">
              <w:rPr>
                <w:rFonts w:ascii="Arial" w:hAnsi="Arial" w:cs="Arial"/>
                <w:lang w:eastAsia="en-AU"/>
              </w:rPr>
              <w:t>Fish at before 9 months (3– 8 months) compared to 9 mo</w:t>
            </w:r>
          </w:p>
        </w:tc>
        <w:tc>
          <w:tcPr>
            <w:tcW w:w="4259" w:type="dxa"/>
            <w:gridSpan w:val="3"/>
          </w:tcPr>
          <w:p w14:paraId="10653F5D" w14:textId="77777777" w:rsidR="0014171C" w:rsidRPr="005C39EC" w:rsidRDefault="0014171C" w:rsidP="00BE7858">
            <w:pPr>
              <w:rPr>
                <w:rFonts w:ascii="Arial" w:hAnsi="Arial" w:cs="Arial"/>
                <w:lang w:eastAsia="en-AU"/>
              </w:rPr>
            </w:pPr>
            <w:r w:rsidRPr="005C39EC">
              <w:rPr>
                <w:rFonts w:ascii="Arial" w:hAnsi="Arial" w:cs="Arial"/>
                <w:lang w:eastAsia="en-AU"/>
              </w:rPr>
              <w:t>3-8 mo group had reduced risk for A, E, AR, AS</w:t>
            </w:r>
          </w:p>
        </w:tc>
        <w:tc>
          <w:tcPr>
            <w:tcW w:w="284" w:type="dxa"/>
            <w:gridSpan w:val="2"/>
            <w:shd w:val="clear" w:color="auto" w:fill="DBE5F1" w:themeFill="accent1" w:themeFillTint="33"/>
            <w:vAlign w:val="center"/>
          </w:tcPr>
          <w:p w14:paraId="173C7DA6"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78" w:type="dxa"/>
            <w:shd w:val="clear" w:color="auto" w:fill="FFFFFF" w:themeFill="background1"/>
            <w:vAlign w:val="center"/>
          </w:tcPr>
          <w:p w14:paraId="06ACF8E3" w14:textId="77777777" w:rsidR="0014171C" w:rsidRPr="005C39EC" w:rsidRDefault="0014171C" w:rsidP="00BE7858">
            <w:pPr>
              <w:rPr>
                <w:rFonts w:ascii="Arial" w:hAnsi="Arial" w:cs="Arial"/>
                <w:lang w:eastAsia="en-AU"/>
              </w:rPr>
            </w:pPr>
          </w:p>
        </w:tc>
        <w:tc>
          <w:tcPr>
            <w:tcW w:w="287" w:type="dxa"/>
            <w:shd w:val="clear" w:color="auto" w:fill="DDD9C3" w:themeFill="background2" w:themeFillShade="E6"/>
            <w:vAlign w:val="center"/>
          </w:tcPr>
          <w:p w14:paraId="34D4DD0E"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c>
          <w:tcPr>
            <w:tcW w:w="284" w:type="dxa"/>
            <w:vAlign w:val="center"/>
          </w:tcPr>
          <w:p w14:paraId="65312B97" w14:textId="77777777" w:rsidR="0014171C" w:rsidRPr="005C39EC" w:rsidRDefault="0014171C" w:rsidP="00BE7858">
            <w:pPr>
              <w:ind w:right="-136"/>
              <w:rPr>
                <w:rFonts w:ascii="Arial" w:hAnsi="Arial" w:cs="Arial"/>
                <w:lang w:eastAsia="en-AU"/>
              </w:rPr>
            </w:pPr>
          </w:p>
        </w:tc>
        <w:tc>
          <w:tcPr>
            <w:tcW w:w="285" w:type="dxa"/>
            <w:shd w:val="clear" w:color="auto" w:fill="auto"/>
            <w:vAlign w:val="center"/>
          </w:tcPr>
          <w:p w14:paraId="2A6220F7" w14:textId="77777777" w:rsidR="0014171C" w:rsidRPr="005C39EC" w:rsidRDefault="0014171C" w:rsidP="00BE7858">
            <w:pPr>
              <w:rPr>
                <w:rFonts w:ascii="Arial" w:hAnsi="Arial" w:cs="Arial"/>
                <w:lang w:eastAsia="en-AU"/>
              </w:rPr>
            </w:pPr>
          </w:p>
        </w:tc>
      </w:tr>
      <w:tr w:rsidR="0014171C" w:rsidRPr="005C39EC" w14:paraId="477296E2" w14:textId="77777777" w:rsidTr="002609FD">
        <w:tc>
          <w:tcPr>
            <w:tcW w:w="1526" w:type="dxa"/>
          </w:tcPr>
          <w:p w14:paraId="784F4306"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2009 Alm </w:t>
            </w:r>
          </w:p>
          <w:p w14:paraId="13CB2FC0" w14:textId="77777777" w:rsidR="0014171C" w:rsidRPr="005C39EC" w:rsidRDefault="0014171C" w:rsidP="00BE7858">
            <w:pPr>
              <w:rPr>
                <w:rFonts w:ascii="Arial" w:hAnsi="Arial" w:cs="Arial"/>
                <w:lang w:eastAsia="en-AU"/>
              </w:rPr>
            </w:pPr>
            <w:r w:rsidRPr="005C39EC">
              <w:rPr>
                <w:rFonts w:ascii="Arial" w:hAnsi="Arial" w:cs="Arial"/>
                <w:lang w:eastAsia="en-AU"/>
              </w:rPr>
              <w:t>(Sweden)</w:t>
            </w:r>
          </w:p>
        </w:tc>
        <w:tc>
          <w:tcPr>
            <w:tcW w:w="1559" w:type="dxa"/>
          </w:tcPr>
          <w:p w14:paraId="74F381E2" w14:textId="77777777" w:rsidR="0014171C" w:rsidRPr="005C39EC" w:rsidRDefault="0014171C" w:rsidP="00BE7858">
            <w:pPr>
              <w:rPr>
                <w:rFonts w:ascii="Arial" w:hAnsi="Arial" w:cs="Arial"/>
                <w:lang w:eastAsia="en-AU"/>
              </w:rPr>
            </w:pPr>
            <w:r w:rsidRPr="005C39EC">
              <w:rPr>
                <w:rFonts w:ascii="Arial" w:hAnsi="Arial" w:cs="Arial"/>
                <w:lang w:eastAsia="en-AU"/>
              </w:rPr>
              <w:t>Cohort; Normal allergy risk</w:t>
            </w:r>
          </w:p>
        </w:tc>
        <w:tc>
          <w:tcPr>
            <w:tcW w:w="716" w:type="dxa"/>
          </w:tcPr>
          <w:p w14:paraId="3CCAB097" w14:textId="77777777" w:rsidR="0014171C" w:rsidRPr="005C39EC" w:rsidRDefault="0014171C" w:rsidP="00BE7858">
            <w:pPr>
              <w:rPr>
                <w:rFonts w:ascii="Arial" w:hAnsi="Arial" w:cs="Arial"/>
                <w:lang w:eastAsia="en-AU"/>
              </w:rPr>
            </w:pPr>
            <w:r w:rsidRPr="005C39EC">
              <w:rPr>
                <w:rFonts w:ascii="Arial" w:hAnsi="Arial" w:cs="Arial"/>
                <w:lang w:eastAsia="en-AU"/>
              </w:rPr>
              <w:t>4953</w:t>
            </w:r>
          </w:p>
        </w:tc>
        <w:tc>
          <w:tcPr>
            <w:tcW w:w="850" w:type="dxa"/>
          </w:tcPr>
          <w:p w14:paraId="46E56380" w14:textId="77777777" w:rsidR="0014171C" w:rsidRPr="005C39EC" w:rsidRDefault="0014171C" w:rsidP="00BE7858">
            <w:pPr>
              <w:rPr>
                <w:rFonts w:ascii="Arial" w:hAnsi="Arial" w:cs="Arial"/>
                <w:lang w:eastAsia="en-AU"/>
              </w:rPr>
            </w:pPr>
            <w:r w:rsidRPr="005C39EC">
              <w:rPr>
                <w:rFonts w:ascii="Arial" w:hAnsi="Arial" w:cs="Arial"/>
                <w:lang w:eastAsia="en-AU"/>
              </w:rPr>
              <w:t>E, FA</w:t>
            </w:r>
          </w:p>
        </w:tc>
        <w:tc>
          <w:tcPr>
            <w:tcW w:w="851" w:type="dxa"/>
          </w:tcPr>
          <w:p w14:paraId="69270CC0" w14:textId="77777777" w:rsidR="0014171C" w:rsidRPr="005C39EC" w:rsidRDefault="0014171C" w:rsidP="00BE7858">
            <w:pPr>
              <w:rPr>
                <w:rFonts w:ascii="Arial" w:hAnsi="Arial" w:cs="Arial"/>
                <w:lang w:eastAsia="en-AU"/>
              </w:rPr>
            </w:pPr>
            <w:r w:rsidRPr="005C39EC">
              <w:rPr>
                <w:rFonts w:ascii="Arial" w:hAnsi="Arial" w:cs="Arial"/>
                <w:lang w:eastAsia="en-AU"/>
              </w:rPr>
              <w:t>12 mo</w:t>
            </w:r>
          </w:p>
        </w:tc>
        <w:tc>
          <w:tcPr>
            <w:tcW w:w="3388" w:type="dxa"/>
          </w:tcPr>
          <w:p w14:paraId="1A210721" w14:textId="77777777" w:rsidR="0014171C" w:rsidRPr="005C39EC" w:rsidRDefault="0014171C" w:rsidP="00BE7858">
            <w:pPr>
              <w:rPr>
                <w:rFonts w:ascii="Arial" w:hAnsi="Arial" w:cs="Arial"/>
                <w:lang w:eastAsia="en-AU"/>
              </w:rPr>
            </w:pPr>
            <w:r w:rsidRPr="005C39EC">
              <w:rPr>
                <w:rFonts w:ascii="Arial" w:hAnsi="Arial" w:cs="Arial"/>
                <w:lang w:eastAsia="en-AU"/>
              </w:rPr>
              <w:t>Fish introduced before 9 mo compared to after 9 mo</w:t>
            </w:r>
          </w:p>
        </w:tc>
        <w:tc>
          <w:tcPr>
            <w:tcW w:w="4259" w:type="dxa"/>
            <w:gridSpan w:val="3"/>
          </w:tcPr>
          <w:p w14:paraId="001B4D9E" w14:textId="77777777" w:rsidR="0014171C" w:rsidRPr="005C39EC" w:rsidRDefault="0014171C" w:rsidP="00BE7858">
            <w:pPr>
              <w:rPr>
                <w:rFonts w:ascii="Arial" w:hAnsi="Arial" w:cs="Arial"/>
                <w:lang w:eastAsia="en-AU"/>
              </w:rPr>
            </w:pPr>
            <w:r w:rsidRPr="005C39EC">
              <w:rPr>
                <w:rFonts w:ascii="Arial" w:hAnsi="Arial" w:cs="Arial"/>
                <w:lang w:eastAsia="en-AU"/>
              </w:rPr>
              <w:t>Early introduction decreases risk of eczema</w:t>
            </w:r>
          </w:p>
        </w:tc>
        <w:tc>
          <w:tcPr>
            <w:tcW w:w="284" w:type="dxa"/>
            <w:gridSpan w:val="2"/>
            <w:vAlign w:val="center"/>
          </w:tcPr>
          <w:p w14:paraId="327D4498" w14:textId="77777777" w:rsidR="0014171C" w:rsidRPr="005C39EC" w:rsidRDefault="0014171C" w:rsidP="00BE7858">
            <w:pPr>
              <w:rPr>
                <w:rFonts w:ascii="Arial" w:hAnsi="Arial" w:cs="Arial"/>
                <w:lang w:eastAsia="en-AU"/>
              </w:rPr>
            </w:pPr>
          </w:p>
        </w:tc>
        <w:tc>
          <w:tcPr>
            <w:tcW w:w="278" w:type="dxa"/>
            <w:shd w:val="clear" w:color="auto" w:fill="FFFFFF" w:themeFill="background1"/>
            <w:vAlign w:val="center"/>
          </w:tcPr>
          <w:p w14:paraId="0ABD5CC8" w14:textId="77777777" w:rsidR="0014171C" w:rsidRPr="005C39EC" w:rsidRDefault="0014171C" w:rsidP="00BE7858">
            <w:pPr>
              <w:rPr>
                <w:rFonts w:ascii="Arial" w:hAnsi="Arial" w:cs="Arial"/>
                <w:lang w:eastAsia="en-AU"/>
              </w:rPr>
            </w:pPr>
          </w:p>
        </w:tc>
        <w:tc>
          <w:tcPr>
            <w:tcW w:w="287" w:type="dxa"/>
            <w:vAlign w:val="center"/>
          </w:tcPr>
          <w:p w14:paraId="1D9D1330" w14:textId="77777777" w:rsidR="0014171C" w:rsidRPr="005C39EC" w:rsidRDefault="0014171C" w:rsidP="00BE7858">
            <w:pPr>
              <w:rPr>
                <w:rFonts w:ascii="Arial" w:hAnsi="Arial" w:cs="Arial"/>
                <w:lang w:eastAsia="en-AU"/>
              </w:rPr>
            </w:pPr>
          </w:p>
        </w:tc>
        <w:tc>
          <w:tcPr>
            <w:tcW w:w="284" w:type="dxa"/>
            <w:vAlign w:val="center"/>
          </w:tcPr>
          <w:p w14:paraId="2DF5EA8F" w14:textId="77777777" w:rsidR="0014171C" w:rsidRPr="005C39EC" w:rsidRDefault="0014171C" w:rsidP="00BE7858">
            <w:pPr>
              <w:rPr>
                <w:rFonts w:ascii="Arial" w:hAnsi="Arial" w:cs="Arial"/>
                <w:lang w:eastAsia="en-AU"/>
              </w:rPr>
            </w:pPr>
          </w:p>
        </w:tc>
        <w:tc>
          <w:tcPr>
            <w:tcW w:w="285" w:type="dxa"/>
            <w:shd w:val="clear" w:color="auto" w:fill="EAF1DD" w:themeFill="accent3" w:themeFillTint="33"/>
            <w:vAlign w:val="center"/>
          </w:tcPr>
          <w:p w14:paraId="4E344CC9"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r>
      <w:tr w:rsidR="0014171C" w:rsidRPr="005C39EC" w14:paraId="38D4BCFA" w14:textId="77777777" w:rsidTr="002609FD">
        <w:tc>
          <w:tcPr>
            <w:tcW w:w="1526" w:type="dxa"/>
          </w:tcPr>
          <w:p w14:paraId="12132A1B" w14:textId="77777777" w:rsidR="0014171C" w:rsidRPr="005C39EC" w:rsidRDefault="0014171C" w:rsidP="00BE7858">
            <w:pPr>
              <w:rPr>
                <w:rFonts w:ascii="Arial" w:hAnsi="Arial" w:cs="Arial"/>
                <w:lang w:eastAsia="en-AU"/>
              </w:rPr>
            </w:pPr>
            <w:r w:rsidRPr="005C39EC">
              <w:rPr>
                <w:rFonts w:ascii="Arial" w:hAnsi="Arial" w:cs="Arial"/>
                <w:lang w:eastAsia="en-AU"/>
              </w:rPr>
              <w:t xml:space="preserve">2011 Joseph </w:t>
            </w:r>
          </w:p>
          <w:p w14:paraId="044304A9" w14:textId="77777777" w:rsidR="0014171C" w:rsidRPr="005C39EC" w:rsidRDefault="0014171C" w:rsidP="00BE7858">
            <w:pPr>
              <w:rPr>
                <w:rFonts w:ascii="Arial" w:hAnsi="Arial" w:cs="Arial"/>
                <w:lang w:eastAsia="en-AU"/>
              </w:rPr>
            </w:pPr>
            <w:r w:rsidRPr="005C39EC">
              <w:rPr>
                <w:rFonts w:ascii="Arial" w:hAnsi="Arial" w:cs="Arial"/>
                <w:lang w:eastAsia="en-AU"/>
              </w:rPr>
              <w:t>(USA)</w:t>
            </w:r>
          </w:p>
        </w:tc>
        <w:tc>
          <w:tcPr>
            <w:tcW w:w="1559" w:type="dxa"/>
          </w:tcPr>
          <w:p w14:paraId="1A167960" w14:textId="77777777" w:rsidR="0014171C" w:rsidRPr="005C39EC" w:rsidRDefault="0014171C" w:rsidP="00BE7858">
            <w:pPr>
              <w:rPr>
                <w:rFonts w:ascii="Arial" w:hAnsi="Arial" w:cs="Arial"/>
                <w:lang w:eastAsia="en-AU"/>
              </w:rPr>
            </w:pPr>
            <w:r w:rsidRPr="005C39EC">
              <w:rPr>
                <w:rFonts w:ascii="Arial" w:hAnsi="Arial" w:cs="Arial"/>
                <w:lang w:eastAsia="en-AU"/>
              </w:rPr>
              <w:t>Cohort; ± allergy risk</w:t>
            </w:r>
          </w:p>
        </w:tc>
        <w:tc>
          <w:tcPr>
            <w:tcW w:w="716" w:type="dxa"/>
          </w:tcPr>
          <w:p w14:paraId="6B3B1145" w14:textId="77777777" w:rsidR="0014171C" w:rsidRPr="005C39EC" w:rsidRDefault="0014171C" w:rsidP="00BE7858">
            <w:pPr>
              <w:rPr>
                <w:rFonts w:ascii="Arial" w:hAnsi="Arial" w:cs="Arial"/>
                <w:lang w:eastAsia="en-AU"/>
              </w:rPr>
            </w:pPr>
            <w:r w:rsidRPr="005C39EC">
              <w:rPr>
                <w:rFonts w:ascii="Arial" w:hAnsi="Arial" w:cs="Arial"/>
                <w:lang w:eastAsia="en-AU"/>
              </w:rPr>
              <w:t>594</w:t>
            </w:r>
          </w:p>
        </w:tc>
        <w:tc>
          <w:tcPr>
            <w:tcW w:w="850" w:type="dxa"/>
          </w:tcPr>
          <w:p w14:paraId="54126326" w14:textId="77777777" w:rsidR="0014171C" w:rsidRPr="005C39EC" w:rsidRDefault="0014171C" w:rsidP="00BE7858">
            <w:pPr>
              <w:rPr>
                <w:rFonts w:ascii="Arial" w:hAnsi="Arial" w:cs="Arial"/>
                <w:lang w:eastAsia="en-AU"/>
              </w:rPr>
            </w:pPr>
            <w:r w:rsidRPr="005C39EC">
              <w:rPr>
                <w:rFonts w:ascii="Arial" w:hAnsi="Arial" w:cs="Arial"/>
                <w:lang w:eastAsia="en-AU"/>
              </w:rPr>
              <w:t>AD, AS</w:t>
            </w:r>
          </w:p>
        </w:tc>
        <w:tc>
          <w:tcPr>
            <w:tcW w:w="851" w:type="dxa"/>
          </w:tcPr>
          <w:p w14:paraId="607295F9" w14:textId="77777777" w:rsidR="0014171C" w:rsidRPr="005C39EC" w:rsidRDefault="0014171C" w:rsidP="00BE7858">
            <w:pPr>
              <w:rPr>
                <w:rFonts w:ascii="Arial" w:hAnsi="Arial" w:cs="Arial"/>
                <w:lang w:eastAsia="en-AU"/>
              </w:rPr>
            </w:pPr>
            <w:r w:rsidRPr="005C39EC">
              <w:rPr>
                <w:rFonts w:ascii="Arial" w:hAnsi="Arial" w:cs="Arial"/>
                <w:lang w:eastAsia="en-AU"/>
              </w:rPr>
              <w:t>2 yr</w:t>
            </w:r>
          </w:p>
        </w:tc>
        <w:tc>
          <w:tcPr>
            <w:tcW w:w="3388" w:type="dxa"/>
          </w:tcPr>
          <w:p w14:paraId="26F06440" w14:textId="77777777" w:rsidR="0014171C" w:rsidRPr="005C39EC" w:rsidRDefault="0014171C" w:rsidP="00BE7858">
            <w:pPr>
              <w:rPr>
                <w:rFonts w:ascii="Arial" w:hAnsi="Arial" w:cs="Arial"/>
                <w:lang w:eastAsia="en-AU"/>
              </w:rPr>
            </w:pPr>
            <w:r w:rsidRPr="005C39EC">
              <w:rPr>
                <w:rFonts w:ascii="Arial" w:hAnsi="Arial" w:cs="Arial"/>
                <w:lang w:eastAsia="en-AU"/>
              </w:rPr>
              <w:t>Solid foods before 4 mo compared to after 4 mo</w:t>
            </w:r>
          </w:p>
        </w:tc>
        <w:tc>
          <w:tcPr>
            <w:tcW w:w="4259" w:type="dxa"/>
            <w:gridSpan w:val="3"/>
          </w:tcPr>
          <w:p w14:paraId="6F42A937" w14:textId="0CBDDDF7" w:rsidR="0014171C" w:rsidRPr="005C39EC" w:rsidRDefault="0014171C" w:rsidP="00BE7858">
            <w:pPr>
              <w:rPr>
                <w:rFonts w:ascii="Arial" w:hAnsi="Arial" w:cs="Arial"/>
                <w:lang w:eastAsia="en-AU"/>
              </w:rPr>
            </w:pPr>
            <w:r w:rsidRPr="005C39EC">
              <w:rPr>
                <w:rFonts w:ascii="Arial" w:hAnsi="Arial" w:cs="Arial"/>
                <w:lang w:eastAsia="en-AU"/>
              </w:rPr>
              <w:t>For infants with parental history of allergy, peanut sensitisation and possibly egg was reduced in infants exposed at</w:t>
            </w:r>
            <w:r w:rsidR="00F37DDB" w:rsidRPr="005C39EC">
              <w:rPr>
                <w:rFonts w:ascii="Arial" w:hAnsi="Arial" w:cs="Arial"/>
                <w:lang w:eastAsia="en-AU"/>
              </w:rPr>
              <w:t xml:space="preserve"> </w:t>
            </w:r>
            <w:r w:rsidRPr="005C39EC">
              <w:rPr>
                <w:rFonts w:ascii="Arial" w:hAnsi="Arial" w:cs="Arial"/>
                <w:lang w:eastAsia="en-AU"/>
              </w:rPr>
              <w:t xml:space="preserve">&lt;4mo </w:t>
            </w:r>
          </w:p>
        </w:tc>
        <w:tc>
          <w:tcPr>
            <w:tcW w:w="284" w:type="dxa"/>
            <w:gridSpan w:val="2"/>
            <w:vAlign w:val="center"/>
          </w:tcPr>
          <w:p w14:paraId="6B628522" w14:textId="77777777" w:rsidR="0014171C" w:rsidRPr="005C39EC" w:rsidRDefault="0014171C" w:rsidP="00BE7858">
            <w:pPr>
              <w:rPr>
                <w:rFonts w:ascii="Arial" w:hAnsi="Arial" w:cs="Arial"/>
                <w:lang w:eastAsia="en-AU"/>
              </w:rPr>
            </w:pPr>
          </w:p>
        </w:tc>
        <w:tc>
          <w:tcPr>
            <w:tcW w:w="278" w:type="dxa"/>
            <w:shd w:val="clear" w:color="auto" w:fill="FFFFFF" w:themeFill="background1"/>
            <w:vAlign w:val="center"/>
          </w:tcPr>
          <w:p w14:paraId="3D9A67C2" w14:textId="77777777" w:rsidR="0014171C" w:rsidRPr="005C39EC" w:rsidRDefault="0014171C" w:rsidP="00BE7858">
            <w:pPr>
              <w:rPr>
                <w:rFonts w:ascii="Arial" w:hAnsi="Arial" w:cs="Arial"/>
                <w:lang w:eastAsia="en-AU"/>
              </w:rPr>
            </w:pPr>
          </w:p>
        </w:tc>
        <w:tc>
          <w:tcPr>
            <w:tcW w:w="287" w:type="dxa"/>
            <w:vAlign w:val="center"/>
          </w:tcPr>
          <w:p w14:paraId="678B416F" w14:textId="77777777" w:rsidR="0014171C" w:rsidRPr="005C39EC" w:rsidRDefault="0014171C" w:rsidP="00BE7858">
            <w:pPr>
              <w:rPr>
                <w:rFonts w:ascii="Arial" w:hAnsi="Arial" w:cs="Arial"/>
                <w:lang w:eastAsia="en-AU"/>
              </w:rPr>
            </w:pPr>
          </w:p>
        </w:tc>
        <w:tc>
          <w:tcPr>
            <w:tcW w:w="284" w:type="dxa"/>
            <w:vAlign w:val="center"/>
          </w:tcPr>
          <w:p w14:paraId="645A35DC" w14:textId="77777777" w:rsidR="0014171C" w:rsidRPr="005C39EC" w:rsidRDefault="0014171C" w:rsidP="00BE7858">
            <w:pPr>
              <w:rPr>
                <w:rFonts w:ascii="Arial" w:hAnsi="Arial" w:cs="Arial"/>
                <w:lang w:eastAsia="en-AU"/>
              </w:rPr>
            </w:pPr>
          </w:p>
        </w:tc>
        <w:tc>
          <w:tcPr>
            <w:tcW w:w="285" w:type="dxa"/>
            <w:shd w:val="clear" w:color="auto" w:fill="EAF1DD" w:themeFill="accent3" w:themeFillTint="33"/>
            <w:vAlign w:val="center"/>
          </w:tcPr>
          <w:p w14:paraId="73D12065" w14:textId="77777777" w:rsidR="0014171C" w:rsidRPr="005C39EC" w:rsidRDefault="0014171C" w:rsidP="00BE7858">
            <w:pPr>
              <w:rPr>
                <w:rFonts w:ascii="Arial" w:hAnsi="Arial" w:cs="Arial"/>
              </w:rPr>
            </w:pPr>
            <w:r w:rsidRPr="005C39EC">
              <w:rPr>
                <w:rFonts w:ascii="Arial" w:hAnsi="Arial" w:cs="Arial"/>
                <w:lang w:eastAsia="en-AU"/>
              </w:rPr>
              <w:sym w:font="Wingdings" w:char="F0FC"/>
            </w:r>
          </w:p>
        </w:tc>
      </w:tr>
    </w:tbl>
    <w:p w14:paraId="54628714" w14:textId="77777777" w:rsidR="0014171C" w:rsidRPr="005C39EC" w:rsidRDefault="0014171C" w:rsidP="00BE7858">
      <w:pPr>
        <w:rPr>
          <w:rFonts w:cs="Arial"/>
          <w:sz w:val="18"/>
          <w:szCs w:val="18"/>
          <w:lang w:eastAsia="en-AU"/>
        </w:rPr>
      </w:pPr>
      <w:r w:rsidRPr="005C39EC">
        <w:rPr>
          <w:rFonts w:cs="Arial"/>
          <w:sz w:val="18"/>
          <w:szCs w:val="18"/>
          <w:vertAlign w:val="superscript"/>
          <w:lang w:eastAsia="en-AU"/>
        </w:rPr>
        <w:t>1</w:t>
      </w:r>
      <w:r w:rsidRPr="005C39EC">
        <w:rPr>
          <w:rFonts w:cs="Arial"/>
          <w:sz w:val="18"/>
          <w:szCs w:val="18"/>
          <w:lang w:eastAsia="en-AU"/>
        </w:rPr>
        <w:t xml:space="preserve">Effect abbreviations: A = asthma; AD = atopic disease; AR = allergic rhinitis; AS – allergic sensitization; </w:t>
      </w:r>
      <w:proofErr w:type="gramStart"/>
      <w:r w:rsidRPr="005C39EC">
        <w:rPr>
          <w:rFonts w:cs="Arial"/>
          <w:sz w:val="18"/>
          <w:szCs w:val="18"/>
          <w:lang w:eastAsia="en-AU"/>
        </w:rPr>
        <w:t>At</w:t>
      </w:r>
      <w:proofErr w:type="gramEnd"/>
      <w:r w:rsidRPr="005C39EC">
        <w:rPr>
          <w:rFonts w:cs="Arial"/>
          <w:sz w:val="18"/>
          <w:szCs w:val="18"/>
          <w:lang w:eastAsia="en-AU"/>
        </w:rPr>
        <w:t xml:space="preserve"> = atopy; C = celiac disease; T1DM = type 1 Diabetes Mellitus; E = eczema; FA = food allergy; FS = food sensitization; W = wheezing</w:t>
      </w:r>
    </w:p>
    <w:p w14:paraId="62E4F64F" w14:textId="77777777" w:rsidR="00C15D6A" w:rsidRPr="005C39EC" w:rsidRDefault="0014171C" w:rsidP="00BE7858">
      <w:pPr>
        <w:rPr>
          <w:rFonts w:cs="Arial"/>
          <w:sz w:val="18"/>
          <w:szCs w:val="18"/>
          <w:lang w:eastAsia="en-AU"/>
        </w:rPr>
      </w:pPr>
      <w:r w:rsidRPr="005C39EC">
        <w:rPr>
          <w:rFonts w:cs="Arial"/>
          <w:sz w:val="18"/>
          <w:szCs w:val="18"/>
          <w:vertAlign w:val="superscript"/>
          <w:lang w:eastAsia="en-AU"/>
        </w:rPr>
        <w:t>2</w:t>
      </w:r>
      <w:r w:rsidRPr="005C39EC">
        <w:rPr>
          <w:rFonts w:cs="Arial"/>
          <w:sz w:val="18"/>
          <w:szCs w:val="18"/>
          <w:lang w:eastAsia="en-AU"/>
        </w:rPr>
        <w:t xml:space="preserve">Review abbreviations: ES = ESPGHAN (2008); A = AAP (2008); N = NHMRC (completed 2008, published 2013); EF = EFSA (2009); PP = Palmer </w:t>
      </w:r>
      <w:r w:rsidR="00CC5F30" w:rsidRPr="005C39EC">
        <w:rPr>
          <w:rFonts w:cs="Arial"/>
          <w:sz w:val="18"/>
          <w:szCs w:val="18"/>
          <w:lang w:eastAsia="en-AU"/>
        </w:rPr>
        <w:t>and</w:t>
      </w:r>
      <w:r w:rsidRPr="005C39EC">
        <w:rPr>
          <w:rFonts w:cs="Arial"/>
          <w:sz w:val="18"/>
          <w:szCs w:val="18"/>
          <w:lang w:eastAsia="en-AU"/>
        </w:rPr>
        <w:t xml:space="preserve"> Prescott (2012).</w:t>
      </w:r>
    </w:p>
    <w:p w14:paraId="04CA320F" w14:textId="77777777" w:rsidR="00FB379F" w:rsidRPr="005C39EC" w:rsidRDefault="00FB379F" w:rsidP="00BE7858">
      <w:pPr>
        <w:ind w:left="1695" w:right="-217" w:hanging="1695"/>
        <w:rPr>
          <w:rFonts w:cs="Arial"/>
          <w:b/>
          <w:i/>
        </w:rPr>
      </w:pPr>
      <w:r w:rsidRPr="005C39EC">
        <w:rPr>
          <w:rFonts w:cs="Arial"/>
          <w:b/>
          <w:i/>
        </w:rPr>
        <w:br w:type="page"/>
      </w:r>
    </w:p>
    <w:p w14:paraId="5BEF1881" w14:textId="77777777" w:rsidR="00C15D6A" w:rsidRPr="005C39EC" w:rsidRDefault="00C15D6A" w:rsidP="00BE7858">
      <w:pPr>
        <w:ind w:left="1695" w:right="-217" w:hanging="1695"/>
        <w:rPr>
          <w:rFonts w:cs="Arial"/>
          <w:b/>
          <w:vertAlign w:val="superscript"/>
        </w:rPr>
      </w:pPr>
      <w:r w:rsidRPr="005C39EC">
        <w:rPr>
          <w:rFonts w:cs="Arial"/>
          <w:b/>
        </w:rPr>
        <w:lastRenderedPageBreak/>
        <w:t xml:space="preserve">Table A2.2 </w:t>
      </w:r>
      <w:r w:rsidR="00E35E51" w:rsidRPr="005C39EC">
        <w:rPr>
          <w:rFonts w:cs="Arial"/>
          <w:b/>
        </w:rPr>
        <w:tab/>
      </w:r>
      <w:r w:rsidRPr="005C39EC">
        <w:rPr>
          <w:rFonts w:cs="Arial"/>
          <w:b/>
        </w:rPr>
        <w:t>Studies included in reviews or advice on the relationship between timing of solid food introduction and development of allergy</w:t>
      </w:r>
      <w:r w:rsidR="00900829" w:rsidRPr="005C39EC">
        <w:rPr>
          <w:rFonts w:cs="Arial"/>
          <w:b/>
        </w:rPr>
        <w:t xml:space="preserve"> </w:t>
      </w:r>
      <w:r w:rsidRPr="005C39EC">
        <w:rPr>
          <w:rFonts w:cs="Arial"/>
          <w:b/>
          <w:vertAlign w:val="superscript"/>
        </w:rPr>
        <w:t>a</w:t>
      </w:r>
    </w:p>
    <w:tbl>
      <w:tblPr>
        <w:tblStyle w:val="TableGrid"/>
        <w:tblW w:w="13291" w:type="dxa"/>
        <w:tblLayout w:type="fixed"/>
        <w:tblLook w:val="04A0" w:firstRow="1" w:lastRow="0" w:firstColumn="1" w:lastColumn="0" w:noHBand="0" w:noVBand="1"/>
      </w:tblPr>
      <w:tblGrid>
        <w:gridCol w:w="4077"/>
        <w:gridCol w:w="1316"/>
        <w:gridCol w:w="1378"/>
        <w:gridCol w:w="1254"/>
        <w:gridCol w:w="1317"/>
        <w:gridCol w:w="1316"/>
        <w:gridCol w:w="1316"/>
        <w:gridCol w:w="1317"/>
      </w:tblGrid>
      <w:tr w:rsidR="00900829" w:rsidRPr="005C39EC" w14:paraId="28426429" w14:textId="77777777" w:rsidTr="00900829">
        <w:trPr>
          <w:trHeight w:val="338"/>
        </w:trPr>
        <w:tc>
          <w:tcPr>
            <w:tcW w:w="4077" w:type="dxa"/>
            <w:vMerge w:val="restart"/>
          </w:tcPr>
          <w:p w14:paraId="5885D468" w14:textId="77777777" w:rsidR="00900829" w:rsidRPr="005C39EC" w:rsidRDefault="00900829" w:rsidP="00BE7858">
            <w:pPr>
              <w:rPr>
                <w:rFonts w:ascii="Arial" w:hAnsi="Arial" w:cs="Arial"/>
                <w:sz w:val="18"/>
                <w:szCs w:val="18"/>
              </w:rPr>
            </w:pPr>
          </w:p>
        </w:tc>
        <w:tc>
          <w:tcPr>
            <w:tcW w:w="9214" w:type="dxa"/>
            <w:gridSpan w:val="7"/>
            <w:vAlign w:val="center"/>
          </w:tcPr>
          <w:p w14:paraId="2132786B" w14:textId="77777777" w:rsidR="00900829" w:rsidRPr="005C39EC" w:rsidRDefault="00900829" w:rsidP="00BE7858">
            <w:pPr>
              <w:jc w:val="center"/>
              <w:rPr>
                <w:rFonts w:ascii="Arial" w:hAnsi="Arial" w:cs="Arial"/>
                <w:b/>
                <w:sz w:val="18"/>
                <w:szCs w:val="18"/>
              </w:rPr>
            </w:pPr>
            <w:r w:rsidRPr="005C39EC">
              <w:rPr>
                <w:rFonts w:ascii="Arial" w:hAnsi="Arial" w:cs="Arial"/>
                <w:b/>
                <w:sz w:val="18"/>
                <w:szCs w:val="18"/>
              </w:rPr>
              <w:t xml:space="preserve">Reviewed by </w:t>
            </w:r>
            <w:r w:rsidRPr="005C39EC">
              <w:rPr>
                <w:rFonts w:ascii="Arial" w:hAnsi="Arial" w:cs="Arial"/>
                <w:b/>
                <w:sz w:val="18"/>
                <w:szCs w:val="18"/>
                <w:vertAlign w:val="superscript"/>
              </w:rPr>
              <w:t>b</w:t>
            </w:r>
          </w:p>
        </w:tc>
      </w:tr>
      <w:tr w:rsidR="00900829" w:rsidRPr="005C39EC" w14:paraId="30FF913E" w14:textId="77777777" w:rsidTr="00900829">
        <w:trPr>
          <w:trHeight w:val="413"/>
        </w:trPr>
        <w:tc>
          <w:tcPr>
            <w:tcW w:w="4077" w:type="dxa"/>
            <w:vMerge/>
            <w:vAlign w:val="center"/>
          </w:tcPr>
          <w:p w14:paraId="160930B8" w14:textId="77777777" w:rsidR="00900829" w:rsidRPr="005C39EC" w:rsidRDefault="00900829" w:rsidP="00BE7858">
            <w:pPr>
              <w:rPr>
                <w:rFonts w:ascii="Arial" w:hAnsi="Arial" w:cs="Arial"/>
                <w:sz w:val="18"/>
                <w:szCs w:val="18"/>
              </w:rPr>
            </w:pPr>
          </w:p>
        </w:tc>
        <w:tc>
          <w:tcPr>
            <w:tcW w:w="1316" w:type="dxa"/>
            <w:vAlign w:val="center"/>
          </w:tcPr>
          <w:p w14:paraId="799EC2AE" w14:textId="77777777" w:rsidR="00900829" w:rsidRPr="005C39EC" w:rsidRDefault="00900829" w:rsidP="00BE7858">
            <w:pPr>
              <w:tabs>
                <w:tab w:val="left" w:pos="1020"/>
              </w:tabs>
              <w:rPr>
                <w:rFonts w:ascii="Arial" w:hAnsi="Arial" w:cs="Arial"/>
                <w:b/>
                <w:i/>
                <w:sz w:val="18"/>
                <w:szCs w:val="18"/>
              </w:rPr>
            </w:pPr>
            <w:r w:rsidRPr="005C39EC">
              <w:rPr>
                <w:rFonts w:ascii="Arial" w:hAnsi="Arial" w:cs="Arial"/>
                <w:b/>
                <w:i/>
                <w:sz w:val="18"/>
                <w:szCs w:val="18"/>
              </w:rPr>
              <w:t>NHMRC IFG</w:t>
            </w:r>
          </w:p>
        </w:tc>
        <w:tc>
          <w:tcPr>
            <w:tcW w:w="1378" w:type="dxa"/>
            <w:vAlign w:val="center"/>
          </w:tcPr>
          <w:p w14:paraId="5A9F841F" w14:textId="77777777" w:rsidR="00900829" w:rsidRPr="005C39EC" w:rsidRDefault="00900829" w:rsidP="00BE7858">
            <w:pPr>
              <w:rPr>
                <w:rFonts w:ascii="Arial" w:hAnsi="Arial" w:cs="Arial"/>
                <w:b/>
                <w:i/>
                <w:sz w:val="18"/>
                <w:szCs w:val="18"/>
              </w:rPr>
            </w:pPr>
            <w:r w:rsidRPr="005C39EC">
              <w:rPr>
                <w:rFonts w:ascii="Arial" w:hAnsi="Arial" w:cs="Arial"/>
                <w:b/>
                <w:i/>
                <w:sz w:val="18"/>
                <w:szCs w:val="18"/>
              </w:rPr>
              <w:t>NHMRC ADG</w:t>
            </w:r>
          </w:p>
        </w:tc>
        <w:tc>
          <w:tcPr>
            <w:tcW w:w="1254" w:type="dxa"/>
            <w:vAlign w:val="center"/>
          </w:tcPr>
          <w:p w14:paraId="349C7D4B" w14:textId="77777777" w:rsidR="00900829" w:rsidRPr="005C39EC" w:rsidRDefault="00900829" w:rsidP="00BE7858">
            <w:pPr>
              <w:rPr>
                <w:rFonts w:ascii="Arial" w:hAnsi="Arial" w:cs="Arial"/>
                <w:b/>
                <w:i/>
                <w:sz w:val="18"/>
                <w:szCs w:val="18"/>
              </w:rPr>
            </w:pPr>
            <w:r w:rsidRPr="005C39EC">
              <w:rPr>
                <w:rFonts w:ascii="Arial" w:hAnsi="Arial" w:cs="Arial"/>
                <w:b/>
                <w:i/>
                <w:sz w:val="18"/>
                <w:szCs w:val="18"/>
              </w:rPr>
              <w:t>ESPGHAN</w:t>
            </w:r>
          </w:p>
        </w:tc>
        <w:tc>
          <w:tcPr>
            <w:tcW w:w="1317" w:type="dxa"/>
            <w:vAlign w:val="center"/>
          </w:tcPr>
          <w:p w14:paraId="727F6C87" w14:textId="77777777" w:rsidR="00900829" w:rsidRPr="005C39EC" w:rsidRDefault="00900829" w:rsidP="00BE7858">
            <w:pPr>
              <w:rPr>
                <w:rFonts w:ascii="Arial" w:hAnsi="Arial" w:cs="Arial"/>
                <w:b/>
                <w:i/>
                <w:sz w:val="18"/>
                <w:szCs w:val="18"/>
              </w:rPr>
            </w:pPr>
            <w:r w:rsidRPr="005C39EC">
              <w:rPr>
                <w:rFonts w:ascii="Arial" w:hAnsi="Arial" w:cs="Arial"/>
                <w:b/>
                <w:i/>
                <w:sz w:val="18"/>
                <w:szCs w:val="18"/>
              </w:rPr>
              <w:t>AAP</w:t>
            </w:r>
          </w:p>
        </w:tc>
        <w:tc>
          <w:tcPr>
            <w:tcW w:w="1316" w:type="dxa"/>
            <w:vAlign w:val="center"/>
          </w:tcPr>
          <w:p w14:paraId="1D735F6C" w14:textId="77777777" w:rsidR="00900829" w:rsidRPr="005C39EC" w:rsidRDefault="00900829" w:rsidP="00BE7858">
            <w:pPr>
              <w:jc w:val="center"/>
              <w:rPr>
                <w:rFonts w:ascii="Arial" w:hAnsi="Arial" w:cs="Arial"/>
                <w:b/>
                <w:i/>
                <w:sz w:val="18"/>
                <w:szCs w:val="18"/>
              </w:rPr>
            </w:pPr>
            <w:r w:rsidRPr="005C39EC">
              <w:rPr>
                <w:rFonts w:ascii="Arial" w:hAnsi="Arial" w:cs="Arial"/>
                <w:b/>
                <w:i/>
                <w:sz w:val="18"/>
                <w:szCs w:val="18"/>
              </w:rPr>
              <w:t>EFSA</w:t>
            </w:r>
          </w:p>
        </w:tc>
        <w:tc>
          <w:tcPr>
            <w:tcW w:w="1316" w:type="dxa"/>
            <w:vAlign w:val="center"/>
          </w:tcPr>
          <w:p w14:paraId="6E2066C2" w14:textId="77777777" w:rsidR="00900829" w:rsidRPr="005C39EC" w:rsidRDefault="00900829" w:rsidP="00BE7858">
            <w:pPr>
              <w:jc w:val="center"/>
              <w:rPr>
                <w:rFonts w:ascii="Arial" w:hAnsi="Arial" w:cs="Arial"/>
                <w:b/>
                <w:i/>
                <w:sz w:val="18"/>
                <w:szCs w:val="18"/>
              </w:rPr>
            </w:pPr>
            <w:r w:rsidRPr="005C39EC">
              <w:rPr>
                <w:rFonts w:ascii="Arial" w:hAnsi="Arial" w:cs="Arial"/>
                <w:b/>
                <w:i/>
                <w:sz w:val="18"/>
                <w:szCs w:val="18"/>
              </w:rPr>
              <w:t>ASCIA</w:t>
            </w:r>
          </w:p>
        </w:tc>
        <w:tc>
          <w:tcPr>
            <w:tcW w:w="1317" w:type="dxa"/>
            <w:vAlign w:val="center"/>
          </w:tcPr>
          <w:p w14:paraId="6C1306FA" w14:textId="77777777" w:rsidR="00900829" w:rsidRPr="005C39EC" w:rsidRDefault="00900829" w:rsidP="00BE7858">
            <w:pPr>
              <w:jc w:val="center"/>
              <w:rPr>
                <w:rFonts w:ascii="Arial" w:hAnsi="Arial" w:cs="Arial"/>
                <w:b/>
                <w:i/>
                <w:sz w:val="18"/>
                <w:szCs w:val="18"/>
              </w:rPr>
            </w:pPr>
            <w:r w:rsidRPr="005C39EC">
              <w:rPr>
                <w:rFonts w:ascii="Arial" w:hAnsi="Arial" w:cs="Arial"/>
                <w:b/>
                <w:i/>
                <w:sz w:val="18"/>
                <w:szCs w:val="18"/>
              </w:rPr>
              <w:t>FSANZ</w:t>
            </w:r>
          </w:p>
        </w:tc>
      </w:tr>
      <w:tr w:rsidR="00C15D6A" w:rsidRPr="005C39EC" w14:paraId="346180E5" w14:textId="77777777" w:rsidTr="00900829">
        <w:trPr>
          <w:trHeight w:val="735"/>
        </w:trPr>
        <w:tc>
          <w:tcPr>
            <w:tcW w:w="4077" w:type="dxa"/>
            <w:vAlign w:val="center"/>
          </w:tcPr>
          <w:p w14:paraId="5773CB11" w14:textId="77777777" w:rsidR="00C15D6A" w:rsidRPr="005C39EC" w:rsidRDefault="00C15D6A" w:rsidP="00BE7858">
            <w:pPr>
              <w:rPr>
                <w:rFonts w:ascii="Arial" w:hAnsi="Arial" w:cs="Arial"/>
                <w:sz w:val="18"/>
                <w:szCs w:val="18"/>
              </w:rPr>
            </w:pPr>
            <w:r w:rsidRPr="005C39EC">
              <w:rPr>
                <w:rFonts w:ascii="Arial" w:hAnsi="Arial" w:cs="Arial"/>
                <w:sz w:val="18"/>
                <w:szCs w:val="18"/>
              </w:rPr>
              <w:t>Review or advice published (year)</w:t>
            </w:r>
          </w:p>
        </w:tc>
        <w:tc>
          <w:tcPr>
            <w:tcW w:w="1316" w:type="dxa"/>
            <w:vAlign w:val="center"/>
          </w:tcPr>
          <w:p w14:paraId="10423953" w14:textId="77777777" w:rsidR="00C15D6A" w:rsidRPr="005C39EC" w:rsidRDefault="00C15D6A" w:rsidP="00BE7858">
            <w:pPr>
              <w:rPr>
                <w:rFonts w:ascii="Arial" w:hAnsi="Arial" w:cs="Arial"/>
                <w:sz w:val="18"/>
                <w:szCs w:val="18"/>
              </w:rPr>
            </w:pPr>
            <w:r w:rsidRPr="005C39EC">
              <w:rPr>
                <w:rFonts w:ascii="Arial" w:hAnsi="Arial" w:cs="Arial"/>
                <w:sz w:val="18"/>
                <w:szCs w:val="18"/>
              </w:rPr>
              <w:t>2013</w:t>
            </w:r>
          </w:p>
        </w:tc>
        <w:tc>
          <w:tcPr>
            <w:tcW w:w="1378" w:type="dxa"/>
            <w:vAlign w:val="center"/>
          </w:tcPr>
          <w:p w14:paraId="579DD914" w14:textId="77777777" w:rsidR="00C15D6A" w:rsidRPr="005C39EC" w:rsidRDefault="00C15D6A" w:rsidP="00BE7858">
            <w:pPr>
              <w:rPr>
                <w:rFonts w:ascii="Arial" w:hAnsi="Arial" w:cs="Arial"/>
                <w:sz w:val="18"/>
                <w:szCs w:val="18"/>
              </w:rPr>
            </w:pPr>
            <w:r w:rsidRPr="005C39EC">
              <w:rPr>
                <w:rFonts w:ascii="Arial" w:hAnsi="Arial" w:cs="Arial"/>
                <w:sz w:val="18"/>
                <w:szCs w:val="18"/>
              </w:rPr>
              <w:t>2013</w:t>
            </w:r>
          </w:p>
        </w:tc>
        <w:tc>
          <w:tcPr>
            <w:tcW w:w="1254" w:type="dxa"/>
            <w:vAlign w:val="center"/>
          </w:tcPr>
          <w:p w14:paraId="5D9DA962" w14:textId="77777777" w:rsidR="00C15D6A" w:rsidRPr="005C39EC" w:rsidRDefault="00C15D6A" w:rsidP="00BE7858">
            <w:pPr>
              <w:rPr>
                <w:rFonts w:ascii="Arial" w:hAnsi="Arial" w:cs="Arial"/>
                <w:sz w:val="18"/>
                <w:szCs w:val="18"/>
              </w:rPr>
            </w:pPr>
            <w:r w:rsidRPr="005C39EC">
              <w:rPr>
                <w:rFonts w:ascii="Arial" w:hAnsi="Arial" w:cs="Arial"/>
                <w:sz w:val="18"/>
                <w:szCs w:val="18"/>
              </w:rPr>
              <w:t>2008</w:t>
            </w:r>
          </w:p>
        </w:tc>
        <w:tc>
          <w:tcPr>
            <w:tcW w:w="1317" w:type="dxa"/>
            <w:vAlign w:val="center"/>
          </w:tcPr>
          <w:p w14:paraId="0477FBA2" w14:textId="77777777" w:rsidR="00C15D6A" w:rsidRPr="005C39EC" w:rsidRDefault="00C15D6A" w:rsidP="00BE7858">
            <w:pPr>
              <w:rPr>
                <w:rFonts w:ascii="Arial" w:hAnsi="Arial" w:cs="Arial"/>
                <w:sz w:val="18"/>
                <w:szCs w:val="18"/>
              </w:rPr>
            </w:pPr>
            <w:r w:rsidRPr="005C39EC">
              <w:rPr>
                <w:rFonts w:ascii="Arial" w:hAnsi="Arial" w:cs="Arial"/>
                <w:sz w:val="18"/>
                <w:szCs w:val="18"/>
              </w:rPr>
              <w:t>2008</w:t>
            </w:r>
          </w:p>
        </w:tc>
        <w:tc>
          <w:tcPr>
            <w:tcW w:w="1316" w:type="dxa"/>
            <w:vAlign w:val="center"/>
          </w:tcPr>
          <w:p w14:paraId="09FD1FF7" w14:textId="77777777" w:rsidR="00C15D6A" w:rsidRPr="005C39EC" w:rsidRDefault="00C15D6A" w:rsidP="00BE7858">
            <w:pPr>
              <w:rPr>
                <w:rFonts w:ascii="Arial" w:hAnsi="Arial" w:cs="Arial"/>
                <w:sz w:val="18"/>
                <w:szCs w:val="18"/>
              </w:rPr>
            </w:pPr>
            <w:r w:rsidRPr="005C39EC">
              <w:rPr>
                <w:rFonts w:ascii="Arial" w:hAnsi="Arial" w:cs="Arial"/>
                <w:sz w:val="18"/>
                <w:szCs w:val="18"/>
              </w:rPr>
              <w:t>2009</w:t>
            </w:r>
          </w:p>
        </w:tc>
        <w:tc>
          <w:tcPr>
            <w:tcW w:w="1316" w:type="dxa"/>
            <w:vAlign w:val="center"/>
          </w:tcPr>
          <w:p w14:paraId="4EBFFD5A" w14:textId="77777777" w:rsidR="00C15D6A" w:rsidRPr="005C39EC" w:rsidRDefault="00C15D6A" w:rsidP="00BE7858">
            <w:pPr>
              <w:rPr>
                <w:rFonts w:ascii="Arial" w:hAnsi="Arial" w:cs="Arial"/>
                <w:sz w:val="18"/>
                <w:szCs w:val="18"/>
              </w:rPr>
            </w:pPr>
            <w:r w:rsidRPr="005C39EC">
              <w:rPr>
                <w:rFonts w:ascii="Arial" w:hAnsi="Arial" w:cs="Arial"/>
                <w:sz w:val="18"/>
                <w:szCs w:val="18"/>
              </w:rPr>
              <w:t>2010</w:t>
            </w:r>
          </w:p>
        </w:tc>
        <w:tc>
          <w:tcPr>
            <w:tcW w:w="1317" w:type="dxa"/>
            <w:vAlign w:val="center"/>
          </w:tcPr>
          <w:p w14:paraId="36674F7F" w14:textId="77777777" w:rsidR="00C15D6A" w:rsidRPr="005C39EC" w:rsidRDefault="00C15D6A" w:rsidP="00BE7858">
            <w:pPr>
              <w:rPr>
                <w:rFonts w:ascii="Arial" w:hAnsi="Arial" w:cs="Arial"/>
                <w:sz w:val="18"/>
                <w:szCs w:val="18"/>
              </w:rPr>
            </w:pPr>
            <w:r w:rsidRPr="005C39EC">
              <w:rPr>
                <w:rFonts w:ascii="Arial" w:hAnsi="Arial" w:cs="Arial"/>
                <w:sz w:val="18"/>
                <w:szCs w:val="18"/>
              </w:rPr>
              <w:t>2013</w:t>
            </w:r>
          </w:p>
        </w:tc>
      </w:tr>
      <w:tr w:rsidR="00C15D6A" w:rsidRPr="005C39EC" w14:paraId="62A2DD3A" w14:textId="77777777" w:rsidTr="00900829">
        <w:trPr>
          <w:trHeight w:val="735"/>
        </w:trPr>
        <w:tc>
          <w:tcPr>
            <w:tcW w:w="4077" w:type="dxa"/>
            <w:vAlign w:val="center"/>
          </w:tcPr>
          <w:p w14:paraId="1B9AAF27" w14:textId="77777777" w:rsidR="00C15D6A" w:rsidRPr="005C39EC" w:rsidRDefault="00C15D6A" w:rsidP="00BE7858">
            <w:pPr>
              <w:rPr>
                <w:rFonts w:ascii="Arial" w:hAnsi="Arial" w:cs="Arial"/>
                <w:sz w:val="18"/>
                <w:szCs w:val="18"/>
              </w:rPr>
            </w:pPr>
            <w:r w:rsidRPr="005C39EC">
              <w:rPr>
                <w:rFonts w:ascii="Arial" w:hAnsi="Arial" w:cs="Arial"/>
                <w:sz w:val="18"/>
                <w:szCs w:val="18"/>
              </w:rPr>
              <w:t>Literature searched until (year)</w:t>
            </w:r>
          </w:p>
        </w:tc>
        <w:tc>
          <w:tcPr>
            <w:tcW w:w="1316" w:type="dxa"/>
            <w:vAlign w:val="center"/>
          </w:tcPr>
          <w:p w14:paraId="183E3C78" w14:textId="77777777" w:rsidR="00C15D6A" w:rsidRPr="005C39EC" w:rsidRDefault="00C15D6A" w:rsidP="00BE7858">
            <w:pPr>
              <w:rPr>
                <w:rFonts w:ascii="Arial" w:hAnsi="Arial" w:cs="Arial"/>
                <w:sz w:val="18"/>
                <w:szCs w:val="18"/>
              </w:rPr>
            </w:pPr>
            <w:r w:rsidRPr="005C39EC">
              <w:rPr>
                <w:rFonts w:ascii="Arial" w:hAnsi="Arial" w:cs="Arial"/>
                <w:sz w:val="18"/>
                <w:szCs w:val="18"/>
              </w:rPr>
              <w:t>N.S.</w:t>
            </w:r>
          </w:p>
        </w:tc>
        <w:tc>
          <w:tcPr>
            <w:tcW w:w="1378" w:type="dxa"/>
            <w:vAlign w:val="center"/>
          </w:tcPr>
          <w:p w14:paraId="26A27E25" w14:textId="77777777" w:rsidR="00C15D6A" w:rsidRPr="005C39EC" w:rsidRDefault="00C15D6A" w:rsidP="00BE7858">
            <w:pPr>
              <w:rPr>
                <w:rFonts w:ascii="Arial" w:hAnsi="Arial" w:cs="Arial"/>
                <w:sz w:val="18"/>
                <w:szCs w:val="18"/>
              </w:rPr>
            </w:pPr>
            <w:r w:rsidRPr="005C39EC">
              <w:rPr>
                <w:rFonts w:ascii="Arial" w:hAnsi="Arial" w:cs="Arial"/>
                <w:sz w:val="18"/>
                <w:szCs w:val="18"/>
              </w:rPr>
              <w:t>N.S.</w:t>
            </w:r>
          </w:p>
        </w:tc>
        <w:tc>
          <w:tcPr>
            <w:tcW w:w="1254" w:type="dxa"/>
            <w:vAlign w:val="center"/>
          </w:tcPr>
          <w:p w14:paraId="42CE0DE9" w14:textId="77777777" w:rsidR="00C15D6A" w:rsidRPr="005C39EC" w:rsidRDefault="00C15D6A" w:rsidP="00BE7858">
            <w:pPr>
              <w:rPr>
                <w:rFonts w:ascii="Arial" w:hAnsi="Arial" w:cs="Arial"/>
                <w:sz w:val="18"/>
                <w:szCs w:val="18"/>
              </w:rPr>
            </w:pPr>
            <w:r w:rsidRPr="005C39EC">
              <w:rPr>
                <w:rFonts w:ascii="Arial" w:hAnsi="Arial" w:cs="Arial"/>
                <w:sz w:val="18"/>
                <w:szCs w:val="18"/>
              </w:rPr>
              <w:t>N.S.</w:t>
            </w:r>
          </w:p>
        </w:tc>
        <w:tc>
          <w:tcPr>
            <w:tcW w:w="1317" w:type="dxa"/>
            <w:vAlign w:val="center"/>
          </w:tcPr>
          <w:p w14:paraId="75F86D85" w14:textId="77777777" w:rsidR="00C15D6A" w:rsidRPr="005C39EC" w:rsidRDefault="00C15D6A" w:rsidP="00BE7858">
            <w:pPr>
              <w:rPr>
                <w:rFonts w:ascii="Arial" w:hAnsi="Arial" w:cs="Arial"/>
                <w:sz w:val="18"/>
                <w:szCs w:val="18"/>
              </w:rPr>
            </w:pPr>
            <w:r w:rsidRPr="005C39EC">
              <w:rPr>
                <w:rFonts w:ascii="Arial" w:hAnsi="Arial" w:cs="Arial"/>
                <w:sz w:val="18"/>
                <w:szCs w:val="18"/>
              </w:rPr>
              <w:t>N.S.</w:t>
            </w:r>
          </w:p>
        </w:tc>
        <w:tc>
          <w:tcPr>
            <w:tcW w:w="1316" w:type="dxa"/>
            <w:vAlign w:val="center"/>
          </w:tcPr>
          <w:p w14:paraId="568E8B44" w14:textId="77777777" w:rsidR="00C15D6A" w:rsidRPr="005C39EC" w:rsidRDefault="00C15D6A" w:rsidP="00BE7858">
            <w:pPr>
              <w:rPr>
                <w:rFonts w:ascii="Arial" w:hAnsi="Arial" w:cs="Arial"/>
                <w:sz w:val="18"/>
                <w:szCs w:val="18"/>
              </w:rPr>
            </w:pPr>
            <w:r w:rsidRPr="005C39EC">
              <w:rPr>
                <w:rFonts w:ascii="Arial" w:hAnsi="Arial" w:cs="Arial"/>
                <w:sz w:val="18"/>
                <w:szCs w:val="18"/>
              </w:rPr>
              <w:t>N.S.</w:t>
            </w:r>
          </w:p>
        </w:tc>
        <w:tc>
          <w:tcPr>
            <w:tcW w:w="1316" w:type="dxa"/>
            <w:vAlign w:val="center"/>
          </w:tcPr>
          <w:p w14:paraId="35818499" w14:textId="77777777" w:rsidR="00C15D6A" w:rsidRPr="005C39EC" w:rsidRDefault="00C15D6A" w:rsidP="00BE7858">
            <w:pPr>
              <w:rPr>
                <w:rFonts w:ascii="Arial" w:hAnsi="Arial" w:cs="Arial"/>
                <w:sz w:val="18"/>
                <w:szCs w:val="18"/>
              </w:rPr>
            </w:pPr>
            <w:r w:rsidRPr="005C39EC">
              <w:rPr>
                <w:rFonts w:ascii="Arial" w:hAnsi="Arial" w:cs="Arial"/>
                <w:sz w:val="18"/>
                <w:szCs w:val="18"/>
              </w:rPr>
              <w:t>N.S.</w:t>
            </w:r>
          </w:p>
        </w:tc>
        <w:tc>
          <w:tcPr>
            <w:tcW w:w="1317" w:type="dxa"/>
            <w:vAlign w:val="center"/>
          </w:tcPr>
          <w:p w14:paraId="44C8B3B4" w14:textId="77777777" w:rsidR="00C15D6A" w:rsidRPr="005C39EC" w:rsidRDefault="00C15D6A" w:rsidP="00BE7858">
            <w:pPr>
              <w:rPr>
                <w:rFonts w:ascii="Arial" w:hAnsi="Arial" w:cs="Arial"/>
                <w:sz w:val="18"/>
                <w:szCs w:val="18"/>
              </w:rPr>
            </w:pPr>
            <w:r w:rsidRPr="005C39EC">
              <w:rPr>
                <w:rFonts w:ascii="Arial" w:hAnsi="Arial" w:cs="Arial"/>
                <w:sz w:val="18"/>
                <w:szCs w:val="18"/>
              </w:rPr>
              <w:t>2013</w:t>
            </w:r>
          </w:p>
        </w:tc>
      </w:tr>
      <w:tr w:rsidR="00C15D6A" w:rsidRPr="005C39EC" w14:paraId="5356DE93" w14:textId="77777777" w:rsidTr="00900829">
        <w:trPr>
          <w:trHeight w:val="735"/>
        </w:trPr>
        <w:tc>
          <w:tcPr>
            <w:tcW w:w="4077" w:type="dxa"/>
            <w:vAlign w:val="center"/>
          </w:tcPr>
          <w:p w14:paraId="1D0DD5EF" w14:textId="77777777" w:rsidR="00C15D6A" w:rsidRPr="005C39EC" w:rsidRDefault="00C15D6A" w:rsidP="00BE7858">
            <w:pPr>
              <w:rPr>
                <w:rFonts w:ascii="Arial" w:hAnsi="Arial" w:cs="Arial"/>
                <w:sz w:val="18"/>
                <w:szCs w:val="18"/>
              </w:rPr>
            </w:pPr>
            <w:r w:rsidRPr="005C39EC">
              <w:rPr>
                <w:rFonts w:ascii="Arial" w:hAnsi="Arial" w:cs="Arial"/>
                <w:sz w:val="18"/>
                <w:szCs w:val="18"/>
              </w:rPr>
              <w:t>Latest study included in review (year)</w:t>
            </w:r>
          </w:p>
        </w:tc>
        <w:tc>
          <w:tcPr>
            <w:tcW w:w="1316" w:type="dxa"/>
            <w:vAlign w:val="center"/>
          </w:tcPr>
          <w:p w14:paraId="36D4FFD3" w14:textId="77777777" w:rsidR="00C15D6A" w:rsidRPr="005C39EC" w:rsidRDefault="00C15D6A" w:rsidP="00BE7858">
            <w:pPr>
              <w:rPr>
                <w:rFonts w:ascii="Arial" w:hAnsi="Arial" w:cs="Arial"/>
                <w:sz w:val="18"/>
                <w:szCs w:val="18"/>
              </w:rPr>
            </w:pPr>
            <w:r w:rsidRPr="005C39EC">
              <w:rPr>
                <w:rFonts w:ascii="Arial" w:hAnsi="Arial" w:cs="Arial"/>
                <w:sz w:val="18"/>
                <w:szCs w:val="18"/>
              </w:rPr>
              <w:t>2010</w:t>
            </w:r>
          </w:p>
        </w:tc>
        <w:tc>
          <w:tcPr>
            <w:tcW w:w="1378" w:type="dxa"/>
            <w:vAlign w:val="center"/>
          </w:tcPr>
          <w:p w14:paraId="24671EDD" w14:textId="77777777" w:rsidR="00C15D6A" w:rsidRPr="005C39EC" w:rsidRDefault="00C15D6A" w:rsidP="00BE7858">
            <w:pPr>
              <w:rPr>
                <w:rFonts w:ascii="Arial" w:hAnsi="Arial" w:cs="Arial"/>
                <w:sz w:val="18"/>
                <w:szCs w:val="18"/>
              </w:rPr>
            </w:pPr>
            <w:r w:rsidRPr="005C39EC">
              <w:rPr>
                <w:rFonts w:ascii="Arial" w:hAnsi="Arial" w:cs="Arial"/>
                <w:sz w:val="18"/>
                <w:szCs w:val="18"/>
              </w:rPr>
              <w:t>2008</w:t>
            </w:r>
          </w:p>
        </w:tc>
        <w:tc>
          <w:tcPr>
            <w:tcW w:w="1254" w:type="dxa"/>
            <w:vAlign w:val="center"/>
          </w:tcPr>
          <w:p w14:paraId="2317DCA1" w14:textId="77777777" w:rsidR="00C15D6A" w:rsidRPr="005C39EC" w:rsidRDefault="00C15D6A" w:rsidP="00BE7858">
            <w:pPr>
              <w:rPr>
                <w:rFonts w:ascii="Arial" w:hAnsi="Arial" w:cs="Arial"/>
                <w:sz w:val="18"/>
                <w:szCs w:val="18"/>
              </w:rPr>
            </w:pPr>
            <w:r w:rsidRPr="005C39EC">
              <w:rPr>
                <w:rFonts w:ascii="Arial" w:hAnsi="Arial" w:cs="Arial"/>
                <w:sz w:val="18"/>
                <w:szCs w:val="18"/>
              </w:rPr>
              <w:t>2007</w:t>
            </w:r>
          </w:p>
        </w:tc>
        <w:tc>
          <w:tcPr>
            <w:tcW w:w="1317" w:type="dxa"/>
            <w:vAlign w:val="center"/>
          </w:tcPr>
          <w:p w14:paraId="6577C5E2" w14:textId="77777777" w:rsidR="00C15D6A" w:rsidRPr="005C39EC" w:rsidRDefault="00C15D6A" w:rsidP="00BE7858">
            <w:pPr>
              <w:rPr>
                <w:rFonts w:ascii="Arial" w:hAnsi="Arial" w:cs="Arial"/>
                <w:sz w:val="18"/>
                <w:szCs w:val="18"/>
              </w:rPr>
            </w:pPr>
            <w:r w:rsidRPr="005C39EC">
              <w:rPr>
                <w:rFonts w:ascii="Arial" w:hAnsi="Arial" w:cs="Arial"/>
                <w:sz w:val="18"/>
                <w:szCs w:val="18"/>
              </w:rPr>
              <w:t>2006</w:t>
            </w:r>
          </w:p>
        </w:tc>
        <w:tc>
          <w:tcPr>
            <w:tcW w:w="1316" w:type="dxa"/>
            <w:vAlign w:val="center"/>
          </w:tcPr>
          <w:p w14:paraId="3EEF4E30" w14:textId="77777777" w:rsidR="00C15D6A" w:rsidRPr="005C39EC" w:rsidRDefault="00C15D6A" w:rsidP="00BE7858">
            <w:pPr>
              <w:rPr>
                <w:rFonts w:ascii="Arial" w:hAnsi="Arial" w:cs="Arial"/>
                <w:sz w:val="18"/>
                <w:szCs w:val="18"/>
              </w:rPr>
            </w:pPr>
            <w:r w:rsidRPr="005C39EC">
              <w:rPr>
                <w:rFonts w:ascii="Arial" w:hAnsi="Arial" w:cs="Arial"/>
                <w:sz w:val="18"/>
                <w:szCs w:val="18"/>
              </w:rPr>
              <w:t>2008</w:t>
            </w:r>
          </w:p>
        </w:tc>
        <w:tc>
          <w:tcPr>
            <w:tcW w:w="1316" w:type="dxa"/>
            <w:vAlign w:val="center"/>
          </w:tcPr>
          <w:p w14:paraId="7D974E2B" w14:textId="77777777" w:rsidR="00C15D6A" w:rsidRPr="005C39EC" w:rsidRDefault="00C15D6A" w:rsidP="00BE7858">
            <w:pPr>
              <w:rPr>
                <w:rFonts w:ascii="Arial" w:hAnsi="Arial" w:cs="Arial"/>
                <w:sz w:val="18"/>
                <w:szCs w:val="18"/>
              </w:rPr>
            </w:pPr>
            <w:r w:rsidRPr="005C39EC">
              <w:rPr>
                <w:rFonts w:ascii="Arial" w:hAnsi="Arial" w:cs="Arial"/>
                <w:sz w:val="18"/>
                <w:szCs w:val="18"/>
              </w:rPr>
              <w:t>2008</w:t>
            </w:r>
          </w:p>
        </w:tc>
        <w:tc>
          <w:tcPr>
            <w:tcW w:w="1317" w:type="dxa"/>
            <w:vAlign w:val="center"/>
          </w:tcPr>
          <w:p w14:paraId="309EB372" w14:textId="77777777" w:rsidR="00C15D6A" w:rsidRPr="005C39EC" w:rsidRDefault="00C15D6A" w:rsidP="00BE7858">
            <w:pPr>
              <w:rPr>
                <w:rFonts w:ascii="Arial" w:hAnsi="Arial" w:cs="Arial"/>
                <w:sz w:val="18"/>
                <w:szCs w:val="18"/>
              </w:rPr>
            </w:pPr>
            <w:r w:rsidRPr="005C39EC">
              <w:rPr>
                <w:rFonts w:ascii="Arial" w:hAnsi="Arial" w:cs="Arial"/>
                <w:sz w:val="18"/>
                <w:szCs w:val="18"/>
              </w:rPr>
              <w:t>2013</w:t>
            </w:r>
          </w:p>
        </w:tc>
      </w:tr>
      <w:tr w:rsidR="00C15D6A" w:rsidRPr="005C39EC" w14:paraId="039E6498" w14:textId="77777777" w:rsidTr="00900829">
        <w:trPr>
          <w:trHeight w:val="574"/>
        </w:trPr>
        <w:tc>
          <w:tcPr>
            <w:tcW w:w="4077" w:type="dxa"/>
            <w:vAlign w:val="center"/>
          </w:tcPr>
          <w:p w14:paraId="46A59627" w14:textId="77777777" w:rsidR="00C15D6A" w:rsidRPr="005C39EC" w:rsidRDefault="00C15D6A" w:rsidP="00BE7858">
            <w:pPr>
              <w:rPr>
                <w:rFonts w:ascii="Arial" w:hAnsi="Arial" w:cs="Arial"/>
                <w:sz w:val="18"/>
                <w:szCs w:val="18"/>
              </w:rPr>
            </w:pPr>
            <w:r w:rsidRPr="005C39EC">
              <w:rPr>
                <w:rFonts w:ascii="Arial" w:hAnsi="Arial" w:cs="Arial"/>
                <w:sz w:val="18"/>
                <w:szCs w:val="18"/>
              </w:rPr>
              <w:t xml:space="preserve">No. of studies on which conclusions are based: </w:t>
            </w:r>
          </w:p>
        </w:tc>
        <w:tc>
          <w:tcPr>
            <w:tcW w:w="1316" w:type="dxa"/>
            <w:vAlign w:val="center"/>
          </w:tcPr>
          <w:p w14:paraId="597E2D75" w14:textId="77777777" w:rsidR="00C15D6A" w:rsidRPr="005C39EC" w:rsidRDefault="00C15D6A" w:rsidP="00BE7858">
            <w:pPr>
              <w:rPr>
                <w:rFonts w:ascii="Arial" w:hAnsi="Arial" w:cs="Arial"/>
                <w:sz w:val="18"/>
                <w:szCs w:val="18"/>
              </w:rPr>
            </w:pPr>
            <w:r w:rsidRPr="005C39EC">
              <w:rPr>
                <w:rFonts w:ascii="Arial" w:hAnsi="Arial" w:cs="Arial"/>
                <w:sz w:val="18"/>
                <w:szCs w:val="18"/>
              </w:rPr>
              <w:t>10</w:t>
            </w:r>
          </w:p>
        </w:tc>
        <w:tc>
          <w:tcPr>
            <w:tcW w:w="1378" w:type="dxa"/>
            <w:vAlign w:val="center"/>
          </w:tcPr>
          <w:p w14:paraId="58A2D2CB" w14:textId="77777777" w:rsidR="00C15D6A" w:rsidRPr="005C39EC" w:rsidRDefault="00C15D6A" w:rsidP="00BE7858">
            <w:pPr>
              <w:rPr>
                <w:rFonts w:ascii="Arial" w:hAnsi="Arial" w:cs="Arial"/>
                <w:sz w:val="18"/>
                <w:szCs w:val="18"/>
              </w:rPr>
            </w:pPr>
            <w:r w:rsidRPr="005C39EC">
              <w:rPr>
                <w:rFonts w:ascii="Arial" w:hAnsi="Arial" w:cs="Arial"/>
                <w:sz w:val="18"/>
                <w:szCs w:val="18"/>
              </w:rPr>
              <w:t>7</w:t>
            </w:r>
          </w:p>
        </w:tc>
        <w:tc>
          <w:tcPr>
            <w:tcW w:w="1254" w:type="dxa"/>
            <w:vAlign w:val="center"/>
          </w:tcPr>
          <w:p w14:paraId="797DA829" w14:textId="77777777" w:rsidR="00C15D6A" w:rsidRPr="005C39EC" w:rsidRDefault="00C15D6A" w:rsidP="00BE7858">
            <w:pPr>
              <w:rPr>
                <w:rFonts w:ascii="Arial" w:hAnsi="Arial" w:cs="Arial"/>
                <w:sz w:val="18"/>
                <w:szCs w:val="18"/>
              </w:rPr>
            </w:pPr>
            <w:r w:rsidRPr="005C39EC">
              <w:rPr>
                <w:rFonts w:ascii="Arial" w:hAnsi="Arial" w:cs="Arial"/>
                <w:sz w:val="18"/>
                <w:szCs w:val="18"/>
              </w:rPr>
              <w:t>11</w:t>
            </w:r>
          </w:p>
        </w:tc>
        <w:tc>
          <w:tcPr>
            <w:tcW w:w="1317" w:type="dxa"/>
            <w:vAlign w:val="center"/>
          </w:tcPr>
          <w:p w14:paraId="64A914BE" w14:textId="77777777" w:rsidR="00C15D6A" w:rsidRPr="005C39EC" w:rsidRDefault="00C15D6A" w:rsidP="00BE7858">
            <w:pPr>
              <w:rPr>
                <w:rFonts w:ascii="Arial" w:hAnsi="Arial" w:cs="Arial"/>
                <w:sz w:val="18"/>
                <w:szCs w:val="18"/>
              </w:rPr>
            </w:pPr>
            <w:r w:rsidRPr="005C39EC">
              <w:rPr>
                <w:rFonts w:ascii="Arial" w:hAnsi="Arial" w:cs="Arial"/>
                <w:sz w:val="18"/>
                <w:szCs w:val="18"/>
              </w:rPr>
              <w:t>7</w:t>
            </w:r>
          </w:p>
        </w:tc>
        <w:tc>
          <w:tcPr>
            <w:tcW w:w="1316" w:type="dxa"/>
            <w:vAlign w:val="center"/>
          </w:tcPr>
          <w:p w14:paraId="458DB3EF" w14:textId="77777777" w:rsidR="00C15D6A" w:rsidRPr="005C39EC" w:rsidRDefault="00C15D6A" w:rsidP="00BE7858">
            <w:pPr>
              <w:rPr>
                <w:rFonts w:ascii="Arial" w:hAnsi="Arial" w:cs="Arial"/>
                <w:sz w:val="18"/>
                <w:szCs w:val="18"/>
              </w:rPr>
            </w:pPr>
            <w:r w:rsidRPr="005C39EC">
              <w:rPr>
                <w:rFonts w:ascii="Arial" w:hAnsi="Arial" w:cs="Arial"/>
                <w:sz w:val="18"/>
                <w:szCs w:val="18"/>
              </w:rPr>
              <w:t>11</w:t>
            </w:r>
          </w:p>
        </w:tc>
        <w:tc>
          <w:tcPr>
            <w:tcW w:w="1316" w:type="dxa"/>
            <w:vAlign w:val="center"/>
          </w:tcPr>
          <w:p w14:paraId="683CBBC7" w14:textId="77777777" w:rsidR="00C15D6A" w:rsidRPr="005C39EC" w:rsidRDefault="00C15D6A" w:rsidP="00BE7858">
            <w:pPr>
              <w:rPr>
                <w:rFonts w:ascii="Arial" w:hAnsi="Arial" w:cs="Arial"/>
                <w:sz w:val="18"/>
                <w:szCs w:val="18"/>
              </w:rPr>
            </w:pPr>
            <w:r w:rsidRPr="005C39EC">
              <w:rPr>
                <w:rFonts w:ascii="Arial" w:hAnsi="Arial" w:cs="Arial"/>
                <w:sz w:val="18"/>
                <w:szCs w:val="18"/>
              </w:rPr>
              <w:t>7</w:t>
            </w:r>
          </w:p>
        </w:tc>
        <w:tc>
          <w:tcPr>
            <w:tcW w:w="1317" w:type="dxa"/>
            <w:vAlign w:val="center"/>
          </w:tcPr>
          <w:p w14:paraId="7CFCA6F8" w14:textId="77777777" w:rsidR="00C15D6A" w:rsidRPr="005C39EC" w:rsidRDefault="00C15D6A" w:rsidP="00BE7858">
            <w:pPr>
              <w:rPr>
                <w:rFonts w:ascii="Arial" w:hAnsi="Arial" w:cs="Arial"/>
                <w:sz w:val="18"/>
                <w:szCs w:val="18"/>
              </w:rPr>
            </w:pPr>
            <w:r w:rsidRPr="005C39EC">
              <w:rPr>
                <w:rFonts w:ascii="Arial" w:hAnsi="Arial" w:cs="Arial"/>
                <w:sz w:val="18"/>
                <w:szCs w:val="18"/>
              </w:rPr>
              <w:t>33</w:t>
            </w:r>
          </w:p>
        </w:tc>
      </w:tr>
      <w:tr w:rsidR="00C15D6A" w:rsidRPr="005C39EC" w14:paraId="798D80EE" w14:textId="77777777" w:rsidTr="00900829">
        <w:trPr>
          <w:trHeight w:val="228"/>
        </w:trPr>
        <w:tc>
          <w:tcPr>
            <w:tcW w:w="4077" w:type="dxa"/>
            <w:vAlign w:val="center"/>
          </w:tcPr>
          <w:p w14:paraId="6E85CF4B" w14:textId="77777777" w:rsidR="00C15D6A" w:rsidRPr="005C39EC" w:rsidRDefault="00C15D6A" w:rsidP="00BE7858">
            <w:pPr>
              <w:rPr>
                <w:rFonts w:ascii="Arial" w:hAnsi="Arial" w:cs="Arial"/>
                <w:sz w:val="18"/>
                <w:szCs w:val="18"/>
              </w:rPr>
            </w:pPr>
            <w:r w:rsidRPr="005C39EC">
              <w:rPr>
                <w:rFonts w:ascii="Arial" w:hAnsi="Arial" w:cs="Arial"/>
                <w:sz w:val="18"/>
                <w:szCs w:val="18"/>
              </w:rPr>
              <w:t>Breakdown:</w:t>
            </w:r>
          </w:p>
        </w:tc>
        <w:tc>
          <w:tcPr>
            <w:tcW w:w="1316" w:type="dxa"/>
            <w:vAlign w:val="center"/>
          </w:tcPr>
          <w:p w14:paraId="1E6E534E" w14:textId="77777777" w:rsidR="00C15D6A" w:rsidRPr="005C39EC" w:rsidRDefault="00C15D6A" w:rsidP="00BE7858">
            <w:pPr>
              <w:rPr>
                <w:rFonts w:ascii="Arial" w:hAnsi="Arial" w:cs="Arial"/>
                <w:sz w:val="18"/>
                <w:szCs w:val="18"/>
              </w:rPr>
            </w:pPr>
          </w:p>
        </w:tc>
        <w:tc>
          <w:tcPr>
            <w:tcW w:w="1378" w:type="dxa"/>
            <w:vAlign w:val="center"/>
          </w:tcPr>
          <w:p w14:paraId="097E8FE9" w14:textId="77777777" w:rsidR="00C15D6A" w:rsidRPr="005C39EC" w:rsidRDefault="00C15D6A" w:rsidP="00BE7858">
            <w:pPr>
              <w:rPr>
                <w:rFonts w:ascii="Arial" w:hAnsi="Arial" w:cs="Arial"/>
                <w:sz w:val="18"/>
                <w:szCs w:val="18"/>
              </w:rPr>
            </w:pPr>
          </w:p>
        </w:tc>
        <w:tc>
          <w:tcPr>
            <w:tcW w:w="1254" w:type="dxa"/>
            <w:vAlign w:val="center"/>
          </w:tcPr>
          <w:p w14:paraId="57639670" w14:textId="77777777" w:rsidR="00C15D6A" w:rsidRPr="005C39EC" w:rsidRDefault="00C15D6A" w:rsidP="00BE7858">
            <w:pPr>
              <w:rPr>
                <w:rFonts w:ascii="Arial" w:hAnsi="Arial" w:cs="Arial"/>
                <w:sz w:val="18"/>
                <w:szCs w:val="18"/>
              </w:rPr>
            </w:pPr>
          </w:p>
        </w:tc>
        <w:tc>
          <w:tcPr>
            <w:tcW w:w="1317" w:type="dxa"/>
            <w:vAlign w:val="center"/>
          </w:tcPr>
          <w:p w14:paraId="228F3AC1" w14:textId="77777777" w:rsidR="00C15D6A" w:rsidRPr="005C39EC" w:rsidRDefault="00C15D6A" w:rsidP="00BE7858">
            <w:pPr>
              <w:rPr>
                <w:rFonts w:ascii="Arial" w:hAnsi="Arial" w:cs="Arial"/>
                <w:sz w:val="18"/>
                <w:szCs w:val="18"/>
              </w:rPr>
            </w:pPr>
          </w:p>
        </w:tc>
        <w:tc>
          <w:tcPr>
            <w:tcW w:w="1316" w:type="dxa"/>
            <w:vAlign w:val="center"/>
          </w:tcPr>
          <w:p w14:paraId="6BCDBF73" w14:textId="77777777" w:rsidR="00C15D6A" w:rsidRPr="005C39EC" w:rsidRDefault="00C15D6A" w:rsidP="00BE7858">
            <w:pPr>
              <w:rPr>
                <w:rFonts w:ascii="Arial" w:hAnsi="Arial" w:cs="Arial"/>
                <w:sz w:val="18"/>
                <w:szCs w:val="18"/>
              </w:rPr>
            </w:pPr>
          </w:p>
        </w:tc>
        <w:tc>
          <w:tcPr>
            <w:tcW w:w="1316" w:type="dxa"/>
            <w:vAlign w:val="center"/>
          </w:tcPr>
          <w:p w14:paraId="4F36879A" w14:textId="77777777" w:rsidR="00C15D6A" w:rsidRPr="005C39EC" w:rsidRDefault="00C15D6A" w:rsidP="00BE7858">
            <w:pPr>
              <w:rPr>
                <w:rFonts w:ascii="Arial" w:hAnsi="Arial" w:cs="Arial"/>
                <w:sz w:val="18"/>
                <w:szCs w:val="18"/>
              </w:rPr>
            </w:pPr>
          </w:p>
        </w:tc>
        <w:tc>
          <w:tcPr>
            <w:tcW w:w="1317" w:type="dxa"/>
            <w:vAlign w:val="center"/>
          </w:tcPr>
          <w:p w14:paraId="79FCFD47" w14:textId="77777777" w:rsidR="00C15D6A" w:rsidRPr="005C39EC" w:rsidRDefault="00C15D6A" w:rsidP="00BE7858">
            <w:pPr>
              <w:rPr>
                <w:rFonts w:ascii="Arial" w:hAnsi="Arial" w:cs="Arial"/>
                <w:sz w:val="18"/>
                <w:szCs w:val="18"/>
              </w:rPr>
            </w:pPr>
          </w:p>
        </w:tc>
      </w:tr>
      <w:tr w:rsidR="00C15D6A" w:rsidRPr="005C39EC" w14:paraId="05FCDF0F" w14:textId="77777777" w:rsidTr="00900829">
        <w:trPr>
          <w:trHeight w:val="467"/>
        </w:trPr>
        <w:tc>
          <w:tcPr>
            <w:tcW w:w="4077" w:type="dxa"/>
            <w:vAlign w:val="center"/>
          </w:tcPr>
          <w:p w14:paraId="44981948" w14:textId="77777777" w:rsidR="00C15D6A" w:rsidRPr="005C39EC" w:rsidRDefault="00C15D6A" w:rsidP="00BE7858">
            <w:pPr>
              <w:ind w:left="284"/>
              <w:rPr>
                <w:rFonts w:ascii="Arial" w:hAnsi="Arial" w:cs="Arial"/>
                <w:sz w:val="18"/>
                <w:szCs w:val="18"/>
              </w:rPr>
            </w:pPr>
            <w:r w:rsidRPr="005C39EC">
              <w:rPr>
                <w:rFonts w:ascii="Arial" w:hAnsi="Arial" w:cs="Arial"/>
                <w:sz w:val="18"/>
                <w:szCs w:val="18"/>
              </w:rPr>
              <w:t>Published &lt; 2002</w:t>
            </w:r>
          </w:p>
        </w:tc>
        <w:tc>
          <w:tcPr>
            <w:tcW w:w="1316" w:type="dxa"/>
            <w:vAlign w:val="center"/>
          </w:tcPr>
          <w:p w14:paraId="1A0EAB83" w14:textId="77777777" w:rsidR="00C15D6A" w:rsidRPr="005C39EC" w:rsidRDefault="00C15D6A" w:rsidP="00BE7858">
            <w:pPr>
              <w:rPr>
                <w:rFonts w:ascii="Arial" w:hAnsi="Arial" w:cs="Arial"/>
                <w:sz w:val="18"/>
                <w:szCs w:val="18"/>
              </w:rPr>
            </w:pPr>
            <w:r w:rsidRPr="005C39EC">
              <w:rPr>
                <w:rFonts w:ascii="Arial" w:hAnsi="Arial" w:cs="Arial"/>
                <w:sz w:val="18"/>
                <w:szCs w:val="18"/>
              </w:rPr>
              <w:t>0</w:t>
            </w:r>
          </w:p>
        </w:tc>
        <w:tc>
          <w:tcPr>
            <w:tcW w:w="1378" w:type="dxa"/>
            <w:vAlign w:val="center"/>
          </w:tcPr>
          <w:p w14:paraId="3FD67796" w14:textId="77777777" w:rsidR="00C15D6A" w:rsidRPr="005C39EC" w:rsidRDefault="00C15D6A" w:rsidP="00BE7858">
            <w:pPr>
              <w:rPr>
                <w:rFonts w:ascii="Arial" w:hAnsi="Arial" w:cs="Arial"/>
                <w:sz w:val="18"/>
                <w:szCs w:val="18"/>
              </w:rPr>
            </w:pPr>
            <w:r w:rsidRPr="005C39EC">
              <w:rPr>
                <w:rFonts w:ascii="Arial" w:hAnsi="Arial" w:cs="Arial"/>
                <w:sz w:val="18"/>
                <w:szCs w:val="18"/>
              </w:rPr>
              <w:t>0</w:t>
            </w:r>
          </w:p>
        </w:tc>
        <w:tc>
          <w:tcPr>
            <w:tcW w:w="1254" w:type="dxa"/>
            <w:vAlign w:val="center"/>
          </w:tcPr>
          <w:p w14:paraId="21B69BC5" w14:textId="77777777" w:rsidR="00C15D6A" w:rsidRPr="005C39EC" w:rsidRDefault="00C15D6A" w:rsidP="00BE7858">
            <w:pPr>
              <w:rPr>
                <w:rFonts w:ascii="Arial" w:hAnsi="Arial" w:cs="Arial"/>
                <w:sz w:val="18"/>
                <w:szCs w:val="18"/>
              </w:rPr>
            </w:pPr>
            <w:r w:rsidRPr="005C39EC">
              <w:rPr>
                <w:rFonts w:ascii="Arial" w:hAnsi="Arial" w:cs="Arial"/>
                <w:sz w:val="18"/>
                <w:szCs w:val="18"/>
              </w:rPr>
              <w:t>2</w:t>
            </w:r>
          </w:p>
        </w:tc>
        <w:tc>
          <w:tcPr>
            <w:tcW w:w="1317" w:type="dxa"/>
            <w:vAlign w:val="center"/>
          </w:tcPr>
          <w:p w14:paraId="7582AC14" w14:textId="77777777" w:rsidR="00C15D6A" w:rsidRPr="005C39EC" w:rsidRDefault="00C15D6A" w:rsidP="00BE7858">
            <w:pPr>
              <w:rPr>
                <w:rFonts w:ascii="Arial" w:hAnsi="Arial" w:cs="Arial"/>
                <w:sz w:val="18"/>
                <w:szCs w:val="18"/>
              </w:rPr>
            </w:pPr>
            <w:r w:rsidRPr="005C39EC">
              <w:rPr>
                <w:rFonts w:ascii="Arial" w:hAnsi="Arial" w:cs="Arial"/>
                <w:sz w:val="18"/>
                <w:szCs w:val="18"/>
              </w:rPr>
              <w:t>3</w:t>
            </w:r>
          </w:p>
        </w:tc>
        <w:tc>
          <w:tcPr>
            <w:tcW w:w="1316" w:type="dxa"/>
            <w:vAlign w:val="center"/>
          </w:tcPr>
          <w:p w14:paraId="31108177" w14:textId="77777777" w:rsidR="00C15D6A" w:rsidRPr="005C39EC" w:rsidRDefault="00C15D6A" w:rsidP="00BE7858">
            <w:pPr>
              <w:rPr>
                <w:rFonts w:ascii="Arial" w:hAnsi="Arial" w:cs="Arial"/>
                <w:sz w:val="18"/>
                <w:szCs w:val="18"/>
              </w:rPr>
            </w:pPr>
            <w:r w:rsidRPr="005C39EC">
              <w:rPr>
                <w:rFonts w:ascii="Arial" w:hAnsi="Arial" w:cs="Arial"/>
                <w:sz w:val="18"/>
                <w:szCs w:val="18"/>
              </w:rPr>
              <w:t>4</w:t>
            </w:r>
          </w:p>
        </w:tc>
        <w:tc>
          <w:tcPr>
            <w:tcW w:w="1316" w:type="dxa"/>
            <w:vAlign w:val="center"/>
          </w:tcPr>
          <w:p w14:paraId="614371FE" w14:textId="77777777" w:rsidR="00C15D6A" w:rsidRPr="005C39EC" w:rsidRDefault="00C15D6A" w:rsidP="00BE7858">
            <w:pPr>
              <w:rPr>
                <w:rFonts w:ascii="Arial" w:hAnsi="Arial" w:cs="Arial"/>
                <w:sz w:val="18"/>
                <w:szCs w:val="18"/>
              </w:rPr>
            </w:pPr>
            <w:r w:rsidRPr="005C39EC">
              <w:rPr>
                <w:rFonts w:ascii="Arial" w:hAnsi="Arial" w:cs="Arial"/>
                <w:sz w:val="18"/>
                <w:szCs w:val="18"/>
              </w:rPr>
              <w:t>0</w:t>
            </w:r>
          </w:p>
        </w:tc>
        <w:tc>
          <w:tcPr>
            <w:tcW w:w="1317" w:type="dxa"/>
            <w:vAlign w:val="center"/>
          </w:tcPr>
          <w:p w14:paraId="73790D37" w14:textId="77777777" w:rsidR="00C15D6A" w:rsidRPr="005C39EC" w:rsidRDefault="00C15D6A" w:rsidP="00BE7858">
            <w:pPr>
              <w:rPr>
                <w:rFonts w:ascii="Arial" w:hAnsi="Arial" w:cs="Arial"/>
                <w:sz w:val="18"/>
                <w:szCs w:val="18"/>
              </w:rPr>
            </w:pPr>
            <w:r w:rsidRPr="005C39EC">
              <w:rPr>
                <w:rFonts w:ascii="Arial" w:hAnsi="Arial" w:cs="Arial"/>
                <w:sz w:val="18"/>
                <w:szCs w:val="18"/>
              </w:rPr>
              <w:t>6</w:t>
            </w:r>
          </w:p>
        </w:tc>
      </w:tr>
      <w:tr w:rsidR="00C15D6A" w:rsidRPr="005C39EC" w14:paraId="0CF7E640" w14:textId="77777777" w:rsidTr="00900829">
        <w:trPr>
          <w:trHeight w:val="467"/>
        </w:trPr>
        <w:tc>
          <w:tcPr>
            <w:tcW w:w="4077" w:type="dxa"/>
            <w:vAlign w:val="center"/>
          </w:tcPr>
          <w:p w14:paraId="51060177" w14:textId="77777777" w:rsidR="00C15D6A" w:rsidRPr="005C39EC" w:rsidRDefault="00C15D6A" w:rsidP="00BE7858">
            <w:pPr>
              <w:ind w:left="284"/>
              <w:rPr>
                <w:rFonts w:ascii="Arial" w:hAnsi="Arial" w:cs="Arial"/>
                <w:sz w:val="18"/>
                <w:szCs w:val="18"/>
              </w:rPr>
            </w:pPr>
            <w:r w:rsidRPr="005C39EC">
              <w:rPr>
                <w:rFonts w:ascii="Arial" w:hAnsi="Arial" w:cs="Arial"/>
                <w:sz w:val="18"/>
                <w:szCs w:val="18"/>
              </w:rPr>
              <w:t>Published 2002-2008</w:t>
            </w:r>
          </w:p>
        </w:tc>
        <w:tc>
          <w:tcPr>
            <w:tcW w:w="1316" w:type="dxa"/>
            <w:vAlign w:val="center"/>
          </w:tcPr>
          <w:p w14:paraId="6E7302DA" w14:textId="77777777" w:rsidR="00C15D6A" w:rsidRPr="005C39EC" w:rsidRDefault="00C15D6A" w:rsidP="00BE7858">
            <w:pPr>
              <w:rPr>
                <w:rFonts w:ascii="Arial" w:hAnsi="Arial" w:cs="Arial"/>
                <w:sz w:val="18"/>
                <w:szCs w:val="18"/>
              </w:rPr>
            </w:pPr>
            <w:r w:rsidRPr="005C39EC">
              <w:rPr>
                <w:rFonts w:ascii="Arial" w:hAnsi="Arial" w:cs="Arial"/>
                <w:sz w:val="18"/>
                <w:szCs w:val="18"/>
              </w:rPr>
              <w:t>7</w:t>
            </w:r>
          </w:p>
        </w:tc>
        <w:tc>
          <w:tcPr>
            <w:tcW w:w="1378" w:type="dxa"/>
            <w:vAlign w:val="center"/>
          </w:tcPr>
          <w:p w14:paraId="4D41501E" w14:textId="77777777" w:rsidR="00C15D6A" w:rsidRPr="005C39EC" w:rsidRDefault="00C15D6A" w:rsidP="00BE7858">
            <w:pPr>
              <w:rPr>
                <w:rFonts w:ascii="Arial" w:hAnsi="Arial" w:cs="Arial"/>
                <w:sz w:val="18"/>
                <w:szCs w:val="18"/>
              </w:rPr>
            </w:pPr>
            <w:r w:rsidRPr="005C39EC">
              <w:rPr>
                <w:rFonts w:ascii="Arial" w:hAnsi="Arial" w:cs="Arial"/>
                <w:sz w:val="18"/>
                <w:szCs w:val="18"/>
              </w:rPr>
              <w:t>7</w:t>
            </w:r>
          </w:p>
        </w:tc>
        <w:tc>
          <w:tcPr>
            <w:tcW w:w="1254" w:type="dxa"/>
            <w:vAlign w:val="center"/>
          </w:tcPr>
          <w:p w14:paraId="5DAB7087" w14:textId="77777777" w:rsidR="00C15D6A" w:rsidRPr="005C39EC" w:rsidRDefault="00C15D6A" w:rsidP="00BE7858">
            <w:pPr>
              <w:rPr>
                <w:rFonts w:ascii="Arial" w:hAnsi="Arial" w:cs="Arial"/>
                <w:sz w:val="18"/>
                <w:szCs w:val="18"/>
              </w:rPr>
            </w:pPr>
            <w:r w:rsidRPr="005C39EC">
              <w:rPr>
                <w:rFonts w:ascii="Arial" w:hAnsi="Arial" w:cs="Arial"/>
                <w:sz w:val="18"/>
                <w:szCs w:val="18"/>
              </w:rPr>
              <w:t>9</w:t>
            </w:r>
          </w:p>
        </w:tc>
        <w:tc>
          <w:tcPr>
            <w:tcW w:w="1317" w:type="dxa"/>
            <w:vAlign w:val="center"/>
          </w:tcPr>
          <w:p w14:paraId="1508DEE3" w14:textId="77777777" w:rsidR="00C15D6A" w:rsidRPr="005C39EC" w:rsidRDefault="00C15D6A" w:rsidP="00BE7858">
            <w:pPr>
              <w:rPr>
                <w:rFonts w:ascii="Arial" w:hAnsi="Arial" w:cs="Arial"/>
                <w:sz w:val="18"/>
                <w:szCs w:val="18"/>
              </w:rPr>
            </w:pPr>
            <w:r w:rsidRPr="005C39EC">
              <w:rPr>
                <w:rFonts w:ascii="Arial" w:hAnsi="Arial" w:cs="Arial"/>
                <w:sz w:val="18"/>
                <w:szCs w:val="18"/>
              </w:rPr>
              <w:t>4</w:t>
            </w:r>
          </w:p>
        </w:tc>
        <w:tc>
          <w:tcPr>
            <w:tcW w:w="1316" w:type="dxa"/>
            <w:vAlign w:val="center"/>
          </w:tcPr>
          <w:p w14:paraId="105B56E7" w14:textId="77777777" w:rsidR="00C15D6A" w:rsidRPr="005C39EC" w:rsidRDefault="00C15D6A" w:rsidP="00BE7858">
            <w:pPr>
              <w:rPr>
                <w:rFonts w:ascii="Arial" w:hAnsi="Arial" w:cs="Arial"/>
                <w:sz w:val="18"/>
                <w:szCs w:val="18"/>
              </w:rPr>
            </w:pPr>
            <w:r w:rsidRPr="005C39EC">
              <w:rPr>
                <w:rFonts w:ascii="Arial" w:hAnsi="Arial" w:cs="Arial"/>
                <w:sz w:val="18"/>
                <w:szCs w:val="18"/>
              </w:rPr>
              <w:t>6</w:t>
            </w:r>
          </w:p>
        </w:tc>
        <w:tc>
          <w:tcPr>
            <w:tcW w:w="1316" w:type="dxa"/>
            <w:vAlign w:val="center"/>
          </w:tcPr>
          <w:p w14:paraId="1B218462" w14:textId="77777777" w:rsidR="00C15D6A" w:rsidRPr="005C39EC" w:rsidRDefault="00C15D6A" w:rsidP="00BE7858">
            <w:pPr>
              <w:rPr>
                <w:rFonts w:ascii="Arial" w:hAnsi="Arial" w:cs="Arial"/>
                <w:sz w:val="18"/>
                <w:szCs w:val="18"/>
              </w:rPr>
            </w:pPr>
            <w:r w:rsidRPr="005C39EC">
              <w:rPr>
                <w:rFonts w:ascii="Arial" w:hAnsi="Arial" w:cs="Arial"/>
                <w:sz w:val="18"/>
                <w:szCs w:val="18"/>
              </w:rPr>
              <w:t>7</w:t>
            </w:r>
          </w:p>
        </w:tc>
        <w:tc>
          <w:tcPr>
            <w:tcW w:w="1317" w:type="dxa"/>
            <w:vAlign w:val="center"/>
          </w:tcPr>
          <w:p w14:paraId="6FE05A5F" w14:textId="77777777" w:rsidR="00C15D6A" w:rsidRPr="005C39EC" w:rsidRDefault="00C15D6A" w:rsidP="00BE7858">
            <w:pPr>
              <w:rPr>
                <w:rFonts w:ascii="Arial" w:hAnsi="Arial" w:cs="Arial"/>
                <w:sz w:val="18"/>
                <w:szCs w:val="18"/>
              </w:rPr>
            </w:pPr>
            <w:r w:rsidRPr="005C39EC">
              <w:rPr>
                <w:rFonts w:ascii="Arial" w:hAnsi="Arial" w:cs="Arial"/>
                <w:sz w:val="18"/>
                <w:szCs w:val="18"/>
              </w:rPr>
              <w:t>13</w:t>
            </w:r>
          </w:p>
        </w:tc>
      </w:tr>
      <w:tr w:rsidR="00C15D6A" w:rsidRPr="005C39EC" w14:paraId="230E25ED" w14:textId="77777777" w:rsidTr="00900829">
        <w:trPr>
          <w:trHeight w:val="467"/>
        </w:trPr>
        <w:tc>
          <w:tcPr>
            <w:tcW w:w="4077" w:type="dxa"/>
            <w:vAlign w:val="center"/>
          </w:tcPr>
          <w:p w14:paraId="1D48E2EB" w14:textId="77777777" w:rsidR="00C15D6A" w:rsidRPr="005C39EC" w:rsidRDefault="00C15D6A" w:rsidP="00BE7858">
            <w:pPr>
              <w:ind w:left="284"/>
              <w:rPr>
                <w:rFonts w:ascii="Arial" w:hAnsi="Arial" w:cs="Arial"/>
                <w:sz w:val="18"/>
                <w:szCs w:val="18"/>
              </w:rPr>
            </w:pPr>
            <w:r w:rsidRPr="005C39EC">
              <w:rPr>
                <w:rFonts w:ascii="Arial" w:hAnsi="Arial" w:cs="Arial"/>
                <w:sz w:val="18"/>
                <w:szCs w:val="18"/>
              </w:rPr>
              <w:t>Published &gt;2008</w:t>
            </w:r>
          </w:p>
        </w:tc>
        <w:tc>
          <w:tcPr>
            <w:tcW w:w="1316" w:type="dxa"/>
            <w:vAlign w:val="center"/>
          </w:tcPr>
          <w:p w14:paraId="103617A8" w14:textId="77777777" w:rsidR="00C15D6A" w:rsidRPr="005C39EC" w:rsidRDefault="00C15D6A" w:rsidP="00BE7858">
            <w:pPr>
              <w:rPr>
                <w:rFonts w:ascii="Arial" w:hAnsi="Arial" w:cs="Arial"/>
                <w:sz w:val="18"/>
                <w:szCs w:val="18"/>
              </w:rPr>
            </w:pPr>
            <w:r w:rsidRPr="005C39EC">
              <w:rPr>
                <w:rFonts w:ascii="Arial" w:hAnsi="Arial" w:cs="Arial"/>
                <w:sz w:val="18"/>
                <w:szCs w:val="18"/>
              </w:rPr>
              <w:t>3</w:t>
            </w:r>
          </w:p>
        </w:tc>
        <w:tc>
          <w:tcPr>
            <w:tcW w:w="1378" w:type="dxa"/>
            <w:vAlign w:val="center"/>
          </w:tcPr>
          <w:p w14:paraId="06364A0C" w14:textId="77777777" w:rsidR="00C15D6A" w:rsidRPr="005C39EC" w:rsidRDefault="00C15D6A" w:rsidP="00BE7858">
            <w:pPr>
              <w:rPr>
                <w:rFonts w:ascii="Arial" w:hAnsi="Arial" w:cs="Arial"/>
                <w:sz w:val="18"/>
                <w:szCs w:val="18"/>
              </w:rPr>
            </w:pPr>
            <w:r w:rsidRPr="005C39EC">
              <w:rPr>
                <w:rFonts w:ascii="Arial" w:hAnsi="Arial" w:cs="Arial"/>
                <w:sz w:val="18"/>
                <w:szCs w:val="18"/>
              </w:rPr>
              <w:t>0</w:t>
            </w:r>
          </w:p>
        </w:tc>
        <w:tc>
          <w:tcPr>
            <w:tcW w:w="1254" w:type="dxa"/>
            <w:vAlign w:val="center"/>
          </w:tcPr>
          <w:p w14:paraId="6BC362CF" w14:textId="77777777" w:rsidR="00C15D6A" w:rsidRPr="005C39EC" w:rsidRDefault="00C15D6A" w:rsidP="00BE7858">
            <w:pPr>
              <w:rPr>
                <w:rFonts w:ascii="Arial" w:hAnsi="Arial" w:cs="Arial"/>
                <w:sz w:val="18"/>
                <w:szCs w:val="18"/>
              </w:rPr>
            </w:pPr>
            <w:r w:rsidRPr="005C39EC">
              <w:rPr>
                <w:rFonts w:ascii="Arial" w:hAnsi="Arial" w:cs="Arial"/>
                <w:sz w:val="18"/>
                <w:szCs w:val="18"/>
              </w:rPr>
              <w:t>0</w:t>
            </w:r>
          </w:p>
        </w:tc>
        <w:tc>
          <w:tcPr>
            <w:tcW w:w="1317" w:type="dxa"/>
            <w:vAlign w:val="center"/>
          </w:tcPr>
          <w:p w14:paraId="41B27EBC" w14:textId="77777777" w:rsidR="00C15D6A" w:rsidRPr="005C39EC" w:rsidRDefault="00C15D6A" w:rsidP="00BE7858">
            <w:pPr>
              <w:rPr>
                <w:rFonts w:ascii="Arial" w:hAnsi="Arial" w:cs="Arial"/>
                <w:sz w:val="18"/>
                <w:szCs w:val="18"/>
              </w:rPr>
            </w:pPr>
            <w:r w:rsidRPr="005C39EC">
              <w:rPr>
                <w:rFonts w:ascii="Arial" w:hAnsi="Arial" w:cs="Arial"/>
                <w:sz w:val="18"/>
                <w:szCs w:val="18"/>
              </w:rPr>
              <w:t>0</w:t>
            </w:r>
          </w:p>
        </w:tc>
        <w:tc>
          <w:tcPr>
            <w:tcW w:w="1316" w:type="dxa"/>
            <w:vAlign w:val="center"/>
          </w:tcPr>
          <w:p w14:paraId="77B4BC8C" w14:textId="77777777" w:rsidR="00C15D6A" w:rsidRPr="005C39EC" w:rsidRDefault="00C15D6A" w:rsidP="00BE7858">
            <w:pPr>
              <w:rPr>
                <w:rFonts w:ascii="Arial" w:hAnsi="Arial" w:cs="Arial"/>
                <w:sz w:val="18"/>
                <w:szCs w:val="18"/>
              </w:rPr>
            </w:pPr>
            <w:r w:rsidRPr="005C39EC">
              <w:rPr>
                <w:rFonts w:ascii="Arial" w:hAnsi="Arial" w:cs="Arial"/>
                <w:sz w:val="18"/>
                <w:szCs w:val="18"/>
              </w:rPr>
              <w:t>1</w:t>
            </w:r>
          </w:p>
        </w:tc>
        <w:tc>
          <w:tcPr>
            <w:tcW w:w="1316" w:type="dxa"/>
            <w:vAlign w:val="center"/>
          </w:tcPr>
          <w:p w14:paraId="6BB24749" w14:textId="77777777" w:rsidR="00C15D6A" w:rsidRPr="005C39EC" w:rsidRDefault="00C15D6A" w:rsidP="00BE7858">
            <w:pPr>
              <w:rPr>
                <w:rFonts w:ascii="Arial" w:hAnsi="Arial" w:cs="Arial"/>
                <w:sz w:val="18"/>
                <w:szCs w:val="18"/>
              </w:rPr>
            </w:pPr>
            <w:r w:rsidRPr="005C39EC">
              <w:rPr>
                <w:rFonts w:ascii="Arial" w:hAnsi="Arial" w:cs="Arial"/>
                <w:sz w:val="18"/>
                <w:szCs w:val="18"/>
              </w:rPr>
              <w:t>0</w:t>
            </w:r>
          </w:p>
        </w:tc>
        <w:tc>
          <w:tcPr>
            <w:tcW w:w="1317" w:type="dxa"/>
            <w:vAlign w:val="center"/>
          </w:tcPr>
          <w:p w14:paraId="3165A23F" w14:textId="77777777" w:rsidR="00C15D6A" w:rsidRPr="005C39EC" w:rsidRDefault="00C15D6A" w:rsidP="00BE7858">
            <w:pPr>
              <w:rPr>
                <w:rFonts w:ascii="Arial" w:hAnsi="Arial" w:cs="Arial"/>
                <w:sz w:val="18"/>
                <w:szCs w:val="18"/>
              </w:rPr>
            </w:pPr>
            <w:r w:rsidRPr="005C39EC">
              <w:rPr>
                <w:rFonts w:ascii="Arial" w:hAnsi="Arial" w:cs="Arial"/>
                <w:sz w:val="18"/>
                <w:szCs w:val="18"/>
              </w:rPr>
              <w:t>14</w:t>
            </w:r>
          </w:p>
        </w:tc>
      </w:tr>
      <w:tr w:rsidR="00C15D6A" w:rsidRPr="005C39EC" w14:paraId="74243B41" w14:textId="77777777" w:rsidTr="00900829">
        <w:trPr>
          <w:trHeight w:val="467"/>
        </w:trPr>
        <w:tc>
          <w:tcPr>
            <w:tcW w:w="4077" w:type="dxa"/>
            <w:vAlign w:val="center"/>
          </w:tcPr>
          <w:p w14:paraId="70D1C32C" w14:textId="77777777" w:rsidR="00C15D6A" w:rsidRPr="005C39EC" w:rsidRDefault="00C15D6A" w:rsidP="00BE7858">
            <w:pPr>
              <w:ind w:left="284"/>
              <w:rPr>
                <w:rFonts w:ascii="Arial" w:hAnsi="Arial" w:cs="Arial"/>
                <w:sz w:val="18"/>
                <w:szCs w:val="18"/>
              </w:rPr>
            </w:pPr>
            <w:r w:rsidRPr="005C39EC">
              <w:rPr>
                <w:rFonts w:ascii="Arial" w:hAnsi="Arial" w:cs="Arial"/>
                <w:sz w:val="18"/>
                <w:szCs w:val="18"/>
              </w:rPr>
              <w:t>No. that were not primary data</w:t>
            </w:r>
          </w:p>
        </w:tc>
        <w:tc>
          <w:tcPr>
            <w:tcW w:w="1316" w:type="dxa"/>
            <w:vAlign w:val="center"/>
          </w:tcPr>
          <w:p w14:paraId="3A39532A" w14:textId="77777777" w:rsidR="00C15D6A" w:rsidRPr="005C39EC" w:rsidRDefault="00C15D6A" w:rsidP="00BE7858">
            <w:pPr>
              <w:rPr>
                <w:rFonts w:ascii="Arial" w:hAnsi="Arial" w:cs="Arial"/>
                <w:sz w:val="18"/>
                <w:szCs w:val="18"/>
              </w:rPr>
            </w:pPr>
            <w:r w:rsidRPr="005C39EC">
              <w:rPr>
                <w:rFonts w:ascii="Arial" w:hAnsi="Arial" w:cs="Arial"/>
                <w:sz w:val="18"/>
                <w:szCs w:val="18"/>
              </w:rPr>
              <w:t>1</w:t>
            </w:r>
          </w:p>
        </w:tc>
        <w:tc>
          <w:tcPr>
            <w:tcW w:w="1378" w:type="dxa"/>
            <w:vAlign w:val="center"/>
          </w:tcPr>
          <w:p w14:paraId="4438468D" w14:textId="77777777" w:rsidR="00C15D6A" w:rsidRPr="005C39EC" w:rsidRDefault="00C15D6A" w:rsidP="00BE7858">
            <w:pPr>
              <w:rPr>
                <w:rFonts w:ascii="Arial" w:hAnsi="Arial" w:cs="Arial"/>
                <w:sz w:val="18"/>
                <w:szCs w:val="18"/>
              </w:rPr>
            </w:pPr>
            <w:r w:rsidRPr="005C39EC">
              <w:rPr>
                <w:rFonts w:ascii="Arial" w:hAnsi="Arial" w:cs="Arial"/>
                <w:sz w:val="18"/>
                <w:szCs w:val="18"/>
              </w:rPr>
              <w:t>1</w:t>
            </w:r>
          </w:p>
        </w:tc>
        <w:tc>
          <w:tcPr>
            <w:tcW w:w="1254" w:type="dxa"/>
            <w:vAlign w:val="center"/>
          </w:tcPr>
          <w:p w14:paraId="3DF77653" w14:textId="77777777" w:rsidR="00C15D6A" w:rsidRPr="005C39EC" w:rsidRDefault="00C15D6A" w:rsidP="00BE7858">
            <w:pPr>
              <w:rPr>
                <w:rFonts w:ascii="Arial" w:hAnsi="Arial" w:cs="Arial"/>
                <w:sz w:val="18"/>
                <w:szCs w:val="18"/>
              </w:rPr>
            </w:pPr>
            <w:r w:rsidRPr="005C39EC">
              <w:rPr>
                <w:rFonts w:ascii="Arial" w:hAnsi="Arial" w:cs="Arial"/>
                <w:sz w:val="18"/>
                <w:szCs w:val="18"/>
              </w:rPr>
              <w:t>5</w:t>
            </w:r>
          </w:p>
        </w:tc>
        <w:tc>
          <w:tcPr>
            <w:tcW w:w="1317" w:type="dxa"/>
            <w:vAlign w:val="center"/>
          </w:tcPr>
          <w:p w14:paraId="59832598" w14:textId="77777777" w:rsidR="00C15D6A" w:rsidRPr="005C39EC" w:rsidRDefault="00C15D6A" w:rsidP="00BE7858">
            <w:pPr>
              <w:rPr>
                <w:rFonts w:ascii="Arial" w:hAnsi="Arial" w:cs="Arial"/>
                <w:sz w:val="18"/>
                <w:szCs w:val="18"/>
              </w:rPr>
            </w:pPr>
            <w:r w:rsidRPr="005C39EC">
              <w:rPr>
                <w:rFonts w:ascii="Arial" w:hAnsi="Arial" w:cs="Arial"/>
                <w:sz w:val="18"/>
                <w:szCs w:val="18"/>
              </w:rPr>
              <w:t>0</w:t>
            </w:r>
          </w:p>
        </w:tc>
        <w:tc>
          <w:tcPr>
            <w:tcW w:w="1316" w:type="dxa"/>
            <w:vAlign w:val="center"/>
          </w:tcPr>
          <w:p w14:paraId="17461116" w14:textId="77777777" w:rsidR="00C15D6A" w:rsidRPr="005C39EC" w:rsidRDefault="00C15D6A" w:rsidP="00BE7858">
            <w:pPr>
              <w:rPr>
                <w:rFonts w:ascii="Arial" w:hAnsi="Arial" w:cs="Arial"/>
                <w:sz w:val="18"/>
                <w:szCs w:val="18"/>
              </w:rPr>
            </w:pPr>
            <w:r w:rsidRPr="005C39EC">
              <w:rPr>
                <w:rFonts w:ascii="Arial" w:hAnsi="Arial" w:cs="Arial"/>
                <w:sz w:val="18"/>
                <w:szCs w:val="18"/>
              </w:rPr>
              <w:t>2</w:t>
            </w:r>
          </w:p>
        </w:tc>
        <w:tc>
          <w:tcPr>
            <w:tcW w:w="1316" w:type="dxa"/>
            <w:vAlign w:val="center"/>
          </w:tcPr>
          <w:p w14:paraId="760A3CCD" w14:textId="77777777" w:rsidR="00C15D6A" w:rsidRPr="005C39EC" w:rsidRDefault="00C15D6A" w:rsidP="00BE7858">
            <w:pPr>
              <w:rPr>
                <w:rFonts w:ascii="Arial" w:hAnsi="Arial" w:cs="Arial"/>
                <w:sz w:val="18"/>
                <w:szCs w:val="18"/>
              </w:rPr>
            </w:pPr>
            <w:r w:rsidRPr="005C39EC">
              <w:rPr>
                <w:rFonts w:ascii="Arial" w:hAnsi="Arial" w:cs="Arial"/>
                <w:sz w:val="18"/>
                <w:szCs w:val="18"/>
              </w:rPr>
              <w:t>6</w:t>
            </w:r>
          </w:p>
        </w:tc>
        <w:tc>
          <w:tcPr>
            <w:tcW w:w="1317" w:type="dxa"/>
            <w:vAlign w:val="center"/>
          </w:tcPr>
          <w:p w14:paraId="01CB6D14" w14:textId="77777777" w:rsidR="00C15D6A" w:rsidRPr="005C39EC" w:rsidRDefault="00C15D6A" w:rsidP="00BE7858">
            <w:pPr>
              <w:rPr>
                <w:rFonts w:ascii="Arial" w:hAnsi="Arial" w:cs="Arial"/>
                <w:sz w:val="18"/>
                <w:szCs w:val="18"/>
              </w:rPr>
            </w:pPr>
            <w:r w:rsidRPr="005C39EC">
              <w:rPr>
                <w:rFonts w:ascii="Arial" w:hAnsi="Arial" w:cs="Arial"/>
                <w:sz w:val="18"/>
                <w:szCs w:val="18"/>
              </w:rPr>
              <w:t>0</w:t>
            </w:r>
          </w:p>
        </w:tc>
      </w:tr>
    </w:tbl>
    <w:p w14:paraId="2D022627" w14:textId="77777777" w:rsidR="00C15D6A" w:rsidRPr="005C39EC" w:rsidRDefault="00C15D6A" w:rsidP="00BE7858">
      <w:pPr>
        <w:rPr>
          <w:rFonts w:cs="Arial"/>
          <w:b/>
          <w:sz w:val="18"/>
          <w:szCs w:val="20"/>
        </w:rPr>
      </w:pPr>
      <w:proofErr w:type="gramStart"/>
      <w:r w:rsidRPr="005C39EC">
        <w:rPr>
          <w:rFonts w:cs="Arial"/>
          <w:b/>
          <w:sz w:val="18"/>
          <w:szCs w:val="20"/>
          <w:vertAlign w:val="superscript"/>
        </w:rPr>
        <w:t>a</w:t>
      </w:r>
      <w:proofErr w:type="gramEnd"/>
      <w:r w:rsidRPr="005C39EC">
        <w:rPr>
          <w:rFonts w:cs="Arial"/>
          <w:b/>
          <w:sz w:val="18"/>
          <w:szCs w:val="20"/>
        </w:rPr>
        <w:t xml:space="preserve"> </w:t>
      </w:r>
      <w:r w:rsidRPr="005C39EC">
        <w:rPr>
          <w:rFonts w:cs="Arial"/>
          <w:sz w:val="18"/>
          <w:szCs w:val="20"/>
        </w:rPr>
        <w:t>Noting that SD1 also summarised 3 reviews covering other health effects associated with the timing of solid food introduction. Development of allergies &amp; allergic disease is the only health effect for which there appeared to be current debate and significant new research indicating risk</w:t>
      </w:r>
      <w:r w:rsidRPr="005C39EC">
        <w:rPr>
          <w:rFonts w:cs="Arial"/>
          <w:b/>
          <w:sz w:val="18"/>
          <w:szCs w:val="20"/>
        </w:rPr>
        <w:t>.</w:t>
      </w:r>
    </w:p>
    <w:p w14:paraId="467E622F" w14:textId="77777777" w:rsidR="00C15D6A" w:rsidRPr="005C39EC" w:rsidRDefault="00C15D6A" w:rsidP="00BE7858">
      <w:pPr>
        <w:rPr>
          <w:rFonts w:cs="Arial"/>
          <w:b/>
          <w:sz w:val="18"/>
          <w:szCs w:val="20"/>
        </w:rPr>
      </w:pPr>
    </w:p>
    <w:p w14:paraId="798991DE" w14:textId="77777777" w:rsidR="00C15D6A" w:rsidRPr="005C39EC" w:rsidRDefault="00C15D6A" w:rsidP="00BE7858">
      <w:pPr>
        <w:rPr>
          <w:rFonts w:cs="Arial"/>
          <w:b/>
          <w:sz w:val="18"/>
        </w:rPr>
      </w:pPr>
      <w:proofErr w:type="gramStart"/>
      <w:r w:rsidRPr="005C39EC">
        <w:rPr>
          <w:rFonts w:cs="Arial"/>
          <w:b/>
          <w:sz w:val="18"/>
          <w:szCs w:val="20"/>
          <w:vertAlign w:val="superscript"/>
        </w:rPr>
        <w:t>b</w:t>
      </w:r>
      <w:proofErr w:type="gramEnd"/>
      <w:r w:rsidRPr="005C39EC">
        <w:rPr>
          <w:rFonts w:cs="Arial"/>
          <w:b/>
          <w:sz w:val="18"/>
          <w:szCs w:val="20"/>
          <w:vertAlign w:val="superscript"/>
        </w:rPr>
        <w:t xml:space="preserve"> </w:t>
      </w:r>
      <w:r w:rsidRPr="005C39EC">
        <w:rPr>
          <w:rFonts w:cs="Arial"/>
          <w:sz w:val="18"/>
          <w:szCs w:val="20"/>
        </w:rPr>
        <w:t>Abbreviations: NHMRC = National Health and Medical Research Council; IFG = Infant Feeding Guidelines; ADG = Australian Dietary Guidelines; ESPGHAN = European Society for Paediatric Gastroenterology, Hepatology, and Nutrition; AAP = American Academy of Pediatrics; EFSA = European Food and Safety Authority; ASCIA = Australasian Society of Clinical Immunology and Allergy; N.S = not specified.</w:t>
      </w:r>
    </w:p>
    <w:p w14:paraId="2DADE7F6" w14:textId="77777777" w:rsidR="00C15D6A" w:rsidRPr="005C39EC" w:rsidRDefault="00C15D6A" w:rsidP="00BE7858">
      <w:pPr>
        <w:rPr>
          <w:rFonts w:cs="Arial"/>
          <w:b/>
          <w:sz w:val="20"/>
          <w:szCs w:val="20"/>
          <w:vertAlign w:val="superscript"/>
        </w:rPr>
      </w:pPr>
    </w:p>
    <w:p w14:paraId="3DBD0ED7" w14:textId="77777777" w:rsidR="00905C60" w:rsidRPr="005C39EC" w:rsidRDefault="0014171C" w:rsidP="00BE7858">
      <w:pPr>
        <w:rPr>
          <w:rFonts w:cs="Arial"/>
        </w:rPr>
        <w:sectPr w:rsidR="00905C60" w:rsidRPr="005C39EC" w:rsidSect="00905C60">
          <w:pgSz w:w="16838" w:h="11906" w:orient="landscape"/>
          <w:pgMar w:top="1440" w:right="1440" w:bottom="1440" w:left="1440" w:header="706" w:footer="706" w:gutter="0"/>
          <w:cols w:space="708"/>
          <w:docGrid w:linePitch="360"/>
        </w:sectPr>
      </w:pPr>
      <w:r w:rsidRPr="005C39EC">
        <w:rPr>
          <w:rFonts w:cs="Arial"/>
        </w:rPr>
        <w:br w:type="page"/>
      </w:r>
    </w:p>
    <w:p w14:paraId="764FA957" w14:textId="77777777" w:rsidR="00DB493F" w:rsidRPr="005C39EC" w:rsidRDefault="00DB493F" w:rsidP="00BE7858">
      <w:pPr>
        <w:pStyle w:val="Heading1"/>
        <w:numPr>
          <w:ilvl w:val="0"/>
          <w:numId w:val="0"/>
        </w:numPr>
        <w:rPr>
          <w:rFonts w:cs="Arial"/>
        </w:rPr>
      </w:pPr>
      <w:bookmarkStart w:id="32" w:name="_Toc399945841"/>
      <w:r w:rsidRPr="005C39EC">
        <w:rPr>
          <w:rFonts w:cs="Arial"/>
        </w:rPr>
        <w:lastRenderedPageBreak/>
        <w:t>Attachment 3</w:t>
      </w:r>
      <w:r w:rsidR="00CE53F1" w:rsidRPr="005C39EC">
        <w:rPr>
          <w:rFonts w:cs="Arial"/>
        </w:rPr>
        <w:t>:</w:t>
      </w:r>
      <w:r w:rsidRPr="005C39EC">
        <w:rPr>
          <w:rFonts w:cs="Arial"/>
        </w:rPr>
        <w:t xml:space="preserve"> Summary of issues considered in FSANZ risk assessments relating to the age of introduction of solid foods</w:t>
      </w:r>
      <w:bookmarkEnd w:id="32"/>
    </w:p>
    <w:tbl>
      <w:tblPr>
        <w:tblStyle w:val="TableGrid"/>
        <w:tblW w:w="9072" w:type="dxa"/>
        <w:tblLook w:val="04A0" w:firstRow="1" w:lastRow="0" w:firstColumn="1" w:lastColumn="0" w:noHBand="0" w:noVBand="1"/>
      </w:tblPr>
      <w:tblGrid>
        <w:gridCol w:w="1382"/>
        <w:gridCol w:w="2993"/>
        <w:gridCol w:w="4697"/>
      </w:tblGrid>
      <w:tr w:rsidR="00DB493F" w:rsidRPr="005C39EC" w14:paraId="148C5EF2" w14:textId="77777777" w:rsidTr="00FD1ED3">
        <w:trPr>
          <w:tblHeader/>
        </w:trPr>
        <w:tc>
          <w:tcPr>
            <w:tcW w:w="1384" w:type="dxa"/>
            <w:tcBorders>
              <w:bottom w:val="single" w:sz="4" w:space="0" w:color="000000"/>
            </w:tcBorders>
            <w:shd w:val="clear" w:color="auto" w:fill="EAF1DD" w:themeFill="accent3" w:themeFillTint="33"/>
          </w:tcPr>
          <w:p w14:paraId="51425EE1" w14:textId="77777777" w:rsidR="00DB493F" w:rsidRDefault="00DB493F" w:rsidP="00BE7858">
            <w:pPr>
              <w:rPr>
                <w:rFonts w:ascii="Arial" w:hAnsi="Arial" w:cs="Arial"/>
                <w:b/>
              </w:rPr>
            </w:pPr>
            <w:r w:rsidRPr="005C39EC">
              <w:rPr>
                <w:rFonts w:ascii="Arial" w:hAnsi="Arial" w:cs="Arial"/>
                <w:b/>
              </w:rPr>
              <w:t>Date of assessment</w:t>
            </w:r>
          </w:p>
          <w:p w14:paraId="692053FB" w14:textId="77777777" w:rsidR="00FD1ED3" w:rsidRPr="005C39EC" w:rsidRDefault="00FD1ED3" w:rsidP="00BE7858">
            <w:pPr>
              <w:rPr>
                <w:rFonts w:ascii="Arial" w:hAnsi="Arial" w:cs="Arial"/>
                <w:b/>
              </w:rPr>
            </w:pPr>
          </w:p>
        </w:tc>
        <w:tc>
          <w:tcPr>
            <w:tcW w:w="3119" w:type="dxa"/>
            <w:shd w:val="clear" w:color="auto" w:fill="EAF1DD" w:themeFill="accent3" w:themeFillTint="33"/>
          </w:tcPr>
          <w:p w14:paraId="1842BB3F" w14:textId="77777777" w:rsidR="00DB493F" w:rsidRPr="005C39EC" w:rsidRDefault="00DB493F" w:rsidP="00BE7858">
            <w:pPr>
              <w:pStyle w:val="FSBullet1"/>
              <w:numPr>
                <w:ilvl w:val="0"/>
                <w:numId w:val="0"/>
              </w:numPr>
              <w:rPr>
                <w:rFonts w:ascii="Arial" w:hAnsi="Arial"/>
                <w:b/>
              </w:rPr>
            </w:pPr>
            <w:r w:rsidRPr="005C39EC">
              <w:rPr>
                <w:rFonts w:ascii="Arial" w:hAnsi="Arial"/>
                <w:b/>
              </w:rPr>
              <w:t>Issues considered</w:t>
            </w:r>
          </w:p>
        </w:tc>
        <w:tc>
          <w:tcPr>
            <w:tcW w:w="4961" w:type="dxa"/>
            <w:shd w:val="clear" w:color="auto" w:fill="EAF1DD" w:themeFill="accent3" w:themeFillTint="33"/>
          </w:tcPr>
          <w:p w14:paraId="53162B6A" w14:textId="77777777" w:rsidR="00DB493F" w:rsidRPr="005C39EC" w:rsidRDefault="00DB493F" w:rsidP="00BE7858">
            <w:pPr>
              <w:rPr>
                <w:rFonts w:ascii="Arial" w:hAnsi="Arial" w:cs="Arial"/>
                <w:b/>
              </w:rPr>
            </w:pPr>
            <w:r w:rsidRPr="005C39EC">
              <w:rPr>
                <w:rFonts w:ascii="Arial" w:hAnsi="Arial" w:cs="Arial"/>
                <w:b/>
              </w:rPr>
              <w:t>Conclusions</w:t>
            </w:r>
          </w:p>
        </w:tc>
      </w:tr>
      <w:tr w:rsidR="00DB493F" w:rsidRPr="005C39EC" w14:paraId="0D741313" w14:textId="77777777" w:rsidTr="00FD1ED3">
        <w:tc>
          <w:tcPr>
            <w:tcW w:w="1384" w:type="dxa"/>
            <w:tcBorders>
              <w:bottom w:val="nil"/>
            </w:tcBorders>
          </w:tcPr>
          <w:p w14:paraId="682330CB" w14:textId="77777777" w:rsidR="00DB493F" w:rsidRPr="005C39EC" w:rsidRDefault="00DB493F" w:rsidP="00BE7858">
            <w:pPr>
              <w:rPr>
                <w:rFonts w:ascii="Arial" w:hAnsi="Arial" w:cs="Arial"/>
                <w:b/>
              </w:rPr>
            </w:pPr>
            <w:r w:rsidRPr="005C39EC">
              <w:rPr>
                <w:rFonts w:ascii="Arial" w:hAnsi="Arial" w:cs="Arial"/>
                <w:b/>
              </w:rPr>
              <w:t>August 2008</w:t>
            </w:r>
          </w:p>
        </w:tc>
        <w:tc>
          <w:tcPr>
            <w:tcW w:w="3119" w:type="dxa"/>
          </w:tcPr>
          <w:p w14:paraId="7A3EB254" w14:textId="77777777" w:rsidR="00DB493F" w:rsidRDefault="00DB493F" w:rsidP="00BE7858">
            <w:pPr>
              <w:pStyle w:val="FSBullet1"/>
              <w:numPr>
                <w:ilvl w:val="0"/>
                <w:numId w:val="0"/>
              </w:numPr>
              <w:rPr>
                <w:rFonts w:ascii="Arial" w:hAnsi="Arial"/>
              </w:rPr>
            </w:pPr>
            <w:r w:rsidRPr="005C39EC">
              <w:rPr>
                <w:rFonts w:ascii="Arial" w:hAnsi="Arial"/>
              </w:rPr>
              <w:t>Potential for displacement of breast milk and/or formula, any changes in energy intake, and whether growth outcomes are adversely affected</w:t>
            </w:r>
          </w:p>
          <w:p w14:paraId="2913D582" w14:textId="77777777" w:rsidR="00FD1ED3" w:rsidRPr="00FD1ED3" w:rsidRDefault="00FD1ED3" w:rsidP="00FD1ED3"/>
        </w:tc>
        <w:tc>
          <w:tcPr>
            <w:tcW w:w="4961" w:type="dxa"/>
          </w:tcPr>
          <w:p w14:paraId="78F29611" w14:textId="77777777" w:rsidR="00DB493F" w:rsidRPr="005C39EC" w:rsidRDefault="00DB493F" w:rsidP="00BE7858">
            <w:pPr>
              <w:rPr>
                <w:rFonts w:ascii="Arial" w:hAnsi="Arial" w:cs="Arial"/>
              </w:rPr>
            </w:pPr>
            <w:r w:rsidRPr="005C39EC">
              <w:rPr>
                <w:rFonts w:ascii="Arial" w:hAnsi="Arial" w:cs="Arial"/>
              </w:rPr>
              <w:t>Intervention studies showed introduction of solids at three-four months of age reduced breast milk intake but does not significantly affect the rate of increase in weight and length of the infant</w:t>
            </w:r>
          </w:p>
        </w:tc>
      </w:tr>
      <w:tr w:rsidR="00DB493F" w:rsidRPr="005C39EC" w14:paraId="0D4DF553" w14:textId="77777777" w:rsidTr="00FD1ED3">
        <w:tc>
          <w:tcPr>
            <w:tcW w:w="1384" w:type="dxa"/>
            <w:tcBorders>
              <w:top w:val="nil"/>
              <w:bottom w:val="nil"/>
            </w:tcBorders>
          </w:tcPr>
          <w:p w14:paraId="390C6DFC" w14:textId="77777777" w:rsidR="00DB493F" w:rsidRPr="005C39EC" w:rsidRDefault="00DB493F" w:rsidP="00BE7858">
            <w:pPr>
              <w:rPr>
                <w:rFonts w:ascii="Arial" w:hAnsi="Arial" w:cs="Arial"/>
              </w:rPr>
            </w:pPr>
          </w:p>
        </w:tc>
        <w:tc>
          <w:tcPr>
            <w:tcW w:w="3119" w:type="dxa"/>
          </w:tcPr>
          <w:p w14:paraId="2CE42B39" w14:textId="77777777" w:rsidR="00DB493F" w:rsidRPr="005C39EC" w:rsidRDefault="00DB493F" w:rsidP="00BE7858">
            <w:pPr>
              <w:pStyle w:val="FSBullet1"/>
              <w:numPr>
                <w:ilvl w:val="0"/>
                <w:numId w:val="0"/>
              </w:numPr>
              <w:rPr>
                <w:rFonts w:ascii="Arial" w:hAnsi="Arial"/>
              </w:rPr>
            </w:pPr>
            <w:r w:rsidRPr="005C39EC">
              <w:rPr>
                <w:rFonts w:ascii="Arial" w:hAnsi="Arial"/>
              </w:rPr>
              <w:t>Capacity of infant kidneys to deal with the higher solute load of solid foods prior to six months of age</w:t>
            </w:r>
          </w:p>
          <w:p w14:paraId="485AF8E8" w14:textId="77777777" w:rsidR="00DB493F" w:rsidRPr="005C39EC" w:rsidRDefault="00DB493F" w:rsidP="00BE7858">
            <w:pPr>
              <w:rPr>
                <w:rFonts w:ascii="Arial" w:hAnsi="Arial" w:cs="Arial"/>
              </w:rPr>
            </w:pPr>
          </w:p>
        </w:tc>
        <w:tc>
          <w:tcPr>
            <w:tcW w:w="4961" w:type="dxa"/>
          </w:tcPr>
          <w:p w14:paraId="524C437D" w14:textId="77777777" w:rsidR="00DB493F" w:rsidRDefault="00DB493F" w:rsidP="00BE7858">
            <w:pPr>
              <w:rPr>
                <w:rFonts w:ascii="Arial" w:hAnsi="Arial" w:cs="Arial"/>
              </w:rPr>
            </w:pPr>
            <w:r w:rsidRPr="005C39EC">
              <w:rPr>
                <w:rFonts w:ascii="Arial" w:hAnsi="Arial" w:cs="Arial"/>
              </w:rPr>
              <w:t>Unable to identify any studies that directly assessed changes in renal solute load or water balance with introduction of solid food, but greatest risk of negative water balance is during illness. However, the capacity of infants to reduce intake of solid foods during illness is likely to mitigate potential risk</w:t>
            </w:r>
          </w:p>
          <w:p w14:paraId="650BB5E5" w14:textId="53CC5F60" w:rsidR="00FD1ED3" w:rsidRPr="005C39EC" w:rsidRDefault="00FD1ED3" w:rsidP="00BE7858">
            <w:pPr>
              <w:rPr>
                <w:rFonts w:ascii="Arial" w:hAnsi="Arial" w:cs="Arial"/>
              </w:rPr>
            </w:pPr>
          </w:p>
        </w:tc>
      </w:tr>
      <w:tr w:rsidR="00DB493F" w:rsidRPr="005C39EC" w14:paraId="7243190D" w14:textId="77777777" w:rsidTr="00FD1ED3">
        <w:tc>
          <w:tcPr>
            <w:tcW w:w="1384" w:type="dxa"/>
            <w:tcBorders>
              <w:top w:val="nil"/>
              <w:bottom w:val="nil"/>
            </w:tcBorders>
          </w:tcPr>
          <w:p w14:paraId="02C9308C" w14:textId="77777777" w:rsidR="00DB493F" w:rsidRPr="005C39EC" w:rsidRDefault="00DB493F" w:rsidP="00BE7858">
            <w:pPr>
              <w:rPr>
                <w:rFonts w:ascii="Arial" w:hAnsi="Arial" w:cs="Arial"/>
              </w:rPr>
            </w:pPr>
          </w:p>
        </w:tc>
        <w:tc>
          <w:tcPr>
            <w:tcW w:w="3119" w:type="dxa"/>
          </w:tcPr>
          <w:p w14:paraId="7B581198" w14:textId="77777777" w:rsidR="00DB493F" w:rsidRPr="005C39EC" w:rsidRDefault="00DB493F" w:rsidP="00BE7858">
            <w:pPr>
              <w:pStyle w:val="FSBullet1"/>
              <w:numPr>
                <w:ilvl w:val="0"/>
                <w:numId w:val="0"/>
              </w:numPr>
              <w:rPr>
                <w:rFonts w:ascii="Arial" w:hAnsi="Arial"/>
              </w:rPr>
            </w:pPr>
            <w:r w:rsidRPr="005C39EC">
              <w:rPr>
                <w:rFonts w:ascii="Arial" w:hAnsi="Arial"/>
              </w:rPr>
              <w:t>Impact on iron and zinc status, particularly in pre-term infants</w:t>
            </w:r>
          </w:p>
          <w:p w14:paraId="7CA7F0E6" w14:textId="77777777" w:rsidR="00DB493F" w:rsidRPr="005C39EC" w:rsidRDefault="00DB493F" w:rsidP="00BE7858">
            <w:pPr>
              <w:rPr>
                <w:rFonts w:ascii="Arial" w:hAnsi="Arial" w:cs="Arial"/>
              </w:rPr>
            </w:pPr>
          </w:p>
        </w:tc>
        <w:tc>
          <w:tcPr>
            <w:tcW w:w="4961" w:type="dxa"/>
          </w:tcPr>
          <w:p w14:paraId="52C5FFBB" w14:textId="77777777" w:rsidR="00DB493F" w:rsidRDefault="00DB493F" w:rsidP="00BE7858">
            <w:pPr>
              <w:rPr>
                <w:rFonts w:ascii="Arial" w:hAnsi="Arial" w:cs="Arial"/>
              </w:rPr>
            </w:pPr>
            <w:r w:rsidRPr="005C39EC">
              <w:rPr>
                <w:rFonts w:ascii="Arial" w:hAnsi="Arial" w:cs="Arial"/>
              </w:rPr>
              <w:t>Evidence from 2 studies provides some indication that exclusive breastfeeding to 6 months does not increase risk of iron deficiency at a later age. Expected that the outcomes on zinc status would be similar to, and no worse than, those for iron, as infants have a better storage of zinc compared to iron in the first 6 months of life</w:t>
            </w:r>
            <w:r w:rsidR="00F37DDB" w:rsidRPr="005C39EC">
              <w:rPr>
                <w:rFonts w:ascii="Arial" w:hAnsi="Arial" w:cs="Arial"/>
              </w:rPr>
              <w:t xml:space="preserve"> </w:t>
            </w:r>
          </w:p>
          <w:p w14:paraId="51D1A210" w14:textId="2BA0D306" w:rsidR="00FD1ED3" w:rsidRPr="005C39EC" w:rsidRDefault="00FD1ED3" w:rsidP="00BE7858">
            <w:pPr>
              <w:rPr>
                <w:rFonts w:ascii="Arial" w:hAnsi="Arial" w:cs="Arial"/>
              </w:rPr>
            </w:pPr>
          </w:p>
        </w:tc>
      </w:tr>
      <w:tr w:rsidR="00DB493F" w:rsidRPr="005C39EC" w14:paraId="405489DE" w14:textId="77777777" w:rsidTr="00FD1ED3">
        <w:tc>
          <w:tcPr>
            <w:tcW w:w="1384" w:type="dxa"/>
            <w:tcBorders>
              <w:top w:val="nil"/>
              <w:bottom w:val="nil"/>
            </w:tcBorders>
          </w:tcPr>
          <w:p w14:paraId="1324EE61" w14:textId="77777777" w:rsidR="00DB493F" w:rsidRPr="005C39EC" w:rsidRDefault="00DB493F" w:rsidP="00BE7858">
            <w:pPr>
              <w:rPr>
                <w:rFonts w:ascii="Arial" w:hAnsi="Arial" w:cs="Arial"/>
              </w:rPr>
            </w:pPr>
          </w:p>
        </w:tc>
        <w:tc>
          <w:tcPr>
            <w:tcW w:w="3119" w:type="dxa"/>
          </w:tcPr>
          <w:p w14:paraId="0AD9AD06" w14:textId="77777777" w:rsidR="00DB493F" w:rsidRPr="005C39EC" w:rsidRDefault="00DB493F" w:rsidP="00BE7858">
            <w:pPr>
              <w:pStyle w:val="FSBullet1"/>
              <w:numPr>
                <w:ilvl w:val="0"/>
                <w:numId w:val="0"/>
              </w:numPr>
              <w:rPr>
                <w:rFonts w:ascii="Arial" w:hAnsi="Arial"/>
              </w:rPr>
            </w:pPr>
            <w:r w:rsidRPr="005C39EC">
              <w:rPr>
                <w:rFonts w:ascii="Arial" w:hAnsi="Arial"/>
              </w:rPr>
              <w:t>Influence of feeding practices in infancy on later food preferences</w:t>
            </w:r>
          </w:p>
        </w:tc>
        <w:tc>
          <w:tcPr>
            <w:tcW w:w="4961" w:type="dxa"/>
          </w:tcPr>
          <w:p w14:paraId="10F0834D" w14:textId="77777777" w:rsidR="00DB493F" w:rsidRDefault="00DB493F" w:rsidP="00BE7858">
            <w:pPr>
              <w:rPr>
                <w:rFonts w:ascii="Arial" w:hAnsi="Arial" w:cs="Arial"/>
              </w:rPr>
            </w:pPr>
            <w:r w:rsidRPr="005C39EC">
              <w:rPr>
                <w:rFonts w:ascii="Arial" w:hAnsi="Arial" w:cs="Arial"/>
              </w:rPr>
              <w:t>Emerging evidence suggesting that the timing of solid food introduction can influence later dietary outcomes and preferences, but it is too early to draw conclusions about the impact this might have on recommended infant feeding practices</w:t>
            </w:r>
          </w:p>
          <w:p w14:paraId="5BCF71FB" w14:textId="77777777" w:rsidR="00FD1ED3" w:rsidRPr="005C39EC" w:rsidRDefault="00FD1ED3" w:rsidP="00BE7858">
            <w:pPr>
              <w:rPr>
                <w:rFonts w:ascii="Arial" w:hAnsi="Arial" w:cs="Arial"/>
              </w:rPr>
            </w:pPr>
          </w:p>
        </w:tc>
      </w:tr>
      <w:tr w:rsidR="00DB493F" w:rsidRPr="005C39EC" w14:paraId="3F342087" w14:textId="77777777" w:rsidTr="00FD1ED3">
        <w:tc>
          <w:tcPr>
            <w:tcW w:w="1384" w:type="dxa"/>
            <w:tcBorders>
              <w:top w:val="nil"/>
              <w:bottom w:val="nil"/>
            </w:tcBorders>
          </w:tcPr>
          <w:p w14:paraId="0639E1C5" w14:textId="77777777" w:rsidR="00DB493F" w:rsidRPr="005C39EC" w:rsidRDefault="00DB493F" w:rsidP="00BE7858">
            <w:pPr>
              <w:rPr>
                <w:rFonts w:ascii="Arial" w:hAnsi="Arial" w:cs="Arial"/>
              </w:rPr>
            </w:pPr>
          </w:p>
        </w:tc>
        <w:tc>
          <w:tcPr>
            <w:tcW w:w="3119" w:type="dxa"/>
          </w:tcPr>
          <w:p w14:paraId="7596E70E" w14:textId="77777777" w:rsidR="00DB493F" w:rsidRPr="005C39EC" w:rsidRDefault="00DB493F" w:rsidP="00BE7858">
            <w:pPr>
              <w:pStyle w:val="FSBullet1"/>
              <w:numPr>
                <w:ilvl w:val="0"/>
                <w:numId w:val="0"/>
              </w:numPr>
              <w:rPr>
                <w:rFonts w:ascii="Arial" w:hAnsi="Arial"/>
              </w:rPr>
            </w:pPr>
            <w:r w:rsidRPr="005C39EC">
              <w:rPr>
                <w:rFonts w:ascii="Arial" w:hAnsi="Arial"/>
              </w:rPr>
              <w:t>Risk of allergy and other immune-mediated diseases</w:t>
            </w:r>
          </w:p>
        </w:tc>
        <w:tc>
          <w:tcPr>
            <w:tcW w:w="4961" w:type="dxa"/>
          </w:tcPr>
          <w:p w14:paraId="75E9D6B1" w14:textId="77777777" w:rsidR="00DB493F" w:rsidRDefault="00DB493F" w:rsidP="00BE7858">
            <w:pPr>
              <w:rPr>
                <w:rFonts w:ascii="Arial" w:hAnsi="Arial" w:cs="Arial"/>
              </w:rPr>
            </w:pPr>
            <w:r w:rsidRPr="005C39EC">
              <w:rPr>
                <w:rFonts w:ascii="Arial" w:hAnsi="Arial" w:cs="Arial"/>
              </w:rPr>
              <w:t>Evidence regarding the timing of the introduction of solids and risk of allergy and other immune-mediated diseases, such as coeliac disease and Type 1 diabetes, is emerging and no firm conclusions can be drawn at this time.</w:t>
            </w:r>
            <w:r w:rsidR="00F37DDB" w:rsidRPr="005C39EC">
              <w:rPr>
                <w:rFonts w:ascii="Arial" w:hAnsi="Arial" w:cs="Arial"/>
              </w:rPr>
              <w:t xml:space="preserve"> </w:t>
            </w:r>
            <w:r w:rsidRPr="005C39EC">
              <w:rPr>
                <w:rFonts w:ascii="Arial" w:hAnsi="Arial" w:cs="Arial"/>
              </w:rPr>
              <w:t>However, preliminary indications are that the risk of allergy may be minimised if breastfeeding is maintained throughout the period of introducing solids, whereas the risk may increase if the introduction of solids is delayed beyond seven months</w:t>
            </w:r>
          </w:p>
          <w:p w14:paraId="392AEF89" w14:textId="0130EDC7" w:rsidR="00FD1ED3" w:rsidRPr="005C39EC" w:rsidRDefault="00FD1ED3" w:rsidP="00BE7858">
            <w:pPr>
              <w:rPr>
                <w:rFonts w:ascii="Arial" w:hAnsi="Arial" w:cs="Arial"/>
              </w:rPr>
            </w:pPr>
          </w:p>
        </w:tc>
      </w:tr>
      <w:tr w:rsidR="00DB493F" w:rsidRPr="005C39EC" w14:paraId="4C3C8F2A" w14:textId="77777777" w:rsidTr="00FD1ED3">
        <w:tc>
          <w:tcPr>
            <w:tcW w:w="1384" w:type="dxa"/>
            <w:tcBorders>
              <w:top w:val="nil"/>
              <w:bottom w:val="single" w:sz="4" w:space="0" w:color="000000"/>
            </w:tcBorders>
          </w:tcPr>
          <w:p w14:paraId="4DD0B901" w14:textId="77777777" w:rsidR="00DB493F" w:rsidRPr="005C39EC" w:rsidRDefault="00DB493F" w:rsidP="00BE7858">
            <w:pPr>
              <w:rPr>
                <w:rFonts w:ascii="Arial" w:hAnsi="Arial" w:cs="Arial"/>
              </w:rPr>
            </w:pPr>
          </w:p>
        </w:tc>
        <w:tc>
          <w:tcPr>
            <w:tcW w:w="3119" w:type="dxa"/>
          </w:tcPr>
          <w:p w14:paraId="5B562CA9" w14:textId="6D7D5E4A" w:rsidR="00DB493F" w:rsidRPr="005C39EC" w:rsidRDefault="005C39EC" w:rsidP="00BE7858">
            <w:pPr>
              <w:pStyle w:val="FSBullet1"/>
              <w:numPr>
                <w:ilvl w:val="0"/>
                <w:numId w:val="0"/>
              </w:numPr>
              <w:rPr>
                <w:rFonts w:ascii="Arial" w:hAnsi="Arial"/>
                <w:b/>
              </w:rPr>
            </w:pPr>
            <w:r w:rsidRPr="005C39EC">
              <w:rPr>
                <w:rFonts w:ascii="Arial" w:hAnsi="Arial"/>
                <w:b/>
              </w:rPr>
              <w:t>Conclusion</w:t>
            </w:r>
          </w:p>
        </w:tc>
        <w:tc>
          <w:tcPr>
            <w:tcW w:w="4961" w:type="dxa"/>
          </w:tcPr>
          <w:p w14:paraId="26DE4D92" w14:textId="77777777" w:rsidR="00DB493F" w:rsidRDefault="00DB493F" w:rsidP="00BE7858">
            <w:pPr>
              <w:rPr>
                <w:rFonts w:ascii="Arial" w:hAnsi="Arial" w:cs="Arial"/>
                <w:b/>
              </w:rPr>
            </w:pPr>
            <w:r w:rsidRPr="005C39EC">
              <w:rPr>
                <w:rFonts w:ascii="Arial" w:hAnsi="Arial" w:cs="Arial"/>
                <w:b/>
              </w:rPr>
              <w:t>Delaying introduction of solid foods to around six months of age</w:t>
            </w:r>
            <w:r w:rsidR="008E7DAF" w:rsidRPr="005C39EC">
              <w:rPr>
                <w:rFonts w:ascii="Arial" w:hAnsi="Arial" w:cs="Arial"/>
                <w:b/>
              </w:rPr>
              <w:t xml:space="preserve"> </w:t>
            </w:r>
            <w:r w:rsidRPr="005C39EC">
              <w:rPr>
                <w:rFonts w:ascii="Arial" w:hAnsi="Arial" w:cs="Arial"/>
                <w:b/>
              </w:rPr>
              <w:t>is unlikely to have any discernible positive or negative effect on the nutritional or developmental outcomes of infants.</w:t>
            </w:r>
          </w:p>
          <w:p w14:paraId="13FC2C4F" w14:textId="0EF2C447" w:rsidR="00FD1ED3" w:rsidRPr="005C39EC" w:rsidRDefault="00FD1ED3" w:rsidP="00BE7858">
            <w:pPr>
              <w:rPr>
                <w:rFonts w:ascii="Arial" w:hAnsi="Arial" w:cs="Arial"/>
                <w:b/>
              </w:rPr>
            </w:pPr>
          </w:p>
        </w:tc>
      </w:tr>
      <w:tr w:rsidR="00DB493F" w:rsidRPr="005C39EC" w14:paraId="673EE8B7" w14:textId="77777777" w:rsidTr="00FD1ED3">
        <w:trPr>
          <w:cantSplit/>
        </w:trPr>
        <w:tc>
          <w:tcPr>
            <w:tcW w:w="1384" w:type="dxa"/>
            <w:tcBorders>
              <w:bottom w:val="nil"/>
            </w:tcBorders>
          </w:tcPr>
          <w:p w14:paraId="4A4D2E80" w14:textId="77777777" w:rsidR="00DB493F" w:rsidRPr="005C39EC" w:rsidRDefault="00DB493F" w:rsidP="00BE7858">
            <w:pPr>
              <w:tabs>
                <w:tab w:val="num" w:pos="120"/>
              </w:tabs>
              <w:ind w:left="113" w:hanging="113"/>
              <w:rPr>
                <w:rFonts w:ascii="Arial" w:hAnsi="Arial" w:cs="Arial"/>
                <w:b/>
              </w:rPr>
            </w:pPr>
            <w:r w:rsidRPr="005C39EC">
              <w:rPr>
                <w:rFonts w:ascii="Arial" w:hAnsi="Arial" w:cs="Arial"/>
                <w:b/>
              </w:rPr>
              <w:lastRenderedPageBreak/>
              <w:t>October 2013</w:t>
            </w:r>
          </w:p>
        </w:tc>
        <w:tc>
          <w:tcPr>
            <w:tcW w:w="3119" w:type="dxa"/>
          </w:tcPr>
          <w:p w14:paraId="3952AAE3" w14:textId="77777777" w:rsidR="00DB493F" w:rsidRDefault="00DB493F" w:rsidP="00BE7858">
            <w:pPr>
              <w:pStyle w:val="FSBullet1"/>
              <w:numPr>
                <w:ilvl w:val="0"/>
                <w:numId w:val="0"/>
              </w:numPr>
              <w:rPr>
                <w:rFonts w:ascii="Arial" w:hAnsi="Arial"/>
              </w:rPr>
            </w:pPr>
            <w:r w:rsidRPr="005C39EC">
              <w:rPr>
                <w:rFonts w:ascii="Arial" w:hAnsi="Arial"/>
              </w:rPr>
              <w:t xml:space="preserve">Risk of iron and zinc deficiencies in preterm infants with delayed introduction of solids </w:t>
            </w:r>
          </w:p>
          <w:p w14:paraId="0DFDC217" w14:textId="77777777" w:rsidR="00FD1ED3" w:rsidRPr="00FD1ED3" w:rsidRDefault="00FD1ED3" w:rsidP="00FD1ED3"/>
        </w:tc>
        <w:tc>
          <w:tcPr>
            <w:tcW w:w="4961" w:type="dxa"/>
          </w:tcPr>
          <w:p w14:paraId="5B0B9ACF" w14:textId="77777777" w:rsidR="00DB493F" w:rsidRPr="005C39EC" w:rsidRDefault="00DB493F" w:rsidP="00BE7858">
            <w:pPr>
              <w:rPr>
                <w:rFonts w:ascii="Arial" w:hAnsi="Arial" w:cs="Arial"/>
              </w:rPr>
            </w:pPr>
            <w:r w:rsidRPr="005C39EC">
              <w:rPr>
                <w:rFonts w:ascii="Arial" w:hAnsi="Arial" w:cs="Arial"/>
              </w:rPr>
              <w:t>Unable to identify any studies addressing this</w:t>
            </w:r>
          </w:p>
        </w:tc>
      </w:tr>
      <w:tr w:rsidR="00DB493F" w:rsidRPr="005C39EC" w14:paraId="7584B655" w14:textId="77777777" w:rsidTr="00FD1ED3">
        <w:trPr>
          <w:cantSplit/>
        </w:trPr>
        <w:tc>
          <w:tcPr>
            <w:tcW w:w="1384" w:type="dxa"/>
            <w:tcBorders>
              <w:top w:val="nil"/>
              <w:bottom w:val="nil"/>
            </w:tcBorders>
          </w:tcPr>
          <w:p w14:paraId="7372956F" w14:textId="77777777" w:rsidR="00DB493F" w:rsidRPr="005C39EC" w:rsidRDefault="00DB493F" w:rsidP="00BE7858">
            <w:pPr>
              <w:rPr>
                <w:rFonts w:ascii="Arial" w:hAnsi="Arial" w:cs="Arial"/>
              </w:rPr>
            </w:pPr>
          </w:p>
        </w:tc>
        <w:tc>
          <w:tcPr>
            <w:tcW w:w="3119" w:type="dxa"/>
          </w:tcPr>
          <w:p w14:paraId="0DDBC52E" w14:textId="77777777" w:rsidR="00DB493F" w:rsidRPr="005C39EC" w:rsidRDefault="00DB493F" w:rsidP="00BE7858">
            <w:pPr>
              <w:pStyle w:val="FSBullet1"/>
              <w:numPr>
                <w:ilvl w:val="0"/>
                <w:numId w:val="0"/>
              </w:numPr>
              <w:rPr>
                <w:rFonts w:ascii="Arial" w:hAnsi="Arial"/>
              </w:rPr>
            </w:pPr>
            <w:r w:rsidRPr="005C39EC">
              <w:rPr>
                <w:rFonts w:ascii="Arial" w:hAnsi="Arial"/>
              </w:rPr>
              <w:t>Allergy risk – less than 4 completed months (~17 weeks of age)</w:t>
            </w:r>
          </w:p>
        </w:tc>
        <w:tc>
          <w:tcPr>
            <w:tcW w:w="4961" w:type="dxa"/>
          </w:tcPr>
          <w:p w14:paraId="33729FEE" w14:textId="77777777" w:rsidR="00DB493F" w:rsidRDefault="00DB493F" w:rsidP="00BE7858">
            <w:pPr>
              <w:rPr>
                <w:rFonts w:ascii="Arial" w:hAnsi="Arial" w:cs="Arial"/>
              </w:rPr>
            </w:pPr>
            <w:r w:rsidRPr="005C39EC">
              <w:rPr>
                <w:rFonts w:ascii="Arial" w:hAnsi="Arial" w:cs="Arial"/>
              </w:rPr>
              <w:t>Allergy risk appears to be associated with solid foods introduced at &lt; 4 months. This association, combined with evidence that risk of infectious morbidity is also increased with this time period</w:t>
            </w:r>
            <w:r w:rsidR="008749D8" w:rsidRPr="005C39EC">
              <w:rPr>
                <w:rFonts w:ascii="Arial" w:hAnsi="Arial" w:cs="Arial"/>
              </w:rPr>
              <w:t xml:space="preserve"> (as related to the protective effects of breastfeeding)</w:t>
            </w:r>
            <w:r w:rsidRPr="005C39EC">
              <w:rPr>
                <w:rFonts w:ascii="Arial" w:hAnsi="Arial" w:cs="Arial"/>
              </w:rPr>
              <w:t>, supports the current recommendations from ESPGHAN, EFSA, and NHMRC that from 4 months of age is the appropriate minimum age at which solid foods are introduced.</w:t>
            </w:r>
          </w:p>
          <w:p w14:paraId="432820F2" w14:textId="77777777" w:rsidR="00FD1ED3" w:rsidRPr="005C39EC" w:rsidRDefault="00FD1ED3" w:rsidP="00BE7858">
            <w:pPr>
              <w:rPr>
                <w:rFonts w:ascii="Arial" w:hAnsi="Arial" w:cs="Arial"/>
              </w:rPr>
            </w:pPr>
          </w:p>
        </w:tc>
      </w:tr>
      <w:tr w:rsidR="00DB493F" w:rsidRPr="005C39EC" w14:paraId="08C1E080" w14:textId="77777777" w:rsidTr="00FD1ED3">
        <w:tc>
          <w:tcPr>
            <w:tcW w:w="1384" w:type="dxa"/>
            <w:tcBorders>
              <w:top w:val="nil"/>
              <w:bottom w:val="nil"/>
            </w:tcBorders>
          </w:tcPr>
          <w:p w14:paraId="7F53D396" w14:textId="77777777" w:rsidR="00DB493F" w:rsidRPr="005C39EC" w:rsidRDefault="00DB493F" w:rsidP="00BE7858">
            <w:pPr>
              <w:rPr>
                <w:rFonts w:ascii="Arial" w:hAnsi="Arial" w:cs="Arial"/>
              </w:rPr>
            </w:pPr>
          </w:p>
        </w:tc>
        <w:tc>
          <w:tcPr>
            <w:tcW w:w="3119" w:type="dxa"/>
          </w:tcPr>
          <w:p w14:paraId="4DE9134F" w14:textId="75C47AAD" w:rsidR="00DB493F" w:rsidRPr="005C39EC" w:rsidRDefault="00DB493F" w:rsidP="00BE7858">
            <w:pPr>
              <w:pStyle w:val="FSBullet1"/>
              <w:numPr>
                <w:ilvl w:val="0"/>
                <w:numId w:val="0"/>
              </w:numPr>
              <w:rPr>
                <w:rFonts w:ascii="Arial" w:hAnsi="Arial"/>
              </w:rPr>
            </w:pPr>
            <w:r w:rsidRPr="005C39EC">
              <w:rPr>
                <w:rFonts w:ascii="Arial" w:hAnsi="Arial"/>
              </w:rPr>
              <w:t>Allergy risk – 7</w:t>
            </w:r>
            <w:r w:rsidR="00714290">
              <w:rPr>
                <w:rFonts w:ascii="Arial" w:hAnsi="Arial"/>
              </w:rPr>
              <w:t xml:space="preserve"> </w:t>
            </w:r>
            <w:r w:rsidRPr="005C39EC">
              <w:rPr>
                <w:rFonts w:ascii="Arial" w:hAnsi="Arial"/>
              </w:rPr>
              <w:t>months or above</w:t>
            </w:r>
          </w:p>
        </w:tc>
        <w:tc>
          <w:tcPr>
            <w:tcW w:w="4961" w:type="dxa"/>
          </w:tcPr>
          <w:p w14:paraId="4F6E42A7" w14:textId="77777777" w:rsidR="00DB493F" w:rsidRDefault="00DB493F" w:rsidP="00BE7858">
            <w:pPr>
              <w:rPr>
                <w:rFonts w:ascii="Arial" w:hAnsi="Arial" w:cs="Arial"/>
              </w:rPr>
            </w:pPr>
            <w:r w:rsidRPr="005C39EC">
              <w:rPr>
                <w:rFonts w:ascii="Arial" w:hAnsi="Arial" w:cs="Arial"/>
              </w:rPr>
              <w:t>Since 2008, there is increasing evidence that the timing of solid food introduction may be related to the development of food-related allergy. Critical period to minimise the risk of allergy development seems to be between 4 and &lt;7 months. However, because of unclear and inconsistent definitions of age categories, measurement bias in many studies and the contribution of various other factors in the development of allergic disease, the evidence is not conclusive.</w:t>
            </w:r>
          </w:p>
          <w:p w14:paraId="0196943F" w14:textId="77777777" w:rsidR="00FD1ED3" w:rsidRPr="005C39EC" w:rsidRDefault="00FD1ED3" w:rsidP="00BE7858">
            <w:pPr>
              <w:rPr>
                <w:rFonts w:ascii="Arial" w:hAnsi="Arial" w:cs="Arial"/>
              </w:rPr>
            </w:pPr>
          </w:p>
        </w:tc>
      </w:tr>
      <w:tr w:rsidR="00DB493F" w:rsidRPr="005C39EC" w14:paraId="24809623" w14:textId="77777777" w:rsidTr="00FD1ED3">
        <w:tc>
          <w:tcPr>
            <w:tcW w:w="1384" w:type="dxa"/>
            <w:tcBorders>
              <w:top w:val="nil"/>
              <w:bottom w:val="single" w:sz="4" w:space="0" w:color="000000"/>
            </w:tcBorders>
          </w:tcPr>
          <w:p w14:paraId="10CE370A" w14:textId="77777777" w:rsidR="00DB493F" w:rsidRPr="005C39EC" w:rsidRDefault="00DB493F" w:rsidP="00BE7858">
            <w:pPr>
              <w:rPr>
                <w:rFonts w:ascii="Arial" w:hAnsi="Arial" w:cs="Arial"/>
              </w:rPr>
            </w:pPr>
          </w:p>
        </w:tc>
        <w:tc>
          <w:tcPr>
            <w:tcW w:w="3119" w:type="dxa"/>
          </w:tcPr>
          <w:p w14:paraId="522243E0" w14:textId="1ADCE853" w:rsidR="00DB493F" w:rsidRPr="005C39EC" w:rsidRDefault="005C39EC" w:rsidP="00BE7858">
            <w:pPr>
              <w:pStyle w:val="FSBullet1"/>
              <w:numPr>
                <w:ilvl w:val="0"/>
                <w:numId w:val="0"/>
              </w:numPr>
              <w:rPr>
                <w:rFonts w:ascii="Arial" w:hAnsi="Arial"/>
                <w:b/>
              </w:rPr>
            </w:pPr>
            <w:r w:rsidRPr="005C39EC">
              <w:rPr>
                <w:rFonts w:ascii="Arial" w:hAnsi="Arial"/>
                <w:b/>
              </w:rPr>
              <w:t>Conclusion</w:t>
            </w:r>
          </w:p>
        </w:tc>
        <w:tc>
          <w:tcPr>
            <w:tcW w:w="4961" w:type="dxa"/>
          </w:tcPr>
          <w:p w14:paraId="53FFEEA9" w14:textId="77777777" w:rsidR="00DB493F" w:rsidRDefault="00DB493F" w:rsidP="00BE7858">
            <w:pPr>
              <w:rPr>
                <w:rFonts w:ascii="Arial" w:hAnsi="Arial" w:cs="Arial"/>
                <w:b/>
              </w:rPr>
            </w:pPr>
            <w:r w:rsidRPr="005C39EC">
              <w:rPr>
                <w:rFonts w:ascii="Arial" w:hAnsi="Arial" w:cs="Arial"/>
                <w:b/>
              </w:rPr>
              <w:t>‘Around 6 months’ as the appropriate age for the introduction of solid food to infants, would have minimal effect on the risk of adverse health outcomes, when compared to ‘from 4 months’ of age</w:t>
            </w:r>
          </w:p>
          <w:p w14:paraId="0792C447" w14:textId="1C545868" w:rsidR="00FD1ED3" w:rsidRPr="005C39EC" w:rsidRDefault="00FD1ED3" w:rsidP="00BE7858">
            <w:pPr>
              <w:rPr>
                <w:rFonts w:ascii="Arial" w:hAnsi="Arial" w:cs="Arial"/>
                <w:b/>
              </w:rPr>
            </w:pPr>
          </w:p>
        </w:tc>
      </w:tr>
      <w:tr w:rsidR="00DB493F" w:rsidRPr="005C39EC" w14:paraId="698E8146" w14:textId="77777777" w:rsidTr="00FD1ED3">
        <w:tc>
          <w:tcPr>
            <w:tcW w:w="1384" w:type="dxa"/>
            <w:tcBorders>
              <w:bottom w:val="nil"/>
            </w:tcBorders>
          </w:tcPr>
          <w:p w14:paraId="740C74FC" w14:textId="77777777" w:rsidR="00DB493F" w:rsidRPr="005C39EC" w:rsidRDefault="00DB493F" w:rsidP="00BE7858">
            <w:pPr>
              <w:tabs>
                <w:tab w:val="num" w:pos="120"/>
              </w:tabs>
              <w:ind w:left="113" w:hanging="113"/>
              <w:rPr>
                <w:rFonts w:ascii="Arial" w:hAnsi="Arial" w:cs="Arial"/>
                <w:b/>
              </w:rPr>
            </w:pPr>
            <w:r w:rsidRPr="005C39EC">
              <w:rPr>
                <w:rFonts w:ascii="Arial" w:hAnsi="Arial" w:cs="Arial"/>
                <w:b/>
              </w:rPr>
              <w:t>January 2014</w:t>
            </w:r>
          </w:p>
        </w:tc>
        <w:tc>
          <w:tcPr>
            <w:tcW w:w="3119" w:type="dxa"/>
          </w:tcPr>
          <w:p w14:paraId="1CF0D133" w14:textId="77777777" w:rsidR="00DB493F" w:rsidRPr="005C39EC" w:rsidRDefault="00DB493F" w:rsidP="00BE7858">
            <w:pPr>
              <w:pStyle w:val="FSBullet1"/>
              <w:numPr>
                <w:ilvl w:val="0"/>
                <w:numId w:val="0"/>
              </w:numPr>
              <w:rPr>
                <w:rFonts w:ascii="Arial" w:hAnsi="Arial"/>
              </w:rPr>
            </w:pPr>
            <w:r w:rsidRPr="005C39EC">
              <w:rPr>
                <w:rFonts w:ascii="Arial" w:hAnsi="Arial"/>
              </w:rPr>
              <w:t>Proportion of infants being introduced to solids at &lt;4 months</w:t>
            </w:r>
          </w:p>
        </w:tc>
        <w:tc>
          <w:tcPr>
            <w:tcW w:w="4961" w:type="dxa"/>
          </w:tcPr>
          <w:p w14:paraId="1C73BC1D" w14:textId="77777777" w:rsidR="00DB493F" w:rsidRDefault="00DB493F" w:rsidP="004530EA">
            <w:pPr>
              <w:rPr>
                <w:rFonts w:ascii="Arial" w:hAnsi="Arial" w:cs="Arial"/>
              </w:rPr>
            </w:pPr>
            <w:r w:rsidRPr="005C39EC">
              <w:rPr>
                <w:rFonts w:ascii="Arial" w:hAnsi="Arial" w:cs="Arial"/>
              </w:rPr>
              <w:t xml:space="preserve">The Australian national average </w:t>
            </w:r>
            <w:r w:rsidR="004530EA" w:rsidRPr="005C39EC">
              <w:rPr>
                <w:rFonts w:ascii="Arial" w:hAnsi="Arial" w:cs="Arial"/>
              </w:rPr>
              <w:t xml:space="preserve">proportion </w:t>
            </w:r>
            <w:r w:rsidRPr="005C39EC">
              <w:rPr>
                <w:rFonts w:ascii="Arial" w:hAnsi="Arial" w:cs="Arial"/>
              </w:rPr>
              <w:t xml:space="preserve">of infants who </w:t>
            </w:r>
            <w:r w:rsidR="004530EA" w:rsidRPr="005C39EC">
              <w:rPr>
                <w:rFonts w:ascii="Arial" w:hAnsi="Arial" w:cs="Arial"/>
              </w:rPr>
              <w:t xml:space="preserve">were </w:t>
            </w:r>
            <w:r w:rsidRPr="005C39EC">
              <w:rPr>
                <w:rFonts w:ascii="Arial" w:hAnsi="Arial" w:cs="Arial"/>
              </w:rPr>
              <w:t xml:space="preserve">receiving solids before 4 completed months of age </w:t>
            </w:r>
            <w:r w:rsidR="004530EA" w:rsidRPr="005C39EC">
              <w:rPr>
                <w:rFonts w:ascii="Arial" w:hAnsi="Arial" w:cs="Arial"/>
              </w:rPr>
              <w:t>was</w:t>
            </w:r>
            <w:r w:rsidRPr="005C39EC">
              <w:rPr>
                <w:rFonts w:ascii="Arial" w:hAnsi="Arial" w:cs="Arial"/>
              </w:rPr>
              <w:t xml:space="preserve"> 4–10%, noting that within this range there is some variation according to maternal age and SES</w:t>
            </w:r>
            <w:r w:rsidR="004530EA" w:rsidRPr="005C39EC">
              <w:rPr>
                <w:rFonts w:ascii="Arial" w:hAnsi="Arial" w:cs="Arial"/>
              </w:rPr>
              <w:t xml:space="preserve"> (2010 Infant Feeding Survey)</w:t>
            </w:r>
            <w:r w:rsidR="00900829" w:rsidRPr="005C39EC">
              <w:rPr>
                <w:rFonts w:ascii="Arial" w:hAnsi="Arial" w:cs="Arial"/>
              </w:rPr>
              <w:t xml:space="preserve">. New Zealand data </w:t>
            </w:r>
            <w:r w:rsidR="00585599" w:rsidRPr="005C39EC">
              <w:rPr>
                <w:rFonts w:ascii="Arial" w:hAnsi="Arial" w:cs="Arial"/>
              </w:rPr>
              <w:t xml:space="preserve">(2011/12) </w:t>
            </w:r>
            <w:r w:rsidR="00900829" w:rsidRPr="005C39EC">
              <w:rPr>
                <w:rFonts w:ascii="Arial" w:hAnsi="Arial" w:cs="Arial"/>
              </w:rPr>
              <w:t xml:space="preserve">indicates that </w:t>
            </w:r>
            <w:r w:rsidR="00585599" w:rsidRPr="005C39EC">
              <w:rPr>
                <w:rFonts w:ascii="Arial" w:hAnsi="Arial" w:cs="Arial"/>
              </w:rPr>
              <w:t xml:space="preserve">the </w:t>
            </w:r>
            <w:r w:rsidR="004530EA" w:rsidRPr="005C39EC">
              <w:rPr>
                <w:rFonts w:ascii="Arial" w:hAnsi="Arial" w:cs="Arial"/>
              </w:rPr>
              <w:t>proportion of infants</w:t>
            </w:r>
            <w:r w:rsidR="00585599" w:rsidRPr="005C39EC">
              <w:rPr>
                <w:rFonts w:ascii="Arial" w:hAnsi="Arial" w:cs="Arial"/>
              </w:rPr>
              <w:t xml:space="preserve"> introduced</w:t>
            </w:r>
            <w:r w:rsidR="004530EA" w:rsidRPr="005C39EC">
              <w:rPr>
                <w:rFonts w:ascii="Arial" w:hAnsi="Arial" w:cs="Arial"/>
              </w:rPr>
              <w:t xml:space="preserve"> to</w:t>
            </w:r>
            <w:r w:rsidR="00585599" w:rsidRPr="005C39EC">
              <w:rPr>
                <w:rFonts w:ascii="Arial" w:hAnsi="Arial" w:cs="Arial"/>
              </w:rPr>
              <w:t xml:space="preserve"> </w:t>
            </w:r>
            <w:r w:rsidR="004530EA" w:rsidRPr="005C39EC">
              <w:rPr>
                <w:rFonts w:ascii="Arial" w:hAnsi="Arial" w:cs="Arial"/>
              </w:rPr>
              <w:t xml:space="preserve">solids </w:t>
            </w:r>
            <w:r w:rsidR="00585599" w:rsidRPr="005C39EC">
              <w:rPr>
                <w:rFonts w:ascii="Arial" w:hAnsi="Arial" w:cs="Arial"/>
              </w:rPr>
              <w:t xml:space="preserve">before 4 months </w:t>
            </w:r>
            <w:r w:rsidR="004530EA" w:rsidRPr="005C39EC">
              <w:rPr>
                <w:rFonts w:ascii="Arial" w:hAnsi="Arial" w:cs="Arial"/>
              </w:rPr>
              <w:t xml:space="preserve">was </w:t>
            </w:r>
            <w:r w:rsidR="00585599" w:rsidRPr="005C39EC">
              <w:rPr>
                <w:rFonts w:ascii="Arial" w:hAnsi="Arial" w:cs="Arial"/>
              </w:rPr>
              <w:t>10%</w:t>
            </w:r>
            <w:r w:rsidR="004530EA" w:rsidRPr="005C39EC">
              <w:rPr>
                <w:rFonts w:ascii="Arial" w:hAnsi="Arial" w:cs="Arial"/>
              </w:rPr>
              <w:t>,</w:t>
            </w:r>
            <w:r w:rsidR="00585599" w:rsidRPr="005C39EC">
              <w:rPr>
                <w:rFonts w:ascii="Arial" w:hAnsi="Arial" w:cs="Arial"/>
              </w:rPr>
              <w:t xml:space="preserve"> which </w:t>
            </w:r>
            <w:r w:rsidR="004530EA" w:rsidRPr="005C39EC">
              <w:rPr>
                <w:rFonts w:ascii="Arial" w:hAnsi="Arial" w:cs="Arial"/>
              </w:rPr>
              <w:t xml:space="preserve">was </w:t>
            </w:r>
            <w:r w:rsidR="00585599" w:rsidRPr="005C39EC">
              <w:rPr>
                <w:rFonts w:ascii="Arial" w:hAnsi="Arial" w:cs="Arial"/>
              </w:rPr>
              <w:t xml:space="preserve">lower than previous survey (2006/07) of 16%. </w:t>
            </w:r>
          </w:p>
          <w:p w14:paraId="5D96497F" w14:textId="62D94A5B" w:rsidR="00FD1ED3" w:rsidRPr="005C39EC" w:rsidRDefault="00FD1ED3" w:rsidP="004530EA">
            <w:pPr>
              <w:rPr>
                <w:rFonts w:ascii="Arial" w:hAnsi="Arial" w:cs="Arial"/>
              </w:rPr>
            </w:pPr>
          </w:p>
        </w:tc>
      </w:tr>
      <w:tr w:rsidR="00DB493F" w:rsidRPr="005C39EC" w14:paraId="7BCC4150" w14:textId="77777777" w:rsidTr="00FD1ED3">
        <w:tc>
          <w:tcPr>
            <w:tcW w:w="1384" w:type="dxa"/>
            <w:tcBorders>
              <w:top w:val="nil"/>
              <w:bottom w:val="nil"/>
            </w:tcBorders>
          </w:tcPr>
          <w:p w14:paraId="1B02491A" w14:textId="77777777" w:rsidR="00DB493F" w:rsidRPr="005C39EC" w:rsidRDefault="00DB493F" w:rsidP="00BE7858">
            <w:pPr>
              <w:rPr>
                <w:rFonts w:ascii="Arial" w:hAnsi="Arial" w:cs="Arial"/>
              </w:rPr>
            </w:pPr>
          </w:p>
        </w:tc>
        <w:tc>
          <w:tcPr>
            <w:tcW w:w="3119" w:type="dxa"/>
          </w:tcPr>
          <w:p w14:paraId="41BB28C9" w14:textId="77777777" w:rsidR="00DB493F" w:rsidRPr="005C39EC" w:rsidRDefault="00DB493F" w:rsidP="00BE7858">
            <w:pPr>
              <w:pStyle w:val="FSBullet1"/>
              <w:numPr>
                <w:ilvl w:val="0"/>
                <w:numId w:val="0"/>
              </w:numPr>
              <w:rPr>
                <w:rFonts w:ascii="Arial" w:hAnsi="Arial"/>
              </w:rPr>
            </w:pPr>
            <w:r w:rsidRPr="005C39EC">
              <w:rPr>
                <w:rFonts w:ascii="Arial" w:hAnsi="Arial"/>
              </w:rPr>
              <w:t>Introduction of solids and cessation of breast feeding</w:t>
            </w:r>
          </w:p>
        </w:tc>
        <w:tc>
          <w:tcPr>
            <w:tcW w:w="4961" w:type="dxa"/>
          </w:tcPr>
          <w:p w14:paraId="1F045B89" w14:textId="77777777" w:rsidR="00DB493F" w:rsidRDefault="00DB493F" w:rsidP="0085267C">
            <w:pPr>
              <w:rPr>
                <w:rFonts w:ascii="Arial" w:hAnsi="Arial" w:cs="Arial"/>
              </w:rPr>
            </w:pPr>
            <w:r w:rsidRPr="005C39EC">
              <w:rPr>
                <w:rFonts w:ascii="Arial" w:hAnsi="Arial" w:cs="Arial"/>
              </w:rPr>
              <w:t xml:space="preserve">Data on infant feeding practices in Australia indicates there is little association between the introduction of solid foods and continuation breastfeeding. Between 4–6 months of age, the prevalence of any breastfeeding </w:t>
            </w:r>
            <w:r w:rsidR="0085267C" w:rsidRPr="005C39EC">
              <w:rPr>
                <w:rFonts w:ascii="Arial" w:hAnsi="Arial" w:cs="Arial"/>
              </w:rPr>
              <w:t xml:space="preserve">declined </w:t>
            </w:r>
            <w:r w:rsidRPr="005C39EC">
              <w:rPr>
                <w:rFonts w:ascii="Arial" w:hAnsi="Arial" w:cs="Arial"/>
              </w:rPr>
              <w:t xml:space="preserve">from 69% to 60% while the prevalence of feeding solids </w:t>
            </w:r>
            <w:r w:rsidR="0085267C" w:rsidRPr="005C39EC">
              <w:rPr>
                <w:rFonts w:ascii="Arial" w:hAnsi="Arial" w:cs="Arial"/>
              </w:rPr>
              <w:t xml:space="preserve">rose </w:t>
            </w:r>
            <w:r w:rsidRPr="005C39EC">
              <w:rPr>
                <w:rFonts w:ascii="Arial" w:hAnsi="Arial" w:cs="Arial"/>
              </w:rPr>
              <w:t xml:space="preserve">from around 10% to over 90%. Similarly, before 4 months of age, the decline in prevalence of breastfeeding </w:t>
            </w:r>
            <w:r w:rsidR="0085267C" w:rsidRPr="005C39EC">
              <w:rPr>
                <w:rFonts w:ascii="Arial" w:hAnsi="Arial" w:cs="Arial"/>
              </w:rPr>
              <w:t xml:space="preserve">was </w:t>
            </w:r>
            <w:r w:rsidRPr="005C39EC">
              <w:rPr>
                <w:rFonts w:ascii="Arial" w:hAnsi="Arial" w:cs="Arial"/>
              </w:rPr>
              <w:t>double the prevalence of introducing solids</w:t>
            </w:r>
            <w:r w:rsidR="0085267C" w:rsidRPr="005C39EC">
              <w:rPr>
                <w:rFonts w:ascii="Arial" w:hAnsi="Arial" w:cs="Arial"/>
              </w:rPr>
              <w:t xml:space="preserve"> (2010 Infant Feeding Survey</w:t>
            </w:r>
            <w:proofErr w:type="gramStart"/>
            <w:r w:rsidR="0085267C" w:rsidRPr="005C39EC">
              <w:rPr>
                <w:rFonts w:ascii="Arial" w:hAnsi="Arial" w:cs="Arial"/>
              </w:rPr>
              <w:t xml:space="preserve">) </w:t>
            </w:r>
            <w:r w:rsidRPr="005C39EC">
              <w:rPr>
                <w:rFonts w:ascii="Arial" w:hAnsi="Arial" w:cs="Arial"/>
              </w:rPr>
              <w:t>.</w:t>
            </w:r>
            <w:proofErr w:type="gramEnd"/>
          </w:p>
          <w:p w14:paraId="441885A7" w14:textId="0AD0312A" w:rsidR="00FD1ED3" w:rsidRPr="005C39EC" w:rsidRDefault="00FD1ED3" w:rsidP="0085267C">
            <w:pPr>
              <w:rPr>
                <w:rFonts w:ascii="Arial" w:hAnsi="Arial" w:cs="Arial"/>
                <w:szCs w:val="22"/>
              </w:rPr>
            </w:pPr>
          </w:p>
        </w:tc>
      </w:tr>
      <w:tr w:rsidR="00DB493F" w:rsidRPr="005C39EC" w14:paraId="600BF494" w14:textId="77777777" w:rsidTr="00FD1ED3">
        <w:trPr>
          <w:cantSplit/>
        </w:trPr>
        <w:tc>
          <w:tcPr>
            <w:tcW w:w="1384" w:type="dxa"/>
            <w:tcBorders>
              <w:top w:val="nil"/>
              <w:bottom w:val="single" w:sz="4" w:space="0" w:color="000000"/>
            </w:tcBorders>
          </w:tcPr>
          <w:p w14:paraId="65F29E9C" w14:textId="77777777" w:rsidR="00DB493F" w:rsidRPr="005C39EC" w:rsidRDefault="00DB493F" w:rsidP="00BE7858">
            <w:pPr>
              <w:rPr>
                <w:rFonts w:ascii="Arial" w:hAnsi="Arial" w:cs="Arial"/>
              </w:rPr>
            </w:pPr>
          </w:p>
        </w:tc>
        <w:tc>
          <w:tcPr>
            <w:tcW w:w="3119" w:type="dxa"/>
          </w:tcPr>
          <w:p w14:paraId="27BBACF3" w14:textId="7DD3B103" w:rsidR="00DB493F" w:rsidRPr="005C39EC" w:rsidRDefault="005C39EC" w:rsidP="00BE7858">
            <w:pPr>
              <w:pStyle w:val="FSBullet1"/>
              <w:numPr>
                <w:ilvl w:val="0"/>
                <w:numId w:val="0"/>
              </w:numPr>
              <w:rPr>
                <w:rFonts w:ascii="Arial" w:hAnsi="Arial"/>
                <w:b/>
              </w:rPr>
            </w:pPr>
            <w:r w:rsidRPr="005C39EC">
              <w:rPr>
                <w:rFonts w:ascii="Arial" w:hAnsi="Arial"/>
                <w:b/>
              </w:rPr>
              <w:t>Conclusions</w:t>
            </w:r>
          </w:p>
        </w:tc>
        <w:tc>
          <w:tcPr>
            <w:tcW w:w="4961" w:type="dxa"/>
          </w:tcPr>
          <w:p w14:paraId="053856B0" w14:textId="77777777" w:rsidR="00DB493F" w:rsidRDefault="00DB493F" w:rsidP="0085267C">
            <w:pPr>
              <w:rPr>
                <w:rFonts w:ascii="Arial" w:hAnsi="Arial" w:cs="Arial"/>
                <w:b/>
                <w:szCs w:val="22"/>
              </w:rPr>
            </w:pPr>
            <w:r w:rsidRPr="005C39EC">
              <w:rPr>
                <w:rFonts w:ascii="Arial" w:hAnsi="Arial" w:cs="Arial"/>
                <w:b/>
                <w:szCs w:val="22"/>
              </w:rPr>
              <w:t xml:space="preserve">Current evidence indicates that in developed countries with generally hygienically prepared foods, there is no additional risk from delaying </w:t>
            </w:r>
            <w:r w:rsidR="00DB635C" w:rsidRPr="005C39EC">
              <w:rPr>
                <w:rFonts w:ascii="Arial" w:hAnsi="Arial" w:cs="Arial"/>
                <w:b/>
                <w:szCs w:val="22"/>
              </w:rPr>
              <w:t xml:space="preserve">the </w:t>
            </w:r>
            <w:r w:rsidRPr="005C39EC">
              <w:rPr>
                <w:rFonts w:ascii="Arial" w:hAnsi="Arial" w:cs="Arial"/>
                <w:b/>
                <w:szCs w:val="22"/>
              </w:rPr>
              <w:t>introduction of solids until around 6 months or, conversely, from introducing solids closer to the 4 month end of the window</w:t>
            </w:r>
            <w:r w:rsidR="00DB635C" w:rsidRPr="005C39EC">
              <w:rPr>
                <w:rFonts w:ascii="Arial" w:hAnsi="Arial" w:cs="Arial"/>
                <w:b/>
                <w:szCs w:val="22"/>
              </w:rPr>
              <w:t>,</w:t>
            </w:r>
            <w:r w:rsidR="00C51244" w:rsidRPr="005C39EC">
              <w:rPr>
                <w:rFonts w:ascii="Arial" w:hAnsi="Arial" w:cs="Arial"/>
                <w:b/>
                <w:szCs w:val="22"/>
              </w:rPr>
              <w:t xml:space="preserve"> </w:t>
            </w:r>
            <w:r w:rsidR="00DB635C" w:rsidRPr="005C39EC">
              <w:rPr>
                <w:rFonts w:ascii="Arial" w:hAnsi="Arial" w:cs="Arial"/>
                <w:b/>
                <w:szCs w:val="22"/>
              </w:rPr>
              <w:t xml:space="preserve">ie. </w:t>
            </w:r>
            <w:proofErr w:type="gramStart"/>
            <w:r w:rsidR="00C51244" w:rsidRPr="005C39EC">
              <w:rPr>
                <w:rFonts w:ascii="Arial" w:hAnsi="Arial" w:cs="Arial"/>
                <w:b/>
                <w:szCs w:val="22"/>
              </w:rPr>
              <w:t>between</w:t>
            </w:r>
            <w:proofErr w:type="gramEnd"/>
            <w:r w:rsidR="00C51244" w:rsidRPr="005C39EC">
              <w:rPr>
                <w:rFonts w:ascii="Arial" w:hAnsi="Arial" w:cs="Arial"/>
                <w:b/>
                <w:szCs w:val="22"/>
              </w:rPr>
              <w:t xml:space="preserve"> 4 and &lt;7 months</w:t>
            </w:r>
            <w:r w:rsidR="00DB635C" w:rsidRPr="005C39EC">
              <w:rPr>
                <w:rFonts w:ascii="Arial" w:hAnsi="Arial" w:cs="Arial"/>
                <w:b/>
                <w:szCs w:val="22"/>
              </w:rPr>
              <w:t>.</w:t>
            </w:r>
          </w:p>
          <w:p w14:paraId="65E6BDCB" w14:textId="05E77157" w:rsidR="00FD1ED3" w:rsidRPr="005C39EC" w:rsidRDefault="00FD1ED3" w:rsidP="0085267C">
            <w:pPr>
              <w:rPr>
                <w:rFonts w:ascii="Arial" w:hAnsi="Arial" w:cs="Arial"/>
                <w:b/>
              </w:rPr>
            </w:pPr>
          </w:p>
        </w:tc>
      </w:tr>
      <w:tr w:rsidR="00DB493F" w:rsidRPr="005C39EC" w14:paraId="1713BEAE" w14:textId="77777777" w:rsidTr="00FD1ED3">
        <w:tc>
          <w:tcPr>
            <w:tcW w:w="1384" w:type="dxa"/>
            <w:tcBorders>
              <w:bottom w:val="nil"/>
            </w:tcBorders>
          </w:tcPr>
          <w:p w14:paraId="45B2B7D1" w14:textId="77777777" w:rsidR="00DB493F" w:rsidRPr="00597224" w:rsidRDefault="00DB493F" w:rsidP="00BE7858">
            <w:pPr>
              <w:rPr>
                <w:rFonts w:ascii="Arial" w:hAnsi="Arial" w:cs="Arial"/>
                <w:b/>
              </w:rPr>
            </w:pPr>
            <w:r w:rsidRPr="00597224">
              <w:rPr>
                <w:rFonts w:ascii="Arial" w:hAnsi="Arial" w:cs="Arial"/>
                <w:b/>
              </w:rPr>
              <w:t>July 2014</w:t>
            </w:r>
          </w:p>
        </w:tc>
        <w:tc>
          <w:tcPr>
            <w:tcW w:w="3119" w:type="dxa"/>
          </w:tcPr>
          <w:p w14:paraId="7442B5E6" w14:textId="77777777" w:rsidR="00DB493F" w:rsidRPr="005C39EC" w:rsidRDefault="00DB493F" w:rsidP="00BE7858">
            <w:pPr>
              <w:pStyle w:val="FSBullet1"/>
              <w:numPr>
                <w:ilvl w:val="0"/>
                <w:numId w:val="0"/>
              </w:numPr>
              <w:rPr>
                <w:rFonts w:ascii="Arial" w:hAnsi="Arial"/>
              </w:rPr>
            </w:pPr>
            <w:r w:rsidRPr="005C39EC">
              <w:rPr>
                <w:rFonts w:ascii="Arial" w:hAnsi="Arial"/>
              </w:rPr>
              <w:t>Gastrointestinal infection</w:t>
            </w:r>
          </w:p>
        </w:tc>
        <w:tc>
          <w:tcPr>
            <w:tcW w:w="4961" w:type="dxa"/>
          </w:tcPr>
          <w:p w14:paraId="5D624F17" w14:textId="77777777" w:rsidR="00DB493F" w:rsidRDefault="00DB493F" w:rsidP="00BE7858">
            <w:pPr>
              <w:rPr>
                <w:rFonts w:ascii="Arial" w:hAnsi="Arial" w:cs="Arial"/>
              </w:rPr>
            </w:pPr>
            <w:r w:rsidRPr="005C39EC">
              <w:rPr>
                <w:rFonts w:ascii="Arial" w:hAnsi="Arial" w:cs="Arial"/>
              </w:rPr>
              <w:t xml:space="preserve">Large UK cohort study identified no association between age of introduction of solids and hospitalisation for gastrointestinal or respiratory tract infections in the first 8 months of life. </w:t>
            </w:r>
          </w:p>
          <w:p w14:paraId="3E4924C0" w14:textId="77777777" w:rsidR="00FD1ED3" w:rsidRPr="005C39EC" w:rsidRDefault="00FD1ED3" w:rsidP="00BE7858">
            <w:pPr>
              <w:rPr>
                <w:rFonts w:ascii="Arial" w:hAnsi="Arial" w:cs="Arial"/>
              </w:rPr>
            </w:pPr>
          </w:p>
        </w:tc>
      </w:tr>
      <w:tr w:rsidR="00DB493F" w:rsidRPr="005C39EC" w14:paraId="200B1076" w14:textId="77777777" w:rsidTr="00FD1ED3">
        <w:trPr>
          <w:cantSplit/>
        </w:trPr>
        <w:tc>
          <w:tcPr>
            <w:tcW w:w="1384" w:type="dxa"/>
            <w:tcBorders>
              <w:top w:val="nil"/>
            </w:tcBorders>
          </w:tcPr>
          <w:p w14:paraId="6B86E662" w14:textId="77777777" w:rsidR="00DB493F" w:rsidRPr="005C39EC" w:rsidRDefault="00DB493F" w:rsidP="00BE7858">
            <w:pPr>
              <w:rPr>
                <w:rFonts w:ascii="Arial" w:hAnsi="Arial" w:cs="Arial"/>
              </w:rPr>
            </w:pPr>
          </w:p>
        </w:tc>
        <w:tc>
          <w:tcPr>
            <w:tcW w:w="3119" w:type="dxa"/>
          </w:tcPr>
          <w:p w14:paraId="31414140" w14:textId="3D3AC4CA" w:rsidR="00DB493F" w:rsidRPr="005C39EC" w:rsidRDefault="00DB493F" w:rsidP="005C39EC">
            <w:pPr>
              <w:pStyle w:val="FSBullet1"/>
              <w:numPr>
                <w:ilvl w:val="0"/>
                <w:numId w:val="0"/>
              </w:numPr>
              <w:rPr>
                <w:rFonts w:ascii="Arial" w:hAnsi="Arial"/>
                <w:b/>
              </w:rPr>
            </w:pPr>
            <w:r w:rsidRPr="005C39EC">
              <w:rPr>
                <w:rFonts w:ascii="Arial" w:hAnsi="Arial"/>
                <w:b/>
              </w:rPr>
              <w:t>Overall conclusion</w:t>
            </w:r>
          </w:p>
        </w:tc>
        <w:tc>
          <w:tcPr>
            <w:tcW w:w="4961" w:type="dxa"/>
          </w:tcPr>
          <w:p w14:paraId="1F810531" w14:textId="77777777" w:rsidR="00DB493F" w:rsidRDefault="00E26876" w:rsidP="003B26C0">
            <w:pPr>
              <w:rPr>
                <w:rFonts w:ascii="Arial" w:hAnsi="Arial" w:cs="Arial"/>
                <w:b/>
              </w:rPr>
            </w:pPr>
            <w:r w:rsidRPr="005C39EC">
              <w:rPr>
                <w:rFonts w:ascii="Arial" w:hAnsi="Arial" w:cs="Arial"/>
                <w:b/>
              </w:rPr>
              <w:t xml:space="preserve">In Australia and New Zealand, there is no overall difference in risk between introducing solids </w:t>
            </w:r>
            <w:r w:rsidR="003B26C0" w:rsidRPr="005C39EC">
              <w:rPr>
                <w:rFonts w:ascii="Arial" w:hAnsi="Arial" w:cs="Arial"/>
                <w:b/>
              </w:rPr>
              <w:t>from</w:t>
            </w:r>
            <w:r w:rsidRPr="005C39EC">
              <w:rPr>
                <w:rFonts w:ascii="Arial" w:hAnsi="Arial" w:cs="Arial"/>
                <w:b/>
              </w:rPr>
              <w:t xml:space="preserve"> 4 months of age </w:t>
            </w:r>
            <w:r w:rsidR="006D1872" w:rsidRPr="005C39EC">
              <w:rPr>
                <w:rFonts w:ascii="Arial" w:hAnsi="Arial" w:cs="Arial"/>
                <w:b/>
              </w:rPr>
              <w:t xml:space="preserve">relative </w:t>
            </w:r>
            <w:r w:rsidR="0085267C" w:rsidRPr="005C39EC">
              <w:rPr>
                <w:rFonts w:ascii="Arial" w:hAnsi="Arial" w:cs="Arial"/>
                <w:b/>
              </w:rPr>
              <w:t>to around 6 months of age (ie within window from 4 months to &lt;</w:t>
            </w:r>
            <w:r w:rsidRPr="005C39EC">
              <w:rPr>
                <w:rFonts w:ascii="Arial" w:hAnsi="Arial" w:cs="Arial"/>
                <w:b/>
              </w:rPr>
              <w:t>7 months of age</w:t>
            </w:r>
            <w:r w:rsidR="0085267C" w:rsidRPr="005C39EC">
              <w:rPr>
                <w:rFonts w:ascii="Arial" w:hAnsi="Arial" w:cs="Arial"/>
                <w:b/>
              </w:rPr>
              <w:t>)</w:t>
            </w:r>
            <w:r w:rsidRPr="005C39EC">
              <w:rPr>
                <w:rFonts w:ascii="Arial" w:hAnsi="Arial" w:cs="Arial"/>
                <w:b/>
              </w:rPr>
              <w:t>.</w:t>
            </w:r>
          </w:p>
          <w:p w14:paraId="2F7113A3" w14:textId="32CED220" w:rsidR="00FD1ED3" w:rsidRPr="005C39EC" w:rsidRDefault="00FD1ED3" w:rsidP="003B26C0">
            <w:pPr>
              <w:rPr>
                <w:rFonts w:ascii="Arial" w:hAnsi="Arial" w:cs="Arial"/>
                <w:b/>
              </w:rPr>
            </w:pPr>
          </w:p>
        </w:tc>
      </w:tr>
    </w:tbl>
    <w:p w14:paraId="638333D7" w14:textId="77777777" w:rsidR="00DB493F" w:rsidRPr="005C39EC" w:rsidRDefault="00DB493F" w:rsidP="00BE7858">
      <w:pPr>
        <w:rPr>
          <w:rFonts w:cs="Arial"/>
        </w:rPr>
      </w:pPr>
    </w:p>
    <w:p w14:paraId="5A9B3E24" w14:textId="77777777" w:rsidR="007E48B8" w:rsidRDefault="007E48B8" w:rsidP="00BE7858">
      <w:pPr>
        <w:rPr>
          <w:rFonts w:cs="Arial"/>
        </w:rPr>
      </w:pPr>
      <w:r>
        <w:rPr>
          <w:rFonts w:cs="Arial"/>
        </w:rPr>
        <w:br w:type="page"/>
      </w:r>
    </w:p>
    <w:p w14:paraId="4AB83F48" w14:textId="250E2E7F" w:rsidR="007E48B8" w:rsidRDefault="007E48B8" w:rsidP="007E48B8">
      <w:pPr>
        <w:pStyle w:val="Heading1"/>
        <w:numPr>
          <w:ilvl w:val="0"/>
          <w:numId w:val="0"/>
        </w:numPr>
        <w:rPr>
          <w:rFonts w:cs="Arial"/>
        </w:rPr>
      </w:pPr>
      <w:bookmarkStart w:id="33" w:name="_Toc399945842"/>
      <w:r>
        <w:rPr>
          <w:rFonts w:cs="Arial"/>
        </w:rPr>
        <w:lastRenderedPageBreak/>
        <w:t>Attachment 4</w:t>
      </w:r>
      <w:r w:rsidRPr="005C39EC">
        <w:rPr>
          <w:rFonts w:cs="Arial"/>
        </w:rPr>
        <w:t xml:space="preserve">: </w:t>
      </w:r>
      <w:r>
        <w:rPr>
          <w:rFonts w:cs="Arial"/>
        </w:rPr>
        <w:t>Basis of NHMRC guidelines for infant feeding</w:t>
      </w:r>
      <w:bookmarkEnd w:id="33"/>
    </w:p>
    <w:p w14:paraId="4917A0E9" w14:textId="65D3E3A3" w:rsidR="007E48B8" w:rsidRPr="007E48B8" w:rsidRDefault="007E48B8" w:rsidP="007E48B8">
      <w:pPr>
        <w:rPr>
          <w:rFonts w:eastAsia="Times New Roman" w:cs="Times New Roman"/>
          <w:lang w:bidi="en-US"/>
        </w:rPr>
      </w:pPr>
      <w:r w:rsidRPr="007E48B8">
        <w:rPr>
          <w:rFonts w:eastAsia="Times New Roman" w:cs="Times New Roman"/>
          <w:lang w:bidi="en-US"/>
        </w:rPr>
        <w:t xml:space="preserve">FSANZ’s risk assessment conclusion supported a window for introducing solids from 4–&lt;7 months. This is consistent with the current labelling requirements and also with the infant feeding guidelines of ‘around 6 months’ in both countries. However, the minimum age labelling permission ‘from 4 months‘, and the recommendations in the guidelines ‘introduce solids at around 6 months‘ appear to be inconsistent with each other. Therefore, </w:t>
      </w:r>
      <w:r w:rsidRPr="004275AA">
        <w:rPr>
          <w:rFonts w:eastAsia="Times New Roman" w:cs="Times New Roman"/>
          <w:lang w:bidi="en-US"/>
        </w:rPr>
        <w:t xml:space="preserve">FSANZ </w:t>
      </w:r>
      <w:r w:rsidR="007D1416" w:rsidRPr="004275AA">
        <w:rPr>
          <w:rFonts w:eastAsia="Times New Roman" w:cs="Times New Roman"/>
          <w:lang w:bidi="en-US"/>
        </w:rPr>
        <w:t>liaised</w:t>
      </w:r>
      <w:r w:rsidRPr="004275AA">
        <w:rPr>
          <w:rFonts w:eastAsia="Times New Roman" w:cs="Times New Roman"/>
          <w:lang w:bidi="en-US"/>
        </w:rPr>
        <w:t xml:space="preserve"> with the NHMRC in 2014 to identify commonalities in the assessments undertaken and to understand reasons for the apparent differences between the agencies’ use of their respective assessments.</w:t>
      </w:r>
      <w:r w:rsidRPr="007E48B8">
        <w:rPr>
          <w:rFonts w:eastAsia="Times New Roman" w:cs="Times New Roman"/>
          <w:lang w:bidi="en-US"/>
        </w:rPr>
        <w:t xml:space="preserve"> </w:t>
      </w:r>
    </w:p>
    <w:p w14:paraId="2A84F8CA" w14:textId="77777777" w:rsidR="007E48B8" w:rsidRPr="007E48B8" w:rsidRDefault="007E48B8" w:rsidP="007E48B8">
      <w:pPr>
        <w:rPr>
          <w:rFonts w:eastAsia="Times New Roman" w:cs="Times New Roman"/>
          <w:lang w:bidi="en-US"/>
        </w:rPr>
      </w:pPr>
    </w:p>
    <w:p w14:paraId="4A4937AC" w14:textId="7AABDD7B" w:rsidR="007E48B8" w:rsidRPr="007E48B8" w:rsidRDefault="007E48B8" w:rsidP="007E48B8">
      <w:pPr>
        <w:rPr>
          <w:rFonts w:eastAsia="Times New Roman" w:cs="Times New Roman"/>
          <w:szCs w:val="24"/>
          <w:lang w:bidi="en-US"/>
        </w:rPr>
      </w:pPr>
      <w:r w:rsidRPr="007E48B8">
        <w:rPr>
          <w:rFonts w:eastAsia="Times New Roman" w:cs="Times New Roman"/>
          <w:szCs w:val="24"/>
          <w:lang w:bidi="en-US"/>
        </w:rPr>
        <w:t xml:space="preserve">The New Zealand guidelines also recommend complementary food at ‘around 6 months’ but emphasise that developmental cues are a key indicator of readiness for solids and that the timing of this varies between individual infants. The New Zealand guidelines were released in 2008 </w:t>
      </w:r>
      <w:r w:rsidRPr="007E48B8">
        <w:rPr>
          <w:rFonts w:eastAsia="Times New Roman" w:cs="Times New Roman"/>
          <w:noProof/>
          <w:szCs w:val="24"/>
          <w:lang w:bidi="en-US"/>
        </w:rPr>
        <w:t>(Ministry of Health 2008)</w:t>
      </w:r>
      <w:r w:rsidRPr="007E48B8">
        <w:rPr>
          <w:rFonts w:eastAsia="Times New Roman" w:cs="Times New Roman"/>
          <w:szCs w:val="24"/>
          <w:lang w:bidi="en-US"/>
        </w:rPr>
        <w:t xml:space="preserve">, whereas the NHMRC undertook a </w:t>
      </w:r>
      <w:r w:rsidR="00CB0699">
        <w:rPr>
          <w:rFonts w:eastAsia="Times New Roman" w:cs="Times New Roman"/>
          <w:szCs w:val="24"/>
          <w:lang w:bidi="en-US"/>
        </w:rPr>
        <w:t>literature</w:t>
      </w:r>
      <w:r w:rsidRPr="007E48B8">
        <w:rPr>
          <w:rFonts w:eastAsia="Times New Roman" w:cs="Times New Roman"/>
          <w:szCs w:val="24"/>
          <w:lang w:bidi="en-US"/>
        </w:rPr>
        <w:t xml:space="preserve"> review including evidence up to 2010 </w:t>
      </w:r>
      <w:r w:rsidRPr="007E48B8">
        <w:rPr>
          <w:rFonts w:eastAsia="Times New Roman" w:cs="Times New Roman"/>
          <w:noProof/>
          <w:szCs w:val="24"/>
          <w:lang w:bidi="en-US"/>
        </w:rPr>
        <w:t>(NHMRC 2012b)</w:t>
      </w:r>
      <w:r w:rsidRPr="007E48B8">
        <w:rPr>
          <w:rFonts w:eastAsia="Times New Roman" w:cs="Times New Roman"/>
          <w:szCs w:val="24"/>
          <w:lang w:bidi="en-US"/>
        </w:rPr>
        <w:t xml:space="preserve"> and FSANZ has also reviewed more recent evidence. Therefore, this discussion focuses on the evidence assessed by FSANZ and NHMRC, rather than the New Zealand guidelines.   </w:t>
      </w:r>
    </w:p>
    <w:p w14:paraId="75E9969A" w14:textId="77777777" w:rsidR="007E48B8" w:rsidRPr="007E48B8" w:rsidRDefault="007E48B8" w:rsidP="007E48B8">
      <w:pPr>
        <w:rPr>
          <w:rFonts w:eastAsia="Times New Roman" w:cs="Times New Roman"/>
          <w:lang w:bidi="en-US"/>
        </w:rPr>
      </w:pPr>
    </w:p>
    <w:p w14:paraId="1D4378F9" w14:textId="77777777" w:rsidR="007E48B8" w:rsidRPr="007E48B8" w:rsidRDefault="007E48B8" w:rsidP="007E48B8">
      <w:pPr>
        <w:rPr>
          <w:rFonts w:eastAsia="Times New Roman" w:cs="Times New Roman"/>
          <w:lang w:bidi="en-US"/>
        </w:rPr>
      </w:pPr>
      <w:r w:rsidRPr="007E48B8">
        <w:rPr>
          <w:rFonts w:eastAsia="Times New Roman" w:cs="Times New Roman"/>
          <w:lang w:bidi="en-US"/>
        </w:rPr>
        <w:t xml:space="preserve">The NHMRC advice for ‘around 6 months’ is a risk management conclusion that takes into account the food-health outcome evidence assessed, the development of infants, and the need to provide general population advice on the likely optimal feeding of infants, including the importance of continued breastfeeding. This is different to FSANZ’s purpose which is to ensure the provision of adequate information regarding suitability e.g. consistency, of a packaged solid food, so that consumers can make an informed choice.  </w:t>
      </w:r>
    </w:p>
    <w:p w14:paraId="4084B901" w14:textId="77777777" w:rsidR="007E48B8" w:rsidRPr="007E48B8" w:rsidRDefault="007E48B8" w:rsidP="007E48B8">
      <w:pPr>
        <w:rPr>
          <w:rFonts w:eastAsia="Times New Roman" w:cs="Times New Roman"/>
          <w:lang w:bidi="en-US"/>
        </w:rPr>
      </w:pPr>
    </w:p>
    <w:p w14:paraId="3EBA3F51" w14:textId="05F16526" w:rsidR="007E48B8" w:rsidRPr="007E48B8" w:rsidRDefault="004275AA" w:rsidP="007E48B8">
      <w:pPr>
        <w:rPr>
          <w:rFonts w:eastAsia="Times New Roman" w:cs="Times New Roman"/>
          <w:szCs w:val="24"/>
          <w:lang w:bidi="en-US"/>
        </w:rPr>
      </w:pPr>
      <w:r>
        <w:t xml:space="preserve">The summary of evidence statements below are excerpted from evidence base used to support </w:t>
      </w:r>
      <w:proofErr w:type="gramStart"/>
      <w:r>
        <w:t>the  Infant</w:t>
      </w:r>
      <w:proofErr w:type="gramEnd"/>
      <w:r>
        <w:t xml:space="preserve"> Feeding Guidelines. </w:t>
      </w:r>
      <w:r w:rsidR="007E48B8" w:rsidRPr="007E48B8">
        <w:rPr>
          <w:rFonts w:eastAsia="Times New Roman" w:cs="Times New Roman"/>
          <w:szCs w:val="24"/>
          <w:lang w:bidi="en-US"/>
        </w:rPr>
        <w:t>In almost all cases, both the</w:t>
      </w:r>
      <w:r w:rsidR="007D1416">
        <w:rPr>
          <w:rFonts w:eastAsia="Times New Roman" w:cs="Times New Roman"/>
          <w:szCs w:val="24"/>
          <w:lang w:bidi="en-US"/>
        </w:rPr>
        <w:t xml:space="preserve"> Infant Feeding Guidelines Advisory</w:t>
      </w:r>
      <w:r w:rsidR="007E48B8" w:rsidRPr="007E48B8">
        <w:rPr>
          <w:rFonts w:eastAsia="Times New Roman" w:cs="Times New Roman"/>
          <w:szCs w:val="24"/>
          <w:lang w:bidi="en-US"/>
        </w:rPr>
        <w:t xml:space="preserve"> Committee and FSANZ interpreted this evidence in the same way. Statements with grades</w:t>
      </w:r>
      <w:r w:rsidR="007E48B8" w:rsidRPr="007E48B8">
        <w:rPr>
          <w:rFonts w:eastAsia="Times New Roman" w:cs="Times New Roman"/>
          <w:szCs w:val="24"/>
          <w:vertAlign w:val="superscript"/>
          <w:lang w:bidi="en-US"/>
        </w:rPr>
        <w:footnoteReference w:id="6"/>
      </w:r>
      <w:r w:rsidR="007E48B8" w:rsidRPr="007E48B8">
        <w:rPr>
          <w:rFonts w:eastAsia="Times New Roman" w:cs="Times New Roman"/>
          <w:szCs w:val="24"/>
          <w:lang w:bidi="en-US"/>
        </w:rPr>
        <w:t xml:space="preserve"> were based on a systematic review of the literature up until 2010. In some cases, additional material published subsequently was also referred to in the guidelines.  </w:t>
      </w:r>
    </w:p>
    <w:p w14:paraId="0A1BEC1B" w14:textId="77777777" w:rsidR="007E48B8" w:rsidRPr="007E48B8" w:rsidRDefault="007E48B8" w:rsidP="007E48B8">
      <w:pPr>
        <w:rPr>
          <w:rFonts w:eastAsia="Times New Roman" w:cs="Times New Roman"/>
          <w:szCs w:val="24"/>
          <w:lang w:bidi="en-US"/>
        </w:rPr>
      </w:pPr>
    </w:p>
    <w:p w14:paraId="6C3D8DF0" w14:textId="6769E051" w:rsidR="007E48B8" w:rsidRPr="007E48B8" w:rsidRDefault="007E48B8" w:rsidP="007E48B8">
      <w:pPr>
        <w:rPr>
          <w:rFonts w:eastAsia="Times New Roman" w:cs="Times New Roman"/>
          <w:szCs w:val="24"/>
          <w:lang w:bidi="en-US"/>
        </w:rPr>
      </w:pPr>
      <w:r w:rsidRPr="007E48B8">
        <w:rPr>
          <w:rFonts w:eastAsia="Times New Roman" w:cs="Times New Roman"/>
          <w:szCs w:val="24"/>
          <w:lang w:bidi="en-US"/>
        </w:rPr>
        <w:t xml:space="preserve">NHMRC </w:t>
      </w:r>
      <w:r w:rsidR="00CB0699">
        <w:rPr>
          <w:rFonts w:eastAsia="Times New Roman" w:cs="Times New Roman"/>
          <w:szCs w:val="24"/>
          <w:lang w:bidi="en-US"/>
        </w:rPr>
        <w:t>evidence statements</w:t>
      </w:r>
      <w:r w:rsidRPr="007E48B8">
        <w:rPr>
          <w:rFonts w:eastAsia="Times New Roman" w:cs="Times New Roman"/>
          <w:szCs w:val="24"/>
          <w:lang w:bidi="en-US"/>
        </w:rPr>
        <w:t xml:space="preserve"> for ages relevant to the Proposal (i.e. 4</w:t>
      </w:r>
      <w:r w:rsidRPr="007E48B8">
        <w:rPr>
          <w:rFonts w:eastAsia="Times New Roman" w:cs="Times New Roman"/>
          <w:lang w:bidi="en-US"/>
        </w:rPr>
        <w:t>–</w:t>
      </w:r>
      <w:r w:rsidRPr="007E48B8">
        <w:rPr>
          <w:rFonts w:eastAsia="Times New Roman" w:cs="Times New Roman"/>
          <w:szCs w:val="24"/>
          <w:lang w:bidi="en-US"/>
        </w:rPr>
        <w:t xml:space="preserve">&lt;7 months), were </w:t>
      </w:r>
      <w:r w:rsidRPr="007E48B8">
        <w:rPr>
          <w:rFonts w:eastAsia="Times New Roman" w:cs="Times New Roman"/>
          <w:noProof/>
          <w:szCs w:val="24"/>
          <w:lang w:bidi="en-US"/>
        </w:rPr>
        <w:t>(NHMRC 2013, page 89)</w:t>
      </w:r>
      <w:r w:rsidRPr="007E48B8">
        <w:rPr>
          <w:rFonts w:eastAsia="Times New Roman" w:cs="Times New Roman"/>
          <w:szCs w:val="24"/>
          <w:lang w:bidi="en-US"/>
        </w:rPr>
        <w:t>:</w:t>
      </w:r>
    </w:p>
    <w:p w14:paraId="107B30FE" w14:textId="77777777" w:rsidR="007E48B8" w:rsidRPr="007E48B8" w:rsidRDefault="007E48B8" w:rsidP="007E48B8">
      <w:pPr>
        <w:rPr>
          <w:rFonts w:eastAsia="Times New Roman" w:cs="Times New Roman"/>
          <w:szCs w:val="24"/>
          <w:lang w:bidi="en-US"/>
        </w:rPr>
      </w:pPr>
    </w:p>
    <w:p w14:paraId="61133D0A" w14:textId="77777777" w:rsidR="007E48B8" w:rsidRPr="007E48B8" w:rsidRDefault="007E48B8" w:rsidP="007E48B8">
      <w:pPr>
        <w:ind w:left="567" w:hanging="567"/>
        <w:rPr>
          <w:rFonts w:eastAsia="Times New Roman" w:cs="Arial"/>
          <w:szCs w:val="24"/>
          <w:lang w:val="en-AU" w:bidi="en-US"/>
        </w:rPr>
      </w:pPr>
      <w:r w:rsidRPr="007E48B8">
        <w:rPr>
          <w:rFonts w:eastAsia="Times New Roman" w:cs="Arial"/>
          <w:szCs w:val="24"/>
          <w:lang w:val="en-AU" w:bidi="en-US"/>
        </w:rPr>
        <w:t>“Infants, from either developing or developed countries, who are exclusively breastfed for 6 months or longer do not have deficits in growth compared to those who are not exclusively breastfed.” (Grade B)</w:t>
      </w:r>
    </w:p>
    <w:p w14:paraId="3A198E63" w14:textId="77777777" w:rsidR="007E48B8" w:rsidRPr="007E48B8" w:rsidRDefault="007E48B8" w:rsidP="007E48B8">
      <w:pPr>
        <w:ind w:left="567"/>
        <w:rPr>
          <w:rFonts w:eastAsia="Times New Roman" w:cs="Arial"/>
          <w:szCs w:val="24"/>
          <w:lang w:val="en-AU"/>
        </w:rPr>
      </w:pPr>
    </w:p>
    <w:p w14:paraId="01783912" w14:textId="77777777" w:rsidR="007E48B8" w:rsidRPr="007E48B8" w:rsidRDefault="007E48B8" w:rsidP="007E48B8">
      <w:pPr>
        <w:ind w:left="567" w:hanging="567"/>
        <w:rPr>
          <w:rFonts w:eastAsia="Times New Roman" w:cs="Arial"/>
          <w:szCs w:val="24"/>
          <w:lang w:val="en-AU" w:bidi="en-US"/>
        </w:rPr>
      </w:pPr>
      <w:r w:rsidRPr="007E48B8">
        <w:rPr>
          <w:rFonts w:eastAsia="Times New Roman" w:cs="Arial"/>
          <w:szCs w:val="24"/>
          <w:lang w:val="en-AU" w:bidi="en-US"/>
        </w:rPr>
        <w:t>“There are no apparent risks in a general recommendation for exclusive breastfeeding for the first 6 months of life, in both developing and developed countries. However, infants should still be managed individually in order to achieve sufficient growth and minimise adverse outcomes.” (Grade B)</w:t>
      </w:r>
    </w:p>
    <w:p w14:paraId="7C32177D" w14:textId="77777777" w:rsidR="007E48B8" w:rsidRPr="007E48B8" w:rsidRDefault="007E48B8" w:rsidP="007E48B8">
      <w:pPr>
        <w:ind w:left="567"/>
        <w:rPr>
          <w:rFonts w:eastAsia="Times New Roman" w:cs="Arial"/>
          <w:szCs w:val="24"/>
          <w:lang w:val="en-AU"/>
        </w:rPr>
      </w:pPr>
    </w:p>
    <w:p w14:paraId="28BC2035" w14:textId="77777777" w:rsidR="007E48B8" w:rsidRPr="007E48B8" w:rsidRDefault="007E48B8" w:rsidP="007E48B8">
      <w:pPr>
        <w:ind w:left="567" w:hanging="567"/>
        <w:rPr>
          <w:rFonts w:eastAsia="Times New Roman" w:cs="Arial"/>
          <w:szCs w:val="24"/>
          <w:lang w:val="en-AU" w:bidi="en-US"/>
        </w:rPr>
      </w:pPr>
      <w:r w:rsidRPr="007E48B8">
        <w:rPr>
          <w:rFonts w:eastAsia="Times New Roman" w:cs="Arial"/>
          <w:szCs w:val="24"/>
          <w:lang w:val="en-AU" w:bidi="en-US"/>
        </w:rPr>
        <w:t>“Infants who are exclusively breastfed for 6 months experience less morbidity from gastrointestinal infection than those who are mixed breastfed as of 3 or 4 months.” (Grade B)</w:t>
      </w:r>
    </w:p>
    <w:p w14:paraId="712057CC" w14:textId="77777777" w:rsidR="00FD1ED3" w:rsidRDefault="00FD1ED3" w:rsidP="007E48B8">
      <w:pPr>
        <w:rPr>
          <w:rFonts w:eastAsia="Times New Roman" w:cs="Times New Roman"/>
          <w:szCs w:val="24"/>
          <w:lang w:val="en-AU" w:bidi="en-US"/>
        </w:rPr>
      </w:pPr>
      <w:r>
        <w:rPr>
          <w:rFonts w:eastAsia="Times New Roman" w:cs="Times New Roman"/>
          <w:szCs w:val="24"/>
          <w:lang w:val="en-AU" w:bidi="en-US"/>
        </w:rPr>
        <w:br w:type="page"/>
      </w:r>
    </w:p>
    <w:p w14:paraId="4343F55D" w14:textId="24D3EC63" w:rsidR="007E48B8" w:rsidRPr="007E48B8" w:rsidRDefault="007E48B8" w:rsidP="007E48B8">
      <w:pPr>
        <w:rPr>
          <w:rFonts w:eastAsia="Times New Roman" w:cs="Times New Roman"/>
          <w:szCs w:val="24"/>
          <w:lang w:val="en-AU" w:bidi="en-US"/>
        </w:rPr>
      </w:pPr>
      <w:r w:rsidRPr="007E48B8">
        <w:rPr>
          <w:rFonts w:eastAsia="Times New Roman" w:cs="Times New Roman"/>
          <w:szCs w:val="24"/>
          <w:lang w:val="en-AU" w:bidi="en-US"/>
        </w:rPr>
        <w:lastRenderedPageBreak/>
        <w:t>FSANZ agrees with the first two of these conclusions. The third conclusion is discussed below.</w:t>
      </w:r>
    </w:p>
    <w:p w14:paraId="2128B7E5" w14:textId="77777777" w:rsidR="007E48B8" w:rsidRPr="007E48B8" w:rsidRDefault="007E48B8" w:rsidP="007E48B8">
      <w:pPr>
        <w:rPr>
          <w:rFonts w:eastAsia="Times New Roman" w:cs="Times New Roman"/>
          <w:szCs w:val="24"/>
          <w:lang w:val="en-AU" w:bidi="en-US"/>
        </w:rPr>
      </w:pPr>
    </w:p>
    <w:p w14:paraId="32238E21" w14:textId="77777777" w:rsidR="007E48B8" w:rsidRPr="007E48B8" w:rsidRDefault="007E48B8" w:rsidP="007E48B8">
      <w:pPr>
        <w:rPr>
          <w:rFonts w:eastAsia="Times New Roman" w:cs="Times New Roman"/>
          <w:szCs w:val="24"/>
          <w:lang w:val="en-AU" w:bidi="en-US"/>
        </w:rPr>
      </w:pPr>
      <w:r w:rsidRPr="007E48B8">
        <w:rPr>
          <w:rFonts w:eastAsia="Times New Roman" w:cs="Times New Roman"/>
          <w:szCs w:val="24"/>
          <w:lang w:val="en-AU" w:bidi="en-US"/>
        </w:rPr>
        <w:t>Additional food-health outcome relationships were examined by the Committee and these received a D grade.</w:t>
      </w:r>
    </w:p>
    <w:p w14:paraId="19105BD6" w14:textId="77777777" w:rsidR="007E48B8" w:rsidRPr="007E48B8" w:rsidRDefault="007E48B8" w:rsidP="007E48B8">
      <w:pPr>
        <w:rPr>
          <w:rFonts w:eastAsia="Times New Roman" w:cs="Times New Roman"/>
          <w:szCs w:val="24"/>
          <w:lang w:val="en-AU" w:bidi="en-US"/>
        </w:rPr>
      </w:pPr>
    </w:p>
    <w:p w14:paraId="239FDE09" w14:textId="68385819" w:rsidR="007E48B8" w:rsidRPr="007E48B8" w:rsidRDefault="007E48B8" w:rsidP="007E48B8">
      <w:pPr>
        <w:ind w:left="567" w:hanging="567"/>
        <w:rPr>
          <w:rFonts w:eastAsia="Times New Roman" w:cs="Arial"/>
          <w:szCs w:val="24"/>
          <w:lang w:val="en-AU" w:bidi="en-US"/>
        </w:rPr>
      </w:pPr>
      <w:r w:rsidRPr="007E48B8">
        <w:rPr>
          <w:rFonts w:eastAsia="Times New Roman" w:cs="Arial"/>
          <w:szCs w:val="24"/>
          <w:lang w:val="en-AU" w:bidi="en-US"/>
        </w:rPr>
        <w:t xml:space="preserve">“Evidence of an association between the age of introduction of solid foods and risk of overweight in children younger than age 7 years is inconclusive” (Grade D) </w:t>
      </w:r>
      <w:r w:rsidRPr="007E48B8">
        <w:rPr>
          <w:rFonts w:eastAsia="Times New Roman" w:cs="Arial"/>
          <w:noProof/>
          <w:szCs w:val="24"/>
          <w:lang w:val="en-AU" w:bidi="en-US"/>
        </w:rPr>
        <w:t>(NHMRC 2012</w:t>
      </w:r>
      <w:r w:rsidR="00360FBD">
        <w:rPr>
          <w:rFonts w:eastAsia="Times New Roman" w:cs="Arial"/>
          <w:noProof/>
          <w:szCs w:val="24"/>
          <w:lang w:val="en-AU" w:bidi="en-US"/>
        </w:rPr>
        <w:t>a</w:t>
      </w:r>
      <w:r w:rsidRPr="007E48B8">
        <w:rPr>
          <w:rFonts w:eastAsia="Times New Roman" w:cs="Arial"/>
          <w:noProof/>
          <w:szCs w:val="24"/>
          <w:lang w:val="en-AU" w:bidi="en-US"/>
        </w:rPr>
        <w:t>, page 87)</w:t>
      </w:r>
      <w:r w:rsidRPr="007E48B8">
        <w:rPr>
          <w:rFonts w:eastAsia="Times New Roman" w:cs="Arial"/>
          <w:szCs w:val="24"/>
          <w:lang w:val="en-AU" w:bidi="en-US"/>
        </w:rPr>
        <w:t xml:space="preserve"> </w:t>
      </w:r>
    </w:p>
    <w:p w14:paraId="4715C913" w14:textId="77777777" w:rsidR="007E48B8" w:rsidRPr="007E48B8" w:rsidRDefault="007E48B8" w:rsidP="007E48B8">
      <w:pPr>
        <w:ind w:left="567"/>
        <w:rPr>
          <w:rFonts w:eastAsia="Times New Roman" w:cs="Arial"/>
          <w:szCs w:val="24"/>
          <w:lang w:val="en-AU"/>
        </w:rPr>
      </w:pPr>
    </w:p>
    <w:p w14:paraId="29CFB485" w14:textId="77777777" w:rsidR="007E48B8" w:rsidRPr="007E48B8" w:rsidRDefault="007E48B8" w:rsidP="007E48B8">
      <w:pPr>
        <w:ind w:left="567" w:hanging="567"/>
        <w:rPr>
          <w:rFonts w:eastAsia="Times New Roman" w:cs="Arial"/>
          <w:szCs w:val="24"/>
          <w:lang w:val="en-AU" w:bidi="en-US"/>
        </w:rPr>
      </w:pPr>
      <w:r w:rsidRPr="007E48B8">
        <w:rPr>
          <w:rFonts w:eastAsia="Times New Roman" w:cs="Arial"/>
          <w:szCs w:val="24"/>
          <w:lang w:val="en-AU" w:bidi="en-US"/>
        </w:rPr>
        <w:t xml:space="preserve">“Delaying the introduction of solid foods until after the age of 6 months is associated with increased risk of developing allergic syndromes.” (Grade D) </w:t>
      </w:r>
      <w:r w:rsidRPr="007E48B8">
        <w:rPr>
          <w:rFonts w:eastAsia="Times New Roman" w:cs="Arial"/>
          <w:noProof/>
          <w:szCs w:val="24"/>
          <w:lang w:val="en-AU" w:bidi="en-US"/>
        </w:rPr>
        <w:t>(NHMRC 2012a, page 90)</w:t>
      </w:r>
      <w:r w:rsidRPr="007E48B8">
        <w:rPr>
          <w:rFonts w:eastAsia="Times New Roman" w:cs="Arial"/>
          <w:szCs w:val="24"/>
          <w:lang w:val="en-AU" w:bidi="en-US"/>
        </w:rPr>
        <w:t xml:space="preserve"> </w:t>
      </w:r>
    </w:p>
    <w:p w14:paraId="204D2B42" w14:textId="77777777" w:rsidR="007E48B8" w:rsidRPr="007E48B8" w:rsidRDefault="007E48B8" w:rsidP="007E48B8">
      <w:pPr>
        <w:rPr>
          <w:rFonts w:eastAsia="Times New Roman" w:cs="Times New Roman"/>
          <w:szCs w:val="24"/>
          <w:lang w:bidi="en-US"/>
        </w:rPr>
      </w:pPr>
    </w:p>
    <w:p w14:paraId="4B814DC1" w14:textId="011584B2" w:rsidR="007E48B8" w:rsidRPr="007E48B8" w:rsidRDefault="007E48B8" w:rsidP="007E48B8">
      <w:pPr>
        <w:rPr>
          <w:rFonts w:eastAsia="Times New Roman" w:cs="Times New Roman"/>
          <w:szCs w:val="24"/>
          <w:lang w:bidi="en-US"/>
        </w:rPr>
      </w:pPr>
      <w:r w:rsidRPr="007E48B8">
        <w:rPr>
          <w:rFonts w:eastAsia="Times New Roman" w:cs="Times New Roman"/>
          <w:szCs w:val="24"/>
          <w:lang w:bidi="en-US"/>
        </w:rPr>
        <w:t xml:space="preserve">Other conclusions were reached from other evidence sources. Those that relate only to solid foods and not to breastfeeding versus formula feeding include </w:t>
      </w:r>
      <w:r w:rsidRPr="007E48B8">
        <w:rPr>
          <w:rFonts w:eastAsia="Times New Roman" w:cs="Times New Roman"/>
          <w:noProof/>
          <w:szCs w:val="24"/>
          <w:lang w:bidi="en-US"/>
        </w:rPr>
        <w:t>(NHMRC 2012</w:t>
      </w:r>
      <w:r w:rsidR="00360FBD">
        <w:rPr>
          <w:rFonts w:eastAsia="Times New Roman" w:cs="Times New Roman"/>
          <w:noProof/>
          <w:szCs w:val="24"/>
          <w:lang w:bidi="en-US"/>
        </w:rPr>
        <w:t>a</w:t>
      </w:r>
      <w:r w:rsidRPr="007E48B8">
        <w:rPr>
          <w:rFonts w:eastAsia="Times New Roman" w:cs="Times New Roman"/>
          <w:noProof/>
          <w:szCs w:val="24"/>
          <w:lang w:bidi="en-US"/>
        </w:rPr>
        <w:t>, page 86)</w:t>
      </w:r>
      <w:r w:rsidRPr="007E48B8">
        <w:rPr>
          <w:rFonts w:eastAsia="Times New Roman" w:cs="Times New Roman"/>
          <w:szCs w:val="24"/>
          <w:lang w:bidi="en-US"/>
        </w:rPr>
        <w:t>:</w:t>
      </w:r>
    </w:p>
    <w:p w14:paraId="3A90C998" w14:textId="77777777" w:rsidR="007E48B8" w:rsidRPr="007E48B8" w:rsidRDefault="007E48B8" w:rsidP="007E48B8">
      <w:pPr>
        <w:rPr>
          <w:rFonts w:eastAsia="Times New Roman" w:cs="Times New Roman"/>
          <w:szCs w:val="24"/>
          <w:lang w:bidi="en-US"/>
        </w:rPr>
      </w:pPr>
    </w:p>
    <w:p w14:paraId="5F9295F2" w14:textId="77777777" w:rsidR="007E48B8" w:rsidRPr="007E48B8" w:rsidRDefault="007E48B8" w:rsidP="00DF15C4">
      <w:pPr>
        <w:ind w:left="567" w:hanging="567"/>
        <w:rPr>
          <w:rFonts w:eastAsia="Times New Roman" w:cs="Arial"/>
          <w:szCs w:val="24"/>
          <w:lang w:val="en-AU"/>
        </w:rPr>
      </w:pPr>
      <w:r w:rsidRPr="007E48B8">
        <w:rPr>
          <w:rFonts w:eastAsia="Times New Roman" w:cs="Arial"/>
          <w:szCs w:val="24"/>
          <w:lang w:val="en-AU"/>
        </w:rPr>
        <w:t xml:space="preserve">“By around 6 months of age breast milk (or infant formula) no longer provides sufficient nutrients and energy for growth and development.” </w:t>
      </w:r>
    </w:p>
    <w:p w14:paraId="158F5AEE" w14:textId="77777777" w:rsidR="007E48B8" w:rsidRPr="007E48B8" w:rsidRDefault="007E48B8" w:rsidP="00DF15C4">
      <w:pPr>
        <w:ind w:left="567" w:hanging="567"/>
        <w:rPr>
          <w:rFonts w:eastAsia="Times New Roman" w:cs="Arial"/>
          <w:szCs w:val="24"/>
          <w:lang w:val="en-AU"/>
        </w:rPr>
      </w:pPr>
    </w:p>
    <w:p w14:paraId="37A01329" w14:textId="77777777" w:rsidR="007E48B8" w:rsidRPr="007E48B8" w:rsidRDefault="007E48B8" w:rsidP="00DF15C4">
      <w:pPr>
        <w:ind w:left="567" w:hanging="567"/>
        <w:rPr>
          <w:rFonts w:eastAsia="Times New Roman" w:cs="Arial"/>
          <w:szCs w:val="24"/>
          <w:lang w:val="en-AU"/>
        </w:rPr>
      </w:pPr>
      <w:r w:rsidRPr="007E48B8">
        <w:rPr>
          <w:rFonts w:eastAsia="Times New Roman" w:cs="Arial"/>
          <w:szCs w:val="24"/>
          <w:lang w:val="en-AU"/>
        </w:rPr>
        <w:t>“By around 6 months of age most infants are able to adapt to different foods, food textures and modes of feeding.”</w:t>
      </w:r>
    </w:p>
    <w:p w14:paraId="130BD64D" w14:textId="77777777" w:rsidR="007E48B8" w:rsidRPr="007E48B8" w:rsidRDefault="007E48B8" w:rsidP="00DF15C4">
      <w:pPr>
        <w:ind w:left="567" w:hanging="567"/>
        <w:rPr>
          <w:rFonts w:eastAsia="Times New Roman" w:cs="Arial"/>
          <w:szCs w:val="24"/>
          <w:lang w:val="en-AU"/>
        </w:rPr>
      </w:pPr>
    </w:p>
    <w:p w14:paraId="4829099C" w14:textId="77777777" w:rsidR="007E48B8" w:rsidRPr="007E48B8" w:rsidRDefault="007E48B8" w:rsidP="00DF15C4">
      <w:pPr>
        <w:ind w:left="567" w:hanging="567"/>
        <w:rPr>
          <w:rFonts w:eastAsia="Times New Roman" w:cs="Arial"/>
          <w:szCs w:val="24"/>
          <w:lang w:val="en-AU"/>
        </w:rPr>
      </w:pPr>
      <w:r w:rsidRPr="007E48B8">
        <w:rPr>
          <w:rFonts w:eastAsia="Times New Roman" w:cs="Arial"/>
          <w:szCs w:val="24"/>
          <w:lang w:val="en-AU"/>
        </w:rPr>
        <w:t xml:space="preserve">“If solid foods are introduced while the tongue-extrusion reflex is still strong, the infant will reject the spoon (a hard object) – the mother might then feel that the infant is rejecting the food, when in fact he or she is rejecting the object in the mouth”. </w:t>
      </w:r>
    </w:p>
    <w:p w14:paraId="69628401" w14:textId="77777777" w:rsidR="007E48B8" w:rsidRPr="007E48B8" w:rsidRDefault="007E48B8" w:rsidP="007E48B8">
      <w:pPr>
        <w:rPr>
          <w:rFonts w:eastAsia="Times New Roman" w:cs="Times New Roman"/>
          <w:szCs w:val="24"/>
          <w:lang w:val="en-AU" w:bidi="en-US"/>
        </w:rPr>
      </w:pPr>
    </w:p>
    <w:p w14:paraId="036F0E82" w14:textId="6A477441" w:rsidR="007E48B8" w:rsidRPr="007E48B8" w:rsidRDefault="007E48B8" w:rsidP="007E48B8">
      <w:pPr>
        <w:rPr>
          <w:rFonts w:eastAsia="Times New Roman" w:cs="Times New Roman"/>
          <w:szCs w:val="24"/>
          <w:lang w:val="en-AU" w:bidi="en-US"/>
        </w:rPr>
      </w:pPr>
      <w:r w:rsidRPr="007E48B8">
        <w:rPr>
          <w:rFonts w:eastAsia="Times New Roman" w:cs="Times New Roman"/>
          <w:szCs w:val="24"/>
          <w:lang w:val="en-AU" w:bidi="en-US"/>
        </w:rPr>
        <w:t xml:space="preserve">There were a number of other conclusions based on these evidence sources. However, these were largely derived from studies comparing infant formula to breast milk or exclusive to non-exclusive breastfeeding. Hence the results cannot be extrapolated to the comparison of the effect of introducing solids from 4 months compared with ‘around 6 months’. </w:t>
      </w:r>
      <w:r w:rsidR="00DF15C4">
        <w:rPr>
          <w:rFonts w:eastAsia="Times New Roman" w:cs="Times New Roman"/>
          <w:szCs w:val="24"/>
          <w:lang w:val="en-AU" w:bidi="en-US"/>
        </w:rPr>
        <w:t>R</w:t>
      </w:r>
      <w:r w:rsidRPr="007E48B8">
        <w:rPr>
          <w:rFonts w:eastAsia="Times New Roman" w:cs="Times New Roman"/>
          <w:szCs w:val="24"/>
          <w:lang w:val="en-AU" w:bidi="en-US"/>
        </w:rPr>
        <w:t>elevant conclusions were:</w:t>
      </w:r>
    </w:p>
    <w:p w14:paraId="568C332B" w14:textId="77777777" w:rsidR="007E48B8" w:rsidRPr="007E48B8" w:rsidRDefault="007E48B8" w:rsidP="007E48B8">
      <w:pPr>
        <w:rPr>
          <w:rFonts w:eastAsia="Times New Roman" w:cs="Times New Roman"/>
          <w:szCs w:val="24"/>
          <w:lang w:val="en-AU" w:bidi="en-US"/>
        </w:rPr>
      </w:pPr>
    </w:p>
    <w:p w14:paraId="5B93DD53" w14:textId="77777777" w:rsidR="007E48B8" w:rsidRPr="007E48B8" w:rsidRDefault="007E48B8" w:rsidP="007E48B8">
      <w:pPr>
        <w:ind w:left="567" w:hanging="567"/>
        <w:rPr>
          <w:rFonts w:eastAsia="Times New Roman" w:cs="Arial"/>
          <w:noProof/>
          <w:szCs w:val="24"/>
          <w:lang w:val="en-AU" w:bidi="en-US"/>
        </w:rPr>
      </w:pPr>
      <w:r w:rsidRPr="007E48B8">
        <w:rPr>
          <w:rFonts w:eastAsia="Times New Roman" w:cs="Arial"/>
          <w:szCs w:val="24"/>
          <w:lang w:val="en-AU" w:bidi="en-US"/>
        </w:rPr>
        <w:t xml:space="preserve">“Breastfeeding exclusively to around 6 months </w:t>
      </w:r>
      <w:r w:rsidRPr="007E48B8">
        <w:rPr>
          <w:rFonts w:eastAsia="Times New Roman" w:cs="Arial"/>
          <w:i/>
          <w:iCs/>
          <w:szCs w:val="24"/>
          <w:lang w:val="en-AU" w:bidi="en-US"/>
        </w:rPr>
        <w:t>is compatible with</w:t>
      </w:r>
      <w:r w:rsidRPr="007E48B8">
        <w:rPr>
          <w:rFonts w:eastAsia="Times New Roman" w:cs="Arial"/>
          <w:szCs w:val="24"/>
          <w:lang w:val="en-AU" w:bidi="en-US"/>
        </w:rPr>
        <w:t xml:space="preserve"> achieving the lowest rates of allergic disease.” (</w:t>
      </w:r>
      <w:proofErr w:type="gramStart"/>
      <w:r w:rsidRPr="007E48B8">
        <w:rPr>
          <w:rFonts w:eastAsia="Times New Roman" w:cs="Arial"/>
          <w:szCs w:val="24"/>
          <w:lang w:val="en-AU" w:bidi="en-US"/>
        </w:rPr>
        <w:t>emphasis</w:t>
      </w:r>
      <w:proofErr w:type="gramEnd"/>
      <w:r w:rsidRPr="007E48B8">
        <w:rPr>
          <w:rFonts w:eastAsia="Times New Roman" w:cs="Arial"/>
          <w:szCs w:val="24"/>
          <w:lang w:val="en-AU" w:bidi="en-US"/>
        </w:rPr>
        <w:t xml:space="preserve"> added) </w:t>
      </w:r>
      <w:r w:rsidRPr="007E48B8">
        <w:rPr>
          <w:rFonts w:eastAsia="Times New Roman" w:cs="Arial"/>
          <w:noProof/>
          <w:szCs w:val="24"/>
          <w:lang w:val="en-AU" w:bidi="en-US"/>
        </w:rPr>
        <w:t>(NHMRC 2012a, page 16)</w:t>
      </w:r>
    </w:p>
    <w:p w14:paraId="529E97C9" w14:textId="77777777" w:rsidR="007E48B8" w:rsidRPr="007E48B8" w:rsidRDefault="007E48B8" w:rsidP="007E48B8">
      <w:pPr>
        <w:rPr>
          <w:rFonts w:eastAsia="Times New Roman" w:cs="Times New Roman"/>
          <w:szCs w:val="24"/>
          <w:lang w:val="en-AU" w:bidi="en-US"/>
        </w:rPr>
      </w:pPr>
    </w:p>
    <w:p w14:paraId="2931E3AC" w14:textId="77777777" w:rsidR="007E48B8" w:rsidRPr="007E48B8" w:rsidRDefault="007E48B8" w:rsidP="007E48B8">
      <w:pPr>
        <w:ind w:left="567" w:hanging="567"/>
        <w:rPr>
          <w:rFonts w:eastAsia="Times New Roman" w:cs="Arial"/>
          <w:szCs w:val="24"/>
          <w:lang w:val="en-AU" w:bidi="en-US"/>
        </w:rPr>
      </w:pPr>
      <w:r w:rsidRPr="007E48B8">
        <w:rPr>
          <w:rFonts w:eastAsia="Times New Roman" w:cs="Arial"/>
          <w:szCs w:val="24"/>
          <w:lang w:val="en-AU" w:bidi="en-US"/>
        </w:rPr>
        <w:t xml:space="preserve">“The introduction of complementary feeding (adding solid foods and liquids other than breast milk or infant formula) at around 6 months is consistent with introduction of solid foods during the probable </w:t>
      </w:r>
      <w:r w:rsidRPr="007E48B8">
        <w:rPr>
          <w:rFonts w:eastAsia="Times New Roman" w:cs="Arial"/>
          <w:szCs w:val="24"/>
          <w:lang w:val="en-US" w:bidi="en-US"/>
        </w:rPr>
        <w:t>‘</w:t>
      </w:r>
      <w:r w:rsidRPr="007E48B8">
        <w:rPr>
          <w:rFonts w:eastAsia="Times New Roman" w:cs="Arial"/>
          <w:szCs w:val="24"/>
          <w:lang w:val="en-AU" w:bidi="en-US"/>
        </w:rPr>
        <w:t>window of tolerance</w:t>
      </w:r>
      <w:r w:rsidRPr="007E48B8">
        <w:rPr>
          <w:rFonts w:eastAsia="Times New Roman" w:cs="Arial"/>
          <w:szCs w:val="24"/>
          <w:lang w:val="en-US" w:bidi="en-US"/>
        </w:rPr>
        <w:t xml:space="preserve">’ </w:t>
      </w:r>
      <w:r w:rsidRPr="007E48B8">
        <w:rPr>
          <w:rFonts w:eastAsia="Times New Roman" w:cs="Arial"/>
          <w:szCs w:val="24"/>
          <w:lang w:val="en-AU" w:bidi="en-US"/>
        </w:rPr>
        <w:t xml:space="preserve">between 4 and 7 months. The majority of Australian infants have solids introduced during this period.” </w:t>
      </w:r>
      <w:r w:rsidRPr="007E48B8">
        <w:rPr>
          <w:rFonts w:eastAsia="Times New Roman" w:cs="Arial"/>
          <w:noProof/>
          <w:szCs w:val="24"/>
          <w:lang w:val="en-AU" w:bidi="en-US"/>
        </w:rPr>
        <w:t>(NHMRC 2013, page 90)</w:t>
      </w:r>
      <w:r w:rsidRPr="007E48B8">
        <w:rPr>
          <w:rFonts w:eastAsia="Times New Roman" w:cs="Arial"/>
          <w:szCs w:val="24"/>
          <w:lang w:val="en-AU" w:bidi="en-US"/>
        </w:rPr>
        <w:t xml:space="preserve"> </w:t>
      </w:r>
    </w:p>
    <w:p w14:paraId="79F7F54E" w14:textId="77777777" w:rsidR="007E48B8" w:rsidRPr="007E48B8" w:rsidRDefault="007E48B8" w:rsidP="007E48B8">
      <w:pPr>
        <w:rPr>
          <w:rFonts w:eastAsia="Times New Roman" w:cs="Times New Roman"/>
          <w:szCs w:val="24"/>
          <w:lang w:val="en-AU" w:bidi="en-US"/>
        </w:rPr>
      </w:pPr>
    </w:p>
    <w:p w14:paraId="388A978A" w14:textId="77777777" w:rsidR="007E48B8" w:rsidRPr="007E48B8" w:rsidRDefault="007E48B8" w:rsidP="007E48B8">
      <w:pPr>
        <w:ind w:left="567" w:hanging="567"/>
        <w:rPr>
          <w:rFonts w:eastAsia="Times New Roman" w:cs="Arial"/>
          <w:szCs w:val="24"/>
          <w:lang w:val="en-AU" w:bidi="en-US"/>
        </w:rPr>
      </w:pPr>
      <w:r w:rsidRPr="007E48B8">
        <w:rPr>
          <w:rFonts w:eastAsia="Times New Roman" w:cs="Arial"/>
          <w:szCs w:val="24"/>
          <w:lang w:val="en-AU" w:bidi="en-US"/>
        </w:rPr>
        <w:t xml:space="preserve">“Animal and human studies suggest that breastfeeding during the period of antigen introduction facilitates the development of oral tolerance, with transforming growth factor-beta (TGFß) a possible critical component in this process and protective against allergic asthma.” </w:t>
      </w:r>
      <w:r w:rsidRPr="007E48B8">
        <w:rPr>
          <w:rFonts w:eastAsia="Times New Roman" w:cs="Arial"/>
          <w:noProof/>
          <w:szCs w:val="24"/>
          <w:lang w:val="en-AU" w:bidi="en-US"/>
        </w:rPr>
        <w:t>(NHMRC 2012a, page 16)</w:t>
      </w:r>
    </w:p>
    <w:p w14:paraId="3B68A90E" w14:textId="2FCCB07B" w:rsidR="00DB493F" w:rsidRPr="005C39EC" w:rsidRDefault="00DB493F" w:rsidP="00BE7858">
      <w:pPr>
        <w:rPr>
          <w:rFonts w:cs="Arial"/>
        </w:rPr>
      </w:pPr>
      <w:r w:rsidRPr="005C39EC">
        <w:rPr>
          <w:rFonts w:cs="Arial"/>
        </w:rPr>
        <w:br w:type="page"/>
      </w:r>
    </w:p>
    <w:p w14:paraId="392A51C8" w14:textId="77777777" w:rsidR="0014171C" w:rsidRPr="005C39EC" w:rsidRDefault="0014171C" w:rsidP="00BE7858">
      <w:pPr>
        <w:pStyle w:val="Heading1"/>
        <w:numPr>
          <w:ilvl w:val="0"/>
          <w:numId w:val="0"/>
        </w:numPr>
        <w:rPr>
          <w:rFonts w:cs="Arial"/>
        </w:rPr>
      </w:pPr>
      <w:bookmarkStart w:id="34" w:name="_Toc399945843"/>
      <w:r w:rsidRPr="005C39EC">
        <w:rPr>
          <w:rFonts w:cs="Arial"/>
        </w:rPr>
        <w:lastRenderedPageBreak/>
        <w:t>References</w:t>
      </w:r>
      <w:bookmarkEnd w:id="34"/>
    </w:p>
    <w:p w14:paraId="27903B60"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Agostoni C, Decsi T, Fewtrell M, Goulet O, Kolacek S, Koletzko B, Michaelsen KF, Moreno L, Puntis J, Rigo J, Shamir R, Szajewska H, Turck D, van GJ (2008) Complementary feeding: a commentary by the ESPGHAN Committee on Nutrition. J Pediatr Gastroenterol Nutr 46(1):99–110</w:t>
      </w:r>
    </w:p>
    <w:p w14:paraId="6342A3EB" w14:textId="77777777" w:rsidR="00F85389" w:rsidRPr="005C39EC" w:rsidRDefault="00F85389" w:rsidP="00BE7858">
      <w:pPr>
        <w:tabs>
          <w:tab w:val="left" w:pos="0"/>
        </w:tabs>
        <w:rPr>
          <w:rFonts w:cs="Arial"/>
          <w:noProof/>
          <w:sz w:val="20"/>
          <w:szCs w:val="20"/>
        </w:rPr>
      </w:pPr>
      <w:r w:rsidRPr="005C39EC">
        <w:rPr>
          <w:rFonts w:cs="Arial"/>
          <w:noProof/>
          <w:sz w:val="20"/>
          <w:szCs w:val="20"/>
        </w:rPr>
        <w:t>Australian Institute of Health and Welfare (2011a) 2010 Australian National Infant Feeding Survey. AIHW, Canberra</w:t>
      </w:r>
    </w:p>
    <w:p w14:paraId="0E976A9B" w14:textId="77777777" w:rsidR="000E7587" w:rsidRPr="005C39EC" w:rsidRDefault="006E675E" w:rsidP="00BE7858">
      <w:pPr>
        <w:tabs>
          <w:tab w:val="left" w:pos="0"/>
        </w:tabs>
        <w:spacing w:after="240"/>
        <w:rPr>
          <w:rFonts w:cs="Arial"/>
          <w:noProof/>
          <w:sz w:val="20"/>
          <w:szCs w:val="20"/>
        </w:rPr>
      </w:pPr>
      <w:hyperlink r:id="rId16" w:history="1">
        <w:r w:rsidR="000E7587" w:rsidRPr="005C39EC">
          <w:rPr>
            <w:rStyle w:val="Hyperlink"/>
            <w:rFonts w:cs="Arial"/>
            <w:noProof/>
            <w:sz w:val="20"/>
            <w:szCs w:val="20"/>
          </w:rPr>
          <w:t>http://www.aihw.gov.au/publication-detail/?id=10737420927</w:t>
        </w:r>
      </w:hyperlink>
      <w:r w:rsidR="000E7587" w:rsidRPr="005C39EC">
        <w:rPr>
          <w:rFonts w:cs="Arial"/>
          <w:noProof/>
          <w:sz w:val="20"/>
          <w:szCs w:val="20"/>
        </w:rPr>
        <w:t xml:space="preserve"> Accessed 31 July 2014</w:t>
      </w:r>
    </w:p>
    <w:p w14:paraId="61E175ED" w14:textId="77777777" w:rsidR="00F85389" w:rsidRPr="005C39EC" w:rsidRDefault="00F85389" w:rsidP="00BE7858">
      <w:pPr>
        <w:tabs>
          <w:tab w:val="left" w:pos="0"/>
        </w:tabs>
        <w:rPr>
          <w:rFonts w:cs="Arial"/>
          <w:noProof/>
          <w:sz w:val="20"/>
          <w:szCs w:val="20"/>
        </w:rPr>
      </w:pPr>
      <w:r w:rsidRPr="005C39EC">
        <w:rPr>
          <w:rFonts w:cs="Arial"/>
          <w:noProof/>
          <w:sz w:val="20"/>
          <w:szCs w:val="20"/>
        </w:rPr>
        <w:t>Australian Institute of Health and Welfare (2011b) 2010 Australia's Mothers and Babies. AIHW, Canberra</w:t>
      </w:r>
    </w:p>
    <w:p w14:paraId="2175F917" w14:textId="77777777" w:rsidR="000E7587" w:rsidRPr="005C39EC" w:rsidRDefault="006E675E" w:rsidP="00BE7858">
      <w:pPr>
        <w:tabs>
          <w:tab w:val="left" w:pos="0"/>
        </w:tabs>
        <w:spacing w:after="240"/>
        <w:rPr>
          <w:rFonts w:cs="Arial"/>
          <w:noProof/>
          <w:sz w:val="20"/>
          <w:szCs w:val="20"/>
        </w:rPr>
      </w:pPr>
      <w:hyperlink r:id="rId17" w:history="1">
        <w:r w:rsidR="000E7587" w:rsidRPr="005C39EC">
          <w:rPr>
            <w:rStyle w:val="Hyperlink"/>
            <w:rFonts w:cs="Arial"/>
            <w:noProof/>
            <w:sz w:val="20"/>
            <w:szCs w:val="20"/>
          </w:rPr>
          <w:t>http://www.aihw.gov.au/publication-detail/?id=60129542376</w:t>
        </w:r>
      </w:hyperlink>
      <w:r w:rsidR="000E7587" w:rsidRPr="005C39EC">
        <w:rPr>
          <w:rFonts w:cs="Arial"/>
          <w:noProof/>
          <w:sz w:val="20"/>
          <w:szCs w:val="20"/>
        </w:rPr>
        <w:t xml:space="preserve"> Accessed 31 July 2014</w:t>
      </w:r>
    </w:p>
    <w:p w14:paraId="45E1A1B9"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Alm B, Aberg N, Erdes L, Mollborg P, Pettersson R, Norvenius SG, Goksor E, Wennergren G (2009) Early introduction of fish decreases the risk of eczema in infants. Arch Dis Child 94(1):11–15</w:t>
      </w:r>
    </w:p>
    <w:p w14:paraId="7C062326" w14:textId="77777777" w:rsidR="0014171C" w:rsidRPr="005C39EC" w:rsidRDefault="0014171C" w:rsidP="00BE7858">
      <w:pPr>
        <w:tabs>
          <w:tab w:val="left" w:pos="0"/>
        </w:tabs>
        <w:rPr>
          <w:rFonts w:cs="Arial"/>
          <w:noProof/>
          <w:sz w:val="20"/>
          <w:szCs w:val="20"/>
        </w:rPr>
      </w:pPr>
      <w:r w:rsidRPr="005C39EC">
        <w:rPr>
          <w:rFonts w:cs="Arial"/>
          <w:noProof/>
          <w:sz w:val="20"/>
          <w:szCs w:val="20"/>
        </w:rPr>
        <w:t>ASCIA (2010) ASCIA Infant Feeding Advice. Australasian Society for Clinical Immunology and Allergy.</w:t>
      </w:r>
    </w:p>
    <w:p w14:paraId="127F6D0E" w14:textId="77777777" w:rsidR="0014171C" w:rsidRPr="005C39EC" w:rsidRDefault="0014171C" w:rsidP="00BE7858">
      <w:pPr>
        <w:tabs>
          <w:tab w:val="left" w:pos="0"/>
        </w:tabs>
        <w:spacing w:after="240"/>
        <w:rPr>
          <w:rFonts w:cs="Arial"/>
          <w:noProof/>
          <w:sz w:val="20"/>
          <w:szCs w:val="20"/>
          <w:u w:val="single"/>
        </w:rPr>
      </w:pPr>
      <w:r w:rsidRPr="005C39EC">
        <w:rPr>
          <w:rFonts w:cs="Arial"/>
          <w:noProof/>
          <w:sz w:val="20"/>
          <w:szCs w:val="20"/>
        </w:rPr>
        <w:t>http://www.allergy.org.au/health-professionals/papers/ascia-infant-feeding-advice</w:t>
      </w:r>
    </w:p>
    <w:p w14:paraId="3D877C7D"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Binns CW, Fraser ML, Lee AH, Scott J (2009) Defining exclusive breastfeeding in Australia. J Paediatr Child Health 45(4):174–180</w:t>
      </w:r>
    </w:p>
    <w:p w14:paraId="11BFAF6A"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Brandtzaeg P (2010) Food allergy: separating the science from the mythology. Nat Rev Gastroenterol Hepatol 7(7):380–400</w:t>
      </w:r>
    </w:p>
    <w:p w14:paraId="01B92D7C"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Chuang CH, Hsieh WS, Chen YC, Chang PJ, Hurng BS, Lin SJ, Chen PC (2011) Infant feeding practices and physician diagnosed atopic dermatitis: a prospective cohort study in Taiwan. Pediatr Allergy Immunol 22(1 Pt 1):43–49</w:t>
      </w:r>
    </w:p>
    <w:p w14:paraId="38129576"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EFSA Panel on Dietetic Products Nutrition and Allergies (NDA) (2009) Scientific opinion on the appropriate age for introduction of complementary feeding of infants. EFSA Journal 7(12):1423–1511</w:t>
      </w:r>
    </w:p>
    <w:p w14:paraId="3BFC982D"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Fergusson DM, Horwood LJ, Shannon FT (1983) Asthma and infant diet. Arch Dis Child 58(1):48–51</w:t>
      </w:r>
    </w:p>
    <w:p w14:paraId="6466CBB0"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Fergusson DM, Horwood LJ, Shannon FT (1990) Early solid feeding and recurrent childhood eczema: a 10-year longitudinal study. Pediatrics 86(4):541–546</w:t>
      </w:r>
    </w:p>
    <w:p w14:paraId="56A11ADE"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Fergusson DM, Horwood LJ, Beautrais AL, Shannon FT, Taylor B (1981) Eczema and infant diet. Clin Allergy 11(4):325–331</w:t>
      </w:r>
    </w:p>
    <w:p w14:paraId="7D90A11E"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Fewtrell M, Wilson DC, Booth I, Lucas A (2011) Six months of exclusive breast feeding: how good is the evidence? BMJ 342:c5955</w:t>
      </w:r>
    </w:p>
    <w:p w14:paraId="3082005F"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Filipiak B, Zutavern A, Koletzko S, von BA, Brockow I, Grubl A, Berdel D, Reinhardt D, Bauer CP, Wichmann HE, Heinrich J (2007) Solid food introduction in relation to eczema: results from a four-year prospective birth cohort study. J Pediatr 151(4):352–358</w:t>
      </w:r>
    </w:p>
    <w:p w14:paraId="06551BC0" w14:textId="77777777" w:rsidR="000E7587" w:rsidRPr="005C39EC" w:rsidRDefault="000E7587" w:rsidP="00BE7858">
      <w:pPr>
        <w:tabs>
          <w:tab w:val="left" w:pos="0"/>
        </w:tabs>
        <w:spacing w:after="240"/>
        <w:rPr>
          <w:rFonts w:cs="Arial"/>
          <w:noProof/>
          <w:sz w:val="20"/>
          <w:szCs w:val="20"/>
        </w:rPr>
      </w:pPr>
      <w:r w:rsidRPr="005C39EC">
        <w:rPr>
          <w:rFonts w:cs="Arial"/>
          <w:noProof/>
          <w:sz w:val="20"/>
          <w:szCs w:val="20"/>
        </w:rPr>
        <w:t>Frederiksen B, Kroehl M, Lamb MM, Seifert J, Barriga K, Eisenbarth GS, Rewers M, Norris JM (2013) Infant exposures and development of type 1 diabetes mellitus: The Diabetes Autoimmunity Study in the Young (DAISY). JAMA Pediatr 167(9):808–815</w:t>
      </w:r>
    </w:p>
    <w:p w14:paraId="0A16430F" w14:textId="77777777" w:rsidR="0014171C" w:rsidRPr="005C39EC" w:rsidRDefault="0014171C" w:rsidP="00BE7858">
      <w:pPr>
        <w:tabs>
          <w:tab w:val="left" w:pos="0"/>
        </w:tabs>
        <w:rPr>
          <w:rFonts w:cs="Arial"/>
          <w:noProof/>
          <w:sz w:val="20"/>
          <w:szCs w:val="20"/>
        </w:rPr>
      </w:pPr>
      <w:r w:rsidRPr="005C39EC">
        <w:rPr>
          <w:rFonts w:cs="Arial"/>
          <w:noProof/>
          <w:sz w:val="20"/>
          <w:szCs w:val="20"/>
        </w:rPr>
        <w:t>FSANZ (2008) Proposal P274 Review of Minimum Age of Labelling of Foods for Infants - Preliminary Final Assessment Report. Food Standards Australia New Zealand, Canberra.</w:t>
      </w:r>
    </w:p>
    <w:p w14:paraId="131753AB" w14:textId="77777777" w:rsidR="0014171C" w:rsidRPr="005C39EC" w:rsidRDefault="0014171C" w:rsidP="00BE7858">
      <w:pPr>
        <w:tabs>
          <w:tab w:val="left" w:pos="0"/>
        </w:tabs>
        <w:spacing w:after="240"/>
        <w:rPr>
          <w:rFonts w:cs="Arial"/>
          <w:noProof/>
          <w:sz w:val="20"/>
          <w:szCs w:val="20"/>
          <w:u w:val="single"/>
        </w:rPr>
      </w:pPr>
      <w:r w:rsidRPr="005C39EC">
        <w:rPr>
          <w:rFonts w:cs="Arial"/>
          <w:noProof/>
          <w:sz w:val="20"/>
          <w:szCs w:val="20"/>
        </w:rPr>
        <w:t>http://www.foodstandards.gov.au/foodstandards/proposals/proposalp274reviewofminimumagelabellingoffoodsforinfants/index.cfm</w:t>
      </w:r>
    </w:p>
    <w:p w14:paraId="00F189F6"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Gold MS, Kemp AS (2005) Atopic disease in childhood. Med J Aust 182(6):298–304</w:t>
      </w:r>
    </w:p>
    <w:p w14:paraId="4D4656BE"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lastRenderedPageBreak/>
        <w:t xml:space="preserve">Hayder, H, Mueller, U, and Bartholomaeus, A. Review of intolerance reactions to food a food additives. International food risk analysis journal 1. 2011. </w:t>
      </w:r>
    </w:p>
    <w:p w14:paraId="1E7A8F98"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Hesselmar B, Saalman R, Rudin A, Adlerberth I, Wold A (2010) Early fish introduction is associated with less eczema, but not sensitization, in infants. Acta Paediatr 99(12):1861–1867</w:t>
      </w:r>
    </w:p>
    <w:p w14:paraId="5EE36D9E"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Hornell A, Lagstrom H, Lande B, Thorsdottir I (2013) Breastfeeding, introduction of other foods and effects on health: a systematic literature review for the 5th Nordic Nutrition Recommendations. Food Nutr Res 57</w:t>
      </w:r>
    </w:p>
    <w:p w14:paraId="55F13777"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Joseph CL, Ownby DR, Havstad SL, Woodcroft KJ, Wegienka G, MacKechnie H, Zoratti E, Peterson EL, Johnson CC (2011) Early complementary feeding and risk of food sensitization in a birth cohort. J Allergy Clin Immunol 127(5):1203–1210</w:t>
      </w:r>
    </w:p>
    <w:p w14:paraId="21E9ADBE"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Kajosaari M (1991) Atopy prophylaxis in high-risk infants. Prospective 5-year follow-up study of children with six months exclusive breastfeeding and solid food elimination. Adv Exp Med Biol 310:453–458</w:t>
      </w:r>
    </w:p>
    <w:p w14:paraId="1CBB1FE0"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Kajosaari M (1994) Atopy prevention in childhood: the role of diet. Prospective 5-year follow-up of high-risk infants with six months exclusive breastfeeding and solid food elimination. Pediatr Allergy Immunol 5(6 Suppl):26–28</w:t>
      </w:r>
    </w:p>
    <w:p w14:paraId="51C2A3A6"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Kajosaari M, Saarinen UM (1983) Prophylaxis of atopic disease by six months' total solid food elimination. Evaluation of 135 exclusively breast-fed infants of atopic families. Acta Paediatr Scand 72(3):411–414</w:t>
      </w:r>
    </w:p>
    <w:p w14:paraId="330CF7E3"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Koplin JJ, Osborne NJ, Wake M, Martin PE, Gurrin LC, Robinson MN, Tey D, Slaa M, Thiele L, Miles L, Anderson D, Tan T, Dang TD, Hill DJ, Lowe AJ, Matheson MC, Ponsonby AL, Tang ML, Dharmage SC, Allen KJ (2010) Can early introduction of egg prevent egg allergy in infants? A population-based study. J Allergy Clin Immunol 126(4):807–813</w:t>
      </w:r>
    </w:p>
    <w:p w14:paraId="138E9E7A" w14:textId="77777777" w:rsidR="00F85389" w:rsidRPr="005C39EC" w:rsidRDefault="00F85389" w:rsidP="00BE7858">
      <w:pPr>
        <w:tabs>
          <w:tab w:val="left" w:pos="0"/>
        </w:tabs>
        <w:spacing w:after="240"/>
        <w:rPr>
          <w:rFonts w:cs="Arial"/>
          <w:noProof/>
          <w:sz w:val="20"/>
          <w:szCs w:val="20"/>
        </w:rPr>
      </w:pPr>
      <w:r w:rsidRPr="005C39EC">
        <w:rPr>
          <w:rFonts w:cs="Arial"/>
          <w:noProof/>
          <w:sz w:val="20"/>
          <w:szCs w:val="20"/>
        </w:rPr>
        <w:t>Koplin JJ, Allen KJ, Gurrin LC, Peters RL, Lowe AJ, Tang ML, Dharmage SC (2013) The impact of family history of allergy on risk of food allergy: a population-based study of infants. Int J Environ Res Public Health 10(11):5364–5377</w:t>
      </w:r>
    </w:p>
    <w:p w14:paraId="61626E15"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Kramer MS, Kakuma R (2002) Optimal duration of exclusive breastfeeding. Cochrane Database Syst Rev(1):CD003517</w:t>
      </w:r>
    </w:p>
    <w:p w14:paraId="18260B93"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Kramer MS, Kakuma R (2012) Optimal duration of exclusive breastfeeding. Cochrane Database Syst Rev 8:CD003517</w:t>
      </w:r>
    </w:p>
    <w:p w14:paraId="0696C81E"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Kramer MS, Matush L, Bogdanovich N, Aboud F, Mazer B, Fombonne E, Collet JP, Hodnett E, Mironova E, Igumnov S, Chalmers B, Dahhou M, Platt RW (2009) Health and development outcomes in 6.5-y-old children breastfed exclusively for 3 or 6 mo. Am J Clin Nutr 90(4):1070–1074</w:t>
      </w:r>
    </w:p>
    <w:p w14:paraId="6187E5D6"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Kramer MS, Guo T, Platt RW, Sevkovskaya Z, Dzikovich I, Collet JP, Shapiro S, Chalmers B, Hodnett E, Vanilovich I, Mezen I, Ducruet T, Shishko G, Bogdanovich N (2003) Infant growth and health outcomes associated with 3 compared with 6 mo of exclusive breastfeeding. Am J Clin Nutr 78(2):291–295</w:t>
      </w:r>
    </w:p>
    <w:p w14:paraId="358932C3"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Kull I, Bergstrom A, Lilja G, Pershagen G, Wickman M (2006) Fish consumption during the first year of life and development of allergic diseases during childhood. Allergy 61(8):1009–1015</w:t>
      </w:r>
    </w:p>
    <w:p w14:paraId="6B6D2B85"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Lack G, Penagos M (2011) Early feeding practices and development of food allergies. Nestle Nutr Workshop Ser Pediatr Program 68:169–183</w:t>
      </w:r>
    </w:p>
    <w:p w14:paraId="562B6E7F" w14:textId="77777777" w:rsidR="000E3840" w:rsidRPr="005C39EC" w:rsidRDefault="000E3840" w:rsidP="00BE7858">
      <w:pPr>
        <w:tabs>
          <w:tab w:val="left" w:pos="0"/>
        </w:tabs>
        <w:spacing w:after="240"/>
        <w:rPr>
          <w:rFonts w:cs="Arial"/>
          <w:noProof/>
          <w:sz w:val="20"/>
          <w:szCs w:val="20"/>
        </w:rPr>
      </w:pPr>
      <w:r w:rsidRPr="005C39EC">
        <w:rPr>
          <w:rFonts w:cs="Arial"/>
          <w:noProof/>
          <w:sz w:val="20"/>
          <w:szCs w:val="20"/>
        </w:rPr>
        <w:t>Martin PE, Koplin JJ, Eckert JK, Lowe AJ, Ponsonby AL, Osborne NJ, Gurrin LC, Robinson MN, Hill DJ, Tang ML, Dharmage SC, Allen KJ (2013) The prevalence and socio-demographic risk factors of clinical eczema in infancy: a population-based observational study. Clin Exp Allergy 43(6):642–651</w:t>
      </w:r>
    </w:p>
    <w:p w14:paraId="5B3AEE9A"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lastRenderedPageBreak/>
        <w:t>Metcalfe J, Prescott SL, Palmer DJ (2013) Randomized controlled trials investigating the role of allergen exposure in food allergy: where are we now? Curr Opin Allergy Clin Immunol</w:t>
      </w:r>
      <w:r w:rsidR="006F0DE0" w:rsidRPr="005C39EC">
        <w:rPr>
          <w:rFonts w:cs="Arial"/>
          <w:noProof/>
          <w:sz w:val="20"/>
          <w:szCs w:val="20"/>
        </w:rPr>
        <w:t xml:space="preserve"> 13(3):296-305</w:t>
      </w:r>
    </w:p>
    <w:p w14:paraId="7EE07C6F"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Morgan J, Williams P, Norris F, Williams CM, Larkin M, Hampton S (2004) Eczema and early solid feeding in preterm infants. Arch Dis Child 89(4):309–314</w:t>
      </w:r>
    </w:p>
    <w:p w14:paraId="05129D26" w14:textId="77777777" w:rsidR="000E3840" w:rsidRPr="005C39EC" w:rsidRDefault="000E3840" w:rsidP="00BE7858">
      <w:pPr>
        <w:tabs>
          <w:tab w:val="left" w:pos="0"/>
        </w:tabs>
        <w:rPr>
          <w:rFonts w:cs="Arial"/>
          <w:noProof/>
          <w:sz w:val="20"/>
          <w:szCs w:val="20"/>
        </w:rPr>
      </w:pPr>
      <w:r w:rsidRPr="005C39EC">
        <w:rPr>
          <w:rFonts w:cs="Arial"/>
          <w:noProof/>
          <w:sz w:val="20"/>
          <w:szCs w:val="20"/>
        </w:rPr>
        <w:t>Ministry of Health (2008) Food and Nutrition Guidelines for Health Infants and Toddlers. New Zealand Ministry of Health, Wellington.</w:t>
      </w:r>
    </w:p>
    <w:p w14:paraId="362360CB" w14:textId="77777777" w:rsidR="000E3840" w:rsidRPr="005C39EC" w:rsidRDefault="006E675E" w:rsidP="00BE7858">
      <w:pPr>
        <w:tabs>
          <w:tab w:val="left" w:pos="0"/>
        </w:tabs>
        <w:rPr>
          <w:rFonts w:cs="Arial"/>
          <w:noProof/>
          <w:sz w:val="20"/>
          <w:szCs w:val="20"/>
          <w:u w:val="single"/>
        </w:rPr>
      </w:pPr>
      <w:hyperlink r:id="rId18" w:history="1">
        <w:r w:rsidR="0099082A" w:rsidRPr="005C39EC">
          <w:rPr>
            <w:rStyle w:val="Hyperlink"/>
            <w:rFonts w:cs="Arial"/>
            <w:noProof/>
            <w:sz w:val="20"/>
            <w:szCs w:val="20"/>
          </w:rPr>
          <w:t>http://www.health.govt.nz/our-work/preventative-health-wellness/nutrition/food-and-nutrition-guidelines</w:t>
        </w:r>
      </w:hyperlink>
      <w:r w:rsidR="0099082A" w:rsidRPr="005C39EC">
        <w:rPr>
          <w:rFonts w:cs="Arial"/>
          <w:noProof/>
          <w:sz w:val="20"/>
          <w:szCs w:val="20"/>
          <w:u w:val="single"/>
        </w:rPr>
        <w:t xml:space="preserve"> </w:t>
      </w:r>
      <w:r w:rsidR="0099082A" w:rsidRPr="005C39EC">
        <w:rPr>
          <w:rFonts w:cs="Arial"/>
          <w:noProof/>
          <w:sz w:val="20"/>
          <w:szCs w:val="20"/>
        </w:rPr>
        <w:t>Accessed 31 July 2014</w:t>
      </w:r>
    </w:p>
    <w:p w14:paraId="0645291C" w14:textId="77777777" w:rsidR="000E3840" w:rsidRPr="005C39EC" w:rsidRDefault="0099082A" w:rsidP="00BE7858">
      <w:pPr>
        <w:tabs>
          <w:tab w:val="left" w:pos="0"/>
          <w:tab w:val="left" w:pos="747"/>
        </w:tabs>
        <w:rPr>
          <w:rFonts w:cs="Arial"/>
          <w:noProof/>
          <w:sz w:val="20"/>
          <w:szCs w:val="20"/>
        </w:rPr>
      </w:pPr>
      <w:r w:rsidRPr="005C39EC">
        <w:rPr>
          <w:rFonts w:cs="Arial"/>
          <w:noProof/>
          <w:sz w:val="20"/>
          <w:szCs w:val="20"/>
        </w:rPr>
        <w:tab/>
      </w:r>
    </w:p>
    <w:p w14:paraId="2646D716" w14:textId="77777777" w:rsidR="000E3840" w:rsidRPr="005C39EC" w:rsidRDefault="000E3840" w:rsidP="00BE7858">
      <w:pPr>
        <w:tabs>
          <w:tab w:val="left" w:pos="0"/>
        </w:tabs>
        <w:rPr>
          <w:rFonts w:cs="Arial"/>
          <w:noProof/>
          <w:sz w:val="20"/>
          <w:szCs w:val="20"/>
        </w:rPr>
      </w:pPr>
      <w:r w:rsidRPr="005C39EC">
        <w:rPr>
          <w:rFonts w:cs="Arial"/>
          <w:noProof/>
          <w:sz w:val="20"/>
          <w:szCs w:val="20"/>
        </w:rPr>
        <w:t>Ministry of Health (2012) The Health of New Zealand Children: Key findigns of the New Zealand Health Survey 2011/12. New Zealand Ministry of Health, Wellington.</w:t>
      </w:r>
    </w:p>
    <w:p w14:paraId="06B63E83" w14:textId="77777777" w:rsidR="0099082A" w:rsidRPr="005C39EC" w:rsidRDefault="006E675E" w:rsidP="00BE7858">
      <w:pPr>
        <w:tabs>
          <w:tab w:val="left" w:pos="0"/>
        </w:tabs>
        <w:rPr>
          <w:rFonts w:cs="Arial"/>
          <w:noProof/>
          <w:sz w:val="20"/>
          <w:szCs w:val="20"/>
          <w:u w:val="single"/>
        </w:rPr>
      </w:pPr>
      <w:hyperlink r:id="rId19" w:history="1">
        <w:r w:rsidR="00BD1BFF" w:rsidRPr="005C39EC">
          <w:rPr>
            <w:rStyle w:val="Hyperlink"/>
            <w:rFonts w:cs="Arial"/>
            <w:noProof/>
            <w:sz w:val="20"/>
            <w:szCs w:val="20"/>
          </w:rPr>
          <w:t>http://www.health.govt.nz/publication/health-new-zealand-children-2011-12</w:t>
        </w:r>
      </w:hyperlink>
    </w:p>
    <w:p w14:paraId="1888E110" w14:textId="77777777" w:rsidR="00CA0A2C" w:rsidRPr="005C39EC" w:rsidRDefault="00CA0A2C" w:rsidP="00BE7858">
      <w:pPr>
        <w:tabs>
          <w:tab w:val="left" w:pos="0"/>
        </w:tabs>
        <w:rPr>
          <w:rFonts w:cs="Arial"/>
          <w:noProof/>
          <w:sz w:val="20"/>
          <w:szCs w:val="20"/>
        </w:rPr>
      </w:pPr>
      <w:r w:rsidRPr="005C39EC">
        <w:rPr>
          <w:rFonts w:cs="Arial"/>
          <w:noProof/>
          <w:sz w:val="20"/>
          <w:szCs w:val="20"/>
        </w:rPr>
        <w:t>Accessed 31 July 2014</w:t>
      </w:r>
    </w:p>
    <w:p w14:paraId="562EE280" w14:textId="77777777" w:rsidR="00CA0A2C" w:rsidRPr="005C39EC" w:rsidRDefault="00CA0A2C" w:rsidP="00BE7858">
      <w:pPr>
        <w:tabs>
          <w:tab w:val="left" w:pos="0"/>
        </w:tabs>
        <w:rPr>
          <w:rFonts w:cs="Arial"/>
          <w:noProof/>
          <w:sz w:val="20"/>
          <w:szCs w:val="20"/>
        </w:rPr>
      </w:pPr>
    </w:p>
    <w:p w14:paraId="5FB43179" w14:textId="5D332367" w:rsidR="00CA0A2C" w:rsidRPr="005C39EC" w:rsidRDefault="00CA0A2C" w:rsidP="00BE7858">
      <w:pPr>
        <w:tabs>
          <w:tab w:val="left" w:pos="0"/>
        </w:tabs>
        <w:rPr>
          <w:rFonts w:cs="Arial"/>
          <w:noProof/>
          <w:sz w:val="20"/>
          <w:szCs w:val="20"/>
        </w:rPr>
      </w:pPr>
      <w:r w:rsidRPr="005C39EC">
        <w:rPr>
          <w:rFonts w:cs="Arial"/>
          <w:noProof/>
          <w:sz w:val="20"/>
          <w:szCs w:val="20"/>
        </w:rPr>
        <w:t>NHMRC (2003) Dietary Guidelines for Children and Adolescents in Australia. National Health and Medical Research Council, Canberra</w:t>
      </w:r>
      <w:r w:rsidR="004105A6">
        <w:rPr>
          <w:rFonts w:cs="Arial"/>
          <w:noProof/>
          <w:sz w:val="20"/>
          <w:szCs w:val="20"/>
        </w:rPr>
        <w:t xml:space="preserve"> </w:t>
      </w:r>
      <w:hyperlink r:id="rId20" w:history="1">
        <w:r w:rsidR="004105A6" w:rsidRPr="004105A6">
          <w:rPr>
            <w:rStyle w:val="Hyperlink"/>
            <w:rFonts w:cs="Arial"/>
            <w:noProof/>
            <w:sz w:val="20"/>
            <w:szCs w:val="20"/>
          </w:rPr>
          <w:t>http://www.nhmrc.gov.au/_files_nhmrc/publications/attachments/n34.pdf</w:t>
        </w:r>
      </w:hyperlink>
      <w:r w:rsidR="00CB0699">
        <w:rPr>
          <w:rFonts w:cs="Arial"/>
          <w:noProof/>
          <w:sz w:val="20"/>
          <w:szCs w:val="20"/>
        </w:rPr>
        <w:t xml:space="preserve">  Accessed 31 July 2014</w:t>
      </w:r>
    </w:p>
    <w:p w14:paraId="1EDADB28" w14:textId="77777777" w:rsidR="000E3840" w:rsidRPr="005C39EC" w:rsidRDefault="000E3840" w:rsidP="00BE7858">
      <w:pPr>
        <w:tabs>
          <w:tab w:val="left" w:pos="0"/>
        </w:tabs>
        <w:rPr>
          <w:rFonts w:cs="Arial"/>
          <w:noProof/>
          <w:sz w:val="20"/>
          <w:szCs w:val="20"/>
        </w:rPr>
      </w:pPr>
    </w:p>
    <w:p w14:paraId="4D164C19" w14:textId="77777777" w:rsidR="0099082A" w:rsidRPr="005C39EC" w:rsidRDefault="0014171C" w:rsidP="00BE7858">
      <w:pPr>
        <w:tabs>
          <w:tab w:val="left" w:pos="0"/>
        </w:tabs>
        <w:rPr>
          <w:rFonts w:cs="Arial"/>
          <w:noProof/>
          <w:sz w:val="20"/>
          <w:szCs w:val="20"/>
        </w:rPr>
      </w:pPr>
      <w:r w:rsidRPr="005C39EC">
        <w:rPr>
          <w:rFonts w:cs="Arial"/>
          <w:noProof/>
          <w:sz w:val="20"/>
          <w:szCs w:val="20"/>
        </w:rPr>
        <w:t>NHMRC (2011) A review of the evidence to address targeted questions to inform the revision of th</w:t>
      </w:r>
      <w:r w:rsidR="000E3840" w:rsidRPr="005C39EC">
        <w:rPr>
          <w:rFonts w:cs="Arial"/>
          <w:noProof/>
          <w:sz w:val="20"/>
          <w:szCs w:val="20"/>
        </w:rPr>
        <w:t>e Australian Dietary Guidelines</w:t>
      </w:r>
      <w:r w:rsidRPr="005C39EC">
        <w:rPr>
          <w:rFonts w:cs="Arial"/>
          <w:noProof/>
          <w:sz w:val="20"/>
          <w:szCs w:val="20"/>
        </w:rPr>
        <w:t>. National Health and Medical Research Council, Canberra</w:t>
      </w:r>
    </w:p>
    <w:p w14:paraId="6B722841" w14:textId="77777777" w:rsidR="0099082A" w:rsidRPr="005C39EC" w:rsidRDefault="006E675E" w:rsidP="00BE7858">
      <w:pPr>
        <w:tabs>
          <w:tab w:val="left" w:pos="0"/>
        </w:tabs>
        <w:rPr>
          <w:rFonts w:cs="Arial"/>
          <w:noProof/>
          <w:sz w:val="20"/>
          <w:szCs w:val="20"/>
        </w:rPr>
      </w:pPr>
      <w:hyperlink r:id="rId21" w:history="1">
        <w:r w:rsidR="0099082A" w:rsidRPr="005C39EC">
          <w:rPr>
            <w:rStyle w:val="Hyperlink"/>
            <w:rFonts w:cs="Arial"/>
            <w:noProof/>
            <w:sz w:val="20"/>
            <w:szCs w:val="20"/>
          </w:rPr>
          <w:t>https://www.nhmrc.gov.au/_files_nhmrc/file/publications/n55d_australian_dietary_guidelines_evidence_report.pdf</w:t>
        </w:r>
      </w:hyperlink>
      <w:r w:rsidR="0099082A" w:rsidRPr="005C39EC">
        <w:rPr>
          <w:rFonts w:cs="Arial"/>
          <w:noProof/>
          <w:sz w:val="20"/>
          <w:szCs w:val="20"/>
        </w:rPr>
        <w:t xml:space="preserve"> Accessed 31 July 2014</w:t>
      </w:r>
    </w:p>
    <w:p w14:paraId="157F4944" w14:textId="77777777" w:rsidR="0099082A" w:rsidRPr="005C39EC" w:rsidRDefault="0099082A" w:rsidP="00BE7858">
      <w:pPr>
        <w:tabs>
          <w:tab w:val="left" w:pos="0"/>
        </w:tabs>
        <w:rPr>
          <w:rFonts w:cs="Arial"/>
          <w:noProof/>
          <w:sz w:val="20"/>
          <w:szCs w:val="20"/>
        </w:rPr>
      </w:pPr>
    </w:p>
    <w:p w14:paraId="1669F0EF" w14:textId="77777777" w:rsidR="00120B81" w:rsidRPr="005C39EC" w:rsidRDefault="00120B81" w:rsidP="00120B81">
      <w:pPr>
        <w:tabs>
          <w:tab w:val="left" w:pos="0"/>
        </w:tabs>
        <w:rPr>
          <w:rFonts w:cs="Arial"/>
          <w:noProof/>
          <w:sz w:val="20"/>
          <w:szCs w:val="20"/>
        </w:rPr>
      </w:pPr>
      <w:r w:rsidRPr="005C39EC">
        <w:rPr>
          <w:rFonts w:cs="Arial"/>
          <w:noProof/>
          <w:sz w:val="20"/>
          <w:szCs w:val="20"/>
        </w:rPr>
        <w:t>NHMRC (201</w:t>
      </w:r>
      <w:r>
        <w:rPr>
          <w:rFonts w:cs="Arial"/>
          <w:noProof/>
          <w:sz w:val="20"/>
          <w:szCs w:val="20"/>
        </w:rPr>
        <w:t>2</w:t>
      </w:r>
      <w:r w:rsidRPr="005C39EC">
        <w:rPr>
          <w:rFonts w:cs="Arial"/>
          <w:noProof/>
          <w:sz w:val="20"/>
          <w:szCs w:val="20"/>
        </w:rPr>
        <w:t xml:space="preserve">a) Infant Feeding Guidelines. National Health and Medical Research Council, Canberra. </w:t>
      </w:r>
      <w:hyperlink r:id="rId22" w:history="1">
        <w:r w:rsidRPr="005C39EC">
          <w:rPr>
            <w:rStyle w:val="Hyperlink"/>
            <w:rFonts w:cs="Arial"/>
            <w:noProof/>
            <w:sz w:val="20"/>
            <w:szCs w:val="20"/>
          </w:rPr>
          <w:t>https://www.nhmrc.gov.au/_files_nhmrc/publications/attachments/n56_infant_feeding_guidelines.pdf</w:t>
        </w:r>
      </w:hyperlink>
    </w:p>
    <w:p w14:paraId="794CD185" w14:textId="77777777" w:rsidR="00120B81" w:rsidRPr="005C39EC" w:rsidRDefault="00120B81" w:rsidP="00120B81">
      <w:pPr>
        <w:tabs>
          <w:tab w:val="left" w:pos="0"/>
        </w:tabs>
        <w:rPr>
          <w:rFonts w:cs="Arial"/>
          <w:noProof/>
          <w:sz w:val="20"/>
          <w:szCs w:val="20"/>
        </w:rPr>
      </w:pPr>
      <w:r w:rsidRPr="005C39EC">
        <w:rPr>
          <w:rFonts w:cs="Arial"/>
          <w:noProof/>
          <w:sz w:val="20"/>
          <w:szCs w:val="20"/>
        </w:rPr>
        <w:t>Accessed 31 July 2014</w:t>
      </w:r>
    </w:p>
    <w:p w14:paraId="130ECD36" w14:textId="77777777" w:rsidR="00120B81" w:rsidRPr="005C39EC" w:rsidRDefault="00120B81" w:rsidP="00120B81">
      <w:pPr>
        <w:tabs>
          <w:tab w:val="left" w:pos="0"/>
        </w:tabs>
        <w:rPr>
          <w:rFonts w:cs="Arial"/>
          <w:noProof/>
          <w:sz w:val="20"/>
          <w:szCs w:val="20"/>
        </w:rPr>
      </w:pPr>
    </w:p>
    <w:p w14:paraId="4F2A6EB9" w14:textId="39E347B1" w:rsidR="0099082A" w:rsidRPr="005C39EC" w:rsidRDefault="0014171C" w:rsidP="00BE7858">
      <w:pPr>
        <w:tabs>
          <w:tab w:val="left" w:pos="0"/>
        </w:tabs>
        <w:rPr>
          <w:rFonts w:cs="Arial"/>
          <w:noProof/>
          <w:sz w:val="20"/>
          <w:szCs w:val="20"/>
        </w:rPr>
      </w:pPr>
      <w:r w:rsidRPr="005C39EC">
        <w:rPr>
          <w:rFonts w:cs="Arial"/>
          <w:noProof/>
          <w:sz w:val="20"/>
          <w:szCs w:val="20"/>
        </w:rPr>
        <w:t>NHMRC (2012</w:t>
      </w:r>
      <w:r w:rsidR="00120B81">
        <w:rPr>
          <w:rFonts w:cs="Arial"/>
          <w:noProof/>
          <w:sz w:val="20"/>
          <w:szCs w:val="20"/>
        </w:rPr>
        <w:t>b</w:t>
      </w:r>
      <w:r w:rsidRPr="005C39EC">
        <w:rPr>
          <w:rFonts w:cs="Arial"/>
          <w:noProof/>
          <w:sz w:val="20"/>
          <w:szCs w:val="20"/>
        </w:rPr>
        <w:t>) Literature Review: Infant Feeding Guidelines. National Health and Medical Research Council, 2012</w:t>
      </w:r>
    </w:p>
    <w:p w14:paraId="29E691D0" w14:textId="77777777" w:rsidR="0099082A" w:rsidRPr="005C39EC" w:rsidRDefault="006E675E" w:rsidP="00BE7858">
      <w:pPr>
        <w:tabs>
          <w:tab w:val="left" w:pos="0"/>
        </w:tabs>
        <w:rPr>
          <w:rFonts w:cs="Arial"/>
          <w:noProof/>
          <w:sz w:val="20"/>
          <w:szCs w:val="20"/>
        </w:rPr>
      </w:pPr>
      <w:hyperlink r:id="rId23" w:history="1">
        <w:r w:rsidR="0099082A" w:rsidRPr="005C39EC">
          <w:rPr>
            <w:rStyle w:val="Hyperlink"/>
            <w:rFonts w:cs="Arial"/>
            <w:noProof/>
            <w:sz w:val="20"/>
            <w:szCs w:val="20"/>
          </w:rPr>
          <w:t>https://www.nhmrc.gov.au/_files_nhmrc/publications/attachments/n56a_infant_feeding_literature_review.pdf</w:t>
        </w:r>
      </w:hyperlink>
      <w:r w:rsidR="00BD1BFF" w:rsidRPr="005C39EC">
        <w:rPr>
          <w:rFonts w:cs="Arial"/>
          <w:noProof/>
          <w:sz w:val="20"/>
          <w:szCs w:val="20"/>
        </w:rPr>
        <w:t xml:space="preserve"> </w:t>
      </w:r>
      <w:r w:rsidR="0099082A" w:rsidRPr="005C39EC">
        <w:rPr>
          <w:rFonts w:cs="Arial"/>
          <w:noProof/>
          <w:sz w:val="20"/>
          <w:szCs w:val="20"/>
        </w:rPr>
        <w:t xml:space="preserve"> Accessed 31 July 2014</w:t>
      </w:r>
    </w:p>
    <w:p w14:paraId="0D74B3E7" w14:textId="77777777" w:rsidR="0099082A" w:rsidRPr="005C39EC" w:rsidRDefault="0099082A" w:rsidP="00BE7858">
      <w:pPr>
        <w:tabs>
          <w:tab w:val="left" w:pos="0"/>
        </w:tabs>
        <w:rPr>
          <w:rFonts w:cs="Arial"/>
          <w:noProof/>
          <w:sz w:val="20"/>
          <w:szCs w:val="20"/>
        </w:rPr>
      </w:pPr>
    </w:p>
    <w:p w14:paraId="3D52392B" w14:textId="0A3AAC45" w:rsidR="0014171C" w:rsidRPr="005C39EC" w:rsidRDefault="00360FBD" w:rsidP="00BE7858">
      <w:pPr>
        <w:tabs>
          <w:tab w:val="left" w:pos="0"/>
        </w:tabs>
        <w:rPr>
          <w:rFonts w:cs="Arial"/>
          <w:noProof/>
          <w:sz w:val="20"/>
          <w:szCs w:val="20"/>
        </w:rPr>
      </w:pPr>
      <w:r>
        <w:rPr>
          <w:rFonts w:cs="Arial"/>
          <w:noProof/>
          <w:sz w:val="20"/>
          <w:szCs w:val="20"/>
        </w:rPr>
        <w:t>NHMRC (2013</w:t>
      </w:r>
      <w:r w:rsidR="0014171C" w:rsidRPr="005C39EC">
        <w:rPr>
          <w:rFonts w:cs="Arial"/>
          <w:noProof/>
          <w:sz w:val="20"/>
          <w:szCs w:val="20"/>
        </w:rPr>
        <w:t>) Australian Dietary Guidelines. National Health and Medical Research Council, Canberra</w:t>
      </w:r>
    </w:p>
    <w:p w14:paraId="1667FC7E" w14:textId="77777777" w:rsidR="0099082A" w:rsidRPr="005C39EC" w:rsidRDefault="006E675E" w:rsidP="00BE7858">
      <w:pPr>
        <w:tabs>
          <w:tab w:val="left" w:pos="0"/>
        </w:tabs>
        <w:rPr>
          <w:rFonts w:cs="Arial"/>
          <w:noProof/>
          <w:sz w:val="20"/>
          <w:szCs w:val="20"/>
        </w:rPr>
      </w:pPr>
      <w:hyperlink r:id="rId24" w:history="1">
        <w:r w:rsidR="0099082A" w:rsidRPr="005C39EC">
          <w:rPr>
            <w:rStyle w:val="Hyperlink"/>
            <w:rFonts w:cs="Arial"/>
            <w:noProof/>
            <w:sz w:val="20"/>
            <w:szCs w:val="20"/>
          </w:rPr>
          <w:t>https://www.nhmrc.gov.au/_files_nhmrc/publications/attachments/n55_australian_dietary_guidelines_130530.pdf</w:t>
        </w:r>
      </w:hyperlink>
      <w:r w:rsidR="0099082A" w:rsidRPr="005C39EC">
        <w:rPr>
          <w:rFonts w:cs="Arial"/>
          <w:noProof/>
          <w:sz w:val="20"/>
          <w:szCs w:val="20"/>
        </w:rPr>
        <w:t xml:space="preserve"> Accessed 31 July 2014</w:t>
      </w:r>
    </w:p>
    <w:p w14:paraId="2E4E2765" w14:textId="77777777" w:rsidR="0099082A" w:rsidRPr="005C39EC" w:rsidRDefault="0099082A" w:rsidP="00BE7858">
      <w:pPr>
        <w:tabs>
          <w:tab w:val="left" w:pos="0"/>
        </w:tabs>
        <w:rPr>
          <w:rFonts w:cs="Arial"/>
          <w:noProof/>
          <w:sz w:val="20"/>
          <w:szCs w:val="20"/>
        </w:rPr>
      </w:pPr>
    </w:p>
    <w:p w14:paraId="074A1B52"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Nwaru BI, Takkinen HM, Niemela O, Kaila M, Erkkola M, Ahonen S, Haapala AM, Kenward MG, Pekkanen J, Lahesmaa R, Kere J, Simell O, Veijola R, Ilonen J, Hyoty H, Knip M, Virtanen SM (2013a) Timing of infant feeding in relation to childhood asthma and allergic diseases. J Allergy Clin Immunol 131(1):78–86</w:t>
      </w:r>
    </w:p>
    <w:p w14:paraId="4106D329"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Nwaru BI, Takkinen HM, Niemela O, Kaila M, Erkkola M, Ahonen S, Tuomi H, Haapala AM, Kenward MG, Pekkanen J, Lahesmaa R, Kere J, Simell O, Veijola R, Ilonen J, Hyoty H, Knip M, Virtanen SM (2013b) Introduction of complementary foods in infancy and atopic sensitization at the age of 5 years: timing and food diversity in a Finnish birth cohort. Allergy 68(4):507–516</w:t>
      </w:r>
    </w:p>
    <w:p w14:paraId="3DDF927A" w14:textId="77777777" w:rsidR="000E3840" w:rsidRPr="005C39EC" w:rsidRDefault="000E3840" w:rsidP="00BE7858">
      <w:pPr>
        <w:tabs>
          <w:tab w:val="left" w:pos="0"/>
        </w:tabs>
        <w:spacing w:after="240"/>
        <w:rPr>
          <w:rFonts w:cs="Arial"/>
          <w:noProof/>
          <w:sz w:val="20"/>
          <w:szCs w:val="20"/>
        </w:rPr>
      </w:pPr>
      <w:r w:rsidRPr="005C39EC">
        <w:rPr>
          <w:rFonts w:cs="Arial"/>
          <w:noProof/>
          <w:sz w:val="20"/>
          <w:szCs w:val="20"/>
        </w:rPr>
        <w:t>Osborne NJ, Koplin JJ, Martin PE, Gurrin LC, Lowe AJ, Matheson MC, Ponsonby AL, Wake M, Tang ML, Dharmage SC, Allen KJ (2011) Prevalence of challenge-proven IgE-mediated food allergy using population-based sampling and predetermined challenge criteria in infants. J Allergy Clin Immunol 127(3):668–676</w:t>
      </w:r>
    </w:p>
    <w:p w14:paraId="45033035"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Palmer DJ, Prescott SL (2012) Does early feeding promote development of oral tolerance? Curr Allergy Asthma Rep 12(4):321–331</w:t>
      </w:r>
    </w:p>
    <w:p w14:paraId="265D2B96"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lastRenderedPageBreak/>
        <w:t>Palmer DJ, Metcalfe J, Makrides M, Gold MS, Quinn P, West CE, Loh R, Prescott SL (2013) Early regular egg exposure in infants with eczema: A randomized controlled trial. J Allergy Clin Immunol (In press)</w:t>
      </w:r>
    </w:p>
    <w:p w14:paraId="5F5DD429" w14:textId="77777777" w:rsidR="000E3840" w:rsidRPr="005C39EC" w:rsidRDefault="000E3840" w:rsidP="00BE7858">
      <w:pPr>
        <w:tabs>
          <w:tab w:val="left" w:pos="0"/>
        </w:tabs>
        <w:spacing w:after="240"/>
        <w:rPr>
          <w:rFonts w:cs="Arial"/>
          <w:noProof/>
          <w:sz w:val="20"/>
          <w:szCs w:val="20"/>
        </w:rPr>
      </w:pPr>
      <w:r w:rsidRPr="005C39EC">
        <w:rPr>
          <w:rFonts w:cs="Arial"/>
          <w:noProof/>
          <w:sz w:val="20"/>
          <w:szCs w:val="20"/>
        </w:rPr>
        <w:t>Pearce J, Taylor MA, Langley-Evans SC (2013) Timing of the introduction of complementary feeding and risk of childhood obesity: a systematic review. Int J Obes (Lond) 37(10):1295–1306</w:t>
      </w:r>
    </w:p>
    <w:p w14:paraId="2DA10B5A"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Poole JA, Barriga K, Leung DY, Hoffman M, Eisenbarth GS, Rewers M, Norris JM (2006) Timing of initial exposure to cereal grains and the risk of wheat allergy. Pediatrics 117(6):2175–2182</w:t>
      </w:r>
    </w:p>
    <w:p w14:paraId="163D4919"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Prescott S, Nowak-Wegrzyn A (2011) Strategies to prevent or reduce allergic disease. Ann Nutr Metab 59 Suppl 1:28–42</w:t>
      </w:r>
    </w:p>
    <w:p w14:paraId="482A0FE9"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Prescott SL, Smith P, Tang M, Palmer DJ, Sinn J, Huntley SJ, Cormack B, Heine RG, Gibson RA, Makrides M (2008) The importance of early complementary feeding in the development of oral tolerance: concerns and controversies. Pediatr Allergy Immunol 19(5):375–380</w:t>
      </w:r>
    </w:p>
    <w:p w14:paraId="10B13098"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Quigley MA, Kelly YJ, Sacker A (2009) Infant feeding, solid foods and hospitalisation in the first 8 months after birth. Arch Dis Child 94(2):148–150</w:t>
      </w:r>
    </w:p>
    <w:p w14:paraId="78A1ED9D"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Schoetzau A, Filipiak-Pittroff B, Franke K, Koletzko S, von BA, Gruebl A, Bauer CP, Berdel D, Reinhardt D, Wichmann HE (2002) Effect of exclusive breast-feeding and early solid food avoidance on the incidence of atopic dermatitis in high-risk infants at 1 year of age. Pediatr Allergy Immunol 13(4):234–242</w:t>
      </w:r>
    </w:p>
    <w:p w14:paraId="77259B4A"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Shreffler WG, Radano M (2011) Food allergy and complementary feeding. Nestle Nutr Workshop Ser Pediatr Program 68:141–149</w:t>
      </w:r>
    </w:p>
    <w:p w14:paraId="78C35E70"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Snijders BE, Thijs C, van RR, van den Brandt PA (2008) Age at first introduction of cow milk products and other food products in relation to infant atopic manifestations in the first 2 years of life: the KOALA Birth Cohort Study. Pediatrics 122(1):e115–e122</w:t>
      </w:r>
    </w:p>
    <w:p w14:paraId="7A0AF8ED" w14:textId="77777777" w:rsidR="000E3840" w:rsidRPr="005C39EC" w:rsidRDefault="000E3840" w:rsidP="00BE7858">
      <w:pPr>
        <w:tabs>
          <w:tab w:val="left" w:pos="0"/>
        </w:tabs>
        <w:spacing w:after="240"/>
        <w:rPr>
          <w:rFonts w:cs="Arial"/>
          <w:noProof/>
          <w:sz w:val="20"/>
          <w:szCs w:val="20"/>
        </w:rPr>
      </w:pPr>
      <w:r w:rsidRPr="005C39EC">
        <w:rPr>
          <w:rFonts w:cs="Arial"/>
          <w:noProof/>
          <w:sz w:val="20"/>
          <w:szCs w:val="20"/>
        </w:rPr>
        <w:t>Su J, Prescott S, Sinn J, Tang M, Smith P, Heine RG, Spieldenner J, Iskedjian M (2012) Cost-effectiveness of partially-hydrolyzed formula for prevention of atopic dermatitis in Australia. J Med Econ 15(6):1064–1077</w:t>
      </w:r>
    </w:p>
    <w:p w14:paraId="11FCA140"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Tarini BA, Carroll AE, Sox CM, Christakis DA (2006) Systematic review of the relationship between early introduction of solid foods to infants and the development of allergic disease. Arch Pediatr Adolesc Med 160(5):502–507</w:t>
      </w:r>
    </w:p>
    <w:p w14:paraId="23C2BF30"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Virtanen SM, Kaila M, Pekkanen J, Kenward MG, Uusitalo U, Pietinen P, Kronberg-Kippila C, Hakulinen T, Simell O, Ilonen J, Veijola R, Knip M (2010) Early introduction of oats associated with decreased risk of persistent asthma and early introduction of fish with decreased risk of allergic rhinitis. Br J Nutr 103(2):266–273</w:t>
      </w:r>
    </w:p>
    <w:p w14:paraId="012D4AFD" w14:textId="77777777" w:rsidR="00CA0A2C" w:rsidRPr="005C39EC" w:rsidRDefault="00CA0A2C" w:rsidP="00BE7858">
      <w:pPr>
        <w:tabs>
          <w:tab w:val="left" w:pos="0"/>
        </w:tabs>
        <w:rPr>
          <w:rFonts w:cs="Arial"/>
          <w:noProof/>
          <w:sz w:val="20"/>
          <w:szCs w:val="20"/>
        </w:rPr>
      </w:pPr>
      <w:r w:rsidRPr="005C39EC">
        <w:rPr>
          <w:rFonts w:cs="Arial"/>
          <w:noProof/>
          <w:sz w:val="20"/>
          <w:szCs w:val="20"/>
        </w:rPr>
        <w:t>WHO (2014) Data sources and inclusion criteria. World Health Organisation, Geneva.</w:t>
      </w:r>
    </w:p>
    <w:p w14:paraId="41A28861" w14:textId="77777777" w:rsidR="00CA0A2C" w:rsidRPr="005C39EC" w:rsidRDefault="006E675E" w:rsidP="00BE7858">
      <w:pPr>
        <w:tabs>
          <w:tab w:val="left" w:pos="0"/>
        </w:tabs>
        <w:spacing w:after="240"/>
        <w:rPr>
          <w:rFonts w:cs="Arial"/>
          <w:noProof/>
          <w:sz w:val="20"/>
          <w:szCs w:val="20"/>
        </w:rPr>
      </w:pPr>
      <w:hyperlink r:id="rId25" w:history="1">
        <w:r w:rsidR="00CA0A2C" w:rsidRPr="005C39EC">
          <w:rPr>
            <w:rStyle w:val="Hyperlink"/>
            <w:rFonts w:cs="Arial"/>
            <w:noProof/>
            <w:sz w:val="20"/>
            <w:szCs w:val="20"/>
          </w:rPr>
          <w:t>http://www.who.int/nutrition/databases/infantfeeding/data_source_inclusion_criteria/en/index.html</w:t>
        </w:r>
      </w:hyperlink>
      <w:r w:rsidR="00CA0A2C" w:rsidRPr="005C39EC">
        <w:rPr>
          <w:rFonts w:cs="Arial"/>
          <w:noProof/>
          <w:sz w:val="20"/>
          <w:szCs w:val="20"/>
        </w:rPr>
        <w:t>. Accessed 31 July 2014</w:t>
      </w:r>
    </w:p>
    <w:p w14:paraId="1356BB1F"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Zutavern A, von ME, Harris J, Mills P, Moffatt S, White C, Cullinan P (2004) The introduction of solids in relation to asthma and eczema. Arch Dis Child 89(4):303–308</w:t>
      </w:r>
    </w:p>
    <w:p w14:paraId="015556F4" w14:textId="77777777" w:rsidR="0014171C" w:rsidRPr="005C39EC" w:rsidRDefault="0014171C" w:rsidP="00BE7858">
      <w:pPr>
        <w:tabs>
          <w:tab w:val="left" w:pos="0"/>
        </w:tabs>
        <w:spacing w:after="240"/>
        <w:rPr>
          <w:rFonts w:cs="Arial"/>
          <w:noProof/>
          <w:sz w:val="20"/>
          <w:szCs w:val="20"/>
        </w:rPr>
      </w:pPr>
      <w:r w:rsidRPr="005C39EC">
        <w:rPr>
          <w:rFonts w:cs="Arial"/>
          <w:noProof/>
          <w:sz w:val="20"/>
          <w:szCs w:val="20"/>
        </w:rPr>
        <w:t>Zutavern A, Brockow I, Schaaf B, Bolte G, von BA, Diez U, Borte M, Herbarth O, Wichmann HE, Heinrich J (2006) Timing of solid food introduction in relation to atopic dermatitis and atopic sensitization: results from a prospective birth cohort study. Pediatrics 117(2):401–411</w:t>
      </w:r>
    </w:p>
    <w:p w14:paraId="41F57514" w14:textId="77777777" w:rsidR="003C2B3B" w:rsidRPr="005C39EC" w:rsidRDefault="0014171C" w:rsidP="00BE7858">
      <w:pPr>
        <w:tabs>
          <w:tab w:val="left" w:pos="0"/>
        </w:tabs>
        <w:rPr>
          <w:rFonts w:cs="Arial"/>
          <w:noProof/>
          <w:sz w:val="20"/>
          <w:szCs w:val="20"/>
        </w:rPr>
      </w:pPr>
      <w:r w:rsidRPr="005C39EC">
        <w:rPr>
          <w:rFonts w:cs="Arial"/>
          <w:noProof/>
          <w:sz w:val="20"/>
          <w:szCs w:val="20"/>
        </w:rPr>
        <w:t>Zutavern A, Brockow I, Schaaf B, von BA, Diez U, Borte M, Kraemer U, Herbarth O, Behrendt H, Wichmann HE, Heinrich J (2008) Timing of solid food introduction in relation to eczema, asthma, allergic rhinitis, and food and inhalant sensitization at the age of 6 years: results from the prospective birth cohort study LISA. Pediatrics 121(1):e44–e52</w:t>
      </w:r>
    </w:p>
    <w:sectPr w:rsidR="003C2B3B" w:rsidRPr="005C39EC" w:rsidSect="00905C60">
      <w:footerReference w:type="default" r:id="rId2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0872B" w14:textId="77777777" w:rsidR="00120B81" w:rsidRDefault="00120B81" w:rsidP="0014171C">
      <w:r>
        <w:separator/>
      </w:r>
    </w:p>
  </w:endnote>
  <w:endnote w:type="continuationSeparator" w:id="0">
    <w:p w14:paraId="6F28A6BE" w14:textId="77777777" w:rsidR="00120B81" w:rsidRDefault="00120B81" w:rsidP="0014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28ED" w14:textId="77777777" w:rsidR="00120B81" w:rsidRDefault="00120B81" w:rsidP="002609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CFDC663" w14:textId="77777777" w:rsidR="00120B81" w:rsidRDefault="00120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99672"/>
      <w:docPartObj>
        <w:docPartGallery w:val="Page Numbers (Bottom of Page)"/>
        <w:docPartUnique/>
      </w:docPartObj>
    </w:sdtPr>
    <w:sdtEndPr>
      <w:rPr>
        <w:noProof/>
      </w:rPr>
    </w:sdtEndPr>
    <w:sdtContent>
      <w:p w14:paraId="5034226B" w14:textId="77777777" w:rsidR="00120B81" w:rsidRDefault="00120B81" w:rsidP="00E27641">
        <w:pPr>
          <w:pStyle w:val="Footer"/>
          <w:jc w:val="center"/>
        </w:pPr>
        <w:r>
          <w:fldChar w:fldCharType="begin"/>
        </w:r>
        <w:r>
          <w:instrText xml:space="preserve"> PAGE   \* MERGEFORMAT </w:instrText>
        </w:r>
        <w:r>
          <w:fldChar w:fldCharType="separate"/>
        </w:r>
        <w:r w:rsidR="006E675E">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201EA" w14:textId="77777777" w:rsidR="00EA4474" w:rsidRDefault="00EA44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46589"/>
      <w:docPartObj>
        <w:docPartGallery w:val="Page Numbers (Bottom of Page)"/>
        <w:docPartUnique/>
      </w:docPartObj>
    </w:sdtPr>
    <w:sdtEndPr>
      <w:rPr>
        <w:noProof/>
      </w:rPr>
    </w:sdtEndPr>
    <w:sdtContent>
      <w:p w14:paraId="7EA532E5" w14:textId="77777777" w:rsidR="00120B81" w:rsidRDefault="00120B81">
        <w:pPr>
          <w:pStyle w:val="Footer"/>
          <w:jc w:val="center"/>
        </w:pPr>
        <w:r>
          <w:fldChar w:fldCharType="begin"/>
        </w:r>
        <w:r>
          <w:instrText xml:space="preserve"> PAGE   \* MERGEFORMAT </w:instrText>
        </w:r>
        <w:r>
          <w:fldChar w:fldCharType="separate"/>
        </w:r>
        <w:r w:rsidR="006E675E">
          <w:rPr>
            <w:noProof/>
          </w:rPr>
          <w:t>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31A35" w14:textId="77777777" w:rsidR="00120B81" w:rsidRDefault="00120B81" w:rsidP="0014171C">
      <w:r>
        <w:separator/>
      </w:r>
    </w:p>
  </w:footnote>
  <w:footnote w:type="continuationSeparator" w:id="0">
    <w:p w14:paraId="62F1AA18" w14:textId="77777777" w:rsidR="00120B81" w:rsidRDefault="00120B81" w:rsidP="0014171C">
      <w:r>
        <w:continuationSeparator/>
      </w:r>
    </w:p>
  </w:footnote>
  <w:footnote w:id="1">
    <w:p w14:paraId="152A3AE2" w14:textId="77777777" w:rsidR="00120B81" w:rsidRPr="00255767" w:rsidRDefault="00120B81" w:rsidP="001541BB">
      <w:pPr>
        <w:pStyle w:val="FootnoteText"/>
        <w:ind w:right="-897"/>
        <w:rPr>
          <w:lang w:val="en-AU"/>
        </w:rPr>
      </w:pPr>
      <w:r w:rsidRPr="00255767">
        <w:rPr>
          <w:rStyle w:val="FootnoteReference"/>
        </w:rPr>
        <w:footnoteRef/>
      </w:r>
      <w:r w:rsidRPr="00255767">
        <w:t xml:space="preserve"> The WHO defines complementary feeding as foods or liquids that are provided along with breast milk and thus, infant formula is categorised as a complementary food. The intention of the WHO definition is to encourage exclusive breastfeeding until 6 months, particularly in developing countries where risk of infection from unsanitary food and water is significant (WHO 2003). In contrast, ESPGHAN and EFSA and others define complementary foods as all solid food and liquid foods other than breast milk or infant formula and follow-on formula. This assessment follows the ESPGHAN/EFSA definition.</w:t>
      </w:r>
    </w:p>
  </w:footnote>
  <w:footnote w:id="2">
    <w:p w14:paraId="10219D49" w14:textId="77777777" w:rsidR="00120B81" w:rsidRPr="008C0EB6" w:rsidRDefault="00120B81">
      <w:pPr>
        <w:pStyle w:val="FootnoteText"/>
        <w:rPr>
          <w:lang w:val="en-AU"/>
        </w:rPr>
      </w:pPr>
      <w:r>
        <w:rPr>
          <w:rStyle w:val="FootnoteReference"/>
        </w:rPr>
        <w:footnoteRef/>
      </w:r>
      <w:r>
        <w:t xml:space="preserve"> </w:t>
      </w:r>
      <w:r w:rsidRPr="008C0EB6">
        <w:rPr>
          <w:lang w:val="en-AU"/>
        </w:rPr>
        <w:t>Appendix E of the Australian Dietary Guidelines</w:t>
      </w:r>
      <w:r>
        <w:rPr>
          <w:lang w:val="en-AU"/>
        </w:rPr>
        <w:t xml:space="preserve"> states that</w:t>
      </w:r>
      <w:r w:rsidRPr="008C0EB6">
        <w:rPr>
          <w:lang w:val="en-AU"/>
        </w:rPr>
        <w:t xml:space="preserve"> Grade D indicates that the</w:t>
      </w:r>
      <w:r>
        <w:rPr>
          <w:lang w:val="en-AU"/>
        </w:rPr>
        <w:t xml:space="preserve"> evidence</w:t>
      </w:r>
      <w:r w:rsidRPr="008C0EB6">
        <w:rPr>
          <w:lang w:val="en-AU"/>
        </w:rPr>
        <w:t xml:space="preserve"> was limited, inconclusive, or contradictory</w:t>
      </w:r>
      <w:r>
        <w:rPr>
          <w:lang w:val="en-AU"/>
        </w:rPr>
        <w:t>. T</w:t>
      </w:r>
      <w:r w:rsidRPr="008C0EB6">
        <w:rPr>
          <w:lang w:val="en-AU"/>
        </w:rPr>
        <w:t>hese Grade D relationships were not used to inform the development of the Guidelines.</w:t>
      </w:r>
    </w:p>
  </w:footnote>
  <w:footnote w:id="3">
    <w:p w14:paraId="749BC14C" w14:textId="77777777" w:rsidR="00120B81" w:rsidRPr="00255767" w:rsidRDefault="00120B81">
      <w:pPr>
        <w:pStyle w:val="FootnoteText"/>
        <w:rPr>
          <w:lang w:val="en-AU"/>
        </w:rPr>
      </w:pPr>
      <w:r w:rsidRPr="00255767">
        <w:rPr>
          <w:rStyle w:val="FootnoteReference"/>
        </w:rPr>
        <w:footnoteRef/>
      </w:r>
      <w:r w:rsidRPr="00255767">
        <w:t xml:space="preserve"> Food-related allergy includes gluten intolerance which is an immune-mediated response to proteins in gluten and can give rise to celiac disease and Type 1 Diabetes Mellitus </w:t>
      </w:r>
      <w:r w:rsidRPr="00255767">
        <w:rPr>
          <w:noProof/>
        </w:rPr>
        <w:t>(FSANZ 2008)</w:t>
      </w:r>
      <w:r w:rsidRPr="00255767">
        <w:t>.</w:t>
      </w:r>
    </w:p>
  </w:footnote>
  <w:footnote w:id="4">
    <w:p w14:paraId="16538144" w14:textId="77777777" w:rsidR="00120B81" w:rsidRPr="004E44DF" w:rsidRDefault="00120B81">
      <w:pPr>
        <w:pStyle w:val="FootnoteText"/>
        <w:rPr>
          <w:lang w:val="en-AU"/>
        </w:rPr>
      </w:pPr>
      <w:r>
        <w:rPr>
          <w:rStyle w:val="FootnoteReference"/>
        </w:rPr>
        <w:footnoteRef/>
      </w:r>
      <w:r>
        <w:t xml:space="preserve"> </w:t>
      </w:r>
      <w:r>
        <w:rPr>
          <w:lang w:val="en-AU"/>
        </w:rPr>
        <w:t xml:space="preserve">PICO defined as </w:t>
      </w:r>
      <w:r w:rsidRPr="004E44DF">
        <w:rPr>
          <w:iCs/>
          <w:lang w:val="en"/>
        </w:rPr>
        <w:t>population</w:t>
      </w:r>
      <w:r w:rsidRPr="004E44DF">
        <w:rPr>
          <w:lang w:val="en"/>
        </w:rPr>
        <w:t xml:space="preserve"> (P), </w:t>
      </w:r>
      <w:r w:rsidRPr="004E44DF">
        <w:rPr>
          <w:iCs/>
          <w:lang w:val="en"/>
        </w:rPr>
        <w:t>intervention</w:t>
      </w:r>
      <w:r w:rsidRPr="004E44DF">
        <w:rPr>
          <w:lang w:val="en"/>
        </w:rPr>
        <w:t xml:space="preserve"> (I), </w:t>
      </w:r>
      <w:r w:rsidRPr="004E44DF">
        <w:rPr>
          <w:iCs/>
          <w:lang w:val="en"/>
        </w:rPr>
        <w:t>comparison</w:t>
      </w:r>
      <w:r w:rsidRPr="004E44DF">
        <w:rPr>
          <w:lang w:val="en"/>
        </w:rPr>
        <w:t xml:space="preserve"> (C) and </w:t>
      </w:r>
      <w:r w:rsidRPr="004E44DF">
        <w:rPr>
          <w:iCs/>
          <w:lang w:val="en"/>
        </w:rPr>
        <w:t>outcome(s)</w:t>
      </w:r>
      <w:r w:rsidRPr="004E44DF">
        <w:rPr>
          <w:lang w:val="en"/>
        </w:rPr>
        <w:t xml:space="preserve"> (O).</w:t>
      </w:r>
    </w:p>
  </w:footnote>
  <w:footnote w:id="5">
    <w:p w14:paraId="1C92BC89" w14:textId="77777777" w:rsidR="00120B81" w:rsidRPr="00255767" w:rsidRDefault="00120B81" w:rsidP="00F716E7">
      <w:pPr>
        <w:pStyle w:val="FootnoteText"/>
        <w:rPr>
          <w:lang w:val="en-AU"/>
        </w:rPr>
      </w:pPr>
      <w:r w:rsidRPr="00255767">
        <w:rPr>
          <w:rStyle w:val="FootnoteReference"/>
        </w:rPr>
        <w:footnoteRef/>
      </w:r>
      <w:r w:rsidRPr="00255767">
        <w:t xml:space="preserve"> Eczema is also known as atopic dermatitis, atopic disease or IgE-associated eczema and is an inflammatory, non-contagious, skin disorder which is linked to food allergy (Gold and Kemp, 2005)</w:t>
      </w:r>
    </w:p>
  </w:footnote>
  <w:footnote w:id="6">
    <w:p w14:paraId="1FE3CCF0" w14:textId="77777777" w:rsidR="00120B81" w:rsidRPr="0047217E" w:rsidRDefault="00120B81" w:rsidP="007E48B8">
      <w:pPr>
        <w:pStyle w:val="FootnoteText"/>
        <w:rPr>
          <w:lang w:val="en-AU"/>
        </w:rPr>
      </w:pPr>
      <w:r>
        <w:rPr>
          <w:rStyle w:val="FootnoteReference"/>
        </w:rPr>
        <w:footnoteRef/>
      </w:r>
      <w:r>
        <w:t xml:space="preserve"> Grades for </w:t>
      </w:r>
      <w:r w:rsidRPr="0047217E">
        <w:t>evidence statements</w:t>
      </w:r>
      <w:r>
        <w:t xml:space="preserve"> </w:t>
      </w:r>
      <w:r w:rsidRPr="0047217E">
        <w:t>were graded A to D according to standard NHMRC protocols</w:t>
      </w:r>
      <w:r>
        <w:t>. See page 5 of the NHMRC Dietary Guidelines (NHMRC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2B2CB" w14:textId="77777777" w:rsidR="00EA4474" w:rsidRDefault="00EA4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4413F" w14:textId="77777777" w:rsidR="00EA4474" w:rsidRDefault="00EA44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4D32F" w14:textId="77777777" w:rsidR="00120B81" w:rsidRDefault="00120B81">
    <w:pPr>
      <w:pStyle w:val="Header"/>
      <w:rPr>
        <w:b w:val="0"/>
        <w:bCs/>
      </w:rPr>
    </w:pPr>
    <w:r>
      <w:rPr>
        <w:b w:val="0"/>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C73341"/>
    <w:multiLevelType w:val="hybridMultilevel"/>
    <w:tmpl w:val="2FD68958"/>
    <w:lvl w:ilvl="0" w:tplc="502285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4A055C3"/>
    <w:multiLevelType w:val="hybridMultilevel"/>
    <w:tmpl w:val="A1D015A8"/>
    <w:lvl w:ilvl="0" w:tplc="C26EA6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0FE2F5D"/>
    <w:multiLevelType w:val="hybridMultilevel"/>
    <w:tmpl w:val="5EA693D2"/>
    <w:lvl w:ilvl="0" w:tplc="C26EA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947DBE"/>
    <w:multiLevelType w:val="multilevel"/>
    <w:tmpl w:val="0C090023"/>
    <w:lvl w:ilvl="0">
      <w:start w:val="1"/>
      <w:numFmt w:val="upperRoman"/>
      <w:lvlText w:val="Article %1."/>
      <w:lvlJc w:val="left"/>
      <w:pPr>
        <w:ind w:left="851" w:firstLine="0"/>
      </w:pPr>
    </w:lvl>
    <w:lvl w:ilvl="1">
      <w:start w:val="1"/>
      <w:numFmt w:val="decimalZero"/>
      <w:isLgl/>
      <w:lvlText w:val="Section %1.%2"/>
      <w:lvlJc w:val="left"/>
      <w:pPr>
        <w:ind w:left="851" w:firstLine="0"/>
      </w:pPr>
    </w:lvl>
    <w:lvl w:ilvl="2">
      <w:start w:val="1"/>
      <w:numFmt w:val="lowerLetter"/>
      <w:lvlText w:val="(%3)"/>
      <w:lvlJc w:val="left"/>
      <w:pPr>
        <w:ind w:left="1571" w:hanging="432"/>
      </w:pPr>
    </w:lvl>
    <w:lvl w:ilvl="3">
      <w:start w:val="1"/>
      <w:numFmt w:val="lowerRoman"/>
      <w:lvlText w:val="(%4)"/>
      <w:lvlJc w:val="right"/>
      <w:pPr>
        <w:ind w:left="1715" w:hanging="144"/>
      </w:pPr>
    </w:lvl>
    <w:lvl w:ilvl="4">
      <w:start w:val="1"/>
      <w:numFmt w:val="decimal"/>
      <w:lvlText w:val="%5)"/>
      <w:lvlJc w:val="left"/>
      <w:pPr>
        <w:ind w:left="1859" w:hanging="432"/>
      </w:pPr>
    </w:lvl>
    <w:lvl w:ilvl="5">
      <w:start w:val="1"/>
      <w:numFmt w:val="lowerLetter"/>
      <w:lvlText w:val="%6)"/>
      <w:lvlJc w:val="left"/>
      <w:pPr>
        <w:ind w:left="2003" w:hanging="432"/>
      </w:pPr>
    </w:lvl>
    <w:lvl w:ilvl="6">
      <w:start w:val="1"/>
      <w:numFmt w:val="lowerRoman"/>
      <w:lvlText w:val="%7)"/>
      <w:lvlJc w:val="right"/>
      <w:pPr>
        <w:ind w:left="2147" w:hanging="288"/>
      </w:pPr>
    </w:lvl>
    <w:lvl w:ilvl="7">
      <w:start w:val="1"/>
      <w:numFmt w:val="lowerLetter"/>
      <w:lvlText w:val="%8."/>
      <w:lvlJc w:val="left"/>
      <w:pPr>
        <w:ind w:left="2291" w:hanging="432"/>
      </w:pPr>
    </w:lvl>
    <w:lvl w:ilvl="8">
      <w:start w:val="1"/>
      <w:numFmt w:val="lowerRoman"/>
      <w:lvlText w:val="%9."/>
      <w:lvlJc w:val="right"/>
      <w:pPr>
        <w:ind w:left="2435" w:hanging="144"/>
      </w:pPr>
    </w:lvl>
  </w:abstractNum>
  <w:abstractNum w:abstractNumId="5">
    <w:nsid w:val="3BF61984"/>
    <w:multiLevelType w:val="hybridMultilevel"/>
    <w:tmpl w:val="1CEA9EAA"/>
    <w:lvl w:ilvl="0" w:tplc="EA36D116">
      <w:start w:val="1"/>
      <w:numFmt w:val="bullet"/>
      <w:pStyle w:val="FSBullet1"/>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B476E7"/>
    <w:multiLevelType w:val="hybridMultilevel"/>
    <w:tmpl w:val="2FD68958"/>
    <w:lvl w:ilvl="0" w:tplc="502285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66D4137"/>
    <w:multiLevelType w:val="hybridMultilevel"/>
    <w:tmpl w:val="0F20977E"/>
    <w:lvl w:ilvl="0" w:tplc="2760074E">
      <w:start w:val="1"/>
      <w:numFmt w:val="decimal"/>
      <w:pStyle w:val="Heading1"/>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1755AD1"/>
    <w:multiLevelType w:val="hybridMultilevel"/>
    <w:tmpl w:val="407E9A48"/>
    <w:lvl w:ilvl="0" w:tplc="EEB42172">
      <w:start w:val="1"/>
      <w:numFmt w:val="bullet"/>
      <w:pStyle w:val="FSBullet10"/>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0"/>
  </w:num>
  <w:num w:numId="2">
    <w:abstractNumId w:val="0"/>
  </w:num>
  <w:num w:numId="3">
    <w:abstractNumId w:val="7"/>
  </w:num>
  <w:num w:numId="4">
    <w:abstractNumId w:val="3"/>
  </w:num>
  <w:num w:numId="5">
    <w:abstractNumId w:val="2"/>
  </w:num>
  <w:num w:numId="6">
    <w:abstractNumId w:val="1"/>
  </w:num>
  <w:num w:numId="7">
    <w:abstractNumId w:val="5"/>
  </w:num>
  <w:num w:numId="8">
    <w:abstractNumId w:val="6"/>
  </w:num>
  <w:num w:numId="9">
    <w:abstractNumId w:val="8"/>
  </w:num>
  <w:num w:numId="10">
    <w:abstractNumId w:val="9"/>
  </w:num>
  <w:num w:numId="11">
    <w:abstractNumId w:val="9"/>
    <w:lvlOverride w:ilvl="0">
      <w:startOverride w:val="1"/>
    </w:lvlOverride>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grammar="clean"/>
  <w:defaultTabStop w:val="567"/>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Infant foods&lt;/item&gt;&lt;/Libraries&gt;&lt;/ENLibraries&gt;"/>
  </w:docVars>
  <w:rsids>
    <w:rsidRoot w:val="0014171C"/>
    <w:rsid w:val="00003C28"/>
    <w:rsid w:val="00004B89"/>
    <w:rsid w:val="0000542C"/>
    <w:rsid w:val="00007551"/>
    <w:rsid w:val="000170AF"/>
    <w:rsid w:val="00030D88"/>
    <w:rsid w:val="00031CD5"/>
    <w:rsid w:val="000328DE"/>
    <w:rsid w:val="00041643"/>
    <w:rsid w:val="00045AED"/>
    <w:rsid w:val="000539D2"/>
    <w:rsid w:val="000622E7"/>
    <w:rsid w:val="00066854"/>
    <w:rsid w:val="00066D85"/>
    <w:rsid w:val="00071A24"/>
    <w:rsid w:val="00074367"/>
    <w:rsid w:val="00082B43"/>
    <w:rsid w:val="00090238"/>
    <w:rsid w:val="0009354F"/>
    <w:rsid w:val="000A38F8"/>
    <w:rsid w:val="000B196A"/>
    <w:rsid w:val="000B2A29"/>
    <w:rsid w:val="000C4514"/>
    <w:rsid w:val="000D1E8E"/>
    <w:rsid w:val="000D4942"/>
    <w:rsid w:val="000E021D"/>
    <w:rsid w:val="000E1359"/>
    <w:rsid w:val="000E3840"/>
    <w:rsid w:val="000E66E1"/>
    <w:rsid w:val="000E7587"/>
    <w:rsid w:val="000F2196"/>
    <w:rsid w:val="000F6208"/>
    <w:rsid w:val="00120B81"/>
    <w:rsid w:val="00127B61"/>
    <w:rsid w:val="00127C9E"/>
    <w:rsid w:val="00135570"/>
    <w:rsid w:val="0014171C"/>
    <w:rsid w:val="001458F7"/>
    <w:rsid w:val="00147E17"/>
    <w:rsid w:val="001515D3"/>
    <w:rsid w:val="001541BB"/>
    <w:rsid w:val="00157F5E"/>
    <w:rsid w:val="001605B3"/>
    <w:rsid w:val="001612A8"/>
    <w:rsid w:val="00164C70"/>
    <w:rsid w:val="001734EA"/>
    <w:rsid w:val="00176CFF"/>
    <w:rsid w:val="001806A1"/>
    <w:rsid w:val="0018210F"/>
    <w:rsid w:val="00184403"/>
    <w:rsid w:val="00185959"/>
    <w:rsid w:val="00187BC5"/>
    <w:rsid w:val="00187E4A"/>
    <w:rsid w:val="00191770"/>
    <w:rsid w:val="00191987"/>
    <w:rsid w:val="00192A62"/>
    <w:rsid w:val="00195173"/>
    <w:rsid w:val="00195B9D"/>
    <w:rsid w:val="001A0BCF"/>
    <w:rsid w:val="001A64EF"/>
    <w:rsid w:val="001A78AA"/>
    <w:rsid w:val="001B7EA0"/>
    <w:rsid w:val="001C0BDB"/>
    <w:rsid w:val="001C403E"/>
    <w:rsid w:val="001C5126"/>
    <w:rsid w:val="001D03EE"/>
    <w:rsid w:val="001E2E0E"/>
    <w:rsid w:val="001E696B"/>
    <w:rsid w:val="00205F80"/>
    <w:rsid w:val="00212CFD"/>
    <w:rsid w:val="002232B1"/>
    <w:rsid w:val="002250ED"/>
    <w:rsid w:val="0023243E"/>
    <w:rsid w:val="00234C31"/>
    <w:rsid w:val="00255767"/>
    <w:rsid w:val="002609FD"/>
    <w:rsid w:val="0026616B"/>
    <w:rsid w:val="002944F4"/>
    <w:rsid w:val="002C4642"/>
    <w:rsid w:val="002C7FF9"/>
    <w:rsid w:val="002D2E55"/>
    <w:rsid w:val="002D3921"/>
    <w:rsid w:val="002E3C31"/>
    <w:rsid w:val="00305AD0"/>
    <w:rsid w:val="00312C26"/>
    <w:rsid w:val="003269A6"/>
    <w:rsid w:val="0033021F"/>
    <w:rsid w:val="00332AFD"/>
    <w:rsid w:val="003406FA"/>
    <w:rsid w:val="00341D25"/>
    <w:rsid w:val="00342C4A"/>
    <w:rsid w:val="00360FBD"/>
    <w:rsid w:val="003B26C0"/>
    <w:rsid w:val="003C2B3B"/>
    <w:rsid w:val="00404702"/>
    <w:rsid w:val="004105A6"/>
    <w:rsid w:val="00417A1E"/>
    <w:rsid w:val="004275AA"/>
    <w:rsid w:val="00436C88"/>
    <w:rsid w:val="00441D77"/>
    <w:rsid w:val="00443F05"/>
    <w:rsid w:val="00451F9C"/>
    <w:rsid w:val="004530EA"/>
    <w:rsid w:val="004554E7"/>
    <w:rsid w:val="00486619"/>
    <w:rsid w:val="00492A5C"/>
    <w:rsid w:val="004B074F"/>
    <w:rsid w:val="004B57DB"/>
    <w:rsid w:val="004B7549"/>
    <w:rsid w:val="004D3868"/>
    <w:rsid w:val="004E49A8"/>
    <w:rsid w:val="004E6694"/>
    <w:rsid w:val="00504E31"/>
    <w:rsid w:val="00512D25"/>
    <w:rsid w:val="0051542F"/>
    <w:rsid w:val="0051644B"/>
    <w:rsid w:val="00523F82"/>
    <w:rsid w:val="00524FE2"/>
    <w:rsid w:val="00530036"/>
    <w:rsid w:val="00532C54"/>
    <w:rsid w:val="0053495D"/>
    <w:rsid w:val="00537D06"/>
    <w:rsid w:val="0054036E"/>
    <w:rsid w:val="00541C51"/>
    <w:rsid w:val="005455E0"/>
    <w:rsid w:val="00545C65"/>
    <w:rsid w:val="0058346D"/>
    <w:rsid w:val="00583B56"/>
    <w:rsid w:val="00585599"/>
    <w:rsid w:val="00597224"/>
    <w:rsid w:val="005A502F"/>
    <w:rsid w:val="005B578D"/>
    <w:rsid w:val="005C1996"/>
    <w:rsid w:val="005C39EC"/>
    <w:rsid w:val="005C7D7D"/>
    <w:rsid w:val="005D08C5"/>
    <w:rsid w:val="005E366E"/>
    <w:rsid w:val="00600D5A"/>
    <w:rsid w:val="006120CA"/>
    <w:rsid w:val="00616ED7"/>
    <w:rsid w:val="00623A63"/>
    <w:rsid w:val="0064212B"/>
    <w:rsid w:val="00657DD7"/>
    <w:rsid w:val="00673A1B"/>
    <w:rsid w:val="00684849"/>
    <w:rsid w:val="00691E12"/>
    <w:rsid w:val="006A68A3"/>
    <w:rsid w:val="006B340E"/>
    <w:rsid w:val="006B6900"/>
    <w:rsid w:val="006C1DF9"/>
    <w:rsid w:val="006D138E"/>
    <w:rsid w:val="006D1872"/>
    <w:rsid w:val="006D473E"/>
    <w:rsid w:val="006D7C3C"/>
    <w:rsid w:val="006E178B"/>
    <w:rsid w:val="006E23B3"/>
    <w:rsid w:val="006E675E"/>
    <w:rsid w:val="006F0DE0"/>
    <w:rsid w:val="0070346D"/>
    <w:rsid w:val="007070DB"/>
    <w:rsid w:val="00710905"/>
    <w:rsid w:val="00711C9F"/>
    <w:rsid w:val="00714290"/>
    <w:rsid w:val="0071788E"/>
    <w:rsid w:val="00721BF6"/>
    <w:rsid w:val="00731539"/>
    <w:rsid w:val="007418AE"/>
    <w:rsid w:val="00760999"/>
    <w:rsid w:val="00765B5B"/>
    <w:rsid w:val="00771B0E"/>
    <w:rsid w:val="0079361B"/>
    <w:rsid w:val="007B2740"/>
    <w:rsid w:val="007D1416"/>
    <w:rsid w:val="007D6712"/>
    <w:rsid w:val="007E48B8"/>
    <w:rsid w:val="007F6456"/>
    <w:rsid w:val="00800F90"/>
    <w:rsid w:val="00801242"/>
    <w:rsid w:val="008035CB"/>
    <w:rsid w:val="0081397C"/>
    <w:rsid w:val="00830393"/>
    <w:rsid w:val="00833D5A"/>
    <w:rsid w:val="00840FA2"/>
    <w:rsid w:val="0084102B"/>
    <w:rsid w:val="00847AC5"/>
    <w:rsid w:val="0085267C"/>
    <w:rsid w:val="0085536E"/>
    <w:rsid w:val="00857EF4"/>
    <w:rsid w:val="00860EE7"/>
    <w:rsid w:val="00867171"/>
    <w:rsid w:val="008678C9"/>
    <w:rsid w:val="008749D8"/>
    <w:rsid w:val="00876777"/>
    <w:rsid w:val="00877A81"/>
    <w:rsid w:val="008806DB"/>
    <w:rsid w:val="008818DD"/>
    <w:rsid w:val="00882590"/>
    <w:rsid w:val="008931F6"/>
    <w:rsid w:val="00897172"/>
    <w:rsid w:val="008B64C1"/>
    <w:rsid w:val="008D2576"/>
    <w:rsid w:val="008D5B6D"/>
    <w:rsid w:val="008E2339"/>
    <w:rsid w:val="008E7B76"/>
    <w:rsid w:val="008E7DAF"/>
    <w:rsid w:val="008F6383"/>
    <w:rsid w:val="00900829"/>
    <w:rsid w:val="00901B08"/>
    <w:rsid w:val="00905C60"/>
    <w:rsid w:val="00906042"/>
    <w:rsid w:val="009204B5"/>
    <w:rsid w:val="009205BA"/>
    <w:rsid w:val="0092760E"/>
    <w:rsid w:val="00931868"/>
    <w:rsid w:val="00935023"/>
    <w:rsid w:val="00936260"/>
    <w:rsid w:val="0095033D"/>
    <w:rsid w:val="00960EB9"/>
    <w:rsid w:val="009806A5"/>
    <w:rsid w:val="00982F84"/>
    <w:rsid w:val="0099082A"/>
    <w:rsid w:val="009C6904"/>
    <w:rsid w:val="009D46B9"/>
    <w:rsid w:val="009E265A"/>
    <w:rsid w:val="009F0687"/>
    <w:rsid w:val="009F2A28"/>
    <w:rsid w:val="009F7C98"/>
    <w:rsid w:val="00A05EE5"/>
    <w:rsid w:val="00A25B29"/>
    <w:rsid w:val="00A26F82"/>
    <w:rsid w:val="00A54CBB"/>
    <w:rsid w:val="00A57240"/>
    <w:rsid w:val="00A847F1"/>
    <w:rsid w:val="00AA1382"/>
    <w:rsid w:val="00AA1CC9"/>
    <w:rsid w:val="00AE0A5A"/>
    <w:rsid w:val="00AE6CA4"/>
    <w:rsid w:val="00AF2D3D"/>
    <w:rsid w:val="00B15E66"/>
    <w:rsid w:val="00B1698B"/>
    <w:rsid w:val="00B24385"/>
    <w:rsid w:val="00B34931"/>
    <w:rsid w:val="00B53154"/>
    <w:rsid w:val="00B63672"/>
    <w:rsid w:val="00B65183"/>
    <w:rsid w:val="00B71490"/>
    <w:rsid w:val="00B71E2B"/>
    <w:rsid w:val="00B76ACF"/>
    <w:rsid w:val="00B84991"/>
    <w:rsid w:val="00B9767C"/>
    <w:rsid w:val="00BA197E"/>
    <w:rsid w:val="00BB6C0E"/>
    <w:rsid w:val="00BB77C8"/>
    <w:rsid w:val="00BC2133"/>
    <w:rsid w:val="00BD1BFF"/>
    <w:rsid w:val="00BD6014"/>
    <w:rsid w:val="00BE340E"/>
    <w:rsid w:val="00BE4719"/>
    <w:rsid w:val="00BE4F3A"/>
    <w:rsid w:val="00BE7858"/>
    <w:rsid w:val="00C019A6"/>
    <w:rsid w:val="00C15D6A"/>
    <w:rsid w:val="00C2751B"/>
    <w:rsid w:val="00C3753C"/>
    <w:rsid w:val="00C51244"/>
    <w:rsid w:val="00C572A2"/>
    <w:rsid w:val="00C72248"/>
    <w:rsid w:val="00C73F24"/>
    <w:rsid w:val="00C77493"/>
    <w:rsid w:val="00C81C81"/>
    <w:rsid w:val="00C829D0"/>
    <w:rsid w:val="00C8607B"/>
    <w:rsid w:val="00C93525"/>
    <w:rsid w:val="00CA022F"/>
    <w:rsid w:val="00CA0A2C"/>
    <w:rsid w:val="00CB0699"/>
    <w:rsid w:val="00CC5F30"/>
    <w:rsid w:val="00CC7513"/>
    <w:rsid w:val="00CD0467"/>
    <w:rsid w:val="00CD6C1E"/>
    <w:rsid w:val="00CE53F1"/>
    <w:rsid w:val="00CE568C"/>
    <w:rsid w:val="00CE7363"/>
    <w:rsid w:val="00D0327A"/>
    <w:rsid w:val="00D06839"/>
    <w:rsid w:val="00D15971"/>
    <w:rsid w:val="00D23A94"/>
    <w:rsid w:val="00D25B19"/>
    <w:rsid w:val="00D51D76"/>
    <w:rsid w:val="00D5526B"/>
    <w:rsid w:val="00D65C2E"/>
    <w:rsid w:val="00D66962"/>
    <w:rsid w:val="00D87D9C"/>
    <w:rsid w:val="00D92B3B"/>
    <w:rsid w:val="00D93FAF"/>
    <w:rsid w:val="00D97BFF"/>
    <w:rsid w:val="00DA7DED"/>
    <w:rsid w:val="00DB09C6"/>
    <w:rsid w:val="00DB493F"/>
    <w:rsid w:val="00DB635C"/>
    <w:rsid w:val="00DC5C2C"/>
    <w:rsid w:val="00DE39DC"/>
    <w:rsid w:val="00DF15C4"/>
    <w:rsid w:val="00DF379F"/>
    <w:rsid w:val="00DF4A30"/>
    <w:rsid w:val="00E0050C"/>
    <w:rsid w:val="00E01F23"/>
    <w:rsid w:val="00E10575"/>
    <w:rsid w:val="00E2450C"/>
    <w:rsid w:val="00E26876"/>
    <w:rsid w:val="00E27641"/>
    <w:rsid w:val="00E340B5"/>
    <w:rsid w:val="00E35E51"/>
    <w:rsid w:val="00E4001E"/>
    <w:rsid w:val="00E6045A"/>
    <w:rsid w:val="00E61AB9"/>
    <w:rsid w:val="00E65978"/>
    <w:rsid w:val="00E7481C"/>
    <w:rsid w:val="00E9079D"/>
    <w:rsid w:val="00E9409E"/>
    <w:rsid w:val="00EA37A6"/>
    <w:rsid w:val="00EA4474"/>
    <w:rsid w:val="00EC043F"/>
    <w:rsid w:val="00EE6CD8"/>
    <w:rsid w:val="00EF4AD0"/>
    <w:rsid w:val="00F07A9A"/>
    <w:rsid w:val="00F37DDB"/>
    <w:rsid w:val="00F4105E"/>
    <w:rsid w:val="00F60958"/>
    <w:rsid w:val="00F616DA"/>
    <w:rsid w:val="00F663DB"/>
    <w:rsid w:val="00F716E7"/>
    <w:rsid w:val="00F76F95"/>
    <w:rsid w:val="00F85389"/>
    <w:rsid w:val="00F858CC"/>
    <w:rsid w:val="00F91C32"/>
    <w:rsid w:val="00FA1A10"/>
    <w:rsid w:val="00FA234F"/>
    <w:rsid w:val="00FA2ABD"/>
    <w:rsid w:val="00FB379F"/>
    <w:rsid w:val="00FC0433"/>
    <w:rsid w:val="00FD1942"/>
    <w:rsid w:val="00FD1ED3"/>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77A1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5" w:qFormat="1"/>
    <w:lsdException w:name="annotation text" w:uiPriority="0"/>
    <w:lsdException w:name="header" w:uiPriority="3" w:qFormat="1"/>
    <w:lsdException w:name="footer" w:uiPriority="4"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Columns 1" w:uiPriority="0"/>
    <w:lsdException w:name="Table Columns 2" w:uiPriority="0"/>
    <w:lsdException w:name="Table Columns 3" w:uiPriority="0"/>
    <w:lsdException w:name="Table Grid 5" w:uiPriority="0"/>
    <w:lsdException w:name="Table Grid 6" w:uiPriority="0"/>
    <w:lsdException w:name="Table Grid 7" w:uiPriority="0"/>
    <w:lsdException w:name="Table Grid 8" w:uiPriority="0"/>
    <w:lsdException w:name="Table List 4"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E6CD8"/>
    <w:rPr>
      <w:rFonts w:cstheme="minorBidi"/>
      <w:lang w:val="en-GB"/>
    </w:rPr>
  </w:style>
  <w:style w:type="paragraph" w:styleId="Heading1">
    <w:name w:val="heading 1"/>
    <w:aliases w:val="FSHeading 1,Chapter heading"/>
    <w:basedOn w:val="Normal"/>
    <w:next w:val="Normal"/>
    <w:link w:val="Heading1Char"/>
    <w:uiPriority w:val="9"/>
    <w:qFormat/>
    <w:rsid w:val="00127C9E"/>
    <w:pPr>
      <w:numPr>
        <w:numId w:val="10"/>
      </w:numPr>
      <w:spacing w:before="240" w:after="240"/>
      <w:ind w:left="851" w:hanging="851"/>
      <w:outlineLvl w:val="0"/>
    </w:pPr>
    <w:rPr>
      <w:rFonts w:eastAsia="Times New Roman" w:cs="Times New Roman"/>
      <w:b/>
      <w:bCs/>
      <w:sz w:val="36"/>
      <w:szCs w:val="28"/>
    </w:rPr>
  </w:style>
  <w:style w:type="paragraph" w:styleId="Heading2">
    <w:name w:val="heading 2"/>
    <w:aliases w:val="FSHeading 2,Section heading"/>
    <w:basedOn w:val="Normal"/>
    <w:next w:val="Normal"/>
    <w:link w:val="Heading2Char"/>
    <w:autoRedefine/>
    <w:uiPriority w:val="9"/>
    <w:unhideWhenUsed/>
    <w:qFormat/>
    <w:rsid w:val="00127C9E"/>
    <w:pPr>
      <w:spacing w:before="240" w:after="240"/>
      <w:ind w:left="851" w:hanging="851"/>
      <w:outlineLvl w:val="1"/>
    </w:pPr>
    <w:rPr>
      <w:rFonts w:eastAsia="Times New Roman" w:cs="Arial"/>
      <w:b/>
      <w:bCs/>
      <w:sz w:val="28"/>
    </w:rPr>
  </w:style>
  <w:style w:type="paragraph" w:styleId="Heading3">
    <w:name w:val="heading 3"/>
    <w:aliases w:val="FSHeading 3,Subheading 1"/>
    <w:basedOn w:val="Normal"/>
    <w:next w:val="Normal"/>
    <w:link w:val="Heading3Char"/>
    <w:autoRedefine/>
    <w:uiPriority w:val="2"/>
    <w:unhideWhenUsed/>
    <w:qFormat/>
    <w:rsid w:val="00EE6CD8"/>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EE6CD8"/>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EE6CD8"/>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14171C"/>
    <w:pPr>
      <w:spacing w:before="240" w:after="60"/>
      <w:outlineLvl w:val="5"/>
    </w:pPr>
    <w:rPr>
      <w:rFonts w:cs="Arial Unicode MS"/>
      <w:b/>
      <w:bCs/>
    </w:rPr>
  </w:style>
  <w:style w:type="paragraph" w:styleId="Heading7">
    <w:name w:val="heading 7"/>
    <w:basedOn w:val="Normal"/>
    <w:next w:val="Normal"/>
    <w:link w:val="Heading7Char"/>
    <w:uiPriority w:val="9"/>
    <w:unhideWhenUsed/>
    <w:rsid w:val="0014171C"/>
    <w:pPr>
      <w:spacing w:before="240" w:after="60"/>
      <w:outlineLvl w:val="6"/>
    </w:pPr>
  </w:style>
  <w:style w:type="paragraph" w:styleId="Heading8">
    <w:name w:val="heading 8"/>
    <w:basedOn w:val="Normal"/>
    <w:next w:val="Normal"/>
    <w:link w:val="Heading8Char"/>
    <w:uiPriority w:val="9"/>
    <w:semiHidden/>
    <w:unhideWhenUsed/>
    <w:rsid w:val="0014171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4171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127C9E"/>
    <w:rPr>
      <w:rFonts w:eastAsia="Times New Roman" w:cs="Times New Roman"/>
      <w:b/>
      <w:bCs/>
      <w:sz w:val="36"/>
      <w:szCs w:val="28"/>
      <w:lang w:val="en-GB"/>
    </w:rPr>
  </w:style>
  <w:style w:type="character" w:customStyle="1" w:styleId="Heading2Char">
    <w:name w:val="Heading 2 Char"/>
    <w:aliases w:val="FSHeading 2 Char,Section heading Char"/>
    <w:basedOn w:val="DefaultParagraphFont"/>
    <w:link w:val="Heading2"/>
    <w:uiPriority w:val="9"/>
    <w:rsid w:val="00127C9E"/>
    <w:rPr>
      <w:rFonts w:eastAsia="Times New Roman"/>
      <w:b/>
      <w:bCs/>
      <w:sz w:val="28"/>
      <w:lang w:val="en-GB"/>
    </w:rPr>
  </w:style>
  <w:style w:type="character" w:customStyle="1" w:styleId="Heading3Char">
    <w:name w:val="Heading 3 Char"/>
    <w:aliases w:val="FSHeading 3 Char,Subheading 1 Char"/>
    <w:basedOn w:val="DefaultParagraphFont"/>
    <w:link w:val="Heading3"/>
    <w:uiPriority w:val="2"/>
    <w:rsid w:val="00EE6CD8"/>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EE6CD8"/>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EE6CD8"/>
    <w:rPr>
      <w:rFonts w:eastAsiaTheme="majorEastAsia" w:cstheme="majorBidi"/>
      <w:i/>
      <w:lang w:val="en-GB"/>
    </w:rPr>
  </w:style>
  <w:style w:type="character" w:customStyle="1" w:styleId="Heading6Char">
    <w:name w:val="Heading 6 Char"/>
    <w:basedOn w:val="DefaultParagraphFont"/>
    <w:link w:val="Heading6"/>
    <w:uiPriority w:val="9"/>
    <w:rsid w:val="0014171C"/>
    <w:rPr>
      <w:rFonts w:eastAsia="Times New Roman" w:cs="Arial Unicode MS"/>
      <w:b/>
      <w:bCs/>
      <w:lang w:val="en-GB" w:bidi="en-US"/>
    </w:rPr>
  </w:style>
  <w:style w:type="paragraph" w:customStyle="1" w:styleId="Table2">
    <w:name w:val="Table 2"/>
    <w:basedOn w:val="Normal"/>
    <w:uiPriority w:val="20"/>
    <w:qFormat/>
    <w:rsid w:val="00EE6CD8"/>
    <w:pPr>
      <w:ind w:left="142" w:hanging="142"/>
    </w:pPr>
    <w:rPr>
      <w:bCs/>
      <w:sz w:val="18"/>
      <w:szCs w:val="20"/>
    </w:rPr>
  </w:style>
  <w:style w:type="paragraph" w:customStyle="1" w:styleId="131ItemHeading">
    <w:name w:val="1.3.1 Item Heading"/>
    <w:basedOn w:val="Table2"/>
    <w:next w:val="Table2"/>
    <w:uiPriority w:val="22"/>
    <w:qFormat/>
    <w:rsid w:val="00EE6CD8"/>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EE6CD8"/>
    <w:pPr>
      <w:spacing w:after="120"/>
    </w:pPr>
    <w:rPr>
      <w:caps w:val="0"/>
      <w:sz w:val="18"/>
    </w:rPr>
  </w:style>
  <w:style w:type="paragraph" w:customStyle="1" w:styleId="142Tableheading1">
    <w:name w:val="1.4.2 Table heading1"/>
    <w:basedOn w:val="Normal"/>
    <w:uiPriority w:val="22"/>
    <w:qFormat/>
    <w:rsid w:val="00EE6CD8"/>
    <w:pPr>
      <w:keepNext/>
      <w:jc w:val="center"/>
    </w:pPr>
    <w:rPr>
      <w:rFonts w:ascii="Arial Bold" w:hAnsi="Arial Bold"/>
      <w:b/>
      <w:bCs/>
      <w:iCs/>
      <w:sz w:val="18"/>
    </w:rPr>
  </w:style>
  <w:style w:type="paragraph" w:customStyle="1" w:styleId="142Tableheading2">
    <w:name w:val="1.4.2 Table heading2"/>
    <w:basedOn w:val="142Tableheading1"/>
    <w:uiPriority w:val="22"/>
    <w:qFormat/>
    <w:rsid w:val="00EE6CD8"/>
    <w:rPr>
      <w:rFonts w:ascii="Arial" w:hAnsi="Arial"/>
      <w:b w:val="0"/>
      <w:iCs w:val="0"/>
      <w:szCs w:val="20"/>
    </w:rPr>
  </w:style>
  <w:style w:type="paragraph" w:customStyle="1" w:styleId="142Tabletext1">
    <w:name w:val="1.4.2 Table text1"/>
    <w:basedOn w:val="Normal"/>
    <w:link w:val="142Tabletext1Char"/>
    <w:uiPriority w:val="22"/>
    <w:qFormat/>
    <w:rsid w:val="00EE6CD8"/>
    <w:pPr>
      <w:ind w:left="142" w:hanging="142"/>
    </w:pPr>
    <w:rPr>
      <w:sz w:val="18"/>
      <w:szCs w:val="20"/>
    </w:rPr>
  </w:style>
  <w:style w:type="character" w:customStyle="1" w:styleId="142Tabletext1Char">
    <w:name w:val="1.4.2 Table text1 Char"/>
    <w:basedOn w:val="DefaultParagraphFont"/>
    <w:link w:val="142Tabletext1"/>
    <w:uiPriority w:val="22"/>
    <w:rsid w:val="00EE6CD8"/>
    <w:rPr>
      <w:rFonts w:cstheme="minorBidi"/>
      <w:sz w:val="18"/>
      <w:szCs w:val="20"/>
      <w:lang w:val="en-GB"/>
    </w:rPr>
  </w:style>
  <w:style w:type="paragraph" w:customStyle="1" w:styleId="142Tabletext2">
    <w:name w:val="1.4.2 Table text2"/>
    <w:basedOn w:val="142Tabletext1"/>
    <w:uiPriority w:val="22"/>
    <w:qFormat/>
    <w:rsid w:val="00EE6CD8"/>
    <w:pPr>
      <w:jc w:val="right"/>
    </w:pPr>
  </w:style>
  <w:style w:type="paragraph" w:customStyle="1" w:styleId="Blankpage">
    <w:name w:val="Blank page"/>
    <w:basedOn w:val="Normal"/>
    <w:next w:val="Normal"/>
    <w:uiPriority w:val="23"/>
    <w:qFormat/>
    <w:rsid w:val="00EE6CD8"/>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EE6CD8"/>
    <w:pPr>
      <w:tabs>
        <w:tab w:val="left" w:pos="851"/>
      </w:tabs>
    </w:pPr>
    <w:rPr>
      <w:sz w:val="20"/>
      <w:szCs w:val="20"/>
    </w:rPr>
  </w:style>
  <w:style w:type="character" w:customStyle="1" w:styleId="ClauseChar">
    <w:name w:val="Clause Char"/>
    <w:basedOn w:val="DefaultParagraphFont"/>
    <w:link w:val="Clause"/>
    <w:uiPriority w:val="10"/>
    <w:rsid w:val="00EE6CD8"/>
    <w:rPr>
      <w:rFonts w:cstheme="minorBidi"/>
      <w:sz w:val="20"/>
      <w:szCs w:val="20"/>
      <w:lang w:val="en-GB"/>
    </w:rPr>
  </w:style>
  <w:style w:type="paragraph" w:customStyle="1" w:styleId="Clauseheading">
    <w:name w:val="Clause heading"/>
    <w:basedOn w:val="Normal"/>
    <w:next w:val="Normal"/>
    <w:uiPriority w:val="14"/>
    <w:qFormat/>
    <w:rsid w:val="00EE6CD8"/>
    <w:pPr>
      <w:keepNext/>
      <w:tabs>
        <w:tab w:val="left" w:pos="851"/>
      </w:tabs>
    </w:pPr>
    <w:rPr>
      <w:b/>
      <w:sz w:val="20"/>
      <w:szCs w:val="20"/>
    </w:rPr>
  </w:style>
  <w:style w:type="paragraph" w:customStyle="1" w:styleId="ClauseList">
    <w:name w:val="Clause List"/>
    <w:basedOn w:val="Clause"/>
    <w:next w:val="Normal"/>
    <w:uiPriority w:val="14"/>
    <w:qFormat/>
    <w:rsid w:val="00EE6CD8"/>
    <w:pPr>
      <w:tabs>
        <w:tab w:val="clear" w:pos="851"/>
      </w:tabs>
      <w:ind w:left="851" w:hanging="851"/>
    </w:pPr>
  </w:style>
  <w:style w:type="paragraph" w:customStyle="1" w:styleId="Definition">
    <w:name w:val="Definition"/>
    <w:basedOn w:val="Normal"/>
    <w:next w:val="Normal"/>
    <w:uiPriority w:val="15"/>
    <w:qFormat/>
    <w:rsid w:val="00EE6CD8"/>
    <w:pPr>
      <w:ind w:left="1701" w:hanging="851"/>
    </w:pPr>
    <w:rPr>
      <w:sz w:val="20"/>
      <w:szCs w:val="20"/>
    </w:rPr>
  </w:style>
  <w:style w:type="paragraph" w:customStyle="1" w:styleId="DivisionHeading">
    <w:name w:val="Division Heading"/>
    <w:basedOn w:val="Normal"/>
    <w:next w:val="Normal"/>
    <w:uiPriority w:val="15"/>
    <w:qFormat/>
    <w:rsid w:val="00EE6CD8"/>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EE6CD8"/>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EE6CD8"/>
    <w:pPr>
      <w:keepNext w:val="0"/>
    </w:pPr>
    <w:rPr>
      <w:b w:val="0"/>
    </w:rPr>
  </w:style>
  <w:style w:type="paragraph" w:styleId="Footer">
    <w:name w:val="footer"/>
    <w:aliases w:val="FSFooter"/>
    <w:basedOn w:val="Normal"/>
    <w:link w:val="FooterChar"/>
    <w:uiPriority w:val="4"/>
    <w:qFormat/>
    <w:rsid w:val="00EE6CD8"/>
    <w:rPr>
      <w:sz w:val="20"/>
    </w:rPr>
  </w:style>
  <w:style w:type="character" w:customStyle="1" w:styleId="FooterChar">
    <w:name w:val="Footer Char"/>
    <w:aliases w:val="FSFooter Char"/>
    <w:basedOn w:val="DefaultParagraphFont"/>
    <w:link w:val="Footer"/>
    <w:uiPriority w:val="4"/>
    <w:rsid w:val="00EE6CD8"/>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E6CD8"/>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E6CD8"/>
    <w:rPr>
      <w:rFonts w:cstheme="minorBidi"/>
      <w:sz w:val="18"/>
      <w:szCs w:val="20"/>
      <w:lang w:val="en-GB"/>
    </w:rPr>
  </w:style>
  <w:style w:type="paragraph" w:customStyle="1" w:styleId="FSBullet10">
    <w:name w:val="FSBullet 1"/>
    <w:basedOn w:val="Normal"/>
    <w:next w:val="Normal"/>
    <w:link w:val="FSBullet1Char"/>
    <w:uiPriority w:val="6"/>
    <w:qFormat/>
    <w:rsid w:val="00EE6CD8"/>
    <w:pPr>
      <w:numPr>
        <w:numId w:val="1"/>
      </w:numPr>
      <w:ind w:left="567" w:hanging="567"/>
    </w:pPr>
    <w:rPr>
      <w:rFonts w:cs="Arial"/>
      <w:szCs w:val="24"/>
    </w:rPr>
  </w:style>
  <w:style w:type="character" w:customStyle="1" w:styleId="FSBullet1Char">
    <w:name w:val="FSBullet 1 Char"/>
    <w:basedOn w:val="DefaultParagraphFont"/>
    <w:link w:val="FSBullet10"/>
    <w:uiPriority w:val="6"/>
    <w:rsid w:val="00EE6CD8"/>
    <w:rPr>
      <w:szCs w:val="24"/>
      <w:lang w:val="en-GB"/>
    </w:rPr>
  </w:style>
  <w:style w:type="paragraph" w:customStyle="1" w:styleId="FSBullet2">
    <w:name w:val="FSBullet 2"/>
    <w:basedOn w:val="Normal"/>
    <w:uiPriority w:val="6"/>
    <w:qFormat/>
    <w:rsid w:val="00EE6CD8"/>
    <w:pPr>
      <w:numPr>
        <w:numId w:val="8"/>
      </w:numPr>
    </w:pPr>
  </w:style>
  <w:style w:type="paragraph" w:customStyle="1" w:styleId="FSBullet3">
    <w:name w:val="FSBullet 3"/>
    <w:basedOn w:val="Normal"/>
    <w:uiPriority w:val="6"/>
    <w:qFormat/>
    <w:rsid w:val="00EE6CD8"/>
    <w:pPr>
      <w:keepNext/>
      <w:numPr>
        <w:numId w:val="9"/>
      </w:numPr>
    </w:pPr>
  </w:style>
  <w:style w:type="paragraph" w:customStyle="1" w:styleId="FSCaption">
    <w:name w:val="FSCaption"/>
    <w:basedOn w:val="Normal"/>
    <w:uiPriority w:val="9"/>
    <w:qFormat/>
    <w:rsid w:val="00EE6CD8"/>
    <w:pPr>
      <w:keepNext/>
      <w:keepLines/>
      <w:spacing w:before="120"/>
    </w:pPr>
    <w:rPr>
      <w:i/>
      <w:sz w:val="16"/>
      <w:szCs w:val="16"/>
    </w:rPr>
  </w:style>
  <w:style w:type="paragraph" w:customStyle="1" w:styleId="FSCFootnote">
    <w:name w:val="FSCFootnote"/>
    <w:basedOn w:val="Normal"/>
    <w:next w:val="Normal"/>
    <w:uiPriority w:val="17"/>
    <w:qFormat/>
    <w:rsid w:val="00EE6CD8"/>
    <w:rPr>
      <w:sz w:val="16"/>
      <w:szCs w:val="20"/>
    </w:rPr>
  </w:style>
  <w:style w:type="paragraph" w:customStyle="1" w:styleId="FSCFooter">
    <w:name w:val="FSCFooter"/>
    <w:basedOn w:val="FSCFootnote"/>
    <w:uiPriority w:val="17"/>
    <w:qFormat/>
    <w:rsid w:val="00EE6CD8"/>
    <w:pPr>
      <w:tabs>
        <w:tab w:val="center" w:pos="4536"/>
        <w:tab w:val="right" w:pos="9070"/>
      </w:tabs>
    </w:pPr>
    <w:rPr>
      <w:sz w:val="18"/>
      <w:szCs w:val="18"/>
    </w:rPr>
  </w:style>
  <w:style w:type="paragraph" w:customStyle="1" w:styleId="FSPagenumber">
    <w:name w:val="FSPage number"/>
    <w:basedOn w:val="Normal"/>
    <w:uiPriority w:val="1"/>
    <w:qFormat/>
    <w:rsid w:val="00EE6CD8"/>
    <w:pPr>
      <w:jc w:val="center"/>
    </w:pPr>
    <w:rPr>
      <w:sz w:val="20"/>
      <w:szCs w:val="20"/>
    </w:rPr>
  </w:style>
  <w:style w:type="paragraph" w:customStyle="1" w:styleId="FSTableColumnRowheading">
    <w:name w:val="FSTable Column/Row heading"/>
    <w:basedOn w:val="Normal"/>
    <w:uiPriority w:val="8"/>
    <w:qFormat/>
    <w:rsid w:val="00EE6CD8"/>
    <w:pPr>
      <w:spacing w:before="120" w:after="120"/>
    </w:pPr>
    <w:rPr>
      <w:b/>
      <w:sz w:val="20"/>
      <w:szCs w:val="20"/>
    </w:rPr>
  </w:style>
  <w:style w:type="paragraph" w:customStyle="1" w:styleId="FSTableFigureHeading">
    <w:name w:val="FSTable/Figure Heading"/>
    <w:basedOn w:val="Normal"/>
    <w:uiPriority w:val="7"/>
    <w:qFormat/>
    <w:rsid w:val="00EE6CD8"/>
    <w:pPr>
      <w:spacing w:before="120" w:after="120"/>
      <w:ind w:left="1134" w:hanging="1134"/>
    </w:pPr>
    <w:rPr>
      <w:b/>
      <w:i/>
    </w:rPr>
  </w:style>
  <w:style w:type="paragraph" w:styleId="Header">
    <w:name w:val="header"/>
    <w:aliases w:val="FSHeader"/>
    <w:basedOn w:val="Normal"/>
    <w:link w:val="HeaderChar"/>
    <w:uiPriority w:val="3"/>
    <w:unhideWhenUsed/>
    <w:qFormat/>
    <w:rsid w:val="00EE6CD8"/>
    <w:pPr>
      <w:jc w:val="center"/>
    </w:pPr>
    <w:rPr>
      <w:b/>
    </w:rPr>
  </w:style>
  <w:style w:type="character" w:customStyle="1" w:styleId="HeaderChar">
    <w:name w:val="Header Char"/>
    <w:aliases w:val="FSHeader Char"/>
    <w:basedOn w:val="DefaultParagraphFont"/>
    <w:link w:val="Header"/>
    <w:uiPriority w:val="3"/>
    <w:rsid w:val="00EE6CD8"/>
    <w:rPr>
      <w:rFonts w:cstheme="minorBidi"/>
      <w:b/>
      <w:lang w:val="en-GB"/>
    </w:rPr>
  </w:style>
  <w:style w:type="paragraph" w:customStyle="1" w:styleId="Paragraph">
    <w:name w:val="Paragraph"/>
    <w:basedOn w:val="Clause"/>
    <w:next w:val="Normal"/>
    <w:uiPriority w:val="12"/>
    <w:qFormat/>
    <w:rsid w:val="00EE6CD8"/>
    <w:pPr>
      <w:tabs>
        <w:tab w:val="clear" w:pos="851"/>
      </w:tabs>
      <w:ind w:left="1702" w:hanging="851"/>
    </w:pPr>
  </w:style>
  <w:style w:type="paragraph" w:customStyle="1" w:styleId="ScheduleHeading">
    <w:name w:val="Schedule Heading"/>
    <w:basedOn w:val="Normal"/>
    <w:next w:val="Normal"/>
    <w:uiPriority w:val="18"/>
    <w:qFormat/>
    <w:rsid w:val="00EE6CD8"/>
    <w:pPr>
      <w:tabs>
        <w:tab w:val="left" w:pos="851"/>
      </w:tabs>
      <w:jc w:val="center"/>
    </w:pPr>
    <w:rPr>
      <w:b/>
      <w:caps/>
      <w:sz w:val="20"/>
      <w:szCs w:val="20"/>
    </w:rPr>
  </w:style>
  <w:style w:type="paragraph" w:customStyle="1" w:styleId="Standardtitle">
    <w:name w:val="Standard title"/>
    <w:basedOn w:val="Normal"/>
    <w:uiPriority w:val="18"/>
    <w:qFormat/>
    <w:rsid w:val="00EE6CD8"/>
    <w:pPr>
      <w:keepNext/>
      <w:tabs>
        <w:tab w:val="left" w:pos="851"/>
      </w:tabs>
      <w:jc w:val="center"/>
    </w:pPr>
    <w:rPr>
      <w:b/>
      <w:i/>
      <w:iCs/>
      <w:caps/>
      <w:sz w:val="28"/>
      <w:szCs w:val="20"/>
    </w:rPr>
  </w:style>
  <w:style w:type="paragraph" w:customStyle="1" w:styleId="Subclause">
    <w:name w:val="Subclause"/>
    <w:basedOn w:val="Clause"/>
    <w:uiPriority w:val="11"/>
    <w:qFormat/>
    <w:rsid w:val="00EE6CD8"/>
    <w:pPr>
      <w:ind w:left="567" w:hanging="567"/>
    </w:pPr>
  </w:style>
  <w:style w:type="paragraph" w:customStyle="1" w:styleId="Subparagraph">
    <w:name w:val="Subparagraph"/>
    <w:basedOn w:val="Paragraph"/>
    <w:next w:val="Normal"/>
    <w:uiPriority w:val="13"/>
    <w:qFormat/>
    <w:rsid w:val="00EE6CD8"/>
    <w:pPr>
      <w:ind w:left="2553"/>
    </w:pPr>
  </w:style>
  <w:style w:type="paragraph" w:customStyle="1" w:styleId="Table1">
    <w:name w:val="Table 1"/>
    <w:basedOn w:val="Normal"/>
    <w:uiPriority w:val="20"/>
    <w:qFormat/>
    <w:rsid w:val="00EE6CD8"/>
    <w:pPr>
      <w:keepNext/>
      <w:spacing w:after="120"/>
      <w:jc w:val="center"/>
    </w:pPr>
    <w:rPr>
      <w:b/>
      <w:bCs/>
      <w:sz w:val="18"/>
      <w:szCs w:val="20"/>
    </w:rPr>
  </w:style>
  <w:style w:type="paragraph" w:customStyle="1" w:styleId="TitleBorder">
    <w:name w:val="TitleBorder"/>
    <w:basedOn w:val="Normal"/>
    <w:uiPriority w:val="19"/>
    <w:qFormat/>
    <w:rsid w:val="00EE6CD8"/>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14171C"/>
    <w:pPr>
      <w:ind w:left="720"/>
      <w:contextualSpacing/>
    </w:pPr>
  </w:style>
  <w:style w:type="character" w:customStyle="1" w:styleId="Heading7Char">
    <w:name w:val="Heading 7 Char"/>
    <w:basedOn w:val="DefaultParagraphFont"/>
    <w:link w:val="Heading7"/>
    <w:uiPriority w:val="9"/>
    <w:rsid w:val="0014171C"/>
    <w:rPr>
      <w:rFonts w:eastAsia="Times New Roman" w:cs="Times New Roman"/>
      <w:szCs w:val="24"/>
      <w:lang w:val="en-GB" w:bidi="en-US"/>
    </w:rPr>
  </w:style>
  <w:style w:type="character" w:customStyle="1" w:styleId="Heading8Char">
    <w:name w:val="Heading 8 Char"/>
    <w:basedOn w:val="DefaultParagraphFont"/>
    <w:link w:val="Heading8"/>
    <w:uiPriority w:val="9"/>
    <w:semiHidden/>
    <w:rsid w:val="001417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14171C"/>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rsid w:val="0014171C"/>
    <w:rPr>
      <w:rFonts w:ascii="Arial" w:hAnsi="Arial"/>
      <w:color w:val="3333FF"/>
      <w:u w:val="single"/>
    </w:rPr>
  </w:style>
  <w:style w:type="paragraph" w:customStyle="1" w:styleId="FSTitle">
    <w:name w:val="FS Title"/>
    <w:basedOn w:val="Normal"/>
    <w:rsid w:val="0014171C"/>
    <w:rPr>
      <w:rFonts w:cs="Tahoma"/>
      <w:bCs/>
      <w:sz w:val="32"/>
    </w:rPr>
  </w:style>
  <w:style w:type="paragraph" w:customStyle="1" w:styleId="FSDash">
    <w:name w:val="FS Dash"/>
    <w:basedOn w:val="Normal"/>
    <w:rsid w:val="0014171C"/>
    <w:pPr>
      <w:ind w:left="1134" w:hanging="567"/>
    </w:pPr>
  </w:style>
  <w:style w:type="paragraph" w:styleId="TOC1">
    <w:name w:val="toc 1"/>
    <w:basedOn w:val="Normal"/>
    <w:next w:val="Normal"/>
    <w:autoRedefine/>
    <w:uiPriority w:val="39"/>
    <w:rsid w:val="0014171C"/>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14171C"/>
    <w:pPr>
      <w:tabs>
        <w:tab w:val="left" w:pos="880"/>
        <w:tab w:val="right" w:leader="dot" w:pos="9016"/>
      </w:tabs>
      <w:spacing w:before="120" w:after="120"/>
      <w:ind w:left="221"/>
    </w:pPr>
    <w:rPr>
      <w:rFonts w:asciiTheme="minorHAnsi" w:hAnsiTheme="minorHAnsi" w:cstheme="minorHAnsi"/>
      <w:smallCaps/>
      <w:sz w:val="20"/>
      <w:szCs w:val="20"/>
    </w:rPr>
  </w:style>
  <w:style w:type="character" w:styleId="PageNumber">
    <w:name w:val="page number"/>
    <w:basedOn w:val="DefaultParagraphFont"/>
    <w:rsid w:val="0014171C"/>
    <w:rPr>
      <w:rFonts w:ascii="Arial" w:hAnsi="Arial"/>
    </w:rPr>
  </w:style>
  <w:style w:type="paragraph" w:styleId="TOC3">
    <w:name w:val="toc 3"/>
    <w:basedOn w:val="Normal"/>
    <w:next w:val="Normal"/>
    <w:autoRedefine/>
    <w:uiPriority w:val="39"/>
    <w:rsid w:val="0014171C"/>
    <w:pPr>
      <w:ind w:left="440"/>
    </w:pPr>
    <w:rPr>
      <w:rFonts w:asciiTheme="minorHAnsi" w:hAnsiTheme="minorHAnsi" w:cstheme="minorHAnsi"/>
      <w:i/>
      <w:iCs/>
      <w:sz w:val="20"/>
      <w:szCs w:val="20"/>
    </w:rPr>
  </w:style>
  <w:style w:type="paragraph" w:styleId="TOC4">
    <w:name w:val="toc 4"/>
    <w:basedOn w:val="Normal"/>
    <w:next w:val="Normal"/>
    <w:autoRedefine/>
    <w:semiHidden/>
    <w:rsid w:val="0014171C"/>
    <w:pPr>
      <w:ind w:left="660"/>
    </w:pPr>
    <w:rPr>
      <w:rFonts w:asciiTheme="minorHAnsi" w:hAnsiTheme="minorHAnsi" w:cstheme="minorHAnsi"/>
      <w:sz w:val="18"/>
      <w:szCs w:val="18"/>
    </w:rPr>
  </w:style>
  <w:style w:type="paragraph" w:styleId="TOC5">
    <w:name w:val="toc 5"/>
    <w:basedOn w:val="Normal"/>
    <w:next w:val="Normal"/>
    <w:autoRedefine/>
    <w:semiHidden/>
    <w:rsid w:val="0014171C"/>
    <w:pPr>
      <w:ind w:left="880"/>
    </w:pPr>
    <w:rPr>
      <w:rFonts w:asciiTheme="minorHAnsi" w:hAnsiTheme="minorHAnsi" w:cstheme="minorHAnsi"/>
      <w:sz w:val="18"/>
      <w:szCs w:val="18"/>
    </w:rPr>
  </w:style>
  <w:style w:type="character" w:styleId="FollowedHyperlink">
    <w:name w:val="FollowedHyperlink"/>
    <w:basedOn w:val="DefaultParagraphFont"/>
    <w:rsid w:val="0014171C"/>
    <w:rPr>
      <w:rFonts w:ascii="Arial" w:hAnsi="Arial"/>
      <w:color w:val="3333FF"/>
      <w:sz w:val="22"/>
      <w:u w:val="single"/>
    </w:rPr>
  </w:style>
  <w:style w:type="paragraph" w:styleId="TOC6">
    <w:name w:val="toc 6"/>
    <w:basedOn w:val="Normal"/>
    <w:next w:val="Normal"/>
    <w:autoRedefine/>
    <w:semiHidden/>
    <w:rsid w:val="0014171C"/>
    <w:pPr>
      <w:ind w:left="1100"/>
    </w:pPr>
    <w:rPr>
      <w:rFonts w:asciiTheme="minorHAnsi" w:hAnsiTheme="minorHAnsi" w:cstheme="minorHAnsi"/>
      <w:sz w:val="18"/>
      <w:szCs w:val="18"/>
    </w:rPr>
  </w:style>
  <w:style w:type="paragraph" w:customStyle="1" w:styleId="Box1">
    <w:name w:val="Box 1"/>
    <w:basedOn w:val="Normal"/>
    <w:rsid w:val="0014171C"/>
    <w:pPr>
      <w:tabs>
        <w:tab w:val="num" w:pos="120"/>
      </w:tabs>
      <w:ind w:left="113" w:hanging="113"/>
    </w:pPr>
    <w:rPr>
      <w:sz w:val="16"/>
    </w:rPr>
  </w:style>
  <w:style w:type="paragraph" w:customStyle="1" w:styleId="Box2">
    <w:name w:val="Box 2"/>
    <w:basedOn w:val="Normal"/>
    <w:rsid w:val="0014171C"/>
    <w:pPr>
      <w:tabs>
        <w:tab w:val="left" w:pos="4608"/>
        <w:tab w:val="left" w:pos="9180"/>
        <w:tab w:val="left" w:pos="9216"/>
      </w:tabs>
      <w:jc w:val="center"/>
    </w:pPr>
    <w:rPr>
      <w:b/>
      <w:bCs/>
      <w:i/>
      <w:iCs/>
      <w:color w:val="000000"/>
      <w:sz w:val="16"/>
    </w:rPr>
  </w:style>
  <w:style w:type="paragraph" w:customStyle="1" w:styleId="Box3">
    <w:name w:val="Box 3"/>
    <w:basedOn w:val="Normal"/>
    <w:rsid w:val="0014171C"/>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14171C"/>
    <w:rPr>
      <w:b/>
      <w:bCs w:val="0"/>
      <w:iCs/>
    </w:rPr>
  </w:style>
  <w:style w:type="paragraph" w:customStyle="1" w:styleId="142tabletext10">
    <w:name w:val="1.4.2 table text1"/>
    <w:basedOn w:val="Normal"/>
    <w:rsid w:val="0014171C"/>
    <w:pPr>
      <w:ind w:left="142" w:hanging="142"/>
    </w:pPr>
    <w:rPr>
      <w:smallCaps/>
      <w:sz w:val="20"/>
      <w:szCs w:val="20"/>
    </w:rPr>
  </w:style>
  <w:style w:type="paragraph" w:customStyle="1" w:styleId="142tabletext20">
    <w:name w:val="1.4.2 table text2"/>
    <w:basedOn w:val="142tabletext10"/>
    <w:rsid w:val="0014171C"/>
    <w:pPr>
      <w:jc w:val="right"/>
    </w:pPr>
  </w:style>
  <w:style w:type="paragraph" w:customStyle="1" w:styleId="Footnote">
    <w:name w:val="Footnote"/>
    <w:basedOn w:val="Normal"/>
    <w:rsid w:val="0014171C"/>
    <w:pPr>
      <w:tabs>
        <w:tab w:val="left" w:pos="851"/>
      </w:tabs>
    </w:pPr>
    <w:rPr>
      <w:sz w:val="20"/>
      <w:szCs w:val="20"/>
    </w:rPr>
  </w:style>
  <w:style w:type="paragraph" w:customStyle="1" w:styleId="MiscellaneousHeading">
    <w:name w:val="Miscellaneous Heading"/>
    <w:basedOn w:val="Normal"/>
    <w:next w:val="Normal"/>
    <w:rsid w:val="0014171C"/>
    <w:rPr>
      <w:b/>
      <w:szCs w:val="20"/>
    </w:rPr>
  </w:style>
  <w:style w:type="paragraph" w:customStyle="1" w:styleId="TableHeading">
    <w:name w:val="Table Heading"/>
    <w:basedOn w:val="Normal"/>
    <w:next w:val="Normal"/>
    <w:rsid w:val="0014171C"/>
    <w:pPr>
      <w:tabs>
        <w:tab w:val="left" w:pos="851"/>
      </w:tabs>
      <w:jc w:val="center"/>
    </w:pPr>
    <w:rPr>
      <w:b/>
      <w:szCs w:val="20"/>
    </w:rPr>
  </w:style>
  <w:style w:type="paragraph" w:styleId="TOC7">
    <w:name w:val="toc 7"/>
    <w:basedOn w:val="Normal"/>
    <w:next w:val="Normal"/>
    <w:autoRedefine/>
    <w:semiHidden/>
    <w:rsid w:val="0014171C"/>
    <w:pPr>
      <w:ind w:left="1320"/>
    </w:pPr>
    <w:rPr>
      <w:rFonts w:asciiTheme="minorHAnsi" w:hAnsiTheme="minorHAnsi" w:cstheme="minorHAnsi"/>
      <w:sz w:val="18"/>
      <w:szCs w:val="18"/>
    </w:rPr>
  </w:style>
  <w:style w:type="paragraph" w:styleId="TOC8">
    <w:name w:val="toc 8"/>
    <w:basedOn w:val="Normal"/>
    <w:next w:val="Normal"/>
    <w:autoRedefine/>
    <w:semiHidden/>
    <w:rsid w:val="0014171C"/>
    <w:pPr>
      <w:ind w:left="1540"/>
    </w:pPr>
    <w:rPr>
      <w:rFonts w:asciiTheme="minorHAnsi" w:hAnsiTheme="minorHAnsi" w:cstheme="minorHAnsi"/>
      <w:sz w:val="18"/>
      <w:szCs w:val="18"/>
    </w:rPr>
  </w:style>
  <w:style w:type="paragraph" w:styleId="TOC9">
    <w:name w:val="toc 9"/>
    <w:basedOn w:val="Normal"/>
    <w:next w:val="Normal"/>
    <w:autoRedefine/>
    <w:semiHidden/>
    <w:rsid w:val="0014171C"/>
    <w:pPr>
      <w:ind w:left="1760"/>
    </w:pPr>
    <w:rPr>
      <w:rFonts w:asciiTheme="minorHAnsi" w:hAnsiTheme="minorHAnsi" w:cstheme="minorHAnsi"/>
      <w:sz w:val="18"/>
      <w:szCs w:val="18"/>
    </w:rPr>
  </w:style>
  <w:style w:type="character" w:styleId="FootnoteReference">
    <w:name w:val="footnote reference"/>
    <w:basedOn w:val="DefaultParagraphFont"/>
    <w:rsid w:val="0014171C"/>
    <w:rPr>
      <w:vertAlign w:val="superscript"/>
    </w:rPr>
  </w:style>
  <w:style w:type="paragraph" w:customStyle="1" w:styleId="FSDecisionHeading">
    <w:name w:val="FS Decision Heading"/>
    <w:basedOn w:val="Normal"/>
    <w:next w:val="FSDecisiontext"/>
    <w:rsid w:val="0014171C"/>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14171C"/>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14171C"/>
    <w:rPr>
      <w:rFonts w:ascii="Tahoma" w:hAnsi="Tahoma" w:cs="Tahoma"/>
      <w:sz w:val="16"/>
      <w:szCs w:val="16"/>
    </w:rPr>
  </w:style>
  <w:style w:type="character" w:customStyle="1" w:styleId="BalloonTextChar">
    <w:name w:val="Balloon Text Char"/>
    <w:basedOn w:val="DefaultParagraphFont"/>
    <w:link w:val="BalloonText"/>
    <w:semiHidden/>
    <w:rsid w:val="0014171C"/>
    <w:rPr>
      <w:rFonts w:ascii="Tahoma" w:eastAsia="Times New Roman" w:hAnsi="Tahoma" w:cs="Tahoma"/>
      <w:sz w:val="16"/>
      <w:szCs w:val="16"/>
      <w:lang w:val="en-GB" w:bidi="en-US"/>
    </w:rPr>
  </w:style>
  <w:style w:type="paragraph" w:styleId="TOCHeading">
    <w:name w:val="TOC Heading"/>
    <w:basedOn w:val="Heading1"/>
    <w:next w:val="Normal"/>
    <w:uiPriority w:val="39"/>
    <w:semiHidden/>
    <w:unhideWhenUsed/>
    <w:qFormat/>
    <w:rsid w:val="0014171C"/>
    <w:pPr>
      <w:keepLines/>
      <w:spacing w:before="480" w:after="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rsid w:val="0014171C"/>
    <w:pPr>
      <w:numPr>
        <w:numId w:val="2"/>
      </w:numPr>
      <w:ind w:left="567" w:hanging="567"/>
    </w:pPr>
    <w:rPr>
      <w:rFonts w:cs="Arial"/>
    </w:rPr>
  </w:style>
  <w:style w:type="character" w:customStyle="1" w:styleId="FSBulletChar">
    <w:name w:val="FS Bullet Char"/>
    <w:basedOn w:val="DefaultParagraphFont"/>
    <w:link w:val="FSBullet"/>
    <w:rsid w:val="0014171C"/>
    <w:rPr>
      <w:lang w:val="en-GB"/>
    </w:rPr>
  </w:style>
  <w:style w:type="table" w:styleId="TableGrid">
    <w:name w:val="Table Grid"/>
    <w:basedOn w:val="TableNormal"/>
    <w:uiPriority w:val="59"/>
    <w:rsid w:val="0014171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14171C"/>
    <w:rPr>
      <w:rFonts w:cs="Arial"/>
      <w:b/>
    </w:rPr>
  </w:style>
  <w:style w:type="paragraph" w:customStyle="1" w:styleId="FSTableHeading">
    <w:name w:val="FS Table Heading"/>
    <w:basedOn w:val="Normal"/>
    <w:rsid w:val="004B074F"/>
    <w:rPr>
      <w:rFonts w:ascii="Arial Bold" w:hAnsi="Arial Bold" w:cs="Arial"/>
      <w:b/>
      <w:sz w:val="20"/>
      <w:szCs w:val="20"/>
    </w:rPr>
  </w:style>
  <w:style w:type="paragraph" w:customStyle="1" w:styleId="FSTableText">
    <w:name w:val="FS Table Text"/>
    <w:basedOn w:val="Normal"/>
    <w:rsid w:val="0014171C"/>
    <w:rPr>
      <w:rFonts w:cs="Arial"/>
      <w:sz w:val="20"/>
      <w:szCs w:val="20"/>
    </w:rPr>
  </w:style>
  <w:style w:type="paragraph" w:customStyle="1" w:styleId="FSFigureTitle">
    <w:name w:val="FS Figure Title"/>
    <w:basedOn w:val="Normal"/>
    <w:next w:val="Normal"/>
    <w:rsid w:val="0014171C"/>
    <w:rPr>
      <w:rFonts w:cs="Arial"/>
      <w:i/>
    </w:rPr>
  </w:style>
  <w:style w:type="character" w:styleId="CommentReference">
    <w:name w:val="annotation reference"/>
    <w:basedOn w:val="DefaultParagraphFont"/>
    <w:uiPriority w:val="99"/>
    <w:rsid w:val="0014171C"/>
    <w:rPr>
      <w:sz w:val="16"/>
      <w:szCs w:val="16"/>
    </w:rPr>
  </w:style>
  <w:style w:type="paragraph" w:styleId="CommentText">
    <w:name w:val="annotation text"/>
    <w:basedOn w:val="Normal"/>
    <w:link w:val="CommentTextChar"/>
    <w:rsid w:val="0014171C"/>
    <w:rPr>
      <w:sz w:val="20"/>
      <w:szCs w:val="20"/>
    </w:rPr>
  </w:style>
  <w:style w:type="character" w:customStyle="1" w:styleId="CommentTextChar">
    <w:name w:val="Comment Text Char"/>
    <w:basedOn w:val="DefaultParagraphFont"/>
    <w:link w:val="CommentText"/>
    <w:rsid w:val="0014171C"/>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14171C"/>
    <w:rPr>
      <w:b/>
      <w:bCs/>
    </w:rPr>
  </w:style>
  <w:style w:type="character" w:customStyle="1" w:styleId="CommentSubjectChar">
    <w:name w:val="Comment Subject Char"/>
    <w:basedOn w:val="CommentTextChar"/>
    <w:link w:val="CommentSubject"/>
    <w:rsid w:val="0014171C"/>
    <w:rPr>
      <w:rFonts w:eastAsia="Times New Roman" w:cs="Times New Roman"/>
      <w:b/>
      <w:bCs/>
      <w:sz w:val="20"/>
      <w:szCs w:val="20"/>
      <w:lang w:val="en-GB" w:bidi="en-US"/>
    </w:rPr>
  </w:style>
  <w:style w:type="paragraph" w:styleId="DocumentMap">
    <w:name w:val="Document Map"/>
    <w:basedOn w:val="Normal"/>
    <w:link w:val="DocumentMapChar"/>
    <w:rsid w:val="0014171C"/>
    <w:rPr>
      <w:rFonts w:ascii="Tahoma" w:hAnsi="Tahoma" w:cs="Tahoma"/>
      <w:sz w:val="16"/>
      <w:szCs w:val="16"/>
    </w:rPr>
  </w:style>
  <w:style w:type="character" w:customStyle="1" w:styleId="DocumentMapChar">
    <w:name w:val="Document Map Char"/>
    <w:basedOn w:val="DefaultParagraphFont"/>
    <w:link w:val="DocumentMap"/>
    <w:rsid w:val="0014171C"/>
    <w:rPr>
      <w:rFonts w:ascii="Tahoma" w:eastAsia="Times New Roman" w:hAnsi="Tahoma" w:cs="Tahoma"/>
      <w:sz w:val="16"/>
      <w:szCs w:val="16"/>
      <w:lang w:val="en-GB" w:bidi="en-US"/>
    </w:rPr>
  </w:style>
  <w:style w:type="table" w:styleId="MediumShading1-Accent3">
    <w:name w:val="Medium Shading 1 Accent 3"/>
    <w:basedOn w:val="TableNormal"/>
    <w:uiPriority w:val="63"/>
    <w:rsid w:val="0014171C"/>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olumns1">
    <w:name w:val="Table Columns 1"/>
    <w:basedOn w:val="TableNormal"/>
    <w:rsid w:val="0014171C"/>
    <w:pPr>
      <w:widowControl w:val="0"/>
    </w:pPr>
    <w:rPr>
      <w:rFonts w:ascii="Calibri" w:eastAsia="Times New Roman" w:hAnsi="Calibri"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171C"/>
    <w:pPr>
      <w:widowControl w:val="0"/>
    </w:pPr>
    <w:rPr>
      <w:rFonts w:ascii="Calibri" w:eastAsia="Times New Roman" w:hAnsi="Calibri"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171C"/>
    <w:pPr>
      <w:widowControl w:val="0"/>
    </w:pPr>
    <w:rPr>
      <w:rFonts w:ascii="Calibri" w:eastAsia="Times New Roman" w:hAnsi="Calibri"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7">
    <w:name w:val="Table Grid 7"/>
    <w:basedOn w:val="TableNormal"/>
    <w:rsid w:val="0014171C"/>
    <w:pPr>
      <w:widowControl w:val="0"/>
    </w:pPr>
    <w:rPr>
      <w:rFonts w:ascii="Calibri" w:eastAsia="Times New Roman" w:hAnsi="Calibri"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14171C"/>
    <w:pPr>
      <w:widowControl w:val="0"/>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171C"/>
    <w:pPr>
      <w:widowControl w:val="0"/>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Elegant">
    <w:name w:val="Table Elegant"/>
    <w:basedOn w:val="TableNormal"/>
    <w:rsid w:val="0014171C"/>
    <w:pPr>
      <w:widowControl w:val="0"/>
    </w:pPr>
    <w:rPr>
      <w:rFonts w:ascii="Calibri" w:eastAsia="Times New Roman" w:hAnsi="Calibri"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14171C"/>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8">
    <w:name w:val="Table Grid 8"/>
    <w:basedOn w:val="TableNormal"/>
    <w:rsid w:val="0014171C"/>
    <w:pPr>
      <w:widowControl w:val="0"/>
    </w:pPr>
    <w:rPr>
      <w:rFonts w:ascii="Calibri" w:eastAsia="Times New Roman" w:hAnsi="Calibri"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14171C"/>
    <w:rPr>
      <w:color w:val="808080"/>
    </w:rPr>
  </w:style>
  <w:style w:type="table" w:styleId="TableList4">
    <w:name w:val="Table List 4"/>
    <w:basedOn w:val="TableNormal"/>
    <w:rsid w:val="0014171C"/>
    <w:pPr>
      <w:widowControl w:val="0"/>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ghtList">
    <w:name w:val="Light List"/>
    <w:basedOn w:val="TableNormal"/>
    <w:uiPriority w:val="61"/>
    <w:rsid w:val="0014171C"/>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14171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Elegant1">
    <w:name w:val="Table Elegant1"/>
    <w:basedOn w:val="TableNormal"/>
    <w:next w:val="TableElegant"/>
    <w:rsid w:val="0014171C"/>
    <w:pPr>
      <w:widowControl w:val="0"/>
    </w:pPr>
    <w:rPr>
      <w:rFonts w:ascii="Calibri" w:eastAsia="Times New Roman" w:hAnsi="Calibri"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on">
    <w:name w:val="Revision"/>
    <w:hidden/>
    <w:uiPriority w:val="99"/>
    <w:semiHidden/>
    <w:rsid w:val="002E3C31"/>
    <w:rPr>
      <w:rFonts w:eastAsia="Times New Roman" w:cs="Times New Roman"/>
      <w:szCs w:val="24"/>
      <w:lang w:val="en-GB" w:bidi="en-US"/>
    </w:rPr>
  </w:style>
  <w:style w:type="paragraph" w:customStyle="1" w:styleId="heading">
    <w:name w:val="heading"/>
    <w:basedOn w:val="Normal"/>
    <w:rsid w:val="00A57240"/>
    <w:pPr>
      <w:tabs>
        <w:tab w:val="left" w:pos="840"/>
      </w:tabs>
      <w:jc w:val="both"/>
    </w:pPr>
    <w:rPr>
      <w:rFonts w:ascii="Times New Roman" w:hAnsi="Times New Roman"/>
      <w:b/>
      <w:caps/>
      <w:sz w:val="24"/>
      <w:szCs w:val="20"/>
    </w:rPr>
  </w:style>
  <w:style w:type="paragraph" w:customStyle="1" w:styleId="FSBullet1">
    <w:name w:val="FS Bullet 1"/>
    <w:basedOn w:val="Normal"/>
    <w:next w:val="Normal"/>
    <w:link w:val="FSBullet1Char0"/>
    <w:rsid w:val="00FB379F"/>
    <w:pPr>
      <w:numPr>
        <w:numId w:val="7"/>
      </w:numPr>
      <w:ind w:left="567" w:hanging="567"/>
    </w:pPr>
    <w:rPr>
      <w:rFonts w:cs="Arial"/>
    </w:rPr>
  </w:style>
  <w:style w:type="character" w:customStyle="1" w:styleId="FSBullet1Char0">
    <w:name w:val="FS Bullet 1 Char"/>
    <w:link w:val="FSBullet1"/>
    <w:rsid w:val="00FB379F"/>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5" w:qFormat="1"/>
    <w:lsdException w:name="annotation text" w:uiPriority="0"/>
    <w:lsdException w:name="header" w:uiPriority="3" w:qFormat="1"/>
    <w:lsdException w:name="footer" w:uiPriority="4"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Columns 1" w:uiPriority="0"/>
    <w:lsdException w:name="Table Columns 2" w:uiPriority="0"/>
    <w:lsdException w:name="Table Columns 3" w:uiPriority="0"/>
    <w:lsdException w:name="Table Grid 5" w:uiPriority="0"/>
    <w:lsdException w:name="Table Grid 6" w:uiPriority="0"/>
    <w:lsdException w:name="Table Grid 7" w:uiPriority="0"/>
    <w:lsdException w:name="Table Grid 8" w:uiPriority="0"/>
    <w:lsdException w:name="Table List 4"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E6CD8"/>
    <w:rPr>
      <w:rFonts w:cstheme="minorBidi"/>
      <w:lang w:val="en-GB"/>
    </w:rPr>
  </w:style>
  <w:style w:type="paragraph" w:styleId="Heading1">
    <w:name w:val="heading 1"/>
    <w:aliases w:val="FSHeading 1,Chapter heading"/>
    <w:basedOn w:val="Normal"/>
    <w:next w:val="Normal"/>
    <w:link w:val="Heading1Char"/>
    <w:uiPriority w:val="9"/>
    <w:qFormat/>
    <w:rsid w:val="00127C9E"/>
    <w:pPr>
      <w:numPr>
        <w:numId w:val="10"/>
      </w:numPr>
      <w:spacing w:before="240" w:after="240"/>
      <w:ind w:left="851" w:hanging="851"/>
      <w:outlineLvl w:val="0"/>
    </w:pPr>
    <w:rPr>
      <w:rFonts w:eastAsia="Times New Roman" w:cs="Times New Roman"/>
      <w:b/>
      <w:bCs/>
      <w:sz w:val="36"/>
      <w:szCs w:val="28"/>
    </w:rPr>
  </w:style>
  <w:style w:type="paragraph" w:styleId="Heading2">
    <w:name w:val="heading 2"/>
    <w:aliases w:val="FSHeading 2,Section heading"/>
    <w:basedOn w:val="Normal"/>
    <w:next w:val="Normal"/>
    <w:link w:val="Heading2Char"/>
    <w:autoRedefine/>
    <w:uiPriority w:val="9"/>
    <w:unhideWhenUsed/>
    <w:qFormat/>
    <w:rsid w:val="00127C9E"/>
    <w:pPr>
      <w:spacing w:before="240" w:after="240"/>
      <w:ind w:left="851" w:hanging="851"/>
      <w:outlineLvl w:val="1"/>
    </w:pPr>
    <w:rPr>
      <w:rFonts w:eastAsia="Times New Roman" w:cs="Arial"/>
      <w:b/>
      <w:bCs/>
      <w:sz w:val="28"/>
    </w:rPr>
  </w:style>
  <w:style w:type="paragraph" w:styleId="Heading3">
    <w:name w:val="heading 3"/>
    <w:aliases w:val="FSHeading 3,Subheading 1"/>
    <w:basedOn w:val="Normal"/>
    <w:next w:val="Normal"/>
    <w:link w:val="Heading3Char"/>
    <w:autoRedefine/>
    <w:uiPriority w:val="2"/>
    <w:unhideWhenUsed/>
    <w:qFormat/>
    <w:rsid w:val="00EE6CD8"/>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EE6CD8"/>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EE6CD8"/>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14171C"/>
    <w:pPr>
      <w:spacing w:before="240" w:after="60"/>
      <w:outlineLvl w:val="5"/>
    </w:pPr>
    <w:rPr>
      <w:rFonts w:cs="Arial Unicode MS"/>
      <w:b/>
      <w:bCs/>
    </w:rPr>
  </w:style>
  <w:style w:type="paragraph" w:styleId="Heading7">
    <w:name w:val="heading 7"/>
    <w:basedOn w:val="Normal"/>
    <w:next w:val="Normal"/>
    <w:link w:val="Heading7Char"/>
    <w:uiPriority w:val="9"/>
    <w:unhideWhenUsed/>
    <w:rsid w:val="0014171C"/>
    <w:pPr>
      <w:spacing w:before="240" w:after="60"/>
      <w:outlineLvl w:val="6"/>
    </w:pPr>
  </w:style>
  <w:style w:type="paragraph" w:styleId="Heading8">
    <w:name w:val="heading 8"/>
    <w:basedOn w:val="Normal"/>
    <w:next w:val="Normal"/>
    <w:link w:val="Heading8Char"/>
    <w:uiPriority w:val="9"/>
    <w:semiHidden/>
    <w:unhideWhenUsed/>
    <w:rsid w:val="0014171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4171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127C9E"/>
    <w:rPr>
      <w:rFonts w:eastAsia="Times New Roman" w:cs="Times New Roman"/>
      <w:b/>
      <w:bCs/>
      <w:sz w:val="36"/>
      <w:szCs w:val="28"/>
      <w:lang w:val="en-GB"/>
    </w:rPr>
  </w:style>
  <w:style w:type="character" w:customStyle="1" w:styleId="Heading2Char">
    <w:name w:val="Heading 2 Char"/>
    <w:aliases w:val="FSHeading 2 Char,Section heading Char"/>
    <w:basedOn w:val="DefaultParagraphFont"/>
    <w:link w:val="Heading2"/>
    <w:uiPriority w:val="9"/>
    <w:rsid w:val="00127C9E"/>
    <w:rPr>
      <w:rFonts w:eastAsia="Times New Roman"/>
      <w:b/>
      <w:bCs/>
      <w:sz w:val="28"/>
      <w:lang w:val="en-GB"/>
    </w:rPr>
  </w:style>
  <w:style w:type="character" w:customStyle="1" w:styleId="Heading3Char">
    <w:name w:val="Heading 3 Char"/>
    <w:aliases w:val="FSHeading 3 Char,Subheading 1 Char"/>
    <w:basedOn w:val="DefaultParagraphFont"/>
    <w:link w:val="Heading3"/>
    <w:uiPriority w:val="2"/>
    <w:rsid w:val="00EE6CD8"/>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EE6CD8"/>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EE6CD8"/>
    <w:rPr>
      <w:rFonts w:eastAsiaTheme="majorEastAsia" w:cstheme="majorBidi"/>
      <w:i/>
      <w:lang w:val="en-GB"/>
    </w:rPr>
  </w:style>
  <w:style w:type="character" w:customStyle="1" w:styleId="Heading6Char">
    <w:name w:val="Heading 6 Char"/>
    <w:basedOn w:val="DefaultParagraphFont"/>
    <w:link w:val="Heading6"/>
    <w:uiPriority w:val="9"/>
    <w:rsid w:val="0014171C"/>
    <w:rPr>
      <w:rFonts w:eastAsia="Times New Roman" w:cs="Arial Unicode MS"/>
      <w:b/>
      <w:bCs/>
      <w:lang w:val="en-GB" w:bidi="en-US"/>
    </w:rPr>
  </w:style>
  <w:style w:type="paragraph" w:customStyle="1" w:styleId="Table2">
    <w:name w:val="Table 2"/>
    <w:basedOn w:val="Normal"/>
    <w:uiPriority w:val="20"/>
    <w:qFormat/>
    <w:rsid w:val="00EE6CD8"/>
    <w:pPr>
      <w:ind w:left="142" w:hanging="142"/>
    </w:pPr>
    <w:rPr>
      <w:bCs/>
      <w:sz w:val="18"/>
      <w:szCs w:val="20"/>
    </w:rPr>
  </w:style>
  <w:style w:type="paragraph" w:customStyle="1" w:styleId="131ItemHeading">
    <w:name w:val="1.3.1 Item Heading"/>
    <w:basedOn w:val="Table2"/>
    <w:next w:val="Table2"/>
    <w:uiPriority w:val="22"/>
    <w:qFormat/>
    <w:rsid w:val="00EE6CD8"/>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EE6CD8"/>
    <w:pPr>
      <w:spacing w:after="120"/>
    </w:pPr>
    <w:rPr>
      <w:caps w:val="0"/>
      <w:sz w:val="18"/>
    </w:rPr>
  </w:style>
  <w:style w:type="paragraph" w:customStyle="1" w:styleId="142Tableheading1">
    <w:name w:val="1.4.2 Table heading1"/>
    <w:basedOn w:val="Normal"/>
    <w:uiPriority w:val="22"/>
    <w:qFormat/>
    <w:rsid w:val="00EE6CD8"/>
    <w:pPr>
      <w:keepNext/>
      <w:jc w:val="center"/>
    </w:pPr>
    <w:rPr>
      <w:rFonts w:ascii="Arial Bold" w:hAnsi="Arial Bold"/>
      <w:b/>
      <w:bCs/>
      <w:iCs/>
      <w:sz w:val="18"/>
    </w:rPr>
  </w:style>
  <w:style w:type="paragraph" w:customStyle="1" w:styleId="142Tableheading2">
    <w:name w:val="1.4.2 Table heading2"/>
    <w:basedOn w:val="142Tableheading1"/>
    <w:uiPriority w:val="22"/>
    <w:qFormat/>
    <w:rsid w:val="00EE6CD8"/>
    <w:rPr>
      <w:rFonts w:ascii="Arial" w:hAnsi="Arial"/>
      <w:b w:val="0"/>
      <w:iCs w:val="0"/>
      <w:szCs w:val="20"/>
    </w:rPr>
  </w:style>
  <w:style w:type="paragraph" w:customStyle="1" w:styleId="142Tabletext1">
    <w:name w:val="1.4.2 Table text1"/>
    <w:basedOn w:val="Normal"/>
    <w:link w:val="142Tabletext1Char"/>
    <w:uiPriority w:val="22"/>
    <w:qFormat/>
    <w:rsid w:val="00EE6CD8"/>
    <w:pPr>
      <w:ind w:left="142" w:hanging="142"/>
    </w:pPr>
    <w:rPr>
      <w:sz w:val="18"/>
      <w:szCs w:val="20"/>
    </w:rPr>
  </w:style>
  <w:style w:type="character" w:customStyle="1" w:styleId="142Tabletext1Char">
    <w:name w:val="1.4.2 Table text1 Char"/>
    <w:basedOn w:val="DefaultParagraphFont"/>
    <w:link w:val="142Tabletext1"/>
    <w:uiPriority w:val="22"/>
    <w:rsid w:val="00EE6CD8"/>
    <w:rPr>
      <w:rFonts w:cstheme="minorBidi"/>
      <w:sz w:val="18"/>
      <w:szCs w:val="20"/>
      <w:lang w:val="en-GB"/>
    </w:rPr>
  </w:style>
  <w:style w:type="paragraph" w:customStyle="1" w:styleId="142Tabletext2">
    <w:name w:val="1.4.2 Table text2"/>
    <w:basedOn w:val="142Tabletext1"/>
    <w:uiPriority w:val="22"/>
    <w:qFormat/>
    <w:rsid w:val="00EE6CD8"/>
    <w:pPr>
      <w:jc w:val="right"/>
    </w:pPr>
  </w:style>
  <w:style w:type="paragraph" w:customStyle="1" w:styleId="Blankpage">
    <w:name w:val="Blank page"/>
    <w:basedOn w:val="Normal"/>
    <w:next w:val="Normal"/>
    <w:uiPriority w:val="23"/>
    <w:qFormat/>
    <w:rsid w:val="00EE6CD8"/>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EE6CD8"/>
    <w:pPr>
      <w:tabs>
        <w:tab w:val="left" w:pos="851"/>
      </w:tabs>
    </w:pPr>
    <w:rPr>
      <w:sz w:val="20"/>
      <w:szCs w:val="20"/>
    </w:rPr>
  </w:style>
  <w:style w:type="character" w:customStyle="1" w:styleId="ClauseChar">
    <w:name w:val="Clause Char"/>
    <w:basedOn w:val="DefaultParagraphFont"/>
    <w:link w:val="Clause"/>
    <w:uiPriority w:val="10"/>
    <w:rsid w:val="00EE6CD8"/>
    <w:rPr>
      <w:rFonts w:cstheme="minorBidi"/>
      <w:sz w:val="20"/>
      <w:szCs w:val="20"/>
      <w:lang w:val="en-GB"/>
    </w:rPr>
  </w:style>
  <w:style w:type="paragraph" w:customStyle="1" w:styleId="Clauseheading">
    <w:name w:val="Clause heading"/>
    <w:basedOn w:val="Normal"/>
    <w:next w:val="Normal"/>
    <w:uiPriority w:val="14"/>
    <w:qFormat/>
    <w:rsid w:val="00EE6CD8"/>
    <w:pPr>
      <w:keepNext/>
      <w:tabs>
        <w:tab w:val="left" w:pos="851"/>
      </w:tabs>
    </w:pPr>
    <w:rPr>
      <w:b/>
      <w:sz w:val="20"/>
      <w:szCs w:val="20"/>
    </w:rPr>
  </w:style>
  <w:style w:type="paragraph" w:customStyle="1" w:styleId="ClauseList">
    <w:name w:val="Clause List"/>
    <w:basedOn w:val="Clause"/>
    <w:next w:val="Normal"/>
    <w:uiPriority w:val="14"/>
    <w:qFormat/>
    <w:rsid w:val="00EE6CD8"/>
    <w:pPr>
      <w:tabs>
        <w:tab w:val="clear" w:pos="851"/>
      </w:tabs>
      <w:ind w:left="851" w:hanging="851"/>
    </w:pPr>
  </w:style>
  <w:style w:type="paragraph" w:customStyle="1" w:styleId="Definition">
    <w:name w:val="Definition"/>
    <w:basedOn w:val="Normal"/>
    <w:next w:val="Normal"/>
    <w:uiPriority w:val="15"/>
    <w:qFormat/>
    <w:rsid w:val="00EE6CD8"/>
    <w:pPr>
      <w:ind w:left="1701" w:hanging="851"/>
    </w:pPr>
    <w:rPr>
      <w:sz w:val="20"/>
      <w:szCs w:val="20"/>
    </w:rPr>
  </w:style>
  <w:style w:type="paragraph" w:customStyle="1" w:styleId="DivisionHeading">
    <w:name w:val="Division Heading"/>
    <w:basedOn w:val="Normal"/>
    <w:next w:val="Normal"/>
    <w:uiPriority w:val="15"/>
    <w:qFormat/>
    <w:rsid w:val="00EE6CD8"/>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EE6CD8"/>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EE6CD8"/>
    <w:pPr>
      <w:keepNext w:val="0"/>
    </w:pPr>
    <w:rPr>
      <w:b w:val="0"/>
    </w:rPr>
  </w:style>
  <w:style w:type="paragraph" w:styleId="Footer">
    <w:name w:val="footer"/>
    <w:aliases w:val="FSFooter"/>
    <w:basedOn w:val="Normal"/>
    <w:link w:val="FooterChar"/>
    <w:uiPriority w:val="4"/>
    <w:qFormat/>
    <w:rsid w:val="00EE6CD8"/>
    <w:rPr>
      <w:sz w:val="20"/>
    </w:rPr>
  </w:style>
  <w:style w:type="character" w:customStyle="1" w:styleId="FooterChar">
    <w:name w:val="Footer Char"/>
    <w:aliases w:val="FSFooter Char"/>
    <w:basedOn w:val="DefaultParagraphFont"/>
    <w:link w:val="Footer"/>
    <w:uiPriority w:val="4"/>
    <w:rsid w:val="00EE6CD8"/>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E6CD8"/>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E6CD8"/>
    <w:rPr>
      <w:rFonts w:cstheme="minorBidi"/>
      <w:sz w:val="18"/>
      <w:szCs w:val="20"/>
      <w:lang w:val="en-GB"/>
    </w:rPr>
  </w:style>
  <w:style w:type="paragraph" w:customStyle="1" w:styleId="FSBullet10">
    <w:name w:val="FSBullet 1"/>
    <w:basedOn w:val="Normal"/>
    <w:next w:val="Normal"/>
    <w:link w:val="FSBullet1Char"/>
    <w:uiPriority w:val="6"/>
    <w:qFormat/>
    <w:rsid w:val="00EE6CD8"/>
    <w:pPr>
      <w:numPr>
        <w:numId w:val="1"/>
      </w:numPr>
      <w:ind w:left="567" w:hanging="567"/>
    </w:pPr>
    <w:rPr>
      <w:rFonts w:cs="Arial"/>
      <w:szCs w:val="24"/>
    </w:rPr>
  </w:style>
  <w:style w:type="character" w:customStyle="1" w:styleId="FSBullet1Char">
    <w:name w:val="FSBullet 1 Char"/>
    <w:basedOn w:val="DefaultParagraphFont"/>
    <w:link w:val="FSBullet10"/>
    <w:uiPriority w:val="6"/>
    <w:rsid w:val="00EE6CD8"/>
    <w:rPr>
      <w:szCs w:val="24"/>
      <w:lang w:val="en-GB"/>
    </w:rPr>
  </w:style>
  <w:style w:type="paragraph" w:customStyle="1" w:styleId="FSBullet2">
    <w:name w:val="FSBullet 2"/>
    <w:basedOn w:val="Normal"/>
    <w:uiPriority w:val="6"/>
    <w:qFormat/>
    <w:rsid w:val="00EE6CD8"/>
    <w:pPr>
      <w:numPr>
        <w:numId w:val="8"/>
      </w:numPr>
    </w:pPr>
  </w:style>
  <w:style w:type="paragraph" w:customStyle="1" w:styleId="FSBullet3">
    <w:name w:val="FSBullet 3"/>
    <w:basedOn w:val="Normal"/>
    <w:uiPriority w:val="6"/>
    <w:qFormat/>
    <w:rsid w:val="00EE6CD8"/>
    <w:pPr>
      <w:keepNext/>
      <w:numPr>
        <w:numId w:val="9"/>
      </w:numPr>
    </w:pPr>
  </w:style>
  <w:style w:type="paragraph" w:customStyle="1" w:styleId="FSCaption">
    <w:name w:val="FSCaption"/>
    <w:basedOn w:val="Normal"/>
    <w:uiPriority w:val="9"/>
    <w:qFormat/>
    <w:rsid w:val="00EE6CD8"/>
    <w:pPr>
      <w:keepNext/>
      <w:keepLines/>
      <w:spacing w:before="120"/>
    </w:pPr>
    <w:rPr>
      <w:i/>
      <w:sz w:val="16"/>
      <w:szCs w:val="16"/>
    </w:rPr>
  </w:style>
  <w:style w:type="paragraph" w:customStyle="1" w:styleId="FSCFootnote">
    <w:name w:val="FSCFootnote"/>
    <w:basedOn w:val="Normal"/>
    <w:next w:val="Normal"/>
    <w:uiPriority w:val="17"/>
    <w:qFormat/>
    <w:rsid w:val="00EE6CD8"/>
    <w:rPr>
      <w:sz w:val="16"/>
      <w:szCs w:val="20"/>
    </w:rPr>
  </w:style>
  <w:style w:type="paragraph" w:customStyle="1" w:styleId="FSCFooter">
    <w:name w:val="FSCFooter"/>
    <w:basedOn w:val="FSCFootnote"/>
    <w:uiPriority w:val="17"/>
    <w:qFormat/>
    <w:rsid w:val="00EE6CD8"/>
    <w:pPr>
      <w:tabs>
        <w:tab w:val="center" w:pos="4536"/>
        <w:tab w:val="right" w:pos="9070"/>
      </w:tabs>
    </w:pPr>
    <w:rPr>
      <w:sz w:val="18"/>
      <w:szCs w:val="18"/>
    </w:rPr>
  </w:style>
  <w:style w:type="paragraph" w:customStyle="1" w:styleId="FSPagenumber">
    <w:name w:val="FSPage number"/>
    <w:basedOn w:val="Normal"/>
    <w:uiPriority w:val="1"/>
    <w:qFormat/>
    <w:rsid w:val="00EE6CD8"/>
    <w:pPr>
      <w:jc w:val="center"/>
    </w:pPr>
    <w:rPr>
      <w:sz w:val="20"/>
      <w:szCs w:val="20"/>
    </w:rPr>
  </w:style>
  <w:style w:type="paragraph" w:customStyle="1" w:styleId="FSTableColumnRowheading">
    <w:name w:val="FSTable Column/Row heading"/>
    <w:basedOn w:val="Normal"/>
    <w:uiPriority w:val="8"/>
    <w:qFormat/>
    <w:rsid w:val="00EE6CD8"/>
    <w:pPr>
      <w:spacing w:before="120" w:after="120"/>
    </w:pPr>
    <w:rPr>
      <w:b/>
      <w:sz w:val="20"/>
      <w:szCs w:val="20"/>
    </w:rPr>
  </w:style>
  <w:style w:type="paragraph" w:customStyle="1" w:styleId="FSTableFigureHeading">
    <w:name w:val="FSTable/Figure Heading"/>
    <w:basedOn w:val="Normal"/>
    <w:uiPriority w:val="7"/>
    <w:qFormat/>
    <w:rsid w:val="00EE6CD8"/>
    <w:pPr>
      <w:spacing w:before="120" w:after="120"/>
      <w:ind w:left="1134" w:hanging="1134"/>
    </w:pPr>
    <w:rPr>
      <w:b/>
      <w:i/>
    </w:rPr>
  </w:style>
  <w:style w:type="paragraph" w:styleId="Header">
    <w:name w:val="header"/>
    <w:aliases w:val="FSHeader"/>
    <w:basedOn w:val="Normal"/>
    <w:link w:val="HeaderChar"/>
    <w:uiPriority w:val="3"/>
    <w:unhideWhenUsed/>
    <w:qFormat/>
    <w:rsid w:val="00EE6CD8"/>
    <w:pPr>
      <w:jc w:val="center"/>
    </w:pPr>
    <w:rPr>
      <w:b/>
    </w:rPr>
  </w:style>
  <w:style w:type="character" w:customStyle="1" w:styleId="HeaderChar">
    <w:name w:val="Header Char"/>
    <w:aliases w:val="FSHeader Char"/>
    <w:basedOn w:val="DefaultParagraphFont"/>
    <w:link w:val="Header"/>
    <w:uiPriority w:val="3"/>
    <w:rsid w:val="00EE6CD8"/>
    <w:rPr>
      <w:rFonts w:cstheme="minorBidi"/>
      <w:b/>
      <w:lang w:val="en-GB"/>
    </w:rPr>
  </w:style>
  <w:style w:type="paragraph" w:customStyle="1" w:styleId="Paragraph">
    <w:name w:val="Paragraph"/>
    <w:basedOn w:val="Clause"/>
    <w:next w:val="Normal"/>
    <w:uiPriority w:val="12"/>
    <w:qFormat/>
    <w:rsid w:val="00EE6CD8"/>
    <w:pPr>
      <w:tabs>
        <w:tab w:val="clear" w:pos="851"/>
      </w:tabs>
      <w:ind w:left="1702" w:hanging="851"/>
    </w:pPr>
  </w:style>
  <w:style w:type="paragraph" w:customStyle="1" w:styleId="ScheduleHeading">
    <w:name w:val="Schedule Heading"/>
    <w:basedOn w:val="Normal"/>
    <w:next w:val="Normal"/>
    <w:uiPriority w:val="18"/>
    <w:qFormat/>
    <w:rsid w:val="00EE6CD8"/>
    <w:pPr>
      <w:tabs>
        <w:tab w:val="left" w:pos="851"/>
      </w:tabs>
      <w:jc w:val="center"/>
    </w:pPr>
    <w:rPr>
      <w:b/>
      <w:caps/>
      <w:sz w:val="20"/>
      <w:szCs w:val="20"/>
    </w:rPr>
  </w:style>
  <w:style w:type="paragraph" w:customStyle="1" w:styleId="Standardtitle">
    <w:name w:val="Standard title"/>
    <w:basedOn w:val="Normal"/>
    <w:uiPriority w:val="18"/>
    <w:qFormat/>
    <w:rsid w:val="00EE6CD8"/>
    <w:pPr>
      <w:keepNext/>
      <w:tabs>
        <w:tab w:val="left" w:pos="851"/>
      </w:tabs>
      <w:jc w:val="center"/>
    </w:pPr>
    <w:rPr>
      <w:b/>
      <w:i/>
      <w:iCs/>
      <w:caps/>
      <w:sz w:val="28"/>
      <w:szCs w:val="20"/>
    </w:rPr>
  </w:style>
  <w:style w:type="paragraph" w:customStyle="1" w:styleId="Subclause">
    <w:name w:val="Subclause"/>
    <w:basedOn w:val="Clause"/>
    <w:uiPriority w:val="11"/>
    <w:qFormat/>
    <w:rsid w:val="00EE6CD8"/>
    <w:pPr>
      <w:ind w:left="567" w:hanging="567"/>
    </w:pPr>
  </w:style>
  <w:style w:type="paragraph" w:customStyle="1" w:styleId="Subparagraph">
    <w:name w:val="Subparagraph"/>
    <w:basedOn w:val="Paragraph"/>
    <w:next w:val="Normal"/>
    <w:uiPriority w:val="13"/>
    <w:qFormat/>
    <w:rsid w:val="00EE6CD8"/>
    <w:pPr>
      <w:ind w:left="2553"/>
    </w:pPr>
  </w:style>
  <w:style w:type="paragraph" w:customStyle="1" w:styleId="Table1">
    <w:name w:val="Table 1"/>
    <w:basedOn w:val="Normal"/>
    <w:uiPriority w:val="20"/>
    <w:qFormat/>
    <w:rsid w:val="00EE6CD8"/>
    <w:pPr>
      <w:keepNext/>
      <w:spacing w:after="120"/>
      <w:jc w:val="center"/>
    </w:pPr>
    <w:rPr>
      <w:b/>
      <w:bCs/>
      <w:sz w:val="18"/>
      <w:szCs w:val="20"/>
    </w:rPr>
  </w:style>
  <w:style w:type="paragraph" w:customStyle="1" w:styleId="TitleBorder">
    <w:name w:val="TitleBorder"/>
    <w:basedOn w:val="Normal"/>
    <w:uiPriority w:val="19"/>
    <w:qFormat/>
    <w:rsid w:val="00EE6CD8"/>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14171C"/>
    <w:pPr>
      <w:ind w:left="720"/>
      <w:contextualSpacing/>
    </w:pPr>
  </w:style>
  <w:style w:type="character" w:customStyle="1" w:styleId="Heading7Char">
    <w:name w:val="Heading 7 Char"/>
    <w:basedOn w:val="DefaultParagraphFont"/>
    <w:link w:val="Heading7"/>
    <w:uiPriority w:val="9"/>
    <w:rsid w:val="0014171C"/>
    <w:rPr>
      <w:rFonts w:eastAsia="Times New Roman" w:cs="Times New Roman"/>
      <w:szCs w:val="24"/>
      <w:lang w:val="en-GB" w:bidi="en-US"/>
    </w:rPr>
  </w:style>
  <w:style w:type="character" w:customStyle="1" w:styleId="Heading8Char">
    <w:name w:val="Heading 8 Char"/>
    <w:basedOn w:val="DefaultParagraphFont"/>
    <w:link w:val="Heading8"/>
    <w:uiPriority w:val="9"/>
    <w:semiHidden/>
    <w:rsid w:val="001417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14171C"/>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rsid w:val="0014171C"/>
    <w:rPr>
      <w:rFonts w:ascii="Arial" w:hAnsi="Arial"/>
      <w:color w:val="3333FF"/>
      <w:u w:val="single"/>
    </w:rPr>
  </w:style>
  <w:style w:type="paragraph" w:customStyle="1" w:styleId="FSTitle">
    <w:name w:val="FS Title"/>
    <w:basedOn w:val="Normal"/>
    <w:rsid w:val="0014171C"/>
    <w:rPr>
      <w:rFonts w:cs="Tahoma"/>
      <w:bCs/>
      <w:sz w:val="32"/>
    </w:rPr>
  </w:style>
  <w:style w:type="paragraph" w:customStyle="1" w:styleId="FSDash">
    <w:name w:val="FS Dash"/>
    <w:basedOn w:val="Normal"/>
    <w:rsid w:val="0014171C"/>
    <w:pPr>
      <w:ind w:left="1134" w:hanging="567"/>
    </w:pPr>
  </w:style>
  <w:style w:type="paragraph" w:styleId="TOC1">
    <w:name w:val="toc 1"/>
    <w:basedOn w:val="Normal"/>
    <w:next w:val="Normal"/>
    <w:autoRedefine/>
    <w:uiPriority w:val="39"/>
    <w:rsid w:val="0014171C"/>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14171C"/>
    <w:pPr>
      <w:tabs>
        <w:tab w:val="left" w:pos="880"/>
        <w:tab w:val="right" w:leader="dot" w:pos="9016"/>
      </w:tabs>
      <w:spacing w:before="120" w:after="120"/>
      <w:ind w:left="221"/>
    </w:pPr>
    <w:rPr>
      <w:rFonts w:asciiTheme="minorHAnsi" w:hAnsiTheme="minorHAnsi" w:cstheme="minorHAnsi"/>
      <w:smallCaps/>
      <w:sz w:val="20"/>
      <w:szCs w:val="20"/>
    </w:rPr>
  </w:style>
  <w:style w:type="character" w:styleId="PageNumber">
    <w:name w:val="page number"/>
    <w:basedOn w:val="DefaultParagraphFont"/>
    <w:rsid w:val="0014171C"/>
    <w:rPr>
      <w:rFonts w:ascii="Arial" w:hAnsi="Arial"/>
    </w:rPr>
  </w:style>
  <w:style w:type="paragraph" w:styleId="TOC3">
    <w:name w:val="toc 3"/>
    <w:basedOn w:val="Normal"/>
    <w:next w:val="Normal"/>
    <w:autoRedefine/>
    <w:uiPriority w:val="39"/>
    <w:rsid w:val="0014171C"/>
    <w:pPr>
      <w:ind w:left="440"/>
    </w:pPr>
    <w:rPr>
      <w:rFonts w:asciiTheme="minorHAnsi" w:hAnsiTheme="minorHAnsi" w:cstheme="minorHAnsi"/>
      <w:i/>
      <w:iCs/>
      <w:sz w:val="20"/>
      <w:szCs w:val="20"/>
    </w:rPr>
  </w:style>
  <w:style w:type="paragraph" w:styleId="TOC4">
    <w:name w:val="toc 4"/>
    <w:basedOn w:val="Normal"/>
    <w:next w:val="Normal"/>
    <w:autoRedefine/>
    <w:semiHidden/>
    <w:rsid w:val="0014171C"/>
    <w:pPr>
      <w:ind w:left="660"/>
    </w:pPr>
    <w:rPr>
      <w:rFonts w:asciiTheme="minorHAnsi" w:hAnsiTheme="minorHAnsi" w:cstheme="minorHAnsi"/>
      <w:sz w:val="18"/>
      <w:szCs w:val="18"/>
    </w:rPr>
  </w:style>
  <w:style w:type="paragraph" w:styleId="TOC5">
    <w:name w:val="toc 5"/>
    <w:basedOn w:val="Normal"/>
    <w:next w:val="Normal"/>
    <w:autoRedefine/>
    <w:semiHidden/>
    <w:rsid w:val="0014171C"/>
    <w:pPr>
      <w:ind w:left="880"/>
    </w:pPr>
    <w:rPr>
      <w:rFonts w:asciiTheme="minorHAnsi" w:hAnsiTheme="minorHAnsi" w:cstheme="minorHAnsi"/>
      <w:sz w:val="18"/>
      <w:szCs w:val="18"/>
    </w:rPr>
  </w:style>
  <w:style w:type="character" w:styleId="FollowedHyperlink">
    <w:name w:val="FollowedHyperlink"/>
    <w:basedOn w:val="DefaultParagraphFont"/>
    <w:rsid w:val="0014171C"/>
    <w:rPr>
      <w:rFonts w:ascii="Arial" w:hAnsi="Arial"/>
      <w:color w:val="3333FF"/>
      <w:sz w:val="22"/>
      <w:u w:val="single"/>
    </w:rPr>
  </w:style>
  <w:style w:type="paragraph" w:styleId="TOC6">
    <w:name w:val="toc 6"/>
    <w:basedOn w:val="Normal"/>
    <w:next w:val="Normal"/>
    <w:autoRedefine/>
    <w:semiHidden/>
    <w:rsid w:val="0014171C"/>
    <w:pPr>
      <w:ind w:left="1100"/>
    </w:pPr>
    <w:rPr>
      <w:rFonts w:asciiTheme="minorHAnsi" w:hAnsiTheme="minorHAnsi" w:cstheme="minorHAnsi"/>
      <w:sz w:val="18"/>
      <w:szCs w:val="18"/>
    </w:rPr>
  </w:style>
  <w:style w:type="paragraph" w:customStyle="1" w:styleId="Box1">
    <w:name w:val="Box 1"/>
    <w:basedOn w:val="Normal"/>
    <w:rsid w:val="0014171C"/>
    <w:pPr>
      <w:tabs>
        <w:tab w:val="num" w:pos="120"/>
      </w:tabs>
      <w:ind w:left="113" w:hanging="113"/>
    </w:pPr>
    <w:rPr>
      <w:sz w:val="16"/>
    </w:rPr>
  </w:style>
  <w:style w:type="paragraph" w:customStyle="1" w:styleId="Box2">
    <w:name w:val="Box 2"/>
    <w:basedOn w:val="Normal"/>
    <w:rsid w:val="0014171C"/>
    <w:pPr>
      <w:tabs>
        <w:tab w:val="left" w:pos="4608"/>
        <w:tab w:val="left" w:pos="9180"/>
        <w:tab w:val="left" w:pos="9216"/>
      </w:tabs>
      <w:jc w:val="center"/>
    </w:pPr>
    <w:rPr>
      <w:b/>
      <w:bCs/>
      <w:i/>
      <w:iCs/>
      <w:color w:val="000000"/>
      <w:sz w:val="16"/>
    </w:rPr>
  </w:style>
  <w:style w:type="paragraph" w:customStyle="1" w:styleId="Box3">
    <w:name w:val="Box 3"/>
    <w:basedOn w:val="Normal"/>
    <w:rsid w:val="0014171C"/>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14171C"/>
    <w:rPr>
      <w:b/>
      <w:bCs w:val="0"/>
      <w:iCs/>
    </w:rPr>
  </w:style>
  <w:style w:type="paragraph" w:customStyle="1" w:styleId="142tabletext10">
    <w:name w:val="1.4.2 table text1"/>
    <w:basedOn w:val="Normal"/>
    <w:rsid w:val="0014171C"/>
    <w:pPr>
      <w:ind w:left="142" w:hanging="142"/>
    </w:pPr>
    <w:rPr>
      <w:smallCaps/>
      <w:sz w:val="20"/>
      <w:szCs w:val="20"/>
    </w:rPr>
  </w:style>
  <w:style w:type="paragraph" w:customStyle="1" w:styleId="142tabletext20">
    <w:name w:val="1.4.2 table text2"/>
    <w:basedOn w:val="142tabletext10"/>
    <w:rsid w:val="0014171C"/>
    <w:pPr>
      <w:jc w:val="right"/>
    </w:pPr>
  </w:style>
  <w:style w:type="paragraph" w:customStyle="1" w:styleId="Footnote">
    <w:name w:val="Footnote"/>
    <w:basedOn w:val="Normal"/>
    <w:rsid w:val="0014171C"/>
    <w:pPr>
      <w:tabs>
        <w:tab w:val="left" w:pos="851"/>
      </w:tabs>
    </w:pPr>
    <w:rPr>
      <w:sz w:val="20"/>
      <w:szCs w:val="20"/>
    </w:rPr>
  </w:style>
  <w:style w:type="paragraph" w:customStyle="1" w:styleId="MiscellaneousHeading">
    <w:name w:val="Miscellaneous Heading"/>
    <w:basedOn w:val="Normal"/>
    <w:next w:val="Normal"/>
    <w:rsid w:val="0014171C"/>
    <w:rPr>
      <w:b/>
      <w:szCs w:val="20"/>
    </w:rPr>
  </w:style>
  <w:style w:type="paragraph" w:customStyle="1" w:styleId="TableHeading">
    <w:name w:val="Table Heading"/>
    <w:basedOn w:val="Normal"/>
    <w:next w:val="Normal"/>
    <w:rsid w:val="0014171C"/>
    <w:pPr>
      <w:tabs>
        <w:tab w:val="left" w:pos="851"/>
      </w:tabs>
      <w:jc w:val="center"/>
    </w:pPr>
    <w:rPr>
      <w:b/>
      <w:szCs w:val="20"/>
    </w:rPr>
  </w:style>
  <w:style w:type="paragraph" w:styleId="TOC7">
    <w:name w:val="toc 7"/>
    <w:basedOn w:val="Normal"/>
    <w:next w:val="Normal"/>
    <w:autoRedefine/>
    <w:semiHidden/>
    <w:rsid w:val="0014171C"/>
    <w:pPr>
      <w:ind w:left="1320"/>
    </w:pPr>
    <w:rPr>
      <w:rFonts w:asciiTheme="minorHAnsi" w:hAnsiTheme="minorHAnsi" w:cstheme="minorHAnsi"/>
      <w:sz w:val="18"/>
      <w:szCs w:val="18"/>
    </w:rPr>
  </w:style>
  <w:style w:type="paragraph" w:styleId="TOC8">
    <w:name w:val="toc 8"/>
    <w:basedOn w:val="Normal"/>
    <w:next w:val="Normal"/>
    <w:autoRedefine/>
    <w:semiHidden/>
    <w:rsid w:val="0014171C"/>
    <w:pPr>
      <w:ind w:left="1540"/>
    </w:pPr>
    <w:rPr>
      <w:rFonts w:asciiTheme="minorHAnsi" w:hAnsiTheme="minorHAnsi" w:cstheme="minorHAnsi"/>
      <w:sz w:val="18"/>
      <w:szCs w:val="18"/>
    </w:rPr>
  </w:style>
  <w:style w:type="paragraph" w:styleId="TOC9">
    <w:name w:val="toc 9"/>
    <w:basedOn w:val="Normal"/>
    <w:next w:val="Normal"/>
    <w:autoRedefine/>
    <w:semiHidden/>
    <w:rsid w:val="0014171C"/>
    <w:pPr>
      <w:ind w:left="1760"/>
    </w:pPr>
    <w:rPr>
      <w:rFonts w:asciiTheme="minorHAnsi" w:hAnsiTheme="minorHAnsi" w:cstheme="minorHAnsi"/>
      <w:sz w:val="18"/>
      <w:szCs w:val="18"/>
    </w:rPr>
  </w:style>
  <w:style w:type="character" w:styleId="FootnoteReference">
    <w:name w:val="footnote reference"/>
    <w:basedOn w:val="DefaultParagraphFont"/>
    <w:rsid w:val="0014171C"/>
    <w:rPr>
      <w:vertAlign w:val="superscript"/>
    </w:rPr>
  </w:style>
  <w:style w:type="paragraph" w:customStyle="1" w:styleId="FSDecisionHeading">
    <w:name w:val="FS Decision Heading"/>
    <w:basedOn w:val="Normal"/>
    <w:next w:val="FSDecisiontext"/>
    <w:rsid w:val="0014171C"/>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14171C"/>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14171C"/>
    <w:rPr>
      <w:rFonts w:ascii="Tahoma" w:hAnsi="Tahoma" w:cs="Tahoma"/>
      <w:sz w:val="16"/>
      <w:szCs w:val="16"/>
    </w:rPr>
  </w:style>
  <w:style w:type="character" w:customStyle="1" w:styleId="BalloonTextChar">
    <w:name w:val="Balloon Text Char"/>
    <w:basedOn w:val="DefaultParagraphFont"/>
    <w:link w:val="BalloonText"/>
    <w:semiHidden/>
    <w:rsid w:val="0014171C"/>
    <w:rPr>
      <w:rFonts w:ascii="Tahoma" w:eastAsia="Times New Roman" w:hAnsi="Tahoma" w:cs="Tahoma"/>
      <w:sz w:val="16"/>
      <w:szCs w:val="16"/>
      <w:lang w:val="en-GB" w:bidi="en-US"/>
    </w:rPr>
  </w:style>
  <w:style w:type="paragraph" w:styleId="TOCHeading">
    <w:name w:val="TOC Heading"/>
    <w:basedOn w:val="Heading1"/>
    <w:next w:val="Normal"/>
    <w:uiPriority w:val="39"/>
    <w:semiHidden/>
    <w:unhideWhenUsed/>
    <w:qFormat/>
    <w:rsid w:val="0014171C"/>
    <w:pPr>
      <w:keepLines/>
      <w:spacing w:before="480" w:after="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rsid w:val="0014171C"/>
    <w:pPr>
      <w:numPr>
        <w:numId w:val="2"/>
      </w:numPr>
      <w:ind w:left="567" w:hanging="567"/>
    </w:pPr>
    <w:rPr>
      <w:rFonts w:cs="Arial"/>
    </w:rPr>
  </w:style>
  <w:style w:type="character" w:customStyle="1" w:styleId="FSBulletChar">
    <w:name w:val="FS Bullet Char"/>
    <w:basedOn w:val="DefaultParagraphFont"/>
    <w:link w:val="FSBullet"/>
    <w:rsid w:val="0014171C"/>
    <w:rPr>
      <w:lang w:val="en-GB"/>
    </w:rPr>
  </w:style>
  <w:style w:type="table" w:styleId="TableGrid">
    <w:name w:val="Table Grid"/>
    <w:basedOn w:val="TableNormal"/>
    <w:uiPriority w:val="59"/>
    <w:rsid w:val="0014171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14171C"/>
    <w:rPr>
      <w:rFonts w:cs="Arial"/>
      <w:b/>
    </w:rPr>
  </w:style>
  <w:style w:type="paragraph" w:customStyle="1" w:styleId="FSTableHeading">
    <w:name w:val="FS Table Heading"/>
    <w:basedOn w:val="Normal"/>
    <w:rsid w:val="004B074F"/>
    <w:rPr>
      <w:rFonts w:ascii="Arial Bold" w:hAnsi="Arial Bold" w:cs="Arial"/>
      <w:b/>
      <w:sz w:val="20"/>
      <w:szCs w:val="20"/>
    </w:rPr>
  </w:style>
  <w:style w:type="paragraph" w:customStyle="1" w:styleId="FSTableText">
    <w:name w:val="FS Table Text"/>
    <w:basedOn w:val="Normal"/>
    <w:rsid w:val="0014171C"/>
    <w:rPr>
      <w:rFonts w:cs="Arial"/>
      <w:sz w:val="20"/>
      <w:szCs w:val="20"/>
    </w:rPr>
  </w:style>
  <w:style w:type="paragraph" w:customStyle="1" w:styleId="FSFigureTitle">
    <w:name w:val="FS Figure Title"/>
    <w:basedOn w:val="Normal"/>
    <w:next w:val="Normal"/>
    <w:rsid w:val="0014171C"/>
    <w:rPr>
      <w:rFonts w:cs="Arial"/>
      <w:i/>
    </w:rPr>
  </w:style>
  <w:style w:type="character" w:styleId="CommentReference">
    <w:name w:val="annotation reference"/>
    <w:basedOn w:val="DefaultParagraphFont"/>
    <w:uiPriority w:val="99"/>
    <w:rsid w:val="0014171C"/>
    <w:rPr>
      <w:sz w:val="16"/>
      <w:szCs w:val="16"/>
    </w:rPr>
  </w:style>
  <w:style w:type="paragraph" w:styleId="CommentText">
    <w:name w:val="annotation text"/>
    <w:basedOn w:val="Normal"/>
    <w:link w:val="CommentTextChar"/>
    <w:rsid w:val="0014171C"/>
    <w:rPr>
      <w:sz w:val="20"/>
      <w:szCs w:val="20"/>
    </w:rPr>
  </w:style>
  <w:style w:type="character" w:customStyle="1" w:styleId="CommentTextChar">
    <w:name w:val="Comment Text Char"/>
    <w:basedOn w:val="DefaultParagraphFont"/>
    <w:link w:val="CommentText"/>
    <w:rsid w:val="0014171C"/>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14171C"/>
    <w:rPr>
      <w:b/>
      <w:bCs/>
    </w:rPr>
  </w:style>
  <w:style w:type="character" w:customStyle="1" w:styleId="CommentSubjectChar">
    <w:name w:val="Comment Subject Char"/>
    <w:basedOn w:val="CommentTextChar"/>
    <w:link w:val="CommentSubject"/>
    <w:rsid w:val="0014171C"/>
    <w:rPr>
      <w:rFonts w:eastAsia="Times New Roman" w:cs="Times New Roman"/>
      <w:b/>
      <w:bCs/>
      <w:sz w:val="20"/>
      <w:szCs w:val="20"/>
      <w:lang w:val="en-GB" w:bidi="en-US"/>
    </w:rPr>
  </w:style>
  <w:style w:type="paragraph" w:styleId="DocumentMap">
    <w:name w:val="Document Map"/>
    <w:basedOn w:val="Normal"/>
    <w:link w:val="DocumentMapChar"/>
    <w:rsid w:val="0014171C"/>
    <w:rPr>
      <w:rFonts w:ascii="Tahoma" w:hAnsi="Tahoma" w:cs="Tahoma"/>
      <w:sz w:val="16"/>
      <w:szCs w:val="16"/>
    </w:rPr>
  </w:style>
  <w:style w:type="character" w:customStyle="1" w:styleId="DocumentMapChar">
    <w:name w:val="Document Map Char"/>
    <w:basedOn w:val="DefaultParagraphFont"/>
    <w:link w:val="DocumentMap"/>
    <w:rsid w:val="0014171C"/>
    <w:rPr>
      <w:rFonts w:ascii="Tahoma" w:eastAsia="Times New Roman" w:hAnsi="Tahoma" w:cs="Tahoma"/>
      <w:sz w:val="16"/>
      <w:szCs w:val="16"/>
      <w:lang w:val="en-GB" w:bidi="en-US"/>
    </w:rPr>
  </w:style>
  <w:style w:type="table" w:styleId="MediumShading1-Accent3">
    <w:name w:val="Medium Shading 1 Accent 3"/>
    <w:basedOn w:val="TableNormal"/>
    <w:uiPriority w:val="63"/>
    <w:rsid w:val="0014171C"/>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olumns1">
    <w:name w:val="Table Columns 1"/>
    <w:basedOn w:val="TableNormal"/>
    <w:rsid w:val="0014171C"/>
    <w:pPr>
      <w:widowControl w:val="0"/>
    </w:pPr>
    <w:rPr>
      <w:rFonts w:ascii="Calibri" w:eastAsia="Times New Roman" w:hAnsi="Calibri"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171C"/>
    <w:pPr>
      <w:widowControl w:val="0"/>
    </w:pPr>
    <w:rPr>
      <w:rFonts w:ascii="Calibri" w:eastAsia="Times New Roman" w:hAnsi="Calibri"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171C"/>
    <w:pPr>
      <w:widowControl w:val="0"/>
    </w:pPr>
    <w:rPr>
      <w:rFonts w:ascii="Calibri" w:eastAsia="Times New Roman" w:hAnsi="Calibri"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7">
    <w:name w:val="Table Grid 7"/>
    <w:basedOn w:val="TableNormal"/>
    <w:rsid w:val="0014171C"/>
    <w:pPr>
      <w:widowControl w:val="0"/>
    </w:pPr>
    <w:rPr>
      <w:rFonts w:ascii="Calibri" w:eastAsia="Times New Roman" w:hAnsi="Calibri"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14171C"/>
    <w:pPr>
      <w:widowControl w:val="0"/>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171C"/>
    <w:pPr>
      <w:widowControl w:val="0"/>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Elegant">
    <w:name w:val="Table Elegant"/>
    <w:basedOn w:val="TableNormal"/>
    <w:rsid w:val="0014171C"/>
    <w:pPr>
      <w:widowControl w:val="0"/>
    </w:pPr>
    <w:rPr>
      <w:rFonts w:ascii="Calibri" w:eastAsia="Times New Roman" w:hAnsi="Calibri"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14171C"/>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8">
    <w:name w:val="Table Grid 8"/>
    <w:basedOn w:val="TableNormal"/>
    <w:rsid w:val="0014171C"/>
    <w:pPr>
      <w:widowControl w:val="0"/>
    </w:pPr>
    <w:rPr>
      <w:rFonts w:ascii="Calibri" w:eastAsia="Times New Roman" w:hAnsi="Calibri"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14171C"/>
    <w:rPr>
      <w:color w:val="808080"/>
    </w:rPr>
  </w:style>
  <w:style w:type="table" w:styleId="TableList4">
    <w:name w:val="Table List 4"/>
    <w:basedOn w:val="TableNormal"/>
    <w:rsid w:val="0014171C"/>
    <w:pPr>
      <w:widowControl w:val="0"/>
    </w:pPr>
    <w:rPr>
      <w:rFonts w:ascii="Calibri" w:eastAsia="Times New Roman" w:hAnsi="Calibri"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ghtList">
    <w:name w:val="Light List"/>
    <w:basedOn w:val="TableNormal"/>
    <w:uiPriority w:val="61"/>
    <w:rsid w:val="0014171C"/>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14171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Elegant1">
    <w:name w:val="Table Elegant1"/>
    <w:basedOn w:val="TableNormal"/>
    <w:next w:val="TableElegant"/>
    <w:rsid w:val="0014171C"/>
    <w:pPr>
      <w:widowControl w:val="0"/>
    </w:pPr>
    <w:rPr>
      <w:rFonts w:ascii="Calibri" w:eastAsia="Times New Roman" w:hAnsi="Calibri"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on">
    <w:name w:val="Revision"/>
    <w:hidden/>
    <w:uiPriority w:val="99"/>
    <w:semiHidden/>
    <w:rsid w:val="002E3C31"/>
    <w:rPr>
      <w:rFonts w:eastAsia="Times New Roman" w:cs="Times New Roman"/>
      <w:szCs w:val="24"/>
      <w:lang w:val="en-GB" w:bidi="en-US"/>
    </w:rPr>
  </w:style>
  <w:style w:type="paragraph" w:customStyle="1" w:styleId="heading">
    <w:name w:val="heading"/>
    <w:basedOn w:val="Normal"/>
    <w:rsid w:val="00A57240"/>
    <w:pPr>
      <w:tabs>
        <w:tab w:val="left" w:pos="840"/>
      </w:tabs>
      <w:jc w:val="both"/>
    </w:pPr>
    <w:rPr>
      <w:rFonts w:ascii="Times New Roman" w:hAnsi="Times New Roman"/>
      <w:b/>
      <w:caps/>
      <w:sz w:val="24"/>
      <w:szCs w:val="20"/>
    </w:rPr>
  </w:style>
  <w:style w:type="paragraph" w:customStyle="1" w:styleId="FSBullet1">
    <w:name w:val="FS Bullet 1"/>
    <w:basedOn w:val="Normal"/>
    <w:next w:val="Normal"/>
    <w:link w:val="FSBullet1Char0"/>
    <w:rsid w:val="00FB379F"/>
    <w:pPr>
      <w:numPr>
        <w:numId w:val="7"/>
      </w:numPr>
      <w:ind w:left="567" w:hanging="567"/>
    </w:pPr>
    <w:rPr>
      <w:rFonts w:cs="Arial"/>
    </w:rPr>
  </w:style>
  <w:style w:type="character" w:customStyle="1" w:styleId="FSBullet1Char0">
    <w:name w:val="FS Bullet 1 Char"/>
    <w:link w:val="FSBullet1"/>
    <w:rsid w:val="00FB379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health.govt.nz/our-work/preventative-health-wellness/nutrition/food-and-nutrition-guideline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nhmrc.gov.au/_files_nhmrc/file/publications/n55d_australian_dietary_guidelines_evidence_report.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ihw.gov.au/publication-detail/?id=60129542376" TargetMode="External"/><Relationship Id="rId25" Type="http://schemas.openxmlformats.org/officeDocument/2006/relationships/hyperlink" Target="http://www.who.int/nutrition/databases/infantfeeding/data_source_inclusion_criteria/en/index.html" TargetMode="External"/><Relationship Id="rId2" Type="http://schemas.openxmlformats.org/officeDocument/2006/relationships/numbering" Target="numbering.xml"/><Relationship Id="rId16" Type="http://schemas.openxmlformats.org/officeDocument/2006/relationships/hyperlink" Target="http://www.aihw.gov.au/publication-detail/?id=10737420927" TargetMode="External"/><Relationship Id="rId20" Type="http://schemas.openxmlformats.org/officeDocument/2006/relationships/hyperlink" Target="http://www.nhmrc.gov.au/_files_nhmrc/publications/attachments/n34.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nhmrc.gov.au/_files_nhmrc/publications/attachments/n55_australian_dietary_guidelines_130530.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nhmrc.gov.au/_files_nhmrc/publications/attachments/n56a_infant_feeding_literature_review.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health.govt.nz/publication/health-new-zealand-children-2011-12"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nhmrc.gov.au/_files_nhmrc/publications/attachments/n56_infant_feeding_guidelines.pdf"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16B51-260D-4FB4-AC30-0659A58E3989}"/>
</file>

<file path=customXml/itemProps2.xml><?xml version="1.0" encoding="utf-8"?>
<ds:datastoreItem xmlns:ds="http://schemas.openxmlformats.org/officeDocument/2006/customXml" ds:itemID="{C8AF3E83-B945-4FC8-8FB1-0C0D20D8B22D}"/>
</file>

<file path=customXml/itemProps3.xml><?xml version="1.0" encoding="utf-8"?>
<ds:datastoreItem xmlns:ds="http://schemas.openxmlformats.org/officeDocument/2006/customXml" ds:itemID="{20A78CC4-24FA-476C-BD37-647A832BB7B7}"/>
</file>

<file path=customXml/itemProps4.xml><?xml version="1.0" encoding="utf-8"?>
<ds:datastoreItem xmlns:ds="http://schemas.openxmlformats.org/officeDocument/2006/customXml" ds:itemID="{68E10610-2241-48CF-9A0F-84369EE7157F}"/>
</file>

<file path=docProps/app.xml><?xml version="1.0" encoding="utf-8"?>
<Properties xmlns="http://schemas.openxmlformats.org/officeDocument/2006/extended-properties" xmlns:vt="http://schemas.openxmlformats.org/officeDocument/2006/docPropsVTypes">
  <Template>Normal</Template>
  <TotalTime>0</TotalTime>
  <Pages>32</Pages>
  <Words>15284</Words>
  <Characters>87121</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P274-RejR-SD1-RiskAssess</dc:title>
  <dc:creator/>
  <cp:lastModifiedBy/>
  <cp:revision>1</cp:revision>
  <dcterms:created xsi:type="dcterms:W3CDTF">2014-10-02T05:36:00Z</dcterms:created>
  <dcterms:modified xsi:type="dcterms:W3CDTF">2014-10-02T05:37:00Z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